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lang w:val="en-US" w:eastAsia="zh-CN"/>
        </w:rPr>
      </w:pPr>
      <w:r>
        <w:rPr>
          <w:rFonts w:hint="eastAsia" w:ascii="宋体" w:hAnsi="宋体" w:cs="微软雅黑"/>
          <w:b/>
          <w:bCs/>
          <w:kern w:val="0"/>
          <w:sz w:val="24"/>
          <w:szCs w:val="24"/>
          <w:lang w:val="zh-CN"/>
        </w:rPr>
        <w:t>压缩式垃圾车</w:t>
      </w:r>
      <w:r>
        <w:rPr>
          <w:rFonts w:hint="eastAsia" w:ascii="宋体" w:hAnsi="宋体" w:cs="微软雅黑"/>
          <w:b/>
          <w:bCs/>
          <w:kern w:val="0"/>
          <w:sz w:val="24"/>
          <w:szCs w:val="24"/>
          <w:lang w:val="en-US" w:eastAsia="zh-CN"/>
        </w:rPr>
        <w:t>技术参数</w:t>
      </w:r>
      <w:bookmarkStart w:id="0" w:name="_GoBack"/>
      <w:bookmarkEnd w:id="0"/>
    </w:p>
    <w:tbl>
      <w:tblPr>
        <w:tblStyle w:val="2"/>
        <w:tblpPr w:leftFromText="180" w:rightFromText="180" w:vertAnchor="page" w:horzAnchor="page" w:tblpX="1879" w:tblpY="1838"/>
        <w:tblOverlap w:val="never"/>
        <w:tblW w:w="847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11"/>
        <w:gridCol w:w="1276"/>
        <w:gridCol w:w="3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jc w:val="center"/>
              <w:textAlignment w:val="center"/>
              <w:rPr>
                <w:rFonts w:hint="default" w:ascii="宋体" w:hAnsi="宋体" w:eastAsia="宋体" w:cs="ATC-5b8b*+times"/>
                <w:b/>
                <w:bCs/>
                <w:color w:val="000000"/>
                <w:kern w:val="0"/>
                <w:sz w:val="20"/>
                <w:szCs w:val="20"/>
                <w:lang w:val="en-US" w:eastAsia="zh-CN"/>
              </w:rPr>
            </w:pPr>
            <w:r>
              <w:rPr>
                <w:rFonts w:hint="eastAsia" w:ascii="宋体" w:hAnsi="宋体" w:cs="ATC-5b8b*+times"/>
                <w:b/>
                <w:bCs/>
                <w:color w:val="000000"/>
                <w:kern w:val="0"/>
                <w:sz w:val="20"/>
                <w:szCs w:val="20"/>
                <w:lang w:val="en-US" w:eastAsia="zh-CN"/>
              </w:rPr>
              <w:t>项  目</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jc w:val="center"/>
              <w:textAlignment w:val="center"/>
              <w:rPr>
                <w:rFonts w:hint="eastAsia" w:ascii="宋体" w:hAnsi="宋体" w:cs="ATC-5b8b*+times"/>
                <w:b/>
                <w:bCs/>
                <w:color w:val="000000"/>
                <w:kern w:val="0"/>
                <w:sz w:val="20"/>
                <w:szCs w:val="20"/>
                <w:lang w:val="zh-CN"/>
              </w:rPr>
            </w:pPr>
            <w:r>
              <w:rPr>
                <w:rFonts w:hint="eastAsia" w:ascii="宋体" w:hAnsi="宋体" w:cs="ATC-5b8b*+times"/>
                <w:b/>
                <w:bCs/>
                <w:color w:val="000000"/>
                <w:kern w:val="0"/>
                <w:sz w:val="20"/>
                <w:szCs w:val="20"/>
                <w:lang w:val="zh-CN"/>
              </w:rPr>
              <w:t>单  位</w:t>
            </w:r>
          </w:p>
        </w:tc>
        <w:tc>
          <w:tcPr>
            <w:tcW w:w="3090"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cs="ATC-5b8b*+times"/>
                <w:b/>
                <w:bCs/>
                <w:color w:val="000000"/>
                <w:kern w:val="0"/>
                <w:sz w:val="20"/>
                <w:szCs w:val="20"/>
                <w:lang w:val="zh-CN"/>
              </w:rPr>
            </w:pPr>
            <w:r>
              <w:rPr>
                <w:rFonts w:hint="eastAsia" w:ascii="宋体" w:hAnsi="宋体" w:cs="ATC-5b8b*+times"/>
                <w:b/>
                <w:bCs/>
                <w:color w:val="000000"/>
                <w:kern w:val="0"/>
                <w:sz w:val="20"/>
                <w:szCs w:val="20"/>
                <w:lang w:val="zh-CN"/>
              </w:rPr>
              <w:t>参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外形尺寸（长×宽×高）</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mm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lang w:val="en-US" w:eastAsia="zh-CN"/>
              </w:rPr>
            </w:pPr>
            <w:r>
              <w:rPr>
                <w:rFonts w:hint="eastAsia" w:ascii="宋体" w:hAnsi="宋体" w:cs="ATC-5b8b*+times"/>
                <w:color w:val="000000"/>
                <w:kern w:val="0"/>
                <w:sz w:val="20"/>
                <w:szCs w:val="20"/>
                <w:lang w:val="zh-CN"/>
              </w:rPr>
              <w:t>≤</w:t>
            </w:r>
            <w:r>
              <w:rPr>
                <w:rFonts w:hint="eastAsia" w:ascii="宋体" w:hAnsi="宋体" w:cs="ATC-5b8b*+times"/>
                <w:color w:val="000000"/>
                <w:kern w:val="0"/>
                <w:szCs w:val="21"/>
                <w:lang w:val="zh-CN"/>
              </w:rPr>
              <w:t>81</w:t>
            </w:r>
            <w:r>
              <w:rPr>
                <w:rFonts w:hint="eastAsia" w:ascii="宋体" w:hAnsi="宋体" w:cs="ATC-5b8b*+times"/>
                <w:color w:val="000000"/>
                <w:kern w:val="0"/>
                <w:szCs w:val="21"/>
                <w:lang w:val="en-US" w:eastAsia="zh-CN"/>
              </w:rPr>
              <w:t>20</w:t>
            </w:r>
            <w:r>
              <w:rPr>
                <w:rFonts w:hint="eastAsia" w:ascii="宋体" w:hAnsi="宋体" w:cs="ATC-5b8b*+times"/>
                <w:color w:val="000000"/>
                <w:kern w:val="0"/>
                <w:sz w:val="20"/>
                <w:szCs w:val="20"/>
                <w:lang w:val="en-US" w:eastAsia="zh-CN"/>
              </w:rPr>
              <w:t>×2500×</w:t>
            </w:r>
            <w:r>
              <w:rPr>
                <w:rFonts w:hint="eastAsia" w:ascii="宋体" w:hAnsi="宋体" w:cs="ATC-5b8b*+times"/>
                <w:color w:val="000000"/>
                <w:kern w:val="0"/>
                <w:szCs w:val="21"/>
                <w:lang w:val="zh-CN"/>
              </w:rPr>
              <w:t>31</w:t>
            </w:r>
            <w:r>
              <w:rPr>
                <w:rFonts w:hint="eastAsia" w:ascii="宋体" w:hAnsi="宋体" w:cs="ATC-5b8b*+times"/>
                <w:color w:val="000000"/>
                <w:kern w:val="0"/>
                <w:szCs w:val="21"/>
                <w:lang w:val="en-US" w:eastAsia="zh-CN"/>
              </w:rPr>
              <w:t>5</w:t>
            </w:r>
            <w:r>
              <w:rPr>
                <w:rFonts w:hint="eastAsia" w:ascii="宋体" w:hAnsi="宋体" w:cs="ATC-5b8b*+times"/>
                <w:color w:val="000000"/>
                <w:kern w:val="0"/>
                <w:szCs w:val="21"/>
                <w:lang w:val="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最大总质量</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kg</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highlight w:val="none"/>
                <w:lang w:val="en-US" w:eastAsia="zh-CN"/>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Cs w:val="21"/>
                <w:highlight w:val="none"/>
                <w:lang w:val="zh-CN"/>
              </w:rPr>
              <w:t>12490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额定载质量</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kg</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highlight w:val="none"/>
                <w:lang w:val="en-US" w:eastAsia="zh-CN"/>
              </w:rPr>
            </w:pPr>
            <w:r>
              <w:rPr>
                <w:rFonts w:hint="eastAsia" w:ascii="宋体" w:hAnsi="宋体" w:cs="ATC-5b8b*+times"/>
                <w:color w:val="000000"/>
                <w:kern w:val="0"/>
                <w:sz w:val="20"/>
                <w:szCs w:val="20"/>
                <w:highlight w:val="none"/>
                <w:lang w:val="zh-CN"/>
              </w:rPr>
              <w:t>≥</w:t>
            </w:r>
            <w:r>
              <w:rPr>
                <w:rFonts w:ascii="宋体" w:hAnsi="宋体" w:cs="ATC-5b8b*+times"/>
                <w:color w:val="000000"/>
                <w:kern w:val="0"/>
                <w:szCs w:val="21"/>
                <w:highlight w:val="none"/>
                <w:lang w:val="zh-CN"/>
              </w:rPr>
              <w:t>29</w:t>
            </w:r>
            <w:r>
              <w:rPr>
                <w:rFonts w:hint="eastAsia" w:ascii="宋体" w:hAnsi="宋体" w:cs="ATC-5b8b*+times"/>
                <w:color w:val="000000"/>
                <w:kern w:val="0"/>
                <w:szCs w:val="21"/>
                <w:highlight w:val="none"/>
                <w:lang w:val="en-US" w:eastAsia="zh-CN"/>
              </w:rPr>
              <w:t>5</w:t>
            </w:r>
            <w:r>
              <w:rPr>
                <w:rFonts w:ascii="宋体" w:hAnsi="宋体" w:cs="ATC-5b8b*+times"/>
                <w:color w:val="000000"/>
                <w:kern w:val="0"/>
                <w:szCs w:val="21"/>
                <w:highlight w:val="none"/>
                <w:lang w:val="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整车整备质量</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kg</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highlight w:val="none"/>
                <w:lang w:val="en-US" w:eastAsia="zh-CN"/>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Cs w:val="21"/>
                <w:highlight w:val="none"/>
                <w:lang w:val="zh-CN"/>
              </w:rPr>
              <w:t>93</w:t>
            </w:r>
            <w:r>
              <w:rPr>
                <w:rFonts w:hint="eastAsia" w:ascii="宋体" w:hAnsi="宋体" w:cs="ATC-5b8b*+times"/>
                <w:color w:val="000000"/>
                <w:kern w:val="0"/>
                <w:szCs w:val="21"/>
                <w:highlight w:val="none"/>
                <w:lang w:val="en-US" w:eastAsia="zh-CN"/>
              </w:rPr>
              <w:t>5</w:t>
            </w:r>
            <w:r>
              <w:rPr>
                <w:rFonts w:hint="eastAsia" w:ascii="宋体" w:hAnsi="宋体" w:cs="ATC-5b8b*+times"/>
                <w:color w:val="000000"/>
                <w:kern w:val="0"/>
                <w:szCs w:val="21"/>
                <w:highlight w:val="none"/>
                <w:lang w:val="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发动机额定功率（</w:t>
            </w:r>
            <w:r>
              <w:rPr>
                <w:rFonts w:hint="eastAsia" w:ascii="宋体" w:hAnsi="宋体" w:cs="ATC-5b8b*+times"/>
                <w:color w:val="000000"/>
                <w:kern w:val="0"/>
                <w:sz w:val="20"/>
                <w:szCs w:val="20"/>
                <w:lang w:val="en-US" w:eastAsia="zh-CN"/>
              </w:rPr>
              <w:t>柴油</w:t>
            </w:r>
            <w:r>
              <w:rPr>
                <w:rFonts w:hint="eastAsia" w:ascii="宋体" w:hAnsi="宋体" w:cs="ATC-5b8b*+times"/>
                <w:color w:val="000000"/>
                <w:kern w:val="0"/>
                <w:sz w:val="20"/>
                <w:szCs w:val="20"/>
                <w:lang w:val="zh-CN"/>
              </w:rPr>
              <w:t>）</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kW</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highlight w:val="none"/>
                <w:lang w:val="zh-CN" w:eastAsia="zh-CN"/>
              </w:rPr>
            </w:pPr>
            <w:r>
              <w:rPr>
                <w:rFonts w:hint="eastAsia" w:ascii="宋体" w:hAnsi="宋体" w:cs="ATC-5b8b*+times"/>
                <w:color w:val="000000"/>
                <w:kern w:val="0"/>
                <w:sz w:val="20"/>
                <w:szCs w:val="20"/>
                <w:highlight w:val="none"/>
                <w:lang w:val="zh-CN"/>
              </w:rPr>
              <w:t>≥1</w:t>
            </w:r>
            <w:r>
              <w:rPr>
                <w:rFonts w:hint="eastAsia" w:ascii="宋体" w:hAnsi="宋体" w:cs="ATC-5b8b*+times"/>
                <w:color w:val="000000"/>
                <w:kern w:val="0"/>
                <w:sz w:val="20"/>
                <w:szCs w:val="20"/>
                <w:highlight w:val="none"/>
                <w:lang w:val="en-US" w:eastAsia="zh-CN"/>
              </w:rPr>
              <w:t>36</w:t>
            </w:r>
            <w:r>
              <w:rPr>
                <w:rFonts w:hint="eastAsia" w:ascii="宋体" w:hAnsi="宋体" w:cs="ATC-5b8b*+times"/>
                <w:color w:val="000000"/>
                <w:kern w:val="0"/>
                <w:sz w:val="20"/>
                <w:szCs w:val="20"/>
                <w:highlight w:val="none"/>
                <w:lang w:val="zh-CN"/>
              </w:rPr>
              <w:t>kw/2</w:t>
            </w:r>
            <w:r>
              <w:rPr>
                <w:rFonts w:hint="eastAsia" w:ascii="宋体" w:hAnsi="宋体" w:cs="ATC-5b8b*+times"/>
                <w:color w:val="000000"/>
                <w:kern w:val="0"/>
                <w:sz w:val="20"/>
                <w:szCs w:val="20"/>
                <w:highlight w:val="none"/>
                <w:lang w:val="en-US" w:eastAsia="zh-CN"/>
              </w:rPr>
              <w:t>4</w:t>
            </w:r>
            <w:r>
              <w:rPr>
                <w:rFonts w:hint="eastAsia" w:ascii="宋体" w:hAnsi="宋体" w:cs="ATC-5b8b*+times"/>
                <w:color w:val="000000"/>
                <w:kern w:val="0"/>
                <w:sz w:val="20"/>
                <w:szCs w:val="20"/>
                <w:highlight w:val="none"/>
                <w:lang w:val="zh-CN"/>
              </w:rPr>
              <w:t>00r/min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排放标准</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lang w:val="en-US" w:eastAsia="zh-CN" w:bidi="ar-SA"/>
              </w:rPr>
            </w:pP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highlight w:val="none"/>
                <w:lang w:val="en-US" w:eastAsia="zh-CN" w:bidi="ar-SA"/>
              </w:rPr>
            </w:pPr>
            <w:r>
              <w:rPr>
                <w:rFonts w:hint="eastAsia" w:ascii="宋体" w:hAnsi="宋体" w:cs="ATC-5b8b*+times"/>
                <w:color w:val="000000"/>
                <w:kern w:val="0"/>
                <w:sz w:val="20"/>
                <w:szCs w:val="20"/>
                <w:highlight w:val="none"/>
                <w:lang w:val="en-US" w:eastAsia="zh-CN"/>
              </w:rPr>
              <w:t>国六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highlight w:val="none"/>
                <w:lang w:val="zh-CN" w:eastAsia="zh-CN"/>
              </w:rPr>
            </w:pPr>
            <w:r>
              <w:rPr>
                <w:rFonts w:hint="eastAsia" w:ascii="宋体" w:hAnsi="宋体" w:cs="ATC-5b8b*+times"/>
                <w:color w:val="000000"/>
                <w:kern w:val="0"/>
                <w:sz w:val="20"/>
                <w:szCs w:val="20"/>
                <w:highlight w:val="none"/>
                <w:lang w:val="en-US" w:eastAsia="zh-CN"/>
              </w:rPr>
              <w:t>公告油耗</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highlight w:val="none"/>
                <w:lang w:val="en-US" w:eastAsia="zh-CN"/>
              </w:rPr>
            </w:pPr>
            <w:r>
              <w:rPr>
                <w:rFonts w:hint="eastAsia" w:ascii="宋体" w:hAnsi="宋体" w:cs="ATC-5b8b*+times"/>
                <w:color w:val="000000"/>
                <w:kern w:val="0"/>
                <w:sz w:val="20"/>
                <w:szCs w:val="20"/>
                <w:highlight w:val="none"/>
                <w:lang w:val="en-US" w:eastAsia="zh-CN"/>
              </w:rPr>
              <w:t>L/100</w:t>
            </w:r>
            <w:r>
              <w:rPr>
                <w:rFonts w:hint="eastAsia" w:ascii="宋体" w:hAnsi="宋体" w:cs="ATC-5b8b*+times"/>
                <w:color w:val="000000"/>
                <w:kern w:val="0"/>
                <w:sz w:val="20"/>
                <w:szCs w:val="20"/>
                <w:lang w:val="zh-CN"/>
              </w:rPr>
              <w:t>km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cs="ATC-5b8b*+times"/>
                <w:color w:val="000000"/>
                <w:kern w:val="0"/>
                <w:sz w:val="20"/>
                <w:szCs w:val="20"/>
                <w:highlight w:val="none"/>
                <w:lang w:val="en-US" w:eastAsia="zh-CN"/>
              </w:rPr>
            </w:pPr>
            <w:r>
              <w:rPr>
                <w:rFonts w:hint="eastAsia" w:ascii="宋体" w:hAnsi="宋体" w:cs="ATC-5b8b*+times"/>
                <w:color w:val="000000"/>
                <w:kern w:val="0"/>
                <w:sz w:val="20"/>
                <w:szCs w:val="20"/>
                <w:highlight w:val="none"/>
                <w:lang w:val="zh-CN" w:eastAsia="zh-CN"/>
              </w:rPr>
              <w:t>≤</w:t>
            </w:r>
            <w:r>
              <w:rPr>
                <w:rFonts w:hint="eastAsia" w:ascii="宋体" w:hAnsi="宋体" w:cs="ATC-5b8b*+times"/>
                <w:color w:val="000000"/>
                <w:kern w:val="0"/>
                <w:sz w:val="20"/>
                <w:szCs w:val="20"/>
                <w:highlight w:val="none"/>
                <w:lang w:val="en-US" w:eastAsia="zh-CN"/>
              </w:rP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en-US" w:eastAsia="zh-CN"/>
              </w:rPr>
              <w:t>轴距</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lang w:val="en-US" w:eastAsia="zh-CN" w:bidi="ar-SA"/>
              </w:rPr>
            </w:pPr>
            <w:r>
              <w:rPr>
                <w:rFonts w:hint="eastAsia" w:ascii="宋体" w:hAnsi="宋体" w:cs="ATC-5b8b*+times"/>
                <w:color w:val="000000"/>
                <w:kern w:val="0"/>
                <w:sz w:val="20"/>
                <w:szCs w:val="20"/>
                <w:lang w:val="en-US" w:eastAsia="zh-CN"/>
              </w:rPr>
              <w:t>mm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highlight w:val="none"/>
                <w:lang w:val="en-US" w:eastAsia="zh-CN" w:bidi="ar-SA"/>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Cs w:val="21"/>
                <w:highlight w:val="none"/>
                <w:lang w:val="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接近角/离去角</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ascii="宋体" w:hAnsi="宋体" w:cs="ATC-5b8b*+times"/>
                <w:color w:val="000000"/>
                <w:kern w:val="0"/>
                <w:sz w:val="20"/>
                <w:szCs w:val="20"/>
                <w:lang w:val="zh-CN"/>
              </w:rPr>
              <w:t>( °)</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highlight w:val="none"/>
                <w:lang w:val="zh-CN" w:eastAsia="zh-CN" w:bidi="ar-SA"/>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Cs w:val="21"/>
                <w:highlight w:val="none"/>
                <w:lang w:val="zh-CN"/>
              </w:rPr>
              <w:t>14/17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前悬</w:t>
            </w:r>
            <w:r>
              <w:rPr>
                <w:rFonts w:hint="eastAsia" w:ascii="宋体" w:hAnsi="宋体" w:cs="ATC-5b8b*+times"/>
                <w:color w:val="000000"/>
                <w:kern w:val="0"/>
                <w:sz w:val="20"/>
                <w:szCs w:val="20"/>
                <w:lang w:val="en-US" w:eastAsia="zh-CN"/>
              </w:rPr>
              <w:t>/</w:t>
            </w:r>
            <w:r>
              <w:rPr>
                <w:rFonts w:hint="eastAsia" w:ascii="宋体" w:hAnsi="宋体" w:cs="ATC-5b8b*+times"/>
                <w:color w:val="000000"/>
                <w:kern w:val="0"/>
                <w:sz w:val="20"/>
                <w:szCs w:val="20"/>
                <w:lang w:val="zh-CN"/>
              </w:rPr>
              <w:t>后悬</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mm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highlight w:val="none"/>
                <w:lang w:val="en-US" w:eastAsia="zh-CN" w:bidi="ar-SA"/>
              </w:rPr>
            </w:pPr>
            <w:r>
              <w:rPr>
                <w:rFonts w:hint="eastAsia" w:ascii="宋体" w:hAnsi="宋体" w:cs="ATC-5b8b*+times"/>
                <w:color w:val="000000"/>
                <w:kern w:val="0"/>
                <w:szCs w:val="21"/>
                <w:highlight w:val="none"/>
                <w:lang w:val="zh-CN"/>
              </w:rPr>
              <w:t>≤14</w:t>
            </w:r>
            <w:r>
              <w:rPr>
                <w:rFonts w:hint="eastAsia" w:ascii="宋体" w:hAnsi="宋体" w:cs="ATC-5b8b*+times"/>
                <w:color w:val="000000"/>
                <w:kern w:val="0"/>
                <w:szCs w:val="21"/>
                <w:highlight w:val="none"/>
                <w:lang w:val="en-US" w:eastAsia="zh-CN"/>
              </w:rPr>
              <w:t>5</w:t>
            </w:r>
            <w:r>
              <w:rPr>
                <w:rFonts w:hint="eastAsia" w:ascii="宋体" w:hAnsi="宋体" w:cs="ATC-5b8b*+times"/>
                <w:color w:val="000000"/>
                <w:kern w:val="0"/>
                <w:szCs w:val="21"/>
                <w:highlight w:val="none"/>
                <w:lang w:val="zh-CN"/>
              </w:rPr>
              <w:t>5/250</w:t>
            </w:r>
            <w:r>
              <w:rPr>
                <w:rFonts w:hint="eastAsia" w:ascii="宋体" w:hAnsi="宋体" w:cs="ATC-5b8b*+times"/>
                <w:color w:val="000000"/>
                <w:kern w:val="0"/>
                <w:szCs w:val="21"/>
                <w:highlight w:val="none"/>
                <w:lang w:val="en-US" w:eastAsia="zh-CN"/>
              </w:rPr>
              <w:t>0</w:t>
            </w:r>
            <w:r>
              <w:rPr>
                <w:rFonts w:hint="eastAsia" w:ascii="宋体" w:hAnsi="宋体" w:cs="ATC-5b8b*+times"/>
                <w:color w:val="000000"/>
                <w:kern w:val="0"/>
                <w:szCs w:val="21"/>
                <w:highlight w:val="none"/>
                <w:lang w:val="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最高车速（满载）</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km/h</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highlight w:val="none"/>
                <w:lang w:val="en-US" w:eastAsia="zh-CN" w:bidi="ar-SA"/>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 w:val="20"/>
                <w:szCs w:val="20"/>
                <w:highlight w:val="none"/>
                <w:lang w:val="en-US"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最小转弯直径</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highlight w:val="none"/>
                <w:lang w:val="en-US" w:eastAsia="zh-CN" w:bidi="ar-SA"/>
              </w:rPr>
            </w:pPr>
            <w:r>
              <w:rPr>
                <w:rFonts w:hint="eastAsia" w:ascii="宋体" w:hAnsi="宋体"/>
                <w:highlight w:val="none"/>
              </w:rPr>
              <w:t>≤</w:t>
            </w:r>
            <w:r>
              <w:rPr>
                <w:rFonts w:hint="eastAsia" w:ascii="宋体" w:hAnsi="宋体" w:cs="ATC-5b8b*+times"/>
                <w:color w:val="000000"/>
                <w:kern w:val="0"/>
                <w:szCs w:val="21"/>
                <w:highlight w:val="none"/>
                <w:lang w:val="zh-CN"/>
              </w:rPr>
              <w:t>1</w:t>
            </w:r>
            <w:r>
              <w:rPr>
                <w:rFonts w:hint="eastAsia" w:ascii="宋体" w:hAnsi="宋体" w:cs="ATC-5b8b*+times"/>
                <w:color w:val="000000"/>
                <w:kern w:val="0"/>
                <w:szCs w:val="21"/>
                <w:highlight w:val="none"/>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最小离地间隙</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eastAsia="宋体" w:cs="ATC-5b8b*+times"/>
                <w:color w:val="000000"/>
                <w:kern w:val="0"/>
                <w:sz w:val="20"/>
                <w:szCs w:val="20"/>
                <w:lang w:val="zh-CN" w:eastAsia="zh-CN" w:bidi="ar-SA"/>
              </w:rPr>
            </w:pPr>
            <w:r>
              <w:rPr>
                <w:rFonts w:hint="eastAsia" w:ascii="宋体" w:hAnsi="宋体" w:cs="ATC-5b8b*+times"/>
                <w:color w:val="000000"/>
                <w:kern w:val="0"/>
                <w:sz w:val="20"/>
                <w:szCs w:val="20"/>
                <w:lang w:val="zh-CN"/>
              </w:rPr>
              <w:t>mm</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default" w:ascii="宋体" w:hAnsi="宋体" w:eastAsia="宋体" w:cs="ATC-5b8b*+times"/>
                <w:color w:val="000000"/>
                <w:kern w:val="0"/>
                <w:sz w:val="20"/>
                <w:szCs w:val="20"/>
                <w:highlight w:val="none"/>
                <w:lang w:val="en-US" w:eastAsia="zh-CN" w:bidi="ar-SA"/>
              </w:rPr>
            </w:pPr>
            <w:r>
              <w:rPr>
                <w:rFonts w:hint="eastAsia" w:ascii="宋体" w:hAnsi="宋体" w:cs="ATC-5b8b*+times"/>
                <w:color w:val="000000"/>
                <w:kern w:val="0"/>
                <w:sz w:val="20"/>
                <w:szCs w:val="20"/>
                <w:highlight w:val="none"/>
                <w:lang w:val="zh-CN"/>
              </w:rPr>
              <w:t>≥</w:t>
            </w:r>
            <w:r>
              <w:rPr>
                <w:rFonts w:hint="eastAsia" w:ascii="宋体" w:hAnsi="宋体" w:cs="ATC-5b8b*+times"/>
                <w:color w:val="000000"/>
                <w:kern w:val="0"/>
                <w:sz w:val="20"/>
                <w:szCs w:val="20"/>
                <w:highlight w:val="none"/>
                <w:lang w:val="en-US" w:eastAsia="zh-CN"/>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ascii="宋体" w:hAnsi="宋体" w:cs="ATC-5b8b*+times"/>
                <w:color w:val="000000"/>
                <w:kern w:val="0"/>
                <w:szCs w:val="21"/>
                <w:lang w:val="zh-CN"/>
              </w:rPr>
              <w:t>垃圾箱有效容积</w:t>
            </w:r>
          </w:p>
        </w:tc>
        <w:tc>
          <w:tcPr>
            <w:tcW w:w="1276"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ascii="宋体" w:hAnsi="宋体" w:cs="ATC-5b8b*+times"/>
                <w:color w:val="000000"/>
                <w:kern w:val="0"/>
                <w:szCs w:val="21"/>
                <w:lang w:val="zh-CN"/>
              </w:rPr>
              <w:t>m3</w:t>
            </w:r>
          </w:p>
        </w:tc>
        <w:tc>
          <w:tcPr>
            <w:tcW w:w="3090"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hint="eastAsia" w:ascii="宋体" w:hAnsi="宋体" w:cs="ATC-5b8b*+times"/>
                <w:color w:val="000000"/>
                <w:kern w:val="0"/>
                <w:szCs w:val="21"/>
                <w:lang w:val="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ascii="宋体" w:hAnsi="宋体" w:cs="ATC-5b8b*+times"/>
                <w:color w:val="000000"/>
                <w:kern w:val="0"/>
                <w:szCs w:val="21"/>
                <w:lang w:val="zh-CN"/>
              </w:rPr>
              <w:t>填装斗容积</w:t>
            </w:r>
          </w:p>
        </w:tc>
        <w:tc>
          <w:tcPr>
            <w:tcW w:w="1276"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ascii="宋体" w:hAnsi="宋体" w:cs="ATC-5b8b*+times"/>
                <w:color w:val="000000"/>
                <w:kern w:val="0"/>
                <w:szCs w:val="21"/>
                <w:lang w:val="zh-CN"/>
              </w:rPr>
              <w:t>m3</w:t>
            </w:r>
          </w:p>
        </w:tc>
        <w:tc>
          <w:tcPr>
            <w:tcW w:w="3090" w:type="dxa"/>
            <w:shd w:val="clear" w:color="auto" w:fill="auto"/>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color w:val="000000"/>
                <w:kern w:val="0"/>
                <w:sz w:val="21"/>
                <w:szCs w:val="21"/>
                <w:lang w:val="zh-CN" w:eastAsia="zh-CN" w:bidi="ar-SA"/>
              </w:rPr>
            </w:pPr>
            <w:r>
              <w:rPr>
                <w:rFonts w:hint="eastAsia" w:ascii="宋体" w:hAnsi="宋体" w:cs="ATC-5b8b*+times"/>
                <w:color w:val="000000"/>
                <w:kern w:val="0"/>
                <w:szCs w:val="21"/>
                <w:lang w:val="zh-CN"/>
              </w:rPr>
              <w:t>1.6</w:t>
            </w:r>
            <w:r>
              <w:rPr>
                <w:rFonts w:hint="eastAsia" w:ascii="宋体" w:hAnsi="宋体" w:cs="ATC-5b8b*+times"/>
                <w:color w:val="000000"/>
                <w:kern w:val="0"/>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压填作业一次循环时间</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s</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上料作业一次循环时间</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s</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卸料作业循环时间</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s</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4111"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控制方式</w:t>
            </w:r>
          </w:p>
        </w:tc>
        <w:tc>
          <w:tcPr>
            <w:tcW w:w="1276"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w:t>
            </w:r>
          </w:p>
        </w:tc>
        <w:tc>
          <w:tcPr>
            <w:tcW w:w="3090" w:type="dxa"/>
            <w:shd w:val="clear" w:color="auto" w:fill="auto"/>
            <w:tcMar>
              <w:top w:w="0" w:type="dxa"/>
              <w:left w:w="28" w:type="dxa"/>
              <w:bottom w:w="28" w:type="dxa"/>
              <w:right w:w="28" w:type="dxa"/>
            </w:tcMar>
            <w:vAlign w:val="center"/>
          </w:tcPr>
          <w:p>
            <w:pPr>
              <w:autoSpaceDE w:val="0"/>
              <w:autoSpaceDN w:val="0"/>
              <w:adjustRightInd w:val="0"/>
              <w:ind w:firstLine="340" w:firstLineChars="0"/>
              <w:jc w:val="center"/>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zh-CN"/>
              </w:rPr>
              <w:t>自动、手动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jc w:val="left"/>
              <w:textAlignment w:val="center"/>
              <w:rPr>
                <w:rFonts w:hint="eastAsia" w:ascii="宋体" w:hAnsi="宋体" w:cs="ATC-5b8b*+times"/>
                <w:color w:val="000000"/>
                <w:kern w:val="0"/>
                <w:sz w:val="20"/>
                <w:szCs w:val="20"/>
                <w:lang w:val="zh-CN"/>
              </w:rPr>
            </w:pPr>
            <w:r>
              <w:rPr>
                <w:rFonts w:hint="eastAsia" w:ascii="宋体" w:hAnsi="宋体" w:cs="ATC-5b8b*+times"/>
                <w:b/>
                <w:bCs/>
                <w:color w:val="000000"/>
                <w:kern w:val="0"/>
                <w:sz w:val="20"/>
                <w:szCs w:val="20"/>
                <w:lang w:val="en-US" w:eastAsia="zh-CN"/>
              </w:rPr>
              <w:t>性能要求：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ind w:firstLine="340" w:firstLineChars="0"/>
              <w:jc w:val="left"/>
              <w:textAlignment w:val="center"/>
              <w:rPr>
                <w:rFonts w:hint="eastAsia" w:ascii="宋体" w:hAnsi="宋体" w:cs="ATC-5b8b*+times"/>
                <w:color w:val="000000"/>
                <w:kern w:val="0"/>
                <w:sz w:val="20"/>
                <w:szCs w:val="20"/>
                <w:lang w:val="en-US" w:eastAsia="zh-CN"/>
              </w:rPr>
            </w:pPr>
            <w:r>
              <w:rPr>
                <w:rFonts w:hint="eastAsia" w:ascii="宋体" w:hAnsi="宋体" w:cs="ATC-5b8b*+times"/>
                <w:color w:val="000000"/>
                <w:kern w:val="0"/>
                <w:sz w:val="20"/>
                <w:szCs w:val="20"/>
                <w:lang w:val="en-US" w:eastAsia="zh-CN"/>
              </w:rPr>
              <w:t>1、</w:t>
            </w:r>
            <w:r>
              <w:rPr>
                <w:rFonts w:hint="eastAsia" w:ascii="宋体" w:hAnsi="宋体" w:cs="ATC-5b8b*+times"/>
                <w:color w:val="000000"/>
                <w:kern w:val="0"/>
                <w:sz w:val="20"/>
                <w:szCs w:val="20"/>
                <w:lang w:val="zh-CN"/>
              </w:rPr>
              <w:t>垃圾箱内腔采用高品质耐腐蚀性强的耐候钢；侧板采用整板折弯成型，曲面设计；垃圾箱底部设计有填装器锁紧机构。</w:t>
            </w:r>
            <w:r>
              <w:rPr>
                <w:rFonts w:hint="eastAsia" w:ascii="宋体" w:hAnsi="宋体" w:cs="ATC-5b8b*+times"/>
                <w:color w:val="000000"/>
                <w:kern w:val="0"/>
                <w:sz w:val="20"/>
                <w:szCs w:val="20"/>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477" w:type="dxa"/>
            <w:gridSpan w:val="3"/>
            <w:vAlign w:val="center"/>
          </w:tcPr>
          <w:p>
            <w:pPr>
              <w:autoSpaceDE w:val="0"/>
              <w:autoSpaceDN w:val="0"/>
              <w:adjustRightInd w:val="0"/>
              <w:ind w:firstLine="340" w:firstLineChars="0"/>
              <w:jc w:val="left"/>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en-US" w:eastAsia="zh-CN"/>
              </w:rPr>
              <w:t>2、</w:t>
            </w:r>
            <w:r>
              <w:rPr>
                <w:rFonts w:hint="eastAsia" w:ascii="宋体" w:hAnsi="宋体" w:cs="ATC-5b8b*+times"/>
                <w:color w:val="000000"/>
                <w:kern w:val="0"/>
                <w:sz w:val="20"/>
                <w:szCs w:val="20"/>
                <w:lang w:val="zh-CN"/>
              </w:rPr>
              <w:t>填装器上的压填机构通过滑板滑行运动与刮板转动完成对填装器料斗中的垃圾进行压缩并装填到垃圾箱内。填装器底部设计有污水箱，提高产品污水储存能力；填装器前端面装有双重密封条，并与垃圾箱后端面形成密封结构，有效防止污水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ind w:firstLine="340" w:firstLineChars="0"/>
              <w:jc w:val="left"/>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en-US" w:eastAsia="zh-CN"/>
              </w:rPr>
              <w:t>3、</w:t>
            </w:r>
            <w:r>
              <w:rPr>
                <w:rFonts w:hint="eastAsia" w:ascii="宋体" w:hAnsi="宋体" w:cs="ATC-5b8b*+times"/>
                <w:color w:val="000000"/>
                <w:kern w:val="0"/>
                <w:sz w:val="20"/>
                <w:szCs w:val="20"/>
                <w:lang w:val="zh-CN"/>
              </w:rPr>
              <w:t>车辆采用“运动控制器+CAN总线操作面板”的控制模式。车辆作业由3处操作装置实现，其中一处在驾驶室内操作面板，另外两处在车辆后部右侧、车辆左侧的操作盒；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ind w:firstLine="340" w:firstLineChars="0"/>
              <w:jc w:val="left"/>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en-US" w:eastAsia="zh-CN"/>
              </w:rPr>
              <w:t>4、</w:t>
            </w:r>
            <w:r>
              <w:rPr>
                <w:rFonts w:hint="eastAsia" w:ascii="宋体" w:hAnsi="宋体" w:cs="ATC-5b8b*+times"/>
                <w:color w:val="000000"/>
                <w:kern w:val="0"/>
                <w:sz w:val="20"/>
                <w:szCs w:val="20"/>
                <w:lang w:val="zh-CN"/>
              </w:rPr>
              <w:t>液压系统采用卡套式管路，造型美观，反复拆装性好，与普通焊接管相比能减少杂质对液压系统性能的影响；（</w:t>
            </w:r>
            <w:r>
              <w:rPr>
                <w:rFonts w:hint="eastAsia" w:ascii="宋体" w:hAnsi="宋体" w:cs="ATC-5b8b*+times"/>
                <w:color w:val="000000"/>
                <w:kern w:val="0"/>
                <w:sz w:val="20"/>
                <w:szCs w:val="20"/>
                <w:lang w:val="en-US" w:eastAsia="zh-CN"/>
              </w:rPr>
              <w:t>提供图片说明</w:t>
            </w:r>
            <w:r>
              <w:rPr>
                <w:rFonts w:hint="eastAsia" w:ascii="宋体" w:hAnsi="宋体" w:cs="ATC-5b8b*+times"/>
                <w:color w:val="000000"/>
                <w:kern w:val="0"/>
                <w:sz w:val="20"/>
                <w:szCs w:val="20"/>
                <w:lang w:val="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ind w:firstLine="340" w:firstLineChars="0"/>
              <w:jc w:val="left"/>
              <w:textAlignment w:val="center"/>
              <w:rPr>
                <w:rFonts w:hint="eastAsia" w:ascii="宋体" w:hAnsi="宋体" w:cs="ATC-5b8b*+times"/>
                <w:color w:val="000000"/>
                <w:kern w:val="0"/>
                <w:sz w:val="20"/>
                <w:szCs w:val="20"/>
                <w:lang w:val="zh-CN" w:eastAsia="zh-CN"/>
              </w:rPr>
            </w:pPr>
            <w:r>
              <w:rPr>
                <w:rFonts w:hint="eastAsia" w:ascii="宋体" w:hAnsi="宋体" w:cs="ATC-5b8b*+times"/>
                <w:color w:val="000000"/>
                <w:kern w:val="0"/>
                <w:sz w:val="20"/>
                <w:szCs w:val="20"/>
                <w:lang w:val="en-US" w:eastAsia="zh-CN"/>
              </w:rPr>
              <w:t>5、</w:t>
            </w:r>
            <w:r>
              <w:rPr>
                <w:rFonts w:hint="eastAsia" w:ascii="宋体" w:hAnsi="宋体" w:cs="ATC-5b8b*+times"/>
                <w:color w:val="000000"/>
                <w:kern w:val="0"/>
                <w:sz w:val="20"/>
                <w:szCs w:val="20"/>
                <w:lang w:val="zh-CN"/>
              </w:rPr>
              <w:t>垃圾箱侧面设有防下降开关，防止填装器举升后误操作导致填装器下降威胁到人的安全；产品上装有报警装置，进行涉及到安全的操作时可报警提示操作人员谨慎操作；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8477" w:type="dxa"/>
            <w:gridSpan w:val="3"/>
            <w:vAlign w:val="center"/>
          </w:tcPr>
          <w:p>
            <w:pPr>
              <w:autoSpaceDE w:val="0"/>
              <w:autoSpaceDN w:val="0"/>
              <w:adjustRightInd w:val="0"/>
              <w:jc w:val="left"/>
              <w:textAlignment w:val="center"/>
              <w:rPr>
                <w:rFonts w:hint="default" w:ascii="宋体" w:hAnsi="宋体" w:cs="ATC-5b8b*+times"/>
                <w:color w:val="000000"/>
                <w:kern w:val="0"/>
                <w:sz w:val="20"/>
                <w:szCs w:val="20"/>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TC-5b8b*+times">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4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581</Words>
  <Characters>666</Characters>
  <Paragraphs>96</Paragraphs>
  <TotalTime>6</TotalTime>
  <ScaleCrop>false</ScaleCrop>
  <LinksUpToDate>false</LinksUpToDate>
  <CharactersWithSpaces>674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2020-05-29T07:54:00Z</dcterms:created>
  <dc:creator>dell</dc:creator>
  <cp:lastModifiedBy>白菜好吃</cp:lastModifiedBy>
  <dcterms:modified xsi:type="dcterms:W3CDTF">2021-05-14T15:17:54Z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679CB77897D84A69A7A75EC41CCBB7D1</vt:lpwstr>
  </property>
</Properties>
</file>