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716" w:rsidRDefault="00F36716"/>
    <w:p w:rsidR="00F36716" w:rsidRDefault="00456CD8">
      <w:pPr>
        <w:jc w:val="center"/>
        <w:rPr>
          <w:rFonts w:ascii="宋体" w:eastAsia="宋体" w:hAnsi="宋体"/>
          <w:b/>
          <w:sz w:val="28"/>
        </w:rPr>
      </w:pPr>
      <w:r>
        <w:rPr>
          <w:rFonts w:ascii="宋体" w:eastAsia="宋体" w:hAnsi="宋体" w:hint="eastAsia"/>
          <w:b/>
          <w:sz w:val="28"/>
        </w:rPr>
        <w:t>广西</w:t>
      </w:r>
      <w:r>
        <w:rPr>
          <w:rFonts w:ascii="宋体" w:eastAsia="宋体" w:hAnsi="宋体"/>
          <w:b/>
          <w:sz w:val="28"/>
        </w:rPr>
        <w:t>经贸</w:t>
      </w:r>
      <w:r>
        <w:rPr>
          <w:rFonts w:ascii="宋体" w:eastAsia="宋体" w:hAnsi="宋体" w:hint="eastAsia"/>
          <w:b/>
          <w:sz w:val="28"/>
        </w:rPr>
        <w:t>职业技术学</w:t>
      </w:r>
      <w:r>
        <w:rPr>
          <w:rFonts w:ascii="宋体" w:eastAsia="宋体" w:hAnsi="宋体"/>
          <w:b/>
          <w:sz w:val="28"/>
        </w:rPr>
        <w:t>院</w:t>
      </w:r>
    </w:p>
    <w:p w:rsidR="00F36716" w:rsidRDefault="00456CD8">
      <w:pPr>
        <w:jc w:val="center"/>
        <w:rPr>
          <w:rFonts w:ascii="宋体" w:eastAsia="宋体" w:hAnsi="宋体"/>
          <w:b/>
          <w:sz w:val="28"/>
        </w:rPr>
      </w:pPr>
      <w:r>
        <w:rPr>
          <w:rFonts w:ascii="宋体" w:eastAsia="宋体" w:hAnsi="宋体" w:hint="eastAsia"/>
          <w:b/>
          <w:sz w:val="28"/>
        </w:rPr>
        <w:t>民族</w:t>
      </w:r>
      <w:proofErr w:type="gramStart"/>
      <w:r>
        <w:rPr>
          <w:rFonts w:ascii="宋体" w:eastAsia="宋体" w:hAnsi="宋体" w:hint="eastAsia"/>
          <w:b/>
          <w:sz w:val="28"/>
        </w:rPr>
        <w:t>服饰创客研发</w:t>
      </w:r>
      <w:proofErr w:type="gramEnd"/>
      <w:r>
        <w:rPr>
          <w:rFonts w:ascii="宋体" w:eastAsia="宋体" w:hAnsi="宋体" w:hint="eastAsia"/>
          <w:b/>
          <w:sz w:val="28"/>
        </w:rPr>
        <w:t>中心项目第二期建设方案清单</w:t>
      </w:r>
    </w:p>
    <w:p w:rsidR="00F36716" w:rsidRDefault="00456CD8">
      <w:pPr>
        <w:pStyle w:val="a0"/>
        <w:rPr>
          <w:b/>
          <w:sz w:val="28"/>
        </w:rPr>
      </w:pPr>
      <w:r>
        <w:rPr>
          <w:rFonts w:hint="eastAsia"/>
          <w:b/>
          <w:sz w:val="40"/>
        </w:rPr>
        <w:t>采购方式：政</w:t>
      </w:r>
      <w:proofErr w:type="gramStart"/>
      <w:r>
        <w:rPr>
          <w:rFonts w:hint="eastAsia"/>
          <w:b/>
          <w:sz w:val="40"/>
        </w:rPr>
        <w:t>采云</w:t>
      </w:r>
      <w:proofErr w:type="gramEnd"/>
      <w:r>
        <w:rPr>
          <w:rFonts w:hint="eastAsia"/>
          <w:b/>
          <w:sz w:val="40"/>
        </w:rPr>
        <w:t>-</w:t>
      </w:r>
      <w:r>
        <w:rPr>
          <w:rFonts w:hint="eastAsia"/>
          <w:b/>
          <w:sz w:val="40"/>
        </w:rPr>
        <w:t>反向竞价</w:t>
      </w:r>
    </w:p>
    <w:p w:rsidR="00F36716" w:rsidRDefault="00F36716">
      <w:pPr>
        <w:pStyle w:val="a0"/>
      </w:pPr>
    </w:p>
    <w:tbl>
      <w:tblPr>
        <w:tblStyle w:val="aa"/>
        <w:tblW w:w="13968" w:type="dxa"/>
        <w:tblLayout w:type="fixed"/>
        <w:tblLook w:val="04A0" w:firstRow="1" w:lastRow="0" w:firstColumn="1" w:lastColumn="0" w:noHBand="0" w:noVBand="1"/>
      </w:tblPr>
      <w:tblGrid>
        <w:gridCol w:w="562"/>
        <w:gridCol w:w="709"/>
        <w:gridCol w:w="709"/>
        <w:gridCol w:w="709"/>
        <w:gridCol w:w="8219"/>
        <w:gridCol w:w="720"/>
        <w:gridCol w:w="720"/>
        <w:gridCol w:w="900"/>
        <w:gridCol w:w="720"/>
      </w:tblGrid>
      <w:tr w:rsidR="00F36716">
        <w:trPr>
          <w:trHeight w:val="468"/>
          <w:tblHeader/>
        </w:trPr>
        <w:tc>
          <w:tcPr>
            <w:tcW w:w="562" w:type="dxa"/>
            <w:vAlign w:val="center"/>
          </w:tcPr>
          <w:p w:rsidR="00F36716" w:rsidRDefault="00456CD8">
            <w:pPr>
              <w:spacing w:line="240" w:lineRule="exact"/>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序号</w:t>
            </w:r>
          </w:p>
        </w:tc>
        <w:tc>
          <w:tcPr>
            <w:tcW w:w="709" w:type="dxa"/>
            <w:vAlign w:val="center"/>
          </w:tcPr>
          <w:p w:rsidR="00F36716" w:rsidRDefault="00456CD8">
            <w:pPr>
              <w:spacing w:line="240" w:lineRule="exact"/>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货物名称</w:t>
            </w:r>
          </w:p>
        </w:tc>
        <w:tc>
          <w:tcPr>
            <w:tcW w:w="709" w:type="dxa"/>
            <w:vAlign w:val="center"/>
          </w:tcPr>
          <w:p w:rsidR="00F36716" w:rsidRDefault="00456CD8">
            <w:pPr>
              <w:spacing w:line="240" w:lineRule="exact"/>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品牌</w:t>
            </w:r>
          </w:p>
        </w:tc>
        <w:tc>
          <w:tcPr>
            <w:tcW w:w="709" w:type="dxa"/>
            <w:vAlign w:val="center"/>
          </w:tcPr>
          <w:p w:rsidR="00F36716" w:rsidRDefault="00456CD8">
            <w:pPr>
              <w:spacing w:line="240" w:lineRule="exact"/>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型号</w:t>
            </w:r>
          </w:p>
        </w:tc>
        <w:tc>
          <w:tcPr>
            <w:tcW w:w="8219" w:type="dxa"/>
            <w:vAlign w:val="center"/>
          </w:tcPr>
          <w:p w:rsidR="00F36716" w:rsidRDefault="00456CD8">
            <w:pPr>
              <w:spacing w:line="240" w:lineRule="exact"/>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主要功能（技术）参数</w:t>
            </w:r>
          </w:p>
        </w:tc>
        <w:tc>
          <w:tcPr>
            <w:tcW w:w="720" w:type="dxa"/>
            <w:vAlign w:val="center"/>
          </w:tcPr>
          <w:p w:rsidR="00F36716" w:rsidRDefault="00456CD8">
            <w:pPr>
              <w:spacing w:line="240" w:lineRule="exact"/>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单位</w:t>
            </w:r>
          </w:p>
        </w:tc>
        <w:tc>
          <w:tcPr>
            <w:tcW w:w="720" w:type="dxa"/>
            <w:vAlign w:val="center"/>
          </w:tcPr>
          <w:p w:rsidR="00F36716" w:rsidRDefault="00456CD8">
            <w:pPr>
              <w:spacing w:line="240" w:lineRule="exact"/>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数量</w:t>
            </w:r>
          </w:p>
        </w:tc>
        <w:tc>
          <w:tcPr>
            <w:tcW w:w="900" w:type="dxa"/>
            <w:vAlign w:val="center"/>
          </w:tcPr>
          <w:p w:rsidR="00F36716" w:rsidRDefault="00456CD8">
            <w:pPr>
              <w:spacing w:line="240" w:lineRule="exact"/>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单价(元)</w:t>
            </w:r>
          </w:p>
        </w:tc>
        <w:tc>
          <w:tcPr>
            <w:tcW w:w="720" w:type="dxa"/>
          </w:tcPr>
          <w:p w:rsidR="00F36716" w:rsidRDefault="00456CD8">
            <w:pPr>
              <w:spacing w:line="240" w:lineRule="exact"/>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总价(元)</w:t>
            </w:r>
          </w:p>
        </w:tc>
      </w:tr>
      <w:tr w:rsidR="00F36716">
        <w:trPr>
          <w:trHeight w:val="468"/>
        </w:trPr>
        <w:tc>
          <w:tcPr>
            <w:tcW w:w="562" w:type="dxa"/>
            <w:vAlign w:val="center"/>
          </w:tcPr>
          <w:p w:rsidR="00F36716" w:rsidRDefault="00456CD8">
            <w:pPr>
              <w:spacing w:line="240" w:lineRule="exact"/>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1</w:t>
            </w:r>
          </w:p>
        </w:tc>
        <w:tc>
          <w:tcPr>
            <w:tcW w:w="709" w:type="dxa"/>
            <w:vAlign w:val="center"/>
          </w:tcPr>
          <w:p w:rsidR="00F36716" w:rsidRDefault="00456CD8">
            <w:pPr>
              <w:spacing w:line="240" w:lineRule="exact"/>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《职业生涯规划平台》</w:t>
            </w:r>
          </w:p>
        </w:tc>
        <w:tc>
          <w:tcPr>
            <w:tcW w:w="709" w:type="dxa"/>
            <w:vAlign w:val="center"/>
          </w:tcPr>
          <w:p w:rsidR="00F36716" w:rsidRDefault="00456CD8">
            <w:pPr>
              <w:spacing w:line="240" w:lineRule="exact"/>
              <w:jc w:val="center"/>
              <w:rPr>
                <w:rStyle w:val="a9"/>
                <w:rFonts w:ascii="宋体" w:eastAsia="宋体" w:hAnsi="宋体" w:cs="宋体"/>
              </w:rPr>
            </w:pPr>
            <w:r>
              <w:rPr>
                <w:rFonts w:ascii="宋体" w:eastAsia="宋体" w:hAnsi="宋体" w:cs="宋体" w:hint="eastAsia"/>
                <w:bCs/>
                <w:color w:val="000000" w:themeColor="text1"/>
                <w:szCs w:val="21"/>
              </w:rPr>
              <w:t>智慧云帆</w:t>
            </w:r>
          </w:p>
        </w:tc>
        <w:tc>
          <w:tcPr>
            <w:tcW w:w="709" w:type="dxa"/>
            <w:vAlign w:val="center"/>
          </w:tcPr>
          <w:p w:rsidR="00F36716" w:rsidRDefault="00456CD8">
            <w:pPr>
              <w:spacing w:line="240" w:lineRule="exact"/>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V1.0</w:t>
            </w:r>
          </w:p>
        </w:tc>
        <w:tc>
          <w:tcPr>
            <w:tcW w:w="8219" w:type="dxa"/>
          </w:tcPr>
          <w:p w:rsidR="00F36716" w:rsidRDefault="00456CD8">
            <w:pPr>
              <w:pStyle w:val="a0"/>
              <w:rPr>
                <w:rFonts w:ascii="宋体" w:eastAsia="宋体" w:hAnsi="宋体"/>
                <w:sz w:val="21"/>
              </w:rPr>
            </w:pPr>
            <w:r>
              <w:rPr>
                <w:rFonts w:ascii="宋体" w:eastAsia="宋体" w:hAnsi="宋体" w:hint="eastAsia"/>
                <w:sz w:val="21"/>
              </w:rPr>
              <w:t>1.平台分为生涯驿站（学习主线）、生涯规划（任务主线）、生涯决策（理论主线）三个核心模块，学习主线激活任务主线，任务主线呈现学习主线成果，理论主线引领学习主线与任务主线，实现了三条主线的融会贯通。辅助于成就、社交、生涯推荐模块，帮助学生快速度过生涯迷茫期，正确认识自身与外部工作世界，为生涯设定目标并科学进行生涯规划。</w:t>
            </w:r>
          </w:p>
          <w:p w:rsidR="00F36716" w:rsidRDefault="00456CD8">
            <w:pPr>
              <w:pStyle w:val="a0"/>
              <w:rPr>
                <w:rFonts w:ascii="宋体" w:eastAsia="宋体" w:hAnsi="宋体"/>
                <w:sz w:val="21"/>
              </w:rPr>
            </w:pPr>
            <w:r>
              <w:rPr>
                <w:rFonts w:ascii="宋体" w:eastAsia="宋体" w:hAnsi="宋体" w:hint="eastAsia"/>
                <w:sz w:val="21"/>
              </w:rPr>
              <w:t>2.平台的立体化的职业生涯训练体系，与院校使用的《职业生涯规划》教材可匹配。</w:t>
            </w:r>
          </w:p>
          <w:p w:rsidR="00F36716" w:rsidRDefault="00456CD8">
            <w:pPr>
              <w:pStyle w:val="a0"/>
              <w:rPr>
                <w:rFonts w:ascii="宋体" w:eastAsia="宋体" w:hAnsi="宋体"/>
                <w:sz w:val="21"/>
              </w:rPr>
            </w:pPr>
            <w:r>
              <w:rPr>
                <w:rFonts w:ascii="宋体" w:eastAsia="宋体" w:hAnsi="宋体" w:hint="eastAsia"/>
                <w:sz w:val="21"/>
              </w:rPr>
              <w:t>3.平台采用全屏模式，屏蔽学习以外的提示信息，避免学生在学习过程中受到不必要信息的干扰。</w:t>
            </w:r>
          </w:p>
          <w:p w:rsidR="00F36716" w:rsidRDefault="00456CD8">
            <w:pPr>
              <w:pStyle w:val="a0"/>
              <w:rPr>
                <w:rFonts w:ascii="宋体" w:eastAsia="宋体" w:hAnsi="宋体"/>
                <w:sz w:val="21"/>
              </w:rPr>
            </w:pPr>
            <w:r>
              <w:rPr>
                <w:rFonts w:ascii="宋体" w:eastAsia="宋体" w:hAnsi="宋体" w:hint="eastAsia"/>
                <w:sz w:val="21"/>
              </w:rPr>
              <w:t>4.平台以轻游戏模式开启生涯知识学习与生涯规划任务，通过闯关模式提示学生学习进度，辅助</w:t>
            </w:r>
            <w:proofErr w:type="gramStart"/>
            <w:r>
              <w:rPr>
                <w:rFonts w:ascii="宋体" w:eastAsia="宋体" w:hAnsi="宋体" w:hint="eastAsia"/>
                <w:sz w:val="21"/>
              </w:rPr>
              <w:t>于成就</w:t>
            </w:r>
            <w:proofErr w:type="gramEnd"/>
            <w:r>
              <w:rPr>
                <w:rFonts w:ascii="宋体" w:eastAsia="宋体" w:hAnsi="宋体" w:hint="eastAsia"/>
                <w:sz w:val="21"/>
              </w:rPr>
              <w:t>系统，将学生学习行为的结果进行及时反馈。</w:t>
            </w:r>
          </w:p>
          <w:p w:rsidR="00F36716" w:rsidRDefault="00456CD8">
            <w:pPr>
              <w:pStyle w:val="a0"/>
              <w:rPr>
                <w:rFonts w:ascii="宋体" w:eastAsia="宋体" w:hAnsi="宋体"/>
                <w:sz w:val="21"/>
              </w:rPr>
            </w:pPr>
            <w:r>
              <w:rPr>
                <w:rFonts w:ascii="宋体" w:eastAsia="宋体" w:hAnsi="宋体" w:hint="eastAsia"/>
                <w:sz w:val="21"/>
              </w:rPr>
              <w:t>5.平台开放数据接口，在院校信息化系统支持的情况下，将学生完成的职业生涯规划通过信息化系统呈现，教师、学生可在三年（或四年甚至更长时间内）进行持续化跟进完成情况。</w:t>
            </w:r>
          </w:p>
          <w:p w:rsidR="00F36716" w:rsidRDefault="00456CD8">
            <w:pPr>
              <w:pStyle w:val="a0"/>
              <w:rPr>
                <w:rFonts w:ascii="宋体" w:eastAsia="宋体" w:hAnsi="宋体"/>
                <w:sz w:val="21"/>
              </w:rPr>
            </w:pPr>
            <w:r>
              <w:rPr>
                <w:rFonts w:ascii="宋体" w:eastAsia="宋体" w:hAnsi="宋体" w:hint="eastAsia"/>
                <w:sz w:val="21"/>
              </w:rPr>
              <w:t>6.内容体系：系统涵盖了学生进行职业生涯规划所需要的各种知识，并通过情景案例、实战任务，使学生获得的技能有效地应用到实践中。</w:t>
            </w:r>
          </w:p>
          <w:p w:rsidR="00F36716" w:rsidRDefault="00456CD8">
            <w:pPr>
              <w:pStyle w:val="a0"/>
              <w:rPr>
                <w:rFonts w:ascii="宋体" w:eastAsia="宋体" w:hAnsi="宋体"/>
                <w:sz w:val="21"/>
              </w:rPr>
            </w:pPr>
            <w:r>
              <w:rPr>
                <w:rFonts w:ascii="宋体" w:eastAsia="宋体" w:hAnsi="宋体" w:hint="eastAsia"/>
                <w:sz w:val="21"/>
              </w:rPr>
              <w:t>6.1生涯驿站：职业生涯、自我认知、个性探索、职业能力、工作世界、生涯规划。</w:t>
            </w:r>
          </w:p>
          <w:p w:rsidR="00F36716" w:rsidRDefault="00456CD8">
            <w:pPr>
              <w:pStyle w:val="a0"/>
              <w:rPr>
                <w:rFonts w:ascii="宋体" w:eastAsia="宋体" w:hAnsi="宋体"/>
                <w:sz w:val="21"/>
              </w:rPr>
            </w:pPr>
            <w:r>
              <w:rPr>
                <w:rFonts w:ascii="宋体" w:eastAsia="宋体" w:hAnsi="宋体" w:hint="eastAsia"/>
                <w:sz w:val="21"/>
              </w:rPr>
              <w:t>6.2生涯规划：个人优缺点、个人价值观、兴趣与爱好、技能、预期职业库、职业分析、职业方向、职业目标与行动计划、反馈评估及修正。</w:t>
            </w:r>
          </w:p>
          <w:p w:rsidR="00F36716" w:rsidRDefault="00456CD8">
            <w:pPr>
              <w:pStyle w:val="a0"/>
              <w:rPr>
                <w:rFonts w:ascii="宋体" w:eastAsia="宋体" w:hAnsi="宋体"/>
                <w:sz w:val="21"/>
              </w:rPr>
            </w:pPr>
            <w:r>
              <w:rPr>
                <w:rFonts w:ascii="宋体" w:eastAsia="宋体" w:hAnsi="宋体" w:hint="eastAsia"/>
                <w:sz w:val="21"/>
              </w:rPr>
              <w:t>6.3生涯决策：知识领域（自我知识、职业知识）、决策制定领域（沟通、分析、综合、评估、执行）、执行加工领域（元认知）。</w:t>
            </w:r>
          </w:p>
          <w:p w:rsidR="00F36716" w:rsidRDefault="00456CD8">
            <w:pPr>
              <w:pStyle w:val="a0"/>
              <w:rPr>
                <w:rFonts w:ascii="宋体" w:eastAsia="宋体" w:hAnsi="宋体"/>
                <w:sz w:val="21"/>
              </w:rPr>
            </w:pPr>
            <w:r>
              <w:rPr>
                <w:rFonts w:ascii="宋体" w:eastAsia="宋体" w:hAnsi="宋体" w:hint="eastAsia"/>
                <w:sz w:val="21"/>
              </w:rPr>
              <w:t>7.</w:t>
            </w:r>
            <w:proofErr w:type="gramStart"/>
            <w:r>
              <w:rPr>
                <w:rFonts w:ascii="宋体" w:eastAsia="宋体" w:hAnsi="宋体" w:hint="eastAsia"/>
                <w:sz w:val="21"/>
              </w:rPr>
              <w:t>通过职场情景</w:t>
            </w:r>
            <w:proofErr w:type="gramEnd"/>
            <w:r>
              <w:rPr>
                <w:rFonts w:ascii="宋体" w:eastAsia="宋体" w:hAnsi="宋体" w:hint="eastAsia"/>
                <w:sz w:val="21"/>
              </w:rPr>
              <w:t>吸引学生注意力，且将现实应用场景与学生原有认知场景相链接，为知识的有效建构奠定基础。</w:t>
            </w:r>
          </w:p>
          <w:p w:rsidR="00F36716" w:rsidRDefault="00456CD8">
            <w:pPr>
              <w:pStyle w:val="a0"/>
              <w:rPr>
                <w:rFonts w:ascii="宋体" w:eastAsia="宋体" w:hAnsi="宋体"/>
                <w:sz w:val="21"/>
              </w:rPr>
            </w:pPr>
            <w:r>
              <w:rPr>
                <w:rFonts w:ascii="宋体" w:eastAsia="宋体" w:hAnsi="宋体" w:hint="eastAsia"/>
                <w:sz w:val="21"/>
              </w:rPr>
              <w:t>8.通过科学的测评体系,使学生加强对自己的认知了解,更加客观的看待自己,认识自己的优势与不足。</w:t>
            </w:r>
          </w:p>
          <w:p w:rsidR="00F36716" w:rsidRDefault="00456CD8">
            <w:pPr>
              <w:pStyle w:val="a0"/>
              <w:rPr>
                <w:rFonts w:ascii="宋体" w:eastAsia="宋体" w:hAnsi="宋体"/>
                <w:sz w:val="21"/>
              </w:rPr>
            </w:pPr>
            <w:r>
              <w:rPr>
                <w:rFonts w:ascii="宋体" w:eastAsia="宋体" w:hAnsi="宋体" w:hint="eastAsia"/>
                <w:sz w:val="21"/>
              </w:rPr>
              <w:t>9.通过企业情景案例以及学生身边的案例，使学生的学习情景与现实使用场景一致，从而形成正确、有效的新认知，并可顺利迁移</w:t>
            </w:r>
            <w:proofErr w:type="gramStart"/>
            <w:r>
              <w:rPr>
                <w:rFonts w:ascii="宋体" w:eastAsia="宋体" w:hAnsi="宋体" w:hint="eastAsia"/>
                <w:sz w:val="21"/>
              </w:rPr>
              <w:t>到职场</w:t>
            </w:r>
            <w:proofErr w:type="gramEnd"/>
            <w:r>
              <w:rPr>
                <w:rFonts w:ascii="宋体" w:eastAsia="宋体" w:hAnsi="宋体" w:hint="eastAsia"/>
                <w:sz w:val="21"/>
              </w:rPr>
              <w:t>情景进行实际应用。</w:t>
            </w:r>
          </w:p>
          <w:p w:rsidR="00F36716" w:rsidRDefault="00456CD8">
            <w:pPr>
              <w:pStyle w:val="a0"/>
              <w:rPr>
                <w:rFonts w:ascii="宋体" w:eastAsia="宋体" w:hAnsi="宋体"/>
                <w:sz w:val="21"/>
              </w:rPr>
            </w:pPr>
            <w:r>
              <w:rPr>
                <w:rFonts w:ascii="宋体" w:eastAsia="宋体" w:hAnsi="宋体" w:hint="eastAsia"/>
                <w:sz w:val="21"/>
              </w:rPr>
              <w:lastRenderedPageBreak/>
              <w:t>10.通过引导动画、图片、语音等方式呈现教学内容，适合在学生长时记忆中存储，并激发学生学习兴趣。</w:t>
            </w:r>
          </w:p>
          <w:p w:rsidR="00F36716" w:rsidRDefault="00456CD8">
            <w:pPr>
              <w:pStyle w:val="a0"/>
              <w:rPr>
                <w:rFonts w:ascii="宋体" w:eastAsia="宋体" w:hAnsi="宋体"/>
                <w:sz w:val="21"/>
              </w:rPr>
            </w:pPr>
            <w:r>
              <w:rPr>
                <w:rFonts w:ascii="宋体" w:eastAsia="宋体" w:hAnsi="宋体" w:hint="eastAsia"/>
                <w:sz w:val="21"/>
              </w:rPr>
              <w:t>11.通过打造“互动中心”与“交流中心”，构建学习共同体，增强学生、师生间的互动交流，使学生思维方式与知识外显化、精细化，促进学生认知整合与思想改进。</w:t>
            </w:r>
          </w:p>
          <w:p w:rsidR="00F36716" w:rsidRDefault="00456CD8">
            <w:pPr>
              <w:pStyle w:val="a0"/>
              <w:rPr>
                <w:rFonts w:ascii="宋体" w:eastAsia="宋体" w:hAnsi="宋体"/>
                <w:sz w:val="21"/>
              </w:rPr>
            </w:pPr>
            <w:r>
              <w:rPr>
                <w:rFonts w:ascii="宋体" w:eastAsia="宋体" w:hAnsi="宋体" w:hint="eastAsia"/>
                <w:sz w:val="21"/>
              </w:rPr>
              <w:t>12.通过详尽的生涯规划步骤指导与精品样例，将任务难度提升到学生的最近发展区，引导学生轻松完成一份可执行高的职业生涯规划，取得实质性、有意义的学习成果。</w:t>
            </w:r>
          </w:p>
          <w:p w:rsidR="00F36716" w:rsidRDefault="00456CD8">
            <w:pPr>
              <w:pStyle w:val="a0"/>
              <w:rPr>
                <w:rFonts w:ascii="宋体" w:eastAsia="宋体" w:hAnsi="宋体"/>
                <w:sz w:val="21"/>
              </w:rPr>
            </w:pPr>
            <w:r>
              <w:rPr>
                <w:rFonts w:ascii="宋体" w:eastAsia="宋体" w:hAnsi="宋体" w:hint="eastAsia"/>
                <w:sz w:val="21"/>
              </w:rPr>
              <w:t>13.通过贴近学生职业生涯情景的疑惑辨析，与学生熟悉的情景融合在一起，并进行全方位的剖析，从而让学生形成有意义的学习，解决职业生涯中遇到的实际问题。</w:t>
            </w:r>
          </w:p>
          <w:p w:rsidR="00F36716" w:rsidRDefault="00456CD8">
            <w:pPr>
              <w:pStyle w:val="a0"/>
              <w:rPr>
                <w:rFonts w:ascii="宋体" w:eastAsia="宋体" w:hAnsi="宋体"/>
                <w:sz w:val="21"/>
              </w:rPr>
            </w:pPr>
            <w:r>
              <w:rPr>
                <w:rFonts w:ascii="宋体" w:eastAsia="宋体" w:hAnsi="宋体" w:hint="eastAsia"/>
                <w:sz w:val="21"/>
              </w:rPr>
              <w:t>14.职业生涯规划展示与成就模块，系统展现学生学习行为成果，且大部分测试与任务可多次重复完成，系统记录学生最好成绩。</w:t>
            </w:r>
          </w:p>
          <w:p w:rsidR="00F36716" w:rsidRDefault="00456CD8">
            <w:pPr>
              <w:pStyle w:val="a0"/>
              <w:rPr>
                <w:rFonts w:ascii="宋体" w:eastAsia="宋体" w:hAnsi="宋体"/>
                <w:sz w:val="21"/>
              </w:rPr>
            </w:pPr>
            <w:r>
              <w:rPr>
                <w:rFonts w:ascii="宋体" w:eastAsia="宋体" w:hAnsi="宋体" w:hint="eastAsia"/>
                <w:sz w:val="21"/>
              </w:rPr>
              <w:t>15.学生可以将知识学习中的重点内容或学习心得体会添加</w:t>
            </w:r>
            <w:proofErr w:type="gramStart"/>
            <w:r>
              <w:rPr>
                <w:rFonts w:ascii="宋体" w:eastAsia="宋体" w:hAnsi="宋体" w:hint="eastAsia"/>
                <w:sz w:val="21"/>
              </w:rPr>
              <w:t>至学习</w:t>
            </w:r>
            <w:proofErr w:type="gramEnd"/>
            <w:r>
              <w:rPr>
                <w:rFonts w:ascii="宋体" w:eastAsia="宋体" w:hAnsi="宋体" w:hint="eastAsia"/>
                <w:sz w:val="21"/>
              </w:rPr>
              <w:t>笔记，并可下载以供以后温习与提升。</w:t>
            </w:r>
          </w:p>
          <w:p w:rsidR="00F36716" w:rsidRDefault="00456CD8">
            <w:pPr>
              <w:pStyle w:val="a0"/>
              <w:rPr>
                <w:rFonts w:ascii="宋体" w:eastAsia="宋体" w:hAnsi="宋体"/>
                <w:sz w:val="21"/>
              </w:rPr>
            </w:pPr>
            <w:r>
              <w:rPr>
                <w:rFonts w:ascii="宋体" w:eastAsia="宋体" w:hAnsi="宋体" w:hint="eastAsia"/>
                <w:sz w:val="21"/>
              </w:rPr>
              <w:t>16.管理员</w:t>
            </w:r>
            <w:proofErr w:type="gramStart"/>
            <w:r>
              <w:rPr>
                <w:rFonts w:ascii="宋体" w:eastAsia="宋体" w:hAnsi="宋体" w:hint="eastAsia"/>
                <w:sz w:val="21"/>
              </w:rPr>
              <w:t>端主要</w:t>
            </w:r>
            <w:proofErr w:type="gramEnd"/>
            <w:r>
              <w:rPr>
                <w:rFonts w:ascii="宋体" w:eastAsia="宋体" w:hAnsi="宋体" w:hint="eastAsia"/>
                <w:sz w:val="21"/>
              </w:rPr>
              <w:t>功能包括院校信息、教师管理、班级管理、账号管理模块。</w:t>
            </w:r>
          </w:p>
          <w:p w:rsidR="00F36716" w:rsidRDefault="00456CD8">
            <w:pPr>
              <w:pStyle w:val="a0"/>
              <w:rPr>
                <w:rFonts w:ascii="宋体" w:eastAsia="宋体" w:hAnsi="宋体"/>
                <w:sz w:val="21"/>
              </w:rPr>
            </w:pPr>
            <w:r>
              <w:rPr>
                <w:rFonts w:ascii="宋体" w:eastAsia="宋体" w:hAnsi="宋体" w:hint="eastAsia"/>
                <w:sz w:val="21"/>
              </w:rPr>
              <w:t>17.教师</w:t>
            </w:r>
            <w:proofErr w:type="gramStart"/>
            <w:r>
              <w:rPr>
                <w:rFonts w:ascii="宋体" w:eastAsia="宋体" w:hAnsi="宋体" w:hint="eastAsia"/>
                <w:sz w:val="21"/>
              </w:rPr>
              <w:t>端主要</w:t>
            </w:r>
            <w:proofErr w:type="gramEnd"/>
            <w:r>
              <w:rPr>
                <w:rFonts w:ascii="宋体" w:eastAsia="宋体" w:hAnsi="宋体" w:hint="eastAsia"/>
                <w:sz w:val="21"/>
              </w:rPr>
              <w:t>功能包括账号管理、班级管理、学生管理（批量生成账号、批量修改密码等功能）、课程管理（可定制个性化课程体系）、成绩管理等模块。</w:t>
            </w:r>
          </w:p>
          <w:p w:rsidR="00F36716" w:rsidRDefault="00456CD8">
            <w:pPr>
              <w:pStyle w:val="a0"/>
              <w:rPr>
                <w:rFonts w:ascii="宋体" w:eastAsia="宋体" w:hAnsi="宋体"/>
                <w:sz w:val="21"/>
              </w:rPr>
            </w:pPr>
            <w:r>
              <w:rPr>
                <w:rFonts w:ascii="宋体" w:eastAsia="宋体" w:hAnsi="宋体" w:hint="eastAsia"/>
                <w:sz w:val="21"/>
              </w:rPr>
              <w:t>18.系统包括院校信息、教师管理、班级管理、学生管理、课程管理、成绩管理、个人中心、站内消息、生涯驿站、生涯规划、生涯决策、生涯推荐、成就荣耀等模块。</w:t>
            </w:r>
          </w:p>
        </w:tc>
        <w:tc>
          <w:tcPr>
            <w:tcW w:w="720" w:type="dxa"/>
            <w:vAlign w:val="center"/>
          </w:tcPr>
          <w:p w:rsidR="00F36716" w:rsidRDefault="00456CD8">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套</w:t>
            </w:r>
          </w:p>
        </w:tc>
        <w:tc>
          <w:tcPr>
            <w:tcW w:w="720" w:type="dxa"/>
            <w:vAlign w:val="center"/>
          </w:tcPr>
          <w:p w:rsidR="00F36716" w:rsidRDefault="00456CD8">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p>
        </w:tc>
        <w:tc>
          <w:tcPr>
            <w:tcW w:w="900" w:type="dxa"/>
            <w:vAlign w:val="center"/>
          </w:tcPr>
          <w:p w:rsidR="00F36716" w:rsidRDefault="00456CD8">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18.8万</w:t>
            </w:r>
          </w:p>
        </w:tc>
        <w:tc>
          <w:tcPr>
            <w:tcW w:w="720" w:type="dxa"/>
            <w:vAlign w:val="center"/>
          </w:tcPr>
          <w:p w:rsidR="00F36716" w:rsidRDefault="00456CD8">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18.8万</w:t>
            </w:r>
          </w:p>
        </w:tc>
      </w:tr>
      <w:tr w:rsidR="00F36716">
        <w:trPr>
          <w:trHeight w:val="498"/>
        </w:trPr>
        <w:tc>
          <w:tcPr>
            <w:tcW w:w="13968" w:type="dxa"/>
            <w:gridSpan w:val="9"/>
          </w:tcPr>
          <w:p w:rsidR="00F36716" w:rsidRDefault="00456C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合计大写：拾捌万捌仟元整（</w:t>
            </w:r>
            <w:r>
              <w:rPr>
                <w:rFonts w:ascii="宋体" w:eastAsia="宋体" w:hAnsi="宋体" w:cs="宋体" w:hint="eastAsia"/>
                <w:szCs w:val="21"/>
              </w:rPr>
              <w:t>¥188000.00</w:t>
            </w:r>
            <w:r>
              <w:rPr>
                <w:rFonts w:ascii="宋体" w:eastAsia="宋体" w:hAnsi="宋体" w:cs="宋体" w:hint="eastAsia"/>
                <w:color w:val="000000" w:themeColor="text1"/>
                <w:szCs w:val="21"/>
              </w:rPr>
              <w:t>）</w:t>
            </w:r>
          </w:p>
        </w:tc>
      </w:tr>
    </w:tbl>
    <w:p w:rsidR="00F36716" w:rsidRDefault="00F36716">
      <w:pPr>
        <w:widowControl/>
        <w:jc w:val="left"/>
        <w:rPr>
          <w:rFonts w:asciiTheme="minorEastAsia" w:hAnsiTheme="minorEastAsia"/>
          <w:sz w:val="18"/>
          <w:szCs w:val="18"/>
        </w:rPr>
      </w:pPr>
    </w:p>
    <w:tbl>
      <w:tblPr>
        <w:tblStyle w:val="aa"/>
        <w:tblW w:w="0" w:type="auto"/>
        <w:tblLook w:val="04A0" w:firstRow="1" w:lastRow="0" w:firstColumn="1" w:lastColumn="0" w:noHBand="0" w:noVBand="1"/>
      </w:tblPr>
      <w:tblGrid>
        <w:gridCol w:w="13968"/>
      </w:tblGrid>
      <w:tr w:rsidR="00F36716">
        <w:trPr>
          <w:trHeight w:val="1905"/>
        </w:trPr>
        <w:tc>
          <w:tcPr>
            <w:tcW w:w="13968" w:type="dxa"/>
          </w:tcPr>
          <w:p w:rsidR="00F36716" w:rsidRDefault="00456CD8">
            <w:pPr>
              <w:pStyle w:val="a0"/>
              <w:rPr>
                <w:sz w:val="21"/>
                <w:szCs w:val="21"/>
              </w:rPr>
            </w:pPr>
            <w:r>
              <w:rPr>
                <w:rFonts w:hint="eastAsia"/>
                <w:sz w:val="21"/>
                <w:szCs w:val="21"/>
              </w:rPr>
              <w:t>商务要求：</w:t>
            </w:r>
          </w:p>
          <w:p w:rsidR="00F36716" w:rsidRDefault="00456CD8">
            <w:pPr>
              <w:pStyle w:val="a0"/>
              <w:rPr>
                <w:sz w:val="21"/>
                <w:szCs w:val="21"/>
              </w:rPr>
            </w:pPr>
            <w:r>
              <w:rPr>
                <w:rFonts w:hint="eastAsia"/>
                <w:sz w:val="21"/>
                <w:szCs w:val="21"/>
              </w:rPr>
              <w:t>1</w:t>
            </w:r>
            <w:r>
              <w:rPr>
                <w:sz w:val="21"/>
                <w:szCs w:val="21"/>
              </w:rPr>
              <w:t>.</w:t>
            </w:r>
            <w:r>
              <w:rPr>
                <w:rFonts w:hint="eastAsia"/>
                <w:sz w:val="21"/>
                <w:szCs w:val="21"/>
              </w:rPr>
              <w:t>签订合同之日起</w:t>
            </w:r>
            <w:r>
              <w:rPr>
                <w:rFonts w:hint="eastAsia"/>
                <w:sz w:val="21"/>
                <w:szCs w:val="21"/>
              </w:rPr>
              <w:t>7</w:t>
            </w:r>
            <w:r>
              <w:rPr>
                <w:rFonts w:hint="eastAsia"/>
                <w:sz w:val="21"/>
                <w:szCs w:val="21"/>
              </w:rPr>
              <w:t>个工作日内供货、安装完毕。</w:t>
            </w:r>
          </w:p>
          <w:p w:rsidR="00F36716" w:rsidRDefault="00456CD8">
            <w:pPr>
              <w:pStyle w:val="a0"/>
              <w:rPr>
                <w:sz w:val="21"/>
                <w:szCs w:val="21"/>
              </w:rPr>
            </w:pPr>
            <w:r>
              <w:rPr>
                <w:rFonts w:hint="eastAsia"/>
                <w:sz w:val="21"/>
                <w:szCs w:val="21"/>
              </w:rPr>
              <w:t>2</w:t>
            </w:r>
            <w:r>
              <w:rPr>
                <w:sz w:val="21"/>
                <w:szCs w:val="21"/>
              </w:rPr>
              <w:t>.</w:t>
            </w:r>
            <w:r>
              <w:rPr>
                <w:rFonts w:hint="eastAsia"/>
                <w:sz w:val="21"/>
                <w:szCs w:val="21"/>
              </w:rPr>
              <w:t>为保障投标软件质量，成交供应商供货时必须提供软件著作权证书复印件（加盖厂家公章）、生产厂家针对此项目的售后服务承诺书原件、供货证明原件。</w:t>
            </w:r>
          </w:p>
          <w:p w:rsidR="00F36716" w:rsidRDefault="00456CD8">
            <w:pPr>
              <w:pStyle w:val="a0"/>
              <w:rPr>
                <w:sz w:val="21"/>
                <w:szCs w:val="21"/>
              </w:rPr>
            </w:pPr>
            <w:r>
              <w:rPr>
                <w:rFonts w:hint="eastAsia"/>
                <w:sz w:val="21"/>
                <w:szCs w:val="21"/>
              </w:rPr>
              <w:t>3</w:t>
            </w:r>
            <w:r>
              <w:rPr>
                <w:sz w:val="21"/>
                <w:szCs w:val="21"/>
              </w:rPr>
              <w:t>.</w:t>
            </w:r>
            <w:r>
              <w:rPr>
                <w:rFonts w:hint="eastAsia"/>
                <w:sz w:val="21"/>
                <w:szCs w:val="21"/>
              </w:rPr>
              <w:t>为避免虚假应标及区分虚假应标的过错方，成交供应商需在中标后</w:t>
            </w:r>
            <w:r>
              <w:rPr>
                <w:rFonts w:hint="eastAsia"/>
                <w:sz w:val="21"/>
                <w:szCs w:val="21"/>
              </w:rPr>
              <w:t>3</w:t>
            </w:r>
            <w:r>
              <w:rPr>
                <w:rFonts w:hint="eastAsia"/>
                <w:sz w:val="21"/>
                <w:szCs w:val="21"/>
              </w:rPr>
              <w:t>个工作日内，必须提供制造商的技术参数确认表与功能截</w:t>
            </w:r>
            <w:proofErr w:type="gramStart"/>
            <w:r>
              <w:rPr>
                <w:rFonts w:hint="eastAsia"/>
                <w:sz w:val="21"/>
                <w:szCs w:val="21"/>
              </w:rPr>
              <w:t>图证明</w:t>
            </w:r>
            <w:proofErr w:type="gramEnd"/>
            <w:r>
              <w:rPr>
                <w:rFonts w:hint="eastAsia"/>
                <w:sz w:val="21"/>
                <w:szCs w:val="21"/>
              </w:rPr>
              <w:t>并加盖制造商公章，如未能提供技术参数确认表与功能截</w:t>
            </w:r>
            <w:proofErr w:type="gramStart"/>
            <w:r>
              <w:rPr>
                <w:rFonts w:hint="eastAsia"/>
                <w:sz w:val="21"/>
                <w:szCs w:val="21"/>
              </w:rPr>
              <w:t>图证明</w:t>
            </w:r>
            <w:proofErr w:type="gramEnd"/>
            <w:r>
              <w:rPr>
                <w:rFonts w:hint="eastAsia"/>
                <w:sz w:val="21"/>
                <w:szCs w:val="21"/>
              </w:rPr>
              <w:t>的</w:t>
            </w:r>
            <w:r w:rsidR="00940594">
              <w:rPr>
                <w:rFonts w:hint="eastAsia"/>
                <w:sz w:val="21"/>
                <w:szCs w:val="21"/>
              </w:rPr>
              <w:t>或与需求技术参数不符的</w:t>
            </w:r>
            <w:r>
              <w:rPr>
                <w:rFonts w:hint="eastAsia"/>
                <w:sz w:val="21"/>
                <w:szCs w:val="21"/>
              </w:rPr>
              <w:t>，则按照虚假应标进行处理，取消中标资格并追究责任。</w:t>
            </w:r>
          </w:p>
          <w:p w:rsidR="00F36716" w:rsidRDefault="00456CD8" w:rsidP="00653844">
            <w:pPr>
              <w:pStyle w:val="a0"/>
              <w:rPr>
                <w:rFonts w:hint="eastAsia"/>
                <w:sz w:val="21"/>
                <w:szCs w:val="21"/>
              </w:rPr>
            </w:pPr>
            <w:r>
              <w:rPr>
                <w:rFonts w:hint="eastAsia"/>
                <w:sz w:val="21"/>
                <w:szCs w:val="21"/>
              </w:rPr>
              <w:t>4</w:t>
            </w:r>
            <w:r>
              <w:rPr>
                <w:sz w:val="21"/>
                <w:szCs w:val="21"/>
              </w:rPr>
              <w:t>.</w:t>
            </w:r>
            <w:r w:rsidR="00653844">
              <w:rPr>
                <w:rFonts w:hint="eastAsia"/>
                <w:sz w:val="21"/>
                <w:szCs w:val="21"/>
              </w:rPr>
              <w:t>供应商提供</w:t>
            </w:r>
            <w:r>
              <w:rPr>
                <w:rFonts w:hint="eastAsia"/>
                <w:sz w:val="21"/>
                <w:szCs w:val="21"/>
              </w:rPr>
              <w:t>原厂三年免费升级和原厂保修服务，须免费提供软件制造商授权的技术人员现场安装调试和使用方法培训。在接到用户技术服务要求后，</w:t>
            </w:r>
            <w:r>
              <w:rPr>
                <w:rFonts w:hint="eastAsia"/>
                <w:sz w:val="21"/>
                <w:szCs w:val="21"/>
              </w:rPr>
              <w:t>2</w:t>
            </w:r>
            <w:r>
              <w:rPr>
                <w:rFonts w:hint="eastAsia"/>
                <w:sz w:val="21"/>
                <w:szCs w:val="21"/>
              </w:rPr>
              <w:t>个小时内做出响应，如需进行上门服务，</w:t>
            </w:r>
            <w:r>
              <w:rPr>
                <w:rFonts w:hint="eastAsia"/>
                <w:sz w:val="21"/>
                <w:szCs w:val="21"/>
              </w:rPr>
              <w:t>24</w:t>
            </w:r>
            <w:r>
              <w:rPr>
                <w:rFonts w:hint="eastAsia"/>
                <w:sz w:val="21"/>
                <w:szCs w:val="21"/>
              </w:rPr>
              <w:t>小时内派技术人员到达现场服务。</w:t>
            </w:r>
          </w:p>
          <w:p w:rsidR="00F249FD" w:rsidRPr="00F249FD" w:rsidRDefault="00F249FD" w:rsidP="00653844">
            <w:pPr>
              <w:pStyle w:val="a0"/>
              <w:rPr>
                <w:sz w:val="21"/>
                <w:szCs w:val="21"/>
              </w:rPr>
            </w:pPr>
            <w:r>
              <w:rPr>
                <w:rFonts w:hint="eastAsia"/>
                <w:sz w:val="21"/>
                <w:szCs w:val="21"/>
              </w:rPr>
              <w:t>5.</w:t>
            </w:r>
            <w:r>
              <w:rPr>
                <w:rFonts w:hint="eastAsia"/>
              </w:rPr>
              <w:t xml:space="preserve"> </w:t>
            </w:r>
            <w:r w:rsidRPr="00F249FD">
              <w:rPr>
                <w:rFonts w:hint="eastAsia"/>
                <w:sz w:val="21"/>
                <w:szCs w:val="21"/>
              </w:rPr>
              <w:t>报价必须包含所有设备、随配附件、备品备件、运输、工具、安装、调试、各种附材、培训、售后服务、税金及其他所有可能发生的一切费用，采购人不再</w:t>
            </w:r>
            <w:bookmarkStart w:id="0" w:name="_GoBack"/>
            <w:bookmarkEnd w:id="0"/>
            <w:r w:rsidRPr="00F249FD">
              <w:rPr>
                <w:rFonts w:hint="eastAsia"/>
                <w:sz w:val="21"/>
                <w:szCs w:val="21"/>
              </w:rPr>
              <w:t>支付任何费用。</w:t>
            </w:r>
          </w:p>
        </w:tc>
      </w:tr>
    </w:tbl>
    <w:p w:rsidR="00F36716" w:rsidRDefault="00F36716">
      <w:pPr>
        <w:pStyle w:val="a0"/>
        <w:rPr>
          <w:b/>
          <w:color w:val="FF0000"/>
          <w:sz w:val="32"/>
        </w:rPr>
      </w:pPr>
    </w:p>
    <w:sectPr w:rsidR="00F36716">
      <w:pgSz w:w="16838" w:h="11906" w:orient="landscape"/>
      <w:pgMar w:top="782" w:right="1440" w:bottom="1009"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altName w:val="Helvetica Neue"/>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A1A34"/>
    <w:rsid w:val="FEBEDE2A"/>
    <w:rsid w:val="00082679"/>
    <w:rsid w:val="00083BEA"/>
    <w:rsid w:val="000C13D2"/>
    <w:rsid w:val="001157B7"/>
    <w:rsid w:val="0014422F"/>
    <w:rsid w:val="0016329E"/>
    <w:rsid w:val="00181554"/>
    <w:rsid w:val="00255E34"/>
    <w:rsid w:val="0029771A"/>
    <w:rsid w:val="002D6FDE"/>
    <w:rsid w:val="002F331E"/>
    <w:rsid w:val="003340FB"/>
    <w:rsid w:val="00350058"/>
    <w:rsid w:val="003A66CE"/>
    <w:rsid w:val="003B6D9C"/>
    <w:rsid w:val="003C4D1A"/>
    <w:rsid w:val="003F77D6"/>
    <w:rsid w:val="00414A96"/>
    <w:rsid w:val="004446A1"/>
    <w:rsid w:val="00456CD8"/>
    <w:rsid w:val="004A3836"/>
    <w:rsid w:val="004C23C6"/>
    <w:rsid w:val="004F0C6A"/>
    <w:rsid w:val="004F3B69"/>
    <w:rsid w:val="004F5385"/>
    <w:rsid w:val="0051700F"/>
    <w:rsid w:val="005362CA"/>
    <w:rsid w:val="00542289"/>
    <w:rsid w:val="00560F16"/>
    <w:rsid w:val="00586659"/>
    <w:rsid w:val="005B0C7A"/>
    <w:rsid w:val="005B5F33"/>
    <w:rsid w:val="00601787"/>
    <w:rsid w:val="006515D6"/>
    <w:rsid w:val="00653844"/>
    <w:rsid w:val="00656B08"/>
    <w:rsid w:val="00675B19"/>
    <w:rsid w:val="00690E8C"/>
    <w:rsid w:val="006B3EF8"/>
    <w:rsid w:val="006F335A"/>
    <w:rsid w:val="0072585C"/>
    <w:rsid w:val="00733703"/>
    <w:rsid w:val="007558B6"/>
    <w:rsid w:val="00776B67"/>
    <w:rsid w:val="00780CF5"/>
    <w:rsid w:val="007C4EE9"/>
    <w:rsid w:val="007F357E"/>
    <w:rsid w:val="00802A20"/>
    <w:rsid w:val="00875407"/>
    <w:rsid w:val="00895F12"/>
    <w:rsid w:val="008C1FA7"/>
    <w:rsid w:val="009160B8"/>
    <w:rsid w:val="00925D17"/>
    <w:rsid w:val="00940594"/>
    <w:rsid w:val="009467C4"/>
    <w:rsid w:val="009722B7"/>
    <w:rsid w:val="00993E96"/>
    <w:rsid w:val="00995D56"/>
    <w:rsid w:val="009A377F"/>
    <w:rsid w:val="009C1756"/>
    <w:rsid w:val="00A16999"/>
    <w:rsid w:val="00A669E2"/>
    <w:rsid w:val="00A91908"/>
    <w:rsid w:val="00AC2F6D"/>
    <w:rsid w:val="00AC49CF"/>
    <w:rsid w:val="00AC60C5"/>
    <w:rsid w:val="00AD4B78"/>
    <w:rsid w:val="00BA5052"/>
    <w:rsid w:val="00C34BBD"/>
    <w:rsid w:val="00C43480"/>
    <w:rsid w:val="00C44BC5"/>
    <w:rsid w:val="00C7132E"/>
    <w:rsid w:val="00C90EC2"/>
    <w:rsid w:val="00DE1459"/>
    <w:rsid w:val="00E22814"/>
    <w:rsid w:val="00E33D1B"/>
    <w:rsid w:val="00E61B86"/>
    <w:rsid w:val="00E640F2"/>
    <w:rsid w:val="00EA29ED"/>
    <w:rsid w:val="00EB649E"/>
    <w:rsid w:val="00EC5535"/>
    <w:rsid w:val="00F249FD"/>
    <w:rsid w:val="00F36716"/>
    <w:rsid w:val="0A6A1A34"/>
    <w:rsid w:val="116C7B61"/>
    <w:rsid w:val="15583660"/>
    <w:rsid w:val="290B6FA9"/>
    <w:rsid w:val="35055CDA"/>
    <w:rsid w:val="3861001B"/>
    <w:rsid w:val="3B590331"/>
    <w:rsid w:val="3E360E04"/>
    <w:rsid w:val="5BFB7E8F"/>
    <w:rsid w:val="5E0C715E"/>
    <w:rsid w:val="75D2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qFormat="1"/>
    <w:lsdException w:name="caption" w:qFormat="1"/>
    <w:lsdException w:name="annotation reference" w:semiHidden="0" w:unhideWhenUsed="0"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Default Paragraph Font" w:uiPriority="1"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pPr>
      <w:tabs>
        <w:tab w:val="center" w:pos="4153"/>
        <w:tab w:val="right" w:pos="8306"/>
      </w:tabs>
      <w:snapToGrid w:val="0"/>
      <w:jc w:val="left"/>
    </w:pPr>
    <w:rPr>
      <w:sz w:val="18"/>
      <w:szCs w:val="18"/>
    </w:rPr>
  </w:style>
  <w:style w:type="paragraph" w:styleId="a4">
    <w:name w:val="annotation subject"/>
    <w:basedOn w:val="a5"/>
    <w:next w:val="a5"/>
    <w:link w:val="Char"/>
    <w:qFormat/>
    <w:rPr>
      <w:b/>
      <w:bCs/>
    </w:rPr>
  </w:style>
  <w:style w:type="paragraph" w:styleId="a5">
    <w:name w:val="annotation text"/>
    <w:basedOn w:val="a"/>
    <w:link w:val="Char0"/>
    <w:qFormat/>
    <w:pPr>
      <w:jc w:val="left"/>
    </w:pPr>
  </w:style>
  <w:style w:type="paragraph" w:styleId="a6">
    <w:name w:val="Balloon Text"/>
    <w:basedOn w:val="a"/>
    <w:link w:val="Char1"/>
    <w:qFormat/>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styleId="a8">
    <w:name w:val="Emphasis"/>
    <w:basedOn w:val="a1"/>
    <w:qFormat/>
    <w:rPr>
      <w:i/>
    </w:rPr>
  </w:style>
  <w:style w:type="character" w:styleId="a9">
    <w:name w:val="annotation reference"/>
    <w:basedOn w:val="a1"/>
    <w:qFormat/>
    <w:rPr>
      <w:sz w:val="21"/>
      <w:szCs w:val="21"/>
    </w:rPr>
  </w:style>
  <w:style w:type="table" w:styleId="aa">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pPr>
      <w:spacing w:line="360" w:lineRule="auto"/>
      <w:ind w:firstLineChars="200" w:firstLine="420"/>
    </w:pPr>
    <w:rPr>
      <w:rFonts w:ascii="Calibri" w:eastAsia="宋体" w:hAnsi="Calibri" w:cs="Times New Roman"/>
      <w:kern w:val="0"/>
      <w:sz w:val="24"/>
      <w:szCs w:val="20"/>
      <w:lang w:val="zh-CN"/>
    </w:rPr>
  </w:style>
  <w:style w:type="character" w:customStyle="1" w:styleId="Char1">
    <w:name w:val="批注框文本 Char"/>
    <w:basedOn w:val="a1"/>
    <w:link w:val="a6"/>
    <w:qFormat/>
    <w:rPr>
      <w:kern w:val="2"/>
      <w:sz w:val="18"/>
      <w:szCs w:val="18"/>
    </w:rPr>
  </w:style>
  <w:style w:type="character" w:customStyle="1" w:styleId="Char0">
    <w:name w:val="批注文字 Char"/>
    <w:basedOn w:val="a1"/>
    <w:link w:val="a5"/>
    <w:qFormat/>
    <w:rPr>
      <w:kern w:val="2"/>
      <w:sz w:val="21"/>
      <w:szCs w:val="22"/>
    </w:rPr>
  </w:style>
  <w:style w:type="character" w:customStyle="1" w:styleId="Char">
    <w:name w:val="批注主题 Char"/>
    <w:basedOn w:val="Char0"/>
    <w:link w:val="a4"/>
    <w:qFormat/>
    <w:rPr>
      <w:b/>
      <w:bCs/>
      <w:kern w:val="2"/>
      <w:sz w:val="21"/>
      <w:szCs w:val="22"/>
    </w:rPr>
  </w:style>
  <w:style w:type="character" w:customStyle="1" w:styleId="Char2">
    <w:name w:val="页眉 Char"/>
    <w:basedOn w:val="a1"/>
    <w:link w:val="a7"/>
    <w:qFormat/>
    <w:rPr>
      <w:rFonts w:asciiTheme="minorHAnsi" w:eastAsiaTheme="minorEastAsia" w:hAnsiTheme="minorHAnsi" w:cstheme="minorBidi"/>
      <w:kern w:val="2"/>
      <w:sz w:val="18"/>
      <w:szCs w:val="18"/>
    </w:rPr>
  </w:style>
  <w:style w:type="paragraph" w:customStyle="1" w:styleId="10">
    <w:name w:val="修订1"/>
    <w:hidden/>
    <w:uiPriority w:val="99"/>
    <w:unhideWhenUsed/>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qFormat="1"/>
    <w:lsdException w:name="caption" w:qFormat="1"/>
    <w:lsdException w:name="annotation reference" w:semiHidden="0" w:unhideWhenUsed="0"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Default Paragraph Font" w:uiPriority="1"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pPr>
      <w:tabs>
        <w:tab w:val="center" w:pos="4153"/>
        <w:tab w:val="right" w:pos="8306"/>
      </w:tabs>
      <w:snapToGrid w:val="0"/>
      <w:jc w:val="left"/>
    </w:pPr>
    <w:rPr>
      <w:sz w:val="18"/>
      <w:szCs w:val="18"/>
    </w:rPr>
  </w:style>
  <w:style w:type="paragraph" w:styleId="a4">
    <w:name w:val="annotation subject"/>
    <w:basedOn w:val="a5"/>
    <w:next w:val="a5"/>
    <w:link w:val="Char"/>
    <w:qFormat/>
    <w:rPr>
      <w:b/>
      <w:bCs/>
    </w:rPr>
  </w:style>
  <w:style w:type="paragraph" w:styleId="a5">
    <w:name w:val="annotation text"/>
    <w:basedOn w:val="a"/>
    <w:link w:val="Char0"/>
    <w:qFormat/>
    <w:pPr>
      <w:jc w:val="left"/>
    </w:pPr>
  </w:style>
  <w:style w:type="paragraph" w:styleId="a6">
    <w:name w:val="Balloon Text"/>
    <w:basedOn w:val="a"/>
    <w:link w:val="Char1"/>
    <w:qFormat/>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styleId="a8">
    <w:name w:val="Emphasis"/>
    <w:basedOn w:val="a1"/>
    <w:qFormat/>
    <w:rPr>
      <w:i/>
    </w:rPr>
  </w:style>
  <w:style w:type="character" w:styleId="a9">
    <w:name w:val="annotation reference"/>
    <w:basedOn w:val="a1"/>
    <w:qFormat/>
    <w:rPr>
      <w:sz w:val="21"/>
      <w:szCs w:val="21"/>
    </w:rPr>
  </w:style>
  <w:style w:type="table" w:styleId="aa">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pPr>
      <w:spacing w:line="360" w:lineRule="auto"/>
      <w:ind w:firstLineChars="200" w:firstLine="420"/>
    </w:pPr>
    <w:rPr>
      <w:rFonts w:ascii="Calibri" w:eastAsia="宋体" w:hAnsi="Calibri" w:cs="Times New Roman"/>
      <w:kern w:val="0"/>
      <w:sz w:val="24"/>
      <w:szCs w:val="20"/>
      <w:lang w:val="zh-CN"/>
    </w:rPr>
  </w:style>
  <w:style w:type="character" w:customStyle="1" w:styleId="Char1">
    <w:name w:val="批注框文本 Char"/>
    <w:basedOn w:val="a1"/>
    <w:link w:val="a6"/>
    <w:qFormat/>
    <w:rPr>
      <w:kern w:val="2"/>
      <w:sz w:val="18"/>
      <w:szCs w:val="18"/>
    </w:rPr>
  </w:style>
  <w:style w:type="character" w:customStyle="1" w:styleId="Char0">
    <w:name w:val="批注文字 Char"/>
    <w:basedOn w:val="a1"/>
    <w:link w:val="a5"/>
    <w:qFormat/>
    <w:rPr>
      <w:kern w:val="2"/>
      <w:sz w:val="21"/>
      <w:szCs w:val="22"/>
    </w:rPr>
  </w:style>
  <w:style w:type="character" w:customStyle="1" w:styleId="Char">
    <w:name w:val="批注主题 Char"/>
    <w:basedOn w:val="Char0"/>
    <w:link w:val="a4"/>
    <w:qFormat/>
    <w:rPr>
      <w:b/>
      <w:bCs/>
      <w:kern w:val="2"/>
      <w:sz w:val="21"/>
      <w:szCs w:val="22"/>
    </w:rPr>
  </w:style>
  <w:style w:type="character" w:customStyle="1" w:styleId="Char2">
    <w:name w:val="页眉 Char"/>
    <w:basedOn w:val="a1"/>
    <w:link w:val="a7"/>
    <w:qFormat/>
    <w:rPr>
      <w:rFonts w:asciiTheme="minorHAnsi" w:eastAsiaTheme="minorEastAsia" w:hAnsiTheme="minorHAnsi" w:cstheme="minorBidi"/>
      <w:kern w:val="2"/>
      <w:sz w:val="18"/>
      <w:szCs w:val="18"/>
    </w:rPr>
  </w:style>
  <w:style w:type="paragraph" w:customStyle="1" w:styleId="10">
    <w:name w:val="修订1"/>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287</Words>
  <Characters>1641</Characters>
  <Application>Microsoft Office Word</Application>
  <DocSecurity>0</DocSecurity>
  <Lines>13</Lines>
  <Paragraphs>3</Paragraphs>
  <ScaleCrop>false</ScaleCrop>
  <Company>Microsoft</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2020-03-03T10:17:00Z</dcterms:created>
  <dcterms:modified xsi:type="dcterms:W3CDTF">2020-03-04T01:42:00Z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2052-1.9.0.2959</vt:lpwstr>
  </property>
</Properties>
</file>