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color w:val="000000"/>
          <w:kern w:val="0"/>
          <w:sz w:val="40"/>
          <w:szCs w:val="40"/>
        </w:rPr>
        <w:t>浙江财经大学反向竞价申请表</w:t>
      </w:r>
    </w:p>
    <w:tbl>
      <w:tblPr>
        <w:tblStyle w:val="4"/>
        <w:tblW w:w="9035" w:type="dxa"/>
        <w:jc w:val="center"/>
        <w:tblLayout w:type="fixed"/>
        <w:tblCellMar>
          <w:top w:w="0" w:type="dxa"/>
          <w:left w:w="0" w:type="dxa"/>
          <w:bottom w:w="0" w:type="dxa"/>
          <w:right w:w="0" w:type="dxa"/>
        </w:tblCellMar>
      </w:tblPr>
      <w:tblGrid>
        <w:gridCol w:w="1842"/>
        <w:gridCol w:w="1428"/>
        <w:gridCol w:w="2318"/>
        <w:gridCol w:w="1514"/>
        <w:gridCol w:w="1933"/>
      </w:tblGrid>
      <w:tr>
        <w:tblPrEx>
          <w:tblCellMar>
            <w:top w:w="0" w:type="dxa"/>
            <w:left w:w="0" w:type="dxa"/>
            <w:bottom w:w="0" w:type="dxa"/>
            <w:right w:w="0" w:type="dxa"/>
          </w:tblCellMar>
        </w:tblPrEx>
        <w:trPr>
          <w:trHeight w:val="640" w:hRule="atLeast"/>
          <w:jc w:val="center"/>
        </w:trPr>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商品信息</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品牌</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CESIM模拟</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商品数量</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r>
      <w:tr>
        <w:tblPrEx>
          <w:tblCellMar>
            <w:top w:w="0" w:type="dxa"/>
            <w:left w:w="0" w:type="dxa"/>
            <w:bottom w:w="0" w:type="dxa"/>
            <w:right w:w="0" w:type="dxa"/>
          </w:tblCellMar>
        </w:tblPrEx>
        <w:trPr>
          <w:trHeight w:val="640"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型号</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Global Challenge</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控制总价</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25万元</w:t>
            </w:r>
          </w:p>
        </w:tc>
      </w:tr>
      <w:tr>
        <w:tblPrEx>
          <w:tblCellMar>
            <w:top w:w="0" w:type="dxa"/>
            <w:left w:w="0" w:type="dxa"/>
            <w:bottom w:w="0" w:type="dxa"/>
            <w:right w:w="0" w:type="dxa"/>
          </w:tblCellMar>
        </w:tblPrEx>
        <w:trPr>
          <w:trHeight w:val="640"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商品名称</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rPr>
              <w:t>国际化企业综合管理模拟课程平台</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价格下浮标准</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1000</w:t>
            </w:r>
          </w:p>
        </w:tc>
      </w:tr>
      <w:tr>
        <w:tblPrEx>
          <w:tblCellMar>
            <w:top w:w="0" w:type="dxa"/>
            <w:left w:w="0" w:type="dxa"/>
            <w:bottom w:w="0" w:type="dxa"/>
            <w:right w:w="0" w:type="dxa"/>
          </w:tblCellMar>
        </w:tblPrEx>
        <w:trPr>
          <w:trHeight w:val="672"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商品参数</w:t>
            </w:r>
          </w:p>
        </w:tc>
        <w:tc>
          <w:tcPr>
            <w:tcW w:w="5765" w:type="dxa"/>
            <w:gridSpan w:val="3"/>
            <w:tcBorders>
              <w:top w:val="single" w:color="000000" w:sz="4" w:space="0"/>
              <w:left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见附件</w:t>
            </w:r>
            <w:r>
              <w:rPr>
                <w:rFonts w:hint="eastAsia" w:ascii="宋体" w:hAnsi="宋体" w:eastAsia="宋体" w:cs="宋体"/>
                <w:color w:val="000000"/>
                <w:sz w:val="20"/>
                <w:szCs w:val="20"/>
              </w:rPr>
              <w:t>1</w:t>
            </w:r>
            <w:r>
              <w:rPr>
                <w:rFonts w:ascii="宋体" w:hAnsi="宋体" w:eastAsia="宋体" w:cs="宋体"/>
                <w:color w:val="000000"/>
                <w:sz w:val="20"/>
                <w:szCs w:val="20"/>
              </w:rPr>
              <w:t>参数表</w:t>
            </w:r>
          </w:p>
        </w:tc>
      </w:tr>
      <w:tr>
        <w:tblPrEx>
          <w:tblCellMar>
            <w:top w:w="0" w:type="dxa"/>
            <w:left w:w="0" w:type="dxa"/>
            <w:bottom w:w="0" w:type="dxa"/>
            <w:right w:w="0" w:type="dxa"/>
          </w:tblCellMar>
        </w:tblPrEx>
        <w:trPr>
          <w:trHeight w:val="640" w:hRule="atLeast"/>
          <w:jc w:val="center"/>
        </w:trPr>
        <w:tc>
          <w:tcPr>
            <w:tcW w:w="1842"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供应商特殊要求</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无</w:t>
            </w:r>
            <w:bookmarkStart w:id="0" w:name="_GoBack"/>
            <w:bookmarkEnd w:id="0"/>
          </w:p>
        </w:tc>
      </w:tr>
      <w:tr>
        <w:tblPrEx>
          <w:tblCellMar>
            <w:top w:w="0" w:type="dxa"/>
            <w:left w:w="0" w:type="dxa"/>
            <w:bottom w:w="0" w:type="dxa"/>
            <w:right w:w="0" w:type="dxa"/>
          </w:tblCellMar>
        </w:tblPrEx>
        <w:trPr>
          <w:trHeight w:val="3162"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商务要求</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93" w:beforeLines="30" w:after="93" w:afterLines="30" w:line="288" w:lineRule="auto"/>
              <w:ind w:firstLine="220" w:firstLineChars="100"/>
              <w:rPr>
                <w:rFonts w:ascii="宋体" w:hAnsi="宋体" w:eastAsia="宋体" w:cs="宋体"/>
                <w:sz w:val="22"/>
                <w:szCs w:val="22"/>
              </w:rPr>
            </w:pPr>
            <w:r>
              <w:rPr>
                <w:rFonts w:hint="eastAsia" w:ascii="宋体" w:hAnsi="宋体" w:eastAsia="宋体" w:cs="宋体"/>
                <w:sz w:val="22"/>
                <w:szCs w:val="22"/>
              </w:rPr>
              <w:t>1、有依法缴纳税收和社会保障资金的良好记录；</w:t>
            </w:r>
          </w:p>
          <w:p>
            <w:pPr>
              <w:spacing w:before="156" w:beforeLines="50" w:after="156" w:afterLines="50" w:line="320" w:lineRule="exact"/>
              <w:ind w:firstLine="210" w:firstLineChars="100"/>
              <w:rPr>
                <w:rFonts w:ascii="宋体" w:hAnsi="宋体" w:eastAsia="宋体" w:cs="宋体"/>
                <w:sz w:val="22"/>
                <w:szCs w:val="22"/>
              </w:rPr>
            </w:pPr>
            <w:r>
              <w:rPr>
                <w:rFonts w:hint="eastAsia"/>
              </w:rPr>
              <w:t>2、</w:t>
            </w:r>
            <w:r>
              <w:rPr>
                <w:rFonts w:hint="eastAsia" w:ascii="宋体" w:hAnsi="宋体" w:eastAsia="宋体" w:cs="宋体"/>
                <w:sz w:val="22"/>
                <w:szCs w:val="22"/>
              </w:rPr>
              <w:t>参加政府采购活动前三年内，在经营活动中没有重大违法记录；</w:t>
            </w:r>
          </w:p>
          <w:p>
            <w:pPr>
              <w:spacing w:before="156" w:beforeLines="50" w:after="156" w:afterLines="50" w:line="320" w:lineRule="exact"/>
              <w:ind w:firstLine="220" w:firstLineChars="100"/>
              <w:rPr>
                <w:rFonts w:hint="eastAsia" w:ascii="宋体" w:hAnsi="宋体" w:eastAsia="宋体" w:cs="宋体"/>
                <w:sz w:val="22"/>
                <w:szCs w:val="22"/>
              </w:rPr>
            </w:pPr>
            <w:r>
              <w:rPr>
                <w:rFonts w:hint="eastAsia" w:ascii="宋体" w:hAnsi="宋体" w:eastAsia="宋体" w:cs="宋体"/>
                <w:sz w:val="22"/>
                <w:szCs w:val="22"/>
              </w:rPr>
              <w:t>3、售后服务承诺。</w:t>
            </w:r>
          </w:p>
          <w:p>
            <w:pPr>
              <w:spacing w:before="156" w:beforeLines="50" w:after="156" w:afterLines="50" w:line="320" w:lineRule="exact"/>
              <w:ind w:firstLine="220" w:firstLineChars="10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4、质保金</w:t>
            </w:r>
          </w:p>
        </w:tc>
      </w:tr>
      <w:tr>
        <w:tblPrEx>
          <w:tblCellMar>
            <w:top w:w="0" w:type="dxa"/>
            <w:left w:w="0" w:type="dxa"/>
            <w:bottom w:w="0" w:type="dxa"/>
            <w:right w:w="0" w:type="dxa"/>
          </w:tblCellMar>
        </w:tblPrEx>
        <w:trPr>
          <w:trHeight w:val="796"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送货期限</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00" w:firstLineChars="100"/>
              <w:rPr>
                <w:rFonts w:ascii="宋体" w:hAnsi="宋体" w:eastAsia="宋体" w:cs="宋体"/>
                <w:color w:val="000000"/>
                <w:sz w:val="20"/>
                <w:szCs w:val="20"/>
              </w:rPr>
            </w:pPr>
            <w:r>
              <w:rPr>
                <w:rFonts w:hint="eastAsia" w:ascii="宋体" w:hAnsi="宋体" w:eastAsia="宋体" w:cs="宋体"/>
                <w:color w:val="000000"/>
                <w:sz w:val="20"/>
                <w:szCs w:val="20"/>
              </w:rPr>
              <w:t>合同生效后</w:t>
            </w:r>
            <w:r>
              <w:rPr>
                <w:rFonts w:hint="eastAsia" w:ascii="宋体" w:hAnsi="宋体" w:eastAsia="宋体" w:cs="宋体"/>
                <w:color w:val="000000"/>
                <w:sz w:val="20"/>
                <w:szCs w:val="20"/>
                <w:highlight w:val="yellow"/>
                <w:u w:val="single"/>
              </w:rPr>
              <w:t>7</w:t>
            </w:r>
            <w:r>
              <w:rPr>
                <w:rFonts w:hint="eastAsia" w:ascii="宋体" w:hAnsi="宋体" w:eastAsia="宋体" w:cs="宋体"/>
                <w:color w:val="000000"/>
                <w:sz w:val="20"/>
                <w:szCs w:val="20"/>
              </w:rPr>
              <w:t>个工作日内送货。（备注：/ ）</w:t>
            </w:r>
          </w:p>
        </w:tc>
      </w:tr>
      <w:tr>
        <w:tblPrEx>
          <w:tblCellMar>
            <w:top w:w="0" w:type="dxa"/>
            <w:left w:w="0" w:type="dxa"/>
            <w:bottom w:w="0" w:type="dxa"/>
            <w:right w:w="0" w:type="dxa"/>
          </w:tblCellMar>
        </w:tblPrEx>
        <w:trPr>
          <w:trHeight w:val="1040"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收货信息</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00" w:firstLineChars="100"/>
              <w:rPr>
                <w:rFonts w:ascii="宋体" w:hAnsi="宋体" w:eastAsia="宋体" w:cs="宋体"/>
                <w:color w:val="FF0000"/>
                <w:sz w:val="20"/>
                <w:szCs w:val="20"/>
              </w:rPr>
            </w:pPr>
            <w:r>
              <w:rPr>
                <w:rFonts w:hint="eastAsia" w:ascii="宋体" w:hAnsi="宋体" w:eastAsia="宋体" w:cs="宋体"/>
                <w:color w:val="FF0000"/>
                <w:sz w:val="20"/>
                <w:szCs w:val="20"/>
              </w:rPr>
              <w:t>浙江省杭州市钱塘新区下沙高教园区学源街18号浙江财经大学行政楼</w:t>
            </w:r>
          </w:p>
          <w:p>
            <w:pPr>
              <w:ind w:firstLine="200" w:firstLineChars="100"/>
              <w:rPr>
                <w:rFonts w:ascii="宋体" w:hAnsi="宋体" w:eastAsia="宋体" w:cs="宋体"/>
                <w:color w:val="000000"/>
                <w:sz w:val="20"/>
                <w:szCs w:val="20"/>
              </w:rPr>
            </w:pPr>
            <w:r>
              <w:rPr>
                <w:rFonts w:hint="eastAsia" w:ascii="宋体" w:hAnsi="宋体" w:eastAsia="宋体" w:cs="宋体"/>
                <w:color w:val="FF0000"/>
                <w:sz w:val="20"/>
                <w:szCs w:val="20"/>
              </w:rPr>
              <w:t xml:space="preserve">  13003686708</w:t>
            </w:r>
          </w:p>
        </w:tc>
      </w:tr>
      <w:tr>
        <w:tblPrEx>
          <w:tblCellMar>
            <w:top w:w="0" w:type="dxa"/>
            <w:left w:w="0" w:type="dxa"/>
            <w:bottom w:w="0" w:type="dxa"/>
            <w:right w:w="0" w:type="dxa"/>
          </w:tblCellMar>
        </w:tblPrEx>
        <w:trPr>
          <w:trHeight w:val="840"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备注</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bl>
    <w:p/>
    <w:p/>
    <w:p/>
    <w:p/>
    <w:p/>
    <w:p>
      <w:pPr>
        <w:spacing w:before="156" w:beforeLines="50" w:after="156" w:afterLines="50" w:line="320" w:lineRule="exact"/>
        <w:rPr>
          <w:rFonts w:ascii="宋体" w:hAnsi="宋体" w:cs="FangSong_GB2312"/>
          <w:b/>
          <w:bCs/>
        </w:rPr>
      </w:pPr>
      <w:r>
        <w:rPr>
          <w:rFonts w:hint="eastAsia" w:ascii="宋体" w:hAnsi="宋体" w:cs="FangSong_GB2312"/>
          <w:b/>
          <w:bCs/>
        </w:rPr>
        <w:t>附件1</w:t>
      </w:r>
    </w:p>
    <w:p>
      <w:pPr>
        <w:spacing w:before="156" w:beforeLines="50" w:after="156" w:afterLines="50" w:line="320" w:lineRule="exact"/>
        <w:rPr>
          <w:rFonts w:ascii="宋体" w:hAnsi="宋体" w:cs="FangSong_GB2312"/>
          <w:b/>
          <w:bCs/>
        </w:rPr>
      </w:pPr>
      <w:r>
        <w:rPr>
          <w:rFonts w:hint="eastAsia" w:ascii="宋体" w:hAnsi="宋体" w:cs="FangSong_GB2312"/>
          <w:b/>
          <w:bCs/>
        </w:rPr>
        <w:t>主要技术参数：</w:t>
      </w:r>
    </w:p>
    <w:p>
      <w:pPr>
        <w:pStyle w:val="10"/>
        <w:numPr>
          <w:ilvl w:val="0"/>
          <w:numId w:val="1"/>
        </w:numPr>
        <w:spacing w:before="156" w:beforeLines="50" w:after="156" w:afterLines="50" w:line="320" w:lineRule="exact"/>
        <w:jc w:val="both"/>
      </w:pPr>
      <w:r>
        <w:rPr>
          <w:rFonts w:ascii="宋体" w:hAnsi="宋体" w:cs="FangSong_GB2312"/>
          <w:bCs/>
        </w:rPr>
        <w:t>★</w:t>
      </w:r>
      <w:r>
        <w:rPr>
          <w:rFonts w:hint="eastAsia" w:ascii="宋体" w:hAnsi="宋体" w:cs="FangSong_GB2312"/>
          <w:bCs/>
        </w:rPr>
        <w:t>平台要求支持Android、IOS、Windows等各种操作系统，可以在电脑、iPad和各类平板电脑以及智能手机上操作使用。可在线远程操作，不需要</w:t>
      </w:r>
      <w:r>
        <w:t>下载或安装应用程序或客户端类型</w:t>
      </w:r>
      <w:r>
        <w:rPr>
          <w:rFonts w:hint="eastAsia"/>
        </w:rPr>
        <w:t>。仅支持在浏览器上运行系统，</w:t>
      </w:r>
      <w:r>
        <w:t>如IE，Firefox，Chrome，</w:t>
      </w:r>
      <w:r>
        <w:rPr>
          <w:rFonts w:hint="eastAsia"/>
        </w:rPr>
        <w:t>QQ</w:t>
      </w:r>
      <w:r>
        <w:t>，</w:t>
      </w:r>
      <w:r>
        <w:rPr>
          <w:rFonts w:hint="eastAsia"/>
        </w:rPr>
        <w:t>搜狐，</w:t>
      </w:r>
      <w:r>
        <w:t>Safari等浏览器都可以支持系统的使用。</w:t>
      </w:r>
    </w:p>
    <w:p>
      <w:pPr>
        <w:pStyle w:val="10"/>
        <w:spacing w:before="156" w:beforeLines="50" w:after="156" w:afterLines="50" w:line="320" w:lineRule="exact"/>
        <w:ind w:left="550"/>
        <w:jc w:val="both"/>
      </w:pPr>
    </w:p>
    <w:p>
      <w:pPr>
        <w:pStyle w:val="10"/>
        <w:numPr>
          <w:ilvl w:val="0"/>
          <w:numId w:val="1"/>
        </w:numPr>
        <w:spacing w:before="156" w:beforeLines="50" w:after="156" w:afterLines="50" w:line="320" w:lineRule="exact"/>
        <w:jc w:val="both"/>
      </w:pPr>
      <w:r>
        <w:rPr>
          <w:rFonts w:hint="eastAsia" w:ascii="宋体" w:hAnsi="宋体" w:cs="FangSong_GB2312"/>
          <w:bCs/>
        </w:rPr>
        <w:t>系统最大并发链接数高于1000，能够让学生大规模同时使用的功能，满足学校组织并进行校内模拟比赛的要求。所有的使用指南和案例内容设置在平台中，随时可以下载或网上阅读。</w:t>
      </w:r>
    </w:p>
    <w:p>
      <w:pPr>
        <w:spacing w:before="156" w:beforeLines="50" w:after="156" w:afterLines="50" w:line="320" w:lineRule="exact"/>
      </w:pPr>
    </w:p>
    <w:p>
      <w:pPr>
        <w:pStyle w:val="10"/>
        <w:numPr>
          <w:ilvl w:val="0"/>
          <w:numId w:val="1"/>
        </w:numPr>
        <w:spacing w:before="156" w:beforeLines="50" w:after="156" w:afterLines="50" w:line="320" w:lineRule="exact"/>
        <w:jc w:val="both"/>
        <w:rPr>
          <w:rFonts w:ascii="宋体" w:hAnsi="宋体" w:cs="FangSong_GB2312"/>
          <w:bCs/>
        </w:rPr>
      </w:pPr>
      <w:r>
        <w:rPr>
          <w:rFonts w:hint="eastAsia" w:ascii="宋体" w:hAnsi="宋体" w:cs="FangSong_GB2312"/>
          <w:bCs/>
        </w:rPr>
        <w:t>平台具备决策模块可选择的特点，教师端可以修改案例或参数以适合不同年级和知识结构的学生使用。系统同时具有友好的界面等特点，数字与图表配比合理。系统所提供的经营报告不但能够以数据和图表的形式在互联网上浏览，而且能导出为Excel文件用于分析。</w:t>
      </w:r>
    </w:p>
    <w:p>
      <w:pPr>
        <w:spacing w:before="156" w:beforeLines="50" w:after="156" w:afterLines="50" w:line="320" w:lineRule="exact"/>
        <w:rPr>
          <w:rFonts w:ascii="宋体" w:hAnsi="宋体" w:cs="FangSong_GB2312"/>
          <w:bCs/>
        </w:rPr>
      </w:pPr>
    </w:p>
    <w:p>
      <w:pPr>
        <w:pStyle w:val="10"/>
        <w:numPr>
          <w:ilvl w:val="0"/>
          <w:numId w:val="1"/>
        </w:numPr>
        <w:spacing w:before="156" w:beforeLines="50" w:after="156" w:afterLines="50" w:line="320" w:lineRule="exact"/>
        <w:jc w:val="both"/>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内容应符合国际化经营管理理念，选用国际化案例。平台需具备至少两个以上的标准化案例，模拟至少两个不同的行业。各类经济指标国际化，如财务指标，国际化税收定义等。模拟中的案例内容能够与真实的市场环境密切相结合。</w:t>
      </w:r>
    </w:p>
    <w:p>
      <w:pPr>
        <w:spacing w:before="156" w:beforeLines="50" w:after="156" w:afterLines="50" w:line="320" w:lineRule="exact"/>
        <w:rPr>
          <w:rFonts w:ascii="宋体" w:hAnsi="宋体" w:cs="FangSong_GB2312"/>
          <w:bCs/>
        </w:rPr>
      </w:pPr>
    </w:p>
    <w:p>
      <w:pPr>
        <w:pStyle w:val="10"/>
        <w:numPr>
          <w:ilvl w:val="0"/>
          <w:numId w:val="1"/>
        </w:numPr>
        <w:spacing w:before="156" w:beforeLines="50" w:after="156" w:afterLines="50" w:line="320" w:lineRule="exact"/>
        <w:jc w:val="both"/>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平台具备计算小组决策结果和个人单独决策结果的功能，符合国际性认证中的对于实践教学要求客观评分的要求。如4</w:t>
      </w:r>
      <w:r>
        <w:rPr>
          <w:rFonts w:ascii="宋体" w:hAnsi="宋体" w:cs="FangSong_GB2312"/>
          <w:bCs/>
        </w:rPr>
        <w:t>0</w:t>
      </w:r>
      <w:r>
        <w:rPr>
          <w:rFonts w:hint="eastAsia" w:ascii="宋体" w:hAnsi="宋体" w:cs="FangSong_GB2312"/>
          <w:bCs/>
        </w:rPr>
        <w:t>人分成1</w:t>
      </w:r>
      <w:r>
        <w:rPr>
          <w:rFonts w:ascii="宋体" w:hAnsi="宋体" w:cs="FangSong_GB2312"/>
          <w:bCs/>
        </w:rPr>
        <w:t>0</w:t>
      </w:r>
      <w:r>
        <w:rPr>
          <w:rFonts w:hint="eastAsia" w:ascii="宋体" w:hAnsi="宋体" w:cs="FangSong_GB2312"/>
          <w:bCs/>
        </w:rPr>
        <w:t>组的课程，平台不仅可以显示1</w:t>
      </w:r>
      <w:r>
        <w:rPr>
          <w:rFonts w:ascii="宋体" w:hAnsi="宋体" w:cs="FangSong_GB2312"/>
          <w:bCs/>
        </w:rPr>
        <w:t>0</w:t>
      </w:r>
      <w:r>
        <w:rPr>
          <w:rFonts w:hint="eastAsia" w:ascii="宋体" w:hAnsi="宋体" w:cs="FangSong_GB2312"/>
          <w:bCs/>
        </w:rPr>
        <w:t>组决策的结果，也同时可以显示4</w:t>
      </w:r>
      <w:r>
        <w:rPr>
          <w:rFonts w:ascii="宋体" w:hAnsi="宋体" w:cs="FangSong_GB2312"/>
          <w:bCs/>
        </w:rPr>
        <w:t>0</w:t>
      </w:r>
      <w:r>
        <w:rPr>
          <w:rFonts w:hint="eastAsia" w:ascii="宋体" w:hAnsi="宋体" w:cs="FangSong_GB2312"/>
          <w:bCs/>
        </w:rPr>
        <w:t>个的每一位学生决策的单独结果。</w:t>
      </w:r>
    </w:p>
    <w:p>
      <w:pPr>
        <w:spacing w:before="156" w:beforeLines="50" w:after="156" w:afterLines="50" w:line="320" w:lineRule="exact"/>
        <w:rPr>
          <w:rFonts w:ascii="宋体" w:hAnsi="宋体" w:cs="FangSong_GB2312"/>
          <w:bCs/>
        </w:rPr>
      </w:pPr>
    </w:p>
    <w:p>
      <w:pPr>
        <w:pStyle w:val="10"/>
        <w:numPr>
          <w:ilvl w:val="0"/>
          <w:numId w:val="1"/>
        </w:numPr>
        <w:spacing w:before="156" w:beforeLines="50" w:after="156" w:afterLines="50" w:line="320" w:lineRule="exact"/>
        <w:jc w:val="both"/>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平台包含中英文在内的多语言选择，可以在不同语言之间随时相互切换，方便各国学生（本校留学生）的使用和交流。</w:t>
      </w:r>
    </w:p>
    <w:p>
      <w:pPr>
        <w:spacing w:before="156" w:beforeLines="50" w:after="156" w:afterLines="50" w:line="320" w:lineRule="exact"/>
        <w:rPr>
          <w:rFonts w:ascii="宋体" w:hAnsi="宋体" w:cs="FangSong_GB2312"/>
          <w:bCs/>
        </w:rPr>
      </w:pPr>
    </w:p>
    <w:p>
      <w:pPr>
        <w:pStyle w:val="10"/>
        <w:numPr>
          <w:ilvl w:val="0"/>
          <w:numId w:val="1"/>
        </w:numPr>
        <w:spacing w:before="156" w:beforeLines="50" w:after="156" w:afterLines="50" w:line="320" w:lineRule="exact"/>
        <w:jc w:val="both"/>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模拟平台符合在线教学要求，不仅提供决策内容，更辅以在线小测验，学生日志时间，交流论坛，决策结果预览等功能提升在线教学的质量。</w:t>
      </w:r>
    </w:p>
    <w:p>
      <w:pPr>
        <w:spacing w:before="156" w:beforeLines="50" w:after="156" w:afterLines="50" w:line="320" w:lineRule="exact"/>
        <w:rPr>
          <w:rFonts w:ascii="宋体" w:hAnsi="宋体" w:cs="FangSong_GB2312"/>
          <w:bCs/>
        </w:rPr>
      </w:pPr>
    </w:p>
    <w:p>
      <w:pPr>
        <w:pStyle w:val="11"/>
        <w:numPr>
          <w:ilvl w:val="0"/>
          <w:numId w:val="1"/>
        </w:numPr>
        <w:spacing w:line="276" w:lineRule="auto"/>
        <w:jc w:val="both"/>
        <w:rPr>
          <w:rFonts w:ascii="宋体" w:hAnsi="宋体" w:cs="FangSong_GB2312" w:eastAsiaTheme="minorEastAsia"/>
          <w:bCs/>
        </w:rPr>
      </w:pPr>
      <w:r>
        <w:rPr>
          <w:rFonts w:hint="eastAsia" w:cs="FangSong_GB2312"/>
          <w:bCs/>
        </w:rPr>
        <w:t>★</w:t>
      </w:r>
      <w:r>
        <w:rPr>
          <w:rFonts w:hint="eastAsia" w:ascii="宋体" w:hAnsi="宋体" w:cs="FangSong_GB2312" w:eastAsiaTheme="minorEastAsia"/>
          <w:bCs/>
        </w:rPr>
        <w:t>教师平台具有不同维度的结果分析。</w:t>
      </w:r>
      <w:r>
        <w:rPr>
          <w:rFonts w:ascii="宋体" w:hAnsi="宋体" w:cs="FangSong_GB2312" w:eastAsiaTheme="minorEastAsia"/>
          <w:bCs/>
        </w:rPr>
        <w:t>支持学员互评功能，要求学员之间匿名，并可以自动计算成绩，为教师提供更加多元且客观的课程评定基础。</w:t>
      </w:r>
    </w:p>
    <w:p>
      <w:pPr>
        <w:spacing w:before="156" w:beforeLines="50" w:after="156" w:afterLines="50" w:line="320" w:lineRule="exact"/>
        <w:rPr>
          <w:rFonts w:ascii="宋体" w:hAnsi="宋体" w:cs="FangSong_GB2312"/>
          <w:bCs/>
        </w:rPr>
      </w:pPr>
    </w:p>
    <w:p>
      <w:pPr>
        <w:pStyle w:val="10"/>
        <w:numPr>
          <w:ilvl w:val="0"/>
          <w:numId w:val="1"/>
        </w:numPr>
        <w:spacing w:before="156" w:beforeLines="50" w:after="156" w:afterLines="50" w:line="320" w:lineRule="exact"/>
        <w:jc w:val="both"/>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同一个教师端账号可根据授课需要设置不同的模拟课程，教师端可以全程监测学生的学习情况（包括总在线时间、最后一次登陆时间、决策结果预览）。允许指导教师修改案例背景、参数、增减模块，设置自己的案例库，更换案例。</w:t>
      </w:r>
    </w:p>
    <w:p>
      <w:pPr>
        <w:spacing w:before="156" w:beforeLines="50" w:after="156" w:afterLines="50" w:line="320" w:lineRule="exact"/>
      </w:pPr>
    </w:p>
    <w:p>
      <w:pPr>
        <w:spacing w:before="156" w:beforeLines="50" w:after="156" w:afterLines="50" w:line="320" w:lineRule="exact"/>
        <w:rPr>
          <w:rFonts w:ascii="宋体" w:hAnsi="宋体" w:cs="FangSong_GB2312"/>
          <w:b/>
          <w:bCs/>
        </w:rPr>
      </w:pPr>
      <w:r>
        <w:rPr>
          <w:rFonts w:hint="eastAsia" w:ascii="宋体" w:hAnsi="宋体" w:cs="FangSong_GB2312"/>
          <w:b/>
          <w:bCs/>
        </w:rPr>
        <w:t>主要内容参数</w:t>
      </w: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需求管理逻辑：总需求增长率，亚洲、欧洲、美国各地区产品销售量；分产品分技术市场份额；自动计算出预测销量。提供各种技术的网络覆盖率在各区域的发展情况预测图表，图表可根据指导老师案例要求设置。</w:t>
      </w:r>
    </w:p>
    <w:p>
      <w:pPr>
        <w:pStyle w:val="10"/>
        <w:spacing w:before="156" w:beforeLines="50" w:after="156" w:afterLines="50" w:line="320" w:lineRule="exact"/>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产品需求逻辑：某区域的整体市场需求按技术分配；体现区域消费者偏好。指导老师可自主调整需求弹性。影响市场总需求的因素包括:经济状况、平均价格水平、平均广告预算、新技术的普及；影响某种技术总需求的因素：平均价格水平、所有队伍对该技术广告投入、使用该技术公司的数目、该技术的网络覆盖程度、各地区消费者对该技术的偏好；影响公司某个产品需求的因素：产品的定价、对该产品的广告投入、产品搭载的功能数量、历史市场份额、销售同样技术产品的公司数量。</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生产管理逻辑：涵盖供应链进行管理，如建厂、生产产品、物流，以需定产等；产品研发、产能分配；自动计算可变生产成本、产品不良率规律、产品外包、生产学习曲线效用、生产线开工率有关的成本函数(U-形曲线)等现象或原理。</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库存管理逻辑：库存计划、生产与库存、库存资金成本、库存计价。</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投资管理逻辑：工厂建设投资、工厂买卖、投资与现金流、投资与筹资、投资回报率、资本成本、资本加权成本、估值等。</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采购管理逻辑：供应商管理、企业的社会责任、价格管理等。</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物流管理逻辑：国际间物流规划、物流优先级。</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税收筹划：国际间税收筹划功能，允许利用关联公司进行以减低税金的交易，用户可设置转让定价乘数。</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人力资源：可选择是否设置人力资源决策模块（由指导老师设置）。人力资源决策包括：员工人数、工资、培训预算、招聘与解雇及其费用等。</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研发管理：包含自主研发、引进外部技术决策。体现研发战略的不确定性、博弈性。</w:t>
      </w:r>
    </w:p>
    <w:p>
      <w:pPr>
        <w:pStyle w:val="10"/>
        <w:rPr>
          <w:rFonts w:ascii="宋体" w:hAnsi="宋体" w:cs="FangSong_GB2312"/>
          <w:bCs/>
        </w:rPr>
      </w:pPr>
    </w:p>
    <w:p>
      <w:pPr>
        <w:pStyle w:val="10"/>
        <w:numPr>
          <w:ilvl w:val="0"/>
          <w:numId w:val="2"/>
        </w:numPr>
        <w:spacing w:before="156" w:beforeLines="50" w:after="156" w:afterLines="50" w:line="320" w:lineRule="exact"/>
        <w:rPr>
          <w:rFonts w:ascii="宋体" w:hAnsi="宋体" w:cs="FangSong_GB2312"/>
          <w:bCs/>
        </w:rPr>
      </w:pPr>
      <w:r>
        <w:rPr>
          <w:rFonts w:hint="eastAsia" w:ascii="宋体" w:hAnsi="宋体" w:cs="FangSong_GB2312"/>
          <w:bCs/>
        </w:rPr>
        <w:t>财务决策：长短期贷款决策、股票发行和回购、发放股息、资金管理 (在集团公司内部转移基金)等。受经营决策行为影响的指标包括：销售回报率(ROS)、权益率、本债比、已动用资本回报率、股本回报率、每股盈利(EPS)、股息收益率、市盈率、累计股东总回报率等。</w:t>
      </w:r>
    </w:p>
    <w:p>
      <w:pPr>
        <w:pStyle w:val="10"/>
        <w:numPr>
          <w:ilvl w:val="0"/>
          <w:numId w:val="2"/>
        </w:numPr>
        <w:spacing w:before="156" w:beforeLines="50" w:after="156" w:afterLines="50" w:line="320" w:lineRule="exact"/>
        <w:rPr>
          <w:rFonts w:ascii="宋体" w:hAnsi="宋体" w:cs="FangSong_GB2312"/>
          <w:bCs/>
        </w:rPr>
      </w:pPr>
      <w:r>
        <w:rPr>
          <w:rFonts w:hint="eastAsia" w:ascii="微软雅黑" w:hAnsi="微软雅黑" w:eastAsia="微软雅黑" w:cs="FangSong_GB2312"/>
          <w:bCs/>
        </w:rPr>
        <w:t>★</w:t>
      </w:r>
      <w:r>
        <w:rPr>
          <w:rFonts w:hint="eastAsia" w:ascii="宋体" w:hAnsi="宋体" w:cs="FangSong_GB2312"/>
          <w:bCs/>
        </w:rPr>
        <w:t>预算管理：提供预算管理功能，能根据决策的变动动态更新，可预估集团的整体收益状况和各个市场地区的收益状况及主要财务指标。</w:t>
      </w:r>
    </w:p>
    <w:p>
      <w:pPr>
        <w:spacing w:before="156" w:beforeLines="50" w:after="156" w:afterLines="50" w:line="320" w:lineRule="exact"/>
        <w:ind w:left="360"/>
      </w:pPr>
    </w:p>
    <w:p>
      <w:pPr>
        <w:spacing w:before="156" w:beforeLines="50" w:after="156" w:afterLines="50" w:line="320" w:lineRule="exact"/>
        <w:ind w:left="360"/>
      </w:pPr>
      <w:r>
        <w:rPr>
          <w:rFonts w:hint="eastAsia"/>
        </w:rPr>
        <w:t>售后服务</w:t>
      </w:r>
    </w:p>
    <w:p>
      <w:pPr>
        <w:pStyle w:val="10"/>
        <w:numPr>
          <w:ilvl w:val="0"/>
          <w:numId w:val="3"/>
        </w:numPr>
        <w:spacing w:before="156" w:beforeLines="50" w:after="156" w:afterLines="50" w:line="320" w:lineRule="exact"/>
      </w:pPr>
      <w:r>
        <w:rPr>
          <w:rFonts w:hint="eastAsia" w:ascii="微软雅黑" w:hAnsi="微软雅黑" w:eastAsia="微软雅黑" w:cs="FangSong_GB2312"/>
          <w:bCs/>
        </w:rPr>
        <w:t>★</w:t>
      </w:r>
      <w:r>
        <w:rPr>
          <w:rFonts w:hint="eastAsia" w:ascii="宋体" w:hAnsi="宋体" w:cs="宋体"/>
        </w:rPr>
        <w:t>提供三</w:t>
      </w:r>
      <w:r>
        <w:rPr>
          <w:rFonts w:ascii="宋体" w:hAnsi="宋体" w:cs="宋体"/>
        </w:rPr>
        <w:t>年</w:t>
      </w:r>
      <w:r>
        <w:rPr>
          <w:rFonts w:hint="eastAsia" w:ascii="宋体" w:hAnsi="宋体" w:cs="宋体"/>
        </w:rPr>
        <w:t>内</w:t>
      </w:r>
      <w:r>
        <w:rPr>
          <w:rFonts w:ascii="宋体" w:hAnsi="宋体" w:cs="宋体"/>
        </w:rPr>
        <w:t>免费维护</w:t>
      </w:r>
      <w:r>
        <w:rPr>
          <w:rFonts w:hint="eastAsia" w:ascii="宋体" w:hAnsi="宋体" w:cs="宋体"/>
        </w:rPr>
        <w:t>、</w:t>
      </w:r>
      <w:r>
        <w:rPr>
          <w:rFonts w:ascii="宋体" w:hAnsi="宋体" w:cs="FangSong_GB2312"/>
          <w:bCs/>
        </w:rPr>
        <w:t>升级服务</w:t>
      </w:r>
    </w:p>
    <w:p>
      <w:pPr>
        <w:pStyle w:val="10"/>
        <w:numPr>
          <w:ilvl w:val="0"/>
          <w:numId w:val="3"/>
        </w:numPr>
        <w:spacing w:before="156" w:beforeLines="50" w:after="156" w:afterLines="50" w:line="320" w:lineRule="exact"/>
      </w:pPr>
      <w:r>
        <w:rPr>
          <w:rFonts w:hint="eastAsia"/>
        </w:rPr>
        <w:t>为教师提供1</w:t>
      </w:r>
      <w:r>
        <w:t>6</w:t>
      </w:r>
      <w:r>
        <w:rPr>
          <w:rFonts w:hint="eastAsia"/>
        </w:rPr>
        <w:t>小时标准化在线培训</w:t>
      </w:r>
    </w:p>
    <w:p>
      <w:pPr>
        <w:pStyle w:val="10"/>
        <w:numPr>
          <w:ilvl w:val="0"/>
          <w:numId w:val="3"/>
        </w:numPr>
        <w:spacing w:before="156" w:beforeLines="50" w:after="156" w:afterLines="50" w:line="320" w:lineRule="exact"/>
      </w:pPr>
      <w:r>
        <w:rPr>
          <w:rFonts w:hint="eastAsia"/>
        </w:rPr>
        <w:t>为教师提供度身定制的教学方案</w:t>
      </w:r>
    </w:p>
    <w:p>
      <w:pPr>
        <w:pStyle w:val="10"/>
        <w:numPr>
          <w:ilvl w:val="0"/>
          <w:numId w:val="3"/>
        </w:numPr>
        <w:spacing w:before="156" w:beforeLines="50" w:after="156" w:afterLines="50" w:line="320" w:lineRule="exact"/>
      </w:pPr>
      <w:r>
        <w:rPr>
          <w:rFonts w:hint="eastAsia" w:ascii="微软雅黑" w:hAnsi="微软雅黑" w:eastAsia="微软雅黑" w:cs="FangSong_GB2312"/>
          <w:bCs/>
        </w:rPr>
        <w:t>★</w:t>
      </w:r>
      <w:r>
        <w:rPr>
          <w:rFonts w:hint="eastAsia"/>
        </w:rPr>
        <w:t>提供教学用系列PPT，系列中英文视频等资料</w:t>
      </w:r>
    </w:p>
    <w:p>
      <w:pPr>
        <w:pStyle w:val="10"/>
        <w:numPr>
          <w:ilvl w:val="0"/>
          <w:numId w:val="3"/>
        </w:numPr>
        <w:spacing w:before="156" w:beforeLines="50" w:after="156" w:afterLines="50" w:line="320" w:lineRule="exact"/>
      </w:pPr>
      <w:r>
        <w:rPr>
          <w:rFonts w:hint="eastAsia"/>
        </w:rPr>
        <w:t>定期分享各院校教学笔记，为教师提供免费线上主题分享活动。</w:t>
      </w:r>
    </w:p>
    <w:p>
      <w:pPr>
        <w:pStyle w:val="10"/>
        <w:numPr>
          <w:ilvl w:val="0"/>
          <w:numId w:val="3"/>
        </w:numPr>
        <w:spacing w:before="156" w:beforeLines="50" w:after="156" w:afterLines="50" w:line="320" w:lineRule="exact"/>
      </w:pPr>
      <w:r>
        <w:rPr>
          <w:rFonts w:hint="eastAsia"/>
        </w:rPr>
        <w:t>国际赛事支撑</w:t>
      </w:r>
    </w:p>
    <w:p/>
    <w:p>
      <w:r>
        <w:rPr>
          <w:rFonts w:hint="eastAsia" w:ascii="微软雅黑" w:hAnsi="微软雅黑" w:eastAsia="微软雅黑" w:cs="FangSong_GB2312"/>
          <w:bCs/>
        </w:rPr>
        <w:t>★为必须满足条件</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FangSong_GB2312">
    <w:altName w:val="仿宋"/>
    <w:panose1 w:val="02010609060101010101"/>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1720"/>
    <w:multiLevelType w:val="multilevel"/>
    <w:tmpl w:val="18FB17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9711EAC"/>
    <w:multiLevelType w:val="multilevel"/>
    <w:tmpl w:val="59711EAC"/>
    <w:lvl w:ilvl="0" w:tentative="0">
      <w:start w:val="1"/>
      <w:numFmt w:val="decimal"/>
      <w:lvlText w:val="%1."/>
      <w:lvlJc w:val="left"/>
      <w:pPr>
        <w:ind w:left="720" w:hanging="360"/>
      </w:pPr>
      <w:rPr>
        <w:rFonts w:hint="default" w:ascii="宋体" w:hAnsi="宋体" w:cs="FangSong_GB231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0205B67"/>
    <w:multiLevelType w:val="multilevel"/>
    <w:tmpl w:val="70205B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ED586D"/>
    <w:rsid w:val="001153D9"/>
    <w:rsid w:val="00304553"/>
    <w:rsid w:val="00385ECA"/>
    <w:rsid w:val="004944D2"/>
    <w:rsid w:val="005451EA"/>
    <w:rsid w:val="00620146"/>
    <w:rsid w:val="00634D15"/>
    <w:rsid w:val="00676A29"/>
    <w:rsid w:val="006F795F"/>
    <w:rsid w:val="007023A1"/>
    <w:rsid w:val="00766430"/>
    <w:rsid w:val="007D560A"/>
    <w:rsid w:val="007E319C"/>
    <w:rsid w:val="009213E5"/>
    <w:rsid w:val="00A83375"/>
    <w:rsid w:val="00B93AFB"/>
    <w:rsid w:val="00C32A61"/>
    <w:rsid w:val="00C40866"/>
    <w:rsid w:val="00C820E1"/>
    <w:rsid w:val="00C83385"/>
    <w:rsid w:val="00CD43F3"/>
    <w:rsid w:val="00D62641"/>
    <w:rsid w:val="00E07DEE"/>
    <w:rsid w:val="00E83389"/>
    <w:rsid w:val="044F4178"/>
    <w:rsid w:val="065C5D82"/>
    <w:rsid w:val="06B72BD5"/>
    <w:rsid w:val="0CC407EB"/>
    <w:rsid w:val="1D3E05DF"/>
    <w:rsid w:val="1DC04C2A"/>
    <w:rsid w:val="22AC19AB"/>
    <w:rsid w:val="24ED586D"/>
    <w:rsid w:val="288E1E45"/>
    <w:rsid w:val="3CEF6955"/>
    <w:rsid w:val="48D9210F"/>
    <w:rsid w:val="4B6E7A7E"/>
    <w:rsid w:val="4BC279D6"/>
    <w:rsid w:val="4DC41687"/>
    <w:rsid w:val="4FA22133"/>
    <w:rsid w:val="551A24FB"/>
    <w:rsid w:val="587E412B"/>
    <w:rsid w:val="5DA56186"/>
    <w:rsid w:val="60260370"/>
    <w:rsid w:val="62FA6803"/>
    <w:rsid w:val="65EA1E06"/>
    <w:rsid w:val="6B1B7B5B"/>
    <w:rsid w:val="6CAF745C"/>
    <w:rsid w:val="7269714F"/>
    <w:rsid w:val="7B8F05CE"/>
    <w:rsid w:val="7BE91E41"/>
    <w:rsid w:val="7E7B6289"/>
    <w:rsid w:val="7F6A30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000000"/>
      <w:sz w:val="22"/>
      <w:szCs w:val="22"/>
      <w:u w:val="none"/>
    </w:rPr>
  </w:style>
  <w:style w:type="character" w:customStyle="1" w:styleId="7">
    <w:name w:val="font11"/>
    <w:basedOn w:val="5"/>
    <w:qFormat/>
    <w:uiPriority w:val="0"/>
    <w:rPr>
      <w:rFonts w:hint="eastAsia" w:ascii="宋体" w:hAnsi="宋体" w:eastAsia="宋体" w:cs="宋体"/>
      <w:color w:val="000000"/>
      <w:sz w:val="22"/>
      <w:szCs w:val="22"/>
      <w:u w:val="singl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 w:type="paragraph" w:styleId="10">
    <w:name w:val="List Paragraph"/>
    <w:basedOn w:val="1"/>
    <w:qFormat/>
    <w:uiPriority w:val="34"/>
    <w:pPr>
      <w:widowControl/>
      <w:spacing w:after="160" w:line="259" w:lineRule="auto"/>
      <w:ind w:left="720"/>
      <w:contextualSpacing/>
      <w:jc w:val="left"/>
    </w:pPr>
    <w:rPr>
      <w:kern w:val="0"/>
      <w:sz w:val="22"/>
      <w:szCs w:val="22"/>
    </w:rPr>
  </w:style>
  <w:style w:type="paragraph" w:customStyle="1" w:styleId="11">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354</Words>
  <Characters>2020</Characters>
  <Lines>16</Lines>
  <Paragraphs>4</Paragraphs>
  <TotalTime>45</TotalTime>
  <ScaleCrop>false</ScaleCrop>
  <LinksUpToDate>false</LinksUpToDate>
  <CharactersWithSpaces>2370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2020-10-23T02:04:00Z</dcterms:created>
  <dc:creator>俞玲泉</dc:creator>
  <cp:lastModifiedBy>鲍</cp:lastModifiedBy>
  <dcterms:modified xsi:type="dcterms:W3CDTF">2020-11-13T02:40:40Z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