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eastAsia="宋体" w:cs="宋体"/>
          <w:b/>
          <w:color w:val="000000"/>
          <w:kern w:val="0"/>
          <w:sz w:val="40"/>
          <w:szCs w:val="40"/>
        </w:rPr>
        <w:t>浙江财经大学反向竞价申请表</w:t>
      </w:r>
    </w:p>
    <w:tbl>
      <w:tblPr>
        <w:tblStyle w:val="4"/>
        <w:tblW w:w="9035" w:type="dxa"/>
        <w:jc w:val="center"/>
        <w:tblLayout w:type="fixed"/>
        <w:tblCellMar>
          <w:top w:w="0" w:type="dxa"/>
          <w:left w:w="0" w:type="dxa"/>
          <w:bottom w:w="0" w:type="dxa"/>
          <w:right w:w="0" w:type="dxa"/>
        </w:tblCellMar>
      </w:tblPr>
      <w:tblGrid>
        <w:gridCol w:w="1842"/>
        <w:gridCol w:w="1428"/>
        <w:gridCol w:w="2318"/>
        <w:gridCol w:w="1514"/>
        <w:gridCol w:w="1933"/>
      </w:tblGrid>
      <w:tr>
        <w:tblPrEx>
          <w:tblCellMar>
            <w:top w:w="0" w:type="dxa"/>
            <w:left w:w="0" w:type="dxa"/>
            <w:bottom w:w="0" w:type="dxa"/>
            <w:right w:w="0" w:type="dxa"/>
          </w:tblCellMar>
        </w:tblPrEx>
        <w:trPr>
          <w:trHeight w:val="640" w:hRule="atLeast"/>
          <w:jc w:val="center"/>
        </w:trPr>
        <w:tc>
          <w:tcPr>
            <w:tcW w:w="18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商品信息</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品牌</w:t>
            </w:r>
          </w:p>
        </w:tc>
        <w:tc>
          <w:tcPr>
            <w:tcW w:w="2318"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CESIM模拟</w:t>
            </w:r>
          </w:p>
        </w:tc>
        <w:tc>
          <w:tcPr>
            <w:tcW w:w="151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b/>
                <w:bCs/>
                <w:color w:val="000000"/>
                <w:sz w:val="22"/>
                <w:szCs w:val="22"/>
              </w:rPr>
            </w:pPr>
            <w:r>
              <w:rPr>
                <w:rFonts w:hint="eastAsia" w:ascii="宋体" w:hAnsi="宋体" w:eastAsia="宋体" w:cs="宋体"/>
                <w:b/>
                <w:bCs/>
                <w:color w:val="000000"/>
                <w:sz w:val="22"/>
                <w:szCs w:val="22"/>
              </w:rPr>
              <w:t>商品数量</w:t>
            </w:r>
          </w:p>
        </w:tc>
        <w:tc>
          <w:tcPr>
            <w:tcW w:w="1933"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r>
      <w:tr>
        <w:tblPrEx>
          <w:tblCellMar>
            <w:top w:w="0" w:type="dxa"/>
            <w:left w:w="0" w:type="dxa"/>
            <w:bottom w:w="0" w:type="dxa"/>
            <w:right w:w="0" w:type="dxa"/>
          </w:tblCellMar>
        </w:tblPrEx>
        <w:trPr>
          <w:trHeight w:val="640" w:hRule="atLeast"/>
          <w:jc w:val="center"/>
        </w:trPr>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型号</w:t>
            </w:r>
          </w:p>
        </w:tc>
        <w:tc>
          <w:tcPr>
            <w:tcW w:w="2318"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Global Challenge</w:t>
            </w:r>
          </w:p>
        </w:tc>
        <w:tc>
          <w:tcPr>
            <w:tcW w:w="151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b/>
                <w:bCs/>
                <w:color w:val="000000"/>
                <w:sz w:val="22"/>
                <w:szCs w:val="22"/>
              </w:rPr>
            </w:pPr>
            <w:r>
              <w:rPr>
                <w:rFonts w:hint="eastAsia" w:ascii="宋体" w:hAnsi="宋体" w:eastAsia="宋体" w:cs="宋体"/>
                <w:b/>
                <w:bCs/>
                <w:color w:val="000000"/>
                <w:sz w:val="22"/>
                <w:szCs w:val="22"/>
              </w:rPr>
              <w:t>控制总价</w:t>
            </w:r>
          </w:p>
        </w:tc>
        <w:tc>
          <w:tcPr>
            <w:tcW w:w="1933"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25万元</w:t>
            </w:r>
          </w:p>
        </w:tc>
      </w:tr>
      <w:tr>
        <w:tblPrEx>
          <w:tblCellMar>
            <w:top w:w="0" w:type="dxa"/>
            <w:left w:w="0" w:type="dxa"/>
            <w:bottom w:w="0" w:type="dxa"/>
            <w:right w:w="0" w:type="dxa"/>
          </w:tblCellMar>
        </w:tblPrEx>
        <w:trPr>
          <w:trHeight w:val="640" w:hRule="atLeast"/>
          <w:jc w:val="center"/>
        </w:trPr>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商品名称</w:t>
            </w:r>
          </w:p>
        </w:tc>
        <w:tc>
          <w:tcPr>
            <w:tcW w:w="2318"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rPr>
              <w:t>国际化企业综合管理模拟课程平台</w:t>
            </w:r>
          </w:p>
        </w:tc>
        <w:tc>
          <w:tcPr>
            <w:tcW w:w="151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b/>
                <w:bCs/>
                <w:color w:val="000000"/>
                <w:sz w:val="22"/>
                <w:szCs w:val="22"/>
              </w:rPr>
            </w:pPr>
            <w:r>
              <w:rPr>
                <w:rFonts w:hint="eastAsia" w:ascii="宋体" w:hAnsi="宋体" w:eastAsia="宋体" w:cs="宋体"/>
                <w:b/>
                <w:bCs/>
                <w:color w:val="000000"/>
                <w:sz w:val="22"/>
                <w:szCs w:val="22"/>
              </w:rPr>
              <w:t>价格下浮标准</w:t>
            </w:r>
          </w:p>
        </w:tc>
        <w:tc>
          <w:tcPr>
            <w:tcW w:w="1933"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w:t>
            </w:r>
          </w:p>
        </w:tc>
      </w:tr>
      <w:tr>
        <w:tblPrEx>
          <w:tblCellMar>
            <w:top w:w="0" w:type="dxa"/>
            <w:left w:w="0" w:type="dxa"/>
            <w:bottom w:w="0" w:type="dxa"/>
            <w:right w:w="0" w:type="dxa"/>
          </w:tblCellMar>
        </w:tblPrEx>
        <w:trPr>
          <w:trHeight w:val="672" w:hRule="atLeast"/>
          <w:jc w:val="center"/>
        </w:trPr>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商品参数</w:t>
            </w:r>
          </w:p>
        </w:tc>
        <w:tc>
          <w:tcPr>
            <w:tcW w:w="5765" w:type="dxa"/>
            <w:gridSpan w:val="3"/>
            <w:tcBorders>
              <w:top w:val="single" w:color="000000" w:sz="4" w:space="0"/>
              <w:left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见附件</w:t>
            </w:r>
            <w:r>
              <w:rPr>
                <w:rFonts w:hint="eastAsia" w:ascii="宋体" w:hAnsi="宋体" w:eastAsia="宋体" w:cs="宋体"/>
                <w:color w:val="000000"/>
                <w:sz w:val="20"/>
                <w:szCs w:val="20"/>
              </w:rPr>
              <w:t>1</w:t>
            </w:r>
            <w:r>
              <w:rPr>
                <w:rFonts w:ascii="宋体" w:hAnsi="宋体" w:eastAsia="宋体" w:cs="宋体"/>
                <w:color w:val="000000"/>
                <w:sz w:val="20"/>
                <w:szCs w:val="20"/>
              </w:rPr>
              <w:t>参数表</w:t>
            </w:r>
          </w:p>
        </w:tc>
      </w:tr>
      <w:tr>
        <w:tblPrEx>
          <w:tblCellMar>
            <w:top w:w="0" w:type="dxa"/>
            <w:left w:w="0" w:type="dxa"/>
            <w:bottom w:w="0" w:type="dxa"/>
            <w:right w:w="0" w:type="dxa"/>
          </w:tblCellMar>
        </w:tblPrEx>
        <w:trPr>
          <w:trHeight w:val="640" w:hRule="atLeast"/>
          <w:jc w:val="center"/>
        </w:trPr>
        <w:tc>
          <w:tcPr>
            <w:tcW w:w="1842"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供应商特殊要求</w:t>
            </w:r>
          </w:p>
        </w:tc>
        <w:tc>
          <w:tcPr>
            <w:tcW w:w="71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无</w:t>
            </w:r>
            <w:bookmarkStart w:id="0" w:name="_GoBack"/>
            <w:bookmarkEnd w:id="0"/>
          </w:p>
        </w:tc>
      </w:tr>
      <w:tr>
        <w:tblPrEx>
          <w:tblCellMar>
            <w:top w:w="0" w:type="dxa"/>
            <w:left w:w="0" w:type="dxa"/>
            <w:bottom w:w="0" w:type="dxa"/>
            <w:right w:w="0" w:type="dxa"/>
          </w:tblCellMar>
        </w:tblPrEx>
        <w:trPr>
          <w:trHeight w:val="3162" w:hRule="atLeast"/>
          <w:jc w:val="center"/>
        </w:trPr>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sz w:val="22"/>
                <w:szCs w:val="22"/>
              </w:rPr>
              <w:t>商务要求</w:t>
            </w:r>
          </w:p>
        </w:tc>
        <w:tc>
          <w:tcPr>
            <w:tcW w:w="71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93" w:beforeLines="30" w:after="93" w:afterLines="30" w:line="288" w:lineRule="auto"/>
              <w:ind w:firstLine="220" w:firstLineChars="100"/>
              <w:rPr>
                <w:rFonts w:ascii="宋体" w:hAnsi="宋体" w:eastAsia="宋体" w:cs="宋体"/>
                <w:sz w:val="22"/>
                <w:szCs w:val="22"/>
              </w:rPr>
            </w:pPr>
            <w:r>
              <w:rPr>
                <w:rFonts w:hint="eastAsia" w:ascii="宋体" w:hAnsi="宋体" w:eastAsia="宋体" w:cs="宋体"/>
                <w:sz w:val="22"/>
                <w:szCs w:val="22"/>
              </w:rPr>
              <w:t>1、有依法缴纳税收和社会保障资金的良好记录；</w:t>
            </w:r>
          </w:p>
          <w:p>
            <w:pPr>
              <w:spacing w:before="156" w:beforeLines="50" w:after="156" w:afterLines="50" w:line="320" w:lineRule="exact"/>
              <w:ind w:firstLine="210" w:firstLineChars="100"/>
              <w:rPr>
                <w:rFonts w:ascii="宋体" w:hAnsi="宋体" w:eastAsia="宋体" w:cs="宋体"/>
                <w:sz w:val="22"/>
                <w:szCs w:val="22"/>
              </w:rPr>
            </w:pPr>
            <w:r>
              <w:rPr>
                <w:rFonts w:hint="eastAsia"/>
              </w:rPr>
              <w:t>2、</w:t>
            </w:r>
            <w:r>
              <w:rPr>
                <w:rFonts w:hint="eastAsia" w:ascii="宋体" w:hAnsi="宋体" w:eastAsia="宋体" w:cs="宋体"/>
                <w:sz w:val="22"/>
                <w:szCs w:val="22"/>
              </w:rPr>
              <w:t>参加政府采购活动前三年内，在经营活动中没有重大违法记录；</w:t>
            </w:r>
          </w:p>
          <w:p>
            <w:pPr>
              <w:spacing w:before="156" w:beforeLines="50" w:after="156" w:afterLines="50" w:line="320" w:lineRule="exact"/>
              <w:ind w:firstLine="220" w:firstLineChars="100"/>
              <w:rPr>
                <w:rFonts w:hint="eastAsia" w:ascii="宋体" w:hAnsi="宋体" w:eastAsia="宋体" w:cs="宋体"/>
                <w:sz w:val="22"/>
                <w:szCs w:val="22"/>
              </w:rPr>
            </w:pPr>
            <w:r>
              <w:rPr>
                <w:rFonts w:hint="eastAsia" w:ascii="宋体" w:hAnsi="宋体" w:eastAsia="宋体" w:cs="宋体"/>
                <w:sz w:val="22"/>
                <w:szCs w:val="22"/>
              </w:rPr>
              <w:t>3、售后服务承诺。</w:t>
            </w:r>
          </w:p>
          <w:p>
            <w:pPr>
              <w:spacing w:before="156" w:beforeLines="50" w:after="156" w:afterLines="50" w:line="320" w:lineRule="exact"/>
              <w:ind w:firstLine="220" w:firstLineChars="10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4、质保金</w:t>
            </w:r>
          </w:p>
        </w:tc>
      </w:tr>
      <w:tr>
        <w:tblPrEx>
          <w:tblCellMar>
            <w:top w:w="0" w:type="dxa"/>
            <w:left w:w="0" w:type="dxa"/>
            <w:bottom w:w="0" w:type="dxa"/>
            <w:right w:w="0" w:type="dxa"/>
          </w:tblCellMar>
        </w:tblPrEx>
        <w:trPr>
          <w:trHeight w:val="796" w:hRule="atLeast"/>
          <w:jc w:val="center"/>
        </w:trPr>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sz w:val="22"/>
                <w:szCs w:val="22"/>
              </w:rPr>
              <w:t>送货期限</w:t>
            </w:r>
          </w:p>
        </w:tc>
        <w:tc>
          <w:tcPr>
            <w:tcW w:w="71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合同生效后</w:t>
            </w:r>
            <w:r>
              <w:rPr>
                <w:rFonts w:hint="eastAsia" w:ascii="宋体" w:hAnsi="宋体" w:eastAsia="宋体" w:cs="宋体"/>
                <w:color w:val="000000"/>
                <w:sz w:val="20"/>
                <w:szCs w:val="20"/>
                <w:highlight w:val="yellow"/>
                <w:u w:val="single"/>
              </w:rPr>
              <w:t>7</w:t>
            </w:r>
            <w:r>
              <w:rPr>
                <w:rFonts w:hint="eastAsia" w:ascii="宋体" w:hAnsi="宋体" w:eastAsia="宋体" w:cs="宋体"/>
                <w:color w:val="000000"/>
                <w:sz w:val="20"/>
                <w:szCs w:val="20"/>
              </w:rPr>
              <w:t>个工作日内送货。（备注：/ ）</w:t>
            </w:r>
          </w:p>
        </w:tc>
      </w:tr>
      <w:tr>
        <w:tblPrEx>
          <w:tblCellMar>
            <w:top w:w="0" w:type="dxa"/>
            <w:left w:w="0" w:type="dxa"/>
            <w:bottom w:w="0" w:type="dxa"/>
            <w:right w:w="0" w:type="dxa"/>
          </w:tblCellMar>
        </w:tblPrEx>
        <w:trPr>
          <w:trHeight w:val="1040" w:hRule="atLeast"/>
          <w:jc w:val="center"/>
        </w:trPr>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sz w:val="22"/>
                <w:szCs w:val="22"/>
              </w:rPr>
              <w:t>收货信息</w:t>
            </w:r>
          </w:p>
        </w:tc>
        <w:tc>
          <w:tcPr>
            <w:tcW w:w="71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00" w:firstLineChars="100"/>
              <w:rPr>
                <w:rFonts w:ascii="宋体" w:hAnsi="宋体" w:eastAsia="宋体" w:cs="宋体"/>
                <w:color w:val="FF0000"/>
                <w:sz w:val="20"/>
                <w:szCs w:val="20"/>
              </w:rPr>
            </w:pPr>
            <w:r>
              <w:rPr>
                <w:rFonts w:hint="eastAsia" w:ascii="宋体" w:hAnsi="宋体" w:eastAsia="宋体" w:cs="宋体"/>
                <w:color w:val="FF0000"/>
                <w:sz w:val="20"/>
                <w:szCs w:val="20"/>
              </w:rPr>
              <w:t>浙江省杭州市钱塘新区下沙高教园区学源街18号浙江财经大学行政楼</w:t>
            </w:r>
          </w:p>
          <w:p>
            <w:pPr>
              <w:ind w:firstLine="200" w:firstLineChars="100"/>
              <w:rPr>
                <w:rFonts w:ascii="宋体" w:hAnsi="宋体" w:eastAsia="宋体" w:cs="宋体"/>
                <w:color w:val="000000"/>
                <w:sz w:val="20"/>
                <w:szCs w:val="20"/>
              </w:rPr>
            </w:pPr>
            <w:r>
              <w:rPr>
                <w:rFonts w:hint="eastAsia" w:ascii="宋体" w:hAnsi="宋体" w:eastAsia="宋体" w:cs="宋体"/>
                <w:color w:val="FF0000"/>
                <w:sz w:val="20"/>
                <w:szCs w:val="20"/>
              </w:rPr>
              <w:t xml:space="preserve">  13003686708</w:t>
            </w:r>
          </w:p>
        </w:tc>
      </w:tr>
      <w:tr>
        <w:tblPrEx>
          <w:tblCellMar>
            <w:top w:w="0" w:type="dxa"/>
            <w:left w:w="0" w:type="dxa"/>
            <w:bottom w:w="0" w:type="dxa"/>
            <w:right w:w="0" w:type="dxa"/>
          </w:tblCellMar>
        </w:tblPrEx>
        <w:trPr>
          <w:trHeight w:val="840" w:hRule="atLeast"/>
          <w:jc w:val="center"/>
        </w:trPr>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备注</w:t>
            </w:r>
          </w:p>
        </w:tc>
        <w:tc>
          <w:tcPr>
            <w:tcW w:w="71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r>
    </w:tbl>
    <w:p/>
    <w:p/>
    <w:p/>
    <w:p/>
    <w:p/>
    <w:p>
      <w:pPr>
        <w:spacing w:before="156" w:beforeLines="50" w:after="156" w:afterLines="50" w:line="320" w:lineRule="exact"/>
        <w:rPr>
          <w:rFonts w:ascii="宋体" w:hAnsi="宋体" w:cs="FangSong_GB2312"/>
          <w:b/>
          <w:bCs/>
        </w:rPr>
      </w:pPr>
      <w:r>
        <w:rPr>
          <w:rFonts w:hint="eastAsia" w:ascii="宋体" w:hAnsi="宋体" w:cs="FangSong_GB2312"/>
          <w:b/>
          <w:bCs/>
        </w:rPr>
        <w:t>附件1</w:t>
      </w:r>
    </w:p>
    <w:p>
      <w:pPr>
        <w:spacing w:before="156" w:beforeLines="50" w:after="156" w:afterLines="50" w:line="320" w:lineRule="exact"/>
        <w:rPr>
          <w:rFonts w:ascii="宋体" w:hAnsi="宋体" w:cs="FangSong_GB2312"/>
          <w:b/>
          <w:bCs/>
        </w:rPr>
      </w:pPr>
      <w:r>
        <w:rPr>
          <w:rFonts w:hint="eastAsia" w:ascii="宋体" w:hAnsi="宋体" w:cs="FangSong_GB2312"/>
          <w:b/>
          <w:bCs/>
        </w:rPr>
        <w:t>主要技术参数：</w:t>
      </w:r>
    </w:p>
    <w:p>
      <w:pPr>
        <w:pStyle w:val="10"/>
        <w:numPr>
          <w:ilvl w:val="0"/>
          <w:numId w:val="1"/>
        </w:numPr>
        <w:spacing w:before="156" w:beforeLines="50" w:after="156" w:afterLines="50" w:line="320" w:lineRule="exact"/>
        <w:jc w:val="both"/>
      </w:pPr>
      <w:r>
        <w:rPr>
          <w:rFonts w:ascii="宋体" w:hAnsi="宋体" w:cs="FangSong_GB2312"/>
          <w:bCs/>
        </w:rPr>
        <w:t>★</w:t>
      </w:r>
      <w:r>
        <w:rPr>
          <w:rFonts w:hint="eastAsia" w:ascii="宋体" w:hAnsi="宋体" w:cs="FangSong_GB2312"/>
          <w:bCs/>
        </w:rPr>
        <w:t>平台要求支持Android、IOS、Windows等各种操作系统，可以在电脑、iPad和各类平板电脑以及智能手机上操作使用。可在线远程操作，不需要</w:t>
      </w:r>
      <w:r>
        <w:t>下载或安装应用程序或客户端类型</w:t>
      </w:r>
      <w:r>
        <w:rPr>
          <w:rFonts w:hint="eastAsia"/>
        </w:rPr>
        <w:t>。仅支持在浏览器上运行系统，</w:t>
      </w:r>
      <w:r>
        <w:t>如IE，Firefox，Chrome，</w:t>
      </w:r>
      <w:r>
        <w:rPr>
          <w:rFonts w:hint="eastAsia"/>
        </w:rPr>
        <w:t>QQ</w:t>
      </w:r>
      <w:r>
        <w:t>，</w:t>
      </w:r>
      <w:r>
        <w:rPr>
          <w:rFonts w:hint="eastAsia"/>
        </w:rPr>
        <w:t>搜狐，</w:t>
      </w:r>
      <w:r>
        <w:t>Safari等浏览器都可以支持系统的使用。</w:t>
      </w:r>
    </w:p>
    <w:p>
      <w:pPr>
        <w:pStyle w:val="10"/>
        <w:spacing w:before="156" w:beforeLines="50" w:after="156" w:afterLines="50" w:line="320" w:lineRule="exact"/>
        <w:ind w:left="550"/>
        <w:jc w:val="both"/>
      </w:pPr>
    </w:p>
    <w:p>
      <w:pPr>
        <w:pStyle w:val="10"/>
        <w:numPr>
          <w:ilvl w:val="0"/>
          <w:numId w:val="1"/>
        </w:numPr>
        <w:spacing w:before="156" w:beforeLines="50" w:after="156" w:afterLines="50" w:line="320" w:lineRule="exact"/>
        <w:jc w:val="both"/>
      </w:pPr>
      <w:r>
        <w:rPr>
          <w:rFonts w:hint="eastAsia" w:ascii="宋体" w:hAnsi="宋体" w:cs="FangSong_GB2312"/>
          <w:bCs/>
        </w:rPr>
        <w:t>系统最大并发链接数高于1000，能够让学生大规模同时使用的功能，满足学校组织并进行校内模拟比赛的要求。所有的使用指南和案例内容设置在平台中，随时可以下载或网上阅读。</w:t>
      </w:r>
    </w:p>
    <w:p>
      <w:pPr>
        <w:spacing w:before="156" w:beforeLines="50" w:after="156" w:afterLines="50" w:line="320" w:lineRule="exact"/>
      </w:pPr>
    </w:p>
    <w:p>
      <w:pPr>
        <w:pStyle w:val="10"/>
        <w:numPr>
          <w:ilvl w:val="0"/>
          <w:numId w:val="1"/>
        </w:numPr>
        <w:spacing w:before="156" w:beforeLines="50" w:after="156" w:afterLines="50" w:line="320" w:lineRule="exact"/>
        <w:jc w:val="both"/>
        <w:rPr>
          <w:rFonts w:ascii="宋体" w:hAnsi="宋体" w:cs="FangSong_GB2312"/>
          <w:bCs/>
        </w:rPr>
      </w:pPr>
      <w:r>
        <w:rPr>
          <w:rFonts w:hint="eastAsia" w:ascii="宋体" w:hAnsi="宋体" w:cs="FangSong_GB2312"/>
          <w:bCs/>
        </w:rPr>
        <w:t>平台具备决策模块可选择的特点，教师端可以修改案例或参数以适合不同年级和知识结构的学生使用。系统同时具有友好的界面等特点，数字与图表配比合理。系统所提供的经营报告不但能够以数据和图表的形式在互联网上浏览，而且能导出为Excel文件用于分析。</w:t>
      </w:r>
    </w:p>
    <w:p>
      <w:pPr>
        <w:spacing w:before="156" w:beforeLines="50" w:after="156" w:afterLines="50" w:line="320" w:lineRule="exact"/>
        <w:rPr>
          <w:rFonts w:ascii="宋体" w:hAnsi="宋体" w:cs="FangSong_GB2312"/>
          <w:bCs/>
        </w:rPr>
      </w:pPr>
    </w:p>
    <w:p>
      <w:pPr>
        <w:pStyle w:val="10"/>
        <w:numPr>
          <w:ilvl w:val="0"/>
          <w:numId w:val="1"/>
        </w:numPr>
        <w:spacing w:before="156" w:beforeLines="50" w:after="156" w:afterLines="50" w:line="320" w:lineRule="exact"/>
        <w:jc w:val="both"/>
        <w:rPr>
          <w:rFonts w:ascii="宋体" w:hAnsi="宋体" w:cs="FangSong_GB2312"/>
          <w:bCs/>
        </w:rPr>
      </w:pPr>
      <w:r>
        <w:rPr>
          <w:rFonts w:hint="eastAsia" w:ascii="微软雅黑" w:hAnsi="微软雅黑" w:eastAsia="微软雅黑" w:cs="FangSong_GB2312"/>
          <w:bCs/>
        </w:rPr>
        <w:t>★</w:t>
      </w:r>
      <w:r>
        <w:rPr>
          <w:rFonts w:hint="eastAsia" w:ascii="宋体" w:hAnsi="宋体" w:cs="FangSong_GB2312"/>
          <w:bCs/>
        </w:rPr>
        <w:t>内容应符合国际化经营管理理念，选用国际化案例。平台需具备至少两个以上的标准化案例，模拟至少两个不同的行业。各类经济指标国际化，如财务指标，国际化税收定义等。模拟中的案例内容能够与真实的市场环境密切相结合。</w:t>
      </w:r>
    </w:p>
    <w:p>
      <w:pPr>
        <w:spacing w:before="156" w:beforeLines="50" w:after="156" w:afterLines="50" w:line="320" w:lineRule="exact"/>
        <w:rPr>
          <w:rFonts w:ascii="宋体" w:hAnsi="宋体" w:cs="FangSong_GB2312"/>
          <w:bCs/>
        </w:rPr>
      </w:pPr>
    </w:p>
    <w:p>
      <w:pPr>
        <w:pStyle w:val="10"/>
        <w:numPr>
          <w:ilvl w:val="0"/>
          <w:numId w:val="1"/>
        </w:numPr>
        <w:spacing w:before="156" w:beforeLines="50" w:after="156" w:afterLines="50" w:line="320" w:lineRule="exact"/>
        <w:jc w:val="both"/>
        <w:rPr>
          <w:rFonts w:ascii="宋体" w:hAnsi="宋体" w:cs="FangSong_GB2312"/>
          <w:bCs/>
        </w:rPr>
      </w:pPr>
      <w:r>
        <w:rPr>
          <w:rFonts w:hint="eastAsia" w:ascii="微软雅黑" w:hAnsi="微软雅黑" w:eastAsia="微软雅黑" w:cs="FangSong_GB2312"/>
          <w:bCs/>
        </w:rPr>
        <w:t>★</w:t>
      </w:r>
      <w:r>
        <w:rPr>
          <w:rFonts w:hint="eastAsia" w:ascii="宋体" w:hAnsi="宋体" w:cs="FangSong_GB2312"/>
          <w:bCs/>
        </w:rPr>
        <w:t>平台具备计算小组决策结果和个人单独决策结果的功能，符合国际性认证中的对于实践教学要求客观评分的要求。如4</w:t>
      </w:r>
      <w:r>
        <w:rPr>
          <w:rFonts w:ascii="宋体" w:hAnsi="宋体" w:cs="FangSong_GB2312"/>
          <w:bCs/>
        </w:rPr>
        <w:t>0</w:t>
      </w:r>
      <w:r>
        <w:rPr>
          <w:rFonts w:hint="eastAsia" w:ascii="宋体" w:hAnsi="宋体" w:cs="FangSong_GB2312"/>
          <w:bCs/>
        </w:rPr>
        <w:t>人分成1</w:t>
      </w:r>
      <w:r>
        <w:rPr>
          <w:rFonts w:ascii="宋体" w:hAnsi="宋体" w:cs="FangSong_GB2312"/>
          <w:bCs/>
        </w:rPr>
        <w:t>0</w:t>
      </w:r>
      <w:r>
        <w:rPr>
          <w:rFonts w:hint="eastAsia" w:ascii="宋体" w:hAnsi="宋体" w:cs="FangSong_GB2312"/>
          <w:bCs/>
        </w:rPr>
        <w:t>组的课程，平台不仅可以显示1</w:t>
      </w:r>
      <w:r>
        <w:rPr>
          <w:rFonts w:ascii="宋体" w:hAnsi="宋体" w:cs="FangSong_GB2312"/>
          <w:bCs/>
        </w:rPr>
        <w:t>0</w:t>
      </w:r>
      <w:r>
        <w:rPr>
          <w:rFonts w:hint="eastAsia" w:ascii="宋体" w:hAnsi="宋体" w:cs="FangSong_GB2312"/>
          <w:bCs/>
        </w:rPr>
        <w:t>组决策的结果，也同时可以显示4</w:t>
      </w:r>
      <w:r>
        <w:rPr>
          <w:rFonts w:ascii="宋体" w:hAnsi="宋体" w:cs="FangSong_GB2312"/>
          <w:bCs/>
        </w:rPr>
        <w:t>0</w:t>
      </w:r>
      <w:r>
        <w:rPr>
          <w:rFonts w:hint="eastAsia" w:ascii="宋体" w:hAnsi="宋体" w:cs="FangSong_GB2312"/>
          <w:bCs/>
        </w:rPr>
        <w:t>个的每一位学生决策的单独结果。</w:t>
      </w:r>
    </w:p>
    <w:p>
      <w:pPr>
        <w:spacing w:before="156" w:beforeLines="50" w:after="156" w:afterLines="50" w:line="320" w:lineRule="exact"/>
        <w:rPr>
          <w:rFonts w:ascii="宋体" w:hAnsi="宋体" w:cs="FangSong_GB2312"/>
          <w:bCs/>
        </w:rPr>
      </w:pPr>
    </w:p>
    <w:p>
      <w:pPr>
        <w:pStyle w:val="10"/>
        <w:numPr>
          <w:ilvl w:val="0"/>
          <w:numId w:val="1"/>
        </w:numPr>
        <w:spacing w:before="156" w:beforeLines="50" w:after="156" w:afterLines="50" w:line="320" w:lineRule="exact"/>
        <w:jc w:val="both"/>
        <w:rPr>
          <w:rFonts w:ascii="宋体" w:hAnsi="宋体" w:cs="FangSong_GB2312"/>
          <w:bCs/>
        </w:rPr>
      </w:pPr>
      <w:r>
        <w:rPr>
          <w:rFonts w:hint="eastAsia" w:ascii="微软雅黑" w:hAnsi="微软雅黑" w:eastAsia="微软雅黑" w:cs="FangSong_GB2312"/>
          <w:bCs/>
        </w:rPr>
        <w:t>★</w:t>
      </w:r>
      <w:r>
        <w:rPr>
          <w:rFonts w:hint="eastAsia" w:ascii="宋体" w:hAnsi="宋体" w:cs="FangSong_GB2312"/>
          <w:bCs/>
        </w:rPr>
        <w:t>平台包含中英文在内的多语言选择，可以在不同语言之间随时相互切换，方便各国学生（本校留学生）的使用和交流。</w:t>
      </w:r>
    </w:p>
    <w:p>
      <w:pPr>
        <w:spacing w:before="156" w:beforeLines="50" w:after="156" w:afterLines="50" w:line="320" w:lineRule="exact"/>
        <w:rPr>
          <w:rFonts w:ascii="宋体" w:hAnsi="宋体" w:cs="FangSong_GB2312"/>
          <w:bCs/>
        </w:rPr>
      </w:pPr>
    </w:p>
    <w:p>
      <w:pPr>
        <w:pStyle w:val="10"/>
        <w:numPr>
          <w:ilvl w:val="0"/>
          <w:numId w:val="1"/>
        </w:numPr>
        <w:spacing w:before="156" w:beforeLines="50" w:after="156" w:afterLines="50" w:line="320" w:lineRule="exact"/>
        <w:jc w:val="both"/>
        <w:rPr>
          <w:rFonts w:ascii="宋体" w:hAnsi="宋体" w:cs="FangSong_GB2312"/>
          <w:bCs/>
        </w:rPr>
      </w:pPr>
      <w:r>
        <w:rPr>
          <w:rFonts w:hint="eastAsia" w:ascii="微软雅黑" w:hAnsi="微软雅黑" w:eastAsia="微软雅黑" w:cs="FangSong_GB2312"/>
          <w:bCs/>
        </w:rPr>
        <w:t>★</w:t>
      </w:r>
      <w:r>
        <w:rPr>
          <w:rFonts w:hint="eastAsia" w:ascii="宋体" w:hAnsi="宋体" w:cs="FangSong_GB2312"/>
          <w:bCs/>
        </w:rPr>
        <w:t>模拟平台符合在线教学要求，不仅提供决策内容，更辅以在线小测验，学生日志时间，交流论坛，决策结果预览等功能提升在线教学的质量。</w:t>
      </w:r>
    </w:p>
    <w:p>
      <w:pPr>
        <w:spacing w:before="156" w:beforeLines="50" w:after="156" w:afterLines="50" w:line="320" w:lineRule="exact"/>
        <w:rPr>
          <w:rFonts w:ascii="宋体" w:hAnsi="宋体" w:cs="FangSong_GB2312"/>
          <w:bCs/>
        </w:rPr>
      </w:pPr>
    </w:p>
    <w:p>
      <w:pPr>
        <w:pStyle w:val="11"/>
        <w:numPr>
          <w:ilvl w:val="0"/>
          <w:numId w:val="1"/>
        </w:numPr>
        <w:spacing w:line="276" w:lineRule="auto"/>
        <w:jc w:val="both"/>
        <w:rPr>
          <w:rFonts w:ascii="宋体" w:hAnsi="宋体" w:cs="FangSong_GB2312" w:eastAsiaTheme="minorEastAsia"/>
          <w:bCs/>
        </w:rPr>
      </w:pPr>
      <w:r>
        <w:rPr>
          <w:rFonts w:hint="eastAsia" w:cs="FangSong_GB2312"/>
          <w:bCs/>
        </w:rPr>
        <w:t>★</w:t>
      </w:r>
      <w:r>
        <w:rPr>
          <w:rFonts w:hint="eastAsia" w:ascii="宋体" w:hAnsi="宋体" w:cs="FangSong_GB2312" w:eastAsiaTheme="minorEastAsia"/>
          <w:bCs/>
        </w:rPr>
        <w:t>教师平台具有不同维度的结果分析。</w:t>
      </w:r>
      <w:r>
        <w:rPr>
          <w:rFonts w:ascii="宋体" w:hAnsi="宋体" w:cs="FangSong_GB2312" w:eastAsiaTheme="minorEastAsia"/>
          <w:bCs/>
        </w:rPr>
        <w:t>支持学员互评功能，要求学员之间匿名，并可以自动计算成绩，为教师提供更加多元且客观的课程评定基础。</w:t>
      </w:r>
    </w:p>
    <w:p>
      <w:pPr>
        <w:spacing w:before="156" w:beforeLines="50" w:after="156" w:afterLines="50" w:line="320" w:lineRule="exact"/>
        <w:rPr>
          <w:rFonts w:ascii="宋体" w:hAnsi="宋体" w:cs="FangSong_GB2312"/>
          <w:bCs/>
        </w:rPr>
      </w:pPr>
    </w:p>
    <w:p>
      <w:pPr>
        <w:pStyle w:val="10"/>
        <w:numPr>
          <w:ilvl w:val="0"/>
          <w:numId w:val="1"/>
        </w:numPr>
        <w:spacing w:before="156" w:beforeLines="50" w:after="156" w:afterLines="50" w:line="320" w:lineRule="exact"/>
        <w:jc w:val="both"/>
        <w:rPr>
          <w:rFonts w:ascii="宋体" w:hAnsi="宋体" w:cs="FangSong_GB2312"/>
          <w:bCs/>
        </w:rPr>
      </w:pPr>
      <w:r>
        <w:rPr>
          <w:rFonts w:hint="eastAsia" w:ascii="微软雅黑" w:hAnsi="微软雅黑" w:eastAsia="微软雅黑" w:cs="FangSong_GB2312"/>
          <w:bCs/>
        </w:rPr>
        <w:t>★</w:t>
      </w:r>
      <w:r>
        <w:rPr>
          <w:rFonts w:hint="eastAsia" w:ascii="宋体" w:hAnsi="宋体" w:cs="FangSong_GB2312"/>
          <w:bCs/>
        </w:rPr>
        <w:t>同一个教师端账号可根据授课需要设置不同的模拟课程，教师端可以全程监测学生的学习情况（包括总在线时间、最后一次登陆时间、决策结果预览）。允许指导教师修改案例背景、参数、增减模块，设置自己的案例库，更换案例。</w:t>
      </w:r>
    </w:p>
    <w:p>
      <w:pPr>
        <w:spacing w:before="156" w:beforeLines="50" w:after="156" w:afterLines="50" w:line="320" w:lineRule="exact"/>
      </w:pPr>
    </w:p>
    <w:p>
      <w:pPr>
        <w:spacing w:before="156" w:beforeLines="50" w:after="156" w:afterLines="50" w:line="320" w:lineRule="exact"/>
        <w:rPr>
          <w:rFonts w:ascii="宋体" w:hAnsi="宋体" w:cs="FangSong_GB2312"/>
          <w:b/>
          <w:bCs/>
        </w:rPr>
      </w:pPr>
      <w:r>
        <w:rPr>
          <w:rFonts w:hint="eastAsia" w:ascii="宋体" w:hAnsi="宋体" w:cs="FangSong_GB2312"/>
          <w:b/>
          <w:bCs/>
        </w:rPr>
        <w:t>主要内容参数</w:t>
      </w:r>
    </w:p>
    <w:p>
      <w:pPr>
        <w:pStyle w:val="10"/>
        <w:numPr>
          <w:ilvl w:val="0"/>
          <w:numId w:val="2"/>
        </w:numPr>
        <w:spacing w:before="156" w:beforeLines="50" w:after="156" w:afterLines="50" w:line="320" w:lineRule="exact"/>
        <w:rPr>
          <w:rFonts w:ascii="宋体" w:hAnsi="宋体" w:cs="FangSong_GB2312"/>
          <w:bCs/>
        </w:rPr>
      </w:pPr>
      <w:r>
        <w:rPr>
          <w:rFonts w:hint="eastAsia" w:ascii="宋体" w:hAnsi="宋体" w:cs="FangSong_GB2312"/>
          <w:bCs/>
        </w:rPr>
        <w:t>需求管理逻辑：总需求增长率，亚洲、欧洲、美国各地区产品销售量；分产品分技术市场份额；自动计算出预测销量。提供各种技术的网络覆盖率在各区域的发展情况预测图表，图表可根据指导老师案例要求设置。</w:t>
      </w:r>
    </w:p>
    <w:p>
      <w:pPr>
        <w:pStyle w:val="10"/>
        <w:spacing w:before="156" w:beforeLines="50" w:after="156" w:afterLines="50" w:line="320" w:lineRule="exact"/>
        <w:rPr>
          <w:rFonts w:ascii="宋体" w:hAnsi="宋体" w:cs="FangSong_GB2312"/>
          <w:bCs/>
        </w:rPr>
      </w:pPr>
    </w:p>
    <w:p>
      <w:pPr>
        <w:pStyle w:val="10"/>
        <w:numPr>
          <w:ilvl w:val="0"/>
          <w:numId w:val="2"/>
        </w:numPr>
        <w:spacing w:before="156" w:beforeLines="50" w:after="156" w:afterLines="50" w:line="320" w:lineRule="exact"/>
        <w:rPr>
          <w:rFonts w:ascii="宋体" w:hAnsi="宋体" w:cs="FangSong_GB2312"/>
          <w:bCs/>
        </w:rPr>
      </w:pPr>
      <w:r>
        <w:rPr>
          <w:rFonts w:hint="eastAsia" w:ascii="宋体" w:hAnsi="宋体" w:cs="FangSong_GB2312"/>
          <w:bCs/>
        </w:rPr>
        <w:t>产品需求逻辑：某区域的整体市场需求按技术分配；体现区域消费者偏好。指导老师可自主调整需求弹性。影响市场总需求的因素包括:经济状况、平均价格水平、平均广告预算、新技术的普及；影响某种技术总需求的因素：平均价格水平、所有队伍对该技术广告投入、使用该技术公司的数目、该技术的网络覆盖程度、各地区消费者对该技术的偏好；影响公司某个产品需求的因素：产品的定价、对该产品的广告投入、产品搭载的功能数量、历史市场份额、销售同样技术产品的公司数量。</w:t>
      </w:r>
    </w:p>
    <w:p>
      <w:pPr>
        <w:pStyle w:val="10"/>
        <w:rPr>
          <w:rFonts w:ascii="宋体" w:hAnsi="宋体" w:cs="FangSong_GB2312"/>
          <w:bCs/>
        </w:rPr>
      </w:pPr>
    </w:p>
    <w:p>
      <w:pPr>
        <w:pStyle w:val="10"/>
        <w:numPr>
          <w:ilvl w:val="0"/>
          <w:numId w:val="2"/>
        </w:numPr>
        <w:spacing w:before="156" w:beforeLines="50" w:after="156" w:afterLines="50" w:line="320" w:lineRule="exact"/>
        <w:rPr>
          <w:rFonts w:ascii="宋体" w:hAnsi="宋体" w:cs="FangSong_GB2312"/>
          <w:bCs/>
        </w:rPr>
      </w:pPr>
      <w:r>
        <w:rPr>
          <w:rFonts w:hint="eastAsia" w:ascii="宋体" w:hAnsi="宋体" w:cs="FangSong_GB2312"/>
          <w:bCs/>
        </w:rPr>
        <w:t>生产管理逻辑：涵盖供应链进行管理，如建厂、生产产品、物流，以需定产等；产品研发、产能分配；自动计算可变生产成本、产品不良率规律、产品外包、生产学习曲线效用、生产线开工率有关的成本函数(U-形曲线)等现象或原理。</w:t>
      </w:r>
    </w:p>
    <w:p>
      <w:pPr>
        <w:pStyle w:val="10"/>
        <w:rPr>
          <w:rFonts w:ascii="宋体" w:hAnsi="宋体" w:cs="FangSong_GB2312"/>
          <w:bCs/>
        </w:rPr>
      </w:pPr>
    </w:p>
    <w:p>
      <w:pPr>
        <w:pStyle w:val="10"/>
        <w:numPr>
          <w:ilvl w:val="0"/>
          <w:numId w:val="2"/>
        </w:numPr>
        <w:spacing w:before="156" w:beforeLines="50" w:after="156" w:afterLines="50" w:line="320" w:lineRule="exact"/>
        <w:rPr>
          <w:rFonts w:ascii="宋体" w:hAnsi="宋体" w:cs="FangSong_GB2312"/>
          <w:bCs/>
        </w:rPr>
      </w:pPr>
      <w:r>
        <w:rPr>
          <w:rFonts w:hint="eastAsia" w:ascii="宋体" w:hAnsi="宋体" w:cs="FangSong_GB2312"/>
          <w:bCs/>
        </w:rPr>
        <w:t>库存管理逻辑：库存计划、生产与库存、库存资金成本、库存计价。</w:t>
      </w:r>
    </w:p>
    <w:p>
      <w:pPr>
        <w:pStyle w:val="10"/>
        <w:rPr>
          <w:rFonts w:ascii="宋体" w:hAnsi="宋体" w:cs="FangSong_GB2312"/>
          <w:bCs/>
        </w:rPr>
      </w:pPr>
    </w:p>
    <w:p>
      <w:pPr>
        <w:pStyle w:val="10"/>
        <w:numPr>
          <w:ilvl w:val="0"/>
          <w:numId w:val="2"/>
        </w:numPr>
        <w:spacing w:before="156" w:beforeLines="50" w:after="156" w:afterLines="50" w:line="320" w:lineRule="exact"/>
        <w:rPr>
          <w:rFonts w:ascii="宋体" w:hAnsi="宋体" w:cs="FangSong_GB2312"/>
          <w:bCs/>
        </w:rPr>
      </w:pPr>
      <w:r>
        <w:rPr>
          <w:rFonts w:hint="eastAsia" w:ascii="宋体" w:hAnsi="宋体" w:cs="FangSong_GB2312"/>
          <w:bCs/>
        </w:rPr>
        <w:t>投资管理逻辑：工厂建设投资、工厂买卖、投资与现金流、投资与筹资、投资回报率、资本成本、资本加权成本、估值等。</w:t>
      </w:r>
    </w:p>
    <w:p>
      <w:pPr>
        <w:pStyle w:val="10"/>
        <w:rPr>
          <w:rFonts w:ascii="宋体" w:hAnsi="宋体" w:cs="FangSong_GB2312"/>
          <w:bCs/>
        </w:rPr>
      </w:pPr>
    </w:p>
    <w:p>
      <w:pPr>
        <w:pStyle w:val="10"/>
        <w:numPr>
          <w:ilvl w:val="0"/>
          <w:numId w:val="2"/>
        </w:numPr>
        <w:spacing w:before="156" w:beforeLines="50" w:after="156" w:afterLines="50" w:line="320" w:lineRule="exact"/>
        <w:rPr>
          <w:rFonts w:ascii="宋体" w:hAnsi="宋体" w:cs="FangSong_GB2312"/>
          <w:bCs/>
        </w:rPr>
      </w:pPr>
      <w:r>
        <w:rPr>
          <w:rFonts w:hint="eastAsia" w:ascii="微软雅黑" w:hAnsi="微软雅黑" w:eastAsia="微软雅黑" w:cs="FangSong_GB2312"/>
          <w:bCs/>
        </w:rPr>
        <w:t>★</w:t>
      </w:r>
      <w:r>
        <w:rPr>
          <w:rFonts w:hint="eastAsia" w:ascii="宋体" w:hAnsi="宋体" w:cs="FangSong_GB2312"/>
          <w:bCs/>
        </w:rPr>
        <w:t>采购管理逻辑：供应商管理、企业的社会责任、价格管理等。</w:t>
      </w:r>
    </w:p>
    <w:p>
      <w:pPr>
        <w:pStyle w:val="10"/>
        <w:rPr>
          <w:rFonts w:ascii="宋体" w:hAnsi="宋体" w:cs="FangSong_GB2312"/>
          <w:bCs/>
        </w:rPr>
      </w:pPr>
    </w:p>
    <w:p>
      <w:pPr>
        <w:pStyle w:val="10"/>
        <w:numPr>
          <w:ilvl w:val="0"/>
          <w:numId w:val="2"/>
        </w:numPr>
        <w:spacing w:before="156" w:beforeLines="50" w:after="156" w:afterLines="50" w:line="320" w:lineRule="exact"/>
        <w:rPr>
          <w:rFonts w:ascii="宋体" w:hAnsi="宋体" w:cs="FangSong_GB2312"/>
          <w:bCs/>
        </w:rPr>
      </w:pPr>
      <w:r>
        <w:rPr>
          <w:rFonts w:hint="eastAsia" w:ascii="微软雅黑" w:hAnsi="微软雅黑" w:eastAsia="微软雅黑" w:cs="FangSong_GB2312"/>
          <w:bCs/>
        </w:rPr>
        <w:t>★</w:t>
      </w:r>
      <w:r>
        <w:rPr>
          <w:rFonts w:hint="eastAsia" w:ascii="宋体" w:hAnsi="宋体" w:cs="FangSong_GB2312"/>
          <w:bCs/>
        </w:rPr>
        <w:t>物流管理逻辑：国际间物流规划、物流优先级。</w:t>
      </w:r>
    </w:p>
    <w:p>
      <w:pPr>
        <w:pStyle w:val="10"/>
        <w:rPr>
          <w:rFonts w:ascii="宋体" w:hAnsi="宋体" w:cs="FangSong_GB2312"/>
          <w:bCs/>
        </w:rPr>
      </w:pPr>
    </w:p>
    <w:p>
      <w:pPr>
        <w:pStyle w:val="10"/>
        <w:numPr>
          <w:ilvl w:val="0"/>
          <w:numId w:val="2"/>
        </w:numPr>
        <w:spacing w:before="156" w:beforeLines="50" w:after="156" w:afterLines="50" w:line="320" w:lineRule="exact"/>
        <w:rPr>
          <w:rFonts w:ascii="宋体" w:hAnsi="宋体" w:cs="FangSong_GB2312"/>
          <w:bCs/>
        </w:rPr>
      </w:pPr>
      <w:r>
        <w:rPr>
          <w:rFonts w:hint="eastAsia" w:ascii="微软雅黑" w:hAnsi="微软雅黑" w:eastAsia="微软雅黑" w:cs="FangSong_GB2312"/>
          <w:bCs/>
        </w:rPr>
        <w:t>★</w:t>
      </w:r>
      <w:r>
        <w:rPr>
          <w:rFonts w:hint="eastAsia" w:ascii="宋体" w:hAnsi="宋体" w:cs="FangSong_GB2312"/>
          <w:bCs/>
        </w:rPr>
        <w:t>税收筹划：国际间税收筹划功能，允许利用关联公司进行以减低税金的交易，用户可设置转让定价乘数。</w:t>
      </w:r>
    </w:p>
    <w:p>
      <w:pPr>
        <w:pStyle w:val="10"/>
        <w:rPr>
          <w:rFonts w:ascii="宋体" w:hAnsi="宋体" w:cs="FangSong_GB2312"/>
          <w:bCs/>
        </w:rPr>
      </w:pPr>
    </w:p>
    <w:p>
      <w:pPr>
        <w:pStyle w:val="10"/>
        <w:numPr>
          <w:ilvl w:val="0"/>
          <w:numId w:val="2"/>
        </w:numPr>
        <w:spacing w:before="156" w:beforeLines="50" w:after="156" w:afterLines="50" w:line="320" w:lineRule="exact"/>
        <w:rPr>
          <w:rFonts w:ascii="宋体" w:hAnsi="宋体" w:cs="FangSong_GB2312"/>
          <w:bCs/>
        </w:rPr>
      </w:pPr>
      <w:r>
        <w:rPr>
          <w:rFonts w:hint="eastAsia" w:ascii="宋体" w:hAnsi="宋体" w:cs="FangSong_GB2312"/>
          <w:bCs/>
        </w:rPr>
        <w:t>人力资源：可选择是否设置人力资源决策模块（由指导老师设置）。人力资源决策包括：员工人数、工资、培训预算、招聘与解雇及其费用等。</w:t>
      </w:r>
    </w:p>
    <w:p>
      <w:pPr>
        <w:pStyle w:val="10"/>
        <w:rPr>
          <w:rFonts w:ascii="宋体" w:hAnsi="宋体" w:cs="FangSong_GB2312"/>
          <w:bCs/>
        </w:rPr>
      </w:pPr>
    </w:p>
    <w:p>
      <w:pPr>
        <w:pStyle w:val="10"/>
        <w:numPr>
          <w:ilvl w:val="0"/>
          <w:numId w:val="2"/>
        </w:numPr>
        <w:spacing w:before="156" w:beforeLines="50" w:after="156" w:afterLines="50" w:line="320" w:lineRule="exact"/>
        <w:rPr>
          <w:rFonts w:ascii="宋体" w:hAnsi="宋体" w:cs="FangSong_GB2312"/>
          <w:bCs/>
        </w:rPr>
      </w:pPr>
      <w:r>
        <w:rPr>
          <w:rFonts w:hint="eastAsia" w:ascii="宋体" w:hAnsi="宋体" w:cs="FangSong_GB2312"/>
          <w:bCs/>
        </w:rPr>
        <w:t>研发管理：包含自主研发、引进外部技术决策。体现研发战略的不确定性、博弈性。</w:t>
      </w:r>
    </w:p>
    <w:p>
      <w:pPr>
        <w:pStyle w:val="10"/>
        <w:rPr>
          <w:rFonts w:ascii="宋体" w:hAnsi="宋体" w:cs="FangSong_GB2312"/>
          <w:bCs/>
        </w:rPr>
      </w:pPr>
    </w:p>
    <w:p>
      <w:pPr>
        <w:pStyle w:val="10"/>
        <w:numPr>
          <w:ilvl w:val="0"/>
          <w:numId w:val="2"/>
        </w:numPr>
        <w:spacing w:before="156" w:beforeLines="50" w:after="156" w:afterLines="50" w:line="320" w:lineRule="exact"/>
        <w:rPr>
          <w:rFonts w:ascii="宋体" w:hAnsi="宋体" w:cs="FangSong_GB2312"/>
          <w:bCs/>
        </w:rPr>
      </w:pPr>
      <w:r>
        <w:rPr>
          <w:rFonts w:hint="eastAsia" w:ascii="宋体" w:hAnsi="宋体" w:cs="FangSong_GB2312"/>
          <w:bCs/>
        </w:rPr>
        <w:t>财务决策：长短期贷款决策、股票发行和回购、发放股息、资金管理 (在集团公司内部转移基金)等。受经营决策行为影响的指标包括：销售回报率(ROS)、权益率、本债比、已动用资本回报率、股本回报率、每股盈利(EPS)、股息收益率、市盈率、累计股东总回报率等。</w:t>
      </w:r>
    </w:p>
    <w:p>
      <w:pPr>
        <w:pStyle w:val="10"/>
        <w:numPr>
          <w:ilvl w:val="0"/>
          <w:numId w:val="2"/>
        </w:numPr>
        <w:spacing w:before="156" w:beforeLines="50" w:after="156" w:afterLines="50" w:line="320" w:lineRule="exact"/>
        <w:rPr>
          <w:rFonts w:ascii="宋体" w:hAnsi="宋体" w:cs="FangSong_GB2312"/>
          <w:bCs/>
        </w:rPr>
      </w:pPr>
      <w:r>
        <w:rPr>
          <w:rFonts w:hint="eastAsia" w:ascii="微软雅黑" w:hAnsi="微软雅黑" w:eastAsia="微软雅黑" w:cs="FangSong_GB2312"/>
          <w:bCs/>
        </w:rPr>
        <w:t>★</w:t>
      </w:r>
      <w:r>
        <w:rPr>
          <w:rFonts w:hint="eastAsia" w:ascii="宋体" w:hAnsi="宋体" w:cs="FangSong_GB2312"/>
          <w:bCs/>
        </w:rPr>
        <w:t>预算管理：提供预算管理功能，能根据决策的变动动态更新，可预估集团的整体收益状况和各个市场地区的收益状况及主要财务指标。</w:t>
      </w:r>
    </w:p>
    <w:p>
      <w:pPr>
        <w:spacing w:before="156" w:beforeLines="50" w:after="156" w:afterLines="50" w:line="320" w:lineRule="exact"/>
        <w:ind w:left="360"/>
      </w:pPr>
    </w:p>
    <w:p>
      <w:pPr>
        <w:spacing w:before="156" w:beforeLines="50" w:after="156" w:afterLines="50" w:line="320" w:lineRule="exact"/>
        <w:ind w:left="360"/>
      </w:pPr>
      <w:r>
        <w:rPr>
          <w:rFonts w:hint="eastAsia"/>
        </w:rPr>
        <w:t>售后服务</w:t>
      </w:r>
    </w:p>
    <w:p>
      <w:pPr>
        <w:pStyle w:val="10"/>
        <w:numPr>
          <w:ilvl w:val="0"/>
          <w:numId w:val="3"/>
        </w:numPr>
        <w:spacing w:before="156" w:beforeLines="50" w:after="156" w:afterLines="50" w:line="320" w:lineRule="exact"/>
      </w:pPr>
      <w:r>
        <w:rPr>
          <w:rFonts w:hint="eastAsia" w:ascii="微软雅黑" w:hAnsi="微软雅黑" w:eastAsia="微软雅黑" w:cs="FangSong_GB2312"/>
          <w:bCs/>
        </w:rPr>
        <w:t>★</w:t>
      </w:r>
      <w:r>
        <w:rPr>
          <w:rFonts w:hint="eastAsia" w:ascii="宋体" w:hAnsi="宋体" w:cs="宋体"/>
        </w:rPr>
        <w:t>提供三</w:t>
      </w:r>
      <w:r>
        <w:rPr>
          <w:rFonts w:ascii="宋体" w:hAnsi="宋体" w:cs="宋体"/>
        </w:rPr>
        <w:t>年</w:t>
      </w:r>
      <w:r>
        <w:rPr>
          <w:rFonts w:hint="eastAsia" w:ascii="宋体" w:hAnsi="宋体" w:cs="宋体"/>
        </w:rPr>
        <w:t>内</w:t>
      </w:r>
      <w:r>
        <w:rPr>
          <w:rFonts w:ascii="宋体" w:hAnsi="宋体" w:cs="宋体"/>
        </w:rPr>
        <w:t>免费维护</w:t>
      </w:r>
      <w:r>
        <w:rPr>
          <w:rFonts w:hint="eastAsia" w:ascii="宋体" w:hAnsi="宋体" w:cs="宋体"/>
        </w:rPr>
        <w:t>、</w:t>
      </w:r>
      <w:r>
        <w:rPr>
          <w:rFonts w:ascii="宋体" w:hAnsi="宋体" w:cs="FangSong_GB2312"/>
          <w:bCs/>
        </w:rPr>
        <w:t>升级服务</w:t>
      </w:r>
    </w:p>
    <w:p>
      <w:pPr>
        <w:pStyle w:val="10"/>
        <w:numPr>
          <w:ilvl w:val="0"/>
          <w:numId w:val="3"/>
        </w:numPr>
        <w:spacing w:before="156" w:beforeLines="50" w:after="156" w:afterLines="50" w:line="320" w:lineRule="exact"/>
      </w:pPr>
      <w:r>
        <w:rPr>
          <w:rFonts w:hint="eastAsia"/>
        </w:rPr>
        <w:t>为教师提供1</w:t>
      </w:r>
      <w:r>
        <w:t>6</w:t>
      </w:r>
      <w:r>
        <w:rPr>
          <w:rFonts w:hint="eastAsia"/>
        </w:rPr>
        <w:t>小时标准化在线培训</w:t>
      </w:r>
    </w:p>
    <w:p>
      <w:pPr>
        <w:pStyle w:val="10"/>
        <w:numPr>
          <w:ilvl w:val="0"/>
          <w:numId w:val="3"/>
        </w:numPr>
        <w:spacing w:before="156" w:beforeLines="50" w:after="156" w:afterLines="50" w:line="320" w:lineRule="exact"/>
      </w:pPr>
      <w:r>
        <w:rPr>
          <w:rFonts w:hint="eastAsia"/>
        </w:rPr>
        <w:t>为教师提供度身定制的教学方案</w:t>
      </w:r>
    </w:p>
    <w:p>
      <w:pPr>
        <w:pStyle w:val="10"/>
        <w:numPr>
          <w:ilvl w:val="0"/>
          <w:numId w:val="3"/>
        </w:numPr>
        <w:spacing w:before="156" w:beforeLines="50" w:after="156" w:afterLines="50" w:line="320" w:lineRule="exact"/>
      </w:pPr>
      <w:r>
        <w:rPr>
          <w:rFonts w:hint="eastAsia" w:ascii="微软雅黑" w:hAnsi="微软雅黑" w:eastAsia="微软雅黑" w:cs="FangSong_GB2312"/>
          <w:bCs/>
        </w:rPr>
        <w:t>★</w:t>
      </w:r>
      <w:r>
        <w:rPr>
          <w:rFonts w:hint="eastAsia"/>
        </w:rPr>
        <w:t>提供教学用系列PPT，系列中英文视频等资料</w:t>
      </w:r>
    </w:p>
    <w:p>
      <w:pPr>
        <w:pStyle w:val="10"/>
        <w:numPr>
          <w:ilvl w:val="0"/>
          <w:numId w:val="3"/>
        </w:numPr>
        <w:spacing w:before="156" w:beforeLines="50" w:after="156" w:afterLines="50" w:line="320" w:lineRule="exact"/>
      </w:pPr>
      <w:r>
        <w:rPr>
          <w:rFonts w:hint="eastAsia"/>
        </w:rPr>
        <w:t>定期分享各院校教学笔记，为教师提供免费线上主题分享活动。</w:t>
      </w:r>
    </w:p>
    <w:p>
      <w:pPr>
        <w:pStyle w:val="10"/>
        <w:numPr>
          <w:ilvl w:val="0"/>
          <w:numId w:val="3"/>
        </w:numPr>
        <w:spacing w:before="156" w:beforeLines="50" w:after="156" w:afterLines="50" w:line="320" w:lineRule="exact"/>
      </w:pPr>
      <w:r>
        <w:rPr>
          <w:rFonts w:hint="eastAsia"/>
        </w:rPr>
        <w:t>国际赛事支撑</w:t>
      </w:r>
    </w:p>
    <w:p/>
    <w:p>
      <w:r>
        <w:rPr>
          <w:rFonts w:hint="eastAsia" w:ascii="微软雅黑" w:hAnsi="微软雅黑" w:eastAsia="微软雅黑" w:cs="FangSong_GB2312"/>
          <w:bCs/>
        </w:rPr>
        <w:t>★为必须满足条件</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FangSong_GB2312">
    <w:altName w:val="仿宋"/>
    <w:panose1 w:val="02010609060101010101"/>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B1720"/>
    <w:multiLevelType w:val="multilevel"/>
    <w:tmpl w:val="18FB172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9711EAC"/>
    <w:multiLevelType w:val="multilevel"/>
    <w:tmpl w:val="59711EAC"/>
    <w:lvl w:ilvl="0" w:tentative="0">
      <w:start w:val="1"/>
      <w:numFmt w:val="decimal"/>
      <w:lvlText w:val="%1."/>
      <w:lvlJc w:val="left"/>
      <w:pPr>
        <w:ind w:left="720" w:hanging="360"/>
      </w:pPr>
      <w:rPr>
        <w:rFonts w:hint="default" w:ascii="宋体" w:hAnsi="宋体" w:cs="FangSong_GB231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0205B67"/>
    <w:multiLevelType w:val="multilevel"/>
    <w:tmpl w:val="70205B6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ED586D"/>
    <w:rsid w:val="001153D9"/>
    <w:rsid w:val="00304553"/>
    <w:rsid w:val="00385ECA"/>
    <w:rsid w:val="004944D2"/>
    <w:rsid w:val="005451EA"/>
    <w:rsid w:val="00620146"/>
    <w:rsid w:val="00634D15"/>
    <w:rsid w:val="00676A29"/>
    <w:rsid w:val="006F795F"/>
    <w:rsid w:val="007023A1"/>
    <w:rsid w:val="00766430"/>
    <w:rsid w:val="007D560A"/>
    <w:rsid w:val="007E319C"/>
    <w:rsid w:val="009213E5"/>
    <w:rsid w:val="00A83375"/>
    <w:rsid w:val="00B93AFB"/>
    <w:rsid w:val="00C32A61"/>
    <w:rsid w:val="00C40866"/>
    <w:rsid w:val="00C820E1"/>
    <w:rsid w:val="00C83385"/>
    <w:rsid w:val="00CD43F3"/>
    <w:rsid w:val="00D62641"/>
    <w:rsid w:val="00E07DEE"/>
    <w:rsid w:val="00E83389"/>
    <w:rsid w:val="044F4178"/>
    <w:rsid w:val="065C5D82"/>
    <w:rsid w:val="06B72BD5"/>
    <w:rsid w:val="0CC407EB"/>
    <w:rsid w:val="1D3E05DF"/>
    <w:rsid w:val="1DC04C2A"/>
    <w:rsid w:val="22AC19AB"/>
    <w:rsid w:val="24ED586D"/>
    <w:rsid w:val="288E1E45"/>
    <w:rsid w:val="3CEF6955"/>
    <w:rsid w:val="48D9210F"/>
    <w:rsid w:val="4B6E7A7E"/>
    <w:rsid w:val="4BC279D6"/>
    <w:rsid w:val="4DC41687"/>
    <w:rsid w:val="4FA22133"/>
    <w:rsid w:val="551A24FB"/>
    <w:rsid w:val="587E412B"/>
    <w:rsid w:val="5DA56186"/>
    <w:rsid w:val="60260370"/>
    <w:rsid w:val="62FA6803"/>
    <w:rsid w:val="65EA1E06"/>
    <w:rsid w:val="6B1B7B5B"/>
    <w:rsid w:val="6CAF745C"/>
    <w:rsid w:val="7269714F"/>
    <w:rsid w:val="7B8F05CE"/>
    <w:rsid w:val="7BE91E41"/>
    <w:rsid w:val="7E7B6289"/>
    <w:rsid w:val="7F6A30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01"/>
    <w:basedOn w:val="5"/>
    <w:qFormat/>
    <w:uiPriority w:val="0"/>
    <w:rPr>
      <w:rFonts w:hint="eastAsia" w:ascii="宋体" w:hAnsi="宋体" w:eastAsia="宋体" w:cs="宋体"/>
      <w:color w:val="000000"/>
      <w:sz w:val="22"/>
      <w:szCs w:val="22"/>
      <w:u w:val="none"/>
    </w:rPr>
  </w:style>
  <w:style w:type="character" w:customStyle="1" w:styleId="7">
    <w:name w:val="font11"/>
    <w:basedOn w:val="5"/>
    <w:qFormat/>
    <w:uiPriority w:val="0"/>
    <w:rPr>
      <w:rFonts w:hint="eastAsia" w:ascii="宋体" w:hAnsi="宋体" w:eastAsia="宋体" w:cs="宋体"/>
      <w:color w:val="000000"/>
      <w:sz w:val="22"/>
      <w:szCs w:val="22"/>
      <w:u w:val="single"/>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 w:type="paragraph" w:styleId="10">
    <w:name w:val="List Paragraph"/>
    <w:basedOn w:val="1"/>
    <w:qFormat/>
    <w:uiPriority w:val="34"/>
    <w:pPr>
      <w:widowControl/>
      <w:spacing w:after="160" w:line="259" w:lineRule="auto"/>
      <w:ind w:left="720"/>
      <w:contextualSpacing/>
      <w:jc w:val="left"/>
    </w:pPr>
    <w:rPr>
      <w:kern w:val="0"/>
      <w:sz w:val="22"/>
      <w:szCs w:val="22"/>
    </w:rPr>
  </w:style>
  <w:style w:type="paragraph" w:customStyle="1" w:styleId="11">
    <w:name w:val="石墨文档正文"/>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354</Words>
  <Characters>2020</Characters>
  <Lines>16</Lines>
  <Paragraphs>4</Paragraphs>
  <TotalTime>45</TotalTime>
  <ScaleCrop>false</ScaleCrop>
  <LinksUpToDate>false</LinksUpToDate>
  <CharactersWithSpaces>2370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2020-10-23T02:04:00Z</dcterms:created>
  <dc:creator>俞玲泉</dc:creator>
  <cp:lastModifiedBy>鲍</cp:lastModifiedBy>
  <dcterms:modified xsi:type="dcterms:W3CDTF">2020-11-13T02:40:40Z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