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病人监护仪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招标招标要求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招标数量：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招标机型：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深圳市理邦精密仪器股份有限公司：IM50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投标商资质要求：企业营业执照、产品经营许可证合法有效；产品授权书完整。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保修要求：整体保修三年。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付款方式：验收合格30天内。</w:t>
      </w:r>
    </w:p>
    <w:p>
      <w:pPr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交货方式：落地交货，送到医院指定地点。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病人监护仪 技术参数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监护参数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标准配置参数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exac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心电（ECG）、呼吸(RESP)、无创血压(NIBP)、血氧饱和度(SpO2)、脉搏(PR)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显示  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*</w:t>
      </w:r>
      <w:r>
        <w:rPr>
          <w:rFonts w:hint="eastAsia" w:ascii="宋体" w:hAnsi="宋体"/>
          <w:bCs/>
          <w:color w:val="000000"/>
          <w:szCs w:val="21"/>
        </w:rPr>
        <w:t>屏幕尺寸：8.4英寸显示屏，分辨率：</w:t>
      </w:r>
      <w:r>
        <w:rPr>
          <w:rFonts w:hint="eastAsia" w:ascii="宋体" w:hAnsi="宋体"/>
          <w:color w:val="000000"/>
          <w:szCs w:val="21"/>
        </w:rPr>
        <w:t>800×600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szCs w:val="21"/>
        </w:rPr>
        <w:t>支持同屏显示</w:t>
      </w:r>
      <w:r>
        <w:rPr>
          <w:rFonts w:hint="eastAsia" w:ascii="宋体" w:hAnsi="宋体"/>
          <w:szCs w:val="21"/>
        </w:rPr>
        <w:t>11道波形</w:t>
      </w:r>
    </w:p>
    <w:p>
      <w:pPr>
        <w:numPr>
          <w:ilvl w:val="0"/>
          <w:numId w:val="2"/>
        </w:numPr>
        <w:spacing w:line="36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支持七道心电波形同屏显示、心电波形级联</w:t>
      </w:r>
    </w:p>
    <w:p>
      <w:pPr>
        <w:numPr>
          <w:ilvl w:val="0"/>
          <w:numId w:val="2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具有自由组合4个参数和波形进行大字体显示功能，满足不同临床环境需要，使得医护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数据存储、回顾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 xml:space="preserve">120小时趋势图/表存储回顾  </w:t>
      </w:r>
    </w:p>
    <w:p>
      <w:pPr>
        <w:numPr>
          <w:ilvl w:val="0"/>
          <w:numId w:val="3"/>
        </w:numPr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1200组无创血压测量回顾</w:t>
      </w:r>
    </w:p>
    <w:p>
      <w:pPr>
        <w:numPr>
          <w:ilvl w:val="0"/>
          <w:numId w:val="3"/>
        </w:numPr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48小时</w:t>
      </w:r>
      <w:r>
        <w:rPr>
          <w:rFonts w:hint="eastAsia"/>
        </w:rPr>
        <w:t>全息波形储存回顾</w:t>
      </w:r>
    </w:p>
    <w:p>
      <w:pPr>
        <w:numPr>
          <w:ilvl w:val="0"/>
          <w:numId w:val="3"/>
        </w:numPr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200组报警事件/心律失常事件回顾</w:t>
      </w:r>
    </w:p>
    <w:p>
      <w:pPr>
        <w:numPr>
          <w:ilvl w:val="0"/>
          <w:numId w:val="3"/>
        </w:numPr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具备USB数据接口，可选配U盘实现监测数据存储容量扩充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性能特点</w:t>
      </w:r>
    </w:p>
    <w:p>
      <w:pPr>
        <w:numPr>
          <w:ilvl w:val="0"/>
          <w:numId w:val="4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支持七导心电波形同屏显示、心电波形级联</w:t>
      </w:r>
    </w:p>
    <w:p>
      <w:pPr>
        <w:numPr>
          <w:ilvl w:val="0"/>
          <w:numId w:val="4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具有待机功能，暂时停止所有监护操作，节省功耗，退出该状态，就可立即进行监护</w:t>
      </w:r>
    </w:p>
    <w:p>
      <w:pPr>
        <w:numPr>
          <w:ilvl w:val="0"/>
          <w:numId w:val="4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声光双重三级报警，同屏显示报警上下限</w:t>
      </w:r>
    </w:p>
    <w:p>
      <w:pPr>
        <w:numPr>
          <w:ilvl w:val="0"/>
          <w:numId w:val="4"/>
        </w:numPr>
        <w:spacing w:line="36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*</w:t>
      </w:r>
      <w:r>
        <w:rPr>
          <w:rFonts w:hint="eastAsia" w:ascii="宋体" w:hAnsi="宋体"/>
          <w:color w:val="000000"/>
          <w:szCs w:val="21"/>
        </w:rPr>
        <w:t>技术报警和生理报警分别有各自的报警指示灯（共2个独立的报警指示灯）</w:t>
      </w:r>
    </w:p>
    <w:p>
      <w:pPr>
        <w:numPr>
          <w:ilvl w:val="0"/>
          <w:numId w:val="4"/>
        </w:numPr>
        <w:tabs>
          <w:tab w:val="left" w:pos="1680"/>
        </w:tabs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*</w:t>
      </w:r>
      <w:r>
        <w:rPr>
          <w:rFonts w:hint="eastAsia" w:ascii="宋体" w:hAnsi="宋体"/>
          <w:color w:val="000000"/>
          <w:szCs w:val="21"/>
        </w:rPr>
        <w:t>标配可拆卸充电锂电池，具有RJ-45网络口、辅助输出接口、VGA外接显示器接口、USB口、防盗锁孔、电源线卡扣（防止电源脱落）</w:t>
      </w:r>
    </w:p>
    <w:p>
      <w:pPr>
        <w:numPr>
          <w:ilvl w:val="0"/>
          <w:numId w:val="4"/>
        </w:numPr>
        <w:tabs>
          <w:tab w:val="left" w:pos="900"/>
        </w:tabs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通过CE认证</w:t>
      </w:r>
    </w:p>
    <w:p>
      <w:pPr>
        <w:numPr>
          <w:ilvl w:val="0"/>
          <w:numId w:val="4"/>
        </w:numPr>
        <w:tabs>
          <w:tab w:val="left" w:pos="900"/>
        </w:tabs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通过FDA 注册</w:t>
      </w:r>
    </w:p>
    <w:p>
      <w:pPr>
        <w:tabs>
          <w:tab w:val="left" w:pos="900"/>
        </w:tabs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</w:p>
    <w:p>
      <w:pPr>
        <w:tabs>
          <w:tab w:val="left" w:pos="900"/>
        </w:tabs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</w:p>
    <w:p>
      <w:pPr>
        <w:tabs>
          <w:tab w:val="left" w:pos="900"/>
        </w:tabs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</w:p>
    <w:p>
      <w:pPr>
        <w:tabs>
          <w:tab w:val="left" w:pos="900"/>
        </w:tabs>
        <w:spacing w:line="360" w:lineRule="exact"/>
        <w:jc w:val="left"/>
        <w:rPr>
          <w:rFonts w:hint="eastAsia" w:ascii="宋体" w:hAnsi="宋体"/>
          <w:bCs/>
          <w:color w:val="00000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C2CBB"/>
    <w:multiLevelType w:val="multilevel"/>
    <w:tmpl w:val="424C2CB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1D7377"/>
    <w:multiLevelType w:val="multilevel"/>
    <w:tmpl w:val="591D737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05966C1"/>
    <w:multiLevelType w:val="multilevel"/>
    <w:tmpl w:val="705966C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6B67426"/>
    <w:multiLevelType w:val="multilevel"/>
    <w:tmpl w:val="76B67426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1D7157"/>
    <w:rsid w:val="121D7157"/>
    <w:rsid w:val="1A633B22"/>
    <w:rsid w:val="26725E14"/>
    <w:rsid w:val="6DF3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2020-12-08T02:14:00Z</dcterms:created>
  <dc:creator>好男儿应自强</dc:creator>
  <cp:lastModifiedBy>好男儿应自强</cp:lastModifiedBy>
  <dcterms:modified xsi:type="dcterms:W3CDTF">2021-01-17T08:30:29Z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