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关于来纳牌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GDL5032XJH6F</w:t>
      </w:r>
      <w:r>
        <w:rPr>
          <w:rFonts w:hint="eastAsia" w:ascii="宋体" w:hAnsi="宋体"/>
          <w:b/>
          <w:bCs/>
          <w:sz w:val="28"/>
          <w:szCs w:val="28"/>
        </w:rPr>
        <w:t>监护型救护车</w:t>
      </w:r>
      <w:r>
        <w:rPr>
          <w:rFonts w:hint="eastAsia" w:ascii="宋体" w:hAnsi="宋体" w:cs="仿宋"/>
          <w:b/>
          <w:bCs/>
          <w:color w:val="000000"/>
          <w:sz w:val="28"/>
          <w:szCs w:val="28"/>
        </w:rPr>
        <w:t>反向竞价需求</w:t>
      </w:r>
    </w:p>
    <w:p>
      <w:pPr>
        <w:widowControl/>
        <w:ind w:firstLine="3584" w:firstLineChars="1700"/>
        <w:rPr>
          <w:rFonts w:ascii="宋体" w:hAnsi="宋体" w:cs="仿宋"/>
          <w:b/>
          <w:bCs/>
          <w:szCs w:val="21"/>
        </w:rPr>
      </w:pPr>
      <w:r>
        <w:rPr>
          <w:rFonts w:hint="eastAsia" w:ascii="宋体" w:hAnsi="宋体" w:cs="仿宋"/>
          <w:b/>
          <w:bCs/>
          <w:szCs w:val="21"/>
        </w:rPr>
        <w:t>资 信 要 求</w:t>
      </w:r>
    </w:p>
    <w:p>
      <w:pPr>
        <w:widowControl/>
        <w:ind w:firstLine="3162" w:firstLineChars="1500"/>
        <w:rPr>
          <w:rFonts w:ascii="宋体" w:hAnsi="宋体" w:cs="仿宋"/>
          <w:b/>
          <w:bCs/>
          <w:szCs w:val="21"/>
        </w:rPr>
      </w:pPr>
    </w:p>
    <w:p>
      <w:pPr>
        <w:widowControl/>
        <w:shd w:val="clear" w:color="auto" w:fill="FFFFFF"/>
        <w:tabs>
          <w:tab w:val="left" w:pos="720"/>
        </w:tabs>
        <w:snapToGrid w:val="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（1）投标人需具备汽车经营资质及三类医疗器械经营许可证，可开据机动车专用销售发票及医疗器械发票，确保车辆正常上牌及通过年审（以营业执照经营范围为准）。本项目拒绝接受联合体投标。</w:t>
      </w:r>
    </w:p>
    <w:p>
      <w:pPr>
        <w:widowControl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（2）本项目内容为救护车包含急救设备各1套，总价包括：车身价、随车急救设备、急救医疗车改装费、</w:t>
      </w:r>
      <w:r>
        <w:rPr>
          <w:rFonts w:hint="eastAsia" w:ascii="宋体" w:hAnsi="宋体" w:cs="仿宋"/>
          <w:color w:val="auto"/>
          <w:szCs w:val="21"/>
        </w:rPr>
        <w:t>车辆购置税、</w:t>
      </w:r>
      <w:r>
        <w:rPr>
          <w:rFonts w:hint="eastAsia" w:ascii="宋体" w:hAnsi="宋体" w:cs="仿宋"/>
          <w:color w:val="auto"/>
          <w:szCs w:val="21"/>
          <w:lang w:eastAsia="zh-CN"/>
        </w:rPr>
        <w:t>首保</w:t>
      </w:r>
      <w:r>
        <w:rPr>
          <w:rFonts w:hint="eastAsia" w:ascii="宋体" w:hAnsi="宋体" w:cs="仿宋"/>
          <w:color w:val="auto"/>
          <w:szCs w:val="21"/>
        </w:rPr>
        <w:t>费、</w:t>
      </w:r>
      <w:r>
        <w:rPr>
          <w:rFonts w:hint="eastAsia" w:ascii="宋体" w:hAnsi="宋体" w:cs="仿宋"/>
          <w:color w:val="auto"/>
          <w:kern w:val="0"/>
          <w:szCs w:val="21"/>
        </w:rPr>
        <w:t>生命体征数据院前院内信息传输软硬件设施</w:t>
      </w:r>
      <w:r>
        <w:rPr>
          <w:rFonts w:hint="eastAsia" w:ascii="宋体" w:hAnsi="宋体" w:cs="仿宋"/>
          <w:szCs w:val="21"/>
        </w:rPr>
        <w:t>、安装调试、检测验收、培训、质保期保障等费用。</w:t>
      </w:r>
    </w:p>
    <w:p>
      <w:pPr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b/>
          <w:szCs w:val="21"/>
        </w:rPr>
        <w:t>（3）交货期要求：</w:t>
      </w:r>
      <w:r>
        <w:rPr>
          <w:rFonts w:hint="eastAsia" w:ascii="宋体" w:hAnsi="宋体" w:cs="仿宋"/>
          <w:szCs w:val="21"/>
        </w:rPr>
        <w:t>合同签订后30个工作日内交付全部货物。</w:t>
      </w:r>
    </w:p>
    <w:p>
      <w:pPr>
        <w:ind w:left="1792" w:hanging="1792" w:hangingChars="85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b/>
          <w:szCs w:val="21"/>
        </w:rPr>
        <w:t>（4）付款方式：</w:t>
      </w:r>
      <w:r>
        <w:rPr>
          <w:rFonts w:hint="eastAsia" w:ascii="宋体" w:hAnsi="宋体" w:cs="仿宋"/>
          <w:szCs w:val="21"/>
        </w:rPr>
        <w:t>全部物到达交货地点，安装、调试并验收合格30天内，支付全部货款的95%，余款5%在车辆及车载设备无任何质量问题的情况下，一年内付清。</w:t>
      </w:r>
    </w:p>
    <w:p>
      <w:pPr>
        <w:ind w:left="316" w:hanging="316" w:hangingChars="150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（5）售后服务要求</w:t>
      </w:r>
      <w:bookmarkStart w:id="0" w:name="_GoBack"/>
      <w:bookmarkEnd w:id="0"/>
    </w:p>
    <w:p>
      <w:pPr>
        <w:ind w:left="315" w:hanging="315" w:hangingChars="150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1、底盘车辆提供不低于二年五万公里的保修标准（以先到为准）。</w:t>
      </w:r>
    </w:p>
    <w:p>
      <w:pPr>
        <w:ind w:right="-51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、改装部分及随车急救设备提供不低于1年的保修服务。保修期内，由非人为因素引起的故障均在保修范围内，供应商完全免费提供保修服务。保修期外，供应商提供终生的维修服务，且要求相关配件及人工费用低于平均市场价格。</w:t>
      </w:r>
    </w:p>
    <w:p>
      <w:pPr>
        <w:ind w:right="-51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3、</w:t>
      </w:r>
      <w:r>
        <w:rPr>
          <w:rFonts w:hint="eastAsia" w:ascii="宋体" w:hAnsi="宋体" w:cs="仿宋"/>
          <w:bCs/>
          <w:color w:val="000000"/>
          <w:kern w:val="0"/>
          <w:szCs w:val="21"/>
        </w:rPr>
        <w:t>为保证采购方能拥有完善的售后服务，</w:t>
      </w:r>
      <w:r>
        <w:rPr>
          <w:rFonts w:hint="eastAsia" w:ascii="宋体" w:hAnsi="宋体" w:cs="仿宋"/>
          <w:kern w:val="0"/>
          <w:szCs w:val="21"/>
        </w:rPr>
        <w:t>投标商需提供救护车随车急救设备原厂商（呼吸机、自动上车担架等）针对本项目的质量及售后保证文件。</w:t>
      </w:r>
      <w:r>
        <w:rPr>
          <w:rFonts w:hint="eastAsia" w:ascii="宋体" w:hAnsi="宋体" w:cs="仿宋"/>
          <w:szCs w:val="21"/>
        </w:rPr>
        <w:t>并需提供至少3人/次的培训服务，确保用户方至少有2名操作人员可熟练使用。</w:t>
      </w:r>
    </w:p>
    <w:p>
      <w:pPr>
        <w:widowControl/>
        <w:shd w:val="clear" w:color="auto" w:fill="FFFFFF"/>
        <w:tabs>
          <w:tab w:val="left" w:pos="720"/>
        </w:tabs>
        <w:snapToGrid w:val="0"/>
        <w:ind w:left="-294" w:leftChars="-140" w:firstLine="211" w:firstLineChars="100"/>
        <w:rPr>
          <w:rFonts w:ascii="宋体" w:hAnsi="宋体" w:cs="仿宋"/>
          <w:b/>
          <w:bCs/>
          <w:color w:val="000000"/>
          <w:szCs w:val="21"/>
        </w:rPr>
      </w:pPr>
    </w:p>
    <w:p>
      <w:pPr>
        <w:widowControl/>
        <w:shd w:val="clear" w:color="auto" w:fill="FFFFFF"/>
        <w:tabs>
          <w:tab w:val="left" w:pos="720"/>
        </w:tabs>
        <w:snapToGrid w:val="0"/>
        <w:ind w:left="-294" w:leftChars="-140" w:firstLine="211" w:firstLineChars="100"/>
        <w:rPr>
          <w:rFonts w:ascii="宋体" w:hAnsi="宋体" w:cs="仿宋"/>
          <w:b/>
          <w:bCs/>
          <w:color w:val="000000"/>
          <w:szCs w:val="21"/>
        </w:rPr>
      </w:pPr>
    </w:p>
    <w:p>
      <w:pPr>
        <w:widowControl/>
        <w:shd w:val="clear" w:color="auto" w:fill="FFFFFF"/>
        <w:tabs>
          <w:tab w:val="left" w:pos="720"/>
        </w:tabs>
        <w:snapToGrid w:val="0"/>
        <w:ind w:left="-294" w:leftChars="-140" w:firstLine="211" w:firstLineChars="100"/>
        <w:rPr>
          <w:rFonts w:ascii="宋体" w:hAnsi="宋体" w:cs="仿宋"/>
          <w:b/>
          <w:bCs/>
          <w:szCs w:val="21"/>
        </w:rPr>
      </w:pPr>
      <w:r>
        <w:rPr>
          <w:rFonts w:hint="eastAsia" w:ascii="宋体" w:hAnsi="宋体" w:cs="仿宋"/>
          <w:b/>
          <w:bCs/>
          <w:color w:val="000000"/>
          <w:szCs w:val="21"/>
        </w:rPr>
        <w:t>技术参数中注</w:t>
      </w:r>
      <w:r>
        <w:rPr>
          <w:rFonts w:hint="eastAsia" w:ascii="宋体" w:hAnsi="宋体" w:cs="仿宋"/>
          <w:kern w:val="0"/>
          <w:szCs w:val="21"/>
        </w:rPr>
        <w:t>▲</w:t>
      </w:r>
      <w:r>
        <w:rPr>
          <w:rFonts w:hint="eastAsia" w:ascii="宋体" w:hAnsi="宋体" w:cs="仿宋"/>
          <w:b/>
          <w:bCs/>
          <w:szCs w:val="21"/>
        </w:rPr>
        <w:t>参数为重要参数，投标商需完全响应。否则按无效标处理。</w:t>
      </w:r>
    </w:p>
    <w:p>
      <w:pPr>
        <w:pStyle w:val="2"/>
        <w:rPr>
          <w:rFonts w:ascii="宋体" w:hAnsi="宋体"/>
          <w:szCs w:val="21"/>
        </w:rPr>
      </w:pPr>
    </w:p>
    <w:tbl>
      <w:tblPr>
        <w:tblStyle w:val="5"/>
        <w:tblW w:w="8505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1" w:leftChars="-28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szCs w:val="21"/>
              </w:rPr>
              <w:t>来纳牌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GDL5032XJH6F</w:t>
            </w:r>
            <w:r>
              <w:rPr>
                <w:rFonts w:hint="eastAsia" w:ascii="宋体" w:hAnsi="宋体"/>
                <w:b/>
                <w:bCs/>
                <w:szCs w:val="21"/>
              </w:rPr>
              <w:t>抢救监护型救护车一辆</w:t>
            </w:r>
          </w:p>
          <w:tbl>
            <w:tblPr>
              <w:tblStyle w:val="5"/>
              <w:tblW w:w="850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2977"/>
              <w:gridCol w:w="425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8505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宋体" w:hAnsi="宋体"/>
                      <w:b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底盘车型号名称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福特新全顺V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362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车辆技术参数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车体尺寸 mm: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5341×2032×2450(长×宽×高)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医疗舱内尺寸 mm: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2900×1700×1720(长×宽×高)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轴距 mm：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3300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车辆满载总质量 kg: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3510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车辆整备质量 kg: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悬挂系统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Cs w:val="21"/>
                    </w:rPr>
                    <w:t>前悬麦弗逊独立悬挂，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333333"/>
                      <w:szCs w:val="21"/>
                    </w:rPr>
                    <w:t>后悬钢板弹簧非独立悬挂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最小离地间隙mm: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148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最小转弯半径m：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6.45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燃油种类: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汽油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油箱容积（L）：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发动机型号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ECOBOOST4G20B6L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工作方式: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直列、四缸、增压中冷、缸内直喷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排气量 ml: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/>
                      <w:kern w:val="0"/>
                      <w:szCs w:val="21"/>
                    </w:rPr>
                    <w:t>199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额定功率 kw(hp)/rpm: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149/5500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最大扭矩 Nm/rpm: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/>
                      <w:kern w:val="0"/>
                      <w:szCs w:val="21"/>
                    </w:rPr>
                    <w:t>300/1500-2500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排放标准: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国Ⅵ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驱动方式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前置前驱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18▲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变速器: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6速手自一体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最高时速 km/h: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156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轮胎规格型号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215/75R16LT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制动系统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前盘后盘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额定载客（含驾驶员）</w:t>
                  </w:r>
                </w:p>
              </w:tc>
              <w:tc>
                <w:tcPr>
                  <w:tcW w:w="42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3-8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8505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车辆主要配置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全金属封闭承载式车身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ABS8.0+EBD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中控锁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前排电动门窗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驾驶座（主）安全气囊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遥控钥匙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驾驶室原厂冷暖系统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同色保险杆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备胎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高位刹车灯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备用工具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GPS导航、DVD播放器、蓝牙电话、可视倒车影像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二、医疗舱内外配置</w:t>
            </w:r>
          </w:p>
          <w:tbl>
            <w:tblPr>
              <w:tblStyle w:val="5"/>
              <w:tblpPr w:leftFromText="180" w:rightFromText="180" w:vertAnchor="text" w:horzAnchor="margin" w:tblpXSpec="right" w:tblpY="250"/>
              <w:tblW w:w="86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1"/>
              <w:gridCol w:w="6446"/>
              <w:gridCol w:w="11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 描  述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69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车身涂装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白色车身+红色强效反光带及急救图徽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医疗舱窗户上贴玻璃膜2/3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69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警报、照明系统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100W警报器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车顶前部嵌入式LED蓝色警灯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车顶尾部LED蓝色警灯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车顶左右两侧LED蓝色警灯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中门上方安装外场照明灯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吊柜靠后门处安装外场照明灯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医疗舱内部LED射灯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医疗舱内部LED隐藏式照明灯（灯光可通过医疗舱控制面板切换白光和黄光，亮度具有5档可调。）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69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中央电源分配系统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（由主电瓶、辅助电瓶、智能充电控制装置、带充电功能正弦波逆变器、电控箱、线束、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控制面板构成。）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▲11 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车用紧急启动控制装置：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当主电瓶在低于12V无法正常启动时，按住紧急启动开关可以借助辅助电瓶令汽车迅速启动。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▲12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智能充电控制装置：1确保主电瓶的正常充电；2自动断开避免发电机过载，延长发电机寿命；3辅助电瓶独立工作，避免偷耗主电瓶电能。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免维护蓄电池（12V/70A）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▲14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安装实用新型的一种救护车车载电源装置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正弦波逆变器逆变功能：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容量：1kva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输入电压：140v—280v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输入频率：40-70hz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逆变输出电压：220VAC±3%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逆变输出频率：50HZ±2%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直流电压：12V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输出波形：纯正弦波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失真度：≤3%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转换时间：≤4ms自动转换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充电电流：充电电流10amp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CPU控制充电，智能充电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过载保护：超载100—120%，25秒后自动锁机；超载120—200%，1秒后自动锁机；超过＞200%，4ms后自动锁机。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浪涌功率：2kva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符合标准：欧盟电磁兼容标准 IEEE929/EN61000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国家标准GB 2099.1-1996  AC220V接头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德国标准DIN 40 050-9汽车电器装置保护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交直流（220V、12V）电源插座组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外接电源（220V/16A防水、带防护盖)，配15米移动电缆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▲17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驾驶室和医疗舱各装一组控制面板，面板采用双回路电路触摸式按钮设计。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医疗舱控制面板带液晶显示，面板可操作并显示：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照明灯、220V交流电、换气系统、前后对讲系统、灭菌灯、手术灯、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内射灯、空调、暖气。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液晶屏能显示：时间、室内温度、室内湿度、主辅电瓶12V电压、交流220V电压等。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驾驶室控制面板可操作对讲机、内射灯、照明灯。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汽车低压电线束：符合国家汽车行业标准QC/T 29106-2004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电控箱：利于维护保养的模块集成设计，且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在220V电源输出端装有漏电及短路保护器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690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医疗舱配置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紫外光灭菌灯（灭菌灯电源启动后，灭菌灯将在延时1分钟后工作，30分钟后自动关闭。）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医疗舱独立冷暖气系统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医疗舱双向换气系统（进出风）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医疗舱内壁加固防撞处理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侧门上车头部防撞保护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医疗舱顶部安装黄色尼龙抗菌扶手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医疗舱中门及后门上车扶手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医疗舱顶部输液挂架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医疗舱保温隔热层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驾驶室与医疗舱安装分隔墙：带可推拉窗户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医疗舱整体风格仿照航空舱设计，所有内饰采用ABS板材一次性吸塑成型，具有表面硬度高、光洁、抗菌、易清洗、可消毒、抗老化等特点。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</w:trPr>
              <w:tc>
                <w:tcPr>
                  <w:tcW w:w="110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医疗舱前部安装单人座椅，带舒适靠背，座椅下方为储物格，可放置急救箱。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左侧安装组合柜，组合柜由4个抽屉、1个带卷帘门的储物格、1个带外翻门的储物格、1个密封（门板可拆）的储物格组成。整套组合柜表面都是采用ABS板材一次性吸塑成型，具有表面硬度高、光洁、抗菌、易清洗、可消毒、抗老化等特点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医疗舱左后侧安装带卷帘门的氧气柜，氧气柜表面都是采用ABS板材一次性吸塑成型，具有表面硬度高、光洁、抗菌、易清洗、可消毒、抗老化等特点。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医疗舱左侧有可安装急救设备的支架。（可安装呼吸机，监护仪，输液泵等急救设备）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医疗舱右侧安装旋转座椅，座椅可折叠，座椅靠背可调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医疗舱右侧2人长排座椅：带舒适背、软座垫及配2套安全带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医疗舱所有柜门安装抽屉锁：带自锁功能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10升氧气瓶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39▲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救护车多功能氧气汇流排：采用耐高压金属管连接控制面板，控制面板位于医疗舱的左前方，靠近医生的位置，它装有：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吸氧用终端(1个)连接湿化器(1个)，呼吸机用的终端(1个)连接呼吸机专用接头(1个)。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两个氧气压力表，一个切换开关：方便查看两个压力表的情况，使用切换开关可对两个氧气瓶（组）进行切换。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两个减压阀：一个为吸氧用，一个为呼吸机用。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医疗舱地板：耐酸、碱、防火、防滑、防静电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41</w:t>
                  </w: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负压装置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1、功能:负压系统的功能能使医疗舱形成与外界环境相对的大气低压差，并通过排风装置及联接的高效过滤消毒器，阻止医疗舱内的污染空气外泄，而又达到通风换气、不污染环境的目的。  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2、相对压强:启动负压装置时,舱内相对压强在-30Pa～-10Pa。  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 xml:space="preserve">3、过滤器效率:空气过滤器对粒径0.3μm 微粒气溶胶滤出率大于99.9992%。  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、结构与组成:空气净化系统由进风口、净化排风装置、控制和监测装置组成。净化排风装置由排风风扇和空气过滤、消毒器组成。空气过滤、消毒器应设置在净化排风装置的吸入口。进出风口基本按照上进下排、前进后出的对角原则布置,控制和检测装置应放在驾驶室便于进行操作和控制。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5、高效负压装置采用进口风机、活性炭过滤层、高效过滤层、紫外线消毒装置组成。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6、风机选用德国进口风机，负压效果可达到-10到-30Pa（卫生部现行标准为-10到-30Pa）；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7、过滤装置为双层专业过滤层，分为活性炭过滤层和高效过滤层，活性炭过滤层可有效吸收有害物质及异味，过滤效率可达0.3微米，99.9992%，另加装紫外线消毒装置，提高安全性；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869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</w:rPr>
                    <w:t>专用器械设备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担架平台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铲式担架(型号：YSC-S10）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楼梯专用椅(型号：YSC-H1）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1张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迈瑞双通道注射泵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6</w:t>
                  </w: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cs="宋体"/>
                      <w:b/>
                      <w:bCs/>
                      <w:szCs w:val="21"/>
                    </w:rPr>
                    <w:t>Spencer-tec</w:t>
                  </w: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自动上车担架一台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可单人操控的自动折叠上下车担架。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担架结构为框架设计，采用不锈钢及铝合金材质，亮黄色外喷漆。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分叉型前腿，分叉型弧形后腿，加强担架的吸震与负载能力，弧形弯腿作为担架折叠后的支撑点，减少对救护车地面的损伤。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担架各部位的连接采用尼龙装置，增加各部件的灵活性，提高稳定性及安全性。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采用专利设计的顺应性悬挂系统，通过四支弧形支架吸收震动顺应性悬挂装置，不同压力点均不会造成担架侧翻。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可调节背板，背板采用一次性模压成型聚乙烯材料，头部及上半身位置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0-75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度可调，脚部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0-15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度可调，方便清洗消毒，可根据不同病情要求调节病员体位。安装于担架金属主体结构之上，病人床垫之下，可以避免骨折病人在转运过程中的二次伤害。需要时可以直接在担架上进行心肺复苏。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床垫外形为两节三段式，增大病员的接触面积，舒适度高，外部材料为采用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spentex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塑胶材料（专利设计，具有防火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 xml:space="preserve"> 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耐腐蚀的特点）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运行平稳，轮子采用航空轮胎技术，碰撞时具有吸震补偿作用，车轮直径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20mm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，后轮可以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360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度转向，并携带制动系统。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担架尺寸：长度：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1970mm,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宽度：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570mm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自身重量：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32KG</w:t>
                  </w:r>
                </w:p>
                <w:p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载重能力：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160KG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配件：前固定器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*1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，后固定器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*1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，床垫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*1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，快速释放金属扣的安全带</w:t>
                  </w:r>
                  <w:r>
                    <w:rPr>
                      <w:rFonts w:ascii="宋体" w:hAnsi="宋体" w:cs="仿宋_GB2312"/>
                      <w:bCs/>
                      <w:szCs w:val="21"/>
                      <w:lang w:val="zh-CN"/>
                    </w:rPr>
                    <w:t>*2</w:t>
                  </w:r>
                  <w:r>
                    <w:rPr>
                      <w:rFonts w:hint="eastAsia" w:ascii="宋体" w:hAnsi="宋体" w:cs="仿宋_GB2312"/>
                      <w:bCs/>
                      <w:szCs w:val="21"/>
                      <w:lang w:val="zh-CN"/>
                    </w:rPr>
                    <w:t>。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7</w:t>
                  </w: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哈美顿C1急救呼吸机一台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动力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*超静音匀速涡轮供气、无需高压空气或高压氧气驱动。涡轮为匀速工作，由精密电磁阀控制流速，大大提高涡轮的使用寿命及降低了噪音。　最大持续流速：260l/min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结构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 触摸屏≥8英寸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8.4英寸TFT彩色触摸屏幕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主动呼气阀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 近心端流速传感器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 内置PEEP阀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 主机机身重&lt;5.0kg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6. 配有2L氧气瓶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7. 多种转运解决方案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配有包含主机、2L氧气瓶、管道等一体化固定支架和挂板,可随氧气瓶固定于救护车、担架、病床等,并能通过快搭扣随时将主机拆离出来独立使用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8. 快搭氧气接头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9. 内置一体化高能电池供电时间≥4小时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病人类型：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成人, 儿童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应用范围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1.急救复苏2.野外抢救3.院前抢救4.危重症治疗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常规通气模式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 (S)CMV：容量型辅助/控制通气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SIMV：容量型同步间歇指令通气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 P-CMV：压力型辅助/控制通气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 P-SIMV：压力型同步间歇指令通气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 SPONT：持续气道正压通气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特殊通气模式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*1. ASV：适应性支持通气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 闭环通气模式，有无自主呼吸的病人均可使用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自动应用肺保护通气策略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 根据病人的呼吸力学变化自动调整通气参数，操作简便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 反应迅速，节省抢救时间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APV cmv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P-CMV中的适应性压力通气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 APV simv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P-SIMV中的适应性压力通气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特殊功能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 三种医嘱模式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用户可自定义三种不同设置，实际应用时一键快速启动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低氧模式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1.无氧气时，呼吸机可以正常给予患者通气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可以使用≤15l/min低流量氧气给予通气                                                          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3. 雾化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1.内置一体式气动雾化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2. 用于院外哮喘发作时气道内雾化治疗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4. 待机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待机时没有持续流速, 需重新按待机键后才能恢复通气; 防止待机时对病人的意外伤害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5. 叹气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对肺泡塌陷患者，实施有效的肺复张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6. 窒息后备通气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*Smart Apnea Backup智能窒息后备通气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*7. 漏气补偿≥45l/min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*8.U盘数据输出及导入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*9.U盘截屏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10.智能吸痰工具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设置参数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频率1-80次/分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*潮气量/目标潮气量：20-2000ml　、PEEP/CPAP, Plow、0-35cmH2O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氧气：21-100%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吸呼比：1:9-4:1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吸气时间：0.1-12s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峰流速：0-210l/min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流速触发灵敏度：0.1-20l/min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呼气切换灵敏度：5-80%吸气峰流速可调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压力：0-60cmH2O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压力延迟上升时间：0-2000ms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监测参数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压力：峰压, 平均压, 最小压, 平台压, PEEP/CPAP, AutoPEEP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流速：吸气峰流速, 呼气峰流速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容量：呼出潮气量, 呼出分钟通气量， 漏气量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时间：吸气时间, 呼气时间, I:E, 总呼吸频率, 自主呼吸频率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氧气：气道氧浓度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*肺功能参数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吸气阻力,  静态顺应性,AOTOPEEP  呼气时间常数,   压力时间乘积, 浅快呼吸指数，PTP，P0.1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*酷屏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1. 通过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动态肺模型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,迅速了解病人肺顺应性、阻力、自主呼吸状态和潮气量大小，直观、准确地让抢救医护人员快速做出治疗措施。 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 xml:space="preserve">2.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脱机指示窗：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当病人实际呼吸参数符合脱机范围后,呼吸机开始计时,提示使用者病人已准备好脱机。如有参数未进入脱机范围，提示使用者针对这部分参数进一步调整呼吸机设置。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报警参数：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低分钟通气量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高分钟通气量　：低呼吸频率　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高呼吸频率：低压力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高压力：低潮气量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高潮气量：窒息时间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O2浓度：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特殊报警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氧气浓度, 管道脱落, PEEP测不到, 呼气阻塞, 检查设置, 流速传感器报警, ASV/APV报警, 电源, 电池, 氧气/空气源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电源</w:t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输入电源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100-125和200-240V, 50/60Hz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48▲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迈瑞除颤监护十二导心电一体机一台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具备手动除颤、心电监护、呼吸监护、自动体外除颤（AED）功能。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整机重量不超过7kg。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除颤采用双相波技术，具备自动阻抗补偿功能。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手动除颤分为同步和非同步两种方式，能量分20档以上，可通过体外电极板进行能量选择。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除颤充电迅速，充电至200J&lt;5s。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可配置体外起搏功能，起搏分为固定和按需两种模式。具备慢速起搏功能。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CPR辅助功能，可指导CPR操作，符合2010国际CPR指南要求。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心电波形扫描时间&gt;10s，扫描长度&gt;100mm。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具备监护功能：12导ECG、血氧饱和度、无创血压、体温，可以选配呼吸末二氧化碳。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外置锂电池， 1块电池可支持200J除颤100次以上。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具备生理报警和技术报警功能，通过声音、灯光等多种方式进行报警。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成人、小儿一体化电极板，可选用除颤起搏监护多功能电极片。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支持中文操作界面、AED中文语音提示。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彩色TFT显示屏&gt;8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”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, 分辨率640×480，最多可显示4通道监护参数波形，有高对比度显示界面。具备外接屏幕显示功能。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50mm记录仪，自动打印除颤记录，可延迟打印心电，延迟时间&gt;10s。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可存储24小时连续ECG波形，数据可导出至电脑查看。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关机状态下设备可自动运行自检，支持大能量自检（不低于150J）、屏幕、按键检测。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可在-10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ºC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环境正常工作，存储温度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-30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～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70ºC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符合除颤国际专用安全标准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IEC60601-2-4:2002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符合欧盟救护车标准</w:t>
                  </w:r>
                  <w:r>
                    <w:rPr>
                      <w:rFonts w:ascii="宋体" w:hAnsi="宋体" w:cs="宋体"/>
                      <w:kern w:val="0"/>
                      <w:szCs w:val="21"/>
                    </w:rPr>
                    <w:t>EN1789:2007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具备良好的防水性能，防水级别IPX4。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具备优异的抗跌落性能，裸机可承受0.75m跌落冲击。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具备无线功能并提供数据输出协议。</w:t>
                  </w:r>
                </w:p>
                <w:p>
                  <w:pPr>
                    <w:pStyle w:val="2"/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▲具备院前院内生命体征数据无缝传输和接收。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49</w:t>
                  </w:r>
                  <w:r>
                    <w:rPr>
                      <w:rFonts w:hint="eastAsia" w:ascii="宋体" w:hAnsi="宋体" w:cs="仿宋"/>
                      <w:kern w:val="0"/>
                      <w:szCs w:val="21"/>
                    </w:rPr>
                    <w:t>▲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海柯蓝车载低温等离子空气消毒机一台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一：★产品尺寸：≤260*150*73.5mm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 xml:space="preserve">二：电压：220V 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三：功率：≤10W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四：净化技术：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4.1：低温等离子体杀菌净化技术，生成电子数相同的稳定等离子体（非单纯发生负离子，还具备等量的正离子，如氢离子等）利用等离子体内不同电子作用于细菌表面，导致细菌脱水死亡。真正做到人机共存的低温等离子空气消毒产品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4.2：为非过滤式净化技术，无耗材。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4.3：实现方式：线-半开弧低温等离子净化模块， 采用合金电极与带纳米二氧化钛合金涂层的电介质，通过高电压在二者中间生成等离子场腔，发生等离子体。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4.4：等离子净化模块工作电压：3000～6000V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 xml:space="preserve">4.5：等离子净化模块释放电子密度：2X（2X1017 -1.5X1018  ）m-3 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五：参考标准和方法：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5.1：《消毒卫生标准2002版》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5.2：《GB/T 18801-2015 空气净化器》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5.3：《WS394-2012 公共场所集中空调通风系统卫生标准》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5.4：中国科学院等离子体物理研究所《电磁波干涉诊断等离子密度》测试方法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5.5: 欧盟CE认证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六：产品性能指标：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6.1：产品为真实有效的等离子发生装置，具备中国科学院等离子体物理研究所出具的电子密度释放报告。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6.2：具备空气杀菌功能，参考《GB/T 18801-2015 空气净化器》测试，空气杀菌（白色葡萄球菌1H）效率≥99.90%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6.3：具备空气中甲醛、氨气净化功能，参考《GB/T 18801-2015 空 气净化器》测试，氨气去除率（3H）≥55%，甲醛去除率（3H）≥85%。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6.4：具备物体表面灭菌功能：参考《消毒卫生标准2002版》测试，对至于产品出风口1.5m的细菌培养皿，表面杀菌率（白色念珠菌3H）≥92%，30cm细菌培养皿面杀菌率（白色念珠菌3H）≥96%。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6.5：必须符合《WS394-2012 公共场所集中空调通风系统卫生标准》中对产品出风口细菌总数、真菌总数、β-溶血性链球菌数量的要求。以上报告有国家标准，必须由有资质的第三方机构提供测试报告。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6.6：具备空气主动循环功能，以完成密闭空间内多次、循环净化。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七：噪音：≤55dB(A)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八：风量：≤70m³/h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九：风扇转速：≥2400RPM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十：使用空间：≥20m³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十一：需符合国家卫生健康委员会WS/T649-2019（2019）4号中6.4.2等离子体空气消毒机内部不得装有中，高效过滤器和紫外线杀菌灯的要求。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十二：提供上海电器设备检测所有限公司检测报告静电放电抗扰度等级A，辐射电磁场抗扰度等级A报告。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十三：提供上海产业技术研究所检测报告SITI/KQC202004008I有害物质释放量（臭氧）检测结果0.01报告.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1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6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kern w:val="0"/>
                      <w:szCs w:val="21"/>
                    </w:rPr>
                    <w:t>急救车载GPS及车载监控一套</w:t>
                  </w:r>
                </w:p>
                <w:p>
                  <w:pPr>
                    <w:pStyle w:val="2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一：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车载终端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210" w:firstLineChars="10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城市大脑定制版急救专用车载信息终端，内置车载应用定制软件，完成设备对接城市大脑平台需要。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210" w:firstLineChars="10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1、基础调度功能：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（1）、提供图形用户界面，≥7寸彩色触摸屏结构，支持4G数据通信传输。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（2）、可进行GPS定位（包括经度、纬度、高度、速度、方向、时间）并将位置信息发送到急救指挥中心，发送间隔可由中心灵活设置。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（3）、可接收急救指挥中心发送来的调度指令、通知并显示提示。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（4）、可按键反馈急救过程中的状态信息（已出发、到达现场、现场救治完毕、任务完成等），状态管理符合急救运作流程，并可根据变化进行状态的增减。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（5）、可查看本车本班接受的命令单，并提供查询显示功能。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（6）、可以查看中心登记的在本车上班人员的信息、本车实际标识、所属单位名称。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（7）、可使用免提拨打或接听公网电话。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（8）、可配合中心控制指令控制车载通话权限。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（9）、提供电话簿功能，可快捷键直拨当前任务现场联系电话、主叫电话，联系电话和主叫电话根据下发调度指令实时改变。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（10）、提供医疗信息参考资料库（包括救治方案、毒品资料库和化学危险品资料库）。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（11）、可录入病历信息并将信息上传急救中心。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（12）、可录入收费信息并将信息上传急救中心。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（13）、具有完善的地图导航功能，可选择系统计算导航路径的优先方式（提供多种路径计算方式），可在车辆行驶中语音提示道路和方向选择。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（14）、内置高德在线地图，地图数据真实、详细，实时在线地图更新服务及路况提示。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（15）、直连汽车12V电源，无须二次转接并提供完善的自动电源管理（包括省电方案），不必由人工进行电源操作。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（16）、显示屏内置话筒及音箱。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（17）、可选择送达医院并上传急救中心。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（18）、调度和导航一体化设计。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2、一键护航功能：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（1）、定制化车载终端软件，集成高德SDK或城市大脑API应用接口。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（2）、可接收交警或城市大脑发送的一键护航道路引导信息。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（3）、支持车载终端一键申请任务护航，也可由调度台发起护航申请。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（4）、支持车辆位置与城市大脑平台实时同步，智能获取交管的绿灯放行信号。</w:t>
                  </w:r>
                </w:p>
                <w:p>
                  <w:pPr>
                    <w:pStyle w:val="2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（5）、可与交警中心、城市大脑平台实时信息联动。</w:t>
                  </w:r>
                </w:p>
                <w:p>
                  <w:pPr>
                    <w:pStyle w:val="2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szCs w:val="21"/>
                    </w:rPr>
                    <w:t>二：</w:t>
                  </w: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4G车载视频终端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  <w:t>DH-DVR0404ME-D-GLW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视频压缩标准：H.264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视频输入：4路，PAL制式CVBS输入，1Vp-p，标准BNC接口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最大帧率：PAL：25帧/秒，NTSC：30帧/秒，帧率可调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码流：16K~3Mbps，码流可调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码流类型：复合流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音频压缩标准：G.711/G.726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音频输入：4路，音频输入电压2Vp-p，标准航空插座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语音对讲输入：1路，音频输入电压20~200mV，标准3.5mm单声道接口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音视频输出：图像监视分辨率</w:t>
                  </w: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ab/>
                  </w: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P AL：740x576、704x288、352x288、176x144、640x480、320x240、160x112（D1、H-D1、CIF、QCIF、VGA、QVGA、QQVGA）   NTSC：640x480、320x240、160x112（VGA、QVGA、QQVGA）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视频输出：1路，PAL制式CVBS输出，1Vp-p，标准BNC接口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音频输出：1路，音频输出电压2Vp-p，标准3.5mm单声道接口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硬盘驱动器：SATA、500G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网络接口：1个RJ45，10/100M自适应以太网接口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网络通信协议：TCP、UDP、FTP、TFTP、HTTP、DHCP等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无线网络：3G（EVDO、TD-SCDMA、WCDMA）、2.5G（EDGE、CDMA）WLAN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通讯接口：RS-485控制接口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存储接口：SD卡接口、SATA硬盘接口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USB接口：1个USB设备接口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报警输入：4路开关量输入</w:t>
                  </w:r>
                </w:p>
                <w:p>
                  <w:pPr>
                    <w:pStyle w:val="2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报警输出：2路开关量输出</w:t>
                  </w:r>
                </w:p>
                <w:p>
                  <w:pPr>
                    <w:pStyle w:val="2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三：车载硬盘</w:t>
                  </w:r>
                </w:p>
                <w:p>
                  <w:pPr>
                    <w:pStyle w:val="2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含1TB 2.5寸SATA硬盘1块</w:t>
                  </w:r>
                </w:p>
                <w:p>
                  <w:pPr>
                    <w:pStyle w:val="2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四：车载摄像机</w:t>
                  </w:r>
                </w:p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  <w:t>DH-CA-MW183HP-IR1-0280B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视频制式：PAL 625行，每秒25帧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图像传感器： 1/3″ SUPER HAD CCD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有效像素：752(H)X582(V)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同步系统：内同步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水平分辨率：480TVL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镜头搭配：可选3.6/6/8 mm IR镜头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最低照度：0Lux（红外灯开启）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信噪比：&gt;52dB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电子快门：1/50～1/100000Sec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背光补偿：自动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视频输出：1.0Vp-p Composite Output（75欧姆/BNC）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自动增益控制：自动</w:t>
                  </w:r>
                </w:p>
                <w:p>
                  <w:pPr>
                    <w:widowControl/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红外灯距离：15米</w:t>
                  </w:r>
                </w:p>
                <w:p>
                  <w:pPr>
                    <w:pStyle w:val="2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宋体" w:hAnsi="宋体" w:cs="仿宋"/>
                      <w:color w:val="000000"/>
                      <w:kern w:val="0"/>
                      <w:szCs w:val="21"/>
                    </w:rPr>
                    <w:t>每车2个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1套</w:t>
                  </w:r>
                </w:p>
              </w:tc>
            </w:tr>
          </w:tbl>
          <w:p>
            <w:pPr>
              <w:tabs>
                <w:tab w:val="left" w:pos="2258"/>
              </w:tabs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备注：医疗舱内所有内饰板必须是无异味，可再生的环保材料，不得使用玻璃钢材料。</w:t>
            </w:r>
          </w:p>
        </w:tc>
      </w:tr>
    </w:tbl>
    <w:p>
      <w:pPr>
        <w:pStyle w:val="2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F86"/>
    <w:multiLevelType w:val="multilevel"/>
    <w:tmpl w:val="2EFF2F86"/>
    <w:lvl w:ilvl="0" w:tentative="0">
      <w:start w:val="1"/>
      <w:numFmt w:val="decimal"/>
      <w:lvlText w:val="%1，"/>
      <w:lvlJc w:val="left"/>
      <w:pPr>
        <w:ind w:left="495" w:hanging="495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F76"/>
    <w:rsid w:val="00011F50"/>
    <w:rsid w:val="00121A9F"/>
    <w:rsid w:val="00144B74"/>
    <w:rsid w:val="002D0491"/>
    <w:rsid w:val="00356CEC"/>
    <w:rsid w:val="003A4168"/>
    <w:rsid w:val="003D7F76"/>
    <w:rsid w:val="00427709"/>
    <w:rsid w:val="004418A2"/>
    <w:rsid w:val="004570AA"/>
    <w:rsid w:val="004C0441"/>
    <w:rsid w:val="005F27A1"/>
    <w:rsid w:val="00683FE2"/>
    <w:rsid w:val="00756067"/>
    <w:rsid w:val="00770DE7"/>
    <w:rsid w:val="00796E08"/>
    <w:rsid w:val="007B5FD1"/>
    <w:rsid w:val="009F44E0"/>
    <w:rsid w:val="00A376ED"/>
    <w:rsid w:val="00A75CD9"/>
    <w:rsid w:val="00A80782"/>
    <w:rsid w:val="00B574D1"/>
    <w:rsid w:val="00B70E5F"/>
    <w:rsid w:val="00BD59A2"/>
    <w:rsid w:val="00BF6340"/>
    <w:rsid w:val="00C865B4"/>
    <w:rsid w:val="00D21766"/>
    <w:rsid w:val="00F50D4B"/>
    <w:rsid w:val="1E3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1485</Words>
  <Characters>8467</Characters>
  <Lines>70</Lines>
  <Paragraphs>19</Paragraphs>
  <TotalTime>51</TotalTime>
  <ScaleCrop>false</ScaleCrop>
  <LinksUpToDate>false</LinksUpToDate>
  <CharactersWithSpaces>9933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2019-11-27T04:54:00Z</dcterms:created>
  <dc:creator>陈卫良</dc:creator>
  <cp:lastModifiedBy>纯白色的猪</cp:lastModifiedBy>
  <dcterms:modified xsi:type="dcterms:W3CDTF">2020-07-01T23:56:20Z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