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460" w:lineRule="exact"/>
        <w:jc w:val="center"/>
        <w:rPr>
          <w:rFonts w:ascii="宋体" w:hAnsi="宋体" w:cs="宋体"/>
          <w:sz w:val="44"/>
          <w:szCs w:val="44"/>
        </w:rPr>
      </w:pPr>
    </w:p>
    <w:p>
      <w:pPr>
        <w:adjustRightInd w:val="0"/>
        <w:spacing w:line="480" w:lineRule="auto"/>
        <w:jc w:val="center"/>
        <w:rPr>
          <w:rFonts w:ascii="宋体" w:hAnsi="宋体" w:cs="宋体"/>
          <w:sz w:val="44"/>
          <w:szCs w:val="44"/>
        </w:rPr>
      </w:pPr>
    </w:p>
    <w:p>
      <w:pPr>
        <w:spacing w:line="48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杭州市红十字会医院</w:t>
      </w:r>
    </w:p>
    <w:p>
      <w:pPr>
        <w:spacing w:line="480" w:lineRule="auto"/>
        <w:jc w:val="center"/>
        <w:rPr>
          <w:rFonts w:hint="default" w:ascii="宋体" w:hAnsi="宋体" w:eastAsia="宋体" w:cs="宋体"/>
          <w:b/>
          <w:sz w:val="44"/>
          <w:szCs w:val="44"/>
          <w:lang w:val="en-US" w:eastAsia="zh-CN"/>
        </w:rPr>
      </w:pPr>
      <w:r>
        <w:rPr>
          <w:rFonts w:hint="eastAsia" w:ascii="宋体" w:hAnsi="宋体" w:cs="宋体"/>
          <w:b/>
          <w:sz w:val="44"/>
          <w:szCs w:val="44"/>
          <w:lang w:eastAsia="zh-CN"/>
        </w:rPr>
        <w:t>2025年公款竞争性存放</w:t>
      </w:r>
      <w:r>
        <w:rPr>
          <w:rFonts w:hint="eastAsia" w:ascii="宋体" w:hAnsi="宋体" w:cs="宋体"/>
          <w:b/>
          <w:sz w:val="44"/>
          <w:szCs w:val="44"/>
          <w:lang w:val="en-US" w:eastAsia="zh-CN"/>
        </w:rPr>
        <w:t>项目</w:t>
      </w:r>
    </w:p>
    <w:p>
      <w:pPr>
        <w:spacing w:line="480" w:lineRule="auto"/>
        <w:jc w:val="center"/>
        <w:rPr>
          <w:rFonts w:ascii="宋体" w:hAnsi="宋体" w:cs="宋体"/>
          <w:b/>
          <w:sz w:val="44"/>
          <w:szCs w:val="44"/>
        </w:rPr>
      </w:pPr>
      <w:r>
        <w:rPr>
          <w:rFonts w:hint="eastAsia" w:ascii="宋体" w:hAnsi="宋体" w:cs="宋体"/>
          <w:b/>
          <w:sz w:val="44"/>
          <w:szCs w:val="44"/>
        </w:rPr>
        <w:t>招标文件</w:t>
      </w:r>
    </w:p>
    <w:p>
      <w:pPr>
        <w:adjustRightInd w:val="0"/>
        <w:spacing w:line="480" w:lineRule="auto"/>
        <w:jc w:val="center"/>
        <w:rPr>
          <w:rFonts w:ascii="宋体" w:hAnsi="宋体" w:cs="宋体"/>
          <w:sz w:val="24"/>
          <w:szCs w:val="22"/>
        </w:rPr>
      </w:pPr>
    </w:p>
    <w:p>
      <w:pPr>
        <w:pStyle w:val="2"/>
        <w:rPr>
          <w:rFonts w:ascii="宋体" w:hAnsi="宋体" w:cs="宋体"/>
          <w:sz w:val="24"/>
          <w:szCs w:val="22"/>
        </w:rPr>
      </w:pPr>
    </w:p>
    <w:p/>
    <w:tbl>
      <w:tblPr>
        <w:tblStyle w:val="44"/>
        <w:tblW w:w="0" w:type="auto"/>
        <w:jc w:val="center"/>
        <w:tblLayout w:type="fixed"/>
        <w:tblCellMar>
          <w:top w:w="0" w:type="dxa"/>
          <w:left w:w="108" w:type="dxa"/>
          <w:bottom w:w="0" w:type="dxa"/>
          <w:right w:w="108" w:type="dxa"/>
        </w:tblCellMar>
      </w:tblPr>
      <w:tblGrid>
        <w:gridCol w:w="1725"/>
        <w:gridCol w:w="3074"/>
      </w:tblGrid>
      <w:tr>
        <w:tblPrEx>
          <w:tblCellMar>
            <w:top w:w="0" w:type="dxa"/>
            <w:left w:w="108" w:type="dxa"/>
            <w:bottom w:w="0" w:type="dxa"/>
            <w:right w:w="108" w:type="dxa"/>
          </w:tblCellMar>
        </w:tblPrEx>
        <w:trPr>
          <w:trHeight w:val="780" w:hRule="atLeast"/>
          <w:jc w:val="center"/>
        </w:trPr>
        <w:tc>
          <w:tcPr>
            <w:tcW w:w="1725" w:type="dxa"/>
            <w:vAlign w:val="center"/>
          </w:tcPr>
          <w:p>
            <w:pPr>
              <w:spacing w:line="480" w:lineRule="auto"/>
              <w:jc w:val="center"/>
              <w:rPr>
                <w:rFonts w:ascii="宋体" w:hAnsi="宋体" w:cs="宋体"/>
                <w:sz w:val="32"/>
              </w:rPr>
            </w:pPr>
            <w:r>
              <w:rPr>
                <w:rFonts w:hint="eastAsia" w:ascii="宋体" w:hAnsi="宋体" w:cs="宋体"/>
                <w:sz w:val="32"/>
              </w:rPr>
              <w:t>招标编号：</w:t>
            </w:r>
          </w:p>
        </w:tc>
        <w:tc>
          <w:tcPr>
            <w:tcW w:w="3074" w:type="dxa"/>
            <w:vAlign w:val="center"/>
          </w:tcPr>
          <w:p>
            <w:pPr>
              <w:spacing w:line="48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HSZB-2024-1429</w:t>
            </w:r>
          </w:p>
        </w:tc>
      </w:tr>
    </w:tbl>
    <w:p>
      <w:pPr>
        <w:adjustRightInd w:val="0"/>
        <w:spacing w:line="480" w:lineRule="auto"/>
        <w:jc w:val="center"/>
        <w:rPr>
          <w:rFonts w:ascii="宋体" w:hAnsi="宋体" w:cs="宋体"/>
          <w:sz w:val="24"/>
          <w:szCs w:val="22"/>
        </w:rPr>
      </w:pPr>
    </w:p>
    <w:p>
      <w:pPr>
        <w:adjustRightInd w:val="0"/>
        <w:spacing w:line="480" w:lineRule="auto"/>
        <w:jc w:val="center"/>
        <w:rPr>
          <w:rFonts w:ascii="宋体" w:hAnsi="宋体" w:cs="宋体"/>
          <w:sz w:val="24"/>
          <w:szCs w:val="22"/>
        </w:rPr>
      </w:pPr>
    </w:p>
    <w:p>
      <w:pPr>
        <w:adjustRightInd w:val="0"/>
        <w:spacing w:line="480" w:lineRule="auto"/>
        <w:jc w:val="center"/>
        <w:rPr>
          <w:rFonts w:ascii="宋体" w:hAnsi="宋体" w:cs="宋体"/>
          <w:sz w:val="24"/>
          <w:szCs w:val="22"/>
        </w:rPr>
      </w:pPr>
    </w:p>
    <w:p>
      <w:pPr>
        <w:adjustRightInd w:val="0"/>
        <w:spacing w:line="480" w:lineRule="auto"/>
        <w:jc w:val="center"/>
        <w:rPr>
          <w:rFonts w:ascii="宋体" w:hAnsi="宋体" w:cs="宋体"/>
          <w:sz w:val="24"/>
          <w:szCs w:val="22"/>
        </w:rPr>
      </w:pPr>
    </w:p>
    <w:tbl>
      <w:tblPr>
        <w:tblStyle w:val="44"/>
        <w:tblW w:w="0" w:type="auto"/>
        <w:jc w:val="center"/>
        <w:tblLayout w:type="fixed"/>
        <w:tblCellMar>
          <w:top w:w="0" w:type="dxa"/>
          <w:left w:w="108" w:type="dxa"/>
          <w:bottom w:w="0" w:type="dxa"/>
          <w:right w:w="108" w:type="dxa"/>
        </w:tblCellMar>
      </w:tblPr>
      <w:tblGrid>
        <w:gridCol w:w="2159"/>
        <w:gridCol w:w="372"/>
        <w:gridCol w:w="5222"/>
      </w:tblGrid>
      <w:tr>
        <w:tblPrEx>
          <w:tblCellMar>
            <w:top w:w="0" w:type="dxa"/>
            <w:left w:w="108" w:type="dxa"/>
            <w:bottom w:w="0" w:type="dxa"/>
            <w:right w:w="108" w:type="dxa"/>
          </w:tblCellMar>
        </w:tblPrEx>
        <w:trPr>
          <w:jc w:val="center"/>
        </w:trPr>
        <w:tc>
          <w:tcPr>
            <w:tcW w:w="2159" w:type="dxa"/>
          </w:tcPr>
          <w:p>
            <w:pPr>
              <w:adjustRightInd w:val="0"/>
              <w:spacing w:line="600" w:lineRule="exact"/>
              <w:jc w:val="distribute"/>
              <w:rPr>
                <w:rFonts w:ascii="宋体" w:hAnsi="宋体" w:cs="宋体"/>
                <w:sz w:val="32"/>
                <w:szCs w:val="32"/>
              </w:rPr>
            </w:pPr>
            <w:r>
              <w:rPr>
                <w:rFonts w:hint="eastAsia" w:ascii="宋体" w:hAnsi="宋体" w:cs="宋体"/>
                <w:sz w:val="32"/>
                <w:szCs w:val="32"/>
              </w:rPr>
              <w:t>招标人</w:t>
            </w:r>
          </w:p>
        </w:tc>
        <w:tc>
          <w:tcPr>
            <w:tcW w:w="372" w:type="dxa"/>
          </w:tcPr>
          <w:p>
            <w:pPr>
              <w:adjustRightInd w:val="0"/>
              <w:spacing w:line="600" w:lineRule="exact"/>
              <w:jc w:val="center"/>
              <w:rPr>
                <w:rFonts w:ascii="宋体" w:hAnsi="宋体" w:cs="宋体"/>
                <w:sz w:val="32"/>
                <w:szCs w:val="32"/>
                <w:lang w:val="zh-CN"/>
              </w:rPr>
            </w:pPr>
            <w:r>
              <w:rPr>
                <w:rFonts w:hint="eastAsia" w:ascii="宋体" w:hAnsi="宋体" w:cs="宋体"/>
                <w:sz w:val="24"/>
              </w:rPr>
              <w:t>:</w:t>
            </w:r>
          </w:p>
        </w:tc>
        <w:tc>
          <w:tcPr>
            <w:tcW w:w="5222" w:type="dxa"/>
          </w:tcPr>
          <w:p>
            <w:pPr>
              <w:adjustRightInd w:val="0"/>
              <w:spacing w:line="600" w:lineRule="exact"/>
              <w:jc w:val="center"/>
              <w:rPr>
                <w:rFonts w:ascii="宋体" w:hAnsi="宋体" w:cs="宋体"/>
                <w:sz w:val="28"/>
                <w:szCs w:val="28"/>
              </w:rPr>
            </w:pPr>
            <w:r>
              <w:rPr>
                <w:rFonts w:hint="eastAsia" w:ascii="宋体" w:hAnsi="宋体" w:cs="宋体"/>
                <w:sz w:val="32"/>
                <w:szCs w:val="32"/>
                <w:lang w:val="zh-CN"/>
              </w:rPr>
              <w:t>杭州市红十字会医院</w:t>
            </w:r>
          </w:p>
        </w:tc>
      </w:tr>
      <w:tr>
        <w:tblPrEx>
          <w:tblCellMar>
            <w:top w:w="0" w:type="dxa"/>
            <w:left w:w="108" w:type="dxa"/>
            <w:bottom w:w="0" w:type="dxa"/>
            <w:right w:w="108" w:type="dxa"/>
          </w:tblCellMar>
        </w:tblPrEx>
        <w:trPr>
          <w:jc w:val="center"/>
        </w:trPr>
        <w:tc>
          <w:tcPr>
            <w:tcW w:w="2159" w:type="dxa"/>
          </w:tcPr>
          <w:p>
            <w:pPr>
              <w:adjustRightInd w:val="0"/>
              <w:spacing w:line="600" w:lineRule="exact"/>
              <w:jc w:val="distribute"/>
              <w:rPr>
                <w:rFonts w:ascii="宋体" w:hAnsi="宋体" w:cs="宋体"/>
                <w:sz w:val="32"/>
                <w:szCs w:val="32"/>
              </w:rPr>
            </w:pPr>
            <w:r>
              <w:rPr>
                <w:rFonts w:hint="eastAsia" w:ascii="宋体" w:hAnsi="宋体" w:cs="宋体"/>
                <w:sz w:val="32"/>
                <w:szCs w:val="32"/>
              </w:rPr>
              <w:t>招标代理机构</w:t>
            </w:r>
          </w:p>
        </w:tc>
        <w:tc>
          <w:tcPr>
            <w:tcW w:w="372" w:type="dxa"/>
          </w:tcPr>
          <w:p>
            <w:pPr>
              <w:adjustRightInd w:val="0"/>
              <w:spacing w:line="600" w:lineRule="exact"/>
              <w:jc w:val="center"/>
              <w:rPr>
                <w:rFonts w:ascii="宋体" w:hAnsi="宋体" w:cs="宋体"/>
                <w:sz w:val="32"/>
                <w:szCs w:val="32"/>
                <w:lang w:val="zh-CN"/>
              </w:rPr>
            </w:pPr>
            <w:r>
              <w:rPr>
                <w:rFonts w:hint="eastAsia" w:ascii="宋体" w:hAnsi="宋体" w:cs="宋体"/>
                <w:sz w:val="24"/>
              </w:rPr>
              <w:t>:</w:t>
            </w:r>
          </w:p>
        </w:tc>
        <w:tc>
          <w:tcPr>
            <w:tcW w:w="5222" w:type="dxa"/>
          </w:tcPr>
          <w:p>
            <w:pPr>
              <w:adjustRightInd w:val="0"/>
              <w:spacing w:line="600" w:lineRule="exact"/>
              <w:jc w:val="center"/>
              <w:rPr>
                <w:rFonts w:ascii="宋体" w:hAnsi="宋体" w:cs="宋体"/>
                <w:sz w:val="28"/>
                <w:szCs w:val="28"/>
              </w:rPr>
            </w:pPr>
            <w:r>
              <w:rPr>
                <w:rFonts w:hint="eastAsia" w:ascii="宋体" w:hAnsi="宋体" w:cs="宋体"/>
                <w:sz w:val="32"/>
                <w:szCs w:val="32"/>
              </w:rPr>
              <w:t>浙江豪圣建设项目管理有限公司</w:t>
            </w:r>
          </w:p>
        </w:tc>
      </w:tr>
      <w:tr>
        <w:tblPrEx>
          <w:tblCellMar>
            <w:top w:w="0" w:type="dxa"/>
            <w:left w:w="108" w:type="dxa"/>
            <w:bottom w:w="0" w:type="dxa"/>
            <w:right w:w="108" w:type="dxa"/>
          </w:tblCellMar>
        </w:tblPrEx>
        <w:trPr>
          <w:jc w:val="center"/>
        </w:trPr>
        <w:tc>
          <w:tcPr>
            <w:tcW w:w="2159" w:type="dxa"/>
          </w:tcPr>
          <w:p>
            <w:pPr>
              <w:adjustRightInd w:val="0"/>
              <w:spacing w:line="600" w:lineRule="exact"/>
              <w:jc w:val="distribute"/>
              <w:rPr>
                <w:rFonts w:ascii="宋体" w:hAnsi="宋体" w:cs="宋体"/>
                <w:sz w:val="32"/>
                <w:szCs w:val="32"/>
              </w:rPr>
            </w:pPr>
            <w:r>
              <w:rPr>
                <w:rFonts w:hint="eastAsia" w:ascii="宋体" w:hAnsi="宋体" w:cs="宋体"/>
                <w:sz w:val="32"/>
                <w:szCs w:val="32"/>
              </w:rPr>
              <w:t>日期</w:t>
            </w:r>
          </w:p>
        </w:tc>
        <w:tc>
          <w:tcPr>
            <w:tcW w:w="372" w:type="dxa"/>
          </w:tcPr>
          <w:p>
            <w:pPr>
              <w:adjustRightInd w:val="0"/>
              <w:spacing w:line="600" w:lineRule="exact"/>
              <w:jc w:val="center"/>
              <w:rPr>
                <w:rFonts w:ascii="宋体" w:hAnsi="宋体" w:cs="宋体"/>
                <w:sz w:val="24"/>
              </w:rPr>
            </w:pPr>
            <w:r>
              <w:rPr>
                <w:rFonts w:hint="eastAsia" w:ascii="宋体" w:hAnsi="宋体" w:cs="宋体"/>
                <w:sz w:val="24"/>
              </w:rPr>
              <w:t>:</w:t>
            </w:r>
          </w:p>
        </w:tc>
        <w:tc>
          <w:tcPr>
            <w:tcW w:w="5222" w:type="dxa"/>
          </w:tcPr>
          <w:p>
            <w:pPr>
              <w:adjustRightInd w:val="0"/>
              <w:spacing w:line="600" w:lineRule="exact"/>
              <w:jc w:val="center"/>
              <w:rPr>
                <w:rFonts w:ascii="宋体" w:hAnsi="宋体" w:cs="宋体"/>
                <w:sz w:val="32"/>
                <w:szCs w:val="32"/>
                <w:lang w:val="zh-CN"/>
              </w:rPr>
            </w:pPr>
            <w:r>
              <w:rPr>
                <w:rFonts w:hint="eastAsia" w:ascii="宋体" w:hAnsi="宋体" w:cs="宋体"/>
                <w:sz w:val="32"/>
                <w:szCs w:val="32"/>
              </w:rPr>
              <w:t>2024年</w:t>
            </w:r>
            <w:r>
              <w:rPr>
                <w:rFonts w:hint="eastAsia" w:ascii="宋体" w:hAnsi="宋体" w:cs="宋体"/>
                <w:sz w:val="32"/>
                <w:szCs w:val="32"/>
                <w:lang w:val="en-US" w:eastAsia="zh-CN"/>
              </w:rPr>
              <w:t>12</w:t>
            </w:r>
            <w:r>
              <w:rPr>
                <w:rFonts w:hint="eastAsia" w:ascii="宋体" w:hAnsi="宋体" w:cs="宋体"/>
                <w:sz w:val="32"/>
                <w:szCs w:val="32"/>
              </w:rPr>
              <w:t>月</w:t>
            </w:r>
          </w:p>
        </w:tc>
      </w:tr>
    </w:tbl>
    <w:p>
      <w:pPr>
        <w:adjustRightInd w:val="0"/>
        <w:spacing w:line="480" w:lineRule="auto"/>
        <w:jc w:val="center"/>
        <w:rPr>
          <w:rFonts w:ascii="宋体" w:hAnsi="宋体" w:cs="宋体"/>
          <w:sz w:val="24"/>
        </w:rPr>
      </w:pPr>
    </w:p>
    <w:p>
      <w:pPr>
        <w:adjustRightInd w:val="0"/>
        <w:spacing w:line="480" w:lineRule="auto"/>
        <w:jc w:val="center"/>
        <w:rPr>
          <w:rFonts w:ascii="宋体" w:hAnsi="宋体" w:cs="宋体"/>
          <w:sz w:val="24"/>
        </w:rPr>
      </w:pPr>
    </w:p>
    <w:p>
      <w:pPr>
        <w:adjustRightInd w:val="0"/>
        <w:spacing w:line="460" w:lineRule="exact"/>
        <w:jc w:val="center"/>
        <w:rPr>
          <w:rFonts w:ascii="宋体" w:hAnsi="宋体" w:cs="宋体"/>
          <w:sz w:val="32"/>
          <w:szCs w:val="32"/>
        </w:rPr>
        <w:sectPr>
          <w:headerReference r:id="rId4" w:type="first"/>
          <w:headerReference r:id="rId3" w:type="default"/>
          <w:footerReference r:id="rId5" w:type="default"/>
          <w:footerReference r:id="rId6" w:type="even"/>
          <w:pgSz w:w="11906" w:h="16838"/>
          <w:pgMar w:top="1134" w:right="1134" w:bottom="1134" w:left="1417" w:header="567" w:footer="567" w:gutter="0"/>
          <w:cols w:space="720" w:num="1"/>
          <w:titlePg/>
          <w:docGrid w:linePitch="312" w:charSpace="0"/>
        </w:sectPr>
      </w:pPr>
    </w:p>
    <w:p>
      <w:pPr>
        <w:adjustRightInd w:val="0"/>
        <w:spacing w:line="460" w:lineRule="exact"/>
        <w:jc w:val="center"/>
        <w:rPr>
          <w:rFonts w:ascii="宋体" w:hAnsi="宋体" w:cs="宋体"/>
          <w:b/>
          <w:sz w:val="36"/>
        </w:rPr>
      </w:pPr>
      <w:r>
        <w:rPr>
          <w:rFonts w:hint="eastAsia" w:ascii="宋体" w:hAnsi="宋体" w:cs="宋体"/>
          <w:b/>
          <w:sz w:val="36"/>
        </w:rPr>
        <w:t>目    录</w:t>
      </w:r>
    </w:p>
    <w:p>
      <w:pPr>
        <w:pStyle w:val="31"/>
        <w:tabs>
          <w:tab w:val="right" w:leader="dot" w:pos="9468"/>
        </w:tabs>
        <w:spacing w:line="360" w:lineRule="auto"/>
        <w:rPr>
          <w:sz w:val="24"/>
          <w:szCs w:val="24"/>
        </w:rPr>
      </w:pPr>
    </w:p>
    <w:p>
      <w:pPr>
        <w:pStyle w:val="31"/>
        <w:tabs>
          <w:tab w:val="right" w:leader="dot" w:pos="9355"/>
        </w:tabs>
        <w:spacing w:line="360" w:lineRule="auto"/>
        <w:rPr>
          <w:sz w:val="28"/>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"_Toc13747" </w:instrText>
      </w:r>
      <w:r>
        <w:fldChar w:fldCharType="separate"/>
      </w:r>
      <w:r>
        <w:rPr>
          <w:rFonts w:hint="eastAsia" w:ascii="宋体" w:hAnsi="宋体" w:cs="宋体"/>
          <w:sz w:val="28"/>
          <w:szCs w:val="24"/>
        </w:rPr>
        <w:t>第一部分 招标公告</w:t>
      </w:r>
      <w:r>
        <w:rPr>
          <w:sz w:val="28"/>
          <w:szCs w:val="24"/>
        </w:rPr>
        <w:tab/>
      </w:r>
      <w:r>
        <w:rPr>
          <w:sz w:val="28"/>
          <w:szCs w:val="24"/>
        </w:rPr>
        <w:fldChar w:fldCharType="begin"/>
      </w:r>
      <w:r>
        <w:rPr>
          <w:sz w:val="28"/>
          <w:szCs w:val="24"/>
        </w:rPr>
        <w:instrText xml:space="preserve"> PAGEREF _Toc13747 \h </w:instrText>
      </w:r>
      <w:r>
        <w:rPr>
          <w:sz w:val="28"/>
          <w:szCs w:val="24"/>
        </w:rPr>
        <w:fldChar w:fldCharType="separate"/>
      </w:r>
      <w:r>
        <w:rPr>
          <w:sz w:val="28"/>
          <w:szCs w:val="24"/>
        </w:rPr>
        <w:t>3</w:t>
      </w:r>
      <w:r>
        <w:rPr>
          <w:sz w:val="28"/>
          <w:szCs w:val="24"/>
        </w:rPr>
        <w:fldChar w:fldCharType="end"/>
      </w:r>
      <w:r>
        <w:rPr>
          <w:sz w:val="28"/>
          <w:szCs w:val="24"/>
        </w:rPr>
        <w:fldChar w:fldCharType="end"/>
      </w:r>
    </w:p>
    <w:p>
      <w:pPr>
        <w:pStyle w:val="31"/>
        <w:tabs>
          <w:tab w:val="right" w:leader="dot" w:pos="9355"/>
        </w:tabs>
        <w:spacing w:line="360" w:lineRule="auto"/>
        <w:rPr>
          <w:sz w:val="28"/>
          <w:szCs w:val="24"/>
        </w:rPr>
      </w:pPr>
      <w:r>
        <w:fldChar w:fldCharType="begin"/>
      </w:r>
      <w:r>
        <w:instrText xml:space="preserve"> HYPERLINK \l "_Toc30065" </w:instrText>
      </w:r>
      <w:r>
        <w:fldChar w:fldCharType="separate"/>
      </w:r>
      <w:r>
        <w:rPr>
          <w:rFonts w:cs="宋体"/>
          <w:bCs/>
          <w:sz w:val="28"/>
          <w:szCs w:val="24"/>
        </w:rPr>
        <w:t>第二部分 投标须知</w:t>
      </w:r>
      <w:r>
        <w:rPr>
          <w:sz w:val="28"/>
          <w:szCs w:val="24"/>
        </w:rPr>
        <w:tab/>
      </w:r>
      <w:r>
        <w:rPr>
          <w:sz w:val="28"/>
          <w:szCs w:val="24"/>
        </w:rPr>
        <w:fldChar w:fldCharType="begin"/>
      </w:r>
      <w:r>
        <w:rPr>
          <w:sz w:val="28"/>
          <w:szCs w:val="24"/>
        </w:rPr>
        <w:instrText xml:space="preserve"> PAGEREF _Toc30065 \h </w:instrText>
      </w:r>
      <w:r>
        <w:rPr>
          <w:sz w:val="28"/>
          <w:szCs w:val="24"/>
        </w:rPr>
        <w:fldChar w:fldCharType="separate"/>
      </w:r>
      <w:r>
        <w:rPr>
          <w:sz w:val="28"/>
          <w:szCs w:val="24"/>
        </w:rPr>
        <w:t>5</w:t>
      </w:r>
      <w:r>
        <w:rPr>
          <w:sz w:val="28"/>
          <w:szCs w:val="24"/>
        </w:rPr>
        <w:fldChar w:fldCharType="end"/>
      </w:r>
      <w:r>
        <w:rPr>
          <w:sz w:val="28"/>
          <w:szCs w:val="24"/>
        </w:rPr>
        <w:fldChar w:fldCharType="end"/>
      </w:r>
    </w:p>
    <w:p>
      <w:pPr>
        <w:pStyle w:val="31"/>
        <w:tabs>
          <w:tab w:val="right" w:leader="dot" w:pos="9355"/>
        </w:tabs>
        <w:spacing w:line="360" w:lineRule="auto"/>
        <w:rPr>
          <w:sz w:val="28"/>
          <w:szCs w:val="24"/>
        </w:rPr>
      </w:pPr>
      <w:r>
        <w:fldChar w:fldCharType="begin"/>
      </w:r>
      <w:r>
        <w:instrText xml:space="preserve"> HYPERLINK \l "_Toc2569" </w:instrText>
      </w:r>
      <w:r>
        <w:fldChar w:fldCharType="separate"/>
      </w:r>
      <w:r>
        <w:rPr>
          <w:rFonts w:hint="eastAsia" w:ascii="宋体" w:hAnsi="宋体" w:cs="宋体"/>
          <w:sz w:val="28"/>
          <w:szCs w:val="32"/>
        </w:rPr>
        <w:t>第三部分 用户需求书</w:t>
      </w:r>
      <w:r>
        <w:rPr>
          <w:sz w:val="28"/>
          <w:szCs w:val="24"/>
        </w:rPr>
        <w:tab/>
      </w:r>
      <w:r>
        <w:rPr>
          <w:sz w:val="28"/>
          <w:szCs w:val="24"/>
        </w:rPr>
        <w:fldChar w:fldCharType="begin"/>
      </w:r>
      <w:r>
        <w:rPr>
          <w:sz w:val="28"/>
          <w:szCs w:val="24"/>
        </w:rPr>
        <w:instrText xml:space="preserve"> PAGEREF _Toc2569 \h </w:instrText>
      </w:r>
      <w:r>
        <w:rPr>
          <w:sz w:val="28"/>
          <w:szCs w:val="24"/>
        </w:rPr>
        <w:fldChar w:fldCharType="separate"/>
      </w:r>
      <w:r>
        <w:rPr>
          <w:sz w:val="28"/>
          <w:szCs w:val="24"/>
        </w:rPr>
        <w:t>18</w:t>
      </w:r>
      <w:r>
        <w:rPr>
          <w:sz w:val="28"/>
          <w:szCs w:val="24"/>
        </w:rPr>
        <w:fldChar w:fldCharType="end"/>
      </w:r>
      <w:r>
        <w:rPr>
          <w:sz w:val="28"/>
          <w:szCs w:val="24"/>
        </w:rPr>
        <w:fldChar w:fldCharType="end"/>
      </w:r>
    </w:p>
    <w:p>
      <w:pPr>
        <w:pStyle w:val="31"/>
        <w:tabs>
          <w:tab w:val="right" w:leader="dot" w:pos="9355"/>
        </w:tabs>
        <w:spacing w:line="360" w:lineRule="auto"/>
        <w:rPr>
          <w:sz w:val="28"/>
          <w:szCs w:val="24"/>
        </w:rPr>
      </w:pPr>
      <w:r>
        <w:fldChar w:fldCharType="begin"/>
      </w:r>
      <w:r>
        <w:instrText xml:space="preserve"> HYPERLINK \l "_Toc12894" </w:instrText>
      </w:r>
      <w:r>
        <w:fldChar w:fldCharType="separate"/>
      </w:r>
      <w:r>
        <w:rPr>
          <w:rFonts w:hint="eastAsia" w:ascii="宋体" w:hAnsi="宋体" w:cs="宋体"/>
          <w:sz w:val="28"/>
          <w:szCs w:val="32"/>
        </w:rPr>
        <w:t>第四部分 协议格式</w:t>
      </w:r>
      <w:r>
        <w:rPr>
          <w:sz w:val="28"/>
          <w:szCs w:val="24"/>
        </w:rPr>
        <w:tab/>
      </w:r>
      <w:r>
        <w:rPr>
          <w:sz w:val="28"/>
          <w:szCs w:val="24"/>
        </w:rPr>
        <w:fldChar w:fldCharType="begin"/>
      </w:r>
      <w:r>
        <w:rPr>
          <w:sz w:val="28"/>
          <w:szCs w:val="24"/>
        </w:rPr>
        <w:instrText xml:space="preserve"> PAGEREF _Toc12894 \h </w:instrText>
      </w:r>
      <w:r>
        <w:rPr>
          <w:sz w:val="28"/>
          <w:szCs w:val="24"/>
        </w:rPr>
        <w:fldChar w:fldCharType="separate"/>
      </w:r>
      <w:r>
        <w:rPr>
          <w:sz w:val="28"/>
          <w:szCs w:val="24"/>
        </w:rPr>
        <w:t>19</w:t>
      </w:r>
      <w:r>
        <w:rPr>
          <w:sz w:val="28"/>
          <w:szCs w:val="24"/>
        </w:rPr>
        <w:fldChar w:fldCharType="end"/>
      </w:r>
      <w:r>
        <w:rPr>
          <w:sz w:val="28"/>
          <w:szCs w:val="24"/>
        </w:rPr>
        <w:fldChar w:fldCharType="end"/>
      </w:r>
    </w:p>
    <w:p>
      <w:pPr>
        <w:pStyle w:val="31"/>
        <w:tabs>
          <w:tab w:val="right" w:leader="dot" w:pos="9355"/>
        </w:tabs>
        <w:spacing w:line="360" w:lineRule="auto"/>
        <w:rPr>
          <w:sz w:val="28"/>
          <w:szCs w:val="24"/>
        </w:rPr>
      </w:pPr>
      <w:r>
        <w:fldChar w:fldCharType="begin"/>
      </w:r>
      <w:r>
        <w:instrText xml:space="preserve"> HYPERLINK \l "_Toc11570" </w:instrText>
      </w:r>
      <w:r>
        <w:fldChar w:fldCharType="separate"/>
      </w:r>
      <w:r>
        <w:rPr>
          <w:rFonts w:hint="eastAsia" w:ascii="宋体" w:hAnsi="宋体" w:cs="宋体"/>
          <w:sz w:val="28"/>
          <w:szCs w:val="32"/>
        </w:rPr>
        <w:t>第五部分 评标办法</w:t>
      </w:r>
      <w:r>
        <w:rPr>
          <w:sz w:val="28"/>
          <w:szCs w:val="24"/>
        </w:rPr>
        <w:tab/>
      </w:r>
      <w:r>
        <w:rPr>
          <w:sz w:val="28"/>
          <w:szCs w:val="24"/>
        </w:rPr>
        <w:fldChar w:fldCharType="begin"/>
      </w:r>
      <w:r>
        <w:rPr>
          <w:sz w:val="28"/>
          <w:szCs w:val="24"/>
        </w:rPr>
        <w:instrText xml:space="preserve"> PAGEREF _Toc11570 \h </w:instrText>
      </w:r>
      <w:r>
        <w:rPr>
          <w:sz w:val="28"/>
          <w:szCs w:val="24"/>
        </w:rPr>
        <w:fldChar w:fldCharType="separate"/>
      </w:r>
      <w:r>
        <w:rPr>
          <w:sz w:val="28"/>
          <w:szCs w:val="24"/>
        </w:rPr>
        <w:t>22</w:t>
      </w:r>
      <w:r>
        <w:rPr>
          <w:sz w:val="28"/>
          <w:szCs w:val="24"/>
        </w:rPr>
        <w:fldChar w:fldCharType="end"/>
      </w:r>
      <w:r>
        <w:rPr>
          <w:sz w:val="28"/>
          <w:szCs w:val="24"/>
        </w:rPr>
        <w:fldChar w:fldCharType="end"/>
      </w:r>
    </w:p>
    <w:p>
      <w:pPr>
        <w:pStyle w:val="31"/>
        <w:tabs>
          <w:tab w:val="right" w:leader="dot" w:pos="9355"/>
        </w:tabs>
        <w:spacing w:line="360" w:lineRule="auto"/>
        <w:rPr>
          <w:sz w:val="28"/>
          <w:szCs w:val="24"/>
        </w:rPr>
      </w:pPr>
      <w:r>
        <w:fldChar w:fldCharType="begin"/>
      </w:r>
      <w:r>
        <w:instrText xml:space="preserve"> HYPERLINK \l "_Toc28789" </w:instrText>
      </w:r>
      <w:r>
        <w:fldChar w:fldCharType="separate"/>
      </w:r>
      <w:r>
        <w:rPr>
          <w:rFonts w:hint="eastAsia" w:ascii="宋体" w:hAnsi="宋体" w:cs="宋体"/>
          <w:sz w:val="28"/>
          <w:szCs w:val="32"/>
        </w:rPr>
        <w:t>第六部分 投标文件格式</w:t>
      </w:r>
      <w:r>
        <w:rPr>
          <w:sz w:val="28"/>
          <w:szCs w:val="24"/>
        </w:rPr>
        <w:tab/>
      </w:r>
      <w:r>
        <w:rPr>
          <w:sz w:val="28"/>
          <w:szCs w:val="24"/>
        </w:rPr>
        <w:fldChar w:fldCharType="begin"/>
      </w:r>
      <w:r>
        <w:rPr>
          <w:sz w:val="28"/>
          <w:szCs w:val="24"/>
        </w:rPr>
        <w:instrText xml:space="preserve"> PAGEREF _Toc28789 \h </w:instrText>
      </w:r>
      <w:r>
        <w:rPr>
          <w:sz w:val="28"/>
          <w:szCs w:val="24"/>
        </w:rPr>
        <w:fldChar w:fldCharType="separate"/>
      </w:r>
      <w:r>
        <w:rPr>
          <w:sz w:val="28"/>
          <w:szCs w:val="24"/>
        </w:rPr>
        <w:t>26</w:t>
      </w:r>
      <w:r>
        <w:rPr>
          <w:sz w:val="28"/>
          <w:szCs w:val="24"/>
        </w:rPr>
        <w:fldChar w:fldCharType="end"/>
      </w:r>
      <w:r>
        <w:rPr>
          <w:sz w:val="28"/>
          <w:szCs w:val="24"/>
        </w:rPr>
        <w:fldChar w:fldCharType="end"/>
      </w:r>
    </w:p>
    <w:p>
      <w:pPr>
        <w:pStyle w:val="36"/>
        <w:tabs>
          <w:tab w:val="right" w:leader="dot" w:pos="9355"/>
        </w:tabs>
      </w:pPr>
    </w:p>
    <w:p>
      <w:pPr>
        <w:spacing w:line="360" w:lineRule="auto"/>
        <w:jc w:val="center"/>
        <w:outlineLvl w:val="0"/>
        <w:rPr>
          <w:rFonts w:ascii="宋体" w:hAnsi="宋体" w:cs="宋体"/>
          <w:b/>
          <w:sz w:val="36"/>
        </w:rPr>
      </w:pPr>
      <w:r>
        <w:rPr>
          <w:rFonts w:hint="eastAsia" w:ascii="宋体" w:hAnsi="宋体" w:cs="宋体"/>
          <w:szCs w:val="24"/>
        </w:rPr>
        <w:fldChar w:fldCharType="end"/>
      </w:r>
      <w:bookmarkStart w:id="0" w:name="_Toc13747"/>
      <w:r>
        <w:rPr>
          <w:rFonts w:hint="eastAsia"/>
        </w:rPr>
        <w:br w:type="page"/>
      </w:r>
      <w:bookmarkStart w:id="1" w:name="_Toc25569"/>
      <w:bookmarkStart w:id="2" w:name="_Toc22063"/>
      <w:bookmarkStart w:id="3" w:name="_Toc6708"/>
      <w:bookmarkStart w:id="4" w:name="_Toc16838"/>
      <w:bookmarkStart w:id="5" w:name="_Toc91899870"/>
      <w:bookmarkStart w:id="6" w:name="_Toc91899871"/>
      <w:r>
        <w:rPr>
          <w:rFonts w:hint="eastAsia" w:ascii="宋体" w:hAnsi="宋体" w:cs="宋体"/>
          <w:b/>
          <w:sz w:val="36"/>
        </w:rPr>
        <w:t>第一部分 招标公告</w:t>
      </w:r>
      <w:bookmarkEnd w:id="0"/>
      <w:bookmarkEnd w:id="1"/>
      <w:bookmarkEnd w:id="2"/>
      <w:bookmarkEnd w:id="3"/>
      <w:bookmarkEnd w:id="4"/>
    </w:p>
    <w:p>
      <w:pPr>
        <w:pStyle w:val="188"/>
        <w:spacing w:line="360" w:lineRule="auto"/>
        <w:ind w:firstLine="480"/>
        <w:rPr>
          <w:rFonts w:hint="default" w:cs="宋体"/>
          <w:b w:val="0"/>
          <w:sz w:val="24"/>
        </w:rPr>
      </w:pPr>
      <w:r>
        <w:rPr>
          <w:rFonts w:cs="宋体"/>
          <w:bCs/>
          <w:sz w:val="24"/>
        </w:rPr>
        <w:t xml:space="preserve"> </w:t>
      </w:r>
      <w:r>
        <w:rPr>
          <w:rFonts w:cs="宋体"/>
          <w:b w:val="0"/>
          <w:sz w:val="24"/>
        </w:rPr>
        <w:t>根据《关于防止领导干部在公款存放方面发生利益冲突和利益输送的办法》、《杭州市市级行政事业单位公款竞争性存放管理办法》（杭财预执〔2022〕5号）规定，决定开展公款存放招标工作，欢迎符合条件的银行机构参加投标。</w:t>
      </w:r>
    </w:p>
    <w:p>
      <w:pPr>
        <w:pStyle w:val="188"/>
        <w:spacing w:line="360" w:lineRule="auto"/>
        <w:ind w:firstLine="480"/>
        <w:rPr>
          <w:rFonts w:hint="eastAsia" w:eastAsia="宋体" w:cs="宋体"/>
          <w:b w:val="0"/>
          <w:sz w:val="24"/>
          <w:lang w:eastAsia="zh-CN"/>
        </w:rPr>
      </w:pPr>
      <w:r>
        <w:rPr>
          <w:rFonts w:cs="宋体"/>
          <w:b w:val="0"/>
          <w:sz w:val="24"/>
        </w:rPr>
        <w:t xml:space="preserve">    一、招标人名称：</w:t>
      </w:r>
      <w:r>
        <w:rPr>
          <w:rFonts w:hint="eastAsia" w:cs="宋体"/>
          <w:b w:val="0"/>
          <w:sz w:val="24"/>
          <w:lang w:eastAsia="zh-CN"/>
        </w:rPr>
        <w:t>杭州市红十字会医院</w:t>
      </w:r>
    </w:p>
    <w:p>
      <w:pPr>
        <w:pStyle w:val="188"/>
        <w:spacing w:line="360" w:lineRule="auto"/>
        <w:ind w:firstLine="480"/>
        <w:rPr>
          <w:rFonts w:hint="eastAsia" w:eastAsia="宋体" w:cs="宋体"/>
          <w:bCs/>
          <w:sz w:val="24"/>
          <w:lang w:eastAsia="zh-CN"/>
        </w:rPr>
      </w:pPr>
      <w:r>
        <w:rPr>
          <w:rFonts w:cs="宋体"/>
          <w:b w:val="0"/>
          <w:sz w:val="24"/>
        </w:rPr>
        <w:t xml:space="preserve">    二、招标项目名称：</w:t>
      </w:r>
      <w:r>
        <w:rPr>
          <w:rFonts w:hint="eastAsia" w:cs="宋体"/>
          <w:b w:val="0"/>
          <w:sz w:val="24"/>
          <w:lang w:eastAsia="zh-CN"/>
        </w:rPr>
        <w:t>杭州市红十字会医院2025年公款竞争性存放项目</w:t>
      </w:r>
    </w:p>
    <w:p>
      <w:pPr>
        <w:pStyle w:val="188"/>
        <w:spacing w:line="360" w:lineRule="auto"/>
        <w:ind w:firstLine="480"/>
        <w:rPr>
          <w:rFonts w:hint="eastAsia" w:eastAsia="宋体" w:cs="宋体"/>
          <w:b w:val="0"/>
          <w:sz w:val="24"/>
          <w:lang w:eastAsia="zh-CN"/>
        </w:rPr>
      </w:pPr>
      <w:r>
        <w:rPr>
          <w:rFonts w:cs="宋体"/>
          <w:b w:val="0"/>
          <w:sz w:val="24"/>
        </w:rPr>
        <w:t xml:space="preserve">    三、项目编号：</w:t>
      </w:r>
      <w:r>
        <w:rPr>
          <w:rFonts w:hint="eastAsia" w:cs="宋体"/>
          <w:b w:val="0"/>
          <w:sz w:val="24"/>
          <w:lang w:eastAsia="zh-CN"/>
        </w:rPr>
        <w:t>HSZB-2024-1429</w:t>
      </w:r>
    </w:p>
    <w:p>
      <w:pPr>
        <w:pStyle w:val="188"/>
        <w:spacing w:line="360" w:lineRule="auto"/>
        <w:ind w:firstLine="480"/>
        <w:rPr>
          <w:rFonts w:hint="default" w:cs="宋体"/>
          <w:b w:val="0"/>
          <w:sz w:val="24"/>
        </w:rPr>
      </w:pPr>
      <w:r>
        <w:rPr>
          <w:rFonts w:cs="宋体"/>
          <w:b w:val="0"/>
          <w:sz w:val="24"/>
        </w:rPr>
        <w:t xml:space="preserve">    四、招标项目内容：</w:t>
      </w:r>
    </w:p>
    <w:p>
      <w:pPr>
        <w:pStyle w:val="188"/>
        <w:spacing w:line="360" w:lineRule="auto"/>
        <w:ind w:firstLine="480" w:firstLineChars="200"/>
        <w:rPr>
          <w:rFonts w:hint="default" w:cs="宋体"/>
          <w:b w:val="0"/>
          <w:sz w:val="24"/>
        </w:rPr>
      </w:pPr>
      <w:r>
        <w:rPr>
          <w:rFonts w:hint="eastAsia" w:cs="宋体"/>
          <w:b w:val="0"/>
          <w:sz w:val="24"/>
          <w:lang w:eastAsia="zh-CN"/>
        </w:rPr>
        <w:t>杭州市红十字会医院2025年公款竞争性存放项目</w:t>
      </w:r>
      <w:r>
        <w:rPr>
          <w:rFonts w:cs="宋体"/>
          <w:b w:val="0"/>
          <w:sz w:val="24"/>
        </w:rPr>
        <w:t>招标金额为</w:t>
      </w:r>
      <w:r>
        <w:rPr>
          <w:rFonts w:hint="eastAsia" w:cs="宋体"/>
          <w:b w:val="0"/>
          <w:sz w:val="24"/>
          <w:lang w:val="en-US" w:eastAsia="zh-CN"/>
        </w:rPr>
        <w:t>约</w:t>
      </w:r>
      <w:r>
        <w:rPr>
          <w:rFonts w:cs="宋体"/>
          <w:b w:val="0"/>
          <w:sz w:val="24"/>
        </w:rPr>
        <w:t>人民币</w:t>
      </w:r>
      <w:r>
        <w:rPr>
          <w:rFonts w:hint="eastAsia" w:cs="宋体"/>
          <w:b w:val="0"/>
          <w:sz w:val="24"/>
          <w:lang w:val="en-US" w:eastAsia="zh-CN"/>
        </w:rPr>
        <w:t>3.6亿元</w:t>
      </w:r>
      <w:r>
        <w:rPr>
          <w:rFonts w:cs="宋体"/>
          <w:b w:val="0"/>
          <w:sz w:val="24"/>
        </w:rPr>
        <w:t>，</w:t>
      </w:r>
      <w:r>
        <w:rPr>
          <w:rFonts w:hint="eastAsia" w:cs="宋体"/>
          <w:b w:val="0"/>
          <w:sz w:val="24"/>
        </w:rPr>
        <w:t>1年期定期存款存放</w:t>
      </w:r>
      <w:r>
        <w:rPr>
          <w:rFonts w:cs="宋体"/>
          <w:b w:val="0"/>
          <w:sz w:val="24"/>
        </w:rPr>
        <w:t>，按综合得分由高到低的顺序选取</w:t>
      </w:r>
      <w:r>
        <w:rPr>
          <w:rFonts w:hint="eastAsia" w:cs="宋体"/>
          <w:b w:val="0"/>
          <w:sz w:val="24"/>
          <w:lang w:val="en-US" w:eastAsia="zh-CN"/>
        </w:rPr>
        <w:t>6</w:t>
      </w:r>
      <w:r>
        <w:rPr>
          <w:rFonts w:cs="宋体"/>
          <w:b w:val="0"/>
          <w:sz w:val="24"/>
        </w:rPr>
        <w:t>家中标银行，详见第三部分 用户需求书。</w:t>
      </w:r>
    </w:p>
    <w:p>
      <w:pPr>
        <w:pStyle w:val="188"/>
        <w:spacing w:line="360" w:lineRule="auto"/>
        <w:ind w:firstLine="480"/>
        <w:rPr>
          <w:rFonts w:hint="default" w:cs="宋体"/>
          <w:b w:val="0"/>
          <w:sz w:val="24"/>
        </w:rPr>
      </w:pPr>
      <w:r>
        <w:rPr>
          <w:rFonts w:cs="宋体"/>
          <w:b w:val="0"/>
          <w:sz w:val="24"/>
        </w:rPr>
        <w:t xml:space="preserve">    五、投标人资格要求</w:t>
      </w:r>
    </w:p>
    <w:p>
      <w:pPr>
        <w:pStyle w:val="188"/>
        <w:spacing w:line="360" w:lineRule="auto"/>
        <w:ind w:firstLine="480"/>
        <w:rPr>
          <w:rFonts w:hint="default" w:cs="宋体"/>
          <w:b w:val="0"/>
          <w:sz w:val="24"/>
        </w:rPr>
      </w:pPr>
      <w:r>
        <w:rPr>
          <w:rFonts w:cs="宋体"/>
          <w:b w:val="0"/>
          <w:sz w:val="24"/>
        </w:rPr>
        <w:t>投标人应符合《杭州市市级行政事业单位公款竞争性存放管理办法》第十五条规定，具备承担招标项目的能力，具体包括：</w:t>
      </w:r>
    </w:p>
    <w:p>
      <w:pPr>
        <w:pStyle w:val="188"/>
        <w:spacing w:line="360" w:lineRule="auto"/>
        <w:ind w:firstLine="480"/>
        <w:rPr>
          <w:rFonts w:hint="default" w:cs="宋体"/>
          <w:b w:val="0"/>
          <w:sz w:val="24"/>
        </w:rPr>
      </w:pPr>
      <w:r>
        <w:rPr>
          <w:rFonts w:cs="宋体"/>
          <w:b w:val="0"/>
          <w:sz w:val="24"/>
        </w:rPr>
        <w:t>（一）在市级行政事业单位所在同城设有分支机构； </w:t>
      </w:r>
    </w:p>
    <w:p>
      <w:pPr>
        <w:pStyle w:val="188"/>
        <w:spacing w:line="360" w:lineRule="auto"/>
        <w:ind w:firstLine="480"/>
        <w:rPr>
          <w:rFonts w:hint="default" w:cs="宋体"/>
          <w:b w:val="0"/>
          <w:sz w:val="24"/>
        </w:rPr>
      </w:pPr>
      <w:r>
        <w:rPr>
          <w:rFonts w:cs="宋体"/>
          <w:b w:val="0"/>
          <w:sz w:val="24"/>
        </w:rPr>
        <w:t>（二）依法开展经营活动，近3年内在经营活动中无重大违法违规记录及重大违约事件； </w:t>
      </w:r>
    </w:p>
    <w:p>
      <w:pPr>
        <w:pStyle w:val="188"/>
        <w:spacing w:line="360" w:lineRule="auto"/>
        <w:ind w:firstLine="480"/>
        <w:rPr>
          <w:rFonts w:hint="default" w:cs="宋体"/>
          <w:b w:val="0"/>
          <w:sz w:val="24"/>
        </w:rPr>
      </w:pPr>
      <w:r>
        <w:rPr>
          <w:rFonts w:cs="宋体"/>
          <w:b w:val="0"/>
          <w:sz w:val="24"/>
        </w:rPr>
        <w:t>（三）纳入人民银行综合评价的银行，人民银行上年度综合评价应达到B级及以上，不纳入人民银行综合评价范围的银行不受此限制；</w:t>
      </w:r>
    </w:p>
    <w:p>
      <w:pPr>
        <w:pStyle w:val="19"/>
        <w:spacing w:line="360" w:lineRule="auto"/>
      </w:pPr>
      <w:r>
        <w:rPr>
          <w:rFonts w:hint="eastAsia" w:cs="宋体"/>
        </w:rPr>
        <w:t>（四）</w:t>
      </w:r>
      <w:r>
        <w:rPr>
          <w:rFonts w:hint="eastAsia"/>
        </w:rPr>
        <w:t>投标人须提供总行或省分行（杭州分行）针对本项目授权书；</w:t>
      </w:r>
    </w:p>
    <w:p>
      <w:pPr>
        <w:pStyle w:val="19"/>
        <w:spacing w:line="360" w:lineRule="auto"/>
        <w:rPr>
          <w:rFonts w:cs="宋体"/>
        </w:rPr>
      </w:pPr>
      <w:r>
        <w:rPr>
          <w:rFonts w:hint="eastAsia"/>
        </w:rPr>
        <w:t>（五）投标银行需在投标文件中明确服务网点，指定的服务网点应与最终公款存放的网点一致；</w:t>
      </w:r>
    </w:p>
    <w:p>
      <w:pPr>
        <w:pStyle w:val="188"/>
        <w:spacing w:line="360" w:lineRule="auto"/>
        <w:ind w:firstLine="480"/>
        <w:rPr>
          <w:rFonts w:hint="default" w:cs="宋体"/>
          <w:b w:val="0"/>
          <w:sz w:val="24"/>
        </w:rPr>
      </w:pPr>
      <w:r>
        <w:rPr>
          <w:rFonts w:cs="宋体"/>
          <w:b w:val="0"/>
          <w:sz w:val="24"/>
        </w:rPr>
        <w:t xml:space="preserve">    六、投标报名</w:t>
      </w:r>
    </w:p>
    <w:p>
      <w:pPr>
        <w:pStyle w:val="188"/>
        <w:spacing w:line="360" w:lineRule="auto"/>
        <w:ind w:firstLine="480"/>
        <w:rPr>
          <w:rFonts w:hint="default" w:cs="宋体"/>
          <w:b w:val="0"/>
          <w:sz w:val="24"/>
        </w:rPr>
      </w:pPr>
      <w:r>
        <w:rPr>
          <w:rFonts w:cs="宋体"/>
          <w:b w:val="0"/>
          <w:sz w:val="24"/>
        </w:rPr>
        <w:t>（一）报名时间：</w:t>
      </w:r>
      <w:r>
        <w:rPr>
          <w:rFonts w:hint="eastAsia" w:cs="宋体"/>
          <w:b w:val="0"/>
          <w:sz w:val="24"/>
          <w:lang w:eastAsia="zh-CN"/>
        </w:rPr>
        <w:t>2024年</w:t>
      </w:r>
      <w:r>
        <w:rPr>
          <w:rFonts w:hint="eastAsia" w:cs="宋体"/>
          <w:b w:val="0"/>
          <w:sz w:val="24"/>
          <w:lang w:val="en-US" w:eastAsia="zh-CN"/>
        </w:rPr>
        <w:t>12</w:t>
      </w:r>
      <w:r>
        <w:rPr>
          <w:rFonts w:hint="eastAsia" w:cs="宋体"/>
          <w:b w:val="0"/>
          <w:sz w:val="24"/>
          <w:lang w:eastAsia="zh-CN"/>
        </w:rPr>
        <w:t>月</w:t>
      </w:r>
      <w:r>
        <w:rPr>
          <w:rFonts w:hint="eastAsia" w:cs="宋体"/>
          <w:b w:val="0"/>
          <w:sz w:val="24"/>
          <w:lang w:val="en-US" w:eastAsia="zh-CN"/>
        </w:rPr>
        <w:t>18</w:t>
      </w:r>
      <w:r>
        <w:rPr>
          <w:rFonts w:hint="eastAsia" w:cs="宋体"/>
          <w:b w:val="0"/>
          <w:sz w:val="24"/>
          <w:lang w:eastAsia="zh-CN"/>
        </w:rPr>
        <w:t>日</w:t>
      </w:r>
      <w:r>
        <w:rPr>
          <w:rFonts w:cs="宋体"/>
          <w:b w:val="0"/>
          <w:sz w:val="24"/>
        </w:rPr>
        <w:t>起至</w:t>
      </w:r>
      <w:r>
        <w:rPr>
          <w:rFonts w:hint="eastAsia" w:cs="宋体"/>
          <w:b w:val="0"/>
          <w:sz w:val="24"/>
          <w:lang w:eastAsia="zh-CN"/>
        </w:rPr>
        <w:t>2024年</w:t>
      </w:r>
      <w:r>
        <w:rPr>
          <w:rFonts w:hint="eastAsia" w:cs="宋体"/>
          <w:b w:val="0"/>
          <w:sz w:val="24"/>
          <w:lang w:val="en-US" w:eastAsia="zh-CN"/>
        </w:rPr>
        <w:t>12</w:t>
      </w:r>
      <w:r>
        <w:rPr>
          <w:rFonts w:hint="eastAsia" w:cs="宋体"/>
          <w:b w:val="0"/>
          <w:sz w:val="24"/>
          <w:lang w:eastAsia="zh-CN"/>
        </w:rPr>
        <w:t>月</w:t>
      </w:r>
      <w:r>
        <w:rPr>
          <w:rFonts w:hint="eastAsia" w:cs="宋体"/>
          <w:b w:val="0"/>
          <w:sz w:val="24"/>
          <w:lang w:val="en-US" w:eastAsia="zh-CN"/>
        </w:rPr>
        <w:t>27</w:t>
      </w:r>
      <w:r>
        <w:rPr>
          <w:rFonts w:hint="eastAsia" w:cs="宋体"/>
          <w:b w:val="0"/>
          <w:sz w:val="24"/>
          <w:lang w:eastAsia="zh-CN"/>
        </w:rPr>
        <w:t>日</w:t>
      </w:r>
      <w:r>
        <w:rPr>
          <w:rFonts w:cs="宋体"/>
          <w:b w:val="0"/>
          <w:sz w:val="24"/>
        </w:rPr>
        <w:t>17:00截止</w:t>
      </w:r>
    </w:p>
    <w:p>
      <w:pPr>
        <w:pStyle w:val="188"/>
        <w:spacing w:line="360" w:lineRule="auto"/>
        <w:ind w:firstLine="480"/>
        <w:rPr>
          <w:rFonts w:hint="default" w:cs="宋体"/>
          <w:b w:val="0"/>
          <w:sz w:val="24"/>
        </w:rPr>
      </w:pPr>
      <w:r>
        <w:rPr>
          <w:rFonts w:cs="宋体"/>
          <w:b w:val="0"/>
          <w:sz w:val="24"/>
        </w:rPr>
        <w:t>（二）报名方式：本项目实行网上报名，不接受现场报名。报名银行登录浙江政采云公款竞争性存放网上招标平台（https://www.zcygov.cn）（以下简称“招标系统”），在招标项目内按规定进行报名获取招标文件，本次招标不提供纸质版招标文件。报名成功后联系人会收到短信通知，逾期报名视为未报名。</w:t>
      </w:r>
    </w:p>
    <w:p>
      <w:pPr>
        <w:pStyle w:val="188"/>
        <w:spacing w:line="360" w:lineRule="auto"/>
        <w:ind w:firstLine="480"/>
        <w:rPr>
          <w:rFonts w:hint="default" w:cs="宋体"/>
          <w:b w:val="0"/>
          <w:sz w:val="24"/>
        </w:rPr>
      </w:pPr>
      <w:r>
        <w:rPr>
          <w:rFonts w:cs="宋体"/>
          <w:b w:val="0"/>
          <w:sz w:val="24"/>
        </w:rPr>
        <w:t>（三）招标文件获取方式：政采云平台（ https://www.zcygov.cn）在线报名成功后可在线查阅招标文件。</w:t>
      </w:r>
    </w:p>
    <w:p>
      <w:pPr>
        <w:pStyle w:val="188"/>
        <w:spacing w:line="360" w:lineRule="auto"/>
        <w:ind w:firstLine="480"/>
        <w:rPr>
          <w:rFonts w:hint="default" w:cs="宋体"/>
          <w:b w:val="0"/>
          <w:sz w:val="24"/>
        </w:rPr>
      </w:pPr>
      <w:r>
        <w:rPr>
          <w:rFonts w:cs="宋体"/>
          <w:b w:val="0"/>
          <w:sz w:val="24"/>
        </w:rPr>
        <w:t xml:space="preserve">    七、投标截止时间及方式</w:t>
      </w:r>
    </w:p>
    <w:p>
      <w:pPr>
        <w:pStyle w:val="188"/>
        <w:spacing w:line="360" w:lineRule="auto"/>
        <w:ind w:firstLine="480"/>
        <w:rPr>
          <w:rFonts w:hint="default" w:cs="宋体"/>
          <w:b w:val="0"/>
          <w:bCs/>
          <w:kern w:val="0"/>
          <w:sz w:val="24"/>
        </w:rPr>
      </w:pPr>
      <w:r>
        <w:rPr>
          <w:rFonts w:cs="宋体"/>
          <w:b w:val="0"/>
          <w:bCs/>
          <w:kern w:val="0"/>
          <w:sz w:val="24"/>
        </w:rPr>
        <w:t>本项目实行网上电子投标，投标人报名后即可在系统中编制投标文件，且应于投标截止时间前，登录政府采购云平台，进入招标系统，按规定进行投标。投标成功会接收短信通知，逾期投标或未上传成功的将导致无法投标或投标无效。</w:t>
      </w:r>
    </w:p>
    <w:p>
      <w:pPr>
        <w:pStyle w:val="188"/>
        <w:numPr>
          <w:ilvl w:val="0"/>
          <w:numId w:val="10"/>
        </w:numPr>
        <w:spacing w:line="360" w:lineRule="auto"/>
        <w:ind w:firstLine="480"/>
        <w:rPr>
          <w:rFonts w:hint="default" w:cs="宋体"/>
          <w:kern w:val="0"/>
          <w:sz w:val="24"/>
        </w:rPr>
      </w:pPr>
      <w:r>
        <w:rPr>
          <w:rFonts w:cs="宋体"/>
          <w:b w:val="0"/>
          <w:sz w:val="24"/>
        </w:rPr>
        <w:t>投标截止时间：</w:t>
      </w:r>
      <w:r>
        <w:rPr>
          <w:rFonts w:hint="eastAsia" w:cs="宋体"/>
          <w:b w:val="0"/>
          <w:sz w:val="24"/>
          <w:lang w:eastAsia="zh-CN"/>
        </w:rPr>
        <w:t>2024年</w:t>
      </w:r>
      <w:r>
        <w:rPr>
          <w:rFonts w:hint="eastAsia" w:cs="宋体"/>
          <w:b w:val="0"/>
          <w:sz w:val="24"/>
          <w:lang w:val="en-US" w:eastAsia="zh-CN"/>
        </w:rPr>
        <w:t>1</w:t>
      </w:r>
      <w:r>
        <w:rPr>
          <w:rFonts w:hint="eastAsia" w:cs="宋体"/>
          <w:b w:val="0"/>
          <w:sz w:val="24"/>
          <w:lang w:eastAsia="zh-CN"/>
        </w:rPr>
        <w:t>月</w:t>
      </w:r>
      <w:r>
        <w:rPr>
          <w:rFonts w:hint="eastAsia" w:cs="宋体"/>
          <w:b w:val="0"/>
          <w:sz w:val="24"/>
          <w:lang w:val="en-US" w:eastAsia="zh-CN"/>
        </w:rPr>
        <w:t>7</w:t>
      </w:r>
      <w:r>
        <w:rPr>
          <w:rFonts w:hint="eastAsia" w:cs="宋体"/>
          <w:b w:val="0"/>
          <w:sz w:val="24"/>
          <w:lang w:eastAsia="zh-CN"/>
        </w:rPr>
        <w:t>日</w:t>
      </w:r>
      <w:r>
        <w:rPr>
          <w:rFonts w:cs="宋体"/>
          <w:b w:val="0"/>
          <w:sz w:val="24"/>
        </w:rPr>
        <w:t>1</w:t>
      </w:r>
      <w:r>
        <w:rPr>
          <w:rFonts w:hint="eastAsia" w:cs="宋体"/>
          <w:b w:val="0"/>
          <w:sz w:val="24"/>
          <w:lang w:val="en-US" w:eastAsia="zh-CN"/>
        </w:rPr>
        <w:t>3</w:t>
      </w:r>
      <w:r>
        <w:rPr>
          <w:rFonts w:cs="宋体"/>
          <w:b w:val="0"/>
          <w:sz w:val="24"/>
        </w:rPr>
        <w:t>:</w:t>
      </w:r>
      <w:r>
        <w:rPr>
          <w:rFonts w:hint="eastAsia" w:cs="宋体"/>
          <w:b w:val="0"/>
          <w:sz w:val="24"/>
          <w:lang w:val="en-US" w:eastAsia="zh-CN"/>
        </w:rPr>
        <w:t>3</w:t>
      </w:r>
      <w:r>
        <w:rPr>
          <w:rFonts w:cs="宋体"/>
          <w:b w:val="0"/>
          <w:sz w:val="24"/>
        </w:rPr>
        <w:t>0:00（北京时间）</w:t>
      </w:r>
    </w:p>
    <w:p>
      <w:pPr>
        <w:pStyle w:val="188"/>
        <w:numPr>
          <w:ilvl w:val="0"/>
          <w:numId w:val="11"/>
        </w:numPr>
        <w:spacing w:line="360" w:lineRule="auto"/>
        <w:ind w:firstLine="480"/>
        <w:rPr>
          <w:rFonts w:hint="default" w:cs="宋体"/>
          <w:b w:val="0"/>
          <w:bCs/>
          <w:kern w:val="0"/>
          <w:sz w:val="24"/>
        </w:rPr>
      </w:pPr>
      <w:r>
        <w:rPr>
          <w:rFonts w:cs="宋体"/>
          <w:b w:val="0"/>
          <w:bCs/>
          <w:kern w:val="0"/>
          <w:sz w:val="24"/>
        </w:rPr>
        <w:t>投标地点：</w:t>
      </w:r>
      <w:r>
        <w:rPr>
          <w:rFonts w:ascii="Times New Roman" w:hAnsi="Times New Roman" w:cs="宋体"/>
          <w:b w:val="0"/>
          <w:kern w:val="0"/>
          <w:sz w:val="24"/>
        </w:rPr>
        <w:t xml:space="preserve">政采云平台（ </w:t>
      </w:r>
      <w:r>
        <w:fldChar w:fldCharType="begin"/>
      </w:r>
      <w:r>
        <w:instrText xml:space="preserve"> HYPERLINK "https://www.zcygov.cn）在线递交" </w:instrText>
      </w:r>
      <w:r>
        <w:fldChar w:fldCharType="separate"/>
      </w:r>
      <w:r>
        <w:rPr>
          <w:rFonts w:ascii="Times New Roman" w:hAnsi="Times New Roman" w:cs="宋体"/>
          <w:b w:val="0"/>
          <w:kern w:val="0"/>
          <w:sz w:val="24"/>
        </w:rPr>
        <w:t>https://www.zcygov.cn）在线递交</w:t>
      </w:r>
      <w:r>
        <w:rPr>
          <w:rFonts w:ascii="Times New Roman" w:hAnsi="Times New Roman" w:cs="宋体"/>
          <w:b w:val="0"/>
          <w:kern w:val="0"/>
          <w:sz w:val="24"/>
        </w:rPr>
        <w:fldChar w:fldCharType="end"/>
      </w:r>
    </w:p>
    <w:p>
      <w:pPr>
        <w:pStyle w:val="188"/>
        <w:spacing w:line="360" w:lineRule="auto"/>
        <w:ind w:firstLine="960" w:firstLineChars="400"/>
        <w:rPr>
          <w:rFonts w:hint="default" w:cs="宋体"/>
          <w:b w:val="0"/>
          <w:sz w:val="24"/>
        </w:rPr>
      </w:pPr>
      <w:r>
        <w:rPr>
          <w:rFonts w:cs="宋体"/>
          <w:b w:val="0"/>
          <w:sz w:val="24"/>
        </w:rPr>
        <w:t>八、开标时间及地点</w:t>
      </w:r>
    </w:p>
    <w:p>
      <w:pPr>
        <w:pStyle w:val="188"/>
        <w:spacing w:line="360" w:lineRule="auto"/>
        <w:ind w:firstLine="480"/>
        <w:rPr>
          <w:rFonts w:hint="default" w:cs="宋体"/>
          <w:b w:val="0"/>
          <w:sz w:val="24"/>
        </w:rPr>
      </w:pPr>
      <w:r>
        <w:rPr>
          <w:rFonts w:cs="宋体"/>
          <w:b w:val="0"/>
          <w:sz w:val="24"/>
        </w:rPr>
        <w:t>开标时间：</w:t>
      </w:r>
      <w:r>
        <w:rPr>
          <w:rFonts w:hint="eastAsia" w:cs="宋体"/>
          <w:b w:val="0"/>
          <w:sz w:val="24"/>
          <w:lang w:eastAsia="zh-CN"/>
        </w:rPr>
        <w:t>2024年</w:t>
      </w:r>
      <w:r>
        <w:rPr>
          <w:rFonts w:hint="eastAsia" w:cs="宋体"/>
          <w:b w:val="0"/>
          <w:sz w:val="24"/>
          <w:lang w:val="en-US" w:eastAsia="zh-CN"/>
        </w:rPr>
        <w:t>1</w:t>
      </w:r>
      <w:r>
        <w:rPr>
          <w:rFonts w:hint="eastAsia" w:cs="宋体"/>
          <w:b w:val="0"/>
          <w:sz w:val="24"/>
          <w:lang w:eastAsia="zh-CN"/>
        </w:rPr>
        <w:t>月</w:t>
      </w:r>
      <w:r>
        <w:rPr>
          <w:rFonts w:hint="eastAsia" w:cs="宋体"/>
          <w:b w:val="0"/>
          <w:sz w:val="24"/>
          <w:lang w:val="en-US" w:eastAsia="zh-CN"/>
        </w:rPr>
        <w:t>7</w:t>
      </w:r>
      <w:r>
        <w:rPr>
          <w:rFonts w:hint="eastAsia" w:cs="宋体"/>
          <w:b w:val="0"/>
          <w:sz w:val="24"/>
          <w:lang w:eastAsia="zh-CN"/>
        </w:rPr>
        <w:t>日</w:t>
      </w:r>
      <w:r>
        <w:rPr>
          <w:rFonts w:cs="宋体"/>
          <w:b w:val="0"/>
          <w:sz w:val="24"/>
        </w:rPr>
        <w:t>1</w:t>
      </w:r>
      <w:r>
        <w:rPr>
          <w:rFonts w:hint="eastAsia" w:cs="宋体"/>
          <w:b w:val="0"/>
          <w:sz w:val="24"/>
          <w:lang w:val="en-US" w:eastAsia="zh-CN"/>
        </w:rPr>
        <w:t>3</w:t>
      </w:r>
      <w:r>
        <w:rPr>
          <w:rFonts w:cs="宋体"/>
          <w:b w:val="0"/>
          <w:sz w:val="24"/>
        </w:rPr>
        <w:t>:</w:t>
      </w:r>
      <w:r>
        <w:rPr>
          <w:rFonts w:hint="eastAsia" w:cs="宋体"/>
          <w:b w:val="0"/>
          <w:sz w:val="24"/>
          <w:lang w:val="en-US" w:eastAsia="zh-CN"/>
        </w:rPr>
        <w:t>3</w:t>
      </w:r>
      <w:r>
        <w:rPr>
          <w:rFonts w:cs="宋体"/>
          <w:b w:val="0"/>
          <w:sz w:val="24"/>
        </w:rPr>
        <w:t>0:00（北京时间）</w:t>
      </w:r>
    </w:p>
    <w:p>
      <w:pPr>
        <w:pStyle w:val="188"/>
        <w:spacing w:line="360" w:lineRule="auto"/>
        <w:ind w:firstLine="480"/>
        <w:rPr>
          <w:rFonts w:hint="default" w:cs="宋体"/>
          <w:b w:val="0"/>
          <w:sz w:val="24"/>
        </w:rPr>
      </w:pPr>
      <w:r>
        <w:rPr>
          <w:rFonts w:cs="宋体"/>
          <w:b w:val="0"/>
          <w:sz w:val="24"/>
        </w:rPr>
        <w:t>开标地点：政采云平台（www.zcygov.cn）在线开标</w:t>
      </w:r>
    </w:p>
    <w:p>
      <w:pPr>
        <w:pStyle w:val="188"/>
        <w:spacing w:line="360" w:lineRule="auto"/>
        <w:ind w:firstLine="480"/>
        <w:rPr>
          <w:rFonts w:hint="default" w:cs="宋体"/>
          <w:b w:val="0"/>
          <w:sz w:val="24"/>
        </w:rPr>
      </w:pPr>
      <w:r>
        <w:rPr>
          <w:rFonts w:cs="宋体"/>
          <w:b w:val="0"/>
          <w:sz w:val="24"/>
        </w:rPr>
        <w:t xml:space="preserve">    九、联系方式</w:t>
      </w:r>
    </w:p>
    <w:p>
      <w:pPr>
        <w:pStyle w:val="39"/>
        <w:spacing w:line="360" w:lineRule="atLeast"/>
        <w:ind w:firstLine="480"/>
        <w:rPr>
          <w:rFonts w:cs="宋体"/>
          <w:kern w:val="2"/>
        </w:rPr>
      </w:pPr>
      <w:r>
        <w:rPr>
          <w:rFonts w:hint="eastAsia" w:cs="宋体"/>
          <w:kern w:val="2"/>
        </w:rPr>
        <w:t>1.招标代理机构：浙江豪圣建设项目管理有限公司</w:t>
      </w:r>
    </w:p>
    <w:p>
      <w:pPr>
        <w:pStyle w:val="39"/>
        <w:spacing w:line="360" w:lineRule="atLeast"/>
        <w:ind w:firstLine="720"/>
        <w:rPr>
          <w:rFonts w:cs="宋体"/>
          <w:kern w:val="2"/>
        </w:rPr>
      </w:pPr>
      <w:r>
        <w:rPr>
          <w:rFonts w:hint="eastAsia" w:cs="宋体"/>
          <w:kern w:val="2"/>
        </w:rPr>
        <w:t>联系人：</w:t>
      </w:r>
      <w:r>
        <w:rPr>
          <w:rFonts w:hint="eastAsia" w:cs="宋体"/>
          <w:kern w:val="2"/>
          <w:lang w:eastAsia="zh-CN"/>
        </w:rPr>
        <w:t>王爽</w:t>
      </w:r>
      <w:r>
        <w:rPr>
          <w:rFonts w:hint="eastAsia" w:cs="宋体"/>
          <w:kern w:val="2"/>
        </w:rPr>
        <w:t>、曹剑斌、陈敏娇</w:t>
      </w:r>
    </w:p>
    <w:p>
      <w:pPr>
        <w:pStyle w:val="39"/>
        <w:spacing w:line="360" w:lineRule="atLeast"/>
        <w:ind w:firstLine="720"/>
        <w:rPr>
          <w:rFonts w:cs="宋体"/>
          <w:kern w:val="2"/>
        </w:rPr>
      </w:pPr>
      <w:r>
        <w:rPr>
          <w:rFonts w:hint="eastAsia" w:cs="宋体"/>
          <w:kern w:val="2"/>
        </w:rPr>
        <w:t>联系电话：0571-87981527</w:t>
      </w:r>
    </w:p>
    <w:p>
      <w:pPr>
        <w:pStyle w:val="39"/>
        <w:spacing w:line="360" w:lineRule="atLeast"/>
        <w:ind w:firstLine="720"/>
        <w:rPr>
          <w:rFonts w:cs="宋体"/>
          <w:kern w:val="2"/>
        </w:rPr>
      </w:pPr>
      <w:r>
        <w:rPr>
          <w:rFonts w:hint="eastAsia" w:cs="宋体"/>
          <w:kern w:val="2"/>
        </w:rPr>
        <w:t>地址：</w:t>
      </w:r>
      <w:r>
        <w:rPr>
          <w:rFonts w:ascii="Times New Roman" w:hAnsi="Times New Roman"/>
          <w:bCs/>
        </w:rPr>
        <w:t>杭州市拱墅区大关路179号远洋国际中心A座17楼1706室</w:t>
      </w:r>
    </w:p>
    <w:p>
      <w:pPr>
        <w:pStyle w:val="39"/>
        <w:spacing w:line="360" w:lineRule="atLeast"/>
        <w:ind w:firstLine="480"/>
        <w:rPr>
          <w:rFonts w:hint="eastAsia" w:eastAsia="宋体" w:cs="宋体"/>
          <w:kern w:val="2"/>
          <w:lang w:eastAsia="zh-CN"/>
        </w:rPr>
      </w:pPr>
      <w:r>
        <w:rPr>
          <w:rFonts w:hint="eastAsia" w:cs="宋体"/>
          <w:kern w:val="2"/>
        </w:rPr>
        <w:t>2.招标人：</w:t>
      </w:r>
      <w:r>
        <w:rPr>
          <w:rFonts w:hint="eastAsia" w:cs="宋体"/>
          <w:kern w:val="2"/>
          <w:lang w:eastAsia="zh-CN"/>
        </w:rPr>
        <w:t>杭州市红十字会医院</w:t>
      </w:r>
    </w:p>
    <w:p>
      <w:pPr>
        <w:pStyle w:val="39"/>
        <w:spacing w:line="360" w:lineRule="atLeast"/>
        <w:ind w:firstLine="720"/>
        <w:rPr>
          <w:rFonts w:hint="eastAsia" w:eastAsia="宋体" w:cs="宋体"/>
          <w:kern w:val="2"/>
          <w:lang w:val="en-US" w:eastAsia="zh-CN"/>
        </w:rPr>
      </w:pPr>
      <w:r>
        <w:rPr>
          <w:rFonts w:hint="eastAsia" w:cs="宋体"/>
          <w:kern w:val="2"/>
        </w:rPr>
        <w:t>联系人：马</w:t>
      </w:r>
      <w:r>
        <w:rPr>
          <w:rFonts w:hint="eastAsia" w:cs="宋体"/>
          <w:kern w:val="2"/>
          <w:lang w:val="en-US" w:eastAsia="zh-CN"/>
        </w:rPr>
        <w:t>先生</w:t>
      </w:r>
    </w:p>
    <w:p>
      <w:pPr>
        <w:pStyle w:val="39"/>
        <w:spacing w:line="360" w:lineRule="atLeast"/>
        <w:ind w:firstLine="720"/>
        <w:rPr>
          <w:rFonts w:cs="宋体"/>
          <w:kern w:val="2"/>
        </w:rPr>
      </w:pPr>
      <w:r>
        <w:rPr>
          <w:rFonts w:hint="eastAsia" w:cs="宋体"/>
          <w:kern w:val="2"/>
        </w:rPr>
        <w:t>电 话：0571-56109550</w:t>
      </w:r>
    </w:p>
    <w:p>
      <w:pPr>
        <w:pStyle w:val="39"/>
        <w:spacing w:line="360" w:lineRule="atLeast"/>
        <w:ind w:firstLine="720"/>
        <w:rPr>
          <w:rFonts w:cs="宋体"/>
          <w:kern w:val="2"/>
        </w:rPr>
      </w:pPr>
      <w:r>
        <w:rPr>
          <w:rFonts w:hint="eastAsia" w:cs="宋体"/>
          <w:kern w:val="2"/>
        </w:rPr>
        <w:t>地址：浙江省杭州市环城东路208号</w:t>
      </w:r>
    </w:p>
    <w:p>
      <w:pPr>
        <w:pStyle w:val="188"/>
        <w:spacing w:line="360" w:lineRule="auto"/>
        <w:ind w:firstLine="480"/>
        <w:rPr>
          <w:rFonts w:hint="default" w:cs="宋体"/>
          <w:bCs/>
          <w:sz w:val="24"/>
        </w:rPr>
      </w:pPr>
    </w:p>
    <w:p>
      <w:pPr>
        <w:pStyle w:val="188"/>
        <w:spacing w:line="360" w:lineRule="auto"/>
        <w:ind w:firstLine="480"/>
        <w:jc w:val="center"/>
        <w:outlineLvl w:val="0"/>
        <w:rPr>
          <w:rFonts w:hint="default" w:cs="宋体"/>
          <w:b w:val="0"/>
          <w:sz w:val="36"/>
        </w:rPr>
      </w:pPr>
      <w:bookmarkStart w:id="7" w:name="_Toc17036"/>
      <w:bookmarkStart w:id="8" w:name="_Toc23225"/>
      <w:r>
        <w:rPr>
          <w:rFonts w:cs="宋体"/>
          <w:bCs/>
          <w:sz w:val="36"/>
        </w:rPr>
        <w:br w:type="page"/>
      </w:r>
      <w:bookmarkStart w:id="9" w:name="_Toc30065"/>
      <w:bookmarkStart w:id="10" w:name="_Toc24964"/>
      <w:bookmarkStart w:id="11" w:name="_Toc32167"/>
      <w:r>
        <w:rPr>
          <w:rFonts w:cs="宋体"/>
          <w:bCs/>
          <w:sz w:val="36"/>
        </w:rPr>
        <w:t>第二部分 投标须知</w:t>
      </w:r>
      <w:bookmarkEnd w:id="5"/>
      <w:bookmarkEnd w:id="7"/>
      <w:bookmarkEnd w:id="8"/>
      <w:bookmarkEnd w:id="9"/>
      <w:bookmarkEnd w:id="10"/>
      <w:bookmarkEnd w:id="11"/>
    </w:p>
    <w:p>
      <w:pPr>
        <w:adjustRightInd w:val="0"/>
        <w:spacing w:line="360" w:lineRule="auto"/>
        <w:jc w:val="center"/>
        <w:outlineLvl w:val="1"/>
        <w:rPr>
          <w:rFonts w:ascii="宋体" w:hAnsi="宋体" w:cs="宋体"/>
          <w:b/>
          <w:sz w:val="32"/>
        </w:rPr>
      </w:pPr>
      <w:bookmarkStart w:id="12" w:name="_Toc13856"/>
      <w:bookmarkStart w:id="13" w:name="_Toc7229"/>
      <w:bookmarkStart w:id="14" w:name="_Toc10900"/>
      <w:bookmarkStart w:id="15" w:name="_Toc26903"/>
      <w:bookmarkStart w:id="16" w:name="_Toc14685"/>
      <w:bookmarkStart w:id="17" w:name="_Toc9266"/>
      <w:bookmarkStart w:id="18" w:name="_Toc27797"/>
      <w:r>
        <w:rPr>
          <w:rFonts w:hint="eastAsia" w:ascii="宋体" w:hAnsi="宋体" w:cs="宋体"/>
          <w:b/>
          <w:sz w:val="32"/>
        </w:rPr>
        <w:t>前 附 表</w:t>
      </w:r>
      <w:bookmarkEnd w:id="12"/>
      <w:bookmarkEnd w:id="13"/>
      <w:bookmarkEnd w:id="14"/>
      <w:bookmarkEnd w:id="15"/>
      <w:bookmarkEnd w:id="16"/>
      <w:bookmarkEnd w:id="17"/>
      <w:bookmarkEnd w:id="18"/>
    </w:p>
    <w:tbl>
      <w:tblPr>
        <w:tblStyle w:val="4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2028"/>
        <w:gridCol w:w="67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5" w:hRule="atLeast"/>
          <w:tblHeader/>
        </w:trPr>
        <w:tc>
          <w:tcPr>
            <w:tcW w:w="793" w:type="dxa"/>
            <w:vAlign w:val="center"/>
          </w:tcPr>
          <w:p>
            <w:pPr>
              <w:adjustRightInd w:val="0"/>
              <w:spacing w:line="460" w:lineRule="exact"/>
              <w:jc w:val="center"/>
              <w:rPr>
                <w:rFonts w:ascii="宋体" w:hAnsi="宋体" w:cs="宋体"/>
                <w:b/>
                <w:bCs/>
                <w:snapToGrid w:val="0"/>
                <w:kern w:val="0"/>
                <w:sz w:val="24"/>
              </w:rPr>
            </w:pPr>
            <w:r>
              <w:rPr>
                <w:rFonts w:hint="eastAsia" w:ascii="宋体" w:hAnsi="宋体" w:cs="宋体"/>
                <w:b/>
                <w:bCs/>
                <w:snapToGrid w:val="0"/>
                <w:kern w:val="0"/>
                <w:sz w:val="24"/>
              </w:rPr>
              <w:t>序号</w:t>
            </w:r>
          </w:p>
        </w:tc>
        <w:tc>
          <w:tcPr>
            <w:tcW w:w="2028" w:type="dxa"/>
            <w:vAlign w:val="center"/>
          </w:tcPr>
          <w:p>
            <w:pPr>
              <w:adjustRightInd w:val="0"/>
              <w:spacing w:line="460" w:lineRule="exact"/>
              <w:jc w:val="center"/>
              <w:rPr>
                <w:rFonts w:ascii="宋体" w:hAnsi="宋体" w:cs="宋体"/>
                <w:b/>
                <w:bCs/>
                <w:snapToGrid w:val="0"/>
                <w:kern w:val="0"/>
                <w:sz w:val="24"/>
              </w:rPr>
            </w:pPr>
            <w:r>
              <w:rPr>
                <w:rFonts w:hint="eastAsia" w:ascii="宋体" w:hAnsi="宋体" w:cs="宋体"/>
                <w:b/>
                <w:bCs/>
                <w:snapToGrid w:val="0"/>
                <w:kern w:val="0"/>
                <w:sz w:val="24"/>
              </w:rPr>
              <w:t>项目</w:t>
            </w:r>
          </w:p>
        </w:tc>
        <w:tc>
          <w:tcPr>
            <w:tcW w:w="6788" w:type="dxa"/>
            <w:vAlign w:val="center"/>
          </w:tcPr>
          <w:p>
            <w:pPr>
              <w:adjustRightInd w:val="0"/>
              <w:spacing w:line="460" w:lineRule="exact"/>
              <w:jc w:val="center"/>
              <w:rPr>
                <w:rFonts w:ascii="宋体" w:hAnsi="宋体" w:cs="宋体"/>
                <w:b/>
                <w:bCs/>
                <w:snapToGrid w:val="0"/>
                <w:kern w:val="0"/>
                <w:sz w:val="24"/>
              </w:rPr>
            </w:pPr>
            <w:r>
              <w:rPr>
                <w:rFonts w:hint="eastAsia" w:ascii="宋体" w:hAnsi="宋体" w:cs="宋体"/>
                <w:b/>
                <w:bCs/>
                <w:snapToGrid w:val="0"/>
                <w:kern w:val="0"/>
                <w:sz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项目名称</w:t>
            </w:r>
          </w:p>
        </w:tc>
        <w:tc>
          <w:tcPr>
            <w:tcW w:w="6788" w:type="dxa"/>
            <w:vAlign w:val="center"/>
          </w:tcPr>
          <w:p>
            <w:pPr>
              <w:adjustRightInd w:val="0"/>
              <w:spacing w:line="460" w:lineRule="exact"/>
              <w:rPr>
                <w:rFonts w:hint="eastAsia" w:ascii="宋体" w:hAnsi="宋体" w:eastAsia="宋体" w:cs="宋体"/>
                <w:bCs/>
                <w:snapToGrid w:val="0"/>
                <w:kern w:val="0"/>
                <w:sz w:val="24"/>
                <w:lang w:eastAsia="zh-CN"/>
              </w:rPr>
            </w:pPr>
            <w:r>
              <w:rPr>
                <w:rFonts w:hint="eastAsia" w:ascii="宋体" w:hAnsi="宋体" w:cs="宋体"/>
                <w:sz w:val="24"/>
                <w:lang w:eastAsia="zh-CN"/>
              </w:rPr>
              <w:t>杭州市红十字会医院2025年公款竞争性存放项目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2</w:t>
            </w:r>
          </w:p>
        </w:tc>
        <w:tc>
          <w:tcPr>
            <w:tcW w:w="2028" w:type="dxa"/>
            <w:vAlign w:val="center"/>
          </w:tcPr>
          <w:p>
            <w:pPr>
              <w:adjustRightInd w:val="0"/>
              <w:spacing w:line="460" w:lineRule="exact"/>
              <w:jc w:val="center"/>
              <w:rPr>
                <w:rFonts w:ascii="宋体" w:hAnsi="宋体" w:cs="宋体"/>
                <w:snapToGrid w:val="0"/>
                <w:kern w:val="0"/>
                <w:sz w:val="24"/>
                <w:szCs w:val="24"/>
              </w:rPr>
            </w:pPr>
            <w:r>
              <w:rPr>
                <w:rFonts w:hint="eastAsia" w:ascii="宋体" w:hAnsi="宋体" w:cs="宋体"/>
                <w:snapToGrid w:val="0"/>
                <w:kern w:val="0"/>
                <w:sz w:val="24"/>
                <w:szCs w:val="24"/>
              </w:rPr>
              <w:t>招标编号</w:t>
            </w:r>
          </w:p>
        </w:tc>
        <w:tc>
          <w:tcPr>
            <w:tcW w:w="6788" w:type="dxa"/>
            <w:vAlign w:val="center"/>
          </w:tcPr>
          <w:p>
            <w:pPr>
              <w:adjustRightInd w:val="0"/>
              <w:spacing w:line="460" w:lineRule="exact"/>
              <w:rPr>
                <w:rFonts w:hint="eastAsia" w:ascii="宋体" w:hAnsi="宋体" w:eastAsia="宋体" w:cs="宋体"/>
                <w:bCs/>
                <w:snapToGrid w:val="0"/>
                <w:kern w:val="0"/>
                <w:sz w:val="24"/>
                <w:szCs w:val="24"/>
                <w:lang w:eastAsia="zh-CN"/>
              </w:rPr>
            </w:pPr>
            <w:r>
              <w:rPr>
                <w:rFonts w:hint="eastAsia" w:ascii="宋体" w:hAnsi="宋体" w:cs="宋体"/>
                <w:sz w:val="24"/>
                <w:szCs w:val="24"/>
                <w:lang w:eastAsia="zh-CN"/>
              </w:rPr>
              <w:t>HSZB-2024-1429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3</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招标方式</w:t>
            </w:r>
          </w:p>
        </w:tc>
        <w:tc>
          <w:tcPr>
            <w:tcW w:w="6788" w:type="dxa"/>
            <w:vAlign w:val="center"/>
          </w:tcPr>
          <w:p>
            <w:pPr>
              <w:adjustRightInd w:val="0"/>
              <w:spacing w:line="460" w:lineRule="exact"/>
              <w:rPr>
                <w:rFonts w:ascii="宋体" w:hAnsi="宋体" w:cs="宋体"/>
                <w:bCs/>
                <w:snapToGrid w:val="0"/>
                <w:kern w:val="0"/>
                <w:sz w:val="24"/>
              </w:rPr>
            </w:pPr>
            <w:r>
              <w:rPr>
                <w:rFonts w:hint="eastAsia" w:ascii="宋体" w:hAnsi="宋体" w:cs="宋体"/>
                <w:bCs/>
                <w:snapToGrid w:val="0"/>
                <w:kern w:val="0"/>
                <w:sz w:val="24"/>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4</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招标内容</w:t>
            </w:r>
          </w:p>
        </w:tc>
        <w:tc>
          <w:tcPr>
            <w:tcW w:w="6788" w:type="dxa"/>
            <w:vAlign w:val="center"/>
          </w:tcPr>
          <w:p>
            <w:pPr>
              <w:pStyle w:val="188"/>
              <w:spacing w:line="460" w:lineRule="exact"/>
              <w:rPr>
                <w:rFonts w:hint="eastAsia" w:eastAsia="宋体" w:cs="宋体"/>
                <w:snapToGrid w:val="0"/>
                <w:kern w:val="0"/>
                <w:sz w:val="24"/>
                <w:lang w:eastAsia="zh-CN"/>
              </w:rPr>
            </w:pPr>
            <w:r>
              <w:rPr>
                <w:rFonts w:hint="eastAsia" w:cs="宋体"/>
                <w:snapToGrid w:val="0"/>
                <w:kern w:val="0"/>
                <w:sz w:val="24"/>
                <w:lang w:eastAsia="zh-CN"/>
              </w:rPr>
              <w:t>杭州市红十字会医院2025年公款竞争性存放项目</w:t>
            </w:r>
            <w:r>
              <w:rPr>
                <w:rFonts w:hint="default" w:cs="宋体"/>
                <w:snapToGrid w:val="0"/>
                <w:kern w:val="0"/>
                <w:sz w:val="24"/>
              </w:rPr>
              <w:t>招标金额为约人民币</w:t>
            </w:r>
            <w:r>
              <w:rPr>
                <w:rFonts w:hint="eastAsia" w:cs="宋体"/>
                <w:snapToGrid w:val="0"/>
                <w:kern w:val="0"/>
                <w:sz w:val="24"/>
                <w:lang w:val="en-US" w:eastAsia="zh-CN"/>
              </w:rPr>
              <w:t>3.6亿元</w:t>
            </w:r>
            <w:r>
              <w:rPr>
                <w:rFonts w:hint="default" w:cs="宋体"/>
                <w:snapToGrid w:val="0"/>
                <w:kern w:val="0"/>
                <w:sz w:val="24"/>
              </w:rPr>
              <w:t>，1年期定期存款存放，按综合得分由高到低的顺序选取</w:t>
            </w:r>
            <w:r>
              <w:rPr>
                <w:rFonts w:hint="eastAsia" w:cs="宋体"/>
                <w:snapToGrid w:val="0"/>
                <w:kern w:val="0"/>
                <w:sz w:val="24"/>
                <w:lang w:val="en-US" w:eastAsia="zh-CN"/>
              </w:rPr>
              <w:t>6</w:t>
            </w:r>
            <w:r>
              <w:rPr>
                <w:rFonts w:hint="default" w:cs="宋体"/>
                <w:snapToGrid w:val="0"/>
                <w:kern w:val="0"/>
                <w:sz w:val="24"/>
              </w:rPr>
              <w:t>家中标银行</w:t>
            </w:r>
            <w:r>
              <w:rPr>
                <w:rFonts w:hint="eastAsia" w:cs="宋体"/>
                <w:snapToGrid w:val="0"/>
                <w:kern w:val="0"/>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5</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提前支取及补足规则</w:t>
            </w:r>
          </w:p>
        </w:tc>
        <w:tc>
          <w:tcPr>
            <w:tcW w:w="6788" w:type="dxa"/>
            <w:vAlign w:val="center"/>
          </w:tcPr>
          <w:p>
            <w:pPr>
              <w:spacing w:line="460" w:lineRule="exact"/>
              <w:rPr>
                <w:rFonts w:ascii="宋体" w:hAnsi="宋体" w:cs="宋体"/>
                <w:snapToGrid w:val="0"/>
                <w:kern w:val="0"/>
                <w:sz w:val="24"/>
              </w:rPr>
            </w:pPr>
            <w:r>
              <w:rPr>
                <w:rFonts w:hint="eastAsia" w:ascii="宋体" w:hAnsi="宋体" w:cs="宋体"/>
                <w:snapToGrid w:val="0"/>
                <w:kern w:val="0"/>
                <w:sz w:val="24"/>
              </w:rPr>
              <w:t>在特殊情况下，需提前支取部分或全部定期存款本金时，按中标银行排名倒序予以支取。</w:t>
            </w:r>
          </w:p>
          <w:p>
            <w:pPr>
              <w:spacing w:line="460" w:lineRule="exact"/>
              <w:rPr>
                <w:rFonts w:ascii="宋体" w:hAnsi="宋体" w:cs="宋体"/>
                <w:b/>
                <w:snapToGrid w:val="0"/>
                <w:kern w:val="0"/>
                <w:sz w:val="24"/>
              </w:rPr>
            </w:pPr>
            <w:r>
              <w:rPr>
                <w:rFonts w:hint="eastAsia" w:ascii="宋体" w:hAnsi="宋体" w:cs="宋体"/>
                <w:snapToGrid w:val="0"/>
                <w:kern w:val="0"/>
                <w:sz w:val="24"/>
              </w:rPr>
              <w:t>补足规则</w:t>
            </w:r>
            <w:r>
              <w:rPr>
                <w:rFonts w:hint="eastAsia" w:ascii="宋体" w:hAnsi="宋体" w:cs="宋体"/>
                <w:bCs/>
                <w:sz w:val="24"/>
                <w:szCs w:val="22"/>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6</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资格审查方式</w:t>
            </w:r>
          </w:p>
        </w:tc>
        <w:tc>
          <w:tcPr>
            <w:tcW w:w="6788" w:type="dxa"/>
            <w:vAlign w:val="center"/>
          </w:tcPr>
          <w:p>
            <w:pPr>
              <w:adjustRightInd w:val="0"/>
              <w:spacing w:line="460" w:lineRule="exact"/>
              <w:rPr>
                <w:rFonts w:ascii="宋体" w:hAnsi="宋体" w:cs="宋体"/>
                <w:snapToGrid w:val="0"/>
                <w:kern w:val="0"/>
                <w:sz w:val="24"/>
              </w:rPr>
            </w:pPr>
            <w:r>
              <w:rPr>
                <w:rFonts w:hint="eastAsia" w:ascii="宋体" w:hAnsi="宋体" w:cs="宋体"/>
                <w:snapToGrid w:val="0"/>
                <w:kern w:val="0"/>
                <w:sz w:val="24"/>
              </w:rPr>
              <w:t>资格后审。</w:t>
            </w:r>
          </w:p>
          <w:p>
            <w:pPr>
              <w:adjustRightInd w:val="0"/>
              <w:spacing w:line="460" w:lineRule="exact"/>
              <w:ind w:right="122" w:rightChars="58"/>
              <w:rPr>
                <w:rFonts w:ascii="宋体" w:hAnsi="宋体" w:cs="宋体"/>
                <w:snapToGrid w:val="0"/>
                <w:kern w:val="0"/>
                <w:sz w:val="24"/>
              </w:rPr>
            </w:pPr>
            <w:r>
              <w:rPr>
                <w:rFonts w:hint="eastAsia" w:ascii="宋体" w:hAnsi="宋体" w:cs="宋体"/>
                <w:snapToGrid w:val="0"/>
                <w:kern w:val="0"/>
                <w:sz w:val="24"/>
              </w:rPr>
              <w:t>资格后审是指在开标后由评标委员会根据招标文件的规定对投标人进行的资格审查，资格后审不合格的投标人，由评标委员会对其投标作否决处理。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7</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投标保证金</w:t>
            </w:r>
          </w:p>
        </w:tc>
        <w:tc>
          <w:tcPr>
            <w:tcW w:w="6788" w:type="dxa"/>
            <w:vAlign w:val="center"/>
          </w:tcPr>
          <w:p>
            <w:pPr>
              <w:pStyle w:val="192"/>
              <w:spacing w:line="460" w:lineRule="exact"/>
              <w:rPr>
                <w:rFonts w:hint="default" w:ascii="宋体" w:hAnsi="宋体" w:cs="宋体"/>
                <w:snapToGrid w:val="0"/>
                <w:kern w:val="0"/>
                <w:sz w:val="24"/>
              </w:rPr>
            </w:pPr>
            <w:r>
              <w:rPr>
                <w:rFonts w:ascii="宋体" w:hAnsi="宋体" w:cs="宋体"/>
                <w:snapToGrid w:val="0"/>
                <w:kern w:val="0"/>
                <w:sz w:val="24"/>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8</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招标答疑</w:t>
            </w:r>
          </w:p>
        </w:tc>
        <w:tc>
          <w:tcPr>
            <w:tcW w:w="6788" w:type="dxa"/>
            <w:vAlign w:val="center"/>
          </w:tcPr>
          <w:p>
            <w:pPr>
              <w:adjustRightInd w:val="0"/>
              <w:spacing w:line="460" w:lineRule="exact"/>
              <w:rPr>
                <w:rFonts w:ascii="宋体" w:hAnsi="宋体" w:cs="宋体"/>
                <w:snapToGrid w:val="0"/>
                <w:kern w:val="0"/>
                <w:sz w:val="24"/>
              </w:rPr>
            </w:pPr>
            <w:r>
              <w:rPr>
                <w:rFonts w:hint="eastAsia" w:ascii="宋体" w:hAnsi="宋体" w:cs="宋体"/>
                <w:snapToGrid w:val="0"/>
                <w:kern w:val="0"/>
                <w:sz w:val="24"/>
              </w:rPr>
              <w:t>投标人如认为招标文件表述不清晰、存在歧视性或者倾向性或者其他违法内容的，必须在</w:t>
            </w:r>
            <w:r>
              <w:rPr>
                <w:rFonts w:hint="eastAsia" w:ascii="宋体" w:hAnsi="宋体" w:cs="宋体"/>
                <w:snapToGrid w:val="0"/>
                <w:kern w:val="0"/>
                <w:sz w:val="24"/>
                <w:highlight w:val="none"/>
              </w:rPr>
              <w:t>2024年</w:t>
            </w:r>
            <w:r>
              <w:rPr>
                <w:rFonts w:hint="eastAsia" w:ascii="宋体" w:hAnsi="宋体" w:cs="宋体"/>
                <w:snapToGrid w:val="0"/>
                <w:kern w:val="0"/>
                <w:sz w:val="24"/>
                <w:highlight w:val="none"/>
                <w:lang w:val="en-US" w:eastAsia="zh-CN"/>
              </w:rPr>
              <w:t>12</w:t>
            </w:r>
            <w:r>
              <w:rPr>
                <w:rFonts w:hint="eastAsia" w:ascii="宋体" w:hAnsi="宋体" w:cs="宋体"/>
                <w:snapToGrid w:val="0"/>
                <w:kern w:val="0"/>
                <w:sz w:val="24"/>
                <w:highlight w:val="none"/>
              </w:rPr>
              <w:t>月</w:t>
            </w:r>
            <w:r>
              <w:rPr>
                <w:rFonts w:hint="eastAsia" w:ascii="宋体" w:hAnsi="宋体" w:cs="宋体"/>
                <w:snapToGrid w:val="0"/>
                <w:kern w:val="0"/>
                <w:sz w:val="24"/>
                <w:highlight w:val="none"/>
                <w:lang w:val="en-US" w:eastAsia="zh-CN"/>
              </w:rPr>
              <w:t>27</w:t>
            </w:r>
            <w:bookmarkStart w:id="253" w:name="_GoBack"/>
            <w:bookmarkEnd w:id="253"/>
            <w:r>
              <w:rPr>
                <w:rFonts w:hint="eastAsia" w:ascii="宋体" w:hAnsi="宋体" w:cs="宋体"/>
                <w:snapToGrid w:val="0"/>
                <w:kern w:val="0"/>
                <w:sz w:val="24"/>
                <w:highlight w:val="none"/>
              </w:rPr>
              <w:t>日</w:t>
            </w:r>
            <w:r>
              <w:rPr>
                <w:rFonts w:hint="eastAsia" w:ascii="宋体" w:hAnsi="宋体" w:cs="宋体"/>
                <w:snapToGrid w:val="0"/>
                <w:kern w:val="0"/>
                <w:sz w:val="24"/>
              </w:rPr>
              <w:t>17时之前将要求答疑的问题以原件送达,并发电子邮件至</w:t>
            </w:r>
            <w:r>
              <w:rPr>
                <w:rFonts w:hint="eastAsia" w:ascii="宋体" w:hAnsi="宋体" w:cs="宋体"/>
                <w:snapToGrid w:val="0"/>
                <w:kern w:val="0"/>
                <w:sz w:val="24"/>
                <w:lang w:eastAsia="zh-CN"/>
              </w:rPr>
              <w:t>1429832169</w:t>
            </w:r>
            <w:r>
              <w:rPr>
                <w:rFonts w:hint="eastAsia" w:ascii="宋体" w:hAnsi="宋体" w:cs="宋体"/>
                <w:snapToGrid w:val="0"/>
                <w:kern w:val="0"/>
                <w:sz w:val="24"/>
              </w:rPr>
              <w:t>@qq.com（</w:t>
            </w:r>
            <w:r>
              <w:rPr>
                <w:rFonts w:hint="eastAsia" w:ascii="宋体" w:hAnsi="宋体" w:cs="宋体"/>
                <w:snapToGrid w:val="0"/>
                <w:kern w:val="0"/>
                <w:sz w:val="24"/>
                <w:lang w:val="zh-CN"/>
              </w:rPr>
              <w:t>电子邮件与书面文件有不一致的</w:t>
            </w:r>
            <w:r>
              <w:rPr>
                <w:rFonts w:hint="eastAsia" w:ascii="宋体" w:hAnsi="宋体" w:cs="宋体"/>
                <w:snapToGrid w:val="0"/>
                <w:kern w:val="0"/>
                <w:sz w:val="24"/>
              </w:rPr>
              <w:t>，</w:t>
            </w:r>
            <w:r>
              <w:rPr>
                <w:rFonts w:hint="eastAsia" w:ascii="宋体" w:hAnsi="宋体" w:cs="宋体"/>
                <w:snapToGrid w:val="0"/>
                <w:kern w:val="0"/>
                <w:sz w:val="24"/>
                <w:lang w:val="zh-CN"/>
              </w:rPr>
              <w:t>一律以书面文件为准</w:t>
            </w:r>
            <w:r>
              <w:rPr>
                <w:rFonts w:hint="eastAsia" w:ascii="宋体" w:hAnsi="宋体" w:cs="宋体"/>
                <w:snapToGrid w:val="0"/>
                <w:kern w:val="0"/>
                <w:sz w:val="24"/>
              </w:rPr>
              <w:t>）</w:t>
            </w:r>
            <w:r>
              <w:rPr>
                <w:rFonts w:hint="eastAsia" w:ascii="宋体" w:hAnsi="宋体" w:cs="宋体"/>
                <w:snapToGrid w:val="0"/>
                <w:kern w:val="0"/>
                <w:sz w:val="24"/>
                <w:lang w:val="zh-CN"/>
              </w:rPr>
              <w:t>。截止期后的疑问将不予受理、答复。</w:t>
            </w:r>
            <w:r>
              <w:rPr>
                <w:rFonts w:hint="eastAsia" w:ascii="宋体" w:hAnsi="宋体" w:cs="宋体"/>
                <w:snapToGrid w:val="0"/>
                <w:kern w:val="0"/>
                <w:sz w:val="24"/>
              </w:rPr>
              <w:t>答疑回复内容是招标文件的组成部份，并将在指定网站发布更正公告或以书面形式通知所有已获取招标文件的潜在投标人。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9</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招标文件的澄清与修改</w:t>
            </w:r>
          </w:p>
        </w:tc>
        <w:tc>
          <w:tcPr>
            <w:tcW w:w="6788" w:type="dxa"/>
            <w:vAlign w:val="center"/>
          </w:tcPr>
          <w:p>
            <w:pPr>
              <w:adjustRightInd w:val="0"/>
              <w:spacing w:line="460" w:lineRule="exact"/>
              <w:ind w:right="105" w:rightChars="50"/>
              <w:rPr>
                <w:rFonts w:ascii="宋体" w:hAnsi="宋体" w:cs="宋体"/>
                <w:snapToGrid w:val="0"/>
                <w:kern w:val="0"/>
                <w:sz w:val="24"/>
              </w:rPr>
            </w:pPr>
            <w:r>
              <w:rPr>
                <w:rFonts w:hint="eastAsia" w:ascii="宋体" w:hAnsi="宋体" w:cs="宋体"/>
                <w:snapToGrid w:val="0"/>
                <w:kern w:val="0"/>
                <w:sz w:val="24"/>
              </w:rPr>
              <w:t>招标人有权澄清和修改招标文件，修改和澄清（答疑）答复的文件作为招标文件的补充和组成部分，对所有投标人均有约束力。澄清或者修改的内容可能影响投标文件编制的，招标人或委托招标代理机构将在指定网站（本次招标公告发布媒体，下同）发布更正公告并且顺延提交投标文件的截止时间，投标截止时间自发布更正公告或书面变更通知日起不少于15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10</w:t>
            </w:r>
          </w:p>
        </w:tc>
        <w:tc>
          <w:tcPr>
            <w:tcW w:w="2028" w:type="dxa"/>
            <w:vAlign w:val="center"/>
          </w:tcPr>
          <w:p>
            <w:pPr>
              <w:pStyle w:val="26"/>
              <w:spacing w:before="120" w:beforeLines="50" w:line="240" w:lineRule="auto"/>
              <w:ind w:firstLine="0"/>
              <w:jc w:val="center"/>
              <w:rPr>
                <w:rFonts w:hAnsi="宋体" w:cs="宋体"/>
                <w:snapToGrid w:val="0"/>
                <w:sz w:val="24"/>
              </w:rPr>
            </w:pPr>
            <w:r>
              <w:rPr>
                <w:rFonts w:hint="eastAsia" w:ascii="Times New Roman"/>
                <w:sz w:val="24"/>
                <w:szCs w:val="24"/>
              </w:rPr>
              <w:t>投标文件的上传和递交</w:t>
            </w:r>
          </w:p>
        </w:tc>
        <w:tc>
          <w:tcPr>
            <w:tcW w:w="6788" w:type="dxa"/>
            <w:vAlign w:val="center"/>
          </w:tcPr>
          <w:p>
            <w:pPr>
              <w:adjustRightInd w:val="0"/>
              <w:snapToGrid w:val="0"/>
              <w:spacing w:line="300" w:lineRule="auto"/>
              <w:rPr>
                <w:kern w:val="0"/>
                <w:sz w:val="24"/>
              </w:rPr>
            </w:pPr>
            <w:r>
              <w:rPr>
                <w:rFonts w:hint="eastAsia"/>
                <w:kern w:val="0"/>
                <w:sz w:val="24"/>
              </w:rPr>
              <w:t>本项目实行网上投标。</w:t>
            </w:r>
          </w:p>
          <w:p>
            <w:pPr>
              <w:spacing w:before="120" w:beforeLines="50" w:line="360" w:lineRule="auto"/>
              <w:rPr>
                <w:rFonts w:ascii="宋体" w:hAnsi="宋体" w:cs="宋体"/>
                <w:snapToGrid w:val="0"/>
                <w:kern w:val="0"/>
                <w:sz w:val="24"/>
              </w:rPr>
            </w:pPr>
            <w:r>
              <w:rPr>
                <w:rFonts w:hint="eastAsia"/>
                <w:kern w:val="0"/>
                <w:sz w:val="24"/>
              </w:rPr>
              <w:t>投标人需在投标截止时间前在政采云系统中提交电子投标文件一份。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11</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评标办法</w:t>
            </w:r>
          </w:p>
        </w:tc>
        <w:tc>
          <w:tcPr>
            <w:tcW w:w="6788" w:type="dxa"/>
            <w:vAlign w:val="center"/>
          </w:tcPr>
          <w:p>
            <w:pPr>
              <w:adjustRightInd w:val="0"/>
              <w:spacing w:line="460" w:lineRule="exact"/>
              <w:rPr>
                <w:rFonts w:ascii="宋体" w:hAnsi="宋体" w:cs="宋体"/>
                <w:snapToGrid w:val="0"/>
                <w:kern w:val="0"/>
                <w:sz w:val="24"/>
              </w:rPr>
            </w:pPr>
            <w:r>
              <w:rPr>
                <w:rFonts w:hint="eastAsia" w:ascii="宋体" w:hAnsi="宋体" w:cs="宋体"/>
                <w:snapToGrid w:val="0"/>
                <w:kern w:val="0"/>
                <w:sz w:val="24"/>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12</w:t>
            </w:r>
          </w:p>
        </w:tc>
        <w:tc>
          <w:tcPr>
            <w:tcW w:w="2028" w:type="dxa"/>
            <w:vAlign w:val="center"/>
          </w:tcPr>
          <w:p>
            <w:pPr>
              <w:adjustRightInd w:val="0"/>
              <w:spacing w:line="460" w:lineRule="exact"/>
              <w:jc w:val="center"/>
              <w:rPr>
                <w:rFonts w:ascii="宋体" w:hAnsi="宋体" w:cs="宋体"/>
                <w:snapToGrid w:val="0"/>
                <w:kern w:val="0"/>
                <w:sz w:val="24"/>
              </w:rPr>
            </w:pPr>
            <w:r>
              <w:rPr>
                <w:sz w:val="24"/>
                <w:szCs w:val="24"/>
              </w:rPr>
              <w:t>投标截止时间</w:t>
            </w:r>
            <w:r>
              <w:rPr>
                <w:rFonts w:hint="eastAsia"/>
                <w:sz w:val="24"/>
                <w:szCs w:val="24"/>
              </w:rPr>
              <w:t>和</w:t>
            </w:r>
            <w:r>
              <w:rPr>
                <w:sz w:val="24"/>
                <w:szCs w:val="24"/>
              </w:rPr>
              <w:t>投标地点</w:t>
            </w:r>
          </w:p>
        </w:tc>
        <w:tc>
          <w:tcPr>
            <w:tcW w:w="6788" w:type="dxa"/>
            <w:vAlign w:val="center"/>
          </w:tcPr>
          <w:p>
            <w:pPr>
              <w:adjustRightInd w:val="0"/>
              <w:spacing w:line="460" w:lineRule="exact"/>
              <w:rPr>
                <w:rFonts w:ascii="宋体" w:hAnsi="宋体" w:cs="宋体"/>
                <w:snapToGrid w:val="0"/>
                <w:kern w:val="0"/>
                <w:sz w:val="24"/>
              </w:rPr>
            </w:pPr>
            <w:r>
              <w:rPr>
                <w:rFonts w:hint="eastAsia" w:ascii="宋体" w:hAnsi="宋体" w:cs="宋体"/>
                <w:snapToGrid w:val="0"/>
                <w:kern w:val="0"/>
                <w:sz w:val="24"/>
              </w:rPr>
              <w:t>地址：详见招标公告</w:t>
            </w:r>
          </w:p>
          <w:p>
            <w:pPr>
              <w:adjustRightInd w:val="0"/>
              <w:spacing w:line="460" w:lineRule="exact"/>
              <w:rPr>
                <w:rFonts w:ascii="宋体" w:hAnsi="宋体" w:cs="宋体"/>
                <w:snapToGrid w:val="0"/>
                <w:kern w:val="0"/>
                <w:sz w:val="24"/>
              </w:rPr>
            </w:pPr>
            <w:r>
              <w:rPr>
                <w:rFonts w:hint="eastAsia" w:ascii="宋体" w:hAnsi="宋体" w:cs="宋体"/>
                <w:snapToGrid w:val="0"/>
                <w:kern w:val="0"/>
                <w:sz w:val="24"/>
              </w:rPr>
              <w:t xml:space="preserve">截止时间：详见招标公告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13</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开标时间及开标地点</w:t>
            </w:r>
          </w:p>
        </w:tc>
        <w:tc>
          <w:tcPr>
            <w:tcW w:w="6788" w:type="dxa"/>
            <w:vAlign w:val="center"/>
          </w:tcPr>
          <w:p>
            <w:pPr>
              <w:adjustRightInd w:val="0"/>
              <w:spacing w:line="460" w:lineRule="exact"/>
              <w:rPr>
                <w:rFonts w:ascii="宋体" w:hAnsi="宋体" w:cs="宋体"/>
                <w:snapToGrid w:val="0"/>
                <w:kern w:val="0"/>
                <w:sz w:val="24"/>
              </w:rPr>
            </w:pPr>
            <w:r>
              <w:rPr>
                <w:rFonts w:hint="eastAsia" w:ascii="宋体" w:hAnsi="宋体" w:cs="宋体"/>
                <w:snapToGrid w:val="0"/>
                <w:kern w:val="0"/>
                <w:sz w:val="24"/>
              </w:rPr>
              <w:t>地址：详见招标公告</w:t>
            </w:r>
          </w:p>
          <w:p>
            <w:pPr>
              <w:adjustRightInd w:val="0"/>
              <w:spacing w:line="460" w:lineRule="exact"/>
              <w:rPr>
                <w:rFonts w:ascii="宋体" w:hAnsi="宋体" w:cs="宋体"/>
                <w:snapToGrid w:val="0"/>
                <w:kern w:val="0"/>
                <w:sz w:val="24"/>
              </w:rPr>
            </w:pPr>
            <w:r>
              <w:rPr>
                <w:rFonts w:hint="eastAsia" w:ascii="宋体" w:hAnsi="宋体" w:cs="宋体"/>
                <w:snapToGrid w:val="0"/>
                <w:kern w:val="0"/>
                <w:sz w:val="24"/>
              </w:rPr>
              <w:t xml:space="preserve">截止时间：详见招标公告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14</w:t>
            </w:r>
          </w:p>
        </w:tc>
        <w:tc>
          <w:tcPr>
            <w:tcW w:w="2028" w:type="dxa"/>
            <w:vAlign w:val="center"/>
          </w:tcPr>
          <w:p>
            <w:pPr>
              <w:adjustRightInd w:val="0"/>
              <w:spacing w:line="460" w:lineRule="exact"/>
              <w:jc w:val="center"/>
              <w:rPr>
                <w:rFonts w:ascii="宋体" w:hAnsi="宋体" w:cs="宋体"/>
                <w:snapToGrid w:val="0"/>
                <w:kern w:val="0"/>
                <w:sz w:val="24"/>
              </w:rPr>
            </w:pPr>
            <w:bookmarkStart w:id="19" w:name="_Toc12138"/>
            <w:r>
              <w:rPr>
                <w:rFonts w:ascii="宋体" w:hAnsi="宋体" w:cs="宋体"/>
                <w:snapToGrid w:val="0"/>
                <w:kern w:val="0"/>
                <w:sz w:val="24"/>
              </w:rPr>
              <w:t>在线投标</w:t>
            </w:r>
            <w:bookmarkEnd w:id="19"/>
          </w:p>
        </w:tc>
        <w:tc>
          <w:tcPr>
            <w:tcW w:w="6788" w:type="dxa"/>
            <w:vAlign w:val="center"/>
          </w:tcPr>
          <w:p>
            <w:pPr>
              <w:adjustRightInd w:val="0"/>
              <w:spacing w:line="460" w:lineRule="exact"/>
              <w:jc w:val="left"/>
              <w:rPr>
                <w:rFonts w:ascii="宋体" w:hAnsi="宋体" w:cs="宋体"/>
                <w:snapToGrid w:val="0"/>
                <w:kern w:val="0"/>
                <w:sz w:val="24"/>
              </w:rPr>
            </w:pPr>
            <w:r>
              <w:rPr>
                <w:rFonts w:hint="eastAsia" w:ascii="宋体" w:hAnsi="宋体" w:cs="宋体"/>
                <w:snapToGrid w:val="0"/>
                <w:kern w:val="0"/>
                <w:sz w:val="24"/>
              </w:rPr>
              <w:t>投标人须于投标截止时间前在政采云平台（https://www.zcygov.cn/）进行投标。</w:t>
            </w:r>
          </w:p>
          <w:p>
            <w:pPr>
              <w:adjustRightInd w:val="0"/>
              <w:spacing w:line="460" w:lineRule="exact"/>
              <w:jc w:val="left"/>
              <w:rPr>
                <w:rFonts w:ascii="宋体" w:hAnsi="宋体" w:cs="宋体"/>
                <w:snapToGrid w:val="0"/>
                <w:kern w:val="0"/>
                <w:sz w:val="24"/>
              </w:rPr>
            </w:pPr>
            <w:r>
              <w:rPr>
                <w:rFonts w:hint="eastAsia" w:ascii="宋体" w:hAnsi="宋体" w:cs="宋体"/>
                <w:snapToGrid w:val="0"/>
                <w:kern w:val="0"/>
                <w:sz w:val="24"/>
              </w:rPr>
              <w:t>可登录政采云平台（https://www.zcygov.cn/），从首页-服务中心-帮助文档-公款竞争性存放-操作流程，查看文档。政采云系统平台有新的操作流程的，按其规定。</w:t>
            </w:r>
          </w:p>
          <w:p>
            <w:pPr>
              <w:adjustRightInd w:val="0"/>
              <w:spacing w:line="460" w:lineRule="exact"/>
              <w:jc w:val="left"/>
              <w:rPr>
                <w:rFonts w:ascii="宋体" w:hAnsi="宋体" w:cs="宋体"/>
                <w:snapToGrid w:val="0"/>
                <w:kern w:val="0"/>
                <w:sz w:val="24"/>
              </w:rPr>
            </w:pPr>
            <w:r>
              <w:rPr>
                <w:rFonts w:hint="eastAsia" w:ascii="宋体" w:hAnsi="宋体" w:cs="宋体"/>
                <w:snapToGrid w:val="0"/>
                <w:kern w:val="0"/>
                <w:sz w:val="24"/>
              </w:rPr>
              <w:t>如有疑问，可致电政府采购云平台技术支持热线咨询，联系方式：95763。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15</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投标有效期</w:t>
            </w:r>
          </w:p>
        </w:tc>
        <w:tc>
          <w:tcPr>
            <w:tcW w:w="6788" w:type="dxa"/>
            <w:vAlign w:val="center"/>
          </w:tcPr>
          <w:p>
            <w:pPr>
              <w:adjustRightInd w:val="0"/>
              <w:spacing w:line="460" w:lineRule="exact"/>
              <w:rPr>
                <w:rFonts w:ascii="宋体" w:hAnsi="宋体" w:cs="宋体"/>
                <w:b/>
                <w:snapToGrid w:val="0"/>
                <w:kern w:val="0"/>
                <w:sz w:val="24"/>
              </w:rPr>
            </w:pPr>
            <w:r>
              <w:rPr>
                <w:rFonts w:hint="eastAsia" w:ascii="宋体" w:hAnsi="宋体" w:cs="宋体"/>
                <w:b/>
                <w:bCs/>
                <w:snapToGrid w:val="0"/>
                <w:kern w:val="0"/>
                <w:sz w:val="24"/>
              </w:rPr>
              <w:t>投标截止日后60天</w:t>
            </w:r>
            <w:r>
              <w:rPr>
                <w:rFonts w:hint="eastAsia" w:ascii="宋体" w:hAnsi="宋体" w:cs="宋体"/>
                <w:snapToGrid w:val="0"/>
                <w:kern w:val="0"/>
                <w:sz w:val="24"/>
              </w:rPr>
              <w:t>，不足有效期的，其投标视为无效标。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16</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公告发布媒体</w:t>
            </w:r>
          </w:p>
        </w:tc>
        <w:tc>
          <w:tcPr>
            <w:tcW w:w="6788" w:type="dxa"/>
            <w:vAlign w:val="center"/>
          </w:tcPr>
          <w:p>
            <w:pPr>
              <w:pStyle w:val="23"/>
              <w:adjustRightInd w:val="0"/>
              <w:spacing w:line="460" w:lineRule="exact"/>
              <w:rPr>
                <w:rFonts w:hAnsi="宋体" w:cs="宋体"/>
                <w:snapToGrid w:val="0"/>
                <w:kern w:val="0"/>
                <w:sz w:val="24"/>
                <w:szCs w:val="24"/>
              </w:rPr>
            </w:pPr>
            <w:r>
              <w:rPr>
                <w:rFonts w:hint="eastAsia" w:hAnsi="宋体" w:cs="宋体"/>
                <w:kern w:val="0"/>
                <w:sz w:val="24"/>
              </w:rPr>
              <w:t>浙江政府采购网、</w:t>
            </w:r>
            <w:r>
              <w:rPr>
                <w:rFonts w:hint="eastAsia" w:hAnsi="宋体" w:cs="宋体"/>
                <w:kern w:val="0"/>
                <w:sz w:val="24"/>
                <w:lang w:eastAsia="zh-CN"/>
              </w:rPr>
              <w:t>杭州市红十字会医院</w:t>
            </w:r>
            <w:r>
              <w:rPr>
                <w:rFonts w:hint="eastAsia" w:hAnsi="宋体" w:cs="宋体"/>
                <w:kern w:val="0"/>
                <w:sz w:val="24"/>
              </w:rPr>
              <w:t>门户网站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17</w:t>
            </w:r>
          </w:p>
        </w:tc>
        <w:tc>
          <w:tcPr>
            <w:tcW w:w="2028"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b/>
                <w:snapToGrid w:val="0"/>
                <w:kern w:val="0"/>
                <w:sz w:val="24"/>
              </w:rPr>
              <w:t>特别说明</w:t>
            </w:r>
          </w:p>
        </w:tc>
        <w:tc>
          <w:tcPr>
            <w:tcW w:w="6788" w:type="dxa"/>
            <w:vAlign w:val="center"/>
          </w:tcPr>
          <w:p>
            <w:pPr>
              <w:pStyle w:val="23"/>
              <w:adjustRightInd w:val="0"/>
              <w:spacing w:line="460" w:lineRule="exact"/>
              <w:rPr>
                <w:rFonts w:hAnsi="宋体" w:cs="宋体"/>
                <w:snapToGrid w:val="0"/>
                <w:kern w:val="0"/>
                <w:sz w:val="24"/>
                <w:szCs w:val="24"/>
              </w:rPr>
            </w:pPr>
            <w:r>
              <w:rPr>
                <w:rFonts w:hint="eastAsia" w:hAnsi="宋体" w:cs="宋体"/>
                <w:b/>
                <w:snapToGrid w:val="0"/>
                <w:kern w:val="0"/>
                <w:sz w:val="24"/>
                <w:szCs w:val="24"/>
              </w:rPr>
              <w:t>招标文件中凡标注“▲”的条款均为实质性要求，不响应的投标文件将被否决。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trPr>
        <w:tc>
          <w:tcPr>
            <w:tcW w:w="793" w:type="dxa"/>
            <w:vAlign w:val="center"/>
          </w:tcPr>
          <w:p>
            <w:pPr>
              <w:adjustRightInd w:val="0"/>
              <w:spacing w:line="460" w:lineRule="exact"/>
              <w:jc w:val="center"/>
              <w:rPr>
                <w:rFonts w:ascii="宋体" w:hAnsi="宋体" w:cs="宋体"/>
                <w:snapToGrid w:val="0"/>
                <w:kern w:val="0"/>
                <w:sz w:val="24"/>
              </w:rPr>
            </w:pPr>
            <w:r>
              <w:rPr>
                <w:rFonts w:hint="eastAsia" w:ascii="宋体" w:hAnsi="宋体" w:cs="宋体"/>
                <w:snapToGrid w:val="0"/>
                <w:kern w:val="0"/>
                <w:sz w:val="24"/>
              </w:rPr>
              <w:t>18</w:t>
            </w:r>
          </w:p>
        </w:tc>
        <w:tc>
          <w:tcPr>
            <w:tcW w:w="2028" w:type="dxa"/>
            <w:vAlign w:val="center"/>
          </w:tcPr>
          <w:p>
            <w:pPr>
              <w:adjustRightInd w:val="0"/>
              <w:spacing w:line="460" w:lineRule="exact"/>
              <w:jc w:val="center"/>
              <w:rPr>
                <w:rFonts w:ascii="宋体" w:hAnsi="宋体" w:cs="宋体"/>
                <w:b/>
                <w:snapToGrid w:val="0"/>
                <w:kern w:val="0"/>
                <w:sz w:val="24"/>
              </w:rPr>
            </w:pPr>
            <w:r>
              <w:rPr>
                <w:rFonts w:hint="eastAsia" w:ascii="宋体" w:hAnsi="宋体" w:cs="宋体"/>
                <w:b/>
                <w:snapToGrid w:val="0"/>
                <w:kern w:val="0"/>
                <w:sz w:val="24"/>
              </w:rPr>
              <w:t>招标代理服务费</w:t>
            </w:r>
          </w:p>
        </w:tc>
        <w:tc>
          <w:tcPr>
            <w:tcW w:w="6788" w:type="dxa"/>
            <w:vAlign w:val="center"/>
          </w:tcPr>
          <w:p>
            <w:pPr>
              <w:pStyle w:val="23"/>
              <w:spacing w:line="460" w:lineRule="exact"/>
              <w:rPr>
                <w:rFonts w:hAnsi="宋体" w:cs="宋体"/>
                <w:snapToGrid w:val="0"/>
                <w:kern w:val="0"/>
                <w:sz w:val="24"/>
                <w:szCs w:val="24"/>
              </w:rPr>
            </w:pPr>
            <w:r>
              <w:rPr>
                <w:rFonts w:hint="eastAsia" w:hAnsi="宋体" w:cs="宋体"/>
                <w:snapToGrid w:val="0"/>
                <w:kern w:val="0"/>
                <w:sz w:val="24"/>
                <w:szCs w:val="24"/>
              </w:rPr>
              <w:t>本项目招标代理费由中标银行支付，收费标准为每家中标银行人民币</w:t>
            </w:r>
            <w:r>
              <w:rPr>
                <w:rFonts w:hint="eastAsia" w:hAnsi="宋体" w:cs="宋体"/>
                <w:snapToGrid w:val="0"/>
                <w:kern w:val="0"/>
                <w:sz w:val="24"/>
                <w:szCs w:val="24"/>
                <w:lang w:val="en-US" w:eastAsia="zh-CN"/>
              </w:rPr>
              <w:t>四</w:t>
            </w:r>
            <w:r>
              <w:rPr>
                <w:rFonts w:hint="eastAsia" w:hAnsi="宋体" w:cs="宋体"/>
                <w:snapToGrid w:val="0"/>
                <w:kern w:val="0"/>
                <w:sz w:val="24"/>
                <w:szCs w:val="24"/>
              </w:rPr>
              <w:t>仟元整（￥</w:t>
            </w:r>
            <w:r>
              <w:rPr>
                <w:rFonts w:hint="eastAsia" w:hAnsi="宋体" w:cs="宋体"/>
                <w:snapToGrid w:val="0"/>
                <w:kern w:val="0"/>
                <w:sz w:val="24"/>
                <w:szCs w:val="24"/>
                <w:lang w:val="en-US" w:eastAsia="zh-CN"/>
              </w:rPr>
              <w:t>4</w:t>
            </w:r>
            <w:r>
              <w:rPr>
                <w:rFonts w:hint="eastAsia" w:hAnsi="宋体" w:cs="宋体"/>
                <w:snapToGrid w:val="0"/>
                <w:kern w:val="0"/>
                <w:sz w:val="24"/>
                <w:szCs w:val="24"/>
              </w:rPr>
              <w:t>000.00元）。</w:t>
            </w:r>
          </w:p>
          <w:p>
            <w:pPr>
              <w:pStyle w:val="23"/>
              <w:spacing w:line="460" w:lineRule="exact"/>
              <w:rPr>
                <w:rFonts w:hAnsi="宋体" w:cs="宋体"/>
                <w:b/>
                <w:snapToGrid w:val="0"/>
                <w:kern w:val="0"/>
                <w:sz w:val="24"/>
                <w:szCs w:val="24"/>
              </w:rPr>
            </w:pPr>
            <w:r>
              <w:rPr>
                <w:rFonts w:hint="eastAsia" w:hAnsi="宋体" w:cs="宋体"/>
                <w:snapToGrid w:val="0"/>
                <w:kern w:val="0"/>
                <w:sz w:val="24"/>
                <w:szCs w:val="24"/>
              </w:rPr>
              <w:t>结算方式：</w:t>
            </w:r>
            <w:r>
              <w:rPr>
                <w:rFonts w:hint="eastAsia" w:hAnsi="宋体" w:cs="宋体"/>
                <w:snapToGrid w:val="0"/>
                <w:kern w:val="0"/>
                <w:sz w:val="24"/>
                <w:szCs w:val="24"/>
                <w:lang w:val="en-US" w:eastAsia="zh-CN"/>
              </w:rPr>
              <w:t>中标后5个工作日内，由</w:t>
            </w:r>
            <w:r>
              <w:rPr>
                <w:rFonts w:hint="eastAsia" w:hAnsi="宋体" w:cs="宋体"/>
                <w:snapToGrid w:val="0"/>
                <w:kern w:val="0"/>
                <w:sz w:val="24"/>
                <w:szCs w:val="24"/>
              </w:rPr>
              <w:t>中标银行一次性向代理机构付清。</w:t>
            </w:r>
          </w:p>
        </w:tc>
      </w:tr>
    </w:tbl>
    <w:p>
      <w:pPr>
        <w:pStyle w:val="83"/>
        <w:spacing w:before="0"/>
        <w:ind w:firstLine="0" w:firstLineChars="0"/>
        <w:rPr>
          <w:rFonts w:ascii="宋体" w:hAnsi="宋体" w:cs="宋体"/>
        </w:rPr>
      </w:pPr>
      <w:r>
        <w:rPr>
          <w:rFonts w:hint="eastAsia" w:ascii="宋体" w:hAnsi="宋体" w:cs="宋体"/>
        </w:rPr>
        <w:t>注：以上内容如有变化将另行书面通知。如通知其中某一内容发生变化，其余未提及的将不作变动。</w:t>
      </w:r>
    </w:p>
    <w:p>
      <w:pPr>
        <w:spacing w:line="360" w:lineRule="auto"/>
        <w:outlineLvl w:val="1"/>
        <w:rPr>
          <w:rFonts w:ascii="宋体" w:hAnsi="宋体" w:cs="宋体"/>
          <w:b/>
          <w:sz w:val="24"/>
        </w:rPr>
      </w:pPr>
      <w:bookmarkStart w:id="20" w:name="_Toc9985"/>
      <w:bookmarkStart w:id="21" w:name="_Toc18666"/>
      <w:bookmarkStart w:id="22" w:name="_Toc14522"/>
      <w:bookmarkStart w:id="23" w:name="_Toc25436"/>
      <w:bookmarkStart w:id="24" w:name="_Toc10810"/>
      <w:r>
        <w:rPr>
          <w:rFonts w:hint="eastAsia" w:ascii="宋体" w:hAnsi="宋体" w:cs="宋体"/>
          <w:b/>
          <w:sz w:val="32"/>
        </w:rPr>
        <w:br w:type="page"/>
      </w:r>
      <w:bookmarkStart w:id="25" w:name="_Toc20915"/>
      <w:bookmarkStart w:id="26" w:name="_Toc23107"/>
      <w:r>
        <w:rPr>
          <w:rFonts w:hint="eastAsia" w:ascii="宋体" w:hAnsi="宋体" w:cs="宋体"/>
          <w:b/>
          <w:snapToGrid w:val="0"/>
          <w:kern w:val="0"/>
          <w:sz w:val="24"/>
        </w:rPr>
        <w:t>一、总 则</w:t>
      </w:r>
      <w:bookmarkEnd w:id="6"/>
      <w:bookmarkEnd w:id="20"/>
      <w:bookmarkEnd w:id="21"/>
      <w:bookmarkEnd w:id="22"/>
      <w:bookmarkEnd w:id="23"/>
      <w:bookmarkEnd w:id="24"/>
      <w:bookmarkEnd w:id="25"/>
      <w:bookmarkEnd w:id="26"/>
      <w:bookmarkStart w:id="27" w:name="_Hlt74730295"/>
      <w:bookmarkEnd w:id="27"/>
      <w:bookmarkStart w:id="28" w:name="_Hlt74714665"/>
      <w:bookmarkEnd w:id="28"/>
      <w:bookmarkStart w:id="29" w:name="_Hlt74730112"/>
      <w:bookmarkStart w:id="30" w:name="_Toc91899872"/>
      <w:bookmarkStart w:id="31" w:name="_Hlt74730208"/>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本次招标工作根据根据《关于防止领导干部在公款存放方面发生利益冲突和利益输送的办法》《杭州市市级行政事业单位公款竞争性存放管理办法》（杭财预执〔2022〕5号）及其相关规定组织和实施。</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1．适用范围</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1.1本招标文件仅适用于本次招标项目。</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1.2本项目招标方式为公开招标。</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2．定义</w:t>
      </w:r>
    </w:p>
    <w:p>
      <w:pPr>
        <w:adjustRightInd w:val="0"/>
        <w:spacing w:line="360" w:lineRule="auto"/>
        <w:ind w:firstLine="480" w:firstLineChars="200"/>
        <w:rPr>
          <w:rFonts w:ascii="宋体" w:hAnsi="宋体" w:cs="宋体"/>
          <w:w w:val="80"/>
          <w:sz w:val="28"/>
          <w:szCs w:val="28"/>
          <w:lang w:bidi="th-TH"/>
        </w:rPr>
      </w:pPr>
      <w:r>
        <w:rPr>
          <w:rFonts w:hint="eastAsia" w:ascii="宋体" w:hAnsi="宋体" w:cs="宋体"/>
          <w:snapToGrid w:val="0"/>
          <w:kern w:val="0"/>
          <w:sz w:val="24"/>
        </w:rPr>
        <w:t>2.1“招标人”系指</w:t>
      </w:r>
      <w:r>
        <w:rPr>
          <w:rFonts w:hint="eastAsia" w:ascii="宋体" w:hAnsi="宋体" w:cs="宋体"/>
          <w:b/>
          <w:bCs/>
          <w:snapToGrid w:val="0"/>
          <w:kern w:val="0"/>
          <w:sz w:val="24"/>
          <w:lang w:eastAsia="zh-CN"/>
        </w:rPr>
        <w:t>杭州市红十字会医院</w:t>
      </w:r>
      <w:r>
        <w:rPr>
          <w:rFonts w:hint="eastAsia" w:ascii="宋体" w:hAnsi="宋体" w:cs="宋体"/>
          <w:snapToGrid w:val="0"/>
          <w:kern w:val="0"/>
          <w:sz w:val="24"/>
        </w:rPr>
        <w:t>。</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2.2“招标代理机构”系指</w:t>
      </w:r>
      <w:r>
        <w:rPr>
          <w:rFonts w:hint="eastAsia" w:ascii="宋体" w:hAnsi="宋体" w:cs="宋体"/>
          <w:b/>
          <w:bCs/>
          <w:snapToGrid w:val="0"/>
          <w:kern w:val="0"/>
          <w:sz w:val="24"/>
        </w:rPr>
        <w:t>浙江豪圣建设项目管理有限公司</w:t>
      </w:r>
      <w:r>
        <w:rPr>
          <w:rFonts w:hint="eastAsia" w:ascii="宋体" w:hAnsi="宋体" w:cs="宋体"/>
          <w:snapToGrid w:val="0"/>
          <w:kern w:val="0"/>
          <w:sz w:val="24"/>
        </w:rPr>
        <w:t>。</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2.3“投标人”系指响应本次招标的投标银行。</w:t>
      </w:r>
    </w:p>
    <w:p>
      <w:pPr>
        <w:pStyle w:val="23"/>
        <w:spacing w:line="360" w:lineRule="auto"/>
        <w:ind w:firstLine="480" w:firstLineChars="200"/>
        <w:rPr>
          <w:rFonts w:ascii="Times New Roman" w:hAnsi="Times New Roman"/>
          <w:sz w:val="24"/>
          <w:szCs w:val="24"/>
        </w:rPr>
      </w:pPr>
      <w:r>
        <w:rPr>
          <w:rFonts w:hint="eastAsia" w:hAnsi="宋体" w:cs="宋体"/>
          <w:snapToGrid w:val="0"/>
          <w:kern w:val="0"/>
          <w:sz w:val="24"/>
        </w:rPr>
        <w:t>2.4</w:t>
      </w:r>
      <w:r>
        <w:rPr>
          <w:rFonts w:hint="eastAsia" w:ascii="Times New Roman" w:hAnsi="Times New Roman"/>
          <w:sz w:val="24"/>
          <w:szCs w:val="24"/>
        </w:rPr>
        <w:t>“服务”系指根据招标文件要求中标人必须承担的各类服务，指本项目规定的投标人须承担的专用账户开立、资金存放和结算、保密及解锁、对帐服务、分账核算、各类查询、原路退款、电话咨询、网上银行服务等，及其他财政、监管部门要求提供的各项服务义务。</w:t>
      </w:r>
    </w:p>
    <w:p>
      <w:pPr>
        <w:spacing w:line="360" w:lineRule="auto"/>
        <w:ind w:firstLine="435"/>
        <w:rPr>
          <w:sz w:val="24"/>
        </w:rPr>
      </w:pPr>
      <w:r>
        <w:rPr>
          <w:rFonts w:hint="eastAsia"/>
          <w:sz w:val="24"/>
        </w:rPr>
        <w:t>“收费”系指在招标人通过本项目在银行办理业务、接受服务时银行收取的全部收费项目报价。</w:t>
      </w:r>
    </w:p>
    <w:p>
      <w:pPr>
        <w:spacing w:line="360" w:lineRule="auto"/>
        <w:ind w:firstLine="435"/>
        <w:rPr>
          <w:sz w:val="24"/>
        </w:rPr>
      </w:pPr>
      <w:r>
        <w:rPr>
          <w:rFonts w:hint="eastAsia"/>
          <w:sz w:val="24"/>
        </w:rPr>
        <w:t>2.5 除本招标文件已有特别说明之外，“天”、“日”均指日历日，“月”指日历月。</w:t>
      </w:r>
    </w:p>
    <w:p>
      <w:pPr>
        <w:spacing w:line="360" w:lineRule="auto"/>
        <w:ind w:firstLine="435"/>
        <w:rPr>
          <w:sz w:val="24"/>
        </w:rPr>
      </w:pPr>
      <w:r>
        <w:rPr>
          <w:rFonts w:hint="eastAsia"/>
          <w:sz w:val="24"/>
        </w:rPr>
        <w:t>“书面形式”系指送达的、文字记载形式的意思表示（如邮件、电子邮件、传真等）。</w:t>
      </w:r>
    </w:p>
    <w:p>
      <w:pPr>
        <w:spacing w:line="360" w:lineRule="auto"/>
        <w:ind w:firstLine="435"/>
        <w:rPr>
          <w:b/>
          <w:sz w:val="24"/>
          <w:u w:val="single"/>
        </w:rPr>
      </w:pPr>
      <w:r>
        <w:rPr>
          <w:rFonts w:hint="eastAsia"/>
          <w:sz w:val="24"/>
        </w:rPr>
        <w:t>2.6</w:t>
      </w:r>
      <w:r>
        <w:rPr>
          <w:rFonts w:hint="eastAsia"/>
          <w:b/>
          <w:sz w:val="24"/>
          <w:u w:val="single"/>
        </w:rPr>
        <w:t>本招标文件内，凡标注“▲”号的条款或指标（如有）为关键条款或指标，投标人必须给予高度重视，并给出明确和详尽的响应。否则，有可能导致其投标被否决。</w:t>
      </w:r>
    </w:p>
    <w:p>
      <w:pPr>
        <w:spacing w:line="360" w:lineRule="auto"/>
        <w:ind w:firstLine="435"/>
        <w:rPr>
          <w:sz w:val="24"/>
        </w:rPr>
      </w:pPr>
      <w:r>
        <w:rPr>
          <w:rFonts w:hint="eastAsia"/>
          <w:sz w:val="24"/>
        </w:rPr>
        <w:t xml:space="preserve">2.7 </w:t>
      </w:r>
      <w:r>
        <w:rPr>
          <w:sz w:val="24"/>
        </w:rPr>
        <w:t>投标人</w:t>
      </w:r>
      <w:r>
        <w:rPr>
          <w:rFonts w:hint="eastAsia"/>
          <w:sz w:val="24"/>
        </w:rPr>
        <w:t>获取</w:t>
      </w:r>
      <w:r>
        <w:rPr>
          <w:sz w:val="24"/>
        </w:rPr>
        <w:t>招标文件后，必须按照国家保密法以及保密工作的相关规定，对招标文件内容应承担保密义务，维护招标人的权益，</w:t>
      </w:r>
      <w:r>
        <w:rPr>
          <w:rFonts w:hint="eastAsia"/>
          <w:sz w:val="24"/>
        </w:rPr>
        <w:t>若</w:t>
      </w:r>
      <w:r>
        <w:rPr>
          <w:sz w:val="24"/>
        </w:rPr>
        <w:t>发生窃</w:t>
      </w:r>
      <w:r>
        <w:rPr>
          <w:rFonts w:hint="eastAsia"/>
          <w:sz w:val="24"/>
        </w:rPr>
        <w:t>密</w:t>
      </w:r>
      <w:r>
        <w:rPr>
          <w:sz w:val="24"/>
        </w:rPr>
        <w:t>、泄密事件</w:t>
      </w:r>
      <w:r>
        <w:rPr>
          <w:rFonts w:hint="eastAsia"/>
          <w:sz w:val="24"/>
        </w:rPr>
        <w:t>给招标人造成不便和任何损失的，则</w:t>
      </w:r>
      <w:r>
        <w:rPr>
          <w:sz w:val="24"/>
        </w:rPr>
        <w:t>投标人应承担相应的法律责任。</w:t>
      </w:r>
    </w:p>
    <w:p>
      <w:pPr>
        <w:adjustRightInd w:val="0"/>
        <w:spacing w:line="360" w:lineRule="auto"/>
        <w:ind w:firstLine="480" w:firstLineChars="200"/>
        <w:rPr>
          <w:rFonts w:ascii="宋体" w:hAnsi="宋体" w:cs="宋体"/>
          <w:snapToGrid w:val="0"/>
          <w:kern w:val="0"/>
          <w:sz w:val="24"/>
        </w:rPr>
      </w:pPr>
      <w:r>
        <w:rPr>
          <w:rFonts w:hint="eastAsia"/>
          <w:sz w:val="24"/>
        </w:rPr>
        <w:t>2.8</w:t>
      </w:r>
      <w:r>
        <w:rPr>
          <w:sz w:val="24"/>
        </w:rPr>
        <w:t>投标人须对</w:t>
      </w:r>
      <w:r>
        <w:rPr>
          <w:rFonts w:hint="eastAsia"/>
          <w:sz w:val="24"/>
        </w:rPr>
        <w:t>其</w:t>
      </w:r>
      <w:r>
        <w:rPr>
          <w:sz w:val="24"/>
        </w:rPr>
        <w:t>所投方案、技术和服务等拥有合法的占有和处置权，并对</w:t>
      </w:r>
      <w:r>
        <w:rPr>
          <w:rFonts w:hint="eastAsia"/>
          <w:sz w:val="24"/>
        </w:rPr>
        <w:t>因其投标内容</w:t>
      </w:r>
      <w:r>
        <w:rPr>
          <w:sz w:val="24"/>
        </w:rPr>
        <w:t>可能</w:t>
      </w:r>
      <w:r>
        <w:rPr>
          <w:rFonts w:hint="eastAsia"/>
          <w:sz w:val="24"/>
        </w:rPr>
        <w:t>引发的</w:t>
      </w:r>
      <w:r>
        <w:rPr>
          <w:sz w:val="24"/>
        </w:rPr>
        <w:t>侵权行为指控负责，保证不伤害</w:t>
      </w:r>
      <w:r>
        <w:rPr>
          <w:rFonts w:hint="eastAsia"/>
          <w:sz w:val="24"/>
        </w:rPr>
        <w:t>招标</w:t>
      </w:r>
      <w:r>
        <w:rPr>
          <w:sz w:val="24"/>
        </w:rPr>
        <w:t>人的利益。在法律范围内，如果出现文字、图片、商标和技术等侵权行为而造成的纠纷和产生的一切费用，</w:t>
      </w:r>
      <w:r>
        <w:rPr>
          <w:rFonts w:hint="eastAsia"/>
          <w:sz w:val="24"/>
        </w:rPr>
        <w:t>招标</w:t>
      </w:r>
      <w:r>
        <w:rPr>
          <w:sz w:val="24"/>
        </w:rPr>
        <w:t>人概不负责，由此给</w:t>
      </w:r>
      <w:r>
        <w:rPr>
          <w:rFonts w:hint="eastAsia"/>
          <w:sz w:val="24"/>
        </w:rPr>
        <w:t>招标</w:t>
      </w:r>
      <w:r>
        <w:rPr>
          <w:sz w:val="24"/>
        </w:rPr>
        <w:t>人造成损失的，</w:t>
      </w:r>
      <w:r>
        <w:rPr>
          <w:rFonts w:hint="eastAsia"/>
          <w:sz w:val="24"/>
        </w:rPr>
        <w:t>投标人</w:t>
      </w:r>
      <w:r>
        <w:rPr>
          <w:sz w:val="24"/>
        </w:rPr>
        <w:t>应承担相应后果，并负责赔偿。</w:t>
      </w:r>
      <w:r>
        <w:rPr>
          <w:rFonts w:hint="eastAsia"/>
          <w:sz w:val="24"/>
        </w:rPr>
        <w:t>投标人</w:t>
      </w:r>
      <w:r>
        <w:rPr>
          <w:sz w:val="24"/>
        </w:rPr>
        <w:t>为执行本项目合同而提供的技术资料归</w:t>
      </w:r>
      <w:r>
        <w:rPr>
          <w:rFonts w:hint="eastAsia"/>
          <w:sz w:val="24"/>
        </w:rPr>
        <w:t>招标</w:t>
      </w:r>
      <w:r>
        <w:rPr>
          <w:sz w:val="24"/>
        </w:rPr>
        <w:t>人所有</w:t>
      </w:r>
      <w:r>
        <w:rPr>
          <w:rFonts w:hint="eastAsia" w:ascii="宋体" w:hAnsi="宋体" w:cs="宋体"/>
          <w:snapToGrid w:val="0"/>
          <w:kern w:val="0"/>
          <w:sz w:val="24"/>
        </w:rPr>
        <w:t>。</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3．相关说明</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3.1投标费用</w:t>
      </w:r>
    </w:p>
    <w:p>
      <w:pPr>
        <w:widowControl/>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投标人应承担其参加投标所涉及的一切费用，不管投标结果如何，招标人对这些费用不负任何责任。</w:t>
      </w:r>
    </w:p>
    <w:p>
      <w:pPr>
        <w:widowControl/>
        <w:spacing w:line="360" w:lineRule="auto"/>
        <w:ind w:firstLine="480" w:firstLineChars="200"/>
        <w:jc w:val="left"/>
        <w:rPr>
          <w:b/>
          <w:sz w:val="24"/>
        </w:rPr>
      </w:pPr>
      <w:r>
        <w:rPr>
          <w:sz w:val="24"/>
        </w:rPr>
        <w:t>▲</w:t>
      </w:r>
      <w:bookmarkStart w:id="32" w:name="_Hlk154560250"/>
      <w:r>
        <w:rPr>
          <w:rFonts w:hint="eastAsia"/>
          <w:b/>
          <w:sz w:val="24"/>
        </w:rPr>
        <w:t>3</w:t>
      </w:r>
      <w:r>
        <w:rPr>
          <w:b/>
          <w:sz w:val="24"/>
        </w:rPr>
        <w:t>.</w:t>
      </w:r>
      <w:bookmarkEnd w:id="32"/>
      <w:r>
        <w:rPr>
          <w:rFonts w:hint="eastAsia"/>
          <w:b/>
          <w:sz w:val="24"/>
        </w:rPr>
        <w:t>2</w:t>
      </w:r>
      <w:r>
        <w:rPr>
          <w:b/>
          <w:sz w:val="24"/>
        </w:rPr>
        <w:t>参与投标的银行不得隶属于同一法人。</w:t>
      </w:r>
    </w:p>
    <w:p>
      <w:pPr>
        <w:widowControl/>
        <w:spacing w:line="360" w:lineRule="auto"/>
        <w:ind w:firstLine="480" w:firstLineChars="200"/>
        <w:jc w:val="left"/>
        <w:rPr>
          <w:b/>
          <w:kern w:val="0"/>
          <w:sz w:val="24"/>
        </w:rPr>
      </w:pPr>
      <w:r>
        <w:rPr>
          <w:sz w:val="24"/>
        </w:rPr>
        <w:t>▲</w:t>
      </w:r>
      <w:r>
        <w:rPr>
          <w:rFonts w:hint="eastAsia"/>
          <w:b/>
          <w:sz w:val="24"/>
        </w:rPr>
        <w:t>3</w:t>
      </w:r>
      <w:r>
        <w:rPr>
          <w:b/>
          <w:sz w:val="24"/>
        </w:rPr>
        <w:t>.</w:t>
      </w:r>
      <w:r>
        <w:rPr>
          <w:rFonts w:hint="eastAsia"/>
          <w:b/>
          <w:sz w:val="24"/>
        </w:rPr>
        <w:t>3</w:t>
      </w:r>
      <w:r>
        <w:rPr>
          <w:b/>
          <w:kern w:val="0"/>
          <w:sz w:val="24"/>
        </w:rPr>
        <w:t>投标银行需在投标文件中明确服务网点，指定的服务网点应与最终公款存放的网点一致。</w:t>
      </w:r>
    </w:p>
    <w:p>
      <w:pPr>
        <w:pStyle w:val="23"/>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w:t>
      </w: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4</w:t>
      </w:r>
      <w:r>
        <w:rPr>
          <w:rFonts w:ascii="Times New Roman" w:hAnsi="Times New Roman"/>
          <w:b/>
          <w:bCs/>
          <w:sz w:val="24"/>
          <w:szCs w:val="24"/>
        </w:rPr>
        <w:t>存款利率报价应在人民银行规定的基准存款利率基础上上浮，不得违反国家利率政策和浙江省市场利率定价自律机制约定，否则将视为无效标。低于基准存款利率或违反国家利率政策的报价将视为无效标。</w:t>
      </w:r>
    </w:p>
    <w:p>
      <w:pPr>
        <w:pStyle w:val="23"/>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w:t>
      </w: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5</w:t>
      </w:r>
      <w:r>
        <w:rPr>
          <w:rFonts w:ascii="Times New Roman" w:hAnsi="Times New Roman"/>
          <w:b/>
          <w:bCs/>
          <w:sz w:val="24"/>
          <w:szCs w:val="24"/>
        </w:rPr>
        <w:t>投标人投标所使用的资格、信誉、荣誉、业绩与企业认证必须为本投标人所拥有。</w:t>
      </w:r>
    </w:p>
    <w:p>
      <w:pPr>
        <w:pStyle w:val="23"/>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w:t>
      </w: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6</w:t>
      </w:r>
      <w:r>
        <w:rPr>
          <w:rFonts w:ascii="Times New Roman" w:hAnsi="Times New Roman"/>
          <w:b/>
          <w:bCs/>
          <w:sz w:val="24"/>
          <w:szCs w:val="24"/>
        </w:rPr>
        <w:t>投标人应仔细阅读招标文件的所有内容，按照招标文件的要求提交投标文件，并对所提供的全部资料的真实性承担法律责任。</w:t>
      </w:r>
    </w:p>
    <w:p>
      <w:pPr>
        <w:adjustRightInd w:val="0"/>
        <w:spacing w:line="360" w:lineRule="auto"/>
        <w:ind w:firstLine="482" w:firstLineChars="200"/>
        <w:rPr>
          <w:rFonts w:ascii="宋体" w:hAnsi="宋体" w:cs="宋体"/>
          <w:b/>
          <w:bCs/>
          <w:snapToGrid w:val="0"/>
          <w:kern w:val="0"/>
          <w:sz w:val="24"/>
        </w:rPr>
      </w:pPr>
      <w:r>
        <w:rPr>
          <w:b/>
          <w:bCs/>
          <w:sz w:val="24"/>
          <w:szCs w:val="24"/>
        </w:rPr>
        <w:t>▲</w:t>
      </w:r>
      <w:r>
        <w:rPr>
          <w:rFonts w:hint="eastAsia"/>
          <w:b/>
          <w:bCs/>
          <w:sz w:val="24"/>
          <w:szCs w:val="24"/>
        </w:rPr>
        <w:t>3</w:t>
      </w:r>
      <w:r>
        <w:rPr>
          <w:b/>
          <w:bCs/>
          <w:sz w:val="24"/>
          <w:szCs w:val="24"/>
        </w:rPr>
        <w:t>.</w:t>
      </w:r>
      <w:r>
        <w:rPr>
          <w:rFonts w:hint="eastAsia"/>
          <w:b/>
          <w:bCs/>
          <w:sz w:val="24"/>
          <w:szCs w:val="24"/>
        </w:rPr>
        <w:t>7</w:t>
      </w:r>
      <w:r>
        <w:rPr>
          <w:b/>
          <w:bCs/>
          <w:sz w:val="24"/>
          <w:szCs w:val="24"/>
        </w:rPr>
        <w:t>投标人在投标活动中提供任何虚假材料,其投标均无效，并报监管部门查处；中标后发现的</w:t>
      </w:r>
      <w:r>
        <w:rPr>
          <w:rFonts w:hint="eastAsia"/>
          <w:b/>
          <w:bCs/>
          <w:sz w:val="24"/>
          <w:szCs w:val="24"/>
        </w:rPr>
        <w:t>，</w:t>
      </w:r>
      <w:r>
        <w:rPr>
          <w:b/>
          <w:bCs/>
          <w:sz w:val="24"/>
          <w:szCs w:val="24"/>
        </w:rPr>
        <w:t>中标人须依照《中华人民共和国消费者权益保护法》第49条之规定双倍赔偿招标人，且民事赔偿并不免除违法投标人的行政与刑事责任</w:t>
      </w:r>
      <w:r>
        <w:rPr>
          <w:rFonts w:hint="eastAsia"/>
          <w:b/>
          <w:bCs/>
          <w:sz w:val="24"/>
          <w:szCs w:val="24"/>
        </w:rPr>
        <w:t>。</w:t>
      </w:r>
    </w:p>
    <w:bookmarkEnd w:id="29"/>
    <w:bookmarkEnd w:id="30"/>
    <w:bookmarkEnd w:id="31"/>
    <w:p>
      <w:pPr>
        <w:spacing w:line="360" w:lineRule="auto"/>
        <w:rPr>
          <w:b/>
          <w:bCs/>
          <w:sz w:val="24"/>
        </w:rPr>
      </w:pPr>
      <w:r>
        <w:rPr>
          <w:rFonts w:hint="eastAsia"/>
          <w:b/>
          <w:bCs/>
          <w:sz w:val="24"/>
        </w:rPr>
        <w:t>4．质疑和投诉</w:t>
      </w:r>
    </w:p>
    <w:p>
      <w:pPr>
        <w:spacing w:line="360" w:lineRule="auto"/>
        <w:ind w:firstLine="480" w:firstLineChars="200"/>
        <w:rPr>
          <w:sz w:val="24"/>
        </w:rPr>
      </w:pPr>
      <w:r>
        <w:rPr>
          <w:rFonts w:hint="eastAsia"/>
          <w:sz w:val="24"/>
        </w:rPr>
        <w:t>4.1投标人认为招标文件使自己的权益受到损害的，可以在知道或者应知其权益受到损害之日起七个工作日内，以书面形式向招标人提出质疑。对招标文件提出质疑的，质疑期限自投标人获得招标文件之日起计算（但招标文件在发售或报名截止日后获得的，应当自截止之日起计算），逾期提出的，采购组织机构将不予受理、答复。</w:t>
      </w:r>
    </w:p>
    <w:p>
      <w:pPr>
        <w:pStyle w:val="43"/>
        <w:ind w:firstLine="480"/>
      </w:pPr>
      <w:r>
        <w:rPr>
          <w:rFonts w:hint="eastAsia"/>
        </w:rPr>
        <w:t>4.2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43"/>
        <w:ind w:firstLine="480"/>
      </w:pPr>
    </w:p>
    <w:p>
      <w:pPr>
        <w:spacing w:line="360" w:lineRule="auto"/>
        <w:jc w:val="center"/>
        <w:outlineLvl w:val="1"/>
        <w:rPr>
          <w:rFonts w:ascii="宋体" w:hAnsi="宋体" w:cs="宋体"/>
          <w:b/>
          <w:sz w:val="32"/>
        </w:rPr>
      </w:pPr>
      <w:bookmarkStart w:id="33" w:name="_Hlt75236290"/>
      <w:bookmarkEnd w:id="33"/>
      <w:bookmarkStart w:id="34" w:name="_Hlt68057669"/>
      <w:bookmarkEnd w:id="34"/>
      <w:bookmarkStart w:id="35" w:name="_Hlt74707468"/>
      <w:bookmarkEnd w:id="35"/>
      <w:bookmarkStart w:id="36" w:name="_Hlt68072990"/>
      <w:bookmarkEnd w:id="36"/>
      <w:bookmarkStart w:id="37" w:name="_Hlt74729768"/>
      <w:bookmarkEnd w:id="37"/>
      <w:bookmarkStart w:id="38" w:name="_Toc16128"/>
      <w:bookmarkStart w:id="39" w:name="_Toc23122"/>
      <w:bookmarkStart w:id="40" w:name="_Toc4121"/>
      <w:bookmarkStart w:id="41" w:name="_Toc25454"/>
      <w:bookmarkStart w:id="42" w:name="_Toc11540"/>
      <w:bookmarkStart w:id="43" w:name="_Toc15202"/>
      <w:bookmarkStart w:id="44" w:name="_Toc6496"/>
      <w:r>
        <w:rPr>
          <w:rFonts w:hint="eastAsia" w:ascii="宋体" w:hAnsi="宋体" w:cs="宋体"/>
          <w:b/>
          <w:sz w:val="32"/>
        </w:rPr>
        <w:t>二、招标文件</w:t>
      </w:r>
      <w:bookmarkEnd w:id="38"/>
      <w:bookmarkEnd w:id="39"/>
      <w:bookmarkEnd w:id="40"/>
      <w:bookmarkEnd w:id="41"/>
      <w:bookmarkEnd w:id="42"/>
      <w:bookmarkEnd w:id="43"/>
      <w:bookmarkEnd w:id="44"/>
    </w:p>
    <w:p>
      <w:pPr>
        <w:adjustRightInd w:val="0"/>
        <w:spacing w:line="360" w:lineRule="auto"/>
        <w:outlineLvl w:val="2"/>
        <w:rPr>
          <w:rFonts w:ascii="宋体" w:hAnsi="宋体" w:cs="宋体"/>
          <w:b/>
          <w:snapToGrid w:val="0"/>
          <w:kern w:val="0"/>
          <w:sz w:val="24"/>
        </w:rPr>
      </w:pPr>
      <w:bookmarkStart w:id="45" w:name="_Toc91899880"/>
      <w:bookmarkStart w:id="46" w:name="_Hlt74730307"/>
      <w:r>
        <w:rPr>
          <w:rFonts w:hint="eastAsia" w:ascii="宋体" w:hAnsi="宋体" w:cs="宋体"/>
          <w:b/>
          <w:snapToGrid w:val="0"/>
          <w:kern w:val="0"/>
          <w:sz w:val="24"/>
        </w:rPr>
        <w:t>5．招标文件构成</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5.1本招标文件包括目录所示内容及所有按本须知发出的补充资料。</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5.2除上述所列内容外，招标人和招标代理机构的任何工作人员对投标人所作的任何口头解释、介绍、答复，只能供投标人参考，对招标人、招标代理机构和投标人无任何约束力。</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5.3招标文件是招标过程进行的有效依据，也是中标后签订协议的依据，对双方均具有约束力，凡不遵守招标文件规定或对招标文件的实质性内容不响应的，将可能被拒绝或以无效标处理。</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5.4本招标文件由招标人或招标代理机构依据相关法律、法规、规章、省市规定及招标文件进行解释。</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6．招标文件的修改和澄清</w:t>
      </w:r>
    </w:p>
    <w:bookmarkEnd w:id="45"/>
    <w:bookmarkEnd w:id="46"/>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6.1 招标人或者代理机构可以对已发出的招标文件进行必要的澄清或者修改。澄清或者修改应当在原公告发布媒体上发布澄清公告。澄清或者修改的内容为招标文件的组成部分。</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6.2 澄清或者修改的内容可能影响投标文件编制的，招标人或者代理机构应当在投标截止时间至少15日前，以书面形式通知（</w:t>
      </w:r>
      <w:r>
        <w:rPr>
          <w:rFonts w:hint="eastAsia" w:ascii="宋体" w:hAnsi="宋体" w:cs="宋体"/>
          <w:b/>
          <w:bCs/>
          <w:snapToGrid w:val="0"/>
          <w:kern w:val="0"/>
          <w:sz w:val="24"/>
        </w:rPr>
        <w:t>政采云公告</w:t>
      </w:r>
      <w:r>
        <w:rPr>
          <w:rFonts w:hint="eastAsia" w:ascii="宋体" w:hAnsi="宋体" w:cs="宋体"/>
          <w:snapToGrid w:val="0"/>
          <w:kern w:val="0"/>
          <w:sz w:val="24"/>
        </w:rPr>
        <w:t>）所有获取招标文件的潜在投标人；不足15日的，招标人或者代理机构应当顺延提交投标文件的截止时间。</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6.3 招标文件与招标文件的澄清、修改、补充通知就同一内容的表述不一致时，以最后发出的为准。</w:t>
      </w:r>
    </w:p>
    <w:p>
      <w:pPr>
        <w:pStyle w:val="43"/>
        <w:ind w:firstLine="480"/>
      </w:pPr>
    </w:p>
    <w:p>
      <w:pPr>
        <w:pStyle w:val="43"/>
        <w:ind w:firstLine="480"/>
      </w:pPr>
    </w:p>
    <w:p>
      <w:pPr>
        <w:spacing w:line="360" w:lineRule="auto"/>
        <w:rPr>
          <w:rFonts w:ascii="宋体" w:hAnsi="宋体" w:cs="宋体"/>
          <w:sz w:val="24"/>
          <w:lang w:val="zh-CN"/>
        </w:rPr>
      </w:pPr>
    </w:p>
    <w:p>
      <w:pPr>
        <w:rPr>
          <w:rFonts w:hint="eastAsia" w:ascii="宋体" w:hAnsi="宋体" w:cs="宋体"/>
          <w:b/>
          <w:sz w:val="32"/>
        </w:rPr>
      </w:pPr>
      <w:bookmarkStart w:id="47" w:name="_Hlt75236011"/>
      <w:bookmarkEnd w:id="47"/>
      <w:bookmarkStart w:id="48" w:name="_Toc15460"/>
      <w:bookmarkStart w:id="49" w:name="_Toc32577"/>
      <w:bookmarkStart w:id="50" w:name="_Toc15867"/>
      <w:bookmarkStart w:id="51" w:name="_Toc91899884"/>
      <w:bookmarkStart w:id="52" w:name="_Toc25901"/>
      <w:bookmarkStart w:id="53" w:name="_Toc9735"/>
      <w:bookmarkStart w:id="54" w:name="_Toc7704"/>
      <w:bookmarkStart w:id="55" w:name="_Toc20163"/>
      <w:r>
        <w:rPr>
          <w:rFonts w:hint="eastAsia" w:ascii="宋体" w:hAnsi="宋体" w:cs="宋体"/>
          <w:b/>
          <w:sz w:val="32"/>
        </w:rPr>
        <w:br w:type="page"/>
      </w:r>
    </w:p>
    <w:p>
      <w:pPr>
        <w:spacing w:line="360" w:lineRule="auto"/>
        <w:jc w:val="center"/>
        <w:outlineLvl w:val="1"/>
        <w:rPr>
          <w:rFonts w:ascii="宋体" w:hAnsi="宋体" w:cs="宋体"/>
          <w:b/>
          <w:sz w:val="32"/>
        </w:rPr>
      </w:pPr>
      <w:r>
        <w:rPr>
          <w:rFonts w:hint="eastAsia" w:ascii="宋体" w:hAnsi="宋体" w:cs="宋体"/>
          <w:b/>
          <w:sz w:val="32"/>
        </w:rPr>
        <w:t>三、投标文件的编制</w:t>
      </w:r>
      <w:bookmarkEnd w:id="48"/>
      <w:bookmarkEnd w:id="49"/>
      <w:bookmarkEnd w:id="50"/>
      <w:bookmarkEnd w:id="51"/>
      <w:bookmarkEnd w:id="52"/>
      <w:bookmarkEnd w:id="53"/>
      <w:bookmarkEnd w:id="54"/>
      <w:bookmarkEnd w:id="55"/>
    </w:p>
    <w:p>
      <w:pPr>
        <w:adjustRightInd w:val="0"/>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投标人应认真阅读招标文件中所有的事项、格式、条款和用户需求等。如果投标人没有按照招标文件要求和规定编制投标文件及提交全部资料，或者投标没有对招标文件中各方面作出实质性响应，其风险应由投标人承担。</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7．投标文件的语言及计量单位</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7.1投标文件及投标人与招标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7.2除招标文件另有规定外，投标文件所使用的计量单位，均须采用中华人民共和国法定计量单位，否则视同未响应。</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8．投标文件构成</w:t>
      </w:r>
    </w:p>
    <w:p>
      <w:pPr>
        <w:spacing w:line="360" w:lineRule="auto"/>
        <w:ind w:firstLine="480" w:firstLineChars="200"/>
        <w:rPr>
          <w:rFonts w:ascii="宋体" w:hAnsi="宋体"/>
          <w:b/>
          <w:sz w:val="24"/>
        </w:rPr>
      </w:pPr>
      <w:r>
        <w:rPr>
          <w:rFonts w:hint="eastAsia"/>
          <w:sz w:val="24"/>
        </w:rPr>
        <w:t>投标文件应包括对招标要求的全部响应等内容，</w:t>
      </w:r>
      <w:r>
        <w:rPr>
          <w:rFonts w:hint="eastAsia" w:ascii="宋体" w:hAnsi="宋体"/>
          <w:sz w:val="24"/>
        </w:rPr>
        <w:t>并按照政采云系统模块一一上传、填写。</w:t>
      </w:r>
    </w:p>
    <w:p>
      <w:pPr>
        <w:spacing w:line="360" w:lineRule="auto"/>
        <w:ind w:firstLine="482" w:firstLineChars="200"/>
        <w:rPr>
          <w:b/>
          <w:sz w:val="24"/>
        </w:rPr>
      </w:pPr>
      <w:r>
        <w:rPr>
          <w:rFonts w:hint="eastAsia"/>
          <w:b/>
          <w:sz w:val="24"/>
        </w:rPr>
        <w:t xml:space="preserve">投标文件包括但不限于以下内容： </w:t>
      </w:r>
    </w:p>
    <w:p>
      <w:pPr>
        <w:adjustRightInd w:val="0"/>
        <w:snapToGrid w:val="0"/>
        <w:spacing w:line="360" w:lineRule="auto"/>
        <w:ind w:firstLine="480" w:firstLineChars="200"/>
        <w:rPr>
          <w:sz w:val="24"/>
        </w:rPr>
      </w:pPr>
      <w:r>
        <w:rPr>
          <w:rFonts w:hint="eastAsia"/>
          <w:sz w:val="24"/>
        </w:rPr>
        <w:t>（1）</w:t>
      </w:r>
      <w:r>
        <w:rPr>
          <w:rFonts w:hint="eastAsia"/>
          <w:kern w:val="0"/>
          <w:sz w:val="24"/>
        </w:rPr>
        <w:t>投标函</w:t>
      </w:r>
      <w:r>
        <w:rPr>
          <w:rFonts w:hint="eastAsia"/>
          <w:sz w:val="24"/>
        </w:rPr>
        <w:t>；</w:t>
      </w:r>
    </w:p>
    <w:p>
      <w:pPr>
        <w:adjustRightInd w:val="0"/>
        <w:snapToGrid w:val="0"/>
        <w:spacing w:line="360" w:lineRule="auto"/>
        <w:ind w:firstLine="480" w:firstLineChars="200"/>
        <w:rPr>
          <w:sz w:val="24"/>
        </w:rPr>
      </w:pPr>
      <w:r>
        <w:rPr>
          <w:rFonts w:hint="eastAsia"/>
          <w:sz w:val="24"/>
        </w:rPr>
        <w:t>（2）开标一览表；</w:t>
      </w:r>
    </w:p>
    <w:p>
      <w:pPr>
        <w:pStyle w:val="23"/>
        <w:adjustRightInd w:val="0"/>
        <w:snapToGrid w:val="0"/>
        <w:spacing w:line="360" w:lineRule="auto"/>
        <w:ind w:firstLine="480" w:firstLineChars="200"/>
        <w:rPr>
          <w:rFonts w:ascii="Times New Roman" w:hAnsi="Times New Roman"/>
          <w:kern w:val="0"/>
          <w:sz w:val="24"/>
          <w:szCs w:val="24"/>
          <w:lang w:val="zh-CN"/>
        </w:rPr>
      </w:pPr>
      <w:bookmarkStart w:id="56" w:name="_Toc500208478"/>
      <w:r>
        <w:rPr>
          <w:rFonts w:hint="eastAsia" w:ascii="Times New Roman" w:hAnsi="Times New Roman"/>
          <w:kern w:val="0"/>
          <w:sz w:val="24"/>
          <w:szCs w:val="24"/>
          <w:lang w:val="zh-CN"/>
        </w:rPr>
        <w:t>（3）授权委托文件；</w:t>
      </w:r>
    </w:p>
    <w:p>
      <w:pPr>
        <w:spacing w:line="360" w:lineRule="auto"/>
        <w:ind w:firstLine="480" w:firstLineChars="200"/>
        <w:rPr>
          <w:b/>
          <w:sz w:val="24"/>
          <w:u w:val="single"/>
        </w:rPr>
      </w:pPr>
      <w:r>
        <w:rPr>
          <w:rFonts w:hint="eastAsia"/>
          <w:bCs/>
          <w:sz w:val="24"/>
        </w:rPr>
        <w:t>（4）声明书；</w:t>
      </w:r>
    </w:p>
    <w:p>
      <w:pPr>
        <w:pStyle w:val="23"/>
        <w:adjustRightInd w:val="0"/>
        <w:snapToGrid w:val="0"/>
        <w:spacing w:line="360" w:lineRule="auto"/>
        <w:ind w:firstLine="480" w:firstLineChars="200"/>
        <w:rPr>
          <w:rFonts w:ascii="Times New Roman" w:hAnsi="Times New Roman"/>
          <w:kern w:val="0"/>
          <w:sz w:val="24"/>
          <w:szCs w:val="24"/>
          <w:lang w:val="zh-CN"/>
        </w:rPr>
      </w:pPr>
      <w:r>
        <w:rPr>
          <w:rFonts w:hint="eastAsia" w:ascii="Times New Roman" w:hAnsi="Times New Roman"/>
          <w:kern w:val="0"/>
          <w:sz w:val="24"/>
          <w:szCs w:val="24"/>
          <w:lang w:val="zh-CN"/>
        </w:rPr>
        <w:t>（5）廉政承诺书；</w:t>
      </w:r>
    </w:p>
    <w:p>
      <w:pPr>
        <w:spacing w:line="360" w:lineRule="auto"/>
        <w:ind w:firstLine="528" w:firstLineChars="220"/>
        <w:rPr>
          <w:bCs/>
          <w:sz w:val="24"/>
        </w:rPr>
      </w:pPr>
      <w:r>
        <w:rPr>
          <w:rFonts w:hint="eastAsia"/>
          <w:bCs/>
          <w:sz w:val="24"/>
        </w:rPr>
        <w:t>（6）资格证明文件；</w:t>
      </w:r>
    </w:p>
    <w:p>
      <w:pPr>
        <w:spacing w:line="360" w:lineRule="auto"/>
        <w:ind w:firstLine="528" w:firstLineChars="220"/>
        <w:rPr>
          <w:bCs/>
          <w:sz w:val="24"/>
        </w:rPr>
      </w:pPr>
      <w:r>
        <w:rPr>
          <w:rFonts w:hint="eastAsia"/>
          <w:bCs/>
          <w:sz w:val="24"/>
        </w:rPr>
        <w:t>（7）其他与评审评分有关的资料或投标人认为可提供的资料：</w:t>
      </w:r>
    </w:p>
    <w:bookmarkEnd w:id="56"/>
    <w:p>
      <w:pPr>
        <w:widowControl/>
        <w:spacing w:line="360" w:lineRule="auto"/>
        <w:ind w:left="54" w:right="54" w:firstLine="540"/>
        <w:jc w:val="left"/>
        <w:rPr>
          <w:bCs/>
          <w:sz w:val="24"/>
        </w:rPr>
      </w:pPr>
      <w:r>
        <w:rPr>
          <w:rFonts w:hint="eastAsia"/>
          <w:bCs/>
          <w:sz w:val="24"/>
        </w:rPr>
        <w:t>包括但不限于以下几大部分，投标人应对照评分细则，对各部分进行详细阐述，可以是文字、图表、相关文件和证书等：</w:t>
      </w:r>
    </w:p>
    <w:p>
      <w:pPr>
        <w:spacing w:line="360" w:lineRule="auto"/>
        <w:ind w:firstLine="480" w:firstLineChars="200"/>
        <w:rPr>
          <w:bCs/>
          <w:sz w:val="24"/>
        </w:rPr>
      </w:pPr>
      <w:r>
        <w:rPr>
          <w:rFonts w:hint="eastAsia"/>
          <w:bCs/>
          <w:sz w:val="24"/>
        </w:rPr>
        <w:t>1） 银行自收的各项服务费用全免承诺；</w:t>
      </w:r>
    </w:p>
    <w:p>
      <w:pPr>
        <w:spacing w:line="360" w:lineRule="auto"/>
        <w:ind w:firstLine="480" w:firstLineChars="200"/>
        <w:rPr>
          <w:bCs/>
          <w:sz w:val="24"/>
        </w:rPr>
      </w:pPr>
      <w:r>
        <w:rPr>
          <w:rFonts w:hint="eastAsia"/>
          <w:bCs/>
          <w:sz w:val="24"/>
        </w:rPr>
        <w:t>2） 储户风险保障方案；</w:t>
      </w:r>
    </w:p>
    <w:p>
      <w:pPr>
        <w:spacing w:line="360" w:lineRule="auto"/>
        <w:ind w:firstLine="480" w:firstLineChars="200"/>
        <w:rPr>
          <w:bCs/>
          <w:sz w:val="24"/>
        </w:rPr>
      </w:pPr>
      <w:r>
        <w:rPr>
          <w:rFonts w:hint="eastAsia"/>
          <w:bCs/>
          <w:sz w:val="24"/>
        </w:rPr>
        <w:t>3） 202</w:t>
      </w:r>
      <w:r>
        <w:rPr>
          <w:rFonts w:hint="eastAsia"/>
          <w:bCs/>
          <w:sz w:val="24"/>
          <w:lang w:val="en-US" w:eastAsia="zh-CN"/>
        </w:rPr>
        <w:t>2</w:t>
      </w:r>
      <w:r>
        <w:rPr>
          <w:rFonts w:hint="eastAsia"/>
          <w:bCs/>
          <w:sz w:val="24"/>
        </w:rPr>
        <w:t>-2023年人民银行对投标银行支付结算业务管理综合评级等次评定结果；</w:t>
      </w:r>
    </w:p>
    <w:p>
      <w:pPr>
        <w:spacing w:line="360" w:lineRule="auto"/>
        <w:ind w:firstLine="480" w:firstLineChars="200"/>
        <w:rPr>
          <w:bCs/>
          <w:sz w:val="24"/>
        </w:rPr>
      </w:pPr>
      <w:r>
        <w:rPr>
          <w:rFonts w:hint="eastAsia"/>
          <w:bCs/>
          <w:sz w:val="24"/>
        </w:rPr>
        <w:t>4） 投标银行针对本项目的服务方案；</w:t>
      </w:r>
    </w:p>
    <w:p>
      <w:pPr>
        <w:spacing w:line="360" w:lineRule="auto"/>
        <w:ind w:firstLine="480" w:firstLineChars="200"/>
        <w:rPr>
          <w:bCs/>
          <w:sz w:val="24"/>
        </w:rPr>
      </w:pPr>
      <w:r>
        <w:rPr>
          <w:rFonts w:hint="eastAsia"/>
          <w:bCs/>
          <w:sz w:val="24"/>
        </w:rPr>
        <w:t>5） 投标银行针对本项目，能够为采购单位提供日常具体上门服务方案、定期对账服务方案、地理位置的便捷性、办理柜面业务提供专人专柜服务及其他实质性优惠承诺等情况；</w:t>
      </w:r>
    </w:p>
    <w:p>
      <w:pPr>
        <w:spacing w:line="360" w:lineRule="auto"/>
        <w:ind w:firstLine="480" w:firstLineChars="200"/>
        <w:rPr>
          <w:bCs/>
          <w:sz w:val="24"/>
        </w:rPr>
      </w:pPr>
      <w:r>
        <w:rPr>
          <w:rFonts w:hint="eastAsia"/>
          <w:bCs/>
          <w:sz w:val="24"/>
        </w:rPr>
        <w:t>6） 除日常服务以外与医院业务相关的特色服务内容及优惠条件；</w:t>
      </w:r>
    </w:p>
    <w:p>
      <w:pPr>
        <w:spacing w:line="360" w:lineRule="auto"/>
        <w:ind w:firstLine="480" w:firstLineChars="200"/>
        <w:rPr>
          <w:bCs/>
          <w:sz w:val="24"/>
        </w:rPr>
      </w:pPr>
      <w:r>
        <w:rPr>
          <w:rFonts w:hint="eastAsia"/>
          <w:bCs/>
          <w:sz w:val="24"/>
        </w:rPr>
        <w:t>7） 其他（相关的</w:t>
      </w:r>
      <w:r>
        <w:rPr>
          <w:bCs/>
          <w:sz w:val="24"/>
        </w:rPr>
        <w:t>服务支持和承诺</w:t>
      </w:r>
      <w:r>
        <w:rPr>
          <w:rFonts w:hint="eastAsia"/>
          <w:bCs/>
          <w:sz w:val="24"/>
        </w:rPr>
        <w:t>、配备服务团队情况，以及</w:t>
      </w:r>
      <w:r>
        <w:rPr>
          <w:bCs/>
          <w:sz w:val="24"/>
        </w:rPr>
        <w:t>投标人认为需要提供的资料</w:t>
      </w:r>
      <w:r>
        <w:rPr>
          <w:rFonts w:hint="eastAsia"/>
          <w:bCs/>
          <w:sz w:val="24"/>
        </w:rPr>
        <w:t>）。</w:t>
      </w:r>
    </w:p>
    <w:p>
      <w:pPr>
        <w:spacing w:line="360" w:lineRule="auto"/>
        <w:ind w:firstLine="480" w:firstLineChars="200"/>
        <w:rPr>
          <w:sz w:val="24"/>
        </w:rPr>
      </w:pPr>
      <w:r>
        <w:rPr>
          <w:rFonts w:hint="eastAsia"/>
          <w:sz w:val="24"/>
        </w:rPr>
        <w:t>8</w:t>
      </w:r>
      <w:r>
        <w:rPr>
          <w:sz w:val="24"/>
        </w:rPr>
        <w:t>.</w:t>
      </w:r>
      <w:r>
        <w:rPr>
          <w:rFonts w:hint="eastAsia"/>
          <w:sz w:val="24"/>
        </w:rPr>
        <w:t>2</w:t>
      </w:r>
      <w:r>
        <w:rPr>
          <w:sz w:val="24"/>
        </w:rPr>
        <w:t>投标相关文件格式</w:t>
      </w:r>
    </w:p>
    <w:p>
      <w:pPr>
        <w:spacing w:line="360" w:lineRule="auto"/>
        <w:ind w:firstLine="480" w:firstLineChars="200"/>
        <w:rPr>
          <w:sz w:val="24"/>
        </w:rPr>
      </w:pPr>
      <w:r>
        <w:rPr>
          <w:rFonts w:hint="eastAsia"/>
          <w:sz w:val="24"/>
        </w:rPr>
        <w:t>招标文件</w:t>
      </w:r>
      <w:r>
        <w:rPr>
          <w:sz w:val="24"/>
        </w:rPr>
        <w:t>第</w:t>
      </w:r>
      <w:r>
        <w:rPr>
          <w:rFonts w:hint="eastAsia"/>
          <w:sz w:val="24"/>
        </w:rPr>
        <w:t>六</w:t>
      </w:r>
      <w:r>
        <w:rPr>
          <w:sz w:val="24"/>
        </w:rPr>
        <w:t>部分</w:t>
      </w:r>
      <w:r>
        <w:rPr>
          <w:rFonts w:hint="eastAsia"/>
          <w:sz w:val="24"/>
        </w:rPr>
        <w:t>“</w:t>
      </w:r>
      <w:r>
        <w:rPr>
          <w:sz w:val="24"/>
          <w:u w:val="single"/>
        </w:rPr>
        <w:t>投标文件格式</w:t>
      </w:r>
      <w:r>
        <w:rPr>
          <w:rFonts w:hint="eastAsia"/>
          <w:sz w:val="24"/>
        </w:rPr>
        <w:t>”已提供了格式的内容，投标人应按已</w:t>
      </w:r>
      <w:r>
        <w:rPr>
          <w:sz w:val="24"/>
        </w:rPr>
        <w:t>提供</w:t>
      </w:r>
      <w:r>
        <w:rPr>
          <w:rFonts w:hint="eastAsia"/>
          <w:sz w:val="24"/>
        </w:rPr>
        <w:t>的格式填写，</w:t>
      </w:r>
      <w:r>
        <w:rPr>
          <w:sz w:val="24"/>
        </w:rPr>
        <w:t>表格可以按格式扩展。对招标文件中未提供相关格式的内容，投标人可自行设计格式。</w:t>
      </w:r>
    </w:p>
    <w:p>
      <w:pPr>
        <w:adjustRightInd w:val="0"/>
        <w:spacing w:line="360" w:lineRule="auto"/>
        <w:ind w:firstLine="482" w:firstLineChars="200"/>
        <w:jc w:val="left"/>
        <w:rPr>
          <w:rFonts w:ascii="宋体" w:hAnsi="宋体" w:cs="宋体"/>
          <w:snapToGrid w:val="0"/>
          <w:kern w:val="0"/>
          <w:sz w:val="24"/>
        </w:rPr>
      </w:pPr>
      <w:r>
        <w:rPr>
          <w:rFonts w:hint="eastAsia"/>
          <w:b/>
          <w:sz w:val="24"/>
        </w:rPr>
        <w:t>8.3</w:t>
      </w:r>
      <w:r>
        <w:rPr>
          <w:rFonts w:hint="eastAsia"/>
          <w:b/>
          <w:sz w:val="24"/>
          <w:u w:val="single"/>
        </w:rPr>
        <w:t>在</w:t>
      </w:r>
      <w:r>
        <w:rPr>
          <w:b/>
          <w:sz w:val="24"/>
          <w:u w:val="single"/>
        </w:rPr>
        <w:t>编制投标文件</w:t>
      </w:r>
      <w:r>
        <w:rPr>
          <w:rFonts w:hint="eastAsia"/>
          <w:b/>
          <w:sz w:val="24"/>
          <w:u w:val="single"/>
        </w:rPr>
        <w:t>时，若</w:t>
      </w:r>
      <w:r>
        <w:rPr>
          <w:b/>
          <w:sz w:val="24"/>
          <w:u w:val="single"/>
        </w:rPr>
        <w:t>以上所需的各种证书、证件、证明等系复印件，须在复印件上加盖投标人单位公章</w:t>
      </w:r>
      <w:r>
        <w:rPr>
          <w:rFonts w:hint="eastAsia"/>
          <w:b/>
          <w:sz w:val="24"/>
        </w:rPr>
        <w:t>，原件不要求递交，但在评标、定标期间，如评标委员会认为必要时，须按要求提供原件核对，届时如无法按要求提供的，则所提供的复印件被将被认定为无效</w:t>
      </w:r>
      <w:r>
        <w:rPr>
          <w:rFonts w:hint="eastAsia" w:ascii="宋体" w:hAnsi="宋体" w:cs="宋体"/>
          <w:snapToGrid w:val="0"/>
          <w:kern w:val="0"/>
          <w:sz w:val="24"/>
        </w:rPr>
        <w:t>。</w:t>
      </w:r>
    </w:p>
    <w:p>
      <w:pPr>
        <w:pStyle w:val="19"/>
        <w:spacing w:line="360" w:lineRule="auto"/>
        <w:ind w:firstLine="0" w:firstLineChars="0"/>
        <w:outlineLvl w:val="2"/>
        <w:rPr>
          <w:rFonts w:cs="宋体"/>
          <w:b/>
          <w:bCs/>
          <w:snapToGrid w:val="0"/>
          <w:kern w:val="0"/>
          <w:szCs w:val="24"/>
        </w:rPr>
      </w:pPr>
      <w:r>
        <w:rPr>
          <w:rFonts w:hint="eastAsia" w:cs="宋体"/>
          <w:b/>
          <w:bCs/>
          <w:snapToGrid w:val="0"/>
          <w:kern w:val="0"/>
          <w:szCs w:val="24"/>
        </w:rPr>
        <w:t>9．投标报价</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10.1投标人应按招标文件中规定填写《开标一览表》；</w:t>
      </w:r>
    </w:p>
    <w:p>
      <w:pPr>
        <w:spacing w:line="360" w:lineRule="auto"/>
        <w:ind w:firstLine="417" w:firstLineChars="174"/>
        <w:rPr>
          <w:b/>
          <w:sz w:val="24"/>
        </w:rPr>
      </w:pPr>
      <w:r>
        <w:rPr>
          <w:rFonts w:hint="eastAsia" w:ascii="宋体" w:hAnsi="宋体" w:cs="宋体"/>
          <w:snapToGrid w:val="0"/>
          <w:kern w:val="0"/>
          <w:sz w:val="24"/>
        </w:rPr>
        <w:t>▲10.2</w:t>
      </w:r>
      <w:r>
        <w:rPr>
          <w:rFonts w:hint="eastAsia"/>
          <w:b/>
          <w:sz w:val="24"/>
        </w:rPr>
        <w:t>投标报价基本要求：</w:t>
      </w:r>
    </w:p>
    <w:p>
      <w:pPr>
        <w:spacing w:line="360" w:lineRule="auto"/>
        <w:ind w:firstLine="482" w:firstLineChars="200"/>
        <w:rPr>
          <w:b/>
          <w:bCs/>
          <w:sz w:val="24"/>
        </w:rPr>
      </w:pPr>
      <w:r>
        <w:rPr>
          <w:rFonts w:hint="eastAsia"/>
          <w:b/>
          <w:bCs/>
          <w:sz w:val="24"/>
        </w:rPr>
        <w:t>（1）有选择的或有条件的报价将不予接受。</w:t>
      </w:r>
    </w:p>
    <w:p>
      <w:pPr>
        <w:adjustRightInd w:val="0"/>
        <w:spacing w:line="360" w:lineRule="auto"/>
        <w:ind w:firstLine="482" w:firstLineChars="200"/>
        <w:rPr>
          <w:rFonts w:ascii="宋体" w:hAnsi="宋体" w:cs="宋体"/>
          <w:b/>
          <w:snapToGrid w:val="0"/>
          <w:kern w:val="0"/>
          <w:sz w:val="24"/>
        </w:rPr>
      </w:pPr>
      <w:r>
        <w:rPr>
          <w:rFonts w:hint="eastAsia"/>
          <w:b/>
          <w:bCs/>
          <w:sz w:val="24"/>
        </w:rPr>
        <w:t>（2）</w:t>
      </w:r>
      <w:r>
        <w:rPr>
          <w:rFonts w:hint="eastAsia" w:cs="Arial"/>
          <w:b/>
          <w:bCs/>
          <w:sz w:val="24"/>
        </w:rPr>
        <w:t>投标报价是履行合同的最终价格，应包括中标收益率及相关的银行业务手续费等一切税金和费用，存款利率报价应在人民银行规定的基准存款利率基础上上浮，但不得违反国家利率政策和浙江省市场利率定价自律机制约定范围，否则将视为无效标</w:t>
      </w:r>
      <w:r>
        <w:rPr>
          <w:rFonts w:hint="eastAsia" w:ascii="宋体" w:hAnsi="宋体" w:cs="宋体"/>
          <w:b/>
          <w:snapToGrid w:val="0"/>
          <w:kern w:val="0"/>
          <w:sz w:val="24"/>
        </w:rPr>
        <w:t>。</w:t>
      </w:r>
    </w:p>
    <w:p>
      <w:pPr>
        <w:pStyle w:val="19"/>
        <w:spacing w:line="360" w:lineRule="auto"/>
        <w:ind w:firstLine="0" w:firstLineChars="0"/>
        <w:outlineLvl w:val="2"/>
        <w:rPr>
          <w:rFonts w:cs="宋体"/>
          <w:b/>
          <w:bCs/>
          <w:snapToGrid w:val="0"/>
          <w:kern w:val="0"/>
          <w:szCs w:val="24"/>
        </w:rPr>
      </w:pPr>
      <w:r>
        <w:rPr>
          <w:rFonts w:hint="eastAsia" w:cs="宋体"/>
          <w:b/>
          <w:bCs/>
          <w:snapToGrid w:val="0"/>
          <w:kern w:val="0"/>
          <w:szCs w:val="24"/>
        </w:rPr>
        <w:t>10．投标保证金</w:t>
      </w:r>
    </w:p>
    <w:p>
      <w:pPr>
        <w:pStyle w:val="19"/>
        <w:spacing w:line="360" w:lineRule="auto"/>
        <w:outlineLvl w:val="2"/>
        <w:rPr>
          <w:rFonts w:cs="宋体"/>
          <w:snapToGrid w:val="0"/>
          <w:kern w:val="0"/>
        </w:rPr>
      </w:pPr>
      <w:r>
        <w:rPr>
          <w:rFonts w:hint="eastAsia" w:cs="宋体"/>
          <w:snapToGrid w:val="0"/>
          <w:kern w:val="0"/>
        </w:rPr>
        <w:t>本项目不要求提交投标保证金。</w:t>
      </w:r>
    </w:p>
    <w:p>
      <w:pPr>
        <w:pStyle w:val="19"/>
        <w:spacing w:line="360" w:lineRule="auto"/>
        <w:ind w:firstLine="0" w:firstLineChars="0"/>
        <w:outlineLvl w:val="2"/>
        <w:rPr>
          <w:rFonts w:cs="宋体"/>
          <w:b/>
          <w:bCs/>
          <w:snapToGrid w:val="0"/>
          <w:kern w:val="0"/>
          <w:szCs w:val="24"/>
        </w:rPr>
      </w:pPr>
      <w:r>
        <w:rPr>
          <w:rFonts w:hint="eastAsia" w:cs="宋体"/>
          <w:b/>
          <w:bCs/>
          <w:snapToGrid w:val="0"/>
          <w:kern w:val="0"/>
          <w:szCs w:val="24"/>
        </w:rPr>
        <w:t>11．投标有效期</w:t>
      </w:r>
    </w:p>
    <w:p>
      <w:pPr>
        <w:spacing w:line="360" w:lineRule="auto"/>
        <w:ind w:firstLine="422" w:firstLineChars="200"/>
        <w:rPr>
          <w:b/>
          <w:bCs/>
          <w:sz w:val="24"/>
        </w:rPr>
      </w:pPr>
      <w:r>
        <w:rPr>
          <w:rFonts w:ascii="宋体" w:hAnsi="宋体"/>
          <w:b/>
          <w:bCs/>
        </w:rPr>
        <w:t>▲</w:t>
      </w:r>
      <w:r>
        <w:rPr>
          <w:b/>
          <w:bCs/>
          <w:sz w:val="24"/>
        </w:rPr>
        <w:t>1</w:t>
      </w:r>
      <w:r>
        <w:rPr>
          <w:rFonts w:hint="eastAsia"/>
          <w:b/>
          <w:bCs/>
          <w:sz w:val="24"/>
        </w:rPr>
        <w:t>1</w:t>
      </w:r>
      <w:r>
        <w:rPr>
          <w:b/>
          <w:bCs/>
          <w:sz w:val="24"/>
        </w:rPr>
        <w:t>.1投标有效期自投标截止时间起为60天。</w:t>
      </w:r>
      <w:r>
        <w:rPr>
          <w:rFonts w:hint="eastAsia"/>
          <w:b/>
          <w:bCs/>
          <w:sz w:val="24"/>
        </w:rPr>
        <w:t>有效期不足的投标文件将被拒绝。</w:t>
      </w:r>
    </w:p>
    <w:p>
      <w:pPr>
        <w:spacing w:line="360" w:lineRule="auto"/>
        <w:ind w:firstLine="480" w:firstLineChars="200"/>
        <w:rPr>
          <w:sz w:val="24"/>
        </w:rPr>
      </w:pPr>
      <w:r>
        <w:rPr>
          <w:rFonts w:hint="eastAsia"/>
          <w:sz w:val="24"/>
        </w:rPr>
        <w:t>11</w:t>
      </w:r>
      <w:r>
        <w:rPr>
          <w:sz w:val="24"/>
        </w:rPr>
        <w:t>.2</w:t>
      </w:r>
      <w:r>
        <w:rPr>
          <w:rFonts w:hint="eastAsia"/>
          <w:sz w:val="24"/>
        </w:rPr>
        <w:t>在此有效期内，投标文件中的全部承诺和条款对投标人具有约束力。除招标文件规定或询标、签约时招投标双方认可，投标人不得自行修改或拒绝接受已经确认的承诺和条款（即使是不该发生的差错），更不得撤回投标文件。否则按违约处理，招标人可取消其投标或中标资格。</w:t>
      </w:r>
      <w:r>
        <w:rPr>
          <w:sz w:val="24"/>
        </w:rPr>
        <w:t xml:space="preserve">    </w:t>
      </w:r>
    </w:p>
    <w:p>
      <w:pPr>
        <w:spacing w:line="360" w:lineRule="auto"/>
        <w:ind w:firstLine="480" w:firstLineChars="200"/>
        <w:rPr>
          <w:sz w:val="24"/>
        </w:rPr>
      </w:pPr>
      <w:r>
        <w:rPr>
          <w:sz w:val="24"/>
        </w:rPr>
        <w:t>1</w:t>
      </w:r>
      <w:r>
        <w:rPr>
          <w:rFonts w:hint="eastAsia"/>
          <w:sz w:val="24"/>
        </w:rPr>
        <w:t>1</w:t>
      </w:r>
      <w:r>
        <w:rPr>
          <w:sz w:val="24"/>
        </w:rPr>
        <w:t>.3特殊情况下，招标人可于投标有效期满之前要求投标人同意延长有效期，</w:t>
      </w:r>
      <w:bookmarkStart w:id="57" w:name="OLE_LINK5"/>
      <w:r>
        <w:rPr>
          <w:sz w:val="24"/>
        </w:rPr>
        <w:t>要求与答复均应为书面形式</w:t>
      </w:r>
      <w:bookmarkEnd w:id="57"/>
      <w:r>
        <w:rPr>
          <w:sz w:val="24"/>
        </w:rPr>
        <w:t>。投标人可拒绝上述要求。对于同意该要求的投标人，既不要求也不允许其修改投标文件。</w:t>
      </w:r>
    </w:p>
    <w:p>
      <w:pPr>
        <w:adjustRightInd w:val="0"/>
        <w:spacing w:line="360" w:lineRule="auto"/>
        <w:ind w:firstLine="480" w:firstLineChars="200"/>
        <w:jc w:val="left"/>
        <w:rPr>
          <w:rFonts w:ascii="宋体" w:hAnsi="宋体" w:cs="宋体"/>
          <w:snapToGrid w:val="0"/>
          <w:kern w:val="0"/>
          <w:sz w:val="24"/>
        </w:rPr>
      </w:pPr>
      <w:r>
        <w:rPr>
          <w:rFonts w:hint="eastAsia"/>
          <w:sz w:val="24"/>
        </w:rPr>
        <w:t>11</w:t>
      </w:r>
      <w:r>
        <w:rPr>
          <w:sz w:val="24"/>
        </w:rPr>
        <w:t>.4</w:t>
      </w:r>
      <w:r>
        <w:rPr>
          <w:rFonts w:ascii="宋体" w:hAnsi="宋体"/>
          <w:sz w:val="24"/>
        </w:rPr>
        <w:t>中标人的投标文件自开标之日起至合同履行完毕止均应保持有效</w:t>
      </w:r>
      <w:r>
        <w:rPr>
          <w:rFonts w:hint="eastAsia" w:ascii="宋体" w:hAnsi="宋体" w:cs="宋体"/>
          <w:snapToGrid w:val="0"/>
          <w:kern w:val="0"/>
          <w:sz w:val="24"/>
        </w:rPr>
        <w:t>。</w:t>
      </w:r>
    </w:p>
    <w:p>
      <w:pPr>
        <w:spacing w:line="360" w:lineRule="auto"/>
        <w:rPr>
          <w:sz w:val="24"/>
        </w:rPr>
      </w:pPr>
      <w:bookmarkStart w:id="58" w:name="_Toc91899892"/>
      <w:r>
        <w:rPr>
          <w:rFonts w:hint="eastAsia" w:ascii="宋体" w:hAnsi="宋体"/>
          <w:b/>
          <w:sz w:val="24"/>
        </w:rPr>
        <w:t>12.</w:t>
      </w:r>
      <w:r>
        <w:rPr>
          <w:rFonts w:ascii="宋体" w:hAnsi="宋体"/>
          <w:b/>
          <w:sz w:val="24"/>
        </w:rPr>
        <w:t>投标文件的签署和份数、包装、递交、修改和撤回</w:t>
      </w:r>
    </w:p>
    <w:p>
      <w:pPr>
        <w:snapToGrid w:val="0"/>
        <w:spacing w:line="360" w:lineRule="auto"/>
        <w:ind w:firstLine="480" w:firstLineChars="200"/>
        <w:jc w:val="left"/>
        <w:rPr>
          <w:rFonts w:ascii="宋体" w:hAnsi="宋体"/>
          <w:b/>
          <w:sz w:val="24"/>
        </w:rPr>
      </w:pPr>
      <w:r>
        <w:rPr>
          <w:rFonts w:ascii="宋体" w:hAnsi="宋体"/>
          <w:sz w:val="24"/>
        </w:rPr>
        <w:t>1</w:t>
      </w:r>
      <w:r>
        <w:rPr>
          <w:rFonts w:hint="eastAsia" w:ascii="宋体" w:hAnsi="宋体"/>
          <w:sz w:val="24"/>
        </w:rPr>
        <w:t>2</w:t>
      </w:r>
      <w:r>
        <w:rPr>
          <w:rFonts w:ascii="宋体" w:hAnsi="宋体"/>
          <w:sz w:val="24"/>
        </w:rPr>
        <w:t>.1</w:t>
      </w:r>
      <w:r>
        <w:rPr>
          <w:rFonts w:hint="eastAsia" w:ascii="宋体" w:hAnsi="宋体"/>
          <w:sz w:val="24"/>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2</w:t>
      </w:r>
      <w:r>
        <w:rPr>
          <w:rFonts w:ascii="宋体" w:hAnsi="宋体"/>
          <w:sz w:val="24"/>
        </w:rPr>
        <w:t>.2</w:t>
      </w:r>
      <w:r>
        <w:rPr>
          <w:rFonts w:hint="eastAsia" w:ascii="宋体" w:hAnsi="宋体"/>
          <w:sz w:val="24"/>
        </w:rPr>
        <w:t>投标人应根据政采云系统程序及本招标文件规定编制电子投标文件并进行关联定位，以便评标委员会在评标时，点击评分项，可直接定位到该评分项内容。</w:t>
      </w:r>
    </w:p>
    <w:p>
      <w:pPr>
        <w:snapToGrid w:val="0"/>
        <w:spacing w:line="360" w:lineRule="auto"/>
        <w:ind w:firstLine="480" w:firstLineChars="200"/>
        <w:jc w:val="left"/>
        <w:rPr>
          <w:rFonts w:ascii="宋体" w:hAnsi="宋体"/>
          <w:sz w:val="24"/>
        </w:rPr>
      </w:pPr>
      <w:r>
        <w:rPr>
          <w:rFonts w:hint="eastAsia" w:ascii="宋体" w:hAnsi="宋体"/>
          <w:sz w:val="24"/>
        </w:rPr>
        <w:t>如对招标文件的某项要求，投标人的投标响应文件未能提供相应的内容与其对应，则评标委员会在评审时会提示投标人未对此项招标要求提供相应内容。由此产生的评分影响由投标人自行承担。</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2</w:t>
      </w:r>
      <w:r>
        <w:rPr>
          <w:rFonts w:ascii="宋体" w:hAnsi="宋体"/>
          <w:sz w:val="24"/>
        </w:rPr>
        <w:t>.3</w:t>
      </w:r>
      <w:r>
        <w:rPr>
          <w:rFonts w:hint="eastAsia" w:ascii="宋体" w:hAnsi="宋体"/>
          <w:sz w:val="24"/>
        </w:rPr>
        <w:t>投标文件须由投标人在规定位置加盖公章并由投标人授权代表签署，投标人应写全称。</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投标文件不得涂改，若有修改错漏处，须由投标人授权代表签字并加盖公章。投标文件因字迹潦草或表达不清所引起的后果由投标人负责。</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2</w:t>
      </w:r>
      <w:r>
        <w:rPr>
          <w:rFonts w:ascii="宋体" w:hAnsi="宋体"/>
          <w:sz w:val="24"/>
        </w:rPr>
        <w:t>.5</w:t>
      </w:r>
      <w:r>
        <w:rPr>
          <w:rFonts w:hint="eastAsia" w:ascii="宋体" w:hAnsi="宋体"/>
          <w:sz w:val="24"/>
        </w:rPr>
        <w:t>投标文件份数：</w:t>
      </w:r>
    </w:p>
    <w:p>
      <w:pPr>
        <w:snapToGrid w:val="0"/>
        <w:spacing w:line="360" w:lineRule="auto"/>
        <w:ind w:firstLine="480" w:firstLineChars="200"/>
        <w:jc w:val="left"/>
        <w:rPr>
          <w:rFonts w:ascii="宋体" w:hAnsi="宋体"/>
          <w:sz w:val="24"/>
        </w:rPr>
      </w:pPr>
      <w:r>
        <w:rPr>
          <w:rFonts w:hint="eastAsia" w:ascii="宋体" w:hAnsi="宋体"/>
          <w:sz w:val="24"/>
        </w:rPr>
        <w:t>电子加密投标文件：投标人在投标截止时间前在政采云系统中提交电子投标文件一份。</w:t>
      </w:r>
    </w:p>
    <w:p>
      <w:pPr>
        <w:snapToGrid w:val="0"/>
        <w:spacing w:line="360" w:lineRule="auto"/>
        <w:ind w:firstLine="480" w:firstLineChars="200"/>
        <w:jc w:val="left"/>
        <w:rPr>
          <w:rFonts w:ascii="宋体" w:hAnsi="宋体"/>
          <w:b/>
          <w:sz w:val="24"/>
        </w:rPr>
      </w:pPr>
      <w:r>
        <w:rPr>
          <w:rFonts w:hint="eastAsia"/>
          <w:sz w:val="24"/>
        </w:rPr>
        <w:t>12.6本项目不接受纸质投标文件的投标。</w:t>
      </w:r>
    </w:p>
    <w:p>
      <w:pPr>
        <w:snapToGrid w:val="0"/>
        <w:spacing w:line="360" w:lineRule="auto"/>
        <w:ind w:firstLine="482" w:firstLineChars="200"/>
        <w:jc w:val="left"/>
        <w:rPr>
          <w:rFonts w:ascii="宋体" w:hAnsi="宋体"/>
          <w:b/>
          <w:sz w:val="24"/>
        </w:rPr>
      </w:pPr>
      <w:r>
        <w:rPr>
          <w:rFonts w:hint="eastAsia" w:ascii="宋体" w:hAnsi="宋体"/>
          <w:b/>
          <w:sz w:val="24"/>
        </w:rPr>
        <w:t>备注：</w:t>
      </w:r>
    </w:p>
    <w:p>
      <w:pPr>
        <w:snapToGrid w:val="0"/>
        <w:spacing w:line="360" w:lineRule="auto"/>
        <w:ind w:firstLine="482" w:firstLineChars="200"/>
        <w:jc w:val="left"/>
        <w:rPr>
          <w:rFonts w:ascii="宋体" w:hAnsi="宋体"/>
          <w:b/>
          <w:sz w:val="24"/>
        </w:rPr>
      </w:pPr>
      <w:r>
        <w:rPr>
          <w:rFonts w:hint="eastAsia" w:ascii="宋体" w:hAnsi="宋体"/>
          <w:b/>
          <w:sz w:val="24"/>
        </w:rPr>
        <w:t>投标人可通过浙江省</w:t>
      </w:r>
      <w:r>
        <w:rPr>
          <w:rFonts w:ascii="宋体" w:hAnsi="宋体"/>
          <w:b/>
          <w:sz w:val="24"/>
        </w:rPr>
        <w:t>“</w:t>
      </w:r>
      <w:r>
        <w:rPr>
          <w:rFonts w:hint="eastAsia" w:ascii="宋体" w:hAnsi="宋体"/>
          <w:b/>
          <w:sz w:val="24"/>
        </w:rPr>
        <w:t>电子交易</w:t>
      </w:r>
      <w:r>
        <w:rPr>
          <w:rFonts w:ascii="宋体" w:hAnsi="宋体"/>
          <w:b/>
          <w:sz w:val="24"/>
        </w:rPr>
        <w:t>/</w:t>
      </w:r>
      <w:r>
        <w:rPr>
          <w:rFonts w:hint="eastAsia" w:ascii="宋体" w:hAnsi="宋体"/>
          <w:b/>
          <w:sz w:val="24"/>
        </w:rPr>
        <w:t>不见面开评标</w:t>
      </w:r>
      <w:r>
        <w:rPr>
          <w:rFonts w:ascii="宋体" w:hAnsi="宋体"/>
          <w:b/>
          <w:sz w:val="24"/>
        </w:rPr>
        <w:t>”</w:t>
      </w:r>
      <w:r>
        <w:rPr>
          <w:rFonts w:hint="eastAsia" w:ascii="宋体" w:hAnsi="宋体"/>
          <w:b/>
          <w:sz w:val="24"/>
        </w:rPr>
        <w:t>学习专题提前进行专题学习，熟悉操作，避免影响采购活动（</w:t>
      </w:r>
      <w:r>
        <w:fldChar w:fldCharType="begin"/>
      </w:r>
      <w:r>
        <w:instrText xml:space="preserve"> HYPERLINK "https://edu.zcygov.cn/luban/e-biding" </w:instrText>
      </w:r>
      <w:r>
        <w:fldChar w:fldCharType="separate"/>
      </w:r>
      <w:r>
        <w:rPr>
          <w:rFonts w:ascii="宋体" w:hAnsi="宋体"/>
          <w:b/>
          <w:sz w:val="24"/>
        </w:rPr>
        <w:t>https://edu.zcygov.cn/luban/e-biding</w:t>
      </w:r>
      <w:r>
        <w:rPr>
          <w:rFonts w:ascii="宋体" w:hAnsi="宋体"/>
          <w:b/>
          <w:sz w:val="24"/>
        </w:rPr>
        <w:fldChar w:fldCharType="end"/>
      </w:r>
      <w:r>
        <w:rPr>
          <w:rFonts w:hint="eastAsia" w:ascii="宋体" w:hAnsi="宋体"/>
          <w:b/>
          <w:sz w:val="24"/>
        </w:rPr>
        <w:t>）。</w:t>
      </w:r>
    </w:p>
    <w:p>
      <w:pPr>
        <w:spacing w:line="360" w:lineRule="auto"/>
        <w:rPr>
          <w:sz w:val="24"/>
        </w:rPr>
      </w:pPr>
    </w:p>
    <w:p>
      <w:pPr>
        <w:spacing w:line="360" w:lineRule="auto"/>
        <w:rPr>
          <w:b/>
          <w:bCs/>
          <w:sz w:val="24"/>
        </w:rPr>
      </w:pPr>
      <w:r>
        <w:rPr>
          <w:b/>
          <w:bCs/>
          <w:sz w:val="24"/>
        </w:rPr>
        <w:t>1</w:t>
      </w:r>
      <w:r>
        <w:rPr>
          <w:rFonts w:hint="eastAsia"/>
          <w:b/>
          <w:bCs/>
          <w:sz w:val="24"/>
        </w:rPr>
        <w:t>3．</w:t>
      </w:r>
      <w:r>
        <w:rPr>
          <w:b/>
          <w:bCs/>
          <w:sz w:val="24"/>
        </w:rPr>
        <w:t>投标文件的</w:t>
      </w:r>
      <w:r>
        <w:rPr>
          <w:rFonts w:hint="eastAsia"/>
          <w:b/>
          <w:bCs/>
          <w:sz w:val="24"/>
        </w:rPr>
        <w:t>上传和递交</w:t>
      </w:r>
    </w:p>
    <w:p>
      <w:pPr>
        <w:spacing w:line="360" w:lineRule="auto"/>
        <w:rPr>
          <w:sz w:val="24"/>
        </w:rPr>
      </w:pPr>
      <w:r>
        <w:rPr>
          <w:sz w:val="24"/>
        </w:rPr>
        <w:t xml:space="preserve">    1</w:t>
      </w:r>
      <w:r>
        <w:rPr>
          <w:rFonts w:hint="eastAsia"/>
          <w:sz w:val="24"/>
        </w:rPr>
        <w:t>3</w:t>
      </w:r>
      <w:r>
        <w:rPr>
          <w:sz w:val="24"/>
        </w:rPr>
        <w:t>.1</w:t>
      </w:r>
      <w:r>
        <w:rPr>
          <w:rFonts w:hAnsi="宋体"/>
          <w:sz w:val="24"/>
          <w:lang w:bidi="ar"/>
        </w:rPr>
        <w:t>在线上传递交</w:t>
      </w:r>
      <w:r>
        <w:rPr>
          <w:rFonts w:hint="eastAsia" w:hAnsi="宋体"/>
          <w:sz w:val="24"/>
          <w:lang w:bidi="ar"/>
        </w:rPr>
        <w:t>，见投标须知前附表。</w:t>
      </w:r>
    </w:p>
    <w:p>
      <w:pPr>
        <w:snapToGrid w:val="0"/>
        <w:spacing w:line="360" w:lineRule="auto"/>
        <w:ind w:firstLine="480" w:firstLineChars="200"/>
        <w:jc w:val="left"/>
        <w:rPr>
          <w:rFonts w:ascii="宋体" w:hAnsi="宋体"/>
          <w:spacing w:val="-6"/>
          <w:sz w:val="24"/>
        </w:rPr>
      </w:pPr>
      <w:r>
        <w:rPr>
          <w:sz w:val="24"/>
        </w:rPr>
        <w:t>1</w:t>
      </w:r>
      <w:r>
        <w:rPr>
          <w:rFonts w:hint="eastAsia"/>
          <w:sz w:val="24"/>
        </w:rPr>
        <w:t>3</w:t>
      </w:r>
      <w:r>
        <w:rPr>
          <w:sz w:val="24"/>
        </w:rPr>
        <w:t>.</w:t>
      </w:r>
      <w:r>
        <w:rPr>
          <w:rFonts w:hint="eastAsia"/>
          <w:sz w:val="24"/>
        </w:rPr>
        <w:t>2</w:t>
      </w:r>
      <w:r>
        <w:rPr>
          <w:rFonts w:hint="eastAsia" w:ascii="宋体" w:hAnsi="宋体"/>
          <w:spacing w:val="-6"/>
          <w:sz w:val="24"/>
        </w:rPr>
        <w:t>投标人应当在投标截止时间前完成投标文件的上传、递交，投标截止时间前未完成上传、递交的，视为撤回投标文件。投标截止时间后上传、递交的投标文件，政府采购云平台及采购代理机构将予以拒收。</w:t>
      </w:r>
    </w:p>
    <w:p>
      <w:pPr>
        <w:snapToGrid w:val="0"/>
        <w:spacing w:line="360" w:lineRule="auto"/>
        <w:ind w:firstLine="480" w:firstLineChars="200"/>
        <w:jc w:val="left"/>
        <w:rPr>
          <w:rFonts w:ascii="宋体" w:hAnsi="宋体"/>
          <w:sz w:val="24"/>
        </w:rPr>
      </w:pPr>
      <w:r>
        <w:rPr>
          <w:sz w:val="24"/>
        </w:rPr>
        <w:t>1</w:t>
      </w:r>
      <w:r>
        <w:rPr>
          <w:rFonts w:hint="eastAsia"/>
          <w:sz w:val="24"/>
        </w:rPr>
        <w:t>3</w:t>
      </w:r>
      <w:r>
        <w:rPr>
          <w:sz w:val="24"/>
        </w:rPr>
        <w:t>.</w:t>
      </w:r>
      <w:r>
        <w:rPr>
          <w:rFonts w:hint="eastAsia"/>
          <w:sz w:val="24"/>
        </w:rPr>
        <w:t>3</w:t>
      </w:r>
      <w:r>
        <w:rPr>
          <w:sz w:val="24"/>
        </w:rPr>
        <w:t>因招标文件的修改推迟投标截止日期时，则按招标人修改通知规定的时间</w:t>
      </w:r>
      <w:r>
        <w:rPr>
          <w:rFonts w:hint="eastAsia"/>
          <w:sz w:val="24"/>
        </w:rPr>
        <w:t>上传</w:t>
      </w:r>
      <w:r>
        <w:rPr>
          <w:sz w:val="24"/>
        </w:rPr>
        <w:t>递交。</w:t>
      </w:r>
    </w:p>
    <w:p>
      <w:pPr>
        <w:spacing w:line="360" w:lineRule="auto"/>
        <w:ind w:firstLine="480" w:firstLineChars="200"/>
        <w:rPr>
          <w:rFonts w:ascii="宋体" w:hAnsi="宋体"/>
          <w:sz w:val="24"/>
        </w:rPr>
      </w:pPr>
      <w:r>
        <w:rPr>
          <w:sz w:val="24"/>
        </w:rPr>
        <w:t>1</w:t>
      </w:r>
      <w:r>
        <w:rPr>
          <w:rFonts w:hint="eastAsia"/>
          <w:sz w:val="24"/>
        </w:rPr>
        <w:t>3</w:t>
      </w:r>
      <w:r>
        <w:rPr>
          <w:sz w:val="24"/>
        </w:rPr>
        <w:t>.</w:t>
      </w:r>
      <w:r>
        <w:rPr>
          <w:rFonts w:hint="eastAsia"/>
          <w:sz w:val="24"/>
        </w:rPr>
        <w:t>4</w:t>
      </w:r>
      <w:r>
        <w:rPr>
          <w:rFonts w:ascii="宋体" w:hAnsi="宋体"/>
          <w:sz w:val="24"/>
        </w:rPr>
        <w:t>在投标截止时间前，投标人可以</w:t>
      </w:r>
      <w:r>
        <w:rPr>
          <w:rFonts w:hint="eastAsia" w:ascii="宋体" w:hAnsi="宋体"/>
          <w:sz w:val="24"/>
        </w:rPr>
        <w:t>撤回其已上传的电子投标文件，进行内容修改。修改后重新上传、递交。投标截止时间前未完成上传、递交的，视为撤回投标文件。投标截止时间后递交的投标文件，“浙江政府采购网”将予以拒收。</w:t>
      </w:r>
    </w:p>
    <w:p>
      <w:pPr>
        <w:spacing w:line="360" w:lineRule="auto"/>
        <w:ind w:firstLine="480" w:firstLineChars="200"/>
        <w:rPr>
          <w:rFonts w:ascii="宋体" w:hAnsi="宋体"/>
          <w:sz w:val="24"/>
        </w:rPr>
      </w:pPr>
      <w:r>
        <w:rPr>
          <w:sz w:val="24"/>
        </w:rPr>
        <w:t>1</w:t>
      </w:r>
      <w:r>
        <w:rPr>
          <w:rFonts w:hint="eastAsia"/>
          <w:sz w:val="24"/>
        </w:rPr>
        <w:t>3</w:t>
      </w:r>
      <w:r>
        <w:rPr>
          <w:sz w:val="24"/>
        </w:rPr>
        <w:t>.</w:t>
      </w:r>
      <w:r>
        <w:rPr>
          <w:rFonts w:hint="eastAsia"/>
          <w:sz w:val="24"/>
        </w:rPr>
        <w:t>5</w:t>
      </w:r>
      <w:r>
        <w:rPr>
          <w:rFonts w:ascii="宋体" w:hAnsi="宋体"/>
          <w:sz w:val="24"/>
        </w:rPr>
        <w:t>从投标截止期至</w:t>
      </w:r>
      <w:r>
        <w:rPr>
          <w:rFonts w:hint="eastAsia" w:ascii="宋体" w:hAnsi="宋体"/>
          <w:sz w:val="24"/>
        </w:rPr>
        <w:t>投标人</w:t>
      </w:r>
      <w:r>
        <w:rPr>
          <w:rFonts w:ascii="宋体" w:hAnsi="宋体"/>
          <w:sz w:val="24"/>
        </w:rPr>
        <w:t>在投标函格式中确定的投标有效期期满这段时间内，</w:t>
      </w:r>
      <w:r>
        <w:rPr>
          <w:rFonts w:hint="eastAsia" w:ascii="宋体" w:hAnsi="宋体"/>
          <w:sz w:val="24"/>
        </w:rPr>
        <w:t>投标人</w:t>
      </w:r>
      <w:r>
        <w:rPr>
          <w:rFonts w:ascii="宋体" w:hAnsi="宋体"/>
          <w:sz w:val="24"/>
        </w:rPr>
        <w:t>不得撤回其投标。</w:t>
      </w:r>
    </w:p>
    <w:p>
      <w:pPr>
        <w:spacing w:line="360" w:lineRule="auto"/>
        <w:rPr>
          <w:sz w:val="24"/>
        </w:rPr>
      </w:pPr>
    </w:p>
    <w:p>
      <w:pPr>
        <w:spacing w:line="360" w:lineRule="auto"/>
        <w:rPr>
          <w:b/>
          <w:bCs/>
          <w:sz w:val="24"/>
        </w:rPr>
      </w:pPr>
      <w:r>
        <w:rPr>
          <w:rFonts w:hint="eastAsia"/>
          <w:b/>
          <w:bCs/>
          <w:sz w:val="24"/>
        </w:rPr>
        <w:t>14．</w:t>
      </w:r>
      <w:r>
        <w:rPr>
          <w:b/>
          <w:bCs/>
          <w:sz w:val="24"/>
        </w:rPr>
        <w:t>投标文件的修改和撤销</w:t>
      </w:r>
    </w:p>
    <w:p>
      <w:pPr>
        <w:spacing w:line="360" w:lineRule="auto"/>
        <w:rPr>
          <w:sz w:val="24"/>
        </w:rPr>
      </w:pPr>
      <w:r>
        <w:rPr>
          <w:sz w:val="24"/>
        </w:rPr>
        <w:t xml:space="preserve">   </w:t>
      </w:r>
      <w:r>
        <w:rPr>
          <w:rFonts w:hint="eastAsia"/>
          <w:sz w:val="24"/>
        </w:rPr>
        <w:t>14</w:t>
      </w:r>
      <w:r>
        <w:rPr>
          <w:sz w:val="24"/>
        </w:rPr>
        <w:t>.1投标人在提交投标文件后可对其投标文件进行修改或撤销</w:t>
      </w:r>
      <w:bookmarkStart w:id="59" w:name="OLE_LINK6"/>
      <w:r>
        <w:rPr>
          <w:rFonts w:hint="eastAsia"/>
          <w:sz w:val="24"/>
        </w:rPr>
        <w:t>，</w:t>
      </w:r>
      <w:r>
        <w:rPr>
          <w:sz w:val="24"/>
        </w:rPr>
        <w:t>但须在投标截止时间之前</w:t>
      </w:r>
      <w:bookmarkEnd w:id="59"/>
      <w:r>
        <w:rPr>
          <w:rFonts w:hint="eastAsia"/>
          <w:sz w:val="24"/>
        </w:rPr>
        <w:t>进行</w:t>
      </w:r>
      <w:r>
        <w:rPr>
          <w:sz w:val="24"/>
        </w:rPr>
        <w:t xml:space="preserve">。投标截止时间以后不得修改投标文件。    </w:t>
      </w:r>
    </w:p>
    <w:p>
      <w:pPr>
        <w:spacing w:line="360" w:lineRule="auto"/>
        <w:ind w:firstLine="480" w:firstLineChars="200"/>
        <w:rPr>
          <w:sz w:val="24"/>
        </w:rPr>
      </w:pPr>
      <w:r>
        <w:rPr>
          <w:rFonts w:hint="eastAsia"/>
          <w:sz w:val="24"/>
        </w:rPr>
        <w:t>14</w:t>
      </w:r>
      <w:r>
        <w:rPr>
          <w:sz w:val="24"/>
        </w:rPr>
        <w:t>.</w:t>
      </w:r>
      <w:r>
        <w:rPr>
          <w:rFonts w:hint="eastAsia"/>
          <w:sz w:val="24"/>
        </w:rPr>
        <w:t>2</w:t>
      </w:r>
      <w:r>
        <w:rPr>
          <w:sz w:val="24"/>
        </w:rPr>
        <w:t>投标人不得在开标时间起至投标文件有效期期满前撤销投标文件。</w:t>
      </w:r>
    </w:p>
    <w:p>
      <w:pPr>
        <w:tabs>
          <w:tab w:val="left" w:pos="720"/>
        </w:tabs>
        <w:autoSpaceDE w:val="0"/>
        <w:autoSpaceDN w:val="0"/>
        <w:adjustRightInd w:val="0"/>
        <w:spacing w:line="360" w:lineRule="auto"/>
        <w:ind w:right="18"/>
        <w:jc w:val="left"/>
        <w:rPr>
          <w:sz w:val="24"/>
        </w:rPr>
      </w:pPr>
    </w:p>
    <w:p>
      <w:pPr>
        <w:spacing w:line="360" w:lineRule="auto"/>
        <w:rPr>
          <w:b/>
          <w:bCs/>
          <w:sz w:val="24"/>
        </w:rPr>
      </w:pPr>
      <w:r>
        <w:rPr>
          <w:rFonts w:hint="eastAsia"/>
          <w:b/>
          <w:bCs/>
          <w:sz w:val="24"/>
        </w:rPr>
        <w:t>15．</w:t>
      </w:r>
      <w:r>
        <w:rPr>
          <w:b/>
          <w:bCs/>
          <w:sz w:val="24"/>
        </w:rPr>
        <w:t>投标</w:t>
      </w:r>
      <w:r>
        <w:rPr>
          <w:rFonts w:hint="eastAsia"/>
          <w:b/>
          <w:bCs/>
          <w:sz w:val="24"/>
        </w:rPr>
        <w:t>无效的情形</w:t>
      </w:r>
    </w:p>
    <w:p>
      <w:pPr>
        <w:widowControl/>
        <w:spacing w:line="360" w:lineRule="auto"/>
        <w:ind w:firstLine="480" w:firstLineChars="200"/>
        <w:jc w:val="left"/>
        <w:rPr>
          <w:rFonts w:ascii="宋体" w:hAnsi="宋体"/>
          <w:sz w:val="24"/>
        </w:rPr>
      </w:pPr>
      <w:r>
        <w:rPr>
          <w:rFonts w:hint="eastAsia"/>
          <w:sz w:val="24"/>
        </w:rPr>
        <w:t>15.</w:t>
      </w:r>
      <w:r>
        <w:rPr>
          <w:rFonts w:ascii="宋体" w:hAnsi="宋体"/>
          <w:sz w:val="24"/>
        </w:rPr>
        <w:t>1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w:t>
      </w:r>
      <w:r>
        <w:rPr>
          <w:rFonts w:hint="eastAsia" w:ascii="宋体" w:hAnsi="宋体"/>
          <w:sz w:val="24"/>
        </w:rPr>
        <w:t>，</w:t>
      </w:r>
      <w:r>
        <w:rPr>
          <w:rFonts w:ascii="宋体" w:hAnsi="宋体"/>
          <w:sz w:val="24"/>
        </w:rPr>
        <w:t>修改或者补正投标文件必须以书面形式进行。限期内不补正或经补正后仍不符合招标文件要求的，应认定其投标无效。投标人修改、补正投标文件后，不影响评标委员会对其投标文件所作的评价和评分结果。</w:t>
      </w:r>
    </w:p>
    <w:p>
      <w:pPr>
        <w:widowControl/>
        <w:spacing w:line="360" w:lineRule="auto"/>
        <w:ind w:firstLine="480" w:firstLineChars="200"/>
        <w:jc w:val="left"/>
        <w:rPr>
          <w:rFonts w:ascii="宋体" w:hAnsi="宋体"/>
          <w:sz w:val="24"/>
        </w:rPr>
      </w:pPr>
      <w:r>
        <w:rPr>
          <w:rFonts w:hint="eastAsia"/>
          <w:sz w:val="24"/>
        </w:rPr>
        <w:t>15.2</w:t>
      </w:r>
      <w:r>
        <w:rPr>
          <w:rFonts w:hint="eastAsia" w:ascii="宋体" w:hAnsi="宋体"/>
          <w:sz w:val="24"/>
        </w:rPr>
        <w:t>与招标文件有重大偏离或缺漏的投标文件,加▲条款未响应或偏离的。</w:t>
      </w:r>
    </w:p>
    <w:p>
      <w:pPr>
        <w:widowControl/>
        <w:spacing w:line="360" w:lineRule="auto"/>
        <w:ind w:firstLine="480" w:firstLineChars="200"/>
        <w:jc w:val="left"/>
        <w:rPr>
          <w:rFonts w:ascii="宋体" w:hAnsi="宋体"/>
          <w:sz w:val="24"/>
        </w:rPr>
      </w:pPr>
      <w:r>
        <w:rPr>
          <w:rFonts w:hint="eastAsia"/>
          <w:sz w:val="24"/>
        </w:rPr>
        <w:t>15.3</w:t>
      </w:r>
      <w:r>
        <w:rPr>
          <w:rFonts w:ascii="宋体" w:hAnsi="宋体"/>
          <w:sz w:val="24"/>
        </w:rPr>
        <w:t>存款利率低于相同期限基准存款利率。</w:t>
      </w:r>
    </w:p>
    <w:p>
      <w:pPr>
        <w:adjustRightInd w:val="0"/>
        <w:spacing w:line="360" w:lineRule="auto"/>
        <w:ind w:firstLine="480" w:firstLineChars="200"/>
        <w:jc w:val="left"/>
        <w:rPr>
          <w:rFonts w:ascii="宋体" w:hAnsi="宋体" w:cs="宋体"/>
          <w:snapToGrid w:val="0"/>
          <w:kern w:val="0"/>
          <w:sz w:val="24"/>
        </w:rPr>
      </w:pPr>
      <w:r>
        <w:rPr>
          <w:rFonts w:hint="eastAsia"/>
          <w:sz w:val="24"/>
        </w:rPr>
        <w:t>15.4</w:t>
      </w:r>
      <w:r>
        <w:rPr>
          <w:rFonts w:hint="eastAsia" w:ascii="宋体" w:hAnsi="宋体"/>
          <w:sz w:val="24"/>
        </w:rPr>
        <w:t>符合招标文件明确规定的其他无效投标条款的</w:t>
      </w:r>
      <w:r>
        <w:rPr>
          <w:rFonts w:hint="eastAsia" w:ascii="宋体" w:hAnsi="宋体" w:cs="宋体"/>
          <w:snapToGrid w:val="0"/>
          <w:kern w:val="0"/>
          <w:sz w:val="24"/>
        </w:rPr>
        <w:t>。</w:t>
      </w:r>
    </w:p>
    <w:p>
      <w:pPr>
        <w:pStyle w:val="83"/>
        <w:spacing w:before="0"/>
        <w:ind w:firstLine="0" w:firstLineChars="0"/>
        <w:rPr>
          <w:rFonts w:ascii="宋体" w:hAnsi="宋体" w:cs="宋体"/>
        </w:rPr>
      </w:pPr>
    </w:p>
    <w:p>
      <w:pPr>
        <w:pStyle w:val="83"/>
        <w:spacing w:before="0"/>
        <w:ind w:firstLine="0" w:firstLineChars="0"/>
        <w:rPr>
          <w:rFonts w:ascii="宋体" w:hAnsi="宋体" w:cs="宋体"/>
        </w:rPr>
      </w:pPr>
    </w:p>
    <w:bookmarkEnd w:id="58"/>
    <w:p>
      <w:pPr>
        <w:spacing w:line="360" w:lineRule="auto"/>
        <w:jc w:val="center"/>
        <w:outlineLvl w:val="1"/>
        <w:rPr>
          <w:rFonts w:ascii="宋体" w:hAnsi="宋体" w:cs="宋体"/>
          <w:b/>
          <w:sz w:val="32"/>
        </w:rPr>
      </w:pPr>
      <w:bookmarkStart w:id="60" w:name="_Toc30027"/>
      <w:bookmarkStart w:id="61" w:name="_Toc17795"/>
      <w:bookmarkStart w:id="62" w:name="_Toc25042"/>
      <w:bookmarkStart w:id="63" w:name="_Toc3241"/>
      <w:bookmarkStart w:id="64" w:name="_Toc6717"/>
      <w:bookmarkStart w:id="65" w:name="_Toc91899897"/>
      <w:bookmarkStart w:id="66" w:name="_Toc31458"/>
      <w:bookmarkStart w:id="67" w:name="_Toc30328"/>
      <w:r>
        <w:rPr>
          <w:rFonts w:hint="eastAsia" w:ascii="宋体" w:hAnsi="宋体" w:cs="宋体"/>
          <w:b/>
          <w:sz w:val="32"/>
        </w:rPr>
        <w:t>四、开 标</w:t>
      </w:r>
      <w:bookmarkEnd w:id="60"/>
      <w:bookmarkEnd w:id="61"/>
      <w:bookmarkEnd w:id="62"/>
      <w:bookmarkEnd w:id="63"/>
      <w:bookmarkEnd w:id="64"/>
      <w:bookmarkEnd w:id="65"/>
      <w:bookmarkEnd w:id="66"/>
      <w:bookmarkEnd w:id="67"/>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16．开标</w:t>
      </w:r>
    </w:p>
    <w:p>
      <w:pPr>
        <w:spacing w:line="360" w:lineRule="auto"/>
        <w:ind w:firstLine="480"/>
        <w:rPr>
          <w:sz w:val="24"/>
        </w:rPr>
      </w:pPr>
      <w:r>
        <w:rPr>
          <w:rFonts w:hint="eastAsia"/>
          <w:sz w:val="24"/>
        </w:rPr>
        <w:t>16.1开标形式：</w:t>
      </w:r>
      <w:r>
        <w:rPr>
          <w:sz w:val="24"/>
        </w:rPr>
        <w:t>招标代理机构</w:t>
      </w:r>
      <w:r>
        <w:rPr>
          <w:rFonts w:hint="eastAsia"/>
          <w:sz w:val="24"/>
        </w:rPr>
        <w:t xml:space="preserve">将按照招标文件规定的时间通过“政府采购云平台”组织在线开标，所有投标人均应当准时在线参加。   </w:t>
      </w:r>
    </w:p>
    <w:p>
      <w:pPr>
        <w:spacing w:line="360" w:lineRule="auto"/>
        <w:ind w:firstLine="470" w:firstLineChars="196"/>
        <w:rPr>
          <w:b/>
          <w:kern w:val="0"/>
          <w:sz w:val="24"/>
        </w:rPr>
      </w:pPr>
      <w:r>
        <w:rPr>
          <w:rFonts w:hint="eastAsia"/>
          <w:sz w:val="24"/>
        </w:rPr>
        <w:t>16</w:t>
      </w:r>
      <w:r>
        <w:rPr>
          <w:rFonts w:hint="eastAsia"/>
          <w:b/>
          <w:sz w:val="24"/>
        </w:rPr>
        <w:t>.2到</w:t>
      </w:r>
      <w:r>
        <w:rPr>
          <w:rFonts w:hint="eastAsia"/>
          <w:b/>
          <w:kern w:val="0"/>
          <w:sz w:val="24"/>
        </w:rPr>
        <w:t>投标截止时间，递交投标文件的投标人少于4家的，取消当期招标工作，招标人将依法重新组织招标。</w:t>
      </w:r>
    </w:p>
    <w:p>
      <w:pPr>
        <w:spacing w:line="360" w:lineRule="auto"/>
        <w:ind w:firstLine="470" w:firstLineChars="196"/>
        <w:rPr>
          <w:sz w:val="24"/>
        </w:rPr>
      </w:pPr>
      <w:r>
        <w:rPr>
          <w:rFonts w:hint="eastAsia"/>
          <w:sz w:val="24"/>
        </w:rPr>
        <w:t>16</w:t>
      </w:r>
      <w:r>
        <w:rPr>
          <w:rFonts w:hint="eastAsia"/>
          <w:kern w:val="0"/>
          <w:sz w:val="24"/>
        </w:rPr>
        <w:t>.3</w:t>
      </w:r>
      <w:r>
        <w:rPr>
          <w:rFonts w:hint="eastAsia"/>
          <w:sz w:val="24"/>
        </w:rPr>
        <w:t>所有的开标流程按照“政府采购云平台”关于公款竞争性存放的操作流程进行。</w:t>
      </w:r>
    </w:p>
    <w:p>
      <w:pPr>
        <w:adjustRightInd w:val="0"/>
        <w:spacing w:line="360" w:lineRule="auto"/>
        <w:ind w:firstLine="480" w:firstLineChars="200"/>
        <w:jc w:val="left"/>
        <w:rPr>
          <w:rFonts w:ascii="宋体" w:hAnsi="宋体" w:cs="宋体"/>
          <w:snapToGrid w:val="0"/>
          <w:kern w:val="0"/>
          <w:sz w:val="24"/>
        </w:rPr>
      </w:pPr>
      <w:r>
        <w:rPr>
          <w:rFonts w:hint="eastAsia"/>
          <w:sz w:val="24"/>
        </w:rPr>
        <w:t>16</w:t>
      </w:r>
      <w:r>
        <w:rPr>
          <w:rFonts w:hint="eastAsia"/>
          <w:kern w:val="0"/>
          <w:sz w:val="24"/>
        </w:rPr>
        <w:t>.4</w:t>
      </w:r>
      <w:r>
        <w:rPr>
          <w:rFonts w:hint="eastAsia"/>
          <w:sz w:val="24"/>
        </w:rPr>
        <w:t>如遇政采云平台电子化开标或评审程序调整的，或者政采云系统提供数据电文交互功能的，按其规定执行</w:t>
      </w:r>
      <w:r>
        <w:rPr>
          <w:rFonts w:hint="eastAsia" w:ascii="宋体" w:hAnsi="宋体" w:cs="宋体"/>
          <w:snapToGrid w:val="0"/>
          <w:kern w:val="0"/>
          <w:sz w:val="24"/>
        </w:rPr>
        <w:t>。</w:t>
      </w:r>
    </w:p>
    <w:p>
      <w:pPr>
        <w:pStyle w:val="83"/>
        <w:spacing w:before="0"/>
        <w:ind w:firstLine="480"/>
        <w:rPr>
          <w:rFonts w:ascii="宋体" w:hAnsi="宋体" w:cs="宋体"/>
          <w:szCs w:val="24"/>
        </w:rPr>
      </w:pPr>
    </w:p>
    <w:p>
      <w:pPr>
        <w:spacing w:line="360" w:lineRule="auto"/>
        <w:jc w:val="center"/>
        <w:outlineLvl w:val="1"/>
        <w:rPr>
          <w:rFonts w:ascii="宋体" w:hAnsi="宋体" w:cs="宋体"/>
          <w:b/>
          <w:sz w:val="32"/>
        </w:rPr>
      </w:pPr>
      <w:bookmarkStart w:id="68" w:name="_Hlt75236101"/>
      <w:bookmarkEnd w:id="68"/>
      <w:bookmarkStart w:id="69" w:name="_Toc91899902"/>
      <w:bookmarkStart w:id="70" w:name="_Toc24247"/>
      <w:bookmarkStart w:id="71" w:name="_Toc20492"/>
      <w:bookmarkStart w:id="72" w:name="_Toc31586"/>
      <w:bookmarkStart w:id="73" w:name="_Toc16603"/>
      <w:bookmarkStart w:id="74" w:name="_Toc20371"/>
      <w:bookmarkStart w:id="75" w:name="_Toc3334"/>
      <w:bookmarkStart w:id="76" w:name="_Toc157"/>
      <w:r>
        <w:rPr>
          <w:rFonts w:hint="eastAsia" w:ascii="宋体" w:hAnsi="宋体" w:cs="宋体"/>
          <w:b/>
          <w:sz w:val="32"/>
        </w:rPr>
        <w:t xml:space="preserve">五、评 </w:t>
      </w:r>
      <w:bookmarkEnd w:id="69"/>
      <w:r>
        <w:rPr>
          <w:rFonts w:hint="eastAsia" w:ascii="宋体" w:hAnsi="宋体" w:cs="宋体"/>
          <w:b/>
          <w:sz w:val="32"/>
        </w:rPr>
        <w:t>标</w:t>
      </w:r>
      <w:bookmarkEnd w:id="70"/>
      <w:bookmarkEnd w:id="71"/>
      <w:bookmarkEnd w:id="72"/>
      <w:bookmarkEnd w:id="73"/>
      <w:bookmarkEnd w:id="74"/>
      <w:bookmarkEnd w:id="75"/>
      <w:bookmarkEnd w:id="76"/>
    </w:p>
    <w:p>
      <w:pPr>
        <w:adjustRightInd w:val="0"/>
        <w:spacing w:line="360" w:lineRule="auto"/>
        <w:outlineLvl w:val="2"/>
        <w:rPr>
          <w:rFonts w:ascii="宋体" w:hAnsi="宋体" w:cs="宋体"/>
          <w:b/>
          <w:snapToGrid w:val="0"/>
          <w:kern w:val="0"/>
          <w:sz w:val="24"/>
        </w:rPr>
      </w:pPr>
      <w:bookmarkStart w:id="77" w:name="_Toc86216994"/>
      <w:r>
        <w:rPr>
          <w:rFonts w:hint="eastAsia" w:ascii="宋体" w:hAnsi="宋体" w:cs="宋体"/>
          <w:b/>
          <w:snapToGrid w:val="0"/>
          <w:kern w:val="0"/>
          <w:sz w:val="24"/>
        </w:rPr>
        <w:t>17．评标</w:t>
      </w:r>
    </w:p>
    <w:p>
      <w:pPr>
        <w:adjustRightInd w:val="0"/>
        <w:spacing w:line="360" w:lineRule="auto"/>
        <w:ind w:firstLine="482" w:firstLineChars="200"/>
        <w:jc w:val="left"/>
        <w:rPr>
          <w:rFonts w:ascii="宋体" w:hAnsi="宋体" w:cs="宋体"/>
          <w:b/>
          <w:snapToGrid w:val="0"/>
          <w:kern w:val="0"/>
          <w:sz w:val="24"/>
        </w:rPr>
      </w:pPr>
      <w:r>
        <w:rPr>
          <w:rFonts w:hint="eastAsia" w:ascii="宋体" w:hAnsi="宋体" w:cs="宋体"/>
          <w:b/>
          <w:snapToGrid w:val="0"/>
          <w:kern w:val="0"/>
          <w:sz w:val="24"/>
        </w:rPr>
        <w:t>17.1评标委员会的组建</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本项目评标委员会由5人或以上单数人员组成。评审委员会应当由单位内部成员和外部专家共同组成。外部专家比例不低于60%，由省、市级单位公款竞争性存放评审专家库中抽取。评审委员会成员应严格执行利益回避的相关规定，成员名单在中标结果确定前应当保密。</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（2）评标委员会成员有下列情形之一的，应当回避：</w:t>
      </w:r>
    </w:p>
    <w:p>
      <w:pPr>
        <w:adjustRightInd w:val="0"/>
        <w:spacing w:line="360" w:lineRule="auto"/>
        <w:ind w:firstLine="960" w:firstLineChars="400"/>
        <w:jc w:val="left"/>
        <w:rPr>
          <w:rFonts w:ascii="宋体" w:hAnsi="宋体" w:cs="宋体"/>
          <w:snapToGrid w:val="0"/>
          <w:kern w:val="0"/>
          <w:sz w:val="24"/>
        </w:rPr>
      </w:pPr>
      <w:r>
        <w:rPr>
          <w:rFonts w:hint="eastAsia" w:ascii="宋体" w:hAnsi="宋体" w:cs="宋体"/>
          <w:snapToGrid w:val="0"/>
          <w:kern w:val="0"/>
          <w:sz w:val="24"/>
        </w:rPr>
        <w:t>A.招标人或投标人的主要负责人的近亲属；</w:t>
      </w:r>
    </w:p>
    <w:p>
      <w:pPr>
        <w:adjustRightInd w:val="0"/>
        <w:spacing w:line="360" w:lineRule="auto"/>
        <w:ind w:firstLine="960" w:firstLineChars="400"/>
        <w:jc w:val="left"/>
        <w:rPr>
          <w:rFonts w:ascii="宋体" w:hAnsi="宋体" w:cs="宋体"/>
          <w:snapToGrid w:val="0"/>
          <w:kern w:val="0"/>
          <w:sz w:val="24"/>
        </w:rPr>
      </w:pPr>
      <w:r>
        <w:rPr>
          <w:rFonts w:hint="eastAsia" w:ascii="宋体" w:hAnsi="宋体" w:cs="宋体"/>
          <w:snapToGrid w:val="0"/>
          <w:kern w:val="0"/>
          <w:sz w:val="24"/>
        </w:rPr>
        <w:t>B.项目监督管理部门的人员；</w:t>
      </w:r>
    </w:p>
    <w:p>
      <w:pPr>
        <w:adjustRightInd w:val="0"/>
        <w:spacing w:line="360" w:lineRule="auto"/>
        <w:ind w:firstLine="960" w:firstLineChars="400"/>
        <w:jc w:val="left"/>
        <w:rPr>
          <w:rFonts w:ascii="宋体" w:hAnsi="宋体" w:cs="宋体"/>
          <w:snapToGrid w:val="0"/>
          <w:kern w:val="0"/>
          <w:sz w:val="24"/>
        </w:rPr>
      </w:pPr>
      <w:r>
        <w:rPr>
          <w:rFonts w:hint="eastAsia" w:ascii="宋体" w:hAnsi="宋体" w:cs="宋体"/>
          <w:snapToGrid w:val="0"/>
          <w:kern w:val="0"/>
          <w:sz w:val="24"/>
        </w:rPr>
        <w:t>C.与投标人有经济利益关系，可能影响对投标公正评审的；</w:t>
      </w:r>
    </w:p>
    <w:p>
      <w:pPr>
        <w:adjustRightInd w:val="0"/>
        <w:spacing w:line="360" w:lineRule="auto"/>
        <w:ind w:firstLine="960" w:firstLineChars="400"/>
        <w:jc w:val="left"/>
        <w:rPr>
          <w:rFonts w:ascii="宋体" w:hAnsi="宋体" w:cs="宋体"/>
          <w:snapToGrid w:val="0"/>
          <w:kern w:val="0"/>
          <w:sz w:val="24"/>
        </w:rPr>
      </w:pPr>
      <w:r>
        <w:rPr>
          <w:rFonts w:hint="eastAsia" w:ascii="宋体" w:hAnsi="宋体" w:cs="宋体"/>
          <w:snapToGrid w:val="0"/>
          <w:kern w:val="0"/>
          <w:sz w:val="24"/>
        </w:rPr>
        <w:t>D.曾因在招标、评标以及其他与招标投标有关活动中从事违法行为而受过行政处罚或刑事处罚的。</w:t>
      </w:r>
    </w:p>
    <w:p>
      <w:pPr>
        <w:adjustRightInd w:val="0"/>
        <w:spacing w:line="360" w:lineRule="auto"/>
        <w:ind w:firstLine="482" w:firstLineChars="200"/>
        <w:jc w:val="left"/>
        <w:rPr>
          <w:rFonts w:ascii="宋体" w:hAnsi="宋体" w:cs="宋体"/>
          <w:b/>
          <w:snapToGrid w:val="0"/>
          <w:kern w:val="0"/>
          <w:sz w:val="24"/>
        </w:rPr>
      </w:pPr>
      <w:r>
        <w:rPr>
          <w:rFonts w:hint="eastAsia" w:ascii="宋体" w:hAnsi="宋体" w:cs="宋体"/>
          <w:b/>
          <w:snapToGrid w:val="0"/>
          <w:kern w:val="0"/>
          <w:sz w:val="24"/>
        </w:rPr>
        <w:t>17.2评标原则</w:t>
      </w:r>
      <w:r>
        <w:rPr>
          <w:rFonts w:hint="eastAsia" w:ascii="宋体" w:hAnsi="宋体" w:cs="宋体"/>
          <w:b/>
          <w:snapToGrid w:val="0"/>
          <w:kern w:val="0"/>
          <w:sz w:val="24"/>
        </w:rPr>
        <w:tab/>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评标活动遵循公平、公正、科学和择优的原则。</w:t>
      </w:r>
    </w:p>
    <w:p>
      <w:pPr>
        <w:adjustRightInd w:val="0"/>
        <w:spacing w:line="360" w:lineRule="auto"/>
        <w:ind w:firstLine="482" w:firstLineChars="200"/>
        <w:jc w:val="left"/>
        <w:rPr>
          <w:rFonts w:ascii="宋体" w:hAnsi="宋体" w:cs="宋体"/>
          <w:b/>
          <w:snapToGrid w:val="0"/>
          <w:kern w:val="0"/>
          <w:sz w:val="24"/>
        </w:rPr>
      </w:pPr>
      <w:r>
        <w:rPr>
          <w:rFonts w:hint="eastAsia" w:ascii="宋体" w:hAnsi="宋体" w:cs="宋体"/>
          <w:b/>
          <w:snapToGrid w:val="0"/>
          <w:kern w:val="0"/>
          <w:sz w:val="24"/>
        </w:rPr>
        <w:t>17.3评标</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本项目采用综合评分法，详见招标文件第五部分“评标办法”。</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评标委员会按照招标文件规定的评标标准和方法，客观、公正地对投标文件提出评审意见。招标文件没有规定的评标标准和方法，不作为评标依据。</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18．否决投标的情形</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18.1凡评标委员会拟作出否决投标决定的，应先向投标人进行书面询问核实。未进行询问核实程序的，不得作出否决投标决定，投标人放弃接受询问核实机会（包括投标人所留联系方式无法联系上、在规定的时限内投标人不参加询问核实或不予答复的）的除外。</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18.2投标文件存在以下情形之一的，其投标文件将被否决：</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（1）资格证明文件不全的，或者不符合招标文件标明的资格要求的；</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（2）投标文件未按招标文件要求签署、盖章的；</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（3）投标文件中法定代表人授权书所载内容与本项目内容有异的或者法定代表人（或负责人）授权书未按照招标文件要求签署、盖章的；</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（4）投标文件关键内容字迹不清晰或存在歧义；</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（5）投标有效期不能满足招标文件要求的；</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（6）未响应招标文件打“▲”实质性要求或者投标文件有招标人不能接受的附加条件的；</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（7）投标人提供虚假材料投标的；</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（8）经评标委员会审核，投标人的投标文件有类同或有串标嫌疑的；</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（9）投标利率低于相同期限基准存款利率；</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（10）利率增加基点违反国家利率政策规定或浙江省市场利率定价自律机制约定；</w:t>
      </w:r>
    </w:p>
    <w:p>
      <w:pPr>
        <w:adjustRightInd w:val="0"/>
        <w:spacing w:line="360" w:lineRule="auto"/>
        <w:ind w:firstLine="482" w:firstLineChars="200"/>
        <w:jc w:val="left"/>
        <w:rPr>
          <w:rFonts w:ascii="宋体" w:hAnsi="宋体" w:cs="宋体"/>
          <w:b/>
          <w:bCs/>
          <w:snapToGrid w:val="0"/>
          <w:kern w:val="0"/>
          <w:sz w:val="24"/>
          <w:szCs w:val="22"/>
        </w:rPr>
      </w:pPr>
      <w:r>
        <w:rPr>
          <w:rFonts w:hint="eastAsia" w:ascii="宋体" w:hAnsi="宋体" w:cs="宋体"/>
          <w:b/>
          <w:bCs/>
          <w:snapToGrid w:val="0"/>
          <w:kern w:val="0"/>
          <w:sz w:val="24"/>
          <w:szCs w:val="22"/>
        </w:rPr>
        <w:t>（11）不符合法律法规及招标文件明确规定的其他无效投标条款的。</w:t>
      </w:r>
    </w:p>
    <w:p>
      <w:pPr>
        <w:adjustRightInd w:val="0"/>
        <w:spacing w:line="360" w:lineRule="auto"/>
        <w:jc w:val="left"/>
        <w:rPr>
          <w:rFonts w:ascii="宋体" w:hAnsi="宋体" w:cs="宋体"/>
          <w:snapToGrid w:val="0"/>
          <w:kern w:val="0"/>
          <w:sz w:val="24"/>
        </w:rPr>
      </w:pPr>
    </w:p>
    <w:p>
      <w:pPr>
        <w:spacing w:line="360" w:lineRule="auto"/>
        <w:jc w:val="center"/>
        <w:outlineLvl w:val="1"/>
        <w:rPr>
          <w:rFonts w:ascii="宋体" w:hAnsi="宋体" w:cs="宋体"/>
          <w:b/>
          <w:sz w:val="32"/>
        </w:rPr>
      </w:pPr>
      <w:bookmarkStart w:id="78" w:name="_Toc26314"/>
      <w:bookmarkStart w:id="79" w:name="_Toc31591"/>
      <w:bookmarkStart w:id="80" w:name="_Toc31303"/>
      <w:bookmarkStart w:id="81" w:name="_Toc3299"/>
      <w:bookmarkStart w:id="82" w:name="_Toc11498"/>
      <w:bookmarkStart w:id="83" w:name="_Toc28207"/>
      <w:bookmarkStart w:id="84" w:name="_Toc18109"/>
      <w:r>
        <w:rPr>
          <w:rFonts w:hint="eastAsia" w:ascii="宋体" w:hAnsi="宋体" w:cs="宋体"/>
          <w:b/>
          <w:sz w:val="32"/>
        </w:rPr>
        <w:t>六、定 标</w:t>
      </w:r>
      <w:bookmarkEnd w:id="77"/>
      <w:bookmarkEnd w:id="78"/>
      <w:bookmarkEnd w:id="79"/>
      <w:bookmarkEnd w:id="80"/>
      <w:bookmarkEnd w:id="81"/>
      <w:bookmarkEnd w:id="82"/>
      <w:bookmarkEnd w:id="83"/>
      <w:bookmarkEnd w:id="84"/>
    </w:p>
    <w:p>
      <w:pPr>
        <w:adjustRightInd w:val="0"/>
        <w:spacing w:line="360" w:lineRule="auto"/>
        <w:outlineLvl w:val="2"/>
        <w:rPr>
          <w:rFonts w:ascii="宋体" w:hAnsi="宋体" w:cs="宋体"/>
          <w:b/>
          <w:snapToGrid w:val="0"/>
          <w:kern w:val="0"/>
          <w:sz w:val="24"/>
        </w:rPr>
      </w:pPr>
      <w:bookmarkStart w:id="85" w:name="_Toc86216995"/>
      <w:bookmarkStart w:id="86" w:name="_Toc91899910"/>
      <w:r>
        <w:rPr>
          <w:rFonts w:hint="eastAsia" w:ascii="宋体" w:hAnsi="宋体" w:cs="宋体"/>
          <w:b/>
          <w:snapToGrid w:val="0"/>
          <w:kern w:val="0"/>
          <w:sz w:val="24"/>
        </w:rPr>
        <w:t>19．确定中标人</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19.1 定标</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代理机构应当在评标结束后2个工作日内将评标报告送招标人确认。招标人应当自收到评标报告之日起5个工作日内，在评标报告确定的中标候选人名单中按顺序确定中标人。</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19.2 中标公告</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自中标银行确定之日起2个工作日内，招标代理机构向中标银行发出中标通知书，并在发布招标公告的媒体上发布中标公告。</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19.3 中标人有违反有关法律法规或出现符合本项目取消中标资格的行为的，则取消其中标资格，并根据评标委员会推荐的中标候选人先后顺序，将下一顺序单位作为中标公告单位，如无顺位后一位银行的，由招标代理机构组织评标委员会复议后提出重新组织招标等建议。</w:t>
      </w:r>
    </w:p>
    <w:p>
      <w:pPr>
        <w:spacing w:line="360" w:lineRule="auto"/>
        <w:ind w:firstLine="480" w:firstLineChars="200"/>
        <w:rPr>
          <w:rFonts w:ascii="宋体" w:hAnsi="宋体" w:cs="宋体"/>
          <w:sz w:val="24"/>
        </w:rPr>
      </w:pPr>
    </w:p>
    <w:p>
      <w:pPr>
        <w:pStyle w:val="43"/>
        <w:ind w:firstLine="480"/>
      </w:pPr>
    </w:p>
    <w:p>
      <w:pPr>
        <w:spacing w:line="360" w:lineRule="auto"/>
        <w:jc w:val="center"/>
        <w:outlineLvl w:val="1"/>
        <w:rPr>
          <w:rFonts w:ascii="宋体" w:hAnsi="宋体" w:cs="宋体"/>
          <w:b/>
          <w:sz w:val="32"/>
          <w:szCs w:val="32"/>
        </w:rPr>
      </w:pPr>
      <w:bookmarkStart w:id="87" w:name="_Toc3567"/>
      <w:bookmarkStart w:id="88" w:name="_Toc11495"/>
      <w:bookmarkStart w:id="89" w:name="_Toc19298"/>
      <w:bookmarkStart w:id="90" w:name="_Toc20447"/>
      <w:bookmarkStart w:id="91" w:name="_Toc16862"/>
      <w:bookmarkStart w:id="92" w:name="_Toc3470"/>
      <w:bookmarkStart w:id="93" w:name="_Toc20625"/>
      <w:r>
        <w:rPr>
          <w:rFonts w:hint="eastAsia" w:ascii="宋体" w:hAnsi="宋体" w:cs="宋体"/>
          <w:b/>
          <w:sz w:val="32"/>
          <w:szCs w:val="32"/>
        </w:rPr>
        <w:t>七、</w:t>
      </w:r>
      <w:bookmarkEnd w:id="85"/>
      <w:r>
        <w:rPr>
          <w:rFonts w:hint="eastAsia" w:ascii="宋体" w:hAnsi="宋体" w:cs="宋体"/>
          <w:b/>
          <w:sz w:val="32"/>
          <w:szCs w:val="32"/>
        </w:rPr>
        <w:t>协议签订及其他</w:t>
      </w:r>
      <w:bookmarkEnd w:id="87"/>
      <w:bookmarkEnd w:id="88"/>
      <w:bookmarkEnd w:id="89"/>
      <w:bookmarkEnd w:id="90"/>
      <w:bookmarkEnd w:id="91"/>
      <w:bookmarkEnd w:id="92"/>
      <w:bookmarkEnd w:id="93"/>
    </w:p>
    <w:bookmarkEnd w:id="86"/>
    <w:p>
      <w:pPr>
        <w:adjustRightInd w:val="0"/>
        <w:spacing w:line="360" w:lineRule="auto"/>
        <w:outlineLvl w:val="2"/>
        <w:rPr>
          <w:rFonts w:ascii="宋体" w:hAnsi="宋体" w:cs="宋体"/>
          <w:b/>
          <w:snapToGrid w:val="0"/>
          <w:kern w:val="0"/>
          <w:sz w:val="24"/>
        </w:rPr>
      </w:pPr>
      <w:bookmarkStart w:id="94" w:name="_Toc36110187"/>
      <w:bookmarkStart w:id="95" w:name="_Toc91899912"/>
      <w:r>
        <w:rPr>
          <w:rFonts w:hint="eastAsia" w:ascii="宋体" w:hAnsi="宋体" w:cs="宋体"/>
          <w:b/>
          <w:snapToGrid w:val="0"/>
          <w:kern w:val="0"/>
          <w:sz w:val="24"/>
        </w:rPr>
        <w:t>20．协议授予</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20.1 本项目的协议将授予按本须知第19款所确定的中标人。</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20.2 中标人因不可抗力或者自身原因不能履行协议的，招标人可以与排位在中标人之后的中标候选人签订协议，以此类推。推荐中标候选人均放弃中标的，依法重新组织招标或经原审批或核准部门批准按其他方式执行。如无顺位后一位中标候选人的，招标人可按本须知第22款内容组织重新招投标。</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21．签订协议</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21.1 中标人应按中标通知书规定的时间与招标人签订协议。</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21.2 中标人如不遵守招标文件或投标文件各项条款的邀约与要约，或在接到中标通知书后借故拖延，拒签协议的，给招标人造成的损失予以赔偿，招标人可根据20.2的原则另行选择中标人；</w:t>
      </w:r>
    </w:p>
    <w:p>
      <w:pPr>
        <w:adjustRightInd w:val="0"/>
        <w:spacing w:line="360" w:lineRule="auto"/>
        <w:ind w:firstLine="480" w:firstLineChars="200"/>
        <w:jc w:val="left"/>
        <w:rPr>
          <w:rFonts w:ascii="宋体" w:hAnsi="宋体" w:cs="宋体"/>
          <w:b/>
          <w:snapToGrid w:val="0"/>
          <w:kern w:val="0"/>
          <w:sz w:val="24"/>
        </w:rPr>
      </w:pPr>
      <w:r>
        <w:rPr>
          <w:rFonts w:hint="eastAsia" w:ascii="宋体" w:hAnsi="宋体" w:cs="宋体"/>
          <w:snapToGrid w:val="0"/>
          <w:kern w:val="0"/>
          <w:sz w:val="24"/>
        </w:rPr>
        <w:t>21.3 招标文件、中标人的投标文件及投标修改文件、评标过程中有关澄清文件及经投标人法定代表人（或单位负责人）或授权代表确认的询标回复和承诺及中标通知书均作为协议组成部分。</w:t>
      </w:r>
    </w:p>
    <w:p>
      <w:pPr>
        <w:adjustRightInd w:val="0"/>
        <w:spacing w:line="360" w:lineRule="auto"/>
        <w:outlineLvl w:val="2"/>
        <w:rPr>
          <w:rFonts w:ascii="宋体" w:hAnsi="宋体" w:cs="宋体"/>
          <w:b/>
          <w:snapToGrid w:val="0"/>
          <w:kern w:val="0"/>
          <w:sz w:val="24"/>
        </w:rPr>
      </w:pPr>
      <w:bookmarkStart w:id="96" w:name="_Toc144974539"/>
      <w:bookmarkStart w:id="97" w:name="_Toc152042347"/>
      <w:bookmarkStart w:id="98" w:name="_Toc245036638"/>
      <w:bookmarkStart w:id="99" w:name="_Toc152045571"/>
      <w:bookmarkStart w:id="100" w:name="_Toc392345950"/>
      <w:bookmarkStart w:id="101" w:name="_Toc323711786"/>
      <w:r>
        <w:rPr>
          <w:rFonts w:hint="eastAsia" w:ascii="宋体" w:hAnsi="宋体" w:cs="宋体"/>
          <w:b/>
          <w:snapToGrid w:val="0"/>
          <w:kern w:val="0"/>
          <w:sz w:val="24"/>
        </w:rPr>
        <w:t>22．重新招标</w:t>
      </w:r>
      <w:bookmarkEnd w:id="96"/>
      <w:bookmarkEnd w:id="97"/>
      <w:bookmarkEnd w:id="98"/>
      <w:bookmarkEnd w:id="99"/>
      <w:bookmarkEnd w:id="100"/>
      <w:bookmarkEnd w:id="101"/>
    </w:p>
    <w:p>
      <w:pPr>
        <w:adjustRightInd w:val="0"/>
        <w:spacing w:line="360" w:lineRule="auto"/>
        <w:ind w:firstLine="480" w:firstLineChars="200"/>
        <w:jc w:val="left"/>
        <w:rPr>
          <w:rFonts w:ascii="宋体" w:hAnsi="宋体" w:cs="宋体"/>
          <w:snapToGrid w:val="0"/>
          <w:kern w:val="0"/>
          <w:sz w:val="24"/>
        </w:rPr>
      </w:pPr>
      <w:bookmarkStart w:id="102" w:name="_Toc319408108"/>
      <w:bookmarkStart w:id="103" w:name="_Toc392345951"/>
      <w:bookmarkStart w:id="104" w:name="_Toc319407873"/>
      <w:bookmarkStart w:id="105" w:name="_Toc144974540"/>
      <w:bookmarkStart w:id="106" w:name="_Toc152042348"/>
      <w:bookmarkStart w:id="107" w:name="_Toc322615435"/>
      <w:bookmarkStart w:id="108" w:name="_Toc323711787"/>
      <w:bookmarkStart w:id="109" w:name="_Toc152045572"/>
      <w:bookmarkStart w:id="110" w:name="_Toc245036639"/>
      <w:r>
        <w:rPr>
          <w:rFonts w:hint="eastAsia" w:ascii="宋体" w:hAnsi="宋体" w:cs="宋体"/>
          <w:snapToGrid w:val="0"/>
          <w:kern w:val="0"/>
          <w:sz w:val="24"/>
        </w:rPr>
        <w:t>22.1 重新招标</w:t>
      </w:r>
      <w:bookmarkEnd w:id="102"/>
      <w:bookmarkEnd w:id="103"/>
      <w:bookmarkEnd w:id="104"/>
      <w:bookmarkEnd w:id="105"/>
      <w:bookmarkEnd w:id="106"/>
      <w:bookmarkEnd w:id="107"/>
      <w:bookmarkEnd w:id="108"/>
      <w:bookmarkEnd w:id="109"/>
      <w:bookmarkEnd w:id="110"/>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有下列情形之一的，招标人将重新招标：</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（1）投标截止时间止，投标人不足4家或者通过资格审查或符合性审查的投标人不足4家的；</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（2）经评标委员会评审后否决所有投标或提出重新招标建议的。</w:t>
      </w:r>
    </w:p>
    <w:p>
      <w:pPr>
        <w:adjustRightInd w:val="0"/>
        <w:spacing w:line="360" w:lineRule="auto"/>
        <w:ind w:firstLine="480" w:firstLineChars="200"/>
        <w:jc w:val="left"/>
        <w:rPr>
          <w:rFonts w:ascii="宋体" w:hAnsi="宋体" w:cs="宋体"/>
          <w:snapToGrid w:val="0"/>
          <w:kern w:val="0"/>
          <w:sz w:val="24"/>
        </w:rPr>
      </w:pPr>
    </w:p>
    <w:p>
      <w:pPr>
        <w:adjustRightInd w:val="0"/>
        <w:spacing w:line="360" w:lineRule="auto"/>
        <w:outlineLvl w:val="2"/>
        <w:rPr>
          <w:rFonts w:ascii="宋体" w:hAnsi="宋体" w:cs="宋体"/>
          <w:b/>
          <w:snapToGrid w:val="0"/>
          <w:kern w:val="0"/>
          <w:sz w:val="24"/>
        </w:rPr>
      </w:pPr>
      <w:bookmarkStart w:id="111" w:name="_Toc152042350"/>
      <w:bookmarkStart w:id="112" w:name="_Toc152045574"/>
      <w:bookmarkStart w:id="113" w:name="_Toc392345953"/>
      <w:bookmarkStart w:id="114" w:name="_Toc245036641"/>
      <w:bookmarkStart w:id="115" w:name="_Toc323711789"/>
      <w:bookmarkStart w:id="116" w:name="_Toc144974542"/>
      <w:r>
        <w:rPr>
          <w:rFonts w:hint="eastAsia" w:ascii="宋体" w:hAnsi="宋体" w:cs="宋体"/>
          <w:b/>
          <w:snapToGrid w:val="0"/>
          <w:kern w:val="0"/>
          <w:sz w:val="24"/>
        </w:rPr>
        <w:t>23．纪律和监督</w:t>
      </w:r>
      <w:bookmarkEnd w:id="111"/>
      <w:bookmarkEnd w:id="112"/>
      <w:bookmarkEnd w:id="113"/>
      <w:bookmarkEnd w:id="114"/>
      <w:bookmarkEnd w:id="115"/>
      <w:bookmarkEnd w:id="116"/>
    </w:p>
    <w:p>
      <w:pPr>
        <w:adjustRightInd w:val="0"/>
        <w:spacing w:line="360" w:lineRule="auto"/>
        <w:ind w:firstLine="480" w:firstLineChars="200"/>
        <w:jc w:val="left"/>
        <w:rPr>
          <w:rFonts w:ascii="宋体" w:hAnsi="宋体" w:cs="宋体"/>
          <w:snapToGrid w:val="0"/>
          <w:kern w:val="0"/>
          <w:sz w:val="24"/>
        </w:rPr>
      </w:pPr>
      <w:bookmarkStart w:id="117" w:name="_Toc323711790"/>
      <w:bookmarkStart w:id="118" w:name="_Toc245036642"/>
      <w:bookmarkStart w:id="119" w:name="_Toc392345954"/>
      <w:bookmarkStart w:id="120" w:name="_Toc144974543"/>
      <w:bookmarkStart w:id="121" w:name="_Toc152045575"/>
      <w:bookmarkStart w:id="122" w:name="_Toc152042351"/>
      <w:bookmarkStart w:id="123" w:name="_Toc322615438"/>
      <w:bookmarkStart w:id="124" w:name="_Toc319407876"/>
      <w:bookmarkStart w:id="125" w:name="_Toc319408111"/>
      <w:r>
        <w:rPr>
          <w:rFonts w:hint="eastAsia" w:ascii="宋体" w:hAnsi="宋体" w:cs="宋体"/>
          <w:snapToGrid w:val="0"/>
          <w:kern w:val="0"/>
          <w:sz w:val="24"/>
        </w:rPr>
        <w:t>23.1 对招标人的纪律要求</w:t>
      </w:r>
      <w:bookmarkEnd w:id="117"/>
      <w:bookmarkEnd w:id="118"/>
      <w:bookmarkEnd w:id="119"/>
      <w:bookmarkEnd w:id="120"/>
      <w:bookmarkEnd w:id="121"/>
      <w:bookmarkEnd w:id="122"/>
      <w:bookmarkEnd w:id="123"/>
      <w:bookmarkEnd w:id="124"/>
      <w:bookmarkEnd w:id="125"/>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招标人不得泄露招标投标活动中应当保密的情况和资料，不得与投标人串通损害国家利益、社会公共利益或者他人合法权益。</w:t>
      </w:r>
    </w:p>
    <w:p>
      <w:pPr>
        <w:adjustRightInd w:val="0"/>
        <w:spacing w:line="360" w:lineRule="auto"/>
        <w:ind w:firstLine="480" w:firstLineChars="200"/>
        <w:jc w:val="left"/>
        <w:rPr>
          <w:rFonts w:ascii="宋体" w:hAnsi="宋体" w:cs="宋体"/>
          <w:snapToGrid w:val="0"/>
          <w:kern w:val="0"/>
          <w:sz w:val="24"/>
        </w:rPr>
      </w:pPr>
      <w:bookmarkStart w:id="126" w:name="_Toc392345955"/>
      <w:bookmarkStart w:id="127" w:name="_Toc245036643"/>
      <w:bookmarkStart w:id="128" w:name="_Toc144974544"/>
      <w:bookmarkStart w:id="129" w:name="_Toc319408112"/>
      <w:bookmarkStart w:id="130" w:name="_Toc152045576"/>
      <w:bookmarkStart w:id="131" w:name="_Toc323711791"/>
      <w:bookmarkStart w:id="132" w:name="_Toc152042352"/>
      <w:bookmarkStart w:id="133" w:name="_Toc319407877"/>
      <w:bookmarkStart w:id="134" w:name="_Toc322615439"/>
      <w:r>
        <w:rPr>
          <w:rFonts w:hint="eastAsia" w:ascii="宋体" w:hAnsi="宋体" w:cs="宋体"/>
          <w:snapToGrid w:val="0"/>
          <w:kern w:val="0"/>
          <w:sz w:val="24"/>
        </w:rPr>
        <w:t>23.2 对投标人的纪律要求</w:t>
      </w:r>
      <w:bookmarkEnd w:id="126"/>
      <w:bookmarkEnd w:id="127"/>
      <w:bookmarkEnd w:id="128"/>
      <w:bookmarkEnd w:id="129"/>
      <w:bookmarkEnd w:id="130"/>
      <w:bookmarkEnd w:id="131"/>
      <w:bookmarkEnd w:id="132"/>
      <w:bookmarkEnd w:id="133"/>
      <w:bookmarkEnd w:id="134"/>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pacing w:line="360" w:lineRule="auto"/>
        <w:ind w:firstLine="480" w:firstLineChars="200"/>
        <w:jc w:val="left"/>
        <w:rPr>
          <w:rFonts w:ascii="宋体" w:hAnsi="宋体" w:cs="宋体"/>
          <w:snapToGrid w:val="0"/>
          <w:kern w:val="0"/>
          <w:sz w:val="24"/>
        </w:rPr>
      </w:pPr>
      <w:bookmarkStart w:id="135" w:name="_Toc319408113"/>
      <w:bookmarkStart w:id="136" w:name="_Toc152045577"/>
      <w:bookmarkStart w:id="137" w:name="_Toc323711792"/>
      <w:bookmarkStart w:id="138" w:name="_Toc152042353"/>
      <w:bookmarkStart w:id="139" w:name="_Toc392345956"/>
      <w:bookmarkStart w:id="140" w:name="_Toc322615440"/>
      <w:bookmarkStart w:id="141" w:name="_Toc245036644"/>
      <w:bookmarkStart w:id="142" w:name="_Toc144974545"/>
      <w:bookmarkStart w:id="143" w:name="_Toc319407878"/>
      <w:r>
        <w:rPr>
          <w:rFonts w:hint="eastAsia" w:ascii="宋体" w:hAnsi="宋体" w:cs="宋体"/>
          <w:snapToGrid w:val="0"/>
          <w:kern w:val="0"/>
          <w:sz w:val="24"/>
        </w:rPr>
        <w:t>23.3 对评标委员会成员的纪律要求</w:t>
      </w:r>
      <w:bookmarkEnd w:id="135"/>
      <w:bookmarkEnd w:id="136"/>
      <w:bookmarkEnd w:id="137"/>
      <w:bookmarkEnd w:id="138"/>
      <w:bookmarkEnd w:id="139"/>
      <w:bookmarkEnd w:id="140"/>
      <w:bookmarkEnd w:id="141"/>
      <w:bookmarkEnd w:id="142"/>
      <w:bookmarkEnd w:id="143"/>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五部分评标办法没有规定的评审因素和标准进行评标。</w:t>
      </w:r>
    </w:p>
    <w:p>
      <w:pPr>
        <w:adjustRightInd w:val="0"/>
        <w:spacing w:line="360" w:lineRule="auto"/>
        <w:ind w:firstLine="480" w:firstLineChars="200"/>
        <w:jc w:val="left"/>
        <w:rPr>
          <w:rFonts w:ascii="宋体" w:hAnsi="宋体" w:cs="宋体"/>
          <w:snapToGrid w:val="0"/>
          <w:kern w:val="0"/>
          <w:sz w:val="24"/>
        </w:rPr>
      </w:pPr>
      <w:bookmarkStart w:id="144" w:name="_Toc245036645"/>
      <w:bookmarkStart w:id="145" w:name="_Toc323711793"/>
      <w:bookmarkStart w:id="146" w:name="_Toc322615441"/>
      <w:bookmarkStart w:id="147" w:name="_Toc319407879"/>
      <w:bookmarkStart w:id="148" w:name="_Toc392345957"/>
      <w:bookmarkStart w:id="149" w:name="_Toc319408114"/>
      <w:bookmarkStart w:id="150" w:name="_Toc152042354"/>
      <w:bookmarkStart w:id="151" w:name="_Toc152045578"/>
      <w:bookmarkStart w:id="152" w:name="_Toc144974546"/>
      <w:r>
        <w:rPr>
          <w:rFonts w:hint="eastAsia" w:ascii="宋体" w:hAnsi="宋体" w:cs="宋体"/>
          <w:snapToGrid w:val="0"/>
          <w:kern w:val="0"/>
          <w:sz w:val="24"/>
        </w:rPr>
        <w:t>23.4 对与评标活动有关的工作人员的纪律要求</w:t>
      </w:r>
      <w:bookmarkEnd w:id="144"/>
      <w:bookmarkEnd w:id="145"/>
      <w:bookmarkEnd w:id="146"/>
      <w:bookmarkEnd w:id="147"/>
      <w:bookmarkEnd w:id="148"/>
      <w:bookmarkEnd w:id="149"/>
      <w:bookmarkEnd w:id="150"/>
      <w:bookmarkEnd w:id="151"/>
    </w:p>
    <w:p>
      <w:pPr>
        <w:adjustRightInd w:val="0"/>
        <w:spacing w:line="360" w:lineRule="auto"/>
        <w:ind w:firstLine="480" w:firstLineChars="200"/>
        <w:jc w:val="left"/>
        <w:rPr>
          <w:rFonts w:ascii="宋体" w:hAnsi="宋体" w:cs="宋体"/>
          <w:snapToGrid w:val="0"/>
          <w:kern w:val="0"/>
          <w:sz w:val="24"/>
        </w:rPr>
      </w:pPr>
      <w:bookmarkStart w:id="153" w:name="_Toc152042355"/>
      <w:r>
        <w:rPr>
          <w:rFonts w:hint="eastAsia" w:ascii="宋体" w:hAnsi="宋体" w:cs="宋体"/>
          <w:snapToGrid w:val="0"/>
          <w:kern w:val="0"/>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153"/>
    </w:p>
    <w:p>
      <w:pPr>
        <w:adjustRightInd w:val="0"/>
        <w:spacing w:line="360" w:lineRule="auto"/>
        <w:ind w:firstLine="480" w:firstLineChars="200"/>
        <w:jc w:val="left"/>
        <w:rPr>
          <w:rFonts w:ascii="宋体" w:hAnsi="宋体" w:cs="宋体"/>
          <w:snapToGrid w:val="0"/>
          <w:kern w:val="0"/>
          <w:sz w:val="24"/>
        </w:rPr>
      </w:pPr>
      <w:bookmarkStart w:id="154" w:name="_Toc319408115"/>
      <w:bookmarkStart w:id="155" w:name="_Toc245036646"/>
      <w:bookmarkStart w:id="156" w:name="_Toc322615442"/>
      <w:bookmarkStart w:id="157" w:name="_Toc152045579"/>
      <w:bookmarkStart w:id="158" w:name="_Toc319407880"/>
      <w:bookmarkStart w:id="159" w:name="_Toc392345958"/>
      <w:bookmarkStart w:id="160" w:name="_Toc152042356"/>
      <w:bookmarkStart w:id="161" w:name="_Toc323711794"/>
      <w:r>
        <w:rPr>
          <w:rFonts w:hint="eastAsia" w:ascii="宋体" w:hAnsi="宋体" w:cs="宋体"/>
          <w:snapToGrid w:val="0"/>
          <w:kern w:val="0"/>
          <w:sz w:val="24"/>
        </w:rPr>
        <w:t>23.5</w:t>
      </w:r>
      <w:bookmarkEnd w:id="152"/>
      <w:bookmarkEnd w:id="154"/>
      <w:bookmarkEnd w:id="155"/>
      <w:bookmarkEnd w:id="156"/>
      <w:bookmarkEnd w:id="157"/>
      <w:bookmarkEnd w:id="158"/>
      <w:bookmarkEnd w:id="159"/>
      <w:bookmarkEnd w:id="160"/>
      <w:bookmarkEnd w:id="161"/>
      <w:bookmarkStart w:id="162" w:name="_Toc247085737"/>
      <w:bookmarkStart w:id="163" w:name="_Toc296602466"/>
      <w:bookmarkStart w:id="164" w:name="_Toc179632597"/>
      <w:bookmarkStart w:id="165" w:name="_Toc357955317"/>
      <w:bookmarkStart w:id="166" w:name="_Toc246996223"/>
      <w:bookmarkStart w:id="167" w:name="_Toc246996966"/>
      <w:r>
        <w:rPr>
          <w:rFonts w:hint="eastAsia" w:ascii="宋体" w:hAnsi="宋体" w:cs="宋体"/>
          <w:snapToGrid w:val="0"/>
          <w:kern w:val="0"/>
          <w:sz w:val="24"/>
        </w:rPr>
        <w:t>异议与投诉</w:t>
      </w:r>
      <w:bookmarkEnd w:id="162"/>
      <w:bookmarkEnd w:id="163"/>
      <w:bookmarkEnd w:id="164"/>
      <w:bookmarkEnd w:id="165"/>
      <w:bookmarkEnd w:id="166"/>
      <w:bookmarkEnd w:id="167"/>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投标人及其他利害关系人有提出异议与投诉的权利，但应遵守国家相关法律法规的规定和前附表的要求。</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24．资金存放、支取、还本付息</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24.1招标人应在签订合同后向中标银行划款，办理存款相关手续，存放资金在原存期结束后陆续到位。</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24.2中标银行收到划拨资金后2个工作日内向招标人开具存款证明，存款证明应当记录存款银行名称、存款金额、利率以及期限等要素。</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24.3招标人可提前全部或部分支取定期存款，即招标人提前支取部分或全部本金定期存款时，按照存款存放合同中的计息方案操作。</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24.4存款存放银行出现以下情形之一的，招标人有权提前收回存款，并拒绝其在以后2年内参与招标人单位公款竞争性存放。</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⑴出现资金安全事故、重大违法违规情况或财务状况恶化的；</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⑵监管评级降低，监管部门认为存在较大运营风险的；</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⑶进行不正当投标的；</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⑷没有按照中标合同承诺履行相应的责任和义务的；</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⑸不能按规定将到期存款本息足额缴入招标人单位账户的；</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⑹存在其他妨害资金安全行为的。</w:t>
      </w:r>
    </w:p>
    <w:p>
      <w:pPr>
        <w:adjustRightInd w:val="0"/>
        <w:spacing w:line="360" w:lineRule="auto"/>
        <w:ind w:firstLine="482" w:firstLineChars="200"/>
        <w:jc w:val="left"/>
        <w:rPr>
          <w:rFonts w:ascii="宋体" w:hAnsi="宋体" w:cs="宋体"/>
          <w:b/>
          <w:snapToGrid w:val="0"/>
          <w:kern w:val="0"/>
          <w:sz w:val="24"/>
        </w:rPr>
      </w:pPr>
      <w:r>
        <w:rPr>
          <w:rFonts w:hint="eastAsia" w:ascii="宋体" w:hAnsi="宋体" w:cs="宋体"/>
          <w:b/>
          <w:snapToGrid w:val="0"/>
          <w:kern w:val="0"/>
          <w:sz w:val="24"/>
        </w:rPr>
        <w:t>25．招标代理服务费</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25.1本项目招标代理服务费（中标服务费）计取标准详见前附表，由中标人在领取中标通知书之前，向招标代理机构一次性付清。</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26．招标结束</w:t>
      </w:r>
    </w:p>
    <w:p>
      <w:pPr>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26.1中标人与招标人签订协议生效后即为招标结束。</w:t>
      </w:r>
    </w:p>
    <w:p>
      <w:pPr>
        <w:adjustRightInd w:val="0"/>
        <w:spacing w:line="360" w:lineRule="auto"/>
        <w:outlineLvl w:val="2"/>
        <w:rPr>
          <w:rFonts w:ascii="宋体" w:hAnsi="宋体" w:cs="宋体"/>
          <w:b/>
          <w:snapToGrid w:val="0"/>
          <w:kern w:val="0"/>
          <w:sz w:val="24"/>
        </w:rPr>
      </w:pPr>
      <w:r>
        <w:rPr>
          <w:rFonts w:hint="eastAsia" w:ascii="宋体" w:hAnsi="宋体" w:cs="宋体"/>
          <w:b/>
          <w:snapToGrid w:val="0"/>
          <w:kern w:val="0"/>
          <w:sz w:val="24"/>
        </w:rPr>
        <w:t>27．招标文件的解释权</w:t>
      </w:r>
    </w:p>
    <w:p>
      <w:pPr>
        <w:adjustRightInd w:val="0"/>
        <w:spacing w:line="360" w:lineRule="auto"/>
        <w:ind w:firstLine="480" w:firstLineChars="200"/>
        <w:jc w:val="left"/>
        <w:rPr>
          <w:rFonts w:ascii="宋体" w:hAnsi="宋体" w:cs="宋体"/>
          <w:b/>
        </w:rPr>
      </w:pPr>
      <w:r>
        <w:rPr>
          <w:rFonts w:hint="eastAsia" w:ascii="宋体" w:hAnsi="宋体" w:cs="宋体"/>
          <w:snapToGrid w:val="0"/>
          <w:kern w:val="0"/>
          <w:sz w:val="24"/>
        </w:rPr>
        <w:t>27.1 招标文件的解释权归招标人所有。</w:t>
      </w:r>
    </w:p>
    <w:bookmarkEnd w:id="94"/>
    <w:bookmarkEnd w:id="95"/>
    <w:p>
      <w:pPr>
        <w:spacing w:line="360" w:lineRule="auto"/>
        <w:jc w:val="center"/>
        <w:outlineLvl w:val="0"/>
        <w:rPr>
          <w:rFonts w:ascii="宋体" w:hAnsi="宋体" w:cs="宋体"/>
          <w:b/>
          <w:sz w:val="36"/>
          <w:szCs w:val="22"/>
        </w:rPr>
      </w:pPr>
      <w:bookmarkStart w:id="168" w:name="_Toc35401305"/>
      <w:bookmarkStart w:id="169" w:name="_Toc37243119"/>
      <w:bookmarkStart w:id="170" w:name="_Toc91899916"/>
      <w:r>
        <w:rPr>
          <w:rFonts w:hint="eastAsia" w:ascii="宋体" w:hAnsi="宋体" w:cs="宋体"/>
        </w:rPr>
        <w:br w:type="page"/>
      </w:r>
      <w:bookmarkStart w:id="171" w:name="_Toc26498"/>
      <w:bookmarkStart w:id="172" w:name="_Toc23456"/>
      <w:bookmarkStart w:id="173" w:name="_Toc26556"/>
      <w:bookmarkStart w:id="174" w:name="_Toc5511"/>
      <w:bookmarkStart w:id="175" w:name="_Toc2569"/>
      <w:bookmarkStart w:id="176" w:name="_Toc6539"/>
      <w:bookmarkStart w:id="177" w:name="_Toc7277"/>
      <w:r>
        <w:rPr>
          <w:rFonts w:hint="eastAsia" w:ascii="宋体" w:hAnsi="宋体" w:cs="宋体"/>
          <w:b/>
          <w:sz w:val="36"/>
          <w:szCs w:val="22"/>
        </w:rPr>
        <w:t xml:space="preserve">第三部分 </w:t>
      </w:r>
      <w:bookmarkEnd w:id="171"/>
      <w:r>
        <w:rPr>
          <w:rFonts w:hint="eastAsia" w:ascii="宋体" w:hAnsi="宋体" w:cs="宋体"/>
          <w:b/>
          <w:sz w:val="36"/>
          <w:szCs w:val="22"/>
        </w:rPr>
        <w:t>用户需求书</w:t>
      </w:r>
      <w:bookmarkEnd w:id="172"/>
      <w:bookmarkEnd w:id="173"/>
      <w:bookmarkEnd w:id="174"/>
      <w:bookmarkEnd w:id="175"/>
    </w:p>
    <w:bookmarkEnd w:id="176"/>
    <w:bookmarkEnd w:id="177"/>
    <w:p>
      <w:pPr>
        <w:keepNext w:val="0"/>
        <w:keepLines w:val="0"/>
        <w:pageBreakBefore w:val="0"/>
        <w:widowControl/>
        <w:numPr>
          <w:ilvl w:val="0"/>
          <w:numId w:val="12"/>
        </w:numPr>
        <w:kinsoku/>
        <w:wordWrap/>
        <w:overflowPunct/>
        <w:topLinePunct w:val="0"/>
        <w:autoSpaceDE/>
        <w:autoSpaceDN/>
        <w:bidi w:val="0"/>
        <w:spacing w:line="360" w:lineRule="auto"/>
        <w:ind w:firstLine="422" w:firstLineChars="200"/>
        <w:jc w:val="both"/>
        <w:textAlignment w:val="auto"/>
        <w:outlineLvl w:val="1"/>
        <w:rPr>
          <w:rFonts w:hint="eastAsia" w:ascii="宋体" w:hAnsi="宋体" w:cs="宋体"/>
          <w:b/>
          <w:bCs/>
          <w:szCs w:val="21"/>
        </w:rPr>
      </w:pPr>
      <w:bookmarkStart w:id="178" w:name="_Toc21383"/>
      <w:bookmarkStart w:id="179" w:name="_Toc10704"/>
      <w:bookmarkStart w:id="180" w:name="_Toc17051"/>
      <w:bookmarkStart w:id="181" w:name="_Toc12894"/>
      <w:bookmarkStart w:id="182" w:name="_Toc13299"/>
      <w:r>
        <w:rPr>
          <w:rFonts w:hint="eastAsia" w:ascii="宋体" w:hAnsi="宋体" w:cs="宋体"/>
          <w:b/>
          <w:bCs/>
          <w:szCs w:val="21"/>
        </w:rPr>
        <w:t>采购内容</w:t>
      </w:r>
    </w:p>
    <w:p>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杭州市红十字会医院本级及所属单位资金竞争性存放服务银行，本期招标人竞争性存放</w:t>
      </w:r>
      <w:r>
        <w:rPr>
          <w:rFonts w:hint="eastAsia" w:ascii="宋体" w:hAnsi="宋体" w:cs="宋体"/>
          <w:szCs w:val="21"/>
          <w:highlight w:val="none"/>
        </w:rPr>
        <w:t>的资金总额约</w:t>
      </w:r>
      <w:r>
        <w:rPr>
          <w:rFonts w:hint="eastAsia" w:ascii="宋体" w:hAnsi="宋体" w:cs="宋体"/>
          <w:szCs w:val="21"/>
          <w:highlight w:val="none"/>
          <w:lang w:val="en-US" w:eastAsia="zh-CN"/>
        </w:rPr>
        <w:t>3.6个亿</w:t>
      </w:r>
      <w:r>
        <w:rPr>
          <w:rFonts w:hint="eastAsia" w:ascii="宋体" w:hAnsi="宋体" w:cs="宋体"/>
          <w:szCs w:val="21"/>
          <w:highlight w:val="none"/>
        </w:rPr>
        <w:t>。定期存款服务银行，中标银行数量：</w:t>
      </w:r>
      <w:r>
        <w:rPr>
          <w:rFonts w:hint="eastAsia" w:ascii="宋体" w:hAnsi="宋体" w:cs="宋体"/>
          <w:szCs w:val="21"/>
          <w:highlight w:val="none"/>
          <w:lang w:val="en-US" w:eastAsia="zh-CN"/>
        </w:rPr>
        <w:t>6</w:t>
      </w:r>
      <w:r>
        <w:rPr>
          <w:rFonts w:hint="eastAsia" w:ascii="宋体" w:hAnsi="宋体" w:cs="宋体"/>
          <w:szCs w:val="21"/>
          <w:highlight w:val="none"/>
        </w:rPr>
        <w:t>家。</w:t>
      </w:r>
      <w:r>
        <w:rPr>
          <w:rFonts w:hint="eastAsia" w:ascii="宋体" w:hAnsi="宋体" w:cs="宋体"/>
          <w:szCs w:val="21"/>
          <w:highlight w:val="none"/>
          <w:lang w:val="en-US" w:eastAsia="zh-CN"/>
        </w:rPr>
        <w:t>每家单位6000万。</w:t>
      </w:r>
      <w:r>
        <w:rPr>
          <w:rFonts w:hint="eastAsia" w:ascii="宋体" w:hAnsi="宋体" w:cs="宋体"/>
          <w:szCs w:val="21"/>
        </w:rPr>
        <w:t>投标人应提供一年期定期存款按央行基准利率增加基点及存款执行年利率。</w:t>
      </w:r>
    </w:p>
    <w:p>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服务有效期1年，合同到期后经甲方考核通过后且双方无异议可续签1次，总合同期不得超过2年。定期存款起始日期以甲方通知存款日期为准。</w:t>
      </w:r>
    </w:p>
    <w:p>
      <w:pPr>
        <w:keepNext w:val="0"/>
        <w:keepLines w:val="0"/>
        <w:pageBreakBefore w:val="0"/>
        <w:widowControl/>
        <w:kinsoku/>
        <w:wordWrap/>
        <w:overflowPunct/>
        <w:topLinePunct w:val="0"/>
        <w:autoSpaceDE/>
        <w:autoSpaceDN/>
        <w:bidi w:val="0"/>
        <w:spacing w:line="360" w:lineRule="auto"/>
        <w:ind w:firstLine="422" w:firstLineChars="200"/>
        <w:jc w:val="both"/>
        <w:textAlignment w:val="auto"/>
        <w:rPr>
          <w:rFonts w:hint="eastAsia"/>
          <w:b/>
          <w:bCs/>
          <w:lang w:val="en-US" w:eastAsia="zh-CN"/>
        </w:rPr>
      </w:pPr>
      <w:r>
        <w:rPr>
          <w:rFonts w:hint="eastAsia" w:ascii="宋体" w:hAnsi="宋体" w:cs="宋体"/>
          <w:b/>
          <w:bCs/>
          <w:szCs w:val="21"/>
        </w:rPr>
        <w:t>▲在特殊情况下，须提前支取部分或全部定期存款本金时</w:t>
      </w:r>
      <w:r>
        <w:rPr>
          <w:rFonts w:hint="eastAsia" w:ascii="宋体" w:hAnsi="宋体" w:cs="宋体"/>
          <w:b/>
          <w:bCs/>
          <w:szCs w:val="21"/>
          <w:lang w:eastAsia="zh-CN"/>
        </w:rPr>
        <w:t>，</w:t>
      </w:r>
      <w:r>
        <w:rPr>
          <w:rFonts w:hint="eastAsia"/>
          <w:b/>
          <w:bCs/>
          <w:lang w:val="en-US" w:eastAsia="zh-CN"/>
        </w:rPr>
        <w:t>定期存款提前支取方案</w:t>
      </w:r>
    </w:p>
    <w:p>
      <w:pPr>
        <w:keepNext w:val="0"/>
        <w:keepLines w:val="0"/>
        <w:pageBreakBefore w:val="0"/>
        <w:widowControl/>
        <w:kinsoku/>
        <w:wordWrap/>
        <w:overflowPunct/>
        <w:topLinePunct w:val="0"/>
        <w:autoSpaceDE/>
        <w:autoSpaceDN/>
        <w:bidi w:val="0"/>
        <w:spacing w:line="360" w:lineRule="auto"/>
        <w:ind w:firstLine="422" w:firstLineChars="200"/>
        <w:jc w:val="both"/>
        <w:textAlignment w:val="auto"/>
        <w:rPr>
          <w:rFonts w:hint="eastAsia"/>
          <w:b/>
          <w:bCs/>
          <w:lang w:val="en-US" w:eastAsia="zh-CN"/>
        </w:rPr>
      </w:pPr>
      <w:r>
        <w:rPr>
          <w:rFonts w:hint="eastAsia"/>
          <w:b/>
          <w:bCs/>
          <w:lang w:val="en-US" w:eastAsia="zh-CN"/>
        </w:rPr>
        <w:t>（一年期定期存款）</w:t>
      </w:r>
    </w:p>
    <w:tbl>
      <w:tblPr>
        <w:tblStyle w:val="4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832"/>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lang w:val="en-US" w:eastAsia="zh-CN"/>
              </w:rPr>
            </w:pPr>
            <w:r>
              <w:rPr>
                <w:rFonts w:hint="eastAsia"/>
                <w:lang w:val="en-US" w:eastAsia="zh-CN"/>
              </w:rPr>
              <w:t>序号</w:t>
            </w:r>
          </w:p>
        </w:tc>
        <w:tc>
          <w:tcPr>
            <w:tcW w:w="4832"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实际存期</w:t>
            </w:r>
          </w:p>
        </w:tc>
        <w:tc>
          <w:tcPr>
            <w:tcW w:w="2728"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1</w:t>
            </w:r>
          </w:p>
        </w:tc>
        <w:tc>
          <w:tcPr>
            <w:tcW w:w="4832"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未满3个月</w:t>
            </w:r>
          </w:p>
        </w:tc>
        <w:tc>
          <w:tcPr>
            <w:tcW w:w="2728" w:type="dxa"/>
            <w:vMerge w:val="restart"/>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p>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按支取日乙方总行挂牌公告的活期存款利率计息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2</w:t>
            </w:r>
          </w:p>
        </w:tc>
        <w:tc>
          <w:tcPr>
            <w:tcW w:w="4832"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存满3个月，未满6个月</w:t>
            </w:r>
          </w:p>
        </w:tc>
        <w:tc>
          <w:tcPr>
            <w:tcW w:w="2728" w:type="dxa"/>
            <w:vMerge w:val="continue"/>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3</w:t>
            </w:r>
          </w:p>
        </w:tc>
        <w:tc>
          <w:tcPr>
            <w:tcW w:w="4832"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存满6个月，未满1年</w:t>
            </w:r>
          </w:p>
        </w:tc>
        <w:tc>
          <w:tcPr>
            <w:tcW w:w="2728" w:type="dxa"/>
            <w:vMerge w:val="continue"/>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4</w:t>
            </w:r>
          </w:p>
        </w:tc>
        <w:tc>
          <w:tcPr>
            <w:tcW w:w="4832"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未支取部分计息方案</w:t>
            </w:r>
          </w:p>
        </w:tc>
        <w:tc>
          <w:tcPr>
            <w:tcW w:w="2728" w:type="dxa"/>
            <w:noWrap w:val="0"/>
            <w:vAlign w:val="top"/>
          </w:tcPr>
          <w:p>
            <w:pPr>
              <w:pStyle w:val="12"/>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lang w:val="en-US" w:eastAsia="zh-CN"/>
              </w:rPr>
            </w:pPr>
            <w:r>
              <w:rPr>
                <w:rFonts w:hint="eastAsia"/>
                <w:lang w:val="en-US" w:eastAsia="zh-CN"/>
              </w:rPr>
              <w:t>___________%</w:t>
            </w:r>
          </w:p>
        </w:tc>
      </w:tr>
    </w:tbl>
    <w:p>
      <w:pPr>
        <w:keepNext w:val="0"/>
        <w:keepLines w:val="0"/>
        <w:pageBreakBefore w:val="0"/>
        <w:widowControl/>
        <w:numPr>
          <w:ilvl w:val="0"/>
          <w:numId w:val="12"/>
        </w:numPr>
        <w:kinsoku/>
        <w:wordWrap/>
        <w:overflowPunct/>
        <w:topLinePunct w:val="0"/>
        <w:autoSpaceDE/>
        <w:autoSpaceDN/>
        <w:bidi w:val="0"/>
        <w:spacing w:line="360" w:lineRule="auto"/>
        <w:ind w:firstLine="422" w:firstLineChars="200"/>
        <w:jc w:val="both"/>
        <w:textAlignment w:val="auto"/>
        <w:outlineLvl w:val="1"/>
        <w:rPr>
          <w:rFonts w:hint="eastAsia" w:ascii="宋体" w:hAnsi="宋体" w:cs="宋体"/>
          <w:b/>
          <w:bCs/>
          <w:szCs w:val="21"/>
        </w:rPr>
      </w:pPr>
      <w:r>
        <w:rPr>
          <w:rFonts w:hint="eastAsia" w:ascii="宋体" w:hAnsi="宋体" w:cs="宋体"/>
          <w:b/>
          <w:bCs/>
          <w:szCs w:val="21"/>
        </w:rPr>
        <w:t>服务要求：</w:t>
      </w:r>
    </w:p>
    <w:p>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（一）招标人单位开户及日常资金收付结算服务、对账服务、安全保障等在内的一切配套基本服务。</w:t>
      </w:r>
    </w:p>
    <w:p>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（二）包含服务期内招标人提出的一切有关账户管理的服务。</w:t>
      </w:r>
    </w:p>
    <w:p>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（三）其他服务要求：</w:t>
      </w:r>
    </w:p>
    <w:p>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1、投标人需要协助完成全部账户新开手续；</w:t>
      </w:r>
    </w:p>
    <w:p>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2、银行故障或招标人工作遇到疑问时，投标人应该能够30分钟内及时响应招标人疑问或维修要求，并在2小时内提出解决方案，24小时内解决问题。</w:t>
      </w:r>
    </w:p>
    <w:p>
      <w:pPr>
        <w:keepNext w:val="0"/>
        <w:keepLines w:val="0"/>
        <w:pageBreakBefore w:val="0"/>
        <w:widowControl/>
        <w:numPr>
          <w:ilvl w:val="0"/>
          <w:numId w:val="12"/>
        </w:numPr>
        <w:kinsoku/>
        <w:wordWrap/>
        <w:overflowPunct/>
        <w:topLinePunct w:val="0"/>
        <w:autoSpaceDE/>
        <w:autoSpaceDN/>
        <w:bidi w:val="0"/>
        <w:spacing w:line="360" w:lineRule="auto"/>
        <w:ind w:firstLine="422" w:firstLineChars="200"/>
        <w:jc w:val="both"/>
        <w:textAlignment w:val="auto"/>
        <w:outlineLvl w:val="1"/>
        <w:rPr>
          <w:rFonts w:hint="eastAsia" w:ascii="宋体" w:hAnsi="宋体" w:cs="宋体"/>
          <w:b/>
          <w:bCs/>
          <w:szCs w:val="21"/>
        </w:rPr>
      </w:pPr>
      <w:r>
        <w:rPr>
          <w:rFonts w:hint="eastAsia" w:ascii="宋体" w:hAnsi="宋体" w:cs="宋体"/>
          <w:b/>
          <w:bCs/>
          <w:szCs w:val="21"/>
        </w:rPr>
        <w:t>中标银行出现以下情形之一的，招标单位有权提前收回存放公款（即协议终止条件）：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（1）出现资金安全事故、重大违法违规情况或财务恶化；</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（2）监管评级降低，监管部门认为存在较大运营风险；</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（3）进行严重不正当投标；</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（4）未按照中标协议承诺履行相应的责任和义务；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（5）擅自降低服务条件和服务内容的；</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（6）出现银行挤兑、存款被盗或其他可能妨害公款安全的情形。</w:t>
      </w:r>
    </w:p>
    <w:p>
      <w:pPr>
        <w:keepNext w:val="0"/>
        <w:keepLines w:val="0"/>
        <w:pageBreakBefore w:val="0"/>
        <w:widowControl/>
        <w:numPr>
          <w:ilvl w:val="0"/>
          <w:numId w:val="12"/>
        </w:numPr>
        <w:kinsoku/>
        <w:wordWrap/>
        <w:overflowPunct/>
        <w:topLinePunct w:val="0"/>
        <w:autoSpaceDE/>
        <w:autoSpaceDN/>
        <w:bidi w:val="0"/>
        <w:spacing w:line="360" w:lineRule="auto"/>
        <w:ind w:firstLine="422" w:firstLineChars="200"/>
        <w:jc w:val="both"/>
        <w:textAlignment w:val="auto"/>
        <w:outlineLvl w:val="1"/>
        <w:rPr>
          <w:rFonts w:hint="eastAsia" w:ascii="宋体" w:hAnsi="宋体" w:cs="宋体"/>
          <w:b/>
          <w:bCs/>
          <w:szCs w:val="21"/>
        </w:rPr>
      </w:pPr>
      <w:r>
        <w:rPr>
          <w:rFonts w:hint="eastAsia" w:ascii="宋体" w:hAnsi="宋体" w:cs="宋体"/>
          <w:b/>
          <w:szCs w:val="21"/>
        </w:rPr>
        <w:t>如遇央行调整存款利率，存款利率同比例调整。</w:t>
      </w:r>
    </w:p>
    <w:p>
      <w:pPr>
        <w:keepNext w:val="0"/>
        <w:keepLines w:val="0"/>
        <w:pageBreakBefore w:val="0"/>
        <w:kinsoku/>
        <w:wordWrap/>
        <w:overflowPunct/>
        <w:topLinePunct w:val="0"/>
        <w:autoSpaceDE/>
        <w:autoSpaceDN/>
        <w:bidi w:val="0"/>
        <w:spacing w:line="360" w:lineRule="auto"/>
        <w:ind w:firstLine="723" w:firstLineChars="200"/>
        <w:jc w:val="both"/>
        <w:textAlignment w:val="auto"/>
        <w:rPr>
          <w:rFonts w:hint="eastAsia" w:ascii="宋体" w:hAnsi="宋体" w:cs="宋体"/>
          <w:b/>
          <w:sz w:val="36"/>
          <w:szCs w:val="22"/>
        </w:rPr>
      </w:pPr>
    </w:p>
    <w:p>
      <w:pPr>
        <w:keepNext w:val="0"/>
        <w:keepLines w:val="0"/>
        <w:pageBreakBefore w:val="0"/>
        <w:kinsoku/>
        <w:wordWrap/>
        <w:overflowPunct/>
        <w:topLinePunct w:val="0"/>
        <w:autoSpaceDE/>
        <w:autoSpaceDN/>
        <w:bidi w:val="0"/>
        <w:spacing w:line="360" w:lineRule="auto"/>
        <w:ind w:firstLine="723" w:firstLineChars="200"/>
        <w:jc w:val="both"/>
        <w:textAlignment w:val="auto"/>
        <w:rPr>
          <w:rFonts w:hint="eastAsia" w:ascii="宋体" w:hAnsi="宋体" w:cs="宋体"/>
          <w:b/>
          <w:sz w:val="36"/>
          <w:szCs w:val="22"/>
        </w:rPr>
      </w:pPr>
      <w:r>
        <w:rPr>
          <w:rFonts w:hint="eastAsia" w:ascii="宋体" w:hAnsi="宋体" w:cs="宋体"/>
          <w:b/>
          <w:sz w:val="36"/>
          <w:szCs w:val="22"/>
        </w:rPr>
        <w:br w:type="page"/>
      </w:r>
    </w:p>
    <w:p>
      <w:pPr>
        <w:widowControl/>
        <w:spacing w:line="360" w:lineRule="auto"/>
        <w:jc w:val="center"/>
        <w:outlineLvl w:val="0"/>
        <w:rPr>
          <w:rFonts w:ascii="宋体" w:hAnsi="宋体" w:cs="宋体"/>
          <w:b/>
          <w:sz w:val="36"/>
          <w:szCs w:val="22"/>
        </w:rPr>
      </w:pPr>
      <w:r>
        <w:rPr>
          <w:rFonts w:hint="eastAsia" w:ascii="宋体" w:hAnsi="宋体" w:cs="宋体"/>
          <w:b/>
          <w:sz w:val="36"/>
          <w:szCs w:val="22"/>
        </w:rPr>
        <w:t xml:space="preserve">第四部分 </w:t>
      </w:r>
      <w:bookmarkEnd w:id="178"/>
      <w:r>
        <w:rPr>
          <w:rFonts w:hint="eastAsia" w:ascii="宋体" w:hAnsi="宋体" w:cs="宋体"/>
          <w:b/>
          <w:sz w:val="36"/>
          <w:szCs w:val="22"/>
        </w:rPr>
        <w:t>协议格式</w:t>
      </w:r>
      <w:bookmarkEnd w:id="179"/>
      <w:bookmarkEnd w:id="180"/>
      <w:bookmarkEnd w:id="181"/>
      <w:bookmarkEnd w:id="182"/>
    </w:p>
    <w:p>
      <w:pPr>
        <w:widowControl/>
        <w:spacing w:line="360" w:lineRule="auto"/>
        <w:rPr>
          <w:rFonts w:ascii="宋体" w:hAnsi="宋体" w:cs="宋体"/>
          <w:kern w:val="0"/>
          <w:sz w:val="24"/>
        </w:rPr>
      </w:pPr>
    </w:p>
    <w:p>
      <w:pPr>
        <w:widowControl/>
        <w:spacing w:line="360" w:lineRule="auto"/>
        <w:jc w:val="center"/>
        <w:rPr>
          <w:b/>
          <w:bCs/>
          <w:kern w:val="0"/>
          <w:sz w:val="30"/>
          <w:szCs w:val="30"/>
        </w:rPr>
      </w:pPr>
      <w:r>
        <w:rPr>
          <w:b/>
          <w:sz w:val="24"/>
        </w:rPr>
        <w:t>（本合同为合同样稿，最终稿由双方协商后确定）</w:t>
      </w:r>
    </w:p>
    <w:p>
      <w:pPr>
        <w:widowControl/>
        <w:spacing w:line="360" w:lineRule="auto"/>
        <w:jc w:val="center"/>
        <w:rPr>
          <w:rFonts w:ascii="宋体" w:hAnsi="宋体" w:cs="宋体"/>
          <w:b/>
          <w:bCs/>
          <w:kern w:val="0"/>
          <w:sz w:val="30"/>
          <w:szCs w:val="30"/>
        </w:rPr>
      </w:pPr>
    </w:p>
    <w:p>
      <w:pPr>
        <w:widowControl/>
        <w:spacing w:line="360" w:lineRule="auto"/>
        <w:jc w:val="center"/>
        <w:rPr>
          <w:rFonts w:hint="eastAsia" w:ascii="宋体" w:hAnsi="宋体" w:cs="宋体"/>
          <w:b/>
          <w:bCs/>
          <w:kern w:val="0"/>
          <w:sz w:val="30"/>
          <w:szCs w:val="30"/>
          <w:lang w:eastAsia="zh-CN"/>
        </w:rPr>
      </w:pPr>
      <w:r>
        <w:rPr>
          <w:rFonts w:hint="eastAsia" w:ascii="宋体" w:hAnsi="宋体" w:cs="宋体"/>
          <w:b/>
          <w:bCs/>
          <w:kern w:val="0"/>
          <w:sz w:val="30"/>
          <w:szCs w:val="30"/>
          <w:lang w:eastAsia="zh-CN"/>
        </w:rPr>
        <w:t>杭州市红十字会医院2025年公款竞争性存放</w:t>
      </w:r>
    </w:p>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lang w:eastAsia="zh-CN"/>
        </w:rPr>
        <w:t>项目</w:t>
      </w:r>
      <w:r>
        <w:rPr>
          <w:rFonts w:hint="eastAsia" w:ascii="宋体" w:hAnsi="宋体" w:cs="宋体"/>
          <w:b/>
          <w:bCs/>
          <w:kern w:val="0"/>
          <w:sz w:val="30"/>
          <w:szCs w:val="30"/>
        </w:rPr>
        <w:t>招标</w:t>
      </w:r>
    </w:p>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rPr>
        <w:t>中标银行存款及服务协议书</w:t>
      </w:r>
    </w:p>
    <w:p>
      <w:pPr>
        <w:widowControl/>
        <w:spacing w:line="360" w:lineRule="auto"/>
        <w:ind w:firstLine="6370"/>
        <w:rPr>
          <w:rFonts w:ascii="宋体" w:hAnsi="宋体" w:cs="宋体"/>
          <w:b/>
          <w:bCs/>
          <w:kern w:val="0"/>
          <w:sz w:val="28"/>
          <w:szCs w:val="28"/>
        </w:rPr>
      </w:pPr>
      <w:r>
        <w:rPr>
          <w:rFonts w:hint="eastAsia" w:ascii="宋体" w:hAnsi="宋体" w:cs="宋体"/>
          <w:b/>
          <w:bCs/>
          <w:kern w:val="0"/>
          <w:sz w:val="28"/>
          <w:szCs w:val="28"/>
        </w:rPr>
        <w:t>编号：</w:t>
      </w:r>
      <w:r>
        <w:rPr>
          <w:rFonts w:hint="eastAsia" w:ascii="宋体" w:hAnsi="宋体" w:cs="宋体"/>
          <w:b/>
          <w:bCs/>
          <w:kern w:val="0"/>
          <w:sz w:val="28"/>
          <w:szCs w:val="28"/>
          <w:u w:val="single"/>
        </w:rPr>
        <w:t xml:space="preserve">         </w:t>
      </w:r>
      <w:r>
        <w:rPr>
          <w:rFonts w:hint="eastAsia" w:ascii="宋体" w:hAnsi="宋体" w:cs="宋体"/>
          <w:b/>
          <w:bCs/>
          <w:kern w:val="0"/>
          <w:sz w:val="28"/>
          <w:szCs w:val="28"/>
        </w:rPr>
        <w:t xml:space="preserve">  </w:t>
      </w:r>
    </w:p>
    <w:p>
      <w:pPr>
        <w:widowControl/>
        <w:spacing w:line="360" w:lineRule="auto"/>
        <w:rPr>
          <w:rFonts w:ascii="宋体" w:hAnsi="宋体" w:cs="宋体"/>
          <w:b/>
          <w:bCs/>
          <w:kern w:val="0"/>
          <w:sz w:val="28"/>
          <w:szCs w:val="28"/>
        </w:rPr>
      </w:pPr>
    </w:p>
    <w:p>
      <w:pPr>
        <w:widowControl/>
        <w:spacing w:line="360" w:lineRule="auto"/>
        <w:rPr>
          <w:rFonts w:hint="eastAsia" w:ascii="宋体" w:hAnsi="宋体" w:eastAsia="宋体" w:cs="宋体"/>
          <w:kern w:val="0"/>
          <w:sz w:val="24"/>
          <w:lang w:eastAsia="zh-CN"/>
        </w:rPr>
      </w:pPr>
      <w:r>
        <w:rPr>
          <w:rFonts w:hint="eastAsia" w:ascii="宋体" w:hAnsi="宋体" w:cs="宋体"/>
          <w:kern w:val="0"/>
          <w:sz w:val="24"/>
        </w:rPr>
        <w:t>甲方：</w:t>
      </w:r>
      <w:r>
        <w:rPr>
          <w:rFonts w:hint="eastAsia" w:ascii="宋体" w:hAnsi="宋体" w:cs="宋体"/>
          <w:kern w:val="0"/>
          <w:sz w:val="24"/>
          <w:lang w:eastAsia="zh-CN"/>
        </w:rPr>
        <w:t>杭州市红十字会医院</w:t>
      </w:r>
    </w:p>
    <w:p>
      <w:pPr>
        <w:widowControl/>
        <w:spacing w:line="360" w:lineRule="auto"/>
        <w:rPr>
          <w:rFonts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w:t>
      </w:r>
    </w:p>
    <w:p>
      <w:pPr>
        <w:widowControl/>
        <w:spacing w:line="360" w:lineRule="auto"/>
        <w:rPr>
          <w:rFonts w:ascii="宋体" w:hAnsi="宋体" w:cs="宋体"/>
          <w:kern w:val="0"/>
          <w:sz w:val="24"/>
        </w:rPr>
      </w:pPr>
    </w:p>
    <w:p>
      <w:pPr>
        <w:widowControl/>
        <w:spacing w:line="360" w:lineRule="auto"/>
        <w:ind w:firstLine="600"/>
        <w:rPr>
          <w:rFonts w:ascii="宋体" w:hAnsi="宋体" w:cs="宋体"/>
          <w:kern w:val="0"/>
          <w:sz w:val="24"/>
        </w:rPr>
      </w:pPr>
      <w:r>
        <w:rPr>
          <w:rFonts w:hint="eastAsia" w:ascii="宋体" w:hAnsi="宋体" w:cs="宋体"/>
          <w:kern w:val="0"/>
          <w:sz w:val="24"/>
        </w:rPr>
        <w:t>根据《关于防止领导干部在公款存放方面发生利益冲突和利益输送的办法》《杭州市市级行政事业单位公款竞争性存放管理办法》（杭财预执〔2022〕5号）规定，依据</w:t>
      </w:r>
      <w:r>
        <w:rPr>
          <w:rFonts w:hint="eastAsia" w:ascii="宋体" w:hAnsi="宋体" w:cs="宋体"/>
          <w:kern w:val="0"/>
          <w:sz w:val="24"/>
          <w:lang w:eastAsia="zh-CN"/>
        </w:rPr>
        <w:t>杭州市红十字会医院2025年公款竞争性存放项目</w:t>
      </w:r>
      <w:r>
        <w:rPr>
          <w:rFonts w:hint="eastAsia" w:ascii="宋体" w:hAnsi="宋体" w:cs="宋体"/>
          <w:kern w:val="0"/>
          <w:sz w:val="24"/>
        </w:rPr>
        <w:t>招标（招标编号：</w:t>
      </w:r>
      <w:r>
        <w:rPr>
          <w:rFonts w:hint="eastAsia" w:ascii="宋体" w:hAnsi="宋体" w:cs="宋体"/>
          <w:b/>
          <w:snapToGrid w:val="0"/>
          <w:kern w:val="0"/>
          <w:sz w:val="24"/>
          <w:lang w:eastAsia="zh-CN"/>
        </w:rPr>
        <w:t>HSZB-2024-1429</w:t>
      </w:r>
      <w:r>
        <w:rPr>
          <w:rFonts w:hint="eastAsia" w:ascii="宋体" w:hAnsi="宋体" w:cs="宋体"/>
          <w:kern w:val="0"/>
          <w:sz w:val="24"/>
        </w:rPr>
        <w:t>）的中标结果,遵循公平公正、诚实信用的原则，为明确双方权利与义务，经甲、乙双方同意签订本协议。</w:t>
      </w:r>
    </w:p>
    <w:p>
      <w:pPr>
        <w:widowControl/>
        <w:spacing w:line="360" w:lineRule="auto"/>
        <w:ind w:firstLine="600"/>
        <w:rPr>
          <w:kern w:val="0"/>
          <w:sz w:val="24"/>
        </w:rPr>
      </w:pPr>
      <w:r>
        <w:rPr>
          <w:kern w:val="0"/>
          <w:sz w:val="24"/>
        </w:rPr>
        <w:t>一、经招标确定，甲方在乙方指定机构开立定期存款/大额存单银行账户，并于</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日前将中标金额存入甲方在乙方开立的人民币专户或甲方指定账户。</w:t>
      </w:r>
    </w:p>
    <w:p>
      <w:pPr>
        <w:widowControl/>
        <w:spacing w:line="360" w:lineRule="auto"/>
        <w:ind w:firstLine="600"/>
        <w:rPr>
          <w:kern w:val="0"/>
          <w:sz w:val="24"/>
        </w:rPr>
      </w:pPr>
      <w:r>
        <w:rPr>
          <w:kern w:val="0"/>
          <w:sz w:val="24"/>
        </w:rPr>
        <w:t>存放金额：</w:t>
      </w:r>
      <w:r>
        <w:rPr>
          <w:kern w:val="0"/>
          <w:sz w:val="24"/>
          <w:u w:val="single"/>
        </w:rPr>
        <w:t xml:space="preserve">      </w:t>
      </w:r>
      <w:r>
        <w:rPr>
          <w:kern w:val="0"/>
          <w:sz w:val="24"/>
        </w:rPr>
        <w:t>万元，大写人民币</w:t>
      </w:r>
      <w:r>
        <w:rPr>
          <w:kern w:val="0"/>
          <w:sz w:val="24"/>
          <w:u w:val="single"/>
        </w:rPr>
        <w:t xml:space="preserve">               </w:t>
      </w:r>
      <w:r>
        <w:rPr>
          <w:kern w:val="0"/>
          <w:sz w:val="24"/>
        </w:rPr>
        <w:t>万元整；</w:t>
      </w:r>
      <w:r>
        <w:rPr>
          <w:bCs/>
          <w:sz w:val="24"/>
          <w:szCs w:val="24"/>
        </w:rPr>
        <w:t>按央行基准利率增加基点</w:t>
      </w:r>
      <w:r>
        <w:rPr>
          <w:bCs/>
          <w:sz w:val="24"/>
          <w:szCs w:val="24"/>
          <w:u w:val="single"/>
        </w:rPr>
        <w:t xml:space="preserve">      </w:t>
      </w:r>
      <w:r>
        <w:rPr>
          <w:sz w:val="24"/>
          <w:szCs w:val="24"/>
        </w:rPr>
        <w:t xml:space="preserve"> BP，存款执行年利率</w:t>
      </w:r>
      <w:r>
        <w:rPr>
          <w:kern w:val="0"/>
          <w:sz w:val="24"/>
          <w:u w:val="single"/>
        </w:rPr>
        <w:t xml:space="preserve">   </w:t>
      </w:r>
      <w:r>
        <w:rPr>
          <w:kern w:val="0"/>
          <w:sz w:val="24"/>
        </w:rPr>
        <w:t>%，存款期限：</w:t>
      </w:r>
      <w:r>
        <w:rPr>
          <w:kern w:val="0"/>
          <w:sz w:val="24"/>
          <w:u w:val="single"/>
        </w:rPr>
        <w:t xml:space="preserve">   </w:t>
      </w:r>
      <w:r>
        <w:rPr>
          <w:kern w:val="0"/>
          <w:sz w:val="24"/>
        </w:rPr>
        <w:t>月，到期日</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w:t>
      </w:r>
    </w:p>
    <w:p>
      <w:pPr>
        <w:widowControl/>
        <w:spacing w:line="360" w:lineRule="auto"/>
        <w:ind w:firstLine="600"/>
        <w:rPr>
          <w:kern w:val="0"/>
          <w:sz w:val="24"/>
        </w:rPr>
      </w:pPr>
      <w:r>
        <w:rPr>
          <w:kern w:val="0"/>
          <w:sz w:val="24"/>
        </w:rPr>
        <w:t>二、在甲方资金到达甲方在乙方开立的账户后，乙方应根据本协议向甲方开立定期存单（或定期存款证实书）。甲方须在乙方预留相关</w:t>
      </w:r>
      <w:r>
        <w:rPr>
          <w:rFonts w:hint="eastAsia"/>
          <w:kern w:val="0"/>
          <w:sz w:val="24"/>
        </w:rPr>
        <w:t>印鉴</w:t>
      </w:r>
      <w:r>
        <w:rPr>
          <w:kern w:val="0"/>
          <w:sz w:val="24"/>
        </w:rPr>
        <w:t xml:space="preserve">以便核对，乙方应妥善保管预留印鉴卡等资料。 </w:t>
      </w:r>
    </w:p>
    <w:p>
      <w:pPr>
        <w:widowControl/>
        <w:spacing w:line="360" w:lineRule="auto"/>
        <w:ind w:firstLine="600"/>
        <w:rPr>
          <w:kern w:val="0"/>
          <w:sz w:val="24"/>
        </w:rPr>
      </w:pPr>
      <w:r>
        <w:rPr>
          <w:kern w:val="0"/>
          <w:sz w:val="24"/>
        </w:rPr>
        <w:t>三、定期存款/大额存单到期不做自动转存。</w:t>
      </w:r>
    </w:p>
    <w:p>
      <w:pPr>
        <w:widowControl/>
        <w:spacing w:line="360" w:lineRule="auto"/>
        <w:ind w:firstLine="600"/>
        <w:rPr>
          <w:kern w:val="0"/>
          <w:sz w:val="24"/>
        </w:rPr>
      </w:pPr>
      <w:r>
        <w:rPr>
          <w:kern w:val="0"/>
          <w:sz w:val="24"/>
        </w:rPr>
        <w:t>四、乙方对甲方存放的资金自到账日其计息，到期一次还本付息。</w:t>
      </w:r>
    </w:p>
    <w:p>
      <w:pPr>
        <w:widowControl/>
        <w:spacing w:line="360" w:lineRule="auto"/>
        <w:ind w:firstLine="600"/>
        <w:rPr>
          <w:kern w:val="0"/>
          <w:sz w:val="24"/>
        </w:rPr>
      </w:pPr>
      <w:r>
        <w:rPr>
          <w:kern w:val="0"/>
          <w:sz w:val="24"/>
        </w:rPr>
        <w:t>五、提前支取。甲方有权在到期日前提前支取全部或部分定期存款，甲方至少应在</w:t>
      </w:r>
      <w:r>
        <w:rPr>
          <w:kern w:val="0"/>
          <w:sz w:val="24"/>
          <w:u w:val="single"/>
        </w:rPr>
        <w:t xml:space="preserve">     </w:t>
      </w:r>
      <w:r>
        <w:rPr>
          <w:kern w:val="0"/>
          <w:sz w:val="24"/>
        </w:rPr>
        <w:t>个工作日前通知乙方。定期存款提前支取的计息规则：</w:t>
      </w:r>
      <w:r>
        <w:rPr>
          <w:kern w:val="0"/>
          <w:sz w:val="24"/>
          <w:u w:val="single"/>
        </w:rPr>
        <w:t xml:space="preserve">                                                                </w:t>
      </w:r>
      <w:r>
        <w:rPr>
          <w:rFonts w:hint="eastAsia"/>
          <w:kern w:val="0"/>
          <w:sz w:val="24"/>
          <w:u w:val="single"/>
        </w:rPr>
        <w:t>。</w:t>
      </w:r>
      <w:r>
        <w:rPr>
          <w:kern w:val="0"/>
          <w:sz w:val="24"/>
          <w:u w:val="single"/>
        </w:rPr>
        <w:t xml:space="preserve">     </w:t>
      </w:r>
    </w:p>
    <w:p>
      <w:pPr>
        <w:widowControl/>
        <w:spacing w:line="360" w:lineRule="auto"/>
        <w:ind w:firstLine="600"/>
        <w:rPr>
          <w:kern w:val="0"/>
          <w:sz w:val="24"/>
        </w:rPr>
      </w:pPr>
      <w:r>
        <w:rPr>
          <w:kern w:val="0"/>
          <w:sz w:val="24"/>
        </w:rPr>
        <w:t>六、存款到期不取，逾期部分参照定期存款提前支取的计息规则计息。</w:t>
      </w:r>
    </w:p>
    <w:p>
      <w:pPr>
        <w:widowControl/>
        <w:spacing w:line="360" w:lineRule="auto"/>
        <w:ind w:firstLine="600"/>
        <w:rPr>
          <w:kern w:val="0"/>
          <w:sz w:val="24"/>
        </w:rPr>
      </w:pPr>
      <w:r>
        <w:rPr>
          <w:kern w:val="0"/>
          <w:sz w:val="24"/>
        </w:rPr>
        <w:t>七、存款支取。甲方凭加盖法人章、支票专用章的定期存单（或定期存款证实书）/大额存单支取到期存款。法人章、支票专用章必须与印鉴卡上的印章一致。乙方除对甲方相关文件及预留印鉴的审查外，乙方柜台工作人员需向甲方电话询问确定定期存款及大额存单的支取事实。在审查无误后，乙方应为甲方支取本金及利息并以转账方式划入甲方基本户，并直接办理银行账户销户手续。</w:t>
      </w:r>
    </w:p>
    <w:p>
      <w:pPr>
        <w:widowControl/>
        <w:spacing w:line="360" w:lineRule="auto"/>
        <w:ind w:firstLine="600"/>
        <w:rPr>
          <w:kern w:val="0"/>
          <w:sz w:val="24"/>
        </w:rPr>
      </w:pPr>
      <w:r>
        <w:rPr>
          <w:kern w:val="0"/>
          <w:sz w:val="24"/>
        </w:rPr>
        <w:t>八、在委托协议期间，如发现乙方出现下列情形之一的，招标单位将按照协议约定的方式进行处理，直接追究乙方的违约责任。情节严重的，报经财政部门批准，将乙方列入不良名单。</w:t>
      </w:r>
    </w:p>
    <w:p>
      <w:pPr>
        <w:widowControl/>
        <w:spacing w:line="360" w:lineRule="auto"/>
        <w:ind w:firstLine="600"/>
        <w:rPr>
          <w:kern w:val="0"/>
          <w:sz w:val="24"/>
        </w:rPr>
      </w:pPr>
      <w:r>
        <w:rPr>
          <w:kern w:val="0"/>
          <w:sz w:val="24"/>
        </w:rPr>
        <w:t>（1）提供虚假资料谋取中标或成交的；</w:t>
      </w:r>
    </w:p>
    <w:p>
      <w:pPr>
        <w:widowControl/>
        <w:spacing w:line="360" w:lineRule="auto"/>
        <w:ind w:firstLine="600"/>
        <w:rPr>
          <w:kern w:val="0"/>
          <w:sz w:val="24"/>
        </w:rPr>
      </w:pPr>
      <w:r>
        <w:rPr>
          <w:kern w:val="0"/>
          <w:sz w:val="24"/>
        </w:rPr>
        <w:t>（2）采取不正当手段诋毁、排挤其他投标人的；</w:t>
      </w:r>
    </w:p>
    <w:p>
      <w:pPr>
        <w:widowControl/>
        <w:spacing w:line="360" w:lineRule="auto"/>
        <w:ind w:firstLine="600"/>
        <w:rPr>
          <w:kern w:val="0"/>
          <w:sz w:val="24"/>
        </w:rPr>
      </w:pPr>
      <w:r>
        <w:rPr>
          <w:kern w:val="0"/>
          <w:sz w:val="24"/>
        </w:rPr>
        <w:t>（3）与其他投标人或者甲方恶意串通的；</w:t>
      </w:r>
    </w:p>
    <w:p>
      <w:pPr>
        <w:widowControl/>
        <w:spacing w:line="360" w:lineRule="auto"/>
        <w:ind w:firstLine="600"/>
        <w:rPr>
          <w:kern w:val="0"/>
          <w:sz w:val="24"/>
        </w:rPr>
      </w:pPr>
      <w:r>
        <w:rPr>
          <w:kern w:val="0"/>
          <w:sz w:val="24"/>
        </w:rPr>
        <w:t xml:space="preserve">（4）向甲方行贿或者提供其他不正当利益的； </w:t>
      </w:r>
    </w:p>
    <w:p>
      <w:pPr>
        <w:widowControl/>
        <w:spacing w:line="360" w:lineRule="auto"/>
        <w:ind w:firstLine="600"/>
        <w:rPr>
          <w:kern w:val="0"/>
          <w:sz w:val="24"/>
        </w:rPr>
      </w:pPr>
      <w:r>
        <w:rPr>
          <w:kern w:val="0"/>
          <w:sz w:val="24"/>
        </w:rPr>
        <w:t>（5）拒绝有关部门监督检查或者提供虚假情况的。</w:t>
      </w:r>
    </w:p>
    <w:p>
      <w:pPr>
        <w:widowControl/>
        <w:spacing w:line="360" w:lineRule="auto"/>
        <w:ind w:firstLine="600"/>
        <w:rPr>
          <w:kern w:val="0"/>
          <w:sz w:val="24"/>
        </w:rPr>
      </w:pPr>
      <w:r>
        <w:rPr>
          <w:kern w:val="0"/>
          <w:sz w:val="24"/>
        </w:rPr>
        <w:t>对有下列情况的乙方，视情节轻重予以具体处罚措施进行处理：</w:t>
      </w:r>
    </w:p>
    <w:p>
      <w:pPr>
        <w:widowControl/>
        <w:spacing w:line="360" w:lineRule="auto"/>
        <w:ind w:firstLine="600"/>
        <w:rPr>
          <w:kern w:val="0"/>
          <w:sz w:val="24"/>
        </w:rPr>
      </w:pPr>
      <w:r>
        <w:rPr>
          <w:kern w:val="0"/>
          <w:sz w:val="24"/>
        </w:rPr>
        <w:t>（1）无故拖延或拒绝签订协议的，或拒绝按照承诺优惠条款执行的；</w:t>
      </w:r>
    </w:p>
    <w:p>
      <w:pPr>
        <w:widowControl/>
        <w:spacing w:line="360" w:lineRule="auto"/>
        <w:ind w:firstLine="600"/>
        <w:rPr>
          <w:kern w:val="0"/>
          <w:sz w:val="24"/>
        </w:rPr>
      </w:pPr>
      <w:r>
        <w:rPr>
          <w:kern w:val="0"/>
          <w:sz w:val="24"/>
        </w:rPr>
        <w:t>（2）非法转包或未经同意将项目分包的；</w:t>
      </w:r>
    </w:p>
    <w:p>
      <w:pPr>
        <w:widowControl/>
        <w:spacing w:line="360" w:lineRule="auto"/>
        <w:ind w:firstLine="600"/>
        <w:rPr>
          <w:kern w:val="0"/>
          <w:sz w:val="24"/>
        </w:rPr>
      </w:pPr>
      <w:r>
        <w:rPr>
          <w:kern w:val="0"/>
          <w:sz w:val="24"/>
        </w:rPr>
        <w:t>（3）无正当理由拒绝按照协议约定提供服务的或未能在承诺期限内提供服务；</w:t>
      </w:r>
    </w:p>
    <w:p>
      <w:pPr>
        <w:widowControl/>
        <w:spacing w:line="360" w:lineRule="auto"/>
        <w:ind w:firstLine="600"/>
        <w:rPr>
          <w:kern w:val="0"/>
          <w:sz w:val="24"/>
        </w:rPr>
      </w:pPr>
      <w:r>
        <w:rPr>
          <w:kern w:val="0"/>
          <w:sz w:val="24"/>
        </w:rPr>
        <w:t>（4）被投诉质疑，经证实情况严重的；</w:t>
      </w:r>
    </w:p>
    <w:p>
      <w:pPr>
        <w:widowControl/>
        <w:spacing w:line="360" w:lineRule="auto"/>
        <w:ind w:firstLine="600"/>
        <w:rPr>
          <w:kern w:val="0"/>
          <w:sz w:val="24"/>
        </w:rPr>
      </w:pPr>
      <w:r>
        <w:rPr>
          <w:kern w:val="0"/>
          <w:sz w:val="24"/>
        </w:rPr>
        <w:t>（5）使用不正当竞争手段，影响甲方正常采购活动的；</w:t>
      </w:r>
    </w:p>
    <w:p>
      <w:pPr>
        <w:widowControl/>
        <w:spacing w:line="360" w:lineRule="auto"/>
        <w:ind w:firstLine="600"/>
        <w:rPr>
          <w:kern w:val="0"/>
          <w:sz w:val="24"/>
        </w:rPr>
      </w:pPr>
      <w:r>
        <w:rPr>
          <w:kern w:val="0"/>
          <w:sz w:val="24"/>
        </w:rPr>
        <w:t>（6）违反法律法规和协议约定的其他情形的。</w:t>
      </w:r>
    </w:p>
    <w:p>
      <w:pPr>
        <w:widowControl/>
        <w:spacing w:line="360" w:lineRule="auto"/>
        <w:ind w:firstLine="600"/>
        <w:rPr>
          <w:kern w:val="0"/>
          <w:sz w:val="24"/>
        </w:rPr>
      </w:pPr>
      <w:r>
        <w:rPr>
          <w:kern w:val="0"/>
          <w:sz w:val="24"/>
        </w:rPr>
        <w:t>以上对乙方的所有处罚都将记入乙方诚信评价体系，作为考核评价的依据。</w:t>
      </w:r>
    </w:p>
    <w:p>
      <w:pPr>
        <w:widowControl/>
        <w:spacing w:line="360" w:lineRule="auto"/>
        <w:ind w:firstLine="600"/>
        <w:rPr>
          <w:kern w:val="0"/>
          <w:sz w:val="24"/>
        </w:rPr>
      </w:pPr>
      <w:r>
        <w:rPr>
          <w:kern w:val="0"/>
          <w:sz w:val="24"/>
        </w:rPr>
        <w:t>九、乙方出现以下情形之一的，甲方有权提前收回存放公款，并取消乙方在以后的竞争性存放投标资格：</w:t>
      </w:r>
    </w:p>
    <w:p>
      <w:pPr>
        <w:widowControl/>
        <w:spacing w:line="360" w:lineRule="auto"/>
        <w:ind w:firstLine="600"/>
        <w:rPr>
          <w:kern w:val="0"/>
          <w:sz w:val="24"/>
        </w:rPr>
      </w:pPr>
      <w:r>
        <w:rPr>
          <w:kern w:val="0"/>
          <w:sz w:val="24"/>
        </w:rPr>
        <w:t>（1）出现资金安全事故、重大违法违规情况或财务恶化；</w:t>
      </w:r>
    </w:p>
    <w:p>
      <w:pPr>
        <w:widowControl/>
        <w:spacing w:line="360" w:lineRule="auto"/>
        <w:ind w:firstLine="600"/>
        <w:rPr>
          <w:kern w:val="0"/>
          <w:sz w:val="24"/>
        </w:rPr>
      </w:pPr>
      <w:r>
        <w:rPr>
          <w:kern w:val="0"/>
          <w:sz w:val="24"/>
        </w:rPr>
        <w:t>（2）监管评级降低，监管部门认为存在较大运营风险；</w:t>
      </w:r>
    </w:p>
    <w:p>
      <w:pPr>
        <w:widowControl/>
        <w:spacing w:line="360" w:lineRule="auto"/>
        <w:ind w:firstLine="600"/>
        <w:rPr>
          <w:kern w:val="0"/>
          <w:sz w:val="24"/>
        </w:rPr>
      </w:pPr>
      <w:r>
        <w:rPr>
          <w:kern w:val="0"/>
          <w:sz w:val="24"/>
        </w:rPr>
        <w:t>（3）进行严重不正当投标；</w:t>
      </w:r>
    </w:p>
    <w:p>
      <w:pPr>
        <w:widowControl/>
        <w:spacing w:line="360" w:lineRule="auto"/>
        <w:ind w:firstLine="600"/>
        <w:rPr>
          <w:kern w:val="0"/>
          <w:sz w:val="24"/>
        </w:rPr>
      </w:pPr>
      <w:r>
        <w:rPr>
          <w:kern w:val="0"/>
          <w:sz w:val="24"/>
        </w:rPr>
        <w:t>（4）未按照中标协议承诺履行相应的责任和义务；</w:t>
      </w:r>
    </w:p>
    <w:p>
      <w:pPr>
        <w:widowControl/>
        <w:spacing w:line="360" w:lineRule="auto"/>
        <w:ind w:firstLine="600"/>
        <w:rPr>
          <w:kern w:val="0"/>
          <w:sz w:val="24"/>
        </w:rPr>
      </w:pPr>
      <w:r>
        <w:rPr>
          <w:kern w:val="0"/>
          <w:sz w:val="24"/>
        </w:rPr>
        <w:t>（5）擅自降低服务条件和服务内容的；</w:t>
      </w:r>
    </w:p>
    <w:p>
      <w:pPr>
        <w:widowControl/>
        <w:spacing w:line="360" w:lineRule="auto"/>
        <w:ind w:firstLine="600"/>
        <w:rPr>
          <w:kern w:val="0"/>
          <w:sz w:val="24"/>
        </w:rPr>
      </w:pPr>
      <w:r>
        <w:rPr>
          <w:kern w:val="0"/>
          <w:sz w:val="24"/>
        </w:rPr>
        <w:t>（6）出现银行挤兑、存款被盗或其他可能妨害公款安全的情形；</w:t>
      </w:r>
    </w:p>
    <w:p>
      <w:pPr>
        <w:widowControl/>
        <w:spacing w:line="360" w:lineRule="auto"/>
        <w:ind w:firstLine="600"/>
        <w:rPr>
          <w:kern w:val="0"/>
          <w:sz w:val="24"/>
        </w:rPr>
      </w:pPr>
      <w:r>
        <w:rPr>
          <w:kern w:val="0"/>
          <w:sz w:val="24"/>
        </w:rPr>
        <w:t>（7）不能及时将到期存款本息足额转回甲方基本户。</w:t>
      </w:r>
    </w:p>
    <w:p>
      <w:pPr>
        <w:widowControl/>
        <w:spacing w:line="360" w:lineRule="auto"/>
        <w:ind w:firstLine="600"/>
        <w:rPr>
          <w:kern w:val="0"/>
          <w:sz w:val="24"/>
        </w:rPr>
      </w:pPr>
      <w:r>
        <w:rPr>
          <w:kern w:val="0"/>
          <w:sz w:val="24"/>
        </w:rPr>
        <w:t>十、针对甲方在乙方的定期存款/大额存单，乙方因保证甲方的账户资金安全，不得擅自以甲方名义进行投资理财或将存款以放贷、抵押、质押等形式借给第三方有偿使用。</w:t>
      </w:r>
    </w:p>
    <w:p>
      <w:pPr>
        <w:widowControl/>
        <w:spacing w:line="360" w:lineRule="auto"/>
        <w:ind w:firstLine="600"/>
        <w:rPr>
          <w:kern w:val="0"/>
          <w:sz w:val="24"/>
        </w:rPr>
      </w:pPr>
      <w:r>
        <w:rPr>
          <w:kern w:val="0"/>
          <w:sz w:val="24"/>
        </w:rPr>
        <w:t>十一、为确保资金安全，乙方应定期向甲方提供对账服务。乙方提供对账服务时应有其分行（省分行或市分行）提供、寄出对账单，以确保对账的真实和独立性。</w:t>
      </w:r>
    </w:p>
    <w:p>
      <w:pPr>
        <w:widowControl/>
        <w:spacing w:line="360" w:lineRule="auto"/>
        <w:ind w:firstLine="600"/>
        <w:rPr>
          <w:kern w:val="0"/>
          <w:sz w:val="24"/>
        </w:rPr>
      </w:pPr>
      <w:r>
        <w:rPr>
          <w:kern w:val="0"/>
          <w:sz w:val="24"/>
        </w:rPr>
        <w:t>十二、双方对本协议存款利率、金额等有关约定事项负有保密义务，法律、法规和规章规定以及监管机构要求对外披露的除外，双方各有约定的除外。</w:t>
      </w:r>
    </w:p>
    <w:p>
      <w:pPr>
        <w:widowControl/>
        <w:spacing w:line="360" w:lineRule="auto"/>
        <w:ind w:firstLine="600"/>
        <w:rPr>
          <w:kern w:val="0"/>
          <w:sz w:val="24"/>
        </w:rPr>
      </w:pPr>
      <w:r>
        <w:rPr>
          <w:kern w:val="0"/>
          <w:sz w:val="24"/>
        </w:rPr>
        <w:t>十三、违约责任：</w:t>
      </w:r>
    </w:p>
    <w:p>
      <w:pPr>
        <w:widowControl/>
        <w:spacing w:line="360" w:lineRule="auto"/>
        <w:ind w:firstLine="600"/>
        <w:rPr>
          <w:kern w:val="0"/>
          <w:sz w:val="24"/>
        </w:rPr>
      </w:pPr>
      <w:r>
        <w:rPr>
          <w:kern w:val="0"/>
          <w:sz w:val="24"/>
        </w:rPr>
        <w:t>除发生不可抗力外，违约责任按以下条款执行：</w:t>
      </w:r>
    </w:p>
    <w:p>
      <w:pPr>
        <w:widowControl/>
        <w:spacing w:line="360" w:lineRule="auto"/>
        <w:ind w:firstLine="600"/>
        <w:rPr>
          <w:kern w:val="0"/>
          <w:sz w:val="24"/>
        </w:rPr>
      </w:pPr>
      <w:r>
        <w:rPr>
          <w:kern w:val="0"/>
          <w:sz w:val="24"/>
        </w:rPr>
        <w:t>1、乙方未及时向甲方缴清到期存款本息的，应以当期存款协议中定期存款利率的两倍折成日利率，按日向甲方支付违约金；</w:t>
      </w:r>
    </w:p>
    <w:p>
      <w:pPr>
        <w:widowControl/>
        <w:spacing w:line="360" w:lineRule="auto"/>
        <w:ind w:firstLine="600"/>
        <w:rPr>
          <w:sz w:val="24"/>
        </w:rPr>
      </w:pPr>
      <w:r>
        <w:rPr>
          <w:sz w:val="24"/>
        </w:rPr>
        <w:t>2、如发现乙方违反招投标文件和协议的有关规定，甲方有权根据招标文件和相应的法律法规要求对乙方进行处罚，并有权提前终止协议书。</w:t>
      </w:r>
    </w:p>
    <w:p>
      <w:pPr>
        <w:widowControl/>
        <w:spacing w:line="360" w:lineRule="auto"/>
        <w:ind w:firstLine="600"/>
        <w:rPr>
          <w:kern w:val="0"/>
          <w:sz w:val="24"/>
        </w:rPr>
      </w:pPr>
      <w:r>
        <w:rPr>
          <w:kern w:val="0"/>
          <w:sz w:val="24"/>
        </w:rPr>
        <w:t>十四、附件。附件是本协议不可分割的组成部分，具有同等法律效力。本协议附件包括：甲乙双方签字授权书。</w:t>
      </w:r>
    </w:p>
    <w:p>
      <w:pPr>
        <w:widowControl/>
        <w:spacing w:line="360" w:lineRule="auto"/>
        <w:ind w:firstLine="600"/>
        <w:rPr>
          <w:kern w:val="0"/>
          <w:sz w:val="24"/>
        </w:rPr>
      </w:pPr>
      <w:r>
        <w:rPr>
          <w:kern w:val="0"/>
          <w:sz w:val="24"/>
        </w:rPr>
        <w:t>十五、本协议一式贰份，甲乙双方各执壹份，具有同等法律效力。执行中如对本协议产生争议，通过协商解决。</w:t>
      </w:r>
    </w:p>
    <w:p>
      <w:pPr>
        <w:widowControl/>
        <w:jc w:val="left"/>
      </w:pPr>
    </w:p>
    <w:p>
      <w:pPr>
        <w:widowControl/>
        <w:jc w:val="left"/>
      </w:pPr>
    </w:p>
    <w:p>
      <w:pPr>
        <w:widowControl/>
        <w:spacing w:line="360" w:lineRule="auto"/>
        <w:jc w:val="left"/>
      </w:pPr>
    </w:p>
    <w:p>
      <w:pPr>
        <w:widowControl/>
        <w:spacing w:line="360" w:lineRule="auto"/>
        <w:ind w:firstLine="360"/>
        <w:rPr>
          <w:kern w:val="0"/>
          <w:sz w:val="24"/>
        </w:rPr>
      </w:pPr>
      <w:r>
        <w:rPr>
          <w:kern w:val="0"/>
          <w:sz w:val="24"/>
        </w:rPr>
        <w:t>甲方（盖章）：</w:t>
      </w:r>
      <w:r>
        <w:rPr>
          <w:kern w:val="0"/>
          <w:sz w:val="24"/>
          <w:u w:val="single"/>
        </w:rPr>
        <w:t xml:space="preserve">          </w:t>
      </w:r>
      <w:r>
        <w:rPr>
          <w:kern w:val="0"/>
          <w:sz w:val="24"/>
        </w:rPr>
        <w:t xml:space="preserve">               乙方（盖章）：</w:t>
      </w:r>
      <w:r>
        <w:rPr>
          <w:kern w:val="0"/>
          <w:sz w:val="24"/>
          <w:u w:val="single"/>
        </w:rPr>
        <w:t xml:space="preserve">           </w:t>
      </w:r>
    </w:p>
    <w:p>
      <w:pPr>
        <w:widowControl/>
        <w:spacing w:line="360" w:lineRule="auto"/>
        <w:ind w:firstLine="360"/>
        <w:rPr>
          <w:kern w:val="0"/>
          <w:sz w:val="24"/>
        </w:rPr>
      </w:pPr>
      <w:r>
        <w:rPr>
          <w:kern w:val="0"/>
          <w:sz w:val="24"/>
        </w:rPr>
        <w:t>甲方代表（签字）：</w:t>
      </w:r>
      <w:r>
        <w:rPr>
          <w:kern w:val="0"/>
          <w:sz w:val="24"/>
          <w:u w:val="single"/>
        </w:rPr>
        <w:t xml:space="preserve">         </w:t>
      </w:r>
      <w:r>
        <w:rPr>
          <w:kern w:val="0"/>
          <w:sz w:val="24"/>
        </w:rPr>
        <w:t xml:space="preserve">            乙方代表（签字）：</w:t>
      </w:r>
      <w:r>
        <w:rPr>
          <w:kern w:val="0"/>
          <w:sz w:val="24"/>
          <w:u w:val="single"/>
        </w:rPr>
        <w:t xml:space="preserve">          </w:t>
      </w:r>
    </w:p>
    <w:p>
      <w:pPr>
        <w:widowControl/>
        <w:tabs>
          <w:tab w:val="left" w:pos="5028"/>
          <w:tab w:val="left" w:pos="5311"/>
        </w:tabs>
        <w:spacing w:line="360" w:lineRule="auto"/>
        <w:rPr>
          <w:kern w:val="0"/>
          <w:sz w:val="24"/>
        </w:rPr>
      </w:pPr>
      <w:r>
        <w:rPr>
          <w:kern w:val="0"/>
          <w:sz w:val="24"/>
        </w:rPr>
        <w:t xml:space="preserve">   联系电话：</w:t>
      </w:r>
      <w:r>
        <w:rPr>
          <w:kern w:val="0"/>
          <w:sz w:val="24"/>
          <w:u w:val="single"/>
        </w:rPr>
        <w:t xml:space="preserve">         </w:t>
      </w:r>
      <w:r>
        <w:rPr>
          <w:kern w:val="0"/>
          <w:sz w:val="24"/>
        </w:rPr>
        <w:tab/>
      </w:r>
      <w:r>
        <w:rPr>
          <w:kern w:val="0"/>
          <w:sz w:val="24"/>
        </w:rPr>
        <w:t>联系电话：</w:t>
      </w:r>
      <w:r>
        <w:rPr>
          <w:kern w:val="0"/>
          <w:sz w:val="24"/>
          <w:u w:val="single"/>
        </w:rPr>
        <w:t xml:space="preserve">         </w:t>
      </w:r>
    </w:p>
    <w:p>
      <w:pPr>
        <w:widowControl/>
        <w:spacing w:line="360" w:lineRule="auto"/>
        <w:ind w:firstLine="5640"/>
        <w:rPr>
          <w:kern w:val="0"/>
          <w:sz w:val="24"/>
        </w:rPr>
      </w:pPr>
    </w:p>
    <w:p>
      <w:pPr>
        <w:widowControl/>
        <w:spacing w:line="360" w:lineRule="auto"/>
        <w:jc w:val="right"/>
        <w:rPr>
          <w:sz w:val="24"/>
        </w:rPr>
      </w:pPr>
      <w:r>
        <w:rPr>
          <w:kern w:val="0"/>
          <w:sz w:val="24"/>
        </w:rPr>
        <w:t>签署日期：</w:t>
      </w:r>
      <w:r>
        <w:rPr>
          <w:sz w:val="24"/>
        </w:rPr>
        <w:t xml:space="preserve">     年    月   日</w:t>
      </w:r>
    </w:p>
    <w:p>
      <w:r>
        <w:br w:type="page"/>
      </w:r>
    </w:p>
    <w:p/>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附件一</w:t>
      </w:r>
    </w:p>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定期存款提前支取方案</w:t>
      </w:r>
    </w:p>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（一年期定期存款）</w:t>
      </w:r>
    </w:p>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p>
    <w:tbl>
      <w:tblPr>
        <w:tblStyle w:val="4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36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snapToGrid w:val="0"/>
              <w:spacing w:before="120" w:beforeLines="50" w:after="120" w:afterLines="5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序号</w:t>
            </w:r>
          </w:p>
        </w:tc>
        <w:tc>
          <w:tcPr>
            <w:tcW w:w="4367" w:type="dxa"/>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实际存期</w:t>
            </w:r>
          </w:p>
        </w:tc>
        <w:tc>
          <w:tcPr>
            <w:tcW w:w="2728" w:type="dxa"/>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snapToGrid w:val="0"/>
              <w:spacing w:before="120" w:beforeLines="50" w:after="120" w:afterLines="5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1</w:t>
            </w:r>
          </w:p>
        </w:tc>
        <w:tc>
          <w:tcPr>
            <w:tcW w:w="4367" w:type="dxa"/>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未满3个月</w:t>
            </w:r>
          </w:p>
        </w:tc>
        <w:tc>
          <w:tcPr>
            <w:tcW w:w="2728" w:type="dxa"/>
            <w:vMerge w:val="restart"/>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p>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按支取日乙方总行挂牌公告的活期存款利率计息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snapToGrid w:val="0"/>
              <w:spacing w:before="120" w:beforeLines="50" w:after="120" w:afterLines="5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2</w:t>
            </w:r>
          </w:p>
        </w:tc>
        <w:tc>
          <w:tcPr>
            <w:tcW w:w="4367" w:type="dxa"/>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存满3个月，未满6个月</w:t>
            </w:r>
          </w:p>
        </w:tc>
        <w:tc>
          <w:tcPr>
            <w:tcW w:w="2728" w:type="dxa"/>
            <w:vMerge w:val="continue"/>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snapToGrid w:val="0"/>
              <w:spacing w:before="120" w:beforeLines="50" w:after="120" w:afterLines="5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3</w:t>
            </w:r>
          </w:p>
        </w:tc>
        <w:tc>
          <w:tcPr>
            <w:tcW w:w="4367" w:type="dxa"/>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存满6个月，未满1年</w:t>
            </w:r>
          </w:p>
        </w:tc>
        <w:tc>
          <w:tcPr>
            <w:tcW w:w="2728" w:type="dxa"/>
            <w:vMerge w:val="continue"/>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snapToGrid w:val="0"/>
              <w:spacing w:before="120" w:beforeLines="50" w:after="120" w:afterLines="5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4</w:t>
            </w:r>
          </w:p>
        </w:tc>
        <w:tc>
          <w:tcPr>
            <w:tcW w:w="4367" w:type="dxa"/>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未支取部分计息方案</w:t>
            </w:r>
          </w:p>
        </w:tc>
        <w:tc>
          <w:tcPr>
            <w:tcW w:w="2728" w:type="dxa"/>
            <w:noWrap w:val="0"/>
            <w:vAlign w:val="top"/>
          </w:tcPr>
          <w:p>
            <w:pPr>
              <w:snapToGrid w:val="0"/>
              <w:spacing w:before="120" w:beforeLines="50" w:after="120" w:afterLines="50"/>
              <w:ind w:firstLine="560"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t>___________%</w:t>
            </w:r>
          </w:p>
        </w:tc>
      </w:tr>
    </w:tbl>
    <w:p>
      <w:pPr>
        <w:pStyle w:val="2"/>
        <w:rPr>
          <w:sz w:val="28"/>
          <w:szCs w:val="28"/>
        </w:rPr>
        <w:sectPr>
          <w:footerReference r:id="rId7" w:type="default"/>
          <w:pgSz w:w="11906" w:h="16838"/>
          <w:pgMar w:top="1474" w:right="1797" w:bottom="1247" w:left="1797" w:header="851" w:footer="851" w:gutter="0"/>
          <w:cols w:space="720" w:num="1"/>
          <w:docGrid w:linePitch="312" w:charSpace="0"/>
        </w:sectPr>
      </w:pPr>
      <w:r>
        <w:rPr>
          <w:rFonts w:hint="eastAsia" w:ascii="宋体" w:hAnsi="宋体" w:cs="宋体"/>
          <w:sz w:val="28"/>
          <w:szCs w:val="28"/>
        </w:rPr>
        <w:br w:type="page"/>
      </w:r>
    </w:p>
    <w:p>
      <w:pPr>
        <w:spacing w:line="360" w:lineRule="auto"/>
        <w:jc w:val="center"/>
        <w:outlineLvl w:val="0"/>
        <w:rPr>
          <w:rFonts w:ascii="宋体" w:hAnsi="宋体" w:cs="宋体"/>
          <w:b/>
          <w:sz w:val="36"/>
          <w:szCs w:val="22"/>
        </w:rPr>
      </w:pPr>
      <w:bookmarkStart w:id="183" w:name="_Toc22421"/>
      <w:bookmarkStart w:id="184" w:name="_Toc26147"/>
      <w:bookmarkStart w:id="185" w:name="_Toc3385"/>
      <w:bookmarkStart w:id="186" w:name="_Toc11570"/>
      <w:r>
        <w:rPr>
          <w:rFonts w:hint="eastAsia" w:ascii="宋体" w:hAnsi="宋体" w:cs="宋体"/>
          <w:b/>
          <w:sz w:val="36"/>
          <w:szCs w:val="22"/>
        </w:rPr>
        <w:t>第五部分 评标办法</w:t>
      </w:r>
      <w:bookmarkEnd w:id="183"/>
      <w:bookmarkEnd w:id="184"/>
      <w:bookmarkEnd w:id="185"/>
      <w:bookmarkEnd w:id="186"/>
    </w:p>
    <w:p>
      <w:pPr>
        <w:spacing w:line="360" w:lineRule="auto"/>
        <w:rPr>
          <w:rFonts w:ascii="宋体" w:hAnsi="宋体" w:cs="宋体"/>
          <w:sz w:val="24"/>
        </w:rPr>
      </w:pPr>
    </w:p>
    <w:p>
      <w:pPr>
        <w:tabs>
          <w:tab w:val="left" w:pos="735"/>
        </w:tabs>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根据相关法规及本招标文件等有关规定，结合本项目的实际情况，按照公平、公正、科学、择优的原则，制定本评标办法。</w:t>
      </w:r>
    </w:p>
    <w:p>
      <w:pPr>
        <w:spacing w:line="360" w:lineRule="auto"/>
        <w:rPr>
          <w:rFonts w:ascii="宋体" w:hAnsi="宋体" w:cs="宋体"/>
          <w:sz w:val="24"/>
        </w:rPr>
      </w:pPr>
    </w:p>
    <w:p>
      <w:pPr>
        <w:tabs>
          <w:tab w:val="left" w:pos="735"/>
        </w:tabs>
        <w:adjustRightInd w:val="0"/>
        <w:spacing w:line="360" w:lineRule="auto"/>
        <w:outlineLvl w:val="1"/>
        <w:rPr>
          <w:rFonts w:ascii="宋体" w:hAnsi="宋体" w:cs="宋体"/>
          <w:b/>
          <w:bCs/>
          <w:snapToGrid w:val="0"/>
          <w:kern w:val="0"/>
          <w:sz w:val="24"/>
          <w:szCs w:val="22"/>
        </w:rPr>
      </w:pPr>
      <w:bookmarkStart w:id="187" w:name="_Toc25535"/>
      <w:bookmarkStart w:id="188" w:name="_Toc23245"/>
      <w:bookmarkStart w:id="189" w:name="_Toc8924"/>
      <w:bookmarkStart w:id="190" w:name="_Toc27434"/>
      <w:bookmarkStart w:id="191" w:name="_Toc32565"/>
      <w:r>
        <w:rPr>
          <w:rFonts w:hint="eastAsia" w:ascii="宋体" w:hAnsi="宋体" w:cs="宋体"/>
          <w:b/>
          <w:bCs/>
          <w:snapToGrid w:val="0"/>
          <w:kern w:val="0"/>
          <w:sz w:val="24"/>
          <w:szCs w:val="22"/>
        </w:rPr>
        <w:t>一、总则</w:t>
      </w:r>
      <w:bookmarkEnd w:id="187"/>
      <w:bookmarkEnd w:id="188"/>
      <w:bookmarkEnd w:id="189"/>
      <w:bookmarkEnd w:id="190"/>
      <w:bookmarkEnd w:id="191"/>
    </w:p>
    <w:p>
      <w:pPr>
        <w:tabs>
          <w:tab w:val="left" w:pos="735"/>
        </w:tabs>
        <w:adjustRightInd w:val="0"/>
        <w:spacing w:line="360" w:lineRule="auto"/>
        <w:ind w:firstLine="480" w:firstLineChars="200"/>
        <w:rPr>
          <w:rFonts w:ascii="宋体" w:hAnsi="宋体" w:cs="宋体"/>
          <w:snapToGrid w:val="0"/>
          <w:kern w:val="0"/>
          <w:sz w:val="24"/>
          <w:szCs w:val="22"/>
        </w:rPr>
      </w:pPr>
      <w:r>
        <w:rPr>
          <w:rFonts w:hint="eastAsia" w:ascii="宋体" w:hAnsi="宋体" w:cs="宋体"/>
          <w:snapToGrid w:val="0"/>
          <w:kern w:val="0"/>
          <w:sz w:val="24"/>
          <w:szCs w:val="22"/>
        </w:rPr>
        <w:t>本次招标采用综合评分法。按照综合评分由高到低确定中标候选人。</w:t>
      </w:r>
    </w:p>
    <w:p>
      <w:pPr>
        <w:tabs>
          <w:tab w:val="left" w:pos="735"/>
        </w:tabs>
        <w:adjustRightInd w:val="0"/>
        <w:spacing w:line="360" w:lineRule="auto"/>
        <w:outlineLvl w:val="1"/>
        <w:rPr>
          <w:rFonts w:ascii="宋体" w:hAnsi="宋体" w:cs="宋体"/>
          <w:b/>
          <w:bCs/>
          <w:snapToGrid w:val="0"/>
          <w:kern w:val="0"/>
          <w:sz w:val="24"/>
          <w:szCs w:val="22"/>
        </w:rPr>
      </w:pPr>
      <w:bookmarkStart w:id="192" w:name="_Toc31035"/>
      <w:bookmarkStart w:id="193" w:name="_Toc24957"/>
      <w:bookmarkStart w:id="194" w:name="_Toc8420"/>
      <w:bookmarkStart w:id="195" w:name="_Toc24471"/>
      <w:bookmarkStart w:id="196" w:name="_Toc18361"/>
      <w:r>
        <w:rPr>
          <w:rFonts w:hint="eastAsia" w:ascii="宋体" w:hAnsi="宋体" w:cs="宋体"/>
          <w:b/>
          <w:bCs/>
          <w:snapToGrid w:val="0"/>
          <w:kern w:val="0"/>
          <w:sz w:val="24"/>
          <w:szCs w:val="22"/>
        </w:rPr>
        <w:t>二、评标组织</w:t>
      </w:r>
      <w:bookmarkEnd w:id="192"/>
      <w:bookmarkEnd w:id="193"/>
      <w:bookmarkEnd w:id="194"/>
      <w:bookmarkEnd w:id="195"/>
      <w:bookmarkEnd w:id="196"/>
    </w:p>
    <w:p>
      <w:pPr>
        <w:tabs>
          <w:tab w:val="left" w:pos="735"/>
        </w:tabs>
        <w:adjustRightInd w:val="0"/>
        <w:spacing w:line="360" w:lineRule="auto"/>
        <w:ind w:firstLine="480" w:firstLineChars="200"/>
        <w:rPr>
          <w:rFonts w:ascii="宋体" w:hAnsi="宋体" w:cs="宋体"/>
          <w:snapToGrid w:val="0"/>
          <w:kern w:val="0"/>
          <w:sz w:val="24"/>
          <w:szCs w:val="22"/>
        </w:rPr>
      </w:pPr>
      <w:r>
        <w:rPr>
          <w:rFonts w:hAnsi="宋体"/>
          <w:sz w:val="24"/>
        </w:rPr>
        <w:t>评标工作由招标人依法组建的评标委员会负责。</w:t>
      </w:r>
      <w:r>
        <w:rPr>
          <w:rFonts w:hint="eastAsia" w:hAnsi="宋体"/>
          <w:sz w:val="24"/>
        </w:rPr>
        <w:t>评标委员会成员由5人及以上单数组成，应当由招标单位内部成员和外部专家共同组成，外部专家比例不低于60%，</w:t>
      </w:r>
      <w:r>
        <w:rPr>
          <w:rFonts w:hAnsi="宋体"/>
          <w:sz w:val="24"/>
        </w:rPr>
        <w:t>评标委员会的决定，应符合有关法律、法规和规章，并按少数服从多数的原则产生</w:t>
      </w:r>
      <w:r>
        <w:rPr>
          <w:rFonts w:hint="eastAsia" w:ascii="宋体" w:hAnsi="宋体" w:cs="宋体"/>
          <w:snapToGrid w:val="0"/>
          <w:kern w:val="0"/>
          <w:sz w:val="24"/>
          <w:szCs w:val="22"/>
        </w:rPr>
        <w:t>。</w:t>
      </w:r>
    </w:p>
    <w:p>
      <w:pPr>
        <w:widowControl/>
        <w:snapToGrid w:val="0"/>
        <w:spacing w:line="360" w:lineRule="auto"/>
        <w:rPr>
          <w:rFonts w:ascii="宋体" w:hAnsi="宋体"/>
          <w:b/>
          <w:kern w:val="0"/>
          <w:sz w:val="24"/>
        </w:rPr>
      </w:pPr>
      <w:bookmarkStart w:id="197" w:name="_Toc9820"/>
      <w:bookmarkStart w:id="198" w:name="_Toc24327"/>
      <w:bookmarkStart w:id="199" w:name="_Toc31091"/>
      <w:bookmarkStart w:id="200" w:name="_Toc9662"/>
      <w:bookmarkStart w:id="201" w:name="_Toc30993"/>
      <w:r>
        <w:rPr>
          <w:rFonts w:hint="eastAsia" w:ascii="宋体" w:hAnsi="宋体" w:cs="宋体"/>
          <w:b/>
          <w:bCs/>
          <w:snapToGrid w:val="0"/>
          <w:kern w:val="0"/>
          <w:sz w:val="24"/>
          <w:szCs w:val="22"/>
        </w:rPr>
        <w:t>三、</w:t>
      </w:r>
      <w:bookmarkEnd w:id="197"/>
      <w:bookmarkEnd w:id="198"/>
      <w:bookmarkEnd w:id="199"/>
      <w:bookmarkEnd w:id="200"/>
      <w:bookmarkEnd w:id="201"/>
      <w:r>
        <w:rPr>
          <w:rFonts w:ascii="宋体" w:hAnsi="宋体"/>
          <w:b/>
          <w:kern w:val="0"/>
          <w:sz w:val="24"/>
        </w:rPr>
        <w:t>评标程序</w:t>
      </w:r>
    </w:p>
    <w:p>
      <w:pPr>
        <w:widowControl/>
        <w:snapToGrid w:val="0"/>
        <w:spacing w:line="360" w:lineRule="auto"/>
        <w:ind w:firstLine="480" w:firstLineChars="200"/>
        <w:rPr>
          <w:rFonts w:ascii="宋体" w:hAnsi="宋体"/>
          <w:kern w:val="0"/>
          <w:sz w:val="24"/>
        </w:rPr>
      </w:pPr>
      <w:r>
        <w:rPr>
          <w:rFonts w:ascii="宋体" w:hAnsi="宋体"/>
          <w:kern w:val="0"/>
          <w:sz w:val="24"/>
        </w:rPr>
        <w:t>1、本项目评标工作将严格遵守保密准则，评标的依据为招标文件和投标文件。</w:t>
      </w:r>
    </w:p>
    <w:p>
      <w:pPr>
        <w:widowControl/>
        <w:snapToGrid w:val="0"/>
        <w:spacing w:line="360" w:lineRule="auto"/>
        <w:ind w:firstLine="480" w:firstLineChars="200"/>
        <w:rPr>
          <w:rFonts w:ascii="宋体" w:hAnsi="宋体"/>
          <w:kern w:val="0"/>
          <w:sz w:val="24"/>
        </w:rPr>
      </w:pPr>
      <w:r>
        <w:rPr>
          <w:rFonts w:ascii="宋体" w:hAnsi="宋体"/>
          <w:kern w:val="0"/>
          <w:sz w:val="24"/>
        </w:rPr>
        <w:t>2、熟悉招标文件和评标办法。</w:t>
      </w:r>
    </w:p>
    <w:p>
      <w:pPr>
        <w:widowControl/>
        <w:spacing w:line="360" w:lineRule="auto"/>
        <w:ind w:firstLine="480" w:firstLineChars="200"/>
        <w:jc w:val="left"/>
        <w:rPr>
          <w:rFonts w:ascii="宋体" w:hAnsi="宋体"/>
          <w:sz w:val="24"/>
        </w:rPr>
      </w:pPr>
      <w:r>
        <w:rPr>
          <w:rFonts w:ascii="宋体" w:hAnsi="宋体"/>
          <w:kern w:val="0"/>
          <w:sz w:val="24"/>
        </w:rPr>
        <w:t>3、对投标文件</w:t>
      </w:r>
      <w:r>
        <w:rPr>
          <w:rFonts w:hint="eastAsia" w:ascii="宋体" w:hAnsi="宋体"/>
          <w:kern w:val="0"/>
          <w:sz w:val="24"/>
        </w:rPr>
        <w:t>依次通过资格审查、</w:t>
      </w:r>
      <w:r>
        <w:rPr>
          <w:rFonts w:ascii="宋体" w:hAnsi="宋体"/>
          <w:kern w:val="0"/>
          <w:sz w:val="24"/>
        </w:rPr>
        <w:t>符合性审查后，</w:t>
      </w:r>
      <w:r>
        <w:rPr>
          <w:rFonts w:hint="eastAsia" w:ascii="宋体" w:hAnsi="宋体"/>
          <w:kern w:val="0"/>
          <w:sz w:val="24"/>
        </w:rPr>
        <w:t>按照评标原则确定推荐中标候选人</w:t>
      </w:r>
      <w:r>
        <w:rPr>
          <w:rFonts w:ascii="宋体" w:hAnsi="宋体"/>
          <w:kern w:val="0"/>
          <w:sz w:val="24"/>
        </w:rPr>
        <w:t>。</w:t>
      </w:r>
    </w:p>
    <w:p>
      <w:pPr>
        <w:widowControl/>
        <w:snapToGrid w:val="0"/>
        <w:spacing w:line="360" w:lineRule="auto"/>
        <w:ind w:firstLine="482" w:firstLineChars="200"/>
        <w:rPr>
          <w:rFonts w:ascii="宋体" w:hAnsi="宋体"/>
          <w:b/>
          <w:kern w:val="0"/>
          <w:sz w:val="24"/>
        </w:rPr>
      </w:pPr>
      <w:r>
        <w:rPr>
          <w:rFonts w:ascii="宋体" w:hAnsi="宋体"/>
          <w:b/>
          <w:kern w:val="0"/>
          <w:sz w:val="24"/>
        </w:rPr>
        <w:t>4、无效投标的认定</w:t>
      </w:r>
    </w:p>
    <w:p>
      <w:pPr>
        <w:widowControl/>
        <w:snapToGrid w:val="0"/>
        <w:spacing w:line="360" w:lineRule="auto"/>
        <w:ind w:firstLine="480" w:firstLineChars="200"/>
        <w:rPr>
          <w:rFonts w:ascii="宋体" w:hAnsi="宋体"/>
          <w:b/>
          <w:sz w:val="24"/>
        </w:rPr>
      </w:pPr>
      <w:r>
        <w:rPr>
          <w:rFonts w:hint="eastAsia" w:ascii="宋体" w:hAnsi="宋体"/>
          <w:bCs/>
          <w:sz w:val="24"/>
        </w:rPr>
        <w:t>1）资格证明文件不全的，或者不符合招标文件标明的资格要求的；</w:t>
      </w:r>
    </w:p>
    <w:p>
      <w:pPr>
        <w:widowControl/>
        <w:snapToGrid w:val="0"/>
        <w:spacing w:line="360" w:lineRule="auto"/>
        <w:ind w:firstLine="480" w:firstLineChars="200"/>
        <w:rPr>
          <w:rFonts w:ascii="宋体" w:hAnsi="宋体"/>
          <w:bCs/>
          <w:sz w:val="24"/>
        </w:rPr>
      </w:pPr>
      <w:r>
        <w:rPr>
          <w:rFonts w:hint="eastAsia" w:ascii="宋体" w:hAnsi="宋体"/>
          <w:bCs/>
          <w:sz w:val="24"/>
        </w:rPr>
        <w:t>2）投标文件未按招标文件要求签署、盖章的；</w:t>
      </w:r>
    </w:p>
    <w:p>
      <w:pPr>
        <w:widowControl/>
        <w:snapToGrid w:val="0"/>
        <w:spacing w:line="360" w:lineRule="auto"/>
        <w:ind w:firstLine="480" w:firstLineChars="200"/>
        <w:rPr>
          <w:rFonts w:ascii="宋体" w:hAnsi="宋体"/>
          <w:sz w:val="24"/>
        </w:rPr>
      </w:pPr>
      <w:r>
        <w:rPr>
          <w:rFonts w:hint="eastAsia" w:ascii="宋体" w:hAnsi="宋体"/>
          <w:bCs/>
          <w:sz w:val="24"/>
        </w:rPr>
        <w:t>3）</w:t>
      </w:r>
      <w:r>
        <w:rPr>
          <w:rFonts w:hint="eastAsia" w:ascii="宋体" w:hAnsi="宋体"/>
          <w:sz w:val="24"/>
        </w:rPr>
        <w:t>投标文件中法定代表人授权书所载内容与本项目内容有异的或者法定代表人（或负责人）授权书未按照招标文件要求签署、盖章的；</w:t>
      </w:r>
    </w:p>
    <w:p>
      <w:pPr>
        <w:widowControl/>
        <w:snapToGrid w:val="0"/>
        <w:spacing w:line="360" w:lineRule="auto"/>
        <w:ind w:firstLine="480" w:firstLineChars="200"/>
        <w:rPr>
          <w:rFonts w:ascii="宋体" w:hAnsi="宋体"/>
          <w:bCs/>
          <w:sz w:val="24"/>
        </w:rPr>
      </w:pPr>
      <w:r>
        <w:rPr>
          <w:rFonts w:hint="eastAsia" w:ascii="宋体" w:hAnsi="宋体"/>
          <w:bCs/>
          <w:sz w:val="24"/>
        </w:rPr>
        <w:t>4）投标文件关键内容字迹不清晰或存在歧义；</w:t>
      </w:r>
    </w:p>
    <w:p>
      <w:pPr>
        <w:widowControl/>
        <w:snapToGrid w:val="0"/>
        <w:spacing w:line="360" w:lineRule="auto"/>
        <w:ind w:firstLine="480" w:firstLineChars="200"/>
        <w:rPr>
          <w:rFonts w:ascii="宋体" w:hAnsi="宋体"/>
          <w:bCs/>
          <w:sz w:val="24"/>
        </w:rPr>
      </w:pPr>
      <w:r>
        <w:rPr>
          <w:rFonts w:hint="eastAsia" w:ascii="宋体" w:hAnsi="宋体"/>
          <w:bCs/>
          <w:sz w:val="24"/>
        </w:rPr>
        <w:t>5）投标有效期不能满足招标文件要求的；</w:t>
      </w:r>
    </w:p>
    <w:p>
      <w:pPr>
        <w:widowControl/>
        <w:snapToGrid w:val="0"/>
        <w:spacing w:line="360" w:lineRule="auto"/>
        <w:ind w:firstLine="480" w:firstLineChars="200"/>
        <w:rPr>
          <w:rFonts w:ascii="宋体" w:hAnsi="宋体"/>
          <w:sz w:val="24"/>
        </w:rPr>
      </w:pPr>
      <w:r>
        <w:rPr>
          <w:rFonts w:hint="eastAsia" w:ascii="宋体" w:hAnsi="宋体"/>
          <w:bCs/>
          <w:sz w:val="24"/>
        </w:rPr>
        <w:t>6）</w:t>
      </w:r>
      <w:r>
        <w:rPr>
          <w:rFonts w:hint="eastAsia" w:ascii="宋体" w:hAnsi="宋体"/>
          <w:sz w:val="24"/>
        </w:rPr>
        <w:t>未响应招标文件打“▲”实质性要求或者投标文件有招标人不能接受的附加条件的；</w:t>
      </w:r>
    </w:p>
    <w:p>
      <w:pPr>
        <w:widowControl/>
        <w:snapToGrid w:val="0"/>
        <w:spacing w:line="360" w:lineRule="auto"/>
        <w:ind w:firstLine="480" w:firstLineChars="200"/>
        <w:rPr>
          <w:rFonts w:ascii="宋体" w:hAnsi="宋体"/>
          <w:sz w:val="24"/>
        </w:rPr>
      </w:pPr>
      <w:r>
        <w:rPr>
          <w:rFonts w:hint="eastAsia" w:ascii="宋体" w:hAnsi="宋体"/>
          <w:sz w:val="24"/>
        </w:rPr>
        <w:t>7）投标人提供虚假材料投标的；</w:t>
      </w:r>
    </w:p>
    <w:p>
      <w:pPr>
        <w:widowControl/>
        <w:snapToGrid w:val="0"/>
        <w:spacing w:line="360" w:lineRule="auto"/>
        <w:ind w:firstLine="480" w:firstLineChars="200"/>
        <w:rPr>
          <w:rFonts w:ascii="宋体" w:hAnsi="宋体"/>
          <w:sz w:val="24"/>
        </w:rPr>
      </w:pPr>
      <w:r>
        <w:rPr>
          <w:rFonts w:hint="eastAsia" w:ascii="宋体" w:hAnsi="宋体"/>
          <w:sz w:val="24"/>
        </w:rPr>
        <w:t>8）经评标委员会审核，投标人的投标文件有类同或有串标嫌疑的；</w:t>
      </w:r>
    </w:p>
    <w:p>
      <w:pPr>
        <w:widowControl/>
        <w:snapToGrid w:val="0"/>
        <w:spacing w:line="360" w:lineRule="auto"/>
        <w:ind w:firstLine="480" w:firstLineChars="200"/>
        <w:rPr>
          <w:rFonts w:ascii="宋体" w:hAnsi="宋体"/>
          <w:bCs/>
          <w:sz w:val="24"/>
        </w:rPr>
      </w:pPr>
      <w:r>
        <w:rPr>
          <w:rFonts w:hint="eastAsia" w:ascii="宋体" w:hAnsi="宋体"/>
          <w:bCs/>
          <w:sz w:val="24"/>
        </w:rPr>
        <w:t>9）投标利率低于相同期限基准存款利率；</w:t>
      </w:r>
    </w:p>
    <w:p>
      <w:pPr>
        <w:widowControl/>
        <w:snapToGrid w:val="0"/>
        <w:spacing w:line="360" w:lineRule="auto"/>
        <w:ind w:firstLine="480" w:firstLineChars="200"/>
        <w:rPr>
          <w:rFonts w:ascii="宋体" w:hAnsi="宋体"/>
          <w:bCs/>
          <w:sz w:val="24"/>
        </w:rPr>
      </w:pPr>
      <w:r>
        <w:rPr>
          <w:rFonts w:hint="eastAsia" w:ascii="宋体" w:hAnsi="宋体"/>
          <w:bCs/>
          <w:sz w:val="24"/>
        </w:rPr>
        <w:t>10）利率增加基点违反国家利率政策规定或浙江省市场利率定价自律机制约定；</w:t>
      </w:r>
    </w:p>
    <w:p>
      <w:pPr>
        <w:widowControl/>
        <w:snapToGrid w:val="0"/>
        <w:spacing w:line="360" w:lineRule="auto"/>
        <w:ind w:firstLine="480" w:firstLineChars="200"/>
        <w:rPr>
          <w:rFonts w:ascii="宋体" w:hAnsi="宋体"/>
          <w:bCs/>
          <w:sz w:val="24"/>
        </w:rPr>
      </w:pPr>
      <w:r>
        <w:rPr>
          <w:rFonts w:hint="eastAsia" w:ascii="宋体" w:hAnsi="宋体"/>
          <w:bCs/>
          <w:sz w:val="24"/>
        </w:rPr>
        <w:t>11）</w:t>
      </w:r>
      <w:r>
        <w:rPr>
          <w:rFonts w:hint="eastAsia" w:ascii="宋体" w:hAnsi="宋体"/>
          <w:sz w:val="24"/>
        </w:rPr>
        <w:t>不符合法律法规及招标文件明确规定的其他无效投标条款的。</w:t>
      </w:r>
    </w:p>
    <w:p>
      <w:pPr>
        <w:widowControl/>
        <w:snapToGrid w:val="0"/>
        <w:spacing w:line="360" w:lineRule="auto"/>
        <w:ind w:firstLine="482" w:firstLineChars="200"/>
        <w:rPr>
          <w:rFonts w:ascii="宋体" w:hAnsi="宋体"/>
          <w:b/>
          <w:kern w:val="0"/>
          <w:sz w:val="24"/>
        </w:rPr>
      </w:pPr>
      <w:r>
        <w:rPr>
          <w:rFonts w:ascii="宋体" w:hAnsi="宋体"/>
          <w:b/>
          <w:kern w:val="0"/>
          <w:sz w:val="24"/>
        </w:rPr>
        <w:t>5、澄清有关问题</w:t>
      </w:r>
    </w:p>
    <w:p>
      <w:pPr>
        <w:widowControl/>
        <w:snapToGrid w:val="0"/>
        <w:spacing w:line="360" w:lineRule="auto"/>
        <w:ind w:firstLine="480" w:firstLineChars="200"/>
        <w:rPr>
          <w:rFonts w:ascii="宋体" w:hAnsi="宋体"/>
          <w:kern w:val="0"/>
          <w:sz w:val="24"/>
        </w:rPr>
      </w:pPr>
      <w:r>
        <w:rPr>
          <w:rFonts w:hint="eastAsia" w:ascii="宋体" w:hAnsi="宋体"/>
          <w:kern w:val="0"/>
          <w:sz w:val="24"/>
        </w:rPr>
        <w:t>评标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napToGrid w:val="0"/>
        <w:spacing w:line="360" w:lineRule="auto"/>
        <w:ind w:firstLine="480" w:firstLineChars="200"/>
        <w:rPr>
          <w:rFonts w:ascii="宋体" w:hAnsi="宋体"/>
          <w:kern w:val="0"/>
          <w:sz w:val="24"/>
        </w:rPr>
      </w:pPr>
      <w:r>
        <w:rPr>
          <w:rFonts w:hint="eastAsia" w:ascii="宋体" w:hAnsi="宋体"/>
          <w:kern w:val="0"/>
          <w:sz w:val="24"/>
        </w:rPr>
        <w:t>评标委员会要求供应商澄清、说明或者更正响应文件应当通过政府采购云平台在线询标形式作出。供应商的澄清、说明或者更正应当在规定的时间内通过政府采购云平台在线答复。超出规定时间未提交，则视为供应商放弃答复，并自行承担因此而产生的不利后果。</w:t>
      </w:r>
    </w:p>
    <w:p>
      <w:pPr>
        <w:widowControl/>
        <w:spacing w:line="360" w:lineRule="auto"/>
        <w:ind w:firstLine="480"/>
        <w:jc w:val="left"/>
        <w:rPr>
          <w:rFonts w:ascii="宋体" w:hAnsi="宋体"/>
          <w:b/>
          <w:sz w:val="24"/>
        </w:rPr>
      </w:pPr>
      <w:r>
        <w:rPr>
          <w:rFonts w:ascii="宋体" w:hAnsi="宋体"/>
          <w:b/>
          <w:sz w:val="24"/>
        </w:rPr>
        <w:t>6、推荐中标候选人</w:t>
      </w:r>
    </w:p>
    <w:p>
      <w:pPr>
        <w:pStyle w:val="23"/>
        <w:snapToGrid w:val="0"/>
        <w:spacing w:line="360" w:lineRule="auto"/>
        <w:ind w:firstLine="477" w:firstLineChars="199"/>
        <w:rPr>
          <w:rFonts w:hAnsi="宋体"/>
          <w:kern w:val="0"/>
          <w:sz w:val="24"/>
          <w:szCs w:val="24"/>
        </w:rPr>
      </w:pPr>
      <w:r>
        <w:rPr>
          <w:rFonts w:hint="eastAsia" w:hAnsi="宋体"/>
          <w:kern w:val="0"/>
          <w:sz w:val="24"/>
          <w:szCs w:val="24"/>
        </w:rPr>
        <w:t>评标专家按照评标总分由高到低进行排序，得分相同的（依次按服务水平分值、经营状况分值、经济贡献度分值、利率水平分值）由高到低排序，全部相同由评标委员会按少数服从多数的原则投票表决，得票多的优先。评分过程中采用四舍五入法，并保留小数2位。</w:t>
      </w:r>
    </w:p>
    <w:p>
      <w:pPr>
        <w:widowControl/>
        <w:spacing w:line="360" w:lineRule="auto"/>
        <w:ind w:firstLine="480"/>
        <w:jc w:val="left"/>
        <w:rPr>
          <w:rFonts w:ascii="宋体" w:hAnsi="宋体"/>
          <w:b/>
          <w:sz w:val="24"/>
        </w:rPr>
      </w:pPr>
      <w:r>
        <w:rPr>
          <w:rFonts w:ascii="宋体" w:hAnsi="宋体"/>
          <w:b/>
          <w:sz w:val="24"/>
        </w:rPr>
        <w:t>7、评标报告</w:t>
      </w:r>
    </w:p>
    <w:p>
      <w:pPr>
        <w:widowControl/>
        <w:spacing w:line="360" w:lineRule="auto"/>
        <w:ind w:firstLine="480"/>
        <w:jc w:val="left"/>
        <w:rPr>
          <w:rFonts w:ascii="宋体" w:hAnsi="宋体"/>
          <w:sz w:val="24"/>
        </w:rPr>
      </w:pPr>
      <w:r>
        <w:rPr>
          <w:rFonts w:ascii="宋体" w:hAnsi="宋体"/>
          <w:sz w:val="24"/>
        </w:rPr>
        <w:t>评标委员会应根据评标情况和结果，向招标人提交评标报告。评标报告应由评标委员会起草，按少数人服从多数人的原则通过。评标委员会全体成员应在评标报告上签字认可，评标专家如有保留意见可以在评标报告中阐明。</w:t>
      </w:r>
    </w:p>
    <w:p>
      <w:pPr>
        <w:widowControl/>
        <w:spacing w:line="360" w:lineRule="auto"/>
        <w:ind w:firstLine="480"/>
        <w:jc w:val="left"/>
        <w:rPr>
          <w:rFonts w:ascii="宋体" w:hAnsi="宋体"/>
          <w:b/>
          <w:sz w:val="24"/>
        </w:rPr>
      </w:pPr>
      <w:r>
        <w:rPr>
          <w:rFonts w:ascii="宋体" w:hAnsi="宋体"/>
          <w:b/>
          <w:sz w:val="24"/>
        </w:rPr>
        <w:t>8、定标</w:t>
      </w:r>
    </w:p>
    <w:p>
      <w:pPr>
        <w:widowControl/>
        <w:spacing w:line="360" w:lineRule="auto"/>
        <w:ind w:firstLine="480" w:firstLineChars="200"/>
        <w:jc w:val="left"/>
        <w:rPr>
          <w:rFonts w:ascii="宋体" w:hAnsi="宋体"/>
          <w:sz w:val="24"/>
        </w:rPr>
      </w:pPr>
      <w:r>
        <w:rPr>
          <w:rFonts w:ascii="宋体" w:hAnsi="宋体"/>
          <w:sz w:val="24"/>
        </w:rPr>
        <w:t>1）招标结果经招标人确认生效后，招标人将在招标公告发布的网站上发布中标公示，并向中标人发出中标通知书。</w:t>
      </w:r>
    </w:p>
    <w:p>
      <w:pPr>
        <w:widowControl/>
        <w:spacing w:line="360" w:lineRule="auto"/>
        <w:ind w:firstLine="480" w:firstLineChars="200"/>
        <w:jc w:val="left"/>
        <w:rPr>
          <w:rFonts w:ascii="宋体" w:hAnsi="宋体"/>
          <w:sz w:val="24"/>
        </w:rPr>
      </w:pPr>
      <w:r>
        <w:rPr>
          <w:rFonts w:ascii="宋体" w:hAnsi="宋体"/>
          <w:sz w:val="24"/>
        </w:rPr>
        <w:t>2）当确定的中标人放弃中标时，或因不可抗力提出不能履行合同，取消该中标人3年内投标资格。</w:t>
      </w:r>
      <w:r>
        <w:rPr>
          <w:rFonts w:hint="eastAsia" w:ascii="宋体" w:hAnsi="宋体"/>
          <w:sz w:val="24"/>
        </w:rPr>
        <w:t>采购人有权</w:t>
      </w:r>
      <w:r>
        <w:rPr>
          <w:rFonts w:ascii="宋体" w:hAnsi="宋体"/>
          <w:sz w:val="24"/>
        </w:rPr>
        <w:t>重新按评标总分从高到低排序，顺延给其他投标人</w:t>
      </w:r>
      <w:r>
        <w:rPr>
          <w:rFonts w:hint="eastAsia" w:ascii="宋体" w:hAnsi="宋体"/>
          <w:sz w:val="24"/>
        </w:rPr>
        <w:t>，或重新组织招标</w:t>
      </w:r>
      <w:r>
        <w:rPr>
          <w:rFonts w:ascii="宋体" w:hAnsi="宋体"/>
          <w:sz w:val="24"/>
        </w:rPr>
        <w:t>。</w:t>
      </w:r>
    </w:p>
    <w:p>
      <w:pPr>
        <w:tabs>
          <w:tab w:val="left" w:pos="735"/>
        </w:tabs>
        <w:adjustRightInd w:val="0"/>
        <w:spacing w:line="360" w:lineRule="auto"/>
        <w:ind w:firstLine="600" w:firstLineChars="250"/>
        <w:rPr>
          <w:rFonts w:ascii="宋体" w:hAnsi="宋体" w:cs="宋体"/>
          <w:snapToGrid w:val="0"/>
          <w:kern w:val="0"/>
          <w:sz w:val="24"/>
          <w:szCs w:val="22"/>
        </w:rPr>
      </w:pPr>
      <w:r>
        <w:rPr>
          <w:rFonts w:ascii="宋体" w:hAnsi="宋体"/>
          <w:sz w:val="24"/>
        </w:rPr>
        <w:t>3）招标人不向未中标方解释落标原因</w:t>
      </w:r>
      <w:r>
        <w:rPr>
          <w:rFonts w:hint="eastAsia" w:ascii="宋体" w:hAnsi="宋体" w:cs="宋体"/>
          <w:snapToGrid w:val="0"/>
          <w:kern w:val="0"/>
          <w:sz w:val="24"/>
          <w:szCs w:val="22"/>
        </w:rPr>
        <w:t>。</w:t>
      </w:r>
    </w:p>
    <w:p>
      <w:pPr>
        <w:tabs>
          <w:tab w:val="left" w:pos="735"/>
        </w:tabs>
        <w:adjustRightInd w:val="0"/>
        <w:spacing w:line="360" w:lineRule="auto"/>
        <w:outlineLvl w:val="1"/>
        <w:rPr>
          <w:rFonts w:ascii="宋体" w:hAnsi="宋体" w:cs="宋体"/>
          <w:b/>
          <w:bCs/>
          <w:snapToGrid w:val="0"/>
          <w:kern w:val="0"/>
          <w:sz w:val="24"/>
          <w:szCs w:val="22"/>
        </w:rPr>
      </w:pPr>
      <w:bookmarkStart w:id="202" w:name="_Toc5564"/>
      <w:bookmarkStart w:id="203" w:name="_Toc22177"/>
      <w:bookmarkStart w:id="204" w:name="_Toc28506"/>
      <w:bookmarkStart w:id="205" w:name="_Toc3847"/>
      <w:bookmarkStart w:id="206" w:name="_Toc32306"/>
      <w:r>
        <w:rPr>
          <w:rFonts w:hint="eastAsia" w:ascii="宋体" w:hAnsi="宋体" w:cs="宋体"/>
          <w:b/>
          <w:bCs/>
          <w:snapToGrid w:val="0"/>
          <w:kern w:val="0"/>
          <w:sz w:val="24"/>
          <w:szCs w:val="22"/>
        </w:rPr>
        <w:t>四、评标细则及标准</w:t>
      </w:r>
      <w:bookmarkEnd w:id="202"/>
      <w:bookmarkEnd w:id="203"/>
      <w:bookmarkEnd w:id="204"/>
      <w:bookmarkEnd w:id="205"/>
      <w:bookmarkEnd w:id="206"/>
    </w:p>
    <w:p>
      <w:pPr>
        <w:tabs>
          <w:tab w:val="left" w:pos="735"/>
        </w:tabs>
        <w:adjustRightInd w:val="0"/>
        <w:spacing w:line="360" w:lineRule="auto"/>
        <w:ind w:firstLine="480" w:firstLineChars="200"/>
        <w:rPr>
          <w:rFonts w:ascii="宋体" w:hAnsi="宋体" w:cs="宋体"/>
          <w:snapToGrid w:val="0"/>
          <w:kern w:val="0"/>
          <w:sz w:val="24"/>
          <w:szCs w:val="22"/>
        </w:rPr>
      </w:pPr>
      <w:r>
        <w:rPr>
          <w:rFonts w:hint="eastAsia" w:ascii="宋体" w:hAnsi="宋体" w:cs="宋体"/>
          <w:snapToGrid w:val="0"/>
          <w:kern w:val="0"/>
          <w:sz w:val="24"/>
          <w:szCs w:val="22"/>
        </w:rPr>
        <w:t>本项目采用综合评分法，通过对投标人的经营状况、服务水平、利率水平和经济贡献度</w:t>
      </w:r>
      <w:r>
        <w:rPr>
          <w:rFonts w:hint="eastAsia" w:ascii="宋体" w:hAnsi="宋体" w:cs="宋体"/>
          <w:bCs/>
          <w:sz w:val="24"/>
          <w:szCs w:val="24"/>
        </w:rPr>
        <w:t>及其他情况</w:t>
      </w:r>
      <w:r>
        <w:rPr>
          <w:rFonts w:hint="eastAsia" w:ascii="宋体" w:hAnsi="宋体" w:cs="宋体"/>
          <w:snapToGrid w:val="0"/>
          <w:kern w:val="0"/>
          <w:sz w:val="24"/>
          <w:szCs w:val="22"/>
        </w:rPr>
        <w:t>等指标进行评分，合计100分。</w:t>
      </w:r>
    </w:p>
    <w:p>
      <w:pPr>
        <w:tabs>
          <w:tab w:val="left" w:pos="735"/>
        </w:tabs>
        <w:adjustRightInd w:val="0"/>
        <w:spacing w:line="360" w:lineRule="auto"/>
        <w:ind w:firstLine="480" w:firstLineChars="200"/>
        <w:rPr>
          <w:rFonts w:ascii="宋体" w:hAnsi="宋体" w:cs="宋体"/>
          <w:snapToGrid w:val="0"/>
          <w:kern w:val="0"/>
          <w:sz w:val="24"/>
          <w:szCs w:val="22"/>
        </w:rPr>
      </w:pPr>
      <w:r>
        <w:rPr>
          <w:rFonts w:hint="eastAsia" w:ascii="宋体" w:hAnsi="宋体" w:cs="宋体"/>
          <w:snapToGrid w:val="0"/>
          <w:kern w:val="0"/>
          <w:sz w:val="24"/>
          <w:szCs w:val="22"/>
        </w:rPr>
        <w:t>评分细则及标准：</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724"/>
        <w:gridCol w:w="851"/>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2741" w:type="dxa"/>
            <w:gridSpan w:val="2"/>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评分指标</w:t>
            </w:r>
          </w:p>
        </w:tc>
        <w:tc>
          <w:tcPr>
            <w:tcW w:w="851" w:type="dxa"/>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分值</w:t>
            </w:r>
          </w:p>
        </w:tc>
        <w:tc>
          <w:tcPr>
            <w:tcW w:w="5823" w:type="dxa"/>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17" w:type="dxa"/>
            <w:vMerge w:val="restart"/>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投标银行经营状况</w:t>
            </w:r>
          </w:p>
        </w:tc>
        <w:tc>
          <w:tcPr>
            <w:tcW w:w="1724" w:type="dxa"/>
            <w:vAlign w:val="center"/>
          </w:tcPr>
          <w:p>
            <w:pPr>
              <w:widowControl/>
              <w:snapToGrid w:val="0"/>
              <w:jc w:val="left"/>
              <w:rPr>
                <w:rFonts w:ascii="宋体" w:hAnsi="宋体" w:cs="宋体"/>
                <w:bCs/>
                <w:kern w:val="0"/>
                <w:sz w:val="24"/>
                <w:szCs w:val="24"/>
              </w:rPr>
            </w:pPr>
            <w:r>
              <w:rPr>
                <w:rFonts w:hint="eastAsia" w:ascii="宋体" w:hAnsi="宋体" w:cs="宋体"/>
                <w:bCs/>
                <w:sz w:val="24"/>
                <w:szCs w:val="24"/>
              </w:rPr>
              <w:t>不良贷款率</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3</w:t>
            </w:r>
          </w:p>
        </w:tc>
        <w:tc>
          <w:tcPr>
            <w:tcW w:w="5823" w:type="dxa"/>
            <w:vAlign w:val="center"/>
          </w:tcPr>
          <w:p>
            <w:pPr>
              <w:widowControl/>
              <w:snapToGrid w:val="0"/>
              <w:jc w:val="left"/>
              <w:rPr>
                <w:rFonts w:ascii="宋体" w:hAnsi="宋体" w:cs="宋体"/>
                <w:bCs/>
                <w:kern w:val="0"/>
                <w:sz w:val="24"/>
                <w:szCs w:val="24"/>
              </w:rPr>
            </w:pPr>
            <w:r>
              <w:rPr>
                <w:rFonts w:hint="eastAsia" w:ascii="宋体" w:hAnsi="宋体" w:cs="宋体"/>
                <w:bCs/>
                <w:sz w:val="24"/>
                <w:szCs w:val="24"/>
              </w:rPr>
              <w:t>对不良贷款率</w:t>
            </w:r>
            <w:r>
              <w:rPr>
                <w:rFonts w:hint="eastAsia" w:ascii="宋体" w:hAnsi="宋体" w:cs="宋体"/>
                <w:bCs/>
                <w:kern w:val="0"/>
                <w:sz w:val="24"/>
                <w:szCs w:val="24"/>
              </w:rPr>
              <w:t>排名计算得分。第1名得满分，每递减一名扣减的分值为“该项分值/竞标银行数量”。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kern w:val="0"/>
                <w:sz w:val="24"/>
                <w:szCs w:val="24"/>
              </w:rPr>
            </w:pPr>
            <w:r>
              <w:rPr>
                <w:rFonts w:hint="eastAsia" w:ascii="宋体" w:hAnsi="宋体" w:cs="宋体"/>
                <w:bCs/>
                <w:sz w:val="24"/>
                <w:szCs w:val="24"/>
              </w:rPr>
              <w:t>拨备覆盖率</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3</w:t>
            </w:r>
          </w:p>
        </w:tc>
        <w:tc>
          <w:tcPr>
            <w:tcW w:w="5823" w:type="dxa"/>
            <w:vAlign w:val="center"/>
          </w:tcPr>
          <w:p>
            <w:pPr>
              <w:widowControl/>
              <w:snapToGrid w:val="0"/>
              <w:jc w:val="left"/>
              <w:rPr>
                <w:rFonts w:ascii="宋体" w:hAnsi="宋体" w:cs="宋体"/>
                <w:bCs/>
                <w:sz w:val="24"/>
                <w:szCs w:val="24"/>
              </w:rPr>
            </w:pPr>
            <w:r>
              <w:rPr>
                <w:rFonts w:hint="eastAsia" w:ascii="宋体" w:hAnsi="宋体" w:cs="宋体"/>
                <w:bCs/>
                <w:sz w:val="24"/>
                <w:szCs w:val="24"/>
              </w:rPr>
              <w:t>对拨备覆盖率</w:t>
            </w:r>
            <w:r>
              <w:rPr>
                <w:rFonts w:hint="eastAsia" w:ascii="宋体" w:hAnsi="宋体" w:cs="宋体"/>
                <w:bCs/>
                <w:kern w:val="0"/>
                <w:sz w:val="24"/>
                <w:szCs w:val="24"/>
              </w:rPr>
              <w:t>排名计算得分。第1名得满分，每递减一名扣减的分值为“该项分值/竞标银行数量”。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kern w:val="0"/>
                <w:sz w:val="24"/>
                <w:szCs w:val="24"/>
              </w:rPr>
            </w:pPr>
            <w:r>
              <w:rPr>
                <w:rFonts w:hint="eastAsia" w:ascii="宋体" w:hAnsi="宋体" w:cs="宋体"/>
                <w:bCs/>
                <w:sz w:val="24"/>
                <w:szCs w:val="24"/>
              </w:rPr>
              <w:t>人行综合评价</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3</w:t>
            </w:r>
          </w:p>
        </w:tc>
        <w:tc>
          <w:tcPr>
            <w:tcW w:w="5823" w:type="dxa"/>
            <w:vAlign w:val="center"/>
          </w:tcPr>
          <w:p>
            <w:pPr>
              <w:widowControl/>
              <w:snapToGrid w:val="0"/>
              <w:jc w:val="left"/>
              <w:rPr>
                <w:rFonts w:ascii="宋体" w:hAnsi="宋体" w:cs="宋体"/>
                <w:bCs/>
                <w:sz w:val="24"/>
                <w:szCs w:val="24"/>
              </w:rPr>
            </w:pPr>
            <w:r>
              <w:rPr>
                <w:rFonts w:hint="eastAsia" w:ascii="宋体" w:hAnsi="宋体" w:cs="宋体"/>
                <w:bCs/>
                <w:sz w:val="24"/>
                <w:szCs w:val="24"/>
              </w:rPr>
              <w:t>人行综合评价A级3分、B级2分、其他1分。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sz w:val="24"/>
                <w:szCs w:val="24"/>
              </w:rPr>
            </w:pPr>
            <w:r>
              <w:rPr>
                <w:rFonts w:hint="eastAsia" w:ascii="宋体" w:hAnsi="宋体" w:cs="宋体"/>
                <w:bCs/>
                <w:sz w:val="24"/>
                <w:szCs w:val="24"/>
              </w:rPr>
              <w:t>在杭银行机构支持我市经济社会发展考核评价结果</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12</w:t>
            </w:r>
          </w:p>
        </w:tc>
        <w:tc>
          <w:tcPr>
            <w:tcW w:w="5823" w:type="dxa"/>
            <w:vAlign w:val="center"/>
          </w:tcPr>
          <w:p>
            <w:pPr>
              <w:widowControl/>
              <w:snapToGrid w:val="0"/>
              <w:jc w:val="left"/>
              <w:rPr>
                <w:rFonts w:ascii="宋体" w:hAnsi="宋体" w:cs="宋体"/>
                <w:bCs/>
                <w:sz w:val="24"/>
                <w:szCs w:val="24"/>
              </w:rPr>
            </w:pPr>
            <w:r>
              <w:rPr>
                <w:rFonts w:hint="eastAsia" w:ascii="宋体" w:hAnsi="宋体" w:cs="宋体"/>
                <w:bCs/>
                <w:sz w:val="24"/>
                <w:szCs w:val="24"/>
              </w:rPr>
              <w:t>反映市政府对在杭银行机构支持我市经济社会发展考核评价结果，一等奖12分，二等奖9分，三等奖6分。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741" w:type="dxa"/>
            <w:gridSpan w:val="2"/>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投标利率水平</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10</w:t>
            </w:r>
          </w:p>
        </w:tc>
        <w:tc>
          <w:tcPr>
            <w:tcW w:w="5823" w:type="dxa"/>
            <w:vAlign w:val="center"/>
          </w:tcPr>
          <w:p>
            <w:pPr>
              <w:widowControl/>
              <w:snapToGrid w:val="0"/>
              <w:jc w:val="left"/>
              <w:rPr>
                <w:rFonts w:ascii="宋体" w:hAnsi="宋体" w:cs="宋体"/>
                <w:bCs/>
                <w:sz w:val="24"/>
                <w:szCs w:val="24"/>
              </w:rPr>
            </w:pPr>
            <w:r>
              <w:rPr>
                <w:rFonts w:hint="eastAsia" w:ascii="宋体" w:hAnsi="宋体" w:cs="宋体"/>
                <w:bCs/>
                <w:sz w:val="24"/>
                <w:szCs w:val="24"/>
              </w:rPr>
              <w:t>投标利率应符合国家利率政策规定和浙江省市场利率定价自律机制约定范围。达到市场利率定价自律机制约定范围上限的为满分，得分=10*投标利率/市场利率定价自律机制约定范围上限利率。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restart"/>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对地方经济贡献度</w:t>
            </w:r>
          </w:p>
        </w:tc>
        <w:tc>
          <w:tcPr>
            <w:tcW w:w="1724"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民营企业贷款</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10</w:t>
            </w:r>
          </w:p>
        </w:tc>
        <w:tc>
          <w:tcPr>
            <w:tcW w:w="5823"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对全市民营企业贷款额排名（3分）、全市民营企业贷款额占贷款总量比例排名（3分）、全市民营企业贷款增幅排名（4分）</w:t>
            </w:r>
            <w:r>
              <w:rPr>
                <w:rFonts w:hint="eastAsia" w:ascii="宋体" w:hAnsi="宋体" w:cs="宋体"/>
                <w:bCs/>
                <w:sz w:val="24"/>
                <w:szCs w:val="24"/>
              </w:rPr>
              <w:t>分别计算得分</w:t>
            </w:r>
            <w:r>
              <w:rPr>
                <w:rFonts w:hint="eastAsia" w:ascii="宋体" w:hAnsi="宋体" w:cs="宋体"/>
                <w:bCs/>
                <w:kern w:val="0"/>
                <w:sz w:val="24"/>
                <w:szCs w:val="24"/>
              </w:rPr>
              <w:t>。第1名得满分，每递减一名扣减的分值为“该项分值/竞标银行数量”。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小微企业贷款</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10</w:t>
            </w:r>
          </w:p>
        </w:tc>
        <w:tc>
          <w:tcPr>
            <w:tcW w:w="5823"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对全市小微企业贷款额排名（3分）、全市小微企业贷款额占贷款总量比例排名（3分）、全市小微企业贷款增幅排名（4分）分别计算得分。第1名得满分，每递减一名扣减的分值为“该项分值/竞标银行数量”。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制造业贷款</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10</w:t>
            </w:r>
          </w:p>
        </w:tc>
        <w:tc>
          <w:tcPr>
            <w:tcW w:w="5823"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对全市制造业贷款额排名（3分）、全市制造企业贷款额占贷款总量比例排名（3分）、全市制造业贷款增幅排名（4分）分别计算得分。第1名得满分，每递减一名扣减的分值为“该项分值/竞标银行数量”。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sz w:val="24"/>
                <w:szCs w:val="24"/>
              </w:rPr>
            </w:pPr>
            <w:r>
              <w:rPr>
                <w:rFonts w:hint="eastAsia" w:ascii="宋体" w:hAnsi="宋体" w:cs="宋体"/>
                <w:bCs/>
                <w:sz w:val="24"/>
                <w:szCs w:val="24"/>
              </w:rPr>
              <w:t>债务融资工具承销额</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4</w:t>
            </w:r>
          </w:p>
        </w:tc>
        <w:tc>
          <w:tcPr>
            <w:tcW w:w="5823"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对全市债务融资工具承销额排名计算得分。第1名得满分，每递减一名扣减的分值为“该项分值/竞标银行数量”。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sz w:val="24"/>
                <w:szCs w:val="24"/>
              </w:rPr>
            </w:pPr>
            <w:r>
              <w:rPr>
                <w:rFonts w:hint="eastAsia" w:ascii="宋体" w:hAnsi="宋体" w:cs="宋体"/>
                <w:bCs/>
                <w:sz w:val="24"/>
                <w:szCs w:val="24"/>
              </w:rPr>
              <w:t>国有控股企业贷款额</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10</w:t>
            </w:r>
          </w:p>
        </w:tc>
        <w:tc>
          <w:tcPr>
            <w:tcW w:w="5823"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对全市国有控股企业贷款额排名（5分）、全市国有控股企业贷款增幅排名（5分）分别计算得分。第1名得满分，每递减一名扣减的分值为“该项分值/竞标银行数量”。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ascii="宋体" w:hAnsi="宋体" w:cs="宋体"/>
                <w:bCs/>
                <w:sz w:val="24"/>
                <w:szCs w:val="24"/>
              </w:rPr>
            </w:pPr>
            <w:r>
              <w:rPr>
                <w:rFonts w:hint="eastAsia" w:ascii="宋体" w:hAnsi="宋体" w:cs="宋体"/>
                <w:bCs/>
                <w:sz w:val="24"/>
                <w:szCs w:val="24"/>
              </w:rPr>
              <w:t>纳税额</w:t>
            </w:r>
          </w:p>
        </w:tc>
        <w:tc>
          <w:tcPr>
            <w:tcW w:w="851"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10</w:t>
            </w:r>
          </w:p>
        </w:tc>
        <w:tc>
          <w:tcPr>
            <w:tcW w:w="5823" w:type="dxa"/>
            <w:vAlign w:val="center"/>
          </w:tcPr>
          <w:p>
            <w:pPr>
              <w:widowControl/>
              <w:snapToGrid w:val="0"/>
              <w:jc w:val="left"/>
              <w:rPr>
                <w:rFonts w:ascii="宋体" w:hAnsi="宋体" w:cs="宋体"/>
                <w:bCs/>
                <w:kern w:val="0"/>
                <w:sz w:val="24"/>
                <w:szCs w:val="24"/>
              </w:rPr>
            </w:pPr>
            <w:r>
              <w:rPr>
                <w:rFonts w:hint="eastAsia" w:ascii="宋体" w:hAnsi="宋体" w:cs="宋体"/>
                <w:bCs/>
                <w:kern w:val="0"/>
                <w:sz w:val="24"/>
                <w:szCs w:val="24"/>
              </w:rPr>
              <w:t>对全省纳税额（</w:t>
            </w:r>
            <w:r>
              <w:rPr>
                <w:rFonts w:hint="eastAsia" w:ascii="宋体" w:hAnsi="宋体" w:cs="宋体"/>
                <w:bCs/>
                <w:sz w:val="24"/>
                <w:szCs w:val="24"/>
              </w:rPr>
              <w:t>不含宁波）</w:t>
            </w:r>
            <w:r>
              <w:rPr>
                <w:rFonts w:hint="eastAsia" w:ascii="宋体" w:hAnsi="宋体" w:cs="宋体"/>
                <w:bCs/>
                <w:kern w:val="0"/>
                <w:sz w:val="24"/>
                <w:szCs w:val="24"/>
              </w:rPr>
              <w:t>排名（5分）、全市纳税额排名（5分）分别计算得分。第1名得满分，每递减一名扣减的分值为“该项分值/竞标银行数量”。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17" w:type="dxa"/>
            <w:vMerge w:val="restart"/>
            <w:vAlign w:val="center"/>
          </w:tcPr>
          <w:p>
            <w:pPr>
              <w:widowControl/>
              <w:snapToGrid w:val="0"/>
              <w:jc w:val="center"/>
              <w:rPr>
                <w:rFonts w:ascii="宋体" w:hAnsi="宋体" w:cs="宋体"/>
                <w:bCs/>
                <w:sz w:val="24"/>
                <w:szCs w:val="24"/>
              </w:rPr>
            </w:pPr>
            <w:r>
              <w:rPr>
                <w:rFonts w:hint="eastAsia" w:cs="宋体"/>
                <w:sz w:val="24"/>
                <w:szCs w:val="32"/>
              </w:rPr>
              <w:t>服务水平</w:t>
            </w:r>
          </w:p>
        </w:tc>
        <w:tc>
          <w:tcPr>
            <w:tcW w:w="1724" w:type="dxa"/>
            <w:vMerge w:val="restart"/>
            <w:vAlign w:val="center"/>
          </w:tcPr>
          <w:p>
            <w:pPr>
              <w:widowControl/>
              <w:snapToGrid w:val="0"/>
              <w:jc w:val="left"/>
              <w:rPr>
                <w:rFonts w:hint="eastAsia" w:ascii="宋体" w:hAnsi="宋体" w:cs="宋体"/>
                <w:bCs/>
                <w:sz w:val="24"/>
                <w:szCs w:val="24"/>
              </w:rPr>
            </w:pPr>
            <w:r>
              <w:rPr>
                <w:rFonts w:hint="eastAsia" w:ascii="宋体" w:hAnsi="宋体" w:cs="宋体"/>
                <w:bCs/>
                <w:sz w:val="24"/>
                <w:szCs w:val="24"/>
              </w:rPr>
              <w:t>整体服务方案</w:t>
            </w:r>
          </w:p>
        </w:tc>
        <w:tc>
          <w:tcPr>
            <w:tcW w:w="851" w:type="dxa"/>
            <w:vAlign w:val="center"/>
          </w:tcPr>
          <w:p>
            <w:pPr>
              <w:widowControl/>
              <w:snapToGrid w:val="0"/>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3</w:t>
            </w:r>
          </w:p>
        </w:tc>
        <w:tc>
          <w:tcPr>
            <w:tcW w:w="5823" w:type="dxa"/>
            <w:vAlign w:val="center"/>
          </w:tcPr>
          <w:p>
            <w:pPr>
              <w:widowControl/>
              <w:snapToGrid w:val="0"/>
              <w:jc w:val="left"/>
              <w:rPr>
                <w:rFonts w:hint="eastAsia" w:ascii="宋体" w:hAnsi="宋体" w:cs="宋体"/>
                <w:bCs/>
                <w:sz w:val="24"/>
                <w:szCs w:val="24"/>
              </w:rPr>
            </w:pPr>
            <w:r>
              <w:rPr>
                <w:rFonts w:hint="eastAsia" w:ascii="宋体" w:hAnsi="宋体" w:cs="宋体"/>
                <w:bCs/>
                <w:sz w:val="24"/>
                <w:szCs w:val="24"/>
              </w:rPr>
              <w:t>投标人提供针对本项目服务方案：如资金安全保障与风险控制方案、日常服务方案、定存服务便捷性方案等，横向比较，优秀得</w:t>
            </w:r>
            <w:r>
              <w:rPr>
                <w:rFonts w:hint="eastAsia" w:ascii="宋体" w:hAnsi="宋体" w:cs="宋体"/>
                <w:bCs/>
                <w:sz w:val="24"/>
                <w:szCs w:val="24"/>
                <w:lang w:val="en-US" w:eastAsia="zh-CN"/>
              </w:rPr>
              <w:t>2-3</w:t>
            </w:r>
            <w:r>
              <w:rPr>
                <w:rFonts w:hint="eastAsia" w:ascii="宋体" w:hAnsi="宋体" w:cs="宋体"/>
                <w:bCs/>
                <w:sz w:val="24"/>
                <w:szCs w:val="24"/>
              </w:rPr>
              <w:t>分，良好得</w:t>
            </w:r>
            <w:r>
              <w:rPr>
                <w:rFonts w:hint="eastAsia" w:ascii="宋体" w:hAnsi="宋体" w:cs="宋体"/>
                <w:bCs/>
                <w:sz w:val="24"/>
                <w:szCs w:val="24"/>
                <w:lang w:val="en-US" w:eastAsia="zh-CN"/>
              </w:rPr>
              <w:t>1-2</w:t>
            </w:r>
            <w:r>
              <w:rPr>
                <w:rFonts w:hint="eastAsia" w:ascii="宋体" w:hAnsi="宋体" w:cs="宋体"/>
                <w:bCs/>
                <w:sz w:val="24"/>
                <w:szCs w:val="24"/>
              </w:rPr>
              <w:t>分，一般得</w:t>
            </w:r>
            <w:r>
              <w:rPr>
                <w:rFonts w:hint="eastAsia" w:ascii="宋体" w:hAnsi="宋体" w:cs="宋体"/>
                <w:bCs/>
                <w:sz w:val="24"/>
                <w:szCs w:val="24"/>
                <w:lang w:val="en-US" w:eastAsia="zh-CN"/>
              </w:rPr>
              <w:t>1</w:t>
            </w:r>
            <w:r>
              <w:rPr>
                <w:rFonts w:hint="eastAsia" w:ascii="宋体" w:hAnsi="宋体" w:cs="宋体"/>
                <w:bCs/>
                <w:sz w:val="24"/>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Merge w:val="continue"/>
            <w:vAlign w:val="center"/>
          </w:tcPr>
          <w:p>
            <w:pPr>
              <w:widowControl/>
              <w:snapToGrid w:val="0"/>
              <w:jc w:val="left"/>
              <w:rPr>
                <w:rFonts w:hint="eastAsia" w:ascii="宋体" w:hAnsi="宋体" w:cs="宋体"/>
                <w:bCs/>
                <w:sz w:val="24"/>
                <w:szCs w:val="24"/>
              </w:rPr>
            </w:pPr>
          </w:p>
        </w:tc>
        <w:tc>
          <w:tcPr>
            <w:tcW w:w="851" w:type="dxa"/>
            <w:vAlign w:val="center"/>
          </w:tcPr>
          <w:p>
            <w:pPr>
              <w:widowControl/>
              <w:snapToGrid w:val="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11</w:t>
            </w:r>
          </w:p>
        </w:tc>
        <w:tc>
          <w:tcPr>
            <w:tcW w:w="5823" w:type="dxa"/>
            <w:vAlign w:val="center"/>
          </w:tcPr>
          <w:p>
            <w:pPr>
              <w:widowControl/>
              <w:snapToGrid w:val="0"/>
              <w:jc w:val="left"/>
              <w:rPr>
                <w:rFonts w:hint="eastAsia" w:ascii="宋体" w:hAnsi="宋体" w:cs="宋体"/>
                <w:bCs/>
                <w:sz w:val="24"/>
                <w:szCs w:val="24"/>
              </w:rPr>
            </w:pPr>
            <w:r>
              <w:rPr>
                <w:rFonts w:hint="eastAsia" w:ascii="宋体" w:hAnsi="宋体" w:cs="宋体"/>
                <w:bCs/>
                <w:sz w:val="24"/>
                <w:szCs w:val="24"/>
              </w:rPr>
              <w:t>对投标人提供的有利于存款单位提升公共服务质量的增值服务与措施进行评分，优秀得</w:t>
            </w:r>
            <w:r>
              <w:rPr>
                <w:rFonts w:hint="eastAsia" w:ascii="宋体" w:hAnsi="宋体" w:cs="宋体"/>
                <w:bCs/>
                <w:sz w:val="24"/>
                <w:szCs w:val="24"/>
                <w:lang w:val="en-US" w:eastAsia="zh-CN"/>
              </w:rPr>
              <w:t>8-11</w:t>
            </w:r>
            <w:r>
              <w:rPr>
                <w:rFonts w:hint="eastAsia" w:ascii="宋体" w:hAnsi="宋体" w:cs="宋体"/>
                <w:bCs/>
                <w:sz w:val="24"/>
                <w:szCs w:val="24"/>
              </w:rPr>
              <w:t>分，良好得</w:t>
            </w:r>
            <w:r>
              <w:rPr>
                <w:rFonts w:hint="eastAsia" w:ascii="宋体" w:hAnsi="宋体" w:cs="宋体"/>
                <w:bCs/>
                <w:sz w:val="24"/>
                <w:szCs w:val="24"/>
                <w:lang w:val="en-US" w:eastAsia="zh-CN"/>
              </w:rPr>
              <w:t>5-8</w:t>
            </w:r>
            <w:r>
              <w:rPr>
                <w:rFonts w:hint="eastAsia" w:ascii="宋体" w:hAnsi="宋体" w:cs="宋体"/>
                <w:bCs/>
                <w:sz w:val="24"/>
                <w:szCs w:val="24"/>
              </w:rPr>
              <w:t>分，一般得1</w:t>
            </w:r>
            <w:r>
              <w:rPr>
                <w:rFonts w:hint="eastAsia" w:ascii="宋体" w:hAnsi="宋体" w:cs="宋体"/>
                <w:bCs/>
                <w:sz w:val="24"/>
                <w:szCs w:val="24"/>
                <w:lang w:val="en-US" w:eastAsia="zh-CN"/>
              </w:rPr>
              <w:t>-5</w:t>
            </w:r>
            <w:r>
              <w:rPr>
                <w:rFonts w:hint="eastAsia" w:ascii="宋体" w:hAnsi="宋体" w:cs="宋体"/>
                <w:bCs/>
                <w:sz w:val="24"/>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17" w:type="dxa"/>
            <w:vMerge w:val="continue"/>
            <w:vAlign w:val="center"/>
          </w:tcPr>
          <w:p>
            <w:pPr>
              <w:widowControl/>
              <w:snapToGrid w:val="0"/>
              <w:jc w:val="left"/>
              <w:rPr>
                <w:rFonts w:ascii="宋体" w:hAnsi="宋体" w:cs="宋体"/>
                <w:bCs/>
                <w:sz w:val="24"/>
                <w:szCs w:val="24"/>
              </w:rPr>
            </w:pPr>
          </w:p>
        </w:tc>
        <w:tc>
          <w:tcPr>
            <w:tcW w:w="1724" w:type="dxa"/>
            <w:vAlign w:val="center"/>
          </w:tcPr>
          <w:p>
            <w:pPr>
              <w:widowControl/>
              <w:snapToGrid w:val="0"/>
              <w:jc w:val="left"/>
              <w:rPr>
                <w:rFonts w:hint="eastAsia" w:ascii="宋体" w:hAnsi="宋体" w:cs="宋体"/>
                <w:bCs/>
                <w:sz w:val="24"/>
                <w:szCs w:val="24"/>
              </w:rPr>
            </w:pPr>
            <w:r>
              <w:rPr>
                <w:rFonts w:hint="eastAsia" w:ascii="宋体" w:hAnsi="宋体" w:cs="宋体"/>
                <w:bCs/>
                <w:sz w:val="24"/>
                <w:szCs w:val="24"/>
              </w:rPr>
              <w:t>人行支付结算评价</w:t>
            </w:r>
          </w:p>
        </w:tc>
        <w:tc>
          <w:tcPr>
            <w:tcW w:w="851" w:type="dxa"/>
            <w:vAlign w:val="center"/>
          </w:tcPr>
          <w:p>
            <w:pPr>
              <w:widowControl/>
              <w:snapToGrid w:val="0"/>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1</w:t>
            </w:r>
          </w:p>
        </w:tc>
        <w:tc>
          <w:tcPr>
            <w:tcW w:w="5823" w:type="dxa"/>
            <w:vAlign w:val="center"/>
          </w:tcPr>
          <w:p>
            <w:pPr>
              <w:widowControl/>
              <w:snapToGrid w:val="0"/>
              <w:jc w:val="left"/>
              <w:rPr>
                <w:rFonts w:hint="eastAsia" w:ascii="宋体" w:hAnsi="宋体" w:cs="宋体"/>
                <w:bCs/>
                <w:sz w:val="24"/>
                <w:szCs w:val="24"/>
              </w:rPr>
            </w:pPr>
            <w:r>
              <w:rPr>
                <w:rFonts w:hint="eastAsia" w:ascii="宋体" w:hAnsi="宋体" w:cs="宋体"/>
                <w:bCs/>
                <w:sz w:val="24"/>
                <w:szCs w:val="24"/>
              </w:rPr>
              <w:t>根据近二年（202</w:t>
            </w:r>
            <w:r>
              <w:rPr>
                <w:rFonts w:hint="eastAsia" w:ascii="宋体" w:hAnsi="宋体" w:cs="宋体"/>
                <w:bCs/>
                <w:sz w:val="24"/>
                <w:szCs w:val="24"/>
                <w:lang w:val="en-US" w:eastAsia="zh-CN"/>
              </w:rPr>
              <w:t>2</w:t>
            </w:r>
            <w:r>
              <w:rPr>
                <w:rFonts w:hint="eastAsia" w:ascii="宋体" w:hAnsi="宋体" w:cs="宋体"/>
                <w:bCs/>
                <w:sz w:val="24"/>
                <w:szCs w:val="24"/>
              </w:rPr>
              <w:t>年、202</w:t>
            </w:r>
            <w:r>
              <w:rPr>
                <w:rFonts w:hint="eastAsia" w:ascii="宋体" w:hAnsi="宋体" w:cs="宋体"/>
                <w:bCs/>
                <w:sz w:val="24"/>
                <w:szCs w:val="24"/>
                <w:lang w:val="en-US" w:eastAsia="zh-CN"/>
              </w:rPr>
              <w:t>3</w:t>
            </w:r>
            <w:r>
              <w:rPr>
                <w:rFonts w:hint="eastAsia" w:ascii="宋体" w:hAnsi="宋体" w:cs="宋体"/>
                <w:bCs/>
                <w:sz w:val="24"/>
                <w:szCs w:val="24"/>
              </w:rPr>
              <w:t>年）人民银行对投标银行支付结算业务管理</w:t>
            </w:r>
            <w:r>
              <w:rPr>
                <w:rFonts w:hint="eastAsia" w:ascii="宋体" w:hAnsi="宋体" w:cs="宋体"/>
                <w:bCs/>
                <w:sz w:val="24"/>
                <w:szCs w:val="24"/>
                <w:lang w:val="en-US" w:eastAsia="zh-CN"/>
              </w:rPr>
              <w:t>的</w:t>
            </w:r>
            <w:r>
              <w:rPr>
                <w:rFonts w:hint="eastAsia" w:ascii="宋体" w:hAnsi="宋体" w:cs="宋体"/>
                <w:bCs/>
                <w:sz w:val="24"/>
                <w:szCs w:val="24"/>
              </w:rPr>
              <w:t>综合评级等次评定，二年A等得</w:t>
            </w:r>
            <w:r>
              <w:rPr>
                <w:rFonts w:hint="eastAsia" w:ascii="宋体" w:hAnsi="宋体" w:cs="宋体"/>
                <w:bCs/>
                <w:sz w:val="24"/>
                <w:szCs w:val="24"/>
                <w:lang w:val="en-US" w:eastAsia="zh-CN"/>
              </w:rPr>
              <w:t>1</w:t>
            </w:r>
            <w:r>
              <w:rPr>
                <w:rFonts w:hint="eastAsia" w:ascii="宋体" w:hAnsi="宋体" w:cs="宋体"/>
                <w:bCs/>
                <w:sz w:val="24"/>
                <w:szCs w:val="24"/>
              </w:rPr>
              <w:t>分，一年A得</w:t>
            </w:r>
            <w:r>
              <w:rPr>
                <w:rFonts w:hint="eastAsia" w:ascii="宋体" w:hAnsi="宋体" w:cs="宋体"/>
                <w:bCs/>
                <w:sz w:val="24"/>
                <w:szCs w:val="24"/>
                <w:lang w:val="en-US" w:eastAsia="zh-CN"/>
              </w:rPr>
              <w:t>0.5</w:t>
            </w:r>
            <w:r>
              <w:rPr>
                <w:rFonts w:hint="eastAsia" w:ascii="宋体" w:hAnsi="宋体" w:cs="宋体"/>
                <w:bCs/>
                <w:sz w:val="24"/>
                <w:szCs w:val="24"/>
              </w:rPr>
              <w:t>分。提供证明材料。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415" w:type="dxa"/>
            <w:gridSpan w:val="4"/>
            <w:vAlign w:val="center"/>
          </w:tcPr>
          <w:p>
            <w:pPr>
              <w:widowControl/>
              <w:snapToGrid w:val="0"/>
              <w:jc w:val="left"/>
              <w:rPr>
                <w:rFonts w:ascii="宋体" w:hAnsi="宋体" w:cs="宋体"/>
                <w:bCs/>
                <w:sz w:val="24"/>
                <w:szCs w:val="24"/>
                <w:lang w:val="en"/>
              </w:rPr>
            </w:pPr>
            <w:r>
              <w:rPr>
                <w:rFonts w:hint="eastAsia" w:ascii="宋体" w:hAnsi="宋体" w:cs="宋体"/>
                <w:bCs/>
                <w:sz w:val="24"/>
                <w:szCs w:val="24"/>
              </w:rPr>
              <w:t>注：相关数据为投标人所属市分行数据，根据杭政办函〔2019〕48号文规定，本评分原则中的投标银行经营状况、对</w:t>
            </w:r>
            <w:r>
              <w:rPr>
                <w:rFonts w:hint="eastAsia" w:ascii="宋体" w:hAnsi="宋体" w:cs="宋体"/>
                <w:b/>
                <w:sz w:val="24"/>
                <w:szCs w:val="24"/>
              </w:rPr>
              <w:t>地方经济贡献度、在杭银行机构支持我市经济社会发展考核评价结果，由采购单位向市金融办获取，无需投标单位提供，评标时均以市金融办提供排名为准。</w:t>
            </w:r>
          </w:p>
        </w:tc>
      </w:tr>
    </w:tbl>
    <w:p>
      <w:pPr>
        <w:widowControl/>
        <w:spacing w:line="360" w:lineRule="auto"/>
        <w:ind w:firstLine="480" w:firstLineChars="200"/>
        <w:rPr>
          <w:rFonts w:ascii="宋体" w:hAnsi="宋体" w:cs="宋体"/>
          <w:sz w:val="24"/>
        </w:rPr>
      </w:pPr>
      <w:r>
        <w:rPr>
          <w:rFonts w:hint="eastAsia" w:ascii="宋体" w:hAnsi="宋体" w:cs="宋体"/>
          <w:sz w:val="24"/>
        </w:rPr>
        <w:t>注：1.以上评分计算结果保留2位小数。各银行最终得分为评标专家有效评分的算术平均值（四舍五入，保留小数2位）。</w:t>
      </w:r>
    </w:p>
    <w:p>
      <w:pPr>
        <w:numPr>
          <w:ilvl w:val="0"/>
          <w:numId w:val="13"/>
        </w:numPr>
        <w:spacing w:line="360" w:lineRule="auto"/>
        <w:ind w:firstLine="470" w:firstLineChars="196"/>
        <w:rPr>
          <w:rFonts w:ascii="宋体" w:hAnsi="宋体" w:cs="宋体"/>
          <w:sz w:val="24"/>
        </w:rPr>
      </w:pPr>
      <w:r>
        <w:rPr>
          <w:rFonts w:hint="eastAsia" w:ascii="宋体" w:hAnsi="宋体" w:cs="宋体"/>
          <w:sz w:val="24"/>
        </w:rPr>
        <w:t>“服务水平”指标根据投标文件内容进行综合评审。</w:t>
      </w:r>
    </w:p>
    <w:p>
      <w:pPr>
        <w:spacing w:line="360" w:lineRule="auto"/>
        <w:ind w:firstLine="482" w:firstLineChars="200"/>
        <w:rPr>
          <w:rFonts w:ascii="宋体" w:hAnsi="宋体"/>
          <w:b/>
          <w:sz w:val="24"/>
        </w:rPr>
      </w:pPr>
      <w:r>
        <w:rPr>
          <w:rFonts w:hint="eastAsia" w:ascii="宋体" w:hAnsi="宋体"/>
          <w:b/>
          <w:sz w:val="24"/>
        </w:rPr>
        <w:t>▲3.如央行基准利率+增加基点计算后与存款年利率不一致，以央行基准利率增加基点为准，调整存款年利率。如投标人不接受利率调整的，投标无效。</w:t>
      </w:r>
    </w:p>
    <w:p>
      <w:pPr>
        <w:spacing w:line="360" w:lineRule="auto"/>
        <w:ind w:firstLine="472" w:firstLineChars="196"/>
        <w:rPr>
          <w:rFonts w:ascii="宋体" w:hAnsi="宋体"/>
          <w:b/>
          <w:bCs/>
        </w:rPr>
      </w:pPr>
      <w:r>
        <w:rPr>
          <w:rFonts w:hint="eastAsia" w:ascii="宋体" w:hAnsi="宋体"/>
          <w:b/>
          <w:bCs/>
          <w:sz w:val="24"/>
        </w:rPr>
        <w:t>4.要求各投标人在投标文件最前页根据本评标细则制作评分索引表，提供自评分并清楚标注相应证明材料的所在页码，若不提供的，评标委员会将不承担在评标过程中因漏看或误看造成的投标人评分错计或漏记的后果。</w:t>
      </w:r>
    </w:p>
    <w:p>
      <w:pPr>
        <w:widowControl/>
        <w:spacing w:line="360" w:lineRule="auto"/>
        <w:ind w:firstLine="960" w:firstLineChars="400"/>
        <w:rPr>
          <w:rFonts w:ascii="宋体" w:hAnsi="宋体" w:cs="宋体"/>
          <w:sz w:val="24"/>
        </w:rPr>
      </w:pPr>
    </w:p>
    <w:bookmarkEnd w:id="168"/>
    <w:bookmarkEnd w:id="169"/>
    <w:bookmarkEnd w:id="170"/>
    <w:p>
      <w:pPr>
        <w:spacing w:line="360" w:lineRule="auto"/>
        <w:jc w:val="center"/>
        <w:outlineLvl w:val="0"/>
        <w:rPr>
          <w:rFonts w:ascii="宋体" w:hAnsi="宋体" w:cs="宋体"/>
          <w:b/>
          <w:sz w:val="36"/>
          <w:szCs w:val="22"/>
        </w:rPr>
      </w:pPr>
      <w:bookmarkStart w:id="207" w:name="_Toc86217003"/>
      <w:bookmarkStart w:id="208" w:name="_Toc6487"/>
      <w:bookmarkStart w:id="209" w:name="_Toc19696"/>
      <w:r>
        <w:rPr>
          <w:rFonts w:hint="eastAsia" w:ascii="宋体" w:hAnsi="宋体" w:cs="宋体"/>
          <w:b/>
          <w:sz w:val="36"/>
          <w:szCs w:val="22"/>
        </w:rPr>
        <w:br w:type="page"/>
      </w:r>
      <w:bookmarkStart w:id="210" w:name="_Toc32407"/>
      <w:bookmarkStart w:id="211" w:name="_Toc9987"/>
      <w:bookmarkStart w:id="212" w:name="_Toc28789"/>
      <w:r>
        <w:rPr>
          <w:rFonts w:hint="eastAsia" w:ascii="宋体" w:hAnsi="宋体" w:cs="宋体"/>
          <w:b/>
          <w:sz w:val="36"/>
          <w:szCs w:val="22"/>
        </w:rPr>
        <w:t xml:space="preserve">第六部分 </w:t>
      </w:r>
      <w:bookmarkEnd w:id="207"/>
      <w:bookmarkEnd w:id="208"/>
      <w:r>
        <w:rPr>
          <w:rFonts w:hint="eastAsia" w:ascii="宋体" w:hAnsi="宋体" w:cs="宋体"/>
          <w:b/>
          <w:sz w:val="36"/>
          <w:szCs w:val="22"/>
        </w:rPr>
        <w:t>投标文件格式</w:t>
      </w:r>
      <w:bookmarkEnd w:id="209"/>
      <w:bookmarkEnd w:id="210"/>
      <w:bookmarkEnd w:id="211"/>
      <w:bookmarkEnd w:id="212"/>
    </w:p>
    <w:p>
      <w:pPr>
        <w:spacing w:line="360" w:lineRule="auto"/>
        <w:ind w:firstLine="482" w:firstLineChars="200"/>
        <w:rPr>
          <w:rFonts w:ascii="宋体" w:hAnsi="宋体" w:cs="宋体"/>
          <w:b/>
          <w:sz w:val="24"/>
          <w:szCs w:val="24"/>
          <w:lang w:val="zh-CN"/>
        </w:rPr>
      </w:pPr>
      <w:bookmarkStart w:id="213" w:name="_Toc2520"/>
    </w:p>
    <w:bookmarkEnd w:id="213"/>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说明：</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1．投标文件由投标人根据招标文件要求参照附件格式及要求编制。</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2．投标人根据实际情况填写。</w:t>
      </w:r>
    </w:p>
    <w:p>
      <w:pPr>
        <w:pStyle w:val="23"/>
        <w:spacing w:line="360" w:lineRule="auto"/>
        <w:ind w:firstLine="482" w:firstLineChars="200"/>
        <w:rPr>
          <w:rFonts w:hAnsi="宋体" w:cs="宋体"/>
          <w:b/>
          <w:bCs/>
          <w:snapToGrid w:val="0"/>
          <w:kern w:val="0"/>
          <w:sz w:val="24"/>
          <w:szCs w:val="24"/>
        </w:rPr>
      </w:pPr>
      <w:r>
        <w:rPr>
          <w:rFonts w:hint="eastAsia" w:hAnsi="宋体" w:cs="宋体"/>
          <w:b/>
          <w:bCs/>
          <w:snapToGrid w:val="0"/>
          <w:kern w:val="0"/>
          <w:sz w:val="24"/>
          <w:szCs w:val="24"/>
        </w:rPr>
        <w:t>3．招标文件中没有参考格式的，投标人自行编制。</w:t>
      </w:r>
    </w:p>
    <w:p>
      <w:pPr>
        <w:spacing w:line="360" w:lineRule="auto"/>
        <w:jc w:val="center"/>
        <w:rPr>
          <w:rFonts w:ascii="宋体" w:hAnsi="宋体" w:cs="宋体"/>
          <w:sz w:val="24"/>
          <w:szCs w:val="24"/>
        </w:rPr>
      </w:pPr>
      <w:r>
        <w:rPr>
          <w:rFonts w:hint="eastAsia" w:ascii="宋体" w:hAnsi="宋体" w:cs="宋体"/>
          <w:sz w:val="24"/>
          <w:szCs w:val="24"/>
        </w:rPr>
        <w:br w:type="page"/>
      </w:r>
    </w:p>
    <w:p>
      <w:pPr>
        <w:spacing w:line="360" w:lineRule="auto"/>
        <w:jc w:val="center"/>
        <w:rPr>
          <w:rFonts w:ascii="宋体" w:hAnsi="宋体" w:cs="宋体"/>
          <w:b/>
          <w:bCs/>
          <w:kern w:val="0"/>
          <w:sz w:val="32"/>
          <w:szCs w:val="22"/>
        </w:rPr>
      </w:pPr>
      <w:r>
        <w:rPr>
          <w:rFonts w:hint="eastAsia" w:ascii="宋体" w:hAnsi="宋体" w:cs="宋体"/>
          <w:b/>
          <w:bCs/>
          <w:kern w:val="0"/>
          <w:sz w:val="32"/>
          <w:szCs w:val="22"/>
        </w:rPr>
        <w:t>评分索引</w:t>
      </w:r>
    </w:p>
    <w:p>
      <w:pPr>
        <w:spacing w:line="360" w:lineRule="auto"/>
        <w:jc w:val="center"/>
        <w:rPr>
          <w:rFonts w:ascii="宋体" w:hAnsi="宋体" w:cs="宋体"/>
          <w:b/>
          <w:bCs/>
          <w:kern w:val="0"/>
          <w:sz w:val="28"/>
          <w:szCs w:val="28"/>
        </w:rPr>
      </w:pPr>
      <w:r>
        <w:rPr>
          <w:rFonts w:hint="eastAsia" w:ascii="宋体" w:hAnsi="宋体" w:cs="宋体"/>
          <w:b/>
          <w:bCs/>
          <w:kern w:val="0"/>
          <w:sz w:val="28"/>
          <w:szCs w:val="28"/>
        </w:rPr>
        <w:t>（仅供参考）</w:t>
      </w:r>
    </w:p>
    <w:tbl>
      <w:tblPr>
        <w:tblStyle w:val="44"/>
        <w:tblW w:w="0" w:type="auto"/>
        <w:tblInd w:w="0" w:type="dxa"/>
        <w:tblLayout w:type="fixed"/>
        <w:tblCellMar>
          <w:top w:w="15" w:type="dxa"/>
          <w:left w:w="15" w:type="dxa"/>
          <w:bottom w:w="15" w:type="dxa"/>
          <w:right w:w="15" w:type="dxa"/>
        </w:tblCellMar>
      </w:tblPr>
      <w:tblGrid>
        <w:gridCol w:w="1266"/>
        <w:gridCol w:w="1384"/>
        <w:gridCol w:w="3665"/>
        <w:gridCol w:w="2055"/>
        <w:gridCol w:w="795"/>
      </w:tblGrid>
      <w:tr>
        <w:tblPrEx>
          <w:tblCellMar>
            <w:top w:w="15" w:type="dxa"/>
            <w:left w:w="15" w:type="dxa"/>
            <w:bottom w:w="15" w:type="dxa"/>
            <w:right w:w="15" w:type="dxa"/>
          </w:tblCellMar>
        </w:tblPrEx>
        <w:trPr>
          <w:trHeight w:val="990" w:hRule="atLeast"/>
        </w:trPr>
        <w:tc>
          <w:tcPr>
            <w:tcW w:w="1266" w:type="dxa"/>
            <w:tcBorders>
              <w:top w:val="single" w:color="000000" w:sz="8" w:space="0"/>
              <w:left w:val="single" w:color="000000" w:sz="8"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指标</w:t>
            </w:r>
          </w:p>
        </w:tc>
        <w:tc>
          <w:tcPr>
            <w:tcW w:w="1384" w:type="dxa"/>
            <w:tcBorders>
              <w:top w:val="single" w:color="000000" w:sz="8"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项目</w:t>
            </w:r>
          </w:p>
        </w:tc>
        <w:tc>
          <w:tcPr>
            <w:tcW w:w="3665" w:type="dxa"/>
            <w:tcBorders>
              <w:top w:val="single" w:color="000000" w:sz="8"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评审内容及评分细则</w:t>
            </w:r>
          </w:p>
        </w:tc>
        <w:tc>
          <w:tcPr>
            <w:tcW w:w="2055" w:type="dxa"/>
            <w:tcBorders>
              <w:top w:val="single" w:color="000000" w:sz="8"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响应情况</w:t>
            </w:r>
          </w:p>
        </w:tc>
        <w:tc>
          <w:tcPr>
            <w:tcW w:w="795" w:type="dxa"/>
            <w:tcBorders>
              <w:top w:val="single" w:color="000000" w:sz="8"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页码</w:t>
            </w:r>
          </w:p>
        </w:tc>
      </w:tr>
      <w:tr>
        <w:tblPrEx>
          <w:tblCellMar>
            <w:top w:w="15" w:type="dxa"/>
            <w:left w:w="15" w:type="dxa"/>
            <w:bottom w:w="15" w:type="dxa"/>
            <w:right w:w="15" w:type="dxa"/>
          </w:tblCellMar>
        </w:tblPrEx>
        <w:trPr>
          <w:trHeight w:val="567" w:hRule="exact"/>
        </w:trPr>
        <w:tc>
          <w:tcPr>
            <w:tcW w:w="1266"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p>
        </w:tc>
        <w:tc>
          <w:tcPr>
            <w:tcW w:w="1384"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lang w:bidi="ar"/>
              </w:rPr>
            </w:pPr>
          </w:p>
          <w:p>
            <w:pPr>
              <w:widowControl/>
              <w:spacing w:line="360" w:lineRule="auto"/>
              <w:jc w:val="center"/>
              <w:textAlignment w:val="center"/>
              <w:rPr>
                <w:rFonts w:ascii="宋体" w:hAnsi="宋体" w:cs="宋体"/>
                <w:b/>
                <w:bCs/>
                <w:sz w:val="24"/>
              </w:rPr>
            </w:pPr>
          </w:p>
        </w:tc>
        <w:tc>
          <w:tcPr>
            <w:tcW w:w="3665"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b/>
                <w:bCs/>
                <w:sz w:val="24"/>
              </w:rPr>
            </w:pPr>
          </w:p>
        </w:tc>
        <w:tc>
          <w:tcPr>
            <w:tcW w:w="2055"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r>
        <w:tblPrEx>
          <w:tblCellMar>
            <w:top w:w="15" w:type="dxa"/>
            <w:left w:w="15" w:type="dxa"/>
            <w:bottom w:w="15" w:type="dxa"/>
            <w:right w:w="15" w:type="dxa"/>
          </w:tblCellMar>
        </w:tblPrEx>
        <w:trPr>
          <w:trHeight w:val="567" w:hRule="exact"/>
        </w:trPr>
        <w:tc>
          <w:tcPr>
            <w:tcW w:w="1266" w:type="dxa"/>
            <w:vMerge w:val="restart"/>
            <w:tcBorders>
              <w:top w:val="single" w:color="000000" w:sz="4" w:space="0"/>
              <w:left w:val="single" w:color="000000" w:sz="8" w:space="0"/>
              <w:right w:val="single" w:color="000000" w:sz="4" w:space="0"/>
            </w:tcBorders>
            <w:vAlign w:val="center"/>
          </w:tcPr>
          <w:p>
            <w:pPr>
              <w:spacing w:line="360" w:lineRule="auto"/>
              <w:jc w:val="center"/>
              <w:rPr>
                <w:rFonts w:ascii="宋体" w:hAnsi="宋体" w:cs="宋体"/>
                <w:b/>
                <w:bCs/>
                <w:sz w:val="24"/>
              </w:rPr>
            </w:pPr>
          </w:p>
        </w:tc>
        <w:tc>
          <w:tcPr>
            <w:tcW w:w="1384"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r>
        <w:tblPrEx>
          <w:tblCellMar>
            <w:top w:w="15" w:type="dxa"/>
            <w:left w:w="15" w:type="dxa"/>
            <w:bottom w:w="15" w:type="dxa"/>
            <w:right w:w="15" w:type="dxa"/>
          </w:tblCellMar>
        </w:tblPrEx>
        <w:trPr>
          <w:trHeight w:val="567" w:hRule="exact"/>
        </w:trPr>
        <w:tc>
          <w:tcPr>
            <w:tcW w:w="1266" w:type="dxa"/>
            <w:vMerge w:val="continue"/>
            <w:tcBorders>
              <w:left w:val="single" w:color="000000" w:sz="8" w:space="0"/>
              <w:right w:val="single" w:color="000000" w:sz="4" w:space="0"/>
            </w:tcBorders>
            <w:vAlign w:val="center"/>
          </w:tcPr>
          <w:p>
            <w:pPr>
              <w:spacing w:line="360" w:lineRule="auto"/>
              <w:jc w:val="center"/>
              <w:rPr>
                <w:rFonts w:ascii="宋体" w:hAnsi="宋体" w:cs="宋体"/>
                <w:b/>
                <w:bCs/>
                <w:sz w:val="24"/>
              </w:rPr>
            </w:pPr>
          </w:p>
        </w:tc>
        <w:tc>
          <w:tcPr>
            <w:tcW w:w="1384"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r>
        <w:tblPrEx>
          <w:tblCellMar>
            <w:top w:w="15" w:type="dxa"/>
            <w:left w:w="15" w:type="dxa"/>
            <w:bottom w:w="15" w:type="dxa"/>
            <w:right w:w="15" w:type="dxa"/>
          </w:tblCellMar>
        </w:tblPrEx>
        <w:trPr>
          <w:trHeight w:val="567" w:hRule="exact"/>
        </w:trPr>
        <w:tc>
          <w:tcPr>
            <w:tcW w:w="1266" w:type="dxa"/>
            <w:vMerge w:val="continue"/>
            <w:tcBorders>
              <w:left w:val="single" w:color="000000" w:sz="8" w:space="0"/>
              <w:right w:val="single" w:color="000000" w:sz="4" w:space="0"/>
            </w:tcBorders>
            <w:vAlign w:val="center"/>
          </w:tcPr>
          <w:p>
            <w:pPr>
              <w:spacing w:line="360" w:lineRule="auto"/>
              <w:jc w:val="center"/>
              <w:rPr>
                <w:rFonts w:ascii="宋体" w:hAnsi="宋体" w:cs="宋体"/>
                <w:b/>
                <w:bCs/>
                <w:sz w:val="24"/>
              </w:rPr>
            </w:pPr>
          </w:p>
        </w:tc>
        <w:tc>
          <w:tcPr>
            <w:tcW w:w="1384"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r>
        <w:tblPrEx>
          <w:tblCellMar>
            <w:top w:w="15" w:type="dxa"/>
            <w:left w:w="15" w:type="dxa"/>
            <w:bottom w:w="15" w:type="dxa"/>
            <w:right w:w="15" w:type="dxa"/>
          </w:tblCellMar>
        </w:tblPrEx>
        <w:trPr>
          <w:trHeight w:val="567" w:hRule="exact"/>
        </w:trPr>
        <w:tc>
          <w:tcPr>
            <w:tcW w:w="1266" w:type="dxa"/>
            <w:vMerge w:val="continue"/>
            <w:tcBorders>
              <w:left w:val="single" w:color="000000" w:sz="8" w:space="0"/>
              <w:bottom w:val="single" w:color="auto" w:sz="4" w:space="0"/>
              <w:right w:val="single" w:color="000000" w:sz="4" w:space="0"/>
            </w:tcBorders>
            <w:vAlign w:val="center"/>
          </w:tcPr>
          <w:p>
            <w:pPr>
              <w:spacing w:line="360" w:lineRule="auto"/>
              <w:jc w:val="center"/>
              <w:rPr>
                <w:rFonts w:ascii="宋体" w:hAnsi="宋体" w:cs="宋体"/>
                <w:b/>
                <w:bCs/>
                <w:sz w:val="24"/>
              </w:rPr>
            </w:pPr>
          </w:p>
        </w:tc>
        <w:tc>
          <w:tcPr>
            <w:tcW w:w="1384"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b/>
                <w:bCs/>
                <w:sz w:val="24"/>
              </w:rPr>
            </w:pP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r>
        <w:tblPrEx>
          <w:tblCellMar>
            <w:top w:w="15" w:type="dxa"/>
            <w:left w:w="15" w:type="dxa"/>
            <w:bottom w:w="15" w:type="dxa"/>
            <w:right w:w="15" w:type="dxa"/>
          </w:tblCellMar>
        </w:tblPrEx>
        <w:trPr>
          <w:trHeight w:val="567" w:hRule="exact"/>
        </w:trPr>
        <w:tc>
          <w:tcPr>
            <w:tcW w:w="1266" w:type="dxa"/>
            <w:vMerge w:val="restart"/>
            <w:tcBorders>
              <w:top w:val="single" w:color="auto" w:sz="4" w:space="0"/>
              <w:left w:val="single" w:color="000000" w:sz="8" w:space="0"/>
              <w:right w:val="single" w:color="000000" w:sz="4" w:space="0"/>
            </w:tcBorders>
            <w:vAlign w:val="center"/>
          </w:tcPr>
          <w:p>
            <w:pPr>
              <w:spacing w:line="360" w:lineRule="auto"/>
              <w:jc w:val="center"/>
              <w:rPr>
                <w:rFonts w:ascii="宋体" w:hAnsi="宋体" w:cs="宋体"/>
                <w:b/>
                <w:bCs/>
                <w:sz w:val="24"/>
              </w:rPr>
            </w:pPr>
          </w:p>
        </w:tc>
        <w:tc>
          <w:tcPr>
            <w:tcW w:w="1384"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r>
        <w:tblPrEx>
          <w:tblCellMar>
            <w:top w:w="15" w:type="dxa"/>
            <w:left w:w="15" w:type="dxa"/>
            <w:bottom w:w="15" w:type="dxa"/>
            <w:right w:w="15" w:type="dxa"/>
          </w:tblCellMar>
        </w:tblPrEx>
        <w:trPr>
          <w:trHeight w:val="567" w:hRule="exact"/>
        </w:trPr>
        <w:tc>
          <w:tcPr>
            <w:tcW w:w="1266" w:type="dxa"/>
            <w:vMerge w:val="continue"/>
            <w:tcBorders>
              <w:top w:val="single" w:color="000000" w:sz="4" w:space="0"/>
              <w:left w:val="single" w:color="000000" w:sz="8" w:space="0"/>
              <w:bottom w:val="single" w:color="000000" w:sz="4" w:space="0"/>
              <w:right w:val="single" w:color="000000" w:sz="4" w:space="0"/>
            </w:tcBorders>
            <w:vAlign w:val="center"/>
          </w:tcPr>
          <w:p>
            <w:pPr>
              <w:spacing w:line="360" w:lineRule="auto"/>
              <w:jc w:val="center"/>
              <w:rPr>
                <w:rFonts w:ascii="宋体" w:hAnsi="宋体" w:cs="宋体"/>
                <w:b/>
                <w:bCs/>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p>
        </w:tc>
        <w:tc>
          <w:tcPr>
            <w:tcW w:w="36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4"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r>
        <w:tblPrEx>
          <w:tblCellMar>
            <w:top w:w="15" w:type="dxa"/>
            <w:left w:w="15" w:type="dxa"/>
            <w:bottom w:w="15" w:type="dxa"/>
            <w:right w:w="15" w:type="dxa"/>
          </w:tblCellMar>
        </w:tblPrEx>
        <w:trPr>
          <w:trHeight w:val="567" w:hRule="exact"/>
        </w:trPr>
        <w:tc>
          <w:tcPr>
            <w:tcW w:w="6315" w:type="dxa"/>
            <w:gridSpan w:val="3"/>
            <w:tcBorders>
              <w:top w:val="single" w:color="000000" w:sz="4" w:space="0"/>
              <w:left w:val="single" w:color="000000" w:sz="8" w:space="0"/>
              <w:bottom w:val="single" w:color="000000" w:sz="8" w:space="0"/>
              <w:right w:val="single" w:color="000000" w:sz="4" w:space="0"/>
            </w:tcBorders>
            <w:vAlign w:val="center"/>
          </w:tcPr>
          <w:p>
            <w:pPr>
              <w:spacing w:line="360" w:lineRule="auto"/>
              <w:jc w:val="center"/>
              <w:rPr>
                <w:rFonts w:ascii="宋体" w:hAnsi="宋体" w:cs="宋体"/>
                <w:sz w:val="24"/>
              </w:rPr>
            </w:pPr>
          </w:p>
        </w:tc>
        <w:tc>
          <w:tcPr>
            <w:tcW w:w="2055" w:type="dxa"/>
            <w:tcBorders>
              <w:top w:val="single" w:color="000000" w:sz="4" w:space="0"/>
              <w:left w:val="single" w:color="000000" w:sz="4" w:space="0"/>
              <w:bottom w:val="single" w:color="000000" w:sz="8" w:space="0"/>
              <w:right w:val="single" w:color="000000" w:sz="4" w:space="0"/>
            </w:tcBorders>
            <w:vAlign w:val="center"/>
          </w:tcPr>
          <w:p>
            <w:pPr>
              <w:widowControl/>
              <w:spacing w:line="360" w:lineRule="auto"/>
              <w:jc w:val="center"/>
              <w:textAlignment w:val="center"/>
              <w:rPr>
                <w:rFonts w:ascii="宋体" w:hAnsi="宋体" w:cs="宋体"/>
                <w:sz w:val="24"/>
              </w:rPr>
            </w:pPr>
          </w:p>
        </w:tc>
        <w:tc>
          <w:tcPr>
            <w:tcW w:w="795" w:type="dxa"/>
            <w:tcBorders>
              <w:top w:val="single" w:color="000000" w:sz="4" w:space="0"/>
              <w:left w:val="single" w:color="000000" w:sz="4" w:space="0"/>
              <w:bottom w:val="single" w:color="000000" w:sz="8" w:space="0"/>
              <w:right w:val="single" w:color="000000" w:sz="8" w:space="0"/>
            </w:tcBorders>
            <w:vAlign w:val="center"/>
          </w:tcPr>
          <w:p>
            <w:pPr>
              <w:widowControl/>
              <w:spacing w:line="360" w:lineRule="auto"/>
              <w:jc w:val="center"/>
              <w:textAlignment w:val="center"/>
              <w:rPr>
                <w:rFonts w:ascii="宋体" w:hAnsi="宋体" w:cs="宋体"/>
                <w:kern w:val="0"/>
                <w:sz w:val="24"/>
                <w:lang w:bidi="ar"/>
              </w:rPr>
            </w:pPr>
          </w:p>
        </w:tc>
      </w:tr>
    </w:tbl>
    <w:p>
      <w:pPr>
        <w:spacing w:line="360" w:lineRule="auto"/>
        <w:outlineLvl w:val="1"/>
        <w:rPr>
          <w:rFonts w:ascii="宋体" w:hAnsi="宋体" w:cs="宋体"/>
          <w:b/>
          <w:bCs/>
          <w:sz w:val="24"/>
          <w:lang w:val="zh-CN"/>
        </w:rPr>
      </w:pPr>
    </w:p>
    <w:p>
      <w:pPr>
        <w:spacing w:line="360" w:lineRule="auto"/>
        <w:outlineLvl w:val="1"/>
        <w:rPr>
          <w:rFonts w:ascii="宋体" w:hAnsi="宋体" w:cs="宋体"/>
          <w:b/>
          <w:bCs/>
          <w:sz w:val="24"/>
          <w:lang w:val="zh-CN"/>
        </w:rPr>
      </w:pPr>
    </w:p>
    <w:p>
      <w:pPr>
        <w:spacing w:line="360" w:lineRule="auto"/>
        <w:outlineLvl w:val="1"/>
        <w:rPr>
          <w:rFonts w:ascii="宋体" w:hAnsi="宋体" w:cs="宋体"/>
          <w:b/>
          <w:bCs/>
          <w:sz w:val="24"/>
          <w:lang w:val="zh-CN"/>
        </w:rPr>
      </w:pPr>
      <w:r>
        <w:rPr>
          <w:rFonts w:hint="eastAsia" w:ascii="宋体" w:hAnsi="宋体" w:cs="宋体"/>
          <w:b/>
          <w:bCs/>
          <w:sz w:val="24"/>
          <w:lang w:val="zh-CN"/>
        </w:rPr>
        <w:br w:type="page"/>
      </w:r>
      <w:bookmarkStart w:id="214" w:name="_Toc684"/>
      <w:bookmarkStart w:id="215" w:name="_Toc409"/>
      <w:bookmarkStart w:id="216" w:name="_Toc16592"/>
      <w:bookmarkStart w:id="217" w:name="_Toc29703"/>
      <w:bookmarkStart w:id="218" w:name="_Toc53"/>
      <w:r>
        <w:rPr>
          <w:rFonts w:hint="eastAsia" w:ascii="宋体" w:hAnsi="宋体" w:cs="宋体"/>
          <w:b/>
          <w:bCs/>
          <w:sz w:val="24"/>
          <w:lang w:val="zh-CN"/>
        </w:rPr>
        <w:t>附件一：投标函</w:t>
      </w:r>
      <w:bookmarkEnd w:id="214"/>
      <w:bookmarkEnd w:id="215"/>
      <w:bookmarkEnd w:id="216"/>
      <w:bookmarkEnd w:id="217"/>
      <w:bookmarkEnd w:id="218"/>
    </w:p>
    <w:p>
      <w:pPr>
        <w:adjustRightInd w:val="0"/>
        <w:spacing w:line="360" w:lineRule="auto"/>
        <w:rPr>
          <w:rFonts w:ascii="宋体" w:hAnsi="宋体" w:cs="宋体"/>
          <w:kern w:val="0"/>
          <w:sz w:val="24"/>
        </w:rPr>
      </w:pPr>
    </w:p>
    <w:p>
      <w:pPr>
        <w:adjustRightInd w:val="0"/>
        <w:spacing w:line="360" w:lineRule="auto"/>
        <w:jc w:val="center"/>
        <w:rPr>
          <w:rFonts w:ascii="宋体" w:hAnsi="宋体" w:cs="宋体"/>
          <w:b/>
          <w:sz w:val="36"/>
        </w:rPr>
      </w:pPr>
      <w:r>
        <w:rPr>
          <w:rFonts w:hint="eastAsia" w:ascii="宋体" w:hAnsi="宋体" w:cs="宋体"/>
          <w:b/>
          <w:kern w:val="0"/>
          <w:sz w:val="36"/>
        </w:rPr>
        <w:t>投标</w:t>
      </w:r>
      <w:r>
        <w:rPr>
          <w:rFonts w:hint="eastAsia" w:ascii="宋体" w:hAnsi="宋体" w:cs="宋体"/>
          <w:b/>
          <w:sz w:val="36"/>
        </w:rPr>
        <w:t>函</w:t>
      </w:r>
    </w:p>
    <w:p>
      <w:pPr>
        <w:adjustRightInd w:val="0"/>
        <w:spacing w:line="360" w:lineRule="auto"/>
        <w:rPr>
          <w:rFonts w:ascii="宋体" w:hAnsi="宋体" w:cs="宋体"/>
          <w:sz w:val="24"/>
        </w:rPr>
      </w:pPr>
      <w:r>
        <w:rPr>
          <w:rFonts w:hint="eastAsia" w:ascii="宋体" w:hAnsi="宋体" w:cs="宋体"/>
          <w:sz w:val="24"/>
          <w:u w:val="single"/>
          <w:lang w:eastAsia="zh-CN"/>
        </w:rPr>
        <w:t>杭州市红十字会医院</w:t>
      </w:r>
      <w:r>
        <w:rPr>
          <w:rFonts w:hint="eastAsia" w:ascii="宋体" w:hAnsi="宋体" w:cs="宋体"/>
          <w:sz w:val="24"/>
        </w:rPr>
        <w:t>：</w:t>
      </w:r>
    </w:p>
    <w:p>
      <w:pPr>
        <w:adjustRightInd w:val="0"/>
        <w:spacing w:line="360" w:lineRule="auto"/>
        <w:ind w:firstLine="480" w:firstLineChars="200"/>
        <w:rPr>
          <w:rFonts w:ascii="宋体" w:hAnsi="宋体" w:cs="宋体"/>
          <w:sz w:val="24"/>
        </w:rPr>
      </w:pPr>
      <w:bookmarkStart w:id="219" w:name="OLE_LINK3"/>
      <w:bookmarkStart w:id="220" w:name="OLE_LINK2"/>
      <w:r>
        <w:rPr>
          <w:rFonts w:hint="eastAsia" w:ascii="宋体" w:hAnsi="宋体" w:cs="宋体"/>
          <w:snapToGrid w:val="0"/>
          <w:kern w:val="0"/>
          <w:sz w:val="24"/>
          <w:szCs w:val="24"/>
          <w:u w:val="single"/>
        </w:rPr>
        <w:t>（投标人全称）</w:t>
      </w:r>
      <w:r>
        <w:rPr>
          <w:rFonts w:hint="eastAsia" w:ascii="宋体" w:hAnsi="宋体" w:cs="宋体"/>
          <w:snapToGrid w:val="0"/>
          <w:kern w:val="0"/>
          <w:sz w:val="24"/>
          <w:szCs w:val="24"/>
        </w:rPr>
        <w:t>授权</w:t>
      </w:r>
      <w:r>
        <w:rPr>
          <w:rFonts w:hint="eastAsia" w:ascii="宋体" w:hAnsi="宋体" w:cs="宋体"/>
          <w:snapToGrid w:val="0"/>
          <w:kern w:val="0"/>
          <w:sz w:val="24"/>
          <w:szCs w:val="24"/>
          <w:u w:val="single"/>
        </w:rPr>
        <w:t>（全权代表姓名）</w:t>
      </w:r>
      <w:r>
        <w:rPr>
          <w:rFonts w:hint="eastAsia" w:ascii="宋体" w:hAnsi="宋体" w:cs="宋体"/>
          <w:snapToGrid w:val="0"/>
          <w:kern w:val="0"/>
          <w:sz w:val="24"/>
          <w:szCs w:val="24"/>
        </w:rPr>
        <w:t>、</w:t>
      </w:r>
      <w:r>
        <w:rPr>
          <w:rFonts w:hint="eastAsia" w:ascii="宋体" w:hAnsi="宋体" w:cs="宋体"/>
          <w:snapToGrid w:val="0"/>
          <w:kern w:val="0"/>
          <w:sz w:val="24"/>
          <w:szCs w:val="24"/>
          <w:u w:val="single"/>
        </w:rPr>
        <w:t>（职务、职称）</w:t>
      </w:r>
      <w:r>
        <w:rPr>
          <w:rFonts w:hint="eastAsia" w:ascii="宋体" w:hAnsi="宋体" w:cs="宋体"/>
          <w:snapToGrid w:val="0"/>
          <w:kern w:val="0"/>
          <w:sz w:val="24"/>
          <w:szCs w:val="24"/>
        </w:rPr>
        <w:t>为全权代表，参加你单位组织的</w:t>
      </w:r>
      <w:r>
        <w:rPr>
          <w:rFonts w:hint="eastAsia" w:ascii="宋体" w:hAnsi="宋体" w:cs="宋体"/>
          <w:snapToGrid w:val="0"/>
          <w:kern w:val="0"/>
          <w:sz w:val="24"/>
          <w:szCs w:val="24"/>
          <w:u w:val="single"/>
          <w:lang w:eastAsia="zh-CN"/>
        </w:rPr>
        <w:t>杭州市红十字会医院2025年公款竞争性存放项目</w:t>
      </w:r>
      <w:r>
        <w:rPr>
          <w:rFonts w:hint="eastAsia" w:ascii="宋体" w:hAnsi="宋体" w:cs="宋体"/>
          <w:sz w:val="24"/>
        </w:rPr>
        <w:t>（招标编号：</w:t>
      </w:r>
      <w:bookmarkEnd w:id="219"/>
      <w:bookmarkEnd w:id="220"/>
      <w:r>
        <w:rPr>
          <w:rFonts w:hint="eastAsia" w:ascii="宋体" w:hAnsi="宋体" w:cs="宋体"/>
          <w:kern w:val="0"/>
          <w:sz w:val="24"/>
          <w:lang w:val="zh-CN"/>
        </w:rPr>
        <w:t>HSZB-2024-1429</w:t>
      </w:r>
      <w:r>
        <w:rPr>
          <w:rFonts w:hint="eastAsia" w:ascii="宋体" w:hAnsi="宋体" w:cs="宋体"/>
          <w:sz w:val="24"/>
        </w:rPr>
        <w:t>）招标的有关活动，并对此项目进行投标。</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据此函，我方签字代表宣布同意如下：</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1.我方同意在投标须知规定的开标日期起遵守本投标函中的承诺且在投标有效期满之前均具有约束力。</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2.所附竞争性存放存款利率见《开标一览表》。</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3.将按招标文件的规定履行中标协议责任和义务。</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4.我方已详细审查全部招标文件,包括补充文件（如果有的话）。我们完全理解并同意放弃对这方面表达不明及误解的权利。</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5.本投标函有效期为自开标日起60天。</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6.我方承诺，与你方委托的为此项目提供代理服务的公司及任何附属机构均无联系，我方不是你方的附属机构。</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7.与本投标有关的一切正式往来通讯请寄：</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传真：</w:t>
      </w:r>
      <w:r>
        <w:rPr>
          <w:rFonts w:hint="eastAsia" w:ascii="宋体" w:hAnsi="宋体" w:cs="宋体"/>
          <w:sz w:val="24"/>
          <w:u w:val="single"/>
        </w:rPr>
        <w:t xml:space="preserve">                   </w:t>
      </w:r>
    </w:p>
    <w:p>
      <w:pPr>
        <w:adjustRightInd w:val="0"/>
        <w:spacing w:line="360" w:lineRule="auto"/>
        <w:ind w:firstLine="480" w:firstLineChars="200"/>
        <w:rPr>
          <w:rFonts w:ascii="宋体" w:hAnsi="宋体" w:cs="宋体"/>
          <w:sz w:val="24"/>
        </w:rPr>
      </w:pPr>
    </w:p>
    <w:p>
      <w:pPr>
        <w:adjustRightInd w:val="0"/>
        <w:spacing w:line="360" w:lineRule="auto"/>
        <w:ind w:firstLine="480" w:firstLineChars="200"/>
        <w:rPr>
          <w:rFonts w:ascii="宋体" w:hAnsi="宋体" w:cs="宋体"/>
          <w:sz w:val="24"/>
        </w:rPr>
      </w:pP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法定代表人（或单位负责人）（签字或盖章）：</w:t>
      </w:r>
    </w:p>
    <w:p>
      <w:pPr>
        <w:pStyle w:val="23"/>
        <w:spacing w:line="360" w:lineRule="auto"/>
        <w:ind w:firstLine="480" w:firstLineChars="200"/>
        <w:rPr>
          <w:rFonts w:hAnsi="宋体" w:cs="宋体"/>
          <w:snapToGrid w:val="0"/>
          <w:kern w:val="0"/>
          <w:sz w:val="24"/>
          <w:szCs w:val="24"/>
        </w:rPr>
      </w:pP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rPr>
        <w:t>授权代表</w:t>
      </w:r>
      <w:r>
        <w:rPr>
          <w:rFonts w:hint="eastAsia" w:hAnsi="宋体" w:cs="宋体"/>
          <w:snapToGrid w:val="0"/>
          <w:kern w:val="0"/>
          <w:sz w:val="24"/>
          <w:szCs w:val="24"/>
        </w:rPr>
        <w:t>（签字或盖章）：</w:t>
      </w:r>
      <w:r>
        <w:rPr>
          <w:rFonts w:hint="eastAsia" w:hAnsi="宋体" w:cs="宋体"/>
          <w:snapToGrid w:val="0"/>
          <w:kern w:val="0"/>
          <w:sz w:val="24"/>
          <w:szCs w:val="24"/>
          <w:u w:val="single"/>
        </w:rPr>
        <w:t xml:space="preserve">           </w:t>
      </w:r>
    </w:p>
    <w:p>
      <w:pPr>
        <w:pStyle w:val="23"/>
        <w:spacing w:line="360" w:lineRule="auto"/>
        <w:ind w:firstLine="480" w:firstLineChars="200"/>
        <w:rPr>
          <w:rFonts w:hAnsi="宋体" w:cs="宋体"/>
          <w:snapToGrid w:val="0"/>
          <w:kern w:val="0"/>
          <w:sz w:val="24"/>
          <w:szCs w:val="24"/>
        </w:rPr>
      </w:pPr>
      <w:r>
        <w:rPr>
          <w:rFonts w:hint="eastAsia" w:hAnsi="宋体" w:cs="宋体"/>
          <w:snapToGrid w:val="0"/>
          <w:kern w:val="0"/>
          <w:sz w:val="24"/>
          <w:szCs w:val="24"/>
        </w:rPr>
        <w:t>联系电话：</w:t>
      </w:r>
      <w:r>
        <w:rPr>
          <w:rFonts w:hint="eastAsia" w:hAnsi="宋体" w:cs="宋体"/>
          <w:snapToGrid w:val="0"/>
          <w:kern w:val="0"/>
          <w:sz w:val="24"/>
          <w:szCs w:val="24"/>
          <w:u w:val="single"/>
        </w:rPr>
        <w:t xml:space="preserve">                             </w:t>
      </w:r>
    </w:p>
    <w:p>
      <w:pPr>
        <w:pStyle w:val="23"/>
        <w:spacing w:line="360" w:lineRule="auto"/>
        <w:ind w:firstLine="480" w:firstLineChars="200"/>
        <w:rPr>
          <w:rFonts w:hAnsi="宋体" w:cs="宋体"/>
          <w:snapToGrid w:val="0"/>
          <w:kern w:val="0"/>
          <w:sz w:val="24"/>
          <w:szCs w:val="24"/>
          <w:u w:val="single"/>
        </w:rPr>
      </w:pPr>
      <w:r>
        <w:rPr>
          <w:rFonts w:hint="eastAsia" w:hAnsi="宋体" w:cs="宋体"/>
          <w:snapToGrid w:val="0"/>
          <w:kern w:val="0"/>
          <w:sz w:val="24"/>
          <w:szCs w:val="24"/>
        </w:rPr>
        <w:t>投标人（盖章）：</w:t>
      </w:r>
      <w:r>
        <w:rPr>
          <w:rFonts w:hint="eastAsia" w:hAnsi="宋体" w:cs="宋体"/>
          <w:snapToGrid w:val="0"/>
          <w:kern w:val="0"/>
          <w:sz w:val="24"/>
          <w:szCs w:val="24"/>
          <w:u w:val="single"/>
        </w:rPr>
        <w:t xml:space="preserve">                     </w:t>
      </w:r>
    </w:p>
    <w:p>
      <w:pPr>
        <w:pStyle w:val="23"/>
        <w:spacing w:line="360" w:lineRule="auto"/>
        <w:ind w:firstLine="480" w:firstLineChars="200"/>
        <w:rPr>
          <w:rFonts w:hAnsi="宋体" w:cs="宋体"/>
          <w:bCs/>
          <w:snapToGrid w:val="0"/>
          <w:kern w:val="0"/>
        </w:rPr>
      </w:pPr>
      <w:r>
        <w:rPr>
          <w:rFonts w:hint="eastAsia" w:hAnsi="宋体" w:cs="宋体"/>
          <w:snapToGrid w:val="0"/>
          <w:kern w:val="0"/>
          <w:sz w:val="24"/>
          <w:szCs w:val="24"/>
        </w:rPr>
        <w:t>日期：</w:t>
      </w:r>
      <w:r>
        <w:rPr>
          <w:rFonts w:hint="eastAsia" w:hAnsi="宋体" w:cs="宋体"/>
          <w:snapToGrid w:val="0"/>
          <w:kern w:val="0"/>
          <w:sz w:val="24"/>
          <w:szCs w:val="24"/>
          <w:u w:val="single"/>
        </w:rPr>
        <w:t xml:space="preserve">      </w:t>
      </w:r>
      <w:r>
        <w:rPr>
          <w:rFonts w:hint="eastAsia" w:hAnsi="宋体" w:cs="宋体"/>
          <w:snapToGrid w:val="0"/>
          <w:kern w:val="0"/>
          <w:sz w:val="24"/>
          <w:szCs w:val="24"/>
        </w:rPr>
        <w:t xml:space="preserve"> 年</w:t>
      </w:r>
      <w:r>
        <w:rPr>
          <w:rFonts w:hint="eastAsia" w:hAnsi="宋体" w:cs="宋体"/>
          <w:snapToGrid w:val="0"/>
          <w:kern w:val="0"/>
          <w:sz w:val="24"/>
          <w:szCs w:val="24"/>
          <w:u w:val="single"/>
        </w:rPr>
        <w:t xml:space="preserve">     </w:t>
      </w:r>
      <w:r>
        <w:rPr>
          <w:rFonts w:hint="eastAsia" w:hAnsi="宋体" w:cs="宋体"/>
          <w:snapToGrid w:val="0"/>
          <w:kern w:val="0"/>
          <w:sz w:val="24"/>
          <w:szCs w:val="24"/>
        </w:rPr>
        <w:t>月</w:t>
      </w:r>
      <w:r>
        <w:rPr>
          <w:rFonts w:hint="eastAsia" w:hAnsi="宋体" w:cs="宋体"/>
          <w:snapToGrid w:val="0"/>
          <w:kern w:val="0"/>
          <w:sz w:val="24"/>
          <w:szCs w:val="24"/>
          <w:u w:val="single"/>
        </w:rPr>
        <w:t xml:space="preserve">    </w:t>
      </w:r>
      <w:r>
        <w:rPr>
          <w:rFonts w:hint="eastAsia" w:hAnsi="宋体" w:cs="宋体"/>
          <w:snapToGrid w:val="0"/>
          <w:kern w:val="0"/>
          <w:sz w:val="24"/>
          <w:szCs w:val="24"/>
        </w:rPr>
        <w:t>日</w:t>
      </w:r>
    </w:p>
    <w:p>
      <w:pPr>
        <w:pStyle w:val="23"/>
        <w:spacing w:line="360" w:lineRule="auto"/>
        <w:outlineLvl w:val="1"/>
        <w:rPr>
          <w:rFonts w:hAnsi="宋体" w:cs="宋体"/>
          <w:b/>
          <w:bCs/>
          <w:sz w:val="24"/>
          <w:lang w:val="zh-CN"/>
        </w:rPr>
      </w:pPr>
      <w:r>
        <w:rPr>
          <w:rFonts w:hint="eastAsia" w:hAnsi="宋体" w:cs="宋体"/>
          <w:b/>
          <w:kern w:val="0"/>
          <w:sz w:val="24"/>
          <w:lang w:val="zh-CN"/>
        </w:rPr>
        <w:br w:type="page"/>
      </w:r>
      <w:bookmarkStart w:id="221" w:name="_Toc5505"/>
      <w:bookmarkStart w:id="222" w:name="_Toc30683"/>
      <w:bookmarkStart w:id="223" w:name="_Toc25985"/>
      <w:bookmarkStart w:id="224" w:name="_Toc26672"/>
      <w:bookmarkStart w:id="225" w:name="_Toc29304"/>
      <w:r>
        <w:rPr>
          <w:rFonts w:hint="eastAsia" w:hAnsi="宋体" w:cs="宋体"/>
          <w:b/>
          <w:bCs/>
          <w:sz w:val="24"/>
          <w:lang w:val="zh-CN"/>
        </w:rPr>
        <w:t>附件二：</w:t>
      </w:r>
      <w:bookmarkEnd w:id="221"/>
      <w:bookmarkEnd w:id="222"/>
      <w:bookmarkEnd w:id="223"/>
      <w:bookmarkEnd w:id="224"/>
      <w:bookmarkEnd w:id="225"/>
      <w:r>
        <w:rPr>
          <w:rFonts w:hint="eastAsia" w:hAnsi="宋体" w:cs="宋体"/>
          <w:b/>
          <w:bCs/>
          <w:sz w:val="24"/>
          <w:lang w:val="zh-CN"/>
        </w:rPr>
        <w:t>开标一览表</w:t>
      </w:r>
    </w:p>
    <w:p>
      <w:pPr>
        <w:adjustRightInd w:val="0"/>
        <w:spacing w:line="360" w:lineRule="auto"/>
        <w:jc w:val="center"/>
        <w:rPr>
          <w:rFonts w:ascii="宋体" w:hAnsi="宋体" w:cs="宋体"/>
          <w:b/>
          <w:sz w:val="36"/>
        </w:rPr>
      </w:pPr>
      <w:r>
        <w:rPr>
          <w:rFonts w:hint="eastAsia" w:ascii="宋体" w:hAnsi="宋体" w:cs="宋体"/>
          <w:b/>
          <w:kern w:val="0"/>
          <w:sz w:val="36"/>
        </w:rPr>
        <w:t>开标一览表</w:t>
      </w:r>
    </w:p>
    <w:p>
      <w:pPr>
        <w:adjustRightInd w:val="0"/>
        <w:spacing w:line="360" w:lineRule="auto"/>
        <w:rPr>
          <w:rFonts w:hint="eastAsia" w:ascii="宋体" w:hAnsi="宋体" w:eastAsia="宋体" w:cs="宋体"/>
          <w:snapToGrid w:val="0"/>
          <w:kern w:val="0"/>
          <w:sz w:val="24"/>
          <w:lang w:eastAsia="zh-CN"/>
        </w:rPr>
      </w:pPr>
      <w:bookmarkStart w:id="226" w:name="_Toc86217005"/>
      <w:r>
        <w:rPr>
          <w:rFonts w:hint="eastAsia" w:ascii="宋体" w:hAnsi="宋体" w:cs="宋体"/>
          <w:snapToGrid w:val="0"/>
          <w:kern w:val="0"/>
          <w:sz w:val="24"/>
        </w:rPr>
        <w:t>项目名称：</w:t>
      </w:r>
      <w:r>
        <w:rPr>
          <w:rFonts w:hint="eastAsia" w:ascii="宋体" w:hAnsi="宋体" w:cs="宋体"/>
          <w:snapToGrid w:val="0"/>
          <w:kern w:val="0"/>
          <w:sz w:val="24"/>
          <w:lang w:eastAsia="zh-CN"/>
        </w:rPr>
        <w:t>杭州市红十字会医院2025年公款竞争性存放项目</w:t>
      </w:r>
    </w:p>
    <w:p>
      <w:pPr>
        <w:adjustRightInd w:val="0"/>
        <w:spacing w:line="360" w:lineRule="auto"/>
        <w:rPr>
          <w:rFonts w:hint="eastAsia" w:ascii="宋体" w:hAnsi="宋体" w:eastAsia="宋体" w:cs="宋体"/>
          <w:snapToGrid w:val="0"/>
          <w:kern w:val="0"/>
          <w:sz w:val="24"/>
          <w:lang w:eastAsia="zh-CN"/>
        </w:rPr>
      </w:pPr>
      <w:r>
        <w:rPr>
          <w:rFonts w:hint="eastAsia" w:ascii="宋体" w:hAnsi="宋体" w:cs="宋体"/>
          <w:snapToGrid w:val="0"/>
          <w:kern w:val="0"/>
          <w:sz w:val="24"/>
        </w:rPr>
        <w:t>招标编号：</w:t>
      </w:r>
      <w:r>
        <w:rPr>
          <w:rFonts w:hint="eastAsia" w:ascii="宋体" w:hAnsi="宋体" w:cs="宋体"/>
          <w:snapToGrid w:val="0"/>
          <w:kern w:val="0"/>
          <w:sz w:val="24"/>
          <w:lang w:eastAsia="zh-CN"/>
        </w:rPr>
        <w:t>HSZB-2024-1429</w:t>
      </w:r>
    </w:p>
    <w:tbl>
      <w:tblPr>
        <w:tblStyle w:val="44"/>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347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315" w:firstLineChars="150"/>
              <w:jc w:val="center"/>
              <w:rPr>
                <w:rFonts w:hint="eastAsia" w:ascii="宋体" w:hAnsi="宋体" w:cs="宋体"/>
                <w:szCs w:val="21"/>
              </w:rPr>
            </w:pPr>
            <w:r>
              <w:rPr>
                <w:rFonts w:hint="eastAsia" w:ascii="宋体" w:hAnsi="宋体" w:cs="宋体"/>
                <w:szCs w:val="21"/>
              </w:rPr>
              <w:t>采购项目</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94" w:leftChars="-45"/>
              <w:jc w:val="center"/>
              <w:rPr>
                <w:rFonts w:hint="eastAsia" w:ascii="宋体" w:hAnsi="宋体" w:cs="宋体"/>
                <w:szCs w:val="21"/>
              </w:rPr>
            </w:pPr>
            <w:r>
              <w:rPr>
                <w:rFonts w:hint="eastAsia" w:ascii="宋体" w:hAnsi="宋体" w:cs="宋体"/>
                <w:szCs w:val="21"/>
              </w:rPr>
              <w:t>报价</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467"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lang w:eastAsia="zh-CN"/>
              </w:rPr>
            </w:pPr>
            <w:r>
              <w:rPr>
                <w:rFonts w:hint="eastAsia" w:ascii="宋体" w:hAnsi="宋体" w:cs="宋体"/>
                <w:szCs w:val="21"/>
                <w:lang w:eastAsia="zh-CN"/>
              </w:rPr>
              <w:t>杭州市红十字会医院2025年公款竞争性存放项目</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本银行承诺本次服务费用：投标人需明确</w:t>
            </w:r>
            <w:r>
              <w:rPr>
                <w:rFonts w:hint="eastAsia" w:ascii="宋体" w:hAnsi="宋体" w:cs="宋体"/>
                <w:kern w:val="0"/>
                <w:szCs w:val="21"/>
              </w:rPr>
              <w:t>银行自收的</w:t>
            </w:r>
            <w:r>
              <w:rPr>
                <w:rFonts w:hint="eastAsia" w:ascii="宋体" w:hAnsi="宋体" w:cs="宋体"/>
                <w:szCs w:val="21"/>
              </w:rPr>
              <w:t>服务费用是否全免，如不能全免需详细列示全部收费项目及收费标准</w:t>
            </w:r>
          </w:p>
        </w:tc>
        <w:tc>
          <w:tcPr>
            <w:tcW w:w="3465"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本银行承诺本次</w:t>
            </w:r>
            <w:r>
              <w:rPr>
                <w:rFonts w:hint="eastAsia" w:ascii="宋体" w:hAnsi="宋体" w:cs="宋体"/>
                <w:kern w:val="0"/>
                <w:szCs w:val="21"/>
              </w:rPr>
              <w:t>银行自收的</w:t>
            </w:r>
            <w:r>
              <w:rPr>
                <w:rFonts w:hint="eastAsia" w:ascii="宋体" w:hAnsi="宋体" w:cs="宋体"/>
                <w:szCs w:val="21"/>
              </w:rPr>
              <w:t>服务费用全免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467"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Cs w:val="21"/>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cs="宋体"/>
                <w:szCs w:val="21"/>
              </w:rPr>
            </w:pPr>
            <w:r>
              <w:rPr>
                <w:rFonts w:hint="eastAsia" w:ascii="宋体" w:hAnsi="宋体" w:cs="宋体"/>
                <w:szCs w:val="21"/>
              </w:rPr>
              <w:t>本银行承诺本次定期利率：市场利率定价自律机制上浮：</w:t>
            </w:r>
            <w:r>
              <w:rPr>
                <w:rFonts w:hint="eastAsia" w:ascii="宋体" w:hAnsi="宋体" w:cs="宋体"/>
                <w:szCs w:val="21"/>
                <w:u w:val="single"/>
              </w:rPr>
              <w:t xml:space="preserve">   </w:t>
            </w:r>
            <w:r>
              <w:rPr>
                <w:rFonts w:hint="eastAsia" w:ascii="宋体" w:hAnsi="宋体" w:cs="宋体"/>
                <w:szCs w:val="21"/>
              </w:rPr>
              <w:t>BP，为</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如遇央行调整存款利率，存款利率同比例调整。</w:t>
            </w:r>
          </w:p>
        </w:tc>
        <w:tc>
          <w:tcPr>
            <w:tcW w:w="3465" w:type="dxa"/>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本银行承诺本次定期利率在央行允许范围和市场利率定价自律机制范围内</w:t>
            </w:r>
          </w:p>
        </w:tc>
      </w:tr>
    </w:tbl>
    <w:p>
      <w:pPr>
        <w:adjustRightInd w:val="0"/>
        <w:spacing w:line="360" w:lineRule="auto"/>
        <w:ind w:firstLine="5160" w:firstLineChars="2150"/>
        <w:rPr>
          <w:rFonts w:ascii="宋体" w:hAnsi="宋体" w:cs="宋体"/>
          <w:snapToGrid w:val="0"/>
          <w:kern w:val="0"/>
          <w:sz w:val="24"/>
        </w:rPr>
      </w:pPr>
    </w:p>
    <w:p>
      <w:pPr>
        <w:adjustRightInd w:val="0"/>
        <w:spacing w:line="360" w:lineRule="auto"/>
        <w:jc w:val="left"/>
        <w:rPr>
          <w:rFonts w:ascii="宋体" w:hAnsi="宋体" w:cs="宋体"/>
          <w:snapToGrid w:val="0"/>
          <w:kern w:val="0"/>
          <w:sz w:val="24"/>
        </w:rPr>
      </w:pPr>
      <w:r>
        <w:rPr>
          <w:rFonts w:hint="eastAsia" w:ascii="宋体" w:hAnsi="宋体" w:cs="宋体"/>
          <w:snapToGrid w:val="0"/>
          <w:kern w:val="0"/>
          <w:sz w:val="24"/>
        </w:rPr>
        <w:t>投标人（盖章）：</w:t>
      </w:r>
    </w:p>
    <w:p>
      <w:pPr>
        <w:adjustRightInd w:val="0"/>
        <w:spacing w:line="360" w:lineRule="auto"/>
        <w:jc w:val="left"/>
        <w:rPr>
          <w:rFonts w:ascii="宋体" w:hAnsi="宋体" w:cs="宋体"/>
          <w:snapToGrid w:val="0"/>
          <w:kern w:val="0"/>
          <w:sz w:val="24"/>
        </w:rPr>
      </w:pPr>
      <w:r>
        <w:rPr>
          <w:rFonts w:hint="eastAsia" w:ascii="宋体" w:hAnsi="宋体" w:cs="宋体"/>
          <w:snapToGrid w:val="0"/>
          <w:kern w:val="0"/>
          <w:sz w:val="24"/>
        </w:rPr>
        <w:t>法定代表人（或单位负责人）或其授权代表（签字或盖章）：</w:t>
      </w:r>
    </w:p>
    <w:p>
      <w:pPr>
        <w:adjustRightInd w:val="0"/>
        <w:spacing w:line="360" w:lineRule="auto"/>
        <w:jc w:val="left"/>
        <w:rPr>
          <w:rFonts w:ascii="宋体" w:hAnsi="宋体" w:cs="宋体"/>
          <w:snapToGrid w:val="0"/>
          <w:kern w:val="0"/>
          <w:sz w:val="24"/>
        </w:rPr>
      </w:pPr>
      <w:bookmarkStart w:id="227" w:name="_Toc20663"/>
      <w:bookmarkStart w:id="228" w:name="_Toc459627923"/>
      <w:r>
        <w:rPr>
          <w:rFonts w:hint="eastAsia" w:ascii="宋体" w:hAnsi="宋体" w:cs="宋体"/>
          <w:snapToGrid w:val="0"/>
          <w:kern w:val="0"/>
          <w:sz w:val="24"/>
        </w:rPr>
        <w:t>日期：</w:t>
      </w:r>
      <w:bookmarkEnd w:id="227"/>
      <w:bookmarkEnd w:id="228"/>
    </w:p>
    <w:p>
      <w:pPr>
        <w:adjustRightInd w:val="0"/>
        <w:spacing w:line="360" w:lineRule="auto"/>
        <w:rPr>
          <w:rFonts w:ascii="宋体" w:hAnsi="宋体" w:cs="宋体"/>
          <w:b/>
          <w:sz w:val="32"/>
          <w:szCs w:val="32"/>
        </w:rPr>
      </w:pPr>
    </w:p>
    <w:p>
      <w:pPr>
        <w:adjustRightInd w:val="0"/>
        <w:spacing w:line="360" w:lineRule="auto"/>
        <w:jc w:val="left"/>
        <w:rPr>
          <w:rFonts w:ascii="宋体" w:hAnsi="宋体" w:cs="宋体"/>
          <w:b/>
          <w:bCs/>
          <w:snapToGrid w:val="0"/>
          <w:kern w:val="0"/>
          <w:sz w:val="24"/>
        </w:rPr>
      </w:pPr>
      <w:r>
        <w:rPr>
          <w:rFonts w:hint="eastAsia" w:ascii="宋体" w:hAnsi="宋体" w:cs="宋体"/>
          <w:b/>
          <w:bCs/>
          <w:snapToGrid w:val="0"/>
          <w:kern w:val="0"/>
          <w:sz w:val="24"/>
        </w:rPr>
        <w:t>填表说明：</w:t>
      </w:r>
    </w:p>
    <w:p>
      <w:pPr>
        <w:adjustRightInd w:val="0"/>
        <w:spacing w:line="360" w:lineRule="auto"/>
        <w:jc w:val="left"/>
        <w:rPr>
          <w:rFonts w:ascii="宋体" w:hAnsi="宋体" w:cs="宋体"/>
          <w:b/>
          <w:bCs/>
          <w:snapToGrid w:val="0"/>
          <w:kern w:val="0"/>
          <w:sz w:val="24"/>
        </w:rPr>
      </w:pPr>
      <w:r>
        <w:rPr>
          <w:rFonts w:hint="eastAsia" w:ascii="宋体" w:hAnsi="宋体" w:cs="宋体"/>
          <w:b/>
          <w:bCs/>
          <w:snapToGrid w:val="0"/>
          <w:kern w:val="0"/>
          <w:sz w:val="24"/>
        </w:rPr>
        <w:t>▲1.按央行基准利率增加基点不得违反国家利率政策和浙江省市场利率定价自律机制约定范围，否则投标将被否决。</w:t>
      </w:r>
    </w:p>
    <w:p>
      <w:pPr>
        <w:adjustRightInd w:val="0"/>
        <w:spacing w:line="360" w:lineRule="auto"/>
        <w:jc w:val="left"/>
        <w:rPr>
          <w:rFonts w:ascii="宋体" w:hAnsi="宋体" w:cs="宋体"/>
          <w:b/>
          <w:bCs/>
          <w:snapToGrid w:val="0"/>
          <w:kern w:val="0"/>
          <w:sz w:val="24"/>
        </w:rPr>
      </w:pPr>
      <w:r>
        <w:rPr>
          <w:rFonts w:hint="eastAsia" w:ascii="宋体" w:hAnsi="宋体" w:cs="宋体"/>
          <w:b/>
          <w:bCs/>
          <w:snapToGrid w:val="0"/>
          <w:kern w:val="0"/>
          <w:sz w:val="24"/>
        </w:rPr>
        <w:t>2.填写须清晰、不得涂改。</w:t>
      </w:r>
    </w:p>
    <w:p>
      <w:pPr>
        <w:spacing w:line="360" w:lineRule="auto"/>
        <w:outlineLvl w:val="1"/>
        <w:rPr>
          <w:rFonts w:ascii="宋体" w:hAnsi="宋体" w:cs="宋体"/>
          <w:b/>
          <w:bCs/>
          <w:sz w:val="24"/>
          <w:lang w:val="zh-CN"/>
        </w:rPr>
      </w:pPr>
      <w:r>
        <w:rPr>
          <w:rFonts w:hint="eastAsia" w:ascii="宋体" w:hAnsi="宋体" w:cs="宋体"/>
          <w:b/>
          <w:sz w:val="32"/>
          <w:szCs w:val="32"/>
        </w:rPr>
        <w:br w:type="page"/>
      </w:r>
      <w:bookmarkEnd w:id="226"/>
      <w:bookmarkStart w:id="229" w:name="_Toc31594"/>
      <w:bookmarkStart w:id="230" w:name="_Toc15702"/>
      <w:bookmarkStart w:id="231" w:name="_Toc2654"/>
      <w:bookmarkStart w:id="232" w:name="_Toc20147"/>
      <w:bookmarkStart w:id="233" w:name="_Toc14954"/>
      <w:r>
        <w:rPr>
          <w:rFonts w:hint="eastAsia" w:ascii="宋体" w:hAnsi="宋体" w:cs="宋体"/>
          <w:b/>
          <w:bCs/>
          <w:sz w:val="24"/>
        </w:rPr>
        <w:t>附件三：</w:t>
      </w:r>
      <w:r>
        <w:rPr>
          <w:rFonts w:hint="eastAsia" w:ascii="宋体" w:hAnsi="宋体" w:cs="宋体"/>
          <w:b/>
          <w:bCs/>
          <w:sz w:val="24"/>
          <w:lang w:val="zh-CN"/>
        </w:rPr>
        <w:t>授权委托文件</w:t>
      </w:r>
      <w:bookmarkEnd w:id="229"/>
      <w:bookmarkEnd w:id="230"/>
      <w:bookmarkEnd w:id="231"/>
      <w:bookmarkEnd w:id="232"/>
      <w:bookmarkEnd w:id="233"/>
    </w:p>
    <w:p>
      <w:pPr>
        <w:spacing w:line="360" w:lineRule="auto"/>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法定代表人（或单位负责人）资格证明书</w:t>
      </w:r>
    </w:p>
    <w:p>
      <w:pPr>
        <w:spacing w:line="360" w:lineRule="auto"/>
        <w:ind w:left="-6" w:leftChars="-3" w:firstLine="420" w:firstLineChars="200"/>
        <w:rPr>
          <w:rFonts w:ascii="宋体" w:hAnsi="宋体" w:cs="宋体"/>
          <w:szCs w:val="21"/>
        </w:rPr>
      </w:pPr>
    </w:p>
    <w:p>
      <w:pPr>
        <w:spacing w:line="360" w:lineRule="auto"/>
        <w:ind w:left="-6" w:leftChars="-3" w:firstLine="420" w:firstLineChars="200"/>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pPr>
        <w:spacing w:line="360" w:lineRule="auto"/>
        <w:ind w:left="-6" w:leftChars="-3"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spacing w:line="360" w:lineRule="auto"/>
        <w:ind w:left="-6" w:leftChars="-3"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6" w:leftChars="-3"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的法定代表人（或单位负责人）。</w:t>
      </w:r>
    </w:p>
    <w:p>
      <w:pPr>
        <w:spacing w:line="360" w:lineRule="auto"/>
        <w:ind w:left="-6" w:leftChars="-3" w:firstLine="420" w:firstLineChars="200"/>
        <w:rPr>
          <w:rFonts w:ascii="宋体" w:hAnsi="宋体" w:cs="宋体"/>
          <w:szCs w:val="21"/>
        </w:rPr>
      </w:pPr>
      <w:r>
        <w:rPr>
          <w:rFonts w:hint="eastAsia" w:ascii="宋体" w:hAnsi="宋体" w:cs="宋体"/>
          <w:szCs w:val="21"/>
        </w:rPr>
        <w:t>特此证明。</w:t>
      </w:r>
    </w:p>
    <w:p>
      <w:pPr>
        <w:spacing w:line="360" w:lineRule="auto"/>
        <w:ind w:left="-6" w:leftChars="-3" w:firstLine="422" w:firstLineChars="200"/>
        <w:rPr>
          <w:rFonts w:ascii="宋体" w:hAnsi="宋体" w:cs="宋体"/>
          <w:b/>
          <w:szCs w:val="21"/>
        </w:rPr>
      </w:pPr>
      <w:r>
        <w:rPr>
          <w:rFonts w:hint="eastAsia" w:ascii="宋体" w:hAnsi="宋体" w:cs="宋体"/>
          <w:b/>
          <w:szCs w:val="21"/>
        </w:rPr>
        <w:t>注：须附法定代表人（或单位负责人）身份证复印件。</w:t>
      </w:r>
    </w:p>
    <w:p>
      <w:pPr>
        <w:spacing w:line="360" w:lineRule="auto"/>
        <w:ind w:left="-6" w:leftChars="-3" w:firstLine="422" w:firstLineChars="200"/>
        <w:rPr>
          <w:rFonts w:ascii="宋体" w:hAnsi="宋体" w:cs="宋体"/>
          <w:b/>
          <w:szCs w:val="21"/>
        </w:rPr>
      </w:pPr>
    </w:p>
    <w:p>
      <w:pPr>
        <w:spacing w:line="360" w:lineRule="auto"/>
        <w:ind w:firstLine="6405" w:firstLineChars="3050"/>
        <w:rPr>
          <w:rFonts w:ascii="宋体" w:hAnsi="宋体" w:cs="宋体"/>
          <w:szCs w:val="21"/>
        </w:rPr>
      </w:pPr>
      <w:r>
        <w:rPr>
          <w:rFonts w:hint="eastAsia" w:ascii="宋体" w:hAnsi="宋体" w:cs="宋体"/>
          <w:szCs w:val="21"/>
        </w:rPr>
        <w:t>投标人（盖章）：</w:t>
      </w:r>
    </w:p>
    <w:p>
      <w:pPr>
        <w:spacing w:line="360" w:lineRule="auto"/>
        <w:ind w:firstLine="6405" w:firstLineChars="3050"/>
        <w:rPr>
          <w:rFonts w:ascii="宋体" w:hAnsi="宋体" w:cs="宋体"/>
          <w:bCs/>
          <w:szCs w:val="21"/>
        </w:rPr>
      </w:pPr>
      <w:r>
        <w:rPr>
          <w:rFonts w:hint="eastAsia" w:ascii="宋体" w:hAnsi="宋体" w:cs="宋体"/>
          <w:bCs/>
          <w:szCs w:val="21"/>
        </w:rPr>
        <w:t>日      期：</w:t>
      </w:r>
    </w:p>
    <w:p>
      <w:pPr>
        <w:spacing w:line="360" w:lineRule="auto"/>
        <w:rPr>
          <w:rFonts w:ascii="宋体" w:hAnsi="宋体" w:cs="宋体"/>
          <w:b/>
          <w:bCs/>
          <w:sz w:val="30"/>
          <w:szCs w:val="30"/>
        </w:rPr>
      </w:pPr>
    </w:p>
    <w:p>
      <w:pPr>
        <w:spacing w:line="360" w:lineRule="auto"/>
        <w:jc w:val="center"/>
        <w:rPr>
          <w:rFonts w:ascii="宋体" w:hAnsi="宋体" w:cs="宋体"/>
          <w:b/>
          <w:sz w:val="28"/>
          <w:szCs w:val="28"/>
        </w:rPr>
      </w:pPr>
      <w:r>
        <w:rPr>
          <w:rFonts w:hint="eastAsia" w:ascii="宋体" w:hAnsi="宋体" w:cs="宋体"/>
          <w:b/>
          <w:sz w:val="28"/>
          <w:szCs w:val="28"/>
        </w:rPr>
        <w:t>法定代表人（或单位负责人）授权书</w:t>
      </w:r>
    </w:p>
    <w:p>
      <w:pPr>
        <w:adjustRightInd w:val="0"/>
        <w:spacing w:line="360" w:lineRule="auto"/>
        <w:rPr>
          <w:rFonts w:ascii="宋体" w:hAnsi="宋体" w:cs="宋体"/>
          <w:szCs w:val="21"/>
        </w:rPr>
      </w:pPr>
    </w:p>
    <w:p>
      <w:pPr>
        <w:adjustRightInd w:val="0"/>
        <w:spacing w:line="360" w:lineRule="auto"/>
        <w:rPr>
          <w:rFonts w:ascii="宋体" w:hAnsi="宋体" w:cs="宋体"/>
          <w:szCs w:val="21"/>
        </w:rPr>
      </w:pPr>
      <w:r>
        <w:rPr>
          <w:rFonts w:hint="eastAsia" w:ascii="宋体" w:hAnsi="宋体" w:cs="宋体"/>
          <w:szCs w:val="21"/>
          <w:lang w:eastAsia="zh-CN"/>
        </w:rPr>
        <w:t>杭州市红十字会医院</w:t>
      </w:r>
      <w:r>
        <w:rPr>
          <w:rFonts w:hint="eastAsia" w:ascii="宋体" w:hAnsi="宋体" w:cs="宋体"/>
          <w:szCs w:val="21"/>
        </w:rPr>
        <w:t>、浙江豪圣建设项目管理有限公司：</w:t>
      </w:r>
    </w:p>
    <w:p>
      <w:pPr>
        <w:spacing w:line="360" w:lineRule="auto"/>
        <w:ind w:firstLine="480"/>
        <w:rPr>
          <w:rFonts w:ascii="宋体" w:hAnsi="宋体" w:cs="宋体"/>
          <w:szCs w:val="21"/>
        </w:rPr>
      </w:pPr>
      <w:r>
        <w:rPr>
          <w:rFonts w:hint="eastAsia" w:ascii="宋体" w:hAnsi="宋体" w:cs="宋体"/>
          <w:szCs w:val="21"/>
        </w:rPr>
        <w:t>本人 ____________（姓名）系_________________（投标人全称）的法定代表人（或单位负责人），现授权___________________（授权委托人姓名）为我方授权委托人，参加贵方组织的</w:t>
      </w:r>
      <w:r>
        <w:rPr>
          <w:rFonts w:hint="eastAsia" w:ascii="宋体" w:hAnsi="宋体" w:cs="宋体"/>
          <w:szCs w:val="21"/>
          <w:u w:val="single"/>
        </w:rPr>
        <w:t xml:space="preserve">           </w:t>
      </w:r>
      <w:r>
        <w:rPr>
          <w:rFonts w:hint="eastAsia" w:ascii="宋体" w:hAnsi="宋体" w:cs="宋体"/>
          <w:szCs w:val="21"/>
        </w:rPr>
        <w:t>项目（招标编号</w:t>
      </w:r>
      <w:r>
        <w:rPr>
          <w:rFonts w:hint="eastAsia" w:ascii="宋体" w:hAnsi="宋体" w:cs="宋体"/>
          <w:szCs w:val="21"/>
          <w:u w:val="single"/>
        </w:rPr>
        <w:t xml:space="preserve">              </w:t>
      </w:r>
      <w:r>
        <w:rPr>
          <w:rFonts w:hint="eastAsia" w:ascii="宋体" w:hAnsi="宋体" w:cs="宋体"/>
          <w:szCs w:val="21"/>
        </w:rPr>
        <w:t>）招标投标活动，授权委托人以我方名义签署、澄清、说明、补正、递交、撤回、修改投标文件、签订协议和处理有关事宜，其法律后果由我方承担。</w:t>
      </w:r>
    </w:p>
    <w:p>
      <w:pPr>
        <w:spacing w:line="360" w:lineRule="auto"/>
        <w:ind w:firstLine="480"/>
        <w:rPr>
          <w:rFonts w:ascii="宋体" w:hAnsi="宋体" w:cs="宋体"/>
          <w:szCs w:val="21"/>
          <w:u w:val="single"/>
        </w:rPr>
      </w:pPr>
      <w:r>
        <w:rPr>
          <w:rFonts w:hint="eastAsia" w:ascii="宋体" w:hAnsi="宋体" w:cs="宋体"/>
          <w:szCs w:val="21"/>
        </w:rPr>
        <w:t>委托期限：</w:t>
      </w:r>
      <w:r>
        <w:rPr>
          <w:rFonts w:hint="eastAsia" w:ascii="宋体" w:hAnsi="宋体" w:cs="宋体"/>
          <w:szCs w:val="21"/>
          <w:u w:val="single"/>
        </w:rPr>
        <w:t xml:space="preserve">  同本项目投标有效期 。</w:t>
      </w:r>
    </w:p>
    <w:p>
      <w:pPr>
        <w:spacing w:line="360" w:lineRule="auto"/>
        <w:ind w:firstLine="480"/>
        <w:rPr>
          <w:rFonts w:ascii="宋体" w:hAnsi="宋体" w:cs="宋体"/>
          <w:szCs w:val="21"/>
        </w:rPr>
      </w:pPr>
      <w:r>
        <w:rPr>
          <w:rFonts w:hint="eastAsia" w:ascii="宋体" w:hAnsi="宋体" w:cs="宋体"/>
          <w:szCs w:val="21"/>
        </w:rPr>
        <w:t>授权委托人无转委托权。</w:t>
      </w:r>
    </w:p>
    <w:p>
      <w:pPr>
        <w:spacing w:line="360" w:lineRule="auto"/>
        <w:rPr>
          <w:rFonts w:ascii="宋体" w:hAnsi="宋体" w:cs="宋体"/>
          <w:szCs w:val="21"/>
        </w:rPr>
      </w:pPr>
      <w:r>
        <w:rPr>
          <w:rFonts w:hint="eastAsia" w:ascii="宋体" w:hAnsi="宋体" w:cs="宋体"/>
          <w:szCs w:val="21"/>
        </w:rPr>
        <w:t xml:space="preserve">          </w:t>
      </w:r>
    </w:p>
    <w:p>
      <w:pPr>
        <w:spacing w:line="360" w:lineRule="auto"/>
        <w:jc w:val="left"/>
        <w:rPr>
          <w:rFonts w:ascii="宋体" w:hAnsi="宋体" w:cs="宋体"/>
          <w:szCs w:val="21"/>
        </w:rPr>
      </w:pPr>
      <w:r>
        <w:rPr>
          <w:rFonts w:hint="eastAsia" w:ascii="宋体" w:hAnsi="宋体" w:cs="宋体"/>
          <w:szCs w:val="21"/>
        </w:rPr>
        <w:t xml:space="preserve">                         投标人全称（盖章）：</w:t>
      </w:r>
    </w:p>
    <w:p>
      <w:pPr>
        <w:spacing w:line="360" w:lineRule="auto"/>
        <w:ind w:firstLine="2625" w:firstLineChars="1250"/>
        <w:jc w:val="left"/>
        <w:rPr>
          <w:rFonts w:ascii="宋体" w:hAnsi="宋体" w:cs="宋体"/>
          <w:szCs w:val="21"/>
        </w:rPr>
      </w:pPr>
      <w:r>
        <w:rPr>
          <w:rFonts w:hint="eastAsia" w:ascii="宋体" w:hAnsi="宋体" w:cs="宋体"/>
          <w:szCs w:val="21"/>
        </w:rPr>
        <w:t>法定代表人（或单位负责人）：（签字或盖章）</w:t>
      </w:r>
    </w:p>
    <w:p>
      <w:pPr>
        <w:spacing w:line="360" w:lineRule="auto"/>
        <w:ind w:firstLine="2625" w:firstLineChars="1250"/>
        <w:jc w:val="left"/>
        <w:rPr>
          <w:rFonts w:ascii="宋体" w:hAnsi="宋体" w:cs="宋体"/>
          <w:szCs w:val="21"/>
        </w:rPr>
      </w:pPr>
      <w:r>
        <w:rPr>
          <w:rFonts w:hint="eastAsia" w:ascii="宋体" w:hAnsi="宋体" w:cs="宋体"/>
          <w:szCs w:val="21"/>
        </w:rPr>
        <w:t>身份证号码：</w:t>
      </w:r>
    </w:p>
    <w:p>
      <w:pPr>
        <w:spacing w:line="360" w:lineRule="auto"/>
        <w:ind w:firstLine="2625" w:firstLineChars="1250"/>
        <w:jc w:val="left"/>
        <w:rPr>
          <w:rFonts w:ascii="宋体" w:hAnsi="宋体" w:cs="宋体"/>
          <w:szCs w:val="21"/>
        </w:rPr>
      </w:pPr>
      <w:r>
        <w:rPr>
          <w:rFonts w:hint="eastAsia" w:ascii="宋体" w:hAnsi="宋体" w:cs="宋体"/>
          <w:szCs w:val="21"/>
        </w:rPr>
        <w:t xml:space="preserve">授权委托人：（签字或盖章）　　　　　　　　　　　　     </w:t>
      </w:r>
    </w:p>
    <w:p>
      <w:pPr>
        <w:spacing w:line="360" w:lineRule="auto"/>
        <w:ind w:firstLine="2625" w:firstLineChars="1250"/>
        <w:jc w:val="left"/>
        <w:rPr>
          <w:rFonts w:ascii="宋体" w:hAnsi="宋体" w:cs="宋体"/>
          <w:szCs w:val="21"/>
        </w:rPr>
      </w:pPr>
      <w:r>
        <w:rPr>
          <w:rFonts w:hint="eastAsia" w:ascii="宋体" w:hAnsi="宋体" w:cs="宋体"/>
          <w:szCs w:val="21"/>
        </w:rPr>
        <w:t>身份证号码：</w:t>
      </w:r>
    </w:p>
    <w:p>
      <w:pPr>
        <w:spacing w:line="360" w:lineRule="auto"/>
        <w:jc w:val="left"/>
        <w:rPr>
          <w:rFonts w:ascii="宋体" w:hAnsi="宋体" w:cs="宋体"/>
          <w:szCs w:val="21"/>
        </w:rPr>
      </w:pPr>
      <w:r>
        <w:rPr>
          <w:rFonts w:hint="eastAsia" w:ascii="宋体" w:hAnsi="宋体" w:cs="宋体"/>
          <w:szCs w:val="21"/>
        </w:rPr>
        <w:t xml:space="preserve">     　　　　　　        日      期：</w:t>
      </w:r>
    </w:p>
    <w:p>
      <w:pPr>
        <w:spacing w:line="360" w:lineRule="auto"/>
        <w:rPr>
          <w:rFonts w:ascii="宋体" w:hAnsi="宋体" w:cs="宋体"/>
        </w:rPr>
      </w:pPr>
      <w:r>
        <w:rPr>
          <w:rFonts w:hint="eastAsia" w:ascii="宋体" w:hAnsi="宋体" w:cs="宋体"/>
          <w:b/>
          <w:szCs w:val="21"/>
        </w:rPr>
        <w:t>注：须附法定代表人（或单位负责人）及授权委托人身份证复印件。</w:t>
      </w:r>
    </w:p>
    <w:p>
      <w:pPr>
        <w:spacing w:line="360" w:lineRule="auto"/>
        <w:rPr>
          <w:rFonts w:ascii="宋体" w:hAnsi="宋体" w:cs="宋体"/>
          <w:b/>
          <w:bCs/>
          <w:sz w:val="24"/>
          <w:lang w:val="zh-CN"/>
        </w:rPr>
      </w:pPr>
      <w:bookmarkStart w:id="234" w:name="_Toc5136"/>
      <w:r>
        <w:rPr>
          <w:rFonts w:hint="eastAsia" w:ascii="宋体" w:hAnsi="宋体" w:cs="宋体"/>
          <w:b/>
          <w:bCs/>
          <w:sz w:val="24"/>
          <w:lang w:val="zh-CN"/>
        </w:rPr>
        <w:br w:type="page"/>
      </w:r>
      <w:bookmarkStart w:id="235" w:name="_Toc21153"/>
      <w:bookmarkStart w:id="236" w:name="_Toc12473"/>
      <w:bookmarkStart w:id="237" w:name="_Toc3205"/>
      <w:r>
        <w:rPr>
          <w:rFonts w:hint="eastAsia" w:ascii="宋体" w:hAnsi="宋体" w:cs="宋体"/>
          <w:b/>
          <w:bCs/>
          <w:sz w:val="24"/>
          <w:lang w:val="zh-CN"/>
        </w:rPr>
        <w:t>附件</w:t>
      </w:r>
      <w:r>
        <w:rPr>
          <w:rFonts w:hint="eastAsia" w:ascii="宋体" w:hAnsi="宋体" w:cs="宋体"/>
          <w:b/>
          <w:bCs/>
          <w:sz w:val="24"/>
        </w:rPr>
        <w:t>四</w:t>
      </w:r>
      <w:r>
        <w:rPr>
          <w:rFonts w:hint="eastAsia" w:ascii="宋体" w:hAnsi="宋体" w:cs="宋体"/>
          <w:b/>
          <w:bCs/>
          <w:sz w:val="24"/>
          <w:lang w:val="zh-CN"/>
        </w:rPr>
        <w:t>：声明书</w:t>
      </w:r>
      <w:bookmarkEnd w:id="234"/>
      <w:bookmarkEnd w:id="235"/>
      <w:bookmarkEnd w:id="236"/>
      <w:bookmarkEnd w:id="237"/>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声明书</w:t>
      </w:r>
    </w:p>
    <w:p>
      <w:pPr>
        <w:adjustRightInd w:val="0"/>
        <w:spacing w:line="360" w:lineRule="auto"/>
        <w:rPr>
          <w:rFonts w:ascii="宋体" w:hAnsi="宋体" w:cs="宋体"/>
          <w:kern w:val="0"/>
          <w:sz w:val="24"/>
        </w:rPr>
      </w:pPr>
      <w:r>
        <w:rPr>
          <w:rFonts w:hint="eastAsia" w:ascii="宋体" w:hAnsi="宋体" w:cs="宋体"/>
          <w:sz w:val="24"/>
          <w:lang w:eastAsia="zh-CN"/>
        </w:rPr>
        <w:t>杭州市红十字会医院</w:t>
      </w:r>
      <w:r>
        <w:rPr>
          <w:rFonts w:hint="eastAsia" w:ascii="宋体" w:hAnsi="宋体" w:cs="宋体"/>
          <w:sz w:val="24"/>
        </w:rPr>
        <w:t>、浙江豪圣建设项目管理有限公司</w:t>
      </w:r>
      <w:r>
        <w:rPr>
          <w:rFonts w:hint="eastAsia" w:ascii="宋体" w:hAnsi="宋体" w:cs="宋体"/>
          <w:kern w:val="0"/>
          <w:sz w:val="24"/>
          <w:lang w:val="zh-CN"/>
        </w:rPr>
        <w:t>：</w:t>
      </w:r>
    </w:p>
    <w:p>
      <w:pPr>
        <w:pStyle w:val="23"/>
        <w:adjustRightInd w:val="0"/>
        <w:spacing w:line="360" w:lineRule="auto"/>
        <w:ind w:firstLine="480" w:firstLineChars="200"/>
        <w:rPr>
          <w:rFonts w:hAnsi="宋体" w:cs="宋体"/>
          <w:kern w:val="0"/>
          <w:sz w:val="24"/>
        </w:rPr>
      </w:pPr>
      <w:r>
        <w:rPr>
          <w:rFonts w:hint="eastAsia" w:hAnsi="宋体" w:cs="宋体"/>
          <w:kern w:val="0"/>
          <w:sz w:val="24"/>
          <w:lang w:val="zh-CN"/>
        </w:rPr>
        <w:t>本单位自愿参加</w:t>
      </w:r>
      <w:r>
        <w:rPr>
          <w:rFonts w:hint="eastAsia" w:hAnsi="宋体" w:cs="宋体"/>
          <w:sz w:val="24"/>
          <w:lang w:eastAsia="zh-CN"/>
        </w:rPr>
        <w:t>杭州市红十字会医院2025年公款竞争性存放项目</w:t>
      </w:r>
      <w:r>
        <w:rPr>
          <w:rFonts w:hint="eastAsia" w:hAnsi="宋体" w:cs="宋体"/>
          <w:kern w:val="0"/>
          <w:sz w:val="24"/>
          <w:lang w:val="zh-CN"/>
        </w:rPr>
        <w:t>（项目编号：HSZB-2024-1429）项目的投标，并保证投标文件中所列举的投标报价文件及相关资料和公司基本情况资料是真实的、合法的。</w:t>
      </w:r>
    </w:p>
    <w:p>
      <w:pPr>
        <w:adjustRightInd w:val="0"/>
        <w:spacing w:line="360" w:lineRule="auto"/>
        <w:ind w:firstLine="480"/>
        <w:rPr>
          <w:rFonts w:ascii="宋体" w:hAnsi="宋体" w:cs="宋体"/>
          <w:kern w:val="0"/>
          <w:sz w:val="24"/>
        </w:rPr>
      </w:pPr>
      <w:r>
        <w:rPr>
          <w:rFonts w:hint="eastAsia" w:ascii="宋体" w:hAnsi="宋体" w:cs="宋体"/>
          <w:kern w:val="0"/>
          <w:sz w:val="24"/>
          <w:lang w:val="zh-CN"/>
        </w:rPr>
        <w:t>同意此次招标文件中的各项内容。</w:t>
      </w:r>
    </w:p>
    <w:p>
      <w:pPr>
        <w:adjustRightInd w:val="0"/>
        <w:spacing w:line="360" w:lineRule="auto"/>
        <w:ind w:firstLine="480"/>
        <w:rPr>
          <w:rFonts w:ascii="宋体" w:hAnsi="宋体" w:cs="宋体"/>
          <w:kern w:val="0"/>
          <w:sz w:val="24"/>
        </w:rPr>
      </w:pPr>
      <w:r>
        <w:rPr>
          <w:rFonts w:hint="eastAsia" w:ascii="宋体" w:hAnsi="宋体" w:cs="宋体"/>
          <w:kern w:val="0"/>
          <w:sz w:val="24"/>
          <w:lang w:val="zh-CN"/>
        </w:rPr>
        <w:t>同意提供按照贵方可能要求的与投标有关的一切数据或资料等。</w:t>
      </w:r>
    </w:p>
    <w:p>
      <w:pPr>
        <w:adjustRightInd w:val="0"/>
        <w:spacing w:line="360" w:lineRule="auto"/>
        <w:ind w:firstLine="480"/>
        <w:rPr>
          <w:rFonts w:ascii="宋体" w:hAnsi="宋体" w:cs="宋体"/>
          <w:kern w:val="0"/>
          <w:sz w:val="24"/>
        </w:rPr>
      </w:pPr>
      <w:r>
        <w:rPr>
          <w:rFonts w:hint="eastAsia" w:ascii="宋体" w:hAnsi="宋体" w:cs="宋体"/>
          <w:kern w:val="0"/>
          <w:sz w:val="24"/>
          <w:lang w:val="zh-CN"/>
        </w:rPr>
        <w:t>本单位如中标，保证按照招标文件的要求及投标文件的承诺与贵方签订合同，保证履行合同条款。</w:t>
      </w:r>
    </w:p>
    <w:p>
      <w:pPr>
        <w:autoSpaceDE w:val="0"/>
        <w:autoSpaceDN w:val="0"/>
        <w:adjustRightInd w:val="0"/>
        <w:spacing w:line="360" w:lineRule="auto"/>
        <w:ind w:firstLine="4560" w:firstLineChars="1900"/>
        <w:rPr>
          <w:rFonts w:ascii="宋体" w:hAnsi="宋体" w:cs="宋体"/>
          <w:kern w:val="0"/>
          <w:sz w:val="24"/>
        </w:rPr>
      </w:pPr>
    </w:p>
    <w:p>
      <w:pPr>
        <w:autoSpaceDE w:val="0"/>
        <w:autoSpaceDN w:val="0"/>
        <w:adjustRightInd w:val="0"/>
        <w:spacing w:line="360" w:lineRule="auto"/>
        <w:ind w:firstLine="4560" w:firstLineChars="1900"/>
        <w:rPr>
          <w:rFonts w:ascii="宋体" w:hAnsi="宋体" w:cs="宋体"/>
          <w:kern w:val="0"/>
          <w:sz w:val="24"/>
        </w:rPr>
      </w:pPr>
    </w:p>
    <w:p>
      <w:pPr>
        <w:autoSpaceDE w:val="0"/>
        <w:autoSpaceDN w:val="0"/>
        <w:adjustRightInd w:val="0"/>
        <w:spacing w:line="360" w:lineRule="auto"/>
        <w:ind w:firstLine="4560" w:firstLineChars="1900"/>
        <w:rPr>
          <w:rFonts w:ascii="宋体" w:hAnsi="宋体" w:cs="宋体"/>
          <w:kern w:val="0"/>
          <w:sz w:val="24"/>
        </w:rPr>
      </w:pPr>
    </w:p>
    <w:p>
      <w:pPr>
        <w:autoSpaceDE w:val="0"/>
        <w:autoSpaceDN w:val="0"/>
        <w:adjustRightInd w:val="0"/>
        <w:spacing w:line="360" w:lineRule="auto"/>
        <w:ind w:firstLine="4560" w:firstLineChars="1900"/>
        <w:rPr>
          <w:rFonts w:ascii="宋体" w:hAnsi="宋体" w:cs="宋体"/>
          <w:kern w:val="0"/>
          <w:sz w:val="24"/>
        </w:rPr>
      </w:pPr>
      <w:r>
        <w:rPr>
          <w:rFonts w:hint="eastAsia" w:ascii="宋体" w:hAnsi="宋体" w:cs="宋体"/>
          <w:kern w:val="0"/>
          <w:sz w:val="24"/>
        </w:rPr>
        <w:t xml:space="preserve">投标人名称（公章）：                       </w:t>
      </w:r>
    </w:p>
    <w:p>
      <w:pPr>
        <w:spacing w:line="360" w:lineRule="auto"/>
        <w:rPr>
          <w:rFonts w:ascii="宋体" w:hAnsi="宋体" w:cs="宋体"/>
          <w:b/>
          <w:bCs/>
          <w:sz w:val="24"/>
        </w:rPr>
      </w:pPr>
      <w:r>
        <w:rPr>
          <w:rFonts w:hint="eastAsia" w:ascii="宋体" w:hAnsi="宋体" w:cs="宋体"/>
          <w:kern w:val="0"/>
          <w:sz w:val="24"/>
        </w:rPr>
        <w:t xml:space="preserve">                                      日期：    年  月   日</w:t>
      </w:r>
    </w:p>
    <w:p>
      <w:pPr>
        <w:spacing w:line="360" w:lineRule="auto"/>
        <w:jc w:val="center"/>
        <w:rPr>
          <w:rFonts w:ascii="宋体" w:hAnsi="宋体" w:cs="宋体"/>
          <w:b/>
          <w:bCs/>
          <w:sz w:val="30"/>
          <w:szCs w:val="30"/>
        </w:rPr>
      </w:pPr>
    </w:p>
    <w:p>
      <w:pPr>
        <w:spacing w:line="360" w:lineRule="auto"/>
        <w:outlineLvl w:val="1"/>
        <w:rPr>
          <w:rFonts w:ascii="宋体" w:hAnsi="宋体" w:cs="宋体"/>
          <w:b/>
          <w:bCs/>
          <w:sz w:val="24"/>
          <w:lang w:val="zh-CN"/>
        </w:rPr>
      </w:pPr>
      <w:r>
        <w:rPr>
          <w:rFonts w:hint="eastAsia" w:ascii="宋体" w:hAnsi="宋体" w:cs="宋体"/>
          <w:b/>
          <w:bCs/>
          <w:sz w:val="30"/>
          <w:szCs w:val="30"/>
        </w:rPr>
        <w:br w:type="page"/>
      </w:r>
      <w:bookmarkStart w:id="238" w:name="_Toc16638"/>
      <w:bookmarkStart w:id="239" w:name="_Toc31919"/>
      <w:bookmarkStart w:id="240" w:name="_Toc17473"/>
      <w:bookmarkStart w:id="241" w:name="_Toc22034"/>
      <w:bookmarkStart w:id="242" w:name="_Toc30050"/>
      <w:r>
        <w:rPr>
          <w:rFonts w:hint="eastAsia" w:ascii="宋体" w:hAnsi="宋体" w:cs="宋体"/>
          <w:b/>
          <w:bCs/>
          <w:sz w:val="24"/>
          <w:lang w:val="zh-CN"/>
        </w:rPr>
        <w:t>附件</w:t>
      </w:r>
      <w:r>
        <w:rPr>
          <w:rFonts w:hint="eastAsia" w:ascii="宋体" w:hAnsi="宋体" w:cs="宋体"/>
          <w:b/>
          <w:bCs/>
          <w:sz w:val="24"/>
        </w:rPr>
        <w:t>五</w:t>
      </w:r>
      <w:r>
        <w:rPr>
          <w:rFonts w:hint="eastAsia" w:ascii="宋体" w:hAnsi="宋体" w:cs="宋体"/>
          <w:b/>
          <w:bCs/>
          <w:sz w:val="24"/>
          <w:lang w:val="zh-CN"/>
        </w:rPr>
        <w:t>：廉政承诺书</w:t>
      </w:r>
      <w:bookmarkEnd w:id="238"/>
      <w:bookmarkEnd w:id="239"/>
      <w:bookmarkEnd w:id="240"/>
      <w:bookmarkEnd w:id="241"/>
      <w:bookmarkEnd w:id="242"/>
    </w:p>
    <w:p>
      <w:pPr>
        <w:spacing w:line="360" w:lineRule="auto"/>
        <w:jc w:val="center"/>
        <w:rPr>
          <w:rFonts w:ascii="宋体" w:hAnsi="宋体" w:cs="宋体"/>
          <w:b/>
          <w:bCs/>
          <w:sz w:val="30"/>
          <w:szCs w:val="30"/>
        </w:rPr>
      </w:pPr>
      <w:r>
        <w:rPr>
          <w:rFonts w:hint="eastAsia" w:ascii="宋体" w:hAnsi="宋体" w:cs="宋体"/>
          <w:b/>
          <w:bCs/>
          <w:sz w:val="30"/>
          <w:szCs w:val="30"/>
        </w:rPr>
        <w:t>廉政承诺书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lang w:eastAsia="zh-CN"/>
        </w:rPr>
        <w:t>杭州市红十字会医院</w:t>
      </w:r>
      <w:r>
        <w:rPr>
          <w:rFonts w:hint="eastAsia" w:ascii="宋体" w:hAnsi="宋体" w:cs="宋体"/>
          <w:sz w:val="24"/>
          <w:szCs w:val="24"/>
        </w:rPr>
        <w:t>：</w:t>
      </w:r>
    </w:p>
    <w:p>
      <w:pPr>
        <w:spacing w:line="360" w:lineRule="auto"/>
        <w:jc w:val="left"/>
        <w:rPr>
          <w:rFonts w:ascii="宋体" w:hAnsi="宋体" w:cs="宋体"/>
          <w:sz w:val="24"/>
          <w:szCs w:val="24"/>
        </w:rPr>
      </w:pPr>
      <w:r>
        <w:rPr>
          <w:rFonts w:hint="eastAsia" w:ascii="宋体" w:hAnsi="宋体" w:cs="宋体"/>
          <w:sz w:val="24"/>
          <w:szCs w:val="24"/>
        </w:rPr>
        <w:t xml:space="preserve">    根据《财政部关于进一步加强财政部门和预算单位资金存放管理的指导意见》（财库〔2017〕76号）、《杭州市市级行政事业单位公款竞争性存放管理办法》（杭财预执〔2022〕5号）相关规定，现就本行参加贵单位</w:t>
      </w:r>
      <w:r>
        <w:rPr>
          <w:rFonts w:hint="eastAsia" w:ascii="宋体" w:hAnsi="宋体" w:cs="宋体"/>
          <w:sz w:val="24"/>
          <w:szCs w:val="24"/>
          <w:lang w:eastAsia="zh-CN"/>
        </w:rPr>
        <w:t>2025年公款竞争性存放</w:t>
      </w:r>
      <w:r>
        <w:rPr>
          <w:rFonts w:hint="eastAsia" w:ascii="宋体" w:hAnsi="宋体" w:cs="宋体"/>
          <w:sz w:val="24"/>
          <w:szCs w:val="24"/>
        </w:rPr>
        <w:t>作出如下承诺：</w:t>
      </w:r>
    </w:p>
    <w:p>
      <w:pPr>
        <w:spacing w:line="360" w:lineRule="auto"/>
        <w:jc w:val="left"/>
        <w:rPr>
          <w:rFonts w:ascii="宋体" w:hAnsi="宋体" w:cs="宋体"/>
          <w:sz w:val="24"/>
          <w:szCs w:val="24"/>
        </w:rPr>
      </w:pPr>
      <w:r>
        <w:rPr>
          <w:rFonts w:hint="eastAsia" w:ascii="宋体" w:hAnsi="宋体" w:cs="宋体"/>
          <w:sz w:val="24"/>
          <w:szCs w:val="24"/>
        </w:rPr>
        <w:t xml:space="preserve">    1.不向贵单位负责公款存放管理的领导及相关人员进行利益输送；</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2.不将公款存放与贵单位负责公款存放管理的领导及相关人员在本行的配偶、子女及其配偶和其他直接利益相关人员的业绩、收入、晋升等利益挂钩；</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3.严格执行利益回避制度，贵单位负责公款竞争性存放相关人员的配偶、子女及其配偶和其他直接利益相关人员为本行工作人员的，不参与公款竞争性存放工作；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4.不发生除上述行为之外的其他任何利益输送行为。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未遵守以上承诺的，本行自愿接受财政部门处理，承担相应的一切后果。</w:t>
      </w:r>
    </w:p>
    <w:p>
      <w:pPr>
        <w:spacing w:line="360" w:lineRule="auto"/>
        <w:jc w:val="center"/>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 xml:space="preserve">                                      银行（公章）：</w:t>
      </w:r>
    </w:p>
    <w:p>
      <w:pPr>
        <w:spacing w:line="360" w:lineRule="auto"/>
        <w:jc w:val="center"/>
        <w:rPr>
          <w:rFonts w:ascii="宋体" w:hAnsi="宋体" w:cs="宋体"/>
          <w:sz w:val="24"/>
          <w:szCs w:val="24"/>
        </w:rPr>
      </w:pPr>
      <w:r>
        <w:rPr>
          <w:rFonts w:hint="eastAsia" w:ascii="宋体" w:hAnsi="宋体" w:cs="宋体"/>
          <w:sz w:val="24"/>
          <w:szCs w:val="24"/>
        </w:rPr>
        <w:t xml:space="preserve">                                       年  月  日</w:t>
      </w:r>
    </w:p>
    <w:p>
      <w:pPr>
        <w:spacing w:line="360" w:lineRule="auto"/>
        <w:jc w:val="center"/>
        <w:rPr>
          <w:rFonts w:ascii="宋体" w:hAnsi="宋体" w:cs="宋体"/>
          <w:b/>
          <w:bCs/>
          <w:sz w:val="30"/>
          <w:szCs w:val="30"/>
        </w:rPr>
      </w:pPr>
    </w:p>
    <w:p>
      <w:pPr>
        <w:spacing w:line="360" w:lineRule="auto"/>
        <w:outlineLvl w:val="1"/>
        <w:rPr>
          <w:rFonts w:ascii="宋体" w:hAnsi="宋体" w:cs="宋体"/>
          <w:b/>
          <w:bCs/>
          <w:sz w:val="24"/>
        </w:rPr>
      </w:pPr>
      <w:r>
        <w:rPr>
          <w:rFonts w:hint="eastAsia" w:ascii="宋体" w:hAnsi="宋体" w:cs="宋体"/>
          <w:b/>
          <w:bCs/>
          <w:sz w:val="30"/>
          <w:szCs w:val="30"/>
        </w:rPr>
        <w:br w:type="page"/>
      </w:r>
      <w:bookmarkStart w:id="243" w:name="_Toc1830"/>
      <w:bookmarkStart w:id="244" w:name="_Toc2217"/>
      <w:bookmarkStart w:id="245" w:name="_Toc9181"/>
      <w:bookmarkStart w:id="246" w:name="_Toc3333"/>
      <w:bookmarkStart w:id="247" w:name="_Toc21770"/>
      <w:r>
        <w:rPr>
          <w:rFonts w:hint="eastAsia" w:ascii="宋体" w:hAnsi="宋体" w:cs="宋体"/>
          <w:b/>
          <w:bCs/>
          <w:sz w:val="24"/>
          <w:lang w:val="zh-CN"/>
        </w:rPr>
        <w:t>附件</w:t>
      </w:r>
      <w:r>
        <w:rPr>
          <w:rFonts w:hint="eastAsia" w:ascii="宋体" w:hAnsi="宋体" w:cs="宋体"/>
          <w:b/>
          <w:bCs/>
          <w:sz w:val="24"/>
        </w:rPr>
        <w:t>六</w:t>
      </w:r>
      <w:r>
        <w:rPr>
          <w:rFonts w:hint="eastAsia" w:ascii="宋体" w:hAnsi="宋体" w:cs="宋体"/>
          <w:b/>
          <w:bCs/>
          <w:sz w:val="24"/>
          <w:lang w:val="zh-CN"/>
        </w:rPr>
        <w:t>：</w:t>
      </w:r>
      <w:bookmarkEnd w:id="243"/>
      <w:bookmarkEnd w:id="244"/>
      <w:bookmarkEnd w:id="245"/>
      <w:bookmarkEnd w:id="246"/>
      <w:bookmarkEnd w:id="247"/>
      <w:r>
        <w:rPr>
          <w:rFonts w:hint="eastAsia" w:ascii="宋体" w:hAnsi="宋体" w:cs="宋体"/>
          <w:b/>
          <w:bCs/>
          <w:sz w:val="24"/>
          <w:lang w:val="zh-CN"/>
        </w:rPr>
        <w:t>资格证明</w:t>
      </w:r>
      <w:r>
        <w:rPr>
          <w:rFonts w:hint="eastAsia" w:ascii="宋体" w:hAnsi="宋体" w:cs="宋体"/>
          <w:b/>
          <w:bCs/>
          <w:sz w:val="24"/>
        </w:rPr>
        <w:t>文件</w:t>
      </w:r>
    </w:p>
    <w:p>
      <w:pPr>
        <w:tabs>
          <w:tab w:val="center" w:pos="4737"/>
          <w:tab w:val="left" w:pos="7169"/>
        </w:tabs>
        <w:spacing w:line="360" w:lineRule="auto"/>
        <w:jc w:val="left"/>
        <w:rPr>
          <w:rFonts w:ascii="宋体" w:hAnsi="宋体" w:cs="宋体"/>
          <w:b/>
          <w:bCs/>
          <w:sz w:val="30"/>
          <w:szCs w:val="30"/>
        </w:rPr>
      </w:pPr>
      <w:r>
        <w:rPr>
          <w:rFonts w:hint="eastAsia" w:ascii="宋体" w:hAnsi="宋体" w:cs="宋体"/>
          <w:b/>
          <w:bCs/>
          <w:sz w:val="30"/>
          <w:szCs w:val="30"/>
        </w:rPr>
        <w:tab/>
      </w:r>
      <w:r>
        <w:rPr>
          <w:rFonts w:hint="eastAsia" w:ascii="宋体" w:hAnsi="宋体" w:cs="宋体"/>
          <w:b/>
          <w:bCs/>
          <w:sz w:val="30"/>
          <w:szCs w:val="30"/>
        </w:rPr>
        <w:t>资格证明文件</w:t>
      </w:r>
      <w:r>
        <w:rPr>
          <w:rFonts w:hint="eastAsia" w:ascii="宋体" w:hAnsi="宋体" w:cs="宋体"/>
          <w:b/>
          <w:bCs/>
          <w:sz w:val="30"/>
          <w:szCs w:val="30"/>
        </w:rPr>
        <w:tab/>
      </w:r>
    </w:p>
    <w:p>
      <w:pPr>
        <w:spacing w:line="360" w:lineRule="auto"/>
        <w:jc w:val="center"/>
        <w:rPr>
          <w:rFonts w:ascii="宋体" w:hAnsi="宋体" w:cs="宋体"/>
          <w:b/>
          <w:bCs/>
          <w:sz w:val="30"/>
          <w:szCs w:val="30"/>
        </w:rPr>
      </w:pPr>
    </w:p>
    <w:p>
      <w:pPr>
        <w:pStyle w:val="90"/>
        <w:spacing w:line="360" w:lineRule="auto"/>
        <w:rPr>
          <w:rFonts w:ascii="宋体" w:hAnsi="宋体" w:eastAsia="宋体" w:cs="宋体"/>
          <w:b/>
          <w:bCs/>
          <w:color w:val="auto"/>
          <w:kern w:val="2"/>
          <w:szCs w:val="20"/>
        </w:rPr>
      </w:pPr>
      <w:r>
        <w:rPr>
          <w:rFonts w:hint="eastAsia" w:ascii="宋体" w:hAnsi="宋体" w:eastAsia="宋体" w:cs="宋体"/>
          <w:b/>
          <w:bCs/>
          <w:color w:val="auto"/>
          <w:kern w:val="2"/>
          <w:szCs w:val="20"/>
        </w:rPr>
        <w:t>（1）投标人营业执照；</w:t>
      </w:r>
    </w:p>
    <w:p>
      <w:pPr>
        <w:pStyle w:val="90"/>
        <w:spacing w:line="360" w:lineRule="auto"/>
        <w:rPr>
          <w:rFonts w:ascii="宋体" w:hAnsi="宋体" w:eastAsia="宋体" w:cs="宋体"/>
          <w:b/>
          <w:bCs/>
          <w:color w:val="auto"/>
          <w:kern w:val="2"/>
          <w:szCs w:val="20"/>
        </w:rPr>
      </w:pPr>
      <w:r>
        <w:rPr>
          <w:rFonts w:hint="eastAsia" w:ascii="宋体" w:hAnsi="宋体" w:eastAsia="宋体" w:cs="宋体"/>
          <w:b/>
          <w:bCs/>
          <w:color w:val="auto"/>
          <w:kern w:val="2"/>
          <w:szCs w:val="20"/>
        </w:rPr>
        <w:t>（2）人民银行上年度对投标银行的总行（总行注册地位于杭州）或省分行（无省分行的提供市分行）综合评价（提供年度评价（评级）文件证明材料，不纳入人民银行评级范围的银行不受此限制，但须人民银行提供不受此限制的相应证明材料）；</w:t>
      </w:r>
    </w:p>
    <w:p>
      <w:pPr>
        <w:pStyle w:val="90"/>
        <w:spacing w:line="360" w:lineRule="auto"/>
        <w:rPr>
          <w:rFonts w:ascii="宋体" w:hAnsi="宋体" w:eastAsia="宋体" w:cs="宋体"/>
          <w:b/>
          <w:bCs/>
          <w:color w:val="auto"/>
          <w:kern w:val="2"/>
          <w:szCs w:val="20"/>
        </w:rPr>
      </w:pPr>
      <w:r>
        <w:rPr>
          <w:rFonts w:hint="eastAsia" w:ascii="宋体" w:hAnsi="宋体" w:eastAsia="宋体" w:cs="宋体"/>
          <w:b/>
          <w:bCs/>
          <w:color w:val="auto"/>
          <w:kern w:val="2"/>
          <w:szCs w:val="20"/>
        </w:rPr>
        <w:t>（3）总行或省分行（杭州分行）针对本项目授权书（格式自拟）；</w:t>
      </w:r>
    </w:p>
    <w:p>
      <w:pPr>
        <w:pStyle w:val="90"/>
        <w:spacing w:line="360" w:lineRule="auto"/>
        <w:rPr>
          <w:rFonts w:ascii="宋体" w:hAnsi="宋体" w:eastAsia="宋体" w:cs="宋体"/>
          <w:b/>
          <w:bCs/>
          <w:color w:val="auto"/>
          <w:kern w:val="2"/>
          <w:szCs w:val="20"/>
        </w:rPr>
      </w:pPr>
      <w:r>
        <w:rPr>
          <w:rFonts w:hint="eastAsia" w:ascii="宋体" w:hAnsi="宋体" w:eastAsia="宋体" w:cs="宋体"/>
          <w:b/>
          <w:bCs/>
          <w:color w:val="auto"/>
          <w:kern w:val="2"/>
          <w:szCs w:val="20"/>
        </w:rPr>
        <w:t>（4）最终服务网点确认书（格式自拟，附最终服务网点营业执照复印件）；</w:t>
      </w:r>
    </w:p>
    <w:p>
      <w:pPr>
        <w:pStyle w:val="90"/>
        <w:spacing w:line="360" w:lineRule="auto"/>
        <w:rPr>
          <w:rFonts w:ascii="宋体" w:hAnsi="宋体" w:eastAsia="宋体" w:cs="宋体"/>
          <w:color w:val="auto"/>
          <w:kern w:val="2"/>
          <w:szCs w:val="20"/>
        </w:rPr>
      </w:pPr>
      <w:r>
        <w:rPr>
          <w:rFonts w:hint="eastAsia" w:ascii="宋体" w:hAnsi="宋体" w:eastAsia="宋体" w:cs="宋体"/>
          <w:b/>
          <w:bCs/>
          <w:color w:val="auto"/>
          <w:kern w:val="2"/>
          <w:szCs w:val="20"/>
        </w:rPr>
        <w:t>（5）资格要求规定的其他文件。</w:t>
      </w:r>
    </w:p>
    <w:p>
      <w:pPr>
        <w:pStyle w:val="90"/>
        <w:spacing w:line="360" w:lineRule="auto"/>
        <w:rPr>
          <w:rFonts w:ascii="宋体" w:hAnsi="宋体" w:eastAsia="宋体" w:cs="宋体"/>
          <w:b/>
          <w:bCs/>
          <w:i/>
          <w:iCs/>
          <w:color w:val="auto"/>
          <w:kern w:val="2"/>
          <w:szCs w:val="20"/>
        </w:rPr>
      </w:pPr>
    </w:p>
    <w:p>
      <w:pPr>
        <w:pStyle w:val="90"/>
        <w:spacing w:line="360" w:lineRule="auto"/>
        <w:rPr>
          <w:rFonts w:ascii="宋体" w:hAnsi="宋体" w:eastAsia="宋体" w:cs="宋体"/>
          <w:b/>
          <w:bCs/>
          <w:i/>
          <w:iCs/>
          <w:color w:val="auto"/>
          <w:kern w:val="2"/>
          <w:szCs w:val="20"/>
        </w:rPr>
      </w:pPr>
    </w:p>
    <w:p>
      <w:pPr>
        <w:pStyle w:val="90"/>
        <w:spacing w:line="360" w:lineRule="auto"/>
        <w:rPr>
          <w:rFonts w:ascii="宋体" w:hAnsi="宋体" w:eastAsia="宋体" w:cs="宋体"/>
          <w:b/>
          <w:bCs/>
          <w:i/>
          <w:iCs/>
          <w:color w:val="auto"/>
          <w:kern w:val="2"/>
          <w:szCs w:val="20"/>
        </w:rPr>
      </w:pPr>
      <w:r>
        <w:rPr>
          <w:rFonts w:hint="eastAsia" w:ascii="宋体" w:hAnsi="宋体" w:eastAsia="宋体" w:cs="宋体"/>
          <w:b/>
          <w:bCs/>
          <w:i/>
          <w:iCs/>
          <w:color w:val="auto"/>
          <w:kern w:val="2"/>
          <w:szCs w:val="20"/>
        </w:rPr>
        <w:t>填写说明：</w:t>
      </w:r>
    </w:p>
    <w:p>
      <w:pPr>
        <w:adjustRightInd w:val="0"/>
        <w:spacing w:line="360" w:lineRule="auto"/>
        <w:ind w:firstLine="354" w:firstLineChars="147"/>
        <w:jc w:val="left"/>
        <w:rPr>
          <w:rFonts w:ascii="宋体" w:hAnsi="宋体" w:cs="宋体"/>
          <w:b/>
          <w:bCs/>
          <w:i/>
          <w:iCs/>
          <w:snapToGrid w:val="0"/>
          <w:kern w:val="0"/>
          <w:sz w:val="24"/>
        </w:rPr>
      </w:pPr>
      <w:r>
        <w:rPr>
          <w:rFonts w:hint="eastAsia" w:ascii="宋体" w:hAnsi="宋体" w:cs="宋体"/>
          <w:b/>
          <w:bCs/>
          <w:i/>
          <w:iCs/>
          <w:snapToGrid w:val="0"/>
          <w:kern w:val="0"/>
          <w:sz w:val="24"/>
        </w:rPr>
        <w:t>资格证明文件是评标委员会对投标人资格进行合格性审查的评审依据。如评审过程中须提供原件及相关材料时，投标人须无条件在规定时间内向评标委员会提供原件及相关材料查验；如发现查验的原件与投标文件中所附的复印件不一致，则视为提供虚假证明材料投标，其投标文件无效；如发现投标人不能在规定时间内向评标委员会提供证明材料原件供查验的，则视为其投标文件所附证明材料缺乏真实性，其投标文件将被否决。</w:t>
      </w:r>
    </w:p>
    <w:p>
      <w:pPr>
        <w:pStyle w:val="188"/>
        <w:widowControl w:val="0"/>
        <w:spacing w:line="360" w:lineRule="auto"/>
        <w:ind w:firstLine="480"/>
        <w:rPr>
          <w:rFonts w:hint="default" w:cs="宋体"/>
          <w:b w:val="0"/>
          <w:bCs/>
          <w:sz w:val="24"/>
        </w:rPr>
      </w:pPr>
    </w:p>
    <w:p>
      <w:pPr>
        <w:spacing w:line="360" w:lineRule="auto"/>
        <w:jc w:val="center"/>
        <w:rPr>
          <w:rFonts w:ascii="宋体" w:hAnsi="宋体" w:cs="宋体"/>
          <w:b/>
          <w:bCs/>
          <w:sz w:val="30"/>
          <w:szCs w:val="30"/>
        </w:rPr>
      </w:pPr>
    </w:p>
    <w:p>
      <w:pPr>
        <w:spacing w:line="360" w:lineRule="auto"/>
        <w:rPr>
          <w:rFonts w:cs="Courier New"/>
          <w:b/>
          <w:sz w:val="24"/>
        </w:rPr>
      </w:pPr>
      <w:r>
        <w:rPr>
          <w:rFonts w:hint="eastAsia" w:ascii="宋体" w:hAnsi="宋体" w:cs="宋体"/>
          <w:b/>
          <w:bCs/>
          <w:sz w:val="30"/>
          <w:szCs w:val="30"/>
        </w:rPr>
        <w:br w:type="page"/>
      </w:r>
      <w:bookmarkStart w:id="248" w:name="_Toc31016"/>
      <w:bookmarkStart w:id="249" w:name="_Toc20055"/>
      <w:bookmarkStart w:id="250" w:name="_Toc30883"/>
      <w:bookmarkStart w:id="251" w:name="_Toc27107"/>
      <w:bookmarkStart w:id="252" w:name="_Toc26183"/>
      <w:r>
        <w:rPr>
          <w:rFonts w:hint="eastAsia" w:ascii="宋体" w:hAnsi="宋体" w:cs="宋体"/>
          <w:b/>
          <w:bCs/>
          <w:sz w:val="24"/>
          <w:szCs w:val="22"/>
          <w:lang w:val="zh-CN"/>
        </w:rPr>
        <w:t>附件</w:t>
      </w:r>
      <w:r>
        <w:rPr>
          <w:rFonts w:hint="eastAsia" w:ascii="宋体" w:hAnsi="宋体" w:cs="宋体"/>
          <w:b/>
          <w:bCs/>
          <w:sz w:val="24"/>
          <w:szCs w:val="22"/>
        </w:rPr>
        <w:t>七</w:t>
      </w:r>
      <w:r>
        <w:rPr>
          <w:rFonts w:hint="eastAsia" w:ascii="宋体" w:hAnsi="宋体" w:cs="宋体"/>
          <w:b/>
          <w:bCs/>
          <w:sz w:val="24"/>
          <w:szCs w:val="22"/>
          <w:lang w:val="zh-CN"/>
        </w:rPr>
        <w:t>：</w:t>
      </w:r>
      <w:bookmarkEnd w:id="248"/>
      <w:bookmarkEnd w:id="249"/>
      <w:bookmarkEnd w:id="250"/>
      <w:bookmarkEnd w:id="251"/>
      <w:bookmarkEnd w:id="252"/>
      <w:r>
        <w:rPr>
          <w:rFonts w:hint="eastAsia" w:cs="Courier New"/>
          <w:b/>
          <w:sz w:val="24"/>
        </w:rPr>
        <w:t>其他与评审评分有关的资料或投标人认为可提供的资料</w:t>
      </w:r>
    </w:p>
    <w:p>
      <w:pPr>
        <w:spacing w:line="360" w:lineRule="auto"/>
        <w:rPr>
          <w:rFonts w:cs="Courier New"/>
          <w:b/>
          <w:sz w:val="24"/>
        </w:rPr>
      </w:pPr>
    </w:p>
    <w:p>
      <w:pPr>
        <w:widowControl/>
        <w:spacing w:line="360" w:lineRule="auto"/>
        <w:ind w:left="54" w:right="54" w:firstLine="540"/>
        <w:jc w:val="left"/>
        <w:rPr>
          <w:b/>
          <w:sz w:val="24"/>
        </w:rPr>
      </w:pPr>
      <w:r>
        <w:rPr>
          <w:rFonts w:hint="eastAsia"/>
          <w:b/>
          <w:sz w:val="24"/>
        </w:rPr>
        <w:t>包括但不限于以下几大部分，投标人应对照评分细则，对各部分进行详细阐述，可以是文字、图表、相关文件和证书等：</w:t>
      </w:r>
    </w:p>
    <w:p>
      <w:pPr>
        <w:adjustRightIn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7.1 银行自收的各项服务费用全免承诺；</w:t>
      </w:r>
    </w:p>
    <w:p>
      <w:pPr>
        <w:adjustRightIn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7.2 储户风险保障方案；</w:t>
      </w:r>
    </w:p>
    <w:p>
      <w:pPr>
        <w:adjustRightIn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7.3 2021-2023年人民银行对投标银行支付结算业务管理综合评级等次评定结果；</w:t>
      </w:r>
    </w:p>
    <w:p>
      <w:pPr>
        <w:adjustRightIn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7.4 投标银行针对本项目的服务方案；</w:t>
      </w:r>
    </w:p>
    <w:p>
      <w:pPr>
        <w:adjustRightIn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7.5 投标银行针对本项目，能够为采购单位提供日常具体上门服务方案、定期对账服务方案、地理位置的便捷性、办理柜面业务提供专人专柜服务及其他实质性优惠承诺等情况；</w:t>
      </w:r>
    </w:p>
    <w:p>
      <w:pPr>
        <w:adjustRightIn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7.6 除日常服务以外与医院业务相关的特色服务内容及优惠条件；</w:t>
      </w:r>
    </w:p>
    <w:p>
      <w:pPr>
        <w:adjustRightIn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7.7 其他（相关的服务支持和承诺、配备服务团队情况，以及投标人认为需要提供的资料）。</w:t>
      </w: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adjustRightInd w:val="0"/>
        <w:spacing w:line="360" w:lineRule="auto"/>
        <w:rPr>
          <w:rFonts w:ascii="宋体" w:hAnsi="宋体" w:cs="宋体"/>
          <w:b/>
          <w:bCs/>
          <w:snapToGrid w:val="0"/>
          <w:kern w:val="0"/>
          <w:sz w:val="24"/>
        </w:rPr>
      </w:pPr>
    </w:p>
    <w:p>
      <w:pPr>
        <w:spacing w:line="360" w:lineRule="auto"/>
        <w:rPr>
          <w:rFonts w:ascii="宋体" w:hAnsi="宋体" w:cs="宋体"/>
          <w:b/>
          <w:sz w:val="24"/>
          <w:szCs w:val="24"/>
        </w:rPr>
      </w:pPr>
    </w:p>
    <w:sectPr>
      <w:pgSz w:w="11906" w:h="16838"/>
      <w:pgMar w:top="1134" w:right="1134" w:bottom="1134" w:left="1417" w:header="567"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繁隶书">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059C8"/>
    <w:multiLevelType w:val="singleLevel"/>
    <w:tmpl w:val="C4A059C8"/>
    <w:lvl w:ilvl="0" w:tentative="0">
      <w:start w:val="2"/>
      <w:numFmt w:val="decimal"/>
      <w:lvlText w:val="%1."/>
      <w:lvlJc w:val="left"/>
      <w:pPr>
        <w:tabs>
          <w:tab w:val="left" w:pos="312"/>
        </w:tabs>
      </w:pPr>
    </w:lvl>
  </w:abstractNum>
  <w:abstractNum w:abstractNumId="1">
    <w:nsid w:val="0000000B"/>
    <w:multiLevelType w:val="multilevel"/>
    <w:tmpl w:val="0000000B"/>
    <w:lvl w:ilvl="0" w:tentative="0">
      <w:start w:val="1"/>
      <w:numFmt w:val="decimal"/>
      <w:pStyle w:val="121"/>
      <w:suff w:val="nothing"/>
      <w:lvlText w:val="表%1　"/>
      <w:lvlJc w:val="left"/>
      <w:pPr>
        <w:ind w:left="3240" w:firstLine="0"/>
      </w:pPr>
      <w:rPr>
        <w:rFonts w:hint="eastAsia" w:ascii="黑体" w:hAnsi="Times New Roman" w:eastAsia="黑体"/>
        <w:b w:val="0"/>
        <w:i w:val="0"/>
        <w:sz w:val="21"/>
        <w:lang w:val="en-US"/>
      </w:rPr>
    </w:lvl>
    <w:lvl w:ilvl="1" w:tentative="0">
      <w:start w:val="1"/>
      <w:numFmt w:val="decimal"/>
      <w:lvlText w:val="%1.%2"/>
      <w:lvlJc w:val="left"/>
      <w:pPr>
        <w:tabs>
          <w:tab w:val="left" w:pos="872"/>
        </w:tabs>
        <w:ind w:left="872" w:hanging="567"/>
      </w:pPr>
      <w:rPr>
        <w:rFonts w:hint="eastAsia"/>
      </w:rPr>
    </w:lvl>
    <w:lvl w:ilvl="2" w:tentative="0">
      <w:start w:val="1"/>
      <w:numFmt w:val="decimal"/>
      <w:lvlText w:val="%1.%2.%3"/>
      <w:lvlJc w:val="left"/>
      <w:pPr>
        <w:tabs>
          <w:tab w:val="left" w:pos="1298"/>
        </w:tabs>
        <w:ind w:left="1298" w:hanging="567"/>
      </w:pPr>
      <w:rPr>
        <w:rFonts w:hint="eastAsia"/>
      </w:rPr>
    </w:lvl>
    <w:lvl w:ilvl="3" w:tentative="0">
      <w:start w:val="1"/>
      <w:numFmt w:val="decimal"/>
      <w:lvlText w:val="%1.%2.%3.%4"/>
      <w:lvlJc w:val="left"/>
      <w:pPr>
        <w:tabs>
          <w:tab w:val="left" w:pos="1864"/>
        </w:tabs>
        <w:ind w:left="1864" w:hanging="708"/>
      </w:pPr>
      <w:rPr>
        <w:rFonts w:hint="eastAsia"/>
      </w:rPr>
    </w:lvl>
    <w:lvl w:ilvl="4" w:tentative="0">
      <w:start w:val="1"/>
      <w:numFmt w:val="decimal"/>
      <w:lvlText w:val="%1.%2.%3.%4.%5"/>
      <w:lvlJc w:val="left"/>
      <w:pPr>
        <w:tabs>
          <w:tab w:val="left" w:pos="2431"/>
        </w:tabs>
        <w:ind w:left="2431" w:hanging="850"/>
      </w:pPr>
      <w:rPr>
        <w:rFonts w:hint="eastAsia"/>
      </w:rPr>
    </w:lvl>
    <w:lvl w:ilvl="5" w:tentative="0">
      <w:start w:val="1"/>
      <w:numFmt w:val="decimal"/>
      <w:lvlText w:val="%1.%2.%3.%4.%5.%6"/>
      <w:lvlJc w:val="left"/>
      <w:pPr>
        <w:tabs>
          <w:tab w:val="left" w:pos="3140"/>
        </w:tabs>
        <w:ind w:left="3140" w:hanging="1134"/>
      </w:pPr>
      <w:rPr>
        <w:rFonts w:hint="eastAsia"/>
      </w:rPr>
    </w:lvl>
    <w:lvl w:ilvl="6" w:tentative="0">
      <w:start w:val="1"/>
      <w:numFmt w:val="decimal"/>
      <w:lvlText w:val="%1.%2.%3.%4.%5.%6.%7"/>
      <w:lvlJc w:val="left"/>
      <w:pPr>
        <w:tabs>
          <w:tab w:val="left" w:pos="3707"/>
        </w:tabs>
        <w:ind w:left="3707" w:hanging="1276"/>
      </w:pPr>
      <w:rPr>
        <w:rFonts w:hint="eastAsia"/>
      </w:rPr>
    </w:lvl>
    <w:lvl w:ilvl="7" w:tentative="0">
      <w:start w:val="1"/>
      <w:numFmt w:val="decimal"/>
      <w:lvlText w:val="%1.%2.%3.%4.%5.%6.%7.%8"/>
      <w:lvlJc w:val="left"/>
      <w:pPr>
        <w:tabs>
          <w:tab w:val="left" w:pos="4274"/>
        </w:tabs>
        <w:ind w:left="4274" w:hanging="1418"/>
      </w:pPr>
      <w:rPr>
        <w:rFonts w:hint="eastAsia"/>
      </w:rPr>
    </w:lvl>
    <w:lvl w:ilvl="8" w:tentative="0">
      <w:start w:val="1"/>
      <w:numFmt w:val="decimal"/>
      <w:lvlText w:val="%1.%2.%3.%4.%5.%6.%7.%8.%9"/>
      <w:lvlJc w:val="left"/>
      <w:pPr>
        <w:tabs>
          <w:tab w:val="left" w:pos="4982"/>
        </w:tabs>
        <w:ind w:left="4982" w:hanging="1700"/>
      </w:pPr>
      <w:rPr>
        <w:rFonts w:hint="eastAsia"/>
      </w:rPr>
    </w:lvl>
  </w:abstractNum>
  <w:abstractNum w:abstractNumId="2">
    <w:nsid w:val="0000000C"/>
    <w:multiLevelType w:val="singleLevel"/>
    <w:tmpl w:val="0000000C"/>
    <w:lvl w:ilvl="0" w:tentative="0">
      <w:start w:val="3"/>
      <w:numFmt w:val="chineseCounting"/>
      <w:pStyle w:val="147"/>
      <w:suff w:val="nothing"/>
      <w:lvlText w:val="%1、"/>
      <w:lvlJc w:val="left"/>
    </w:lvl>
  </w:abstractNum>
  <w:abstractNum w:abstractNumId="3">
    <w:nsid w:val="0000000D"/>
    <w:multiLevelType w:val="multilevel"/>
    <w:tmpl w:val="0000000D"/>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E"/>
    <w:multiLevelType w:val="singleLevel"/>
    <w:tmpl w:val="0000000E"/>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5">
    <w:nsid w:val="0000000F"/>
    <w:multiLevelType w:val="multilevel"/>
    <w:tmpl w:val="0000000F"/>
    <w:lvl w:ilvl="0" w:tentative="0">
      <w:start w:val="1"/>
      <w:numFmt w:val="decimal"/>
      <w:pStyle w:val="145"/>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10"/>
    <w:multiLevelType w:val="multilevel"/>
    <w:tmpl w:val="00000010"/>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11"/>
    <w:multiLevelType w:val="multilevel"/>
    <w:tmpl w:val="00000011"/>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pStyle w:val="101"/>
      <w:suff w:val="nothing"/>
      <w:lvlText w:val="%1%2　"/>
      <w:lvlJc w:val="left"/>
      <w:pPr>
        <w:ind w:left="0" w:firstLine="0"/>
      </w:pPr>
      <w:rPr>
        <w:rFonts w:hint="eastAsia" w:ascii="黑体" w:hAnsi="Times New Roman" w:eastAsia="黑体"/>
        <w:b w:val="0"/>
        <w:i w:val="0"/>
        <w:sz w:val="21"/>
      </w:rPr>
    </w:lvl>
    <w:lvl w:ilvl="2" w:tentative="0">
      <w:start w:val="1"/>
      <w:numFmt w:val="decimal"/>
      <w:pStyle w:val="100"/>
      <w:suff w:val="nothing"/>
      <w:lvlText w:val="%1%2.%3　"/>
      <w:lvlJc w:val="left"/>
      <w:pPr>
        <w:ind w:left="525" w:firstLine="0"/>
      </w:pPr>
      <w:rPr>
        <w:rFonts w:hint="eastAsia" w:ascii="黑体" w:hAnsi="Times New Roman" w:eastAsia="黑体"/>
        <w:b w:val="0"/>
        <w:i w:val="0"/>
        <w:sz w:val="21"/>
      </w:rPr>
    </w:lvl>
    <w:lvl w:ilvl="3" w:tentative="0">
      <w:start w:val="1"/>
      <w:numFmt w:val="decimal"/>
      <w:pStyle w:val="99"/>
      <w:suff w:val="nothing"/>
      <w:lvlText w:val="%1%2.%3.%4　"/>
      <w:lvlJc w:val="left"/>
      <w:pPr>
        <w:ind w:left="18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3"/>
    <w:multiLevelType w:val="multilevel"/>
    <w:tmpl w:val="00000013"/>
    <w:lvl w:ilvl="0" w:tentative="0">
      <w:start w:val="1"/>
      <w:numFmt w:val="decimal"/>
      <w:pStyle w:val="109"/>
      <w:lvlText w:val="%1."/>
      <w:lvlJc w:val="left"/>
      <w:pPr>
        <w:tabs>
          <w:tab w:val="left" w:pos="425"/>
        </w:tabs>
        <w:ind w:left="425" w:hanging="425"/>
      </w:pPr>
    </w:lvl>
    <w:lvl w:ilvl="1" w:tentative="0">
      <w:start w:val="1"/>
      <w:numFmt w:val="decimal"/>
      <w:pStyle w:val="127"/>
      <w:lvlText w:val="%1.%2."/>
      <w:lvlJc w:val="left"/>
      <w:pPr>
        <w:tabs>
          <w:tab w:val="left" w:pos="567"/>
        </w:tabs>
        <w:ind w:left="567" w:hanging="567"/>
      </w:pPr>
    </w:lvl>
    <w:lvl w:ilvl="2" w:tentative="0">
      <w:start w:val="1"/>
      <w:numFmt w:val="decimal"/>
      <w:pStyle w:val="115"/>
      <w:lvlText w:val="%1.%2.%3."/>
      <w:lvlJc w:val="left"/>
      <w:pPr>
        <w:tabs>
          <w:tab w:val="left" w:pos="709"/>
        </w:tabs>
        <w:ind w:left="709" w:hanging="709"/>
      </w:pPr>
    </w:lvl>
    <w:lvl w:ilvl="3" w:tentative="0">
      <w:start w:val="1"/>
      <w:numFmt w:val="decimal"/>
      <w:pStyle w:val="177"/>
      <w:lvlText w:val="%1.%2.%3.%4."/>
      <w:lvlJc w:val="left"/>
      <w:pPr>
        <w:tabs>
          <w:tab w:val="left" w:pos="851"/>
        </w:tabs>
        <w:ind w:left="851" w:hanging="851"/>
      </w:pPr>
    </w:lvl>
    <w:lvl w:ilvl="4" w:tentative="0">
      <w:start w:val="1"/>
      <w:numFmt w:val="decimal"/>
      <w:pStyle w:val="172"/>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14"/>
    <w:multiLevelType w:val="multilevel"/>
    <w:tmpl w:val="00000014"/>
    <w:lvl w:ilvl="0" w:tentative="0">
      <w:start w:val="1"/>
      <w:numFmt w:val="decimal"/>
      <w:pStyle w:val="159"/>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509C8583"/>
    <w:multiLevelType w:val="singleLevel"/>
    <w:tmpl w:val="509C8583"/>
    <w:lvl w:ilvl="0" w:tentative="0">
      <w:start w:val="1"/>
      <w:numFmt w:val="chineseCounting"/>
      <w:suff w:val="nothing"/>
      <w:lvlText w:val="（%1）"/>
      <w:lvlJc w:val="left"/>
      <w:rPr>
        <w:rFonts w:hint="eastAsia"/>
      </w:rPr>
    </w:lvl>
  </w:abstractNum>
  <w:abstractNum w:abstractNumId="11">
    <w:nsid w:val="623B6A10"/>
    <w:multiLevelType w:val="singleLevel"/>
    <w:tmpl w:val="623B6A10"/>
    <w:lvl w:ilvl="0" w:tentative="0">
      <w:start w:val="1"/>
      <w:numFmt w:val="chineseCounting"/>
      <w:suff w:val="nothing"/>
      <w:lvlText w:val="%1、"/>
      <w:lvlJc w:val="left"/>
      <w:rPr>
        <w:rFonts w:hint="eastAsia"/>
      </w:rPr>
    </w:lvl>
  </w:abstractNum>
  <w:abstractNum w:abstractNumId="12">
    <w:nsid w:val="7FB04207"/>
    <w:multiLevelType w:val="singleLevel"/>
    <w:tmpl w:val="7FB04207"/>
    <w:lvl w:ilvl="0" w:tentative="0">
      <w:start w:val="2"/>
      <w:numFmt w:val="chineseCounting"/>
      <w:suff w:val="nothing"/>
      <w:lvlText w:val="（%1）"/>
      <w:lvlJc w:val="left"/>
      <w:rPr>
        <w:rFonts w:hint="eastAsia"/>
      </w:r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5"/>
  </w:num>
  <w:num w:numId="8">
    <w:abstractNumId w:val="2"/>
  </w:num>
  <w:num w:numId="9">
    <w:abstractNumId w:val="9"/>
  </w:num>
  <w:num w:numId="10">
    <w:abstractNumId w:val="10"/>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MzZjMWYzNzM1NDg3OTFhNGJlM2RjYzFjMzcyMjQifQ=="/>
  </w:docVars>
  <w:rsids>
    <w:rsidRoot w:val="00172A27"/>
    <w:rsid w:val="00004522"/>
    <w:rsid w:val="00014551"/>
    <w:rsid w:val="00015974"/>
    <w:rsid w:val="000165A1"/>
    <w:rsid w:val="000246B7"/>
    <w:rsid w:val="0002775C"/>
    <w:rsid w:val="00040C5B"/>
    <w:rsid w:val="00047021"/>
    <w:rsid w:val="000512B6"/>
    <w:rsid w:val="0005649A"/>
    <w:rsid w:val="000600AC"/>
    <w:rsid w:val="00070024"/>
    <w:rsid w:val="0007362A"/>
    <w:rsid w:val="00075690"/>
    <w:rsid w:val="000810B1"/>
    <w:rsid w:val="000820D7"/>
    <w:rsid w:val="0008377C"/>
    <w:rsid w:val="00083A0A"/>
    <w:rsid w:val="000845EE"/>
    <w:rsid w:val="000A33AE"/>
    <w:rsid w:val="000A46BD"/>
    <w:rsid w:val="000A594D"/>
    <w:rsid w:val="000B3EC1"/>
    <w:rsid w:val="000B635D"/>
    <w:rsid w:val="000C1E42"/>
    <w:rsid w:val="000C410F"/>
    <w:rsid w:val="000C41AD"/>
    <w:rsid w:val="000C612A"/>
    <w:rsid w:val="000D12C5"/>
    <w:rsid w:val="000D2594"/>
    <w:rsid w:val="000D4B44"/>
    <w:rsid w:val="000D65DA"/>
    <w:rsid w:val="000E13AC"/>
    <w:rsid w:val="000E4175"/>
    <w:rsid w:val="000E5A15"/>
    <w:rsid w:val="000E6225"/>
    <w:rsid w:val="000F4CE3"/>
    <w:rsid w:val="000F7FFD"/>
    <w:rsid w:val="00114563"/>
    <w:rsid w:val="001219C9"/>
    <w:rsid w:val="00122AAF"/>
    <w:rsid w:val="00125F96"/>
    <w:rsid w:val="00131880"/>
    <w:rsid w:val="00131BDE"/>
    <w:rsid w:val="00142EA9"/>
    <w:rsid w:val="00142F95"/>
    <w:rsid w:val="001545CC"/>
    <w:rsid w:val="001573E4"/>
    <w:rsid w:val="00172A27"/>
    <w:rsid w:val="0018116A"/>
    <w:rsid w:val="001A5B94"/>
    <w:rsid w:val="001B398E"/>
    <w:rsid w:val="001C6013"/>
    <w:rsid w:val="001D24AD"/>
    <w:rsid w:val="001D27CB"/>
    <w:rsid w:val="001D7E9A"/>
    <w:rsid w:val="001E2F92"/>
    <w:rsid w:val="001E7613"/>
    <w:rsid w:val="001F395F"/>
    <w:rsid w:val="001F4FB4"/>
    <w:rsid w:val="001F5CA6"/>
    <w:rsid w:val="002007E9"/>
    <w:rsid w:val="00200FF5"/>
    <w:rsid w:val="00204274"/>
    <w:rsid w:val="002043EE"/>
    <w:rsid w:val="0020633B"/>
    <w:rsid w:val="00206420"/>
    <w:rsid w:val="0021541B"/>
    <w:rsid w:val="00216611"/>
    <w:rsid w:val="002175BE"/>
    <w:rsid w:val="00220A42"/>
    <w:rsid w:val="00232A56"/>
    <w:rsid w:val="002359C7"/>
    <w:rsid w:val="00240A6B"/>
    <w:rsid w:val="00240F62"/>
    <w:rsid w:val="00244F09"/>
    <w:rsid w:val="00245054"/>
    <w:rsid w:val="00250BD1"/>
    <w:rsid w:val="00250DC6"/>
    <w:rsid w:val="00263570"/>
    <w:rsid w:val="002702AA"/>
    <w:rsid w:val="00272522"/>
    <w:rsid w:val="002739DB"/>
    <w:rsid w:val="00275F9D"/>
    <w:rsid w:val="0028076B"/>
    <w:rsid w:val="002902BC"/>
    <w:rsid w:val="00291824"/>
    <w:rsid w:val="00296D6D"/>
    <w:rsid w:val="002A20B3"/>
    <w:rsid w:val="002A4EC4"/>
    <w:rsid w:val="002B0A7F"/>
    <w:rsid w:val="002B1996"/>
    <w:rsid w:val="002B5ACA"/>
    <w:rsid w:val="002D0804"/>
    <w:rsid w:val="002E6584"/>
    <w:rsid w:val="002F2512"/>
    <w:rsid w:val="002F5F18"/>
    <w:rsid w:val="002F7EE8"/>
    <w:rsid w:val="00301F93"/>
    <w:rsid w:val="00307110"/>
    <w:rsid w:val="00310ABC"/>
    <w:rsid w:val="003139DB"/>
    <w:rsid w:val="003155AB"/>
    <w:rsid w:val="00316B51"/>
    <w:rsid w:val="00317879"/>
    <w:rsid w:val="00320B03"/>
    <w:rsid w:val="00321B07"/>
    <w:rsid w:val="00327623"/>
    <w:rsid w:val="00327EEF"/>
    <w:rsid w:val="00331392"/>
    <w:rsid w:val="00332A16"/>
    <w:rsid w:val="003346CD"/>
    <w:rsid w:val="0033765F"/>
    <w:rsid w:val="00345D2C"/>
    <w:rsid w:val="00353554"/>
    <w:rsid w:val="00355FC5"/>
    <w:rsid w:val="00360F39"/>
    <w:rsid w:val="00362C52"/>
    <w:rsid w:val="0036748A"/>
    <w:rsid w:val="00367984"/>
    <w:rsid w:val="00370752"/>
    <w:rsid w:val="00371B37"/>
    <w:rsid w:val="00375D2D"/>
    <w:rsid w:val="0037781C"/>
    <w:rsid w:val="00381AB5"/>
    <w:rsid w:val="003916B0"/>
    <w:rsid w:val="00393693"/>
    <w:rsid w:val="00394A46"/>
    <w:rsid w:val="003973E0"/>
    <w:rsid w:val="003C022A"/>
    <w:rsid w:val="003C6B38"/>
    <w:rsid w:val="003C7E8C"/>
    <w:rsid w:val="003D3FA1"/>
    <w:rsid w:val="003D686B"/>
    <w:rsid w:val="003E0DA5"/>
    <w:rsid w:val="003E25D5"/>
    <w:rsid w:val="003F248F"/>
    <w:rsid w:val="003F63FD"/>
    <w:rsid w:val="0040440C"/>
    <w:rsid w:val="00404D15"/>
    <w:rsid w:val="004055E3"/>
    <w:rsid w:val="00405DB0"/>
    <w:rsid w:val="00414267"/>
    <w:rsid w:val="00414D52"/>
    <w:rsid w:val="00414F84"/>
    <w:rsid w:val="0041753D"/>
    <w:rsid w:val="0042649C"/>
    <w:rsid w:val="0042650E"/>
    <w:rsid w:val="00430FC2"/>
    <w:rsid w:val="00431DDB"/>
    <w:rsid w:val="004448F5"/>
    <w:rsid w:val="004506A9"/>
    <w:rsid w:val="00456B54"/>
    <w:rsid w:val="00462C56"/>
    <w:rsid w:val="00465D3B"/>
    <w:rsid w:val="004844CD"/>
    <w:rsid w:val="00490A66"/>
    <w:rsid w:val="00491AB3"/>
    <w:rsid w:val="00492668"/>
    <w:rsid w:val="00494F47"/>
    <w:rsid w:val="00494FA3"/>
    <w:rsid w:val="004A0249"/>
    <w:rsid w:val="004A3DD5"/>
    <w:rsid w:val="004A6C9B"/>
    <w:rsid w:val="004A7115"/>
    <w:rsid w:val="004A7468"/>
    <w:rsid w:val="004B6645"/>
    <w:rsid w:val="004B72B7"/>
    <w:rsid w:val="004C185B"/>
    <w:rsid w:val="004C72DB"/>
    <w:rsid w:val="004D0784"/>
    <w:rsid w:val="004D0B12"/>
    <w:rsid w:val="004D1C81"/>
    <w:rsid w:val="004E2765"/>
    <w:rsid w:val="004E4734"/>
    <w:rsid w:val="004E65BE"/>
    <w:rsid w:val="004F14EA"/>
    <w:rsid w:val="004F36F5"/>
    <w:rsid w:val="00503D04"/>
    <w:rsid w:val="005045ED"/>
    <w:rsid w:val="00505FC9"/>
    <w:rsid w:val="005136CA"/>
    <w:rsid w:val="00514669"/>
    <w:rsid w:val="005146F5"/>
    <w:rsid w:val="005162B4"/>
    <w:rsid w:val="00521742"/>
    <w:rsid w:val="00524429"/>
    <w:rsid w:val="00531EC1"/>
    <w:rsid w:val="0053488E"/>
    <w:rsid w:val="00543B44"/>
    <w:rsid w:val="00556491"/>
    <w:rsid w:val="00557982"/>
    <w:rsid w:val="00566267"/>
    <w:rsid w:val="00570084"/>
    <w:rsid w:val="0057272E"/>
    <w:rsid w:val="00576A23"/>
    <w:rsid w:val="00580B3B"/>
    <w:rsid w:val="00596E63"/>
    <w:rsid w:val="005977C0"/>
    <w:rsid w:val="005B138F"/>
    <w:rsid w:val="005B49DE"/>
    <w:rsid w:val="005C3ED8"/>
    <w:rsid w:val="005C460C"/>
    <w:rsid w:val="005C4D3F"/>
    <w:rsid w:val="005C64CB"/>
    <w:rsid w:val="005D088F"/>
    <w:rsid w:val="005D3171"/>
    <w:rsid w:val="005D6B51"/>
    <w:rsid w:val="005E52D0"/>
    <w:rsid w:val="005E56C6"/>
    <w:rsid w:val="005E655E"/>
    <w:rsid w:val="005E6B8F"/>
    <w:rsid w:val="005F14FA"/>
    <w:rsid w:val="005F2D3C"/>
    <w:rsid w:val="005F7FFA"/>
    <w:rsid w:val="00600329"/>
    <w:rsid w:val="00601940"/>
    <w:rsid w:val="00611FAB"/>
    <w:rsid w:val="006130FC"/>
    <w:rsid w:val="00614E0F"/>
    <w:rsid w:val="00617B34"/>
    <w:rsid w:val="00630537"/>
    <w:rsid w:val="00636592"/>
    <w:rsid w:val="00643D92"/>
    <w:rsid w:val="00645DF0"/>
    <w:rsid w:val="006466F2"/>
    <w:rsid w:val="00651AF6"/>
    <w:rsid w:val="006535C5"/>
    <w:rsid w:val="0065616F"/>
    <w:rsid w:val="006561EF"/>
    <w:rsid w:val="0066029F"/>
    <w:rsid w:val="00674C75"/>
    <w:rsid w:val="00677970"/>
    <w:rsid w:val="00692E3A"/>
    <w:rsid w:val="006A0C7E"/>
    <w:rsid w:val="006A34A8"/>
    <w:rsid w:val="006A35F1"/>
    <w:rsid w:val="006A6A6E"/>
    <w:rsid w:val="006B6405"/>
    <w:rsid w:val="006B6FBE"/>
    <w:rsid w:val="006C5A8E"/>
    <w:rsid w:val="006D002F"/>
    <w:rsid w:val="006D0925"/>
    <w:rsid w:val="006D3B7A"/>
    <w:rsid w:val="006E280C"/>
    <w:rsid w:val="006E4F57"/>
    <w:rsid w:val="006F3E12"/>
    <w:rsid w:val="006F78D2"/>
    <w:rsid w:val="007055AE"/>
    <w:rsid w:val="00705799"/>
    <w:rsid w:val="007122CD"/>
    <w:rsid w:val="00735055"/>
    <w:rsid w:val="00742B20"/>
    <w:rsid w:val="007440C3"/>
    <w:rsid w:val="007503B9"/>
    <w:rsid w:val="007559D1"/>
    <w:rsid w:val="00756EAF"/>
    <w:rsid w:val="00762367"/>
    <w:rsid w:val="0076406C"/>
    <w:rsid w:val="007662CD"/>
    <w:rsid w:val="00770463"/>
    <w:rsid w:val="00781DD3"/>
    <w:rsid w:val="00782FE7"/>
    <w:rsid w:val="00783C7D"/>
    <w:rsid w:val="0079409E"/>
    <w:rsid w:val="00795E04"/>
    <w:rsid w:val="00796B96"/>
    <w:rsid w:val="00797B8A"/>
    <w:rsid w:val="007A16C6"/>
    <w:rsid w:val="007A6BB5"/>
    <w:rsid w:val="007B515A"/>
    <w:rsid w:val="007C7BAA"/>
    <w:rsid w:val="007D2BE1"/>
    <w:rsid w:val="007E0FB2"/>
    <w:rsid w:val="007E4DFC"/>
    <w:rsid w:val="007E5A22"/>
    <w:rsid w:val="007F3E05"/>
    <w:rsid w:val="0080628C"/>
    <w:rsid w:val="00807668"/>
    <w:rsid w:val="00810385"/>
    <w:rsid w:val="00811A5C"/>
    <w:rsid w:val="00813595"/>
    <w:rsid w:val="00820519"/>
    <w:rsid w:val="00821064"/>
    <w:rsid w:val="00823450"/>
    <w:rsid w:val="00834556"/>
    <w:rsid w:val="008353FD"/>
    <w:rsid w:val="00837FE8"/>
    <w:rsid w:val="00841579"/>
    <w:rsid w:val="00847261"/>
    <w:rsid w:val="00847C7B"/>
    <w:rsid w:val="00853396"/>
    <w:rsid w:val="008547C4"/>
    <w:rsid w:val="0085565A"/>
    <w:rsid w:val="00855CCD"/>
    <w:rsid w:val="00856107"/>
    <w:rsid w:val="008575F8"/>
    <w:rsid w:val="00865558"/>
    <w:rsid w:val="008661FA"/>
    <w:rsid w:val="00871AE1"/>
    <w:rsid w:val="00873747"/>
    <w:rsid w:val="00876FB7"/>
    <w:rsid w:val="00880675"/>
    <w:rsid w:val="008807F9"/>
    <w:rsid w:val="0088107C"/>
    <w:rsid w:val="00881367"/>
    <w:rsid w:val="00886FDB"/>
    <w:rsid w:val="008A07C7"/>
    <w:rsid w:val="008A243D"/>
    <w:rsid w:val="008A6CD7"/>
    <w:rsid w:val="008B0170"/>
    <w:rsid w:val="008B62F2"/>
    <w:rsid w:val="008B7BBE"/>
    <w:rsid w:val="008C29C6"/>
    <w:rsid w:val="008D3FD6"/>
    <w:rsid w:val="008E2689"/>
    <w:rsid w:val="008E30A6"/>
    <w:rsid w:val="008F29A1"/>
    <w:rsid w:val="009066AC"/>
    <w:rsid w:val="00907969"/>
    <w:rsid w:val="009100BC"/>
    <w:rsid w:val="00911833"/>
    <w:rsid w:val="00911EC5"/>
    <w:rsid w:val="00912BDE"/>
    <w:rsid w:val="00917FF6"/>
    <w:rsid w:val="00927F4D"/>
    <w:rsid w:val="00931B7A"/>
    <w:rsid w:val="00932596"/>
    <w:rsid w:val="00933FE9"/>
    <w:rsid w:val="00942D61"/>
    <w:rsid w:val="00944292"/>
    <w:rsid w:val="00945F8C"/>
    <w:rsid w:val="00946417"/>
    <w:rsid w:val="009576DF"/>
    <w:rsid w:val="00962641"/>
    <w:rsid w:val="00972CF3"/>
    <w:rsid w:val="00973448"/>
    <w:rsid w:val="009753C6"/>
    <w:rsid w:val="00977C3B"/>
    <w:rsid w:val="0099524F"/>
    <w:rsid w:val="009975FB"/>
    <w:rsid w:val="00997E36"/>
    <w:rsid w:val="009A0D6F"/>
    <w:rsid w:val="009A2D7D"/>
    <w:rsid w:val="009C209D"/>
    <w:rsid w:val="009C3165"/>
    <w:rsid w:val="009C70A3"/>
    <w:rsid w:val="009D3681"/>
    <w:rsid w:val="009D4635"/>
    <w:rsid w:val="009E144A"/>
    <w:rsid w:val="009F2E2C"/>
    <w:rsid w:val="009F5505"/>
    <w:rsid w:val="009F5A85"/>
    <w:rsid w:val="009F61E1"/>
    <w:rsid w:val="00A00375"/>
    <w:rsid w:val="00A05BBB"/>
    <w:rsid w:val="00A06FEC"/>
    <w:rsid w:val="00A07FD2"/>
    <w:rsid w:val="00A1113C"/>
    <w:rsid w:val="00A13E69"/>
    <w:rsid w:val="00A23BDA"/>
    <w:rsid w:val="00A26F59"/>
    <w:rsid w:val="00A30629"/>
    <w:rsid w:val="00A31FDA"/>
    <w:rsid w:val="00A35AFB"/>
    <w:rsid w:val="00A37735"/>
    <w:rsid w:val="00A53E10"/>
    <w:rsid w:val="00A623CD"/>
    <w:rsid w:val="00A70549"/>
    <w:rsid w:val="00A730C8"/>
    <w:rsid w:val="00A73D5A"/>
    <w:rsid w:val="00A77174"/>
    <w:rsid w:val="00A77176"/>
    <w:rsid w:val="00A774D4"/>
    <w:rsid w:val="00A814F5"/>
    <w:rsid w:val="00A81FA6"/>
    <w:rsid w:val="00A8621D"/>
    <w:rsid w:val="00A8637A"/>
    <w:rsid w:val="00A90BF0"/>
    <w:rsid w:val="00AB3292"/>
    <w:rsid w:val="00AB52C2"/>
    <w:rsid w:val="00AB553A"/>
    <w:rsid w:val="00AB65F4"/>
    <w:rsid w:val="00AB6CBC"/>
    <w:rsid w:val="00AB73F7"/>
    <w:rsid w:val="00AC004F"/>
    <w:rsid w:val="00AC2B08"/>
    <w:rsid w:val="00AC42E6"/>
    <w:rsid w:val="00AC60EA"/>
    <w:rsid w:val="00AC62AF"/>
    <w:rsid w:val="00AC7527"/>
    <w:rsid w:val="00AD676A"/>
    <w:rsid w:val="00AD6972"/>
    <w:rsid w:val="00AD7EAF"/>
    <w:rsid w:val="00AE61CF"/>
    <w:rsid w:val="00AE71A8"/>
    <w:rsid w:val="00AE79DA"/>
    <w:rsid w:val="00AF0754"/>
    <w:rsid w:val="00AF407A"/>
    <w:rsid w:val="00AF543C"/>
    <w:rsid w:val="00AF5BEB"/>
    <w:rsid w:val="00AF6C3D"/>
    <w:rsid w:val="00B02B04"/>
    <w:rsid w:val="00B03596"/>
    <w:rsid w:val="00B03A0B"/>
    <w:rsid w:val="00B05519"/>
    <w:rsid w:val="00B067BC"/>
    <w:rsid w:val="00B06C64"/>
    <w:rsid w:val="00B10126"/>
    <w:rsid w:val="00B167C0"/>
    <w:rsid w:val="00B21412"/>
    <w:rsid w:val="00B27C83"/>
    <w:rsid w:val="00B3457E"/>
    <w:rsid w:val="00B3495E"/>
    <w:rsid w:val="00B35B38"/>
    <w:rsid w:val="00B35BAD"/>
    <w:rsid w:val="00B40BAD"/>
    <w:rsid w:val="00B40E88"/>
    <w:rsid w:val="00B57795"/>
    <w:rsid w:val="00B60334"/>
    <w:rsid w:val="00B708F5"/>
    <w:rsid w:val="00B72661"/>
    <w:rsid w:val="00B73D9D"/>
    <w:rsid w:val="00B74DE5"/>
    <w:rsid w:val="00B764A5"/>
    <w:rsid w:val="00B81646"/>
    <w:rsid w:val="00B8414A"/>
    <w:rsid w:val="00B8705C"/>
    <w:rsid w:val="00B93982"/>
    <w:rsid w:val="00B93EF1"/>
    <w:rsid w:val="00BA36C1"/>
    <w:rsid w:val="00BA65DB"/>
    <w:rsid w:val="00BB2D17"/>
    <w:rsid w:val="00BB3338"/>
    <w:rsid w:val="00BC5A6B"/>
    <w:rsid w:val="00BC76DF"/>
    <w:rsid w:val="00BC7D01"/>
    <w:rsid w:val="00BD0BBF"/>
    <w:rsid w:val="00BE0989"/>
    <w:rsid w:val="00BE2EBC"/>
    <w:rsid w:val="00BF41ED"/>
    <w:rsid w:val="00C03D0F"/>
    <w:rsid w:val="00C03D7F"/>
    <w:rsid w:val="00C0527A"/>
    <w:rsid w:val="00C062A1"/>
    <w:rsid w:val="00C06EAE"/>
    <w:rsid w:val="00C07EF9"/>
    <w:rsid w:val="00C16CAD"/>
    <w:rsid w:val="00C17DF0"/>
    <w:rsid w:val="00C205EA"/>
    <w:rsid w:val="00C22B5B"/>
    <w:rsid w:val="00C30901"/>
    <w:rsid w:val="00C3580B"/>
    <w:rsid w:val="00C517BD"/>
    <w:rsid w:val="00C54485"/>
    <w:rsid w:val="00C57AFE"/>
    <w:rsid w:val="00C629B9"/>
    <w:rsid w:val="00C63B5B"/>
    <w:rsid w:val="00C65CA5"/>
    <w:rsid w:val="00C70B7C"/>
    <w:rsid w:val="00C76AE2"/>
    <w:rsid w:val="00C76F03"/>
    <w:rsid w:val="00C849D1"/>
    <w:rsid w:val="00CA0487"/>
    <w:rsid w:val="00CA2ECB"/>
    <w:rsid w:val="00CA6E25"/>
    <w:rsid w:val="00CB0D51"/>
    <w:rsid w:val="00CB2800"/>
    <w:rsid w:val="00CB4104"/>
    <w:rsid w:val="00CB5439"/>
    <w:rsid w:val="00CB6AAE"/>
    <w:rsid w:val="00CC0DF1"/>
    <w:rsid w:val="00CC3032"/>
    <w:rsid w:val="00CC5B23"/>
    <w:rsid w:val="00CC6845"/>
    <w:rsid w:val="00CC6C8D"/>
    <w:rsid w:val="00CC73FD"/>
    <w:rsid w:val="00CC796E"/>
    <w:rsid w:val="00CD0E90"/>
    <w:rsid w:val="00CE55B1"/>
    <w:rsid w:val="00CF5A05"/>
    <w:rsid w:val="00CF5D64"/>
    <w:rsid w:val="00CF6F5D"/>
    <w:rsid w:val="00D03E25"/>
    <w:rsid w:val="00D06900"/>
    <w:rsid w:val="00D1098D"/>
    <w:rsid w:val="00D115FA"/>
    <w:rsid w:val="00D20418"/>
    <w:rsid w:val="00D2159D"/>
    <w:rsid w:val="00D244FF"/>
    <w:rsid w:val="00D24EBA"/>
    <w:rsid w:val="00D256DF"/>
    <w:rsid w:val="00D260D5"/>
    <w:rsid w:val="00D27970"/>
    <w:rsid w:val="00D32307"/>
    <w:rsid w:val="00D33EEE"/>
    <w:rsid w:val="00D34571"/>
    <w:rsid w:val="00D557BD"/>
    <w:rsid w:val="00D605C5"/>
    <w:rsid w:val="00D61EAE"/>
    <w:rsid w:val="00D62059"/>
    <w:rsid w:val="00D63FDD"/>
    <w:rsid w:val="00D713B9"/>
    <w:rsid w:val="00D81EF6"/>
    <w:rsid w:val="00D84C7B"/>
    <w:rsid w:val="00D969E8"/>
    <w:rsid w:val="00DA4BA8"/>
    <w:rsid w:val="00DB02F5"/>
    <w:rsid w:val="00DB70C0"/>
    <w:rsid w:val="00DB7816"/>
    <w:rsid w:val="00DC155F"/>
    <w:rsid w:val="00DC1AE6"/>
    <w:rsid w:val="00DC2989"/>
    <w:rsid w:val="00DC4B84"/>
    <w:rsid w:val="00DC4C1D"/>
    <w:rsid w:val="00DC59DE"/>
    <w:rsid w:val="00DD4A9A"/>
    <w:rsid w:val="00DD4ADC"/>
    <w:rsid w:val="00DE15F0"/>
    <w:rsid w:val="00DE36F9"/>
    <w:rsid w:val="00DF0AE8"/>
    <w:rsid w:val="00DF6EF3"/>
    <w:rsid w:val="00E00B1A"/>
    <w:rsid w:val="00E012DD"/>
    <w:rsid w:val="00E0519D"/>
    <w:rsid w:val="00E0655D"/>
    <w:rsid w:val="00E148AE"/>
    <w:rsid w:val="00E15754"/>
    <w:rsid w:val="00E1643B"/>
    <w:rsid w:val="00E1718E"/>
    <w:rsid w:val="00E25F18"/>
    <w:rsid w:val="00E36539"/>
    <w:rsid w:val="00E42A7F"/>
    <w:rsid w:val="00E511B1"/>
    <w:rsid w:val="00E568B8"/>
    <w:rsid w:val="00E61A7E"/>
    <w:rsid w:val="00E70068"/>
    <w:rsid w:val="00E705F6"/>
    <w:rsid w:val="00E72D1F"/>
    <w:rsid w:val="00E74B8A"/>
    <w:rsid w:val="00E76A23"/>
    <w:rsid w:val="00E82201"/>
    <w:rsid w:val="00E90B20"/>
    <w:rsid w:val="00E90CCD"/>
    <w:rsid w:val="00EA3F4A"/>
    <w:rsid w:val="00EA515F"/>
    <w:rsid w:val="00EB10BA"/>
    <w:rsid w:val="00EB3798"/>
    <w:rsid w:val="00EB6913"/>
    <w:rsid w:val="00ED25D6"/>
    <w:rsid w:val="00ED5587"/>
    <w:rsid w:val="00EE1015"/>
    <w:rsid w:val="00EF7CBB"/>
    <w:rsid w:val="00F01CFB"/>
    <w:rsid w:val="00F03A6B"/>
    <w:rsid w:val="00F0784E"/>
    <w:rsid w:val="00F10F1C"/>
    <w:rsid w:val="00F1396C"/>
    <w:rsid w:val="00F13A84"/>
    <w:rsid w:val="00F13E59"/>
    <w:rsid w:val="00F14373"/>
    <w:rsid w:val="00F226BD"/>
    <w:rsid w:val="00F2318D"/>
    <w:rsid w:val="00F2523B"/>
    <w:rsid w:val="00F25EF7"/>
    <w:rsid w:val="00F278F4"/>
    <w:rsid w:val="00F314B6"/>
    <w:rsid w:val="00F36A54"/>
    <w:rsid w:val="00F36F91"/>
    <w:rsid w:val="00F40A89"/>
    <w:rsid w:val="00F412BE"/>
    <w:rsid w:val="00F44C42"/>
    <w:rsid w:val="00F451D2"/>
    <w:rsid w:val="00F55259"/>
    <w:rsid w:val="00F61875"/>
    <w:rsid w:val="00F71331"/>
    <w:rsid w:val="00F7178C"/>
    <w:rsid w:val="00F718CD"/>
    <w:rsid w:val="00F745A7"/>
    <w:rsid w:val="00F812AE"/>
    <w:rsid w:val="00F90F15"/>
    <w:rsid w:val="00F9156F"/>
    <w:rsid w:val="00F92A39"/>
    <w:rsid w:val="00F9342C"/>
    <w:rsid w:val="00F9781A"/>
    <w:rsid w:val="00F97D73"/>
    <w:rsid w:val="00FA2311"/>
    <w:rsid w:val="00FA410B"/>
    <w:rsid w:val="00FA7D3D"/>
    <w:rsid w:val="00FB0582"/>
    <w:rsid w:val="00FD05B0"/>
    <w:rsid w:val="00FD0917"/>
    <w:rsid w:val="00FE395E"/>
    <w:rsid w:val="00FE4ED3"/>
    <w:rsid w:val="00FE4F12"/>
    <w:rsid w:val="00FE6DCE"/>
    <w:rsid w:val="00FE7895"/>
    <w:rsid w:val="00FF09C3"/>
    <w:rsid w:val="00FF4C83"/>
    <w:rsid w:val="00FF57A4"/>
    <w:rsid w:val="00FF6CD6"/>
    <w:rsid w:val="00FF743B"/>
    <w:rsid w:val="01034D87"/>
    <w:rsid w:val="01367734"/>
    <w:rsid w:val="01623FEA"/>
    <w:rsid w:val="01B11599"/>
    <w:rsid w:val="01D3231B"/>
    <w:rsid w:val="02384589"/>
    <w:rsid w:val="02466DAA"/>
    <w:rsid w:val="025F149A"/>
    <w:rsid w:val="02955076"/>
    <w:rsid w:val="02AE573A"/>
    <w:rsid w:val="03671006"/>
    <w:rsid w:val="037636A6"/>
    <w:rsid w:val="03F41A84"/>
    <w:rsid w:val="0480657D"/>
    <w:rsid w:val="04AD288D"/>
    <w:rsid w:val="05284A1B"/>
    <w:rsid w:val="05E32577"/>
    <w:rsid w:val="05FD36EC"/>
    <w:rsid w:val="072A5789"/>
    <w:rsid w:val="07784996"/>
    <w:rsid w:val="07D47BD7"/>
    <w:rsid w:val="081E65F7"/>
    <w:rsid w:val="08626732"/>
    <w:rsid w:val="08B82BE5"/>
    <w:rsid w:val="08C52D6F"/>
    <w:rsid w:val="08CC63A3"/>
    <w:rsid w:val="095D07D9"/>
    <w:rsid w:val="098E4C1D"/>
    <w:rsid w:val="09E33727"/>
    <w:rsid w:val="09E92ED1"/>
    <w:rsid w:val="0A47450A"/>
    <w:rsid w:val="0A67459D"/>
    <w:rsid w:val="0A701138"/>
    <w:rsid w:val="0ADD416A"/>
    <w:rsid w:val="0AEE6ECB"/>
    <w:rsid w:val="0B003B68"/>
    <w:rsid w:val="0B345302"/>
    <w:rsid w:val="0BBC084E"/>
    <w:rsid w:val="0BC30111"/>
    <w:rsid w:val="0CB40302"/>
    <w:rsid w:val="0CD77DC9"/>
    <w:rsid w:val="0D705F17"/>
    <w:rsid w:val="0D782A09"/>
    <w:rsid w:val="0E2A12D6"/>
    <w:rsid w:val="0E89006D"/>
    <w:rsid w:val="0F0C6069"/>
    <w:rsid w:val="0F2F6024"/>
    <w:rsid w:val="0F9D6F7A"/>
    <w:rsid w:val="0FB2426E"/>
    <w:rsid w:val="0FC76993"/>
    <w:rsid w:val="0FE02064"/>
    <w:rsid w:val="107F3E67"/>
    <w:rsid w:val="10852E05"/>
    <w:rsid w:val="109A71BE"/>
    <w:rsid w:val="10B61C7E"/>
    <w:rsid w:val="113D35ED"/>
    <w:rsid w:val="11807CEF"/>
    <w:rsid w:val="11B12702"/>
    <w:rsid w:val="11D16179"/>
    <w:rsid w:val="11FB7358"/>
    <w:rsid w:val="12097FA4"/>
    <w:rsid w:val="12377601"/>
    <w:rsid w:val="125B4026"/>
    <w:rsid w:val="12675A84"/>
    <w:rsid w:val="12D84B1F"/>
    <w:rsid w:val="12EB31E3"/>
    <w:rsid w:val="13597D89"/>
    <w:rsid w:val="13612F26"/>
    <w:rsid w:val="13C90583"/>
    <w:rsid w:val="13DE3BB2"/>
    <w:rsid w:val="14064F95"/>
    <w:rsid w:val="14C2378D"/>
    <w:rsid w:val="14E754D8"/>
    <w:rsid w:val="14F944F9"/>
    <w:rsid w:val="14FA66F7"/>
    <w:rsid w:val="158C2727"/>
    <w:rsid w:val="159C5C85"/>
    <w:rsid w:val="15B96717"/>
    <w:rsid w:val="15C00A3E"/>
    <w:rsid w:val="15D90E73"/>
    <w:rsid w:val="16332F7C"/>
    <w:rsid w:val="163B4B05"/>
    <w:rsid w:val="16434E17"/>
    <w:rsid w:val="165F2012"/>
    <w:rsid w:val="165F5D35"/>
    <w:rsid w:val="16777A52"/>
    <w:rsid w:val="16871B75"/>
    <w:rsid w:val="168E1732"/>
    <w:rsid w:val="16A07538"/>
    <w:rsid w:val="16CC4ED4"/>
    <w:rsid w:val="1704163D"/>
    <w:rsid w:val="172C69ED"/>
    <w:rsid w:val="17DB1F06"/>
    <w:rsid w:val="18293139"/>
    <w:rsid w:val="18CC3947"/>
    <w:rsid w:val="18EA041D"/>
    <w:rsid w:val="19632D05"/>
    <w:rsid w:val="196B0AE7"/>
    <w:rsid w:val="19AD57B1"/>
    <w:rsid w:val="19CC7961"/>
    <w:rsid w:val="19E44C1F"/>
    <w:rsid w:val="19E62A94"/>
    <w:rsid w:val="19E82159"/>
    <w:rsid w:val="1A9F3A26"/>
    <w:rsid w:val="1AB25F58"/>
    <w:rsid w:val="1ACB0A20"/>
    <w:rsid w:val="1AE92555"/>
    <w:rsid w:val="1AF35C09"/>
    <w:rsid w:val="1B364D9C"/>
    <w:rsid w:val="1B843854"/>
    <w:rsid w:val="1CAA12A7"/>
    <w:rsid w:val="1D1E6D66"/>
    <w:rsid w:val="1D8A3638"/>
    <w:rsid w:val="1D8C4BE1"/>
    <w:rsid w:val="1D9870C0"/>
    <w:rsid w:val="1DC80A69"/>
    <w:rsid w:val="1DDD0706"/>
    <w:rsid w:val="1E6B3D4D"/>
    <w:rsid w:val="1E9D5301"/>
    <w:rsid w:val="1ED2464B"/>
    <w:rsid w:val="1ED33268"/>
    <w:rsid w:val="1EED02FF"/>
    <w:rsid w:val="1F1976F4"/>
    <w:rsid w:val="1F1D3483"/>
    <w:rsid w:val="1F5D426D"/>
    <w:rsid w:val="1F9F1B02"/>
    <w:rsid w:val="1FBB0B57"/>
    <w:rsid w:val="206A36A3"/>
    <w:rsid w:val="20C26F14"/>
    <w:rsid w:val="21601229"/>
    <w:rsid w:val="21731A80"/>
    <w:rsid w:val="217B3A6F"/>
    <w:rsid w:val="217B7224"/>
    <w:rsid w:val="21812D83"/>
    <w:rsid w:val="21E67D66"/>
    <w:rsid w:val="22510E77"/>
    <w:rsid w:val="22811A2C"/>
    <w:rsid w:val="233B45D4"/>
    <w:rsid w:val="2350557D"/>
    <w:rsid w:val="238C7C49"/>
    <w:rsid w:val="23BB085F"/>
    <w:rsid w:val="245569DA"/>
    <w:rsid w:val="24EA77CD"/>
    <w:rsid w:val="253633AB"/>
    <w:rsid w:val="25502559"/>
    <w:rsid w:val="25744D92"/>
    <w:rsid w:val="25A51261"/>
    <w:rsid w:val="25DA5387"/>
    <w:rsid w:val="25E808AE"/>
    <w:rsid w:val="263B2B14"/>
    <w:rsid w:val="26A00C3A"/>
    <w:rsid w:val="26F14082"/>
    <w:rsid w:val="270C281F"/>
    <w:rsid w:val="273001B7"/>
    <w:rsid w:val="27AB7293"/>
    <w:rsid w:val="27F76B05"/>
    <w:rsid w:val="282E4AFD"/>
    <w:rsid w:val="287C7385"/>
    <w:rsid w:val="28A066B3"/>
    <w:rsid w:val="28D47FBD"/>
    <w:rsid w:val="2908440E"/>
    <w:rsid w:val="29432BE0"/>
    <w:rsid w:val="29757BB0"/>
    <w:rsid w:val="2A100351"/>
    <w:rsid w:val="2AA06ECD"/>
    <w:rsid w:val="2ADA7403"/>
    <w:rsid w:val="2B4A2040"/>
    <w:rsid w:val="2B4E7390"/>
    <w:rsid w:val="2B8B6B8C"/>
    <w:rsid w:val="2BF01A7C"/>
    <w:rsid w:val="2C3227FA"/>
    <w:rsid w:val="2C5469FB"/>
    <w:rsid w:val="2C5C58B8"/>
    <w:rsid w:val="2C7360FF"/>
    <w:rsid w:val="2C94112E"/>
    <w:rsid w:val="2C982F5B"/>
    <w:rsid w:val="2C986C3B"/>
    <w:rsid w:val="2C9D51F3"/>
    <w:rsid w:val="2CCE039C"/>
    <w:rsid w:val="2D0913EB"/>
    <w:rsid w:val="2D5E335C"/>
    <w:rsid w:val="2EE31FF3"/>
    <w:rsid w:val="2EED476D"/>
    <w:rsid w:val="2F0D3B9B"/>
    <w:rsid w:val="2F2A4FF8"/>
    <w:rsid w:val="2F5C51C5"/>
    <w:rsid w:val="2FA63664"/>
    <w:rsid w:val="30273E4E"/>
    <w:rsid w:val="304D193E"/>
    <w:rsid w:val="308E2557"/>
    <w:rsid w:val="30A90F5B"/>
    <w:rsid w:val="30AA26D5"/>
    <w:rsid w:val="30C81E2D"/>
    <w:rsid w:val="3134536C"/>
    <w:rsid w:val="318178A1"/>
    <w:rsid w:val="31AC4069"/>
    <w:rsid w:val="31B92F24"/>
    <w:rsid w:val="31CC0399"/>
    <w:rsid w:val="31D36584"/>
    <w:rsid w:val="32254CD1"/>
    <w:rsid w:val="32274393"/>
    <w:rsid w:val="32B9294E"/>
    <w:rsid w:val="32BA151D"/>
    <w:rsid w:val="32BF1B5F"/>
    <w:rsid w:val="33483E4C"/>
    <w:rsid w:val="334B1A3D"/>
    <w:rsid w:val="3383632D"/>
    <w:rsid w:val="33C07F10"/>
    <w:rsid w:val="33F87305"/>
    <w:rsid w:val="34093E35"/>
    <w:rsid w:val="34271FA0"/>
    <w:rsid w:val="343819DA"/>
    <w:rsid w:val="34533777"/>
    <w:rsid w:val="34961EE4"/>
    <w:rsid w:val="350361AE"/>
    <w:rsid w:val="35505B62"/>
    <w:rsid w:val="35A22DFF"/>
    <w:rsid w:val="35B432D5"/>
    <w:rsid w:val="364D069A"/>
    <w:rsid w:val="367F1D7A"/>
    <w:rsid w:val="36902D6D"/>
    <w:rsid w:val="36DA728E"/>
    <w:rsid w:val="36DB148C"/>
    <w:rsid w:val="36E22DD3"/>
    <w:rsid w:val="36EA4F8F"/>
    <w:rsid w:val="36FA7A46"/>
    <w:rsid w:val="371177BA"/>
    <w:rsid w:val="372F0F16"/>
    <w:rsid w:val="375943DE"/>
    <w:rsid w:val="37735EDE"/>
    <w:rsid w:val="37A30D30"/>
    <w:rsid w:val="37C516B9"/>
    <w:rsid w:val="382B166F"/>
    <w:rsid w:val="382D004E"/>
    <w:rsid w:val="388E23BE"/>
    <w:rsid w:val="390D3139"/>
    <w:rsid w:val="398E52B8"/>
    <w:rsid w:val="39C316B3"/>
    <w:rsid w:val="39C95C92"/>
    <w:rsid w:val="39D136B0"/>
    <w:rsid w:val="3A095254"/>
    <w:rsid w:val="3A1E4827"/>
    <w:rsid w:val="3A3601DE"/>
    <w:rsid w:val="3A4467FC"/>
    <w:rsid w:val="3A5E57EE"/>
    <w:rsid w:val="3AB45EAB"/>
    <w:rsid w:val="3B0E6B8D"/>
    <w:rsid w:val="3B104DE3"/>
    <w:rsid w:val="3B365AC1"/>
    <w:rsid w:val="3B5B0673"/>
    <w:rsid w:val="3C887DE0"/>
    <w:rsid w:val="3CA86906"/>
    <w:rsid w:val="3CC544CD"/>
    <w:rsid w:val="3CE366C2"/>
    <w:rsid w:val="3CFF5E1E"/>
    <w:rsid w:val="3D58521A"/>
    <w:rsid w:val="3D9578F2"/>
    <w:rsid w:val="3DB631EA"/>
    <w:rsid w:val="3DE25B6C"/>
    <w:rsid w:val="3E293558"/>
    <w:rsid w:val="3E2B4481"/>
    <w:rsid w:val="3E4E0A77"/>
    <w:rsid w:val="3E592C9D"/>
    <w:rsid w:val="3E875CA5"/>
    <w:rsid w:val="3E8E362E"/>
    <w:rsid w:val="3EE427BB"/>
    <w:rsid w:val="3EEA5A7F"/>
    <w:rsid w:val="3EFF109D"/>
    <w:rsid w:val="3F284CFC"/>
    <w:rsid w:val="3F7542F3"/>
    <w:rsid w:val="3F823334"/>
    <w:rsid w:val="3F843C06"/>
    <w:rsid w:val="3FAD6704"/>
    <w:rsid w:val="3FD60FA6"/>
    <w:rsid w:val="40114B4D"/>
    <w:rsid w:val="40322F29"/>
    <w:rsid w:val="403A22B8"/>
    <w:rsid w:val="409B5BD0"/>
    <w:rsid w:val="415D74B2"/>
    <w:rsid w:val="41945E01"/>
    <w:rsid w:val="41D50908"/>
    <w:rsid w:val="421B1B3F"/>
    <w:rsid w:val="42632A2F"/>
    <w:rsid w:val="42C63B0B"/>
    <w:rsid w:val="42D53B51"/>
    <w:rsid w:val="42D6540B"/>
    <w:rsid w:val="43196668"/>
    <w:rsid w:val="43407A72"/>
    <w:rsid w:val="43A01E09"/>
    <w:rsid w:val="43D06D09"/>
    <w:rsid w:val="43EE2800"/>
    <w:rsid w:val="44581B53"/>
    <w:rsid w:val="44720A4B"/>
    <w:rsid w:val="44A71716"/>
    <w:rsid w:val="45541EDD"/>
    <w:rsid w:val="459618B7"/>
    <w:rsid w:val="45D15A8D"/>
    <w:rsid w:val="47004267"/>
    <w:rsid w:val="4702777B"/>
    <w:rsid w:val="471410C5"/>
    <w:rsid w:val="472C5695"/>
    <w:rsid w:val="479515A2"/>
    <w:rsid w:val="484F28F0"/>
    <w:rsid w:val="485E1C68"/>
    <w:rsid w:val="48803F3E"/>
    <w:rsid w:val="48C5230C"/>
    <w:rsid w:val="490D7F5B"/>
    <w:rsid w:val="495010D7"/>
    <w:rsid w:val="496A4E6D"/>
    <w:rsid w:val="49F931AC"/>
    <w:rsid w:val="49FF40A6"/>
    <w:rsid w:val="4A174C9F"/>
    <w:rsid w:val="4A3868A4"/>
    <w:rsid w:val="4A40092B"/>
    <w:rsid w:val="4A45155F"/>
    <w:rsid w:val="4A5824F4"/>
    <w:rsid w:val="4AA67ABB"/>
    <w:rsid w:val="4AD600D0"/>
    <w:rsid w:val="4AE72A13"/>
    <w:rsid w:val="4B2F5AD5"/>
    <w:rsid w:val="4B4E46DA"/>
    <w:rsid w:val="4B6C4CC7"/>
    <w:rsid w:val="4BC051B4"/>
    <w:rsid w:val="4BD74C34"/>
    <w:rsid w:val="4BF203C4"/>
    <w:rsid w:val="4BFE377C"/>
    <w:rsid w:val="4C156CE3"/>
    <w:rsid w:val="4C74175E"/>
    <w:rsid w:val="4CA72CCA"/>
    <w:rsid w:val="4CD56843"/>
    <w:rsid w:val="4CE66BB6"/>
    <w:rsid w:val="4CEE25C2"/>
    <w:rsid w:val="4D022213"/>
    <w:rsid w:val="4D13235E"/>
    <w:rsid w:val="4D593AB5"/>
    <w:rsid w:val="4D675397"/>
    <w:rsid w:val="4D8D653A"/>
    <w:rsid w:val="4DD71F90"/>
    <w:rsid w:val="4E1A2774"/>
    <w:rsid w:val="4E5A7BB4"/>
    <w:rsid w:val="4E737C8B"/>
    <w:rsid w:val="4E8D7C7D"/>
    <w:rsid w:val="4ED7041B"/>
    <w:rsid w:val="4EDB697A"/>
    <w:rsid w:val="4F275AD4"/>
    <w:rsid w:val="4F603D84"/>
    <w:rsid w:val="4F7D2EF0"/>
    <w:rsid w:val="4F9C78B7"/>
    <w:rsid w:val="50E35B64"/>
    <w:rsid w:val="510E7D88"/>
    <w:rsid w:val="5139794D"/>
    <w:rsid w:val="51491443"/>
    <w:rsid w:val="51A3698E"/>
    <w:rsid w:val="51A84682"/>
    <w:rsid w:val="52280326"/>
    <w:rsid w:val="52644BAD"/>
    <w:rsid w:val="5270122C"/>
    <w:rsid w:val="53056094"/>
    <w:rsid w:val="53163E96"/>
    <w:rsid w:val="536566A4"/>
    <w:rsid w:val="536F7E49"/>
    <w:rsid w:val="54392FC1"/>
    <w:rsid w:val="545666F1"/>
    <w:rsid w:val="54E379B1"/>
    <w:rsid w:val="55145FF6"/>
    <w:rsid w:val="55853B55"/>
    <w:rsid w:val="55A7114E"/>
    <w:rsid w:val="55BD6C6E"/>
    <w:rsid w:val="55D71560"/>
    <w:rsid w:val="55E357B0"/>
    <w:rsid w:val="55E759FD"/>
    <w:rsid w:val="55F00860"/>
    <w:rsid w:val="56237DE0"/>
    <w:rsid w:val="5680751C"/>
    <w:rsid w:val="56824BF3"/>
    <w:rsid w:val="568B725D"/>
    <w:rsid w:val="56960BE8"/>
    <w:rsid w:val="56A4540C"/>
    <w:rsid w:val="56AF31E8"/>
    <w:rsid w:val="57034400"/>
    <w:rsid w:val="571376E9"/>
    <w:rsid w:val="57342866"/>
    <w:rsid w:val="575A74AD"/>
    <w:rsid w:val="578321AD"/>
    <w:rsid w:val="578810DA"/>
    <w:rsid w:val="57B222FE"/>
    <w:rsid w:val="586F79A5"/>
    <w:rsid w:val="58984EBA"/>
    <w:rsid w:val="58A001C8"/>
    <w:rsid w:val="58F82404"/>
    <w:rsid w:val="59591FF6"/>
    <w:rsid w:val="5998290B"/>
    <w:rsid w:val="599E5BFE"/>
    <w:rsid w:val="59A12C1D"/>
    <w:rsid w:val="59B40CAD"/>
    <w:rsid w:val="5A0E26D9"/>
    <w:rsid w:val="5A9009D2"/>
    <w:rsid w:val="5B297E87"/>
    <w:rsid w:val="5B33188F"/>
    <w:rsid w:val="5B5360C8"/>
    <w:rsid w:val="5BE93A3F"/>
    <w:rsid w:val="5C032D84"/>
    <w:rsid w:val="5C115B5F"/>
    <w:rsid w:val="5C4F0B63"/>
    <w:rsid w:val="5C6043D4"/>
    <w:rsid w:val="5C7B0A7C"/>
    <w:rsid w:val="5C961BA3"/>
    <w:rsid w:val="5CE57B74"/>
    <w:rsid w:val="5D081F0E"/>
    <w:rsid w:val="5D9A4896"/>
    <w:rsid w:val="5DA33425"/>
    <w:rsid w:val="5DCF52B1"/>
    <w:rsid w:val="5DF11787"/>
    <w:rsid w:val="5DF2676A"/>
    <w:rsid w:val="5E2D3409"/>
    <w:rsid w:val="5E5E18DF"/>
    <w:rsid w:val="5E7A2937"/>
    <w:rsid w:val="5EBD5C22"/>
    <w:rsid w:val="5ED17EE3"/>
    <w:rsid w:val="5ED202C7"/>
    <w:rsid w:val="5F0A22DA"/>
    <w:rsid w:val="5F2542C5"/>
    <w:rsid w:val="5F3A0B76"/>
    <w:rsid w:val="5F473C2E"/>
    <w:rsid w:val="5F7A1154"/>
    <w:rsid w:val="5F8E2145"/>
    <w:rsid w:val="5FA50D28"/>
    <w:rsid w:val="5FAD744F"/>
    <w:rsid w:val="5FBB33E4"/>
    <w:rsid w:val="5FDA0571"/>
    <w:rsid w:val="5FE22B91"/>
    <w:rsid w:val="60413472"/>
    <w:rsid w:val="61315C15"/>
    <w:rsid w:val="614A5603"/>
    <w:rsid w:val="617579E9"/>
    <w:rsid w:val="61D27971"/>
    <w:rsid w:val="62083EC2"/>
    <w:rsid w:val="62374182"/>
    <w:rsid w:val="627263C2"/>
    <w:rsid w:val="62CF7BBD"/>
    <w:rsid w:val="62DE25F4"/>
    <w:rsid w:val="62FC36B1"/>
    <w:rsid w:val="6302623B"/>
    <w:rsid w:val="632A744D"/>
    <w:rsid w:val="63306181"/>
    <w:rsid w:val="63DE60D4"/>
    <w:rsid w:val="63E554A7"/>
    <w:rsid w:val="64056543"/>
    <w:rsid w:val="64666467"/>
    <w:rsid w:val="64831144"/>
    <w:rsid w:val="64CA07A1"/>
    <w:rsid w:val="64DF7BB9"/>
    <w:rsid w:val="64E303AC"/>
    <w:rsid w:val="651C5557"/>
    <w:rsid w:val="655A45F6"/>
    <w:rsid w:val="65761190"/>
    <w:rsid w:val="65787473"/>
    <w:rsid w:val="65BB2AF6"/>
    <w:rsid w:val="65E32AC9"/>
    <w:rsid w:val="65F27F93"/>
    <w:rsid w:val="66D813BA"/>
    <w:rsid w:val="670818F0"/>
    <w:rsid w:val="671278C6"/>
    <w:rsid w:val="67242424"/>
    <w:rsid w:val="67305EDA"/>
    <w:rsid w:val="67DB4E9A"/>
    <w:rsid w:val="67E80EB5"/>
    <w:rsid w:val="683D2B94"/>
    <w:rsid w:val="686875D7"/>
    <w:rsid w:val="688E4C63"/>
    <w:rsid w:val="689D7E43"/>
    <w:rsid w:val="68C77275"/>
    <w:rsid w:val="69027D18"/>
    <w:rsid w:val="690C78DF"/>
    <w:rsid w:val="691506A6"/>
    <w:rsid w:val="693E35E5"/>
    <w:rsid w:val="69BE4FCF"/>
    <w:rsid w:val="69D55B63"/>
    <w:rsid w:val="69EB462C"/>
    <w:rsid w:val="6A2B1527"/>
    <w:rsid w:val="6A3C31DE"/>
    <w:rsid w:val="6AC512C6"/>
    <w:rsid w:val="6B4F2368"/>
    <w:rsid w:val="6B9F02C9"/>
    <w:rsid w:val="6BC008CF"/>
    <w:rsid w:val="6BF4706A"/>
    <w:rsid w:val="6BF81569"/>
    <w:rsid w:val="6BF83C06"/>
    <w:rsid w:val="6BF94C51"/>
    <w:rsid w:val="6C440238"/>
    <w:rsid w:val="6C562E98"/>
    <w:rsid w:val="6C6A15EA"/>
    <w:rsid w:val="6C890097"/>
    <w:rsid w:val="6CA86ED0"/>
    <w:rsid w:val="6CBD336C"/>
    <w:rsid w:val="6CBE02A1"/>
    <w:rsid w:val="6CCA4912"/>
    <w:rsid w:val="6D210FBD"/>
    <w:rsid w:val="6D2E412A"/>
    <w:rsid w:val="6D5D3514"/>
    <w:rsid w:val="6D85325C"/>
    <w:rsid w:val="6D9667A2"/>
    <w:rsid w:val="6DD557A2"/>
    <w:rsid w:val="6DEC0ACF"/>
    <w:rsid w:val="6E26476F"/>
    <w:rsid w:val="6E5E7B79"/>
    <w:rsid w:val="6E627FD1"/>
    <w:rsid w:val="6E6D0595"/>
    <w:rsid w:val="6E82421E"/>
    <w:rsid w:val="6E9402DC"/>
    <w:rsid w:val="6ED14E51"/>
    <w:rsid w:val="6EF220E9"/>
    <w:rsid w:val="6F036451"/>
    <w:rsid w:val="6F41311F"/>
    <w:rsid w:val="6FC827D9"/>
    <w:rsid w:val="70023648"/>
    <w:rsid w:val="70034EA3"/>
    <w:rsid w:val="70261EF3"/>
    <w:rsid w:val="70275503"/>
    <w:rsid w:val="70317FE0"/>
    <w:rsid w:val="704221B5"/>
    <w:rsid w:val="70590F50"/>
    <w:rsid w:val="707752B3"/>
    <w:rsid w:val="70834876"/>
    <w:rsid w:val="709F2863"/>
    <w:rsid w:val="70AC402D"/>
    <w:rsid w:val="714B6960"/>
    <w:rsid w:val="71AF4501"/>
    <w:rsid w:val="72247BD2"/>
    <w:rsid w:val="725D01F5"/>
    <w:rsid w:val="72747EFB"/>
    <w:rsid w:val="72B86B16"/>
    <w:rsid w:val="72F6393B"/>
    <w:rsid w:val="72F92613"/>
    <w:rsid w:val="73037336"/>
    <w:rsid w:val="735831F5"/>
    <w:rsid w:val="744227A9"/>
    <w:rsid w:val="74AB5013"/>
    <w:rsid w:val="74CE5F27"/>
    <w:rsid w:val="74DE744D"/>
    <w:rsid w:val="74F144B0"/>
    <w:rsid w:val="75293172"/>
    <w:rsid w:val="754E3901"/>
    <w:rsid w:val="75733B41"/>
    <w:rsid w:val="75846EE4"/>
    <w:rsid w:val="7602683E"/>
    <w:rsid w:val="766914A6"/>
    <w:rsid w:val="76982C90"/>
    <w:rsid w:val="769E0187"/>
    <w:rsid w:val="76A950AE"/>
    <w:rsid w:val="77430A35"/>
    <w:rsid w:val="774C36FD"/>
    <w:rsid w:val="77691941"/>
    <w:rsid w:val="782F4A06"/>
    <w:rsid w:val="793C550E"/>
    <w:rsid w:val="797B387C"/>
    <w:rsid w:val="79CC73E6"/>
    <w:rsid w:val="7A031EE5"/>
    <w:rsid w:val="7A227914"/>
    <w:rsid w:val="7A27753D"/>
    <w:rsid w:val="7A6D075C"/>
    <w:rsid w:val="7AC64D47"/>
    <w:rsid w:val="7AC7228D"/>
    <w:rsid w:val="7B275E20"/>
    <w:rsid w:val="7B566A1E"/>
    <w:rsid w:val="7B620DA1"/>
    <w:rsid w:val="7B86755B"/>
    <w:rsid w:val="7B8E7BC4"/>
    <w:rsid w:val="7BBC2F7D"/>
    <w:rsid w:val="7C6C3379"/>
    <w:rsid w:val="7C9713F7"/>
    <w:rsid w:val="7CA76112"/>
    <w:rsid w:val="7CAE6DE8"/>
    <w:rsid w:val="7CE36CE4"/>
    <w:rsid w:val="7D834090"/>
    <w:rsid w:val="7DDE42CA"/>
    <w:rsid w:val="7E236932"/>
    <w:rsid w:val="7E60702E"/>
    <w:rsid w:val="7E7D52CA"/>
    <w:rsid w:val="7EBE4030"/>
    <w:rsid w:val="7ED229A9"/>
    <w:rsid w:val="7EF537A1"/>
    <w:rsid w:val="7F0E4302"/>
    <w:rsid w:val="7F26469E"/>
    <w:rsid w:val="7F405C73"/>
    <w:rsid w:val="7F7F3585"/>
    <w:rsid w:val="7FCF160C"/>
    <w:rsid w:val="7FCF79F4"/>
    <w:rsid w:val="7FF7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432"/>
      </w:tabs>
      <w:spacing w:before="340" w:after="330" w:line="576" w:lineRule="auto"/>
      <w:ind w:left="432" w:hanging="432"/>
      <w:outlineLvl w:val="0"/>
    </w:pPr>
    <w:rPr>
      <w:b/>
      <w:kern w:val="44"/>
      <w:sz w:val="44"/>
    </w:rPr>
  </w:style>
  <w:style w:type="paragraph" w:styleId="3">
    <w:name w:val="heading 2"/>
    <w:basedOn w:val="1"/>
    <w:next w:val="1"/>
    <w:qFormat/>
    <w:uiPriority w:val="0"/>
    <w:pPr>
      <w:keepNext/>
      <w:keepLines/>
      <w:spacing w:line="360" w:lineRule="auto"/>
      <w:outlineLvl w:val="1"/>
    </w:pPr>
    <w:rPr>
      <w:rFonts w:ascii="仿宋_GB2312" w:eastAsia="仿宋_GB2312"/>
      <w:b/>
      <w:sz w:val="24"/>
      <w:lang w:val="zh-CN"/>
    </w:rPr>
  </w:style>
  <w:style w:type="paragraph" w:styleId="4">
    <w:name w:val="heading 3"/>
    <w:basedOn w:val="1"/>
    <w:next w:val="1"/>
    <w:link w:val="52"/>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qFormat/>
    <w:uiPriority w:val="0"/>
    <w:pPr>
      <w:keepNext/>
      <w:keepLines/>
      <w:tabs>
        <w:tab w:val="left" w:pos="864"/>
      </w:tabs>
      <w:spacing w:before="280" w:after="290" w:line="372" w:lineRule="auto"/>
      <w:ind w:left="864" w:hanging="864"/>
      <w:outlineLvl w:val="3"/>
    </w:pPr>
    <w:rPr>
      <w:rFonts w:ascii="Arial" w:hAnsi="Arial" w:eastAsia="黑体"/>
      <w:b/>
      <w:sz w:val="28"/>
      <w:lang w:val="zh-CN"/>
    </w:rPr>
  </w:style>
  <w:style w:type="paragraph" w:styleId="6">
    <w:name w:val="heading 5"/>
    <w:basedOn w:val="1"/>
    <w:next w:val="1"/>
    <w:qFormat/>
    <w:uiPriority w:val="0"/>
    <w:pPr>
      <w:keepNext/>
      <w:keepLines/>
      <w:tabs>
        <w:tab w:val="left" w:pos="1008"/>
      </w:tabs>
      <w:spacing w:before="280" w:after="290" w:line="372" w:lineRule="auto"/>
      <w:ind w:left="1008" w:hanging="1008"/>
      <w:outlineLvl w:val="4"/>
    </w:pPr>
    <w:rPr>
      <w:b/>
      <w:sz w:val="28"/>
    </w:rPr>
  </w:style>
  <w:style w:type="paragraph" w:styleId="7">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spacing w:before="240" w:after="64" w:line="317" w:lineRule="auto"/>
      <w:ind w:left="1296" w:hanging="1296"/>
      <w:outlineLvl w:val="6"/>
    </w:pPr>
    <w:rPr>
      <w:b/>
      <w:sz w:val="24"/>
    </w:rPr>
  </w:style>
  <w:style w:type="paragraph" w:styleId="9">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next w:val="1"/>
    <w:qFormat/>
    <w:uiPriority w:val="0"/>
    <w:pPr>
      <w:widowControl/>
      <w:adjustRightInd w:val="0"/>
      <w:snapToGrid w:val="0"/>
      <w:spacing w:line="480" w:lineRule="exact"/>
      <w:ind w:firstLine="567"/>
    </w:pPr>
    <w:rPr>
      <w:rFonts w:ascii="宋体" w:hAnsi="Courier New"/>
    </w:rPr>
  </w:style>
  <w:style w:type="paragraph" w:styleId="13">
    <w:name w:val="caption"/>
    <w:basedOn w:val="1"/>
    <w:next w:val="1"/>
    <w:qFormat/>
    <w:uiPriority w:val="0"/>
    <w:pPr>
      <w:shd w:val="clear" w:color="C0C0C0" w:fill="FFFFFF"/>
      <w:tabs>
        <w:tab w:val="left" w:pos="9000"/>
      </w:tabs>
      <w:ind w:firstLine="180" w:firstLineChars="75"/>
    </w:pPr>
    <w:rPr>
      <w:rFonts w:ascii="Arial Narrow" w:hAnsi="Arial Narrow" w:eastAsia="微软繁隶书"/>
      <w:b/>
      <w:color w:val="FF0000"/>
      <w:sz w:val="24"/>
      <w:szCs w:val="24"/>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rPr>
      <w:rFonts w:ascii="宋体" w:hAnsi="Courier New"/>
    </w:rPr>
  </w:style>
  <w:style w:type="paragraph" w:styleId="16">
    <w:name w:val="Salutation"/>
    <w:basedOn w:val="1"/>
    <w:next w:val="1"/>
    <w:qFormat/>
    <w:uiPriority w:val="0"/>
    <w:pPr>
      <w:numPr>
        <w:ilvl w:val="0"/>
        <w:numId w:val="2"/>
      </w:numPr>
      <w:tabs>
        <w:tab w:val="left" w:pos="840"/>
      </w:tabs>
    </w:pPr>
    <w:rPr>
      <w:sz w:val="24"/>
      <w:szCs w:val="24"/>
    </w:rPr>
  </w:style>
  <w:style w:type="paragraph" w:styleId="17">
    <w:name w:val="Body Text 3"/>
    <w:basedOn w:val="1"/>
    <w:qFormat/>
    <w:uiPriority w:val="0"/>
    <w:pPr>
      <w:jc w:val="center"/>
    </w:pPr>
  </w:style>
  <w:style w:type="paragraph" w:styleId="18">
    <w:name w:val="Body Text"/>
    <w:basedOn w:val="1"/>
    <w:qFormat/>
    <w:uiPriority w:val="0"/>
    <w:pPr>
      <w:autoSpaceDE w:val="0"/>
      <w:autoSpaceDN w:val="0"/>
      <w:adjustRightInd w:val="0"/>
      <w:spacing w:line="360" w:lineRule="auto"/>
    </w:pPr>
    <w:rPr>
      <w:rFonts w:ascii="宋体"/>
      <w:sz w:val="24"/>
      <w:lang w:val="zh-CN"/>
    </w:rPr>
  </w:style>
  <w:style w:type="paragraph" w:styleId="19">
    <w:name w:val="Body Text Indent"/>
    <w:basedOn w:val="1"/>
    <w:next w:val="1"/>
    <w:qFormat/>
    <w:uiPriority w:val="0"/>
    <w:pPr>
      <w:spacing w:line="480" w:lineRule="exact"/>
      <w:ind w:firstLine="480" w:firstLineChars="200"/>
    </w:pPr>
    <w:rPr>
      <w:rFonts w:ascii="宋体" w:hAnsi="宋体"/>
      <w:sz w:val="24"/>
    </w:rPr>
  </w:style>
  <w:style w:type="paragraph" w:styleId="20">
    <w:name w:val="List Number 3"/>
    <w:basedOn w:val="1"/>
    <w:qFormat/>
    <w:uiPriority w:val="0"/>
    <w:pPr>
      <w:widowControl/>
      <w:numPr>
        <w:ilvl w:val="0"/>
        <w:numId w:val="3"/>
      </w:numPr>
      <w:spacing w:after="156" w:afterLines="50"/>
      <w:jc w:val="left"/>
    </w:pPr>
    <w:rPr>
      <w:kern w:val="0"/>
      <w:sz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3"/>
    <w:qFormat/>
    <w:uiPriority w:val="0"/>
    <w:rPr>
      <w:rFonts w:ascii="宋体" w:hAnsi="Courier New"/>
    </w:rPr>
  </w:style>
  <w:style w:type="paragraph" w:styleId="24">
    <w:name w:val="toc 8"/>
    <w:basedOn w:val="1"/>
    <w:next w:val="1"/>
    <w:qFormat/>
    <w:uiPriority w:val="0"/>
    <w:pPr>
      <w:ind w:left="2940" w:leftChars="1400"/>
    </w:pPr>
  </w:style>
  <w:style w:type="paragraph" w:styleId="25">
    <w:name w:val="Date"/>
    <w:basedOn w:val="1"/>
    <w:next w:val="1"/>
    <w:qFormat/>
    <w:uiPriority w:val="0"/>
    <w:pPr>
      <w:ind w:left="100" w:leftChars="2500"/>
    </w:pPr>
    <w:rPr>
      <w:rFonts w:ascii="宋体"/>
      <w:sz w:val="24"/>
      <w:lang w:val="zh-CN"/>
    </w:rPr>
  </w:style>
  <w:style w:type="paragraph" w:styleId="26">
    <w:name w:val="Body Text Indent 2"/>
    <w:basedOn w:val="1"/>
    <w:qFormat/>
    <w:uiPriority w:val="0"/>
    <w:pPr>
      <w:adjustRightInd w:val="0"/>
      <w:spacing w:line="360" w:lineRule="auto"/>
      <w:ind w:firstLine="601"/>
      <w:textAlignment w:val="baseline"/>
    </w:pPr>
    <w:rPr>
      <w:rFonts w:ascii="宋体"/>
      <w:kern w:val="0"/>
      <w:sz w:val="28"/>
    </w:rPr>
  </w:style>
  <w:style w:type="paragraph" w:styleId="27">
    <w:name w:val="Balloon Text"/>
    <w:basedOn w:val="1"/>
    <w:qFormat/>
    <w:uiPriority w:val="0"/>
    <w:rPr>
      <w:sz w:val="18"/>
    </w:rPr>
  </w:style>
  <w:style w:type="paragraph" w:styleId="28">
    <w:name w:val="footer"/>
    <w:basedOn w:val="1"/>
    <w:qFormat/>
    <w:uiPriority w:val="0"/>
    <w:pPr>
      <w:tabs>
        <w:tab w:val="center" w:pos="4153"/>
        <w:tab w:val="right" w:pos="8306"/>
      </w:tabs>
      <w:snapToGrid w:val="0"/>
      <w:jc w:val="left"/>
    </w:pPr>
    <w:rPr>
      <w:sz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rPr>
  </w:style>
  <w:style w:type="paragraph" w:styleId="30">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1">
    <w:name w:val="toc 1"/>
    <w:basedOn w:val="1"/>
    <w:next w:val="1"/>
    <w:qFormat/>
    <w:uiPriority w:val="39"/>
  </w:style>
  <w:style w:type="paragraph" w:styleId="32">
    <w:name w:val="toc 4"/>
    <w:basedOn w:val="1"/>
    <w:next w:val="1"/>
    <w:qFormat/>
    <w:uiPriority w:val="0"/>
    <w:pPr>
      <w:ind w:left="1260" w:leftChars="600"/>
    </w:pPr>
  </w:style>
  <w:style w:type="paragraph" w:styleId="33">
    <w:name w:val="List Number 5"/>
    <w:basedOn w:val="1"/>
    <w:qFormat/>
    <w:uiPriority w:val="0"/>
    <w:pPr>
      <w:numPr>
        <w:ilvl w:val="0"/>
        <w:numId w:val="4"/>
      </w:numPr>
      <w:tabs>
        <w:tab w:val="left" w:pos="2040"/>
        <w:tab w:val="clear" w:pos="840"/>
      </w:tabs>
      <w:spacing w:line="400" w:lineRule="exact"/>
    </w:pPr>
    <w:rPr>
      <w:sz w:val="24"/>
    </w:rPr>
  </w:style>
  <w:style w:type="paragraph" w:styleId="34">
    <w:name w:val="toc 6"/>
    <w:basedOn w:val="1"/>
    <w:next w:val="1"/>
    <w:qFormat/>
    <w:uiPriority w:val="0"/>
    <w:pPr>
      <w:ind w:left="2100" w:leftChars="1000"/>
    </w:pPr>
  </w:style>
  <w:style w:type="paragraph" w:styleId="35">
    <w:name w:val="Body Text Indent 3"/>
    <w:basedOn w:val="1"/>
    <w:qFormat/>
    <w:uiPriority w:val="0"/>
    <w:pPr>
      <w:spacing w:line="360" w:lineRule="auto"/>
      <w:ind w:firstLine="420"/>
    </w:pPr>
    <w:rPr>
      <w:sz w:val="24"/>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3360" w:leftChars="1600"/>
    </w:pPr>
  </w:style>
  <w:style w:type="paragraph" w:styleId="38">
    <w:name w:val="Body Text 2"/>
    <w:basedOn w:val="1"/>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5"/>
    <w:next w:val="15"/>
    <w:qFormat/>
    <w:uiPriority w:val="0"/>
    <w:rPr>
      <w:b/>
      <w:bCs/>
    </w:rPr>
  </w:style>
  <w:style w:type="paragraph" w:styleId="42">
    <w:name w:val="Body Text First Indent"/>
    <w:basedOn w:val="18"/>
    <w:qFormat/>
    <w:uiPriority w:val="0"/>
    <w:pPr>
      <w:ind w:firstLine="420"/>
    </w:pPr>
  </w:style>
  <w:style w:type="paragraph" w:styleId="43">
    <w:name w:val="Body Text First Indent 2"/>
    <w:basedOn w:val="19"/>
    <w:unhideWhenUsed/>
    <w:qFormat/>
    <w:uiPriority w:val="99"/>
    <w:pPr>
      <w:ind w:firstLine="420"/>
    </w:pPr>
  </w:style>
  <w:style w:type="table" w:styleId="45">
    <w:name w:val="Table Grid"/>
    <w:basedOn w:val="4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434242"/>
      <w:u w:val="none"/>
    </w:rPr>
  </w:style>
  <w:style w:type="character" w:styleId="50">
    <w:name w:val="Hyperlink"/>
    <w:qFormat/>
    <w:uiPriority w:val="99"/>
    <w:rPr>
      <w:color w:val="434242"/>
      <w:u w:val="none"/>
    </w:rPr>
  </w:style>
  <w:style w:type="character" w:styleId="51">
    <w:name w:val="annotation reference"/>
    <w:qFormat/>
    <w:uiPriority w:val="0"/>
    <w:rPr>
      <w:sz w:val="21"/>
    </w:rPr>
  </w:style>
  <w:style w:type="character" w:customStyle="1" w:styleId="52">
    <w:name w:val="标题 3 字符"/>
    <w:link w:val="4"/>
    <w:qFormat/>
    <w:uiPriority w:val="0"/>
    <w:rPr>
      <w:rFonts w:eastAsia="宋体"/>
      <w:b/>
      <w:kern w:val="2"/>
      <w:sz w:val="32"/>
      <w:lang w:val="en-US" w:eastAsia="zh-CN" w:bidi="ar-SA"/>
    </w:rPr>
  </w:style>
  <w:style w:type="character" w:customStyle="1" w:styleId="53">
    <w:name w:val="纯文本 字符"/>
    <w:link w:val="23"/>
    <w:qFormat/>
    <w:uiPriority w:val="0"/>
    <w:rPr>
      <w:rFonts w:ascii="宋体" w:hAnsi="Courier New" w:eastAsia="宋体"/>
      <w:kern w:val="2"/>
      <w:sz w:val="21"/>
      <w:lang w:val="en-US" w:eastAsia="zh-CN"/>
    </w:rPr>
  </w:style>
  <w:style w:type="character" w:customStyle="1" w:styleId="54">
    <w:name w:val="blue1"/>
    <w:basedOn w:val="46"/>
    <w:qFormat/>
    <w:uiPriority w:val="0"/>
  </w:style>
  <w:style w:type="character" w:customStyle="1" w:styleId="55">
    <w:name w:val="dectext1"/>
    <w:qFormat/>
    <w:uiPriority w:val="0"/>
    <w:rPr>
      <w:rFonts w:ascii="宋体" w:hAnsi="宋体" w:eastAsia="宋体"/>
      <w:color w:val="333333"/>
      <w:sz w:val="21"/>
      <w:szCs w:val="21"/>
      <w:u w:val="none"/>
    </w:rPr>
  </w:style>
  <w:style w:type="character" w:customStyle="1" w:styleId="56">
    <w:name w:val="unnamed11"/>
    <w:qFormat/>
    <w:uiPriority w:val="0"/>
    <w:rPr>
      <w:sz w:val="20"/>
      <w:szCs w:val="20"/>
    </w:rPr>
  </w:style>
  <w:style w:type="character" w:customStyle="1" w:styleId="57">
    <w:name w:val="md"/>
    <w:basedOn w:val="46"/>
    <w:qFormat/>
    <w:uiPriority w:val="0"/>
  </w:style>
  <w:style w:type="character" w:customStyle="1" w:styleId="58">
    <w:name w:val="正文1 Char Char"/>
    <w:qFormat/>
    <w:uiPriority w:val="0"/>
    <w:rPr>
      <w:rFonts w:ascii="宋体" w:hAnsi="宋体" w:eastAsia="宋体" w:cs="宋体"/>
      <w:sz w:val="21"/>
      <w:lang w:val="en-US" w:eastAsia="zh-CN" w:bidi="ar-SA"/>
    </w:rPr>
  </w:style>
  <w:style w:type="character" w:customStyle="1" w:styleId="59">
    <w:name w:val="表正文 Char"/>
    <w:qFormat/>
    <w:uiPriority w:val="0"/>
    <w:rPr>
      <w:rFonts w:ascii="宋体" w:eastAsia="宋体"/>
      <w:snapToGrid w:val="0"/>
      <w:color w:val="000000"/>
      <w:kern w:val="28"/>
      <w:sz w:val="28"/>
      <w:lang w:val="en-US" w:eastAsia="zh-CN" w:bidi="ar-SA"/>
    </w:rPr>
  </w:style>
  <w:style w:type="character" w:customStyle="1" w:styleId="60">
    <w:name w:val="gf正文1 Char Char"/>
    <w:link w:val="61"/>
    <w:qFormat/>
    <w:uiPriority w:val="0"/>
    <w:rPr>
      <w:rFonts w:ascii="宋体" w:hAnsi="宋体" w:eastAsia="宋体" w:cs="宋体"/>
      <w:kern w:val="2"/>
      <w:sz w:val="24"/>
      <w:szCs w:val="24"/>
      <w:lang w:val="en-US" w:eastAsia="zh-CN" w:bidi="ar-SA"/>
    </w:rPr>
  </w:style>
  <w:style w:type="paragraph" w:customStyle="1" w:styleId="61">
    <w:name w:val="gf正文1"/>
    <w:basedOn w:val="1"/>
    <w:link w:val="60"/>
    <w:qFormat/>
    <w:uiPriority w:val="0"/>
    <w:pPr>
      <w:adjustRightInd w:val="0"/>
      <w:snapToGrid w:val="0"/>
      <w:spacing w:before="156" w:beforeLines="50" w:line="360" w:lineRule="auto"/>
      <w:ind w:firstLine="480" w:firstLineChars="200"/>
    </w:pPr>
    <w:rPr>
      <w:rFonts w:ascii="宋体" w:hAnsi="宋体" w:cs="宋体"/>
      <w:sz w:val="24"/>
      <w:szCs w:val="24"/>
    </w:rPr>
  </w:style>
  <w:style w:type="character" w:customStyle="1" w:styleId="62">
    <w:name w:val="普通文字 Char1"/>
    <w:qFormat/>
    <w:uiPriority w:val="0"/>
    <w:rPr>
      <w:rFonts w:ascii="宋体" w:hAnsi="Courier New" w:eastAsia="宋体"/>
      <w:kern w:val="2"/>
      <w:sz w:val="21"/>
      <w:lang w:val="en-US" w:eastAsia="zh-CN"/>
    </w:rPr>
  </w:style>
  <w:style w:type="character" w:customStyle="1" w:styleId="63">
    <w:name w:val="公文正文 Char Char"/>
    <w:link w:val="64"/>
    <w:qFormat/>
    <w:uiPriority w:val="0"/>
    <w:rPr>
      <w:rFonts w:ascii="仿宋_GB2312" w:eastAsia="仿宋_GB2312"/>
      <w:kern w:val="2"/>
      <w:sz w:val="24"/>
      <w:szCs w:val="24"/>
      <w:lang w:val="en-US" w:eastAsia="zh-CN" w:bidi="ar-SA"/>
    </w:rPr>
  </w:style>
  <w:style w:type="paragraph" w:customStyle="1" w:styleId="64">
    <w:name w:val="公文正文"/>
    <w:basedOn w:val="1"/>
    <w:link w:val="63"/>
    <w:qFormat/>
    <w:uiPriority w:val="0"/>
    <w:pPr>
      <w:spacing w:before="156" w:line="360" w:lineRule="auto"/>
      <w:ind w:firstLine="360" w:firstLineChars="200"/>
    </w:pPr>
    <w:rPr>
      <w:rFonts w:ascii="仿宋_GB2312" w:eastAsia="仿宋_GB2312"/>
      <w:sz w:val="24"/>
      <w:szCs w:val="24"/>
    </w:rPr>
  </w:style>
  <w:style w:type="character" w:customStyle="1" w:styleId="65">
    <w:name w:val="shadow11"/>
    <w:qFormat/>
    <w:uiPriority w:val="0"/>
    <w:rPr>
      <w:color w:val="000000"/>
      <w:sz w:val="21"/>
    </w:rPr>
  </w:style>
  <w:style w:type="character" w:customStyle="1" w:styleId="66">
    <w:name w:val="FA正文 Char Char"/>
    <w:link w:val="67"/>
    <w:qFormat/>
    <w:uiPriority w:val="0"/>
    <w:rPr>
      <w:rFonts w:hAnsi="宋体"/>
      <w:kern w:val="2"/>
      <w:sz w:val="24"/>
    </w:rPr>
  </w:style>
  <w:style w:type="paragraph" w:customStyle="1" w:styleId="67">
    <w:name w:val="FA正文"/>
    <w:basedOn w:val="1"/>
    <w:link w:val="66"/>
    <w:qFormat/>
    <w:uiPriority w:val="0"/>
    <w:pPr>
      <w:spacing w:line="360" w:lineRule="auto"/>
      <w:ind w:firstLine="480" w:firstLineChars="200"/>
    </w:pPr>
    <w:rPr>
      <w:rFonts w:hAnsi="宋体"/>
      <w:sz w:val="24"/>
    </w:rPr>
  </w:style>
  <w:style w:type="character" w:customStyle="1" w:styleId="68">
    <w:name w:val="Char Char Char"/>
    <w:link w:val="69"/>
    <w:qFormat/>
    <w:uiPriority w:val="0"/>
    <w:rPr>
      <w:rFonts w:ascii="宋体" w:hAnsi="Courier New" w:eastAsia="宋体"/>
      <w:kern w:val="2"/>
      <w:sz w:val="21"/>
      <w:lang w:val="en-US" w:eastAsia="zh-CN"/>
    </w:rPr>
  </w:style>
  <w:style w:type="paragraph" w:customStyle="1" w:styleId="69">
    <w:name w:val="Char"/>
    <w:basedOn w:val="1"/>
    <w:link w:val="68"/>
    <w:qFormat/>
    <w:uiPriority w:val="0"/>
    <w:rPr>
      <w:rFonts w:ascii="宋体" w:hAnsi="Courier New"/>
    </w:rPr>
  </w:style>
  <w:style w:type="character" w:customStyle="1" w:styleId="70">
    <w:name w:val="普通文字 Char Char"/>
    <w:qFormat/>
    <w:uiPriority w:val="0"/>
    <w:rPr>
      <w:rFonts w:ascii="宋体" w:hAnsi="Courier New" w:eastAsia="宋体"/>
      <w:kern w:val="2"/>
      <w:sz w:val="21"/>
      <w:lang w:val="en-US" w:eastAsia="zh-CN"/>
    </w:rPr>
  </w:style>
  <w:style w:type="character" w:customStyle="1" w:styleId="71">
    <w:name w:val="普通文字 Char"/>
    <w:qFormat/>
    <w:uiPriority w:val="0"/>
    <w:rPr>
      <w:rFonts w:ascii="宋体" w:hAnsi="Courier New" w:eastAsia="宋体"/>
      <w:kern w:val="2"/>
      <w:sz w:val="21"/>
      <w:lang w:val="en-US" w:eastAsia="zh-CN"/>
    </w:rPr>
  </w:style>
  <w:style w:type="character" w:customStyle="1" w:styleId="72">
    <w:name w:val="font21"/>
    <w:qFormat/>
    <w:uiPriority w:val="0"/>
    <w:rPr>
      <w:rFonts w:hint="eastAsia" w:ascii="宋体" w:hAnsi="宋体" w:eastAsia="宋体"/>
      <w:kern w:val="2"/>
      <w:sz w:val="28"/>
      <w:szCs w:val="28"/>
      <w:lang w:val="en-US" w:eastAsia="zh-CN" w:bidi="ar-SA"/>
    </w:rPr>
  </w:style>
  <w:style w:type="character" w:customStyle="1" w:styleId="73">
    <w:name w:val="style36"/>
    <w:basedOn w:val="46"/>
    <w:qFormat/>
    <w:uiPriority w:val="0"/>
  </w:style>
  <w:style w:type="character" w:customStyle="1" w:styleId="74">
    <w:name w:val="正文非缩进 Char"/>
    <w:qFormat/>
    <w:uiPriority w:val="0"/>
    <w:rPr>
      <w:rFonts w:ascii="宋体" w:eastAsia="宋体"/>
      <w:snapToGrid w:val="0"/>
      <w:color w:val="000000"/>
      <w:kern w:val="28"/>
      <w:sz w:val="28"/>
      <w:lang w:val="en-US" w:eastAsia="zh-CN" w:bidi="ar-SA"/>
    </w:rPr>
  </w:style>
  <w:style w:type="character" w:customStyle="1" w:styleId="75">
    <w:name w:val="pt141"/>
    <w:qFormat/>
    <w:uiPriority w:val="0"/>
    <w:rPr>
      <w:color w:val="330066"/>
      <w:sz w:val="22"/>
      <w:szCs w:val="22"/>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Char Char"/>
    <w:qFormat/>
    <w:uiPriority w:val="0"/>
    <w:rPr>
      <w:rFonts w:ascii="宋体" w:hAnsi="Courier New" w:eastAsia="宋体"/>
      <w:kern w:val="2"/>
      <w:sz w:val="21"/>
      <w:lang w:val="en-US" w:eastAsia="zh-CN"/>
    </w:rPr>
  </w:style>
  <w:style w:type="character" w:customStyle="1" w:styleId="78">
    <w:name w:val="表格 Char Char"/>
    <w:qFormat/>
    <w:uiPriority w:val="0"/>
    <w:rPr>
      <w:rFonts w:ascii="宋体" w:hAnsi="宋体" w:eastAsia="宋体"/>
      <w:lang w:val="en-US" w:eastAsia="zh-CN" w:bidi="ar-SA"/>
    </w:rPr>
  </w:style>
  <w:style w:type="character" w:customStyle="1" w:styleId="79">
    <w:name w:val="gray6"/>
    <w:basedOn w:val="46"/>
    <w:qFormat/>
    <w:uiPriority w:val="0"/>
  </w:style>
  <w:style w:type="character" w:customStyle="1" w:styleId="80">
    <w:name w:val="正文文本 Char Char"/>
    <w:qFormat/>
    <w:uiPriority w:val="0"/>
    <w:rPr>
      <w:rFonts w:eastAsia="宋体"/>
      <w:kern w:val="2"/>
      <w:sz w:val="24"/>
      <w:szCs w:val="24"/>
      <w:lang w:val="en-US" w:eastAsia="zh-CN" w:bidi="ar-SA"/>
    </w:rPr>
  </w:style>
  <w:style w:type="character" w:customStyle="1" w:styleId="81">
    <w:name w:val="h3 Char"/>
    <w:qFormat/>
    <w:uiPriority w:val="0"/>
    <w:rPr>
      <w:rFonts w:eastAsia="宋体"/>
      <w:b/>
      <w:kern w:val="2"/>
      <w:sz w:val="32"/>
      <w:lang w:val="en-US" w:eastAsia="zh-CN" w:bidi="ar-SA"/>
    </w:rPr>
  </w:style>
  <w:style w:type="character" w:customStyle="1" w:styleId="82">
    <w:name w:val="正文2 Char Char"/>
    <w:link w:val="83"/>
    <w:qFormat/>
    <w:uiPriority w:val="0"/>
    <w:rPr>
      <w:rFonts w:eastAsia="宋体"/>
      <w:kern w:val="2"/>
      <w:sz w:val="24"/>
      <w:lang w:val="en-US" w:eastAsia="zh-CN" w:bidi="ar-SA"/>
    </w:rPr>
  </w:style>
  <w:style w:type="paragraph" w:customStyle="1" w:styleId="83">
    <w:name w:val="正文2"/>
    <w:basedOn w:val="1"/>
    <w:link w:val="82"/>
    <w:qFormat/>
    <w:uiPriority w:val="0"/>
    <w:pPr>
      <w:spacing w:before="156" w:line="360" w:lineRule="auto"/>
      <w:ind w:firstLine="510" w:firstLineChars="200"/>
    </w:pPr>
    <w:rPr>
      <w:sz w:val="24"/>
    </w:rPr>
  </w:style>
  <w:style w:type="character" w:customStyle="1" w:styleId="84">
    <w:name w:val="dandyren_title1"/>
    <w:qFormat/>
    <w:uiPriority w:val="0"/>
    <w:rPr>
      <w:b/>
      <w:bCs/>
      <w:color w:val="FF6633"/>
      <w:sz w:val="18"/>
      <w:szCs w:val="18"/>
    </w:rPr>
  </w:style>
  <w:style w:type="character" w:customStyle="1" w:styleId="85">
    <w:name w:val="chs1"/>
    <w:qFormat/>
    <w:uiPriority w:val="0"/>
    <w:rPr>
      <w:rFonts w:hint="default" w:ascii="_x000B__x000C_" w:hAnsi="_x000B__x000C_"/>
      <w:sz w:val="18"/>
      <w:szCs w:val="18"/>
    </w:rPr>
  </w:style>
  <w:style w:type="character" w:customStyle="1" w:styleId="86">
    <w:name w:val="普通文字 Char Char1"/>
    <w:qFormat/>
    <w:uiPriority w:val="0"/>
    <w:rPr>
      <w:rFonts w:ascii="宋体" w:hAnsi="Courier New"/>
      <w:kern w:val="2"/>
      <w:sz w:val="21"/>
    </w:rPr>
  </w:style>
  <w:style w:type="paragraph" w:customStyle="1" w:styleId="87">
    <w:name w:val="CM11"/>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88">
    <w:name w:val="样式 标题 3标题 3 Char第二层条h33Bold Headbh章标题1小标题level_3PIM 3..."/>
    <w:basedOn w:val="4"/>
    <w:qFormat/>
    <w:uiPriority w:val="0"/>
    <w:pPr>
      <w:numPr>
        <w:numId w:val="0"/>
      </w:numPr>
      <w:adjustRightInd w:val="0"/>
      <w:snapToGrid w:val="0"/>
      <w:spacing w:before="0" w:after="0" w:line="360" w:lineRule="auto"/>
    </w:pPr>
    <w:rPr>
      <w:rFonts w:ascii="黑体" w:hAnsi="宋体" w:eastAsia="黑体" w:cs="宋体"/>
      <w:b w:val="0"/>
      <w:color w:val="000000"/>
      <w:kern w:val="0"/>
      <w:sz w:val="28"/>
    </w:rPr>
  </w:style>
  <w:style w:type="paragraph" w:customStyle="1" w:styleId="89">
    <w:name w:val="4"/>
    <w:basedOn w:val="1"/>
    <w:next w:val="26"/>
    <w:qFormat/>
    <w:uiPriority w:val="0"/>
    <w:pPr>
      <w:spacing w:after="120" w:line="480" w:lineRule="auto"/>
      <w:ind w:left="420" w:leftChars="200"/>
    </w:pPr>
    <w:rPr>
      <w:sz w:val="24"/>
    </w:rPr>
  </w:style>
  <w:style w:type="paragraph" w:customStyle="1" w:styleId="9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Char Char1 Char Char Char"/>
    <w:basedOn w:val="1"/>
    <w:qFormat/>
    <w:uiPriority w:val="0"/>
    <w:rPr>
      <w:rFonts w:ascii="仿宋_GB2312" w:eastAsia="仿宋_GB2312"/>
      <w:b/>
      <w:sz w:val="32"/>
    </w:rPr>
  </w:style>
  <w:style w:type="paragraph" w:customStyle="1" w:styleId="92">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93">
    <w:name w:val="MM Title"/>
    <w:basedOn w:val="4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styleId="94">
    <w:name w:val="List Paragraph"/>
    <w:basedOn w:val="1"/>
    <w:qFormat/>
    <w:uiPriority w:val="0"/>
    <w:pPr>
      <w:spacing w:line="360" w:lineRule="auto"/>
      <w:ind w:firstLine="200" w:firstLineChars="200"/>
    </w:pPr>
    <w:rPr>
      <w:rFonts w:eastAsia="楷体_GB2312" w:cs="Lucida Sans"/>
      <w:sz w:val="24"/>
      <w:szCs w:val="24"/>
    </w:rPr>
  </w:style>
  <w:style w:type="paragraph" w:customStyle="1" w:styleId="9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6">
    <w:name w:val="Char1 Char Char Char"/>
    <w:basedOn w:val="1"/>
    <w:qFormat/>
    <w:uiPriority w:val="0"/>
    <w:rPr>
      <w:rFonts w:ascii="Tahoma" w:hAnsi="Tahoma"/>
      <w:sz w:val="24"/>
    </w:rPr>
  </w:style>
  <w:style w:type="paragraph" w:customStyle="1" w:styleId="97">
    <w:name w:val="CM3"/>
    <w:basedOn w:val="90"/>
    <w:next w:val="90"/>
    <w:qFormat/>
    <w:uiPriority w:val="0"/>
    <w:pPr>
      <w:spacing w:line="400" w:lineRule="atLeast"/>
    </w:pPr>
    <w:rPr>
      <w:rFonts w:cs="Times New Roman"/>
      <w:color w:val="auto"/>
    </w:rPr>
  </w:style>
  <w:style w:type="paragraph" w:customStyle="1" w:styleId="98">
    <w:name w:val="三级条标题"/>
    <w:basedOn w:val="99"/>
    <w:next w:val="102"/>
    <w:qFormat/>
    <w:uiPriority w:val="0"/>
    <w:pPr>
      <w:numPr>
        <w:ilvl w:val="4"/>
      </w:numPr>
      <w:outlineLvl w:val="4"/>
    </w:pPr>
  </w:style>
  <w:style w:type="paragraph" w:customStyle="1" w:styleId="99">
    <w:name w:val="二级条标题"/>
    <w:basedOn w:val="100"/>
    <w:next w:val="102"/>
    <w:qFormat/>
    <w:uiPriority w:val="0"/>
    <w:pPr>
      <w:numPr>
        <w:ilvl w:val="3"/>
      </w:numPr>
      <w:ind w:left="0"/>
      <w:outlineLvl w:val="3"/>
    </w:pPr>
  </w:style>
  <w:style w:type="paragraph" w:customStyle="1" w:styleId="100">
    <w:name w:val="一级条标题"/>
    <w:basedOn w:val="101"/>
    <w:next w:val="102"/>
    <w:qFormat/>
    <w:uiPriority w:val="0"/>
    <w:pPr>
      <w:numPr>
        <w:ilvl w:val="2"/>
      </w:numPr>
      <w:spacing w:before="0" w:beforeLines="0" w:after="0" w:afterLines="0"/>
      <w:outlineLvl w:val="2"/>
    </w:pPr>
  </w:style>
  <w:style w:type="paragraph" w:customStyle="1" w:styleId="101">
    <w:name w:val="章标题"/>
    <w:next w:val="102"/>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0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3">
    <w:name w:val="op_mapdots_left"/>
    <w:basedOn w:val="1"/>
    <w:qFormat/>
    <w:uiPriority w:val="0"/>
    <w:pPr>
      <w:widowControl/>
      <w:jc w:val="left"/>
    </w:pPr>
    <w:rPr>
      <w:rFonts w:ascii="宋体" w:hAnsi="宋体" w:cs="宋体"/>
      <w:kern w:val="0"/>
      <w:sz w:val="24"/>
      <w:szCs w:val="24"/>
    </w:rPr>
  </w:style>
  <w:style w:type="paragraph" w:customStyle="1" w:styleId="10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05">
    <w:name w:val="Char Char1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106">
    <w:name w:val="CM2"/>
    <w:basedOn w:val="90"/>
    <w:next w:val="90"/>
    <w:qFormat/>
    <w:uiPriority w:val="0"/>
    <w:pPr>
      <w:spacing w:line="400" w:lineRule="atLeast"/>
    </w:pPr>
    <w:rPr>
      <w:rFonts w:cs="Times New Roman"/>
      <w:color w:val="auto"/>
    </w:rPr>
  </w:style>
  <w:style w:type="paragraph" w:customStyle="1" w:styleId="107">
    <w:name w:val="正文1"/>
    <w:basedOn w:val="1"/>
    <w:next w:val="1"/>
    <w:qFormat/>
    <w:uiPriority w:val="0"/>
    <w:pPr>
      <w:spacing w:before="156" w:line="360" w:lineRule="auto"/>
      <w:ind w:left="426"/>
    </w:pPr>
    <w:rPr>
      <w:sz w:val="24"/>
    </w:rPr>
  </w:style>
  <w:style w:type="paragraph" w:customStyle="1" w:styleId="108">
    <w:name w:val="正文－恩普"/>
    <w:basedOn w:val="12"/>
    <w:qFormat/>
    <w:uiPriority w:val="0"/>
    <w:pPr>
      <w:adjustRightInd/>
      <w:snapToGrid/>
      <w:spacing w:before="100" w:beforeAutospacing="1" w:after="100" w:afterLines="50" w:afterAutospacing="1" w:line="360" w:lineRule="auto"/>
      <w:ind w:firstLine="480" w:firstLineChars="200"/>
      <w:jc w:val="left"/>
    </w:pPr>
    <w:rPr>
      <w:rFonts w:ascii="Times New Roman"/>
      <w:kern w:val="0"/>
      <w:sz w:val="24"/>
    </w:rPr>
  </w:style>
  <w:style w:type="paragraph" w:customStyle="1" w:styleId="109">
    <w:name w:val="MM Topic 1"/>
    <w:basedOn w:val="2"/>
    <w:qFormat/>
    <w:uiPriority w:val="0"/>
    <w:pPr>
      <w:numPr>
        <w:ilvl w:val="0"/>
        <w:numId w:val="5"/>
      </w:numPr>
      <w:tabs>
        <w:tab w:val="clear" w:pos="425"/>
      </w:tabs>
    </w:pPr>
    <w:rPr>
      <w:bCs/>
      <w:szCs w:val="44"/>
    </w:rPr>
  </w:style>
  <w:style w:type="paragraph" w:customStyle="1" w:styleId="110">
    <w:name w:val="四级条标题"/>
    <w:basedOn w:val="98"/>
    <w:next w:val="102"/>
    <w:qFormat/>
    <w:uiPriority w:val="0"/>
    <w:pPr>
      <w:numPr>
        <w:ilvl w:val="5"/>
      </w:numPr>
      <w:outlineLvl w:val="5"/>
    </w:pPr>
  </w:style>
  <w:style w:type="paragraph" w:customStyle="1" w:styleId="111">
    <w:name w:val="Char2"/>
    <w:basedOn w:val="1"/>
    <w:qFormat/>
    <w:uiPriority w:val="0"/>
    <w:rPr>
      <w:rFonts w:ascii="仿宋_GB2312" w:eastAsia="仿宋_GB2312"/>
      <w:b/>
      <w:sz w:val="32"/>
      <w:szCs w:val="32"/>
    </w:rPr>
  </w:style>
  <w:style w:type="paragraph" w:customStyle="1" w:styleId="112">
    <w:name w:val="Char Char Char Char Char Char Char Char Char Char"/>
    <w:basedOn w:val="1"/>
    <w:qFormat/>
    <w:uiPriority w:val="0"/>
    <w:rPr>
      <w:rFonts w:ascii="仿宋_GB2312" w:eastAsia="仿宋_GB2312"/>
      <w:b/>
      <w:sz w:val="32"/>
      <w:szCs w:val="32"/>
    </w:rPr>
  </w:style>
  <w:style w:type="paragraph" w:customStyle="1" w:styleId="113">
    <w:name w:val="Char2 Char Char Char"/>
    <w:basedOn w:val="1"/>
    <w:qFormat/>
    <w:uiPriority w:val="0"/>
    <w:rPr>
      <w:rFonts w:ascii="仿宋_GB2312" w:eastAsia="仿宋_GB2312"/>
      <w:b/>
      <w:sz w:val="32"/>
      <w:szCs w:val="32"/>
    </w:rPr>
  </w:style>
  <w:style w:type="paragraph" w:customStyle="1" w:styleId="114">
    <w:name w:val="样式 正文文本缩进 2 + 仿宋_GB2312 黑色 行距: 1.5 倍行距"/>
    <w:basedOn w:val="1"/>
    <w:next w:val="7"/>
    <w:qFormat/>
    <w:uiPriority w:val="0"/>
    <w:pPr>
      <w:spacing w:line="360" w:lineRule="auto"/>
      <w:ind w:firstLine="560" w:firstLineChars="200"/>
    </w:pPr>
    <w:rPr>
      <w:rFonts w:ascii="宋体" w:hAnsi="宋体" w:cs="宋体"/>
      <w:color w:val="000000"/>
      <w:sz w:val="24"/>
    </w:rPr>
  </w:style>
  <w:style w:type="paragraph" w:customStyle="1" w:styleId="115">
    <w:name w:val="MM Topic 3"/>
    <w:basedOn w:val="4"/>
    <w:qFormat/>
    <w:uiPriority w:val="0"/>
    <w:pPr>
      <w:numPr>
        <w:numId w:val="5"/>
      </w:numPr>
      <w:tabs>
        <w:tab w:val="left" w:pos="709"/>
      </w:tabs>
    </w:pPr>
    <w:rPr>
      <w:bCs/>
      <w:szCs w:val="32"/>
    </w:rPr>
  </w:style>
  <w:style w:type="paragraph" w:customStyle="1" w:styleId="116">
    <w:name w:val="列表内容"/>
    <w:basedOn w:val="1"/>
    <w:next w:val="1"/>
    <w:qFormat/>
    <w:uiPriority w:val="0"/>
    <w:pPr>
      <w:widowControl/>
      <w:ind w:firstLine="200"/>
      <w:jc w:val="left"/>
    </w:pPr>
    <w:rPr>
      <w:kern w:val="0"/>
      <w:sz w:val="18"/>
      <w:szCs w:val="24"/>
    </w:rPr>
  </w:style>
  <w:style w:type="paragraph" w:customStyle="1" w:styleId="117">
    <w:name w:val="CM19"/>
    <w:basedOn w:val="90"/>
    <w:next w:val="90"/>
    <w:qFormat/>
    <w:uiPriority w:val="0"/>
    <w:pPr>
      <w:spacing w:line="400" w:lineRule="atLeast"/>
    </w:pPr>
    <w:rPr>
      <w:rFonts w:cs="Times New Roman"/>
      <w:color w:val="auto"/>
    </w:rPr>
  </w:style>
  <w:style w:type="paragraph" w:customStyle="1" w:styleId="118">
    <w:name w:val="Char Char Char Char Char Char Char Char Char Char1"/>
    <w:basedOn w:val="1"/>
    <w:qFormat/>
    <w:uiPriority w:val="0"/>
    <w:rPr>
      <w:rFonts w:ascii="仿宋_GB2312" w:eastAsia="仿宋_GB2312"/>
      <w:b/>
      <w:sz w:val="32"/>
      <w:szCs w:val="32"/>
    </w:rPr>
  </w:style>
  <w:style w:type="paragraph" w:customStyle="1" w:styleId="119">
    <w:name w:val="CM4"/>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20">
    <w:name w:val="Char Char Char Char Char Char Char Char Char Char Char1 Char"/>
    <w:basedOn w:val="1"/>
    <w:qFormat/>
    <w:uiPriority w:val="0"/>
    <w:rPr>
      <w:rFonts w:ascii="Tahoma" w:hAnsi="Tahoma"/>
      <w:sz w:val="24"/>
      <w:szCs w:val="24"/>
    </w:rPr>
  </w:style>
  <w:style w:type="paragraph" w:customStyle="1" w:styleId="121">
    <w:name w:val="正文表标题"/>
    <w:next w:val="102"/>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122">
    <w:name w:val="Char11"/>
    <w:basedOn w:val="1"/>
    <w:qFormat/>
    <w:uiPriority w:val="0"/>
    <w:rPr>
      <w:rFonts w:ascii="仿宋_GB2312" w:eastAsia="仿宋_GB2312"/>
      <w:b/>
      <w:sz w:val="32"/>
    </w:rPr>
  </w:style>
  <w:style w:type="paragraph" w:customStyle="1" w:styleId="123">
    <w:name w:val="规划正文"/>
    <w:basedOn w:val="1"/>
    <w:qFormat/>
    <w:uiPriority w:val="0"/>
    <w:pPr>
      <w:spacing w:before="312" w:beforeLines="100" w:line="360" w:lineRule="auto"/>
      <w:jc w:val="left"/>
    </w:pPr>
    <w:rPr>
      <w:rFonts w:ascii="Arial" w:hAnsi="Arial" w:eastAsia="仿宋_GB2312"/>
      <w:bCs/>
      <w:sz w:val="28"/>
      <w:szCs w:val="24"/>
    </w:rPr>
  </w:style>
  <w:style w:type="paragraph" w:customStyle="1" w:styleId="124">
    <w:name w:val="五级条标题"/>
    <w:basedOn w:val="110"/>
    <w:next w:val="102"/>
    <w:qFormat/>
    <w:uiPriority w:val="0"/>
    <w:pPr>
      <w:numPr>
        <w:ilvl w:val="6"/>
      </w:numPr>
      <w:outlineLvl w:val="6"/>
    </w:pPr>
  </w:style>
  <w:style w:type="paragraph" w:customStyle="1" w:styleId="125">
    <w:name w:val="正文（首行缩进）"/>
    <w:basedOn w:val="19"/>
    <w:qFormat/>
    <w:uiPriority w:val="0"/>
    <w:pPr>
      <w:widowControl/>
      <w:overflowPunct w:val="0"/>
      <w:autoSpaceDE w:val="0"/>
      <w:autoSpaceDN w:val="0"/>
      <w:adjustRightInd w:val="0"/>
      <w:spacing w:before="156" w:beforeLines="50" w:after="120" w:line="400" w:lineRule="exact"/>
      <w:ind w:left="200" w:leftChars="200" w:firstLine="200"/>
      <w:jc w:val="left"/>
      <w:textAlignment w:val="baseline"/>
    </w:pPr>
    <w:rPr>
      <w:rFonts w:ascii="Times New Roman" w:hAnsi="Times New Roman"/>
      <w:spacing w:val="10"/>
      <w:kern w:val="0"/>
    </w:rPr>
  </w:style>
  <w:style w:type="paragraph" w:customStyle="1" w:styleId="126">
    <w:name w:val="MM Empty"/>
    <w:basedOn w:val="1"/>
    <w:qFormat/>
    <w:uiPriority w:val="0"/>
    <w:rPr>
      <w:szCs w:val="24"/>
    </w:rPr>
  </w:style>
  <w:style w:type="paragraph" w:customStyle="1" w:styleId="127">
    <w:name w:val="MM Topic 2"/>
    <w:basedOn w:val="3"/>
    <w:qFormat/>
    <w:uiPriority w:val="0"/>
    <w:pPr>
      <w:numPr>
        <w:ilvl w:val="1"/>
        <w:numId w:val="5"/>
      </w:numPr>
      <w:spacing w:before="260" w:after="260" w:line="413" w:lineRule="auto"/>
    </w:pPr>
    <w:rPr>
      <w:rFonts w:ascii="Arial" w:hAnsi="Arial" w:eastAsia="黑体"/>
      <w:bCs/>
      <w:sz w:val="32"/>
      <w:szCs w:val="32"/>
      <w:lang w:val="en-US"/>
    </w:rPr>
  </w:style>
  <w:style w:type="paragraph" w:customStyle="1" w:styleId="128">
    <w:name w:val="默认段落样式"/>
    <w:basedOn w:val="83"/>
    <w:qFormat/>
    <w:uiPriority w:val="0"/>
    <w:pPr>
      <w:spacing w:before="0"/>
      <w:ind w:firstLine="480"/>
      <w:outlineLvl w:val="2"/>
    </w:pPr>
    <w:rPr>
      <w:rFonts w:ascii="仿宋_GB2312" w:hAnsi="宋体" w:eastAsia="仿宋_GB2312"/>
      <w:color w:val="000000"/>
      <w:szCs w:val="24"/>
    </w:rPr>
  </w:style>
  <w:style w:type="paragraph" w:customStyle="1" w:styleId="129">
    <w:name w:val="CM66"/>
    <w:basedOn w:val="90"/>
    <w:next w:val="90"/>
    <w:qFormat/>
    <w:uiPriority w:val="0"/>
    <w:rPr>
      <w:rFonts w:cs="Times New Roman"/>
      <w:color w:val="auto"/>
    </w:rPr>
  </w:style>
  <w:style w:type="paragraph" w:customStyle="1" w:styleId="130">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131">
    <w:name w:val="Char Char Char Char"/>
    <w:basedOn w:val="1"/>
    <w:qFormat/>
    <w:uiPriority w:val="0"/>
    <w:rPr>
      <w:rFonts w:ascii="Tahoma" w:hAnsi="Tahoma"/>
      <w:sz w:val="24"/>
    </w:rPr>
  </w:style>
  <w:style w:type="paragraph" w:customStyle="1" w:styleId="13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3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34">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135">
    <w:name w:val="CM10"/>
    <w:basedOn w:val="90"/>
    <w:next w:val="90"/>
    <w:qFormat/>
    <w:uiPriority w:val="0"/>
    <w:rPr>
      <w:rFonts w:cs="Times New Roman"/>
      <w:color w:val="auto"/>
    </w:rPr>
  </w:style>
  <w:style w:type="paragraph" w:customStyle="1" w:styleId="136">
    <w:name w:val="Char Char1 Char Char Char1"/>
    <w:basedOn w:val="1"/>
    <w:qFormat/>
    <w:uiPriority w:val="0"/>
    <w:rPr>
      <w:rFonts w:ascii="仿宋_GB2312" w:eastAsia="仿宋_GB2312"/>
      <w:b/>
      <w:sz w:val="32"/>
    </w:rPr>
  </w:style>
  <w:style w:type="paragraph" w:customStyle="1" w:styleId="13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Test2"/>
    <w:basedOn w:val="3"/>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139">
    <w:name w:val="Char3"/>
    <w:basedOn w:val="1"/>
    <w:qFormat/>
    <w:uiPriority w:val="0"/>
    <w:rPr>
      <w:rFonts w:ascii="Tahoma" w:hAnsi="Tahoma"/>
      <w:sz w:val="24"/>
    </w:rPr>
  </w:style>
  <w:style w:type="paragraph" w:customStyle="1" w:styleId="140">
    <w:name w:val="Char1"/>
    <w:basedOn w:val="1"/>
    <w:qFormat/>
    <w:uiPriority w:val="0"/>
    <w:rPr>
      <w:rFonts w:ascii="仿宋_GB2312" w:eastAsia="仿宋_GB2312"/>
      <w:b/>
      <w:sz w:val="32"/>
      <w:szCs w:val="32"/>
    </w:rPr>
  </w:style>
  <w:style w:type="paragraph" w:customStyle="1" w:styleId="141">
    <w:name w:val="默认段落字体 Para Char"/>
    <w:basedOn w:val="1"/>
    <w:qFormat/>
    <w:uiPriority w:val="0"/>
    <w:rPr>
      <w:rFonts w:ascii="Tahoma" w:hAnsi="Tahoma"/>
      <w:sz w:val="24"/>
    </w:rPr>
  </w:style>
  <w:style w:type="paragraph" w:customStyle="1" w:styleId="14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43">
    <w:name w:val="表格"/>
    <w:basedOn w:val="1"/>
    <w:qFormat/>
    <w:uiPriority w:val="0"/>
    <w:pPr>
      <w:snapToGrid w:val="0"/>
      <w:ind w:firstLine="42" w:firstLineChars="21"/>
    </w:pPr>
    <w:rPr>
      <w:rFonts w:ascii="宋体" w:hAnsi="宋体"/>
      <w:kern w:val="0"/>
      <w:sz w:val="20"/>
    </w:rPr>
  </w:style>
  <w:style w:type="paragraph" w:customStyle="1" w:styleId="14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45">
    <w:name w:val="规范正文"/>
    <w:basedOn w:val="1"/>
    <w:qFormat/>
    <w:uiPriority w:val="0"/>
    <w:pPr>
      <w:numPr>
        <w:ilvl w:val="0"/>
        <w:numId w:val="7"/>
      </w:numPr>
      <w:adjustRightInd w:val="0"/>
      <w:spacing w:before="156" w:beforeLines="50" w:line="360" w:lineRule="auto"/>
      <w:textAlignment w:val="baseline"/>
    </w:pPr>
  </w:style>
  <w:style w:type="paragraph" w:customStyle="1" w:styleId="146">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rPr>
      <w:rFonts w:ascii="宋体" w:hAnsi="宋体"/>
      <w:kern w:val="0"/>
      <w:sz w:val="28"/>
      <w:szCs w:val="28"/>
      <w:lang w:eastAsia="en-US"/>
    </w:rPr>
  </w:style>
  <w:style w:type="paragraph" w:customStyle="1" w:styleId="147">
    <w:name w:val="标题五"/>
    <w:basedOn w:val="1"/>
    <w:qFormat/>
    <w:uiPriority w:val="0"/>
    <w:pPr>
      <w:numPr>
        <w:ilvl w:val="0"/>
        <w:numId w:val="8"/>
      </w:numPr>
      <w:tabs>
        <w:tab w:val="left" w:pos="1440"/>
      </w:tabs>
      <w:spacing w:before="156" w:beforeLines="50" w:line="360" w:lineRule="auto"/>
    </w:pPr>
    <w:rPr>
      <w:b/>
      <w:sz w:val="24"/>
      <w:szCs w:val="24"/>
    </w:rPr>
  </w:style>
  <w:style w:type="paragraph" w:customStyle="1" w:styleId="148">
    <w:name w:val="正文文字表格居中"/>
    <w:basedOn w:val="1"/>
    <w:next w:val="38"/>
    <w:qFormat/>
    <w:uiPriority w:val="0"/>
    <w:pPr>
      <w:snapToGrid w:val="0"/>
      <w:spacing w:line="360" w:lineRule="auto"/>
    </w:pPr>
    <w:rPr>
      <w:rFonts w:ascii="宋体"/>
      <w:b/>
      <w:sz w:val="24"/>
    </w:rPr>
  </w:style>
  <w:style w:type="paragraph" w:customStyle="1" w:styleId="149">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rPr>
  </w:style>
  <w:style w:type="paragraph" w:customStyle="1" w:styleId="15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51">
    <w:name w:val="小标题"/>
    <w:basedOn w:val="1"/>
    <w:qFormat/>
    <w:uiPriority w:val="0"/>
    <w:pPr>
      <w:adjustRightInd w:val="0"/>
      <w:spacing w:before="120" w:line="360" w:lineRule="atLeast"/>
      <w:ind w:left="1134"/>
      <w:jc w:val="left"/>
      <w:textAlignment w:val="baseline"/>
    </w:pPr>
    <w:rPr>
      <w:rFonts w:eastAsia="黑体"/>
      <w:kern w:val="0"/>
    </w:rPr>
  </w:style>
  <w:style w:type="paragraph" w:customStyle="1" w:styleId="152">
    <w:name w:val="此正文"/>
    <w:basedOn w:val="1"/>
    <w:qFormat/>
    <w:uiPriority w:val="0"/>
    <w:pPr>
      <w:spacing w:line="360" w:lineRule="auto"/>
      <w:ind w:firstLine="200" w:firstLineChars="200"/>
    </w:pPr>
    <w:rPr>
      <w:sz w:val="24"/>
      <w:szCs w:val="24"/>
    </w:rPr>
  </w:style>
  <w:style w:type="paragraph" w:customStyle="1" w:styleId="153">
    <w:name w:val="CM8"/>
    <w:basedOn w:val="90"/>
    <w:next w:val="90"/>
    <w:qFormat/>
    <w:uiPriority w:val="0"/>
    <w:pPr>
      <w:spacing w:line="400" w:lineRule="atLeast"/>
    </w:pPr>
    <w:rPr>
      <w:rFonts w:cs="Times New Roman"/>
      <w:color w:val="auto"/>
    </w:rPr>
  </w:style>
  <w:style w:type="paragraph" w:customStyle="1" w:styleId="154">
    <w:name w:val="默认段落字体 Para Char Char Char Char Char Char Char"/>
    <w:basedOn w:val="1"/>
    <w:qFormat/>
    <w:uiPriority w:val="0"/>
    <w:rPr>
      <w:rFonts w:eastAsia="仿宋_GB2312"/>
      <w:sz w:val="28"/>
    </w:rPr>
  </w:style>
  <w:style w:type="paragraph" w:customStyle="1" w:styleId="155">
    <w:name w:val="CM7"/>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56">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57">
    <w:name w:val="CM6"/>
    <w:basedOn w:val="90"/>
    <w:next w:val="90"/>
    <w:qFormat/>
    <w:uiPriority w:val="0"/>
    <w:pPr>
      <w:spacing w:line="400" w:lineRule="atLeast"/>
    </w:pPr>
    <w:rPr>
      <w:rFonts w:cs="Times New Roman"/>
      <w:color w:val="auto"/>
    </w:rPr>
  </w:style>
  <w:style w:type="paragraph" w:customStyle="1" w:styleId="158">
    <w:name w:val="标准正文"/>
    <w:basedOn w:val="1"/>
    <w:qFormat/>
    <w:uiPriority w:val="0"/>
    <w:pPr>
      <w:spacing w:before="60" w:after="60" w:line="360" w:lineRule="auto"/>
      <w:ind w:firstLine="482" w:firstLineChars="200"/>
    </w:pPr>
    <w:rPr>
      <w:rFonts w:ascii="Arial" w:hAnsi="Arial"/>
      <w:b/>
      <w:sz w:val="24"/>
    </w:rPr>
  </w:style>
  <w:style w:type="paragraph" w:customStyle="1" w:styleId="159">
    <w:name w:val="Char Char Char Char Char Char Char"/>
    <w:basedOn w:val="1"/>
    <w:qFormat/>
    <w:uiPriority w:val="0"/>
    <w:pPr>
      <w:numPr>
        <w:ilvl w:val="0"/>
        <w:numId w:val="9"/>
      </w:numPr>
      <w:spacing w:line="360" w:lineRule="auto"/>
    </w:pPr>
    <w:rPr>
      <w:rFonts w:ascii="仿宋_GB2312" w:eastAsia="仿宋_GB2312"/>
      <w:kern w:val="0"/>
      <w:sz w:val="24"/>
      <w:szCs w:val="24"/>
      <w:lang w:val="zh-CN"/>
    </w:rPr>
  </w:style>
  <w:style w:type="paragraph" w:customStyle="1" w:styleId="160">
    <w:name w:val="List Paragraph1"/>
    <w:qFormat/>
    <w:uiPriority w:val="0"/>
    <w:pPr>
      <w:ind w:left="720"/>
    </w:pPr>
    <w:rPr>
      <w:rFonts w:ascii="Cambria" w:hAnsi="Cambria" w:eastAsia="ヒラギノ角ゴ Pro W3" w:cs="Times New Roman"/>
      <w:color w:val="000000"/>
      <w:sz w:val="24"/>
      <w:lang w:val="en-US" w:eastAsia="zh-CN" w:bidi="ar-SA"/>
    </w:rPr>
  </w:style>
  <w:style w:type="paragraph" w:customStyle="1" w:styleId="161">
    <w:name w:val="样式 左侧:  0.85 厘米 首行缩进:  0.85 厘米"/>
    <w:basedOn w:val="1"/>
    <w:qFormat/>
    <w:uiPriority w:val="0"/>
    <w:pPr>
      <w:spacing w:line="360" w:lineRule="auto"/>
      <w:ind w:firstLine="482"/>
    </w:pPr>
    <w:rPr>
      <w:rFonts w:cs="宋体"/>
      <w:sz w:val="24"/>
    </w:rPr>
  </w:style>
  <w:style w:type="paragraph" w:customStyle="1" w:styleId="162">
    <w:name w:val="标准小四"/>
    <w:basedOn w:val="1"/>
    <w:qFormat/>
    <w:uiPriority w:val="0"/>
    <w:pPr>
      <w:spacing w:line="360" w:lineRule="auto"/>
      <w:ind w:firstLine="480" w:firstLineChars="200"/>
    </w:pPr>
    <w:rPr>
      <w:rFonts w:ascii="Arial" w:hAnsi="Arial"/>
      <w:sz w:val="24"/>
      <w:szCs w:val="21"/>
    </w:rPr>
  </w:style>
  <w:style w:type="paragraph" w:customStyle="1" w:styleId="163">
    <w:name w:val="CM5"/>
    <w:basedOn w:val="90"/>
    <w:next w:val="90"/>
    <w:qFormat/>
    <w:uiPriority w:val="0"/>
    <w:pPr>
      <w:spacing w:line="400" w:lineRule="atLeast"/>
    </w:pPr>
    <w:rPr>
      <w:rFonts w:cs="Times New Roman"/>
      <w:color w:val="auto"/>
    </w:rPr>
  </w:style>
  <w:style w:type="paragraph" w:customStyle="1" w:styleId="164">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65">
    <w:name w:val="Char Char1"/>
    <w:basedOn w:val="1"/>
    <w:qFormat/>
    <w:uiPriority w:val="0"/>
    <w:pPr>
      <w:widowControl/>
      <w:spacing w:after="160" w:line="240" w:lineRule="exact"/>
      <w:jc w:val="left"/>
    </w:pPr>
    <w:rPr>
      <w:rFonts w:eastAsia="仿宋_GB2312"/>
      <w:sz w:val="28"/>
    </w:rPr>
  </w:style>
  <w:style w:type="paragraph" w:customStyle="1" w:styleId="166">
    <w:name w:val="Char12"/>
    <w:basedOn w:val="1"/>
    <w:qFormat/>
    <w:uiPriority w:val="0"/>
    <w:rPr>
      <w:rFonts w:ascii="仿宋_GB2312" w:eastAsia="仿宋_GB2312"/>
      <w:b/>
      <w:sz w:val="32"/>
    </w:rPr>
  </w:style>
  <w:style w:type="paragraph" w:customStyle="1" w:styleId="1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0">
    <w:name w:val="默认段落字体 Para Char Char Char1 Char"/>
    <w:basedOn w:val="1"/>
    <w:qFormat/>
    <w:uiPriority w:val="0"/>
    <w:pPr>
      <w:spacing w:line="240" w:lineRule="atLeast"/>
      <w:ind w:left="420" w:firstLine="420"/>
    </w:pPr>
    <w:rPr>
      <w:sz w:val="24"/>
      <w:szCs w:val="24"/>
    </w:rPr>
  </w:style>
  <w:style w:type="paragraph" w:customStyle="1" w:styleId="171">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172">
    <w:name w:val="MM Topic 5"/>
    <w:basedOn w:val="6"/>
    <w:qFormat/>
    <w:uiPriority w:val="0"/>
    <w:pPr>
      <w:numPr>
        <w:ilvl w:val="4"/>
        <w:numId w:val="5"/>
      </w:numPr>
      <w:tabs>
        <w:tab w:val="clear" w:pos="992"/>
      </w:tabs>
    </w:pPr>
    <w:rPr>
      <w:bCs/>
      <w:szCs w:val="28"/>
    </w:rPr>
  </w:style>
  <w:style w:type="paragraph" w:customStyle="1" w:styleId="173">
    <w:name w:val="CM25"/>
    <w:basedOn w:val="90"/>
    <w:next w:val="90"/>
    <w:qFormat/>
    <w:uiPriority w:val="0"/>
    <w:pPr>
      <w:spacing w:line="400" w:lineRule="atLeast"/>
    </w:pPr>
    <w:rPr>
      <w:rFonts w:cs="Times New Roman"/>
      <w:color w:val="auto"/>
    </w:rPr>
  </w:style>
  <w:style w:type="paragraph" w:customStyle="1" w:styleId="174">
    <w:name w:val="正文段"/>
    <w:basedOn w:val="1"/>
    <w:qFormat/>
    <w:uiPriority w:val="0"/>
    <w:pPr>
      <w:widowControl/>
      <w:snapToGrid w:val="0"/>
      <w:spacing w:after="156" w:afterLines="50"/>
      <w:ind w:firstLine="200" w:firstLineChars="200"/>
    </w:pPr>
    <w:rPr>
      <w:kern w:val="0"/>
      <w:sz w:val="24"/>
    </w:rPr>
  </w:style>
  <w:style w:type="paragraph" w:customStyle="1" w:styleId="175">
    <w:name w:val="a1"/>
    <w:basedOn w:val="1"/>
    <w:qFormat/>
    <w:uiPriority w:val="0"/>
    <w:pPr>
      <w:widowControl/>
      <w:spacing w:line="300" w:lineRule="atLeast"/>
      <w:jc w:val="left"/>
    </w:pPr>
    <w:rPr>
      <w:rFonts w:ascii="宋体" w:hAnsi="宋体"/>
      <w:kern w:val="0"/>
      <w:sz w:val="18"/>
    </w:rPr>
  </w:style>
  <w:style w:type="paragraph" w:customStyle="1" w:styleId="176">
    <w:name w:val="2"/>
    <w:basedOn w:val="1"/>
    <w:qFormat/>
    <w:uiPriority w:val="0"/>
    <w:rPr>
      <w:rFonts w:ascii="Tahoma" w:hAnsi="Tahoma"/>
      <w:sz w:val="24"/>
    </w:rPr>
  </w:style>
  <w:style w:type="paragraph" w:customStyle="1" w:styleId="177">
    <w:name w:val="MM Topic 4"/>
    <w:basedOn w:val="5"/>
    <w:qFormat/>
    <w:uiPriority w:val="0"/>
    <w:pPr>
      <w:numPr>
        <w:ilvl w:val="3"/>
        <w:numId w:val="5"/>
      </w:numPr>
      <w:tabs>
        <w:tab w:val="clear" w:pos="851"/>
      </w:tabs>
    </w:pPr>
    <w:rPr>
      <w:bCs/>
      <w:szCs w:val="28"/>
      <w:lang w:val="en-US"/>
    </w:rPr>
  </w:style>
  <w:style w:type="paragraph" w:customStyle="1" w:styleId="178">
    <w:name w:val="正文样式 首行缩进:  0.74 厘米"/>
    <w:basedOn w:val="1"/>
    <w:qFormat/>
    <w:uiPriority w:val="0"/>
    <w:pPr>
      <w:spacing w:before="156" w:beforeLines="50" w:line="360" w:lineRule="auto"/>
      <w:ind w:firstLine="420"/>
    </w:pPr>
    <w:rPr>
      <w:rFonts w:cs="宋体"/>
      <w:sz w:val="24"/>
    </w:rPr>
  </w:style>
  <w:style w:type="paragraph" w:customStyle="1" w:styleId="179">
    <w:name w:val="Char Char1 Char Char Char Char Char Char1"/>
    <w:basedOn w:val="1"/>
    <w:qFormat/>
    <w:uiPriority w:val="0"/>
    <w:rPr>
      <w:rFonts w:ascii="仿宋_GB2312" w:eastAsia="仿宋_GB2312"/>
      <w:b/>
      <w:sz w:val="32"/>
    </w:rPr>
  </w:style>
  <w:style w:type="paragraph" w:customStyle="1" w:styleId="180">
    <w:name w:val="注释"/>
    <w:basedOn w:val="1"/>
    <w:qFormat/>
    <w:uiPriority w:val="0"/>
    <w:pPr>
      <w:spacing w:line="360" w:lineRule="auto"/>
      <w:ind w:firstLine="480"/>
    </w:pPr>
    <w:rPr>
      <w:sz w:val="24"/>
      <w:szCs w:val="24"/>
    </w:rPr>
  </w:style>
  <w:style w:type="paragraph" w:customStyle="1" w:styleId="181">
    <w:name w:val="样式"/>
    <w:basedOn w:val="1"/>
    <w:qFormat/>
    <w:uiPriority w:val="0"/>
    <w:pPr>
      <w:autoSpaceDE w:val="0"/>
      <w:autoSpaceDN w:val="0"/>
      <w:snapToGrid w:val="0"/>
      <w:spacing w:before="120" w:after="120" w:line="360" w:lineRule="auto"/>
    </w:pPr>
    <w:rPr>
      <w:rFonts w:ascii="宋体"/>
      <w:sz w:val="24"/>
    </w:rPr>
  </w:style>
  <w:style w:type="paragraph" w:customStyle="1" w:styleId="18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83">
    <w:name w:val="Char Char Char Char Char Char Char1"/>
    <w:basedOn w:val="1"/>
    <w:qFormat/>
    <w:uiPriority w:val="0"/>
    <w:rPr>
      <w:rFonts w:ascii="仿宋_GB2312" w:eastAsia="仿宋_GB2312"/>
      <w:b/>
      <w:sz w:val="32"/>
      <w:szCs w:val="32"/>
    </w:rPr>
  </w:style>
  <w:style w:type="paragraph" w:customStyle="1" w:styleId="1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5">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186">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87">
    <w:name w:val="表格（小）"/>
    <w:basedOn w:val="1"/>
    <w:qFormat/>
    <w:uiPriority w:val="0"/>
    <w:pPr>
      <w:snapToGrid w:val="0"/>
      <w:spacing w:line="300" w:lineRule="auto"/>
    </w:pPr>
    <w:rPr>
      <w:rFonts w:eastAsia="仿宋"/>
      <w:szCs w:val="21"/>
    </w:rPr>
  </w:style>
  <w:style w:type="paragraph" w:customStyle="1" w:styleId="188">
    <w:name w:val="p15"/>
    <w:basedOn w:val="1"/>
    <w:unhideWhenUsed/>
    <w:qFormat/>
    <w:uiPriority w:val="99"/>
    <w:pPr>
      <w:widowControl/>
    </w:pPr>
    <w:rPr>
      <w:rFonts w:hint="eastAsia" w:ascii="宋体" w:hAnsi="宋体"/>
      <w:b/>
    </w:rPr>
  </w:style>
  <w:style w:type="paragraph" w:customStyle="1" w:styleId="189">
    <w:name w:val="0"/>
    <w:basedOn w:val="1"/>
    <w:qFormat/>
    <w:uiPriority w:val="0"/>
    <w:pPr>
      <w:widowControl/>
    </w:pPr>
    <w:rPr>
      <w:kern w:val="0"/>
      <w:sz w:val="24"/>
    </w:rPr>
  </w:style>
  <w:style w:type="paragraph" w:customStyle="1" w:styleId="1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191">
    <w:name w:val="数字标题4"/>
    <w:basedOn w:val="5"/>
    <w:qFormat/>
    <w:uiPriority w:val="0"/>
    <w:pPr>
      <w:tabs>
        <w:tab w:val="clear" w:pos="864"/>
      </w:tabs>
      <w:spacing w:line="240" w:lineRule="auto"/>
      <w:ind w:left="0" w:firstLine="0"/>
    </w:pPr>
    <w:rPr>
      <w:rFonts w:ascii="仿宋_GB2312" w:hAnsi="Times New Roman" w:eastAsia="仿宋_GB2312"/>
      <w:sz w:val="24"/>
      <w:lang w:val="en-US"/>
    </w:rPr>
  </w:style>
  <w:style w:type="paragraph" w:customStyle="1" w:styleId="192">
    <w:name w:val="p0"/>
    <w:basedOn w:val="1"/>
    <w:unhideWhenUsed/>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17460</Words>
  <Characters>18293</Characters>
  <Lines>145</Lines>
  <Paragraphs>41</Paragraphs>
  <TotalTime>37</TotalTime>
  <ScaleCrop>false</ScaleCrop>
  <LinksUpToDate>false</LinksUpToDate>
  <CharactersWithSpaces>19315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2024-06-14T00:48:00Z</dcterms:created>
  <dc:creator>孙雷</dc:creator>
  <cp:lastModifiedBy>小桃儿</cp:lastModifiedBy>
  <cp:lastPrinted>2023-02-23T09:51:00Z</cp:lastPrinted>
  <dcterms:modified xsi:type="dcterms:W3CDTF">2024-12-18T13:51:40Z</dcterms:modified>
  <dc:title>荣大招标公开招标文件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_DocHome">
    <vt:r8>-1772885536</vt:r8>
  </property>
  <property fmtid="{D5CDD505-2E9C-101B-9397-08002B2CF9AE}" pid="4" name="ICV">
    <vt:lpwstr>19D9FAA5940A413181CBD42537FB4E2C_13</vt:lpwstr>
  </property>
</Properties>
</file>