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EF57D8">
      <w:pPr>
        <w:pStyle w:val="42"/>
        <w:jc w:val="right"/>
        <w:rPr>
          <w:rFonts w:ascii="宋体" w:hAnsi="宋体"/>
          <w:highlight w:val="none"/>
        </w:rPr>
      </w:pPr>
      <w:bookmarkStart w:id="0" w:name="_Toc36110187"/>
      <w:bookmarkStart w:id="1" w:name="_Toc131845147"/>
      <w:bookmarkStart w:id="2" w:name="_Toc164085800"/>
      <w:bookmarkStart w:id="3" w:name="_Toc91899912"/>
    </w:p>
    <w:p w14:paraId="5D86D6B9">
      <w:pPr>
        <w:spacing w:line="360" w:lineRule="auto"/>
        <w:jc w:val="center"/>
        <w:rPr>
          <w:rFonts w:ascii="宋体" w:hAnsi="宋体"/>
          <w:b/>
          <w:sz w:val="48"/>
          <w:szCs w:val="48"/>
          <w:highlight w:val="none"/>
        </w:rPr>
      </w:pPr>
    </w:p>
    <w:p w14:paraId="43F1E8C3">
      <w:pPr>
        <w:spacing w:line="360" w:lineRule="auto"/>
        <w:jc w:val="center"/>
        <w:rPr>
          <w:rFonts w:hint="eastAsia" w:ascii="宋体" w:hAnsi="宋体" w:eastAsia="宋体"/>
          <w:b/>
          <w:sz w:val="52"/>
          <w:szCs w:val="52"/>
          <w:highlight w:val="none"/>
          <w:lang w:eastAsia="zh-CN"/>
        </w:rPr>
      </w:pPr>
      <w:r>
        <w:rPr>
          <w:rFonts w:hint="eastAsia" w:ascii="宋体" w:hAnsi="宋体"/>
          <w:b/>
          <w:sz w:val="52"/>
          <w:szCs w:val="52"/>
          <w:highlight w:val="none"/>
          <w:lang w:eastAsia="zh-CN"/>
        </w:rPr>
        <w:t>杭州市民政局</w:t>
      </w:r>
    </w:p>
    <w:p w14:paraId="0D0BB753">
      <w:pPr>
        <w:spacing w:line="360" w:lineRule="auto"/>
        <w:jc w:val="center"/>
        <w:rPr>
          <w:rFonts w:hint="eastAsia" w:ascii="宋体" w:hAnsi="宋体"/>
          <w:b/>
          <w:sz w:val="52"/>
          <w:szCs w:val="52"/>
          <w:highlight w:val="none"/>
          <w:lang w:val="en-US" w:eastAsia="zh-CN"/>
        </w:rPr>
      </w:pPr>
      <w:r>
        <w:rPr>
          <w:rFonts w:hint="eastAsia" w:ascii="宋体" w:hAnsi="宋体"/>
          <w:b/>
          <w:sz w:val="52"/>
          <w:szCs w:val="52"/>
          <w:highlight w:val="none"/>
          <w:lang w:val="en-US" w:eastAsia="zh-CN"/>
        </w:rPr>
        <w:t>2025年上半年局属事业单位</w:t>
      </w:r>
    </w:p>
    <w:p w14:paraId="1099B6B1">
      <w:pPr>
        <w:spacing w:line="360" w:lineRule="auto"/>
        <w:jc w:val="center"/>
        <w:rPr>
          <w:rFonts w:hint="default" w:ascii="宋体" w:hAnsi="宋体"/>
          <w:b/>
          <w:sz w:val="52"/>
          <w:szCs w:val="52"/>
          <w:highlight w:val="none"/>
          <w:lang w:val="en-US"/>
        </w:rPr>
      </w:pPr>
      <w:r>
        <w:rPr>
          <w:rFonts w:hint="eastAsia" w:ascii="宋体" w:hAnsi="宋体"/>
          <w:b/>
          <w:sz w:val="52"/>
          <w:szCs w:val="52"/>
          <w:highlight w:val="none"/>
          <w:lang w:val="en-US" w:eastAsia="zh-CN"/>
        </w:rPr>
        <w:t>公款竞争性存放项目</w:t>
      </w:r>
    </w:p>
    <w:p w14:paraId="42A8FBA5">
      <w:pPr>
        <w:spacing w:line="360" w:lineRule="auto"/>
        <w:jc w:val="center"/>
        <w:rPr>
          <w:rFonts w:ascii="宋体" w:hAnsi="宋体"/>
          <w:b/>
          <w:sz w:val="44"/>
          <w:szCs w:val="44"/>
          <w:highlight w:val="none"/>
        </w:rPr>
      </w:pPr>
    </w:p>
    <w:p w14:paraId="7A9FB66E">
      <w:pPr>
        <w:jc w:val="center"/>
        <w:rPr>
          <w:rFonts w:ascii="宋体" w:hAnsi="宋体"/>
          <w:b/>
          <w:sz w:val="72"/>
          <w:highlight w:val="none"/>
        </w:rPr>
      </w:pPr>
      <w:r>
        <w:rPr>
          <w:rFonts w:hint="eastAsia" w:ascii="宋体" w:hAnsi="宋体"/>
          <w:b/>
          <w:sz w:val="72"/>
          <w:highlight w:val="none"/>
        </w:rPr>
        <w:t>公开招标文件</w:t>
      </w:r>
    </w:p>
    <w:p w14:paraId="6C3A1A9D">
      <w:pPr>
        <w:jc w:val="center"/>
        <w:rPr>
          <w:rFonts w:ascii="宋体" w:hAnsi="宋体"/>
          <w:sz w:val="44"/>
          <w:highlight w:val="none"/>
        </w:rPr>
      </w:pPr>
    </w:p>
    <w:p w14:paraId="3785D6E0">
      <w:pPr>
        <w:spacing w:line="360" w:lineRule="auto"/>
        <w:ind w:firstLine="1656" w:firstLineChars="550"/>
        <w:rPr>
          <w:rFonts w:hint="eastAsia" w:ascii="宋体" w:hAnsi="宋体" w:eastAsia="宋体"/>
          <w:b/>
          <w:sz w:val="30"/>
          <w:szCs w:val="30"/>
          <w:highlight w:val="none"/>
          <w:lang w:eastAsia="zh-CN"/>
        </w:rPr>
      </w:pPr>
      <w:r>
        <w:rPr>
          <w:rFonts w:hint="eastAsia" w:ascii="宋体" w:hAnsi="宋体"/>
          <w:b/>
          <w:sz w:val="30"/>
          <w:szCs w:val="30"/>
          <w:highlight w:val="none"/>
        </w:rPr>
        <w:t>招标编号：</w:t>
      </w:r>
      <w:r>
        <w:rPr>
          <w:rFonts w:hint="eastAsia" w:ascii="宋体" w:hAnsi="宋体"/>
          <w:b/>
          <w:sz w:val="30"/>
          <w:szCs w:val="30"/>
          <w:highlight w:val="none"/>
          <w:lang w:eastAsia="zh-CN"/>
        </w:rPr>
        <w:t>JACG-YH-2025002</w:t>
      </w:r>
    </w:p>
    <w:p w14:paraId="77DFABCC">
      <w:pPr>
        <w:spacing w:line="360" w:lineRule="auto"/>
        <w:ind w:firstLine="1656" w:firstLineChars="550"/>
        <w:rPr>
          <w:rFonts w:ascii="宋体" w:hAnsi="宋体"/>
          <w:b/>
          <w:sz w:val="30"/>
          <w:szCs w:val="30"/>
          <w:highlight w:val="none"/>
        </w:rPr>
      </w:pPr>
      <w:r>
        <w:rPr>
          <w:rFonts w:hint="eastAsia" w:ascii="宋体" w:hAnsi="宋体"/>
          <w:b/>
          <w:sz w:val="30"/>
          <w:szCs w:val="30"/>
          <w:highlight w:val="none"/>
        </w:rPr>
        <w:t>项目名称：</w:t>
      </w:r>
      <w:r>
        <w:rPr>
          <w:rFonts w:hint="eastAsia" w:ascii="宋体" w:hAnsi="宋体"/>
          <w:b/>
          <w:sz w:val="30"/>
          <w:szCs w:val="30"/>
          <w:highlight w:val="none"/>
          <w:lang w:eastAsia="zh-CN"/>
        </w:rPr>
        <w:t>2025年上半年局属事业单位公款竞争性存放项目</w:t>
      </w:r>
    </w:p>
    <w:p w14:paraId="54468B7A">
      <w:pPr>
        <w:spacing w:line="360" w:lineRule="auto"/>
        <w:ind w:firstLine="1656" w:firstLineChars="550"/>
        <w:rPr>
          <w:rFonts w:ascii="宋体" w:hAnsi="宋体"/>
          <w:b/>
          <w:sz w:val="30"/>
          <w:szCs w:val="30"/>
          <w:highlight w:val="none"/>
        </w:rPr>
      </w:pPr>
      <w:r>
        <w:rPr>
          <w:rFonts w:hint="eastAsia" w:ascii="宋体" w:hAnsi="宋体"/>
          <w:b/>
          <w:sz w:val="30"/>
          <w:szCs w:val="30"/>
          <w:highlight w:val="none"/>
        </w:rPr>
        <w:t>采购方式：公开招标</w:t>
      </w:r>
    </w:p>
    <w:p w14:paraId="577AA38E">
      <w:pPr>
        <w:spacing w:line="360" w:lineRule="auto"/>
        <w:rPr>
          <w:rFonts w:ascii="宋体" w:hAnsi="宋体"/>
          <w:sz w:val="32"/>
          <w:highlight w:val="none"/>
        </w:rPr>
      </w:pPr>
    </w:p>
    <w:p w14:paraId="47A590EC">
      <w:pPr>
        <w:spacing w:line="360" w:lineRule="auto"/>
        <w:rPr>
          <w:rFonts w:ascii="宋体" w:hAnsi="宋体"/>
          <w:sz w:val="32"/>
          <w:highlight w:val="none"/>
        </w:rPr>
      </w:pPr>
    </w:p>
    <w:p w14:paraId="36B1D265">
      <w:pPr>
        <w:spacing w:line="360" w:lineRule="auto"/>
        <w:rPr>
          <w:rFonts w:ascii="宋体" w:hAnsi="宋体"/>
          <w:sz w:val="32"/>
          <w:highlight w:val="none"/>
        </w:rPr>
      </w:pPr>
    </w:p>
    <w:p w14:paraId="529D8D7F">
      <w:pPr>
        <w:spacing w:line="360" w:lineRule="auto"/>
        <w:ind w:firstLine="1440" w:firstLineChars="450"/>
        <w:jc w:val="left"/>
        <w:rPr>
          <w:rFonts w:hint="eastAsia" w:ascii="宋体" w:hAnsi="宋体" w:eastAsia="宋体"/>
          <w:sz w:val="32"/>
          <w:highlight w:val="none"/>
          <w:lang w:eastAsia="zh-CN"/>
        </w:rPr>
      </w:pPr>
      <w:r>
        <w:rPr>
          <w:rFonts w:hint="eastAsia" w:ascii="宋体" w:hAnsi="宋体"/>
          <w:sz w:val="32"/>
          <w:highlight w:val="none"/>
        </w:rPr>
        <w:t>招   标   人：</w:t>
      </w:r>
      <w:r>
        <w:rPr>
          <w:rFonts w:hint="eastAsia" w:ascii="宋体" w:hAnsi="宋体"/>
          <w:sz w:val="32"/>
          <w:highlight w:val="none"/>
          <w:lang w:eastAsia="zh-CN"/>
        </w:rPr>
        <w:t>杭州市民政局</w:t>
      </w:r>
    </w:p>
    <w:p w14:paraId="04730BAD">
      <w:pPr>
        <w:spacing w:line="360" w:lineRule="auto"/>
        <w:ind w:firstLine="1440" w:firstLineChars="450"/>
        <w:jc w:val="left"/>
        <w:rPr>
          <w:rFonts w:hint="eastAsia" w:ascii="宋体" w:hAnsi="宋体" w:eastAsia="宋体"/>
          <w:sz w:val="32"/>
          <w:highlight w:val="none"/>
          <w:lang w:eastAsia="zh-CN"/>
        </w:rPr>
      </w:pPr>
      <w:r>
        <w:rPr>
          <w:rFonts w:hint="eastAsia" w:ascii="宋体" w:hAnsi="宋体"/>
          <w:sz w:val="32"/>
          <w:highlight w:val="none"/>
        </w:rPr>
        <w:t>招标代理机构：</w:t>
      </w:r>
      <w:r>
        <w:rPr>
          <w:rFonts w:hint="eastAsia" w:ascii="宋体" w:hAnsi="宋体"/>
          <w:sz w:val="32"/>
          <w:highlight w:val="none"/>
          <w:lang w:eastAsia="zh-CN"/>
        </w:rPr>
        <w:t>浙江建安工程管理有限公司</w:t>
      </w:r>
    </w:p>
    <w:p w14:paraId="3CC7289D">
      <w:pPr>
        <w:spacing w:line="360" w:lineRule="auto"/>
        <w:ind w:firstLine="1440" w:firstLineChars="450"/>
        <w:jc w:val="left"/>
        <w:rPr>
          <w:rFonts w:ascii="宋体" w:hAnsi="宋体"/>
          <w:sz w:val="32"/>
          <w:highlight w:val="none"/>
        </w:rPr>
      </w:pPr>
      <w:bookmarkStart w:id="4" w:name="_Hlt67893495"/>
      <w:bookmarkEnd w:id="4"/>
      <w:bookmarkStart w:id="5" w:name="_Toc91899869"/>
      <w:r>
        <w:rPr>
          <w:rFonts w:hint="eastAsia" w:ascii="宋体" w:hAnsi="宋体"/>
          <w:sz w:val="32"/>
          <w:highlight w:val="none"/>
        </w:rPr>
        <w:t>日        期：二〇二</w:t>
      </w:r>
      <w:r>
        <w:rPr>
          <w:rFonts w:hint="eastAsia" w:ascii="宋体" w:hAnsi="宋体"/>
          <w:sz w:val="32"/>
          <w:highlight w:val="none"/>
          <w:lang w:val="en-US" w:eastAsia="zh-CN"/>
        </w:rPr>
        <w:t>五</w:t>
      </w:r>
      <w:r>
        <w:rPr>
          <w:rFonts w:hint="eastAsia" w:ascii="宋体" w:hAnsi="宋体"/>
          <w:sz w:val="32"/>
          <w:highlight w:val="none"/>
        </w:rPr>
        <w:t>年</w:t>
      </w:r>
      <w:r>
        <w:rPr>
          <w:rFonts w:hint="eastAsia" w:ascii="宋体" w:hAnsi="宋体"/>
          <w:sz w:val="32"/>
          <w:highlight w:val="none"/>
          <w:lang w:val="en-US" w:eastAsia="zh-CN"/>
        </w:rPr>
        <w:t>二</w:t>
      </w:r>
      <w:r>
        <w:rPr>
          <w:rFonts w:hint="eastAsia" w:ascii="宋体" w:hAnsi="宋体"/>
          <w:sz w:val="32"/>
          <w:highlight w:val="none"/>
        </w:rPr>
        <w:t>月</w:t>
      </w:r>
    </w:p>
    <w:p w14:paraId="3341102F">
      <w:pPr>
        <w:autoSpaceDE w:val="0"/>
        <w:autoSpaceDN w:val="0"/>
        <w:spacing w:line="360" w:lineRule="auto"/>
        <w:jc w:val="center"/>
        <w:rPr>
          <w:rFonts w:ascii="宋体" w:hAnsi="宋体"/>
          <w:b/>
          <w:bCs/>
          <w:kern w:val="0"/>
          <w:sz w:val="44"/>
          <w:szCs w:val="44"/>
          <w:highlight w:val="none"/>
        </w:rPr>
      </w:pPr>
    </w:p>
    <w:p w14:paraId="478E028C">
      <w:pPr>
        <w:pStyle w:val="2"/>
        <w:ind w:firstLine="883"/>
        <w:rPr>
          <w:b/>
          <w:bCs/>
          <w:kern w:val="0"/>
          <w:sz w:val="44"/>
          <w:szCs w:val="44"/>
          <w:highlight w:val="none"/>
        </w:rPr>
      </w:pPr>
    </w:p>
    <w:p w14:paraId="283F4735">
      <w:pPr>
        <w:pStyle w:val="2"/>
        <w:ind w:firstLine="883"/>
        <w:rPr>
          <w:b/>
          <w:bCs/>
          <w:kern w:val="0"/>
          <w:sz w:val="44"/>
          <w:szCs w:val="44"/>
          <w:highlight w:val="none"/>
        </w:rPr>
      </w:pPr>
    </w:p>
    <w:p w14:paraId="0A887864">
      <w:pPr>
        <w:autoSpaceDE w:val="0"/>
        <w:autoSpaceDN w:val="0"/>
        <w:spacing w:line="360" w:lineRule="auto"/>
        <w:jc w:val="center"/>
        <w:rPr>
          <w:rFonts w:ascii="宋体" w:hAnsi="宋体"/>
          <w:b/>
          <w:bCs/>
          <w:kern w:val="0"/>
          <w:sz w:val="44"/>
          <w:szCs w:val="44"/>
          <w:highlight w:val="none"/>
        </w:rPr>
      </w:pPr>
    </w:p>
    <w:p w14:paraId="49045696">
      <w:pPr>
        <w:autoSpaceDE w:val="0"/>
        <w:autoSpaceDN w:val="0"/>
        <w:spacing w:line="360" w:lineRule="auto"/>
        <w:jc w:val="center"/>
        <w:rPr>
          <w:rFonts w:ascii="宋体" w:hAnsi="宋体"/>
          <w:b/>
          <w:bCs/>
          <w:kern w:val="0"/>
          <w:sz w:val="44"/>
          <w:szCs w:val="44"/>
          <w:highlight w:val="none"/>
          <w:lang w:val="zh-CN"/>
        </w:rPr>
      </w:pPr>
      <w:r>
        <w:rPr>
          <w:rFonts w:hint="eastAsia" w:ascii="宋体" w:hAnsi="宋体"/>
          <w:b/>
          <w:bCs/>
          <w:kern w:val="0"/>
          <w:sz w:val="44"/>
          <w:szCs w:val="44"/>
          <w:highlight w:val="none"/>
          <w:lang w:val="zh-CN"/>
        </w:rPr>
        <w:t>目  录</w:t>
      </w:r>
    </w:p>
    <w:p w14:paraId="562ECAC1">
      <w:pPr>
        <w:pStyle w:val="33"/>
        <w:tabs>
          <w:tab w:val="right" w:leader="dot" w:pos="9460"/>
        </w:tabs>
        <w:snapToGrid w:val="0"/>
        <w:spacing w:line="360" w:lineRule="auto"/>
        <w:rPr>
          <w:rFonts w:ascii="宋体" w:hAnsi="宋体"/>
          <w:kern w:val="0"/>
          <w:sz w:val="48"/>
          <w:szCs w:val="28"/>
          <w:highlight w:val="none"/>
        </w:rPr>
      </w:pPr>
      <w:r>
        <w:rPr>
          <w:rFonts w:ascii="宋体" w:hAnsi="宋体"/>
          <w:kern w:val="0"/>
          <w:sz w:val="48"/>
          <w:szCs w:val="28"/>
          <w:highlight w:val="none"/>
        </w:rPr>
        <w:fldChar w:fldCharType="begin"/>
      </w:r>
      <w:r>
        <w:rPr>
          <w:rFonts w:hint="eastAsia" w:ascii="宋体" w:hAnsi="宋体"/>
          <w:kern w:val="0"/>
          <w:sz w:val="48"/>
          <w:szCs w:val="28"/>
          <w:highlight w:val="none"/>
        </w:rPr>
        <w:instrText xml:space="preserve">TOC \o "1-2" \h \z \u</w:instrText>
      </w:r>
      <w:r>
        <w:rPr>
          <w:rFonts w:ascii="宋体" w:hAnsi="宋体"/>
          <w:kern w:val="0"/>
          <w:sz w:val="48"/>
          <w:szCs w:val="28"/>
          <w:highlight w:val="none"/>
        </w:rPr>
        <w:fldChar w:fldCharType="separate"/>
      </w:r>
      <w:r>
        <w:rPr>
          <w:highlight w:val="none"/>
        </w:rPr>
        <w:fldChar w:fldCharType="begin"/>
      </w:r>
      <w:r>
        <w:rPr>
          <w:highlight w:val="none"/>
        </w:rPr>
        <w:instrText xml:space="preserve"> HYPERLINK \l "_Toc497397638" </w:instrText>
      </w:r>
      <w:r>
        <w:rPr>
          <w:highlight w:val="none"/>
        </w:rPr>
        <w:fldChar w:fldCharType="separate"/>
      </w:r>
      <w:r>
        <w:rPr>
          <w:rStyle w:val="53"/>
          <w:rFonts w:ascii="宋体" w:hAnsi="宋体"/>
          <w:color w:val="auto"/>
          <w:sz w:val="24"/>
          <w:highlight w:val="none"/>
        </w:rPr>
        <w:t>第一部分 公开招标公告</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_Toc497397638 \h </w:instrText>
      </w:r>
      <w:r>
        <w:rPr>
          <w:rFonts w:ascii="宋体" w:hAnsi="宋体"/>
          <w:sz w:val="24"/>
          <w:highlight w:val="none"/>
        </w:rPr>
        <w:fldChar w:fldCharType="separate"/>
      </w:r>
      <w:r>
        <w:rPr>
          <w:rFonts w:ascii="宋体" w:hAnsi="宋体"/>
          <w:sz w:val="24"/>
          <w:highlight w:val="none"/>
        </w:rPr>
        <w:t>3</w:t>
      </w:r>
      <w:r>
        <w:rPr>
          <w:rFonts w:ascii="宋体" w:hAnsi="宋体"/>
          <w:sz w:val="24"/>
          <w:highlight w:val="none"/>
        </w:rPr>
        <w:fldChar w:fldCharType="end"/>
      </w:r>
      <w:r>
        <w:rPr>
          <w:rFonts w:ascii="宋体" w:hAnsi="宋体"/>
          <w:sz w:val="24"/>
          <w:highlight w:val="none"/>
        </w:rPr>
        <w:fldChar w:fldCharType="end"/>
      </w:r>
    </w:p>
    <w:p w14:paraId="6EDEA20E">
      <w:pPr>
        <w:pStyle w:val="33"/>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"_Toc497397639" </w:instrText>
      </w:r>
      <w:r>
        <w:rPr>
          <w:highlight w:val="none"/>
        </w:rPr>
        <w:fldChar w:fldCharType="separate"/>
      </w:r>
      <w:r>
        <w:rPr>
          <w:rStyle w:val="53"/>
          <w:rFonts w:ascii="宋体" w:hAnsi="宋体"/>
          <w:color w:val="auto"/>
          <w:sz w:val="24"/>
          <w:highlight w:val="none"/>
        </w:rPr>
        <w:t>第二部分 编制和提交</w:t>
      </w:r>
      <w:r>
        <w:rPr>
          <w:rStyle w:val="53"/>
          <w:rFonts w:hint="eastAsia" w:ascii="宋体" w:hAnsi="宋体"/>
          <w:color w:val="auto"/>
          <w:sz w:val="24"/>
          <w:highlight w:val="none"/>
        </w:rPr>
        <w:t>投标文件</w:t>
      </w:r>
      <w:r>
        <w:rPr>
          <w:rStyle w:val="53"/>
          <w:rFonts w:ascii="宋体" w:hAnsi="宋体"/>
          <w:color w:val="auto"/>
          <w:sz w:val="24"/>
          <w:highlight w:val="none"/>
        </w:rPr>
        <w:t>须知</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_Toc497397639 \h </w:instrText>
      </w:r>
      <w:r>
        <w:rPr>
          <w:rFonts w:ascii="宋体" w:hAnsi="宋体"/>
          <w:sz w:val="24"/>
          <w:highlight w:val="none"/>
        </w:rPr>
        <w:fldChar w:fldCharType="separate"/>
      </w:r>
      <w:r>
        <w:rPr>
          <w:rFonts w:ascii="宋体" w:hAnsi="宋体"/>
          <w:sz w:val="24"/>
          <w:highlight w:val="none"/>
        </w:rPr>
        <w:t>5</w:t>
      </w:r>
      <w:r>
        <w:rPr>
          <w:rFonts w:ascii="宋体" w:hAnsi="宋体"/>
          <w:sz w:val="24"/>
          <w:highlight w:val="none"/>
        </w:rPr>
        <w:fldChar w:fldCharType="end"/>
      </w:r>
      <w:r>
        <w:rPr>
          <w:rFonts w:ascii="宋体" w:hAnsi="宋体"/>
          <w:sz w:val="24"/>
          <w:highlight w:val="none"/>
        </w:rPr>
        <w:fldChar w:fldCharType="end"/>
      </w:r>
    </w:p>
    <w:p w14:paraId="6E924B6C">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"_Toc497397640" </w:instrText>
      </w:r>
      <w:r>
        <w:rPr>
          <w:highlight w:val="none"/>
        </w:rPr>
        <w:fldChar w:fldCharType="separate"/>
      </w:r>
      <w:r>
        <w:rPr>
          <w:rStyle w:val="53"/>
          <w:rFonts w:ascii="宋体" w:hAnsi="宋体"/>
          <w:color w:val="auto"/>
          <w:sz w:val="24"/>
          <w:highlight w:val="none"/>
        </w:rPr>
        <w:t>前附表</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_Toc497397640 \h </w:instrText>
      </w:r>
      <w:r>
        <w:rPr>
          <w:rFonts w:ascii="宋体" w:hAnsi="宋体"/>
          <w:sz w:val="24"/>
          <w:highlight w:val="none"/>
        </w:rPr>
        <w:fldChar w:fldCharType="separate"/>
      </w:r>
      <w:r>
        <w:rPr>
          <w:rFonts w:ascii="宋体" w:hAnsi="宋体"/>
          <w:sz w:val="24"/>
          <w:highlight w:val="none"/>
        </w:rPr>
        <w:t>5</w:t>
      </w:r>
      <w:r>
        <w:rPr>
          <w:rFonts w:ascii="宋体" w:hAnsi="宋体"/>
          <w:sz w:val="24"/>
          <w:highlight w:val="none"/>
        </w:rPr>
        <w:fldChar w:fldCharType="end"/>
      </w:r>
      <w:r>
        <w:rPr>
          <w:rFonts w:ascii="宋体" w:hAnsi="宋体"/>
          <w:sz w:val="24"/>
          <w:highlight w:val="none"/>
        </w:rPr>
        <w:fldChar w:fldCharType="end"/>
      </w:r>
    </w:p>
    <w:p w14:paraId="645E8430">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"_Toc497397641" </w:instrText>
      </w:r>
      <w:r>
        <w:rPr>
          <w:highlight w:val="none"/>
        </w:rPr>
        <w:fldChar w:fldCharType="separate"/>
      </w:r>
      <w:r>
        <w:rPr>
          <w:rStyle w:val="53"/>
          <w:rFonts w:ascii="宋体" w:hAnsi="宋体"/>
          <w:color w:val="auto"/>
          <w:sz w:val="24"/>
          <w:highlight w:val="none"/>
        </w:rPr>
        <w:t>一、总则</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_Toc497397641 \h </w:instrText>
      </w:r>
      <w:r>
        <w:rPr>
          <w:rFonts w:ascii="宋体" w:hAnsi="宋体"/>
          <w:sz w:val="24"/>
          <w:highlight w:val="none"/>
        </w:rPr>
        <w:fldChar w:fldCharType="separate"/>
      </w:r>
      <w:r>
        <w:rPr>
          <w:rFonts w:ascii="宋体" w:hAnsi="宋体"/>
          <w:sz w:val="24"/>
          <w:highlight w:val="none"/>
        </w:rPr>
        <w:t>9</w:t>
      </w:r>
      <w:r>
        <w:rPr>
          <w:rFonts w:ascii="宋体" w:hAnsi="宋体"/>
          <w:sz w:val="24"/>
          <w:highlight w:val="none"/>
        </w:rPr>
        <w:fldChar w:fldCharType="end"/>
      </w:r>
      <w:r>
        <w:rPr>
          <w:rFonts w:ascii="宋体" w:hAnsi="宋体"/>
          <w:sz w:val="24"/>
          <w:highlight w:val="none"/>
        </w:rPr>
        <w:fldChar w:fldCharType="end"/>
      </w:r>
    </w:p>
    <w:p w14:paraId="60729E92">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"_Toc497397642" </w:instrText>
      </w:r>
      <w:r>
        <w:rPr>
          <w:highlight w:val="none"/>
        </w:rPr>
        <w:fldChar w:fldCharType="separate"/>
      </w:r>
      <w:r>
        <w:rPr>
          <w:rStyle w:val="53"/>
          <w:rFonts w:ascii="宋体" w:hAnsi="宋体"/>
          <w:color w:val="auto"/>
          <w:sz w:val="24"/>
          <w:highlight w:val="none"/>
        </w:rPr>
        <w:t>二、招标文件</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_Toc497397642 \h </w:instrText>
      </w:r>
      <w:r>
        <w:rPr>
          <w:rFonts w:ascii="宋体" w:hAnsi="宋体"/>
          <w:sz w:val="24"/>
          <w:highlight w:val="none"/>
        </w:rPr>
        <w:fldChar w:fldCharType="separate"/>
      </w:r>
      <w:r>
        <w:rPr>
          <w:rFonts w:ascii="宋体" w:hAnsi="宋体"/>
          <w:sz w:val="24"/>
          <w:highlight w:val="none"/>
        </w:rPr>
        <w:t>10</w:t>
      </w:r>
      <w:r>
        <w:rPr>
          <w:rFonts w:ascii="宋体" w:hAnsi="宋体"/>
          <w:sz w:val="24"/>
          <w:highlight w:val="none"/>
        </w:rPr>
        <w:fldChar w:fldCharType="end"/>
      </w:r>
      <w:r>
        <w:rPr>
          <w:rFonts w:ascii="宋体" w:hAnsi="宋体"/>
          <w:sz w:val="24"/>
          <w:highlight w:val="none"/>
        </w:rPr>
        <w:fldChar w:fldCharType="end"/>
      </w:r>
    </w:p>
    <w:p w14:paraId="1FA3F57E">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"_Toc497397643" </w:instrText>
      </w:r>
      <w:r>
        <w:rPr>
          <w:highlight w:val="none"/>
        </w:rPr>
        <w:fldChar w:fldCharType="separate"/>
      </w:r>
      <w:r>
        <w:rPr>
          <w:rStyle w:val="53"/>
          <w:rFonts w:ascii="宋体" w:hAnsi="宋体"/>
          <w:color w:val="auto"/>
          <w:sz w:val="24"/>
          <w:highlight w:val="none"/>
        </w:rPr>
        <w:t>三、投标文件的编制</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_Toc497397643 \h </w:instrText>
      </w:r>
      <w:r>
        <w:rPr>
          <w:rFonts w:ascii="宋体" w:hAnsi="宋体"/>
          <w:sz w:val="24"/>
          <w:highlight w:val="none"/>
        </w:rPr>
        <w:fldChar w:fldCharType="separate"/>
      </w:r>
      <w:r>
        <w:rPr>
          <w:rFonts w:ascii="宋体" w:hAnsi="宋体"/>
          <w:sz w:val="24"/>
          <w:highlight w:val="none"/>
        </w:rPr>
        <w:t>11</w:t>
      </w:r>
      <w:r>
        <w:rPr>
          <w:rFonts w:ascii="宋体" w:hAnsi="宋体"/>
          <w:sz w:val="24"/>
          <w:highlight w:val="none"/>
        </w:rPr>
        <w:fldChar w:fldCharType="end"/>
      </w:r>
      <w:r>
        <w:rPr>
          <w:rFonts w:ascii="宋体" w:hAnsi="宋体"/>
          <w:sz w:val="24"/>
          <w:highlight w:val="none"/>
        </w:rPr>
        <w:fldChar w:fldCharType="end"/>
      </w:r>
    </w:p>
    <w:p w14:paraId="14A682DE">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"_Toc497397644" </w:instrText>
      </w:r>
      <w:r>
        <w:rPr>
          <w:highlight w:val="none"/>
        </w:rPr>
        <w:fldChar w:fldCharType="separate"/>
      </w:r>
      <w:r>
        <w:rPr>
          <w:rStyle w:val="53"/>
          <w:rFonts w:ascii="宋体" w:hAnsi="宋体"/>
          <w:color w:val="auto"/>
          <w:sz w:val="24"/>
          <w:highlight w:val="none"/>
        </w:rPr>
        <w:t>四、投标文件的递交</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_Toc497397644 \h </w:instrText>
      </w:r>
      <w:r>
        <w:rPr>
          <w:rFonts w:ascii="宋体" w:hAnsi="宋体"/>
          <w:sz w:val="24"/>
          <w:highlight w:val="none"/>
        </w:rPr>
        <w:fldChar w:fldCharType="separate"/>
      </w:r>
      <w:r>
        <w:rPr>
          <w:rFonts w:ascii="宋体" w:hAnsi="宋体"/>
          <w:sz w:val="24"/>
          <w:highlight w:val="none"/>
        </w:rPr>
        <w:t>13</w:t>
      </w:r>
      <w:r>
        <w:rPr>
          <w:rFonts w:ascii="宋体" w:hAnsi="宋体"/>
          <w:sz w:val="24"/>
          <w:highlight w:val="none"/>
        </w:rPr>
        <w:fldChar w:fldCharType="end"/>
      </w:r>
      <w:r>
        <w:rPr>
          <w:rFonts w:ascii="宋体" w:hAnsi="宋体"/>
          <w:sz w:val="24"/>
          <w:highlight w:val="none"/>
        </w:rPr>
        <w:fldChar w:fldCharType="end"/>
      </w:r>
    </w:p>
    <w:p w14:paraId="7E4403E2">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"_Toc497397645" </w:instrText>
      </w:r>
      <w:r>
        <w:rPr>
          <w:highlight w:val="none"/>
        </w:rPr>
        <w:fldChar w:fldCharType="separate"/>
      </w:r>
      <w:r>
        <w:rPr>
          <w:rStyle w:val="53"/>
          <w:rFonts w:ascii="宋体" w:hAnsi="宋体"/>
          <w:color w:val="auto"/>
          <w:sz w:val="24"/>
          <w:highlight w:val="none"/>
        </w:rPr>
        <w:t>五、开标</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_Toc497397645 \h </w:instrText>
      </w:r>
      <w:r>
        <w:rPr>
          <w:rFonts w:ascii="宋体" w:hAnsi="宋体"/>
          <w:sz w:val="24"/>
          <w:highlight w:val="none"/>
        </w:rPr>
        <w:fldChar w:fldCharType="separate"/>
      </w:r>
      <w:r>
        <w:rPr>
          <w:rFonts w:ascii="宋体" w:hAnsi="宋体"/>
          <w:sz w:val="24"/>
          <w:highlight w:val="none"/>
        </w:rPr>
        <w:t>13</w:t>
      </w:r>
      <w:r>
        <w:rPr>
          <w:rFonts w:ascii="宋体" w:hAnsi="宋体"/>
          <w:sz w:val="24"/>
          <w:highlight w:val="none"/>
        </w:rPr>
        <w:fldChar w:fldCharType="end"/>
      </w:r>
      <w:r>
        <w:rPr>
          <w:rFonts w:ascii="宋体" w:hAnsi="宋体"/>
          <w:sz w:val="24"/>
          <w:highlight w:val="none"/>
        </w:rPr>
        <w:fldChar w:fldCharType="end"/>
      </w:r>
    </w:p>
    <w:p w14:paraId="269796D3">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"_Toc497397646" </w:instrText>
      </w:r>
      <w:r>
        <w:rPr>
          <w:highlight w:val="none"/>
        </w:rPr>
        <w:fldChar w:fldCharType="separate"/>
      </w:r>
      <w:r>
        <w:rPr>
          <w:rStyle w:val="53"/>
          <w:rFonts w:ascii="宋体" w:hAnsi="宋体"/>
          <w:color w:val="auto"/>
          <w:sz w:val="24"/>
          <w:highlight w:val="none"/>
        </w:rPr>
        <w:t>六、评标</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_Toc497397646 \h </w:instrText>
      </w:r>
      <w:r>
        <w:rPr>
          <w:rFonts w:ascii="宋体" w:hAnsi="宋体"/>
          <w:sz w:val="24"/>
          <w:highlight w:val="none"/>
        </w:rPr>
        <w:fldChar w:fldCharType="separate"/>
      </w:r>
      <w:r>
        <w:rPr>
          <w:rFonts w:ascii="宋体" w:hAnsi="宋体"/>
          <w:sz w:val="24"/>
          <w:highlight w:val="none"/>
        </w:rPr>
        <w:t>14</w:t>
      </w:r>
      <w:r>
        <w:rPr>
          <w:rFonts w:ascii="宋体" w:hAnsi="宋体"/>
          <w:sz w:val="24"/>
          <w:highlight w:val="none"/>
        </w:rPr>
        <w:fldChar w:fldCharType="end"/>
      </w:r>
      <w:r>
        <w:rPr>
          <w:rFonts w:ascii="宋体" w:hAnsi="宋体"/>
          <w:sz w:val="24"/>
          <w:highlight w:val="none"/>
        </w:rPr>
        <w:fldChar w:fldCharType="end"/>
      </w:r>
    </w:p>
    <w:p w14:paraId="5B5F0C55">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"_Toc497397647" </w:instrText>
      </w:r>
      <w:r>
        <w:rPr>
          <w:highlight w:val="none"/>
        </w:rPr>
        <w:fldChar w:fldCharType="separate"/>
      </w:r>
      <w:r>
        <w:rPr>
          <w:rStyle w:val="53"/>
          <w:rFonts w:ascii="宋体" w:hAnsi="宋体"/>
          <w:color w:val="auto"/>
          <w:sz w:val="24"/>
          <w:highlight w:val="none"/>
        </w:rPr>
        <w:t>七、定标</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_Toc497397647 \h </w:instrText>
      </w:r>
      <w:r>
        <w:rPr>
          <w:rFonts w:ascii="宋体" w:hAnsi="宋体"/>
          <w:sz w:val="24"/>
          <w:highlight w:val="none"/>
        </w:rPr>
        <w:fldChar w:fldCharType="separate"/>
      </w:r>
      <w:r>
        <w:rPr>
          <w:rFonts w:ascii="宋体" w:hAnsi="宋体"/>
          <w:sz w:val="24"/>
          <w:highlight w:val="none"/>
        </w:rPr>
        <w:t>17</w:t>
      </w:r>
      <w:r>
        <w:rPr>
          <w:rFonts w:ascii="宋体" w:hAnsi="宋体"/>
          <w:sz w:val="24"/>
          <w:highlight w:val="none"/>
        </w:rPr>
        <w:fldChar w:fldCharType="end"/>
      </w:r>
      <w:r>
        <w:rPr>
          <w:rFonts w:ascii="宋体" w:hAnsi="宋体"/>
          <w:sz w:val="24"/>
          <w:highlight w:val="none"/>
        </w:rPr>
        <w:fldChar w:fldCharType="end"/>
      </w:r>
    </w:p>
    <w:p w14:paraId="60E32406">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"_Toc497397648" </w:instrText>
      </w:r>
      <w:r>
        <w:rPr>
          <w:highlight w:val="none"/>
        </w:rPr>
        <w:fldChar w:fldCharType="separate"/>
      </w:r>
      <w:r>
        <w:rPr>
          <w:rStyle w:val="53"/>
          <w:rFonts w:ascii="宋体" w:hAnsi="宋体"/>
          <w:color w:val="auto"/>
          <w:sz w:val="24"/>
          <w:highlight w:val="none"/>
        </w:rPr>
        <w:t>八、合同签订及其他</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_Toc497397648 \h </w:instrText>
      </w:r>
      <w:r>
        <w:rPr>
          <w:rFonts w:ascii="宋体" w:hAnsi="宋体"/>
          <w:sz w:val="24"/>
          <w:highlight w:val="none"/>
        </w:rPr>
        <w:fldChar w:fldCharType="separate"/>
      </w:r>
      <w:r>
        <w:rPr>
          <w:rFonts w:ascii="宋体" w:hAnsi="宋体"/>
          <w:sz w:val="24"/>
          <w:highlight w:val="none"/>
        </w:rPr>
        <w:t>17</w:t>
      </w:r>
      <w:r>
        <w:rPr>
          <w:rFonts w:ascii="宋体" w:hAnsi="宋体"/>
          <w:sz w:val="24"/>
          <w:highlight w:val="none"/>
        </w:rPr>
        <w:fldChar w:fldCharType="end"/>
      </w:r>
      <w:r>
        <w:rPr>
          <w:rFonts w:ascii="宋体" w:hAnsi="宋体"/>
          <w:sz w:val="24"/>
          <w:highlight w:val="none"/>
        </w:rPr>
        <w:fldChar w:fldCharType="end"/>
      </w:r>
    </w:p>
    <w:p w14:paraId="437A0994">
      <w:pPr>
        <w:pStyle w:val="33"/>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"_Toc497397649" </w:instrText>
      </w:r>
      <w:r>
        <w:rPr>
          <w:highlight w:val="none"/>
        </w:rPr>
        <w:fldChar w:fldCharType="separate"/>
      </w:r>
      <w:r>
        <w:rPr>
          <w:rStyle w:val="53"/>
          <w:rFonts w:ascii="宋体" w:hAnsi="宋体"/>
          <w:color w:val="auto"/>
          <w:sz w:val="24"/>
          <w:highlight w:val="none"/>
        </w:rPr>
        <w:t>第三部分 项目技术规范和服务要求</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_Toc497397649 \h </w:instrText>
      </w:r>
      <w:r>
        <w:rPr>
          <w:rFonts w:ascii="宋体" w:hAnsi="宋体"/>
          <w:sz w:val="24"/>
          <w:highlight w:val="none"/>
        </w:rPr>
        <w:fldChar w:fldCharType="separate"/>
      </w:r>
      <w:r>
        <w:rPr>
          <w:rFonts w:ascii="宋体" w:hAnsi="宋体"/>
          <w:sz w:val="24"/>
          <w:highlight w:val="none"/>
        </w:rPr>
        <w:t>18</w:t>
      </w:r>
      <w:r>
        <w:rPr>
          <w:rFonts w:ascii="宋体" w:hAnsi="宋体"/>
          <w:sz w:val="24"/>
          <w:highlight w:val="none"/>
        </w:rPr>
        <w:fldChar w:fldCharType="end"/>
      </w:r>
      <w:r>
        <w:rPr>
          <w:rFonts w:ascii="宋体" w:hAnsi="宋体"/>
          <w:sz w:val="24"/>
          <w:highlight w:val="none"/>
        </w:rPr>
        <w:fldChar w:fldCharType="end"/>
      </w:r>
    </w:p>
    <w:p w14:paraId="3405EFAE">
      <w:pPr>
        <w:pStyle w:val="33"/>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"_Toc497397650" </w:instrText>
      </w:r>
      <w:r>
        <w:rPr>
          <w:highlight w:val="none"/>
        </w:rPr>
        <w:fldChar w:fldCharType="separate"/>
      </w:r>
      <w:r>
        <w:rPr>
          <w:rStyle w:val="53"/>
          <w:rFonts w:ascii="宋体" w:hAnsi="宋体"/>
          <w:color w:val="auto"/>
          <w:sz w:val="24"/>
          <w:highlight w:val="none"/>
        </w:rPr>
        <w:t xml:space="preserve">第四部分 </w:t>
      </w:r>
      <w:r>
        <w:rPr>
          <w:rStyle w:val="53"/>
          <w:rFonts w:hint="eastAsia" w:ascii="宋体" w:hAnsi="宋体"/>
          <w:color w:val="auto"/>
          <w:sz w:val="24"/>
          <w:highlight w:val="none"/>
        </w:rPr>
        <w:t>中标协议条款</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_Toc497397650 \h </w:instrText>
      </w:r>
      <w:r>
        <w:rPr>
          <w:rFonts w:ascii="宋体" w:hAnsi="宋体"/>
          <w:sz w:val="24"/>
          <w:highlight w:val="none"/>
        </w:rPr>
        <w:fldChar w:fldCharType="separate"/>
      </w:r>
      <w:r>
        <w:rPr>
          <w:rFonts w:ascii="宋体" w:hAnsi="宋体"/>
          <w:sz w:val="24"/>
          <w:highlight w:val="none"/>
        </w:rPr>
        <w:t>20</w:t>
      </w:r>
      <w:r>
        <w:rPr>
          <w:rFonts w:ascii="宋体" w:hAnsi="宋体"/>
          <w:sz w:val="24"/>
          <w:highlight w:val="none"/>
        </w:rPr>
        <w:fldChar w:fldCharType="end"/>
      </w:r>
      <w:r>
        <w:rPr>
          <w:rFonts w:ascii="宋体" w:hAnsi="宋体"/>
          <w:sz w:val="24"/>
          <w:highlight w:val="none"/>
        </w:rPr>
        <w:fldChar w:fldCharType="end"/>
      </w:r>
    </w:p>
    <w:p w14:paraId="572C324E">
      <w:pPr>
        <w:pStyle w:val="33"/>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"_Toc497397651" </w:instrText>
      </w:r>
      <w:r>
        <w:rPr>
          <w:highlight w:val="none"/>
        </w:rPr>
        <w:fldChar w:fldCharType="separate"/>
      </w:r>
      <w:r>
        <w:rPr>
          <w:rStyle w:val="53"/>
          <w:rFonts w:ascii="宋体" w:hAnsi="宋体"/>
          <w:color w:val="auto"/>
          <w:sz w:val="24"/>
          <w:highlight w:val="none"/>
        </w:rPr>
        <w:t>第五部分 应提交的有关格式范例</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_Toc497397651 \h </w:instrText>
      </w:r>
      <w:r>
        <w:rPr>
          <w:rFonts w:ascii="宋体" w:hAnsi="宋体"/>
          <w:sz w:val="24"/>
          <w:highlight w:val="none"/>
        </w:rPr>
        <w:fldChar w:fldCharType="separate"/>
      </w:r>
      <w:r>
        <w:rPr>
          <w:rFonts w:ascii="宋体" w:hAnsi="宋体"/>
          <w:sz w:val="24"/>
          <w:highlight w:val="none"/>
        </w:rPr>
        <w:t>23</w:t>
      </w:r>
      <w:r>
        <w:rPr>
          <w:rFonts w:ascii="宋体" w:hAnsi="宋体"/>
          <w:sz w:val="24"/>
          <w:highlight w:val="none"/>
        </w:rPr>
        <w:fldChar w:fldCharType="end"/>
      </w:r>
      <w:r>
        <w:rPr>
          <w:rFonts w:ascii="宋体" w:hAnsi="宋体"/>
          <w:sz w:val="24"/>
          <w:highlight w:val="none"/>
        </w:rPr>
        <w:fldChar w:fldCharType="end"/>
      </w:r>
    </w:p>
    <w:p w14:paraId="44D8CC70">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"_Toc497397652" </w:instrText>
      </w:r>
      <w:r>
        <w:rPr>
          <w:highlight w:val="none"/>
        </w:rPr>
        <w:fldChar w:fldCharType="separate"/>
      </w:r>
      <w:r>
        <w:rPr>
          <w:rStyle w:val="53"/>
          <w:rFonts w:ascii="宋体" w:hAnsi="宋体"/>
          <w:color w:val="auto"/>
          <w:sz w:val="24"/>
          <w:highlight w:val="none"/>
        </w:rPr>
        <w:t>一、投标人提交投标文件须知：</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_Toc497397652 \h </w:instrText>
      </w:r>
      <w:r>
        <w:rPr>
          <w:rFonts w:ascii="宋体" w:hAnsi="宋体"/>
          <w:sz w:val="24"/>
          <w:highlight w:val="none"/>
        </w:rPr>
        <w:fldChar w:fldCharType="separate"/>
      </w:r>
      <w:r>
        <w:rPr>
          <w:rFonts w:ascii="宋体" w:hAnsi="宋体"/>
          <w:sz w:val="24"/>
          <w:highlight w:val="none"/>
        </w:rPr>
        <w:t>23</w:t>
      </w:r>
      <w:r>
        <w:rPr>
          <w:rFonts w:ascii="宋体" w:hAnsi="宋体"/>
          <w:sz w:val="24"/>
          <w:highlight w:val="none"/>
        </w:rPr>
        <w:fldChar w:fldCharType="end"/>
      </w:r>
      <w:r>
        <w:rPr>
          <w:rFonts w:ascii="宋体" w:hAnsi="宋体"/>
          <w:sz w:val="24"/>
          <w:highlight w:val="none"/>
        </w:rPr>
        <w:fldChar w:fldCharType="end"/>
      </w:r>
    </w:p>
    <w:p w14:paraId="0AA8873B">
      <w:pPr>
        <w:pStyle w:val="38"/>
        <w:tabs>
          <w:tab w:val="right" w:leader="dot" w:pos="9460"/>
        </w:tabs>
        <w:snapToGrid w:val="0"/>
        <w:spacing w:line="360" w:lineRule="auto"/>
        <w:rPr>
          <w:highlight w:val="none"/>
        </w:rPr>
      </w:pPr>
      <w:r>
        <w:rPr>
          <w:highlight w:val="none"/>
        </w:rPr>
        <w:fldChar w:fldCharType="begin"/>
      </w:r>
      <w:r>
        <w:rPr>
          <w:highlight w:val="none"/>
        </w:rPr>
        <w:instrText xml:space="preserve"> HYPERLINK \l "_Toc497397653" </w:instrText>
      </w:r>
      <w:r>
        <w:rPr>
          <w:highlight w:val="none"/>
        </w:rPr>
        <w:fldChar w:fldCharType="separate"/>
      </w:r>
      <w:r>
        <w:rPr>
          <w:rStyle w:val="53"/>
          <w:rFonts w:ascii="宋体" w:hAnsi="宋体"/>
          <w:color w:val="auto"/>
          <w:sz w:val="24"/>
          <w:highlight w:val="none"/>
        </w:rPr>
        <w:t>二、投标文件编制格式及规范要求：</w:t>
      </w:r>
      <w:r>
        <w:rPr>
          <w:highlight w:val="none"/>
        </w:rPr>
        <w:tab/>
      </w:r>
      <w:r>
        <w:rPr>
          <w:rFonts w:ascii="宋体" w:hAnsi="宋体"/>
          <w:sz w:val="24"/>
          <w:highlight w:val="none"/>
        </w:rPr>
        <w:fldChar w:fldCharType="begin"/>
      </w:r>
      <w:r>
        <w:rPr>
          <w:rFonts w:ascii="宋体" w:hAnsi="宋体"/>
          <w:sz w:val="24"/>
          <w:highlight w:val="none"/>
        </w:rPr>
        <w:instrText xml:space="preserve"> PAGEREF _Toc497397653 \h </w:instrText>
      </w:r>
      <w:r>
        <w:rPr>
          <w:rFonts w:ascii="宋体" w:hAnsi="宋体"/>
          <w:sz w:val="24"/>
          <w:highlight w:val="none"/>
        </w:rPr>
        <w:fldChar w:fldCharType="separate"/>
      </w:r>
      <w:r>
        <w:rPr>
          <w:rFonts w:ascii="宋体" w:hAnsi="宋体"/>
          <w:sz w:val="24"/>
          <w:highlight w:val="none"/>
        </w:rPr>
        <w:t>23</w:t>
      </w:r>
      <w:r>
        <w:rPr>
          <w:rFonts w:ascii="宋体" w:hAnsi="宋体"/>
          <w:sz w:val="24"/>
          <w:highlight w:val="none"/>
        </w:rPr>
        <w:fldChar w:fldCharType="end"/>
      </w:r>
      <w:r>
        <w:rPr>
          <w:rFonts w:ascii="宋体" w:hAnsi="宋体"/>
          <w:sz w:val="24"/>
          <w:highlight w:val="none"/>
        </w:rPr>
        <w:fldChar w:fldCharType="end"/>
      </w:r>
    </w:p>
    <w:p w14:paraId="4E608AFC">
      <w:pPr>
        <w:autoSpaceDE w:val="0"/>
        <w:autoSpaceDN w:val="0"/>
        <w:snapToGrid w:val="0"/>
        <w:spacing w:line="360" w:lineRule="auto"/>
        <w:rPr>
          <w:rFonts w:ascii="宋体" w:hAnsi="宋体"/>
          <w:kern w:val="0"/>
          <w:sz w:val="48"/>
          <w:szCs w:val="28"/>
          <w:highlight w:val="none"/>
        </w:rPr>
      </w:pPr>
      <w:r>
        <w:rPr>
          <w:rFonts w:ascii="宋体" w:hAnsi="宋体"/>
          <w:kern w:val="0"/>
          <w:sz w:val="48"/>
          <w:szCs w:val="28"/>
          <w:highlight w:val="none"/>
        </w:rPr>
        <w:fldChar w:fldCharType="end"/>
      </w:r>
    </w:p>
    <w:p w14:paraId="44DD9179">
      <w:pPr>
        <w:autoSpaceDE w:val="0"/>
        <w:autoSpaceDN w:val="0"/>
        <w:spacing w:line="360" w:lineRule="auto"/>
        <w:rPr>
          <w:rFonts w:ascii="宋体" w:hAnsi="宋体"/>
          <w:kern w:val="0"/>
          <w:sz w:val="28"/>
          <w:szCs w:val="28"/>
          <w:highlight w:val="none"/>
        </w:rPr>
      </w:pPr>
    </w:p>
    <w:p w14:paraId="4275D290">
      <w:pPr>
        <w:spacing w:line="360" w:lineRule="auto"/>
        <w:rPr>
          <w:rFonts w:ascii="宋体" w:hAnsi="宋体"/>
          <w:sz w:val="32"/>
          <w:highlight w:val="none"/>
        </w:rPr>
      </w:pPr>
      <w:r>
        <w:rPr>
          <w:highlight w:val="none"/>
        </w:rPr>
        <w:br w:type="page"/>
      </w:r>
    </w:p>
    <w:p w14:paraId="5041D23C">
      <w:pPr>
        <w:pStyle w:val="4"/>
        <w:tabs>
          <w:tab w:val="clear" w:pos="432"/>
        </w:tabs>
        <w:spacing w:before="0" w:after="0" w:line="360" w:lineRule="auto"/>
        <w:ind w:left="431" w:firstLine="0"/>
        <w:jc w:val="center"/>
        <w:rPr>
          <w:rFonts w:ascii="宋体" w:hAnsi="宋体"/>
          <w:sz w:val="36"/>
          <w:szCs w:val="36"/>
          <w:highlight w:val="none"/>
        </w:rPr>
      </w:pPr>
      <w:bookmarkStart w:id="6" w:name="_Toc497397638"/>
      <w:bookmarkEnd w:id="6"/>
      <w:r>
        <w:rPr>
          <w:rFonts w:hint="eastAsia" w:ascii="宋体" w:hAnsi="宋体"/>
          <w:sz w:val="36"/>
          <w:szCs w:val="36"/>
          <w:highlight w:val="none"/>
        </w:rPr>
        <w:t xml:space="preserve">第一部分 </w:t>
      </w:r>
      <w:r>
        <w:rPr>
          <w:rFonts w:hint="eastAsia" w:ascii="宋体" w:hAnsi="宋体"/>
          <w:sz w:val="36"/>
          <w:szCs w:val="36"/>
          <w:highlight w:val="none"/>
          <w:lang w:eastAsia="zh-CN"/>
        </w:rPr>
        <w:t>杭州市民政局2025年上半年局属事业单位公款竞争性存放项目</w:t>
      </w:r>
      <w:r>
        <w:rPr>
          <w:rFonts w:hint="eastAsia" w:ascii="宋体" w:hAnsi="宋体"/>
          <w:sz w:val="36"/>
          <w:szCs w:val="36"/>
          <w:highlight w:val="none"/>
        </w:rPr>
        <w:t>公开招标公告</w:t>
      </w:r>
    </w:p>
    <w:p w14:paraId="5BD7AED5">
      <w:pPr>
        <w:pStyle w:val="14"/>
        <w:rPr>
          <w:rFonts w:hAnsi="宋体"/>
          <w:color w:val="auto"/>
          <w:kern w:val="2"/>
          <w:sz w:val="24"/>
          <w:szCs w:val="24"/>
          <w:highlight w:val="none"/>
        </w:rPr>
      </w:pPr>
      <w:r>
        <w:rPr>
          <w:rFonts w:hint="eastAsia" w:hAnsi="宋体"/>
          <w:color w:val="auto"/>
          <w:kern w:val="2"/>
          <w:sz w:val="24"/>
          <w:szCs w:val="24"/>
          <w:highlight w:val="none"/>
        </w:rPr>
        <w:t>根据《关于防止领导干部在公款存放方面发生利益冲突和利益输送的办法》</w:t>
      </w:r>
      <w:r>
        <w:rPr>
          <w:rFonts w:hint="eastAsia" w:hAnsi="宋体"/>
          <w:color w:val="auto"/>
          <w:spacing w:val="-58"/>
          <w:kern w:val="2"/>
          <w:sz w:val="24"/>
          <w:szCs w:val="24"/>
          <w:highlight w:val="none"/>
        </w:rPr>
        <w:t>、</w:t>
      </w:r>
      <w:r>
        <w:rPr>
          <w:rFonts w:hint="eastAsia" w:hAnsi="宋体"/>
          <w:color w:val="auto"/>
          <w:kern w:val="2"/>
          <w:sz w:val="24"/>
          <w:szCs w:val="24"/>
          <w:highlight w:val="none"/>
        </w:rPr>
        <w:t>《杭州市市级行政事业单位公款竞争性存放管理办法》（杭财预执〔2022〕5号）等规定，决定对</w:t>
      </w:r>
      <w:r>
        <w:rPr>
          <w:rFonts w:hint="eastAsia" w:hAnsi="宋体"/>
          <w:color w:val="auto"/>
          <w:kern w:val="2"/>
          <w:sz w:val="24"/>
          <w:szCs w:val="24"/>
          <w:highlight w:val="none"/>
          <w:lang w:eastAsia="zh-CN"/>
        </w:rPr>
        <w:t>杭州市民政局</w:t>
      </w:r>
      <w:r>
        <w:rPr>
          <w:rFonts w:hint="eastAsia" w:hAnsi="宋体"/>
          <w:color w:val="auto"/>
          <w:sz w:val="24"/>
          <w:szCs w:val="24"/>
          <w:highlight w:val="none"/>
          <w:lang w:eastAsia="zh-CN"/>
        </w:rPr>
        <w:t>2025年上半年局属事业单位公款竞争性存放项目</w:t>
      </w:r>
      <w:r>
        <w:rPr>
          <w:rFonts w:hint="eastAsia" w:hAnsi="宋体"/>
          <w:color w:val="auto"/>
          <w:kern w:val="2"/>
          <w:sz w:val="24"/>
          <w:szCs w:val="24"/>
          <w:highlight w:val="none"/>
        </w:rPr>
        <w:t xml:space="preserve">开展招标工作，欢迎符合条件的银行机构参加投标。 </w:t>
      </w:r>
    </w:p>
    <w:p w14:paraId="3462EEAE">
      <w:pPr>
        <w:pStyle w:val="24"/>
        <w:snapToGrid w:val="0"/>
        <w:spacing w:line="480" w:lineRule="exact"/>
        <w:ind w:firstLine="482" w:firstLineChars="200"/>
        <w:rPr>
          <w:rFonts w:hAnsi="宋体"/>
          <w:b/>
          <w:sz w:val="24"/>
          <w:szCs w:val="24"/>
          <w:highlight w:val="none"/>
        </w:rPr>
      </w:pPr>
      <w:r>
        <w:rPr>
          <w:rFonts w:hint="eastAsia" w:hAnsi="宋体"/>
          <w:b/>
          <w:sz w:val="24"/>
          <w:szCs w:val="24"/>
          <w:highlight w:val="none"/>
        </w:rPr>
        <w:t>一、招标人名称</w:t>
      </w:r>
    </w:p>
    <w:p w14:paraId="6003C381">
      <w:pPr>
        <w:pStyle w:val="24"/>
        <w:snapToGrid w:val="0"/>
        <w:spacing w:line="480" w:lineRule="exact"/>
        <w:ind w:firstLine="480" w:firstLineChars="200"/>
        <w:rPr>
          <w:rFonts w:hAnsi="宋体"/>
          <w:bCs/>
          <w:sz w:val="24"/>
          <w:szCs w:val="24"/>
          <w:highlight w:val="none"/>
        </w:rPr>
      </w:pPr>
      <w:r>
        <w:rPr>
          <w:rFonts w:hint="eastAsia" w:hAnsi="宋体"/>
          <w:bCs/>
          <w:sz w:val="24"/>
          <w:szCs w:val="24"/>
          <w:highlight w:val="none"/>
          <w:lang w:eastAsia="zh-CN"/>
        </w:rPr>
        <w:t>杭州市民政局</w:t>
      </w:r>
      <w:r>
        <w:rPr>
          <w:rFonts w:hint="eastAsia" w:hAnsi="宋体"/>
          <w:bCs/>
          <w:sz w:val="24"/>
          <w:szCs w:val="24"/>
          <w:highlight w:val="none"/>
        </w:rPr>
        <w:t xml:space="preserve"> </w:t>
      </w:r>
    </w:p>
    <w:p w14:paraId="5974A200">
      <w:pPr>
        <w:pStyle w:val="24"/>
        <w:snapToGrid w:val="0"/>
        <w:spacing w:line="480" w:lineRule="exact"/>
        <w:ind w:firstLine="482" w:firstLineChars="200"/>
        <w:rPr>
          <w:rFonts w:hAnsi="宋体"/>
          <w:b/>
          <w:sz w:val="24"/>
          <w:szCs w:val="24"/>
          <w:highlight w:val="none"/>
        </w:rPr>
      </w:pPr>
      <w:r>
        <w:rPr>
          <w:rFonts w:hint="eastAsia" w:hAnsi="宋体"/>
          <w:b/>
          <w:sz w:val="24"/>
          <w:szCs w:val="24"/>
          <w:highlight w:val="none"/>
        </w:rPr>
        <w:t>二、招标项目名称</w:t>
      </w:r>
    </w:p>
    <w:p w14:paraId="3D8DFEAD">
      <w:pPr>
        <w:pStyle w:val="24"/>
        <w:snapToGrid w:val="0"/>
        <w:spacing w:line="480" w:lineRule="exact"/>
        <w:ind w:firstLine="480" w:firstLineChars="200"/>
        <w:rPr>
          <w:rFonts w:hAnsi="宋体"/>
          <w:bCs/>
          <w:sz w:val="24"/>
          <w:szCs w:val="24"/>
          <w:highlight w:val="none"/>
        </w:rPr>
      </w:pPr>
      <w:r>
        <w:rPr>
          <w:rFonts w:hint="eastAsia" w:hAnsi="宋体"/>
          <w:bCs/>
          <w:sz w:val="24"/>
          <w:szCs w:val="24"/>
          <w:highlight w:val="none"/>
          <w:lang w:eastAsia="zh-CN"/>
        </w:rPr>
        <w:t>杭州市民政局2025年上半年局属事业单位公款竞争性存放项目</w:t>
      </w:r>
    </w:p>
    <w:p w14:paraId="526C18FC">
      <w:pPr>
        <w:pStyle w:val="24"/>
        <w:snapToGrid w:val="0"/>
        <w:spacing w:line="480" w:lineRule="exact"/>
        <w:ind w:firstLine="482" w:firstLineChars="200"/>
        <w:rPr>
          <w:rFonts w:hAnsi="宋体"/>
          <w:b/>
          <w:sz w:val="24"/>
          <w:szCs w:val="24"/>
          <w:highlight w:val="none"/>
        </w:rPr>
      </w:pPr>
      <w:r>
        <w:rPr>
          <w:rFonts w:hint="eastAsia" w:hAnsi="宋体"/>
          <w:b/>
          <w:sz w:val="24"/>
          <w:szCs w:val="24"/>
          <w:highlight w:val="none"/>
        </w:rPr>
        <w:t>三、项目编号</w:t>
      </w:r>
    </w:p>
    <w:p w14:paraId="11946352">
      <w:pPr>
        <w:pStyle w:val="24"/>
        <w:snapToGrid w:val="0"/>
        <w:spacing w:line="480" w:lineRule="exact"/>
        <w:ind w:firstLine="480" w:firstLineChars="200"/>
        <w:rPr>
          <w:rFonts w:hint="eastAsia" w:hAnsi="宋体" w:eastAsia="宋体"/>
          <w:bCs/>
          <w:sz w:val="24"/>
          <w:szCs w:val="24"/>
          <w:highlight w:val="none"/>
          <w:lang w:eastAsia="zh-CN"/>
        </w:rPr>
      </w:pPr>
      <w:r>
        <w:rPr>
          <w:rFonts w:hint="eastAsia" w:hAnsi="宋体"/>
          <w:bCs/>
          <w:sz w:val="24"/>
          <w:szCs w:val="24"/>
          <w:highlight w:val="none"/>
          <w:lang w:eastAsia="zh-CN"/>
        </w:rPr>
        <w:t>JACG-YH-2025002</w:t>
      </w:r>
    </w:p>
    <w:p w14:paraId="041E983F">
      <w:pPr>
        <w:snapToGrid w:val="0"/>
        <w:spacing w:line="480" w:lineRule="exact"/>
        <w:ind w:firstLine="482" w:firstLineChars="200"/>
        <w:rPr>
          <w:rFonts w:ascii="宋体" w:hAnsi="宋体"/>
          <w:b/>
          <w:sz w:val="24"/>
          <w:highlight w:val="none"/>
        </w:rPr>
      </w:pPr>
      <w:r>
        <w:rPr>
          <w:rFonts w:hint="eastAsia" w:ascii="宋体" w:hAnsi="宋体"/>
          <w:b/>
          <w:sz w:val="24"/>
          <w:highlight w:val="none"/>
        </w:rPr>
        <w:t>四、招标项目内容：</w:t>
      </w:r>
    </w:p>
    <w:p w14:paraId="148F69A5">
      <w:pPr>
        <w:snapToGrid w:val="0"/>
        <w:spacing w:line="360" w:lineRule="auto"/>
        <w:ind w:firstLine="480" w:firstLineChars="200"/>
        <w:rPr>
          <w:rFonts w:hint="eastAsia" w:ascii="宋体" w:hAnsi="宋体"/>
          <w:color w:val="auto"/>
          <w:sz w:val="24"/>
        </w:rPr>
      </w:pPr>
      <w:r>
        <w:rPr>
          <w:rFonts w:hint="eastAsia" w:ascii="宋体" w:hAnsi="宋体"/>
          <w:color w:val="auto"/>
          <w:sz w:val="24"/>
        </w:rPr>
        <w:t>杭州市民政局局属部分单位公款竞争性存放管理服务，本项目分</w:t>
      </w:r>
      <w:r>
        <w:rPr>
          <w:rFonts w:hint="eastAsia" w:ascii="宋体" w:hAnsi="宋体"/>
          <w:color w:val="auto"/>
          <w:sz w:val="24"/>
          <w:lang w:val="en-US" w:eastAsia="zh-CN"/>
        </w:rPr>
        <w:t>4</w:t>
      </w:r>
      <w:r>
        <w:rPr>
          <w:rFonts w:hint="eastAsia" w:ascii="宋体" w:hAnsi="宋体"/>
          <w:color w:val="auto"/>
          <w:sz w:val="24"/>
        </w:rPr>
        <w:t>个分包：</w:t>
      </w:r>
    </w:p>
    <w:tbl>
      <w:tblPr>
        <w:tblStyle w:val="45"/>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
        <w:gridCol w:w="2908"/>
        <w:gridCol w:w="1938"/>
        <w:gridCol w:w="4540"/>
      </w:tblGrid>
      <w:tr w14:paraId="0B23D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vAlign w:val="center"/>
          </w:tcPr>
          <w:p w14:paraId="36EA40F0">
            <w:pPr>
              <w:snapToGrid w:val="0"/>
              <w:rPr>
                <w:rFonts w:ascii="宋体" w:hAnsi="宋体" w:cs="宋体"/>
                <w:b/>
                <w:color w:val="auto"/>
                <w:sz w:val="24"/>
                <w:szCs w:val="18"/>
              </w:rPr>
            </w:pPr>
            <w:r>
              <w:rPr>
                <w:rFonts w:hint="eastAsia" w:ascii="宋体" w:hAnsi="宋体" w:cs="宋体"/>
                <w:b/>
                <w:color w:val="auto"/>
                <w:sz w:val="24"/>
                <w:szCs w:val="18"/>
              </w:rPr>
              <w:t>分包</w:t>
            </w:r>
          </w:p>
        </w:tc>
        <w:tc>
          <w:tcPr>
            <w:tcW w:w="1460" w:type="pct"/>
            <w:vAlign w:val="center"/>
          </w:tcPr>
          <w:p w14:paraId="69F685CA">
            <w:pPr>
              <w:snapToGrid w:val="0"/>
              <w:jc w:val="center"/>
              <w:rPr>
                <w:rFonts w:ascii="宋体" w:hAnsi="宋体" w:cs="宋体"/>
                <w:b/>
                <w:color w:val="auto"/>
                <w:sz w:val="24"/>
                <w:szCs w:val="18"/>
              </w:rPr>
            </w:pPr>
            <w:r>
              <w:rPr>
                <w:rFonts w:hint="eastAsia" w:ascii="宋体" w:hAnsi="宋体"/>
                <w:b/>
                <w:color w:val="auto"/>
                <w:kern w:val="0"/>
                <w:sz w:val="22"/>
                <w:szCs w:val="18"/>
              </w:rPr>
              <w:t>拟</w:t>
            </w:r>
            <w:r>
              <w:rPr>
                <w:rFonts w:hint="eastAsia" w:ascii="宋体" w:hAnsi="宋体" w:cs="宋体"/>
                <w:b/>
                <w:color w:val="auto"/>
                <w:sz w:val="24"/>
                <w:szCs w:val="18"/>
              </w:rPr>
              <w:t>存放资金总额</w:t>
            </w:r>
          </w:p>
          <w:p w14:paraId="5464569E">
            <w:pPr>
              <w:snapToGrid w:val="0"/>
              <w:jc w:val="center"/>
              <w:rPr>
                <w:rFonts w:ascii="宋体" w:hAnsi="宋体" w:cs="宋体"/>
                <w:b/>
                <w:color w:val="auto"/>
                <w:sz w:val="24"/>
                <w:szCs w:val="18"/>
              </w:rPr>
            </w:pPr>
            <w:r>
              <w:rPr>
                <w:rFonts w:hint="eastAsia" w:ascii="宋体" w:hAnsi="宋体" w:cs="宋体"/>
                <w:b/>
                <w:color w:val="auto"/>
                <w:sz w:val="24"/>
                <w:szCs w:val="18"/>
              </w:rPr>
              <w:t>（万元）</w:t>
            </w:r>
          </w:p>
        </w:tc>
        <w:tc>
          <w:tcPr>
            <w:tcW w:w="973" w:type="pct"/>
            <w:vAlign w:val="center"/>
          </w:tcPr>
          <w:p w14:paraId="04347ADF">
            <w:pPr>
              <w:snapToGrid w:val="0"/>
              <w:jc w:val="center"/>
              <w:rPr>
                <w:rFonts w:ascii="宋体" w:hAnsi="宋体" w:cs="宋体"/>
                <w:b/>
                <w:color w:val="auto"/>
                <w:sz w:val="24"/>
                <w:szCs w:val="18"/>
              </w:rPr>
            </w:pPr>
            <w:r>
              <w:rPr>
                <w:rFonts w:hint="eastAsia" w:ascii="宋体" w:hAnsi="宋体" w:cs="宋体"/>
                <w:b/>
                <w:color w:val="auto"/>
                <w:sz w:val="24"/>
                <w:szCs w:val="18"/>
              </w:rPr>
              <w:t>拟存期限定期（定期）</w:t>
            </w:r>
          </w:p>
        </w:tc>
        <w:tc>
          <w:tcPr>
            <w:tcW w:w="2279" w:type="pct"/>
            <w:vAlign w:val="center"/>
          </w:tcPr>
          <w:p w14:paraId="721949E1">
            <w:pPr>
              <w:snapToGrid w:val="0"/>
              <w:jc w:val="center"/>
              <w:rPr>
                <w:rFonts w:ascii="宋体" w:hAnsi="宋体" w:cs="宋体"/>
                <w:b/>
                <w:color w:val="auto"/>
                <w:sz w:val="24"/>
                <w:szCs w:val="18"/>
              </w:rPr>
            </w:pPr>
            <w:r>
              <w:rPr>
                <w:rFonts w:hint="eastAsia" w:ascii="宋体" w:hAnsi="宋体" w:cs="宋体"/>
                <w:b/>
                <w:color w:val="auto"/>
                <w:sz w:val="24"/>
                <w:szCs w:val="18"/>
              </w:rPr>
              <w:t>备   注</w:t>
            </w:r>
          </w:p>
        </w:tc>
      </w:tr>
      <w:tr w14:paraId="19684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vAlign w:val="center"/>
          </w:tcPr>
          <w:p w14:paraId="31E0409D">
            <w:pPr>
              <w:widowControl/>
              <w:snapToGrid w:val="0"/>
              <w:jc w:val="center"/>
              <w:rPr>
                <w:rFonts w:ascii="宋体" w:hAnsi="宋体" w:cs="宋体"/>
                <w:color w:val="auto"/>
                <w:sz w:val="24"/>
                <w:szCs w:val="18"/>
              </w:rPr>
            </w:pPr>
            <w:r>
              <w:rPr>
                <w:rFonts w:hint="eastAsia" w:ascii="宋体" w:hAnsi="宋体" w:cs="宋体"/>
                <w:color w:val="auto"/>
                <w:sz w:val="24"/>
                <w:szCs w:val="18"/>
              </w:rPr>
              <w:t>1</w:t>
            </w:r>
          </w:p>
        </w:tc>
        <w:tc>
          <w:tcPr>
            <w:tcW w:w="1460" w:type="pct"/>
            <w:vAlign w:val="center"/>
          </w:tcPr>
          <w:p w14:paraId="7D17DB0C">
            <w:pPr>
              <w:keepNext w:val="0"/>
              <w:keepLines w:val="0"/>
              <w:widowControl/>
              <w:suppressLineNumbers w:val="0"/>
              <w:jc w:val="center"/>
              <w:textAlignment w:val="center"/>
              <w:rPr>
                <w:rFonts w:hint="default" w:ascii="宋体" w:hAnsi="宋体" w:cs="宋体"/>
                <w:b w:val="0"/>
                <w:bCs w:val="0"/>
                <w:color w:val="auto"/>
                <w:sz w:val="24"/>
                <w:szCs w:val="18"/>
                <w:highlight w:val="none"/>
                <w:lang w:val="en-US"/>
              </w:rPr>
            </w:pPr>
            <w:r>
              <w:rPr>
                <w:rFonts w:hint="eastAsia" w:ascii="宋体" w:hAnsi="宋体" w:cs="宋体"/>
                <w:b w:val="0"/>
                <w:bCs w:val="0"/>
                <w:i w:val="0"/>
                <w:iCs w:val="0"/>
                <w:color w:val="000000"/>
                <w:kern w:val="0"/>
                <w:sz w:val="24"/>
                <w:szCs w:val="24"/>
                <w:highlight w:val="none"/>
                <w:u w:val="none"/>
                <w:lang w:val="en-US" w:eastAsia="zh-CN" w:bidi="ar"/>
              </w:rPr>
              <w:t>4700</w:t>
            </w:r>
          </w:p>
        </w:tc>
        <w:tc>
          <w:tcPr>
            <w:tcW w:w="973" w:type="pct"/>
            <w:vAlign w:val="center"/>
          </w:tcPr>
          <w:p w14:paraId="5BF9105F">
            <w:pPr>
              <w:widowControl/>
              <w:jc w:val="center"/>
              <w:textAlignment w:val="center"/>
              <w:rPr>
                <w:rFonts w:ascii="宋体" w:hAnsi="宋体" w:cs="宋体"/>
                <w:color w:val="auto"/>
                <w:sz w:val="24"/>
                <w:szCs w:val="18"/>
                <w:highlight w:val="none"/>
              </w:rPr>
            </w:pPr>
            <w:r>
              <w:rPr>
                <w:rFonts w:hint="eastAsia" w:ascii="宋体" w:hAnsi="宋体" w:cs="宋体"/>
                <w:color w:val="auto"/>
                <w:kern w:val="0"/>
                <w:sz w:val="24"/>
                <w:highlight w:val="none"/>
              </w:rPr>
              <w:t>1年</w:t>
            </w:r>
          </w:p>
        </w:tc>
        <w:tc>
          <w:tcPr>
            <w:tcW w:w="2279" w:type="pct"/>
            <w:vMerge w:val="restart"/>
            <w:vAlign w:val="center"/>
          </w:tcPr>
          <w:p w14:paraId="42630929">
            <w:pPr>
              <w:widowControl/>
              <w:snapToGrid w:val="0"/>
              <w:rPr>
                <w:rFonts w:ascii="宋体" w:hAnsi="宋体" w:cs="宋体"/>
                <w:color w:val="auto"/>
                <w:sz w:val="24"/>
                <w:szCs w:val="18"/>
              </w:rPr>
            </w:pPr>
            <w:r>
              <w:rPr>
                <w:rFonts w:hint="eastAsia" w:ascii="宋体" w:hAnsi="宋体" w:cs="宋体"/>
                <w:color w:val="auto"/>
                <w:sz w:val="24"/>
                <w:szCs w:val="18"/>
              </w:rPr>
              <w:t>具体要求详见招标文件第三部分“项目技术规范和服务要求”。</w:t>
            </w:r>
          </w:p>
        </w:tc>
      </w:tr>
      <w:tr w14:paraId="3910F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vAlign w:val="center"/>
          </w:tcPr>
          <w:p w14:paraId="111CF4CB">
            <w:pPr>
              <w:widowControl/>
              <w:snapToGrid w:val="0"/>
              <w:jc w:val="center"/>
              <w:rPr>
                <w:rFonts w:ascii="宋体" w:hAnsi="宋体" w:cs="宋体"/>
                <w:color w:val="auto"/>
                <w:sz w:val="24"/>
                <w:szCs w:val="18"/>
              </w:rPr>
            </w:pPr>
            <w:r>
              <w:rPr>
                <w:rFonts w:hint="eastAsia" w:ascii="宋体" w:hAnsi="宋体" w:cs="宋体"/>
                <w:color w:val="auto"/>
                <w:sz w:val="24"/>
                <w:szCs w:val="18"/>
              </w:rPr>
              <w:t>2</w:t>
            </w:r>
          </w:p>
        </w:tc>
        <w:tc>
          <w:tcPr>
            <w:tcW w:w="1460" w:type="pct"/>
            <w:vAlign w:val="center"/>
          </w:tcPr>
          <w:p w14:paraId="5B0E888A">
            <w:pPr>
              <w:keepNext w:val="0"/>
              <w:keepLines w:val="0"/>
              <w:widowControl/>
              <w:suppressLineNumbers w:val="0"/>
              <w:jc w:val="center"/>
              <w:textAlignment w:val="center"/>
              <w:rPr>
                <w:rFonts w:hint="default" w:ascii="宋体" w:hAnsi="宋体" w:cs="宋体"/>
                <w:b w:val="0"/>
                <w:bCs w:val="0"/>
                <w:color w:val="auto"/>
                <w:sz w:val="24"/>
                <w:szCs w:val="18"/>
                <w:highlight w:val="none"/>
                <w:lang w:val="en-US"/>
              </w:rPr>
            </w:pPr>
            <w:r>
              <w:rPr>
                <w:rFonts w:hint="eastAsia" w:ascii="宋体" w:hAnsi="宋体" w:cs="宋体"/>
                <w:b w:val="0"/>
                <w:bCs w:val="0"/>
                <w:i w:val="0"/>
                <w:iCs w:val="0"/>
                <w:color w:val="000000"/>
                <w:kern w:val="0"/>
                <w:sz w:val="24"/>
                <w:szCs w:val="24"/>
                <w:highlight w:val="none"/>
                <w:u w:val="none"/>
                <w:lang w:val="en-US" w:eastAsia="zh-CN" w:bidi="ar"/>
              </w:rPr>
              <w:t>4500</w:t>
            </w:r>
          </w:p>
        </w:tc>
        <w:tc>
          <w:tcPr>
            <w:tcW w:w="973" w:type="pct"/>
            <w:vAlign w:val="center"/>
          </w:tcPr>
          <w:p w14:paraId="40C12F9C">
            <w:pPr>
              <w:widowControl/>
              <w:jc w:val="center"/>
              <w:textAlignment w:val="center"/>
              <w:rPr>
                <w:rFonts w:ascii="宋体" w:hAnsi="宋体" w:cs="宋体"/>
                <w:color w:val="auto"/>
                <w:sz w:val="24"/>
                <w:szCs w:val="18"/>
                <w:highlight w:val="none"/>
              </w:rPr>
            </w:pPr>
            <w:r>
              <w:rPr>
                <w:rFonts w:hint="eastAsia" w:ascii="宋体" w:hAnsi="宋体" w:cs="宋体"/>
                <w:color w:val="auto"/>
                <w:kern w:val="0"/>
                <w:sz w:val="24"/>
                <w:highlight w:val="none"/>
              </w:rPr>
              <w:t>1年</w:t>
            </w:r>
          </w:p>
        </w:tc>
        <w:tc>
          <w:tcPr>
            <w:tcW w:w="2279" w:type="pct"/>
            <w:vMerge w:val="continue"/>
            <w:vAlign w:val="center"/>
          </w:tcPr>
          <w:p w14:paraId="42B7D16D">
            <w:pPr>
              <w:widowControl/>
              <w:snapToGrid w:val="0"/>
              <w:rPr>
                <w:rFonts w:ascii="宋体" w:hAnsi="宋体" w:cs="宋体"/>
                <w:color w:val="auto"/>
                <w:sz w:val="24"/>
                <w:szCs w:val="18"/>
              </w:rPr>
            </w:pPr>
          </w:p>
        </w:tc>
      </w:tr>
      <w:tr w14:paraId="2FF56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vAlign w:val="center"/>
          </w:tcPr>
          <w:p w14:paraId="521EB701">
            <w:pPr>
              <w:widowControl/>
              <w:snapToGrid w:val="0"/>
              <w:jc w:val="center"/>
              <w:rPr>
                <w:rFonts w:hint="default" w:ascii="宋体" w:hAnsi="宋体" w:cs="宋体"/>
                <w:color w:val="auto"/>
                <w:sz w:val="24"/>
                <w:szCs w:val="18"/>
                <w:lang w:val="en-US" w:eastAsia="zh-CN"/>
              </w:rPr>
            </w:pPr>
            <w:r>
              <w:rPr>
                <w:rFonts w:hint="eastAsia" w:ascii="宋体" w:hAnsi="宋体" w:cs="宋体"/>
                <w:color w:val="auto"/>
                <w:sz w:val="24"/>
                <w:szCs w:val="18"/>
                <w:lang w:val="en-US" w:eastAsia="zh-CN"/>
              </w:rPr>
              <w:t>3</w:t>
            </w:r>
          </w:p>
        </w:tc>
        <w:tc>
          <w:tcPr>
            <w:tcW w:w="1460" w:type="pct"/>
            <w:vAlign w:val="center"/>
          </w:tcPr>
          <w:p w14:paraId="50A251FE">
            <w:pPr>
              <w:keepNext w:val="0"/>
              <w:keepLines w:val="0"/>
              <w:widowControl/>
              <w:suppressLineNumbers w:val="0"/>
              <w:jc w:val="center"/>
              <w:textAlignment w:val="center"/>
              <w:rPr>
                <w:rFonts w:hint="default" w:ascii="宋体" w:hAnsi="宋体" w:eastAsia="宋体" w:cs="宋体"/>
                <w:b w:val="0"/>
                <w:bCs w:val="0"/>
                <w:color w:val="auto"/>
                <w:kern w:val="0"/>
                <w:sz w:val="24"/>
                <w:highlight w:val="none"/>
                <w:lang w:val="en-US" w:eastAsia="zh-CN"/>
              </w:rPr>
            </w:pPr>
            <w:r>
              <w:rPr>
                <w:rFonts w:hint="eastAsia" w:ascii="宋体" w:hAnsi="宋体" w:cs="宋体"/>
                <w:b w:val="0"/>
                <w:bCs w:val="0"/>
                <w:i w:val="0"/>
                <w:iCs w:val="0"/>
                <w:color w:val="000000"/>
                <w:kern w:val="0"/>
                <w:sz w:val="24"/>
                <w:szCs w:val="24"/>
                <w:highlight w:val="none"/>
                <w:u w:val="none"/>
                <w:lang w:val="en-US" w:eastAsia="zh-CN" w:bidi="ar"/>
              </w:rPr>
              <w:t>3500</w:t>
            </w:r>
          </w:p>
        </w:tc>
        <w:tc>
          <w:tcPr>
            <w:tcW w:w="973" w:type="pct"/>
            <w:vAlign w:val="center"/>
          </w:tcPr>
          <w:p w14:paraId="151789D6">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1年</w:t>
            </w:r>
          </w:p>
        </w:tc>
        <w:tc>
          <w:tcPr>
            <w:tcW w:w="2279" w:type="pct"/>
            <w:vMerge w:val="continue"/>
            <w:vAlign w:val="center"/>
          </w:tcPr>
          <w:p w14:paraId="7334BA84">
            <w:pPr>
              <w:widowControl/>
              <w:snapToGrid w:val="0"/>
              <w:rPr>
                <w:rFonts w:ascii="宋体" w:hAnsi="宋体" w:cs="宋体"/>
                <w:color w:val="auto"/>
                <w:sz w:val="24"/>
                <w:szCs w:val="18"/>
              </w:rPr>
            </w:pPr>
          </w:p>
        </w:tc>
      </w:tr>
      <w:tr w14:paraId="1BD44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7" w:type="pct"/>
            <w:vAlign w:val="center"/>
          </w:tcPr>
          <w:p w14:paraId="2A7BE894">
            <w:pPr>
              <w:widowControl/>
              <w:snapToGrid w:val="0"/>
              <w:jc w:val="center"/>
              <w:rPr>
                <w:rFonts w:hint="default" w:ascii="宋体" w:hAnsi="宋体" w:cs="宋体"/>
                <w:color w:val="auto"/>
                <w:sz w:val="24"/>
                <w:szCs w:val="18"/>
                <w:lang w:val="en-US" w:eastAsia="zh-CN"/>
              </w:rPr>
            </w:pPr>
            <w:r>
              <w:rPr>
                <w:rFonts w:hint="eastAsia" w:ascii="宋体" w:hAnsi="宋体" w:cs="宋体"/>
                <w:color w:val="auto"/>
                <w:sz w:val="24"/>
                <w:szCs w:val="18"/>
                <w:lang w:val="en-US" w:eastAsia="zh-CN"/>
              </w:rPr>
              <w:t>4</w:t>
            </w:r>
          </w:p>
        </w:tc>
        <w:tc>
          <w:tcPr>
            <w:tcW w:w="1460" w:type="pct"/>
            <w:vAlign w:val="center"/>
          </w:tcPr>
          <w:p w14:paraId="215827F0">
            <w:pPr>
              <w:keepNext w:val="0"/>
              <w:keepLines w:val="0"/>
              <w:widowControl/>
              <w:suppressLineNumbers w:val="0"/>
              <w:jc w:val="center"/>
              <w:textAlignment w:val="center"/>
              <w:rPr>
                <w:rFonts w:hint="default" w:ascii="宋体" w:hAnsi="宋体" w:cs="宋体"/>
                <w:b w:val="0"/>
                <w:bCs w:val="0"/>
                <w:color w:val="auto"/>
                <w:kern w:val="0"/>
                <w:sz w:val="24"/>
                <w:highlight w:val="none"/>
                <w:lang w:val="en-US" w:eastAsia="zh-CN"/>
              </w:rPr>
            </w:pPr>
            <w:r>
              <w:rPr>
                <w:rFonts w:hint="eastAsia" w:ascii="宋体" w:hAnsi="宋体" w:cs="宋体"/>
                <w:b w:val="0"/>
                <w:bCs w:val="0"/>
                <w:i w:val="0"/>
                <w:iCs w:val="0"/>
                <w:color w:val="000000"/>
                <w:kern w:val="0"/>
                <w:sz w:val="24"/>
                <w:szCs w:val="24"/>
                <w:highlight w:val="none"/>
                <w:u w:val="none"/>
                <w:lang w:val="en-US" w:eastAsia="zh-CN" w:bidi="ar"/>
              </w:rPr>
              <w:t>3000</w:t>
            </w:r>
          </w:p>
        </w:tc>
        <w:tc>
          <w:tcPr>
            <w:tcW w:w="973" w:type="pct"/>
            <w:vAlign w:val="center"/>
          </w:tcPr>
          <w:p w14:paraId="1C74ECEB">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1年</w:t>
            </w:r>
          </w:p>
        </w:tc>
        <w:tc>
          <w:tcPr>
            <w:tcW w:w="2279" w:type="pct"/>
            <w:vMerge w:val="continue"/>
            <w:vAlign w:val="center"/>
          </w:tcPr>
          <w:p w14:paraId="3E90DAE0">
            <w:pPr>
              <w:widowControl/>
              <w:snapToGrid w:val="0"/>
              <w:rPr>
                <w:rFonts w:ascii="宋体" w:hAnsi="宋体" w:cs="宋体"/>
                <w:color w:val="auto"/>
                <w:sz w:val="24"/>
                <w:szCs w:val="18"/>
              </w:rPr>
            </w:pPr>
          </w:p>
        </w:tc>
      </w:tr>
    </w:tbl>
    <w:p w14:paraId="04736B48">
      <w:pPr>
        <w:pStyle w:val="41"/>
        <w:wordWrap/>
        <w:snapToGrid w:val="0"/>
        <w:spacing w:before="0" w:beforeAutospacing="0" w:after="0" w:afterAutospacing="0" w:line="360" w:lineRule="auto"/>
        <w:ind w:firstLine="480"/>
        <w:jc w:val="both"/>
        <w:textAlignment w:val="auto"/>
        <w:rPr>
          <w:color w:val="auto"/>
        </w:rPr>
      </w:pPr>
      <w:r>
        <w:rPr>
          <w:rFonts w:hint="eastAsia"/>
          <w:color w:val="auto"/>
        </w:rPr>
        <w:t>说明：每家银行可以授权其下属的一个分支机构参加投标。</w:t>
      </w:r>
    </w:p>
    <w:p w14:paraId="3C24C3E6">
      <w:pPr>
        <w:snapToGrid w:val="0"/>
        <w:spacing w:line="360" w:lineRule="auto"/>
        <w:ind w:firstLine="482" w:firstLineChars="200"/>
        <w:rPr>
          <w:rFonts w:ascii="宋体" w:hAnsi="宋体"/>
          <w:b/>
          <w:kern w:val="0"/>
          <w:sz w:val="24"/>
          <w:highlight w:val="none"/>
        </w:rPr>
      </w:pPr>
      <w:r>
        <w:rPr>
          <w:rFonts w:hint="eastAsia" w:ascii="宋体" w:hAnsi="宋体"/>
          <w:b/>
          <w:kern w:val="0"/>
          <w:sz w:val="24"/>
          <w:highlight w:val="none"/>
        </w:rPr>
        <w:t>五、投标人资格要求：</w:t>
      </w:r>
    </w:p>
    <w:p w14:paraId="75589E84">
      <w:pPr>
        <w:snapToGrid w:val="0"/>
        <w:spacing w:line="360" w:lineRule="auto"/>
        <w:ind w:firstLine="480" w:firstLineChars="200"/>
        <w:rPr>
          <w:rFonts w:ascii="宋体" w:hAnsi="宋体"/>
          <w:sz w:val="24"/>
          <w:highlight w:val="none"/>
        </w:rPr>
      </w:pPr>
      <w:r>
        <w:rPr>
          <w:rFonts w:hint="eastAsia" w:ascii="宋体" w:hAnsi="宋体"/>
          <w:sz w:val="24"/>
          <w:highlight w:val="none"/>
        </w:rPr>
        <w:t>投标人应符合《杭州市市级行政事业单位公款竞争性存放管理办法》第十五条规定，具备承担招标项目的能力，具体包括：</w:t>
      </w:r>
    </w:p>
    <w:p w14:paraId="6A25A33D">
      <w:pPr>
        <w:snapToGrid w:val="0"/>
        <w:spacing w:line="360" w:lineRule="auto"/>
        <w:ind w:firstLine="480" w:firstLineChars="200"/>
        <w:rPr>
          <w:rFonts w:ascii="宋体" w:hAnsi="宋体"/>
          <w:sz w:val="24"/>
          <w:highlight w:val="none"/>
        </w:rPr>
      </w:pPr>
      <w:r>
        <w:rPr>
          <w:rFonts w:hint="eastAsia" w:ascii="宋体" w:hAnsi="宋体"/>
          <w:sz w:val="24"/>
          <w:highlight w:val="none"/>
        </w:rPr>
        <w:t>（一）在市级行政事业单位所在同城设有分支机构； </w:t>
      </w:r>
    </w:p>
    <w:p w14:paraId="743B2B69">
      <w:pPr>
        <w:snapToGrid w:val="0"/>
        <w:spacing w:line="360" w:lineRule="auto"/>
        <w:ind w:firstLine="480" w:firstLineChars="200"/>
        <w:rPr>
          <w:rFonts w:ascii="宋体" w:hAnsi="宋体"/>
          <w:sz w:val="24"/>
          <w:highlight w:val="none"/>
        </w:rPr>
      </w:pPr>
      <w:r>
        <w:rPr>
          <w:rFonts w:hint="eastAsia" w:ascii="宋体" w:hAnsi="宋体"/>
          <w:sz w:val="24"/>
          <w:highlight w:val="none"/>
        </w:rPr>
        <w:t>（二）依法开展经营活动，近3年内在经营活动中无重大违法违规记录及重大违约事件； </w:t>
      </w:r>
    </w:p>
    <w:p w14:paraId="6BD87820">
      <w:pPr>
        <w:snapToGrid w:val="0"/>
        <w:spacing w:line="360" w:lineRule="auto"/>
        <w:ind w:firstLine="480" w:firstLineChars="200"/>
        <w:rPr>
          <w:rFonts w:ascii="宋体" w:hAnsi="宋体"/>
          <w:sz w:val="24"/>
          <w:highlight w:val="none"/>
        </w:rPr>
      </w:pPr>
      <w:r>
        <w:rPr>
          <w:rFonts w:hint="eastAsia" w:ascii="宋体" w:hAnsi="宋体"/>
          <w:sz w:val="24"/>
          <w:highlight w:val="none"/>
        </w:rPr>
        <w:t>（三）纳入人民银行综合评价的银行，人民银行上年度综合评价应达到B级及以上，不纳入人民银行综合评价范围的银行不受此限制。</w:t>
      </w:r>
    </w:p>
    <w:p w14:paraId="2A9996AE">
      <w:pPr>
        <w:snapToGrid w:val="0"/>
        <w:spacing w:line="360" w:lineRule="auto"/>
        <w:ind w:firstLine="480" w:firstLineChars="200"/>
        <w:rPr>
          <w:rFonts w:ascii="宋体" w:hAnsi="宋体"/>
          <w:sz w:val="24"/>
          <w:highlight w:val="none"/>
        </w:rPr>
      </w:pPr>
      <w:r>
        <w:rPr>
          <w:rFonts w:hint="eastAsia" w:ascii="宋体" w:hAnsi="宋体"/>
          <w:sz w:val="24"/>
          <w:highlight w:val="none"/>
        </w:rPr>
        <w:t>（四）投标银行须提供所在地区（含省、市，下同）总行或分行针对本项目的唯一授权书。</w:t>
      </w:r>
    </w:p>
    <w:p w14:paraId="3FEF7584">
      <w:pPr>
        <w:snapToGrid w:val="0"/>
        <w:spacing w:line="360" w:lineRule="auto"/>
        <w:ind w:firstLine="482" w:firstLineChars="200"/>
        <w:rPr>
          <w:rFonts w:ascii="宋体" w:hAnsi="宋体"/>
          <w:b/>
          <w:kern w:val="0"/>
          <w:sz w:val="24"/>
          <w:highlight w:val="none"/>
        </w:rPr>
      </w:pPr>
      <w:r>
        <w:rPr>
          <w:rFonts w:hint="eastAsia" w:ascii="宋体" w:hAnsi="宋体"/>
          <w:b/>
          <w:kern w:val="0"/>
          <w:sz w:val="24"/>
          <w:highlight w:val="none"/>
        </w:rPr>
        <w:t>六、投标报名</w:t>
      </w:r>
    </w:p>
    <w:p w14:paraId="30CA913D">
      <w:pPr>
        <w:snapToGrid w:val="0"/>
        <w:spacing w:line="360" w:lineRule="auto"/>
        <w:ind w:firstLine="480" w:firstLineChars="200"/>
        <w:jc w:val="left"/>
        <w:rPr>
          <w:rFonts w:ascii="宋体" w:hAnsi="宋体"/>
          <w:sz w:val="24"/>
          <w:highlight w:val="none"/>
        </w:rPr>
      </w:pPr>
      <w:r>
        <w:rPr>
          <w:rFonts w:hint="eastAsia" w:ascii="宋体" w:hAnsi="宋体"/>
          <w:sz w:val="24"/>
          <w:highlight w:val="none"/>
        </w:rPr>
        <w:t>1、时间：</w:t>
      </w:r>
      <w:r>
        <w:rPr>
          <w:rFonts w:hint="eastAsia" w:ascii="宋体" w:hAnsi="宋体"/>
          <w:sz w:val="24"/>
          <w:highlight w:val="none"/>
          <w:lang w:eastAsia="zh-CN"/>
        </w:rPr>
        <w:t>2025</w:t>
      </w:r>
      <w:r>
        <w:rPr>
          <w:rFonts w:hint="eastAsia" w:ascii="宋体" w:hAnsi="宋体"/>
          <w:sz w:val="24"/>
          <w:highlight w:val="none"/>
        </w:rPr>
        <w:t>年</w:t>
      </w:r>
      <w:r>
        <w:rPr>
          <w:rFonts w:hint="eastAsia" w:ascii="宋体" w:hAnsi="宋体"/>
          <w:sz w:val="24"/>
          <w:highlight w:val="none"/>
          <w:lang w:val="en-US" w:eastAsia="zh-CN"/>
        </w:rPr>
        <w:t>02</w:t>
      </w:r>
      <w:r>
        <w:rPr>
          <w:rFonts w:hint="eastAsia" w:ascii="宋体" w:hAnsi="宋体"/>
          <w:sz w:val="24"/>
          <w:highlight w:val="none"/>
        </w:rPr>
        <w:t>月</w:t>
      </w:r>
      <w:r>
        <w:rPr>
          <w:rFonts w:hint="eastAsia" w:ascii="宋体" w:hAnsi="宋体"/>
          <w:sz w:val="24"/>
          <w:highlight w:val="none"/>
          <w:lang w:val="en-US" w:eastAsia="zh-CN"/>
        </w:rPr>
        <w:t>25日</w:t>
      </w:r>
      <w:r>
        <w:rPr>
          <w:rFonts w:hint="eastAsia" w:ascii="宋体" w:hAnsi="宋体"/>
          <w:sz w:val="24"/>
          <w:highlight w:val="none"/>
        </w:rPr>
        <w:t>至</w:t>
      </w:r>
      <w:r>
        <w:rPr>
          <w:rFonts w:hint="eastAsia" w:ascii="宋体" w:hAnsi="宋体"/>
          <w:sz w:val="24"/>
          <w:highlight w:val="none"/>
          <w:lang w:eastAsia="zh-CN"/>
        </w:rPr>
        <w:t>2025</w:t>
      </w:r>
      <w:r>
        <w:rPr>
          <w:rFonts w:hint="eastAsia" w:ascii="宋体" w:hAnsi="宋体"/>
          <w:sz w:val="24"/>
          <w:highlight w:val="none"/>
        </w:rPr>
        <w:t>年</w:t>
      </w:r>
      <w:r>
        <w:rPr>
          <w:rFonts w:hint="eastAsia" w:ascii="宋体" w:hAnsi="宋体"/>
          <w:sz w:val="24"/>
          <w:highlight w:val="none"/>
          <w:lang w:val="en-US" w:eastAsia="zh-CN"/>
        </w:rPr>
        <w:t>03</w:t>
      </w:r>
      <w:r>
        <w:rPr>
          <w:rFonts w:hint="eastAsia" w:ascii="宋体" w:hAnsi="宋体"/>
          <w:sz w:val="24"/>
          <w:highlight w:val="none"/>
        </w:rPr>
        <w:t>月</w:t>
      </w:r>
      <w:r>
        <w:rPr>
          <w:rFonts w:hint="eastAsia" w:ascii="宋体" w:hAnsi="宋体"/>
          <w:sz w:val="24"/>
          <w:highlight w:val="none"/>
          <w:lang w:val="en-US" w:eastAsia="zh-CN"/>
        </w:rPr>
        <w:t>03</w:t>
      </w:r>
      <w:r>
        <w:rPr>
          <w:rFonts w:hint="eastAsia" w:ascii="宋体" w:hAnsi="宋体"/>
          <w:sz w:val="24"/>
          <w:highlight w:val="none"/>
        </w:rPr>
        <w:t>日</w:t>
      </w:r>
      <w:r>
        <w:rPr>
          <w:rFonts w:hint="eastAsia" w:ascii="宋体" w:hAnsi="宋体"/>
          <w:sz w:val="24"/>
          <w:highlight w:val="none"/>
          <w:lang w:val="en-US" w:eastAsia="zh-CN"/>
        </w:rPr>
        <w:t>09：00-17：00</w:t>
      </w:r>
      <w:bookmarkStart w:id="62" w:name="_GoBack"/>
      <w:bookmarkEnd w:id="62"/>
      <w:r>
        <w:rPr>
          <w:rFonts w:hint="eastAsia" w:ascii="宋体" w:hAnsi="宋体"/>
          <w:sz w:val="24"/>
          <w:highlight w:val="none"/>
        </w:rPr>
        <w:t>（双休日及法定节假日除外）</w:t>
      </w:r>
    </w:p>
    <w:p w14:paraId="566E07F4">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2、方式：本项目实行网上报名，不接受现场报名。报名银行登录政府采购云平台（https://www.zcygov.cn）,进入公款竞争性存放招标系统（以下简称“招标系统”），在竞标项目内按规定进行报名。第一步：选择本期招标项目，第二步：填写报名信息。报名成功后联系人会收到短信通知，逾期报名视为未报名。</w:t>
      </w:r>
    </w:p>
    <w:p w14:paraId="6156E438">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3、报名时需要提交的资料：有效的法人代表授权书或介绍信</w:t>
      </w:r>
      <w:r>
        <w:rPr>
          <w:rFonts w:hint="eastAsia" w:ascii="宋体" w:hAnsi="宋体"/>
          <w:kern w:val="0"/>
          <w:sz w:val="24"/>
          <w:highlight w:val="none"/>
          <w:lang w:eastAsia="zh-CN"/>
        </w:rPr>
        <w:t>，</w:t>
      </w:r>
      <w:r>
        <w:rPr>
          <w:rFonts w:hint="eastAsia" w:ascii="宋体" w:hAnsi="宋体"/>
          <w:kern w:val="0"/>
          <w:sz w:val="24"/>
          <w:highlight w:val="none"/>
          <w:lang w:val="en-US" w:eastAsia="zh-CN"/>
        </w:rPr>
        <w:t>营业执照</w:t>
      </w:r>
      <w:r>
        <w:rPr>
          <w:rFonts w:hint="eastAsia" w:ascii="宋体" w:hAnsi="宋体"/>
          <w:kern w:val="0"/>
          <w:sz w:val="24"/>
          <w:highlight w:val="none"/>
        </w:rPr>
        <w:t>；</w:t>
      </w:r>
    </w:p>
    <w:p w14:paraId="12AA28FE">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4、招标文件获取方式：报名成功后可在线查阅招标文件。</w:t>
      </w:r>
    </w:p>
    <w:p w14:paraId="22B8B5E6">
      <w:pPr>
        <w:pStyle w:val="2"/>
        <w:snapToGrid w:val="0"/>
        <w:spacing w:line="360" w:lineRule="auto"/>
        <w:ind w:firstLine="482"/>
        <w:rPr>
          <w:b/>
          <w:kern w:val="0"/>
          <w:highlight w:val="none"/>
        </w:rPr>
      </w:pPr>
      <w:r>
        <w:rPr>
          <w:rFonts w:hint="eastAsia"/>
          <w:b/>
          <w:kern w:val="0"/>
          <w:highlight w:val="none"/>
        </w:rPr>
        <w:t>七、投标起止时间及方式</w:t>
      </w:r>
    </w:p>
    <w:p w14:paraId="6D73DD97">
      <w:pPr>
        <w:tabs>
          <w:tab w:val="left" w:pos="720"/>
        </w:tabs>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1、投标截止时间：</w:t>
      </w:r>
      <w:r>
        <w:rPr>
          <w:rFonts w:hint="eastAsia" w:ascii="宋体" w:hAnsi="宋体"/>
          <w:kern w:val="0"/>
          <w:sz w:val="24"/>
          <w:highlight w:val="none"/>
          <w:lang w:eastAsia="zh-CN"/>
        </w:rPr>
        <w:t>2025</w:t>
      </w:r>
      <w:r>
        <w:rPr>
          <w:rFonts w:hint="eastAsia" w:ascii="宋体" w:hAnsi="宋体"/>
          <w:kern w:val="0"/>
          <w:sz w:val="24"/>
          <w:highlight w:val="none"/>
        </w:rPr>
        <w:t>年</w:t>
      </w:r>
      <w:r>
        <w:rPr>
          <w:rFonts w:hint="eastAsia" w:ascii="宋体" w:hAnsi="宋体"/>
          <w:kern w:val="0"/>
          <w:sz w:val="24"/>
          <w:highlight w:val="none"/>
          <w:lang w:val="en-US" w:eastAsia="zh-CN"/>
        </w:rPr>
        <w:t>03</w:t>
      </w:r>
      <w:r>
        <w:rPr>
          <w:rFonts w:hint="eastAsia" w:ascii="宋体" w:hAnsi="宋体"/>
          <w:kern w:val="0"/>
          <w:sz w:val="24"/>
          <w:highlight w:val="none"/>
        </w:rPr>
        <w:t>月</w:t>
      </w:r>
      <w:r>
        <w:rPr>
          <w:rFonts w:hint="eastAsia" w:ascii="宋体" w:hAnsi="宋体"/>
          <w:kern w:val="0"/>
          <w:sz w:val="24"/>
          <w:highlight w:val="none"/>
          <w:lang w:val="en-US" w:eastAsia="zh-CN"/>
        </w:rPr>
        <w:t>19</w:t>
      </w:r>
      <w:r>
        <w:rPr>
          <w:rFonts w:hint="eastAsia" w:ascii="宋体" w:hAnsi="宋体"/>
          <w:kern w:val="0"/>
          <w:sz w:val="24"/>
          <w:highlight w:val="none"/>
        </w:rPr>
        <w:t>日1</w:t>
      </w:r>
      <w:r>
        <w:rPr>
          <w:rFonts w:hint="eastAsia" w:ascii="宋体" w:hAnsi="宋体"/>
          <w:kern w:val="0"/>
          <w:sz w:val="24"/>
          <w:highlight w:val="none"/>
          <w:lang w:val="en-US" w:eastAsia="zh-CN"/>
        </w:rPr>
        <w:t>4</w:t>
      </w:r>
      <w:r>
        <w:rPr>
          <w:rFonts w:hint="eastAsia" w:ascii="宋体" w:hAnsi="宋体"/>
          <w:kern w:val="0"/>
          <w:sz w:val="24"/>
          <w:highlight w:val="none"/>
        </w:rPr>
        <w:t>:</w:t>
      </w:r>
      <w:r>
        <w:rPr>
          <w:rFonts w:hint="eastAsia" w:ascii="宋体" w:hAnsi="宋体"/>
          <w:kern w:val="0"/>
          <w:sz w:val="24"/>
          <w:highlight w:val="none"/>
          <w:lang w:val="en-US" w:eastAsia="zh-CN"/>
        </w:rPr>
        <w:t>0</w:t>
      </w:r>
      <w:r>
        <w:rPr>
          <w:rFonts w:hint="eastAsia" w:ascii="宋体" w:hAnsi="宋体"/>
          <w:kern w:val="0"/>
          <w:sz w:val="24"/>
          <w:highlight w:val="none"/>
        </w:rPr>
        <w:t>0；</w:t>
      </w:r>
    </w:p>
    <w:p w14:paraId="5843C58F">
      <w:pPr>
        <w:tabs>
          <w:tab w:val="left" w:pos="720"/>
        </w:tabs>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2、投标文件递交地点：通过政府采购云平台（https://login.zcygov.cn）在线投标；</w:t>
      </w:r>
    </w:p>
    <w:p w14:paraId="19459777">
      <w:pPr>
        <w:tabs>
          <w:tab w:val="left" w:pos="720"/>
        </w:tabs>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3、登录政府采购云平台，进入招标系统，按规定进行投标。投标成功会接收短信通知，逾期投标视为未投标。</w:t>
      </w:r>
    </w:p>
    <w:p w14:paraId="0704A2DC">
      <w:pPr>
        <w:pStyle w:val="2"/>
        <w:snapToGrid w:val="0"/>
        <w:spacing w:line="360" w:lineRule="auto"/>
        <w:ind w:firstLine="482"/>
        <w:rPr>
          <w:b/>
          <w:highlight w:val="none"/>
        </w:rPr>
      </w:pPr>
      <w:r>
        <w:rPr>
          <w:rFonts w:hint="eastAsia"/>
          <w:b/>
          <w:highlight w:val="none"/>
        </w:rPr>
        <w:t>八、开标时间及地点</w:t>
      </w:r>
    </w:p>
    <w:p w14:paraId="1195DEB0">
      <w:pPr>
        <w:tabs>
          <w:tab w:val="left" w:pos="720"/>
        </w:tabs>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1、开标时间：</w:t>
      </w:r>
      <w:r>
        <w:rPr>
          <w:rFonts w:hint="eastAsia" w:ascii="宋体" w:hAnsi="宋体"/>
          <w:kern w:val="0"/>
          <w:sz w:val="24"/>
          <w:highlight w:val="none"/>
          <w:lang w:eastAsia="zh-CN"/>
        </w:rPr>
        <w:t>2025</w:t>
      </w:r>
      <w:r>
        <w:rPr>
          <w:rFonts w:hint="eastAsia" w:ascii="宋体" w:hAnsi="宋体"/>
          <w:kern w:val="0"/>
          <w:sz w:val="24"/>
          <w:highlight w:val="none"/>
        </w:rPr>
        <w:t>年</w:t>
      </w:r>
      <w:r>
        <w:rPr>
          <w:rFonts w:hint="eastAsia" w:ascii="宋体" w:hAnsi="宋体"/>
          <w:kern w:val="0"/>
          <w:sz w:val="24"/>
          <w:highlight w:val="none"/>
          <w:lang w:val="en-US" w:eastAsia="zh-CN"/>
        </w:rPr>
        <w:t>03</w:t>
      </w:r>
      <w:r>
        <w:rPr>
          <w:rFonts w:hint="eastAsia" w:ascii="宋体" w:hAnsi="宋体"/>
          <w:kern w:val="0"/>
          <w:sz w:val="24"/>
          <w:highlight w:val="none"/>
        </w:rPr>
        <w:t>月</w:t>
      </w:r>
      <w:r>
        <w:rPr>
          <w:rFonts w:hint="eastAsia" w:ascii="宋体" w:hAnsi="宋体"/>
          <w:kern w:val="0"/>
          <w:sz w:val="24"/>
          <w:highlight w:val="none"/>
          <w:lang w:val="en-US" w:eastAsia="zh-CN"/>
        </w:rPr>
        <w:t>19</w:t>
      </w:r>
      <w:r>
        <w:rPr>
          <w:rFonts w:hint="eastAsia" w:ascii="宋体" w:hAnsi="宋体"/>
          <w:kern w:val="0"/>
          <w:sz w:val="24"/>
          <w:highlight w:val="none"/>
        </w:rPr>
        <w:t>日1</w:t>
      </w:r>
      <w:r>
        <w:rPr>
          <w:rFonts w:hint="eastAsia" w:ascii="宋体" w:hAnsi="宋体"/>
          <w:kern w:val="0"/>
          <w:sz w:val="24"/>
          <w:highlight w:val="none"/>
          <w:lang w:val="en-US" w:eastAsia="zh-CN"/>
        </w:rPr>
        <w:t>4</w:t>
      </w:r>
      <w:r>
        <w:rPr>
          <w:rFonts w:hint="eastAsia" w:ascii="宋体" w:hAnsi="宋体"/>
          <w:kern w:val="0"/>
          <w:sz w:val="24"/>
          <w:highlight w:val="none"/>
        </w:rPr>
        <w:t>:</w:t>
      </w:r>
      <w:r>
        <w:rPr>
          <w:rFonts w:hint="eastAsia" w:ascii="宋体" w:hAnsi="宋体"/>
          <w:kern w:val="0"/>
          <w:sz w:val="24"/>
          <w:highlight w:val="none"/>
          <w:lang w:val="en-US" w:eastAsia="zh-CN"/>
        </w:rPr>
        <w:t>0</w:t>
      </w:r>
      <w:r>
        <w:rPr>
          <w:rFonts w:hint="eastAsia" w:ascii="宋体" w:hAnsi="宋体"/>
          <w:kern w:val="0"/>
          <w:sz w:val="24"/>
          <w:highlight w:val="none"/>
        </w:rPr>
        <w:t>0</w:t>
      </w:r>
    </w:p>
    <w:p w14:paraId="7010C90E">
      <w:pPr>
        <w:tabs>
          <w:tab w:val="left" w:pos="720"/>
        </w:tabs>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 xml:space="preserve">2、开标地点：通过政府采购云平台（https://login.zcygov.cn）在线开标。投标人无须派人员到现场出席。 </w:t>
      </w:r>
    </w:p>
    <w:p w14:paraId="3D976150">
      <w:pPr>
        <w:pStyle w:val="2"/>
        <w:numPr>
          <w:ilvl w:val="0"/>
          <w:numId w:val="1"/>
        </w:numPr>
        <w:snapToGrid w:val="0"/>
        <w:spacing w:line="360" w:lineRule="auto"/>
        <w:ind w:firstLine="482"/>
        <w:rPr>
          <w:b/>
          <w:highlight w:val="none"/>
        </w:rPr>
      </w:pPr>
      <w:r>
        <w:rPr>
          <w:rFonts w:hint="eastAsia"/>
          <w:b/>
          <w:highlight w:val="none"/>
        </w:rPr>
        <w:t>联系方式：</w:t>
      </w:r>
    </w:p>
    <w:p w14:paraId="32F6BF0A">
      <w:pPr>
        <w:spacing w:line="360" w:lineRule="auto"/>
        <w:ind w:firstLine="480" w:firstLineChars="200"/>
        <w:rPr>
          <w:rFonts w:hint="eastAsia" w:ascii="宋体" w:hAnsi="宋体" w:eastAsia="宋体" w:cs="宋体"/>
          <w:bCs/>
          <w:color w:val="auto"/>
          <w:kern w:val="0"/>
          <w:sz w:val="24"/>
          <w:szCs w:val="24"/>
          <w:highlight w:val="none"/>
          <w:lang w:val="zh-CN"/>
        </w:rPr>
      </w:pPr>
      <w:bookmarkStart w:id="7" w:name="_Toc2539"/>
      <w:r>
        <w:rPr>
          <w:rFonts w:hint="eastAsia" w:ascii="宋体" w:hAnsi="宋体" w:eastAsia="宋体" w:cs="宋体"/>
          <w:bCs/>
          <w:color w:val="auto"/>
          <w:kern w:val="0"/>
          <w:sz w:val="24"/>
          <w:szCs w:val="24"/>
          <w:highlight w:val="none"/>
          <w:lang w:val="en-US" w:eastAsia="zh-CN"/>
        </w:rPr>
        <w:t>招标</w:t>
      </w:r>
      <w:r>
        <w:rPr>
          <w:rFonts w:hint="eastAsia" w:ascii="宋体" w:hAnsi="宋体" w:eastAsia="宋体" w:cs="宋体"/>
          <w:bCs/>
          <w:color w:val="auto"/>
          <w:kern w:val="0"/>
          <w:sz w:val="24"/>
          <w:szCs w:val="24"/>
          <w:highlight w:val="none"/>
          <w:lang w:val="zh-CN"/>
        </w:rPr>
        <w:t>人名称：</w:t>
      </w:r>
      <w:bookmarkEnd w:id="7"/>
      <w:r>
        <w:rPr>
          <w:rFonts w:hint="eastAsia" w:ascii="宋体" w:hAnsi="宋体" w:eastAsia="宋体" w:cs="宋体"/>
          <w:bCs/>
          <w:color w:val="auto"/>
          <w:kern w:val="0"/>
          <w:sz w:val="24"/>
          <w:szCs w:val="24"/>
          <w:highlight w:val="none"/>
        </w:rPr>
        <w:t>杭州市民政局</w:t>
      </w:r>
    </w:p>
    <w:p w14:paraId="26F6A68B">
      <w:pPr>
        <w:spacing w:line="360" w:lineRule="auto"/>
        <w:ind w:firstLine="480" w:firstLineChars="200"/>
        <w:rPr>
          <w:rFonts w:hint="default"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zh-CN"/>
        </w:rPr>
        <w:t>地</w:t>
      </w:r>
      <w:r>
        <w:rPr>
          <w:rFonts w:hint="eastAsia" w:ascii="宋体" w:hAnsi="宋体" w:eastAsia="宋体" w:cs="宋体"/>
          <w:bCs/>
          <w:color w:val="auto"/>
          <w:kern w:val="0"/>
          <w:sz w:val="24"/>
          <w:szCs w:val="24"/>
          <w:highlight w:val="none"/>
        </w:rPr>
        <w:t xml:space="preserve">      </w:t>
      </w:r>
      <w:r>
        <w:rPr>
          <w:rFonts w:hint="eastAsia" w:ascii="宋体" w:hAnsi="宋体" w:eastAsia="宋体" w:cs="宋体"/>
          <w:bCs/>
          <w:color w:val="auto"/>
          <w:kern w:val="0"/>
          <w:sz w:val="24"/>
          <w:szCs w:val="24"/>
          <w:highlight w:val="none"/>
          <w:lang w:val="zh-CN"/>
        </w:rPr>
        <w:t>址：</w:t>
      </w:r>
      <w:r>
        <w:rPr>
          <w:rFonts w:hint="eastAsia" w:ascii="宋体" w:hAnsi="宋体" w:cs="宋体"/>
          <w:bCs/>
          <w:color w:val="auto"/>
          <w:kern w:val="0"/>
          <w:sz w:val="24"/>
          <w:szCs w:val="24"/>
          <w:highlight w:val="none"/>
          <w:lang w:val="en-US" w:eastAsia="zh-CN"/>
        </w:rPr>
        <w:t>杭州市西湖区文三路359号</w:t>
      </w:r>
    </w:p>
    <w:p w14:paraId="632A642D">
      <w:pPr>
        <w:spacing w:line="360" w:lineRule="auto"/>
        <w:ind w:firstLine="480" w:firstLineChars="200"/>
        <w:rPr>
          <w:rFonts w:hint="default" w:ascii="宋体" w:hAnsi="宋体" w:eastAsia="宋体" w:cs="宋体"/>
          <w:bCs/>
          <w:color w:val="auto"/>
          <w:kern w:val="0"/>
          <w:sz w:val="24"/>
          <w:szCs w:val="24"/>
          <w:highlight w:val="none"/>
          <w:lang w:val="en-US"/>
        </w:rPr>
      </w:pPr>
      <w:r>
        <w:rPr>
          <w:rFonts w:hint="eastAsia" w:ascii="宋体" w:hAnsi="宋体" w:eastAsia="宋体" w:cs="宋体"/>
          <w:bCs/>
          <w:color w:val="auto"/>
          <w:kern w:val="0"/>
          <w:sz w:val="24"/>
          <w:szCs w:val="24"/>
          <w:highlight w:val="none"/>
          <w:lang w:val="zh-CN"/>
        </w:rPr>
        <w:t>联</w:t>
      </w:r>
      <w:r>
        <w:rPr>
          <w:rFonts w:hint="eastAsia" w:ascii="宋体" w:hAnsi="宋体" w:eastAsia="宋体" w:cs="宋体"/>
          <w:bCs/>
          <w:color w:val="auto"/>
          <w:kern w:val="0"/>
          <w:sz w:val="24"/>
          <w:szCs w:val="24"/>
          <w:highlight w:val="none"/>
        </w:rPr>
        <w:t xml:space="preserve">  </w:t>
      </w:r>
      <w:r>
        <w:rPr>
          <w:rFonts w:hint="eastAsia" w:ascii="宋体" w:hAnsi="宋体" w:eastAsia="宋体" w:cs="宋体"/>
          <w:bCs/>
          <w:color w:val="auto"/>
          <w:kern w:val="0"/>
          <w:sz w:val="24"/>
          <w:szCs w:val="24"/>
          <w:highlight w:val="none"/>
          <w:lang w:val="zh-CN"/>
        </w:rPr>
        <w:t>系</w:t>
      </w:r>
      <w:r>
        <w:rPr>
          <w:rFonts w:hint="eastAsia" w:ascii="宋体" w:hAnsi="宋体" w:eastAsia="宋体" w:cs="宋体"/>
          <w:bCs/>
          <w:color w:val="auto"/>
          <w:kern w:val="0"/>
          <w:sz w:val="24"/>
          <w:szCs w:val="24"/>
          <w:highlight w:val="none"/>
        </w:rPr>
        <w:t xml:space="preserve">  </w:t>
      </w:r>
      <w:r>
        <w:rPr>
          <w:rFonts w:hint="eastAsia" w:ascii="宋体" w:hAnsi="宋体" w:eastAsia="宋体" w:cs="宋体"/>
          <w:bCs/>
          <w:color w:val="auto"/>
          <w:kern w:val="0"/>
          <w:sz w:val="24"/>
          <w:szCs w:val="24"/>
          <w:highlight w:val="none"/>
          <w:lang w:val="zh-CN"/>
        </w:rPr>
        <w:t>人：</w:t>
      </w:r>
      <w:r>
        <w:rPr>
          <w:rFonts w:hint="eastAsia" w:ascii="宋体" w:hAnsi="宋体" w:cs="宋体"/>
          <w:bCs/>
          <w:color w:val="auto"/>
          <w:kern w:val="0"/>
          <w:sz w:val="24"/>
          <w:szCs w:val="24"/>
          <w:highlight w:val="none"/>
          <w:lang w:val="en-US" w:eastAsia="zh-CN"/>
        </w:rPr>
        <w:t>王老师</w:t>
      </w:r>
    </w:p>
    <w:p w14:paraId="53743A83">
      <w:pPr>
        <w:pStyle w:val="2"/>
        <w:widowControl/>
        <w:snapToGrid w:val="0"/>
        <w:spacing w:line="360" w:lineRule="auto"/>
        <w:ind w:firstLine="0" w:firstLineChars="0"/>
        <w:jc w:val="left"/>
        <w:rPr>
          <w:rFonts w:hint="eastAsia" w:eastAsia="宋体"/>
          <w:bCs/>
          <w:highlight w:val="none"/>
          <w:lang w:eastAsia="zh-CN"/>
        </w:rPr>
      </w:pPr>
      <w:r>
        <w:rPr>
          <w:rFonts w:hint="eastAsia"/>
          <w:bCs/>
          <w:highlight w:val="none"/>
        </w:rPr>
        <w:t xml:space="preserve">    招标代理机构：</w:t>
      </w:r>
      <w:r>
        <w:rPr>
          <w:rFonts w:hint="eastAsia"/>
          <w:bCs/>
          <w:highlight w:val="none"/>
          <w:lang w:eastAsia="zh-CN"/>
        </w:rPr>
        <w:t>浙江建安工程管理有限公司</w:t>
      </w:r>
    </w:p>
    <w:p w14:paraId="25CA3891">
      <w:pPr>
        <w:pStyle w:val="2"/>
        <w:widowControl/>
        <w:snapToGrid w:val="0"/>
        <w:spacing w:line="360" w:lineRule="auto"/>
        <w:ind w:firstLine="0" w:firstLineChars="0"/>
        <w:jc w:val="left"/>
        <w:rPr>
          <w:bCs/>
          <w:color w:val="auto"/>
          <w:highlight w:val="none"/>
        </w:rPr>
      </w:pPr>
      <w:r>
        <w:rPr>
          <w:rFonts w:hint="eastAsia"/>
          <w:bCs/>
          <w:highlight w:val="none"/>
        </w:rPr>
        <w:t xml:space="preserve">    </w:t>
      </w:r>
      <w:r>
        <w:rPr>
          <w:rFonts w:hint="eastAsia"/>
          <w:bCs/>
          <w:color w:val="auto"/>
          <w:highlight w:val="none"/>
        </w:rPr>
        <w:t>地  点：杭州市余杭区乐富海邦园12 座7楼702</w:t>
      </w:r>
    </w:p>
    <w:p w14:paraId="392A82FB">
      <w:pPr>
        <w:pStyle w:val="2"/>
        <w:widowControl/>
        <w:snapToGrid w:val="0"/>
        <w:spacing w:line="360" w:lineRule="auto"/>
        <w:ind w:firstLine="0" w:firstLineChars="0"/>
        <w:jc w:val="left"/>
        <w:rPr>
          <w:bCs/>
          <w:color w:val="auto"/>
          <w:highlight w:val="none"/>
        </w:rPr>
      </w:pPr>
      <w:r>
        <w:rPr>
          <w:rFonts w:hint="eastAsia"/>
          <w:bCs/>
          <w:color w:val="auto"/>
          <w:highlight w:val="none"/>
        </w:rPr>
        <w:t xml:space="preserve">    联系人：李工、陈工</w:t>
      </w:r>
    </w:p>
    <w:p w14:paraId="3C8F9714">
      <w:pPr>
        <w:widowControl/>
        <w:snapToGrid w:val="0"/>
        <w:spacing w:line="360" w:lineRule="auto"/>
        <w:ind w:firstLine="480" w:firstLineChars="200"/>
        <w:jc w:val="left"/>
        <w:rPr>
          <w:rFonts w:ascii="宋体" w:hAnsi="宋体"/>
          <w:color w:val="auto"/>
          <w:kern w:val="0"/>
          <w:sz w:val="24"/>
          <w:highlight w:val="none"/>
        </w:rPr>
      </w:pPr>
      <w:r>
        <w:rPr>
          <w:rFonts w:hint="eastAsia" w:ascii="宋体" w:hAnsi="宋体"/>
          <w:color w:val="auto"/>
          <w:kern w:val="0"/>
          <w:sz w:val="24"/>
          <w:highlight w:val="none"/>
        </w:rPr>
        <w:t>电  话：13758290129、15916859452</w:t>
      </w:r>
    </w:p>
    <w:p w14:paraId="0C925E57">
      <w:pPr>
        <w:widowControl/>
        <w:snapToGrid w:val="0"/>
        <w:spacing w:line="360" w:lineRule="auto"/>
        <w:ind w:firstLine="420" w:firstLineChars="200"/>
        <w:jc w:val="left"/>
        <w:rPr>
          <w:highlight w:val="none"/>
        </w:rPr>
      </w:pPr>
      <w:r>
        <w:rPr>
          <w:rFonts w:hint="eastAsia" w:ascii="宋体" w:hAnsi="宋体"/>
          <w:kern w:val="0"/>
          <w:szCs w:val="21"/>
          <w:highlight w:val="none"/>
        </w:rPr>
        <w:t>若对项目招标电子交易系统操作有疑问，可登录政采云（https://www.zcygov.cn/），点击右侧咨询小采，获取采小蜜智能服务管家帮助，或拨打政采云服务热线400-881-7190获取热线服务帮助。    CA问题联系电话（人工）：汇信CA 400-888-4636；天谷CA 400-087-8198。</w:t>
      </w:r>
    </w:p>
    <w:p w14:paraId="63774E50">
      <w:pPr>
        <w:rPr>
          <w:highlight w:val="none"/>
        </w:rPr>
      </w:pPr>
    </w:p>
    <w:bookmarkEnd w:id="5"/>
    <w:p w14:paraId="15E3B9A7">
      <w:pPr>
        <w:pStyle w:val="4"/>
        <w:tabs>
          <w:tab w:val="clear" w:pos="432"/>
        </w:tabs>
        <w:spacing w:before="0" w:after="0" w:line="360" w:lineRule="auto"/>
        <w:ind w:left="431" w:firstLine="0"/>
        <w:jc w:val="center"/>
        <w:rPr>
          <w:rFonts w:ascii="宋体" w:hAnsi="宋体"/>
          <w:sz w:val="36"/>
          <w:szCs w:val="36"/>
          <w:highlight w:val="none"/>
        </w:rPr>
      </w:pPr>
      <w:bookmarkStart w:id="8" w:name="_Hlt74649545"/>
      <w:bookmarkEnd w:id="8"/>
      <w:bookmarkStart w:id="9" w:name="_Hlt74728647"/>
      <w:bookmarkEnd w:id="9"/>
      <w:bookmarkStart w:id="10" w:name="_Hlt74707423"/>
      <w:bookmarkEnd w:id="10"/>
      <w:bookmarkStart w:id="11" w:name="_Hlt74729822"/>
      <w:bookmarkEnd w:id="11"/>
      <w:bookmarkStart w:id="12" w:name="_Toc497397639"/>
      <w:bookmarkEnd w:id="12"/>
      <w:bookmarkStart w:id="13" w:name="_Toc91899870"/>
      <w:bookmarkEnd w:id="13"/>
      <w:bookmarkStart w:id="14" w:name="_Toc91899871"/>
      <w:r>
        <w:rPr>
          <w:rFonts w:hint="eastAsia" w:ascii="宋体" w:hAnsi="宋体"/>
          <w:sz w:val="36"/>
          <w:szCs w:val="36"/>
          <w:highlight w:val="none"/>
        </w:rPr>
        <w:t>第二部分 编制和提交投标文件须知</w:t>
      </w:r>
    </w:p>
    <w:p w14:paraId="000045DA">
      <w:pPr>
        <w:pStyle w:val="5"/>
        <w:jc w:val="center"/>
        <w:rPr>
          <w:rFonts w:ascii="宋体" w:hAnsi="宋体" w:eastAsia="宋体"/>
          <w:sz w:val="30"/>
          <w:highlight w:val="none"/>
        </w:rPr>
      </w:pPr>
      <w:bookmarkStart w:id="15" w:name="_Toc497397640"/>
      <w:bookmarkEnd w:id="15"/>
      <w:r>
        <w:rPr>
          <w:rFonts w:hint="eastAsia" w:ascii="宋体" w:hAnsi="宋体" w:eastAsia="宋体"/>
          <w:sz w:val="30"/>
          <w:highlight w:val="none"/>
        </w:rPr>
        <w:t>前附表</w:t>
      </w:r>
    </w:p>
    <w:tbl>
      <w:tblPr>
        <w:tblStyle w:val="45"/>
        <w:tblW w:w="98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365"/>
        <w:gridCol w:w="7770"/>
      </w:tblGrid>
      <w:tr w14:paraId="5E38C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7CEC497">
            <w:pPr>
              <w:tabs>
                <w:tab w:val="left" w:pos="3780"/>
              </w:tabs>
              <w:snapToGrid w:val="0"/>
              <w:jc w:val="center"/>
              <w:rPr>
                <w:rFonts w:ascii="宋体" w:hAnsi="宋体"/>
                <w:b/>
                <w:sz w:val="24"/>
                <w:highlight w:val="none"/>
              </w:rPr>
            </w:pPr>
            <w:r>
              <w:rPr>
                <w:rFonts w:hint="eastAsia" w:ascii="宋体" w:hAnsi="宋体"/>
                <w:b/>
                <w:sz w:val="24"/>
                <w:highlight w:val="none"/>
              </w:rPr>
              <w:t>条款</w:t>
            </w:r>
          </w:p>
        </w:tc>
        <w:tc>
          <w:tcPr>
            <w:tcW w:w="9135" w:type="dxa"/>
            <w:gridSpan w:val="2"/>
            <w:vAlign w:val="center"/>
          </w:tcPr>
          <w:p w14:paraId="3737D14A">
            <w:pPr>
              <w:tabs>
                <w:tab w:val="left" w:pos="3780"/>
              </w:tabs>
              <w:snapToGrid w:val="0"/>
              <w:jc w:val="center"/>
              <w:rPr>
                <w:rFonts w:ascii="宋体" w:hAnsi="宋体"/>
                <w:b/>
                <w:sz w:val="24"/>
                <w:highlight w:val="none"/>
              </w:rPr>
            </w:pPr>
            <w:r>
              <w:rPr>
                <w:rFonts w:hint="eastAsia" w:ascii="宋体" w:hAnsi="宋体"/>
                <w:b/>
                <w:sz w:val="24"/>
                <w:highlight w:val="none"/>
              </w:rPr>
              <w:t>内容规定</w:t>
            </w:r>
          </w:p>
        </w:tc>
      </w:tr>
      <w:tr w14:paraId="0768D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684FAFC3">
            <w:pPr>
              <w:tabs>
                <w:tab w:val="left" w:pos="3780"/>
              </w:tabs>
              <w:snapToGrid w:val="0"/>
              <w:jc w:val="center"/>
              <w:rPr>
                <w:rFonts w:ascii="宋体" w:hAnsi="宋体"/>
                <w:sz w:val="24"/>
                <w:highlight w:val="none"/>
              </w:rPr>
            </w:pPr>
            <w:r>
              <w:rPr>
                <w:rFonts w:hint="eastAsia" w:ascii="宋体" w:hAnsi="宋体"/>
                <w:sz w:val="24"/>
                <w:highlight w:val="none"/>
              </w:rPr>
              <w:t>1</w:t>
            </w:r>
          </w:p>
        </w:tc>
        <w:tc>
          <w:tcPr>
            <w:tcW w:w="9135" w:type="dxa"/>
            <w:gridSpan w:val="2"/>
          </w:tcPr>
          <w:p w14:paraId="252194A5">
            <w:pPr>
              <w:tabs>
                <w:tab w:val="left" w:pos="3780"/>
              </w:tabs>
              <w:autoSpaceDE w:val="0"/>
              <w:autoSpaceDN w:val="0"/>
              <w:snapToGrid w:val="0"/>
              <w:jc w:val="center"/>
              <w:rPr>
                <w:rFonts w:ascii="宋体" w:hAnsi="宋体"/>
                <w:b/>
                <w:bCs/>
                <w:sz w:val="24"/>
                <w:highlight w:val="none"/>
                <w:lang w:val="zh-CN"/>
              </w:rPr>
            </w:pPr>
            <w:r>
              <w:rPr>
                <w:rFonts w:hint="eastAsia" w:ascii="宋体" w:hAnsi="宋体"/>
                <w:b/>
                <w:bCs/>
                <w:sz w:val="24"/>
                <w:highlight w:val="none"/>
                <w:lang w:val="zh-CN"/>
              </w:rPr>
              <w:t>项目说明</w:t>
            </w:r>
          </w:p>
          <w:p w14:paraId="1AA94003">
            <w:pPr>
              <w:snapToGrid w:val="0"/>
              <w:rPr>
                <w:rFonts w:ascii="宋体" w:hAnsi="宋体"/>
                <w:b/>
                <w:sz w:val="24"/>
                <w:highlight w:val="none"/>
              </w:rPr>
            </w:pPr>
            <w:bookmarkStart w:id="16" w:name="_Hlt75139851"/>
            <w:bookmarkEnd w:id="16"/>
            <w:r>
              <w:rPr>
                <w:rFonts w:hint="eastAsia" w:ascii="宋体" w:hAnsi="宋体"/>
                <w:b/>
                <w:sz w:val="24"/>
                <w:highlight w:val="none"/>
              </w:rPr>
              <w:t>一、项目名称：</w:t>
            </w:r>
            <w:r>
              <w:rPr>
                <w:rFonts w:hint="eastAsia" w:ascii="宋体" w:hAnsi="宋体"/>
                <w:sz w:val="24"/>
                <w:highlight w:val="none"/>
                <w:lang w:eastAsia="zh-CN"/>
              </w:rPr>
              <w:t>杭州市民政局2025年上半年局属事业单位公款竞争性存放项目</w:t>
            </w:r>
          </w:p>
          <w:p w14:paraId="0DEA5B46">
            <w:pPr>
              <w:snapToGrid w:val="0"/>
              <w:rPr>
                <w:rFonts w:ascii="宋体" w:hAnsi="宋体"/>
                <w:b/>
                <w:sz w:val="24"/>
                <w:highlight w:val="none"/>
              </w:rPr>
            </w:pPr>
            <w:r>
              <w:rPr>
                <w:rFonts w:hint="eastAsia" w:ascii="宋体" w:hAnsi="宋体"/>
                <w:b/>
                <w:sz w:val="24"/>
                <w:highlight w:val="none"/>
              </w:rPr>
              <w:t>二、项目的内容：</w:t>
            </w:r>
            <w:r>
              <w:rPr>
                <w:rFonts w:hint="eastAsia" w:ascii="宋体" w:hAnsi="宋体"/>
                <w:sz w:val="24"/>
                <w:highlight w:val="none"/>
              </w:rPr>
              <w:t>具体详见招标文件第三部分“项目技术规范和服务要求”。</w:t>
            </w:r>
          </w:p>
          <w:p w14:paraId="53A09E53">
            <w:pPr>
              <w:snapToGrid w:val="0"/>
              <w:rPr>
                <w:rFonts w:ascii="宋体" w:hAnsi="宋体"/>
                <w:b/>
                <w:sz w:val="24"/>
                <w:highlight w:val="none"/>
              </w:rPr>
            </w:pPr>
            <w:r>
              <w:rPr>
                <w:rFonts w:hint="eastAsia" w:ascii="宋体" w:hAnsi="宋体"/>
                <w:b/>
                <w:sz w:val="24"/>
                <w:highlight w:val="none"/>
              </w:rPr>
              <w:t>三、投标银行资格要求：</w:t>
            </w:r>
          </w:p>
          <w:p w14:paraId="7137B1F9">
            <w:pPr>
              <w:snapToGrid w:val="0"/>
              <w:rPr>
                <w:rFonts w:ascii="宋体" w:hAnsi="宋体"/>
                <w:sz w:val="24"/>
                <w:highlight w:val="none"/>
              </w:rPr>
            </w:pPr>
            <w:r>
              <w:rPr>
                <w:rFonts w:hint="eastAsia" w:ascii="宋体" w:hAnsi="宋体"/>
                <w:sz w:val="24"/>
                <w:highlight w:val="none"/>
              </w:rPr>
              <w:t>（一）在市级行政事业单位所在同城设有分支机构； </w:t>
            </w:r>
          </w:p>
          <w:p w14:paraId="0B9201C8">
            <w:pPr>
              <w:snapToGrid w:val="0"/>
              <w:rPr>
                <w:rFonts w:ascii="宋体" w:hAnsi="宋体"/>
                <w:sz w:val="24"/>
                <w:highlight w:val="none"/>
              </w:rPr>
            </w:pPr>
            <w:r>
              <w:rPr>
                <w:rFonts w:hint="eastAsia" w:ascii="宋体" w:hAnsi="宋体"/>
                <w:sz w:val="24"/>
                <w:highlight w:val="none"/>
              </w:rPr>
              <w:t>（二）依法开展经营活动，近3年内在经营活动中无重大违法违规记录及重大违约事件； </w:t>
            </w:r>
          </w:p>
          <w:p w14:paraId="3A0BCA9F">
            <w:pPr>
              <w:snapToGrid w:val="0"/>
              <w:rPr>
                <w:rFonts w:ascii="宋体" w:hAnsi="宋体"/>
                <w:sz w:val="24"/>
                <w:highlight w:val="none"/>
              </w:rPr>
            </w:pPr>
            <w:r>
              <w:rPr>
                <w:rFonts w:hint="eastAsia" w:ascii="宋体" w:hAnsi="宋体"/>
                <w:sz w:val="24"/>
                <w:highlight w:val="none"/>
              </w:rPr>
              <w:t>（三）纳入人民银行综合评价的银行，人民银行上年度综合评价应达到B级及以上，不纳入人民银行综合评价范围的银行不受此限制。</w:t>
            </w:r>
          </w:p>
          <w:p w14:paraId="2F94E2DD">
            <w:pPr>
              <w:snapToGrid w:val="0"/>
              <w:rPr>
                <w:rFonts w:ascii="宋体" w:hAnsi="宋体"/>
                <w:sz w:val="24"/>
                <w:highlight w:val="none"/>
              </w:rPr>
            </w:pPr>
            <w:r>
              <w:rPr>
                <w:rFonts w:hint="eastAsia" w:ascii="宋体" w:hAnsi="宋体"/>
                <w:sz w:val="24"/>
                <w:highlight w:val="none"/>
              </w:rPr>
              <w:t>（四）投标银行须提供所在地区（含省、市，下同）总行或分行针对本项目的唯一授权书。</w:t>
            </w:r>
          </w:p>
          <w:p w14:paraId="23F4B6B9">
            <w:pPr>
              <w:pStyle w:val="2"/>
              <w:snapToGrid w:val="0"/>
              <w:spacing w:line="240" w:lineRule="auto"/>
              <w:ind w:firstLine="0" w:firstLineChars="0"/>
              <w:rPr>
                <w:b/>
                <w:highlight w:val="none"/>
              </w:rPr>
            </w:pPr>
            <w:r>
              <w:rPr>
                <w:rFonts w:hint="eastAsia"/>
                <w:b/>
                <w:highlight w:val="none"/>
              </w:rPr>
              <w:t>四、服务要求：</w:t>
            </w:r>
            <w:r>
              <w:rPr>
                <w:rFonts w:hint="eastAsia"/>
                <w:kern w:val="0"/>
                <w:highlight w:val="none"/>
                <w:lang w:val="zh-CN"/>
              </w:rPr>
              <w:t>详见第三部分——</w:t>
            </w:r>
            <w:r>
              <w:rPr>
                <w:rFonts w:hint="eastAsia"/>
                <w:highlight w:val="none"/>
              </w:rPr>
              <w:t>项目技术规范和服务要求。</w:t>
            </w:r>
          </w:p>
        </w:tc>
      </w:tr>
      <w:tr w14:paraId="3C388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397CF8B">
            <w:pPr>
              <w:tabs>
                <w:tab w:val="left" w:pos="3780"/>
              </w:tabs>
              <w:snapToGrid w:val="0"/>
              <w:jc w:val="center"/>
              <w:rPr>
                <w:rFonts w:ascii="宋体" w:hAnsi="宋体"/>
                <w:sz w:val="24"/>
                <w:highlight w:val="none"/>
              </w:rPr>
            </w:pPr>
            <w:r>
              <w:rPr>
                <w:rFonts w:hint="eastAsia" w:ascii="宋体" w:hAnsi="宋体"/>
                <w:sz w:val="24"/>
                <w:highlight w:val="none"/>
              </w:rPr>
              <w:t>2</w:t>
            </w:r>
          </w:p>
        </w:tc>
        <w:tc>
          <w:tcPr>
            <w:tcW w:w="1365" w:type="dxa"/>
            <w:vAlign w:val="center"/>
          </w:tcPr>
          <w:p w14:paraId="4A61260D">
            <w:pPr>
              <w:tabs>
                <w:tab w:val="left" w:pos="3780"/>
              </w:tabs>
              <w:snapToGrid w:val="0"/>
              <w:rPr>
                <w:rFonts w:ascii="宋体" w:hAnsi="宋体"/>
                <w:b/>
                <w:sz w:val="24"/>
                <w:highlight w:val="none"/>
              </w:rPr>
            </w:pPr>
            <w:r>
              <w:rPr>
                <w:rFonts w:hint="eastAsia" w:ascii="宋体" w:hAnsi="宋体"/>
                <w:b/>
                <w:sz w:val="24"/>
                <w:highlight w:val="none"/>
              </w:rPr>
              <w:t>合同名称</w:t>
            </w:r>
          </w:p>
        </w:tc>
        <w:tc>
          <w:tcPr>
            <w:tcW w:w="7770" w:type="dxa"/>
            <w:vAlign w:val="center"/>
          </w:tcPr>
          <w:p w14:paraId="1ED9E1F6">
            <w:pPr>
              <w:tabs>
                <w:tab w:val="left" w:pos="3780"/>
              </w:tabs>
              <w:snapToGrid w:val="0"/>
              <w:rPr>
                <w:kern w:val="0"/>
                <w:highlight w:val="none"/>
                <w:lang w:val="zh-CN"/>
              </w:rPr>
            </w:pPr>
            <w:r>
              <w:rPr>
                <w:rFonts w:hint="eastAsia"/>
                <w:kern w:val="0"/>
                <w:highlight w:val="none"/>
                <w:lang w:val="zh-CN"/>
              </w:rPr>
              <w:t>详见</w:t>
            </w:r>
            <w:r>
              <w:rPr>
                <w:rFonts w:hint="eastAsia" w:ascii="宋体" w:hAnsi="宋体"/>
                <w:sz w:val="24"/>
                <w:highlight w:val="none"/>
              </w:rPr>
              <w:t>第四部分</w:t>
            </w:r>
            <w:r>
              <w:rPr>
                <w:rFonts w:hint="eastAsia"/>
                <w:kern w:val="0"/>
                <w:highlight w:val="none"/>
                <w:lang w:val="zh-CN"/>
              </w:rPr>
              <w:t>——</w:t>
            </w:r>
            <w:r>
              <w:rPr>
                <w:rFonts w:hint="eastAsia" w:ascii="宋体" w:hAnsi="宋体"/>
                <w:sz w:val="24"/>
                <w:highlight w:val="none"/>
              </w:rPr>
              <w:t>中标协议条款。</w:t>
            </w:r>
          </w:p>
        </w:tc>
      </w:tr>
      <w:tr w14:paraId="15276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413F5111">
            <w:pPr>
              <w:tabs>
                <w:tab w:val="left" w:pos="3780"/>
              </w:tabs>
              <w:snapToGrid w:val="0"/>
              <w:jc w:val="center"/>
              <w:rPr>
                <w:rFonts w:ascii="宋体" w:hAnsi="宋体"/>
                <w:sz w:val="24"/>
                <w:highlight w:val="none"/>
              </w:rPr>
            </w:pPr>
            <w:r>
              <w:rPr>
                <w:rFonts w:hint="eastAsia" w:ascii="宋体" w:hAnsi="宋体"/>
                <w:sz w:val="24"/>
                <w:highlight w:val="none"/>
              </w:rPr>
              <w:t>3</w:t>
            </w:r>
          </w:p>
        </w:tc>
        <w:tc>
          <w:tcPr>
            <w:tcW w:w="9135" w:type="dxa"/>
            <w:gridSpan w:val="2"/>
            <w:vAlign w:val="center"/>
          </w:tcPr>
          <w:p w14:paraId="0F32B6CB">
            <w:pPr>
              <w:tabs>
                <w:tab w:val="left" w:pos="3780"/>
              </w:tabs>
              <w:snapToGrid w:val="0"/>
              <w:rPr>
                <w:rFonts w:ascii="宋体" w:hAnsi="宋体"/>
                <w:b/>
                <w:sz w:val="24"/>
                <w:highlight w:val="none"/>
                <w:lang w:val="zh-CN"/>
              </w:rPr>
            </w:pPr>
            <w:r>
              <w:rPr>
                <w:rFonts w:hint="eastAsia" w:ascii="宋体" w:hAnsi="宋体"/>
                <w:b/>
                <w:sz w:val="24"/>
                <w:highlight w:val="none"/>
                <w:lang w:val="zh-CN"/>
              </w:rPr>
              <w:t>投标</w:t>
            </w:r>
            <w:r>
              <w:rPr>
                <w:rFonts w:hint="eastAsia" w:ascii="宋体" w:hAnsi="宋体"/>
                <w:b/>
                <w:sz w:val="24"/>
                <w:highlight w:val="none"/>
              </w:rPr>
              <w:t>有效期：</w:t>
            </w:r>
            <w:r>
              <w:rPr>
                <w:rFonts w:hint="eastAsia" w:ascii="宋体" w:hAnsi="宋体"/>
                <w:sz w:val="24"/>
                <w:highlight w:val="none"/>
              </w:rPr>
              <w:t>自投标截止日起60天。如招标代理机构认为必要，可延长至总计最长不超过90天。</w:t>
            </w:r>
          </w:p>
        </w:tc>
      </w:tr>
      <w:tr w14:paraId="5ACA8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1878129D">
            <w:pPr>
              <w:tabs>
                <w:tab w:val="left" w:pos="3780"/>
              </w:tabs>
              <w:snapToGrid w:val="0"/>
              <w:jc w:val="center"/>
              <w:rPr>
                <w:rFonts w:ascii="宋体" w:hAnsi="宋体"/>
                <w:sz w:val="24"/>
                <w:highlight w:val="none"/>
              </w:rPr>
            </w:pPr>
            <w:r>
              <w:rPr>
                <w:rFonts w:hint="eastAsia" w:ascii="宋体" w:hAnsi="宋体"/>
                <w:sz w:val="24"/>
                <w:highlight w:val="none"/>
              </w:rPr>
              <w:t>4</w:t>
            </w:r>
          </w:p>
        </w:tc>
        <w:tc>
          <w:tcPr>
            <w:tcW w:w="9135" w:type="dxa"/>
            <w:gridSpan w:val="2"/>
            <w:vAlign w:val="center"/>
          </w:tcPr>
          <w:p w14:paraId="72CBC56C">
            <w:pPr>
              <w:snapToGrid w:val="0"/>
              <w:rPr>
                <w:rFonts w:ascii="宋体" w:hAnsi="宋体"/>
                <w:b/>
                <w:bCs/>
                <w:sz w:val="24"/>
                <w:highlight w:val="none"/>
                <w:lang w:val="zh-CN"/>
              </w:rPr>
            </w:pPr>
            <w:r>
              <w:rPr>
                <w:rFonts w:hint="eastAsia" w:ascii="宋体" w:hAnsi="宋体"/>
                <w:b/>
                <w:bCs/>
                <w:sz w:val="24"/>
                <w:highlight w:val="none"/>
                <w:lang w:val="zh-CN"/>
              </w:rPr>
              <w:t>投标保证金数额：</w:t>
            </w:r>
            <w:r>
              <w:rPr>
                <w:rFonts w:hint="eastAsia" w:ascii="宋体" w:hAnsi="宋体"/>
                <w:kern w:val="0"/>
                <w:sz w:val="24"/>
                <w:highlight w:val="none"/>
              </w:rPr>
              <w:t>0</w:t>
            </w:r>
          </w:p>
        </w:tc>
      </w:tr>
      <w:tr w14:paraId="1A307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2E223114">
            <w:pPr>
              <w:tabs>
                <w:tab w:val="left" w:pos="3780"/>
              </w:tabs>
              <w:snapToGrid w:val="0"/>
              <w:jc w:val="center"/>
              <w:rPr>
                <w:rFonts w:ascii="宋体" w:hAnsi="宋体"/>
                <w:sz w:val="24"/>
                <w:highlight w:val="none"/>
              </w:rPr>
            </w:pPr>
            <w:r>
              <w:rPr>
                <w:rFonts w:hint="eastAsia" w:ascii="宋体" w:hAnsi="宋体"/>
                <w:sz w:val="24"/>
                <w:highlight w:val="none"/>
              </w:rPr>
              <w:t>5</w:t>
            </w:r>
          </w:p>
        </w:tc>
        <w:tc>
          <w:tcPr>
            <w:tcW w:w="9135" w:type="dxa"/>
            <w:gridSpan w:val="2"/>
            <w:vAlign w:val="center"/>
          </w:tcPr>
          <w:p w14:paraId="5AF90F83">
            <w:pPr>
              <w:snapToGrid w:val="0"/>
              <w:rPr>
                <w:rFonts w:ascii="宋体" w:hAnsi="宋体"/>
                <w:b/>
                <w:bCs/>
                <w:sz w:val="24"/>
                <w:highlight w:val="none"/>
                <w:lang w:val="zh-CN"/>
              </w:rPr>
            </w:pPr>
            <w:r>
              <w:rPr>
                <w:rFonts w:hint="eastAsia" w:ascii="宋体" w:hAnsi="宋体"/>
                <w:b/>
                <w:bCs/>
                <w:sz w:val="24"/>
                <w:highlight w:val="none"/>
                <w:lang w:val="zh-CN"/>
              </w:rPr>
              <w:t>投标截止时间：</w:t>
            </w:r>
            <w:r>
              <w:rPr>
                <w:rFonts w:hint="eastAsia" w:ascii="宋体" w:hAnsi="宋体"/>
                <w:sz w:val="24"/>
                <w:highlight w:val="none"/>
                <w:lang w:eastAsia="zh-CN"/>
              </w:rPr>
              <w:t>2025</w:t>
            </w:r>
            <w:r>
              <w:rPr>
                <w:rFonts w:hint="eastAsia" w:ascii="宋体" w:hAnsi="宋体"/>
                <w:sz w:val="24"/>
                <w:highlight w:val="none"/>
              </w:rPr>
              <w:t>年</w:t>
            </w:r>
            <w:r>
              <w:rPr>
                <w:rFonts w:hint="eastAsia" w:ascii="宋体" w:hAnsi="宋体"/>
                <w:sz w:val="24"/>
                <w:highlight w:val="none"/>
                <w:lang w:val="en-US" w:eastAsia="zh-CN"/>
              </w:rPr>
              <w:t>03</w:t>
            </w:r>
            <w:r>
              <w:rPr>
                <w:rFonts w:hint="eastAsia" w:ascii="宋体" w:hAnsi="宋体"/>
                <w:kern w:val="0"/>
                <w:sz w:val="24"/>
                <w:highlight w:val="none"/>
              </w:rPr>
              <w:t>月</w:t>
            </w:r>
            <w:r>
              <w:rPr>
                <w:rFonts w:hint="eastAsia" w:ascii="宋体" w:hAnsi="宋体"/>
                <w:kern w:val="0"/>
                <w:sz w:val="24"/>
                <w:highlight w:val="none"/>
                <w:lang w:val="en-US" w:eastAsia="zh-CN"/>
              </w:rPr>
              <w:t>19</w:t>
            </w:r>
            <w:r>
              <w:rPr>
                <w:rFonts w:hint="eastAsia" w:ascii="宋体" w:hAnsi="宋体"/>
                <w:kern w:val="0"/>
                <w:sz w:val="24"/>
                <w:highlight w:val="none"/>
              </w:rPr>
              <w:t>日</w:t>
            </w:r>
            <w:r>
              <w:rPr>
                <w:rFonts w:hint="eastAsia" w:ascii="宋体" w:hAnsi="宋体"/>
                <w:sz w:val="24"/>
                <w:highlight w:val="none"/>
                <w:lang w:val="en-US" w:eastAsia="zh-CN"/>
              </w:rPr>
              <w:t>下</w:t>
            </w:r>
            <w:r>
              <w:rPr>
                <w:rFonts w:hint="eastAsia" w:ascii="宋体" w:hAnsi="宋体"/>
                <w:sz w:val="24"/>
                <w:highlight w:val="none"/>
                <w:lang w:val="zh-CN"/>
              </w:rPr>
              <w:t>午</w:t>
            </w:r>
            <w:r>
              <w:rPr>
                <w:rFonts w:hint="eastAsia" w:ascii="宋体" w:hAnsi="宋体"/>
                <w:sz w:val="24"/>
                <w:highlight w:val="none"/>
              </w:rPr>
              <w:t>1</w:t>
            </w:r>
            <w:r>
              <w:rPr>
                <w:rFonts w:hint="eastAsia" w:ascii="宋体" w:hAnsi="宋体"/>
                <w:sz w:val="24"/>
                <w:highlight w:val="none"/>
                <w:lang w:val="en-US" w:eastAsia="zh-CN"/>
              </w:rPr>
              <w:t>4</w:t>
            </w:r>
            <w:r>
              <w:rPr>
                <w:rFonts w:hint="eastAsia" w:ascii="宋体" w:hAnsi="宋体"/>
                <w:sz w:val="24"/>
                <w:highlight w:val="none"/>
                <w:lang w:val="zh-CN"/>
              </w:rPr>
              <w:t>：</w:t>
            </w:r>
            <w:r>
              <w:rPr>
                <w:rFonts w:hint="eastAsia" w:ascii="宋体" w:hAnsi="宋体"/>
                <w:sz w:val="24"/>
                <w:highlight w:val="none"/>
                <w:lang w:val="en-US" w:eastAsia="zh-CN"/>
              </w:rPr>
              <w:t>0</w:t>
            </w:r>
            <w:r>
              <w:rPr>
                <w:rFonts w:hint="eastAsia" w:ascii="宋体" w:hAnsi="宋体"/>
                <w:sz w:val="24"/>
                <w:highlight w:val="none"/>
                <w:lang w:val="zh-CN"/>
              </w:rPr>
              <w:t>0</w:t>
            </w:r>
            <w:r>
              <w:rPr>
                <w:rFonts w:hint="eastAsia" w:ascii="宋体" w:hAnsi="宋体"/>
                <w:bCs/>
                <w:sz w:val="24"/>
                <w:highlight w:val="none"/>
                <w:lang w:val="zh-CN"/>
              </w:rPr>
              <w:t>。</w:t>
            </w:r>
          </w:p>
        </w:tc>
      </w:tr>
      <w:tr w14:paraId="41704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32044FCB">
            <w:pPr>
              <w:tabs>
                <w:tab w:val="left" w:pos="3780"/>
              </w:tabs>
              <w:snapToGrid w:val="0"/>
              <w:jc w:val="center"/>
              <w:rPr>
                <w:rFonts w:ascii="宋体" w:hAnsi="宋体"/>
                <w:sz w:val="24"/>
                <w:highlight w:val="none"/>
              </w:rPr>
            </w:pPr>
            <w:r>
              <w:rPr>
                <w:rFonts w:hint="eastAsia" w:ascii="宋体" w:hAnsi="宋体"/>
                <w:sz w:val="24"/>
                <w:highlight w:val="none"/>
              </w:rPr>
              <w:t>6</w:t>
            </w:r>
          </w:p>
        </w:tc>
        <w:tc>
          <w:tcPr>
            <w:tcW w:w="9135" w:type="dxa"/>
            <w:gridSpan w:val="2"/>
            <w:vAlign w:val="center"/>
          </w:tcPr>
          <w:p w14:paraId="49A6A670">
            <w:pPr>
              <w:snapToGrid w:val="0"/>
              <w:rPr>
                <w:rFonts w:ascii="宋体" w:hAnsi="宋体"/>
                <w:b/>
                <w:bCs/>
                <w:sz w:val="24"/>
                <w:highlight w:val="none"/>
                <w:lang w:val="zh-CN"/>
              </w:rPr>
            </w:pPr>
            <w:r>
              <w:rPr>
                <w:rFonts w:hint="eastAsia" w:ascii="宋体" w:hAnsi="宋体"/>
                <w:b/>
                <w:bCs/>
                <w:sz w:val="24"/>
                <w:highlight w:val="none"/>
                <w:lang w:val="zh-CN"/>
              </w:rPr>
              <w:t>投标文件递交至单位：</w:t>
            </w:r>
            <w:r>
              <w:rPr>
                <w:rFonts w:hint="eastAsia" w:ascii="宋体" w:hAnsi="宋体"/>
                <w:bCs/>
                <w:sz w:val="24"/>
                <w:highlight w:val="none"/>
                <w:lang w:val="zh-CN"/>
              </w:rPr>
              <w:t>浙江建安工程管理有限公司；</w:t>
            </w:r>
          </w:p>
          <w:p w14:paraId="2A4033D8">
            <w:pPr>
              <w:snapToGrid w:val="0"/>
              <w:rPr>
                <w:rFonts w:ascii="宋体" w:hAnsi="宋体"/>
                <w:b/>
                <w:bCs/>
                <w:sz w:val="24"/>
                <w:highlight w:val="none"/>
                <w:lang w:val="zh-CN"/>
              </w:rPr>
            </w:pPr>
            <w:r>
              <w:rPr>
                <w:rFonts w:hint="eastAsia" w:ascii="宋体" w:hAnsi="宋体"/>
                <w:b/>
                <w:bCs/>
                <w:sz w:val="24"/>
                <w:highlight w:val="none"/>
                <w:lang w:val="zh-CN"/>
              </w:rPr>
              <w:t>投标文件递交至地点：</w:t>
            </w:r>
            <w:r>
              <w:rPr>
                <w:rFonts w:hint="eastAsia" w:ascii="宋体" w:hAnsi="宋体"/>
                <w:kern w:val="0"/>
                <w:sz w:val="24"/>
                <w:highlight w:val="none"/>
              </w:rPr>
              <w:t>通过政府采购云平台（https://login.zcygov.cn）在线递交</w:t>
            </w:r>
            <w:r>
              <w:rPr>
                <w:rFonts w:hint="eastAsia" w:ascii="宋体" w:hAnsi="宋体"/>
                <w:bCs/>
                <w:sz w:val="24"/>
                <w:highlight w:val="none"/>
                <w:lang w:val="zh-CN"/>
              </w:rPr>
              <w:t>。</w:t>
            </w:r>
          </w:p>
        </w:tc>
      </w:tr>
      <w:tr w14:paraId="5B44F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226CD076">
            <w:pPr>
              <w:tabs>
                <w:tab w:val="left" w:pos="3780"/>
              </w:tabs>
              <w:snapToGrid w:val="0"/>
              <w:jc w:val="center"/>
              <w:rPr>
                <w:rFonts w:ascii="宋体" w:hAnsi="宋体"/>
                <w:sz w:val="24"/>
                <w:highlight w:val="none"/>
              </w:rPr>
            </w:pPr>
            <w:r>
              <w:rPr>
                <w:rFonts w:hint="eastAsia" w:ascii="宋体" w:hAnsi="宋体"/>
                <w:sz w:val="24"/>
                <w:highlight w:val="none"/>
              </w:rPr>
              <w:t>7</w:t>
            </w:r>
          </w:p>
        </w:tc>
        <w:tc>
          <w:tcPr>
            <w:tcW w:w="9135" w:type="dxa"/>
            <w:gridSpan w:val="2"/>
            <w:vAlign w:val="center"/>
          </w:tcPr>
          <w:p w14:paraId="635D0017">
            <w:pPr>
              <w:snapToGrid w:val="0"/>
              <w:rPr>
                <w:rFonts w:ascii="宋体" w:hAnsi="宋体"/>
                <w:b/>
                <w:bCs/>
                <w:sz w:val="24"/>
                <w:highlight w:val="none"/>
                <w:lang w:val="zh-CN"/>
              </w:rPr>
            </w:pPr>
            <w:r>
              <w:rPr>
                <w:rFonts w:hint="eastAsia" w:ascii="宋体" w:hAnsi="宋体"/>
                <w:b/>
                <w:bCs/>
                <w:sz w:val="24"/>
                <w:highlight w:val="none"/>
                <w:lang w:val="zh-CN"/>
              </w:rPr>
              <w:t>开标时间：</w:t>
            </w:r>
            <w:r>
              <w:rPr>
                <w:rFonts w:hint="eastAsia" w:ascii="宋体" w:hAnsi="宋体"/>
                <w:sz w:val="24"/>
                <w:highlight w:val="none"/>
                <w:lang w:eastAsia="zh-CN"/>
              </w:rPr>
              <w:t>2025</w:t>
            </w:r>
            <w:r>
              <w:rPr>
                <w:rFonts w:hint="eastAsia" w:ascii="宋体" w:hAnsi="宋体"/>
                <w:sz w:val="24"/>
                <w:highlight w:val="none"/>
              </w:rPr>
              <w:t>年</w:t>
            </w:r>
            <w:r>
              <w:rPr>
                <w:rFonts w:hint="eastAsia" w:ascii="宋体" w:hAnsi="宋体"/>
                <w:sz w:val="24"/>
                <w:highlight w:val="none"/>
                <w:lang w:val="en-US" w:eastAsia="zh-CN"/>
              </w:rPr>
              <w:t>03</w:t>
            </w:r>
            <w:r>
              <w:rPr>
                <w:rFonts w:hint="eastAsia" w:ascii="宋体" w:hAnsi="宋体"/>
                <w:kern w:val="0"/>
                <w:sz w:val="24"/>
                <w:highlight w:val="none"/>
              </w:rPr>
              <w:t>月</w:t>
            </w:r>
            <w:r>
              <w:rPr>
                <w:rFonts w:hint="eastAsia" w:ascii="宋体" w:hAnsi="宋体"/>
                <w:kern w:val="0"/>
                <w:sz w:val="24"/>
                <w:highlight w:val="none"/>
                <w:lang w:val="en-US" w:eastAsia="zh-CN"/>
              </w:rPr>
              <w:t>19</w:t>
            </w:r>
            <w:r>
              <w:rPr>
                <w:rFonts w:hint="eastAsia" w:ascii="宋体" w:hAnsi="宋体"/>
                <w:kern w:val="0"/>
                <w:sz w:val="24"/>
                <w:highlight w:val="none"/>
              </w:rPr>
              <w:t>日</w:t>
            </w:r>
            <w:r>
              <w:rPr>
                <w:rFonts w:hint="eastAsia" w:ascii="宋体" w:hAnsi="宋体"/>
                <w:sz w:val="24"/>
                <w:highlight w:val="none"/>
                <w:lang w:val="en-US" w:eastAsia="zh-CN"/>
              </w:rPr>
              <w:t>下</w:t>
            </w:r>
            <w:r>
              <w:rPr>
                <w:rFonts w:hint="eastAsia" w:ascii="宋体" w:hAnsi="宋体"/>
                <w:sz w:val="24"/>
                <w:highlight w:val="none"/>
                <w:lang w:val="zh-CN"/>
              </w:rPr>
              <w:t>午</w:t>
            </w:r>
            <w:r>
              <w:rPr>
                <w:rFonts w:hint="eastAsia" w:ascii="宋体" w:hAnsi="宋体"/>
                <w:sz w:val="24"/>
                <w:highlight w:val="none"/>
              </w:rPr>
              <w:t>1</w:t>
            </w:r>
            <w:r>
              <w:rPr>
                <w:rFonts w:hint="eastAsia" w:ascii="宋体" w:hAnsi="宋体"/>
                <w:sz w:val="24"/>
                <w:highlight w:val="none"/>
                <w:lang w:val="en-US" w:eastAsia="zh-CN"/>
              </w:rPr>
              <w:t>4</w:t>
            </w:r>
            <w:r>
              <w:rPr>
                <w:rFonts w:hint="eastAsia" w:ascii="宋体" w:hAnsi="宋体"/>
                <w:sz w:val="24"/>
                <w:highlight w:val="none"/>
                <w:lang w:val="zh-CN"/>
              </w:rPr>
              <w:t>：</w:t>
            </w:r>
            <w:r>
              <w:rPr>
                <w:rFonts w:hint="eastAsia" w:ascii="宋体" w:hAnsi="宋体"/>
                <w:sz w:val="24"/>
                <w:highlight w:val="none"/>
                <w:lang w:val="en-US" w:eastAsia="zh-CN"/>
              </w:rPr>
              <w:t>0</w:t>
            </w:r>
            <w:r>
              <w:rPr>
                <w:rFonts w:hint="eastAsia" w:ascii="宋体" w:hAnsi="宋体"/>
                <w:sz w:val="24"/>
                <w:highlight w:val="none"/>
                <w:lang w:val="zh-CN"/>
              </w:rPr>
              <w:t>0。</w:t>
            </w:r>
          </w:p>
          <w:p w14:paraId="2A8B4BF4">
            <w:pPr>
              <w:snapToGrid w:val="0"/>
              <w:rPr>
                <w:rFonts w:ascii="宋体" w:hAnsi="宋体"/>
                <w:b/>
                <w:bCs/>
                <w:sz w:val="24"/>
                <w:highlight w:val="none"/>
                <w:lang w:val="zh-CN"/>
              </w:rPr>
            </w:pPr>
            <w:r>
              <w:rPr>
                <w:rFonts w:hint="eastAsia" w:ascii="宋体" w:hAnsi="宋体"/>
                <w:b/>
                <w:bCs/>
                <w:sz w:val="24"/>
                <w:highlight w:val="none"/>
                <w:lang w:val="zh-CN"/>
              </w:rPr>
              <w:t>开标地点：</w:t>
            </w:r>
            <w:r>
              <w:rPr>
                <w:rFonts w:hint="eastAsia" w:ascii="宋体" w:hAnsi="宋体"/>
                <w:kern w:val="0"/>
                <w:sz w:val="24"/>
                <w:highlight w:val="none"/>
              </w:rPr>
              <w:t>通过政府采购云平台（https://login.zcygov.cn）在线开标。</w:t>
            </w:r>
          </w:p>
        </w:tc>
      </w:tr>
      <w:tr w14:paraId="52D4A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34A4876E">
            <w:pPr>
              <w:tabs>
                <w:tab w:val="left" w:pos="3780"/>
              </w:tabs>
              <w:snapToGrid w:val="0"/>
              <w:jc w:val="center"/>
              <w:rPr>
                <w:rFonts w:ascii="宋体" w:hAnsi="宋体"/>
                <w:sz w:val="24"/>
                <w:highlight w:val="none"/>
              </w:rPr>
            </w:pPr>
            <w:r>
              <w:rPr>
                <w:rFonts w:hint="eastAsia" w:ascii="宋体" w:hAnsi="宋体"/>
                <w:sz w:val="24"/>
                <w:highlight w:val="none"/>
              </w:rPr>
              <w:t>8</w:t>
            </w:r>
          </w:p>
        </w:tc>
        <w:tc>
          <w:tcPr>
            <w:tcW w:w="9135" w:type="dxa"/>
            <w:gridSpan w:val="2"/>
            <w:vAlign w:val="center"/>
          </w:tcPr>
          <w:p w14:paraId="288AC47D">
            <w:pPr>
              <w:snapToGrid w:val="0"/>
              <w:rPr>
                <w:rFonts w:ascii="宋体" w:hAnsi="宋体"/>
                <w:b/>
                <w:bCs/>
                <w:sz w:val="24"/>
                <w:highlight w:val="none"/>
                <w:lang w:val="zh-CN"/>
              </w:rPr>
            </w:pPr>
            <w:r>
              <w:rPr>
                <w:rFonts w:hint="eastAsia" w:ascii="宋体" w:hAnsi="宋体"/>
                <w:b/>
                <w:bCs/>
                <w:sz w:val="24"/>
                <w:highlight w:val="none"/>
                <w:lang w:val="zh-CN"/>
              </w:rPr>
              <w:t>质疑：</w:t>
            </w:r>
            <w:r>
              <w:rPr>
                <w:rFonts w:hint="eastAsia" w:ascii="宋体" w:hAnsi="宋体"/>
                <w:bCs/>
                <w:sz w:val="24"/>
                <w:highlight w:val="none"/>
                <w:lang w:val="zh-CN"/>
              </w:rPr>
              <w:t>投标人认为招标文件、招标过程和中标、成交结果使自己的权益受到损害的，可以在知道或者应知其权益受到损害之日起七个工作日内，以书面形式向招标人、招标代理机构提出质疑。</w:t>
            </w:r>
          </w:p>
        </w:tc>
      </w:tr>
      <w:tr w14:paraId="5C0D7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3F721273">
            <w:pPr>
              <w:tabs>
                <w:tab w:val="left" w:pos="3780"/>
              </w:tabs>
              <w:snapToGrid w:val="0"/>
              <w:jc w:val="center"/>
              <w:rPr>
                <w:rFonts w:ascii="宋体" w:hAnsi="宋体"/>
                <w:sz w:val="24"/>
                <w:highlight w:val="none"/>
              </w:rPr>
            </w:pPr>
            <w:r>
              <w:rPr>
                <w:rFonts w:hint="eastAsia" w:ascii="宋体" w:hAnsi="宋体"/>
                <w:sz w:val="24"/>
                <w:highlight w:val="none"/>
              </w:rPr>
              <w:t>9</w:t>
            </w:r>
          </w:p>
        </w:tc>
        <w:tc>
          <w:tcPr>
            <w:tcW w:w="9135" w:type="dxa"/>
            <w:gridSpan w:val="2"/>
            <w:vAlign w:val="center"/>
          </w:tcPr>
          <w:p w14:paraId="7FA56886">
            <w:pPr>
              <w:snapToGrid w:val="0"/>
              <w:rPr>
                <w:rFonts w:ascii="宋体" w:hAnsi="宋体"/>
                <w:b/>
                <w:bCs/>
                <w:sz w:val="24"/>
                <w:highlight w:val="none"/>
                <w:lang w:val="zh-CN"/>
              </w:rPr>
            </w:pPr>
            <w:r>
              <w:rPr>
                <w:rFonts w:hint="eastAsia" w:ascii="宋体" w:hAnsi="宋体"/>
                <w:b/>
                <w:bCs/>
                <w:sz w:val="24"/>
                <w:highlight w:val="none"/>
                <w:lang w:val="zh-CN"/>
              </w:rPr>
              <w:t>特别说明：</w:t>
            </w:r>
          </w:p>
          <w:p w14:paraId="68FF4613">
            <w:pPr>
              <w:snapToGrid w:val="0"/>
              <w:rPr>
                <w:rFonts w:ascii="宋体" w:hAnsi="宋体"/>
                <w:bCs/>
                <w:sz w:val="24"/>
                <w:highlight w:val="none"/>
                <w:lang w:val="zh-CN"/>
              </w:rPr>
            </w:pPr>
            <w:r>
              <w:rPr>
                <w:rFonts w:hint="eastAsia" w:ascii="宋体" w:hAnsi="宋体"/>
                <w:bCs/>
                <w:sz w:val="24"/>
                <w:highlight w:val="none"/>
                <w:lang w:val="zh-CN"/>
              </w:rPr>
              <w:t>（1）投标人应认真阅读本招标文件及其澄清答疑、修改答复的补充文件，严格按照招标文件及补充文件的规定和要求编制投标文件。在编制投标文件过程中，应严格遵循实事求是、诚信投标的原则，针对招标文件中第三部分</w:t>
            </w:r>
            <w:r>
              <w:rPr>
                <w:rFonts w:hint="eastAsia" w:ascii="宋体" w:hAnsi="宋体"/>
                <w:bCs/>
                <w:sz w:val="24"/>
                <w:highlight w:val="none"/>
              </w:rPr>
              <w:t>招标</w:t>
            </w:r>
            <w:r>
              <w:rPr>
                <w:rFonts w:hint="eastAsia" w:ascii="宋体" w:hAnsi="宋体"/>
                <w:bCs/>
                <w:sz w:val="24"/>
                <w:highlight w:val="none"/>
                <w:lang w:val="zh-CN"/>
              </w:rPr>
              <w:t>需求、第四部分</w:t>
            </w:r>
            <w:r>
              <w:rPr>
                <w:rFonts w:hint="eastAsia" w:ascii="宋体" w:hAnsi="宋体"/>
                <w:bCs/>
                <w:sz w:val="24"/>
                <w:highlight w:val="none"/>
              </w:rPr>
              <w:t>协议</w:t>
            </w:r>
            <w:r>
              <w:rPr>
                <w:rFonts w:hint="eastAsia" w:ascii="宋体" w:hAnsi="宋体"/>
                <w:bCs/>
                <w:sz w:val="24"/>
                <w:highlight w:val="none"/>
                <w:lang w:val="zh-CN"/>
              </w:rPr>
              <w:t>条款等各项内容进行确认，如有偏离，应如实填写响应偏离表。投标人中标后，在合同实施过程中如有负偏离，内容与其投标要约（包括询标澄清内容）不一致，招标人保留以下权利：①要求中标人按投标文件提供货物</w:t>
            </w:r>
            <w:r>
              <w:rPr>
                <w:rFonts w:hint="eastAsia" w:ascii="宋体" w:hAnsi="宋体"/>
                <w:bCs/>
                <w:sz w:val="24"/>
                <w:highlight w:val="none"/>
              </w:rPr>
              <w:t>或服务</w:t>
            </w:r>
            <w:r>
              <w:rPr>
                <w:rFonts w:hint="eastAsia" w:ascii="宋体" w:hAnsi="宋体"/>
                <w:bCs/>
                <w:sz w:val="24"/>
                <w:highlight w:val="none"/>
                <w:lang w:val="zh-CN"/>
              </w:rPr>
              <w:t>的权利；②终止合同的权利；③追究中标人该行为导致</w:t>
            </w:r>
            <w:r>
              <w:rPr>
                <w:rFonts w:hint="eastAsia" w:ascii="宋体" w:hAnsi="宋体"/>
                <w:bCs/>
                <w:sz w:val="24"/>
                <w:highlight w:val="none"/>
              </w:rPr>
              <w:t>合同履行</w:t>
            </w:r>
            <w:r>
              <w:rPr>
                <w:rFonts w:hint="eastAsia" w:ascii="宋体" w:hAnsi="宋体"/>
                <w:bCs/>
                <w:sz w:val="24"/>
                <w:highlight w:val="none"/>
                <w:lang w:val="zh-CN"/>
              </w:rPr>
              <w:t>延误的直接或间接损失的权利；④向监管机构报告不诚信投标的权利；⑤前述①+④同时并行的权利。</w:t>
            </w:r>
          </w:p>
          <w:p w14:paraId="000CDE27">
            <w:pPr>
              <w:snapToGrid w:val="0"/>
              <w:rPr>
                <w:rFonts w:ascii="宋体" w:hAnsi="宋体"/>
                <w:bCs/>
                <w:sz w:val="24"/>
                <w:highlight w:val="none"/>
                <w:lang w:val="zh-CN"/>
              </w:rPr>
            </w:pPr>
            <w:r>
              <w:rPr>
                <w:rFonts w:hint="eastAsia" w:ascii="宋体" w:hAnsi="宋体"/>
                <w:bCs/>
                <w:sz w:val="24"/>
                <w:highlight w:val="none"/>
                <w:lang w:val="zh-CN"/>
              </w:rPr>
              <w:t>（2）如果发现本招标文件中存在含糊不清、相互矛盾、多种含义以及歧视性不公正条款或违法违规等内容时，请投标人在获取招标文件后，答疑截止时间前按要求书面提出，逾期视同自动放弃疑问提出的权利或招标人不作答复。</w:t>
            </w:r>
          </w:p>
          <w:p w14:paraId="25C70900">
            <w:pPr>
              <w:snapToGrid w:val="0"/>
              <w:rPr>
                <w:rFonts w:ascii="宋体" w:hAnsi="宋体"/>
                <w:bCs/>
                <w:sz w:val="24"/>
                <w:highlight w:val="none"/>
                <w:lang w:val="zh-CN"/>
              </w:rPr>
            </w:pPr>
            <w:r>
              <w:rPr>
                <w:rFonts w:hint="eastAsia" w:ascii="宋体" w:hAnsi="宋体"/>
                <w:bCs/>
                <w:sz w:val="24"/>
                <w:highlight w:val="none"/>
                <w:lang w:val="zh-CN"/>
              </w:rPr>
              <w:t>（3）该项目中标</w:t>
            </w:r>
            <w:r>
              <w:rPr>
                <w:rFonts w:hint="eastAsia" w:ascii="宋体" w:hAnsi="宋体"/>
                <w:bCs/>
                <w:sz w:val="24"/>
                <w:highlight w:val="none"/>
              </w:rPr>
              <w:t>公告期间</w:t>
            </w:r>
            <w:r>
              <w:rPr>
                <w:rFonts w:hint="eastAsia" w:ascii="宋体" w:hAnsi="宋体"/>
                <w:bCs/>
                <w:sz w:val="24"/>
                <w:highlight w:val="none"/>
                <w:lang w:val="zh-CN"/>
              </w:rPr>
              <w:t>，投标人不得通过非正当途径、更不得通过非正当手段获取法律法规规定评标委员会（包括其他相关人员）应当保密的相关内容。即便由此获得资料并作为向招标人或招标代理机构或监督管理部门提出异（质）疑或投诉或法院起诉的理由，均属于非法索取的依据。</w:t>
            </w:r>
          </w:p>
        </w:tc>
      </w:tr>
      <w:tr w14:paraId="40EB4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vAlign w:val="center"/>
          </w:tcPr>
          <w:p w14:paraId="50EB69FE">
            <w:pPr>
              <w:tabs>
                <w:tab w:val="left" w:pos="3780"/>
              </w:tabs>
              <w:snapToGrid w:val="0"/>
              <w:jc w:val="center"/>
              <w:rPr>
                <w:rFonts w:ascii="宋体" w:hAnsi="宋体"/>
                <w:sz w:val="24"/>
                <w:highlight w:val="none"/>
              </w:rPr>
            </w:pPr>
            <w:r>
              <w:rPr>
                <w:rFonts w:hint="eastAsia" w:ascii="宋体" w:hAnsi="宋体"/>
                <w:sz w:val="24"/>
                <w:highlight w:val="none"/>
              </w:rPr>
              <w:t>10</w:t>
            </w:r>
          </w:p>
        </w:tc>
        <w:tc>
          <w:tcPr>
            <w:tcW w:w="9135" w:type="dxa"/>
            <w:gridSpan w:val="2"/>
            <w:vAlign w:val="center"/>
          </w:tcPr>
          <w:p w14:paraId="5BBFCC57">
            <w:pPr>
              <w:snapToGrid w:val="0"/>
              <w:rPr>
                <w:rFonts w:ascii="宋体" w:hAnsi="宋体"/>
                <w:b/>
                <w:bCs/>
                <w:sz w:val="24"/>
                <w:highlight w:val="none"/>
              </w:rPr>
            </w:pPr>
            <w:r>
              <w:rPr>
                <w:rFonts w:hint="eastAsia" w:ascii="宋体" w:hAnsi="宋体"/>
                <w:b/>
                <w:bCs/>
                <w:sz w:val="24"/>
                <w:highlight w:val="none"/>
              </w:rPr>
              <w:t>公款竞争性存放操作指南</w:t>
            </w:r>
          </w:p>
          <w:p w14:paraId="65634A55">
            <w:pPr>
              <w:snapToGrid w:val="0"/>
              <w:rPr>
                <w:rFonts w:ascii="宋体" w:hAnsi="宋体"/>
                <w:b/>
                <w:bCs/>
                <w:kern w:val="0"/>
                <w:sz w:val="24"/>
                <w:highlight w:val="none"/>
              </w:rPr>
            </w:pPr>
            <w:r>
              <w:rPr>
                <w:rFonts w:hint="eastAsia" w:ascii="宋体" w:hAnsi="宋体"/>
                <w:b/>
                <w:bCs/>
                <w:kern w:val="0"/>
                <w:sz w:val="24"/>
                <w:highlight w:val="none"/>
              </w:rPr>
              <w:t>特别说明：供应商可</w:t>
            </w:r>
            <w:r>
              <w:rPr>
                <w:rFonts w:hint="eastAsia" w:ascii="宋体" w:hAnsi="宋体"/>
                <w:b/>
                <w:bCs/>
                <w:sz w:val="24"/>
                <w:highlight w:val="none"/>
              </w:rPr>
              <w:t>登录政府采购云平台（https://www.zcygov.cn/），从首页-服务中心-帮助文档-公款竞争性存放-操作流程，查看最新文档。</w:t>
            </w:r>
            <w:r>
              <w:rPr>
                <w:rFonts w:hint="eastAsia" w:ascii="宋体" w:hAnsi="宋体"/>
                <w:b/>
                <w:bCs/>
                <w:kern w:val="0"/>
                <w:sz w:val="24"/>
                <w:highlight w:val="none"/>
              </w:rPr>
              <w:t>政采云系统平台有新的操作流程的，按其规定。</w:t>
            </w:r>
            <w:r>
              <w:rPr>
                <w:rFonts w:hint="eastAsia" w:ascii="宋体" w:hAnsi="宋体"/>
                <w:b/>
                <w:bCs/>
                <w:sz w:val="24"/>
                <w:highlight w:val="none"/>
              </w:rPr>
              <w:t xml:space="preserve"> </w:t>
            </w:r>
          </w:p>
          <w:p w14:paraId="064A17E8">
            <w:pPr>
              <w:snapToGrid w:val="0"/>
              <w:rPr>
                <w:rFonts w:ascii="宋体" w:hAnsi="宋体"/>
                <w:sz w:val="24"/>
                <w:highlight w:val="none"/>
              </w:rPr>
            </w:pPr>
            <w:r>
              <w:rPr>
                <w:rFonts w:hint="eastAsia" w:ascii="宋体" w:hAnsi="宋体"/>
                <w:sz w:val="24"/>
                <w:highlight w:val="none"/>
              </w:rPr>
              <w:t>1、岗位权限配置</w:t>
            </w:r>
          </w:p>
          <w:p w14:paraId="388ADAA6">
            <w:pPr>
              <w:snapToGrid w:val="0"/>
              <w:rPr>
                <w:rFonts w:ascii="宋体" w:hAnsi="宋体"/>
                <w:sz w:val="24"/>
                <w:highlight w:val="none"/>
              </w:rPr>
            </w:pPr>
            <w:r>
              <w:rPr>
                <w:rFonts w:hint="eastAsia" w:ascii="宋体" w:hAnsi="宋体"/>
                <w:sz w:val="24"/>
                <w:highlight w:val="none"/>
              </w:rPr>
              <w:t>为了避免页面存在兼容性问题，建议使用谷歌Chrome或360浏览器操作。</w:t>
            </w:r>
          </w:p>
          <w:p w14:paraId="4C04E902">
            <w:pPr>
              <w:snapToGrid w:val="0"/>
              <w:rPr>
                <w:rFonts w:ascii="宋体" w:hAnsi="宋体"/>
                <w:sz w:val="24"/>
                <w:highlight w:val="none"/>
              </w:rPr>
            </w:pPr>
            <w:r>
              <w:rPr>
                <w:rFonts w:hint="eastAsia" w:ascii="宋体" w:hAnsi="宋体"/>
                <w:sz w:val="24"/>
                <w:highlight w:val="none"/>
              </w:rPr>
              <w:t>投标银行在操作公款竞争性存放的岗位以及权限说明。（岗位即代表功能权限，可操作菜单的权限，根据本单位的规定，勾选对应岗位权限）</w:t>
            </w:r>
          </w:p>
          <w:p w14:paraId="2A2C05D3">
            <w:pPr>
              <w:snapToGrid w:val="0"/>
              <w:rPr>
                <w:rFonts w:ascii="宋体" w:hAnsi="宋体"/>
                <w:sz w:val="24"/>
                <w:highlight w:val="none"/>
              </w:rPr>
            </w:pPr>
            <w:r>
              <w:rPr>
                <w:rFonts w:hint="eastAsia" w:ascii="宋体" w:hAnsi="宋体"/>
                <w:sz w:val="24"/>
                <w:highlight w:val="none"/>
              </w:rPr>
              <w:t>菜单路径：用户中心—系统管理—员工管理</w:t>
            </w:r>
          </w:p>
          <w:p w14:paraId="6DE0D161">
            <w:pPr>
              <w:snapToGrid w:val="0"/>
              <w:rPr>
                <w:rFonts w:ascii="宋体" w:hAnsi="宋体"/>
                <w:sz w:val="24"/>
                <w:highlight w:val="none"/>
              </w:rPr>
            </w:pPr>
            <w:r>
              <w:rPr>
                <w:rFonts w:hint="eastAsia" w:ascii="宋体" w:hAnsi="宋体"/>
                <w:sz w:val="24"/>
                <w:highlight w:val="none"/>
              </w:rPr>
              <w:t>1）在员工管理页面找到经办人员的信息，点击【更多】-【岗位】。</w:t>
            </w:r>
          </w:p>
          <w:p w14:paraId="5DED6BC3">
            <w:pPr>
              <w:snapToGrid w:val="0"/>
              <w:rPr>
                <w:rFonts w:ascii="宋体" w:hAnsi="宋体"/>
                <w:sz w:val="24"/>
                <w:highlight w:val="none"/>
              </w:rPr>
            </w:pPr>
            <w:r>
              <w:rPr>
                <w:rFonts w:hint="eastAsia" w:ascii="宋体" w:hAnsi="宋体"/>
                <w:sz w:val="24"/>
                <w:highlight w:val="none"/>
              </w:rPr>
              <w:t>2）在页面详情页点击【编辑】按钮。</w:t>
            </w:r>
          </w:p>
          <w:p w14:paraId="0B123905">
            <w:pPr>
              <w:snapToGrid w:val="0"/>
              <w:rPr>
                <w:rFonts w:ascii="宋体" w:hAnsi="宋体"/>
                <w:sz w:val="24"/>
                <w:highlight w:val="none"/>
              </w:rPr>
            </w:pPr>
            <w:r>
              <w:rPr>
                <w:rFonts w:hint="eastAsia" w:ascii="宋体" w:hAnsi="宋体"/>
                <w:sz w:val="24"/>
                <w:highlight w:val="none"/>
              </w:rPr>
              <w:t>3）勾选对应岗位所需要分配的功能，完成后点击【保存修改】。</w:t>
            </w:r>
          </w:p>
          <w:p w14:paraId="506F72D5">
            <w:pPr>
              <w:snapToGrid w:val="0"/>
              <w:rPr>
                <w:rFonts w:ascii="宋体" w:hAnsi="宋体"/>
                <w:sz w:val="24"/>
                <w:highlight w:val="none"/>
              </w:rPr>
            </w:pPr>
            <w:r>
              <w:rPr>
                <w:rFonts w:hint="eastAsia" w:ascii="宋体" w:hAnsi="宋体"/>
                <w:sz w:val="24"/>
                <w:highlight w:val="none"/>
              </w:rPr>
              <w:t>2、项目报名</w:t>
            </w:r>
          </w:p>
          <w:p w14:paraId="1AE78E1D">
            <w:pPr>
              <w:snapToGrid w:val="0"/>
              <w:rPr>
                <w:rFonts w:ascii="宋体" w:hAnsi="宋体"/>
                <w:sz w:val="24"/>
                <w:highlight w:val="none"/>
              </w:rPr>
            </w:pPr>
            <w:r>
              <w:rPr>
                <w:rFonts w:hint="eastAsia" w:ascii="宋体" w:hAnsi="宋体"/>
                <w:sz w:val="24"/>
                <w:highlight w:val="none"/>
              </w:rPr>
              <w:t xml:space="preserve">招标代理机构发布招标公告后，符合报名要求的银行，可参与报名。 </w:t>
            </w:r>
          </w:p>
          <w:p w14:paraId="3ACBF5BD">
            <w:pPr>
              <w:snapToGrid w:val="0"/>
              <w:rPr>
                <w:rFonts w:ascii="宋体" w:hAnsi="宋体"/>
                <w:sz w:val="24"/>
                <w:highlight w:val="none"/>
              </w:rPr>
            </w:pPr>
            <w:r>
              <w:rPr>
                <w:rFonts w:hint="eastAsia" w:ascii="宋体" w:hAnsi="宋体"/>
                <w:sz w:val="24"/>
                <w:highlight w:val="none"/>
              </w:rPr>
              <w:t>菜单路径：用户中心—公款竞争性存放—竞标项目</w:t>
            </w:r>
          </w:p>
          <w:p w14:paraId="78B849C5">
            <w:pPr>
              <w:snapToGrid w:val="0"/>
              <w:rPr>
                <w:rFonts w:ascii="宋体" w:hAnsi="宋体"/>
                <w:sz w:val="24"/>
                <w:highlight w:val="none"/>
              </w:rPr>
            </w:pPr>
            <w:r>
              <w:rPr>
                <w:rFonts w:hint="eastAsia" w:ascii="宋体" w:hAnsi="宋体"/>
                <w:sz w:val="24"/>
                <w:highlight w:val="none"/>
              </w:rPr>
              <w:t>1）在“竞标项目-进行中”标签页下，选择状态为“未报名”的项目，点击操作栏【报名】按钮，进行报名。</w:t>
            </w:r>
          </w:p>
          <w:p w14:paraId="264557F1">
            <w:pPr>
              <w:snapToGrid w:val="0"/>
              <w:rPr>
                <w:rFonts w:ascii="宋体" w:hAnsi="宋体"/>
                <w:sz w:val="24"/>
                <w:highlight w:val="none"/>
              </w:rPr>
            </w:pPr>
            <w:r>
              <w:rPr>
                <w:rFonts w:hint="eastAsia" w:ascii="宋体" w:hAnsi="宋体"/>
                <w:sz w:val="24"/>
                <w:highlight w:val="none"/>
              </w:rPr>
              <w:t>2）进入报名信息页面，确认符合报名要求的银行，填写报名信息带“*”的为必填项。</w:t>
            </w:r>
          </w:p>
          <w:p w14:paraId="64947277">
            <w:pPr>
              <w:snapToGrid w:val="0"/>
              <w:rPr>
                <w:rFonts w:ascii="宋体" w:hAnsi="宋体"/>
                <w:sz w:val="24"/>
                <w:highlight w:val="none"/>
              </w:rPr>
            </w:pPr>
            <w:r>
              <w:rPr>
                <w:rFonts w:hint="eastAsia" w:ascii="宋体" w:hAnsi="宋体"/>
                <w:sz w:val="24"/>
                <w:highlight w:val="none"/>
              </w:rPr>
              <w:t>【填写注意事项】</w:t>
            </w:r>
          </w:p>
          <w:p w14:paraId="5A3F2C84">
            <w:pPr>
              <w:snapToGrid w:val="0"/>
              <w:rPr>
                <w:rFonts w:ascii="宋体" w:hAnsi="宋体"/>
                <w:sz w:val="24"/>
                <w:highlight w:val="none"/>
              </w:rPr>
            </w:pPr>
            <w:r>
              <w:rPr>
                <w:rFonts w:hint="eastAsia" w:ascii="宋体" w:hAnsi="宋体"/>
                <w:sz w:val="24"/>
                <w:highlight w:val="none"/>
              </w:rPr>
              <w:t>查看整个报名流程以及当前进度。</w:t>
            </w:r>
          </w:p>
          <w:p w14:paraId="749679BF">
            <w:pPr>
              <w:snapToGrid w:val="0"/>
              <w:rPr>
                <w:rFonts w:ascii="宋体" w:hAnsi="宋体"/>
                <w:sz w:val="24"/>
                <w:highlight w:val="none"/>
              </w:rPr>
            </w:pPr>
            <w:r>
              <w:rPr>
                <w:rFonts w:hint="eastAsia" w:ascii="宋体" w:hAnsi="宋体"/>
                <w:sz w:val="24"/>
                <w:highlight w:val="none"/>
              </w:rPr>
              <w:t>点击【项目信息】，展开后查看项目信息中的基本信息、银行报名要求、开标评标时间地址。</w:t>
            </w:r>
          </w:p>
          <w:p w14:paraId="0BA132A7">
            <w:pPr>
              <w:snapToGrid w:val="0"/>
              <w:rPr>
                <w:rFonts w:ascii="宋体" w:hAnsi="宋体"/>
                <w:sz w:val="24"/>
                <w:highlight w:val="none"/>
              </w:rPr>
            </w:pPr>
            <w:r>
              <w:rPr>
                <w:rFonts w:hint="eastAsia" w:ascii="宋体" w:hAnsi="宋体"/>
                <w:sz w:val="24"/>
                <w:highlight w:val="none"/>
              </w:rPr>
              <w:t>填写投标人基本信息。</w:t>
            </w:r>
          </w:p>
          <w:p w14:paraId="47A3DC45">
            <w:pPr>
              <w:snapToGrid w:val="0"/>
              <w:rPr>
                <w:rFonts w:ascii="宋体" w:hAnsi="宋体"/>
                <w:sz w:val="24"/>
                <w:highlight w:val="none"/>
              </w:rPr>
            </w:pPr>
            <w:r>
              <w:rPr>
                <w:rFonts w:hint="eastAsia" w:ascii="宋体" w:hAnsi="宋体"/>
                <w:sz w:val="24"/>
                <w:highlight w:val="none"/>
              </w:rPr>
              <w:t>对该项目的报名要求进行响应，上传对应响应材料，响应材料请以PDF格式上传。</w:t>
            </w:r>
          </w:p>
          <w:p w14:paraId="26C364A4">
            <w:pPr>
              <w:snapToGrid w:val="0"/>
              <w:rPr>
                <w:rFonts w:ascii="宋体" w:hAnsi="宋体"/>
                <w:sz w:val="24"/>
                <w:highlight w:val="none"/>
              </w:rPr>
            </w:pPr>
            <w:r>
              <w:rPr>
                <w:rFonts w:hint="eastAsia" w:ascii="宋体" w:hAnsi="宋体"/>
                <w:sz w:val="24"/>
                <w:highlight w:val="none"/>
              </w:rPr>
              <w:t>选择需要报名的标项，开启表示参与报名该标项，反之则不参与。</w:t>
            </w:r>
          </w:p>
          <w:p w14:paraId="2EE5944F">
            <w:pPr>
              <w:snapToGrid w:val="0"/>
              <w:rPr>
                <w:rFonts w:ascii="宋体" w:hAnsi="宋体"/>
                <w:sz w:val="24"/>
                <w:highlight w:val="none"/>
              </w:rPr>
            </w:pPr>
            <w:r>
              <w:rPr>
                <w:rFonts w:hint="eastAsia" w:ascii="宋体" w:hAnsi="宋体"/>
                <w:sz w:val="24"/>
                <w:highlight w:val="none"/>
              </w:rPr>
              <w:t>对该标项的报名要求进行响应，上传对应响应材料，响应材料请以PDF格式上传。</w:t>
            </w:r>
          </w:p>
          <w:p w14:paraId="7125CF50">
            <w:pPr>
              <w:snapToGrid w:val="0"/>
              <w:rPr>
                <w:rFonts w:ascii="宋体" w:hAnsi="宋体"/>
                <w:sz w:val="24"/>
                <w:highlight w:val="none"/>
              </w:rPr>
            </w:pPr>
            <w:r>
              <w:rPr>
                <w:rFonts w:hint="eastAsia" w:ascii="宋体" w:hAnsi="宋体"/>
                <w:sz w:val="24"/>
                <w:highlight w:val="none"/>
              </w:rPr>
              <w:t>如有相关附件可进行上传。</w:t>
            </w:r>
          </w:p>
          <w:p w14:paraId="3093B425">
            <w:pPr>
              <w:snapToGrid w:val="0"/>
              <w:rPr>
                <w:rFonts w:ascii="宋体" w:hAnsi="宋体"/>
                <w:sz w:val="24"/>
                <w:highlight w:val="none"/>
              </w:rPr>
            </w:pPr>
            <w:r>
              <w:rPr>
                <w:rFonts w:hint="eastAsia" w:ascii="宋体" w:hAnsi="宋体"/>
                <w:sz w:val="24"/>
                <w:highlight w:val="none"/>
              </w:rPr>
              <w:t>确认报名信息后，点击【保存】。</w:t>
            </w:r>
          </w:p>
          <w:p w14:paraId="75C858FB">
            <w:pPr>
              <w:snapToGrid w:val="0"/>
              <w:rPr>
                <w:rFonts w:ascii="宋体" w:hAnsi="宋体"/>
                <w:sz w:val="24"/>
                <w:highlight w:val="none"/>
              </w:rPr>
            </w:pPr>
            <w:r>
              <w:rPr>
                <w:rFonts w:hint="eastAsia" w:ascii="宋体" w:hAnsi="宋体"/>
                <w:sz w:val="24"/>
                <w:highlight w:val="none"/>
              </w:rPr>
              <w:t>3）弹框提示“网上报名提交确认与承诺”，确认报名，勾选“我同意以上承诺”，点击【继续】。</w:t>
            </w:r>
          </w:p>
          <w:p w14:paraId="32D339E0">
            <w:pPr>
              <w:snapToGrid w:val="0"/>
              <w:rPr>
                <w:rFonts w:ascii="宋体" w:hAnsi="宋体"/>
                <w:sz w:val="24"/>
                <w:highlight w:val="none"/>
              </w:rPr>
            </w:pPr>
            <w:r>
              <w:rPr>
                <w:rFonts w:hint="eastAsia" w:ascii="宋体" w:hAnsi="宋体"/>
                <w:sz w:val="24"/>
                <w:highlight w:val="none"/>
              </w:rPr>
              <w:t>完成状态：在“竞标项目-进行中”标签页下显示状态为“报名审核中”，招标代理机构审核通过后，投标银行可进行投标；如审核不通过被退回，投标银行可根据招标代理机构的审核意见修改后再次提交。</w:t>
            </w:r>
          </w:p>
          <w:p w14:paraId="41CBB29F">
            <w:pPr>
              <w:snapToGrid w:val="0"/>
              <w:rPr>
                <w:rFonts w:ascii="宋体" w:hAnsi="宋体"/>
                <w:sz w:val="24"/>
                <w:highlight w:val="none"/>
              </w:rPr>
            </w:pPr>
            <w:r>
              <w:rPr>
                <w:rFonts w:hint="eastAsia" w:ascii="宋体" w:hAnsi="宋体"/>
                <w:sz w:val="24"/>
                <w:highlight w:val="none"/>
              </w:rPr>
              <w:t>【提示】如招标代理机构设置线上获取，报名后可获取招标文件。</w:t>
            </w:r>
          </w:p>
          <w:p w14:paraId="78DF2E4E">
            <w:pPr>
              <w:snapToGrid w:val="0"/>
              <w:rPr>
                <w:rFonts w:ascii="宋体" w:hAnsi="宋体"/>
                <w:sz w:val="24"/>
                <w:highlight w:val="none"/>
              </w:rPr>
            </w:pPr>
            <w:r>
              <w:rPr>
                <w:rFonts w:hint="eastAsia" w:ascii="宋体" w:hAnsi="宋体"/>
                <w:sz w:val="24"/>
                <w:highlight w:val="none"/>
              </w:rPr>
              <w:t>3、在线投标</w:t>
            </w:r>
          </w:p>
          <w:p w14:paraId="62901BD1">
            <w:pPr>
              <w:snapToGrid w:val="0"/>
              <w:rPr>
                <w:rFonts w:ascii="宋体" w:hAnsi="宋体"/>
                <w:sz w:val="24"/>
                <w:highlight w:val="none"/>
              </w:rPr>
            </w:pPr>
            <w:r>
              <w:rPr>
                <w:rFonts w:hint="eastAsia" w:ascii="宋体" w:hAnsi="宋体"/>
                <w:sz w:val="24"/>
                <w:highlight w:val="none"/>
              </w:rPr>
              <w:t>到达投标时间后，银行可通政采云平台进行投标。</w:t>
            </w:r>
          </w:p>
          <w:p w14:paraId="641BC8DB">
            <w:pPr>
              <w:snapToGrid w:val="0"/>
              <w:rPr>
                <w:rFonts w:ascii="宋体" w:hAnsi="宋体"/>
                <w:sz w:val="24"/>
                <w:highlight w:val="none"/>
              </w:rPr>
            </w:pPr>
            <w:r>
              <w:rPr>
                <w:rFonts w:hint="eastAsia" w:ascii="宋体" w:hAnsi="宋体"/>
                <w:sz w:val="24"/>
                <w:highlight w:val="none"/>
              </w:rPr>
              <w:t>【提示】投标和投标信息确认两个步骤操作，银行务必在规定的时间内完成，否则视为投标逾期。</w:t>
            </w:r>
          </w:p>
          <w:p w14:paraId="2DB03AC2">
            <w:pPr>
              <w:snapToGrid w:val="0"/>
              <w:rPr>
                <w:rFonts w:ascii="宋体" w:hAnsi="宋体"/>
                <w:sz w:val="24"/>
                <w:highlight w:val="none"/>
              </w:rPr>
            </w:pPr>
            <w:r>
              <w:rPr>
                <w:rFonts w:hint="eastAsia" w:ascii="宋体" w:hAnsi="宋体"/>
                <w:sz w:val="24"/>
                <w:highlight w:val="none"/>
              </w:rPr>
              <w:t>菜单路径：用户中心—公款竞争性存放—竞标项目</w:t>
            </w:r>
          </w:p>
          <w:p w14:paraId="07953119">
            <w:pPr>
              <w:snapToGrid w:val="0"/>
              <w:rPr>
                <w:rFonts w:ascii="宋体" w:hAnsi="宋体"/>
                <w:sz w:val="24"/>
                <w:highlight w:val="none"/>
              </w:rPr>
            </w:pPr>
            <w:r>
              <w:rPr>
                <w:rFonts w:hint="eastAsia" w:ascii="宋体" w:hAnsi="宋体"/>
                <w:sz w:val="24"/>
                <w:highlight w:val="none"/>
              </w:rPr>
              <w:t>1）在“竞标项目-进行中”标签页下，选择状态为“待投标”的项目，点击操作栏【投标】按钮，进行投标。</w:t>
            </w:r>
          </w:p>
          <w:p w14:paraId="760297C5">
            <w:pPr>
              <w:snapToGrid w:val="0"/>
              <w:rPr>
                <w:rFonts w:ascii="宋体" w:hAnsi="宋体"/>
                <w:sz w:val="24"/>
                <w:highlight w:val="none"/>
              </w:rPr>
            </w:pPr>
            <w:r>
              <w:rPr>
                <w:rFonts w:hint="eastAsia" w:ascii="宋体" w:hAnsi="宋体"/>
                <w:sz w:val="24"/>
                <w:highlight w:val="none"/>
              </w:rPr>
              <w:t>2）为避免银行在规定时间内无法完成项目投标与投标信息确认，银行报名审核通过后，可先将投标信息维护好，并点击【保存】，暂存投标信息，项目到达投标时间后，只需提交投标信息以及确认投标信息。</w:t>
            </w:r>
          </w:p>
          <w:p w14:paraId="5F601B2E">
            <w:pPr>
              <w:snapToGrid w:val="0"/>
              <w:rPr>
                <w:rFonts w:ascii="宋体" w:hAnsi="宋体"/>
                <w:sz w:val="24"/>
                <w:highlight w:val="none"/>
              </w:rPr>
            </w:pPr>
            <w:r>
              <w:rPr>
                <w:rFonts w:hint="eastAsia" w:ascii="宋体" w:hAnsi="宋体"/>
                <w:sz w:val="24"/>
                <w:highlight w:val="none"/>
              </w:rPr>
              <w:t>3）到达投标时间后，银行进入投标信息页面。</w:t>
            </w:r>
          </w:p>
          <w:p w14:paraId="2C52DF63">
            <w:pPr>
              <w:snapToGrid w:val="0"/>
              <w:rPr>
                <w:rFonts w:ascii="宋体" w:hAnsi="宋体"/>
                <w:sz w:val="24"/>
                <w:highlight w:val="none"/>
              </w:rPr>
            </w:pPr>
            <w:r>
              <w:rPr>
                <w:rFonts w:hint="eastAsia" w:ascii="宋体" w:hAnsi="宋体"/>
                <w:sz w:val="24"/>
                <w:highlight w:val="none"/>
              </w:rPr>
              <w:t>【填写注意事项】</w:t>
            </w:r>
          </w:p>
          <w:p w14:paraId="15FC8062">
            <w:pPr>
              <w:snapToGrid w:val="0"/>
              <w:rPr>
                <w:rFonts w:ascii="宋体" w:hAnsi="宋体"/>
                <w:sz w:val="24"/>
                <w:highlight w:val="none"/>
              </w:rPr>
            </w:pPr>
            <w:r>
              <w:rPr>
                <w:rFonts w:hint="eastAsia" w:ascii="宋体" w:hAnsi="宋体"/>
                <w:sz w:val="24"/>
                <w:highlight w:val="none"/>
              </w:rPr>
              <w:t>注意投标结束时间。</w:t>
            </w:r>
          </w:p>
          <w:p w14:paraId="71125DD0">
            <w:pPr>
              <w:snapToGrid w:val="0"/>
              <w:rPr>
                <w:rFonts w:ascii="宋体" w:hAnsi="宋体"/>
                <w:sz w:val="24"/>
                <w:highlight w:val="none"/>
              </w:rPr>
            </w:pPr>
            <w:r>
              <w:rPr>
                <w:rFonts w:hint="eastAsia" w:ascii="宋体" w:hAnsi="宋体"/>
                <w:sz w:val="24"/>
                <w:highlight w:val="none"/>
              </w:rPr>
              <w:t>选择对应的标项填写投标信息。</w:t>
            </w:r>
          </w:p>
          <w:p w14:paraId="1621C5EA">
            <w:pPr>
              <w:snapToGrid w:val="0"/>
              <w:rPr>
                <w:rFonts w:ascii="宋体" w:hAnsi="宋体"/>
                <w:sz w:val="24"/>
                <w:highlight w:val="none"/>
              </w:rPr>
            </w:pPr>
            <w:r>
              <w:rPr>
                <w:rFonts w:hint="eastAsia" w:ascii="宋体" w:hAnsi="宋体"/>
                <w:sz w:val="24"/>
                <w:highlight w:val="none"/>
              </w:rPr>
              <w:t>对各审查项进行响应，响应文件（指完整的投标文件）必须以PDF格式上传，上传后银行需使用CA（如需申领CA，请参考《CA申领操作指南》，）对上传文件进行签章或加盖投标人公章后扫描上传。</w:t>
            </w:r>
          </w:p>
          <w:p w14:paraId="1B4438F1">
            <w:pPr>
              <w:snapToGrid w:val="0"/>
              <w:rPr>
                <w:rFonts w:ascii="宋体" w:hAnsi="宋体"/>
                <w:sz w:val="24"/>
                <w:highlight w:val="none"/>
              </w:rPr>
            </w:pPr>
            <w:r>
              <w:rPr>
                <w:rFonts w:hint="eastAsia" w:ascii="宋体" w:hAnsi="宋体"/>
                <w:sz w:val="24"/>
                <w:highlight w:val="none"/>
              </w:rPr>
              <w:t>“评分规则”一栏，展示的是完整的评分指标体系。</w:t>
            </w:r>
          </w:p>
          <w:p w14:paraId="508A200F">
            <w:pPr>
              <w:snapToGrid w:val="0"/>
              <w:rPr>
                <w:rFonts w:ascii="宋体" w:hAnsi="宋体"/>
                <w:sz w:val="24"/>
                <w:highlight w:val="none"/>
              </w:rPr>
            </w:pPr>
            <w:r>
              <w:rPr>
                <w:rFonts w:hint="eastAsia" w:ascii="宋体" w:hAnsi="宋体"/>
                <w:sz w:val="24"/>
                <w:highlight w:val="none"/>
              </w:rPr>
              <w:t>指标来源分为：财政部门提供、招标单位提供和银行投标三种。财政部门提供的指标由财政录入，招标单位提供的指标由招标代理机构录入；银行投标的指标需在线进行响应。</w:t>
            </w:r>
          </w:p>
          <w:p w14:paraId="7C39839C">
            <w:pPr>
              <w:snapToGrid w:val="0"/>
              <w:rPr>
                <w:rFonts w:ascii="宋体" w:hAnsi="宋体"/>
                <w:sz w:val="24"/>
                <w:highlight w:val="none"/>
              </w:rPr>
            </w:pPr>
            <w:r>
              <w:rPr>
                <w:rFonts w:hint="eastAsia" w:ascii="宋体" w:hAnsi="宋体"/>
                <w:sz w:val="24"/>
                <w:highlight w:val="none"/>
              </w:rPr>
              <w:t>◇符合性审查项模块的响应内容（上传投标文件全部响应内容），银行需以PDF文件形式进行响应，上传的文件需使用CA签章（或加盖投标人公章后扫描上传）。</w:t>
            </w:r>
          </w:p>
          <w:p w14:paraId="1AF1720A">
            <w:pPr>
              <w:snapToGrid w:val="0"/>
              <w:rPr>
                <w:rFonts w:ascii="宋体" w:hAnsi="宋体"/>
                <w:sz w:val="24"/>
                <w:highlight w:val="none"/>
              </w:rPr>
            </w:pPr>
            <w:r>
              <w:rPr>
                <w:rFonts w:hint="eastAsia" w:ascii="宋体" w:hAnsi="宋体"/>
                <w:sz w:val="24"/>
                <w:highlight w:val="none"/>
              </w:rPr>
              <w:t>◇存款利率模块的响应内容（仅上传投标利率一览表），银行需以PDF文件形式进行响应，上传的文件需使用CA签章（或加盖投标人公章后扫描上传）。</w:t>
            </w:r>
          </w:p>
          <w:p w14:paraId="58D44F23">
            <w:pPr>
              <w:snapToGrid w:val="0"/>
              <w:rPr>
                <w:rFonts w:ascii="宋体" w:hAnsi="宋体"/>
                <w:sz w:val="24"/>
                <w:highlight w:val="none"/>
              </w:rPr>
            </w:pPr>
            <w:r>
              <w:rPr>
                <w:rFonts w:hint="eastAsia" w:ascii="宋体" w:hAnsi="宋体"/>
                <w:sz w:val="24"/>
                <w:highlight w:val="none"/>
              </w:rPr>
              <w:t>◇其他各模块，根据评分办法规定内容上传投标文件对应内容，各模块内容不完整将会造成失分，投标人上传后请再次核对内容的完整性。</w:t>
            </w:r>
          </w:p>
          <w:p w14:paraId="2BA91C8D">
            <w:pPr>
              <w:snapToGrid w:val="0"/>
              <w:rPr>
                <w:rFonts w:ascii="宋体" w:hAnsi="宋体"/>
                <w:sz w:val="24"/>
                <w:highlight w:val="none"/>
              </w:rPr>
            </w:pPr>
            <w:r>
              <w:rPr>
                <w:rFonts w:hint="eastAsia" w:ascii="宋体" w:hAnsi="宋体"/>
                <w:sz w:val="24"/>
                <w:highlight w:val="none"/>
              </w:rPr>
              <w:t>4）确认投标信息无误，点击右上角【提交】。</w:t>
            </w:r>
          </w:p>
          <w:p w14:paraId="62086350">
            <w:pPr>
              <w:snapToGrid w:val="0"/>
              <w:rPr>
                <w:rFonts w:ascii="宋体" w:hAnsi="宋体"/>
                <w:sz w:val="24"/>
                <w:highlight w:val="none"/>
              </w:rPr>
            </w:pPr>
            <w:r>
              <w:rPr>
                <w:rFonts w:hint="eastAsia" w:ascii="宋体" w:hAnsi="宋体"/>
                <w:sz w:val="24"/>
                <w:highlight w:val="none"/>
              </w:rPr>
              <w:t>5）在弹框里选择内部审核人员，点击【确定】。</w:t>
            </w:r>
          </w:p>
          <w:p w14:paraId="119C32F1">
            <w:pPr>
              <w:snapToGrid w:val="0"/>
              <w:rPr>
                <w:rFonts w:ascii="宋体" w:hAnsi="宋体"/>
                <w:sz w:val="24"/>
                <w:highlight w:val="none"/>
              </w:rPr>
            </w:pPr>
            <w:r>
              <w:rPr>
                <w:rFonts w:hint="eastAsia" w:ascii="宋体" w:hAnsi="宋体"/>
                <w:sz w:val="24"/>
                <w:highlight w:val="none"/>
              </w:rPr>
              <w:t>【提示】在投标截止时间前需完成投标确认，通过后才视为投标成功。</w:t>
            </w:r>
          </w:p>
          <w:p w14:paraId="560C714E">
            <w:pPr>
              <w:snapToGrid w:val="0"/>
              <w:rPr>
                <w:rFonts w:ascii="宋体" w:hAnsi="宋体"/>
                <w:sz w:val="24"/>
                <w:highlight w:val="none"/>
              </w:rPr>
            </w:pPr>
            <w:r>
              <w:rPr>
                <w:rFonts w:hint="eastAsia" w:ascii="宋体" w:hAnsi="宋体"/>
                <w:sz w:val="24"/>
                <w:highlight w:val="none"/>
              </w:rPr>
              <w:t>说明：凡招标文件要求投标人盖公章或电子签章的部分，采用电子签章或加盖投标人公章后扫描上传的，均视为符合要求。</w:t>
            </w:r>
          </w:p>
          <w:p w14:paraId="3DB1D382">
            <w:pPr>
              <w:snapToGrid w:val="0"/>
              <w:rPr>
                <w:rFonts w:ascii="宋体" w:hAnsi="宋体"/>
                <w:sz w:val="24"/>
                <w:highlight w:val="none"/>
              </w:rPr>
            </w:pPr>
            <w:r>
              <w:rPr>
                <w:rFonts w:hint="eastAsia" w:ascii="宋体" w:hAnsi="宋体"/>
                <w:sz w:val="24"/>
                <w:highlight w:val="none"/>
              </w:rPr>
              <w:t>4、投标信息确认</w:t>
            </w:r>
          </w:p>
          <w:p w14:paraId="101A8B21">
            <w:pPr>
              <w:snapToGrid w:val="0"/>
              <w:rPr>
                <w:rFonts w:ascii="宋体" w:hAnsi="宋体"/>
                <w:sz w:val="24"/>
                <w:highlight w:val="none"/>
              </w:rPr>
            </w:pPr>
            <w:r>
              <w:rPr>
                <w:rFonts w:hint="eastAsia" w:ascii="宋体" w:hAnsi="宋体"/>
                <w:sz w:val="24"/>
                <w:highlight w:val="none"/>
              </w:rPr>
              <w:t>银行投标完成，需确认投标信息后才视为投标成功。</w:t>
            </w:r>
          </w:p>
          <w:p w14:paraId="31AACF82">
            <w:pPr>
              <w:snapToGrid w:val="0"/>
              <w:rPr>
                <w:rFonts w:ascii="宋体" w:hAnsi="宋体"/>
                <w:sz w:val="24"/>
                <w:highlight w:val="none"/>
              </w:rPr>
            </w:pPr>
            <w:r>
              <w:rPr>
                <w:rFonts w:hint="eastAsia" w:ascii="宋体" w:hAnsi="宋体"/>
                <w:sz w:val="24"/>
                <w:highlight w:val="none"/>
              </w:rPr>
              <w:t>【提示】投标和投标信息确认两步操作，银行务必在规定的时间内完成，否则视为投标逾期。</w:t>
            </w:r>
          </w:p>
          <w:p w14:paraId="044AB007">
            <w:pPr>
              <w:snapToGrid w:val="0"/>
              <w:rPr>
                <w:rFonts w:ascii="宋体" w:hAnsi="宋体"/>
                <w:sz w:val="24"/>
                <w:highlight w:val="none"/>
              </w:rPr>
            </w:pPr>
            <w:r>
              <w:rPr>
                <w:rFonts w:hint="eastAsia" w:ascii="宋体" w:hAnsi="宋体"/>
                <w:sz w:val="24"/>
                <w:highlight w:val="none"/>
              </w:rPr>
              <w:t>菜单路径：用户中心—公款竞争性存放—竞标项目</w:t>
            </w:r>
          </w:p>
          <w:p w14:paraId="194A0BE0">
            <w:pPr>
              <w:snapToGrid w:val="0"/>
              <w:rPr>
                <w:rFonts w:ascii="宋体" w:hAnsi="宋体"/>
                <w:sz w:val="24"/>
                <w:highlight w:val="none"/>
              </w:rPr>
            </w:pPr>
            <w:r>
              <w:rPr>
                <w:rFonts w:hint="eastAsia" w:ascii="宋体" w:hAnsi="宋体"/>
                <w:sz w:val="24"/>
                <w:highlight w:val="none"/>
              </w:rPr>
              <w:t>1）在“竞标项目-进行中”标签页下，选择状态为“待确认”的项目，点击操作栏【确认】。</w:t>
            </w:r>
          </w:p>
          <w:p w14:paraId="57FF8F16">
            <w:pPr>
              <w:snapToGrid w:val="0"/>
              <w:rPr>
                <w:rFonts w:ascii="宋体" w:hAnsi="宋体"/>
                <w:sz w:val="24"/>
                <w:highlight w:val="none"/>
              </w:rPr>
            </w:pPr>
            <w:r>
              <w:rPr>
                <w:rFonts w:hint="eastAsia" w:ascii="宋体" w:hAnsi="宋体"/>
                <w:sz w:val="24"/>
                <w:highlight w:val="none"/>
              </w:rPr>
              <w:t>2）系统跳转至投标信息确认页面，查看对应标项投标信息。</w:t>
            </w:r>
          </w:p>
          <w:p w14:paraId="5E657D6E">
            <w:pPr>
              <w:snapToGrid w:val="0"/>
              <w:rPr>
                <w:rFonts w:ascii="宋体" w:hAnsi="宋体"/>
                <w:sz w:val="24"/>
                <w:highlight w:val="none"/>
              </w:rPr>
            </w:pPr>
            <w:r>
              <w:rPr>
                <w:rFonts w:hint="eastAsia" w:ascii="宋体" w:hAnsi="宋体"/>
                <w:sz w:val="24"/>
                <w:highlight w:val="none"/>
              </w:rPr>
              <w:t>3）如确认投标信息无误后，点击右上角【确认】。</w:t>
            </w:r>
          </w:p>
          <w:p w14:paraId="6C4C0805">
            <w:pPr>
              <w:snapToGrid w:val="0"/>
              <w:rPr>
                <w:rFonts w:ascii="宋体" w:hAnsi="宋体"/>
                <w:sz w:val="24"/>
                <w:highlight w:val="none"/>
              </w:rPr>
            </w:pPr>
            <w:r>
              <w:rPr>
                <w:rFonts w:hint="eastAsia" w:ascii="宋体" w:hAnsi="宋体"/>
                <w:sz w:val="24"/>
                <w:highlight w:val="none"/>
              </w:rPr>
              <w:t>4）在弹框里确认结果选择【同意】，投标成功。</w:t>
            </w:r>
          </w:p>
          <w:p w14:paraId="11C865CC">
            <w:pPr>
              <w:snapToGrid w:val="0"/>
              <w:rPr>
                <w:rFonts w:ascii="宋体" w:hAnsi="宋体"/>
                <w:sz w:val="24"/>
                <w:highlight w:val="none"/>
              </w:rPr>
            </w:pPr>
            <w:r>
              <w:rPr>
                <w:rFonts w:hint="eastAsia" w:ascii="宋体" w:hAnsi="宋体"/>
                <w:sz w:val="24"/>
                <w:highlight w:val="none"/>
              </w:rPr>
              <w:t>5）如对投标信息有异议，确认结果选择【不同意】并填写确认意见，回退至投标环节，修改信息。</w:t>
            </w:r>
          </w:p>
          <w:p w14:paraId="4F48980B">
            <w:pPr>
              <w:snapToGrid w:val="0"/>
              <w:rPr>
                <w:rFonts w:ascii="宋体" w:hAnsi="宋体"/>
                <w:sz w:val="24"/>
                <w:highlight w:val="none"/>
              </w:rPr>
            </w:pPr>
            <w:r>
              <w:rPr>
                <w:rFonts w:hint="eastAsia" w:ascii="宋体" w:hAnsi="宋体"/>
                <w:sz w:val="24"/>
                <w:highlight w:val="none"/>
              </w:rPr>
              <w:t>完成状态：银行投标成功后，在“竞标项目-进行中”标签页下显示状态为“待开标”。</w:t>
            </w:r>
          </w:p>
          <w:p w14:paraId="43A495F1">
            <w:pPr>
              <w:snapToGrid w:val="0"/>
              <w:rPr>
                <w:rFonts w:ascii="宋体" w:hAnsi="宋体"/>
                <w:sz w:val="24"/>
                <w:highlight w:val="none"/>
              </w:rPr>
            </w:pPr>
            <w:r>
              <w:rPr>
                <w:rFonts w:hint="eastAsia" w:ascii="宋体" w:hAnsi="宋体"/>
                <w:sz w:val="24"/>
                <w:highlight w:val="none"/>
              </w:rPr>
              <w:t>【提示】在投标截止时间之前，银行可“撤回”投标，项目到达开标时间后，银行可点击“查看”，查看开标情况。</w:t>
            </w:r>
          </w:p>
          <w:p w14:paraId="192C4DBC">
            <w:pPr>
              <w:pStyle w:val="14"/>
              <w:spacing w:line="240" w:lineRule="auto"/>
              <w:ind w:firstLine="0"/>
              <w:rPr>
                <w:rFonts w:hAnsi="宋体"/>
                <w:color w:val="auto"/>
                <w:sz w:val="24"/>
                <w:szCs w:val="24"/>
                <w:highlight w:val="none"/>
              </w:rPr>
            </w:pPr>
            <w:r>
              <w:rPr>
                <w:rFonts w:hint="eastAsia" w:hAnsi="宋体"/>
                <w:color w:val="auto"/>
                <w:sz w:val="24"/>
                <w:szCs w:val="24"/>
                <w:highlight w:val="none"/>
              </w:rPr>
              <w:t>5、查看开标结果</w:t>
            </w:r>
          </w:p>
          <w:p w14:paraId="3C631F46">
            <w:pPr>
              <w:pStyle w:val="14"/>
              <w:spacing w:line="240" w:lineRule="auto"/>
              <w:ind w:firstLine="0"/>
              <w:rPr>
                <w:rFonts w:hAnsi="宋体"/>
                <w:color w:val="auto"/>
                <w:sz w:val="24"/>
                <w:szCs w:val="24"/>
                <w:highlight w:val="none"/>
              </w:rPr>
            </w:pPr>
            <w:r>
              <w:rPr>
                <w:rFonts w:hint="eastAsia" w:hAnsi="宋体"/>
                <w:color w:val="auto"/>
                <w:sz w:val="24"/>
                <w:szCs w:val="24"/>
                <w:highlight w:val="none"/>
              </w:rPr>
              <w:t>开标结果出来后，投标银行可通过政采云平台查看投标结果。</w:t>
            </w:r>
          </w:p>
          <w:p w14:paraId="1B2AD424">
            <w:pPr>
              <w:pStyle w:val="14"/>
              <w:spacing w:line="240" w:lineRule="auto"/>
              <w:ind w:firstLine="0"/>
              <w:rPr>
                <w:rFonts w:hAnsi="宋体"/>
                <w:color w:val="auto"/>
                <w:sz w:val="24"/>
                <w:szCs w:val="24"/>
                <w:highlight w:val="none"/>
              </w:rPr>
            </w:pPr>
            <w:r>
              <w:rPr>
                <w:rFonts w:hint="eastAsia" w:hAnsi="宋体"/>
                <w:color w:val="auto"/>
                <w:sz w:val="24"/>
                <w:szCs w:val="24"/>
                <w:highlight w:val="none"/>
              </w:rPr>
              <w:t>菜单路径：用户中心—公款竞争性存放—竞标项目</w:t>
            </w:r>
          </w:p>
          <w:p w14:paraId="3F6E9443">
            <w:pPr>
              <w:pStyle w:val="14"/>
              <w:spacing w:line="240" w:lineRule="auto"/>
              <w:ind w:firstLine="0"/>
              <w:rPr>
                <w:rFonts w:hAnsi="宋体"/>
                <w:color w:val="auto"/>
                <w:sz w:val="24"/>
                <w:szCs w:val="24"/>
                <w:highlight w:val="none"/>
              </w:rPr>
            </w:pPr>
            <w:r>
              <w:rPr>
                <w:rFonts w:hint="eastAsia" w:hAnsi="宋体"/>
                <w:color w:val="auto"/>
                <w:sz w:val="24"/>
                <w:szCs w:val="24"/>
                <w:highlight w:val="none"/>
              </w:rPr>
              <w:t>1）在“竞标项目-全部”标签页下，可通过项目状态查看是否中标，如投标银行有中标，项目状态为“已中标”，反之，项目状态为“未中标”，点击右边操作栏【查看】按钮，查看开标结果。</w:t>
            </w:r>
          </w:p>
          <w:p w14:paraId="1AB5C64D">
            <w:pPr>
              <w:pStyle w:val="14"/>
              <w:spacing w:line="240" w:lineRule="auto"/>
              <w:ind w:firstLine="0"/>
              <w:rPr>
                <w:rFonts w:hAnsi="宋体"/>
                <w:color w:val="auto"/>
                <w:sz w:val="24"/>
                <w:szCs w:val="24"/>
                <w:highlight w:val="none"/>
              </w:rPr>
            </w:pPr>
            <w:r>
              <w:rPr>
                <w:rFonts w:hint="eastAsia" w:hAnsi="宋体"/>
                <w:color w:val="auto"/>
                <w:sz w:val="24"/>
                <w:szCs w:val="24"/>
                <w:highlight w:val="none"/>
              </w:rPr>
              <w:t>2）在详情页，查看开标结果具体信息，如是中标单位，可点击右上角【查看中标公告】按钮，系统自动链接至浙江政府采购网查看公告信息。</w:t>
            </w:r>
          </w:p>
        </w:tc>
      </w:tr>
    </w:tbl>
    <w:p w14:paraId="0B3EEB2E">
      <w:pPr>
        <w:snapToGrid w:val="0"/>
        <w:spacing w:line="360" w:lineRule="auto"/>
        <w:jc w:val="center"/>
        <w:outlineLvl w:val="0"/>
        <w:rPr>
          <w:rFonts w:ascii="宋体" w:hAnsi="宋体"/>
          <w:b/>
          <w:sz w:val="32"/>
          <w:highlight w:val="none"/>
        </w:rPr>
        <w:sectPr>
          <w:headerReference r:id="rId3" w:type="default"/>
          <w:footerReference r:id="rId4" w:type="default"/>
          <w:pgSz w:w="11906" w:h="16838"/>
          <w:pgMar w:top="1440" w:right="1080" w:bottom="1440" w:left="1080" w:header="851" w:footer="992" w:gutter="0"/>
          <w:cols w:space="720" w:num="1"/>
          <w:docGrid w:linePitch="312" w:charSpace="0"/>
        </w:sectPr>
      </w:pPr>
    </w:p>
    <w:bookmarkEnd w:id="14"/>
    <w:p w14:paraId="5930C817">
      <w:pPr>
        <w:pStyle w:val="5"/>
        <w:ind w:left="0" w:firstLine="0"/>
        <w:jc w:val="center"/>
        <w:rPr>
          <w:rFonts w:ascii="宋体" w:hAnsi="宋体" w:eastAsia="宋体"/>
          <w:sz w:val="30"/>
          <w:highlight w:val="none"/>
        </w:rPr>
      </w:pPr>
      <w:bookmarkStart w:id="17" w:name="_Toc497397641"/>
      <w:bookmarkEnd w:id="17"/>
      <w:r>
        <w:rPr>
          <w:rFonts w:hint="eastAsia" w:ascii="宋体" w:hAnsi="宋体" w:eastAsia="宋体"/>
          <w:sz w:val="30"/>
          <w:highlight w:val="none"/>
        </w:rPr>
        <w:t>一、总则</w:t>
      </w:r>
    </w:p>
    <w:p w14:paraId="2206AE2E">
      <w:pPr>
        <w:pStyle w:val="24"/>
        <w:snapToGrid w:val="0"/>
        <w:spacing w:line="360" w:lineRule="auto"/>
        <w:rPr>
          <w:rFonts w:hAnsi="宋体"/>
          <w:b/>
          <w:sz w:val="24"/>
          <w:highlight w:val="none"/>
        </w:rPr>
      </w:pPr>
      <w:bookmarkStart w:id="18" w:name="_Toc91899872"/>
      <w:bookmarkEnd w:id="18"/>
      <w:bookmarkStart w:id="19" w:name="_Hlt74714665"/>
      <w:bookmarkEnd w:id="19"/>
      <w:bookmarkStart w:id="20" w:name="_Hlt74730295"/>
      <w:bookmarkEnd w:id="20"/>
      <w:bookmarkStart w:id="21" w:name="_Hlt74730208"/>
      <w:bookmarkStart w:id="22" w:name="_Hlt74730112"/>
      <w:r>
        <w:rPr>
          <w:rFonts w:hint="eastAsia" w:hAnsi="宋体"/>
          <w:b/>
          <w:sz w:val="24"/>
          <w:highlight w:val="none"/>
        </w:rPr>
        <w:t>1．项目说明</w:t>
      </w:r>
    </w:p>
    <w:p w14:paraId="334A8A27">
      <w:pPr>
        <w:pStyle w:val="72"/>
        <w:snapToGrid w:val="0"/>
        <w:spacing w:before="0"/>
        <w:ind w:firstLine="480"/>
        <w:rPr>
          <w:rFonts w:ascii="宋体" w:hAnsi="宋体"/>
          <w:szCs w:val="24"/>
          <w:highlight w:val="none"/>
        </w:rPr>
      </w:pPr>
      <w:bookmarkStart w:id="23" w:name="_Toc91899873"/>
      <w:r>
        <w:rPr>
          <w:rFonts w:hint="eastAsia" w:ascii="宋体" w:hAnsi="宋体"/>
          <w:szCs w:val="24"/>
          <w:highlight w:val="none"/>
        </w:rPr>
        <w:t>1.1项目说明见投标须知前附表(以下称“前附表”)第1项所述。</w:t>
      </w:r>
    </w:p>
    <w:p w14:paraId="6719C480">
      <w:pPr>
        <w:autoSpaceDE w:val="0"/>
        <w:autoSpaceDN w:val="0"/>
        <w:snapToGrid w:val="0"/>
        <w:spacing w:line="360" w:lineRule="auto"/>
        <w:ind w:firstLine="480" w:firstLineChars="200"/>
        <w:rPr>
          <w:rFonts w:ascii="宋体" w:hAnsi="宋体"/>
          <w:sz w:val="24"/>
          <w:highlight w:val="none"/>
        </w:rPr>
      </w:pPr>
      <w:r>
        <w:rPr>
          <w:rFonts w:hint="eastAsia" w:ascii="宋体" w:hAnsi="宋体"/>
          <w:sz w:val="24"/>
          <w:highlight w:val="none"/>
        </w:rPr>
        <w:t>1.2</w:t>
      </w:r>
      <w:r>
        <w:rPr>
          <w:rFonts w:hint="eastAsia" w:ascii="宋体" w:hAnsi="宋体"/>
          <w:sz w:val="24"/>
          <w:highlight w:val="none"/>
          <w:lang w:eastAsia="zh-CN"/>
        </w:rPr>
        <w:t>杭州市民政局</w:t>
      </w:r>
      <w:r>
        <w:rPr>
          <w:rFonts w:hint="eastAsia" w:ascii="宋体" w:hAnsi="宋体"/>
          <w:sz w:val="24"/>
          <w:highlight w:val="none"/>
        </w:rPr>
        <w:t>为本项目的招标人（合同中的甲方），</w:t>
      </w:r>
      <w:r>
        <w:rPr>
          <w:rFonts w:hint="eastAsia" w:ascii="宋体" w:hAnsi="宋体"/>
          <w:sz w:val="24"/>
          <w:highlight w:val="none"/>
          <w:lang w:eastAsia="zh-CN"/>
        </w:rPr>
        <w:t>浙江建安工程管理有限公司</w:t>
      </w:r>
      <w:r>
        <w:rPr>
          <w:rFonts w:hint="eastAsia" w:ascii="宋体" w:hAnsi="宋体"/>
          <w:sz w:val="24"/>
          <w:highlight w:val="none"/>
        </w:rPr>
        <w:t>为招标代理机构（合同中的鉴证方），杭州市财政局为财政监督管理部门，自愿参加本次项目投标的公司为投标人，经评审产生并经批准的投标人为中标人，签订合同后的中标人为供应商（合同中的乙方）。</w:t>
      </w:r>
    </w:p>
    <w:p w14:paraId="6FB7DE87">
      <w:pPr>
        <w:tabs>
          <w:tab w:val="left" w:pos="3780"/>
        </w:tabs>
        <w:snapToGrid w:val="0"/>
        <w:spacing w:line="360" w:lineRule="auto"/>
        <w:ind w:firstLine="480" w:firstLineChars="200"/>
        <w:rPr>
          <w:rFonts w:ascii="宋体" w:hAnsi="宋体"/>
          <w:sz w:val="24"/>
          <w:highlight w:val="none"/>
        </w:rPr>
      </w:pPr>
      <w:r>
        <w:rPr>
          <w:rFonts w:hint="eastAsia" w:ascii="宋体" w:hAnsi="宋体"/>
          <w:sz w:val="24"/>
          <w:highlight w:val="none"/>
        </w:rPr>
        <w:t>1.3潜在投标人领取招标文件后，必须按照国家《保密法》以及保密工作的相关规定，对招标文件内容应</w:t>
      </w:r>
      <w:r>
        <w:rPr>
          <w:rFonts w:hint="eastAsia" w:ascii="宋体" w:hAnsi="宋体"/>
          <w:kern w:val="0"/>
          <w:sz w:val="24"/>
          <w:highlight w:val="none"/>
        </w:rPr>
        <w:t>承担保密义务，</w:t>
      </w:r>
      <w:r>
        <w:rPr>
          <w:rFonts w:hint="eastAsia" w:ascii="宋体" w:hAnsi="宋体"/>
          <w:sz w:val="24"/>
          <w:highlight w:val="none"/>
        </w:rPr>
        <w:t>维护招标人的权益，</w:t>
      </w:r>
      <w:r>
        <w:rPr>
          <w:rFonts w:hint="eastAsia" w:ascii="宋体" w:hAnsi="宋体"/>
          <w:kern w:val="0"/>
          <w:sz w:val="24"/>
          <w:highlight w:val="none"/>
        </w:rPr>
        <w:t>发生</w:t>
      </w:r>
      <w:r>
        <w:rPr>
          <w:rFonts w:hint="eastAsia" w:ascii="宋体" w:hAnsi="宋体"/>
          <w:sz w:val="24"/>
          <w:highlight w:val="none"/>
        </w:rPr>
        <w:t>窃、泄密事件潜在投标人</w:t>
      </w:r>
      <w:r>
        <w:rPr>
          <w:rFonts w:hint="eastAsia" w:ascii="宋体" w:hAnsi="宋体"/>
          <w:kern w:val="0"/>
          <w:sz w:val="24"/>
          <w:highlight w:val="none"/>
        </w:rPr>
        <w:t>应承担相应的法律责任。</w:t>
      </w:r>
    </w:p>
    <w:p w14:paraId="0D656D2D">
      <w:pPr>
        <w:tabs>
          <w:tab w:val="left" w:pos="3780"/>
        </w:tabs>
        <w:snapToGrid w:val="0"/>
        <w:spacing w:line="360" w:lineRule="auto"/>
        <w:ind w:firstLine="480" w:firstLineChars="200"/>
        <w:rPr>
          <w:rFonts w:ascii="宋体" w:hAnsi="宋体"/>
          <w:sz w:val="24"/>
          <w:highlight w:val="none"/>
        </w:rPr>
      </w:pPr>
      <w:r>
        <w:rPr>
          <w:rFonts w:hint="eastAsia" w:ascii="宋体" w:hAnsi="宋体"/>
          <w:sz w:val="24"/>
          <w:highlight w:val="none"/>
        </w:rPr>
        <w:t>1.4投标人一旦参与本次投标活动，即被视为接受了本招标文件的所有内容，如有任何异议，均已在答疑截止时间前提出。</w:t>
      </w:r>
    </w:p>
    <w:p w14:paraId="225D2510">
      <w:pPr>
        <w:tabs>
          <w:tab w:val="left" w:pos="3780"/>
        </w:tabs>
        <w:snapToGrid w:val="0"/>
        <w:spacing w:line="360" w:lineRule="auto"/>
        <w:ind w:firstLine="480" w:firstLineChars="200"/>
        <w:rPr>
          <w:rFonts w:ascii="宋体" w:hAnsi="宋体"/>
          <w:sz w:val="24"/>
          <w:highlight w:val="none"/>
        </w:rPr>
      </w:pPr>
      <w:r>
        <w:rPr>
          <w:rFonts w:hint="eastAsia" w:ascii="宋体" w:hAnsi="宋体"/>
          <w:sz w:val="24"/>
          <w:highlight w:val="none"/>
        </w:rPr>
        <w:t>1.5投标人须对所投产品、方案、技术、服务等拥有合法的占有和处置权，并对涉及项目的所有内容可能侵权行为指控负责，保证不伤害招标人的利益。在法律范围内，如果出现文字、图片、商标和技术等侵权行为而造成的纠纷和产生的一切费用，招标人概不负责，由此给招标人造成损失的，</w:t>
      </w:r>
      <w:r>
        <w:rPr>
          <w:rFonts w:hint="eastAsia" w:ascii="宋体" w:hAnsi="宋体"/>
          <w:kern w:val="0"/>
          <w:sz w:val="24"/>
          <w:highlight w:val="none"/>
          <w:lang w:val="zh-CN"/>
        </w:rPr>
        <w:t>供应商</w:t>
      </w:r>
      <w:r>
        <w:rPr>
          <w:rFonts w:hint="eastAsia" w:ascii="宋体" w:hAnsi="宋体"/>
          <w:sz w:val="24"/>
          <w:highlight w:val="none"/>
        </w:rPr>
        <w:t>应承担相应后果，</w:t>
      </w:r>
      <w:r>
        <w:rPr>
          <w:rFonts w:hint="eastAsia" w:ascii="宋体" w:hAnsi="宋体"/>
          <w:kern w:val="0"/>
          <w:sz w:val="24"/>
          <w:highlight w:val="none"/>
          <w:lang w:val="zh-CN"/>
        </w:rPr>
        <w:t>并负责赔偿。</w:t>
      </w:r>
      <w:r>
        <w:rPr>
          <w:rFonts w:hint="eastAsia" w:ascii="宋体" w:hAnsi="宋体"/>
          <w:sz w:val="24"/>
          <w:highlight w:val="none"/>
        </w:rPr>
        <w:t>供应商为执行本项目合同而提供的技术资料等归招标人所有。</w:t>
      </w:r>
    </w:p>
    <w:bookmarkEnd w:id="23"/>
    <w:p w14:paraId="4E2AA328">
      <w:pPr>
        <w:pStyle w:val="24"/>
        <w:snapToGrid w:val="0"/>
        <w:spacing w:line="360" w:lineRule="auto"/>
        <w:rPr>
          <w:rFonts w:hAnsi="宋体"/>
          <w:b/>
          <w:sz w:val="24"/>
          <w:highlight w:val="none"/>
        </w:rPr>
      </w:pPr>
      <w:r>
        <w:rPr>
          <w:rFonts w:hint="eastAsia" w:hAnsi="宋体"/>
          <w:b/>
          <w:sz w:val="24"/>
          <w:highlight w:val="none"/>
        </w:rPr>
        <w:t>2．采购方式</w:t>
      </w:r>
    </w:p>
    <w:bookmarkEnd w:id="21"/>
    <w:bookmarkEnd w:id="22"/>
    <w:p w14:paraId="05F996C3">
      <w:pPr>
        <w:tabs>
          <w:tab w:val="left" w:pos="3780"/>
        </w:tabs>
        <w:snapToGrid w:val="0"/>
        <w:spacing w:line="360" w:lineRule="auto"/>
        <w:ind w:firstLine="480" w:firstLineChars="200"/>
        <w:rPr>
          <w:rFonts w:ascii="宋体" w:hAnsi="宋体"/>
          <w:sz w:val="24"/>
          <w:highlight w:val="none"/>
        </w:rPr>
      </w:pPr>
      <w:bookmarkStart w:id="24" w:name="_Hlt68516771"/>
      <w:bookmarkEnd w:id="24"/>
      <w:bookmarkStart w:id="25" w:name="_Hlt74388212"/>
      <w:bookmarkEnd w:id="25"/>
      <w:r>
        <w:rPr>
          <w:rFonts w:hint="eastAsia" w:ascii="宋体" w:hAnsi="宋体"/>
          <w:sz w:val="24"/>
          <w:highlight w:val="none"/>
        </w:rPr>
        <w:t>公开招标。</w:t>
      </w:r>
    </w:p>
    <w:p w14:paraId="41556FA7">
      <w:pPr>
        <w:tabs>
          <w:tab w:val="left" w:pos="0"/>
        </w:tabs>
        <w:autoSpaceDE w:val="0"/>
        <w:autoSpaceDN w:val="0"/>
        <w:snapToGrid w:val="0"/>
        <w:spacing w:line="360" w:lineRule="auto"/>
        <w:rPr>
          <w:rFonts w:ascii="宋体" w:hAnsi="宋体"/>
          <w:b/>
          <w:sz w:val="24"/>
          <w:highlight w:val="none"/>
        </w:rPr>
      </w:pPr>
      <w:bookmarkStart w:id="26" w:name="_Toc91899876"/>
      <w:bookmarkEnd w:id="26"/>
      <w:bookmarkStart w:id="27" w:name="_Hlt74730301"/>
      <w:bookmarkEnd w:id="27"/>
      <w:bookmarkStart w:id="28" w:name="_Toc91899877"/>
      <w:bookmarkStart w:id="29" w:name="_Hlt74730303"/>
      <w:r>
        <w:rPr>
          <w:rFonts w:hint="eastAsia" w:ascii="宋体" w:hAnsi="宋体"/>
          <w:b/>
          <w:sz w:val="24"/>
          <w:highlight w:val="none"/>
        </w:rPr>
        <w:t>3．</w:t>
      </w:r>
      <w:r>
        <w:rPr>
          <w:rFonts w:hint="eastAsia" w:ascii="宋体" w:hAnsi="宋体"/>
          <w:b/>
          <w:kern w:val="0"/>
          <w:sz w:val="24"/>
          <w:highlight w:val="none"/>
          <w:lang w:val="zh-CN"/>
        </w:rPr>
        <w:t>定义</w:t>
      </w:r>
    </w:p>
    <w:p w14:paraId="055C11FF">
      <w:pPr>
        <w:tabs>
          <w:tab w:val="left" w:pos="0"/>
        </w:tabs>
        <w:autoSpaceDE w:val="0"/>
        <w:autoSpaceDN w:val="0"/>
        <w:snapToGrid w:val="0"/>
        <w:spacing w:line="360" w:lineRule="auto"/>
        <w:rPr>
          <w:rFonts w:ascii="宋体" w:hAnsi="宋体"/>
          <w:b/>
          <w:kern w:val="0"/>
          <w:sz w:val="24"/>
          <w:highlight w:val="none"/>
          <w:lang w:val="zh-CN"/>
        </w:rPr>
      </w:pPr>
      <w:r>
        <w:rPr>
          <w:rFonts w:hint="eastAsia" w:ascii="宋体" w:hAnsi="宋体"/>
          <w:b/>
          <w:kern w:val="0"/>
          <w:sz w:val="24"/>
          <w:highlight w:val="none"/>
          <w:lang w:val="zh-CN"/>
        </w:rPr>
        <w:t>3.1  合格的投标人应具备的资格要求，</w:t>
      </w:r>
      <w:r>
        <w:rPr>
          <w:rFonts w:hint="eastAsia" w:ascii="宋体" w:hAnsi="宋体"/>
          <w:kern w:val="0"/>
          <w:sz w:val="24"/>
          <w:highlight w:val="none"/>
          <w:lang w:val="zh-CN"/>
        </w:rPr>
        <w:t>见招标文件第一部分“招标公告”第3条。</w:t>
      </w:r>
    </w:p>
    <w:p w14:paraId="4A22D29F">
      <w:pPr>
        <w:tabs>
          <w:tab w:val="left" w:pos="0"/>
        </w:tabs>
        <w:autoSpaceDE w:val="0"/>
        <w:autoSpaceDN w:val="0"/>
        <w:snapToGrid w:val="0"/>
        <w:spacing w:line="360" w:lineRule="auto"/>
        <w:rPr>
          <w:rFonts w:ascii="宋体" w:hAnsi="宋体"/>
          <w:b/>
          <w:sz w:val="24"/>
          <w:highlight w:val="none"/>
        </w:rPr>
      </w:pPr>
      <w:r>
        <w:rPr>
          <w:rFonts w:hint="eastAsia" w:ascii="宋体" w:hAnsi="宋体"/>
          <w:b/>
          <w:sz w:val="24"/>
          <w:highlight w:val="none"/>
        </w:rPr>
        <w:t>3.2  服务</w:t>
      </w:r>
    </w:p>
    <w:p w14:paraId="1DDCFC17">
      <w:pPr>
        <w:pStyle w:val="24"/>
        <w:snapToGrid w:val="0"/>
        <w:spacing w:line="360" w:lineRule="auto"/>
        <w:ind w:firstLine="480" w:firstLineChars="200"/>
        <w:rPr>
          <w:rFonts w:hAnsi="宋体"/>
          <w:kern w:val="0"/>
          <w:sz w:val="24"/>
          <w:highlight w:val="none"/>
          <w:lang w:val="zh-CN"/>
        </w:rPr>
      </w:pPr>
      <w:r>
        <w:rPr>
          <w:rFonts w:hint="eastAsia" w:hAnsi="宋体"/>
          <w:kern w:val="0"/>
          <w:sz w:val="24"/>
          <w:highlight w:val="none"/>
          <w:lang w:val="zh-CN"/>
        </w:rPr>
        <w:t>系指合同规定中标人须承担的招标文件规定投标人须提供的</w:t>
      </w:r>
      <w:r>
        <w:rPr>
          <w:rFonts w:hint="eastAsia" w:hAnsi="宋体"/>
          <w:kern w:val="0"/>
          <w:sz w:val="24"/>
          <w:highlight w:val="none"/>
        </w:rPr>
        <w:t>存款服务、</w:t>
      </w:r>
      <w:r>
        <w:rPr>
          <w:rFonts w:hint="eastAsia" w:hAnsi="宋体"/>
          <w:kern w:val="0"/>
          <w:sz w:val="24"/>
          <w:highlight w:val="none"/>
          <w:lang w:val="zh-CN"/>
        </w:rPr>
        <w:t>利息支付、技术支持和服务期限内应履行的服务等义务。</w:t>
      </w:r>
    </w:p>
    <w:bookmarkEnd w:id="28"/>
    <w:p w14:paraId="5C150677">
      <w:pPr>
        <w:tabs>
          <w:tab w:val="left" w:pos="0"/>
        </w:tabs>
        <w:autoSpaceDE w:val="0"/>
        <w:autoSpaceDN w:val="0"/>
        <w:snapToGrid w:val="0"/>
        <w:spacing w:line="360" w:lineRule="auto"/>
        <w:rPr>
          <w:rFonts w:ascii="宋体" w:hAnsi="宋体"/>
          <w:b/>
          <w:sz w:val="24"/>
          <w:highlight w:val="none"/>
        </w:rPr>
      </w:pPr>
      <w:r>
        <w:rPr>
          <w:rFonts w:hint="eastAsia" w:ascii="宋体" w:hAnsi="宋体"/>
          <w:b/>
          <w:sz w:val="24"/>
          <w:highlight w:val="none"/>
        </w:rPr>
        <w:t>4．招标代理费用</w:t>
      </w:r>
    </w:p>
    <w:bookmarkEnd w:id="29"/>
    <w:p w14:paraId="1DEA7B77">
      <w:pPr>
        <w:snapToGrid w:val="0"/>
        <w:spacing w:line="360" w:lineRule="auto"/>
        <w:ind w:firstLine="480" w:firstLineChars="200"/>
        <w:rPr>
          <w:rFonts w:ascii="宋体" w:hAnsi="宋体"/>
          <w:sz w:val="24"/>
          <w:highlight w:val="none"/>
        </w:rPr>
      </w:pPr>
      <w:bookmarkStart w:id="30" w:name="_Toc91899879"/>
      <w:r>
        <w:rPr>
          <w:rFonts w:hint="eastAsia" w:ascii="宋体" w:hAnsi="宋体"/>
          <w:sz w:val="24"/>
          <w:highlight w:val="none"/>
          <w:lang w:val="en-US" w:eastAsia="zh-CN"/>
        </w:rPr>
        <w:t>各</w:t>
      </w:r>
      <w:r>
        <w:rPr>
          <w:rFonts w:hint="eastAsia" w:ascii="宋体" w:hAnsi="宋体"/>
          <w:sz w:val="24"/>
          <w:highlight w:val="none"/>
        </w:rPr>
        <w:t>中标人需向</w:t>
      </w:r>
      <w:r>
        <w:rPr>
          <w:rFonts w:hint="eastAsia" w:ascii="宋体" w:hAnsi="宋体"/>
          <w:sz w:val="24"/>
          <w:highlight w:val="none"/>
          <w:lang w:eastAsia="zh-CN"/>
        </w:rPr>
        <w:t>浙江建安工程管理有限公司</w:t>
      </w:r>
      <w:r>
        <w:rPr>
          <w:rFonts w:hint="eastAsia" w:ascii="宋体" w:hAnsi="宋体"/>
          <w:sz w:val="24"/>
          <w:highlight w:val="none"/>
        </w:rPr>
        <w:t>支付招标代理服务费</w:t>
      </w:r>
      <w:r>
        <w:rPr>
          <w:rFonts w:hint="eastAsia" w:ascii="宋体" w:hAnsi="宋体"/>
          <w:sz w:val="24"/>
          <w:highlight w:val="none"/>
          <w:lang w:val="en-US" w:eastAsia="zh-CN"/>
        </w:rPr>
        <w:t>2000</w:t>
      </w:r>
      <w:r>
        <w:rPr>
          <w:rFonts w:hint="eastAsia" w:ascii="宋体" w:hAnsi="宋体"/>
          <w:sz w:val="24"/>
          <w:highlight w:val="none"/>
        </w:rPr>
        <w:t>元</w:t>
      </w:r>
      <w:r>
        <w:rPr>
          <w:rFonts w:hint="eastAsia" w:ascii="宋体" w:hAnsi="宋体"/>
          <w:spacing w:val="20"/>
          <w:kern w:val="0"/>
          <w:sz w:val="24"/>
          <w:highlight w:val="none"/>
        </w:rPr>
        <w:t>整，由中标银行支付</w:t>
      </w:r>
      <w:r>
        <w:rPr>
          <w:rFonts w:hint="eastAsia" w:ascii="宋体" w:hAnsi="宋体"/>
          <w:spacing w:val="20"/>
          <w:sz w:val="24"/>
          <w:highlight w:val="none"/>
        </w:rPr>
        <w:t>。</w:t>
      </w:r>
      <w:r>
        <w:rPr>
          <w:rFonts w:hint="eastAsia" w:ascii="宋体" w:hAnsi="宋体"/>
          <w:sz w:val="24"/>
          <w:highlight w:val="none"/>
        </w:rPr>
        <w:t>结算时间为领取中标通知书后七个工作日之内。</w:t>
      </w:r>
    </w:p>
    <w:p w14:paraId="778759F8">
      <w:pPr>
        <w:autoSpaceDE w:val="0"/>
        <w:autoSpaceDN w:val="0"/>
        <w:snapToGrid w:val="0"/>
        <w:spacing w:line="360" w:lineRule="auto"/>
        <w:ind w:firstLine="523" w:firstLineChars="218"/>
        <w:rPr>
          <w:rFonts w:ascii="宋体" w:hAnsi="宋体"/>
          <w:sz w:val="24"/>
          <w:highlight w:val="none"/>
        </w:rPr>
      </w:pPr>
    </w:p>
    <w:bookmarkEnd w:id="30"/>
    <w:p w14:paraId="62F54E51">
      <w:pPr>
        <w:pStyle w:val="5"/>
        <w:ind w:left="0" w:firstLine="0"/>
        <w:jc w:val="center"/>
        <w:rPr>
          <w:rFonts w:ascii="宋体" w:hAnsi="宋体" w:eastAsia="宋体"/>
          <w:sz w:val="30"/>
          <w:highlight w:val="none"/>
        </w:rPr>
      </w:pPr>
      <w:bookmarkStart w:id="31" w:name="_Toc497397642"/>
      <w:bookmarkEnd w:id="31"/>
      <w:r>
        <w:rPr>
          <w:rFonts w:hint="eastAsia" w:ascii="宋体" w:hAnsi="宋体" w:eastAsia="宋体"/>
          <w:sz w:val="30"/>
          <w:highlight w:val="none"/>
        </w:rPr>
        <w:t>二、招标文件</w:t>
      </w:r>
    </w:p>
    <w:p w14:paraId="47ED1FEA">
      <w:pPr>
        <w:pStyle w:val="24"/>
        <w:snapToGrid w:val="0"/>
        <w:spacing w:line="360" w:lineRule="auto"/>
        <w:rPr>
          <w:rFonts w:hAnsi="宋体"/>
          <w:b/>
          <w:sz w:val="24"/>
          <w:highlight w:val="none"/>
        </w:rPr>
      </w:pPr>
      <w:bookmarkStart w:id="32" w:name="_Toc91899880"/>
      <w:bookmarkEnd w:id="32"/>
      <w:bookmarkStart w:id="33" w:name="_Hlt74730307"/>
      <w:r>
        <w:rPr>
          <w:rFonts w:hint="eastAsia" w:hAnsi="宋体"/>
          <w:b/>
          <w:sz w:val="24"/>
          <w:highlight w:val="none"/>
        </w:rPr>
        <w:t>5．招标文件的构成</w:t>
      </w:r>
    </w:p>
    <w:bookmarkEnd w:id="33"/>
    <w:p w14:paraId="733DDCA9">
      <w:pPr>
        <w:pStyle w:val="24"/>
        <w:snapToGrid w:val="0"/>
        <w:spacing w:line="360" w:lineRule="auto"/>
        <w:ind w:firstLine="480" w:firstLineChars="200"/>
        <w:rPr>
          <w:rFonts w:hAnsi="宋体"/>
          <w:sz w:val="24"/>
          <w:highlight w:val="none"/>
        </w:rPr>
      </w:pPr>
      <w:r>
        <w:rPr>
          <w:rFonts w:hint="eastAsia" w:hAnsi="宋体"/>
          <w:sz w:val="24"/>
          <w:highlight w:val="none"/>
        </w:rPr>
        <w:t>5.1 招标文件包括下列文件及附件</w:t>
      </w:r>
    </w:p>
    <w:p w14:paraId="6AB5EEA5">
      <w:pPr>
        <w:pStyle w:val="24"/>
        <w:numPr>
          <w:ilvl w:val="0"/>
          <w:numId w:val="2"/>
        </w:numPr>
        <w:snapToGrid w:val="0"/>
        <w:spacing w:line="360" w:lineRule="auto"/>
        <w:ind w:left="839" w:firstLine="480" w:firstLineChars="200"/>
        <w:rPr>
          <w:rFonts w:hAnsi="宋体"/>
          <w:sz w:val="24"/>
          <w:highlight w:val="none"/>
        </w:rPr>
      </w:pPr>
      <w:r>
        <w:rPr>
          <w:rFonts w:hint="eastAsia" w:hAnsi="宋体"/>
          <w:sz w:val="24"/>
          <w:highlight w:val="none"/>
        </w:rPr>
        <w:t>第一部分 招标公告</w:t>
      </w:r>
    </w:p>
    <w:p w14:paraId="0EDA5FD8">
      <w:pPr>
        <w:pStyle w:val="24"/>
        <w:numPr>
          <w:ilvl w:val="0"/>
          <w:numId w:val="2"/>
        </w:numPr>
        <w:snapToGrid w:val="0"/>
        <w:spacing w:line="360" w:lineRule="auto"/>
        <w:ind w:left="839" w:firstLine="480" w:firstLineChars="200"/>
        <w:rPr>
          <w:rFonts w:hAnsi="宋体"/>
          <w:sz w:val="24"/>
          <w:highlight w:val="none"/>
        </w:rPr>
      </w:pPr>
      <w:r>
        <w:rPr>
          <w:rFonts w:hint="eastAsia" w:hAnsi="宋体"/>
          <w:sz w:val="24"/>
          <w:highlight w:val="none"/>
        </w:rPr>
        <w:t>第二部分 编制和提交投标文件须知</w:t>
      </w:r>
    </w:p>
    <w:p w14:paraId="1F200913">
      <w:pPr>
        <w:pStyle w:val="24"/>
        <w:numPr>
          <w:ilvl w:val="0"/>
          <w:numId w:val="2"/>
        </w:numPr>
        <w:snapToGrid w:val="0"/>
        <w:spacing w:line="360" w:lineRule="auto"/>
        <w:ind w:left="839" w:firstLine="480" w:firstLineChars="200"/>
        <w:rPr>
          <w:rFonts w:hAnsi="宋体"/>
          <w:sz w:val="24"/>
          <w:highlight w:val="none"/>
        </w:rPr>
      </w:pPr>
      <w:r>
        <w:rPr>
          <w:rFonts w:hint="eastAsia" w:hAnsi="宋体"/>
          <w:sz w:val="24"/>
          <w:highlight w:val="none"/>
        </w:rPr>
        <w:t>第三部分 项目技术规范和服务要求</w:t>
      </w:r>
    </w:p>
    <w:p w14:paraId="372CAE82">
      <w:pPr>
        <w:pStyle w:val="24"/>
        <w:numPr>
          <w:ilvl w:val="0"/>
          <w:numId w:val="2"/>
        </w:numPr>
        <w:snapToGrid w:val="0"/>
        <w:spacing w:line="360" w:lineRule="auto"/>
        <w:ind w:left="839" w:firstLine="480" w:firstLineChars="200"/>
        <w:rPr>
          <w:rFonts w:hAnsi="宋体"/>
          <w:sz w:val="24"/>
          <w:highlight w:val="none"/>
        </w:rPr>
      </w:pPr>
      <w:r>
        <w:rPr>
          <w:rFonts w:hint="eastAsia" w:hAnsi="宋体"/>
          <w:sz w:val="24"/>
          <w:highlight w:val="none"/>
        </w:rPr>
        <w:t>第四部分 中标协议条款</w:t>
      </w:r>
    </w:p>
    <w:p w14:paraId="164846EE">
      <w:pPr>
        <w:pStyle w:val="24"/>
        <w:numPr>
          <w:ilvl w:val="0"/>
          <w:numId w:val="2"/>
        </w:numPr>
        <w:snapToGrid w:val="0"/>
        <w:spacing w:line="360" w:lineRule="auto"/>
        <w:ind w:left="839" w:firstLine="480" w:firstLineChars="200"/>
        <w:rPr>
          <w:rFonts w:hAnsi="宋体"/>
          <w:sz w:val="24"/>
          <w:highlight w:val="none"/>
        </w:rPr>
      </w:pPr>
      <w:r>
        <w:rPr>
          <w:rFonts w:hint="eastAsia" w:hAnsi="宋体"/>
          <w:sz w:val="24"/>
          <w:highlight w:val="none"/>
        </w:rPr>
        <w:t>第五部分 应提交的有关格式范例</w:t>
      </w:r>
    </w:p>
    <w:p w14:paraId="7B399E25">
      <w:pPr>
        <w:pStyle w:val="24"/>
        <w:snapToGrid w:val="0"/>
        <w:spacing w:line="360" w:lineRule="auto"/>
        <w:ind w:firstLine="480" w:firstLineChars="200"/>
        <w:rPr>
          <w:rFonts w:hAnsi="宋体"/>
          <w:sz w:val="24"/>
          <w:highlight w:val="none"/>
        </w:rPr>
      </w:pPr>
      <w:r>
        <w:rPr>
          <w:rFonts w:hint="eastAsia" w:hAnsi="宋体"/>
          <w:sz w:val="24"/>
          <w:highlight w:val="none"/>
        </w:rPr>
        <w:t>5.2  投标人应认真审阅招标文件中所有的内容，包括编制和提交投标文件须知、项目技术规范和服务要求、合同主要条款、应提交的有关格式范例等。如果投标人编制的投标文件没有从实质上响应招标文件的要求，其投标文件将被拒绝。</w:t>
      </w:r>
    </w:p>
    <w:p w14:paraId="2B73C98E">
      <w:pPr>
        <w:pStyle w:val="24"/>
        <w:snapToGrid w:val="0"/>
        <w:spacing w:line="360" w:lineRule="auto"/>
        <w:rPr>
          <w:rFonts w:hAnsi="宋体"/>
          <w:b/>
          <w:sz w:val="24"/>
          <w:highlight w:val="none"/>
        </w:rPr>
      </w:pPr>
      <w:r>
        <w:rPr>
          <w:rFonts w:hint="eastAsia" w:hAnsi="宋体"/>
          <w:b/>
          <w:sz w:val="24"/>
          <w:highlight w:val="none"/>
        </w:rPr>
        <w:t>6. 招标文件的解释</w:t>
      </w:r>
    </w:p>
    <w:p w14:paraId="535BBA4E">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6.1投标人在收到招标文件后，若有问题需要澄清或认为有必要与招标人进行技术交流，应于前附表规定的时间前，将问题发电子邮件至</w:t>
      </w:r>
      <w:r>
        <w:rPr>
          <w:rFonts w:hint="eastAsia" w:ascii="宋体" w:hAnsi="宋体"/>
          <w:kern w:val="0"/>
          <w:sz w:val="24"/>
          <w:highlight w:val="none"/>
          <w:lang w:val="en-US" w:eastAsia="zh-CN"/>
        </w:rPr>
        <w:t>386429645@qq.com</w:t>
      </w:r>
      <w:r>
        <w:rPr>
          <w:rFonts w:hint="eastAsia" w:ascii="宋体" w:hAnsi="宋体"/>
          <w:kern w:val="0"/>
          <w:sz w:val="24"/>
          <w:highlight w:val="none"/>
        </w:rPr>
        <w:t>（电子邮件与书面文件有不一致的，以书面文件为准）。截止期后的疑问将不予受理、答复。</w:t>
      </w:r>
    </w:p>
    <w:p w14:paraId="1946C4E9">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6.2 投标人要求解释或澄清的问题应以书面形式送达，并加盖公章、写明日期。</w:t>
      </w:r>
    </w:p>
    <w:p w14:paraId="0A458256">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6.3 所有要求解释或澄清的问题都予以解答，答疑文件与补充文件一起以书面形式告知所有获取招标文件的投标人。</w:t>
      </w:r>
    </w:p>
    <w:p w14:paraId="06907240">
      <w:pPr>
        <w:pStyle w:val="24"/>
        <w:snapToGrid w:val="0"/>
        <w:spacing w:line="360" w:lineRule="auto"/>
        <w:rPr>
          <w:rFonts w:hAnsi="宋体"/>
          <w:b/>
          <w:sz w:val="24"/>
          <w:highlight w:val="none"/>
        </w:rPr>
      </w:pPr>
      <w:r>
        <w:rPr>
          <w:rFonts w:hint="eastAsia" w:hAnsi="宋体"/>
          <w:b/>
          <w:sz w:val="24"/>
          <w:highlight w:val="none"/>
        </w:rPr>
        <w:t>7. 招标文件的修改</w:t>
      </w:r>
    </w:p>
    <w:p w14:paraId="1644273B">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7.1 在投标截止期前，由于各种原因，不论是自己主动提出还是答复投标人的澄清要求，招标人可能会</w:t>
      </w:r>
      <w:r>
        <w:rPr>
          <w:rFonts w:hint="eastAsia" w:ascii="宋体" w:hAnsi="宋体"/>
          <w:bCs/>
          <w:sz w:val="24"/>
          <w:highlight w:val="none"/>
        </w:rPr>
        <w:t>对已发出的招标文件进行必要澄清或者修改的，应当在招标文件要求提交投标文件截止时间十五日前，在财政部门指定的信息发布媒体上发布更正公告，并以书面形式通知所有招标文件收受人。该澄清或者修改的内容为招标文件的组成部分。不足15日的，招标人将顺延提交投标文件的截止时间。</w:t>
      </w:r>
    </w:p>
    <w:p w14:paraId="708BFE47">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7.2 招标文件的修改将以书面形式，包括邮寄、传真和电传，通知所有获取招标文件的投标人，并对其具有约束力并同时在</w:t>
      </w:r>
      <w:r>
        <w:rPr>
          <w:rFonts w:hint="eastAsia" w:ascii="宋体" w:hAnsi="宋体"/>
          <w:bCs/>
          <w:sz w:val="24"/>
          <w:highlight w:val="none"/>
        </w:rPr>
        <w:t>财政部门指定的信息发布媒体上发布更正公告</w:t>
      </w:r>
      <w:r>
        <w:rPr>
          <w:rFonts w:hint="eastAsia" w:ascii="宋体" w:hAnsi="宋体"/>
          <w:kern w:val="0"/>
          <w:sz w:val="24"/>
          <w:highlight w:val="none"/>
        </w:rPr>
        <w:t>。</w:t>
      </w:r>
    </w:p>
    <w:p w14:paraId="3E457866">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7.3 招标代理机构</w:t>
      </w:r>
      <w:r>
        <w:rPr>
          <w:rFonts w:hint="eastAsia" w:ascii="宋体" w:hAnsi="宋体"/>
          <w:bCs/>
          <w:sz w:val="24"/>
          <w:highlight w:val="none"/>
        </w:rPr>
        <w:t>可以视招标具体情况，延长投标截止时间和开标时间，但应当在财政部门指定的信息发布媒体上发布变更公告。</w:t>
      </w:r>
    </w:p>
    <w:p w14:paraId="2FBC19AA">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7.4招标文件澄清、答复、修改、补充的内容为招标文件的组成部分。当招标文件与招标文件的答复、澄清、修改、补充通知就同一内容的表述不一致时，以最后发出的书面文件为准。</w:t>
      </w:r>
    </w:p>
    <w:p w14:paraId="2B5D1E77">
      <w:pPr>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7.5招标文件的澄清、答复、修改或补充都应该通过本代理机构以法定形式发布，除此以外的发布不属于招标文件的组成部分。</w:t>
      </w:r>
    </w:p>
    <w:p w14:paraId="6CA5E4ED">
      <w:pPr>
        <w:pStyle w:val="24"/>
        <w:snapToGrid w:val="0"/>
        <w:spacing w:line="360" w:lineRule="auto"/>
        <w:rPr>
          <w:rFonts w:hAnsi="宋体"/>
          <w:b/>
          <w:sz w:val="24"/>
          <w:highlight w:val="none"/>
        </w:rPr>
      </w:pPr>
      <w:r>
        <w:rPr>
          <w:rFonts w:hint="eastAsia" w:hAnsi="宋体"/>
          <w:b/>
          <w:sz w:val="24"/>
          <w:highlight w:val="none"/>
        </w:rPr>
        <w:t>8. 投标报价</w:t>
      </w:r>
    </w:p>
    <w:p w14:paraId="6D71BF81">
      <w:pPr>
        <w:pStyle w:val="72"/>
        <w:snapToGrid w:val="0"/>
        <w:spacing w:before="0"/>
        <w:ind w:firstLine="480"/>
        <w:rPr>
          <w:rFonts w:ascii="宋体" w:hAnsi="宋体"/>
          <w:highlight w:val="none"/>
        </w:rPr>
      </w:pPr>
      <w:r>
        <w:rPr>
          <w:rFonts w:hint="eastAsia" w:ascii="宋体" w:hAnsi="宋体"/>
          <w:highlight w:val="none"/>
        </w:rPr>
        <w:t>8.1  标的物</w:t>
      </w:r>
    </w:p>
    <w:p w14:paraId="4756D35B">
      <w:pPr>
        <w:pStyle w:val="72"/>
        <w:snapToGrid w:val="0"/>
        <w:spacing w:before="0"/>
        <w:ind w:firstLine="480"/>
        <w:rPr>
          <w:rFonts w:ascii="宋体" w:hAnsi="宋体"/>
          <w:highlight w:val="none"/>
        </w:rPr>
      </w:pPr>
      <w:r>
        <w:rPr>
          <w:rFonts w:hint="eastAsia" w:ascii="宋体" w:hAnsi="宋体"/>
          <w:highlight w:val="none"/>
        </w:rPr>
        <w:t xml:space="preserve">具体详见招标文件第三部分“项目技术规范和服务要求”。 </w:t>
      </w:r>
    </w:p>
    <w:p w14:paraId="1DD7E54E">
      <w:pPr>
        <w:pStyle w:val="72"/>
        <w:snapToGrid w:val="0"/>
        <w:spacing w:before="0"/>
        <w:ind w:firstLine="480"/>
        <w:rPr>
          <w:rFonts w:ascii="宋体" w:hAnsi="宋体"/>
          <w:highlight w:val="none"/>
        </w:rPr>
      </w:pPr>
      <w:r>
        <w:rPr>
          <w:rFonts w:hint="eastAsia" w:ascii="宋体" w:hAnsi="宋体"/>
          <w:highlight w:val="none"/>
        </w:rPr>
        <w:t>8.2  投标报价</w:t>
      </w:r>
    </w:p>
    <w:p w14:paraId="29AEEDCA">
      <w:pPr>
        <w:snapToGrid w:val="0"/>
        <w:spacing w:line="360" w:lineRule="auto"/>
        <w:ind w:firstLine="480" w:firstLineChars="200"/>
        <w:rPr>
          <w:rFonts w:ascii="宋体" w:hAnsi="宋体"/>
          <w:bCs/>
          <w:sz w:val="24"/>
          <w:szCs w:val="20"/>
          <w:highlight w:val="none"/>
        </w:rPr>
      </w:pPr>
      <w:r>
        <w:rPr>
          <w:rFonts w:hint="eastAsia" w:ascii="宋体" w:hAnsi="宋体"/>
          <w:bCs/>
          <w:sz w:val="24"/>
          <w:szCs w:val="20"/>
          <w:highlight w:val="none"/>
        </w:rPr>
        <w:t xml:space="preserve">  1.投标报价应按招标文件中相关附表格式填写。</w:t>
      </w:r>
    </w:p>
    <w:p w14:paraId="201487B2">
      <w:pPr>
        <w:widowControl/>
        <w:spacing w:line="360" w:lineRule="auto"/>
        <w:ind w:firstLine="480"/>
        <w:jc w:val="left"/>
        <w:rPr>
          <w:rFonts w:ascii="宋体" w:hAnsi="宋体"/>
          <w:bCs/>
          <w:sz w:val="24"/>
          <w:szCs w:val="20"/>
          <w:highlight w:val="none"/>
        </w:rPr>
      </w:pPr>
      <w:r>
        <w:rPr>
          <w:rFonts w:hint="eastAsia" w:ascii="宋体" w:hAnsi="宋体"/>
          <w:bCs/>
          <w:sz w:val="24"/>
          <w:szCs w:val="20"/>
          <w:highlight w:val="none"/>
        </w:rPr>
        <w:t>▲2.投标报价是履行合同的最终价格，应包括</w:t>
      </w:r>
      <w:r>
        <w:rPr>
          <w:rFonts w:hint="eastAsia" w:ascii="宋体" w:hAnsi="宋体"/>
          <w:bCs/>
          <w:sz w:val="24"/>
          <w:highlight w:val="none"/>
        </w:rPr>
        <w:t>中标收益率及相关的银行业务手续费</w:t>
      </w:r>
      <w:r>
        <w:rPr>
          <w:rFonts w:hint="eastAsia" w:ascii="宋体" w:hAnsi="宋体"/>
          <w:bCs/>
          <w:sz w:val="24"/>
          <w:szCs w:val="20"/>
          <w:highlight w:val="none"/>
        </w:rPr>
        <w:t>等一切税金和费用，存款利率报价应</w:t>
      </w:r>
      <w:r>
        <w:rPr>
          <w:rFonts w:hint="eastAsia" w:ascii="宋体" w:hAnsi="宋体"/>
          <w:sz w:val="24"/>
          <w:highlight w:val="none"/>
        </w:rPr>
        <w:t>按整存整取定期存款基准利率及所报上浮加基点实施，</w:t>
      </w:r>
      <w:r>
        <w:rPr>
          <w:rFonts w:hint="eastAsia" w:ascii="宋体" w:hAnsi="宋体"/>
          <w:bCs/>
          <w:sz w:val="24"/>
          <w:szCs w:val="20"/>
          <w:highlight w:val="none"/>
        </w:rPr>
        <w:t>否则将视为无效标。</w:t>
      </w:r>
    </w:p>
    <w:p w14:paraId="5D47D370">
      <w:pPr>
        <w:snapToGrid w:val="0"/>
        <w:spacing w:line="360" w:lineRule="auto"/>
        <w:ind w:firstLine="480" w:firstLineChars="200"/>
        <w:rPr>
          <w:rFonts w:ascii="宋体" w:hAnsi="宋体"/>
          <w:bCs/>
          <w:sz w:val="24"/>
          <w:szCs w:val="20"/>
          <w:highlight w:val="none"/>
        </w:rPr>
      </w:pPr>
      <w:r>
        <w:rPr>
          <w:rFonts w:hint="eastAsia" w:ascii="宋体" w:hAnsi="宋体"/>
          <w:bCs/>
          <w:sz w:val="24"/>
          <w:szCs w:val="20"/>
          <w:highlight w:val="none"/>
        </w:rPr>
        <w:t>▲3.投标文件只允许有一个报价，有选择的或有条件的报价将不予接受。</w:t>
      </w:r>
    </w:p>
    <w:p w14:paraId="0E98177C">
      <w:pPr>
        <w:snapToGrid w:val="0"/>
        <w:spacing w:line="360" w:lineRule="auto"/>
        <w:ind w:firstLine="480" w:firstLineChars="200"/>
        <w:rPr>
          <w:rFonts w:ascii="宋体" w:hAnsi="宋体"/>
          <w:sz w:val="24"/>
          <w:highlight w:val="none"/>
        </w:rPr>
      </w:pPr>
      <w:r>
        <w:rPr>
          <w:rFonts w:hint="eastAsia" w:ascii="宋体" w:hAnsi="宋体"/>
          <w:sz w:val="24"/>
          <w:highlight w:val="none"/>
        </w:rPr>
        <w:t>8.3  其它费用处理</w:t>
      </w:r>
    </w:p>
    <w:p w14:paraId="3660A39B">
      <w:pPr>
        <w:snapToGrid w:val="0"/>
        <w:spacing w:line="360" w:lineRule="auto"/>
        <w:ind w:firstLine="480" w:firstLineChars="200"/>
        <w:rPr>
          <w:rFonts w:ascii="宋体" w:hAnsi="宋体"/>
          <w:sz w:val="24"/>
          <w:highlight w:val="none"/>
        </w:rPr>
      </w:pPr>
      <w:r>
        <w:rPr>
          <w:rFonts w:hint="eastAsia" w:ascii="宋体" w:hAnsi="宋体"/>
          <w:sz w:val="24"/>
          <w:highlight w:val="none"/>
        </w:rPr>
        <w:t>招标文件未列明，而投标人认为必需的费用也需列入报价。</w:t>
      </w:r>
    </w:p>
    <w:p w14:paraId="6E97C882">
      <w:pPr>
        <w:snapToGrid w:val="0"/>
        <w:spacing w:line="360" w:lineRule="auto"/>
        <w:ind w:firstLine="480" w:firstLineChars="200"/>
        <w:rPr>
          <w:rFonts w:ascii="宋体" w:hAnsi="宋体"/>
          <w:sz w:val="24"/>
          <w:highlight w:val="none"/>
        </w:rPr>
      </w:pPr>
      <w:r>
        <w:rPr>
          <w:rFonts w:hint="eastAsia" w:ascii="宋体" w:hAnsi="宋体"/>
          <w:sz w:val="24"/>
          <w:highlight w:val="none"/>
        </w:rPr>
        <w:t>8.4  投标货币</w:t>
      </w:r>
    </w:p>
    <w:p w14:paraId="04BA0071">
      <w:pPr>
        <w:snapToGrid w:val="0"/>
        <w:spacing w:line="360" w:lineRule="auto"/>
        <w:ind w:firstLine="480" w:firstLineChars="200"/>
        <w:rPr>
          <w:rFonts w:ascii="宋体" w:hAnsi="宋体"/>
          <w:sz w:val="24"/>
          <w:highlight w:val="none"/>
        </w:rPr>
      </w:pPr>
      <w:r>
        <w:rPr>
          <w:rFonts w:hint="eastAsia" w:ascii="宋体" w:hAnsi="宋体"/>
          <w:sz w:val="24"/>
          <w:highlight w:val="none"/>
        </w:rPr>
        <w:t>投标文件中的价格全部采用人民币利率加基点数（BP）。</w:t>
      </w:r>
    </w:p>
    <w:p w14:paraId="1B2C8097">
      <w:pPr>
        <w:pStyle w:val="20"/>
        <w:snapToGrid w:val="0"/>
        <w:rPr>
          <w:rFonts w:hAnsi="宋体"/>
          <w:highlight w:val="none"/>
          <w:lang w:val="en-US"/>
        </w:rPr>
      </w:pPr>
    </w:p>
    <w:p w14:paraId="3FB82568">
      <w:pPr>
        <w:pStyle w:val="5"/>
        <w:ind w:left="0" w:firstLine="0"/>
        <w:jc w:val="center"/>
        <w:rPr>
          <w:rFonts w:ascii="宋体" w:hAnsi="宋体" w:eastAsia="宋体"/>
          <w:sz w:val="30"/>
          <w:highlight w:val="none"/>
        </w:rPr>
      </w:pPr>
      <w:bookmarkStart w:id="34" w:name="_Toc91899884"/>
      <w:bookmarkEnd w:id="34"/>
      <w:bookmarkStart w:id="35" w:name="_Toc497397643"/>
      <w:bookmarkEnd w:id="35"/>
      <w:bookmarkStart w:id="36" w:name="_Hlt75236011"/>
      <w:bookmarkEnd w:id="36"/>
      <w:r>
        <w:rPr>
          <w:rFonts w:hint="eastAsia" w:ascii="宋体" w:hAnsi="宋体" w:eastAsia="宋体"/>
          <w:sz w:val="30"/>
          <w:highlight w:val="none"/>
        </w:rPr>
        <w:t>三、投标文件的编制</w:t>
      </w:r>
    </w:p>
    <w:p w14:paraId="764EC485">
      <w:pPr>
        <w:pStyle w:val="24"/>
        <w:snapToGrid w:val="0"/>
        <w:spacing w:line="360" w:lineRule="auto"/>
        <w:rPr>
          <w:rFonts w:hAnsi="宋体"/>
          <w:b/>
          <w:sz w:val="24"/>
          <w:highlight w:val="none"/>
        </w:rPr>
      </w:pPr>
      <w:r>
        <w:rPr>
          <w:rFonts w:hint="eastAsia" w:hAnsi="宋体"/>
          <w:b/>
          <w:sz w:val="24"/>
          <w:highlight w:val="none"/>
        </w:rPr>
        <w:t>9. 投标文件的语言</w:t>
      </w:r>
    </w:p>
    <w:p w14:paraId="3855F53D">
      <w:pPr>
        <w:autoSpaceDE w:val="0"/>
        <w:autoSpaceDN w:val="0"/>
        <w:snapToGrid w:val="0"/>
        <w:spacing w:line="360" w:lineRule="auto"/>
        <w:ind w:firstLine="480" w:firstLineChars="200"/>
        <w:rPr>
          <w:rFonts w:ascii="宋体" w:hAnsi="宋体"/>
          <w:sz w:val="24"/>
          <w:highlight w:val="none"/>
        </w:rPr>
      </w:pPr>
      <w:r>
        <w:rPr>
          <w:rFonts w:hint="eastAsia" w:ascii="宋体" w:hAnsi="宋体"/>
          <w:sz w:val="24"/>
          <w:highlight w:val="none"/>
        </w:rPr>
        <w:t>投标文件及投标人与招标有关的来往通知、函件和文件均应使用中文。</w:t>
      </w:r>
    </w:p>
    <w:p w14:paraId="5F6FCBD9">
      <w:pPr>
        <w:pStyle w:val="24"/>
        <w:snapToGrid w:val="0"/>
        <w:spacing w:line="360" w:lineRule="auto"/>
        <w:rPr>
          <w:rFonts w:hAnsi="宋体"/>
          <w:b/>
          <w:sz w:val="24"/>
          <w:highlight w:val="none"/>
        </w:rPr>
      </w:pPr>
      <w:r>
        <w:rPr>
          <w:rFonts w:hint="eastAsia" w:hAnsi="宋体"/>
          <w:b/>
          <w:sz w:val="24"/>
          <w:highlight w:val="none"/>
        </w:rPr>
        <w:t>10. 投标文件的组成</w:t>
      </w:r>
    </w:p>
    <w:p w14:paraId="6A059550">
      <w:pPr>
        <w:snapToGrid w:val="0"/>
        <w:spacing w:line="360" w:lineRule="auto"/>
        <w:ind w:firstLine="480" w:firstLineChars="200"/>
        <w:rPr>
          <w:rFonts w:ascii="宋体" w:hAnsi="宋体"/>
          <w:kern w:val="0"/>
          <w:sz w:val="24"/>
          <w:highlight w:val="none"/>
        </w:rPr>
      </w:pPr>
      <w:bookmarkStart w:id="37" w:name="_Toc91899887"/>
      <w:r>
        <w:rPr>
          <w:rFonts w:hint="eastAsia" w:ascii="宋体" w:hAnsi="宋体"/>
          <w:kern w:val="0"/>
          <w:sz w:val="24"/>
          <w:highlight w:val="none"/>
        </w:rPr>
        <w:t>10.1投标人向招标人递交的投标文件包括但不限于以下内容：</w:t>
      </w:r>
    </w:p>
    <w:p w14:paraId="2123ED82">
      <w:pPr>
        <w:tabs>
          <w:tab w:val="left" w:pos="900"/>
          <w:tab w:val="left" w:pos="1080"/>
        </w:tabs>
        <w:snapToGrid w:val="0"/>
        <w:spacing w:line="360" w:lineRule="auto"/>
        <w:ind w:left="360"/>
        <w:jc w:val="left"/>
        <w:rPr>
          <w:rFonts w:ascii="宋体" w:hAnsi="宋体"/>
          <w:kern w:val="0"/>
          <w:sz w:val="24"/>
          <w:highlight w:val="none"/>
        </w:rPr>
      </w:pPr>
      <w:r>
        <w:rPr>
          <w:rFonts w:hint="eastAsia" w:ascii="宋体" w:hAnsi="宋体"/>
          <w:kern w:val="0"/>
          <w:sz w:val="24"/>
          <w:highlight w:val="none"/>
        </w:rPr>
        <w:t>（1）投标函；</w:t>
      </w:r>
    </w:p>
    <w:p w14:paraId="4C469858">
      <w:pPr>
        <w:tabs>
          <w:tab w:val="left" w:pos="900"/>
          <w:tab w:val="left" w:pos="1080"/>
        </w:tabs>
        <w:snapToGrid w:val="0"/>
        <w:spacing w:line="360" w:lineRule="auto"/>
        <w:ind w:left="360"/>
        <w:jc w:val="left"/>
        <w:rPr>
          <w:rFonts w:ascii="宋体" w:hAnsi="宋体"/>
          <w:kern w:val="0"/>
          <w:sz w:val="24"/>
          <w:highlight w:val="none"/>
        </w:rPr>
      </w:pPr>
      <w:r>
        <w:rPr>
          <w:rFonts w:hint="eastAsia" w:ascii="宋体" w:hAnsi="宋体"/>
          <w:kern w:val="0"/>
          <w:sz w:val="24"/>
          <w:highlight w:val="none"/>
        </w:rPr>
        <w:t>（2）投标利率一览表；</w:t>
      </w:r>
    </w:p>
    <w:p w14:paraId="0CA48F69">
      <w:pPr>
        <w:tabs>
          <w:tab w:val="left" w:pos="900"/>
          <w:tab w:val="left" w:pos="1080"/>
        </w:tabs>
        <w:snapToGrid w:val="0"/>
        <w:spacing w:line="360" w:lineRule="auto"/>
        <w:ind w:left="360"/>
        <w:jc w:val="left"/>
        <w:rPr>
          <w:rFonts w:ascii="宋体" w:hAnsi="宋体"/>
          <w:kern w:val="0"/>
          <w:sz w:val="24"/>
          <w:highlight w:val="none"/>
        </w:rPr>
      </w:pPr>
      <w:r>
        <w:rPr>
          <w:rFonts w:hint="eastAsia" w:ascii="宋体" w:hAnsi="宋体"/>
          <w:kern w:val="0"/>
          <w:sz w:val="24"/>
          <w:highlight w:val="none"/>
        </w:rPr>
        <w:t>（3）廉政承诺书；</w:t>
      </w:r>
    </w:p>
    <w:p w14:paraId="000E0B54">
      <w:pPr>
        <w:tabs>
          <w:tab w:val="left" w:pos="900"/>
          <w:tab w:val="left" w:pos="1080"/>
        </w:tabs>
        <w:snapToGrid w:val="0"/>
        <w:spacing w:line="360" w:lineRule="auto"/>
        <w:ind w:left="360"/>
        <w:jc w:val="left"/>
        <w:rPr>
          <w:rFonts w:ascii="宋体" w:hAnsi="宋体"/>
          <w:kern w:val="0"/>
          <w:sz w:val="24"/>
          <w:highlight w:val="none"/>
        </w:rPr>
      </w:pPr>
      <w:r>
        <w:rPr>
          <w:rFonts w:hint="eastAsia" w:ascii="宋体" w:hAnsi="宋体"/>
          <w:kern w:val="0"/>
          <w:sz w:val="24"/>
          <w:highlight w:val="none"/>
        </w:rPr>
        <w:t>（4）投标人代表授权书，同时须附法定代表人（或单位负责人）和授权委托代表的有效身份证复印件；</w:t>
      </w:r>
    </w:p>
    <w:p w14:paraId="5CC48A7B">
      <w:pPr>
        <w:tabs>
          <w:tab w:val="left" w:pos="900"/>
          <w:tab w:val="left" w:pos="1080"/>
        </w:tabs>
        <w:snapToGrid w:val="0"/>
        <w:spacing w:line="360" w:lineRule="auto"/>
        <w:ind w:left="360"/>
        <w:jc w:val="left"/>
        <w:rPr>
          <w:rFonts w:hint="eastAsia" w:ascii="宋体" w:hAnsi="宋体" w:eastAsia="宋体"/>
          <w:kern w:val="0"/>
          <w:sz w:val="24"/>
          <w:highlight w:val="none"/>
          <w:lang w:eastAsia="zh-CN"/>
        </w:rPr>
      </w:pPr>
      <w:r>
        <w:rPr>
          <w:rFonts w:hint="eastAsia" w:ascii="宋体" w:hAnsi="宋体"/>
          <w:kern w:val="0"/>
          <w:sz w:val="24"/>
          <w:highlight w:val="none"/>
        </w:rPr>
        <w:t>（5）总行或分行对投标人的授权书（格式自拟）</w:t>
      </w:r>
      <w:r>
        <w:rPr>
          <w:rFonts w:hint="eastAsia" w:ascii="宋体" w:hAnsi="宋体"/>
          <w:kern w:val="0"/>
          <w:sz w:val="24"/>
          <w:highlight w:val="none"/>
          <w:lang w:eastAsia="zh-CN"/>
        </w:rPr>
        <w:t>；</w:t>
      </w:r>
    </w:p>
    <w:p w14:paraId="75872299">
      <w:pPr>
        <w:tabs>
          <w:tab w:val="left" w:pos="900"/>
          <w:tab w:val="left" w:pos="1080"/>
        </w:tabs>
        <w:snapToGrid w:val="0"/>
        <w:spacing w:line="360" w:lineRule="auto"/>
        <w:ind w:left="360"/>
        <w:jc w:val="left"/>
        <w:rPr>
          <w:rFonts w:ascii="宋体" w:hAnsi="宋体"/>
          <w:kern w:val="0"/>
          <w:sz w:val="24"/>
          <w:highlight w:val="none"/>
        </w:rPr>
      </w:pPr>
      <w:r>
        <w:rPr>
          <w:rFonts w:hint="eastAsia" w:ascii="宋体" w:hAnsi="宋体"/>
          <w:kern w:val="0"/>
          <w:sz w:val="24"/>
          <w:highlight w:val="none"/>
        </w:rPr>
        <w:t>（6）其他指标响应内容（根据评标细则内容自行编制）；</w:t>
      </w:r>
    </w:p>
    <w:p w14:paraId="54DDAAFF">
      <w:pPr>
        <w:tabs>
          <w:tab w:val="left" w:pos="900"/>
          <w:tab w:val="left" w:pos="1080"/>
        </w:tabs>
        <w:snapToGrid w:val="0"/>
        <w:spacing w:line="360" w:lineRule="auto"/>
        <w:ind w:left="360"/>
        <w:jc w:val="left"/>
        <w:rPr>
          <w:rFonts w:ascii="宋体" w:hAnsi="宋体"/>
          <w:kern w:val="0"/>
          <w:sz w:val="24"/>
          <w:highlight w:val="none"/>
        </w:rPr>
      </w:pPr>
      <w:r>
        <w:rPr>
          <w:rFonts w:hint="eastAsia" w:ascii="宋体" w:hAnsi="宋体"/>
          <w:kern w:val="0"/>
          <w:sz w:val="24"/>
          <w:highlight w:val="none"/>
        </w:rPr>
        <w:t>（7）有效的营业执照复印件；</w:t>
      </w:r>
    </w:p>
    <w:p w14:paraId="2CF298BF">
      <w:pPr>
        <w:tabs>
          <w:tab w:val="left" w:pos="900"/>
          <w:tab w:val="left" w:pos="1080"/>
        </w:tabs>
        <w:snapToGrid w:val="0"/>
        <w:spacing w:line="360" w:lineRule="auto"/>
        <w:ind w:left="360"/>
        <w:jc w:val="left"/>
        <w:rPr>
          <w:rFonts w:ascii="宋体" w:hAnsi="宋体"/>
          <w:kern w:val="0"/>
          <w:sz w:val="24"/>
          <w:highlight w:val="none"/>
        </w:rPr>
      </w:pPr>
      <w:r>
        <w:rPr>
          <w:rFonts w:hint="eastAsia" w:ascii="宋体" w:hAnsi="宋体"/>
          <w:kern w:val="0"/>
          <w:sz w:val="24"/>
          <w:highlight w:val="none"/>
        </w:rPr>
        <w:t>（8）投标人认为其他必要的资料（格式自拟）。</w:t>
      </w:r>
    </w:p>
    <w:p w14:paraId="484AF2E3">
      <w:pPr>
        <w:tabs>
          <w:tab w:val="left" w:pos="900"/>
          <w:tab w:val="left" w:pos="1080"/>
        </w:tabs>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10.2以上内容参照招标文件第五部分附件所附格式填写。没有提供格式的，投标人根据实际情况自行设计并编制。</w:t>
      </w:r>
    </w:p>
    <w:p w14:paraId="319C4A86">
      <w:pPr>
        <w:pStyle w:val="24"/>
        <w:snapToGrid w:val="0"/>
        <w:spacing w:line="360" w:lineRule="auto"/>
        <w:rPr>
          <w:rFonts w:hAnsi="宋体"/>
          <w:b/>
          <w:sz w:val="24"/>
          <w:highlight w:val="none"/>
        </w:rPr>
      </w:pPr>
      <w:r>
        <w:rPr>
          <w:rFonts w:hint="eastAsia" w:hAnsi="宋体"/>
          <w:b/>
          <w:sz w:val="24"/>
          <w:highlight w:val="none"/>
        </w:rPr>
        <w:t>11. 投标有效期</w:t>
      </w:r>
    </w:p>
    <w:p w14:paraId="21AE0F99">
      <w:pPr>
        <w:pStyle w:val="72"/>
        <w:snapToGrid w:val="0"/>
        <w:spacing w:before="0"/>
        <w:ind w:firstLine="480"/>
        <w:rPr>
          <w:rFonts w:ascii="宋体" w:hAnsi="宋体"/>
          <w:highlight w:val="none"/>
        </w:rPr>
      </w:pPr>
      <w:r>
        <w:rPr>
          <w:rFonts w:hint="eastAsia" w:ascii="宋体" w:hAnsi="宋体"/>
          <w:highlight w:val="none"/>
        </w:rPr>
        <w:t>11.1投标文件合格投递后，自投标截止日期起，至前附表第3项所列的日期内有效。</w:t>
      </w:r>
    </w:p>
    <w:p w14:paraId="4660FF36">
      <w:pPr>
        <w:pStyle w:val="72"/>
        <w:snapToGrid w:val="0"/>
        <w:spacing w:before="0"/>
        <w:ind w:firstLine="480"/>
        <w:rPr>
          <w:rFonts w:ascii="宋体" w:hAnsi="宋体"/>
          <w:highlight w:val="none"/>
        </w:rPr>
      </w:pPr>
      <w:r>
        <w:rPr>
          <w:rFonts w:hint="eastAsia" w:ascii="宋体" w:hAnsi="宋体"/>
          <w:highlight w:val="none"/>
        </w:rPr>
        <w:t>11.2在原定投标有效期之前，如果出现特殊情况，招标代理机构可以以书面形式通知投标人延长投标有效期。</w:t>
      </w:r>
    </w:p>
    <w:p w14:paraId="417C5D94">
      <w:pPr>
        <w:pStyle w:val="24"/>
        <w:snapToGrid w:val="0"/>
        <w:spacing w:line="360" w:lineRule="auto"/>
        <w:rPr>
          <w:rFonts w:hAnsi="宋体"/>
          <w:b/>
          <w:sz w:val="24"/>
          <w:highlight w:val="none"/>
        </w:rPr>
      </w:pPr>
      <w:r>
        <w:rPr>
          <w:rFonts w:hint="eastAsia" w:hAnsi="宋体"/>
          <w:b/>
          <w:sz w:val="24"/>
          <w:highlight w:val="none"/>
        </w:rPr>
        <w:t>12. 投标保证金</w:t>
      </w:r>
    </w:p>
    <w:p w14:paraId="1CE2ABF5">
      <w:pPr>
        <w:pStyle w:val="72"/>
        <w:snapToGrid w:val="0"/>
        <w:spacing w:before="0"/>
        <w:ind w:firstLineChars="0"/>
        <w:rPr>
          <w:rFonts w:ascii="宋体" w:hAnsi="宋体"/>
          <w:highlight w:val="none"/>
        </w:rPr>
      </w:pPr>
      <w:r>
        <w:rPr>
          <w:rFonts w:hint="eastAsia" w:ascii="宋体" w:hAnsi="宋体"/>
          <w:highlight w:val="none"/>
        </w:rPr>
        <w:t>无</w:t>
      </w:r>
    </w:p>
    <w:p w14:paraId="448FC3F5">
      <w:pPr>
        <w:pStyle w:val="24"/>
        <w:snapToGrid w:val="0"/>
        <w:spacing w:line="360" w:lineRule="auto"/>
        <w:rPr>
          <w:rFonts w:hAnsi="宋体"/>
          <w:b/>
          <w:sz w:val="24"/>
          <w:highlight w:val="none"/>
        </w:rPr>
      </w:pPr>
      <w:r>
        <w:rPr>
          <w:rFonts w:hint="eastAsia" w:hAnsi="宋体"/>
          <w:b/>
          <w:sz w:val="24"/>
          <w:highlight w:val="none"/>
        </w:rPr>
        <w:t>13. 投标文件的编制和签署</w:t>
      </w:r>
    </w:p>
    <w:bookmarkEnd w:id="37"/>
    <w:p w14:paraId="7BEC41BB">
      <w:pPr>
        <w:pStyle w:val="2"/>
        <w:snapToGrid w:val="0"/>
        <w:spacing w:line="360" w:lineRule="auto"/>
        <w:rPr>
          <w:kern w:val="0"/>
          <w:highlight w:val="none"/>
        </w:rPr>
      </w:pPr>
      <w:r>
        <w:rPr>
          <w:rFonts w:hint="eastAsia"/>
          <w:kern w:val="0"/>
          <w:highlight w:val="none"/>
        </w:rPr>
        <w:t>13.1内容编制</w:t>
      </w:r>
    </w:p>
    <w:p w14:paraId="4A61CC5D">
      <w:pPr>
        <w:pStyle w:val="2"/>
        <w:snapToGrid w:val="0"/>
        <w:spacing w:line="360" w:lineRule="auto"/>
        <w:rPr>
          <w:kern w:val="0"/>
          <w:highlight w:val="none"/>
        </w:rPr>
      </w:pPr>
      <w:r>
        <w:rPr>
          <w:rFonts w:hint="eastAsia"/>
          <w:kern w:val="0"/>
          <w:highlight w:val="none"/>
        </w:rPr>
        <w:t>（1）投标文件应按照上述规定的顺序及采用“投标文件格式”中提供的格式进行编制，并通过政采云平台进行投标。</w:t>
      </w:r>
    </w:p>
    <w:p w14:paraId="04DD34C9">
      <w:pPr>
        <w:pStyle w:val="2"/>
        <w:snapToGrid w:val="0"/>
        <w:spacing w:line="360" w:lineRule="auto"/>
        <w:rPr>
          <w:kern w:val="0"/>
          <w:highlight w:val="none"/>
        </w:rPr>
      </w:pPr>
      <w:r>
        <w:rPr>
          <w:rFonts w:hint="eastAsia"/>
          <w:kern w:val="0"/>
          <w:highlight w:val="none"/>
        </w:rPr>
        <w:t>（2）投标文件应当对招标文件规定的内容进行对应明确说明，对招标文件规定的实质性内容应当作出响应。</w:t>
      </w:r>
    </w:p>
    <w:p w14:paraId="4D92FDE1">
      <w:pPr>
        <w:pStyle w:val="2"/>
        <w:snapToGrid w:val="0"/>
        <w:spacing w:line="360" w:lineRule="auto"/>
        <w:rPr>
          <w:kern w:val="0"/>
          <w:highlight w:val="none"/>
        </w:rPr>
      </w:pPr>
      <w:r>
        <w:rPr>
          <w:rFonts w:hint="eastAsia"/>
          <w:kern w:val="0"/>
          <w:highlight w:val="none"/>
        </w:rPr>
        <w:t>（3）招标人如对招标文件有澄清或修改，投标人应按澄清或修改内容对投标信息进行补充或者修改，补充和修改时如投标成功的，应当先行撤回原文件，补充、修改后重新上传并对投标信息进行确认。</w:t>
      </w:r>
    </w:p>
    <w:p w14:paraId="4DB49D46">
      <w:pPr>
        <w:pStyle w:val="2"/>
        <w:snapToGrid w:val="0"/>
        <w:spacing w:line="360" w:lineRule="auto"/>
        <w:rPr>
          <w:kern w:val="0"/>
          <w:highlight w:val="none"/>
        </w:rPr>
      </w:pPr>
      <w:r>
        <w:rPr>
          <w:rFonts w:hint="eastAsia"/>
          <w:kern w:val="0"/>
          <w:highlight w:val="none"/>
        </w:rPr>
        <w:t>（4）由于字迹模糊或表达不清引起的后果由投标人负责。</w:t>
      </w:r>
    </w:p>
    <w:p w14:paraId="7B46D2ED">
      <w:pPr>
        <w:pStyle w:val="2"/>
        <w:snapToGrid w:val="0"/>
        <w:spacing w:line="360" w:lineRule="auto"/>
        <w:rPr>
          <w:kern w:val="0"/>
          <w:highlight w:val="none"/>
        </w:rPr>
      </w:pPr>
      <w:r>
        <w:rPr>
          <w:rFonts w:hint="eastAsia"/>
          <w:kern w:val="0"/>
          <w:highlight w:val="none"/>
        </w:rPr>
        <w:t>（5）为了避免页面存在兼容性问题，建议使用谷歌Chrome或360浏览器操作。</w:t>
      </w:r>
    </w:p>
    <w:p w14:paraId="747DBEDA">
      <w:pPr>
        <w:pStyle w:val="2"/>
        <w:snapToGrid w:val="0"/>
        <w:spacing w:line="360" w:lineRule="auto"/>
        <w:rPr>
          <w:kern w:val="0"/>
          <w:highlight w:val="none"/>
        </w:rPr>
      </w:pPr>
      <w:r>
        <w:rPr>
          <w:rFonts w:hint="eastAsia"/>
          <w:kern w:val="0"/>
          <w:highlight w:val="none"/>
        </w:rPr>
        <w:t>（6）投标文件可以线下完成盖章后上传政府采购云平台。</w:t>
      </w:r>
    </w:p>
    <w:p w14:paraId="1ED529DC">
      <w:pPr>
        <w:pStyle w:val="2"/>
        <w:snapToGrid w:val="0"/>
        <w:spacing w:line="360" w:lineRule="auto"/>
        <w:rPr>
          <w:kern w:val="0"/>
          <w:highlight w:val="none"/>
        </w:rPr>
      </w:pPr>
      <w:r>
        <w:rPr>
          <w:rFonts w:hint="eastAsia"/>
          <w:kern w:val="0"/>
          <w:highlight w:val="none"/>
        </w:rPr>
        <w:t>13.2格式要求</w:t>
      </w:r>
    </w:p>
    <w:p w14:paraId="56E6B5C4">
      <w:pPr>
        <w:pStyle w:val="2"/>
        <w:snapToGrid w:val="0"/>
        <w:spacing w:line="360" w:lineRule="auto"/>
        <w:rPr>
          <w:kern w:val="0"/>
          <w:highlight w:val="none"/>
        </w:rPr>
      </w:pPr>
      <w:r>
        <w:rPr>
          <w:rFonts w:hint="eastAsia"/>
          <w:kern w:val="0"/>
          <w:highlight w:val="none"/>
        </w:rPr>
        <w:t>（1）投标文件应编制目录。</w:t>
      </w:r>
    </w:p>
    <w:p w14:paraId="2D936C02">
      <w:pPr>
        <w:pStyle w:val="2"/>
        <w:snapToGrid w:val="0"/>
        <w:spacing w:line="360" w:lineRule="auto"/>
        <w:rPr>
          <w:kern w:val="0"/>
          <w:highlight w:val="none"/>
        </w:rPr>
      </w:pPr>
      <w:r>
        <w:rPr>
          <w:rFonts w:hint="eastAsia"/>
          <w:kern w:val="0"/>
          <w:highlight w:val="none"/>
        </w:rPr>
        <w:t>（2）投标文件应按“投标人须知前附表”要求盖章。</w:t>
      </w:r>
    </w:p>
    <w:p w14:paraId="19805702">
      <w:pPr>
        <w:pStyle w:val="2"/>
        <w:snapToGrid w:val="0"/>
        <w:spacing w:line="360" w:lineRule="auto"/>
        <w:rPr>
          <w:kern w:val="0"/>
          <w:highlight w:val="none"/>
        </w:rPr>
      </w:pPr>
      <w:r>
        <w:rPr>
          <w:rFonts w:hint="eastAsia"/>
          <w:kern w:val="0"/>
          <w:highlight w:val="none"/>
        </w:rPr>
        <w:t>（3）投标文件制作要求详见“投标人须知前附表”。</w:t>
      </w:r>
    </w:p>
    <w:p w14:paraId="06387535">
      <w:pPr>
        <w:pStyle w:val="2"/>
        <w:snapToGrid w:val="0"/>
        <w:spacing w:line="360" w:lineRule="auto"/>
        <w:rPr>
          <w:kern w:val="0"/>
          <w:highlight w:val="none"/>
        </w:rPr>
      </w:pPr>
      <w:r>
        <w:rPr>
          <w:rFonts w:hint="eastAsia"/>
          <w:kern w:val="0"/>
          <w:highlight w:val="none"/>
        </w:rPr>
        <w:t>（4）投标文件格式为PDF。</w:t>
      </w:r>
    </w:p>
    <w:p w14:paraId="7E39FA1E">
      <w:pPr>
        <w:pStyle w:val="2"/>
        <w:snapToGrid w:val="0"/>
        <w:spacing w:line="360" w:lineRule="auto"/>
        <w:rPr>
          <w:kern w:val="0"/>
          <w:highlight w:val="none"/>
        </w:rPr>
      </w:pPr>
      <w:r>
        <w:rPr>
          <w:rFonts w:hint="eastAsia"/>
          <w:kern w:val="0"/>
          <w:highlight w:val="none"/>
        </w:rPr>
        <w:t>（5）单个文件上传大小上限为300M。</w:t>
      </w:r>
    </w:p>
    <w:p w14:paraId="6D897D12">
      <w:pPr>
        <w:snapToGrid w:val="0"/>
        <w:spacing w:line="360" w:lineRule="auto"/>
        <w:ind w:firstLine="480" w:firstLineChars="200"/>
        <w:rPr>
          <w:rFonts w:ascii="宋体" w:hAnsi="宋体"/>
          <w:sz w:val="24"/>
          <w:highlight w:val="none"/>
        </w:rPr>
      </w:pPr>
    </w:p>
    <w:p w14:paraId="0E1F227D">
      <w:pPr>
        <w:snapToGrid w:val="0"/>
        <w:spacing w:line="360" w:lineRule="auto"/>
        <w:ind w:firstLine="480" w:firstLineChars="200"/>
        <w:rPr>
          <w:rFonts w:ascii="宋体" w:hAnsi="宋体"/>
          <w:sz w:val="24"/>
          <w:highlight w:val="none"/>
        </w:rPr>
      </w:pPr>
    </w:p>
    <w:p w14:paraId="7F0D5952">
      <w:pPr>
        <w:pStyle w:val="5"/>
        <w:ind w:left="0" w:firstLine="0"/>
        <w:jc w:val="center"/>
        <w:rPr>
          <w:rFonts w:ascii="宋体" w:hAnsi="宋体" w:eastAsia="宋体"/>
          <w:sz w:val="30"/>
          <w:highlight w:val="none"/>
        </w:rPr>
      </w:pPr>
      <w:bookmarkStart w:id="38" w:name="_Hlt68073093"/>
      <w:bookmarkEnd w:id="38"/>
      <w:bookmarkStart w:id="39" w:name="_Hlt68072998"/>
      <w:bookmarkEnd w:id="39"/>
      <w:bookmarkStart w:id="40" w:name="_Toc497397644"/>
      <w:bookmarkEnd w:id="40"/>
      <w:bookmarkStart w:id="41" w:name="_Hlt68403820"/>
      <w:bookmarkEnd w:id="41"/>
      <w:bookmarkStart w:id="42" w:name="_Toc86216991"/>
      <w:bookmarkEnd w:id="42"/>
      <w:bookmarkStart w:id="43" w:name="_Toc91899892"/>
      <w:r>
        <w:rPr>
          <w:rFonts w:hint="eastAsia" w:ascii="宋体" w:hAnsi="宋体" w:eastAsia="宋体"/>
          <w:sz w:val="30"/>
          <w:highlight w:val="none"/>
        </w:rPr>
        <w:t>四、投标文件的递交</w:t>
      </w:r>
    </w:p>
    <w:p w14:paraId="0C3619B2">
      <w:pPr>
        <w:pStyle w:val="24"/>
        <w:snapToGrid w:val="0"/>
        <w:spacing w:line="360" w:lineRule="auto"/>
        <w:rPr>
          <w:rFonts w:hAnsi="宋体"/>
          <w:b/>
          <w:sz w:val="24"/>
          <w:szCs w:val="24"/>
          <w:highlight w:val="none"/>
        </w:rPr>
      </w:pPr>
      <w:r>
        <w:rPr>
          <w:rFonts w:hint="eastAsia" w:hAnsi="宋体"/>
          <w:b/>
          <w:sz w:val="24"/>
          <w:szCs w:val="24"/>
          <w:highlight w:val="none"/>
        </w:rPr>
        <w:t>14. 投标文件的递交</w:t>
      </w:r>
    </w:p>
    <w:p w14:paraId="234445AB">
      <w:pPr>
        <w:pStyle w:val="72"/>
        <w:snapToGrid w:val="0"/>
        <w:spacing w:before="0"/>
        <w:ind w:firstLine="480"/>
        <w:rPr>
          <w:rFonts w:ascii="宋体" w:hAnsi="宋体"/>
          <w:highlight w:val="none"/>
        </w:rPr>
      </w:pPr>
      <w:r>
        <w:rPr>
          <w:rFonts w:hint="eastAsia" w:ascii="宋体" w:hAnsi="宋体"/>
          <w:highlight w:val="none"/>
        </w:rPr>
        <w:t>详见</w:t>
      </w:r>
      <w:r>
        <w:rPr>
          <w:rFonts w:hint="eastAsia" w:ascii="宋体" w:hAnsi="宋体"/>
          <w:kern w:val="0"/>
          <w:szCs w:val="24"/>
          <w:highlight w:val="none"/>
        </w:rPr>
        <w:t>“投标人须知前附表”</w:t>
      </w:r>
    </w:p>
    <w:p w14:paraId="1B1EEC15">
      <w:pPr>
        <w:pStyle w:val="24"/>
        <w:snapToGrid w:val="0"/>
        <w:spacing w:line="360" w:lineRule="auto"/>
        <w:rPr>
          <w:rFonts w:hAnsi="宋体"/>
          <w:b/>
          <w:sz w:val="24"/>
          <w:szCs w:val="24"/>
          <w:highlight w:val="none"/>
        </w:rPr>
      </w:pPr>
      <w:r>
        <w:rPr>
          <w:rFonts w:hint="eastAsia" w:hAnsi="宋体"/>
          <w:b/>
          <w:sz w:val="24"/>
          <w:szCs w:val="24"/>
          <w:highlight w:val="none"/>
        </w:rPr>
        <w:t>15. 投标截止期</w:t>
      </w:r>
    </w:p>
    <w:p w14:paraId="31E203DF">
      <w:pPr>
        <w:pStyle w:val="72"/>
        <w:snapToGrid w:val="0"/>
        <w:spacing w:before="0"/>
        <w:ind w:firstLine="480"/>
        <w:rPr>
          <w:rFonts w:ascii="宋体" w:hAnsi="宋体"/>
          <w:highlight w:val="none"/>
        </w:rPr>
      </w:pPr>
      <w:r>
        <w:rPr>
          <w:rFonts w:hint="eastAsia" w:ascii="宋体" w:hAnsi="宋体"/>
          <w:highlight w:val="none"/>
        </w:rPr>
        <w:t>15.1投标人应按前附表第6、7两项规定的时间、地点将投标文件递交给招标代理机构，招标代理机构将拒绝接受逾期送达的投标文件。</w:t>
      </w:r>
    </w:p>
    <w:p w14:paraId="01FDFB40">
      <w:pPr>
        <w:pStyle w:val="72"/>
        <w:snapToGrid w:val="0"/>
        <w:spacing w:before="0"/>
        <w:ind w:firstLine="480"/>
        <w:rPr>
          <w:rFonts w:ascii="宋体" w:hAnsi="宋体"/>
          <w:highlight w:val="none"/>
        </w:rPr>
      </w:pPr>
      <w:r>
        <w:rPr>
          <w:rFonts w:hint="eastAsia" w:ascii="宋体" w:hAnsi="宋体"/>
          <w:highlight w:val="none"/>
        </w:rPr>
        <w:t>15.2招标代理机构可以按本须知第7条规定以补充通知的方式，酌情延长递交投标文件的截止日期。在上述情况下，招标代理机构与投标人以前在投标截止期方面的全部权利、责任和义务，将适用于延长至新的投标截止期。</w:t>
      </w:r>
    </w:p>
    <w:p w14:paraId="536FA00D">
      <w:pPr>
        <w:pStyle w:val="24"/>
        <w:snapToGrid w:val="0"/>
        <w:spacing w:line="360" w:lineRule="auto"/>
        <w:rPr>
          <w:rFonts w:hAnsi="宋体"/>
          <w:b/>
          <w:sz w:val="24"/>
          <w:szCs w:val="24"/>
          <w:highlight w:val="none"/>
        </w:rPr>
      </w:pPr>
      <w:r>
        <w:rPr>
          <w:rFonts w:hint="eastAsia" w:hAnsi="宋体"/>
          <w:b/>
          <w:sz w:val="24"/>
          <w:szCs w:val="24"/>
          <w:highlight w:val="none"/>
        </w:rPr>
        <w:t>16. 投标文件的修改</w:t>
      </w:r>
    </w:p>
    <w:bookmarkEnd w:id="43"/>
    <w:p w14:paraId="06AC0C03">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16.1 投标人在递交投标文件后，在规定的投标截止时间前，可以补充、修改或者撤回电子交易文件。补充或者修改电子交易文件的，应当先行撤回原文件，补充、修改后重新传输递交。投标截止时间前未完成传输的，视为投标文件撤回，投标无效。</w:t>
      </w:r>
    </w:p>
    <w:p w14:paraId="4E21BA6D">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16.2 在投标截止期之后，投标人不得对其投标作任何修改。</w:t>
      </w:r>
    </w:p>
    <w:p w14:paraId="6EA2ECA3">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16.3 从投标截止期至投标人在投标函格式中确定的投标有效期期满这段时间内，投标人不得撤回其投标。</w:t>
      </w:r>
    </w:p>
    <w:p w14:paraId="66BAEE66">
      <w:pPr>
        <w:pStyle w:val="72"/>
        <w:snapToGrid w:val="0"/>
        <w:spacing w:before="0"/>
        <w:ind w:firstLine="480"/>
        <w:rPr>
          <w:rFonts w:ascii="宋体" w:hAnsi="宋体"/>
          <w:highlight w:val="none"/>
        </w:rPr>
      </w:pPr>
    </w:p>
    <w:p w14:paraId="4D1BD141">
      <w:pPr>
        <w:pStyle w:val="72"/>
        <w:snapToGrid w:val="0"/>
        <w:spacing w:before="0"/>
        <w:ind w:firstLine="480"/>
        <w:rPr>
          <w:rFonts w:ascii="宋体" w:hAnsi="宋体"/>
          <w:highlight w:val="none"/>
        </w:rPr>
      </w:pPr>
    </w:p>
    <w:p w14:paraId="7956A106">
      <w:pPr>
        <w:pStyle w:val="5"/>
        <w:ind w:left="0" w:firstLine="0"/>
        <w:jc w:val="center"/>
        <w:rPr>
          <w:rFonts w:ascii="宋体" w:hAnsi="宋体" w:eastAsia="宋体"/>
          <w:sz w:val="30"/>
          <w:highlight w:val="none"/>
        </w:rPr>
      </w:pPr>
      <w:bookmarkStart w:id="44" w:name="_Toc497397645"/>
      <w:bookmarkEnd w:id="44"/>
      <w:bookmarkStart w:id="45" w:name="_Toc91899897"/>
      <w:bookmarkEnd w:id="45"/>
      <w:r>
        <w:rPr>
          <w:rFonts w:hint="eastAsia" w:ascii="宋体" w:hAnsi="宋体" w:eastAsia="宋体"/>
          <w:sz w:val="30"/>
          <w:highlight w:val="none"/>
        </w:rPr>
        <w:t>五、开标</w:t>
      </w:r>
    </w:p>
    <w:p w14:paraId="561A279C">
      <w:pPr>
        <w:pStyle w:val="24"/>
        <w:snapToGrid w:val="0"/>
        <w:spacing w:line="360" w:lineRule="auto"/>
        <w:rPr>
          <w:rFonts w:hAnsi="宋体"/>
          <w:b/>
          <w:sz w:val="24"/>
          <w:szCs w:val="24"/>
          <w:highlight w:val="none"/>
        </w:rPr>
      </w:pPr>
      <w:r>
        <w:rPr>
          <w:rFonts w:hint="eastAsia" w:hAnsi="宋体"/>
          <w:b/>
          <w:sz w:val="24"/>
          <w:szCs w:val="24"/>
          <w:highlight w:val="none"/>
        </w:rPr>
        <w:t>17. 开标</w:t>
      </w:r>
    </w:p>
    <w:p w14:paraId="1CEF41B4">
      <w:pPr>
        <w:pStyle w:val="72"/>
        <w:snapToGrid w:val="0"/>
        <w:spacing w:before="0"/>
        <w:ind w:firstLine="480"/>
        <w:rPr>
          <w:rFonts w:ascii="宋体" w:hAnsi="宋体"/>
          <w:szCs w:val="24"/>
          <w:highlight w:val="none"/>
        </w:rPr>
      </w:pPr>
      <w:r>
        <w:rPr>
          <w:rFonts w:hint="eastAsia" w:ascii="宋体" w:hAnsi="宋体"/>
          <w:szCs w:val="24"/>
          <w:highlight w:val="none"/>
        </w:rPr>
        <w:t>17.1</w:t>
      </w:r>
      <w:r>
        <w:rPr>
          <w:rFonts w:hint="eastAsia" w:ascii="宋体" w:hAnsi="宋体"/>
          <w:highlight w:val="none"/>
        </w:rPr>
        <w:t>代理机构将于招标公告约定时间和地点开标。</w:t>
      </w:r>
      <w:r>
        <w:rPr>
          <w:rFonts w:hint="eastAsia" w:ascii="宋体" w:hAnsi="宋体"/>
          <w:kern w:val="0"/>
          <w:highlight w:val="none"/>
        </w:rPr>
        <w:t>若招标人按本须知第7条规定，通过修改招标文件更改了开标时间和地点的，以后者为准。</w:t>
      </w:r>
    </w:p>
    <w:p w14:paraId="6A369155">
      <w:pPr>
        <w:pStyle w:val="119"/>
        <w:snapToGrid w:val="0"/>
        <w:spacing w:before="0" w:line="360" w:lineRule="auto"/>
        <w:ind w:left="0" w:firstLine="480" w:firstLineChars="200"/>
        <w:rPr>
          <w:rFonts w:ascii="宋体" w:hAnsi="宋体"/>
          <w:sz w:val="24"/>
          <w:szCs w:val="24"/>
          <w:highlight w:val="none"/>
        </w:rPr>
      </w:pPr>
      <w:r>
        <w:rPr>
          <w:rFonts w:hint="eastAsia" w:ascii="宋体" w:hAnsi="宋体"/>
          <w:sz w:val="24"/>
          <w:szCs w:val="24"/>
          <w:highlight w:val="none"/>
        </w:rPr>
        <w:t xml:space="preserve">17.2 </w:t>
      </w:r>
      <w:r>
        <w:rPr>
          <w:rFonts w:hint="eastAsia" w:ascii="宋体" w:hAnsi="宋体"/>
          <w:sz w:val="24"/>
          <w:highlight w:val="none"/>
        </w:rPr>
        <w:t>开评标期间，投标人代表应在线操作，并关注政采云有关信息公布、澄清等情况。投标人代表不参加开标程序的，事后不得对招标相关人员、开标过程和开标结果提出异议。</w:t>
      </w:r>
    </w:p>
    <w:p w14:paraId="1F287775">
      <w:pPr>
        <w:pStyle w:val="24"/>
        <w:snapToGrid w:val="0"/>
        <w:spacing w:line="360" w:lineRule="auto"/>
        <w:rPr>
          <w:rFonts w:hAnsi="宋体"/>
          <w:b/>
          <w:sz w:val="24"/>
          <w:szCs w:val="24"/>
          <w:highlight w:val="none"/>
        </w:rPr>
      </w:pPr>
      <w:r>
        <w:rPr>
          <w:rFonts w:hint="eastAsia" w:hAnsi="宋体"/>
          <w:b/>
          <w:sz w:val="24"/>
          <w:szCs w:val="24"/>
          <w:highlight w:val="none"/>
        </w:rPr>
        <w:t>18. 中止电子交易</w:t>
      </w:r>
    </w:p>
    <w:p w14:paraId="3DBDB1FD">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18.1招标过程中出现以下情形，导致电子交易平台无法正常运行，或者无法保证电子交易的公平、公正和安全时，代理机构将中止电子交易活动：</w:t>
      </w:r>
    </w:p>
    <w:p w14:paraId="4452377A">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（1）电子交易平台发生故障而无法登录访问的；</w:t>
      </w:r>
    </w:p>
    <w:p w14:paraId="14707A1D">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（2）电子交易平台应用或数据库出现错误，不能进行正常操作的；</w:t>
      </w:r>
    </w:p>
    <w:p w14:paraId="315C1B18">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（3）电子交易平台发现严重安全漏洞，有潜在泄密危险的；</w:t>
      </w:r>
    </w:p>
    <w:p w14:paraId="2A4DF978">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（4）病毒发作导致不能进行正常操作的；</w:t>
      </w:r>
    </w:p>
    <w:p w14:paraId="48C22203">
      <w:pPr>
        <w:snapToGrid w:val="0"/>
        <w:spacing w:line="360" w:lineRule="auto"/>
        <w:ind w:firstLine="480" w:firstLineChars="200"/>
        <w:jc w:val="left"/>
        <w:rPr>
          <w:rFonts w:ascii="宋体" w:hAnsi="宋体"/>
          <w:kern w:val="0"/>
          <w:sz w:val="24"/>
          <w:highlight w:val="none"/>
        </w:rPr>
      </w:pPr>
      <w:r>
        <w:rPr>
          <w:rFonts w:hint="eastAsia" w:ascii="宋体" w:hAnsi="宋体"/>
          <w:kern w:val="0"/>
          <w:sz w:val="24"/>
          <w:highlight w:val="none"/>
        </w:rPr>
        <w:t>（5）其他无法保证电子交易的公平、公正和安全的情况。</w:t>
      </w:r>
    </w:p>
    <w:p w14:paraId="4DF218BF">
      <w:pPr>
        <w:autoSpaceDE w:val="0"/>
        <w:autoSpaceDN w:val="0"/>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18.2出现前款规定情形，不影响招标公平、公正性的，代理机构将待上述情形消除后继续组织电子交易活动；影响或可能影响招标公平、公正性的，将重新招标。</w:t>
      </w:r>
    </w:p>
    <w:p w14:paraId="745F9715">
      <w:pPr>
        <w:autoSpaceDE w:val="0"/>
        <w:autoSpaceDN w:val="0"/>
        <w:snapToGrid w:val="0"/>
        <w:spacing w:line="360" w:lineRule="auto"/>
        <w:ind w:firstLine="480" w:firstLineChars="200"/>
        <w:rPr>
          <w:rFonts w:ascii="宋体" w:hAnsi="宋体"/>
          <w:sz w:val="24"/>
          <w:szCs w:val="20"/>
          <w:highlight w:val="none"/>
        </w:rPr>
      </w:pPr>
    </w:p>
    <w:p w14:paraId="0F2EA55B">
      <w:pPr>
        <w:pStyle w:val="5"/>
        <w:jc w:val="center"/>
        <w:rPr>
          <w:rFonts w:ascii="宋体" w:hAnsi="宋体" w:eastAsia="宋体"/>
          <w:sz w:val="30"/>
          <w:highlight w:val="none"/>
        </w:rPr>
      </w:pPr>
      <w:bookmarkStart w:id="46" w:name="_Hlt75236101"/>
      <w:bookmarkEnd w:id="46"/>
      <w:bookmarkStart w:id="47" w:name="_Toc497397646"/>
      <w:bookmarkEnd w:id="47"/>
      <w:bookmarkStart w:id="48" w:name="_Toc91899902"/>
      <w:bookmarkEnd w:id="48"/>
      <w:r>
        <w:rPr>
          <w:rFonts w:hint="eastAsia" w:ascii="宋体" w:hAnsi="宋体" w:eastAsia="宋体"/>
          <w:sz w:val="30"/>
          <w:highlight w:val="none"/>
        </w:rPr>
        <w:t>六、评标</w:t>
      </w:r>
    </w:p>
    <w:p w14:paraId="37FB3CD2">
      <w:pPr>
        <w:pStyle w:val="72"/>
        <w:snapToGrid w:val="0"/>
        <w:spacing w:before="0"/>
        <w:ind w:firstLine="0" w:firstLineChars="0"/>
        <w:rPr>
          <w:rFonts w:ascii="宋体" w:hAnsi="宋体"/>
          <w:b/>
          <w:highlight w:val="none"/>
        </w:rPr>
      </w:pPr>
      <w:bookmarkStart w:id="49" w:name="_Toc91899903"/>
      <w:r>
        <w:rPr>
          <w:rFonts w:hint="eastAsia" w:ascii="宋体" w:hAnsi="宋体"/>
          <w:b/>
          <w:highlight w:val="none"/>
        </w:rPr>
        <w:t>19. 评标组织</w:t>
      </w:r>
    </w:p>
    <w:p w14:paraId="5E93B98D">
      <w:pPr>
        <w:pStyle w:val="24"/>
        <w:snapToGrid w:val="0"/>
        <w:spacing w:line="360" w:lineRule="auto"/>
        <w:ind w:firstLine="470" w:firstLineChars="196"/>
        <w:rPr>
          <w:rFonts w:hAnsi="宋体"/>
          <w:sz w:val="24"/>
          <w:highlight w:val="none"/>
        </w:rPr>
      </w:pPr>
      <w:r>
        <w:rPr>
          <w:rFonts w:hint="eastAsia" w:hAnsi="宋体"/>
          <w:sz w:val="24"/>
          <w:highlight w:val="none"/>
        </w:rPr>
        <w:t>招标代理机构依法组建由5人（含）以上奇数的人员组成的评标委员会，负责对投标文件进行审查、质询、评审和比较等。外部专家比例不低于60%。</w:t>
      </w:r>
    </w:p>
    <w:p w14:paraId="3C8C29CC">
      <w:pPr>
        <w:pStyle w:val="24"/>
        <w:snapToGrid w:val="0"/>
        <w:spacing w:line="360" w:lineRule="auto"/>
        <w:rPr>
          <w:rFonts w:hAnsi="宋体"/>
          <w:b/>
          <w:sz w:val="24"/>
          <w:szCs w:val="24"/>
          <w:highlight w:val="none"/>
        </w:rPr>
      </w:pPr>
      <w:r>
        <w:rPr>
          <w:rFonts w:hint="eastAsia" w:hAnsi="宋体"/>
          <w:b/>
          <w:sz w:val="24"/>
          <w:szCs w:val="24"/>
          <w:highlight w:val="none"/>
        </w:rPr>
        <w:t>20. 评标原则</w:t>
      </w:r>
    </w:p>
    <w:p w14:paraId="7D0EF9D8">
      <w:pPr>
        <w:pStyle w:val="24"/>
        <w:snapToGrid w:val="0"/>
        <w:spacing w:line="360" w:lineRule="auto"/>
        <w:ind w:firstLine="470" w:firstLineChars="196"/>
        <w:rPr>
          <w:rFonts w:hAnsi="宋体"/>
          <w:sz w:val="24"/>
          <w:highlight w:val="none"/>
        </w:rPr>
      </w:pPr>
      <w:r>
        <w:rPr>
          <w:rFonts w:hint="eastAsia" w:hAnsi="宋体"/>
          <w:sz w:val="24"/>
          <w:highlight w:val="none"/>
        </w:rPr>
        <w:t>20.1 竞争优选；</w:t>
      </w:r>
    </w:p>
    <w:p w14:paraId="219D48AE">
      <w:pPr>
        <w:autoSpaceDE w:val="0"/>
        <w:autoSpaceDN w:val="0"/>
        <w:snapToGrid w:val="0"/>
        <w:spacing w:line="360" w:lineRule="auto"/>
        <w:ind w:firstLine="480" w:firstLineChars="200"/>
        <w:rPr>
          <w:rFonts w:ascii="宋体" w:hAnsi="宋体"/>
          <w:sz w:val="24"/>
          <w:highlight w:val="none"/>
        </w:rPr>
      </w:pPr>
      <w:r>
        <w:rPr>
          <w:rFonts w:hint="eastAsia" w:ascii="宋体" w:hAnsi="宋体"/>
          <w:sz w:val="24"/>
          <w:highlight w:val="none"/>
        </w:rPr>
        <w:t xml:space="preserve">20.2 </w:t>
      </w:r>
      <w:r>
        <w:rPr>
          <w:rFonts w:hint="eastAsia" w:ascii="宋体" w:hAnsi="宋体"/>
          <w:sz w:val="24"/>
          <w:highlight w:val="none"/>
          <w:lang w:val="zh-CN"/>
        </w:rPr>
        <w:t>坚持公开</w:t>
      </w:r>
      <w:r>
        <w:rPr>
          <w:rFonts w:hint="eastAsia" w:ascii="宋体" w:hAnsi="宋体"/>
          <w:sz w:val="24"/>
          <w:highlight w:val="none"/>
        </w:rPr>
        <w:t>、公平、公正、合理</w:t>
      </w:r>
      <w:r>
        <w:rPr>
          <w:rFonts w:hint="eastAsia" w:ascii="宋体" w:hAnsi="宋体"/>
          <w:sz w:val="24"/>
          <w:highlight w:val="none"/>
          <w:lang w:val="zh-CN"/>
        </w:rPr>
        <w:t>的原则；</w:t>
      </w:r>
    </w:p>
    <w:p w14:paraId="78864C05">
      <w:pPr>
        <w:autoSpaceDE w:val="0"/>
        <w:autoSpaceDN w:val="0"/>
        <w:snapToGrid w:val="0"/>
        <w:spacing w:line="360" w:lineRule="auto"/>
        <w:ind w:firstLine="480" w:firstLineChars="200"/>
        <w:rPr>
          <w:rFonts w:ascii="宋体" w:hAnsi="宋体"/>
          <w:sz w:val="24"/>
          <w:highlight w:val="none"/>
          <w:lang w:val="zh-CN"/>
        </w:rPr>
      </w:pPr>
      <w:r>
        <w:rPr>
          <w:rFonts w:hint="eastAsia" w:ascii="宋体" w:hAnsi="宋体"/>
          <w:sz w:val="24"/>
          <w:highlight w:val="none"/>
          <w:lang w:val="zh-CN"/>
        </w:rPr>
        <w:t xml:space="preserve">20.3 </w:t>
      </w:r>
      <w:r>
        <w:rPr>
          <w:rFonts w:hint="eastAsia" w:ascii="宋体" w:hAnsi="宋体"/>
          <w:sz w:val="24"/>
          <w:highlight w:val="none"/>
        </w:rPr>
        <w:t>价格合理，方案可行；</w:t>
      </w:r>
    </w:p>
    <w:p w14:paraId="6F296A6E">
      <w:pPr>
        <w:autoSpaceDE w:val="0"/>
        <w:autoSpaceDN w:val="0"/>
        <w:snapToGrid w:val="0"/>
        <w:spacing w:line="360" w:lineRule="auto"/>
        <w:ind w:firstLine="480" w:firstLineChars="200"/>
        <w:rPr>
          <w:rFonts w:ascii="宋体" w:hAnsi="宋体"/>
          <w:sz w:val="24"/>
          <w:highlight w:val="none"/>
          <w:lang w:val="zh-CN"/>
        </w:rPr>
      </w:pPr>
      <w:r>
        <w:rPr>
          <w:rFonts w:hint="eastAsia" w:ascii="宋体" w:hAnsi="宋体"/>
          <w:sz w:val="24"/>
          <w:highlight w:val="none"/>
          <w:lang w:val="zh-CN"/>
        </w:rPr>
        <w:t>20.4 反对不正当竞争。</w:t>
      </w:r>
    </w:p>
    <w:p w14:paraId="41FCAA38">
      <w:pPr>
        <w:snapToGrid w:val="0"/>
        <w:spacing w:line="360" w:lineRule="auto"/>
        <w:rPr>
          <w:rFonts w:ascii="宋体" w:hAnsi="宋体"/>
          <w:b/>
          <w:sz w:val="24"/>
          <w:highlight w:val="none"/>
        </w:rPr>
      </w:pPr>
      <w:r>
        <w:rPr>
          <w:rFonts w:hint="eastAsia" w:ascii="宋体" w:hAnsi="宋体"/>
          <w:b/>
          <w:sz w:val="24"/>
          <w:highlight w:val="none"/>
        </w:rPr>
        <w:t>21</w:t>
      </w:r>
      <w:r>
        <w:rPr>
          <w:rFonts w:hint="eastAsia" w:ascii="宋体" w:hAnsi="宋体"/>
          <w:b/>
          <w:kern w:val="0"/>
          <w:sz w:val="24"/>
          <w:highlight w:val="none"/>
          <w:lang w:val="zh-CN"/>
        </w:rPr>
        <w:t>.</w:t>
      </w:r>
      <w:r>
        <w:rPr>
          <w:rFonts w:hint="eastAsia" w:ascii="宋体" w:hAnsi="宋体"/>
          <w:b/>
          <w:sz w:val="24"/>
          <w:highlight w:val="none"/>
        </w:rPr>
        <w:t xml:space="preserve"> 投标文件审查</w:t>
      </w:r>
    </w:p>
    <w:p w14:paraId="70E00BE2">
      <w:pPr>
        <w:snapToGrid w:val="0"/>
        <w:spacing w:line="360" w:lineRule="auto"/>
        <w:ind w:firstLine="480" w:firstLineChars="200"/>
        <w:rPr>
          <w:rFonts w:ascii="宋体" w:hAnsi="宋体"/>
          <w:sz w:val="24"/>
          <w:highlight w:val="none"/>
        </w:rPr>
      </w:pPr>
      <w:r>
        <w:rPr>
          <w:rFonts w:hint="eastAsia" w:ascii="宋体" w:hAnsi="宋体"/>
          <w:sz w:val="24"/>
          <w:highlight w:val="none"/>
        </w:rPr>
        <w:t>21.1投标文件资格性审查：评标委员会依据法律法规和招标文件的规定，对投标文件中的资格证明等进行审查，以确定投标人是否具备投标资格。</w:t>
      </w:r>
    </w:p>
    <w:p w14:paraId="57455D45">
      <w:pPr>
        <w:snapToGrid w:val="0"/>
        <w:spacing w:line="360" w:lineRule="auto"/>
        <w:ind w:firstLine="480" w:firstLineChars="200"/>
        <w:rPr>
          <w:rFonts w:ascii="宋体" w:hAnsi="宋体"/>
          <w:sz w:val="24"/>
          <w:highlight w:val="none"/>
        </w:rPr>
      </w:pPr>
      <w:r>
        <w:rPr>
          <w:rFonts w:hint="eastAsia" w:ascii="宋体" w:hAnsi="宋体"/>
          <w:sz w:val="24"/>
          <w:highlight w:val="none"/>
        </w:rPr>
        <w:t>21.2投标文件符合性审查：评标委员会依据招标文件的规定，从投标文件的有效性、完整性和对招标文件的响应程度进行审查，以确定是否对招标文件的实质性要求作出响应。</w:t>
      </w:r>
    </w:p>
    <w:p w14:paraId="5AEC371F">
      <w:pPr>
        <w:snapToGrid w:val="0"/>
        <w:spacing w:line="360" w:lineRule="auto"/>
        <w:ind w:firstLine="480"/>
        <w:rPr>
          <w:rFonts w:ascii="宋体" w:hAnsi="宋体"/>
          <w:sz w:val="24"/>
          <w:highlight w:val="none"/>
        </w:rPr>
      </w:pPr>
      <w:r>
        <w:rPr>
          <w:rFonts w:hint="eastAsia" w:ascii="宋体" w:hAnsi="宋体"/>
          <w:sz w:val="24"/>
          <w:highlight w:val="none"/>
        </w:rPr>
        <w:t>21.3</w:t>
      </w:r>
      <w:r>
        <w:rPr>
          <w:rFonts w:hint="eastAsia" w:ascii="宋体" w:hAnsi="宋体"/>
          <w:b/>
          <w:sz w:val="24"/>
          <w:highlight w:val="none"/>
        </w:rPr>
        <w:t>修正原则</w:t>
      </w:r>
    </w:p>
    <w:p w14:paraId="72128F80">
      <w:pPr>
        <w:snapToGrid w:val="0"/>
        <w:spacing w:line="360" w:lineRule="auto"/>
        <w:ind w:firstLine="480"/>
        <w:rPr>
          <w:rFonts w:ascii="宋体" w:hAnsi="宋体"/>
          <w:sz w:val="24"/>
          <w:highlight w:val="none"/>
        </w:rPr>
      </w:pPr>
      <w:r>
        <w:rPr>
          <w:rFonts w:hint="eastAsia" w:ascii="宋体" w:hAnsi="宋体"/>
          <w:sz w:val="24"/>
          <w:highlight w:val="none"/>
        </w:rPr>
        <w:t>评标委员会对投标文件的商务报价文件进行审核，对发现计算、书写等错误的，按以下原则进行修正：</w:t>
      </w:r>
    </w:p>
    <w:p w14:paraId="2C74E3FD">
      <w:pPr>
        <w:snapToGrid w:val="0"/>
        <w:spacing w:line="360" w:lineRule="auto"/>
        <w:ind w:firstLine="480" w:firstLineChars="200"/>
        <w:rPr>
          <w:rFonts w:ascii="宋体" w:hAnsi="宋体"/>
          <w:sz w:val="24"/>
          <w:highlight w:val="none"/>
        </w:rPr>
      </w:pPr>
      <w:r>
        <w:rPr>
          <w:rFonts w:hint="eastAsia" w:ascii="宋体" w:hAnsi="宋体"/>
          <w:sz w:val="24"/>
          <w:highlight w:val="none"/>
        </w:rPr>
        <w:t>21.3.1大写金额与小写金额不一致的，以大写金额为准；</w:t>
      </w:r>
    </w:p>
    <w:p w14:paraId="172EFE1F">
      <w:pPr>
        <w:snapToGrid w:val="0"/>
        <w:spacing w:line="360" w:lineRule="auto"/>
        <w:ind w:firstLine="480" w:firstLineChars="200"/>
        <w:rPr>
          <w:rFonts w:ascii="宋体" w:hAnsi="宋体"/>
          <w:sz w:val="24"/>
          <w:highlight w:val="none"/>
        </w:rPr>
      </w:pPr>
      <w:r>
        <w:rPr>
          <w:rFonts w:hint="eastAsia" w:ascii="宋体" w:hAnsi="宋体"/>
          <w:sz w:val="24"/>
          <w:highlight w:val="none"/>
        </w:rPr>
        <w:t>21.3.2总价金额与按单价汇总金额不一致的，以单价金额计算结果为准；</w:t>
      </w:r>
    </w:p>
    <w:p w14:paraId="7BC33B3C">
      <w:pPr>
        <w:snapToGrid w:val="0"/>
        <w:spacing w:line="360" w:lineRule="auto"/>
        <w:ind w:firstLine="480" w:firstLineChars="200"/>
        <w:rPr>
          <w:rFonts w:ascii="宋体" w:hAnsi="宋体"/>
          <w:sz w:val="24"/>
          <w:highlight w:val="none"/>
        </w:rPr>
      </w:pPr>
      <w:r>
        <w:rPr>
          <w:rFonts w:hint="eastAsia" w:ascii="宋体" w:hAnsi="宋体"/>
          <w:sz w:val="24"/>
          <w:highlight w:val="none"/>
        </w:rPr>
        <w:t>21.3.3单价金额小数点有明显错位的，应以总价为准，并修改单价；</w:t>
      </w:r>
    </w:p>
    <w:p w14:paraId="065BD915">
      <w:pPr>
        <w:snapToGrid w:val="0"/>
        <w:spacing w:line="360" w:lineRule="auto"/>
        <w:ind w:firstLine="480" w:firstLineChars="200"/>
        <w:rPr>
          <w:rFonts w:ascii="宋体" w:hAnsi="宋体"/>
          <w:sz w:val="24"/>
          <w:highlight w:val="none"/>
        </w:rPr>
      </w:pPr>
      <w:r>
        <w:rPr>
          <w:rFonts w:hint="eastAsia" w:ascii="宋体" w:hAnsi="宋体"/>
          <w:sz w:val="24"/>
          <w:highlight w:val="none"/>
        </w:rPr>
        <w:t>21.3.4以修正后的总价作为投标报价。</w:t>
      </w:r>
    </w:p>
    <w:p w14:paraId="57CD1D9F">
      <w:pPr>
        <w:pStyle w:val="72"/>
        <w:snapToGrid w:val="0"/>
        <w:spacing w:before="0"/>
        <w:ind w:firstLine="0" w:firstLineChars="0"/>
        <w:rPr>
          <w:rFonts w:ascii="宋体" w:hAnsi="宋体"/>
          <w:b/>
          <w:highlight w:val="none"/>
        </w:rPr>
      </w:pPr>
      <w:r>
        <w:rPr>
          <w:rFonts w:hint="eastAsia" w:ascii="宋体" w:hAnsi="宋体"/>
          <w:b/>
          <w:highlight w:val="none"/>
        </w:rPr>
        <w:t>22. 评标办法</w:t>
      </w:r>
    </w:p>
    <w:p w14:paraId="07FCB8FC">
      <w:pPr>
        <w:widowControl/>
        <w:snapToGrid w:val="0"/>
        <w:spacing w:line="360" w:lineRule="auto"/>
        <w:ind w:firstLine="480" w:firstLineChars="200"/>
        <w:rPr>
          <w:rFonts w:ascii="宋体" w:hAnsi="宋体"/>
          <w:sz w:val="24"/>
          <w:highlight w:val="none"/>
        </w:rPr>
      </w:pPr>
      <w:r>
        <w:rPr>
          <w:rFonts w:hint="eastAsia" w:ascii="宋体" w:hAnsi="宋体"/>
          <w:sz w:val="24"/>
          <w:highlight w:val="none"/>
        </w:rPr>
        <w:t>22.1根据《</w:t>
      </w:r>
      <w:r>
        <w:rPr>
          <w:rFonts w:hint="eastAsia" w:hAnsi="宋体"/>
          <w:sz w:val="24"/>
          <w:highlight w:val="none"/>
        </w:rPr>
        <w:t>杭州市人民政府办公厅转发市财政局市金融办关于</w:t>
      </w:r>
      <w:r>
        <w:rPr>
          <w:rFonts w:hint="eastAsia" w:ascii="宋体" w:hAnsi="宋体"/>
          <w:sz w:val="24"/>
          <w:highlight w:val="none"/>
        </w:rPr>
        <w:t>杭州市市级行政事业单位公款竞争性存放的实施细则（试行）》（</w:t>
      </w:r>
      <w:r>
        <w:rPr>
          <w:rFonts w:ascii="宋体" w:hAnsi="宋体"/>
          <w:kern w:val="0"/>
          <w:sz w:val="24"/>
          <w:highlight w:val="none"/>
        </w:rPr>
        <w:t>杭政办函〔2019〕48号），</w:t>
      </w:r>
      <w:r>
        <w:rPr>
          <w:rFonts w:hint="eastAsia" w:ascii="宋体" w:hAnsi="宋体"/>
          <w:sz w:val="24"/>
          <w:highlight w:val="none"/>
        </w:rPr>
        <w:t>本项目采取综合评分法，通过对投标人经营状况、经济贡献度、利率水平、业务发展指标、业务服务指标和其他情况指标等方面指标进行评分，满分为100分。具体如下：</w:t>
      </w:r>
    </w:p>
    <w:p w14:paraId="6899E301">
      <w:pPr>
        <w:adjustRightInd w:val="0"/>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1.评标专家负责对投标文件采用记名方式各自评分。如发现某个单项的评分超出了评分细则所规定的分值范围的，则该张评分表无效。</w:t>
      </w:r>
    </w:p>
    <w:p w14:paraId="476A15FA">
      <w:pPr>
        <w:adjustRightInd w:val="0"/>
        <w:snapToGrid w:val="0"/>
        <w:spacing w:line="360" w:lineRule="auto"/>
        <w:ind w:firstLine="480" w:firstLineChars="200"/>
        <w:rPr>
          <w:rFonts w:ascii="宋体" w:hAnsi="宋体"/>
          <w:kern w:val="0"/>
          <w:sz w:val="24"/>
          <w:highlight w:val="none"/>
        </w:rPr>
      </w:pPr>
      <w:r>
        <w:rPr>
          <w:rFonts w:hint="eastAsia" w:ascii="宋体" w:hAnsi="宋体"/>
          <w:kern w:val="0"/>
          <w:sz w:val="24"/>
          <w:highlight w:val="none"/>
        </w:rPr>
        <w:t>最终得分为：评标专家的有效评分的算术平均值（保留小数2位）。</w:t>
      </w:r>
    </w:p>
    <w:p w14:paraId="00DE0FFE">
      <w:pPr>
        <w:adjustRightInd w:val="0"/>
        <w:snapToGrid w:val="0"/>
        <w:spacing w:line="360" w:lineRule="auto"/>
        <w:ind w:firstLine="480" w:firstLineChars="200"/>
        <w:rPr>
          <w:rFonts w:ascii="宋体" w:hAnsi="宋体"/>
          <w:sz w:val="24"/>
          <w:highlight w:val="none"/>
        </w:rPr>
      </w:pPr>
      <w:r>
        <w:rPr>
          <w:rFonts w:hint="eastAsia" w:ascii="宋体" w:hAnsi="宋体"/>
          <w:sz w:val="24"/>
          <w:highlight w:val="none"/>
        </w:rPr>
        <w:t>2.投标报价（存款利率指标）的评审,由评标专家对投标文件进行评审。评标专家应对投标文件进行全面审阅和对比分析，找出报价差异的原因及存在的问题。报价评审应以报价口径范围一致的评标价为依据。评标价应在最终报价的基础上，按照招标文件约定的因素和方法进行计算。凡属招标文件的原因造成报价口径范围不一致的，应调整投标人报价，但因投标人自身失误造成多算、少算、漏算的，不得调整。</w:t>
      </w:r>
    </w:p>
    <w:p w14:paraId="26A81148">
      <w:pPr>
        <w:widowControl/>
        <w:adjustRightInd w:val="0"/>
        <w:snapToGrid w:val="0"/>
        <w:spacing w:line="360" w:lineRule="auto"/>
        <w:ind w:firstLine="480" w:firstLineChars="200"/>
        <w:jc w:val="left"/>
        <w:rPr>
          <w:rFonts w:ascii="宋体" w:hAnsi="宋体" w:cs="Arial"/>
          <w:kern w:val="0"/>
          <w:sz w:val="24"/>
          <w:highlight w:val="none"/>
        </w:rPr>
      </w:pPr>
      <w:r>
        <w:rPr>
          <w:rFonts w:hint="eastAsia" w:ascii="宋体" w:hAnsi="宋体" w:cs="Arial"/>
          <w:kern w:val="0"/>
          <w:sz w:val="24"/>
          <w:highlight w:val="none"/>
        </w:rPr>
        <w:t>3.</w:t>
      </w:r>
      <w:r>
        <w:rPr>
          <w:rFonts w:ascii="宋体" w:hAnsi="宋体" w:cs="Arial"/>
          <w:kern w:val="0"/>
          <w:sz w:val="24"/>
          <w:highlight w:val="none"/>
        </w:rPr>
        <w:t>经营状况及经济贡献度指标数据由市金融办向人行杭州中心支行、浙江银保监局、市财政局等部门获取后统一向</w:t>
      </w:r>
      <w:r>
        <w:rPr>
          <w:rFonts w:hint="eastAsia" w:ascii="宋体" w:hAnsi="宋体" w:cs="Arial"/>
          <w:kern w:val="0"/>
          <w:sz w:val="24"/>
          <w:highlight w:val="none"/>
        </w:rPr>
        <w:t>招标人</w:t>
      </w:r>
      <w:r>
        <w:rPr>
          <w:rFonts w:ascii="宋体" w:hAnsi="宋体" w:cs="Arial"/>
          <w:kern w:val="0"/>
          <w:sz w:val="24"/>
          <w:highlight w:val="none"/>
        </w:rPr>
        <w:t>提供。其中，不良贷款率、拨备覆盖率等指标数据源自浙江银保监局，人行综合评价、民营企业贷款、小微企业贷款、制造业贷款、贷款总额、债务融资工具承销额、国有控股企业贷款额等指标数据源自人行杭州中心支行，纳税额指标数据源自市财政局,在杭银行机构支持我市经济社会发展考核评价结果指标数据源自市金融办。</w:t>
      </w:r>
    </w:p>
    <w:tbl>
      <w:tblPr>
        <w:tblStyle w:val="45"/>
        <w:tblW w:w="9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777"/>
        <w:gridCol w:w="1517"/>
        <w:gridCol w:w="604"/>
        <w:gridCol w:w="6308"/>
      </w:tblGrid>
      <w:tr w14:paraId="49625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22" w:type="dxa"/>
            <w:tcBorders>
              <w:top w:val="single" w:color="auto" w:sz="4" w:space="0"/>
              <w:left w:val="single" w:color="auto" w:sz="4" w:space="0"/>
              <w:bottom w:val="single" w:color="auto" w:sz="4" w:space="0"/>
              <w:right w:val="single" w:color="auto" w:sz="4" w:space="0"/>
            </w:tcBorders>
            <w:noWrap w:val="0"/>
            <w:vAlign w:val="center"/>
          </w:tcPr>
          <w:p w14:paraId="005E3C2C">
            <w:pPr>
              <w:adjustRightInd w:val="0"/>
              <w:snapToGrid w:val="0"/>
              <w:jc w:val="center"/>
              <w:rPr>
                <w:rFonts w:ascii="宋体" w:hAnsi="宋体"/>
                <w:b/>
                <w:sz w:val="18"/>
                <w:szCs w:val="18"/>
                <w:highlight w:val="none"/>
              </w:rPr>
            </w:pPr>
            <w:r>
              <w:rPr>
                <w:rFonts w:hint="eastAsia" w:ascii="宋体" w:hAnsi="宋体"/>
                <w:b/>
                <w:sz w:val="18"/>
                <w:szCs w:val="18"/>
                <w:highlight w:val="none"/>
              </w:rPr>
              <w:t>指标类别</w:t>
            </w:r>
          </w:p>
        </w:tc>
        <w:tc>
          <w:tcPr>
            <w:tcW w:w="2294" w:type="dxa"/>
            <w:gridSpan w:val="2"/>
            <w:tcBorders>
              <w:top w:val="single" w:color="auto" w:sz="4" w:space="0"/>
              <w:left w:val="single" w:color="auto" w:sz="4" w:space="0"/>
              <w:bottom w:val="single" w:color="auto" w:sz="4" w:space="0"/>
              <w:right w:val="single" w:color="auto" w:sz="4" w:space="0"/>
            </w:tcBorders>
            <w:noWrap w:val="0"/>
            <w:vAlign w:val="center"/>
          </w:tcPr>
          <w:p w14:paraId="0006CEF9">
            <w:pPr>
              <w:adjustRightInd w:val="0"/>
              <w:snapToGrid w:val="0"/>
              <w:jc w:val="center"/>
              <w:rPr>
                <w:rFonts w:ascii="宋体" w:hAnsi="宋体"/>
                <w:b/>
                <w:sz w:val="18"/>
                <w:szCs w:val="18"/>
                <w:highlight w:val="none"/>
              </w:rPr>
            </w:pPr>
            <w:r>
              <w:rPr>
                <w:rFonts w:hint="eastAsia" w:ascii="宋体" w:hAnsi="宋体"/>
                <w:b/>
                <w:sz w:val="18"/>
                <w:szCs w:val="18"/>
                <w:highlight w:val="none"/>
              </w:rPr>
              <w:t>评分项目</w:t>
            </w:r>
          </w:p>
        </w:tc>
        <w:tc>
          <w:tcPr>
            <w:tcW w:w="604" w:type="dxa"/>
            <w:tcBorders>
              <w:top w:val="single" w:color="auto" w:sz="4" w:space="0"/>
              <w:left w:val="single" w:color="auto" w:sz="4" w:space="0"/>
              <w:bottom w:val="single" w:color="auto" w:sz="4" w:space="0"/>
              <w:right w:val="single" w:color="auto" w:sz="4" w:space="0"/>
            </w:tcBorders>
            <w:noWrap w:val="0"/>
            <w:vAlign w:val="center"/>
          </w:tcPr>
          <w:p w14:paraId="6BE129EF">
            <w:pPr>
              <w:adjustRightInd w:val="0"/>
              <w:snapToGrid w:val="0"/>
              <w:jc w:val="center"/>
              <w:rPr>
                <w:rFonts w:ascii="宋体" w:hAnsi="宋体"/>
                <w:b/>
                <w:sz w:val="18"/>
                <w:szCs w:val="18"/>
                <w:highlight w:val="none"/>
              </w:rPr>
            </w:pPr>
            <w:r>
              <w:rPr>
                <w:rFonts w:hint="eastAsia" w:ascii="宋体" w:hAnsi="宋体"/>
                <w:b/>
                <w:sz w:val="18"/>
                <w:szCs w:val="18"/>
                <w:highlight w:val="none"/>
              </w:rPr>
              <w:t>分值</w:t>
            </w:r>
          </w:p>
        </w:tc>
        <w:tc>
          <w:tcPr>
            <w:tcW w:w="6308" w:type="dxa"/>
            <w:tcBorders>
              <w:top w:val="single" w:color="auto" w:sz="4" w:space="0"/>
              <w:left w:val="single" w:color="auto" w:sz="4" w:space="0"/>
              <w:bottom w:val="single" w:color="auto" w:sz="4" w:space="0"/>
              <w:right w:val="single" w:color="auto" w:sz="4" w:space="0"/>
            </w:tcBorders>
            <w:noWrap w:val="0"/>
            <w:vAlign w:val="center"/>
          </w:tcPr>
          <w:p w14:paraId="520D88CE">
            <w:pPr>
              <w:adjustRightInd w:val="0"/>
              <w:snapToGrid w:val="0"/>
              <w:jc w:val="center"/>
              <w:rPr>
                <w:rFonts w:ascii="宋体" w:hAnsi="宋体"/>
                <w:b/>
                <w:sz w:val="18"/>
                <w:szCs w:val="18"/>
                <w:highlight w:val="none"/>
              </w:rPr>
            </w:pPr>
            <w:r>
              <w:rPr>
                <w:rFonts w:hint="eastAsia" w:ascii="宋体" w:hAnsi="宋体"/>
                <w:b/>
                <w:sz w:val="18"/>
                <w:szCs w:val="18"/>
                <w:highlight w:val="none"/>
              </w:rPr>
              <w:t>评标要点及说明</w:t>
            </w:r>
          </w:p>
        </w:tc>
      </w:tr>
      <w:tr w14:paraId="2DE9D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restart"/>
            <w:tcBorders>
              <w:top w:val="single" w:color="auto" w:sz="6" w:space="0"/>
              <w:left w:val="single" w:color="auto" w:sz="6" w:space="0"/>
              <w:right w:val="single" w:color="auto" w:sz="6" w:space="0"/>
            </w:tcBorders>
            <w:noWrap w:val="0"/>
            <w:vAlign w:val="center"/>
          </w:tcPr>
          <w:p w14:paraId="726359C9">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非</w:t>
            </w:r>
          </w:p>
          <w:p w14:paraId="59A0DDBB">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自</w:t>
            </w:r>
          </w:p>
          <w:p w14:paraId="69E91933">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主</w:t>
            </w:r>
          </w:p>
          <w:p w14:paraId="607B28DB">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指</w:t>
            </w:r>
          </w:p>
          <w:p w14:paraId="126621CA">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标</w:t>
            </w:r>
          </w:p>
          <w:p w14:paraId="3CFB0F91">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75</w:t>
            </w:r>
          </w:p>
          <w:p w14:paraId="30BF9930">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分</w:t>
            </w:r>
          </w:p>
        </w:tc>
        <w:tc>
          <w:tcPr>
            <w:tcW w:w="777" w:type="dxa"/>
            <w:vMerge w:val="restart"/>
            <w:tcBorders>
              <w:top w:val="single" w:color="auto" w:sz="6" w:space="0"/>
              <w:left w:val="single" w:color="auto" w:sz="6" w:space="0"/>
              <w:right w:val="single" w:color="auto" w:sz="6" w:space="0"/>
            </w:tcBorders>
            <w:noWrap w:val="0"/>
            <w:vAlign w:val="center"/>
          </w:tcPr>
          <w:p w14:paraId="49F6A0FC">
            <w:pPr>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投标银行经营状况</w:t>
            </w:r>
          </w:p>
          <w:p w14:paraId="3D8ED08A">
            <w:pPr>
              <w:adjustRightInd w:val="0"/>
              <w:snapToGrid w:val="0"/>
              <w:jc w:val="center"/>
              <w:rPr>
                <w:rFonts w:ascii="宋体" w:hAnsi="宋体"/>
                <w:sz w:val="18"/>
                <w:szCs w:val="18"/>
                <w:highlight w:val="none"/>
              </w:rPr>
            </w:pPr>
            <w:r>
              <w:rPr>
                <w:rFonts w:hint="eastAsia" w:ascii="宋体" w:hAnsi="宋体"/>
                <w:sz w:val="18"/>
                <w:szCs w:val="18"/>
                <w:highlight w:val="none"/>
              </w:rPr>
              <w:t>9分</w:t>
            </w:r>
          </w:p>
        </w:tc>
        <w:tc>
          <w:tcPr>
            <w:tcW w:w="1517" w:type="dxa"/>
            <w:tcBorders>
              <w:top w:val="single" w:color="auto" w:sz="6" w:space="0"/>
              <w:left w:val="single" w:color="auto" w:sz="6" w:space="0"/>
              <w:bottom w:val="single" w:color="auto" w:sz="6" w:space="0"/>
              <w:right w:val="single" w:color="auto" w:sz="6" w:space="0"/>
            </w:tcBorders>
            <w:noWrap w:val="0"/>
            <w:vAlign w:val="center"/>
          </w:tcPr>
          <w:p w14:paraId="6A9CF5FD">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不良贷款率</w:t>
            </w:r>
          </w:p>
        </w:tc>
        <w:tc>
          <w:tcPr>
            <w:tcW w:w="604" w:type="dxa"/>
            <w:tcBorders>
              <w:top w:val="single" w:color="auto" w:sz="6" w:space="0"/>
              <w:left w:val="single" w:color="auto" w:sz="6" w:space="0"/>
              <w:bottom w:val="single" w:color="auto" w:sz="4" w:space="0"/>
              <w:right w:val="single" w:color="auto" w:sz="6" w:space="0"/>
            </w:tcBorders>
            <w:noWrap w:val="0"/>
            <w:vAlign w:val="center"/>
          </w:tcPr>
          <w:p w14:paraId="4817B6FE">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3</w:t>
            </w:r>
          </w:p>
        </w:tc>
        <w:tc>
          <w:tcPr>
            <w:tcW w:w="6308" w:type="dxa"/>
            <w:tcBorders>
              <w:top w:val="single" w:color="auto" w:sz="6" w:space="0"/>
              <w:left w:val="single" w:color="auto" w:sz="6" w:space="0"/>
              <w:bottom w:val="single" w:color="auto" w:sz="4" w:space="0"/>
              <w:right w:val="single" w:color="auto" w:sz="6" w:space="0"/>
            </w:tcBorders>
            <w:noWrap w:val="0"/>
            <w:vAlign w:val="center"/>
          </w:tcPr>
          <w:p w14:paraId="3D315D49">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对不良贷款率排名计算得分。第1名得满分，每递减一名扣减的分值为“该项分值/竞标银行数量”。</w:t>
            </w:r>
          </w:p>
        </w:tc>
      </w:tr>
      <w:tr w14:paraId="5E06F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0DB184BE">
            <w:pPr>
              <w:adjustRightInd w:val="0"/>
              <w:snapToGrid w:val="0"/>
              <w:jc w:val="center"/>
              <w:rPr>
                <w:rFonts w:ascii="宋体" w:hAnsi="宋体"/>
                <w:sz w:val="18"/>
                <w:szCs w:val="18"/>
                <w:highlight w:val="none"/>
              </w:rPr>
            </w:pPr>
          </w:p>
        </w:tc>
        <w:tc>
          <w:tcPr>
            <w:tcW w:w="777" w:type="dxa"/>
            <w:vMerge w:val="continue"/>
            <w:tcBorders>
              <w:left w:val="single" w:color="auto" w:sz="6" w:space="0"/>
              <w:right w:val="single" w:color="auto" w:sz="6" w:space="0"/>
            </w:tcBorders>
            <w:noWrap w:val="0"/>
            <w:vAlign w:val="center"/>
          </w:tcPr>
          <w:p w14:paraId="641FEBCF">
            <w:pPr>
              <w:adjustRightInd w:val="0"/>
              <w:snapToGrid w:val="0"/>
              <w:jc w:val="center"/>
              <w:rPr>
                <w:rFonts w:ascii="宋体" w:hAnsi="宋体"/>
                <w:sz w:val="18"/>
                <w:szCs w:val="18"/>
                <w:highlight w:val="none"/>
              </w:rPr>
            </w:pPr>
          </w:p>
        </w:tc>
        <w:tc>
          <w:tcPr>
            <w:tcW w:w="1517" w:type="dxa"/>
            <w:tcBorders>
              <w:top w:val="single" w:color="auto" w:sz="6" w:space="0"/>
              <w:left w:val="single" w:color="auto" w:sz="6" w:space="0"/>
              <w:bottom w:val="single" w:color="auto" w:sz="6" w:space="0"/>
              <w:right w:val="single" w:color="auto" w:sz="6" w:space="0"/>
            </w:tcBorders>
            <w:noWrap w:val="0"/>
            <w:vAlign w:val="center"/>
          </w:tcPr>
          <w:p w14:paraId="0A53BCDE">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拨备覆盖率</w:t>
            </w:r>
          </w:p>
        </w:tc>
        <w:tc>
          <w:tcPr>
            <w:tcW w:w="604" w:type="dxa"/>
            <w:tcBorders>
              <w:top w:val="single" w:color="auto" w:sz="6" w:space="0"/>
              <w:left w:val="single" w:color="auto" w:sz="6" w:space="0"/>
              <w:bottom w:val="single" w:color="auto" w:sz="4" w:space="0"/>
              <w:right w:val="single" w:color="auto" w:sz="6" w:space="0"/>
            </w:tcBorders>
            <w:noWrap w:val="0"/>
            <w:vAlign w:val="center"/>
          </w:tcPr>
          <w:p w14:paraId="525513AA">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3</w:t>
            </w:r>
          </w:p>
        </w:tc>
        <w:tc>
          <w:tcPr>
            <w:tcW w:w="6308" w:type="dxa"/>
            <w:tcBorders>
              <w:top w:val="single" w:color="auto" w:sz="6" w:space="0"/>
              <w:left w:val="single" w:color="auto" w:sz="6" w:space="0"/>
              <w:bottom w:val="single" w:color="auto" w:sz="4" w:space="0"/>
              <w:right w:val="single" w:color="auto" w:sz="6" w:space="0"/>
            </w:tcBorders>
            <w:noWrap w:val="0"/>
            <w:vAlign w:val="center"/>
          </w:tcPr>
          <w:p w14:paraId="263B78F8">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对拨备覆盖率排名计算得分。第1名得满分，每递减一名扣减的分值为“该项分值/竞标银行数量”。</w:t>
            </w:r>
          </w:p>
        </w:tc>
      </w:tr>
      <w:tr w14:paraId="28434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62D24F45">
            <w:pPr>
              <w:adjustRightInd w:val="0"/>
              <w:snapToGrid w:val="0"/>
              <w:jc w:val="center"/>
              <w:rPr>
                <w:rFonts w:ascii="宋体" w:hAnsi="宋体"/>
                <w:sz w:val="18"/>
                <w:szCs w:val="18"/>
                <w:highlight w:val="none"/>
              </w:rPr>
            </w:pPr>
          </w:p>
        </w:tc>
        <w:tc>
          <w:tcPr>
            <w:tcW w:w="777" w:type="dxa"/>
            <w:vMerge w:val="continue"/>
            <w:tcBorders>
              <w:left w:val="single" w:color="auto" w:sz="6" w:space="0"/>
              <w:right w:val="single" w:color="auto" w:sz="6" w:space="0"/>
            </w:tcBorders>
            <w:noWrap w:val="0"/>
            <w:vAlign w:val="center"/>
          </w:tcPr>
          <w:p w14:paraId="3A4D46F6">
            <w:pPr>
              <w:adjustRightInd w:val="0"/>
              <w:snapToGrid w:val="0"/>
              <w:jc w:val="center"/>
              <w:rPr>
                <w:rFonts w:ascii="宋体" w:hAnsi="宋体"/>
                <w:sz w:val="18"/>
                <w:szCs w:val="18"/>
                <w:highlight w:val="none"/>
              </w:rPr>
            </w:pPr>
          </w:p>
        </w:tc>
        <w:tc>
          <w:tcPr>
            <w:tcW w:w="1517" w:type="dxa"/>
            <w:tcBorders>
              <w:top w:val="single" w:color="auto" w:sz="6" w:space="0"/>
              <w:left w:val="single" w:color="auto" w:sz="6" w:space="0"/>
              <w:bottom w:val="single" w:color="auto" w:sz="6" w:space="0"/>
              <w:right w:val="single" w:color="auto" w:sz="6" w:space="0"/>
            </w:tcBorders>
            <w:noWrap w:val="0"/>
            <w:vAlign w:val="center"/>
          </w:tcPr>
          <w:p w14:paraId="045955C7">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人行综合评价</w:t>
            </w:r>
          </w:p>
        </w:tc>
        <w:tc>
          <w:tcPr>
            <w:tcW w:w="604" w:type="dxa"/>
            <w:tcBorders>
              <w:top w:val="single" w:color="auto" w:sz="4" w:space="0"/>
              <w:left w:val="single" w:color="auto" w:sz="6" w:space="0"/>
              <w:bottom w:val="single" w:color="auto" w:sz="4" w:space="0"/>
              <w:right w:val="single" w:color="auto" w:sz="6" w:space="0"/>
            </w:tcBorders>
            <w:noWrap w:val="0"/>
            <w:vAlign w:val="center"/>
          </w:tcPr>
          <w:p w14:paraId="4385381B">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3</w:t>
            </w:r>
          </w:p>
        </w:tc>
        <w:tc>
          <w:tcPr>
            <w:tcW w:w="6308" w:type="dxa"/>
            <w:tcBorders>
              <w:top w:val="single" w:color="auto" w:sz="4" w:space="0"/>
              <w:left w:val="single" w:color="auto" w:sz="6" w:space="0"/>
              <w:bottom w:val="single" w:color="auto" w:sz="4" w:space="0"/>
              <w:right w:val="single" w:color="auto" w:sz="6" w:space="0"/>
            </w:tcBorders>
            <w:noWrap w:val="0"/>
            <w:vAlign w:val="center"/>
          </w:tcPr>
          <w:p w14:paraId="0D6879B4">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人行综合评价A级3分、B级2分、其他1分。</w:t>
            </w:r>
          </w:p>
        </w:tc>
      </w:tr>
      <w:tr w14:paraId="7FFD6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6F00B050">
            <w:pPr>
              <w:adjustRightInd w:val="0"/>
              <w:snapToGrid w:val="0"/>
              <w:jc w:val="center"/>
              <w:rPr>
                <w:rFonts w:ascii="宋体" w:hAnsi="宋体"/>
                <w:sz w:val="18"/>
                <w:szCs w:val="18"/>
                <w:highlight w:val="none"/>
              </w:rPr>
            </w:pPr>
          </w:p>
        </w:tc>
        <w:tc>
          <w:tcPr>
            <w:tcW w:w="777" w:type="dxa"/>
            <w:vMerge w:val="restart"/>
            <w:tcBorders>
              <w:top w:val="single" w:color="auto" w:sz="4" w:space="0"/>
              <w:left w:val="single" w:color="auto" w:sz="4" w:space="0"/>
              <w:right w:val="single" w:color="auto" w:sz="4" w:space="0"/>
            </w:tcBorders>
            <w:noWrap w:val="0"/>
            <w:vAlign w:val="center"/>
          </w:tcPr>
          <w:p w14:paraId="1D8A44C2">
            <w:pPr>
              <w:adjustRightInd w:val="0"/>
              <w:snapToGrid w:val="0"/>
              <w:jc w:val="center"/>
              <w:rPr>
                <w:rFonts w:ascii="宋体" w:hAnsi="宋体"/>
                <w:sz w:val="18"/>
                <w:szCs w:val="18"/>
                <w:highlight w:val="none"/>
              </w:rPr>
            </w:pPr>
            <w:r>
              <w:rPr>
                <w:rFonts w:hint="eastAsia" w:ascii="宋体" w:hAnsi="宋体" w:cs="Arial"/>
                <w:kern w:val="0"/>
                <w:sz w:val="18"/>
                <w:szCs w:val="18"/>
                <w:highlight w:val="none"/>
              </w:rPr>
              <w:t>对地方经济贡献度</w:t>
            </w:r>
          </w:p>
          <w:p w14:paraId="0FEBA01C">
            <w:pPr>
              <w:adjustRightInd w:val="0"/>
              <w:snapToGrid w:val="0"/>
              <w:jc w:val="center"/>
              <w:rPr>
                <w:rFonts w:ascii="宋体" w:hAnsi="宋体"/>
                <w:sz w:val="18"/>
                <w:szCs w:val="18"/>
                <w:highlight w:val="none"/>
              </w:rPr>
            </w:pPr>
            <w:r>
              <w:rPr>
                <w:rFonts w:hint="eastAsia" w:ascii="宋体" w:hAnsi="宋体"/>
                <w:sz w:val="18"/>
                <w:szCs w:val="18"/>
                <w:highlight w:val="none"/>
              </w:rPr>
              <w:t>54分</w:t>
            </w:r>
          </w:p>
        </w:tc>
        <w:tc>
          <w:tcPr>
            <w:tcW w:w="1517" w:type="dxa"/>
            <w:tcBorders>
              <w:top w:val="single" w:color="auto" w:sz="6" w:space="0"/>
              <w:left w:val="single" w:color="auto" w:sz="4" w:space="0"/>
              <w:bottom w:val="single" w:color="auto" w:sz="6" w:space="0"/>
              <w:right w:val="single" w:color="auto" w:sz="4" w:space="0"/>
            </w:tcBorders>
            <w:noWrap w:val="0"/>
            <w:vAlign w:val="center"/>
          </w:tcPr>
          <w:p w14:paraId="433DF944">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民营企业贷款</w:t>
            </w:r>
          </w:p>
        </w:tc>
        <w:tc>
          <w:tcPr>
            <w:tcW w:w="604" w:type="dxa"/>
            <w:tcBorders>
              <w:top w:val="single" w:color="auto" w:sz="6" w:space="0"/>
              <w:left w:val="single" w:color="auto" w:sz="4" w:space="0"/>
              <w:bottom w:val="single" w:color="auto" w:sz="6" w:space="0"/>
              <w:right w:val="single" w:color="auto" w:sz="4" w:space="0"/>
            </w:tcBorders>
            <w:noWrap w:val="0"/>
            <w:vAlign w:val="center"/>
          </w:tcPr>
          <w:p w14:paraId="1497072A">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10</w:t>
            </w:r>
          </w:p>
        </w:tc>
        <w:tc>
          <w:tcPr>
            <w:tcW w:w="6308" w:type="dxa"/>
            <w:tcBorders>
              <w:top w:val="single" w:color="auto" w:sz="4" w:space="0"/>
              <w:left w:val="single" w:color="auto" w:sz="4" w:space="0"/>
              <w:right w:val="single" w:color="auto" w:sz="4" w:space="0"/>
            </w:tcBorders>
            <w:noWrap w:val="0"/>
            <w:vAlign w:val="center"/>
          </w:tcPr>
          <w:p w14:paraId="222E4E26">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对全市民营企业贷款额排名(3分)、全市民营企业贷款额占贷款总量比例排名(3分)、全市民营企业贷款增幅排名（4分）分别计算得分。第1名得满分，每递减一名扣减的分值为“该项分值/竞标银行数量”。</w:t>
            </w:r>
          </w:p>
        </w:tc>
      </w:tr>
      <w:tr w14:paraId="384AA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0BF71E47">
            <w:pPr>
              <w:adjustRightInd w:val="0"/>
              <w:snapToGrid w:val="0"/>
              <w:jc w:val="center"/>
              <w:rPr>
                <w:rFonts w:ascii="宋体" w:hAnsi="宋体"/>
                <w:sz w:val="18"/>
                <w:szCs w:val="18"/>
                <w:highlight w:val="none"/>
              </w:rPr>
            </w:pPr>
          </w:p>
        </w:tc>
        <w:tc>
          <w:tcPr>
            <w:tcW w:w="777" w:type="dxa"/>
            <w:vMerge w:val="continue"/>
            <w:tcBorders>
              <w:left w:val="single" w:color="auto" w:sz="4" w:space="0"/>
              <w:right w:val="single" w:color="auto" w:sz="4" w:space="0"/>
            </w:tcBorders>
            <w:noWrap w:val="0"/>
            <w:vAlign w:val="center"/>
          </w:tcPr>
          <w:p w14:paraId="45F44BE8">
            <w:pPr>
              <w:adjustRightInd w:val="0"/>
              <w:snapToGrid w:val="0"/>
              <w:jc w:val="center"/>
              <w:rPr>
                <w:rFonts w:ascii="宋体" w:hAnsi="宋体"/>
                <w:sz w:val="18"/>
                <w:szCs w:val="18"/>
                <w:highlight w:val="none"/>
              </w:rPr>
            </w:pPr>
          </w:p>
        </w:tc>
        <w:tc>
          <w:tcPr>
            <w:tcW w:w="1517" w:type="dxa"/>
            <w:tcBorders>
              <w:top w:val="single" w:color="auto" w:sz="6" w:space="0"/>
              <w:left w:val="single" w:color="auto" w:sz="4" w:space="0"/>
              <w:bottom w:val="single" w:color="auto" w:sz="6" w:space="0"/>
              <w:right w:val="single" w:color="auto" w:sz="4" w:space="0"/>
            </w:tcBorders>
            <w:noWrap w:val="0"/>
            <w:vAlign w:val="center"/>
          </w:tcPr>
          <w:p w14:paraId="2E938E39">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小微企业贷款</w:t>
            </w:r>
          </w:p>
        </w:tc>
        <w:tc>
          <w:tcPr>
            <w:tcW w:w="604" w:type="dxa"/>
            <w:tcBorders>
              <w:top w:val="single" w:color="auto" w:sz="6" w:space="0"/>
              <w:left w:val="single" w:color="auto" w:sz="4" w:space="0"/>
              <w:bottom w:val="single" w:color="auto" w:sz="6" w:space="0"/>
              <w:right w:val="single" w:color="auto" w:sz="4" w:space="0"/>
            </w:tcBorders>
            <w:noWrap w:val="0"/>
            <w:vAlign w:val="center"/>
          </w:tcPr>
          <w:p w14:paraId="5ED48EA6">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10</w:t>
            </w:r>
          </w:p>
        </w:tc>
        <w:tc>
          <w:tcPr>
            <w:tcW w:w="6308" w:type="dxa"/>
            <w:tcBorders>
              <w:left w:val="single" w:color="auto" w:sz="4" w:space="0"/>
              <w:right w:val="single" w:color="auto" w:sz="4" w:space="0"/>
            </w:tcBorders>
            <w:noWrap w:val="0"/>
            <w:vAlign w:val="center"/>
          </w:tcPr>
          <w:p w14:paraId="4B3E317C">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对全市小微企业贷款额排名(3分)、全市小微企业贷款额占贷款总量比例排名(3分)、全市小微企业贷款增幅排名（4分）分别计算得分。第1名得满分，每递减一名扣减的分值为“该项分值/竞标银行数量”。</w:t>
            </w:r>
          </w:p>
        </w:tc>
      </w:tr>
      <w:tr w14:paraId="5EC1B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3450F529">
            <w:pPr>
              <w:adjustRightInd w:val="0"/>
              <w:snapToGrid w:val="0"/>
              <w:jc w:val="center"/>
              <w:rPr>
                <w:rFonts w:ascii="宋体" w:hAnsi="宋体"/>
                <w:sz w:val="18"/>
                <w:szCs w:val="18"/>
                <w:highlight w:val="none"/>
              </w:rPr>
            </w:pPr>
          </w:p>
        </w:tc>
        <w:tc>
          <w:tcPr>
            <w:tcW w:w="777" w:type="dxa"/>
            <w:vMerge w:val="continue"/>
            <w:tcBorders>
              <w:left w:val="single" w:color="auto" w:sz="4" w:space="0"/>
              <w:right w:val="single" w:color="auto" w:sz="4" w:space="0"/>
            </w:tcBorders>
            <w:noWrap w:val="0"/>
            <w:vAlign w:val="center"/>
          </w:tcPr>
          <w:p w14:paraId="1030EF6B">
            <w:pPr>
              <w:adjustRightInd w:val="0"/>
              <w:snapToGrid w:val="0"/>
              <w:jc w:val="center"/>
              <w:rPr>
                <w:rFonts w:ascii="宋体" w:hAnsi="宋体"/>
                <w:sz w:val="18"/>
                <w:szCs w:val="18"/>
                <w:highlight w:val="none"/>
              </w:rPr>
            </w:pPr>
          </w:p>
        </w:tc>
        <w:tc>
          <w:tcPr>
            <w:tcW w:w="1517" w:type="dxa"/>
            <w:tcBorders>
              <w:top w:val="single" w:color="auto" w:sz="6" w:space="0"/>
              <w:left w:val="single" w:color="auto" w:sz="4" w:space="0"/>
              <w:bottom w:val="single" w:color="auto" w:sz="6" w:space="0"/>
              <w:right w:val="single" w:color="auto" w:sz="4" w:space="0"/>
            </w:tcBorders>
            <w:noWrap w:val="0"/>
            <w:vAlign w:val="center"/>
          </w:tcPr>
          <w:p w14:paraId="78940977">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制造业贷款</w:t>
            </w:r>
          </w:p>
        </w:tc>
        <w:tc>
          <w:tcPr>
            <w:tcW w:w="604" w:type="dxa"/>
            <w:tcBorders>
              <w:top w:val="single" w:color="auto" w:sz="6" w:space="0"/>
              <w:left w:val="single" w:color="auto" w:sz="4" w:space="0"/>
              <w:bottom w:val="single" w:color="auto" w:sz="6" w:space="0"/>
              <w:right w:val="single" w:color="auto" w:sz="4" w:space="0"/>
            </w:tcBorders>
            <w:noWrap w:val="0"/>
            <w:vAlign w:val="center"/>
          </w:tcPr>
          <w:p w14:paraId="6EB5A821">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10</w:t>
            </w:r>
          </w:p>
        </w:tc>
        <w:tc>
          <w:tcPr>
            <w:tcW w:w="6308" w:type="dxa"/>
            <w:tcBorders>
              <w:left w:val="single" w:color="auto" w:sz="4" w:space="0"/>
              <w:bottom w:val="single" w:color="auto" w:sz="4" w:space="0"/>
              <w:right w:val="single" w:color="auto" w:sz="4" w:space="0"/>
            </w:tcBorders>
            <w:noWrap w:val="0"/>
            <w:vAlign w:val="center"/>
          </w:tcPr>
          <w:p w14:paraId="68EF5996">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对全市制造业贷款额排名(3分)、全市制造企业贷款额占贷款总量比例排名(3分)、全市制造业贷款增幅排名（4分）分别计算得分。第1名得满分，每递减一名扣减的分值为“该项分值/竞标银行数量”。</w:t>
            </w:r>
          </w:p>
        </w:tc>
      </w:tr>
      <w:tr w14:paraId="5D868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45955950">
            <w:pPr>
              <w:adjustRightInd w:val="0"/>
              <w:snapToGrid w:val="0"/>
              <w:jc w:val="center"/>
              <w:rPr>
                <w:rFonts w:ascii="宋体" w:hAnsi="宋体"/>
                <w:sz w:val="18"/>
                <w:szCs w:val="18"/>
                <w:highlight w:val="none"/>
              </w:rPr>
            </w:pPr>
          </w:p>
        </w:tc>
        <w:tc>
          <w:tcPr>
            <w:tcW w:w="777" w:type="dxa"/>
            <w:vMerge w:val="continue"/>
            <w:tcBorders>
              <w:left w:val="single" w:color="auto" w:sz="4" w:space="0"/>
              <w:right w:val="single" w:color="auto" w:sz="4" w:space="0"/>
            </w:tcBorders>
            <w:noWrap w:val="0"/>
            <w:vAlign w:val="center"/>
          </w:tcPr>
          <w:p w14:paraId="3D2576D3">
            <w:pPr>
              <w:adjustRightInd w:val="0"/>
              <w:snapToGrid w:val="0"/>
              <w:jc w:val="center"/>
              <w:rPr>
                <w:rFonts w:ascii="宋体" w:hAnsi="宋体"/>
                <w:sz w:val="18"/>
                <w:szCs w:val="18"/>
                <w:highlight w:val="none"/>
              </w:rPr>
            </w:pPr>
          </w:p>
        </w:tc>
        <w:tc>
          <w:tcPr>
            <w:tcW w:w="1517" w:type="dxa"/>
            <w:tcBorders>
              <w:top w:val="single" w:color="auto" w:sz="6" w:space="0"/>
              <w:left w:val="single" w:color="auto" w:sz="4" w:space="0"/>
              <w:bottom w:val="single" w:color="auto" w:sz="6" w:space="0"/>
              <w:right w:val="single" w:color="auto" w:sz="4" w:space="0"/>
            </w:tcBorders>
            <w:noWrap w:val="0"/>
            <w:vAlign w:val="center"/>
          </w:tcPr>
          <w:p w14:paraId="1CF547A8">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债务融资工具承销额</w:t>
            </w:r>
          </w:p>
        </w:tc>
        <w:tc>
          <w:tcPr>
            <w:tcW w:w="604" w:type="dxa"/>
            <w:tcBorders>
              <w:top w:val="single" w:color="auto" w:sz="6" w:space="0"/>
              <w:left w:val="single" w:color="auto" w:sz="4" w:space="0"/>
              <w:bottom w:val="single" w:color="auto" w:sz="6" w:space="0"/>
              <w:right w:val="single" w:color="auto" w:sz="4" w:space="0"/>
            </w:tcBorders>
            <w:noWrap w:val="0"/>
            <w:vAlign w:val="center"/>
          </w:tcPr>
          <w:p w14:paraId="04EE8F85">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4</w:t>
            </w:r>
          </w:p>
        </w:tc>
        <w:tc>
          <w:tcPr>
            <w:tcW w:w="6308" w:type="dxa"/>
            <w:tcBorders>
              <w:left w:val="single" w:color="auto" w:sz="4" w:space="0"/>
              <w:bottom w:val="single" w:color="auto" w:sz="4" w:space="0"/>
              <w:right w:val="single" w:color="auto" w:sz="4" w:space="0"/>
            </w:tcBorders>
            <w:noWrap w:val="0"/>
            <w:vAlign w:val="center"/>
          </w:tcPr>
          <w:p w14:paraId="33C7FFBE">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对全市债务融资工具承销额排名计算得分。第1名得满分，每递减一名扣减的分值为“该项分值/竞标银行数量”。</w:t>
            </w:r>
          </w:p>
        </w:tc>
      </w:tr>
      <w:tr w14:paraId="3A553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4D90B7B5">
            <w:pPr>
              <w:adjustRightInd w:val="0"/>
              <w:snapToGrid w:val="0"/>
              <w:jc w:val="center"/>
              <w:rPr>
                <w:rFonts w:ascii="宋体" w:hAnsi="宋体"/>
                <w:sz w:val="18"/>
                <w:szCs w:val="18"/>
                <w:highlight w:val="none"/>
              </w:rPr>
            </w:pPr>
          </w:p>
        </w:tc>
        <w:tc>
          <w:tcPr>
            <w:tcW w:w="777" w:type="dxa"/>
            <w:vMerge w:val="continue"/>
            <w:tcBorders>
              <w:left w:val="single" w:color="auto" w:sz="4" w:space="0"/>
              <w:right w:val="single" w:color="auto" w:sz="4" w:space="0"/>
            </w:tcBorders>
            <w:noWrap w:val="0"/>
            <w:vAlign w:val="center"/>
          </w:tcPr>
          <w:p w14:paraId="1B48B67E">
            <w:pPr>
              <w:adjustRightInd w:val="0"/>
              <w:snapToGrid w:val="0"/>
              <w:jc w:val="center"/>
              <w:rPr>
                <w:rFonts w:ascii="宋体" w:hAnsi="宋体"/>
                <w:sz w:val="18"/>
                <w:szCs w:val="18"/>
                <w:highlight w:val="none"/>
              </w:rPr>
            </w:pPr>
          </w:p>
        </w:tc>
        <w:tc>
          <w:tcPr>
            <w:tcW w:w="1517" w:type="dxa"/>
            <w:tcBorders>
              <w:top w:val="single" w:color="auto" w:sz="6" w:space="0"/>
              <w:left w:val="single" w:color="auto" w:sz="4" w:space="0"/>
              <w:bottom w:val="single" w:color="auto" w:sz="6" w:space="0"/>
              <w:right w:val="single" w:color="auto" w:sz="4" w:space="0"/>
            </w:tcBorders>
            <w:noWrap w:val="0"/>
            <w:vAlign w:val="center"/>
          </w:tcPr>
          <w:p w14:paraId="5AD78B3A">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国有控股企业贷款额</w:t>
            </w:r>
          </w:p>
        </w:tc>
        <w:tc>
          <w:tcPr>
            <w:tcW w:w="604" w:type="dxa"/>
            <w:tcBorders>
              <w:top w:val="single" w:color="auto" w:sz="6" w:space="0"/>
              <w:left w:val="single" w:color="auto" w:sz="4" w:space="0"/>
              <w:bottom w:val="single" w:color="auto" w:sz="6" w:space="0"/>
              <w:right w:val="single" w:color="auto" w:sz="4" w:space="0"/>
            </w:tcBorders>
            <w:noWrap w:val="0"/>
            <w:vAlign w:val="center"/>
          </w:tcPr>
          <w:p w14:paraId="16A79B38">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10</w:t>
            </w:r>
          </w:p>
        </w:tc>
        <w:tc>
          <w:tcPr>
            <w:tcW w:w="6308" w:type="dxa"/>
            <w:tcBorders>
              <w:left w:val="single" w:color="auto" w:sz="4" w:space="0"/>
              <w:bottom w:val="single" w:color="auto" w:sz="4" w:space="0"/>
              <w:right w:val="single" w:color="auto" w:sz="4" w:space="0"/>
            </w:tcBorders>
            <w:noWrap w:val="0"/>
            <w:vAlign w:val="center"/>
          </w:tcPr>
          <w:p w14:paraId="0D4729DA">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对全市国有控股企业贷款额排名（5分）、全市国有控股企业贷款增幅排名（5分）分别计算得分。第1名得满分，每递减一名扣减的分值为“该项分值/竞标银行数量”。</w:t>
            </w:r>
          </w:p>
        </w:tc>
      </w:tr>
      <w:tr w14:paraId="36672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6285802C">
            <w:pPr>
              <w:adjustRightInd w:val="0"/>
              <w:snapToGrid w:val="0"/>
              <w:jc w:val="center"/>
              <w:rPr>
                <w:rFonts w:ascii="宋体" w:hAnsi="宋体"/>
                <w:sz w:val="18"/>
                <w:szCs w:val="18"/>
                <w:highlight w:val="none"/>
              </w:rPr>
            </w:pPr>
          </w:p>
        </w:tc>
        <w:tc>
          <w:tcPr>
            <w:tcW w:w="777" w:type="dxa"/>
            <w:vMerge w:val="continue"/>
            <w:tcBorders>
              <w:left w:val="single" w:color="auto" w:sz="4" w:space="0"/>
              <w:right w:val="single" w:color="auto" w:sz="4" w:space="0"/>
            </w:tcBorders>
            <w:noWrap w:val="0"/>
            <w:vAlign w:val="center"/>
          </w:tcPr>
          <w:p w14:paraId="3B74E3AB">
            <w:pPr>
              <w:adjustRightInd w:val="0"/>
              <w:snapToGrid w:val="0"/>
              <w:jc w:val="center"/>
              <w:rPr>
                <w:rFonts w:ascii="宋体" w:hAnsi="宋体"/>
                <w:sz w:val="18"/>
                <w:szCs w:val="18"/>
                <w:highlight w:val="none"/>
              </w:rPr>
            </w:pPr>
          </w:p>
        </w:tc>
        <w:tc>
          <w:tcPr>
            <w:tcW w:w="1517" w:type="dxa"/>
            <w:tcBorders>
              <w:top w:val="single" w:color="auto" w:sz="6" w:space="0"/>
              <w:left w:val="single" w:color="auto" w:sz="4" w:space="0"/>
              <w:bottom w:val="single" w:color="auto" w:sz="6" w:space="0"/>
              <w:right w:val="single" w:color="auto" w:sz="4" w:space="0"/>
            </w:tcBorders>
            <w:noWrap w:val="0"/>
            <w:vAlign w:val="center"/>
          </w:tcPr>
          <w:p w14:paraId="1A83204F">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纳税额</w:t>
            </w:r>
          </w:p>
        </w:tc>
        <w:tc>
          <w:tcPr>
            <w:tcW w:w="604" w:type="dxa"/>
            <w:tcBorders>
              <w:top w:val="single" w:color="auto" w:sz="6" w:space="0"/>
              <w:left w:val="single" w:color="auto" w:sz="4" w:space="0"/>
              <w:bottom w:val="single" w:color="auto" w:sz="6" w:space="0"/>
              <w:right w:val="single" w:color="auto" w:sz="4" w:space="0"/>
            </w:tcBorders>
            <w:noWrap w:val="0"/>
            <w:vAlign w:val="center"/>
          </w:tcPr>
          <w:p w14:paraId="7EC34003">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10</w:t>
            </w:r>
          </w:p>
        </w:tc>
        <w:tc>
          <w:tcPr>
            <w:tcW w:w="6308" w:type="dxa"/>
            <w:tcBorders>
              <w:left w:val="single" w:color="auto" w:sz="4" w:space="0"/>
              <w:bottom w:val="single" w:color="auto" w:sz="4" w:space="0"/>
              <w:right w:val="single" w:color="auto" w:sz="4" w:space="0"/>
            </w:tcBorders>
            <w:noWrap w:val="0"/>
            <w:vAlign w:val="center"/>
          </w:tcPr>
          <w:p w14:paraId="1487BF60">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对全省纳税额（不含宁波）排名（5分）、全市纳税额排名（5分）分别计算得分。第1名得满分，每递减一名扣减的分值为“该项分值/竞标银行数量”。</w:t>
            </w:r>
          </w:p>
        </w:tc>
      </w:tr>
      <w:tr w14:paraId="0309E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tcBorders>
              <w:left w:val="single" w:color="auto" w:sz="6" w:space="0"/>
              <w:right w:val="single" w:color="auto" w:sz="6" w:space="0"/>
            </w:tcBorders>
            <w:noWrap w:val="0"/>
            <w:vAlign w:val="center"/>
          </w:tcPr>
          <w:p w14:paraId="43B960B5">
            <w:pPr>
              <w:widowControl/>
              <w:adjustRightInd w:val="0"/>
              <w:snapToGrid w:val="0"/>
              <w:jc w:val="center"/>
              <w:rPr>
                <w:rFonts w:ascii="宋体" w:hAnsi="宋体" w:cs="Arial"/>
                <w:kern w:val="0"/>
                <w:sz w:val="18"/>
                <w:szCs w:val="18"/>
                <w:highlight w:val="none"/>
              </w:rPr>
            </w:pPr>
          </w:p>
        </w:tc>
        <w:tc>
          <w:tcPr>
            <w:tcW w:w="2294" w:type="dxa"/>
            <w:gridSpan w:val="2"/>
            <w:noWrap w:val="0"/>
            <w:vAlign w:val="center"/>
          </w:tcPr>
          <w:p w14:paraId="17D13D47">
            <w:pPr>
              <w:widowControl/>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在杭银行机构支持我市经济社会发展考核评价结果12分</w:t>
            </w:r>
          </w:p>
        </w:tc>
        <w:tc>
          <w:tcPr>
            <w:tcW w:w="604" w:type="dxa"/>
            <w:noWrap w:val="0"/>
            <w:vAlign w:val="center"/>
          </w:tcPr>
          <w:p w14:paraId="0B901CCA">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12</w:t>
            </w:r>
          </w:p>
        </w:tc>
        <w:tc>
          <w:tcPr>
            <w:tcW w:w="6308" w:type="dxa"/>
            <w:noWrap w:val="0"/>
            <w:vAlign w:val="center"/>
          </w:tcPr>
          <w:p w14:paraId="0F6210C8">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反映市政府对在杭银行机构支持我市经济社会发展考核评价结果，一等奖12分，二等奖9分，三等奖6分。</w:t>
            </w:r>
          </w:p>
        </w:tc>
      </w:tr>
      <w:tr w14:paraId="39106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16" w:type="dxa"/>
            <w:gridSpan w:val="3"/>
            <w:noWrap w:val="0"/>
            <w:vAlign w:val="center"/>
          </w:tcPr>
          <w:p w14:paraId="751CEEAC">
            <w:pPr>
              <w:widowControl/>
              <w:adjustRightInd w:val="0"/>
              <w:snapToGrid w:val="0"/>
              <w:jc w:val="left"/>
              <w:rPr>
                <w:rFonts w:ascii="宋体" w:hAnsi="宋体" w:cs="Arial"/>
                <w:kern w:val="0"/>
                <w:sz w:val="18"/>
                <w:szCs w:val="18"/>
                <w:highlight w:val="none"/>
              </w:rPr>
            </w:pPr>
            <w:r>
              <w:rPr>
                <w:rFonts w:hint="eastAsia" w:ascii="宋体" w:hAnsi="宋体" w:cs="Arial"/>
                <w:kern w:val="0"/>
                <w:sz w:val="18"/>
                <w:szCs w:val="18"/>
                <w:highlight w:val="none"/>
              </w:rPr>
              <w:t>存款利率指标10分</w:t>
            </w:r>
          </w:p>
        </w:tc>
        <w:tc>
          <w:tcPr>
            <w:tcW w:w="604" w:type="dxa"/>
            <w:noWrap w:val="0"/>
            <w:vAlign w:val="center"/>
          </w:tcPr>
          <w:p w14:paraId="492D7BE4">
            <w:pPr>
              <w:widowControl/>
              <w:snapToGrid w:val="0"/>
              <w:jc w:val="center"/>
              <w:rPr>
                <w:rFonts w:ascii="宋体" w:hAnsi="宋体" w:cs="Arial"/>
                <w:kern w:val="0"/>
                <w:sz w:val="18"/>
                <w:szCs w:val="18"/>
                <w:highlight w:val="none"/>
              </w:rPr>
            </w:pPr>
            <w:r>
              <w:rPr>
                <w:rFonts w:hint="eastAsia" w:ascii="宋体" w:hAnsi="宋体" w:cs="Arial"/>
                <w:kern w:val="0"/>
                <w:sz w:val="18"/>
                <w:szCs w:val="18"/>
                <w:highlight w:val="none"/>
              </w:rPr>
              <w:t>10</w:t>
            </w:r>
          </w:p>
        </w:tc>
        <w:tc>
          <w:tcPr>
            <w:tcW w:w="6308" w:type="dxa"/>
            <w:noWrap w:val="0"/>
            <w:vAlign w:val="center"/>
          </w:tcPr>
          <w:p w14:paraId="5A89C890">
            <w:pPr>
              <w:widowControl/>
              <w:snapToGrid w:val="0"/>
              <w:jc w:val="left"/>
              <w:rPr>
                <w:rFonts w:ascii="宋体" w:hAnsi="宋体" w:cs="Arial"/>
                <w:kern w:val="0"/>
                <w:sz w:val="18"/>
                <w:szCs w:val="18"/>
                <w:highlight w:val="none"/>
              </w:rPr>
            </w:pPr>
            <w:r>
              <w:rPr>
                <w:rFonts w:hint="eastAsia" w:ascii="宋体" w:hAnsi="宋体" w:cs="Arial"/>
                <w:kern w:val="0"/>
                <w:sz w:val="18"/>
                <w:szCs w:val="18"/>
                <w:highlight w:val="none"/>
              </w:rPr>
              <w:t>达到市场利率定价自律机制约定范围上限的为满分，其他银行得分=10分×投标利率÷市场利率定价自律机制约定范围上限利率。</w:t>
            </w:r>
          </w:p>
        </w:tc>
      </w:tr>
      <w:tr w14:paraId="1560D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722" w:type="dxa"/>
            <w:vMerge w:val="restart"/>
            <w:noWrap w:val="0"/>
            <w:vAlign w:val="center"/>
          </w:tcPr>
          <w:p w14:paraId="3F59A548">
            <w:pPr>
              <w:widowControl/>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服务履约水平</w:t>
            </w:r>
          </w:p>
          <w:p w14:paraId="6A3C4F32">
            <w:pPr>
              <w:widowControl/>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15</w:t>
            </w:r>
          </w:p>
          <w:p w14:paraId="5C17CC2D">
            <w:pPr>
              <w:widowControl/>
              <w:adjustRightInd w:val="0"/>
              <w:snapToGrid w:val="0"/>
              <w:jc w:val="center"/>
              <w:rPr>
                <w:rFonts w:ascii="宋体" w:hAnsi="宋体" w:cs="Arial"/>
                <w:kern w:val="0"/>
                <w:sz w:val="18"/>
                <w:szCs w:val="18"/>
                <w:highlight w:val="none"/>
              </w:rPr>
            </w:pPr>
            <w:r>
              <w:rPr>
                <w:rFonts w:hint="eastAsia" w:ascii="宋体" w:hAnsi="宋体" w:cs="Arial"/>
                <w:kern w:val="0"/>
                <w:sz w:val="18"/>
                <w:szCs w:val="18"/>
                <w:highlight w:val="none"/>
              </w:rPr>
              <w:t>分</w:t>
            </w:r>
          </w:p>
        </w:tc>
        <w:tc>
          <w:tcPr>
            <w:tcW w:w="2294" w:type="dxa"/>
            <w:gridSpan w:val="2"/>
            <w:noWrap w:val="0"/>
            <w:vAlign w:val="center"/>
          </w:tcPr>
          <w:p w14:paraId="5F3B90F5">
            <w:pPr>
              <w:widowControl/>
              <w:snapToGrid w:val="0"/>
              <w:jc w:val="center"/>
              <w:rPr>
                <w:rFonts w:hint="eastAsia" w:ascii="宋体" w:hAnsi="宋体" w:cs="Arial"/>
                <w:kern w:val="0"/>
                <w:sz w:val="18"/>
                <w:szCs w:val="18"/>
                <w:highlight w:val="none"/>
              </w:rPr>
            </w:pPr>
            <w:r>
              <w:rPr>
                <w:rFonts w:hint="eastAsia" w:ascii="宋体" w:hAnsi="宋体" w:cs="Arial"/>
                <w:kern w:val="0"/>
                <w:sz w:val="18"/>
                <w:szCs w:val="18"/>
                <w:highlight w:val="none"/>
              </w:rPr>
              <w:t>服务保障方案</w:t>
            </w:r>
          </w:p>
        </w:tc>
        <w:tc>
          <w:tcPr>
            <w:tcW w:w="604" w:type="dxa"/>
            <w:noWrap w:val="0"/>
            <w:vAlign w:val="center"/>
          </w:tcPr>
          <w:p w14:paraId="50AE629A">
            <w:pPr>
              <w:widowControl/>
              <w:snapToGrid w:val="0"/>
              <w:jc w:val="center"/>
              <w:rPr>
                <w:rFonts w:hint="eastAsia" w:ascii="宋体" w:hAnsi="宋体" w:cs="Arial"/>
                <w:kern w:val="0"/>
                <w:sz w:val="18"/>
                <w:szCs w:val="18"/>
                <w:highlight w:val="none"/>
              </w:rPr>
            </w:pPr>
            <w:r>
              <w:rPr>
                <w:rFonts w:hint="eastAsia" w:ascii="宋体" w:hAnsi="宋体" w:cs="Arial"/>
                <w:kern w:val="0"/>
                <w:sz w:val="18"/>
                <w:szCs w:val="18"/>
                <w:highlight w:val="none"/>
                <w:lang w:val="en-US" w:eastAsia="zh-CN"/>
              </w:rPr>
              <w:t>1</w:t>
            </w:r>
          </w:p>
        </w:tc>
        <w:tc>
          <w:tcPr>
            <w:tcW w:w="6308" w:type="dxa"/>
            <w:noWrap w:val="0"/>
            <w:vAlign w:val="center"/>
          </w:tcPr>
          <w:p w14:paraId="0578B808">
            <w:pPr>
              <w:widowControl/>
              <w:snapToGrid w:val="0"/>
              <w:jc w:val="left"/>
              <w:rPr>
                <w:rFonts w:hint="eastAsia" w:ascii="宋体" w:hAnsi="宋体" w:cs="Arial"/>
                <w:kern w:val="0"/>
                <w:sz w:val="18"/>
                <w:szCs w:val="18"/>
                <w:highlight w:val="none"/>
              </w:rPr>
            </w:pPr>
            <w:r>
              <w:rPr>
                <w:rFonts w:hint="eastAsia" w:ascii="宋体" w:hAnsi="宋体" w:cs="Arial"/>
                <w:kern w:val="0"/>
                <w:sz w:val="18"/>
                <w:szCs w:val="18"/>
                <w:highlight w:val="none"/>
              </w:rPr>
              <w:t>投标人提供针对本项目服务方案：如资金安全保障与风险控制方案、日常服务方案等，横向比较综合评分，不提供不得分。</w:t>
            </w:r>
          </w:p>
        </w:tc>
      </w:tr>
      <w:tr w14:paraId="192BA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2" w:type="dxa"/>
            <w:vMerge w:val="continue"/>
            <w:noWrap w:val="0"/>
            <w:vAlign w:val="center"/>
          </w:tcPr>
          <w:p w14:paraId="3B08FF7E">
            <w:pPr>
              <w:widowControl/>
              <w:adjustRightInd w:val="0"/>
              <w:snapToGrid w:val="0"/>
              <w:jc w:val="center"/>
              <w:rPr>
                <w:rFonts w:ascii="宋体" w:hAnsi="宋体" w:cs="Arial"/>
                <w:kern w:val="0"/>
                <w:sz w:val="18"/>
                <w:szCs w:val="18"/>
                <w:highlight w:val="none"/>
              </w:rPr>
            </w:pPr>
          </w:p>
        </w:tc>
        <w:tc>
          <w:tcPr>
            <w:tcW w:w="2294" w:type="dxa"/>
            <w:gridSpan w:val="2"/>
            <w:vMerge w:val="restart"/>
            <w:noWrap w:val="0"/>
            <w:vAlign w:val="center"/>
          </w:tcPr>
          <w:p w14:paraId="11FDB434">
            <w:pPr>
              <w:widowControl/>
              <w:snapToGrid w:val="0"/>
              <w:jc w:val="center"/>
              <w:rPr>
                <w:rFonts w:hint="eastAsia" w:ascii="宋体" w:hAnsi="宋体" w:eastAsia="宋体" w:cs="Arial"/>
                <w:kern w:val="0"/>
                <w:sz w:val="18"/>
                <w:szCs w:val="18"/>
                <w:highlight w:val="none"/>
                <w:lang w:eastAsia="zh-CN"/>
              </w:rPr>
            </w:pPr>
            <w:r>
              <w:rPr>
                <w:rFonts w:hint="eastAsia" w:ascii="宋体" w:hAnsi="宋体" w:eastAsia="宋体" w:cs="Arial"/>
                <w:kern w:val="0"/>
                <w:sz w:val="18"/>
                <w:szCs w:val="18"/>
                <w:highlight w:val="none"/>
                <w:lang w:eastAsia="zh-CN"/>
              </w:rPr>
              <w:t>市级民政事业发展贡献情况</w:t>
            </w:r>
          </w:p>
        </w:tc>
        <w:tc>
          <w:tcPr>
            <w:tcW w:w="604" w:type="dxa"/>
            <w:noWrap w:val="0"/>
            <w:vAlign w:val="center"/>
          </w:tcPr>
          <w:p w14:paraId="7914E5A2">
            <w:pPr>
              <w:widowControl/>
              <w:snapToGrid w:val="0"/>
              <w:jc w:val="center"/>
              <w:rPr>
                <w:rFonts w:hint="default" w:ascii="宋体" w:hAnsi="宋体" w:eastAsia="宋体" w:cs="Arial"/>
                <w:kern w:val="0"/>
                <w:sz w:val="18"/>
                <w:szCs w:val="18"/>
                <w:highlight w:val="none"/>
                <w:lang w:val="en-US" w:eastAsia="zh-CN"/>
              </w:rPr>
            </w:pPr>
            <w:r>
              <w:rPr>
                <w:rFonts w:hint="eastAsia" w:ascii="宋体" w:hAnsi="宋体" w:cs="Arial"/>
                <w:kern w:val="0"/>
                <w:sz w:val="18"/>
                <w:szCs w:val="18"/>
                <w:highlight w:val="none"/>
                <w:lang w:val="en-US" w:eastAsia="zh-CN"/>
              </w:rPr>
              <w:t>6</w:t>
            </w:r>
          </w:p>
        </w:tc>
        <w:tc>
          <w:tcPr>
            <w:tcW w:w="6308" w:type="dxa"/>
            <w:noWrap w:val="0"/>
            <w:vAlign w:val="center"/>
          </w:tcPr>
          <w:p w14:paraId="0701682F">
            <w:pPr>
              <w:widowControl/>
              <w:snapToGrid w:val="0"/>
              <w:jc w:val="left"/>
              <w:rPr>
                <w:rFonts w:hint="eastAsia" w:ascii="宋体" w:hAnsi="宋体" w:cs="Arial"/>
                <w:color w:val="auto"/>
                <w:kern w:val="0"/>
                <w:sz w:val="18"/>
                <w:szCs w:val="18"/>
                <w:highlight w:val="none"/>
              </w:rPr>
            </w:pPr>
            <w:r>
              <w:rPr>
                <w:rFonts w:hint="eastAsia" w:ascii="宋体" w:hAnsi="宋体" w:cs="Arial"/>
                <w:color w:val="auto"/>
                <w:kern w:val="0"/>
                <w:sz w:val="18"/>
                <w:szCs w:val="18"/>
                <w:highlight w:val="none"/>
              </w:rPr>
              <w:t>根据投标银行在杭所有机构</w:t>
            </w:r>
            <w:r>
              <w:rPr>
                <w:rFonts w:hint="eastAsia" w:ascii="宋体" w:hAnsi="宋体" w:cs="Arial"/>
                <w:color w:val="auto"/>
                <w:kern w:val="0"/>
                <w:sz w:val="18"/>
                <w:szCs w:val="18"/>
                <w:highlight w:val="none"/>
                <w:lang w:val="en-US" w:eastAsia="zh-CN"/>
              </w:rPr>
              <w:t>2024年度以来</w:t>
            </w:r>
            <w:r>
              <w:rPr>
                <w:rFonts w:hint="eastAsia" w:ascii="宋体" w:hAnsi="宋体" w:cs="Arial"/>
                <w:color w:val="auto"/>
                <w:kern w:val="0"/>
                <w:sz w:val="18"/>
                <w:szCs w:val="18"/>
                <w:highlight w:val="none"/>
              </w:rPr>
              <w:t>对杭州市本级的慈善捐赠款情况</w:t>
            </w:r>
            <w:r>
              <w:rPr>
                <w:rFonts w:hint="eastAsia" w:ascii="宋体" w:hAnsi="宋体" w:cs="Arial"/>
                <w:color w:val="auto"/>
                <w:kern w:val="0"/>
                <w:sz w:val="18"/>
                <w:szCs w:val="18"/>
                <w:highlight w:val="none"/>
                <w:lang w:eastAsia="zh-CN"/>
              </w:rPr>
              <w:t>，</w:t>
            </w:r>
            <w:r>
              <w:rPr>
                <w:rFonts w:hint="eastAsia" w:ascii="宋体" w:hAnsi="宋体" w:cs="Arial"/>
                <w:color w:val="auto"/>
                <w:kern w:val="0"/>
                <w:sz w:val="18"/>
                <w:szCs w:val="18"/>
                <w:highlight w:val="none"/>
              </w:rPr>
              <w:t>横向比较综合评分（</w:t>
            </w:r>
            <w:r>
              <w:rPr>
                <w:rFonts w:hint="eastAsia" w:ascii="宋体" w:hAnsi="宋体" w:cs="Arial"/>
                <w:color w:val="auto"/>
                <w:kern w:val="0"/>
                <w:sz w:val="18"/>
                <w:szCs w:val="18"/>
                <w:highlight w:val="none"/>
                <w:lang w:eastAsia="zh-CN"/>
              </w:rPr>
              <w:t>须</w:t>
            </w:r>
            <w:r>
              <w:rPr>
                <w:rFonts w:hint="eastAsia" w:ascii="宋体" w:hAnsi="宋体" w:cs="Arial"/>
                <w:color w:val="auto"/>
                <w:kern w:val="0"/>
                <w:sz w:val="18"/>
                <w:szCs w:val="18"/>
                <w:highlight w:val="none"/>
              </w:rPr>
              <w:t>提供经民政部门登记的市级慈善组织出具的证明材料</w:t>
            </w:r>
            <w:r>
              <w:rPr>
                <w:rFonts w:hint="eastAsia" w:ascii="宋体" w:hAnsi="宋体" w:cs="Arial"/>
                <w:color w:val="auto"/>
                <w:kern w:val="0"/>
                <w:sz w:val="18"/>
                <w:szCs w:val="18"/>
                <w:highlight w:val="none"/>
                <w:lang w:eastAsia="zh-CN"/>
              </w:rPr>
              <w:t>（</w:t>
            </w:r>
            <w:r>
              <w:rPr>
                <w:rFonts w:hint="eastAsia" w:ascii="宋体" w:hAnsi="宋体" w:cs="Arial"/>
                <w:color w:val="auto"/>
                <w:kern w:val="0"/>
                <w:sz w:val="18"/>
                <w:szCs w:val="18"/>
                <w:highlight w:val="none"/>
                <w:lang w:val="en-US" w:eastAsia="zh-CN"/>
              </w:rPr>
              <w:t>须体现金额</w:t>
            </w:r>
            <w:r>
              <w:rPr>
                <w:rFonts w:hint="eastAsia" w:ascii="宋体" w:hAnsi="宋体" w:cs="Arial"/>
                <w:color w:val="auto"/>
                <w:kern w:val="0"/>
                <w:sz w:val="18"/>
                <w:szCs w:val="18"/>
                <w:highlight w:val="none"/>
                <w:lang w:eastAsia="zh-CN"/>
              </w:rPr>
              <w:t>）</w:t>
            </w:r>
            <w:r>
              <w:rPr>
                <w:rFonts w:hint="eastAsia" w:ascii="宋体" w:hAnsi="宋体" w:cs="Arial"/>
                <w:color w:val="auto"/>
                <w:kern w:val="0"/>
                <w:sz w:val="18"/>
                <w:szCs w:val="18"/>
                <w:highlight w:val="none"/>
              </w:rPr>
              <w:t>，捐赠日期在本项目招标公告发布之前），不提供</w:t>
            </w:r>
            <w:r>
              <w:rPr>
                <w:rFonts w:hint="eastAsia" w:ascii="宋体" w:hAnsi="宋体" w:cs="Arial"/>
                <w:color w:val="auto"/>
                <w:kern w:val="0"/>
                <w:sz w:val="18"/>
                <w:szCs w:val="18"/>
                <w:highlight w:val="none"/>
                <w:lang w:val="en-US" w:eastAsia="zh-CN"/>
              </w:rPr>
              <w:t>或没有的</w:t>
            </w:r>
            <w:r>
              <w:rPr>
                <w:rFonts w:hint="eastAsia" w:ascii="宋体" w:hAnsi="宋体" w:cs="Arial"/>
                <w:color w:val="auto"/>
                <w:kern w:val="0"/>
                <w:sz w:val="18"/>
                <w:szCs w:val="18"/>
                <w:highlight w:val="none"/>
              </w:rPr>
              <w:t>不得分。</w:t>
            </w:r>
          </w:p>
          <w:p w14:paraId="04B64424">
            <w:pPr>
              <w:widowControl/>
              <w:snapToGrid w:val="0"/>
              <w:jc w:val="left"/>
              <w:rPr>
                <w:rFonts w:hint="default" w:eastAsia="宋体"/>
                <w:color w:val="auto"/>
                <w:highlight w:val="none"/>
                <w:lang w:val="en-US" w:eastAsia="zh-CN"/>
              </w:rPr>
            </w:pPr>
            <w:r>
              <w:rPr>
                <w:rFonts w:hint="eastAsia" w:ascii="宋体" w:hAnsi="宋体" w:cs="Arial"/>
                <w:color w:val="auto"/>
                <w:kern w:val="0"/>
                <w:sz w:val="18"/>
                <w:szCs w:val="18"/>
                <w:highlight w:val="none"/>
                <w:lang w:eastAsia="zh-CN"/>
              </w:rPr>
              <w:t>【</w:t>
            </w:r>
            <w:r>
              <w:rPr>
                <w:rFonts w:hint="eastAsia" w:ascii="宋体" w:hAnsi="宋体" w:cs="Arial"/>
                <w:color w:val="auto"/>
                <w:kern w:val="0"/>
                <w:sz w:val="18"/>
                <w:szCs w:val="18"/>
                <w:highlight w:val="none"/>
                <w:lang w:val="en-US" w:eastAsia="zh-CN"/>
              </w:rPr>
              <w:t>注：如共5家银行参与投标，A银行提供的证明的金额为4000元，B银行提供的证明的金额为3000元，C银行提供的证明的金额为2000元，D银行提供的证明的金额为1000元，E银行提供的证明的金额为0元。合计金额为10000元整。则A单位得分为：4000元/10000元*6分=2.4分；B单位得分为1.8分，以此类推。E单位不得分。】</w:t>
            </w:r>
          </w:p>
        </w:tc>
      </w:tr>
      <w:tr w14:paraId="5DB42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22" w:type="dxa"/>
            <w:vMerge w:val="continue"/>
            <w:noWrap w:val="0"/>
            <w:vAlign w:val="center"/>
          </w:tcPr>
          <w:p w14:paraId="3CE3B3E6">
            <w:pPr>
              <w:widowControl/>
              <w:adjustRightInd w:val="0"/>
              <w:snapToGrid w:val="0"/>
              <w:jc w:val="center"/>
              <w:rPr>
                <w:rFonts w:ascii="宋体" w:hAnsi="宋体" w:cs="Arial"/>
                <w:kern w:val="0"/>
                <w:sz w:val="18"/>
                <w:szCs w:val="18"/>
                <w:highlight w:val="none"/>
              </w:rPr>
            </w:pPr>
          </w:p>
        </w:tc>
        <w:tc>
          <w:tcPr>
            <w:tcW w:w="2294" w:type="dxa"/>
            <w:gridSpan w:val="2"/>
            <w:vMerge w:val="continue"/>
            <w:noWrap w:val="0"/>
            <w:vAlign w:val="center"/>
          </w:tcPr>
          <w:p w14:paraId="2A585207">
            <w:pPr>
              <w:widowControl/>
              <w:snapToGrid w:val="0"/>
              <w:jc w:val="center"/>
              <w:rPr>
                <w:rFonts w:hint="eastAsia" w:ascii="宋体" w:hAnsi="宋体" w:eastAsia="宋体" w:cs="Arial"/>
                <w:kern w:val="0"/>
                <w:sz w:val="18"/>
                <w:szCs w:val="18"/>
                <w:highlight w:val="none"/>
                <w:lang w:eastAsia="zh-CN"/>
              </w:rPr>
            </w:pPr>
          </w:p>
        </w:tc>
        <w:tc>
          <w:tcPr>
            <w:tcW w:w="604" w:type="dxa"/>
            <w:noWrap w:val="0"/>
            <w:vAlign w:val="center"/>
          </w:tcPr>
          <w:p w14:paraId="63B59E83">
            <w:pPr>
              <w:widowControl/>
              <w:snapToGrid w:val="0"/>
              <w:jc w:val="center"/>
              <w:rPr>
                <w:rFonts w:hint="default" w:ascii="宋体" w:hAnsi="宋体" w:cs="Arial"/>
                <w:kern w:val="0"/>
                <w:sz w:val="18"/>
                <w:szCs w:val="18"/>
                <w:highlight w:val="none"/>
                <w:lang w:val="en-US" w:eastAsia="zh-CN"/>
              </w:rPr>
            </w:pPr>
            <w:r>
              <w:rPr>
                <w:rFonts w:hint="eastAsia" w:ascii="宋体" w:hAnsi="宋体" w:cs="Arial"/>
                <w:kern w:val="0"/>
                <w:sz w:val="18"/>
                <w:szCs w:val="18"/>
                <w:highlight w:val="none"/>
                <w:lang w:val="en-US" w:eastAsia="zh-CN"/>
              </w:rPr>
              <w:t>8</w:t>
            </w:r>
          </w:p>
        </w:tc>
        <w:tc>
          <w:tcPr>
            <w:tcW w:w="6308" w:type="dxa"/>
            <w:noWrap w:val="0"/>
            <w:vAlign w:val="center"/>
          </w:tcPr>
          <w:p w14:paraId="4053D921">
            <w:pPr>
              <w:widowControl/>
              <w:snapToGrid w:val="0"/>
              <w:jc w:val="left"/>
              <w:rPr>
                <w:rFonts w:hint="eastAsia" w:ascii="宋体" w:hAnsi="宋体" w:eastAsia="宋体" w:cs="Arial"/>
                <w:color w:val="auto"/>
                <w:kern w:val="0"/>
                <w:sz w:val="18"/>
                <w:szCs w:val="18"/>
                <w:highlight w:val="none"/>
                <w:lang w:eastAsia="zh-CN"/>
              </w:rPr>
            </w:pPr>
            <w:r>
              <w:rPr>
                <w:rFonts w:hint="eastAsia" w:ascii="宋体" w:hAnsi="宋体" w:cs="Arial"/>
                <w:color w:val="auto"/>
                <w:kern w:val="0"/>
                <w:sz w:val="18"/>
                <w:szCs w:val="18"/>
                <w:highlight w:val="none"/>
                <w:lang w:eastAsia="zh-CN"/>
              </w:rPr>
              <w:t>2024年度以来，参与市级扶老、救孤、济困等民政事业项目，提供技术、资金、设备等支持等情况（须提供相应证明材料（合同、发票等），日期在本项目招标公告发布之前），根据规模和落实情况，横向比较综合评分，不提供不得分。</w:t>
            </w:r>
          </w:p>
        </w:tc>
      </w:tr>
    </w:tbl>
    <w:p w14:paraId="008881B8">
      <w:pPr>
        <w:pStyle w:val="72"/>
        <w:snapToGrid w:val="0"/>
        <w:spacing w:before="0"/>
        <w:ind w:firstLine="0" w:firstLineChars="0"/>
        <w:rPr>
          <w:rFonts w:ascii="宋体" w:hAnsi="宋体"/>
          <w:b/>
          <w:highlight w:val="none"/>
        </w:rPr>
      </w:pPr>
      <w:r>
        <w:rPr>
          <w:rFonts w:hint="eastAsia" w:ascii="宋体" w:hAnsi="宋体"/>
          <w:b/>
          <w:highlight w:val="none"/>
        </w:rPr>
        <w:t>23. 评标内容的保密</w:t>
      </w:r>
    </w:p>
    <w:p w14:paraId="690BF35A">
      <w:pPr>
        <w:pStyle w:val="72"/>
        <w:snapToGrid w:val="0"/>
        <w:spacing w:before="0"/>
        <w:ind w:firstLine="480"/>
        <w:rPr>
          <w:rFonts w:ascii="宋体" w:hAnsi="宋体"/>
          <w:highlight w:val="none"/>
        </w:rPr>
      </w:pPr>
      <w:r>
        <w:rPr>
          <w:rFonts w:hint="eastAsia" w:ascii="宋体" w:hAnsi="宋体"/>
          <w:highlight w:val="none"/>
        </w:rPr>
        <w:t>23.1  公开开标后，直到宣布中标单位止，凡属于审查、澄清、评价和比较投标的所有资料，都不应向投标人或与评标无关的其他人泄露。</w:t>
      </w:r>
    </w:p>
    <w:p w14:paraId="026A4A94">
      <w:pPr>
        <w:pStyle w:val="72"/>
        <w:snapToGrid w:val="0"/>
        <w:spacing w:before="0"/>
        <w:ind w:firstLine="480"/>
        <w:rPr>
          <w:rFonts w:ascii="宋体" w:hAnsi="宋体"/>
          <w:highlight w:val="none"/>
        </w:rPr>
      </w:pPr>
      <w:r>
        <w:rPr>
          <w:rFonts w:hint="eastAsia" w:ascii="宋体" w:hAnsi="宋体"/>
          <w:highlight w:val="none"/>
        </w:rPr>
        <w:t>23.2  在投标文件的审查、澄清、评价和比较以及确定中标人过程中，投标人对招标代理机构和评标小组施加影响的任何行为，都将导致取消资格。</w:t>
      </w:r>
    </w:p>
    <w:p w14:paraId="5DC52D83">
      <w:pPr>
        <w:pStyle w:val="72"/>
        <w:snapToGrid w:val="0"/>
        <w:spacing w:before="0"/>
        <w:ind w:firstLine="0" w:firstLineChars="0"/>
        <w:rPr>
          <w:rFonts w:ascii="宋体" w:hAnsi="宋体"/>
          <w:b/>
          <w:highlight w:val="none"/>
        </w:rPr>
      </w:pPr>
      <w:r>
        <w:rPr>
          <w:rFonts w:hint="eastAsia" w:ascii="宋体" w:hAnsi="宋体"/>
          <w:b/>
          <w:highlight w:val="none"/>
        </w:rPr>
        <w:t>24. 投标文件的澄清</w:t>
      </w:r>
    </w:p>
    <w:p w14:paraId="2A8F219B">
      <w:pPr>
        <w:pStyle w:val="72"/>
        <w:snapToGrid w:val="0"/>
        <w:spacing w:before="0"/>
        <w:ind w:firstLine="480"/>
        <w:rPr>
          <w:rFonts w:ascii="宋体" w:hAnsi="宋体"/>
          <w:highlight w:val="none"/>
        </w:rPr>
      </w:pPr>
      <w:r>
        <w:rPr>
          <w:rFonts w:hint="eastAsia" w:ascii="宋体" w:hAnsi="宋体"/>
          <w:highlight w:val="none"/>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14:paraId="48EED9AE">
      <w:pPr>
        <w:pStyle w:val="72"/>
        <w:snapToGrid w:val="0"/>
        <w:spacing w:before="0"/>
        <w:ind w:firstLine="0" w:firstLineChars="0"/>
        <w:rPr>
          <w:rFonts w:ascii="宋体" w:hAnsi="宋体"/>
          <w:b/>
          <w:highlight w:val="none"/>
        </w:rPr>
      </w:pPr>
      <w:r>
        <w:rPr>
          <w:rFonts w:hint="eastAsia" w:ascii="宋体" w:hAnsi="宋体"/>
          <w:b/>
          <w:highlight w:val="none"/>
        </w:rPr>
        <w:t>25. 废标</w:t>
      </w:r>
    </w:p>
    <w:p w14:paraId="5E52EC0D">
      <w:pPr>
        <w:pStyle w:val="2"/>
        <w:snapToGrid w:val="0"/>
        <w:spacing w:line="360" w:lineRule="auto"/>
        <w:rPr>
          <w:highlight w:val="none"/>
        </w:rPr>
      </w:pPr>
      <w:r>
        <w:rPr>
          <w:rFonts w:hint="eastAsia"/>
          <w:highlight w:val="none"/>
        </w:rPr>
        <w:t>在招标中，出现下列情形之一的，应予废标：</w:t>
      </w:r>
    </w:p>
    <w:p w14:paraId="37CD0DB1">
      <w:pPr>
        <w:pStyle w:val="2"/>
        <w:snapToGrid w:val="0"/>
        <w:spacing w:line="360" w:lineRule="auto"/>
        <w:rPr>
          <w:highlight w:val="none"/>
        </w:rPr>
      </w:pPr>
      <w:r>
        <w:rPr>
          <w:rFonts w:hint="eastAsia"/>
          <w:highlight w:val="none"/>
        </w:rPr>
        <w:t>(1)参与投标的银行或评标时有效投标银行的数量不足规定数量；</w:t>
      </w:r>
    </w:p>
    <w:p w14:paraId="755A640C">
      <w:pPr>
        <w:pStyle w:val="2"/>
        <w:snapToGrid w:val="0"/>
        <w:spacing w:line="360" w:lineRule="auto"/>
        <w:rPr>
          <w:highlight w:val="none"/>
        </w:rPr>
      </w:pPr>
      <w:r>
        <w:rPr>
          <w:rFonts w:hint="eastAsia"/>
          <w:highlight w:val="none"/>
        </w:rPr>
        <w:t>(2)出现影响采购公正的违法、违规行为的；</w:t>
      </w:r>
    </w:p>
    <w:p w14:paraId="7DBC4E0A">
      <w:pPr>
        <w:pStyle w:val="2"/>
        <w:snapToGrid w:val="0"/>
        <w:spacing w:line="360" w:lineRule="auto"/>
        <w:rPr>
          <w:highlight w:val="none"/>
        </w:rPr>
      </w:pPr>
      <w:r>
        <w:rPr>
          <w:rFonts w:hint="eastAsia"/>
          <w:highlight w:val="none"/>
        </w:rPr>
        <w:t>(3)因重大变故，采购任务取消的。</w:t>
      </w:r>
    </w:p>
    <w:p w14:paraId="79242301">
      <w:pPr>
        <w:pStyle w:val="2"/>
        <w:snapToGrid w:val="0"/>
        <w:spacing w:line="360" w:lineRule="auto"/>
        <w:rPr>
          <w:highlight w:val="none"/>
        </w:rPr>
      </w:pPr>
      <w:r>
        <w:rPr>
          <w:rFonts w:hint="eastAsia"/>
          <w:highlight w:val="none"/>
        </w:rPr>
        <w:t>废标后，招标代理机构应当将废标理由通知所有投标人。</w:t>
      </w:r>
    </w:p>
    <w:p w14:paraId="3A12FB29">
      <w:pPr>
        <w:pStyle w:val="2"/>
        <w:snapToGrid w:val="0"/>
        <w:spacing w:line="360" w:lineRule="auto"/>
        <w:ind w:firstLine="0" w:firstLineChars="0"/>
        <w:rPr>
          <w:b/>
          <w:highlight w:val="none"/>
        </w:rPr>
      </w:pPr>
      <w:r>
        <w:rPr>
          <w:rFonts w:hint="eastAsia"/>
          <w:b/>
          <w:highlight w:val="none"/>
        </w:rPr>
        <w:t>26.</w:t>
      </w:r>
      <w:r>
        <w:rPr>
          <w:rFonts w:hint="eastAsia"/>
          <w:b/>
          <w:spacing w:val="20"/>
          <w:highlight w:val="none"/>
        </w:rPr>
        <w:t xml:space="preserve"> 无效标</w:t>
      </w:r>
    </w:p>
    <w:p w14:paraId="02F4AA6F">
      <w:pPr>
        <w:pStyle w:val="2"/>
        <w:snapToGrid w:val="0"/>
        <w:spacing w:line="360" w:lineRule="auto"/>
        <w:ind w:firstLine="600" w:firstLineChars="250"/>
        <w:rPr>
          <w:szCs w:val="21"/>
          <w:highlight w:val="none"/>
        </w:rPr>
      </w:pPr>
      <w:r>
        <w:rPr>
          <w:rFonts w:hint="eastAsia"/>
          <w:szCs w:val="21"/>
          <w:highlight w:val="none"/>
        </w:rPr>
        <w:t>投标文件有下列情况之一的，其投标文件作无效处理：</w:t>
      </w:r>
    </w:p>
    <w:p w14:paraId="6CEC7068">
      <w:pPr>
        <w:pStyle w:val="2"/>
        <w:snapToGrid w:val="0"/>
        <w:spacing w:line="360" w:lineRule="auto"/>
        <w:ind w:firstLine="600" w:firstLineChars="250"/>
        <w:rPr>
          <w:szCs w:val="21"/>
          <w:highlight w:val="none"/>
        </w:rPr>
      </w:pPr>
      <w:r>
        <w:rPr>
          <w:rFonts w:hint="eastAsia"/>
          <w:szCs w:val="21"/>
          <w:highlight w:val="none"/>
        </w:rPr>
        <w:t>（1）《投标利率一览表》内容不完整且不接受修正意见或字迹不能辨认的或未提供；</w:t>
      </w:r>
    </w:p>
    <w:p w14:paraId="42A22FC8">
      <w:pPr>
        <w:pStyle w:val="2"/>
        <w:snapToGrid w:val="0"/>
        <w:spacing w:line="360" w:lineRule="auto"/>
        <w:ind w:firstLine="600" w:firstLineChars="250"/>
        <w:rPr>
          <w:szCs w:val="21"/>
          <w:highlight w:val="none"/>
        </w:rPr>
      </w:pPr>
      <w:r>
        <w:rPr>
          <w:rFonts w:hint="eastAsia"/>
          <w:szCs w:val="21"/>
          <w:highlight w:val="none"/>
        </w:rPr>
        <w:t>（2）资格证明文件不全的或者不符合招标文件标明的资格要求的；</w:t>
      </w:r>
    </w:p>
    <w:p w14:paraId="232A333E">
      <w:pPr>
        <w:pStyle w:val="2"/>
        <w:snapToGrid w:val="0"/>
        <w:spacing w:line="360" w:lineRule="auto"/>
        <w:ind w:firstLine="600" w:firstLineChars="250"/>
        <w:rPr>
          <w:szCs w:val="21"/>
          <w:highlight w:val="none"/>
        </w:rPr>
      </w:pPr>
      <w:r>
        <w:rPr>
          <w:rFonts w:hint="eastAsia"/>
          <w:szCs w:val="21"/>
          <w:highlight w:val="none"/>
        </w:rPr>
        <w:t>（3）投标文件未按招标文件要求签字或盖章的(如投标函、投标利率一览表、廉政承诺书、资格证明书及授权书、投标承诺函，详见招标文件第六部分投标文件格式)；</w:t>
      </w:r>
    </w:p>
    <w:p w14:paraId="13FC9E6B">
      <w:pPr>
        <w:pStyle w:val="2"/>
        <w:snapToGrid w:val="0"/>
        <w:spacing w:line="360" w:lineRule="auto"/>
        <w:ind w:firstLine="600" w:firstLineChars="250"/>
        <w:rPr>
          <w:szCs w:val="21"/>
          <w:highlight w:val="none"/>
        </w:rPr>
      </w:pPr>
      <w:r>
        <w:rPr>
          <w:rFonts w:hint="eastAsia"/>
          <w:szCs w:val="21"/>
          <w:highlight w:val="none"/>
        </w:rPr>
        <w:t>（4）同一银行出现两个支行同时投标的；</w:t>
      </w:r>
    </w:p>
    <w:p w14:paraId="5F3612E5">
      <w:pPr>
        <w:pStyle w:val="2"/>
        <w:snapToGrid w:val="0"/>
        <w:spacing w:line="360" w:lineRule="auto"/>
        <w:ind w:firstLine="600" w:firstLineChars="250"/>
        <w:rPr>
          <w:szCs w:val="21"/>
          <w:highlight w:val="none"/>
        </w:rPr>
      </w:pPr>
      <w:r>
        <w:rPr>
          <w:rFonts w:hint="eastAsia"/>
          <w:szCs w:val="21"/>
          <w:highlight w:val="none"/>
        </w:rPr>
        <w:t>（5）投标人未按招标文件变更通知更改投标文件的；</w:t>
      </w:r>
    </w:p>
    <w:p w14:paraId="243B0E57">
      <w:pPr>
        <w:pStyle w:val="2"/>
        <w:snapToGrid w:val="0"/>
        <w:spacing w:line="360" w:lineRule="auto"/>
        <w:ind w:firstLine="600" w:firstLineChars="250"/>
        <w:rPr>
          <w:szCs w:val="21"/>
          <w:highlight w:val="none"/>
        </w:rPr>
      </w:pPr>
      <w:r>
        <w:rPr>
          <w:rFonts w:hint="eastAsia"/>
          <w:szCs w:val="21"/>
          <w:highlight w:val="none"/>
        </w:rPr>
        <w:t>（6）电子投标逾期的；</w:t>
      </w:r>
    </w:p>
    <w:p w14:paraId="176CF498">
      <w:pPr>
        <w:pStyle w:val="2"/>
        <w:snapToGrid w:val="0"/>
        <w:spacing w:line="360" w:lineRule="auto"/>
        <w:ind w:firstLine="600" w:firstLineChars="250"/>
        <w:rPr>
          <w:szCs w:val="21"/>
          <w:highlight w:val="none"/>
        </w:rPr>
      </w:pPr>
      <w:r>
        <w:rPr>
          <w:rFonts w:hint="eastAsia"/>
          <w:szCs w:val="21"/>
          <w:highlight w:val="none"/>
        </w:rPr>
        <w:t>（7）投标文件内容弄虚作假的；</w:t>
      </w:r>
    </w:p>
    <w:p w14:paraId="08456344">
      <w:pPr>
        <w:pStyle w:val="2"/>
        <w:snapToGrid w:val="0"/>
        <w:spacing w:line="360" w:lineRule="auto"/>
        <w:ind w:firstLine="600" w:firstLineChars="250"/>
        <w:rPr>
          <w:szCs w:val="21"/>
          <w:highlight w:val="none"/>
        </w:rPr>
      </w:pPr>
      <w:r>
        <w:rPr>
          <w:rFonts w:hint="eastAsia"/>
          <w:szCs w:val="21"/>
          <w:highlight w:val="none"/>
        </w:rPr>
        <w:t>（8）未响应招标文件实质性要求（标注“▲”部分）的；</w:t>
      </w:r>
    </w:p>
    <w:p w14:paraId="0151DCA1">
      <w:pPr>
        <w:pStyle w:val="2"/>
        <w:snapToGrid w:val="0"/>
        <w:spacing w:line="360" w:lineRule="auto"/>
        <w:ind w:firstLine="600" w:firstLineChars="250"/>
        <w:rPr>
          <w:szCs w:val="21"/>
          <w:highlight w:val="none"/>
        </w:rPr>
      </w:pPr>
      <w:r>
        <w:rPr>
          <w:rFonts w:hint="eastAsia"/>
          <w:szCs w:val="21"/>
          <w:highlight w:val="none"/>
        </w:rPr>
        <w:t>（9）符合招标文件明确规定的其他无效投标条款的。</w:t>
      </w:r>
    </w:p>
    <w:p w14:paraId="030BCA16">
      <w:pPr>
        <w:pStyle w:val="2"/>
        <w:snapToGrid w:val="0"/>
        <w:spacing w:line="360" w:lineRule="auto"/>
        <w:rPr>
          <w:highlight w:val="none"/>
        </w:rPr>
      </w:pPr>
    </w:p>
    <w:p w14:paraId="6350BAE6">
      <w:pPr>
        <w:pStyle w:val="5"/>
        <w:jc w:val="center"/>
        <w:rPr>
          <w:rFonts w:ascii="宋体" w:hAnsi="宋体" w:eastAsia="宋体"/>
          <w:sz w:val="30"/>
          <w:highlight w:val="none"/>
        </w:rPr>
      </w:pPr>
      <w:bookmarkStart w:id="50" w:name="_Toc497397647"/>
      <w:bookmarkEnd w:id="50"/>
      <w:r>
        <w:rPr>
          <w:rFonts w:hint="eastAsia" w:ascii="宋体" w:hAnsi="宋体" w:eastAsia="宋体"/>
          <w:sz w:val="30"/>
          <w:highlight w:val="none"/>
        </w:rPr>
        <w:t>七、定标</w:t>
      </w:r>
    </w:p>
    <w:p w14:paraId="0526216C">
      <w:pPr>
        <w:pStyle w:val="2"/>
        <w:snapToGrid w:val="0"/>
        <w:spacing w:line="360" w:lineRule="auto"/>
        <w:ind w:firstLine="0" w:firstLineChars="0"/>
        <w:rPr>
          <w:b/>
          <w:highlight w:val="none"/>
        </w:rPr>
      </w:pPr>
      <w:r>
        <w:rPr>
          <w:rFonts w:hint="eastAsia"/>
          <w:b/>
          <w:highlight w:val="none"/>
        </w:rPr>
        <w:t>27. 定标</w:t>
      </w:r>
    </w:p>
    <w:p w14:paraId="2D8DEDFB">
      <w:pPr>
        <w:snapToGrid w:val="0"/>
        <w:spacing w:line="360" w:lineRule="auto"/>
        <w:ind w:firstLine="480" w:firstLineChars="200"/>
        <w:rPr>
          <w:rFonts w:ascii="宋体" w:hAnsi="宋体"/>
          <w:sz w:val="24"/>
          <w:highlight w:val="none"/>
        </w:rPr>
      </w:pPr>
      <w:r>
        <w:rPr>
          <w:rFonts w:hint="eastAsia" w:ascii="宋体" w:hAnsi="宋体"/>
          <w:sz w:val="24"/>
          <w:highlight w:val="none"/>
        </w:rPr>
        <w:t>27.1评标委员会将根据招标文件和有关规定，履行评标工作职责，以评标原则和评标办法为标准，全面衡量各投标人对招标文件的响应情况。对实质上响应招标文件的投标人，按得分高低依次排出推荐中标的投标人的先后顺序</w:t>
      </w:r>
      <w:r>
        <w:rPr>
          <w:rFonts w:hint="eastAsia" w:ascii="宋体" w:hAnsi="宋体"/>
          <w:sz w:val="24"/>
          <w:highlight w:val="none"/>
          <w:lang w:val="zh-CN"/>
        </w:rPr>
        <w:t>，并按</w:t>
      </w:r>
      <w:r>
        <w:rPr>
          <w:rFonts w:hint="eastAsia" w:ascii="宋体" w:hAnsi="宋体"/>
          <w:sz w:val="24"/>
          <w:highlight w:val="none"/>
        </w:rPr>
        <w:t>顺序</w:t>
      </w:r>
      <w:r>
        <w:rPr>
          <w:rFonts w:hint="eastAsia" w:ascii="宋体" w:hAnsi="宋体"/>
          <w:sz w:val="24"/>
          <w:highlight w:val="none"/>
          <w:lang w:val="zh-CN"/>
        </w:rPr>
        <w:t>提出授标建议</w:t>
      </w:r>
      <w:r>
        <w:rPr>
          <w:rFonts w:hint="eastAsia" w:ascii="宋体" w:hAnsi="宋体"/>
          <w:sz w:val="24"/>
          <w:highlight w:val="none"/>
        </w:rPr>
        <w:t>。得分排名相同且影响评标结果的，按自主指标得分从高到低确定先后顺序；自主指标得分也相同的按存款利率指标得分从高到低确定先后顺序；存款利率指标得分也相同的视作排名并列，以随机抽取方式确定先后顺序。评标结果报经批准，最终确定中标人。</w:t>
      </w:r>
    </w:p>
    <w:p w14:paraId="20C98CBA">
      <w:pPr>
        <w:snapToGrid w:val="0"/>
        <w:spacing w:line="360" w:lineRule="auto"/>
        <w:ind w:firstLine="480" w:firstLineChars="200"/>
        <w:rPr>
          <w:rFonts w:ascii="宋体" w:hAnsi="宋体"/>
          <w:sz w:val="24"/>
          <w:highlight w:val="none"/>
        </w:rPr>
      </w:pPr>
      <w:r>
        <w:rPr>
          <w:rFonts w:hint="eastAsia" w:ascii="宋体" w:hAnsi="宋体"/>
          <w:sz w:val="24"/>
          <w:highlight w:val="none"/>
        </w:rPr>
        <w:t>27.2如出现因中标银行自身原因导致中标资格取消的，则该银行对应的中标资格由排名顺位为后一位的银行代替，同时</w:t>
      </w:r>
      <w:r>
        <w:rPr>
          <w:rFonts w:hint="eastAsia" w:ascii="宋体" w:hAnsi="宋体"/>
          <w:sz w:val="24"/>
          <w:highlight w:val="none"/>
          <w:lang w:val="en-US" w:eastAsia="zh-CN"/>
        </w:rPr>
        <w:t>招标人</w:t>
      </w:r>
      <w:r>
        <w:rPr>
          <w:rFonts w:hint="eastAsia" w:ascii="宋体" w:hAnsi="宋体"/>
          <w:sz w:val="24"/>
          <w:highlight w:val="none"/>
        </w:rPr>
        <w:t>将取消该银行参与下一年度存款招投标项目的资格。如出现中标银行自身原因导致后续中标存款无法足额存放的，</w:t>
      </w:r>
      <w:r>
        <w:rPr>
          <w:rFonts w:hint="eastAsia" w:ascii="宋体" w:hAnsi="宋体"/>
          <w:sz w:val="24"/>
          <w:highlight w:val="none"/>
          <w:lang w:val="en-US" w:eastAsia="zh-CN"/>
        </w:rPr>
        <w:t>招标人</w:t>
      </w:r>
      <w:r>
        <w:rPr>
          <w:rFonts w:hint="eastAsia" w:ascii="宋体" w:hAnsi="宋体"/>
          <w:sz w:val="24"/>
          <w:highlight w:val="none"/>
        </w:rPr>
        <w:t>可取消尚未存放的存款的存放资格，已存放的存款的存放资格继续保留，被取消存放的中标存款可纳入下一期存款招投标。</w:t>
      </w:r>
    </w:p>
    <w:p w14:paraId="1AB51F35">
      <w:pPr>
        <w:snapToGrid w:val="0"/>
        <w:spacing w:line="360" w:lineRule="auto"/>
        <w:rPr>
          <w:rFonts w:ascii="宋体" w:hAnsi="宋体"/>
          <w:sz w:val="24"/>
          <w:highlight w:val="none"/>
          <w:lang w:val="zh-CN"/>
        </w:rPr>
      </w:pPr>
    </w:p>
    <w:p w14:paraId="7B88E986">
      <w:pPr>
        <w:pStyle w:val="5"/>
        <w:jc w:val="center"/>
        <w:rPr>
          <w:rFonts w:ascii="宋体" w:hAnsi="宋体" w:eastAsia="宋体"/>
          <w:sz w:val="30"/>
          <w:highlight w:val="none"/>
        </w:rPr>
      </w:pPr>
      <w:bookmarkStart w:id="51" w:name="_Toc497397648"/>
      <w:bookmarkEnd w:id="51"/>
      <w:r>
        <w:rPr>
          <w:rFonts w:hint="eastAsia" w:ascii="宋体" w:hAnsi="宋体" w:eastAsia="宋体"/>
          <w:sz w:val="30"/>
          <w:highlight w:val="none"/>
        </w:rPr>
        <w:t>八、合同签订及其他</w:t>
      </w:r>
    </w:p>
    <w:p w14:paraId="62F33DBE">
      <w:pPr>
        <w:pStyle w:val="2"/>
        <w:snapToGrid w:val="0"/>
        <w:spacing w:line="360" w:lineRule="auto"/>
        <w:ind w:firstLine="0" w:firstLineChars="0"/>
        <w:rPr>
          <w:b/>
          <w:highlight w:val="none"/>
        </w:rPr>
      </w:pPr>
      <w:r>
        <w:rPr>
          <w:rFonts w:hint="eastAsia"/>
          <w:b/>
          <w:highlight w:val="none"/>
        </w:rPr>
        <w:t>28. 中标书</w:t>
      </w:r>
    </w:p>
    <w:p w14:paraId="5F20E237">
      <w:pPr>
        <w:tabs>
          <w:tab w:val="left" w:pos="0"/>
        </w:tabs>
        <w:snapToGrid w:val="0"/>
        <w:spacing w:line="360" w:lineRule="auto"/>
        <w:ind w:firstLine="480"/>
        <w:rPr>
          <w:rFonts w:ascii="宋体" w:hAnsi="宋体"/>
          <w:sz w:val="24"/>
          <w:highlight w:val="none"/>
        </w:rPr>
      </w:pPr>
      <w:r>
        <w:rPr>
          <w:rFonts w:hint="eastAsia" w:ascii="宋体" w:hAnsi="宋体"/>
          <w:sz w:val="24"/>
          <w:highlight w:val="none"/>
        </w:rPr>
        <w:t>28.1招标人在评标结束之日起7个工作日内确定中标银行，招标代理机构自中标银行确定之日起2个工作日内向中标银行发出中标通知书，并在发布招标公告的网站上发布中标公告。在招标代理机构发出中标通知书前，中标银行有违反有关法律法规和本项目要求行为的，则取消该银行的中标资格。</w:t>
      </w:r>
    </w:p>
    <w:p w14:paraId="5388CB96">
      <w:pPr>
        <w:tabs>
          <w:tab w:val="left" w:pos="0"/>
        </w:tabs>
        <w:snapToGrid w:val="0"/>
        <w:spacing w:line="360" w:lineRule="auto"/>
        <w:ind w:firstLine="480"/>
        <w:rPr>
          <w:rFonts w:ascii="宋体" w:hAnsi="宋体"/>
          <w:sz w:val="24"/>
          <w:highlight w:val="none"/>
        </w:rPr>
      </w:pPr>
      <w:r>
        <w:rPr>
          <w:rFonts w:hint="eastAsia" w:ascii="宋体" w:hAnsi="宋体"/>
          <w:sz w:val="24"/>
          <w:highlight w:val="none"/>
        </w:rPr>
        <w:t>28.2中标公告发布后，中标人有违反有关法律法规或出现符合本项目取消中标资格的行为的，则取消其中标资格，不再退还其投标保证金，并根据评标委员会推荐的中标候选人先后顺序，将下一顺序单位作为中标单位，并发布中标结果更正公告，如无顺位后一位银行的，由招标代理机构组织评标委员会复议后提出对取消中标、重新组织招标等建议。</w:t>
      </w:r>
    </w:p>
    <w:p w14:paraId="7F36C3E6">
      <w:pPr>
        <w:snapToGrid w:val="0"/>
        <w:spacing w:line="360" w:lineRule="auto"/>
        <w:ind w:firstLine="480" w:firstLineChars="200"/>
        <w:jc w:val="left"/>
        <w:rPr>
          <w:rFonts w:ascii="宋体" w:hAnsi="宋体"/>
          <w:sz w:val="24"/>
          <w:highlight w:val="none"/>
        </w:rPr>
      </w:pPr>
      <w:r>
        <w:rPr>
          <w:rFonts w:hint="eastAsia" w:ascii="宋体" w:hAnsi="宋体"/>
          <w:sz w:val="24"/>
          <w:highlight w:val="none"/>
        </w:rPr>
        <w:t>28.3投标人全部接受合同条件并签订合同后，中标通知书亦成为合同的组成部分。</w:t>
      </w:r>
      <w:r>
        <w:rPr>
          <w:rFonts w:hint="eastAsia" w:ascii="宋体" w:hAnsi="宋体"/>
          <w:kern w:val="0"/>
          <w:sz w:val="24"/>
          <w:highlight w:val="none"/>
        </w:rPr>
        <w:t>如中标人签订协议后，有违反有关法律法规或出现符合本项目取消中标资格的行为的，招标人有权取消其中标资格，并根据评标委员会推荐的中标候选人先后顺序，将下一顺序单位作为中标单位，如无顺位后一位银行的，</w:t>
      </w:r>
      <w:r>
        <w:rPr>
          <w:rFonts w:hint="eastAsia" w:ascii="宋体" w:hAnsi="宋体"/>
          <w:sz w:val="24"/>
          <w:highlight w:val="none"/>
        </w:rPr>
        <w:t>由招标代理机构组织评标委员会复议后提出对取消中标、重新组织招标等建议。</w:t>
      </w:r>
    </w:p>
    <w:p w14:paraId="1F881912">
      <w:pPr>
        <w:pStyle w:val="2"/>
        <w:snapToGrid w:val="0"/>
        <w:spacing w:line="360" w:lineRule="auto"/>
        <w:ind w:firstLine="0" w:firstLineChars="0"/>
        <w:rPr>
          <w:b/>
          <w:highlight w:val="none"/>
        </w:rPr>
      </w:pPr>
      <w:r>
        <w:rPr>
          <w:rFonts w:hint="eastAsia"/>
          <w:b/>
          <w:highlight w:val="none"/>
        </w:rPr>
        <w:t>29. 合同的签订</w:t>
      </w:r>
    </w:p>
    <w:p w14:paraId="270D37D0">
      <w:pPr>
        <w:pStyle w:val="72"/>
        <w:snapToGrid w:val="0"/>
        <w:spacing w:before="0"/>
        <w:ind w:firstLine="480"/>
        <w:rPr>
          <w:rFonts w:ascii="宋体" w:hAnsi="宋体"/>
          <w:kern w:val="0"/>
          <w:szCs w:val="24"/>
          <w:highlight w:val="none"/>
        </w:rPr>
      </w:pPr>
      <w:r>
        <w:rPr>
          <w:rFonts w:hint="eastAsia" w:ascii="宋体" w:hAnsi="宋体"/>
          <w:kern w:val="0"/>
          <w:szCs w:val="24"/>
          <w:highlight w:val="none"/>
        </w:rPr>
        <w:t>29.1</w:t>
      </w:r>
      <w:r>
        <w:rPr>
          <w:rFonts w:hint="eastAsia" w:ascii="宋体" w:hAnsi="宋体"/>
          <w:kern w:val="0"/>
          <w:szCs w:val="24"/>
          <w:highlight w:val="none"/>
          <w:lang w:val="zh-CN"/>
        </w:rPr>
        <w:t>中标人按规定的日期、时间、地点，由法定代表人或授权委托人与招标人代表签订合同后生效。</w:t>
      </w:r>
    </w:p>
    <w:p w14:paraId="5879EF19">
      <w:pPr>
        <w:pStyle w:val="72"/>
        <w:snapToGrid w:val="0"/>
        <w:spacing w:before="0"/>
        <w:ind w:firstLine="480"/>
        <w:rPr>
          <w:rFonts w:ascii="宋体" w:hAnsi="宋体"/>
          <w:kern w:val="0"/>
          <w:szCs w:val="24"/>
          <w:highlight w:val="none"/>
        </w:rPr>
      </w:pPr>
      <w:r>
        <w:rPr>
          <w:rFonts w:hint="eastAsia" w:ascii="宋体" w:hAnsi="宋体"/>
          <w:kern w:val="0"/>
          <w:szCs w:val="24"/>
          <w:highlight w:val="none"/>
        </w:rPr>
        <w:t>29.2</w:t>
      </w:r>
      <w:r>
        <w:rPr>
          <w:rFonts w:hint="eastAsia" w:ascii="宋体" w:hAnsi="宋体"/>
          <w:kern w:val="0"/>
          <w:highlight w:val="none"/>
        </w:rPr>
        <w:t>中标人因不可抗力或者自身原因不能履行协议的，招标人可以与排位在中标人之后的中标候选人签订协议，以此类推。推荐中标候选人均放弃中标的，依法重新组织招标或经原审批或核准部门批准按其他方式执行。如无顺位后一位中标候选人的，招标人可按本须知第22款内容组织重新招投标。</w:t>
      </w:r>
    </w:p>
    <w:p w14:paraId="6678740C">
      <w:pPr>
        <w:snapToGrid w:val="0"/>
        <w:spacing w:line="360" w:lineRule="auto"/>
        <w:rPr>
          <w:rFonts w:ascii="宋体" w:hAnsi="宋体"/>
          <w:b/>
          <w:sz w:val="24"/>
          <w:highlight w:val="none"/>
        </w:rPr>
      </w:pPr>
      <w:r>
        <w:rPr>
          <w:rFonts w:hint="eastAsia" w:ascii="宋体" w:hAnsi="宋体"/>
          <w:b/>
          <w:sz w:val="24"/>
          <w:highlight w:val="none"/>
        </w:rPr>
        <w:t>30</w:t>
      </w:r>
      <w:r>
        <w:rPr>
          <w:rFonts w:hint="eastAsia" w:ascii="宋体" w:hAnsi="宋体"/>
          <w:b/>
          <w:kern w:val="0"/>
          <w:sz w:val="24"/>
          <w:highlight w:val="none"/>
          <w:lang w:val="zh-CN"/>
        </w:rPr>
        <w:t xml:space="preserve">. </w:t>
      </w:r>
      <w:r>
        <w:rPr>
          <w:rFonts w:hint="eastAsia" w:ascii="宋体" w:hAnsi="宋体"/>
          <w:b/>
          <w:sz w:val="24"/>
          <w:highlight w:val="none"/>
        </w:rPr>
        <w:t>解释权</w:t>
      </w:r>
    </w:p>
    <w:bookmarkEnd w:id="49"/>
    <w:p w14:paraId="2541920F">
      <w:pPr>
        <w:pStyle w:val="72"/>
        <w:snapToGrid w:val="0"/>
        <w:spacing w:before="0"/>
        <w:ind w:firstLine="480"/>
        <w:rPr>
          <w:rFonts w:ascii="宋体" w:hAnsi="宋体"/>
          <w:kern w:val="0"/>
          <w:szCs w:val="24"/>
          <w:highlight w:val="none"/>
        </w:rPr>
      </w:pPr>
      <w:bookmarkStart w:id="52" w:name="_Toc164416483"/>
      <w:r>
        <w:rPr>
          <w:rFonts w:hint="eastAsia" w:ascii="宋体" w:hAnsi="宋体"/>
          <w:kern w:val="0"/>
          <w:szCs w:val="24"/>
          <w:highlight w:val="none"/>
        </w:rPr>
        <w:t>中标银行出现以下情形之一的，招标人将及时收回存款，并有权拒绝其在以后2年内参与本单位公款竞争性存放： </w:t>
      </w:r>
    </w:p>
    <w:p w14:paraId="4FD900B4">
      <w:pPr>
        <w:pStyle w:val="72"/>
        <w:snapToGrid w:val="0"/>
        <w:spacing w:before="0"/>
        <w:ind w:firstLine="480"/>
        <w:rPr>
          <w:rFonts w:ascii="宋体" w:hAnsi="宋体"/>
          <w:kern w:val="0"/>
          <w:szCs w:val="24"/>
          <w:highlight w:val="none"/>
        </w:rPr>
      </w:pPr>
      <w:r>
        <w:rPr>
          <w:rFonts w:hint="eastAsia" w:ascii="宋体" w:hAnsi="宋体"/>
          <w:kern w:val="0"/>
          <w:szCs w:val="24"/>
          <w:highlight w:val="none"/>
        </w:rPr>
        <w:t>（1）出现资金安全事故、重大违法违规情况或财务状况恶化的； </w:t>
      </w:r>
    </w:p>
    <w:p w14:paraId="7B391314">
      <w:pPr>
        <w:pStyle w:val="72"/>
        <w:snapToGrid w:val="0"/>
        <w:spacing w:before="0"/>
        <w:ind w:firstLine="480"/>
        <w:rPr>
          <w:rFonts w:ascii="宋体" w:hAnsi="宋体"/>
          <w:kern w:val="0"/>
          <w:szCs w:val="24"/>
          <w:highlight w:val="none"/>
        </w:rPr>
      </w:pPr>
      <w:r>
        <w:rPr>
          <w:rFonts w:hint="eastAsia" w:ascii="宋体" w:hAnsi="宋体"/>
          <w:kern w:val="0"/>
          <w:szCs w:val="24"/>
          <w:highlight w:val="none"/>
        </w:rPr>
        <w:t>（2）人民银行综合评价等级降低后不符合本办法第十五条规定标准，监管部门认为存在较大运营风险的；</w:t>
      </w:r>
    </w:p>
    <w:p w14:paraId="76A6B01A">
      <w:pPr>
        <w:pStyle w:val="72"/>
        <w:snapToGrid w:val="0"/>
        <w:spacing w:before="0"/>
        <w:ind w:firstLine="480"/>
        <w:rPr>
          <w:rFonts w:ascii="宋体" w:hAnsi="宋体"/>
          <w:kern w:val="0"/>
          <w:szCs w:val="24"/>
          <w:highlight w:val="none"/>
        </w:rPr>
      </w:pPr>
      <w:r>
        <w:rPr>
          <w:rFonts w:hint="eastAsia" w:ascii="宋体" w:hAnsi="宋体"/>
          <w:kern w:val="0"/>
          <w:szCs w:val="24"/>
          <w:highlight w:val="none"/>
        </w:rPr>
        <w:t>（3）进行不正当投标的； </w:t>
      </w:r>
    </w:p>
    <w:p w14:paraId="7746024A">
      <w:pPr>
        <w:pStyle w:val="72"/>
        <w:snapToGrid w:val="0"/>
        <w:spacing w:before="0"/>
        <w:ind w:firstLine="480"/>
        <w:rPr>
          <w:rFonts w:ascii="宋体" w:hAnsi="宋体"/>
          <w:kern w:val="0"/>
          <w:szCs w:val="24"/>
          <w:highlight w:val="none"/>
        </w:rPr>
      </w:pPr>
      <w:r>
        <w:rPr>
          <w:rFonts w:hint="eastAsia" w:ascii="宋体" w:hAnsi="宋体"/>
          <w:kern w:val="0"/>
          <w:szCs w:val="24"/>
          <w:highlight w:val="none"/>
        </w:rPr>
        <w:t>（4）没有按照中标协议承诺履行相应的责任和义务的；</w:t>
      </w:r>
    </w:p>
    <w:p w14:paraId="0B25FE39">
      <w:pPr>
        <w:pStyle w:val="72"/>
        <w:snapToGrid w:val="0"/>
        <w:spacing w:before="0"/>
        <w:ind w:firstLine="480"/>
        <w:rPr>
          <w:rFonts w:ascii="宋体" w:hAnsi="宋体"/>
          <w:kern w:val="0"/>
          <w:szCs w:val="24"/>
          <w:highlight w:val="none"/>
        </w:rPr>
      </w:pPr>
      <w:r>
        <w:rPr>
          <w:rFonts w:hint="eastAsia" w:ascii="宋体" w:hAnsi="宋体"/>
          <w:kern w:val="0"/>
          <w:szCs w:val="24"/>
          <w:highlight w:val="none"/>
        </w:rPr>
        <w:t>（5）不能按规定将到期存款本息足额缴入单位账户的； </w:t>
      </w:r>
    </w:p>
    <w:p w14:paraId="06C71A5C">
      <w:pPr>
        <w:pStyle w:val="72"/>
        <w:snapToGrid w:val="0"/>
        <w:spacing w:before="0"/>
        <w:ind w:firstLine="480"/>
        <w:rPr>
          <w:rFonts w:ascii="宋体" w:hAnsi="宋体"/>
          <w:kern w:val="0"/>
          <w:szCs w:val="24"/>
          <w:highlight w:val="none"/>
        </w:rPr>
      </w:pPr>
      <w:r>
        <w:rPr>
          <w:rFonts w:hint="eastAsia" w:ascii="宋体" w:hAnsi="宋体"/>
          <w:kern w:val="0"/>
          <w:szCs w:val="24"/>
          <w:highlight w:val="none"/>
        </w:rPr>
        <w:t>（6）存在其他妨害资金安全行为的。 </w:t>
      </w:r>
    </w:p>
    <w:p w14:paraId="15EE7863">
      <w:pPr>
        <w:pStyle w:val="72"/>
        <w:snapToGrid w:val="0"/>
        <w:spacing w:before="0"/>
        <w:ind w:firstLine="480"/>
        <w:rPr>
          <w:rFonts w:ascii="宋体" w:hAnsi="宋体"/>
          <w:kern w:val="0"/>
          <w:szCs w:val="24"/>
          <w:highlight w:val="none"/>
        </w:rPr>
      </w:pPr>
    </w:p>
    <w:bookmarkEnd w:id="0"/>
    <w:bookmarkEnd w:id="1"/>
    <w:bookmarkEnd w:id="2"/>
    <w:bookmarkEnd w:id="3"/>
    <w:bookmarkEnd w:id="52"/>
    <w:p w14:paraId="2ACA9C05">
      <w:pPr>
        <w:pStyle w:val="4"/>
        <w:tabs>
          <w:tab w:val="clear" w:pos="432"/>
        </w:tabs>
        <w:spacing w:before="0" w:after="0" w:line="360" w:lineRule="auto"/>
        <w:ind w:left="431" w:firstLine="0"/>
        <w:jc w:val="center"/>
        <w:rPr>
          <w:rFonts w:ascii="宋体" w:hAnsi="宋体"/>
          <w:sz w:val="24"/>
          <w:highlight w:val="none"/>
        </w:rPr>
      </w:pPr>
      <w:bookmarkStart w:id="53" w:name="_Toc497397649"/>
      <w:bookmarkEnd w:id="53"/>
      <w:bookmarkStart w:id="54" w:name="_Toc86217003"/>
      <w:r>
        <w:rPr>
          <w:highlight w:val="none"/>
        </w:rPr>
        <w:br w:type="page"/>
      </w:r>
      <w:r>
        <w:rPr>
          <w:rFonts w:hint="eastAsia" w:ascii="宋体" w:hAnsi="宋体"/>
          <w:sz w:val="36"/>
          <w:szCs w:val="36"/>
          <w:highlight w:val="none"/>
        </w:rPr>
        <w:t>第三部分 项目技术规范和服务要求</w:t>
      </w:r>
    </w:p>
    <w:p w14:paraId="4B80042A">
      <w:pPr>
        <w:adjustRightInd w:val="0"/>
        <w:snapToGrid w:val="0"/>
        <w:spacing w:line="360" w:lineRule="auto"/>
        <w:ind w:firstLine="480" w:firstLineChars="200"/>
        <w:rPr>
          <w:rFonts w:hint="eastAsia" w:ascii="宋体" w:hAnsi="宋体"/>
          <w:b w:val="0"/>
          <w:bCs w:val="0"/>
          <w:color w:val="auto"/>
          <w:sz w:val="24"/>
        </w:rPr>
      </w:pPr>
      <w:bookmarkStart w:id="55" w:name="_Toc91899916"/>
      <w:bookmarkStart w:id="56" w:name="_Toc35401305"/>
      <w:bookmarkStart w:id="57" w:name="_Toc37243119"/>
      <w:r>
        <w:rPr>
          <w:rFonts w:hint="eastAsia" w:ascii="宋体" w:hAnsi="宋体"/>
          <w:color w:val="auto"/>
          <w:kern w:val="0"/>
          <w:sz w:val="24"/>
        </w:rPr>
        <w:t>1、</w:t>
      </w:r>
      <w:r>
        <w:rPr>
          <w:rFonts w:hint="eastAsia" w:ascii="宋体" w:hAnsi="宋体"/>
          <w:color w:val="auto"/>
          <w:sz w:val="24"/>
        </w:rPr>
        <w:t>杭州市民政局局属部分单位公款竞争性存放管理服务，本项目分</w:t>
      </w:r>
      <w:r>
        <w:rPr>
          <w:rFonts w:hint="eastAsia" w:ascii="宋体" w:hAnsi="宋体"/>
          <w:color w:val="auto"/>
          <w:sz w:val="24"/>
          <w:lang w:val="en-US" w:eastAsia="zh-CN"/>
        </w:rPr>
        <w:t>4</w:t>
      </w:r>
      <w:r>
        <w:rPr>
          <w:rFonts w:hint="eastAsia" w:ascii="宋体" w:hAnsi="宋体"/>
          <w:color w:val="auto"/>
          <w:sz w:val="24"/>
        </w:rPr>
        <w:t>个分包</w:t>
      </w:r>
      <w:r>
        <w:rPr>
          <w:rFonts w:hint="eastAsia" w:ascii="宋体" w:hAnsi="宋体"/>
          <w:color w:val="auto"/>
          <w:sz w:val="24"/>
          <w:lang w:eastAsia="zh-CN"/>
        </w:rPr>
        <w:t>，</w:t>
      </w:r>
      <w:r>
        <w:rPr>
          <w:rFonts w:hint="eastAsia" w:ascii="宋体" w:hAnsi="宋体"/>
          <w:b w:val="0"/>
          <w:bCs w:val="0"/>
          <w:color w:val="auto"/>
          <w:sz w:val="24"/>
        </w:rPr>
        <w:t>根据综合得分排序，依序确定第一名至第</w:t>
      </w:r>
      <w:r>
        <w:rPr>
          <w:rFonts w:hint="eastAsia" w:ascii="宋体" w:hAnsi="宋体"/>
          <w:b w:val="0"/>
          <w:bCs w:val="0"/>
          <w:color w:val="auto"/>
          <w:sz w:val="24"/>
          <w:lang w:val="en-US" w:eastAsia="zh-CN"/>
        </w:rPr>
        <w:t>四</w:t>
      </w:r>
      <w:r>
        <w:rPr>
          <w:rFonts w:hint="eastAsia" w:ascii="宋体" w:hAnsi="宋体"/>
          <w:b w:val="0"/>
          <w:bCs w:val="0"/>
          <w:color w:val="auto"/>
          <w:sz w:val="24"/>
        </w:rPr>
        <w:t>名作为分包1-</w:t>
      </w:r>
      <w:r>
        <w:rPr>
          <w:rFonts w:hint="eastAsia" w:ascii="宋体" w:hAnsi="宋体"/>
          <w:b w:val="0"/>
          <w:bCs w:val="0"/>
          <w:color w:val="auto"/>
          <w:sz w:val="24"/>
          <w:lang w:val="en-US" w:eastAsia="zh-CN"/>
        </w:rPr>
        <w:t>4</w:t>
      </w:r>
      <w:r>
        <w:rPr>
          <w:rFonts w:hint="eastAsia" w:ascii="宋体" w:hAnsi="宋体"/>
          <w:b w:val="0"/>
          <w:bCs w:val="0"/>
          <w:color w:val="auto"/>
          <w:sz w:val="24"/>
        </w:rPr>
        <w:t>的对应中标人：</w:t>
      </w:r>
    </w:p>
    <w:tbl>
      <w:tblPr>
        <w:tblStyle w:val="45"/>
        <w:tblW w:w="498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2"/>
        <w:gridCol w:w="3377"/>
        <w:gridCol w:w="1991"/>
        <w:gridCol w:w="1848"/>
        <w:gridCol w:w="1886"/>
      </w:tblGrid>
      <w:tr w14:paraId="646B4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414" w:type="pct"/>
            <w:vAlign w:val="center"/>
          </w:tcPr>
          <w:p w14:paraId="56EFA9F1">
            <w:pPr>
              <w:widowControl/>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rPr>
              <w:t>分包</w:t>
            </w:r>
          </w:p>
        </w:tc>
        <w:tc>
          <w:tcPr>
            <w:tcW w:w="1701" w:type="pct"/>
            <w:vAlign w:val="center"/>
          </w:tcPr>
          <w:p w14:paraId="6A08F691">
            <w:pPr>
              <w:widowControl/>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rPr>
              <w:t>单位名称</w:t>
            </w:r>
          </w:p>
        </w:tc>
        <w:tc>
          <w:tcPr>
            <w:tcW w:w="1003" w:type="pct"/>
            <w:vAlign w:val="center"/>
          </w:tcPr>
          <w:p w14:paraId="60B36F52">
            <w:pPr>
              <w:widowControl/>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color w:val="auto"/>
                <w:kern w:val="0"/>
                <w:szCs w:val="21"/>
                <w:highlight w:val="none"/>
              </w:rPr>
              <w:t>本次</w:t>
            </w:r>
            <w:r>
              <w:rPr>
                <w:rFonts w:hint="eastAsia" w:ascii="宋体" w:hAnsi="宋体" w:eastAsia="宋体" w:cs="宋体"/>
                <w:b/>
                <w:bCs/>
                <w:i w:val="0"/>
                <w:iCs w:val="0"/>
                <w:color w:val="000000"/>
                <w:kern w:val="0"/>
                <w:sz w:val="21"/>
                <w:szCs w:val="21"/>
                <w:highlight w:val="none"/>
                <w:u w:val="none"/>
                <w:lang w:val="en-US" w:eastAsia="zh-CN"/>
              </w:rPr>
              <w:t>拟存</w:t>
            </w:r>
            <w:r>
              <w:rPr>
                <w:rFonts w:hint="eastAsia" w:ascii="宋体" w:hAnsi="宋体" w:eastAsia="宋体" w:cs="宋体"/>
                <w:b/>
                <w:bCs/>
                <w:color w:val="auto"/>
                <w:kern w:val="0"/>
                <w:szCs w:val="21"/>
                <w:highlight w:val="none"/>
              </w:rPr>
              <w:t>定期</w:t>
            </w:r>
            <w:r>
              <w:rPr>
                <w:rFonts w:hint="eastAsia" w:ascii="宋体" w:hAnsi="宋体" w:eastAsia="宋体" w:cs="宋体"/>
                <w:b/>
                <w:bCs/>
                <w:i w:val="0"/>
                <w:iCs w:val="0"/>
                <w:color w:val="000000"/>
                <w:kern w:val="0"/>
                <w:sz w:val="21"/>
                <w:szCs w:val="21"/>
                <w:highlight w:val="none"/>
                <w:u w:val="none"/>
                <w:lang w:val="en-US" w:eastAsia="zh-CN"/>
              </w:rPr>
              <w:t>额度</w:t>
            </w:r>
            <w:r>
              <w:rPr>
                <w:rFonts w:hint="eastAsia" w:ascii="宋体" w:hAnsi="宋体" w:eastAsia="宋体" w:cs="宋体"/>
                <w:b/>
                <w:bCs/>
                <w:i w:val="0"/>
                <w:iCs w:val="0"/>
                <w:color w:val="000000"/>
                <w:kern w:val="0"/>
                <w:sz w:val="21"/>
                <w:szCs w:val="21"/>
                <w:highlight w:val="none"/>
                <w:u w:val="none"/>
                <w:lang w:val="en-US" w:eastAsia="zh-CN"/>
              </w:rPr>
              <w:br w:type="textWrapping"/>
            </w:r>
            <w:r>
              <w:rPr>
                <w:rFonts w:hint="eastAsia" w:ascii="宋体" w:hAnsi="宋体" w:eastAsia="宋体" w:cs="宋体"/>
                <w:b/>
                <w:bCs/>
                <w:i w:val="0"/>
                <w:iCs w:val="0"/>
                <w:color w:val="000000"/>
                <w:kern w:val="0"/>
                <w:sz w:val="21"/>
                <w:szCs w:val="21"/>
                <w:highlight w:val="none"/>
                <w:u w:val="none"/>
                <w:lang w:val="en-US" w:eastAsia="zh-CN"/>
              </w:rPr>
              <w:t>（万元）</w:t>
            </w:r>
          </w:p>
        </w:tc>
        <w:tc>
          <w:tcPr>
            <w:tcW w:w="931" w:type="pct"/>
            <w:vAlign w:val="center"/>
          </w:tcPr>
          <w:p w14:paraId="3D1F42D2">
            <w:pPr>
              <w:widowControl/>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rPr>
              <w:t>本次拟存期限（定期）</w:t>
            </w:r>
          </w:p>
        </w:tc>
        <w:tc>
          <w:tcPr>
            <w:tcW w:w="950" w:type="pct"/>
            <w:vAlign w:val="center"/>
          </w:tcPr>
          <w:p w14:paraId="1834D3AC">
            <w:pPr>
              <w:widowControl/>
              <w:jc w:val="center"/>
              <w:textAlignment w:val="center"/>
              <w:rPr>
                <w:rFonts w:hint="eastAsia" w:ascii="宋体" w:hAnsi="宋体" w:eastAsia="宋体" w:cs="宋体"/>
                <w:b/>
                <w:bCs/>
                <w:i w:val="0"/>
                <w:iCs w:val="0"/>
                <w:color w:val="000000"/>
                <w:kern w:val="0"/>
                <w:sz w:val="21"/>
                <w:szCs w:val="21"/>
                <w:highlight w:val="none"/>
                <w:u w:val="none"/>
                <w:lang w:val="en-US" w:eastAsia="zh-CN"/>
              </w:rPr>
            </w:pPr>
            <w:r>
              <w:rPr>
                <w:rFonts w:hint="eastAsia" w:ascii="宋体" w:hAnsi="宋体" w:eastAsia="宋体" w:cs="宋体"/>
                <w:b/>
                <w:bCs/>
                <w:color w:val="auto"/>
                <w:kern w:val="0"/>
                <w:szCs w:val="21"/>
                <w:highlight w:val="none"/>
              </w:rPr>
              <w:t>备    注</w:t>
            </w:r>
          </w:p>
        </w:tc>
      </w:tr>
      <w:tr w14:paraId="61BF1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414" w:type="pct"/>
            <w:vMerge w:val="restart"/>
            <w:vAlign w:val="center"/>
          </w:tcPr>
          <w:p w14:paraId="122F6D99">
            <w:pPr>
              <w:jc w:val="center"/>
              <w:rPr>
                <w:rFonts w:hint="default" w:ascii="宋体" w:hAnsi="宋体" w:eastAsia="宋体" w:cs="宋体"/>
                <w:b w:val="0"/>
                <w:bCs w:val="0"/>
                <w:i w:val="0"/>
                <w:iCs w:val="0"/>
                <w:color w:val="000000"/>
                <w:sz w:val="21"/>
                <w:szCs w:val="21"/>
                <w:highlight w:val="none"/>
                <w:u w:val="none"/>
                <w:lang w:val="en-US" w:eastAsia="zh-CN"/>
              </w:rPr>
            </w:pPr>
            <w:r>
              <w:rPr>
                <w:rFonts w:hint="eastAsia" w:ascii="宋体" w:hAnsi="宋体" w:cs="宋体"/>
                <w:b w:val="0"/>
                <w:bCs w:val="0"/>
                <w:i w:val="0"/>
                <w:iCs w:val="0"/>
                <w:color w:val="000000"/>
                <w:sz w:val="21"/>
                <w:szCs w:val="21"/>
                <w:highlight w:val="none"/>
                <w:u w:val="none"/>
                <w:lang w:val="en-US" w:eastAsia="zh-CN"/>
              </w:rPr>
              <w:t>1</w:t>
            </w:r>
          </w:p>
        </w:tc>
        <w:tc>
          <w:tcPr>
            <w:tcW w:w="1701" w:type="pct"/>
            <w:vAlign w:val="center"/>
          </w:tcPr>
          <w:p w14:paraId="6B4B22AB">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杭州市社会福利中心</w:t>
            </w:r>
          </w:p>
        </w:tc>
        <w:tc>
          <w:tcPr>
            <w:tcW w:w="1003" w:type="pct"/>
            <w:vAlign w:val="center"/>
          </w:tcPr>
          <w:p w14:paraId="7E0C03E2">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1200</w:t>
            </w:r>
          </w:p>
        </w:tc>
        <w:tc>
          <w:tcPr>
            <w:tcW w:w="931" w:type="pct"/>
            <w:vMerge w:val="restart"/>
            <w:vAlign w:val="center"/>
          </w:tcPr>
          <w:p w14:paraId="075341DE">
            <w:pPr>
              <w:widowControl/>
              <w:jc w:val="center"/>
              <w:textAlignment w:val="center"/>
              <w:rPr>
                <w:rFonts w:hint="eastAsia" w:ascii="宋体" w:hAnsi="宋体" w:eastAsia="宋体" w:cs="宋体"/>
                <w:b w:val="0"/>
                <w:bCs w:val="0"/>
                <w:i w:val="0"/>
                <w:iCs w:val="0"/>
                <w:color w:val="000000"/>
                <w:sz w:val="21"/>
                <w:szCs w:val="21"/>
                <w:highlight w:val="none"/>
                <w:u w:val="none"/>
              </w:rPr>
            </w:pPr>
            <w:r>
              <w:rPr>
                <w:rFonts w:hint="eastAsia" w:ascii="宋体" w:hAnsi="宋体" w:eastAsia="宋体" w:cs="宋体"/>
                <w:b w:val="0"/>
                <w:bCs w:val="0"/>
                <w:i w:val="0"/>
                <w:iCs w:val="0"/>
                <w:color w:val="000000"/>
                <w:kern w:val="0"/>
                <w:sz w:val="21"/>
                <w:szCs w:val="21"/>
                <w:highlight w:val="none"/>
                <w:u w:val="none"/>
                <w:lang w:val="en-US" w:eastAsia="zh-CN"/>
              </w:rPr>
              <w:t>1年</w:t>
            </w:r>
          </w:p>
        </w:tc>
        <w:tc>
          <w:tcPr>
            <w:tcW w:w="950" w:type="pct"/>
            <w:vAlign w:val="center"/>
          </w:tcPr>
          <w:p w14:paraId="49C6678B">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r>
      <w:tr w14:paraId="76FE7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414" w:type="pct"/>
            <w:vMerge w:val="continue"/>
            <w:vAlign w:val="center"/>
          </w:tcPr>
          <w:p w14:paraId="244BB1A1">
            <w:pPr>
              <w:jc w:val="center"/>
              <w:rPr>
                <w:rFonts w:hint="eastAsia" w:ascii="宋体" w:hAnsi="宋体" w:cs="宋体"/>
                <w:b w:val="0"/>
                <w:bCs w:val="0"/>
                <w:i w:val="0"/>
                <w:iCs w:val="0"/>
                <w:color w:val="000000"/>
                <w:sz w:val="21"/>
                <w:szCs w:val="21"/>
                <w:highlight w:val="none"/>
                <w:u w:val="none"/>
                <w:lang w:val="en-US" w:eastAsia="zh-CN"/>
              </w:rPr>
            </w:pPr>
          </w:p>
        </w:tc>
        <w:tc>
          <w:tcPr>
            <w:tcW w:w="1701" w:type="pct"/>
            <w:vAlign w:val="center"/>
          </w:tcPr>
          <w:p w14:paraId="09214655">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r>
              <w:rPr>
                <w:rFonts w:hint="default" w:ascii="宋体" w:hAnsi="宋体" w:eastAsia="宋体" w:cs="宋体"/>
                <w:b w:val="0"/>
                <w:bCs w:val="0"/>
                <w:i w:val="0"/>
                <w:iCs w:val="0"/>
                <w:color w:val="000000"/>
                <w:kern w:val="0"/>
                <w:sz w:val="21"/>
                <w:szCs w:val="21"/>
                <w:highlight w:val="none"/>
                <w:u w:val="none"/>
                <w:lang w:val="en-US" w:eastAsia="zh-CN"/>
              </w:rPr>
              <w:t>杭州市福利彩票发行中心</w:t>
            </w:r>
          </w:p>
        </w:tc>
        <w:tc>
          <w:tcPr>
            <w:tcW w:w="1003" w:type="pct"/>
            <w:vAlign w:val="center"/>
          </w:tcPr>
          <w:p w14:paraId="5E54EEE4">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3500</w:t>
            </w:r>
          </w:p>
        </w:tc>
        <w:tc>
          <w:tcPr>
            <w:tcW w:w="931" w:type="pct"/>
            <w:vMerge w:val="continue"/>
            <w:vAlign w:val="center"/>
          </w:tcPr>
          <w:p w14:paraId="5E77FEE0">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c>
          <w:tcPr>
            <w:tcW w:w="950" w:type="pct"/>
            <w:vAlign w:val="center"/>
          </w:tcPr>
          <w:p w14:paraId="2DD804CA">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r>
      <w:tr w14:paraId="4E808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414" w:type="pct"/>
            <w:vMerge w:val="restart"/>
            <w:vAlign w:val="center"/>
          </w:tcPr>
          <w:p w14:paraId="2D84B230">
            <w:pPr>
              <w:jc w:val="center"/>
              <w:rPr>
                <w:rFonts w:hint="default" w:ascii="宋体" w:hAnsi="宋体" w:eastAsia="宋体" w:cs="宋体"/>
                <w:b w:val="0"/>
                <w:bCs w:val="0"/>
                <w:i w:val="0"/>
                <w:iCs w:val="0"/>
                <w:color w:val="000000"/>
                <w:sz w:val="21"/>
                <w:szCs w:val="21"/>
                <w:highlight w:val="none"/>
                <w:u w:val="none"/>
                <w:lang w:val="en-US" w:eastAsia="zh-CN"/>
              </w:rPr>
            </w:pPr>
            <w:r>
              <w:rPr>
                <w:rFonts w:hint="eastAsia" w:ascii="宋体" w:hAnsi="宋体" w:cs="宋体"/>
                <w:b w:val="0"/>
                <w:bCs w:val="0"/>
                <w:i w:val="0"/>
                <w:iCs w:val="0"/>
                <w:color w:val="000000"/>
                <w:sz w:val="21"/>
                <w:szCs w:val="21"/>
                <w:highlight w:val="none"/>
                <w:u w:val="none"/>
                <w:lang w:val="en-US" w:eastAsia="zh-CN"/>
              </w:rPr>
              <w:t>2</w:t>
            </w:r>
          </w:p>
        </w:tc>
        <w:tc>
          <w:tcPr>
            <w:tcW w:w="1701" w:type="pct"/>
            <w:vAlign w:val="center"/>
          </w:tcPr>
          <w:p w14:paraId="35D96233">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杭州市南山陵园服务管理中心</w:t>
            </w:r>
          </w:p>
        </w:tc>
        <w:tc>
          <w:tcPr>
            <w:tcW w:w="1003" w:type="pct"/>
            <w:vAlign w:val="center"/>
          </w:tcPr>
          <w:p w14:paraId="35D51115">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cs="宋体"/>
                <w:b w:val="0"/>
                <w:bCs w:val="0"/>
                <w:i w:val="0"/>
                <w:iCs w:val="0"/>
                <w:color w:val="000000"/>
                <w:kern w:val="0"/>
                <w:sz w:val="21"/>
                <w:szCs w:val="21"/>
                <w:highlight w:val="none"/>
                <w:u w:val="none"/>
                <w:lang w:val="en-US" w:eastAsia="zh-CN"/>
              </w:rPr>
              <w:t>1000</w:t>
            </w:r>
          </w:p>
        </w:tc>
        <w:tc>
          <w:tcPr>
            <w:tcW w:w="931" w:type="pct"/>
            <w:vMerge w:val="continue"/>
            <w:vAlign w:val="center"/>
          </w:tcPr>
          <w:p w14:paraId="64C38A5A">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c>
          <w:tcPr>
            <w:tcW w:w="950" w:type="pct"/>
            <w:vAlign w:val="center"/>
          </w:tcPr>
          <w:p w14:paraId="6FB1490C">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r>
      <w:tr w14:paraId="0ED1F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414" w:type="pct"/>
            <w:vMerge w:val="continue"/>
            <w:vAlign w:val="center"/>
          </w:tcPr>
          <w:p w14:paraId="1AF6DE41">
            <w:pPr>
              <w:jc w:val="center"/>
              <w:rPr>
                <w:rFonts w:hint="eastAsia" w:ascii="宋体" w:hAnsi="宋体" w:cs="宋体"/>
                <w:b w:val="0"/>
                <w:bCs w:val="0"/>
                <w:i w:val="0"/>
                <w:iCs w:val="0"/>
                <w:color w:val="000000"/>
                <w:sz w:val="21"/>
                <w:szCs w:val="21"/>
                <w:highlight w:val="none"/>
                <w:u w:val="none"/>
                <w:lang w:val="en-US" w:eastAsia="zh-CN"/>
              </w:rPr>
            </w:pPr>
          </w:p>
        </w:tc>
        <w:tc>
          <w:tcPr>
            <w:tcW w:w="1701" w:type="pct"/>
            <w:vAlign w:val="center"/>
          </w:tcPr>
          <w:p w14:paraId="5BE45BFC">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杭州殡仪馆</w:t>
            </w:r>
          </w:p>
        </w:tc>
        <w:tc>
          <w:tcPr>
            <w:tcW w:w="1003" w:type="pct"/>
            <w:vAlign w:val="center"/>
          </w:tcPr>
          <w:p w14:paraId="63F626E0">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3500</w:t>
            </w:r>
          </w:p>
        </w:tc>
        <w:tc>
          <w:tcPr>
            <w:tcW w:w="931" w:type="pct"/>
            <w:vMerge w:val="continue"/>
            <w:vAlign w:val="center"/>
          </w:tcPr>
          <w:p w14:paraId="26678218">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c>
          <w:tcPr>
            <w:tcW w:w="950" w:type="pct"/>
            <w:vAlign w:val="center"/>
          </w:tcPr>
          <w:p w14:paraId="2E668F62">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r>
      <w:tr w14:paraId="25434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414" w:type="pct"/>
            <w:vAlign w:val="center"/>
          </w:tcPr>
          <w:p w14:paraId="1F5262AA">
            <w:pPr>
              <w:jc w:val="center"/>
              <w:rPr>
                <w:rFonts w:hint="default" w:ascii="宋体" w:hAnsi="宋体" w:eastAsia="宋体" w:cs="宋体"/>
                <w:b w:val="0"/>
                <w:bCs w:val="0"/>
                <w:i w:val="0"/>
                <w:iCs w:val="0"/>
                <w:color w:val="000000"/>
                <w:sz w:val="21"/>
                <w:szCs w:val="21"/>
                <w:highlight w:val="none"/>
                <w:u w:val="none"/>
                <w:lang w:val="en-US" w:eastAsia="zh-CN"/>
              </w:rPr>
            </w:pPr>
            <w:r>
              <w:rPr>
                <w:rFonts w:hint="eastAsia" w:ascii="宋体" w:hAnsi="宋体" w:cs="宋体"/>
                <w:b w:val="0"/>
                <w:bCs w:val="0"/>
                <w:i w:val="0"/>
                <w:iCs w:val="0"/>
                <w:color w:val="000000"/>
                <w:sz w:val="21"/>
                <w:szCs w:val="21"/>
                <w:highlight w:val="none"/>
                <w:u w:val="none"/>
                <w:lang w:val="en-US" w:eastAsia="zh-CN"/>
              </w:rPr>
              <w:t>3</w:t>
            </w:r>
          </w:p>
        </w:tc>
        <w:tc>
          <w:tcPr>
            <w:tcW w:w="1701" w:type="pct"/>
            <w:vAlign w:val="center"/>
          </w:tcPr>
          <w:p w14:paraId="4FB31F3A">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杭州殡仪馆</w:t>
            </w:r>
          </w:p>
        </w:tc>
        <w:tc>
          <w:tcPr>
            <w:tcW w:w="1003" w:type="pct"/>
            <w:vAlign w:val="center"/>
          </w:tcPr>
          <w:p w14:paraId="73D0A0B2">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3500</w:t>
            </w:r>
          </w:p>
        </w:tc>
        <w:tc>
          <w:tcPr>
            <w:tcW w:w="931" w:type="pct"/>
            <w:vMerge w:val="continue"/>
            <w:vAlign w:val="center"/>
          </w:tcPr>
          <w:p w14:paraId="5AF0290B">
            <w:pPr>
              <w:widowControl/>
              <w:jc w:val="center"/>
              <w:textAlignment w:val="center"/>
              <w:rPr>
                <w:rFonts w:hint="eastAsia" w:ascii="宋体" w:hAnsi="宋体" w:eastAsia="宋体" w:cs="宋体"/>
                <w:b w:val="0"/>
                <w:bCs w:val="0"/>
                <w:i w:val="0"/>
                <w:iCs w:val="0"/>
                <w:color w:val="000000"/>
                <w:sz w:val="21"/>
                <w:szCs w:val="21"/>
                <w:highlight w:val="none"/>
                <w:u w:val="none"/>
              </w:rPr>
            </w:pPr>
          </w:p>
        </w:tc>
        <w:tc>
          <w:tcPr>
            <w:tcW w:w="950" w:type="pct"/>
            <w:vAlign w:val="center"/>
          </w:tcPr>
          <w:p w14:paraId="5ED19B43">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r>
      <w:tr w14:paraId="761FC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414" w:type="pct"/>
            <w:vAlign w:val="center"/>
          </w:tcPr>
          <w:p w14:paraId="3BB09FB5">
            <w:pPr>
              <w:jc w:val="center"/>
              <w:rPr>
                <w:rFonts w:hint="default" w:ascii="宋体" w:hAnsi="宋体" w:cs="宋体"/>
                <w:b w:val="0"/>
                <w:bCs w:val="0"/>
                <w:i w:val="0"/>
                <w:iCs w:val="0"/>
                <w:color w:val="000000"/>
                <w:sz w:val="21"/>
                <w:szCs w:val="21"/>
                <w:highlight w:val="none"/>
                <w:u w:val="none"/>
                <w:lang w:val="en-US" w:eastAsia="zh-CN"/>
              </w:rPr>
            </w:pPr>
            <w:r>
              <w:rPr>
                <w:rFonts w:hint="eastAsia" w:ascii="宋体" w:hAnsi="宋体" w:cs="宋体"/>
                <w:b w:val="0"/>
                <w:bCs w:val="0"/>
                <w:i w:val="0"/>
                <w:iCs w:val="0"/>
                <w:color w:val="000000"/>
                <w:sz w:val="21"/>
                <w:szCs w:val="21"/>
                <w:highlight w:val="none"/>
                <w:u w:val="none"/>
                <w:lang w:val="en-US" w:eastAsia="zh-CN"/>
              </w:rPr>
              <w:t>4</w:t>
            </w:r>
          </w:p>
        </w:tc>
        <w:tc>
          <w:tcPr>
            <w:tcW w:w="1701" w:type="pct"/>
            <w:vAlign w:val="center"/>
          </w:tcPr>
          <w:p w14:paraId="043076D5">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杭州殡仪馆</w:t>
            </w:r>
          </w:p>
        </w:tc>
        <w:tc>
          <w:tcPr>
            <w:tcW w:w="1003" w:type="pct"/>
            <w:vAlign w:val="center"/>
          </w:tcPr>
          <w:p w14:paraId="6B7EE93C">
            <w:pPr>
              <w:widowControl/>
              <w:jc w:val="center"/>
              <w:textAlignment w:val="center"/>
              <w:rPr>
                <w:rFonts w:hint="default" w:ascii="宋体" w:hAnsi="宋体" w:eastAsia="宋体" w:cs="宋体"/>
                <w:b w:val="0"/>
                <w:bCs w:val="0"/>
                <w:i w:val="0"/>
                <w:iCs w:val="0"/>
                <w:color w:val="000000"/>
                <w:kern w:val="0"/>
                <w:sz w:val="21"/>
                <w:szCs w:val="21"/>
                <w:highlight w:val="none"/>
                <w:u w:val="none"/>
                <w:lang w:val="en-US" w:eastAsia="zh-CN"/>
              </w:rPr>
            </w:pPr>
            <w:r>
              <w:rPr>
                <w:rFonts w:hint="eastAsia" w:ascii="宋体" w:hAnsi="宋体" w:eastAsia="宋体" w:cs="宋体"/>
                <w:b w:val="0"/>
                <w:bCs w:val="0"/>
                <w:i w:val="0"/>
                <w:iCs w:val="0"/>
                <w:color w:val="000000"/>
                <w:kern w:val="0"/>
                <w:sz w:val="21"/>
                <w:szCs w:val="21"/>
                <w:highlight w:val="none"/>
                <w:u w:val="none"/>
                <w:lang w:val="en-US" w:eastAsia="zh-CN"/>
              </w:rPr>
              <w:t>3000</w:t>
            </w:r>
          </w:p>
        </w:tc>
        <w:tc>
          <w:tcPr>
            <w:tcW w:w="931" w:type="pct"/>
            <w:vMerge w:val="continue"/>
            <w:vAlign w:val="center"/>
          </w:tcPr>
          <w:p w14:paraId="71F37EB2">
            <w:pPr>
              <w:widowControl/>
              <w:jc w:val="center"/>
              <w:textAlignment w:val="center"/>
              <w:rPr>
                <w:rFonts w:hint="eastAsia" w:ascii="宋体" w:hAnsi="宋体" w:eastAsia="宋体" w:cs="宋体"/>
                <w:b w:val="0"/>
                <w:bCs w:val="0"/>
                <w:i w:val="0"/>
                <w:iCs w:val="0"/>
                <w:color w:val="000000"/>
                <w:sz w:val="21"/>
                <w:szCs w:val="21"/>
                <w:highlight w:val="none"/>
                <w:u w:val="none"/>
              </w:rPr>
            </w:pPr>
          </w:p>
        </w:tc>
        <w:tc>
          <w:tcPr>
            <w:tcW w:w="950" w:type="pct"/>
            <w:vAlign w:val="center"/>
          </w:tcPr>
          <w:p w14:paraId="6B5E6B64">
            <w:pPr>
              <w:widowControl/>
              <w:jc w:val="center"/>
              <w:textAlignment w:val="center"/>
              <w:rPr>
                <w:rFonts w:hint="eastAsia" w:ascii="宋体" w:hAnsi="宋体" w:eastAsia="宋体" w:cs="宋体"/>
                <w:b w:val="0"/>
                <w:bCs w:val="0"/>
                <w:i w:val="0"/>
                <w:iCs w:val="0"/>
                <w:color w:val="000000"/>
                <w:kern w:val="0"/>
                <w:sz w:val="21"/>
                <w:szCs w:val="21"/>
                <w:highlight w:val="none"/>
                <w:u w:val="none"/>
                <w:lang w:val="en-US" w:eastAsia="zh-CN"/>
              </w:rPr>
            </w:pPr>
          </w:p>
        </w:tc>
      </w:tr>
    </w:tbl>
    <w:p w14:paraId="57F60094">
      <w:pPr>
        <w:adjustRightInd w:val="0"/>
        <w:snapToGrid w:val="0"/>
        <w:spacing w:line="360" w:lineRule="auto"/>
        <w:ind w:firstLine="480" w:firstLineChars="200"/>
        <w:rPr>
          <w:rFonts w:hint="eastAsia" w:ascii="宋体" w:hAnsi="宋体"/>
          <w:color w:val="auto"/>
          <w:kern w:val="0"/>
          <w:sz w:val="24"/>
          <w:highlight w:val="none"/>
        </w:rPr>
      </w:pPr>
      <w:r>
        <w:rPr>
          <w:rFonts w:hint="eastAsia" w:ascii="宋体" w:hAnsi="宋体"/>
          <w:color w:val="auto"/>
          <w:kern w:val="0"/>
          <w:sz w:val="24"/>
          <w:highlight w:val="none"/>
        </w:rPr>
        <w:t>2、投标报价为定期存款年利率，定期存款年利率是指</w:t>
      </w:r>
      <w:r>
        <w:rPr>
          <w:rFonts w:hint="eastAsia" w:ascii="宋体" w:hAnsi="宋体"/>
          <w:color w:val="auto"/>
          <w:kern w:val="0"/>
          <w:sz w:val="24"/>
          <w:highlight w:val="none"/>
          <w:lang w:val="zh-CN"/>
        </w:rPr>
        <w:t>自律协议</w:t>
      </w:r>
      <w:r>
        <w:rPr>
          <w:rFonts w:hint="eastAsia" w:ascii="宋体" w:hAnsi="宋体"/>
          <w:color w:val="auto"/>
          <w:kern w:val="0"/>
          <w:sz w:val="24"/>
          <w:highlight w:val="none"/>
        </w:rPr>
        <w:t>规定范围内的存款利率，</w:t>
      </w:r>
      <w:r>
        <w:rPr>
          <w:rFonts w:hint="eastAsia" w:ascii="宋体" w:hAnsi="宋体"/>
          <w:color w:val="auto"/>
          <w:kern w:val="0"/>
          <w:sz w:val="24"/>
          <w:highlight w:val="none"/>
          <w:lang w:val="zh-CN"/>
        </w:rPr>
        <w:t>投标存款基准加点不得违反自律协议。</w:t>
      </w:r>
      <w:r>
        <w:rPr>
          <w:rFonts w:hint="eastAsia" w:ascii="宋体" w:hAnsi="宋体"/>
          <w:color w:val="auto"/>
          <w:kern w:val="0"/>
          <w:sz w:val="24"/>
          <w:highlight w:val="none"/>
        </w:rPr>
        <w:t>投标方案中不得提供理财产品。</w:t>
      </w:r>
    </w:p>
    <w:p w14:paraId="2709F00B">
      <w:pPr>
        <w:adjustRightInd w:val="0"/>
        <w:snapToGrid w:val="0"/>
        <w:spacing w:line="360" w:lineRule="auto"/>
        <w:ind w:firstLine="480" w:firstLineChars="200"/>
        <w:rPr>
          <w:rFonts w:hint="default" w:ascii="宋体" w:hAnsi="宋体" w:eastAsia="宋体"/>
          <w:color w:val="FF0000"/>
          <w:kern w:val="0"/>
          <w:sz w:val="24"/>
          <w:lang w:val="en-US" w:eastAsia="zh-CN"/>
        </w:rPr>
      </w:pPr>
      <w:r>
        <w:rPr>
          <w:rFonts w:hint="eastAsia" w:ascii="宋体" w:hAnsi="宋体"/>
          <w:color w:val="FF0000"/>
          <w:kern w:val="0"/>
          <w:sz w:val="24"/>
          <w:highlight w:val="none"/>
          <w:lang w:val="en-US" w:eastAsia="zh-CN"/>
        </w:rPr>
        <w:t>3、招标有效期：2年，招标有效期内定期存款到期后可续存原</w:t>
      </w:r>
      <w:r>
        <w:rPr>
          <w:rFonts w:hint="eastAsia" w:ascii="宋体" w:hAnsi="宋体"/>
          <w:color w:val="FF0000"/>
          <w:kern w:val="0"/>
          <w:sz w:val="24"/>
          <w:lang w:val="en-US" w:eastAsia="zh-CN"/>
        </w:rPr>
        <w:t>中标银行，但需领导班子集体研究决定，利率符合国家政策要求，且续存利率不低于市级行政事业单位在“浙江政府采购网”上公布的同类银行最近同期限中标利率。</w:t>
      </w:r>
    </w:p>
    <w:p w14:paraId="3EFC6580">
      <w:pPr>
        <w:adjustRightInd w:val="0"/>
        <w:snapToGrid w:val="0"/>
        <w:spacing w:line="360" w:lineRule="auto"/>
        <w:ind w:firstLine="480" w:firstLineChars="200"/>
        <w:rPr>
          <w:rFonts w:ascii="宋体" w:hAnsi="宋体"/>
          <w:color w:val="auto"/>
          <w:kern w:val="0"/>
          <w:sz w:val="24"/>
        </w:rPr>
      </w:pPr>
      <w:r>
        <w:rPr>
          <w:rFonts w:hint="eastAsia" w:ascii="宋体" w:hAnsi="宋体"/>
          <w:color w:val="auto"/>
          <w:kern w:val="0"/>
          <w:sz w:val="24"/>
          <w:lang w:val="en-US" w:eastAsia="zh-CN"/>
        </w:rPr>
        <w:t>4</w:t>
      </w:r>
      <w:r>
        <w:rPr>
          <w:rFonts w:hint="eastAsia" w:ascii="宋体" w:hAnsi="宋体"/>
          <w:color w:val="auto"/>
          <w:kern w:val="0"/>
          <w:sz w:val="24"/>
        </w:rPr>
        <w:t xml:space="preserve">、投标人具体工作要求： </w:t>
      </w:r>
    </w:p>
    <w:p w14:paraId="1CFDEC44">
      <w:pPr>
        <w:adjustRightInd w:val="0"/>
        <w:snapToGrid w:val="0"/>
        <w:spacing w:line="360" w:lineRule="auto"/>
        <w:ind w:firstLine="480" w:firstLineChars="200"/>
        <w:rPr>
          <w:rFonts w:ascii="宋体" w:hAnsi="宋体"/>
          <w:color w:val="auto"/>
          <w:kern w:val="0"/>
          <w:sz w:val="24"/>
        </w:rPr>
      </w:pPr>
      <w:r>
        <w:rPr>
          <w:rFonts w:hint="eastAsia" w:ascii="宋体" w:hAnsi="宋体"/>
          <w:color w:val="auto"/>
          <w:kern w:val="0"/>
          <w:sz w:val="24"/>
        </w:rPr>
        <w:t>1）无偿提供现钞、票据、对账等上门服务。</w:t>
      </w:r>
    </w:p>
    <w:p w14:paraId="312C8B94">
      <w:pPr>
        <w:adjustRightInd w:val="0"/>
        <w:snapToGrid w:val="0"/>
        <w:spacing w:line="360" w:lineRule="auto"/>
        <w:ind w:firstLine="480" w:firstLineChars="200"/>
        <w:rPr>
          <w:rFonts w:hint="eastAsia" w:ascii="宋体" w:hAnsi="宋体"/>
          <w:color w:val="auto"/>
          <w:kern w:val="0"/>
          <w:sz w:val="24"/>
        </w:rPr>
      </w:pPr>
      <w:r>
        <w:rPr>
          <w:rFonts w:hint="eastAsia" w:ascii="宋体" w:hAnsi="宋体"/>
          <w:color w:val="auto"/>
          <w:kern w:val="0"/>
          <w:sz w:val="24"/>
        </w:rPr>
        <w:t>2）地理位置便捷，通存通兑。</w:t>
      </w:r>
    </w:p>
    <w:p w14:paraId="21421206">
      <w:pPr>
        <w:adjustRightInd w:val="0"/>
        <w:snapToGrid w:val="0"/>
        <w:spacing w:line="360" w:lineRule="auto"/>
        <w:ind w:firstLine="480" w:firstLineChars="200"/>
        <w:rPr>
          <w:rFonts w:ascii="宋体" w:hAnsi="宋体"/>
          <w:color w:val="auto"/>
          <w:kern w:val="0"/>
          <w:sz w:val="24"/>
        </w:rPr>
      </w:pPr>
      <w:r>
        <w:rPr>
          <w:rFonts w:hint="eastAsia" w:ascii="宋体" w:hAnsi="宋体"/>
          <w:color w:val="auto"/>
          <w:kern w:val="0"/>
          <w:sz w:val="24"/>
          <w:lang w:val="en-US" w:eastAsia="zh-CN"/>
        </w:rPr>
        <w:t>5</w:t>
      </w:r>
      <w:r>
        <w:rPr>
          <w:rFonts w:hint="eastAsia" w:ascii="宋体" w:hAnsi="宋体"/>
          <w:color w:val="auto"/>
          <w:kern w:val="0"/>
          <w:sz w:val="24"/>
        </w:rPr>
        <w:t>、投标人应提供银行的经营合法性、经营状况证明；</w:t>
      </w:r>
    </w:p>
    <w:p w14:paraId="52A4A89E">
      <w:pPr>
        <w:adjustRightInd w:val="0"/>
        <w:snapToGrid w:val="0"/>
        <w:spacing w:line="360" w:lineRule="auto"/>
        <w:ind w:firstLine="480" w:firstLineChars="200"/>
        <w:rPr>
          <w:rFonts w:ascii="宋体" w:hAnsi="宋体"/>
          <w:color w:val="auto"/>
          <w:kern w:val="0"/>
          <w:sz w:val="24"/>
        </w:rPr>
      </w:pPr>
      <w:r>
        <w:rPr>
          <w:rFonts w:hint="eastAsia" w:ascii="宋体" w:hAnsi="宋体"/>
          <w:color w:val="auto"/>
          <w:kern w:val="0"/>
          <w:sz w:val="24"/>
          <w:lang w:val="en-US" w:eastAsia="zh-CN"/>
        </w:rPr>
        <w:t>6</w:t>
      </w:r>
      <w:r>
        <w:rPr>
          <w:rFonts w:hint="eastAsia" w:ascii="宋体" w:hAnsi="宋体"/>
          <w:color w:val="auto"/>
          <w:kern w:val="0"/>
          <w:sz w:val="24"/>
        </w:rPr>
        <w:t>、投标人应提供投标银行信息系统建设、投标银行的服务管理体系评价、对账服务分账核算服务、以往提供财政服务履约情况、提供储户风险保障方案以及拟派提供服务的支行及客户经理服务方案等</w:t>
      </w:r>
    </w:p>
    <w:p w14:paraId="2EF35E90">
      <w:pPr>
        <w:adjustRightInd w:val="0"/>
        <w:snapToGrid w:val="0"/>
        <w:spacing w:line="360" w:lineRule="auto"/>
        <w:ind w:firstLine="480" w:firstLineChars="200"/>
        <w:rPr>
          <w:rFonts w:ascii="宋体" w:hAnsi="宋体"/>
          <w:color w:val="auto"/>
          <w:kern w:val="0"/>
          <w:sz w:val="24"/>
        </w:rPr>
      </w:pPr>
      <w:r>
        <w:rPr>
          <w:rFonts w:hint="eastAsia" w:ascii="宋体" w:hAnsi="宋体"/>
          <w:color w:val="auto"/>
          <w:kern w:val="0"/>
          <w:sz w:val="24"/>
          <w:lang w:val="en-US" w:eastAsia="zh-CN"/>
        </w:rPr>
        <w:t>7</w:t>
      </w:r>
      <w:r>
        <w:rPr>
          <w:rFonts w:hint="eastAsia" w:ascii="宋体" w:hAnsi="宋体"/>
          <w:color w:val="auto"/>
          <w:kern w:val="0"/>
          <w:sz w:val="24"/>
        </w:rPr>
        <w:t>、投标人应提供在杭州的纳税、贷款、债务融资工具发行、政府采购信用融资、支持实体经济发展等指标情况。</w:t>
      </w:r>
    </w:p>
    <w:p w14:paraId="43988084">
      <w:pPr>
        <w:adjustRightInd w:val="0"/>
        <w:snapToGrid w:val="0"/>
        <w:spacing w:line="360" w:lineRule="auto"/>
        <w:ind w:firstLine="480" w:firstLineChars="200"/>
        <w:rPr>
          <w:rFonts w:ascii="宋体" w:hAnsi="宋体"/>
          <w:color w:val="auto"/>
          <w:kern w:val="0"/>
          <w:sz w:val="24"/>
        </w:rPr>
      </w:pPr>
      <w:r>
        <w:rPr>
          <w:rFonts w:hint="eastAsia" w:ascii="宋体" w:hAnsi="宋体"/>
          <w:color w:val="auto"/>
          <w:kern w:val="0"/>
          <w:sz w:val="24"/>
          <w:lang w:val="en-US" w:eastAsia="zh-CN"/>
        </w:rPr>
        <w:t>8</w:t>
      </w:r>
      <w:r>
        <w:rPr>
          <w:rFonts w:hint="eastAsia" w:ascii="宋体" w:hAnsi="宋体"/>
          <w:color w:val="auto"/>
          <w:kern w:val="0"/>
          <w:sz w:val="24"/>
        </w:rPr>
        <w:t>、本次招标中标人的存款额度并不固定，中标人须承诺接受存款分配额度。</w:t>
      </w:r>
    </w:p>
    <w:p w14:paraId="049FDD97">
      <w:pPr>
        <w:adjustRightInd w:val="0"/>
        <w:snapToGrid w:val="0"/>
        <w:spacing w:line="360" w:lineRule="auto"/>
        <w:ind w:firstLine="480" w:firstLineChars="200"/>
        <w:rPr>
          <w:rFonts w:ascii="宋体" w:hAnsi="宋体"/>
          <w:color w:val="auto"/>
          <w:sz w:val="24"/>
        </w:rPr>
      </w:pPr>
      <w:r>
        <w:rPr>
          <w:rFonts w:hint="eastAsia" w:ascii="宋体" w:hAnsi="宋体"/>
          <w:color w:val="auto"/>
          <w:kern w:val="0"/>
          <w:sz w:val="24"/>
          <w:lang w:val="en-US" w:eastAsia="zh-CN"/>
        </w:rPr>
        <w:t>9</w:t>
      </w:r>
      <w:r>
        <w:rPr>
          <w:rFonts w:hint="eastAsia" w:ascii="宋体" w:hAnsi="宋体"/>
          <w:color w:val="auto"/>
          <w:kern w:val="0"/>
          <w:sz w:val="24"/>
        </w:rPr>
        <w:t>、</w:t>
      </w:r>
      <w:r>
        <w:rPr>
          <w:rFonts w:hint="eastAsia" w:ascii="宋体" w:hAnsi="宋体"/>
          <w:color w:val="auto"/>
          <w:sz w:val="24"/>
        </w:rPr>
        <w:t>本项目存款提前支取计息方案应符合《储蓄管理条例》、《人民币单位存款管理办法》相关规定及最新政策要求。</w:t>
      </w:r>
    </w:p>
    <w:p w14:paraId="4EB7E0E3">
      <w:pPr>
        <w:snapToGrid w:val="0"/>
        <w:spacing w:line="360" w:lineRule="auto"/>
        <w:ind w:firstLine="482" w:firstLineChars="200"/>
        <w:rPr>
          <w:rFonts w:ascii="宋体" w:hAnsi="宋体"/>
          <w:b/>
          <w:bCs/>
          <w:sz w:val="24"/>
          <w:highlight w:val="none"/>
        </w:rPr>
      </w:pPr>
      <w:r>
        <w:rPr>
          <w:rFonts w:hint="eastAsia" w:ascii="宋体" w:hAnsi="宋体"/>
          <w:b/>
          <w:bCs/>
          <w:sz w:val="24"/>
          <w:highlight w:val="none"/>
        </w:rPr>
        <w:t xml:space="preserve"> </w:t>
      </w:r>
    </w:p>
    <w:p w14:paraId="79BAB949">
      <w:pPr>
        <w:snapToGrid w:val="0"/>
        <w:spacing w:line="360" w:lineRule="auto"/>
        <w:ind w:firstLine="723" w:firstLineChars="200"/>
        <w:rPr>
          <w:rFonts w:ascii="宋体" w:hAnsi="宋体"/>
          <w:b/>
          <w:bCs/>
          <w:sz w:val="36"/>
          <w:highlight w:val="none"/>
        </w:rPr>
        <w:sectPr>
          <w:pgSz w:w="11906" w:h="16838"/>
          <w:pgMar w:top="1440" w:right="1080" w:bottom="1440" w:left="1080" w:header="851" w:footer="992" w:gutter="0"/>
          <w:cols w:space="720" w:num="1"/>
          <w:docGrid w:linePitch="312" w:charSpace="0"/>
        </w:sectPr>
      </w:pPr>
    </w:p>
    <w:p w14:paraId="335FF85F">
      <w:pPr>
        <w:pStyle w:val="4"/>
        <w:tabs>
          <w:tab w:val="clear" w:pos="432"/>
        </w:tabs>
        <w:spacing w:before="0" w:after="0" w:line="360" w:lineRule="auto"/>
        <w:ind w:left="431" w:firstLine="0"/>
        <w:jc w:val="center"/>
        <w:rPr>
          <w:rFonts w:ascii="宋体" w:hAnsi="宋体"/>
          <w:sz w:val="36"/>
          <w:szCs w:val="36"/>
          <w:highlight w:val="none"/>
        </w:rPr>
      </w:pPr>
      <w:bookmarkStart w:id="58" w:name="_Toc497397650"/>
      <w:bookmarkEnd w:id="58"/>
      <w:r>
        <w:rPr>
          <w:rFonts w:hint="eastAsia" w:ascii="宋体" w:hAnsi="宋体"/>
          <w:sz w:val="36"/>
          <w:szCs w:val="36"/>
          <w:highlight w:val="none"/>
        </w:rPr>
        <w:t>第四部分 中标协议条款</w:t>
      </w:r>
    </w:p>
    <w:bookmarkEnd w:id="55"/>
    <w:bookmarkEnd w:id="56"/>
    <w:bookmarkEnd w:id="57"/>
    <w:p w14:paraId="3C1D8E6A">
      <w:pPr>
        <w:widowControl/>
        <w:spacing w:line="380" w:lineRule="exact"/>
        <w:jc w:val="center"/>
        <w:rPr>
          <w:rFonts w:ascii="宋体" w:hAnsi="宋体"/>
          <w:b/>
          <w:bCs/>
          <w:color w:val="auto"/>
          <w:kern w:val="0"/>
          <w:sz w:val="36"/>
          <w:szCs w:val="36"/>
        </w:rPr>
      </w:pPr>
      <w:r>
        <w:rPr>
          <w:rFonts w:hint="eastAsia" w:ascii="宋体" w:hAnsi="宋体"/>
          <w:b/>
          <w:bCs/>
          <w:color w:val="auto"/>
          <w:kern w:val="0"/>
          <w:sz w:val="36"/>
          <w:szCs w:val="36"/>
        </w:rPr>
        <w:t>项目协议书</w:t>
      </w:r>
    </w:p>
    <w:p w14:paraId="2FAE5EB1">
      <w:pPr>
        <w:widowControl/>
        <w:spacing w:line="380" w:lineRule="exact"/>
        <w:jc w:val="right"/>
        <w:rPr>
          <w:rFonts w:ascii="宋体" w:hAnsi="宋体"/>
          <w:b/>
          <w:bCs/>
          <w:color w:val="auto"/>
          <w:kern w:val="0"/>
          <w:sz w:val="24"/>
        </w:rPr>
      </w:pPr>
      <w:r>
        <w:rPr>
          <w:rFonts w:hint="eastAsia" w:ascii="宋体" w:hAnsi="宋体"/>
          <w:b/>
          <w:bCs/>
          <w:color w:val="auto"/>
          <w:kern w:val="0"/>
          <w:sz w:val="24"/>
        </w:rPr>
        <w:t>招标编号：</w:t>
      </w:r>
    </w:p>
    <w:p w14:paraId="630E2803">
      <w:pPr>
        <w:widowControl/>
        <w:spacing w:line="400" w:lineRule="exact"/>
        <w:rPr>
          <w:rFonts w:ascii="宋体" w:hAnsi="宋体"/>
          <w:color w:val="auto"/>
          <w:kern w:val="0"/>
          <w:sz w:val="24"/>
        </w:rPr>
      </w:pPr>
      <w:r>
        <w:rPr>
          <w:rFonts w:hint="eastAsia" w:ascii="宋体" w:hAnsi="宋体"/>
          <w:color w:val="auto"/>
          <w:kern w:val="0"/>
          <w:sz w:val="24"/>
        </w:rPr>
        <w:t>甲方：</w:t>
      </w:r>
    </w:p>
    <w:p w14:paraId="14B428C7">
      <w:pPr>
        <w:widowControl/>
        <w:spacing w:line="400" w:lineRule="exact"/>
        <w:rPr>
          <w:rFonts w:ascii="宋体" w:hAnsi="宋体"/>
          <w:color w:val="auto"/>
          <w:kern w:val="0"/>
          <w:sz w:val="24"/>
          <w:u w:val="single"/>
        </w:rPr>
      </w:pPr>
      <w:r>
        <w:rPr>
          <w:rFonts w:hint="eastAsia" w:ascii="宋体" w:hAnsi="宋体"/>
          <w:color w:val="auto"/>
          <w:kern w:val="0"/>
          <w:sz w:val="24"/>
        </w:rPr>
        <w:t>乙方：</w:t>
      </w:r>
    </w:p>
    <w:p w14:paraId="20145CBD">
      <w:pPr>
        <w:widowControl/>
        <w:spacing w:line="400" w:lineRule="exact"/>
        <w:rPr>
          <w:rFonts w:ascii="宋体" w:hAnsi="宋体"/>
          <w:color w:val="auto"/>
          <w:kern w:val="0"/>
          <w:sz w:val="24"/>
        </w:rPr>
      </w:pPr>
      <w:r>
        <w:rPr>
          <w:rFonts w:hint="eastAsia" w:ascii="宋体" w:hAnsi="宋体"/>
          <w:color w:val="auto"/>
          <w:kern w:val="0"/>
          <w:sz w:val="24"/>
        </w:rPr>
        <w:t>见证方：</w:t>
      </w:r>
    </w:p>
    <w:p w14:paraId="110D6CC2">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为明确双方在公款竞争性存放（    定期）</w:t>
      </w:r>
      <w:r>
        <w:rPr>
          <w:rFonts w:hint="eastAsia" w:ascii="宋体" w:hAnsi="宋体"/>
          <w:bCs/>
          <w:color w:val="auto"/>
          <w:kern w:val="0"/>
          <w:sz w:val="24"/>
        </w:rPr>
        <w:t>业</w:t>
      </w:r>
      <w:r>
        <w:rPr>
          <w:rFonts w:hint="eastAsia" w:ascii="宋体" w:hAnsi="宋体"/>
          <w:color w:val="auto"/>
          <w:kern w:val="0"/>
          <w:sz w:val="24"/>
        </w:rPr>
        <w:t>务活动中的权利与义务，甲、乙双方达成本协议。</w:t>
      </w:r>
    </w:p>
    <w:p w14:paraId="389672F4">
      <w:pPr>
        <w:widowControl/>
        <w:snapToGrid w:val="0"/>
        <w:spacing w:line="400" w:lineRule="exact"/>
        <w:ind w:firstLine="482" w:firstLineChars="200"/>
        <w:rPr>
          <w:rFonts w:ascii="宋体" w:hAnsi="宋体"/>
          <w:b/>
          <w:bCs/>
          <w:color w:val="auto"/>
          <w:kern w:val="0"/>
          <w:sz w:val="24"/>
        </w:rPr>
      </w:pPr>
      <w:r>
        <w:rPr>
          <w:rFonts w:hint="eastAsia" w:ascii="宋体" w:hAnsi="宋体"/>
          <w:b/>
          <w:bCs/>
          <w:color w:val="auto"/>
          <w:kern w:val="0"/>
          <w:sz w:val="24"/>
        </w:rPr>
        <w:t>一、总则</w:t>
      </w:r>
    </w:p>
    <w:p w14:paraId="6E4C7142">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第一条  根据有关法律法规和杭州市民政局关于公款竞争性存放等相关规定和要求，经甲、乙双方平等协商，签订本协议。</w:t>
      </w:r>
    </w:p>
    <w:p w14:paraId="2A566E22">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第二条  杭州市民政局通过公开招标的方式择优确定公款竞争性存放的存款银行，其存款有关的资金管理、本息收回、银行对口服务等活动适用本协议。</w:t>
      </w:r>
    </w:p>
    <w:p w14:paraId="364EA120">
      <w:pPr>
        <w:widowControl/>
        <w:snapToGrid w:val="0"/>
        <w:spacing w:line="400" w:lineRule="exact"/>
        <w:ind w:firstLine="480" w:firstLineChars="200"/>
        <w:rPr>
          <w:rFonts w:ascii="宋体" w:hAnsi="宋体"/>
          <w:color w:val="auto"/>
          <w:kern w:val="0"/>
          <w:sz w:val="24"/>
          <w:u w:val="single"/>
        </w:rPr>
      </w:pPr>
      <w:r>
        <w:rPr>
          <w:rFonts w:hint="eastAsia" w:ascii="宋体" w:hAnsi="宋体"/>
          <w:color w:val="auto"/>
          <w:kern w:val="0"/>
          <w:sz w:val="24"/>
        </w:rPr>
        <w:t>第三条 经确定，甲方在乙方开立定期存款账户，存入定期存款</w:t>
      </w:r>
      <w:r>
        <w:rPr>
          <w:rFonts w:hint="eastAsia" w:ascii="宋体" w:hAnsi="宋体"/>
          <w:color w:val="auto"/>
          <w:kern w:val="0"/>
          <w:sz w:val="24"/>
          <w:lang w:val="en-US" w:eastAsia="zh-CN"/>
        </w:rPr>
        <w:t xml:space="preserve">  </w:t>
      </w:r>
      <w:r>
        <w:rPr>
          <w:rFonts w:hint="eastAsia" w:ascii="宋体" w:hAnsi="宋体"/>
          <w:color w:val="auto"/>
          <w:kern w:val="0"/>
          <w:sz w:val="24"/>
        </w:rPr>
        <w:t>万元（大写：      ），定期存款年利率</w:t>
      </w:r>
      <w:r>
        <w:rPr>
          <w:rFonts w:hint="eastAsia" w:ascii="宋体" w:hAnsi="宋体"/>
          <w:color w:val="auto"/>
          <w:kern w:val="0"/>
          <w:sz w:val="24"/>
          <w:lang w:val="en-US" w:eastAsia="zh-CN"/>
        </w:rPr>
        <w:t xml:space="preserve">  </w:t>
      </w:r>
      <w:r>
        <w:rPr>
          <w:rFonts w:hint="eastAsia" w:ascii="宋体" w:hAnsi="宋体"/>
          <w:color w:val="auto"/>
          <w:kern w:val="0"/>
          <w:sz w:val="24"/>
        </w:rPr>
        <w:t>%，此定期存款年利率不受中国人民银行存款基准利率及上浮比例和其他因素调整而调整。乙方拟派客户经理。</w:t>
      </w:r>
    </w:p>
    <w:p w14:paraId="4667D74E">
      <w:pPr>
        <w:widowControl/>
        <w:snapToGrid w:val="0"/>
        <w:spacing w:line="400" w:lineRule="exact"/>
        <w:ind w:firstLine="482" w:firstLineChars="200"/>
        <w:rPr>
          <w:rFonts w:ascii="宋体" w:hAnsi="宋体"/>
          <w:b/>
          <w:bCs/>
          <w:color w:val="auto"/>
          <w:kern w:val="0"/>
          <w:sz w:val="24"/>
        </w:rPr>
      </w:pPr>
      <w:r>
        <w:rPr>
          <w:rFonts w:hint="eastAsia" w:ascii="宋体" w:hAnsi="宋体"/>
          <w:b/>
          <w:bCs/>
          <w:color w:val="auto"/>
          <w:kern w:val="0"/>
          <w:sz w:val="24"/>
        </w:rPr>
        <w:t>二、甲方权利与义务。</w:t>
      </w:r>
    </w:p>
    <w:p w14:paraId="315D4D4D">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（一）甲方权利主要包括：</w:t>
      </w:r>
    </w:p>
    <w:p w14:paraId="347BBDC1">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1. 要求乙方提供存款证明；</w:t>
      </w:r>
    </w:p>
    <w:p w14:paraId="1176590A">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2. 对存在乙方的定期存款业务实施监督管理；</w:t>
      </w:r>
    </w:p>
    <w:p w14:paraId="1F9EA2B9">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3. 可提前支取账户内的资金。</w:t>
      </w:r>
    </w:p>
    <w:p w14:paraId="4312A7D5">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（二）甲方义务主要包括：</w:t>
      </w:r>
    </w:p>
    <w:p w14:paraId="00BCBF93">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1.按规定划拨定期存款资金。</w:t>
      </w:r>
    </w:p>
    <w:p w14:paraId="4B7C7499">
      <w:pPr>
        <w:widowControl/>
        <w:snapToGrid w:val="0"/>
        <w:spacing w:line="400" w:lineRule="exact"/>
        <w:ind w:firstLine="482" w:firstLineChars="200"/>
        <w:rPr>
          <w:rFonts w:ascii="宋体" w:hAnsi="宋体"/>
          <w:b/>
          <w:bCs/>
          <w:color w:val="auto"/>
          <w:kern w:val="0"/>
          <w:sz w:val="24"/>
        </w:rPr>
      </w:pPr>
      <w:r>
        <w:rPr>
          <w:rFonts w:hint="eastAsia" w:ascii="宋体" w:hAnsi="宋体"/>
          <w:b/>
          <w:bCs/>
          <w:color w:val="auto"/>
          <w:kern w:val="0"/>
          <w:sz w:val="24"/>
        </w:rPr>
        <w:t>三、乙方权利与义务。</w:t>
      </w:r>
    </w:p>
    <w:p w14:paraId="1B52504B">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（一）乙方权利主要包括：</w:t>
      </w:r>
    </w:p>
    <w:p w14:paraId="08FE3F30">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1.参与甲方组织的公款竞争性存放工作；</w:t>
      </w:r>
    </w:p>
    <w:p w14:paraId="6873579B">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2.按约定金额存放甲方定期存款。</w:t>
      </w:r>
    </w:p>
    <w:p w14:paraId="2D9AF752">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（二）乙方义务主要包括：</w:t>
      </w:r>
    </w:p>
    <w:p w14:paraId="592C0FAC">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1.按规定向甲方预留印鉴、办理账户信息备案手续；</w:t>
      </w:r>
    </w:p>
    <w:p w14:paraId="46827693">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2.向甲方提供存款证明；</w:t>
      </w:r>
    </w:p>
    <w:p w14:paraId="476718D9">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3.存款到期及时足额缴清甲方存款本息；</w:t>
      </w:r>
    </w:p>
    <w:p w14:paraId="32FE860F">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4.确保甲方定期存款存续期间的资金安全；</w:t>
      </w:r>
    </w:p>
    <w:p w14:paraId="680F4692">
      <w:pPr>
        <w:widowControl/>
        <w:snapToGrid w:val="0"/>
        <w:spacing w:line="400" w:lineRule="exact"/>
        <w:ind w:firstLine="480" w:firstLineChars="200"/>
        <w:rPr>
          <w:rFonts w:ascii="宋体" w:hAnsi="宋体"/>
          <w:b/>
          <w:bCs/>
          <w:color w:val="auto"/>
          <w:kern w:val="0"/>
          <w:sz w:val="24"/>
        </w:rPr>
      </w:pPr>
      <w:r>
        <w:rPr>
          <w:rFonts w:hint="eastAsia" w:ascii="宋体" w:hAnsi="宋体"/>
          <w:color w:val="auto"/>
          <w:kern w:val="0"/>
          <w:sz w:val="24"/>
        </w:rPr>
        <w:t>5.接受甲方对定期存款业务的监督管理。</w:t>
      </w:r>
    </w:p>
    <w:p w14:paraId="301A48F9">
      <w:pPr>
        <w:widowControl/>
        <w:snapToGrid w:val="0"/>
        <w:spacing w:line="400" w:lineRule="exact"/>
        <w:ind w:firstLine="482" w:firstLineChars="200"/>
        <w:rPr>
          <w:rFonts w:ascii="宋体" w:hAnsi="宋体"/>
          <w:b/>
          <w:bCs/>
          <w:color w:val="auto"/>
          <w:kern w:val="0"/>
          <w:sz w:val="24"/>
        </w:rPr>
      </w:pPr>
    </w:p>
    <w:p w14:paraId="0BD8208B">
      <w:pPr>
        <w:widowControl/>
        <w:snapToGrid w:val="0"/>
        <w:spacing w:line="400" w:lineRule="exact"/>
        <w:ind w:firstLine="482" w:firstLineChars="200"/>
        <w:rPr>
          <w:rFonts w:ascii="宋体" w:hAnsi="宋体"/>
          <w:b/>
          <w:bCs/>
          <w:color w:val="auto"/>
          <w:kern w:val="0"/>
          <w:sz w:val="24"/>
        </w:rPr>
      </w:pPr>
      <w:r>
        <w:rPr>
          <w:rFonts w:hint="eastAsia" w:ascii="宋体" w:hAnsi="宋体"/>
          <w:b/>
          <w:bCs/>
          <w:color w:val="auto"/>
          <w:kern w:val="0"/>
          <w:sz w:val="24"/>
        </w:rPr>
        <w:t>四、违约责任。</w:t>
      </w:r>
    </w:p>
    <w:p w14:paraId="0799A6BA">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除发生不可抗力外，违约责任按以下条款履行：</w:t>
      </w:r>
    </w:p>
    <w:p w14:paraId="00172CFE">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1.乙方未及时向甲方缴清到期存款本息的，应以当期存款协议中定期存款利率的两倍折成日利率，按日向甲方支付违约金；本协议签订后，应于七个工作日内完成定期存款存放工作，若乙方未能按约完成定期存款存放工作，应于协议签订之日起至定期存款存放之日止以当期存款协议中定期存款利率的两倍折成日利率，按日向甲方支付违约金。</w:t>
      </w:r>
    </w:p>
    <w:p w14:paraId="2A41AE75">
      <w:pPr>
        <w:widowControl/>
        <w:snapToGrid w:val="0"/>
        <w:spacing w:line="400" w:lineRule="exact"/>
        <w:ind w:firstLine="480" w:firstLineChars="200"/>
        <w:rPr>
          <w:rFonts w:ascii="宋体" w:hAnsi="宋体"/>
          <w:color w:val="auto"/>
        </w:rPr>
      </w:pPr>
      <w:r>
        <w:rPr>
          <w:rFonts w:hint="eastAsia" w:ascii="宋体" w:hAnsi="宋体"/>
          <w:color w:val="auto"/>
          <w:kern w:val="0"/>
          <w:sz w:val="24"/>
        </w:rPr>
        <w:t>2.乙方有下列情形之一的，甲方有权提前收回定期存款，并取消乙方在以后各期的竞争性存放投标资格：</w:t>
      </w:r>
    </w:p>
    <w:p w14:paraId="55B04EC3">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⑴出现资金安全事故和重大违法违规情况或财务恶化；</w:t>
      </w:r>
    </w:p>
    <w:p w14:paraId="06ADFEF4">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⑵监管评级降低，监管部门认为存在较大运营风险；</w:t>
      </w:r>
    </w:p>
    <w:p w14:paraId="6F9E9E08">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⑶进行严重不正当投标；</w:t>
      </w:r>
    </w:p>
    <w:p w14:paraId="12BE9D24">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⑷未按照中标协议承诺履行相应的责任和义务；</w:t>
      </w:r>
    </w:p>
    <w:p w14:paraId="5C022B75">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⑸擅自降低服务条件和服务内容；</w:t>
      </w:r>
    </w:p>
    <w:p w14:paraId="53C99555">
      <w:pPr>
        <w:widowControl/>
        <w:snapToGrid w:val="0"/>
        <w:spacing w:line="400" w:lineRule="exact"/>
        <w:ind w:firstLine="480" w:firstLineChars="200"/>
        <w:rPr>
          <w:rFonts w:ascii="宋体" w:hAnsi="宋体"/>
          <w:color w:val="auto"/>
        </w:rPr>
      </w:pPr>
      <w:r>
        <w:rPr>
          <w:rFonts w:hint="eastAsia" w:ascii="宋体" w:hAnsi="宋体"/>
          <w:color w:val="auto"/>
          <w:kern w:val="0"/>
          <w:sz w:val="24"/>
        </w:rPr>
        <w:t>⑹出现银行挤兑、存款被盗或其他可能妨害资金安全的情形。</w:t>
      </w:r>
    </w:p>
    <w:p w14:paraId="55D20602">
      <w:pPr>
        <w:widowControl/>
        <w:snapToGrid w:val="0"/>
        <w:spacing w:line="400" w:lineRule="exact"/>
        <w:ind w:firstLine="482" w:firstLineChars="200"/>
        <w:rPr>
          <w:rFonts w:ascii="宋体" w:hAnsi="宋体"/>
          <w:color w:val="auto"/>
          <w:kern w:val="0"/>
          <w:sz w:val="24"/>
        </w:rPr>
      </w:pPr>
      <w:r>
        <w:rPr>
          <w:rFonts w:hint="eastAsia" w:ascii="宋体" w:hAnsi="宋体"/>
          <w:b/>
          <w:bCs/>
          <w:color w:val="auto"/>
          <w:kern w:val="0"/>
          <w:sz w:val="24"/>
        </w:rPr>
        <w:t>五、提前支取。</w:t>
      </w:r>
      <w:r>
        <w:rPr>
          <w:rFonts w:hint="eastAsia" w:ascii="宋体" w:hAnsi="宋体"/>
          <w:color w:val="auto"/>
          <w:kern w:val="0"/>
          <w:sz w:val="24"/>
        </w:rPr>
        <w:t>经与乙方协商，甲方有权在到期日前提前支取定期存款，甲方随时可全额或一天多次提前支取定期存款，提前支取金额按实际存期、利率计付利息，存续金额仍按原起息日、期限及存款利率计付利息。</w:t>
      </w:r>
    </w:p>
    <w:p w14:paraId="1184DBF1">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乙方在接到甲方提前支取的通知后，应在内为甲方完成支取工作，乙方如逾期为甲方办理支取工作，乙方应以甲方提前支取数额为基数，并以同期贷款利率，按日向甲方支付违约金，如因乙方迟延支取导致甲方损失，乙方应据实赔偿。</w:t>
      </w:r>
    </w:p>
    <w:p w14:paraId="18F92AE3">
      <w:pPr>
        <w:widowControl/>
        <w:snapToGrid w:val="0"/>
        <w:spacing w:line="380" w:lineRule="exact"/>
        <w:ind w:firstLine="480" w:firstLineChars="200"/>
        <w:jc w:val="left"/>
        <w:rPr>
          <w:rFonts w:ascii="宋体" w:hAnsi="宋体"/>
          <w:b/>
          <w:color w:val="auto"/>
          <w:sz w:val="24"/>
        </w:rPr>
      </w:pPr>
      <w:r>
        <w:rPr>
          <w:rFonts w:hint="eastAsia" w:ascii="宋体" w:hAnsi="宋体"/>
          <w:color w:val="auto"/>
          <w:sz w:val="24"/>
        </w:rPr>
        <w:t>定期存款提前支取的计息规则：</w:t>
      </w:r>
    </w:p>
    <w:p w14:paraId="1310AAEE">
      <w:pPr>
        <w:widowControl/>
        <w:snapToGrid w:val="0"/>
        <w:spacing w:line="400" w:lineRule="exact"/>
        <w:ind w:firstLine="482" w:firstLineChars="200"/>
        <w:rPr>
          <w:rFonts w:ascii="宋体" w:hAnsi="宋体"/>
          <w:color w:val="auto"/>
          <w:kern w:val="0"/>
          <w:sz w:val="24"/>
          <w:u w:val="single"/>
        </w:rPr>
      </w:pPr>
      <w:r>
        <w:rPr>
          <w:rFonts w:hint="eastAsia" w:ascii="宋体" w:hAnsi="宋体"/>
          <w:b/>
          <w:bCs/>
          <w:color w:val="auto"/>
          <w:kern w:val="0"/>
          <w:sz w:val="24"/>
        </w:rPr>
        <w:t>六、协议期限。</w:t>
      </w:r>
      <w:r>
        <w:rPr>
          <w:rFonts w:hint="eastAsia" w:ascii="宋体" w:hAnsi="宋体"/>
          <w:color w:val="auto"/>
          <w:kern w:val="0"/>
          <w:sz w:val="24"/>
        </w:rPr>
        <w:t>自</w:t>
      </w:r>
      <w:r>
        <w:rPr>
          <w:rFonts w:hint="eastAsia" w:ascii="宋体" w:hAnsi="宋体"/>
          <w:color w:val="auto"/>
          <w:kern w:val="0"/>
          <w:sz w:val="24"/>
          <w:lang w:val="en-US" w:eastAsia="zh-CN"/>
        </w:rPr>
        <w:t xml:space="preserve">  </w:t>
      </w:r>
      <w:r>
        <w:rPr>
          <w:rFonts w:hint="eastAsia" w:ascii="宋体" w:hAnsi="宋体"/>
          <w:color w:val="auto"/>
          <w:kern w:val="0"/>
          <w:sz w:val="24"/>
        </w:rPr>
        <w:t>年</w:t>
      </w:r>
      <w:r>
        <w:rPr>
          <w:rFonts w:hint="eastAsia" w:ascii="宋体" w:hAnsi="宋体"/>
          <w:color w:val="auto"/>
          <w:kern w:val="0"/>
          <w:sz w:val="24"/>
          <w:lang w:val="en-US" w:eastAsia="zh-CN"/>
        </w:rPr>
        <w:t xml:space="preserve">  </w:t>
      </w:r>
      <w:r>
        <w:rPr>
          <w:rFonts w:hint="eastAsia" w:ascii="宋体" w:hAnsi="宋体"/>
          <w:color w:val="auto"/>
          <w:kern w:val="0"/>
          <w:sz w:val="24"/>
        </w:rPr>
        <w:t>月</w:t>
      </w:r>
      <w:r>
        <w:rPr>
          <w:rFonts w:hint="eastAsia" w:ascii="宋体" w:hAnsi="宋体"/>
          <w:color w:val="auto"/>
          <w:kern w:val="0"/>
          <w:sz w:val="24"/>
          <w:lang w:val="en-US" w:eastAsia="zh-CN"/>
        </w:rPr>
        <w:t xml:space="preserve">  </w:t>
      </w:r>
      <w:r>
        <w:rPr>
          <w:rFonts w:hint="eastAsia" w:ascii="宋体" w:hAnsi="宋体"/>
          <w:color w:val="auto"/>
          <w:kern w:val="0"/>
          <w:sz w:val="24"/>
        </w:rPr>
        <w:t>日起至</w:t>
      </w:r>
      <w:r>
        <w:rPr>
          <w:rFonts w:hint="eastAsia" w:ascii="宋体" w:hAnsi="宋体"/>
          <w:color w:val="auto"/>
          <w:kern w:val="0"/>
          <w:sz w:val="24"/>
          <w:lang w:val="en-US" w:eastAsia="zh-CN"/>
        </w:rPr>
        <w:t xml:space="preserve">  </w:t>
      </w:r>
      <w:r>
        <w:rPr>
          <w:rFonts w:hint="eastAsia" w:ascii="宋体" w:hAnsi="宋体"/>
          <w:color w:val="auto"/>
          <w:kern w:val="0"/>
          <w:sz w:val="24"/>
        </w:rPr>
        <w:t>年</w:t>
      </w:r>
      <w:r>
        <w:rPr>
          <w:rFonts w:hint="eastAsia" w:ascii="宋体" w:hAnsi="宋体"/>
          <w:color w:val="auto"/>
          <w:kern w:val="0"/>
          <w:sz w:val="24"/>
          <w:lang w:val="en-US" w:eastAsia="zh-CN"/>
        </w:rPr>
        <w:t xml:space="preserve">  </w:t>
      </w:r>
      <w:r>
        <w:rPr>
          <w:rFonts w:hint="eastAsia" w:ascii="宋体" w:hAnsi="宋体"/>
          <w:color w:val="auto"/>
          <w:kern w:val="0"/>
          <w:sz w:val="24"/>
        </w:rPr>
        <w:t>月</w:t>
      </w:r>
      <w:r>
        <w:rPr>
          <w:rFonts w:hint="eastAsia" w:ascii="宋体" w:hAnsi="宋体"/>
          <w:color w:val="auto"/>
          <w:kern w:val="0"/>
          <w:sz w:val="24"/>
          <w:lang w:val="en-US" w:eastAsia="zh-CN"/>
        </w:rPr>
        <w:t xml:space="preserve">  </w:t>
      </w:r>
      <w:r>
        <w:rPr>
          <w:rFonts w:hint="eastAsia" w:ascii="宋体" w:hAnsi="宋体"/>
          <w:color w:val="auto"/>
          <w:kern w:val="0"/>
          <w:sz w:val="24"/>
        </w:rPr>
        <w:t>日止。</w:t>
      </w:r>
    </w:p>
    <w:p w14:paraId="484A22E1">
      <w:pPr>
        <w:widowControl/>
        <w:snapToGrid w:val="0"/>
        <w:spacing w:line="400" w:lineRule="exact"/>
        <w:ind w:firstLine="482" w:firstLineChars="200"/>
        <w:rPr>
          <w:rFonts w:ascii="宋体" w:hAnsi="宋体"/>
          <w:color w:val="auto"/>
          <w:kern w:val="0"/>
          <w:sz w:val="24"/>
        </w:rPr>
      </w:pPr>
      <w:r>
        <w:rPr>
          <w:rFonts w:hint="eastAsia" w:ascii="宋体" w:hAnsi="宋体"/>
          <w:b/>
          <w:bCs/>
          <w:color w:val="auto"/>
          <w:kern w:val="0"/>
          <w:sz w:val="24"/>
        </w:rPr>
        <w:t>七、附件。</w:t>
      </w:r>
      <w:r>
        <w:rPr>
          <w:rFonts w:hint="eastAsia" w:ascii="宋体" w:hAnsi="宋体"/>
          <w:color w:val="auto"/>
          <w:kern w:val="0"/>
          <w:sz w:val="24"/>
        </w:rPr>
        <w:t>附件是本协议不可分割的组成部分，具有同等法律效力。本协议附件包括：甲乙双方签字授权书、投标人对该项目的投标书、承诺、优惠措施等。</w:t>
      </w:r>
    </w:p>
    <w:p w14:paraId="03BB5C80">
      <w:pPr>
        <w:widowControl/>
        <w:snapToGrid w:val="0"/>
        <w:spacing w:line="400" w:lineRule="exact"/>
        <w:ind w:firstLine="482" w:firstLineChars="200"/>
        <w:rPr>
          <w:rFonts w:ascii="宋体" w:hAnsi="宋体"/>
          <w:color w:val="auto"/>
          <w:kern w:val="0"/>
          <w:sz w:val="24"/>
        </w:rPr>
      </w:pPr>
      <w:r>
        <w:rPr>
          <w:rFonts w:hint="eastAsia" w:ascii="宋体" w:hAnsi="宋体"/>
          <w:b/>
          <w:bCs/>
          <w:color w:val="auto"/>
          <w:kern w:val="0"/>
          <w:sz w:val="24"/>
        </w:rPr>
        <w:t>八、</w:t>
      </w:r>
      <w:r>
        <w:rPr>
          <w:rFonts w:hint="eastAsia" w:ascii="宋体" w:hAnsi="宋体"/>
          <w:color w:val="auto"/>
          <w:kern w:val="0"/>
          <w:sz w:val="24"/>
        </w:rPr>
        <w:t>本协议一式叁份，甲、乙、见证三方各执壹份，具有同等法律效力。执行中如对本协议产生争议，通过协商解决。协商不成，可向甲方所在地人民法院提起诉讼，实现债权的费用包括但不限于诉讼费、律师费、保全手续费、差旅费等均由违约方承担。</w:t>
      </w:r>
    </w:p>
    <w:p w14:paraId="2E147A1A">
      <w:pPr>
        <w:widowControl/>
        <w:snapToGrid w:val="0"/>
        <w:spacing w:line="400" w:lineRule="exact"/>
        <w:ind w:firstLine="480" w:firstLineChars="200"/>
        <w:rPr>
          <w:rFonts w:ascii="宋体" w:hAnsi="宋体"/>
          <w:color w:val="auto"/>
          <w:kern w:val="0"/>
          <w:sz w:val="24"/>
        </w:rPr>
      </w:pPr>
      <w:r>
        <w:rPr>
          <w:rFonts w:hint="eastAsia" w:ascii="宋体" w:hAnsi="宋体"/>
          <w:color w:val="auto"/>
          <w:kern w:val="0"/>
          <w:sz w:val="24"/>
        </w:rPr>
        <w:t>（以下无正文）</w:t>
      </w:r>
    </w:p>
    <w:p w14:paraId="5D75FB78">
      <w:pPr>
        <w:widowControl/>
        <w:snapToGrid w:val="0"/>
        <w:spacing w:line="400" w:lineRule="exact"/>
        <w:ind w:firstLine="480" w:firstLineChars="200"/>
        <w:rPr>
          <w:rFonts w:ascii="宋体" w:hAnsi="宋体"/>
          <w:color w:val="auto"/>
          <w:kern w:val="0"/>
          <w:sz w:val="24"/>
        </w:rPr>
      </w:pPr>
    </w:p>
    <w:p w14:paraId="0C418A67">
      <w:pPr>
        <w:widowControl/>
        <w:snapToGrid w:val="0"/>
        <w:spacing w:line="400" w:lineRule="exact"/>
        <w:ind w:firstLine="480" w:firstLineChars="200"/>
        <w:rPr>
          <w:rFonts w:ascii="宋体" w:hAnsi="宋体"/>
          <w:color w:val="auto"/>
          <w:kern w:val="0"/>
          <w:sz w:val="24"/>
        </w:rPr>
      </w:pPr>
    </w:p>
    <w:p w14:paraId="11B38FA5">
      <w:pPr>
        <w:widowControl/>
        <w:snapToGrid w:val="0"/>
        <w:spacing w:line="400" w:lineRule="exact"/>
        <w:ind w:firstLine="480" w:firstLineChars="200"/>
        <w:rPr>
          <w:rFonts w:ascii="宋体" w:hAnsi="宋体"/>
          <w:color w:val="auto"/>
          <w:kern w:val="0"/>
          <w:sz w:val="24"/>
        </w:rPr>
      </w:pPr>
    </w:p>
    <w:p w14:paraId="7C650F1B">
      <w:pPr>
        <w:widowControl/>
        <w:snapToGrid w:val="0"/>
        <w:spacing w:line="400" w:lineRule="exact"/>
        <w:ind w:firstLine="480" w:firstLineChars="200"/>
        <w:rPr>
          <w:rFonts w:ascii="宋体" w:hAnsi="宋体"/>
          <w:color w:val="auto"/>
          <w:kern w:val="0"/>
          <w:sz w:val="24"/>
        </w:rPr>
      </w:pPr>
    </w:p>
    <w:p w14:paraId="4FD0BD8E">
      <w:pPr>
        <w:widowControl/>
        <w:snapToGrid w:val="0"/>
        <w:spacing w:line="400" w:lineRule="exact"/>
        <w:ind w:firstLine="480" w:firstLineChars="200"/>
        <w:rPr>
          <w:rFonts w:ascii="宋体" w:hAnsi="宋体"/>
          <w:color w:val="auto"/>
          <w:kern w:val="0"/>
          <w:sz w:val="24"/>
        </w:rPr>
      </w:pPr>
    </w:p>
    <w:p w14:paraId="51B38A28">
      <w:pPr>
        <w:widowControl/>
        <w:snapToGrid w:val="0"/>
        <w:spacing w:line="400" w:lineRule="exact"/>
        <w:ind w:firstLine="480" w:firstLineChars="200"/>
        <w:rPr>
          <w:rFonts w:ascii="宋体" w:hAnsi="宋体"/>
          <w:color w:val="auto"/>
          <w:kern w:val="0"/>
          <w:sz w:val="24"/>
        </w:rPr>
      </w:pPr>
    </w:p>
    <w:p w14:paraId="26092B3E">
      <w:pPr>
        <w:widowControl/>
        <w:snapToGrid w:val="0"/>
        <w:spacing w:line="400" w:lineRule="exact"/>
        <w:ind w:firstLine="480" w:firstLineChars="200"/>
        <w:rPr>
          <w:rFonts w:ascii="宋体" w:hAnsi="宋体"/>
          <w:color w:val="auto"/>
          <w:kern w:val="0"/>
          <w:sz w:val="24"/>
        </w:rPr>
      </w:pPr>
    </w:p>
    <w:p w14:paraId="45C8336F">
      <w:pPr>
        <w:snapToGrid w:val="0"/>
        <w:spacing w:line="360" w:lineRule="auto"/>
        <w:ind w:firstLine="480" w:firstLineChars="200"/>
        <w:rPr>
          <w:rFonts w:ascii="宋体" w:hAnsi="宋体"/>
          <w:color w:val="auto"/>
          <w:kern w:val="0"/>
          <w:sz w:val="24"/>
          <w:szCs w:val="20"/>
        </w:rPr>
      </w:pPr>
      <w:r>
        <w:rPr>
          <w:rFonts w:hint="eastAsia" w:ascii="宋体" w:hAnsi="宋体"/>
          <w:color w:val="auto"/>
          <w:kern w:val="0"/>
          <w:sz w:val="24"/>
          <w:szCs w:val="20"/>
        </w:rPr>
        <w:t>（此为签署页）</w:t>
      </w:r>
    </w:p>
    <w:p w14:paraId="5BAC2322">
      <w:pPr>
        <w:widowControl/>
        <w:spacing w:line="400" w:lineRule="exact"/>
        <w:ind w:firstLine="360"/>
        <w:rPr>
          <w:rFonts w:ascii="宋体" w:hAnsi="宋体"/>
          <w:color w:val="auto"/>
          <w:kern w:val="0"/>
          <w:sz w:val="24"/>
        </w:rPr>
      </w:pPr>
      <w:r>
        <w:rPr>
          <w:rFonts w:hint="eastAsia" w:ascii="宋体" w:hAnsi="宋体"/>
          <w:color w:val="auto"/>
          <w:kern w:val="0"/>
          <w:sz w:val="24"/>
        </w:rPr>
        <w:t>甲方（盖章）：                 乙方（盖章）：</w:t>
      </w:r>
    </w:p>
    <w:p w14:paraId="0EDBB243">
      <w:pPr>
        <w:widowControl/>
        <w:spacing w:line="400" w:lineRule="exact"/>
        <w:ind w:firstLine="360"/>
        <w:rPr>
          <w:rFonts w:ascii="宋体" w:hAnsi="宋体"/>
          <w:color w:val="auto"/>
          <w:kern w:val="0"/>
          <w:sz w:val="24"/>
        </w:rPr>
      </w:pPr>
      <w:r>
        <w:rPr>
          <w:rFonts w:hint="eastAsia" w:ascii="宋体" w:hAnsi="宋体"/>
          <w:color w:val="auto"/>
          <w:kern w:val="0"/>
          <w:sz w:val="24"/>
        </w:rPr>
        <w:t>甲方代表（签字）：              乙方代表（签字）：</w:t>
      </w:r>
    </w:p>
    <w:p w14:paraId="0AEE8F60">
      <w:pPr>
        <w:widowControl/>
        <w:spacing w:line="400" w:lineRule="exact"/>
        <w:ind w:firstLine="357"/>
        <w:rPr>
          <w:rFonts w:ascii="宋体" w:hAnsi="宋体"/>
          <w:color w:val="auto"/>
          <w:kern w:val="0"/>
          <w:sz w:val="24"/>
        </w:rPr>
      </w:pPr>
      <w:r>
        <w:rPr>
          <w:rFonts w:hint="eastAsia" w:ascii="宋体" w:hAnsi="宋体"/>
          <w:color w:val="auto"/>
          <w:kern w:val="0"/>
          <w:sz w:val="24"/>
        </w:rPr>
        <w:t xml:space="preserve">年月日                       年月日 </w:t>
      </w:r>
    </w:p>
    <w:p w14:paraId="7D084E37">
      <w:pPr>
        <w:snapToGrid w:val="0"/>
        <w:rPr>
          <w:rFonts w:ascii="宋体" w:hAnsi="宋体"/>
          <w:color w:val="auto"/>
          <w:sz w:val="24"/>
        </w:rPr>
      </w:pPr>
    </w:p>
    <w:p w14:paraId="11F40669">
      <w:pPr>
        <w:widowControl/>
        <w:spacing w:line="400" w:lineRule="exact"/>
        <w:ind w:firstLine="360"/>
        <w:rPr>
          <w:rFonts w:ascii="宋体" w:hAnsi="宋体"/>
          <w:color w:val="auto"/>
          <w:kern w:val="0"/>
          <w:sz w:val="24"/>
        </w:rPr>
      </w:pPr>
      <w:r>
        <w:rPr>
          <w:rFonts w:hint="eastAsia" w:ascii="宋体" w:hAnsi="宋体"/>
          <w:color w:val="auto"/>
          <w:kern w:val="0"/>
          <w:sz w:val="24"/>
        </w:rPr>
        <w:t>见证方（盖章）：</w:t>
      </w:r>
    </w:p>
    <w:p w14:paraId="272FE6EC">
      <w:pPr>
        <w:widowControl/>
        <w:spacing w:line="400" w:lineRule="exact"/>
        <w:ind w:firstLine="360"/>
        <w:rPr>
          <w:rFonts w:ascii="宋体" w:hAnsi="宋体"/>
          <w:color w:val="auto"/>
          <w:kern w:val="0"/>
          <w:sz w:val="24"/>
        </w:rPr>
      </w:pPr>
      <w:r>
        <w:rPr>
          <w:rFonts w:hint="eastAsia" w:ascii="宋体" w:hAnsi="宋体"/>
          <w:color w:val="auto"/>
          <w:kern w:val="0"/>
          <w:sz w:val="24"/>
        </w:rPr>
        <w:t>见证方代表（签字）：              签约地：</w:t>
      </w:r>
    </w:p>
    <w:p w14:paraId="46B3AC0B">
      <w:pPr>
        <w:widowControl/>
        <w:spacing w:line="400" w:lineRule="exact"/>
        <w:ind w:firstLine="357"/>
        <w:rPr>
          <w:rFonts w:ascii="宋体" w:hAnsi="宋体"/>
          <w:color w:val="auto"/>
          <w:kern w:val="0"/>
          <w:sz w:val="24"/>
        </w:rPr>
      </w:pPr>
      <w:r>
        <w:rPr>
          <w:rFonts w:hint="eastAsia" w:ascii="宋体" w:hAnsi="宋体"/>
          <w:color w:val="auto"/>
          <w:kern w:val="0"/>
          <w:sz w:val="24"/>
        </w:rPr>
        <w:t>年月日                        签约日期：年月日</w:t>
      </w:r>
    </w:p>
    <w:p w14:paraId="53235029">
      <w:pPr>
        <w:adjustRightInd w:val="0"/>
        <w:snapToGrid w:val="0"/>
        <w:spacing w:line="400" w:lineRule="atLeast"/>
        <w:ind w:firstLine="480" w:firstLineChars="200"/>
        <w:rPr>
          <w:rFonts w:ascii="宋体" w:hAnsi="宋体"/>
          <w:color w:val="auto"/>
          <w:sz w:val="24"/>
        </w:rPr>
      </w:pPr>
    </w:p>
    <w:p w14:paraId="427629AD">
      <w:pPr>
        <w:autoSpaceDE w:val="0"/>
        <w:autoSpaceDN w:val="0"/>
        <w:adjustRightInd w:val="0"/>
        <w:snapToGrid w:val="0"/>
        <w:spacing w:line="360" w:lineRule="auto"/>
        <w:rPr>
          <w:rFonts w:ascii="宋体" w:hAnsi="宋体"/>
          <w:color w:val="auto"/>
          <w:szCs w:val="21"/>
        </w:rPr>
        <w:sectPr>
          <w:headerReference r:id="rId6" w:type="first"/>
          <w:footerReference r:id="rId9" w:type="first"/>
          <w:headerReference r:id="rId5" w:type="default"/>
          <w:footerReference r:id="rId7" w:type="default"/>
          <w:footerReference r:id="rId8" w:type="even"/>
          <w:pgSz w:w="11906" w:h="16838"/>
          <w:pgMar w:top="1440" w:right="1080" w:bottom="1440" w:left="1080" w:header="851" w:footer="992" w:gutter="0"/>
          <w:cols w:space="720" w:num="1"/>
          <w:titlePg/>
          <w:docGrid w:linePitch="312" w:charSpace="0"/>
        </w:sectPr>
      </w:pPr>
    </w:p>
    <w:p w14:paraId="28116680">
      <w:pPr>
        <w:autoSpaceDE w:val="0"/>
        <w:autoSpaceDN w:val="0"/>
        <w:snapToGrid w:val="0"/>
        <w:spacing w:line="360" w:lineRule="auto"/>
        <w:rPr>
          <w:rFonts w:ascii="宋体" w:hAnsi="宋体"/>
          <w:szCs w:val="21"/>
          <w:highlight w:val="none"/>
        </w:rPr>
      </w:pPr>
    </w:p>
    <w:bookmarkEnd w:id="54"/>
    <w:p w14:paraId="579CBEB0">
      <w:pPr>
        <w:pStyle w:val="4"/>
        <w:tabs>
          <w:tab w:val="clear" w:pos="432"/>
        </w:tabs>
        <w:spacing w:before="0" w:after="0" w:line="360" w:lineRule="auto"/>
        <w:ind w:left="431" w:firstLine="0"/>
        <w:jc w:val="center"/>
        <w:rPr>
          <w:rFonts w:ascii="宋体" w:hAnsi="宋体"/>
          <w:sz w:val="36"/>
          <w:szCs w:val="36"/>
          <w:highlight w:val="none"/>
        </w:rPr>
      </w:pPr>
      <w:bookmarkStart w:id="59" w:name="_Toc497397651"/>
      <w:bookmarkEnd w:id="59"/>
      <w:r>
        <w:rPr>
          <w:rFonts w:hint="eastAsia" w:ascii="宋体" w:hAnsi="宋体"/>
          <w:sz w:val="36"/>
          <w:szCs w:val="36"/>
          <w:highlight w:val="none"/>
        </w:rPr>
        <w:t>第五部分 应提交的有关格式范例</w:t>
      </w:r>
    </w:p>
    <w:p w14:paraId="58644CF7">
      <w:pPr>
        <w:snapToGrid w:val="0"/>
        <w:spacing w:line="360" w:lineRule="auto"/>
        <w:ind w:firstLine="472" w:firstLineChars="196"/>
        <w:rPr>
          <w:rFonts w:ascii="宋体" w:hAnsi="宋体"/>
          <w:b/>
          <w:sz w:val="24"/>
          <w:highlight w:val="none"/>
        </w:rPr>
      </w:pPr>
    </w:p>
    <w:p w14:paraId="4E6FAD6A">
      <w:pPr>
        <w:pStyle w:val="5"/>
        <w:snapToGrid w:val="0"/>
        <w:ind w:left="0" w:firstLine="482" w:firstLineChars="200"/>
        <w:jc w:val="left"/>
        <w:rPr>
          <w:rFonts w:ascii="宋体" w:hAnsi="宋体" w:eastAsia="宋体"/>
          <w:highlight w:val="none"/>
        </w:rPr>
      </w:pPr>
      <w:bookmarkStart w:id="60" w:name="_Toc497397652"/>
      <w:bookmarkEnd w:id="60"/>
      <w:r>
        <w:rPr>
          <w:rFonts w:hint="eastAsia" w:ascii="宋体" w:hAnsi="宋体" w:eastAsia="宋体"/>
          <w:highlight w:val="none"/>
        </w:rPr>
        <w:t>一、投标人提交投标文件须知：</w:t>
      </w:r>
    </w:p>
    <w:p w14:paraId="09934952">
      <w:pPr>
        <w:snapToGrid w:val="0"/>
        <w:spacing w:line="360" w:lineRule="auto"/>
        <w:ind w:firstLine="480" w:firstLineChars="200"/>
        <w:rPr>
          <w:rFonts w:ascii="宋体" w:hAnsi="宋体"/>
          <w:sz w:val="24"/>
          <w:highlight w:val="none"/>
        </w:rPr>
      </w:pPr>
      <w:r>
        <w:rPr>
          <w:rFonts w:hint="eastAsia" w:ascii="宋体" w:hAnsi="宋体"/>
          <w:sz w:val="24"/>
          <w:highlight w:val="none"/>
        </w:rPr>
        <w:t>1、投标人应严格按照以下顺序填写和提交下述规定的全部格式文件以及其他有关资料，混乱的编排导致投标文件被误读或评标委员会查找不到有效文件是投标人的风险。</w:t>
      </w:r>
    </w:p>
    <w:p w14:paraId="0251E38C">
      <w:pPr>
        <w:snapToGrid w:val="0"/>
        <w:spacing w:line="360" w:lineRule="auto"/>
        <w:ind w:firstLine="480" w:firstLineChars="200"/>
        <w:rPr>
          <w:rFonts w:ascii="宋体" w:hAnsi="宋体"/>
          <w:sz w:val="24"/>
          <w:highlight w:val="none"/>
        </w:rPr>
      </w:pPr>
      <w:r>
        <w:rPr>
          <w:rFonts w:hint="eastAsia" w:ascii="宋体" w:hAnsi="宋体"/>
          <w:sz w:val="24"/>
          <w:highlight w:val="none"/>
        </w:rPr>
        <w:t>2、所附表格中要求回答的全部问题和/或信息都必须正面回答。</w:t>
      </w:r>
    </w:p>
    <w:p w14:paraId="047BD39D">
      <w:pPr>
        <w:snapToGrid w:val="0"/>
        <w:spacing w:line="360" w:lineRule="auto"/>
        <w:ind w:firstLine="480" w:firstLineChars="200"/>
        <w:rPr>
          <w:rFonts w:ascii="宋体" w:hAnsi="宋体"/>
          <w:sz w:val="24"/>
          <w:highlight w:val="none"/>
        </w:rPr>
      </w:pPr>
      <w:r>
        <w:rPr>
          <w:rFonts w:hint="eastAsia" w:ascii="宋体" w:hAnsi="宋体"/>
          <w:sz w:val="24"/>
          <w:highlight w:val="none"/>
        </w:rPr>
        <w:t>3、本声明书的签字人应保证全部声明和问题的回答是真实的和准确的。</w:t>
      </w:r>
    </w:p>
    <w:p w14:paraId="1AA88BB4">
      <w:pPr>
        <w:snapToGrid w:val="0"/>
        <w:spacing w:line="360" w:lineRule="auto"/>
        <w:ind w:firstLine="480" w:firstLineChars="200"/>
        <w:rPr>
          <w:rFonts w:ascii="宋体" w:hAnsi="宋体"/>
          <w:sz w:val="24"/>
          <w:highlight w:val="none"/>
        </w:rPr>
      </w:pPr>
      <w:r>
        <w:rPr>
          <w:rFonts w:hint="eastAsia" w:ascii="宋体" w:hAnsi="宋体"/>
          <w:sz w:val="24"/>
          <w:highlight w:val="none"/>
        </w:rPr>
        <w:t>4、评标委员会将应用投标人提交的资料根据自己的判断和考虑决定投标人履行合同的合格性及能力。</w:t>
      </w:r>
    </w:p>
    <w:p w14:paraId="4EC5026C">
      <w:pPr>
        <w:snapToGrid w:val="0"/>
        <w:spacing w:line="360" w:lineRule="auto"/>
        <w:ind w:firstLine="480" w:firstLineChars="200"/>
        <w:rPr>
          <w:rFonts w:ascii="宋体" w:hAnsi="宋体"/>
          <w:sz w:val="24"/>
          <w:highlight w:val="none"/>
        </w:rPr>
      </w:pPr>
      <w:r>
        <w:rPr>
          <w:rFonts w:hint="eastAsia" w:ascii="宋体" w:hAnsi="宋体"/>
          <w:sz w:val="24"/>
          <w:highlight w:val="none"/>
        </w:rPr>
        <w:t>5、投标人提交的材料将在一定期限内被保密保存，但不退还。</w:t>
      </w:r>
    </w:p>
    <w:p w14:paraId="196BA127">
      <w:pPr>
        <w:snapToGrid w:val="0"/>
        <w:spacing w:line="360" w:lineRule="auto"/>
        <w:ind w:firstLine="480" w:firstLineChars="200"/>
        <w:rPr>
          <w:rFonts w:ascii="宋体" w:hAnsi="宋体"/>
          <w:sz w:val="24"/>
          <w:highlight w:val="none"/>
        </w:rPr>
      </w:pPr>
      <w:r>
        <w:rPr>
          <w:rFonts w:hint="eastAsia" w:ascii="宋体" w:hAnsi="宋体"/>
          <w:sz w:val="24"/>
          <w:highlight w:val="none"/>
        </w:rPr>
        <w:t>6、全部文件应按投标人须知规定提交。投标文件组成漏项或未按规定的格式编制，内容不全或内容字迹模糊辨认不清的情况，将有可能被评标委员会认定为投标无效。</w:t>
      </w:r>
    </w:p>
    <w:p w14:paraId="1B54ADE3">
      <w:pPr>
        <w:snapToGrid w:val="0"/>
        <w:spacing w:line="360" w:lineRule="auto"/>
        <w:ind w:firstLine="480" w:firstLineChars="200"/>
        <w:rPr>
          <w:rFonts w:ascii="宋体" w:hAnsi="宋体"/>
          <w:sz w:val="24"/>
          <w:highlight w:val="none"/>
          <w:lang w:val="zh-CN"/>
        </w:rPr>
      </w:pPr>
    </w:p>
    <w:p w14:paraId="65755FDB">
      <w:pPr>
        <w:pStyle w:val="5"/>
        <w:snapToGrid w:val="0"/>
        <w:ind w:left="0" w:firstLine="482" w:firstLineChars="200"/>
        <w:jc w:val="left"/>
        <w:rPr>
          <w:rFonts w:ascii="宋体" w:hAnsi="宋体" w:eastAsia="宋体"/>
          <w:highlight w:val="none"/>
        </w:rPr>
      </w:pPr>
      <w:bookmarkStart w:id="61" w:name="_Toc497397653"/>
      <w:bookmarkEnd w:id="61"/>
      <w:r>
        <w:rPr>
          <w:rFonts w:hint="eastAsia" w:ascii="宋体" w:hAnsi="宋体" w:eastAsia="宋体"/>
          <w:highlight w:val="none"/>
        </w:rPr>
        <w:t>二、投标文件编制格式及规范要求：</w:t>
      </w:r>
    </w:p>
    <w:p w14:paraId="14847C20">
      <w:pPr>
        <w:snapToGrid w:val="0"/>
        <w:spacing w:line="360" w:lineRule="auto"/>
        <w:ind w:firstLine="480" w:firstLineChars="200"/>
        <w:rPr>
          <w:rFonts w:ascii="宋体" w:hAnsi="宋体"/>
          <w:sz w:val="24"/>
          <w:highlight w:val="none"/>
        </w:rPr>
      </w:pPr>
      <w:r>
        <w:rPr>
          <w:rFonts w:hint="eastAsia" w:ascii="宋体" w:hAnsi="宋体"/>
          <w:sz w:val="24"/>
          <w:highlight w:val="none"/>
        </w:rPr>
        <w:t>各投标人在编制投标文件时请按照以下格式进行。</w:t>
      </w:r>
    </w:p>
    <w:p w14:paraId="1E00B2E7">
      <w:pPr>
        <w:snapToGrid w:val="0"/>
        <w:spacing w:line="360" w:lineRule="auto"/>
        <w:ind w:firstLine="480" w:firstLineChars="200"/>
        <w:rPr>
          <w:rFonts w:ascii="宋体" w:hAnsi="宋体"/>
          <w:sz w:val="24"/>
          <w:highlight w:val="none"/>
        </w:rPr>
      </w:pPr>
    </w:p>
    <w:p w14:paraId="3DCDD0E4">
      <w:pPr>
        <w:snapToGrid w:val="0"/>
        <w:spacing w:line="360" w:lineRule="auto"/>
        <w:rPr>
          <w:rFonts w:ascii="宋体" w:hAnsi="宋体"/>
          <w:kern w:val="0"/>
          <w:sz w:val="24"/>
          <w:highlight w:val="none"/>
        </w:rPr>
      </w:pPr>
    </w:p>
    <w:p w14:paraId="2CE4D2EB">
      <w:pPr>
        <w:snapToGrid w:val="0"/>
        <w:spacing w:line="360" w:lineRule="auto"/>
        <w:jc w:val="center"/>
        <w:outlineLvl w:val="0"/>
        <w:rPr>
          <w:rFonts w:ascii="宋体" w:hAnsi="宋体"/>
          <w:b/>
          <w:kern w:val="0"/>
          <w:sz w:val="36"/>
          <w:highlight w:val="none"/>
        </w:rPr>
        <w:sectPr>
          <w:headerReference r:id="rId10" w:type="default"/>
          <w:footerReference r:id="rId11" w:type="default"/>
          <w:pgSz w:w="11906" w:h="16838"/>
          <w:pgMar w:top="1440" w:right="1080" w:bottom="1440" w:left="1080" w:header="851" w:footer="992" w:gutter="0"/>
          <w:cols w:space="720" w:num="1"/>
          <w:docGrid w:linePitch="312" w:charSpace="0"/>
        </w:sectPr>
      </w:pPr>
    </w:p>
    <w:p w14:paraId="7483C9A9">
      <w:pPr>
        <w:spacing w:line="400" w:lineRule="atLeast"/>
        <w:jc w:val="left"/>
        <w:rPr>
          <w:rFonts w:ascii="宋体" w:hAnsi="宋体"/>
          <w:b/>
          <w:sz w:val="28"/>
          <w:highlight w:val="none"/>
        </w:rPr>
      </w:pPr>
      <w:r>
        <w:rPr>
          <w:rFonts w:hint="eastAsia" w:ascii="宋体" w:hAnsi="宋体"/>
          <w:b/>
          <w:sz w:val="28"/>
          <w:highlight w:val="none"/>
        </w:rPr>
        <w:t>附件一：</w:t>
      </w:r>
      <w:r>
        <w:rPr>
          <w:rFonts w:hint="eastAsia" w:ascii="宋体" w:hAnsi="宋体"/>
          <w:b/>
          <w:sz w:val="30"/>
          <w:highlight w:val="none"/>
        </w:rPr>
        <w:t>投标函</w:t>
      </w:r>
    </w:p>
    <w:p w14:paraId="01CFF671">
      <w:pPr>
        <w:spacing w:line="400" w:lineRule="atLeast"/>
        <w:jc w:val="center"/>
        <w:rPr>
          <w:rFonts w:ascii="宋体" w:hAnsi="宋体"/>
          <w:highlight w:val="none"/>
        </w:rPr>
      </w:pPr>
    </w:p>
    <w:p w14:paraId="15D831D8">
      <w:pPr>
        <w:snapToGrid w:val="0"/>
        <w:spacing w:line="360" w:lineRule="auto"/>
        <w:rPr>
          <w:rFonts w:ascii="宋体" w:hAnsi="宋体"/>
          <w:sz w:val="24"/>
          <w:highlight w:val="none"/>
          <w:u w:val="single"/>
        </w:rPr>
      </w:pPr>
      <w:r>
        <w:rPr>
          <w:rFonts w:hint="eastAsia" w:ascii="宋体" w:hAnsi="宋体"/>
          <w:sz w:val="24"/>
          <w:highlight w:val="none"/>
          <w:u w:val="single"/>
          <w:lang w:eastAsia="zh-CN"/>
        </w:rPr>
        <w:t>浙江建安工程管理有限公司</w:t>
      </w:r>
      <w:r>
        <w:rPr>
          <w:rFonts w:hint="eastAsia" w:ascii="宋体" w:hAnsi="宋体"/>
          <w:sz w:val="24"/>
          <w:highlight w:val="none"/>
          <w:u w:val="single"/>
        </w:rPr>
        <w:t>:</w:t>
      </w:r>
    </w:p>
    <w:p w14:paraId="568F33E9">
      <w:pPr>
        <w:pStyle w:val="24"/>
        <w:snapToGrid w:val="0"/>
        <w:spacing w:line="360" w:lineRule="auto"/>
        <w:ind w:firstLine="480" w:firstLineChars="200"/>
        <w:rPr>
          <w:rFonts w:ascii="Times New Roman" w:hAnsi="Times New Roman"/>
          <w:kern w:val="0"/>
          <w:sz w:val="24"/>
          <w:szCs w:val="24"/>
          <w:highlight w:val="none"/>
          <w:u w:val="single"/>
        </w:rPr>
      </w:pPr>
      <w:r>
        <w:rPr>
          <w:rFonts w:ascii="Times New Roman" w:hAnsi="Times New Roman"/>
          <w:kern w:val="0"/>
          <w:sz w:val="24"/>
          <w:szCs w:val="24"/>
          <w:highlight w:val="none"/>
          <w:u w:val="single"/>
        </w:rPr>
        <w:t>(</w:t>
      </w:r>
      <w:r>
        <w:rPr>
          <w:rFonts w:ascii="Times New Roman" w:hAnsi="宋体"/>
          <w:kern w:val="0"/>
          <w:sz w:val="24"/>
          <w:szCs w:val="24"/>
          <w:highlight w:val="none"/>
          <w:u w:val="single"/>
        </w:rPr>
        <w:t>投标人全称</w:t>
      </w:r>
      <w:r>
        <w:rPr>
          <w:rFonts w:ascii="Times New Roman" w:hAnsi="Times New Roman"/>
          <w:kern w:val="0"/>
          <w:sz w:val="24"/>
          <w:szCs w:val="24"/>
          <w:highlight w:val="none"/>
          <w:u w:val="single"/>
        </w:rPr>
        <w:t>)</w:t>
      </w:r>
      <w:r>
        <w:rPr>
          <w:rFonts w:ascii="Times New Roman" w:hAnsi="宋体"/>
          <w:kern w:val="0"/>
          <w:sz w:val="24"/>
          <w:szCs w:val="24"/>
          <w:highlight w:val="none"/>
        </w:rPr>
        <w:t>授权</w:t>
      </w:r>
      <w:r>
        <w:rPr>
          <w:rFonts w:ascii="Times New Roman" w:hAnsi="Times New Roman"/>
          <w:kern w:val="0"/>
          <w:sz w:val="24"/>
          <w:szCs w:val="24"/>
          <w:highlight w:val="none"/>
          <w:u w:val="single"/>
        </w:rPr>
        <w:t>(</w:t>
      </w:r>
      <w:r>
        <w:rPr>
          <w:rFonts w:ascii="Times New Roman" w:hAnsi="宋体"/>
          <w:kern w:val="0"/>
          <w:sz w:val="24"/>
          <w:szCs w:val="24"/>
          <w:highlight w:val="none"/>
          <w:u w:val="single"/>
        </w:rPr>
        <w:t>全权代表姓名</w:t>
      </w:r>
      <w:r>
        <w:rPr>
          <w:rFonts w:ascii="Times New Roman" w:hAnsi="Times New Roman"/>
          <w:kern w:val="0"/>
          <w:sz w:val="24"/>
          <w:szCs w:val="24"/>
          <w:highlight w:val="none"/>
          <w:u w:val="single"/>
        </w:rPr>
        <w:t>)</w:t>
      </w:r>
      <w:r>
        <w:rPr>
          <w:rFonts w:ascii="Times New Roman" w:hAnsi="宋体"/>
          <w:kern w:val="0"/>
          <w:sz w:val="24"/>
          <w:szCs w:val="24"/>
          <w:highlight w:val="none"/>
        </w:rPr>
        <w:t>、</w:t>
      </w:r>
      <w:r>
        <w:rPr>
          <w:rFonts w:ascii="Times New Roman" w:hAnsi="Times New Roman"/>
          <w:kern w:val="0"/>
          <w:sz w:val="24"/>
          <w:szCs w:val="24"/>
          <w:highlight w:val="none"/>
          <w:u w:val="single"/>
        </w:rPr>
        <w:t>(</w:t>
      </w:r>
      <w:r>
        <w:rPr>
          <w:rFonts w:ascii="Times New Roman" w:hAnsi="宋体"/>
          <w:kern w:val="0"/>
          <w:sz w:val="24"/>
          <w:szCs w:val="24"/>
          <w:highlight w:val="none"/>
          <w:u w:val="single"/>
        </w:rPr>
        <w:t>职务、职称</w:t>
      </w:r>
      <w:r>
        <w:rPr>
          <w:rFonts w:ascii="Times New Roman" w:hAnsi="Times New Roman"/>
          <w:kern w:val="0"/>
          <w:sz w:val="24"/>
          <w:szCs w:val="24"/>
          <w:highlight w:val="none"/>
          <w:u w:val="single"/>
        </w:rPr>
        <w:t>)</w:t>
      </w:r>
      <w:r>
        <w:rPr>
          <w:rFonts w:ascii="Times New Roman" w:hAnsi="宋体"/>
          <w:kern w:val="0"/>
          <w:sz w:val="24"/>
          <w:szCs w:val="24"/>
          <w:highlight w:val="none"/>
        </w:rPr>
        <w:t>为全权代表，参加贵方组织的</w:t>
      </w:r>
      <w:r>
        <w:rPr>
          <w:rFonts w:ascii="Times New Roman" w:hAnsi="Times New Roman"/>
          <w:sz w:val="24"/>
          <w:szCs w:val="24"/>
          <w:highlight w:val="none"/>
          <w:u w:val="single"/>
        </w:rPr>
        <w:t xml:space="preserve">     </w:t>
      </w:r>
      <w:r>
        <w:rPr>
          <w:rFonts w:ascii="Times New Roman" w:hAnsi="宋体"/>
          <w:sz w:val="24"/>
          <w:szCs w:val="24"/>
          <w:highlight w:val="none"/>
          <w:u w:val="single"/>
        </w:rPr>
        <w:t>项目名称</w:t>
      </w:r>
      <w:r>
        <w:rPr>
          <w:rFonts w:ascii="Times New Roman" w:hAnsi="Times New Roman"/>
          <w:sz w:val="24"/>
          <w:szCs w:val="24"/>
          <w:highlight w:val="none"/>
          <w:u w:val="single"/>
        </w:rPr>
        <w:t xml:space="preserve">      </w:t>
      </w:r>
      <w:r>
        <w:rPr>
          <w:rFonts w:ascii="Times New Roman" w:hAnsi="Times New Roman"/>
          <w:kern w:val="0"/>
          <w:sz w:val="24"/>
          <w:szCs w:val="24"/>
          <w:highlight w:val="none"/>
        </w:rPr>
        <w:t>(</w:t>
      </w:r>
      <w:r>
        <w:rPr>
          <w:rFonts w:hint="eastAsia" w:ascii="Times New Roman" w:hAnsi="宋体"/>
          <w:kern w:val="0"/>
          <w:sz w:val="24"/>
          <w:szCs w:val="24"/>
          <w:highlight w:val="none"/>
        </w:rPr>
        <w:t>项目编号</w:t>
      </w:r>
      <w:r>
        <w:rPr>
          <w:rFonts w:ascii="Times New Roman" w:hAnsi="宋体"/>
          <w:kern w:val="0"/>
          <w:sz w:val="24"/>
          <w:szCs w:val="24"/>
          <w:highlight w:val="none"/>
        </w:rPr>
        <w:t>：</w:t>
      </w:r>
      <w:r>
        <w:rPr>
          <w:rFonts w:hint="eastAsia" w:hAnsi="宋体"/>
          <w:sz w:val="24"/>
          <w:szCs w:val="24"/>
          <w:highlight w:val="none"/>
          <w:u w:val="single"/>
        </w:rPr>
        <w:t xml:space="preserve">             </w:t>
      </w:r>
      <w:r>
        <w:rPr>
          <w:rFonts w:ascii="Times New Roman" w:hAnsi="Times New Roman"/>
          <w:kern w:val="0"/>
          <w:sz w:val="24"/>
          <w:szCs w:val="24"/>
          <w:highlight w:val="none"/>
        </w:rPr>
        <w:t>)</w:t>
      </w:r>
      <w:r>
        <w:rPr>
          <w:rFonts w:ascii="Times New Roman" w:hAnsi="宋体"/>
          <w:kern w:val="0"/>
          <w:sz w:val="24"/>
          <w:szCs w:val="24"/>
          <w:highlight w:val="none"/>
        </w:rPr>
        <w:t>的有关活动，并对此项目进行投标。</w:t>
      </w:r>
    </w:p>
    <w:p w14:paraId="41C71044">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据此函，我方签字代表宣布同意如下：</w:t>
      </w:r>
    </w:p>
    <w:p w14:paraId="2C6E3296">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1.我方同意在投标人编制和提交投标须知规定的开标日期起遵守本投标书中的承诺且在投标有效期满之前均具有约束力。</w:t>
      </w:r>
    </w:p>
    <w:p w14:paraId="499C6D47">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 xml:space="preserve">2.存款利率较基准利率的上浮率见《投标利率一览表》。 </w:t>
      </w:r>
    </w:p>
    <w:p w14:paraId="7F7ED2F0">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3.将按招标文件的规定履行合同责任和义务。</w:t>
      </w:r>
    </w:p>
    <w:p w14:paraId="460DE3DA">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4.我方已详细审查全部招标文件,包括补充文件（如有）。我们完全理解并同意放弃对这方面有不明及误解的权力。</w:t>
      </w:r>
    </w:p>
    <w:p w14:paraId="122F3F77">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5.本投标有效期为自开标日起60个日历日。</w:t>
      </w:r>
    </w:p>
    <w:p w14:paraId="560E93A4">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6.我方承诺，与招标人聘请的为此项目提供咨询服务的公司及任何附属机构均无联系，我方不是招标人的附属机构。</w:t>
      </w:r>
    </w:p>
    <w:p w14:paraId="7525B89F">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7.我方完全理解贵方采用综合评分法，不一定为最高利率中标。</w:t>
      </w:r>
    </w:p>
    <w:p w14:paraId="55167FDE">
      <w:pPr>
        <w:pStyle w:val="24"/>
        <w:snapToGrid w:val="0"/>
        <w:spacing w:line="360" w:lineRule="auto"/>
        <w:ind w:firstLine="480" w:firstLineChars="200"/>
        <w:rPr>
          <w:rFonts w:hAnsi="宋体"/>
          <w:kern w:val="0"/>
          <w:sz w:val="24"/>
          <w:szCs w:val="24"/>
          <w:highlight w:val="none"/>
        </w:rPr>
      </w:pPr>
      <w:r>
        <w:rPr>
          <w:rFonts w:hint="eastAsia" w:hAnsi="宋体"/>
          <w:kern w:val="0"/>
          <w:sz w:val="24"/>
          <w:szCs w:val="24"/>
          <w:highlight w:val="none"/>
        </w:rPr>
        <w:t>8.与本投标有关的一切正式往来通讯请寄：</w:t>
      </w:r>
    </w:p>
    <w:p w14:paraId="174A60A8">
      <w:pPr>
        <w:snapToGrid w:val="0"/>
        <w:spacing w:line="360" w:lineRule="auto"/>
        <w:rPr>
          <w:rFonts w:ascii="宋体" w:hAnsi="宋体"/>
          <w:sz w:val="24"/>
          <w:highlight w:val="none"/>
        </w:rPr>
      </w:pPr>
    </w:p>
    <w:p w14:paraId="7CC51E5A">
      <w:pPr>
        <w:snapToGrid w:val="0"/>
        <w:spacing w:line="360" w:lineRule="auto"/>
        <w:rPr>
          <w:rFonts w:ascii="宋体" w:hAnsi="宋体"/>
          <w:sz w:val="24"/>
          <w:highlight w:val="none"/>
        </w:rPr>
      </w:pPr>
      <w:r>
        <w:rPr>
          <w:rFonts w:hint="eastAsia" w:ascii="宋体" w:hAnsi="宋体"/>
          <w:sz w:val="24"/>
          <w:highlight w:val="none"/>
        </w:rPr>
        <w:t xml:space="preserve">    地址：____________________________________________________</w:t>
      </w:r>
    </w:p>
    <w:p w14:paraId="6BE5CA65">
      <w:pPr>
        <w:snapToGrid w:val="0"/>
        <w:spacing w:line="360" w:lineRule="auto"/>
        <w:rPr>
          <w:rFonts w:ascii="宋体" w:hAnsi="宋体"/>
          <w:sz w:val="24"/>
          <w:highlight w:val="none"/>
        </w:rPr>
      </w:pPr>
      <w:r>
        <w:rPr>
          <w:rFonts w:hint="eastAsia" w:ascii="宋体" w:hAnsi="宋体"/>
          <w:sz w:val="24"/>
          <w:highlight w:val="none"/>
        </w:rPr>
        <w:t xml:space="preserve">    邮编：____________　电话：____________　传真：____________</w:t>
      </w:r>
    </w:p>
    <w:p w14:paraId="7851115B">
      <w:pPr>
        <w:snapToGrid w:val="0"/>
        <w:spacing w:line="360" w:lineRule="auto"/>
        <w:ind w:firstLine="4560"/>
        <w:rPr>
          <w:rFonts w:ascii="宋体" w:hAnsi="宋体"/>
          <w:sz w:val="24"/>
          <w:highlight w:val="none"/>
        </w:rPr>
      </w:pPr>
    </w:p>
    <w:p w14:paraId="030B93EA">
      <w:pPr>
        <w:snapToGrid w:val="0"/>
        <w:spacing w:line="360" w:lineRule="auto"/>
        <w:ind w:firstLine="3960"/>
        <w:rPr>
          <w:rFonts w:ascii="宋体" w:hAnsi="宋体"/>
          <w:sz w:val="24"/>
          <w:highlight w:val="none"/>
        </w:rPr>
      </w:pPr>
    </w:p>
    <w:p w14:paraId="6B40234C">
      <w:pPr>
        <w:snapToGrid w:val="0"/>
        <w:spacing w:line="360" w:lineRule="auto"/>
        <w:ind w:firstLine="3960"/>
        <w:rPr>
          <w:rFonts w:ascii="宋体" w:hAnsi="宋体"/>
          <w:sz w:val="24"/>
          <w:highlight w:val="none"/>
        </w:rPr>
      </w:pPr>
      <w:r>
        <w:rPr>
          <w:rFonts w:hint="eastAsia" w:ascii="宋体" w:hAnsi="宋体"/>
          <w:sz w:val="24"/>
          <w:highlight w:val="none"/>
        </w:rPr>
        <w:t>投标人名称(盖章)：</w:t>
      </w:r>
    </w:p>
    <w:p w14:paraId="76A964D9">
      <w:pPr>
        <w:snapToGrid w:val="0"/>
        <w:spacing w:line="360" w:lineRule="auto"/>
        <w:ind w:firstLine="3960"/>
        <w:rPr>
          <w:rFonts w:ascii="宋体" w:hAnsi="宋体"/>
          <w:sz w:val="24"/>
          <w:highlight w:val="none"/>
        </w:rPr>
      </w:pPr>
    </w:p>
    <w:p w14:paraId="34F2D54D">
      <w:pPr>
        <w:snapToGrid w:val="0"/>
        <w:spacing w:line="360" w:lineRule="auto"/>
        <w:rPr>
          <w:rFonts w:ascii="宋体" w:hAnsi="宋体"/>
          <w:sz w:val="24"/>
          <w:highlight w:val="none"/>
        </w:rPr>
      </w:pPr>
      <w:r>
        <w:rPr>
          <w:rFonts w:hint="eastAsia" w:ascii="宋体" w:hAnsi="宋体"/>
          <w:sz w:val="24"/>
          <w:highlight w:val="none"/>
        </w:rPr>
        <w:t xml:space="preserve">                                 日　期：</w:t>
      </w:r>
      <w:r>
        <w:rPr>
          <w:rFonts w:hint="eastAsia" w:ascii="宋体" w:hAnsi="宋体"/>
          <w:kern w:val="0"/>
          <w:sz w:val="24"/>
          <w:highlight w:val="none"/>
          <w:lang w:val="zh-CN"/>
        </w:rPr>
        <w:t xml:space="preserve">     年    月     日</w:t>
      </w:r>
    </w:p>
    <w:p w14:paraId="2220ABFA">
      <w:pPr>
        <w:snapToGrid w:val="0"/>
        <w:spacing w:line="360" w:lineRule="auto"/>
        <w:rPr>
          <w:rFonts w:ascii="宋体" w:hAnsi="宋体"/>
          <w:kern w:val="0"/>
          <w:sz w:val="24"/>
          <w:highlight w:val="none"/>
          <w:lang w:val="zh-CN"/>
        </w:rPr>
        <w:sectPr>
          <w:pgSz w:w="11906" w:h="16838"/>
          <w:pgMar w:top="1440" w:right="1080" w:bottom="1440" w:left="1080" w:header="851" w:footer="992" w:gutter="0"/>
          <w:cols w:space="720" w:num="1"/>
          <w:docGrid w:linePitch="312" w:charSpace="0"/>
        </w:sectPr>
      </w:pPr>
    </w:p>
    <w:p w14:paraId="13937E57">
      <w:pPr>
        <w:spacing w:line="400" w:lineRule="atLeast"/>
        <w:jc w:val="left"/>
        <w:rPr>
          <w:rFonts w:ascii="宋体" w:hAnsi="宋体"/>
          <w:b/>
          <w:sz w:val="28"/>
          <w:highlight w:val="none"/>
        </w:rPr>
      </w:pPr>
      <w:r>
        <w:rPr>
          <w:rFonts w:hint="eastAsia" w:ascii="宋体" w:hAnsi="宋体"/>
          <w:b/>
          <w:sz w:val="28"/>
          <w:highlight w:val="none"/>
        </w:rPr>
        <w:t>附件二：投标利率一览表</w:t>
      </w:r>
    </w:p>
    <w:p w14:paraId="3C67A1B9">
      <w:pPr>
        <w:widowControl/>
        <w:spacing w:line="380" w:lineRule="exact"/>
        <w:rPr>
          <w:rFonts w:ascii="宋体" w:hAnsi="宋体"/>
          <w:kern w:val="0"/>
          <w:sz w:val="24"/>
          <w:highlight w:val="none"/>
        </w:rPr>
      </w:pPr>
    </w:p>
    <w:p w14:paraId="0E499A81">
      <w:pPr>
        <w:widowControl/>
        <w:spacing w:line="380" w:lineRule="exact"/>
        <w:rPr>
          <w:rFonts w:ascii="宋体" w:hAnsi="宋体"/>
          <w:kern w:val="0"/>
          <w:sz w:val="24"/>
          <w:highlight w:val="none"/>
        </w:rPr>
      </w:pPr>
      <w:r>
        <w:rPr>
          <w:rFonts w:hint="eastAsia" w:ascii="宋体" w:hAnsi="宋体"/>
          <w:kern w:val="0"/>
          <w:sz w:val="24"/>
          <w:highlight w:val="none"/>
        </w:rPr>
        <w:t xml:space="preserve">投标人名称：____________________________ </w:t>
      </w:r>
    </w:p>
    <w:p w14:paraId="01D130A2">
      <w:pPr>
        <w:widowControl/>
        <w:spacing w:line="380" w:lineRule="exact"/>
        <w:rPr>
          <w:rFonts w:ascii="宋体" w:hAnsi="宋体"/>
          <w:kern w:val="0"/>
          <w:sz w:val="24"/>
          <w:highlight w:val="none"/>
        </w:rPr>
      </w:pPr>
    </w:p>
    <w:tbl>
      <w:tblPr>
        <w:tblStyle w:val="45"/>
        <w:tblW w:w="9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2268"/>
        <w:gridCol w:w="2320"/>
        <w:gridCol w:w="1796"/>
        <w:gridCol w:w="1796"/>
      </w:tblGrid>
      <w:tr w14:paraId="01413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02" w:type="dxa"/>
            <w:tcBorders>
              <w:top w:val="single" w:color="auto" w:sz="4" w:space="0"/>
              <w:left w:val="single" w:color="auto" w:sz="4" w:space="0"/>
              <w:bottom w:val="single" w:color="auto" w:sz="4" w:space="0"/>
              <w:right w:val="single" w:color="auto" w:sz="4" w:space="0"/>
            </w:tcBorders>
            <w:vAlign w:val="center"/>
          </w:tcPr>
          <w:p w14:paraId="4099BB23">
            <w:pPr>
              <w:snapToGrid w:val="0"/>
              <w:jc w:val="center"/>
              <w:rPr>
                <w:rFonts w:ascii="宋体" w:hAnsi="宋体"/>
                <w:color w:val="auto"/>
                <w:kern w:val="0"/>
                <w:sz w:val="24"/>
                <w:lang w:val="zh-CN"/>
              </w:rPr>
            </w:pPr>
            <w:r>
              <w:rPr>
                <w:rFonts w:hint="eastAsia" w:ascii="宋体" w:hAnsi="宋体"/>
                <w:color w:val="auto"/>
                <w:kern w:val="0"/>
                <w:sz w:val="24"/>
              </w:rPr>
              <w:t>分包</w:t>
            </w:r>
            <w:r>
              <w:rPr>
                <w:rFonts w:hint="eastAsia" w:ascii="宋体" w:hAnsi="宋体"/>
                <w:color w:val="auto"/>
                <w:kern w:val="0"/>
                <w:sz w:val="24"/>
                <w:lang w:val="zh-CN"/>
              </w:rPr>
              <w:t>号</w:t>
            </w:r>
          </w:p>
        </w:tc>
        <w:tc>
          <w:tcPr>
            <w:tcW w:w="2268" w:type="dxa"/>
            <w:tcBorders>
              <w:top w:val="single" w:color="auto" w:sz="4" w:space="0"/>
              <w:left w:val="single" w:color="auto" w:sz="4" w:space="0"/>
              <w:bottom w:val="single" w:color="auto" w:sz="4" w:space="0"/>
              <w:right w:val="single" w:color="auto" w:sz="4" w:space="0"/>
            </w:tcBorders>
            <w:vAlign w:val="center"/>
          </w:tcPr>
          <w:p w14:paraId="51FE14B3">
            <w:pPr>
              <w:snapToGrid w:val="0"/>
              <w:jc w:val="center"/>
              <w:rPr>
                <w:rFonts w:ascii="宋体" w:hAnsi="宋体"/>
                <w:color w:val="auto"/>
                <w:kern w:val="0"/>
                <w:sz w:val="24"/>
                <w:lang w:val="zh-CN"/>
              </w:rPr>
            </w:pPr>
            <w:r>
              <w:rPr>
                <w:rFonts w:hint="eastAsia" w:ascii="宋体" w:hAnsi="宋体"/>
                <w:color w:val="auto"/>
                <w:kern w:val="0"/>
                <w:sz w:val="24"/>
                <w:lang w:val="zh-CN"/>
              </w:rPr>
              <w:t>存款金额（万元）</w:t>
            </w:r>
          </w:p>
        </w:tc>
        <w:tc>
          <w:tcPr>
            <w:tcW w:w="2320" w:type="dxa"/>
            <w:tcBorders>
              <w:top w:val="single" w:color="auto" w:sz="4" w:space="0"/>
              <w:left w:val="single" w:color="auto" w:sz="4" w:space="0"/>
              <w:bottom w:val="single" w:color="auto" w:sz="4" w:space="0"/>
              <w:right w:val="single" w:color="auto" w:sz="4" w:space="0"/>
            </w:tcBorders>
            <w:vAlign w:val="center"/>
          </w:tcPr>
          <w:p w14:paraId="4A0793D0">
            <w:pPr>
              <w:widowControl/>
              <w:jc w:val="center"/>
              <w:rPr>
                <w:rFonts w:ascii="宋体" w:hAnsi="宋体"/>
                <w:color w:val="auto"/>
                <w:kern w:val="0"/>
                <w:sz w:val="24"/>
                <w:lang w:val="zh-CN"/>
              </w:rPr>
            </w:pPr>
            <w:r>
              <w:rPr>
                <w:rFonts w:hint="eastAsia" w:ascii="宋体" w:hAnsi="宋体"/>
                <w:color w:val="auto"/>
                <w:kern w:val="0"/>
                <w:sz w:val="24"/>
                <w:lang w:val="zh-CN"/>
              </w:rPr>
              <w:t>存款期限（定期）</w:t>
            </w:r>
          </w:p>
        </w:tc>
        <w:tc>
          <w:tcPr>
            <w:tcW w:w="1796" w:type="dxa"/>
            <w:tcBorders>
              <w:top w:val="single" w:color="auto" w:sz="4" w:space="0"/>
              <w:left w:val="single" w:color="auto" w:sz="4" w:space="0"/>
              <w:bottom w:val="single" w:color="auto" w:sz="4" w:space="0"/>
              <w:right w:val="single" w:color="auto" w:sz="4" w:space="0"/>
            </w:tcBorders>
            <w:vAlign w:val="center"/>
          </w:tcPr>
          <w:p w14:paraId="5610107E">
            <w:pPr>
              <w:snapToGrid w:val="0"/>
              <w:jc w:val="center"/>
              <w:rPr>
                <w:rFonts w:ascii="宋体" w:hAnsi="宋体"/>
                <w:color w:val="auto"/>
                <w:kern w:val="0"/>
                <w:sz w:val="24"/>
                <w:lang w:val="zh-CN"/>
              </w:rPr>
            </w:pPr>
            <w:r>
              <w:rPr>
                <w:rFonts w:hint="eastAsia" w:ascii="宋体" w:hAnsi="宋体"/>
                <w:color w:val="auto"/>
                <w:kern w:val="0"/>
                <w:sz w:val="24"/>
                <w:lang w:val="zh-CN"/>
              </w:rPr>
              <w:t>基准加点（</w:t>
            </w:r>
            <w:r>
              <w:rPr>
                <w:rFonts w:hint="eastAsia" w:ascii="宋体" w:hAnsi="宋体"/>
                <w:color w:val="auto"/>
                <w:kern w:val="0"/>
                <w:sz w:val="24"/>
                <w:lang w:val="en-US" w:eastAsia="zh-CN"/>
              </w:rPr>
              <w:t>bp</w:t>
            </w:r>
            <w:r>
              <w:rPr>
                <w:rFonts w:hint="eastAsia" w:ascii="宋体" w:hAnsi="宋体"/>
                <w:color w:val="auto"/>
                <w:kern w:val="0"/>
                <w:sz w:val="24"/>
                <w:lang w:val="zh-CN"/>
              </w:rPr>
              <w:t>）</w:t>
            </w:r>
          </w:p>
        </w:tc>
        <w:tc>
          <w:tcPr>
            <w:tcW w:w="1796" w:type="dxa"/>
            <w:tcBorders>
              <w:top w:val="single" w:color="auto" w:sz="4" w:space="0"/>
              <w:left w:val="single" w:color="auto" w:sz="4" w:space="0"/>
              <w:bottom w:val="single" w:color="auto" w:sz="4" w:space="0"/>
              <w:right w:val="single" w:color="auto" w:sz="4" w:space="0"/>
            </w:tcBorders>
            <w:vAlign w:val="center"/>
          </w:tcPr>
          <w:p w14:paraId="7944B12C">
            <w:pPr>
              <w:snapToGrid w:val="0"/>
              <w:jc w:val="center"/>
              <w:rPr>
                <w:rFonts w:ascii="宋体" w:hAnsi="宋体"/>
                <w:color w:val="auto"/>
                <w:kern w:val="0"/>
                <w:sz w:val="24"/>
                <w:lang w:val="zh-CN"/>
              </w:rPr>
            </w:pPr>
            <w:r>
              <w:rPr>
                <w:rFonts w:hint="eastAsia" w:ascii="宋体" w:hAnsi="宋体"/>
                <w:color w:val="auto"/>
                <w:kern w:val="0"/>
                <w:sz w:val="24"/>
                <w:lang w:val="zh-CN"/>
              </w:rPr>
              <w:t>备注</w:t>
            </w:r>
          </w:p>
        </w:tc>
      </w:tr>
      <w:tr w14:paraId="10167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02" w:type="dxa"/>
            <w:tcBorders>
              <w:top w:val="single" w:color="auto" w:sz="4" w:space="0"/>
              <w:left w:val="single" w:color="auto" w:sz="4" w:space="0"/>
              <w:right w:val="single" w:color="auto" w:sz="4" w:space="0"/>
            </w:tcBorders>
            <w:vAlign w:val="center"/>
          </w:tcPr>
          <w:p w14:paraId="1E71E3A1">
            <w:pPr>
              <w:widowControl/>
              <w:jc w:val="center"/>
              <w:textAlignment w:val="center"/>
              <w:rPr>
                <w:rFonts w:ascii="宋体" w:hAnsi="宋体"/>
                <w:color w:val="auto"/>
                <w:kern w:val="0"/>
                <w:sz w:val="24"/>
              </w:rPr>
            </w:pPr>
            <w:r>
              <w:rPr>
                <w:rFonts w:hint="eastAsia" w:ascii="宋体" w:hAnsi="宋体" w:eastAsia="宋体" w:cs="宋体"/>
                <w:b w:val="0"/>
                <w:bCs w:val="0"/>
                <w:i w:val="0"/>
                <w:iCs w:val="0"/>
                <w:color w:val="000000"/>
                <w:kern w:val="0"/>
                <w:sz w:val="21"/>
                <w:szCs w:val="21"/>
                <w:u w:val="none"/>
                <w:lang w:val="en-US" w:eastAsia="zh-CN"/>
              </w:rPr>
              <w:t>1</w:t>
            </w:r>
          </w:p>
        </w:tc>
        <w:tc>
          <w:tcPr>
            <w:tcW w:w="2268" w:type="dxa"/>
            <w:tcBorders>
              <w:top w:val="single" w:color="auto" w:sz="4" w:space="0"/>
              <w:left w:val="single" w:color="auto" w:sz="4" w:space="0"/>
              <w:right w:val="single" w:color="auto" w:sz="4" w:space="0"/>
            </w:tcBorders>
            <w:vAlign w:val="center"/>
          </w:tcPr>
          <w:p w14:paraId="23AE1B7D">
            <w:pPr>
              <w:widowControl/>
              <w:jc w:val="center"/>
              <w:textAlignment w:val="center"/>
              <w:rPr>
                <w:rFonts w:hint="default" w:ascii="宋体" w:hAnsi="宋体" w:cs="宋体"/>
                <w:b w:val="0"/>
                <w:bCs w:val="0"/>
                <w:color w:val="auto"/>
                <w:kern w:val="0"/>
                <w:sz w:val="24"/>
                <w:lang w:val="en-US"/>
              </w:rPr>
            </w:pPr>
            <w:r>
              <w:rPr>
                <w:rFonts w:hint="eastAsia" w:ascii="宋体" w:hAnsi="宋体" w:cs="宋体"/>
                <w:b w:val="0"/>
                <w:bCs w:val="0"/>
                <w:i w:val="0"/>
                <w:iCs w:val="0"/>
                <w:color w:val="000000"/>
                <w:kern w:val="0"/>
                <w:sz w:val="21"/>
                <w:szCs w:val="21"/>
                <w:u w:val="none"/>
                <w:lang w:val="en-US" w:eastAsia="zh-CN"/>
              </w:rPr>
              <w:t>4700</w:t>
            </w:r>
          </w:p>
        </w:tc>
        <w:tc>
          <w:tcPr>
            <w:tcW w:w="2320" w:type="dxa"/>
            <w:tcBorders>
              <w:top w:val="single" w:color="auto" w:sz="4" w:space="0"/>
              <w:left w:val="single" w:color="auto" w:sz="4" w:space="0"/>
              <w:bottom w:val="single" w:color="auto" w:sz="4" w:space="0"/>
              <w:right w:val="single" w:color="auto" w:sz="4" w:space="0"/>
            </w:tcBorders>
            <w:vAlign w:val="center"/>
          </w:tcPr>
          <w:p w14:paraId="79B15CBD">
            <w:pPr>
              <w:widowControl/>
              <w:jc w:val="center"/>
              <w:textAlignment w:val="center"/>
              <w:rPr>
                <w:rFonts w:ascii="宋体" w:hAnsi="宋体"/>
                <w:color w:val="auto"/>
                <w:kern w:val="0"/>
                <w:sz w:val="24"/>
                <w:highlight w:val="none"/>
                <w:lang w:val="zh-CN"/>
              </w:rPr>
            </w:pPr>
            <w:r>
              <w:rPr>
                <w:rFonts w:hint="eastAsia" w:ascii="宋体" w:hAnsi="宋体" w:cs="宋体"/>
                <w:color w:val="auto"/>
                <w:kern w:val="0"/>
                <w:sz w:val="24"/>
                <w:highlight w:val="none"/>
              </w:rPr>
              <w:t>1年</w:t>
            </w:r>
          </w:p>
        </w:tc>
        <w:tc>
          <w:tcPr>
            <w:tcW w:w="1796" w:type="dxa"/>
            <w:vMerge w:val="restart"/>
            <w:tcBorders>
              <w:top w:val="single" w:color="auto" w:sz="4" w:space="0"/>
              <w:left w:val="single" w:color="auto" w:sz="4" w:space="0"/>
              <w:right w:val="single" w:color="auto" w:sz="4" w:space="0"/>
            </w:tcBorders>
            <w:vAlign w:val="center"/>
          </w:tcPr>
          <w:p w14:paraId="51DC0DAD">
            <w:pPr>
              <w:snapToGrid w:val="0"/>
              <w:jc w:val="center"/>
              <w:rPr>
                <w:rFonts w:ascii="宋体" w:hAnsi="宋体"/>
                <w:color w:val="auto"/>
                <w:kern w:val="0"/>
                <w:sz w:val="24"/>
                <w:highlight w:val="none"/>
                <w:lang w:val="zh-CN"/>
              </w:rPr>
            </w:pPr>
            <w:r>
              <w:rPr>
                <w:rFonts w:hint="eastAsia" w:ascii="宋体" w:hAnsi="宋体" w:eastAsia="宋体" w:cs="宋体"/>
                <w:color w:val="000000"/>
                <w:kern w:val="0"/>
                <w:sz w:val="24"/>
                <w:szCs w:val="24"/>
                <w:highlight w:val="none"/>
              </w:rPr>
              <w:t>基准+</w:t>
            </w:r>
            <w:r>
              <w:rPr>
                <w:rFonts w:hint="eastAsia" w:ascii="宋体" w:hAnsi="宋体" w:cs="宋体"/>
                <w:color w:val="000000"/>
                <w:kern w:val="0"/>
                <w:sz w:val="24"/>
                <w:szCs w:val="24"/>
                <w:highlight w:val="none"/>
                <w:u w:val="single"/>
                <w:lang w:val="en-US" w:eastAsia="zh-CN"/>
              </w:rPr>
              <w:t xml:space="preserve">   </w:t>
            </w:r>
            <w:r>
              <w:rPr>
                <w:rFonts w:hint="eastAsia" w:ascii="宋体" w:hAnsi="宋体" w:eastAsia="宋体" w:cs="宋体"/>
                <w:color w:val="000000"/>
                <w:kern w:val="0"/>
                <w:sz w:val="24"/>
                <w:szCs w:val="24"/>
                <w:highlight w:val="none"/>
              </w:rPr>
              <w:t>bp</w:t>
            </w:r>
          </w:p>
        </w:tc>
        <w:tc>
          <w:tcPr>
            <w:tcW w:w="1796" w:type="dxa"/>
            <w:vMerge w:val="restart"/>
            <w:tcBorders>
              <w:top w:val="single" w:color="auto" w:sz="4" w:space="0"/>
              <w:left w:val="single" w:color="auto" w:sz="4" w:space="0"/>
              <w:right w:val="single" w:color="auto" w:sz="4" w:space="0"/>
            </w:tcBorders>
            <w:vAlign w:val="center"/>
          </w:tcPr>
          <w:p w14:paraId="334BA857">
            <w:pPr>
              <w:widowControl/>
              <w:snapToGrid w:val="0"/>
              <w:jc w:val="center"/>
              <w:rPr>
                <w:rFonts w:ascii="宋体" w:hAnsi="宋体"/>
                <w:color w:val="auto"/>
                <w:kern w:val="0"/>
                <w:sz w:val="24"/>
                <w:highlight w:val="none"/>
                <w:lang w:val="zh-CN"/>
              </w:rPr>
            </w:pPr>
          </w:p>
        </w:tc>
      </w:tr>
      <w:tr w14:paraId="65530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02" w:type="dxa"/>
            <w:tcBorders>
              <w:left w:val="single" w:color="auto" w:sz="4" w:space="0"/>
              <w:right w:val="single" w:color="auto" w:sz="4" w:space="0"/>
            </w:tcBorders>
            <w:vAlign w:val="center"/>
          </w:tcPr>
          <w:p w14:paraId="5870EF54">
            <w:pPr>
              <w:jc w:val="center"/>
              <w:rPr>
                <w:rFonts w:hint="default" w:ascii="宋体" w:hAnsi="宋体" w:eastAsia="宋体"/>
                <w:color w:val="auto"/>
                <w:kern w:val="0"/>
                <w:sz w:val="24"/>
                <w:lang w:val="en-US" w:eastAsia="zh-CN"/>
              </w:rPr>
            </w:pPr>
            <w:r>
              <w:rPr>
                <w:rFonts w:hint="eastAsia" w:ascii="宋体" w:hAnsi="宋体"/>
                <w:color w:val="auto"/>
                <w:kern w:val="0"/>
                <w:sz w:val="24"/>
                <w:lang w:val="en-US" w:eastAsia="zh-CN"/>
              </w:rPr>
              <w:t>2</w:t>
            </w:r>
          </w:p>
        </w:tc>
        <w:tc>
          <w:tcPr>
            <w:tcW w:w="2268" w:type="dxa"/>
            <w:tcBorders>
              <w:top w:val="single" w:color="auto" w:sz="4" w:space="0"/>
              <w:left w:val="single" w:color="auto" w:sz="4" w:space="0"/>
              <w:bottom w:val="single" w:color="auto" w:sz="4" w:space="0"/>
              <w:right w:val="single" w:color="auto" w:sz="4" w:space="0"/>
            </w:tcBorders>
            <w:vAlign w:val="center"/>
          </w:tcPr>
          <w:p w14:paraId="532930F7">
            <w:pPr>
              <w:widowControl/>
              <w:jc w:val="center"/>
              <w:textAlignment w:val="center"/>
              <w:rPr>
                <w:rFonts w:hint="default" w:ascii="宋体" w:hAnsi="宋体" w:cs="宋体"/>
                <w:b w:val="0"/>
                <w:bCs w:val="0"/>
                <w:color w:val="auto"/>
                <w:kern w:val="0"/>
                <w:sz w:val="24"/>
                <w:lang w:val="en-US" w:eastAsia="zh-CN"/>
              </w:rPr>
            </w:pPr>
            <w:r>
              <w:rPr>
                <w:rFonts w:hint="eastAsia" w:ascii="宋体" w:hAnsi="宋体" w:cs="宋体"/>
                <w:b w:val="0"/>
                <w:bCs w:val="0"/>
                <w:i w:val="0"/>
                <w:iCs w:val="0"/>
                <w:color w:val="000000"/>
                <w:kern w:val="0"/>
                <w:sz w:val="21"/>
                <w:szCs w:val="21"/>
                <w:u w:val="none"/>
                <w:lang w:val="en-US" w:eastAsia="zh-CN"/>
              </w:rPr>
              <w:t>4500</w:t>
            </w:r>
          </w:p>
        </w:tc>
        <w:tc>
          <w:tcPr>
            <w:tcW w:w="2320" w:type="dxa"/>
            <w:tcBorders>
              <w:top w:val="single" w:color="auto" w:sz="4" w:space="0"/>
              <w:left w:val="single" w:color="auto" w:sz="4" w:space="0"/>
              <w:bottom w:val="single" w:color="auto" w:sz="4" w:space="0"/>
              <w:right w:val="single" w:color="auto" w:sz="4" w:space="0"/>
            </w:tcBorders>
            <w:vAlign w:val="center"/>
          </w:tcPr>
          <w:p w14:paraId="61463829">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1年</w:t>
            </w:r>
          </w:p>
        </w:tc>
        <w:tc>
          <w:tcPr>
            <w:tcW w:w="1796" w:type="dxa"/>
            <w:vMerge w:val="continue"/>
            <w:tcBorders>
              <w:left w:val="single" w:color="auto" w:sz="4" w:space="0"/>
              <w:right w:val="single" w:color="auto" w:sz="4" w:space="0"/>
            </w:tcBorders>
            <w:vAlign w:val="center"/>
          </w:tcPr>
          <w:p w14:paraId="60F55888">
            <w:pPr>
              <w:snapToGrid w:val="0"/>
              <w:jc w:val="center"/>
              <w:rPr>
                <w:rFonts w:ascii="宋体" w:hAnsi="宋体"/>
                <w:color w:val="auto"/>
                <w:kern w:val="0"/>
                <w:sz w:val="24"/>
                <w:highlight w:val="none"/>
                <w:lang w:val="zh-CN"/>
              </w:rPr>
            </w:pPr>
          </w:p>
        </w:tc>
        <w:tc>
          <w:tcPr>
            <w:tcW w:w="1796" w:type="dxa"/>
            <w:vMerge w:val="continue"/>
            <w:tcBorders>
              <w:left w:val="single" w:color="auto" w:sz="4" w:space="0"/>
              <w:right w:val="single" w:color="auto" w:sz="4" w:space="0"/>
            </w:tcBorders>
            <w:vAlign w:val="center"/>
          </w:tcPr>
          <w:p w14:paraId="22F599EA">
            <w:pPr>
              <w:widowControl/>
              <w:snapToGrid w:val="0"/>
              <w:jc w:val="center"/>
              <w:rPr>
                <w:rFonts w:ascii="宋体" w:hAnsi="宋体"/>
                <w:color w:val="auto"/>
                <w:kern w:val="0"/>
                <w:sz w:val="24"/>
                <w:highlight w:val="none"/>
                <w:lang w:val="zh-CN"/>
              </w:rPr>
            </w:pPr>
          </w:p>
        </w:tc>
      </w:tr>
      <w:tr w14:paraId="6CBB9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02" w:type="dxa"/>
            <w:tcBorders>
              <w:left w:val="single" w:color="auto" w:sz="4" w:space="0"/>
              <w:right w:val="single" w:color="auto" w:sz="4" w:space="0"/>
            </w:tcBorders>
            <w:vAlign w:val="center"/>
          </w:tcPr>
          <w:p w14:paraId="54A8866B">
            <w:pPr>
              <w:jc w:val="center"/>
              <w:rPr>
                <w:rFonts w:hint="eastAsia" w:ascii="宋体" w:hAnsi="宋体" w:eastAsia="宋体"/>
                <w:color w:val="auto"/>
                <w:kern w:val="0"/>
                <w:sz w:val="24"/>
                <w:lang w:eastAsia="zh-CN"/>
              </w:rPr>
            </w:pPr>
            <w:r>
              <w:rPr>
                <w:rFonts w:hint="eastAsia" w:ascii="宋体" w:hAnsi="宋体" w:cs="宋体"/>
                <w:b w:val="0"/>
                <w:bCs w:val="0"/>
                <w:i w:val="0"/>
                <w:iCs w:val="0"/>
                <w:color w:val="000000"/>
                <w:sz w:val="21"/>
                <w:szCs w:val="21"/>
                <w:u w:val="none"/>
                <w:lang w:val="en-US" w:eastAsia="zh-CN"/>
              </w:rPr>
              <w:t>3</w:t>
            </w:r>
          </w:p>
        </w:tc>
        <w:tc>
          <w:tcPr>
            <w:tcW w:w="2268" w:type="dxa"/>
            <w:tcBorders>
              <w:top w:val="single" w:color="auto" w:sz="4" w:space="0"/>
              <w:left w:val="single" w:color="auto" w:sz="4" w:space="0"/>
              <w:bottom w:val="single" w:color="auto" w:sz="4" w:space="0"/>
              <w:right w:val="single" w:color="auto" w:sz="4" w:space="0"/>
            </w:tcBorders>
            <w:vAlign w:val="center"/>
          </w:tcPr>
          <w:p w14:paraId="258EEBCC">
            <w:pPr>
              <w:widowControl/>
              <w:jc w:val="center"/>
              <w:textAlignment w:val="center"/>
              <w:rPr>
                <w:rFonts w:hint="default" w:ascii="宋体" w:hAnsi="宋体" w:cs="宋体"/>
                <w:b w:val="0"/>
                <w:bCs w:val="0"/>
                <w:color w:val="auto"/>
                <w:kern w:val="0"/>
                <w:sz w:val="24"/>
                <w:lang w:val="en-US" w:eastAsia="zh-CN"/>
              </w:rPr>
            </w:pPr>
            <w:r>
              <w:rPr>
                <w:rFonts w:hint="eastAsia" w:ascii="宋体" w:hAnsi="宋体" w:cs="宋体"/>
                <w:b w:val="0"/>
                <w:bCs w:val="0"/>
                <w:i w:val="0"/>
                <w:iCs w:val="0"/>
                <w:color w:val="000000"/>
                <w:kern w:val="0"/>
                <w:sz w:val="21"/>
                <w:szCs w:val="21"/>
                <w:u w:val="none"/>
                <w:lang w:val="en-US" w:eastAsia="zh-CN"/>
              </w:rPr>
              <w:t>3500</w:t>
            </w:r>
          </w:p>
        </w:tc>
        <w:tc>
          <w:tcPr>
            <w:tcW w:w="2320" w:type="dxa"/>
            <w:tcBorders>
              <w:top w:val="single" w:color="auto" w:sz="4" w:space="0"/>
              <w:left w:val="single" w:color="auto" w:sz="4" w:space="0"/>
              <w:bottom w:val="single" w:color="auto" w:sz="4" w:space="0"/>
              <w:right w:val="single" w:color="auto" w:sz="4" w:space="0"/>
            </w:tcBorders>
            <w:vAlign w:val="center"/>
          </w:tcPr>
          <w:p w14:paraId="7ABA4279">
            <w:pPr>
              <w:widowControl/>
              <w:jc w:val="center"/>
              <w:textAlignment w:val="center"/>
              <w:rPr>
                <w:rFonts w:ascii="宋体" w:hAnsi="宋体" w:cs="宋体"/>
                <w:color w:val="auto"/>
                <w:kern w:val="0"/>
                <w:szCs w:val="21"/>
                <w:highlight w:val="none"/>
              </w:rPr>
            </w:pPr>
            <w:r>
              <w:rPr>
                <w:rFonts w:hint="eastAsia" w:ascii="宋体" w:hAnsi="宋体" w:cs="宋体"/>
                <w:color w:val="auto"/>
                <w:kern w:val="0"/>
                <w:sz w:val="24"/>
                <w:highlight w:val="none"/>
              </w:rPr>
              <w:t>1年</w:t>
            </w:r>
          </w:p>
        </w:tc>
        <w:tc>
          <w:tcPr>
            <w:tcW w:w="1796" w:type="dxa"/>
            <w:vMerge w:val="continue"/>
            <w:tcBorders>
              <w:left w:val="single" w:color="auto" w:sz="4" w:space="0"/>
              <w:right w:val="single" w:color="auto" w:sz="4" w:space="0"/>
            </w:tcBorders>
            <w:vAlign w:val="center"/>
          </w:tcPr>
          <w:p w14:paraId="4F5723BF">
            <w:pPr>
              <w:snapToGrid w:val="0"/>
              <w:jc w:val="center"/>
              <w:rPr>
                <w:rFonts w:ascii="宋体" w:hAnsi="宋体"/>
                <w:color w:val="auto"/>
                <w:kern w:val="0"/>
                <w:sz w:val="24"/>
                <w:highlight w:val="none"/>
                <w:lang w:val="zh-CN"/>
              </w:rPr>
            </w:pPr>
          </w:p>
        </w:tc>
        <w:tc>
          <w:tcPr>
            <w:tcW w:w="1796" w:type="dxa"/>
            <w:vMerge w:val="continue"/>
            <w:tcBorders>
              <w:left w:val="single" w:color="auto" w:sz="4" w:space="0"/>
              <w:right w:val="single" w:color="auto" w:sz="4" w:space="0"/>
            </w:tcBorders>
            <w:vAlign w:val="center"/>
          </w:tcPr>
          <w:p w14:paraId="695DFAE4">
            <w:pPr>
              <w:widowControl/>
              <w:snapToGrid w:val="0"/>
              <w:jc w:val="center"/>
              <w:rPr>
                <w:rFonts w:ascii="宋体" w:hAnsi="宋体"/>
                <w:color w:val="auto"/>
                <w:kern w:val="0"/>
                <w:sz w:val="24"/>
                <w:highlight w:val="none"/>
                <w:lang w:val="zh-CN"/>
              </w:rPr>
            </w:pPr>
          </w:p>
        </w:tc>
      </w:tr>
      <w:tr w14:paraId="4209B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02" w:type="dxa"/>
            <w:tcBorders>
              <w:left w:val="single" w:color="auto" w:sz="4" w:space="0"/>
              <w:right w:val="single" w:color="auto" w:sz="4" w:space="0"/>
            </w:tcBorders>
            <w:vAlign w:val="center"/>
          </w:tcPr>
          <w:p w14:paraId="66469AB6">
            <w:pPr>
              <w:jc w:val="center"/>
              <w:rPr>
                <w:rFonts w:hint="default" w:ascii="宋体" w:hAnsi="宋体"/>
                <w:color w:val="auto"/>
                <w:kern w:val="0"/>
                <w:sz w:val="24"/>
                <w:lang w:val="en-US" w:eastAsia="zh-CN"/>
              </w:rPr>
            </w:pPr>
            <w:r>
              <w:rPr>
                <w:rFonts w:hint="eastAsia" w:ascii="宋体" w:hAnsi="宋体"/>
                <w:color w:val="auto"/>
                <w:kern w:val="0"/>
                <w:sz w:val="24"/>
                <w:lang w:val="en-US" w:eastAsia="zh-CN"/>
              </w:rPr>
              <w:t>4</w:t>
            </w:r>
          </w:p>
        </w:tc>
        <w:tc>
          <w:tcPr>
            <w:tcW w:w="2268" w:type="dxa"/>
            <w:tcBorders>
              <w:top w:val="single" w:color="auto" w:sz="4" w:space="0"/>
              <w:left w:val="single" w:color="auto" w:sz="4" w:space="0"/>
              <w:bottom w:val="single" w:color="auto" w:sz="4" w:space="0"/>
              <w:right w:val="single" w:color="auto" w:sz="4" w:space="0"/>
            </w:tcBorders>
            <w:vAlign w:val="center"/>
          </w:tcPr>
          <w:p w14:paraId="520B0932">
            <w:pPr>
              <w:widowControl/>
              <w:jc w:val="center"/>
              <w:textAlignment w:val="center"/>
              <w:rPr>
                <w:rFonts w:hint="eastAsia" w:ascii="宋体" w:hAnsi="宋体" w:cs="宋体"/>
                <w:b w:val="0"/>
                <w:bCs w:val="0"/>
                <w:color w:val="auto"/>
                <w:kern w:val="0"/>
                <w:sz w:val="24"/>
                <w:lang w:val="en-US" w:eastAsia="zh-CN"/>
              </w:rPr>
            </w:pPr>
            <w:r>
              <w:rPr>
                <w:rFonts w:hint="eastAsia" w:ascii="宋体" w:hAnsi="宋体" w:cs="宋体"/>
                <w:b w:val="0"/>
                <w:bCs w:val="0"/>
                <w:i w:val="0"/>
                <w:iCs w:val="0"/>
                <w:color w:val="000000"/>
                <w:kern w:val="0"/>
                <w:sz w:val="21"/>
                <w:szCs w:val="21"/>
                <w:u w:val="none"/>
                <w:lang w:val="en-US" w:eastAsia="zh-CN"/>
              </w:rPr>
              <w:t>3000</w:t>
            </w:r>
          </w:p>
        </w:tc>
        <w:tc>
          <w:tcPr>
            <w:tcW w:w="2320" w:type="dxa"/>
            <w:tcBorders>
              <w:top w:val="single" w:color="auto" w:sz="4" w:space="0"/>
              <w:left w:val="single" w:color="auto" w:sz="4" w:space="0"/>
              <w:bottom w:val="single" w:color="auto" w:sz="4" w:space="0"/>
              <w:right w:val="single" w:color="auto" w:sz="4" w:space="0"/>
            </w:tcBorders>
            <w:vAlign w:val="center"/>
          </w:tcPr>
          <w:p w14:paraId="51B57CA3">
            <w:pPr>
              <w:widowControl/>
              <w:jc w:val="center"/>
              <w:textAlignment w:val="center"/>
              <w:rPr>
                <w:rFonts w:hint="eastAsia" w:ascii="宋体" w:hAnsi="宋体" w:cs="宋体"/>
                <w:color w:val="auto"/>
                <w:kern w:val="0"/>
                <w:sz w:val="24"/>
                <w:highlight w:val="none"/>
              </w:rPr>
            </w:pPr>
            <w:r>
              <w:rPr>
                <w:rFonts w:hint="eastAsia" w:ascii="宋体" w:hAnsi="宋体" w:cs="宋体"/>
                <w:color w:val="auto"/>
                <w:kern w:val="0"/>
                <w:sz w:val="24"/>
                <w:highlight w:val="none"/>
              </w:rPr>
              <w:t>1年</w:t>
            </w:r>
          </w:p>
        </w:tc>
        <w:tc>
          <w:tcPr>
            <w:tcW w:w="1796" w:type="dxa"/>
            <w:vMerge w:val="continue"/>
            <w:tcBorders>
              <w:left w:val="single" w:color="auto" w:sz="4" w:space="0"/>
              <w:right w:val="single" w:color="auto" w:sz="4" w:space="0"/>
            </w:tcBorders>
            <w:vAlign w:val="center"/>
          </w:tcPr>
          <w:p w14:paraId="431020E9">
            <w:pPr>
              <w:snapToGrid w:val="0"/>
              <w:jc w:val="center"/>
              <w:rPr>
                <w:rFonts w:ascii="宋体" w:hAnsi="宋体"/>
                <w:color w:val="auto"/>
                <w:kern w:val="0"/>
                <w:sz w:val="24"/>
                <w:highlight w:val="none"/>
                <w:lang w:val="zh-CN"/>
              </w:rPr>
            </w:pPr>
          </w:p>
        </w:tc>
        <w:tc>
          <w:tcPr>
            <w:tcW w:w="1796" w:type="dxa"/>
            <w:vMerge w:val="continue"/>
            <w:tcBorders>
              <w:left w:val="single" w:color="auto" w:sz="4" w:space="0"/>
              <w:right w:val="single" w:color="auto" w:sz="4" w:space="0"/>
            </w:tcBorders>
            <w:vAlign w:val="center"/>
          </w:tcPr>
          <w:p w14:paraId="6DA6C80F">
            <w:pPr>
              <w:widowControl/>
              <w:snapToGrid w:val="0"/>
              <w:jc w:val="center"/>
              <w:rPr>
                <w:rFonts w:ascii="宋体" w:hAnsi="宋体"/>
                <w:color w:val="auto"/>
                <w:kern w:val="0"/>
                <w:sz w:val="24"/>
                <w:highlight w:val="none"/>
                <w:lang w:val="zh-CN"/>
              </w:rPr>
            </w:pPr>
          </w:p>
        </w:tc>
      </w:tr>
    </w:tbl>
    <w:p w14:paraId="562D9203">
      <w:pPr>
        <w:snapToGrid w:val="0"/>
        <w:spacing w:line="360" w:lineRule="auto"/>
        <w:rPr>
          <w:rFonts w:ascii="宋体" w:hAnsi="宋体"/>
          <w:sz w:val="24"/>
          <w:highlight w:val="none"/>
        </w:rPr>
      </w:pPr>
    </w:p>
    <w:p w14:paraId="16117264">
      <w:pPr>
        <w:snapToGrid w:val="0"/>
        <w:spacing w:line="360" w:lineRule="auto"/>
        <w:rPr>
          <w:rFonts w:ascii="宋体" w:hAnsi="宋体"/>
          <w:sz w:val="24"/>
          <w:highlight w:val="none"/>
        </w:rPr>
      </w:pPr>
      <w:r>
        <w:rPr>
          <w:rFonts w:hint="eastAsia" w:ascii="宋体" w:hAnsi="宋体"/>
          <w:sz w:val="24"/>
          <w:highlight w:val="none"/>
        </w:rPr>
        <w:t xml:space="preserve">  注：1. 存款利率加基点数不得违反</w:t>
      </w:r>
      <w:r>
        <w:rPr>
          <w:rFonts w:hint="eastAsia" w:ascii="宋体" w:hAnsi="宋体"/>
          <w:kern w:val="0"/>
          <w:sz w:val="24"/>
          <w:highlight w:val="none"/>
          <w:lang w:val="zh-CN"/>
        </w:rPr>
        <w:t>相关规定</w:t>
      </w:r>
      <w:r>
        <w:rPr>
          <w:rFonts w:hint="eastAsia" w:ascii="宋体" w:hAnsi="宋体"/>
          <w:sz w:val="24"/>
          <w:highlight w:val="none"/>
        </w:rPr>
        <w:t>，否则将视为无效标；</w:t>
      </w:r>
    </w:p>
    <w:p w14:paraId="620DFA32">
      <w:pPr>
        <w:widowControl/>
        <w:spacing w:line="360" w:lineRule="auto"/>
        <w:ind w:firstLine="480" w:firstLineChars="200"/>
        <w:jc w:val="left"/>
        <w:rPr>
          <w:rFonts w:ascii="宋体" w:hAnsi="宋体"/>
          <w:sz w:val="24"/>
          <w:highlight w:val="none"/>
        </w:rPr>
      </w:pPr>
      <w:r>
        <w:rPr>
          <w:rFonts w:hint="eastAsia" w:ascii="宋体" w:hAnsi="宋体"/>
          <w:sz w:val="24"/>
          <w:highlight w:val="none"/>
        </w:rPr>
        <w:t xml:space="preserve">  2、</w:t>
      </w:r>
      <w:r>
        <w:rPr>
          <w:rFonts w:hint="eastAsia" w:ascii="宋体" w:hAnsi="宋体"/>
          <w:kern w:val="0"/>
          <w:sz w:val="24"/>
          <w:szCs w:val="22"/>
          <w:highlight w:val="none"/>
        </w:rPr>
        <w:t>基准利率以开标当日人民银行公布的数据为准，</w:t>
      </w:r>
      <w:r>
        <w:rPr>
          <w:rFonts w:hint="eastAsia" w:ascii="宋体" w:hAnsi="宋体"/>
          <w:sz w:val="24"/>
          <w:highlight w:val="none"/>
        </w:rPr>
        <w:t>存款利率较基准利率的</w:t>
      </w:r>
      <w:r>
        <w:rPr>
          <w:rFonts w:hint="eastAsia" w:hAnsi="宋体"/>
          <w:sz w:val="24"/>
          <w:highlight w:val="none"/>
        </w:rPr>
        <w:t>加基点数</w:t>
      </w:r>
      <w:r>
        <w:rPr>
          <w:rFonts w:hint="eastAsia" w:ascii="宋体" w:hAnsi="宋体"/>
          <w:sz w:val="24"/>
          <w:highlight w:val="none"/>
        </w:rPr>
        <w:t>在整个合同执行期内固定不变</w:t>
      </w:r>
      <w:r>
        <w:rPr>
          <w:rFonts w:hint="eastAsia" w:ascii="宋体" w:hAnsi="宋体"/>
          <w:kern w:val="0"/>
          <w:sz w:val="24"/>
          <w:szCs w:val="22"/>
          <w:highlight w:val="none"/>
        </w:rPr>
        <w:t>；</w:t>
      </w:r>
    </w:p>
    <w:p w14:paraId="3A6EFCE9">
      <w:pPr>
        <w:widowControl/>
        <w:spacing w:line="360" w:lineRule="auto"/>
        <w:ind w:firstLine="480" w:firstLineChars="200"/>
        <w:jc w:val="left"/>
        <w:rPr>
          <w:rFonts w:ascii="宋体" w:hAnsi="宋体"/>
          <w:sz w:val="24"/>
          <w:highlight w:val="none"/>
        </w:rPr>
      </w:pPr>
      <w:r>
        <w:rPr>
          <w:rFonts w:hint="eastAsia" w:ascii="宋体" w:hAnsi="宋体"/>
          <w:sz w:val="24"/>
          <w:highlight w:val="none"/>
        </w:rPr>
        <w:t xml:space="preserve">  3、本投标书填写须清晰、不得涂改。</w:t>
      </w:r>
    </w:p>
    <w:p w14:paraId="0D89B41F">
      <w:pPr>
        <w:snapToGrid w:val="0"/>
        <w:spacing w:line="360" w:lineRule="auto"/>
        <w:ind w:firstLine="5040" w:firstLineChars="2100"/>
        <w:rPr>
          <w:rFonts w:ascii="宋体" w:hAnsi="宋体"/>
          <w:kern w:val="0"/>
          <w:sz w:val="24"/>
          <w:highlight w:val="none"/>
          <w:lang w:val="zh-CN"/>
        </w:rPr>
      </w:pPr>
    </w:p>
    <w:p w14:paraId="7B104604">
      <w:pPr>
        <w:widowControl/>
        <w:snapToGrid w:val="0"/>
        <w:spacing w:line="360" w:lineRule="auto"/>
        <w:jc w:val="left"/>
        <w:rPr>
          <w:rFonts w:ascii="宋体" w:hAnsi="宋体"/>
          <w:kern w:val="0"/>
          <w:sz w:val="24"/>
          <w:highlight w:val="none"/>
          <w:lang w:val="zh-CN"/>
        </w:rPr>
      </w:pPr>
      <w:r>
        <w:rPr>
          <w:rFonts w:hint="eastAsia" w:ascii="宋体" w:hAnsi="宋体"/>
          <w:kern w:val="0"/>
          <w:sz w:val="24"/>
          <w:highlight w:val="none"/>
          <w:lang w:val="zh-CN"/>
        </w:rPr>
        <w:t xml:space="preserve">                                          </w:t>
      </w:r>
    </w:p>
    <w:p w14:paraId="560AFEAF">
      <w:pPr>
        <w:widowControl/>
        <w:snapToGrid w:val="0"/>
        <w:spacing w:line="360" w:lineRule="auto"/>
        <w:jc w:val="left"/>
        <w:rPr>
          <w:rFonts w:ascii="宋体" w:hAnsi="宋体"/>
          <w:kern w:val="0"/>
          <w:sz w:val="24"/>
          <w:highlight w:val="none"/>
        </w:rPr>
      </w:pPr>
      <w:r>
        <w:rPr>
          <w:rFonts w:hint="eastAsia" w:ascii="宋体" w:hAnsi="宋体"/>
          <w:kern w:val="0"/>
          <w:sz w:val="24"/>
          <w:highlight w:val="none"/>
        </w:rPr>
        <w:t xml:space="preserve">                                          </w:t>
      </w:r>
      <w:r>
        <w:rPr>
          <w:rFonts w:hint="eastAsia" w:ascii="宋体" w:hAnsi="宋体"/>
          <w:kern w:val="0"/>
          <w:sz w:val="24"/>
          <w:highlight w:val="none"/>
          <w:lang w:val="zh-CN"/>
        </w:rPr>
        <w:t>投标人公章：</w:t>
      </w:r>
    </w:p>
    <w:p w14:paraId="3DBEC63C">
      <w:pPr>
        <w:snapToGrid w:val="0"/>
        <w:spacing w:line="360" w:lineRule="auto"/>
        <w:ind w:firstLine="5040" w:firstLineChars="2100"/>
        <w:rPr>
          <w:rFonts w:ascii="宋体" w:hAnsi="宋体"/>
          <w:kern w:val="0"/>
          <w:sz w:val="24"/>
          <w:highlight w:val="none"/>
          <w:lang w:val="zh-CN"/>
        </w:rPr>
      </w:pPr>
    </w:p>
    <w:p w14:paraId="617429BE">
      <w:pPr>
        <w:snapToGrid w:val="0"/>
        <w:spacing w:line="360" w:lineRule="auto"/>
        <w:ind w:firstLine="5040" w:firstLineChars="2100"/>
        <w:rPr>
          <w:rFonts w:ascii="宋体" w:hAnsi="宋体"/>
          <w:kern w:val="0"/>
          <w:sz w:val="24"/>
          <w:highlight w:val="none"/>
          <w:lang w:val="zh-CN"/>
        </w:rPr>
      </w:pPr>
      <w:r>
        <w:rPr>
          <w:rFonts w:hint="eastAsia" w:ascii="宋体" w:hAnsi="宋体"/>
          <w:kern w:val="0"/>
          <w:sz w:val="24"/>
          <w:highlight w:val="none"/>
          <w:lang w:val="zh-CN"/>
        </w:rPr>
        <w:t>日期：     年    月     日</w:t>
      </w:r>
    </w:p>
    <w:p w14:paraId="32240D40">
      <w:pPr>
        <w:snapToGrid w:val="0"/>
        <w:spacing w:line="360" w:lineRule="auto"/>
        <w:rPr>
          <w:rFonts w:ascii="宋体" w:hAnsi="宋体"/>
          <w:b/>
          <w:bCs/>
          <w:sz w:val="24"/>
          <w:highlight w:val="none"/>
        </w:rPr>
      </w:pPr>
    </w:p>
    <w:p w14:paraId="7F2DEDE4">
      <w:pPr>
        <w:snapToGrid w:val="0"/>
        <w:spacing w:line="360" w:lineRule="auto"/>
        <w:rPr>
          <w:rFonts w:ascii="宋体" w:hAnsi="宋体"/>
          <w:b/>
          <w:bCs/>
          <w:sz w:val="24"/>
          <w:highlight w:val="none"/>
        </w:rPr>
        <w:sectPr>
          <w:pgSz w:w="11906" w:h="16838"/>
          <w:pgMar w:top="1440" w:right="1080" w:bottom="1440" w:left="1080" w:header="851" w:footer="992" w:gutter="0"/>
          <w:cols w:space="720" w:num="1"/>
          <w:docGrid w:linePitch="312" w:charSpace="0"/>
        </w:sectPr>
      </w:pPr>
    </w:p>
    <w:p w14:paraId="5166618E">
      <w:pPr>
        <w:snapToGrid w:val="0"/>
        <w:spacing w:after="50"/>
        <w:rPr>
          <w:rFonts w:ascii="宋体" w:hAnsi="宋体"/>
          <w:b/>
          <w:sz w:val="28"/>
          <w:szCs w:val="28"/>
          <w:highlight w:val="none"/>
        </w:rPr>
      </w:pPr>
      <w:r>
        <w:rPr>
          <w:rFonts w:hint="eastAsia" w:ascii="宋体" w:hAnsi="宋体"/>
          <w:b/>
          <w:sz w:val="28"/>
          <w:szCs w:val="28"/>
          <w:highlight w:val="none"/>
        </w:rPr>
        <w:t>附件三</w:t>
      </w:r>
      <w:r>
        <w:rPr>
          <w:rFonts w:hint="eastAsia" w:ascii="宋体" w:hAnsi="宋体"/>
          <w:b/>
          <w:sz w:val="24"/>
          <w:highlight w:val="none"/>
        </w:rPr>
        <w:t>：</w:t>
      </w:r>
    </w:p>
    <w:p w14:paraId="61A7EBE9">
      <w:pPr>
        <w:snapToGrid w:val="0"/>
        <w:spacing w:after="50"/>
        <w:jc w:val="center"/>
        <w:rPr>
          <w:rFonts w:ascii="宋体" w:hAnsi="宋体"/>
          <w:kern w:val="0"/>
          <w:sz w:val="24"/>
          <w:highlight w:val="none"/>
        </w:rPr>
      </w:pPr>
    </w:p>
    <w:p w14:paraId="44D7EC7E">
      <w:pPr>
        <w:widowControl/>
        <w:jc w:val="center"/>
        <w:rPr>
          <w:rFonts w:ascii="宋体" w:hAnsi="宋体"/>
          <w:b/>
          <w:sz w:val="32"/>
          <w:szCs w:val="32"/>
          <w:highlight w:val="none"/>
        </w:rPr>
      </w:pPr>
      <w:r>
        <w:rPr>
          <w:rFonts w:hint="eastAsia" w:ascii="宋体" w:hAnsi="宋体"/>
          <w:b/>
          <w:sz w:val="32"/>
          <w:szCs w:val="32"/>
          <w:highlight w:val="none"/>
        </w:rPr>
        <w:t>廉政承诺书</w:t>
      </w:r>
    </w:p>
    <w:p w14:paraId="00081255">
      <w:pPr>
        <w:widowControl/>
        <w:shd w:val="clear" w:color="auto" w:fill="FFFFFF"/>
        <w:snapToGrid w:val="0"/>
        <w:spacing w:line="336" w:lineRule="auto"/>
        <w:jc w:val="left"/>
        <w:rPr>
          <w:rFonts w:ascii="仿宋_GB2312" w:eastAsia="仿宋_GB2312"/>
          <w:sz w:val="32"/>
          <w:szCs w:val="32"/>
          <w:highlight w:val="none"/>
        </w:rPr>
      </w:pPr>
    </w:p>
    <w:p w14:paraId="24811E96">
      <w:pPr>
        <w:spacing w:line="500" w:lineRule="exact"/>
        <w:rPr>
          <w:rFonts w:ascii="仿宋_GB2312" w:hAnsi="仿宋_GB2312" w:eastAsia="仿宋_GB2312"/>
          <w:sz w:val="32"/>
          <w:szCs w:val="32"/>
          <w:highlight w:val="none"/>
          <w:u w:val="single"/>
        </w:rPr>
      </w:pPr>
      <w:r>
        <w:rPr>
          <w:rFonts w:hint="eastAsia" w:ascii="仿宋_GB2312" w:hAnsi="仿宋_GB2312" w:eastAsia="仿宋_GB2312"/>
          <w:sz w:val="32"/>
          <w:szCs w:val="32"/>
          <w:highlight w:val="none"/>
          <w:u w:val="single"/>
        </w:rPr>
        <w:t xml:space="preserve">        </w:t>
      </w:r>
      <w:r>
        <w:rPr>
          <w:rFonts w:hint="eastAsia" w:ascii="仿宋_GB2312" w:hAnsi="仿宋_GB2312" w:eastAsia="仿宋_GB2312"/>
          <w:sz w:val="32"/>
          <w:szCs w:val="32"/>
          <w:highlight w:val="none"/>
        </w:rPr>
        <w:t>部门（单位）：</w:t>
      </w:r>
    </w:p>
    <w:p w14:paraId="791171DC">
      <w:pPr>
        <w:spacing w:line="500" w:lineRule="exact"/>
        <w:rPr>
          <w:rFonts w:ascii="仿宋_GB2312" w:hAnsi="仿宋_GB2312" w:eastAsia="仿宋_GB2312"/>
          <w:sz w:val="32"/>
          <w:szCs w:val="32"/>
          <w:highlight w:val="none"/>
        </w:rPr>
      </w:pPr>
      <w:r>
        <w:rPr>
          <w:rFonts w:hint="eastAsia" w:ascii="仿宋_GB2312" w:hAnsi="仿宋_GB2312" w:eastAsia="仿宋_GB2312"/>
          <w:sz w:val="32"/>
          <w:szCs w:val="32"/>
          <w:highlight w:val="none"/>
        </w:rPr>
        <w:t xml:space="preserve">  </w:t>
      </w:r>
      <w:r>
        <w:rPr>
          <w:rFonts w:hint="eastAsia" w:ascii="仿宋_GB2312" w:hAnsi="仿宋" w:eastAsia="仿宋_GB2312"/>
          <w:sz w:val="32"/>
          <w:szCs w:val="32"/>
          <w:highlight w:val="none"/>
        </w:rPr>
        <w:t xml:space="preserve">  根据《财政部关于进一步加强财政部门和预算单位资金存放管理的指导意见》（财库〔2017〕76号）、《杭州市级行政事业单位公款竞争性存放管理办法》</w:t>
      </w:r>
      <w:r>
        <w:rPr>
          <w:rFonts w:hint="eastAsia"/>
          <w:sz w:val="32"/>
          <w:szCs w:val="32"/>
          <w:highlight w:val="none"/>
        </w:rPr>
        <w:t>（</w:t>
      </w:r>
      <w:r>
        <w:rPr>
          <w:rFonts w:hint="eastAsia" w:ascii="仿宋_GB2312" w:hAnsi="仿宋_GB2312" w:eastAsia="仿宋_GB2312"/>
          <w:kern w:val="0"/>
          <w:sz w:val="32"/>
          <w:szCs w:val="32"/>
          <w:highlight w:val="none"/>
        </w:rPr>
        <w:t>杭财预执〔2022〕5号</w:t>
      </w:r>
      <w:r>
        <w:rPr>
          <w:rFonts w:hint="eastAsia"/>
          <w:sz w:val="32"/>
          <w:szCs w:val="32"/>
          <w:highlight w:val="none"/>
        </w:rPr>
        <w:t>）</w:t>
      </w:r>
      <w:r>
        <w:rPr>
          <w:rFonts w:hint="eastAsia" w:ascii="仿宋_GB2312" w:hAnsi="仿宋" w:eastAsia="仿宋_GB2312"/>
          <w:sz w:val="32"/>
          <w:szCs w:val="32"/>
          <w:highlight w:val="none"/>
        </w:rPr>
        <w:t>相关规定，现就本行参加贵单位</w:t>
      </w:r>
      <w:r>
        <w:rPr>
          <w:rFonts w:hint="eastAsia" w:eastAsia="仿宋_GB2312"/>
          <w:sz w:val="32"/>
          <w:szCs w:val="32"/>
          <w:highlight w:val="none"/>
          <w:u w:val="single"/>
        </w:rPr>
        <w:t xml:space="preserve">     </w:t>
      </w:r>
      <w:r>
        <w:rPr>
          <w:rFonts w:hint="eastAsia" w:eastAsia="仿宋_GB2312"/>
          <w:sz w:val="32"/>
          <w:szCs w:val="32"/>
          <w:highlight w:val="none"/>
        </w:rPr>
        <w:t>年第</w:t>
      </w:r>
      <w:r>
        <w:rPr>
          <w:rFonts w:hint="eastAsia" w:eastAsia="仿宋_GB2312"/>
          <w:sz w:val="32"/>
          <w:szCs w:val="32"/>
          <w:highlight w:val="none"/>
          <w:u w:val="single"/>
        </w:rPr>
        <w:t xml:space="preserve">   </w:t>
      </w:r>
      <w:r>
        <w:rPr>
          <w:rFonts w:hint="eastAsia" w:eastAsia="仿宋_GB2312"/>
          <w:sz w:val="32"/>
          <w:szCs w:val="32"/>
          <w:highlight w:val="none"/>
        </w:rPr>
        <w:t>期公款竞争性存放作出如下承诺</w:t>
      </w:r>
      <w:r>
        <w:rPr>
          <w:rFonts w:hint="eastAsia" w:ascii="仿宋_GB2312" w:hAnsi="仿宋" w:eastAsia="仿宋_GB2312"/>
          <w:sz w:val="32"/>
          <w:szCs w:val="32"/>
          <w:highlight w:val="none"/>
        </w:rPr>
        <w:t>：</w:t>
      </w:r>
    </w:p>
    <w:p w14:paraId="05CFA713">
      <w:pPr>
        <w:spacing w:line="500" w:lineRule="exact"/>
        <w:rPr>
          <w:rFonts w:ascii="仿宋_GB2312" w:hAnsi="仿宋" w:eastAsia="仿宋_GB2312"/>
          <w:sz w:val="32"/>
          <w:szCs w:val="32"/>
          <w:highlight w:val="none"/>
        </w:rPr>
      </w:pPr>
      <w:r>
        <w:rPr>
          <w:rFonts w:hint="eastAsia" w:ascii="仿宋_GB2312" w:hAnsi="仿宋" w:eastAsia="仿宋_GB2312"/>
          <w:sz w:val="32"/>
          <w:szCs w:val="32"/>
          <w:highlight w:val="none"/>
        </w:rPr>
        <w:t xml:space="preserve">    1.不向贵单位负责公款存放管理的领导及相关人员进行利益输送；</w:t>
      </w:r>
    </w:p>
    <w:p w14:paraId="40140E68">
      <w:pPr>
        <w:spacing w:line="500" w:lineRule="exact"/>
        <w:ind w:firstLine="640" w:firstLineChars="200"/>
        <w:rPr>
          <w:rFonts w:ascii="仿宋_GB2312" w:hAnsi="仿宋" w:eastAsia="仿宋_GB2312"/>
          <w:sz w:val="32"/>
          <w:szCs w:val="32"/>
          <w:highlight w:val="none"/>
        </w:rPr>
      </w:pPr>
      <w:r>
        <w:rPr>
          <w:rFonts w:hint="eastAsia" w:ascii="仿宋_GB2312" w:hAnsi="仿宋" w:eastAsia="仿宋_GB2312"/>
          <w:sz w:val="32"/>
          <w:szCs w:val="32"/>
          <w:highlight w:val="none"/>
        </w:rPr>
        <w:t>2.不将公款存放与贵单位负责公款存放管理的领导及相关</w:t>
      </w:r>
      <w:r>
        <w:rPr>
          <w:rFonts w:hint="eastAsia" w:ascii="仿宋_GB2312" w:hAnsi="仿宋_GB2312" w:eastAsia="仿宋_GB2312"/>
          <w:sz w:val="32"/>
          <w:szCs w:val="32"/>
          <w:highlight w:val="none"/>
        </w:rPr>
        <w:t>人员在本行</w:t>
      </w:r>
      <w:r>
        <w:rPr>
          <w:rFonts w:hint="eastAsia" w:ascii="仿宋_GB2312" w:hAnsi="仿宋" w:eastAsia="仿宋_GB2312"/>
          <w:sz w:val="32"/>
          <w:szCs w:val="32"/>
          <w:highlight w:val="none"/>
        </w:rPr>
        <w:t>的配偶、子女及其配偶和其他直接利益相关人员</w:t>
      </w:r>
      <w:r>
        <w:rPr>
          <w:rFonts w:hint="eastAsia" w:ascii="仿宋_GB2312" w:hAnsi="仿宋_GB2312" w:eastAsia="仿宋_GB2312"/>
          <w:sz w:val="32"/>
          <w:szCs w:val="32"/>
          <w:highlight w:val="none"/>
        </w:rPr>
        <w:t>的业绩、收入、晋升等利益挂钩；</w:t>
      </w:r>
    </w:p>
    <w:p w14:paraId="01788D59">
      <w:pPr>
        <w:spacing w:line="500" w:lineRule="exact"/>
        <w:ind w:firstLine="640" w:firstLineChars="200"/>
        <w:rPr>
          <w:rFonts w:ascii="仿宋_GB2312" w:hAnsi="仿宋_GB2312" w:eastAsia="仿宋_GB2312"/>
          <w:sz w:val="32"/>
          <w:szCs w:val="32"/>
          <w:highlight w:val="none"/>
        </w:rPr>
      </w:pPr>
      <w:r>
        <w:rPr>
          <w:rFonts w:hint="eastAsia" w:ascii="仿宋_GB2312" w:hAnsi="仿宋_GB2312" w:eastAsia="仿宋_GB2312"/>
          <w:sz w:val="32"/>
          <w:szCs w:val="32"/>
          <w:highlight w:val="none"/>
        </w:rPr>
        <w:t>3.</w:t>
      </w:r>
      <w:r>
        <w:rPr>
          <w:rFonts w:hint="eastAsia" w:ascii="仿宋_GB2312" w:hAnsi="仿宋" w:eastAsia="仿宋_GB2312"/>
          <w:sz w:val="32"/>
          <w:szCs w:val="32"/>
          <w:highlight w:val="none"/>
        </w:rPr>
        <w:t>严格执行利益回避制度，贵单位负责公款竞争性存放相关人员的配偶、子女及其配偶和其他直接利益相关人员为本行工作人员的，不参与公款竞争性存放工作；</w:t>
      </w:r>
    </w:p>
    <w:p w14:paraId="19089326">
      <w:pPr>
        <w:spacing w:line="500" w:lineRule="exact"/>
        <w:ind w:firstLine="640" w:firstLineChars="200"/>
        <w:rPr>
          <w:rFonts w:ascii="仿宋_GB2312" w:hAnsi="仿宋" w:eastAsia="仿宋_GB2312"/>
          <w:sz w:val="32"/>
          <w:szCs w:val="32"/>
          <w:highlight w:val="none"/>
        </w:rPr>
      </w:pPr>
      <w:r>
        <w:rPr>
          <w:rFonts w:hint="eastAsia" w:ascii="仿宋_GB2312" w:hAnsi="仿宋" w:eastAsia="仿宋_GB2312"/>
          <w:sz w:val="32"/>
          <w:szCs w:val="32"/>
          <w:highlight w:val="none"/>
        </w:rPr>
        <w:t>4.不发生除上述行为之外的其他任何利益输送行为。</w:t>
      </w:r>
    </w:p>
    <w:p w14:paraId="07B9827F">
      <w:pPr>
        <w:spacing w:line="500" w:lineRule="exact"/>
        <w:ind w:firstLine="640" w:firstLineChars="200"/>
        <w:rPr>
          <w:rFonts w:ascii="仿宋_GB2312" w:hAnsi="仿宋" w:eastAsia="仿宋_GB2312"/>
          <w:sz w:val="32"/>
          <w:szCs w:val="32"/>
          <w:highlight w:val="none"/>
        </w:rPr>
      </w:pPr>
      <w:r>
        <w:rPr>
          <w:rFonts w:hint="eastAsia" w:ascii="仿宋_GB2312" w:hAnsi="仿宋" w:eastAsia="仿宋_GB2312"/>
          <w:sz w:val="32"/>
          <w:szCs w:val="32"/>
          <w:highlight w:val="none"/>
        </w:rPr>
        <w:t>未遵守以上承诺的，本行自愿接受财</w:t>
      </w:r>
      <w:r>
        <w:rPr>
          <w:rFonts w:hint="eastAsia" w:ascii="仿宋_GB2312" w:hAnsi="仿宋_GB2312" w:eastAsia="仿宋_GB2312"/>
          <w:sz w:val="32"/>
          <w:szCs w:val="32"/>
          <w:highlight w:val="none"/>
        </w:rPr>
        <w:t>政部</w:t>
      </w:r>
      <w:r>
        <w:rPr>
          <w:rFonts w:hint="eastAsia" w:ascii="仿宋_GB2312" w:hAnsi="仿宋" w:eastAsia="仿宋_GB2312"/>
          <w:sz w:val="32"/>
          <w:szCs w:val="32"/>
          <w:highlight w:val="none"/>
        </w:rPr>
        <w:t>门处</w:t>
      </w:r>
      <w:r>
        <w:rPr>
          <w:rFonts w:hint="eastAsia" w:ascii="仿宋_GB2312" w:hAnsi="仿宋_GB2312" w:eastAsia="仿宋_GB2312"/>
          <w:sz w:val="32"/>
          <w:szCs w:val="32"/>
          <w:highlight w:val="none"/>
        </w:rPr>
        <w:t>理，承担相应的一切后果。</w:t>
      </w:r>
    </w:p>
    <w:p w14:paraId="689C8794">
      <w:pPr>
        <w:spacing w:line="500" w:lineRule="exact"/>
        <w:rPr>
          <w:rFonts w:ascii="仿宋_GB2312" w:hAnsi="仿宋_GB2312" w:eastAsia="仿宋_GB2312"/>
          <w:sz w:val="32"/>
          <w:szCs w:val="32"/>
          <w:highlight w:val="none"/>
        </w:rPr>
      </w:pPr>
      <w:r>
        <w:rPr>
          <w:rFonts w:hint="eastAsia" w:ascii="仿宋_GB2312" w:hAnsi="仿宋_GB2312" w:eastAsia="仿宋_GB2312"/>
          <w:sz w:val="32"/>
          <w:szCs w:val="32"/>
          <w:highlight w:val="none"/>
        </w:rPr>
        <w:t xml:space="preserve">                               </w:t>
      </w:r>
    </w:p>
    <w:p w14:paraId="4BDC40BE">
      <w:pPr>
        <w:spacing w:line="500" w:lineRule="exact"/>
        <w:ind w:firstLine="5120" w:firstLineChars="1600"/>
        <w:rPr>
          <w:rFonts w:ascii="仿宋_GB2312" w:hAnsi="仿宋_GB2312" w:eastAsia="仿宋_GB2312"/>
          <w:sz w:val="32"/>
          <w:szCs w:val="32"/>
          <w:highlight w:val="none"/>
        </w:rPr>
      </w:pPr>
      <w:r>
        <w:rPr>
          <w:rFonts w:hint="eastAsia" w:ascii="仿宋_GB2312" w:hAnsi="仿宋_GB2312" w:eastAsia="仿宋_GB2312"/>
          <w:sz w:val="32"/>
          <w:szCs w:val="32"/>
          <w:highlight w:val="none"/>
        </w:rPr>
        <w:t xml:space="preserve">   </w:t>
      </w:r>
      <w:r>
        <w:rPr>
          <w:rFonts w:hint="eastAsia" w:ascii="仿宋_GB2312" w:hAnsi="仿宋_GB2312" w:eastAsia="仿宋_GB2312"/>
          <w:sz w:val="32"/>
          <w:szCs w:val="32"/>
          <w:highlight w:val="none"/>
          <w:u w:val="single"/>
        </w:rPr>
        <w:t xml:space="preserve">      </w:t>
      </w:r>
      <w:r>
        <w:rPr>
          <w:rFonts w:hint="eastAsia" w:ascii="仿宋_GB2312" w:hAnsi="仿宋_GB2312" w:eastAsia="仿宋_GB2312"/>
          <w:sz w:val="32"/>
          <w:szCs w:val="32"/>
          <w:highlight w:val="none"/>
        </w:rPr>
        <w:t>银行（公章）</w:t>
      </w:r>
    </w:p>
    <w:p w14:paraId="1FC3C0A1">
      <w:pPr>
        <w:spacing w:line="500" w:lineRule="exact"/>
        <w:rPr>
          <w:rFonts w:ascii="仿宋_GB2312" w:hAnsi="仿宋_GB2312" w:eastAsia="仿宋_GB2312"/>
          <w:sz w:val="32"/>
          <w:szCs w:val="32"/>
          <w:highlight w:val="none"/>
        </w:rPr>
      </w:pPr>
      <w:r>
        <w:rPr>
          <w:rFonts w:hint="eastAsia" w:ascii="仿宋_GB2312" w:hAnsi="仿宋_GB2312" w:eastAsia="仿宋_GB2312"/>
          <w:sz w:val="32"/>
          <w:szCs w:val="32"/>
          <w:highlight w:val="none"/>
        </w:rPr>
        <w:t xml:space="preserve">                                     </w:t>
      </w:r>
      <w:r>
        <w:rPr>
          <w:rFonts w:hint="eastAsia" w:ascii="仿宋_GB2312" w:hAnsi="仿宋_GB2312" w:eastAsia="仿宋_GB2312"/>
          <w:sz w:val="32"/>
          <w:szCs w:val="32"/>
          <w:highlight w:val="none"/>
          <w:u w:val="single"/>
        </w:rPr>
        <w:t xml:space="preserve">  </w:t>
      </w:r>
      <w:r>
        <w:rPr>
          <w:rFonts w:hint="eastAsia" w:ascii="仿宋_GB2312" w:hAnsi="仿宋_GB2312" w:eastAsia="仿宋_GB2312"/>
          <w:sz w:val="32"/>
          <w:szCs w:val="32"/>
          <w:highlight w:val="none"/>
        </w:rPr>
        <w:t>年</w:t>
      </w:r>
      <w:r>
        <w:rPr>
          <w:rFonts w:hint="eastAsia" w:ascii="仿宋_GB2312" w:hAnsi="仿宋_GB2312" w:eastAsia="仿宋_GB2312"/>
          <w:sz w:val="32"/>
          <w:szCs w:val="32"/>
          <w:highlight w:val="none"/>
          <w:u w:val="single"/>
        </w:rPr>
        <w:t xml:space="preserve">  </w:t>
      </w:r>
      <w:r>
        <w:rPr>
          <w:rFonts w:hint="eastAsia" w:ascii="仿宋_GB2312" w:hAnsi="仿宋_GB2312" w:eastAsia="仿宋_GB2312"/>
          <w:sz w:val="32"/>
          <w:szCs w:val="32"/>
          <w:highlight w:val="none"/>
        </w:rPr>
        <w:t>月</w:t>
      </w:r>
      <w:r>
        <w:rPr>
          <w:rFonts w:hint="eastAsia" w:ascii="仿宋_GB2312" w:hAnsi="仿宋_GB2312" w:eastAsia="仿宋_GB2312"/>
          <w:sz w:val="32"/>
          <w:szCs w:val="32"/>
          <w:highlight w:val="none"/>
          <w:u w:val="single"/>
        </w:rPr>
        <w:t xml:space="preserve">  </w:t>
      </w:r>
      <w:r>
        <w:rPr>
          <w:rFonts w:hint="eastAsia" w:ascii="仿宋_GB2312" w:hAnsi="仿宋_GB2312" w:eastAsia="仿宋_GB2312"/>
          <w:sz w:val="32"/>
          <w:szCs w:val="32"/>
          <w:highlight w:val="none"/>
        </w:rPr>
        <w:t>日</w:t>
      </w:r>
    </w:p>
    <w:p w14:paraId="625CDE87">
      <w:pPr>
        <w:pStyle w:val="24"/>
        <w:snapToGrid w:val="0"/>
        <w:spacing w:before="120" w:after="120"/>
        <w:rPr>
          <w:rFonts w:hAnsi="宋体"/>
          <w:sz w:val="24"/>
          <w:szCs w:val="24"/>
          <w:highlight w:val="none"/>
        </w:rPr>
      </w:pPr>
    </w:p>
    <w:p w14:paraId="1C6BE08C">
      <w:pPr>
        <w:snapToGrid w:val="0"/>
        <w:spacing w:after="50"/>
        <w:ind w:firstLine="4200" w:firstLineChars="2000"/>
        <w:rPr>
          <w:rFonts w:ascii="宋体" w:hAnsi="宋体"/>
          <w:highlight w:val="none"/>
        </w:rPr>
      </w:pPr>
    </w:p>
    <w:p w14:paraId="03EEC4E8">
      <w:pPr>
        <w:snapToGrid w:val="0"/>
        <w:spacing w:after="50"/>
        <w:ind w:firstLine="4200" w:firstLineChars="2000"/>
        <w:rPr>
          <w:rFonts w:ascii="宋体" w:hAnsi="宋体"/>
          <w:highlight w:val="none"/>
        </w:rPr>
      </w:pPr>
    </w:p>
    <w:p w14:paraId="33A2B82B">
      <w:pPr>
        <w:snapToGrid w:val="0"/>
        <w:spacing w:after="50"/>
        <w:ind w:firstLine="4200" w:firstLineChars="2000"/>
        <w:rPr>
          <w:rFonts w:ascii="宋体" w:hAnsi="宋体"/>
          <w:highlight w:val="none"/>
        </w:rPr>
      </w:pPr>
    </w:p>
    <w:p w14:paraId="2B461B71">
      <w:pPr>
        <w:snapToGrid w:val="0"/>
        <w:spacing w:after="50"/>
        <w:ind w:firstLine="4200" w:firstLineChars="2000"/>
        <w:rPr>
          <w:rFonts w:ascii="宋体" w:hAnsi="宋体"/>
          <w:highlight w:val="none"/>
        </w:rPr>
      </w:pPr>
    </w:p>
    <w:p w14:paraId="369F84B1">
      <w:pPr>
        <w:widowControl/>
        <w:jc w:val="left"/>
        <w:rPr>
          <w:rFonts w:ascii="宋体" w:hAnsi="宋体"/>
          <w:sz w:val="24"/>
          <w:highlight w:val="none"/>
        </w:rPr>
        <w:sectPr>
          <w:pgSz w:w="11906" w:h="16838"/>
          <w:pgMar w:top="1440" w:right="1080" w:bottom="1440" w:left="1080" w:header="851" w:footer="851" w:gutter="0"/>
          <w:cols w:space="720" w:num="1"/>
        </w:sectPr>
      </w:pPr>
    </w:p>
    <w:p w14:paraId="6A4C1CFB">
      <w:pPr>
        <w:snapToGrid w:val="0"/>
        <w:spacing w:after="50"/>
        <w:jc w:val="left"/>
        <w:rPr>
          <w:rFonts w:ascii="宋体" w:hAnsi="宋体"/>
          <w:b/>
          <w:sz w:val="28"/>
          <w:szCs w:val="28"/>
          <w:highlight w:val="none"/>
        </w:rPr>
      </w:pPr>
      <w:r>
        <w:rPr>
          <w:rFonts w:hint="eastAsia" w:ascii="宋体" w:hAnsi="宋体"/>
          <w:b/>
          <w:sz w:val="28"/>
          <w:szCs w:val="28"/>
          <w:highlight w:val="none"/>
        </w:rPr>
        <w:t>附件四：</w:t>
      </w:r>
    </w:p>
    <w:p w14:paraId="3C329293">
      <w:pPr>
        <w:snapToGrid w:val="0"/>
        <w:spacing w:before="50"/>
        <w:jc w:val="left"/>
        <w:rPr>
          <w:rFonts w:ascii="宋体" w:hAnsi="宋体"/>
          <w:b/>
          <w:sz w:val="24"/>
          <w:highlight w:val="none"/>
        </w:rPr>
      </w:pPr>
    </w:p>
    <w:p w14:paraId="3D8066D0">
      <w:pPr>
        <w:widowControl/>
        <w:jc w:val="center"/>
        <w:rPr>
          <w:rFonts w:ascii="宋体" w:hAnsi="宋体"/>
          <w:b/>
          <w:sz w:val="32"/>
          <w:szCs w:val="32"/>
          <w:highlight w:val="none"/>
        </w:rPr>
      </w:pPr>
      <w:r>
        <w:rPr>
          <w:rFonts w:hint="eastAsia" w:ascii="宋体" w:hAnsi="宋体"/>
          <w:b/>
          <w:sz w:val="32"/>
          <w:szCs w:val="32"/>
          <w:highlight w:val="none"/>
        </w:rPr>
        <w:t>投标人代表授权书</w:t>
      </w:r>
    </w:p>
    <w:p w14:paraId="56F5E10D">
      <w:pPr>
        <w:widowControl/>
        <w:jc w:val="left"/>
        <w:rPr>
          <w:rFonts w:ascii="宋体" w:hAnsi="宋体"/>
          <w:highlight w:val="none"/>
        </w:rPr>
      </w:pPr>
    </w:p>
    <w:p w14:paraId="7619E3FF">
      <w:pPr>
        <w:widowControl/>
        <w:jc w:val="left"/>
        <w:rPr>
          <w:rFonts w:ascii="宋体" w:hAnsi="宋体"/>
          <w:highlight w:val="none"/>
        </w:rPr>
      </w:pPr>
    </w:p>
    <w:p w14:paraId="5869999C">
      <w:pPr>
        <w:widowControl/>
        <w:spacing w:line="400" w:lineRule="exact"/>
        <w:jc w:val="left"/>
        <w:rPr>
          <w:rFonts w:ascii="宋体" w:hAnsi="宋体"/>
          <w:sz w:val="24"/>
          <w:highlight w:val="none"/>
        </w:rPr>
      </w:pPr>
      <w:r>
        <w:rPr>
          <w:rFonts w:hint="eastAsia" w:ascii="宋体" w:hAnsi="宋体"/>
          <w:sz w:val="24"/>
          <w:highlight w:val="none"/>
        </w:rPr>
        <w:t>致：</w:t>
      </w:r>
      <w:r>
        <w:rPr>
          <w:rFonts w:hint="eastAsia" w:ascii="宋体" w:hAnsi="宋体"/>
          <w:sz w:val="24"/>
          <w:highlight w:val="none"/>
          <w:lang w:eastAsia="zh-CN"/>
        </w:rPr>
        <w:t>浙江建安工程管理有限公司</w:t>
      </w:r>
      <w:r>
        <w:rPr>
          <w:rFonts w:hint="eastAsia" w:ascii="宋体" w:hAnsi="宋体"/>
          <w:sz w:val="24"/>
          <w:highlight w:val="none"/>
        </w:rPr>
        <w:t>：</w:t>
      </w:r>
    </w:p>
    <w:p w14:paraId="59DC5767">
      <w:pPr>
        <w:widowControl/>
        <w:spacing w:line="400" w:lineRule="exact"/>
        <w:jc w:val="left"/>
        <w:rPr>
          <w:rFonts w:ascii="宋体" w:hAnsi="宋体"/>
          <w:sz w:val="24"/>
          <w:highlight w:val="none"/>
        </w:rPr>
      </w:pPr>
    </w:p>
    <w:p w14:paraId="4B075081">
      <w:pPr>
        <w:snapToGrid w:val="0"/>
        <w:spacing w:line="400" w:lineRule="exact"/>
        <w:ind w:firstLine="480"/>
        <w:rPr>
          <w:rFonts w:ascii="宋体" w:hAnsi="宋体"/>
          <w:sz w:val="24"/>
          <w:highlight w:val="none"/>
        </w:rPr>
      </w:pPr>
      <w:r>
        <w:rPr>
          <w:rFonts w:hint="eastAsia" w:ascii="宋体" w:hAnsi="宋体"/>
          <w:sz w:val="24"/>
          <w:highlight w:val="none"/>
        </w:rPr>
        <w:t>兹授权我单位</w:t>
      </w:r>
      <w:r>
        <w:rPr>
          <w:rFonts w:hint="eastAsia" w:ascii="宋体" w:hAnsi="宋体"/>
          <w:sz w:val="24"/>
          <w:highlight w:val="none"/>
          <w:u w:val="single"/>
        </w:rPr>
        <w:t xml:space="preserve">      （先生/女士）</w:t>
      </w:r>
      <w:r>
        <w:rPr>
          <w:rFonts w:hint="eastAsia" w:ascii="宋体" w:hAnsi="宋体"/>
          <w:sz w:val="24"/>
          <w:highlight w:val="none"/>
        </w:rPr>
        <w:t>，全权代表我单位参加</w:t>
      </w:r>
      <w:r>
        <w:rPr>
          <w:rFonts w:hint="eastAsia" w:ascii="宋体" w:hAnsi="宋体"/>
          <w:sz w:val="24"/>
          <w:highlight w:val="none"/>
          <w:u w:val="single"/>
          <w:lang w:eastAsia="zh-CN"/>
        </w:rPr>
        <w:t>杭州市民政局2025年上半年局属事业单位公款竞争性存放项目</w:t>
      </w:r>
      <w:r>
        <w:rPr>
          <w:rFonts w:hint="eastAsia" w:ascii="宋体" w:hAnsi="宋体"/>
          <w:sz w:val="24"/>
          <w:highlight w:val="none"/>
        </w:rPr>
        <w:t>（招标编号：</w:t>
      </w:r>
      <w:r>
        <w:rPr>
          <w:rFonts w:hint="eastAsia" w:ascii="宋体" w:hAnsi="宋体"/>
          <w:sz w:val="24"/>
          <w:highlight w:val="none"/>
          <w:u w:val="single"/>
          <w:lang w:eastAsia="zh-CN"/>
        </w:rPr>
        <w:t>JACG-YH-2025002</w:t>
      </w:r>
      <w:r>
        <w:rPr>
          <w:rFonts w:hint="eastAsia" w:ascii="宋体" w:hAnsi="宋体"/>
          <w:sz w:val="24"/>
          <w:highlight w:val="none"/>
        </w:rPr>
        <w:t>）招标活动，</w:t>
      </w:r>
      <w:r>
        <w:rPr>
          <w:rFonts w:hint="eastAsia" w:ascii="宋体" w:hAnsi="宋体"/>
          <w:spacing w:val="12"/>
          <w:sz w:val="24"/>
          <w:highlight w:val="none"/>
        </w:rPr>
        <w:t>以我单位的名义签署的投标文件及其它文件，参加开标、澄清以及处理与之有关的其它事务，我单位均予承认。</w:t>
      </w:r>
    </w:p>
    <w:p w14:paraId="00F19956">
      <w:pPr>
        <w:widowControl/>
        <w:spacing w:line="400" w:lineRule="exact"/>
        <w:jc w:val="left"/>
        <w:rPr>
          <w:rFonts w:ascii="宋体" w:hAnsi="宋体"/>
          <w:sz w:val="24"/>
          <w:highlight w:val="none"/>
        </w:rPr>
      </w:pPr>
    </w:p>
    <w:p w14:paraId="6D7E4F6B">
      <w:pPr>
        <w:widowControl/>
        <w:spacing w:line="400" w:lineRule="exact"/>
        <w:jc w:val="left"/>
        <w:rPr>
          <w:rFonts w:ascii="宋体" w:hAnsi="宋体"/>
          <w:sz w:val="24"/>
          <w:highlight w:val="none"/>
        </w:rPr>
      </w:pPr>
      <w:r>
        <w:rPr>
          <w:rFonts w:hint="eastAsia" w:ascii="宋体" w:hAnsi="宋体"/>
          <w:sz w:val="24"/>
          <w:highlight w:val="none"/>
        </w:rPr>
        <w:t xml:space="preserve">                               </w:t>
      </w:r>
    </w:p>
    <w:p w14:paraId="01D94473">
      <w:pPr>
        <w:widowControl/>
        <w:spacing w:line="400" w:lineRule="exact"/>
        <w:jc w:val="left"/>
        <w:rPr>
          <w:rFonts w:ascii="宋体" w:hAnsi="宋体"/>
          <w:sz w:val="24"/>
          <w:highlight w:val="none"/>
        </w:rPr>
      </w:pPr>
      <w:r>
        <w:rPr>
          <w:rFonts w:hint="eastAsia" w:ascii="宋体" w:hAnsi="宋体"/>
          <w:sz w:val="24"/>
          <w:highlight w:val="none"/>
        </w:rPr>
        <w:t xml:space="preserve">                               法定代表人或负责人（签字或盖章）：</w:t>
      </w:r>
    </w:p>
    <w:p w14:paraId="794613BA">
      <w:pPr>
        <w:widowControl/>
        <w:spacing w:line="400" w:lineRule="exact"/>
        <w:jc w:val="left"/>
        <w:rPr>
          <w:rFonts w:ascii="宋体" w:hAnsi="宋体"/>
          <w:sz w:val="24"/>
          <w:highlight w:val="none"/>
        </w:rPr>
      </w:pPr>
    </w:p>
    <w:p w14:paraId="449F6A49">
      <w:pPr>
        <w:widowControl/>
        <w:spacing w:line="400" w:lineRule="exact"/>
        <w:jc w:val="left"/>
        <w:rPr>
          <w:rFonts w:ascii="宋体" w:hAnsi="宋体"/>
          <w:sz w:val="24"/>
          <w:highlight w:val="none"/>
        </w:rPr>
      </w:pPr>
      <w:r>
        <w:rPr>
          <w:rFonts w:hint="eastAsia" w:ascii="宋体" w:hAnsi="宋体"/>
          <w:sz w:val="24"/>
          <w:highlight w:val="none"/>
        </w:rPr>
        <w:t xml:space="preserve">                               单位名称（盖章）：</w:t>
      </w:r>
    </w:p>
    <w:p w14:paraId="79DA5EEA">
      <w:pPr>
        <w:widowControl/>
        <w:spacing w:line="400" w:lineRule="exact"/>
        <w:jc w:val="left"/>
        <w:rPr>
          <w:rFonts w:ascii="宋体" w:hAnsi="宋体"/>
          <w:sz w:val="24"/>
          <w:highlight w:val="none"/>
        </w:rPr>
      </w:pPr>
    </w:p>
    <w:p w14:paraId="13F1D9BF">
      <w:pPr>
        <w:widowControl/>
        <w:spacing w:line="400" w:lineRule="exact"/>
        <w:jc w:val="left"/>
        <w:rPr>
          <w:rFonts w:ascii="宋体" w:hAnsi="宋体"/>
          <w:sz w:val="24"/>
          <w:highlight w:val="none"/>
        </w:rPr>
      </w:pPr>
      <w:r>
        <w:rPr>
          <w:rFonts w:hint="eastAsia" w:ascii="宋体" w:hAnsi="宋体"/>
          <w:sz w:val="24"/>
          <w:highlight w:val="none"/>
        </w:rPr>
        <w:t xml:space="preserve">                               日期：      年      月      日</w:t>
      </w:r>
    </w:p>
    <w:p w14:paraId="74A6508C">
      <w:pPr>
        <w:widowControl/>
        <w:spacing w:line="400" w:lineRule="exact"/>
        <w:jc w:val="left"/>
        <w:rPr>
          <w:rFonts w:ascii="宋体" w:hAnsi="宋体"/>
          <w:sz w:val="24"/>
          <w:highlight w:val="none"/>
        </w:rPr>
      </w:pPr>
    </w:p>
    <w:p w14:paraId="444F7B90">
      <w:pPr>
        <w:widowControl/>
        <w:spacing w:line="400" w:lineRule="exact"/>
        <w:jc w:val="left"/>
        <w:rPr>
          <w:rFonts w:ascii="宋体" w:hAnsi="宋体"/>
          <w:sz w:val="24"/>
          <w:highlight w:val="none"/>
        </w:rPr>
      </w:pPr>
    </w:p>
    <w:p w14:paraId="0107BB77">
      <w:pPr>
        <w:widowControl/>
        <w:spacing w:line="400" w:lineRule="exact"/>
        <w:jc w:val="left"/>
        <w:rPr>
          <w:rFonts w:ascii="宋体" w:hAnsi="宋体"/>
          <w:sz w:val="24"/>
          <w:highlight w:val="none"/>
        </w:rPr>
      </w:pPr>
      <w:r>
        <w:rPr>
          <w:rFonts w:hint="eastAsia" w:ascii="宋体" w:hAnsi="宋体"/>
          <w:sz w:val="24"/>
          <w:highlight w:val="none"/>
        </w:rPr>
        <w:t>附1：</w:t>
      </w:r>
    </w:p>
    <w:p w14:paraId="61EDC3BF">
      <w:pPr>
        <w:widowControl/>
        <w:spacing w:line="400" w:lineRule="exact"/>
        <w:jc w:val="left"/>
        <w:rPr>
          <w:rFonts w:ascii="宋体" w:hAnsi="宋体"/>
          <w:sz w:val="24"/>
          <w:highlight w:val="none"/>
        </w:rPr>
      </w:pPr>
      <w:r>
        <w:rPr>
          <w:rFonts w:hint="eastAsia" w:ascii="宋体" w:hAnsi="宋体"/>
          <w:sz w:val="24"/>
          <w:highlight w:val="none"/>
        </w:rPr>
        <w:t>全权代表：                   签字：</w:t>
      </w:r>
    </w:p>
    <w:p w14:paraId="228A2EE4">
      <w:pPr>
        <w:widowControl/>
        <w:spacing w:line="400" w:lineRule="exact"/>
        <w:jc w:val="left"/>
        <w:rPr>
          <w:rFonts w:ascii="宋体" w:hAnsi="宋体"/>
          <w:sz w:val="24"/>
          <w:highlight w:val="none"/>
        </w:rPr>
      </w:pPr>
      <w:r>
        <w:rPr>
          <w:rFonts w:hint="eastAsia" w:ascii="宋体" w:hAnsi="宋体"/>
          <w:sz w:val="24"/>
          <w:highlight w:val="none"/>
        </w:rPr>
        <w:t>身份证号码：                 职务：</w:t>
      </w:r>
    </w:p>
    <w:p w14:paraId="65FC00D9">
      <w:pPr>
        <w:widowControl/>
        <w:spacing w:line="400" w:lineRule="exact"/>
        <w:jc w:val="left"/>
        <w:rPr>
          <w:rFonts w:ascii="宋体" w:hAnsi="宋体"/>
          <w:sz w:val="24"/>
          <w:highlight w:val="none"/>
        </w:rPr>
      </w:pPr>
      <w:r>
        <w:rPr>
          <w:rFonts w:hint="eastAsia" w:ascii="宋体" w:hAnsi="宋体"/>
          <w:sz w:val="24"/>
          <w:highlight w:val="none"/>
        </w:rPr>
        <w:t>通讯地址：</w:t>
      </w:r>
    </w:p>
    <w:p w14:paraId="3DC4E4A3">
      <w:pPr>
        <w:widowControl/>
        <w:spacing w:line="400" w:lineRule="exact"/>
        <w:jc w:val="left"/>
        <w:rPr>
          <w:rFonts w:ascii="宋体" w:hAnsi="宋体"/>
          <w:sz w:val="24"/>
          <w:highlight w:val="none"/>
        </w:rPr>
      </w:pPr>
      <w:r>
        <w:rPr>
          <w:rFonts w:hint="eastAsia" w:ascii="宋体" w:hAnsi="宋体"/>
          <w:sz w:val="24"/>
          <w:highlight w:val="none"/>
        </w:rPr>
        <w:t>传真：        电话：         邮编：</w:t>
      </w:r>
    </w:p>
    <w:p w14:paraId="1F36B093">
      <w:pPr>
        <w:widowControl/>
        <w:spacing w:line="360" w:lineRule="exact"/>
        <w:jc w:val="left"/>
        <w:rPr>
          <w:rFonts w:ascii="宋体" w:hAnsi="宋体"/>
          <w:sz w:val="24"/>
          <w:highlight w:val="none"/>
        </w:rPr>
      </w:pPr>
    </w:p>
    <w:p w14:paraId="145A4BAC">
      <w:pPr>
        <w:widowControl/>
        <w:spacing w:line="360" w:lineRule="exact"/>
        <w:jc w:val="left"/>
        <w:rPr>
          <w:rFonts w:ascii="宋体" w:hAnsi="宋体"/>
          <w:sz w:val="24"/>
          <w:highlight w:val="none"/>
        </w:rPr>
      </w:pPr>
      <w:r>
        <w:rPr>
          <w:rFonts w:hint="eastAsia" w:ascii="宋体" w:hAnsi="宋体"/>
          <w:sz w:val="24"/>
          <w:highlight w:val="none"/>
        </w:rPr>
        <w:t>附2：法定代表人（负责人）及授权委托人的身份证（复印件）</w:t>
      </w:r>
    </w:p>
    <w:p w14:paraId="0EF939D3">
      <w:pPr>
        <w:widowControl/>
        <w:jc w:val="left"/>
        <w:rPr>
          <w:rFonts w:ascii="宋体" w:hAnsi="宋体"/>
          <w:sz w:val="24"/>
          <w:highlight w:val="none"/>
        </w:rPr>
        <w:sectPr>
          <w:pgSz w:w="11906" w:h="16838"/>
          <w:pgMar w:top="1440" w:right="1080" w:bottom="1440" w:left="1080" w:header="851" w:footer="851" w:gutter="0"/>
          <w:cols w:space="720" w:num="1"/>
          <w:docGrid w:linePitch="286" w:charSpace="0"/>
        </w:sectPr>
      </w:pPr>
    </w:p>
    <w:p w14:paraId="0487E439">
      <w:pPr>
        <w:spacing w:line="360" w:lineRule="auto"/>
        <w:rPr>
          <w:rFonts w:ascii="宋体" w:hAnsi="宋体"/>
          <w:b/>
          <w:sz w:val="28"/>
          <w:szCs w:val="28"/>
          <w:highlight w:val="none"/>
        </w:rPr>
      </w:pPr>
      <w:r>
        <w:rPr>
          <w:rFonts w:hint="eastAsia" w:ascii="宋体" w:hAnsi="宋体"/>
          <w:b/>
          <w:sz w:val="28"/>
          <w:szCs w:val="28"/>
          <w:highlight w:val="none"/>
        </w:rPr>
        <w:t>附件五：总行或分行对投标人的授权书</w:t>
      </w:r>
      <w:r>
        <w:rPr>
          <w:rFonts w:hint="eastAsia" w:ascii="宋体" w:hAnsi="宋体"/>
          <w:b/>
          <w:spacing w:val="-4"/>
          <w:sz w:val="28"/>
          <w:szCs w:val="28"/>
          <w:highlight w:val="none"/>
        </w:rPr>
        <w:t>（格式自拟）</w:t>
      </w:r>
    </w:p>
    <w:p w14:paraId="64AFCC95">
      <w:pPr>
        <w:autoSpaceDE w:val="0"/>
        <w:autoSpaceDN w:val="0"/>
        <w:snapToGrid w:val="0"/>
        <w:spacing w:line="360" w:lineRule="auto"/>
        <w:rPr>
          <w:rFonts w:ascii="宋体" w:hAnsi="宋体"/>
          <w:b/>
          <w:sz w:val="28"/>
          <w:szCs w:val="28"/>
          <w:highlight w:val="none"/>
        </w:rPr>
      </w:pPr>
    </w:p>
    <w:p w14:paraId="16E7DF44">
      <w:pPr>
        <w:autoSpaceDE w:val="0"/>
        <w:autoSpaceDN w:val="0"/>
        <w:snapToGrid w:val="0"/>
        <w:spacing w:line="360" w:lineRule="auto"/>
        <w:rPr>
          <w:rFonts w:ascii="宋体" w:hAnsi="宋体"/>
          <w:b/>
          <w:sz w:val="28"/>
          <w:szCs w:val="28"/>
          <w:highlight w:val="none"/>
        </w:rPr>
      </w:pPr>
      <w:r>
        <w:rPr>
          <w:rFonts w:hint="eastAsia" w:ascii="宋体" w:hAnsi="宋体"/>
          <w:b/>
          <w:sz w:val="28"/>
          <w:szCs w:val="28"/>
          <w:highlight w:val="none"/>
        </w:rPr>
        <w:t xml:space="preserve">附件六：其他指标响应内容（根据评标细则自主指标内容自行编制） </w:t>
      </w:r>
    </w:p>
    <w:p w14:paraId="1B88CD20">
      <w:pPr>
        <w:widowControl/>
        <w:spacing w:line="360" w:lineRule="auto"/>
        <w:jc w:val="left"/>
        <w:rPr>
          <w:rFonts w:ascii="宋体" w:hAnsi="宋体"/>
          <w:b/>
          <w:sz w:val="28"/>
          <w:szCs w:val="28"/>
          <w:highlight w:val="none"/>
        </w:rPr>
      </w:pPr>
    </w:p>
    <w:p w14:paraId="38F2CB87">
      <w:pPr>
        <w:widowControl/>
        <w:spacing w:line="360" w:lineRule="auto"/>
        <w:jc w:val="left"/>
        <w:rPr>
          <w:rFonts w:ascii="宋体" w:hAnsi="宋体"/>
          <w:b/>
          <w:sz w:val="28"/>
          <w:szCs w:val="28"/>
          <w:highlight w:val="none"/>
        </w:rPr>
      </w:pPr>
      <w:r>
        <w:rPr>
          <w:rFonts w:hint="eastAsia" w:ascii="宋体" w:hAnsi="宋体"/>
          <w:b/>
          <w:sz w:val="28"/>
          <w:szCs w:val="28"/>
          <w:highlight w:val="none"/>
        </w:rPr>
        <w:t>附件七</w:t>
      </w:r>
      <w:r>
        <w:rPr>
          <w:rFonts w:hint="eastAsia" w:ascii="宋体" w:hAnsi="宋体"/>
          <w:b/>
          <w:spacing w:val="-4"/>
          <w:sz w:val="28"/>
          <w:szCs w:val="28"/>
          <w:highlight w:val="none"/>
        </w:rPr>
        <w:t>：有效的营业执照复印件</w:t>
      </w:r>
    </w:p>
    <w:p w14:paraId="373F51F9">
      <w:pPr>
        <w:spacing w:line="360" w:lineRule="auto"/>
        <w:rPr>
          <w:rFonts w:ascii="宋体" w:hAnsi="宋体"/>
          <w:b/>
          <w:sz w:val="28"/>
          <w:szCs w:val="28"/>
          <w:highlight w:val="none"/>
        </w:rPr>
      </w:pPr>
    </w:p>
    <w:p w14:paraId="5A089AC1">
      <w:pPr>
        <w:widowControl/>
        <w:spacing w:line="360" w:lineRule="auto"/>
        <w:jc w:val="left"/>
        <w:rPr>
          <w:rFonts w:ascii="宋体" w:hAnsi="宋体"/>
          <w:b/>
          <w:sz w:val="28"/>
          <w:szCs w:val="28"/>
          <w:highlight w:val="none"/>
        </w:rPr>
      </w:pPr>
      <w:r>
        <w:rPr>
          <w:rFonts w:hint="eastAsia" w:ascii="宋体" w:hAnsi="宋体"/>
          <w:b/>
          <w:sz w:val="28"/>
          <w:szCs w:val="28"/>
          <w:highlight w:val="none"/>
        </w:rPr>
        <w:t>附件八：</w:t>
      </w:r>
      <w:r>
        <w:rPr>
          <w:rFonts w:hint="eastAsia" w:ascii="宋体" w:hAnsi="宋体"/>
          <w:b/>
          <w:spacing w:val="-4"/>
          <w:sz w:val="28"/>
          <w:szCs w:val="28"/>
          <w:highlight w:val="none"/>
        </w:rPr>
        <w:t>投标人认为其他必要的资料（格式自拟）</w:t>
      </w:r>
    </w:p>
    <w:sectPr>
      <w:footerReference r:id="rId12" w:type="default"/>
      <w:pgSz w:w="11906" w:h="16838"/>
      <w:pgMar w:top="1440" w:right="1080" w:bottom="1440" w:left="108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decorative"/>
    <w:pitch w:val="default"/>
    <w:sig w:usb0="800002BF" w:usb1="38CF7CFA" w:usb2="00000016" w:usb3="00000000" w:csb0="00040001" w:csb1="00000000"/>
  </w:font>
  <w:font w:name="楷体_GB2312">
    <w:altName w:val="楷体"/>
    <w:panose1 w:val="02010609030101010101"/>
    <w:charset w:val="86"/>
    <w:family w:val="decorative"/>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roman"/>
    <w:pitch w:val="default"/>
    <w:sig w:usb0="E1002EFF" w:usb1="C000605B" w:usb2="00000029" w:usb3="00000000" w:csb0="200101FF" w:csb1="20280000"/>
  </w:font>
  <w:font w:name="Arial Unicode MS">
    <w:altName w:val="Arial"/>
    <w:panose1 w:val="020B0604020202020204"/>
    <w:charset w:val="00"/>
    <w:family w:val="roman"/>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Helvetica">
    <w:altName w:val="Arial"/>
    <w:panose1 w:val="020B0604020202020204"/>
    <w:charset w:val="00"/>
    <w:family w:val="swiss"/>
    <w:pitch w:val="default"/>
    <w:sig w:usb0="00000000" w:usb1="00000000" w:usb2="00000000" w:usb3="00000000" w:csb0="00000000" w:csb1="00000000"/>
  </w:font>
  <w:font w:name="新宋体">
    <w:panose1 w:val="02010609030101010101"/>
    <w:charset w:val="86"/>
    <w:family w:val="decorative"/>
    <w:pitch w:val="default"/>
    <w:sig w:usb0="00000203" w:usb1="288F0000" w:usb2="00000006" w:usb3="00000000" w:csb0="00040001" w:csb1="00000000"/>
  </w:font>
  <w:font w:name="Verdana">
    <w:panose1 w:val="020B0604030504040204"/>
    <w:charset w:val="00"/>
    <w:family w:val="roman"/>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367F7">
    <w:pPr>
      <w:pStyle w:val="30"/>
      <w:tabs>
        <w:tab w:val="clear" w:pos="4153"/>
        <w:tab w:val="clear" w:pos="8306"/>
      </w:tabs>
      <w:jc w:val="center"/>
      <w:rPr>
        <w:b/>
        <w:sz w:val="24"/>
        <w:szCs w:val="24"/>
      </w:rPr>
    </w:pPr>
    <w:r>
      <w:rPr>
        <w:b/>
        <w:sz w:val="24"/>
        <w:szCs w:val="24"/>
      </w:rPr>
      <w:fldChar w:fldCharType="begin"/>
    </w:r>
    <w:r>
      <w:rPr>
        <w:b/>
      </w:rPr>
      <w:instrText xml:space="preserve">PAGE</w:instrText>
    </w:r>
    <w:r>
      <w:rPr>
        <w:b/>
        <w:sz w:val="24"/>
        <w:szCs w:val="24"/>
      </w:rPr>
      <w:fldChar w:fldCharType="separate"/>
    </w:r>
    <w:r>
      <w:rPr>
        <w:b/>
      </w:rPr>
      <w:t>21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30</w:t>
    </w:r>
    <w:r>
      <w:rPr>
        <w:b/>
        <w:sz w:val="24"/>
        <w:szCs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0F693">
    <w:pPr>
      <w:pStyle w:val="30"/>
      <w:jc w:val="center"/>
    </w:pPr>
    <w:r>
      <w:rPr>
        <w:b/>
        <w:sz w:val="24"/>
        <w:szCs w:val="24"/>
      </w:rPr>
      <w:fldChar w:fldCharType="begin"/>
    </w:r>
    <w:r>
      <w:rPr>
        <w:b/>
      </w:rPr>
      <w:instrText xml:space="preserve">PAGE</w:instrText>
    </w:r>
    <w:r>
      <w:rPr>
        <w:b/>
        <w:sz w:val="24"/>
        <w:szCs w:val="24"/>
      </w:rPr>
      <w:fldChar w:fldCharType="separate"/>
    </w:r>
    <w:r>
      <w:rPr>
        <w:b/>
      </w:rPr>
      <w:t>- 30 -</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32</w:t>
    </w:r>
    <w:r>
      <w:rPr>
        <w:b/>
        <w:sz w:val="24"/>
        <w:szCs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CDF20">
    <w:pPr>
      <w:pStyle w:val="30"/>
      <w:framePr w:wrap="around" w:vAnchor="text" w:hAnchor="margin" w:xAlign="right" w:y="1"/>
      <w:rPr>
        <w:rStyle w:val="50"/>
      </w:rPr>
    </w:pPr>
    <w:r>
      <w:fldChar w:fldCharType="begin"/>
    </w:r>
    <w:r>
      <w:rPr>
        <w:rStyle w:val="50"/>
      </w:rPr>
      <w:instrText xml:space="preserve">PAGE  </w:instrText>
    </w:r>
    <w:r>
      <w:fldChar w:fldCharType="separate"/>
    </w:r>
    <w:r>
      <w:rPr>
        <w:rStyle w:val="50"/>
      </w:rPr>
      <w:t>7</w:t>
    </w:r>
    <w:r>
      <w:fldChar w:fldCharType="end"/>
    </w:r>
  </w:p>
  <w:p w14:paraId="291B2B10">
    <w:pPr>
      <w:pStyle w:val="3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F1145">
    <w:pPr>
      <w:pStyle w:val="30"/>
      <w:jc w:val="center"/>
    </w:pPr>
    <w:r>
      <w:rPr>
        <w:b/>
        <w:sz w:val="24"/>
        <w:szCs w:val="24"/>
      </w:rPr>
      <w:fldChar w:fldCharType="begin"/>
    </w:r>
    <w:r>
      <w:rPr>
        <w:b/>
      </w:rPr>
      <w:instrText xml:space="preserve">PAGE</w:instrText>
    </w:r>
    <w:r>
      <w:rPr>
        <w:b/>
        <w:sz w:val="24"/>
        <w:szCs w:val="24"/>
      </w:rPr>
      <w:fldChar w:fldCharType="separate"/>
    </w:r>
    <w:r>
      <w:rPr>
        <w:b/>
      </w:rPr>
      <w:t>25</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32</w:t>
    </w:r>
    <w:r>
      <w:rPr>
        <w:b/>
        <w:sz w:val="24"/>
        <w:szCs w:val="24"/>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B8F74">
    <w:pPr>
      <w:pStyle w:val="30"/>
      <w:tabs>
        <w:tab w:val="clear" w:pos="4153"/>
        <w:tab w:val="clear" w:pos="8306"/>
      </w:tabs>
      <w:jc w:val="center"/>
      <w:rPr>
        <w:b/>
        <w:sz w:val="24"/>
        <w:szCs w:val="24"/>
      </w:rPr>
    </w:pPr>
    <w:r>
      <w:rPr>
        <w:b/>
        <w:sz w:val="24"/>
        <w:szCs w:val="24"/>
      </w:rPr>
      <w:fldChar w:fldCharType="begin"/>
    </w:r>
    <w:r>
      <w:rPr>
        <w:b/>
      </w:rPr>
      <w:instrText xml:space="preserve">PAGE</w:instrText>
    </w:r>
    <w:r>
      <w:rPr>
        <w:b/>
        <w:sz w:val="24"/>
        <w:szCs w:val="24"/>
      </w:rPr>
      <w:fldChar w:fldCharType="separate"/>
    </w:r>
    <w:r>
      <w:rPr>
        <w:b/>
      </w:rPr>
      <w:t>29</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30</w:t>
    </w:r>
    <w:r>
      <w:rPr>
        <w:b/>
        <w:sz w:val="24"/>
        <w:szCs w:val="24"/>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FDE75">
    <w:pPr>
      <w:pStyle w:val="30"/>
      <w:tabs>
        <w:tab w:val="clear" w:pos="4153"/>
        <w:tab w:val="clear" w:pos="8306"/>
      </w:tabs>
      <w:jc w:val="center"/>
      <w:rPr>
        <w:b/>
        <w:sz w:val="24"/>
        <w:szCs w:val="24"/>
      </w:rPr>
    </w:pPr>
    <w:r>
      <w:rPr>
        <w:b/>
        <w:sz w:val="24"/>
        <w:szCs w:val="24"/>
      </w:rPr>
      <w:fldChar w:fldCharType="begin"/>
    </w:r>
    <w:r>
      <w:rPr>
        <w:b/>
      </w:rPr>
      <w:instrText xml:space="preserve">PAGE</w:instrText>
    </w:r>
    <w:r>
      <w:rPr>
        <w:b/>
        <w:sz w:val="24"/>
        <w:szCs w:val="24"/>
      </w:rPr>
      <w:fldChar w:fldCharType="separate"/>
    </w:r>
    <w:r>
      <w:rPr>
        <w:b/>
      </w:rPr>
      <w:t>30</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30</w:t>
    </w:r>
    <w:r>
      <w:rPr>
        <w:b/>
        <w:sz w:val="24"/>
        <w:szCs w:val="24"/>
      </w:rPr>
      <w:fldChar w:fldCharType="end"/>
    </w:r>
  </w:p>
  <w:p w14:paraId="4B4E3391">
    <w:pPr>
      <w:pStyle w:val="30"/>
      <w:tabs>
        <w:tab w:val="clear" w:pos="4153"/>
        <w:tab w:val="clear" w:pos="8306"/>
      </w:tabs>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90C98">
    <w:pPr>
      <w:pStyle w:val="31"/>
      <w:tabs>
        <w:tab w:val="clear" w:pos="4153"/>
        <w:tab w:val="clear" w:pos="8306"/>
      </w:tabs>
      <w:wordWrap w:val="0"/>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9C85B">
    <w:pPr>
      <w:pStyle w:val="42"/>
      <w:ind w:firstLine="180" w:firstLineChars="100"/>
      <w:jc w:val="both"/>
      <w:rPr>
        <w:rFonts w:ascii="仿宋_GB2312" w:eastAsia="仿宋_GB2312"/>
        <w:b w:val="0"/>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B76F7">
    <w:pPr>
      <w:pStyle w:val="3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FF5ED8">
    <w:pPr>
      <w:pStyle w:val="42"/>
      <w:ind w:firstLine="180" w:firstLineChars="100"/>
      <w:jc w:val="both"/>
      <w:rPr>
        <w:rFonts w:ascii="仿宋_GB2312" w:eastAsia="仿宋_GB2312"/>
        <w:b w:val="0"/>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8"/>
      <w:numFmt w:val="chineseCounting"/>
      <w:suff w:val="nothing"/>
      <w:lvlText w:val="%1、"/>
      <w:lvlJc w:val="left"/>
    </w:lvl>
  </w:abstractNum>
  <w:abstractNum w:abstractNumId="1">
    <w:nsid w:val="59ADCABA"/>
    <w:multiLevelType w:val="multilevel"/>
    <w:tmpl w:val="59ADCABA"/>
    <w:lvl w:ilvl="0" w:tentative="0">
      <w:start w:val="1"/>
      <w:numFmt w:val="bullet"/>
      <w:lvlText w:val=""/>
      <w:lvlJc w:val="left"/>
      <w:pPr>
        <w:tabs>
          <w:tab w:val="left" w:pos="840"/>
        </w:tabs>
        <w:ind w:left="840" w:hanging="420"/>
      </w:pPr>
      <w:rPr>
        <w:rFonts w:ascii="Wingdings" w:hAnsi="Wingdings"/>
      </w:rPr>
    </w:lvl>
    <w:lvl w:ilvl="1" w:tentative="0">
      <w:start w:val="1"/>
      <w:numFmt w:val="bullet"/>
      <w:lvlText w:val=""/>
      <w:lvlJc w:val="left"/>
      <w:pPr>
        <w:tabs>
          <w:tab w:val="left" w:pos="1260"/>
        </w:tabs>
        <w:ind w:left="1260" w:hanging="420"/>
      </w:pPr>
      <w:rPr>
        <w:rFonts w:ascii="Wingdings" w:hAnsi="Wingdings"/>
      </w:rPr>
    </w:lvl>
    <w:lvl w:ilvl="2" w:tentative="0">
      <w:start w:val="1"/>
      <w:numFmt w:val="bullet"/>
      <w:lvlText w:val=""/>
      <w:lvlJc w:val="left"/>
      <w:pPr>
        <w:tabs>
          <w:tab w:val="left" w:pos="1680"/>
        </w:tabs>
        <w:ind w:left="1680" w:hanging="420"/>
      </w:pPr>
      <w:rPr>
        <w:rFonts w:ascii="Wingdings" w:hAnsi="Wingdings"/>
      </w:rPr>
    </w:lvl>
    <w:lvl w:ilvl="3" w:tentative="0">
      <w:start w:val="1"/>
      <w:numFmt w:val="bullet"/>
      <w:lvlText w:val=""/>
      <w:lvlJc w:val="left"/>
      <w:pPr>
        <w:tabs>
          <w:tab w:val="left" w:pos="2100"/>
        </w:tabs>
        <w:ind w:left="2100" w:hanging="420"/>
      </w:pPr>
      <w:rPr>
        <w:rFonts w:ascii="Wingdings" w:hAnsi="Wingdings"/>
      </w:rPr>
    </w:lvl>
    <w:lvl w:ilvl="4" w:tentative="0">
      <w:start w:val="1"/>
      <w:numFmt w:val="bullet"/>
      <w:lvlText w:val=""/>
      <w:lvlJc w:val="left"/>
      <w:pPr>
        <w:tabs>
          <w:tab w:val="left" w:pos="2520"/>
        </w:tabs>
        <w:ind w:left="2520" w:hanging="420"/>
      </w:pPr>
      <w:rPr>
        <w:rFonts w:ascii="Wingdings" w:hAnsi="Wingdings"/>
      </w:rPr>
    </w:lvl>
    <w:lvl w:ilvl="5" w:tentative="0">
      <w:start w:val="1"/>
      <w:numFmt w:val="bullet"/>
      <w:lvlText w:val=""/>
      <w:lvlJc w:val="left"/>
      <w:pPr>
        <w:tabs>
          <w:tab w:val="left" w:pos="2940"/>
        </w:tabs>
        <w:ind w:left="2940" w:hanging="420"/>
      </w:pPr>
      <w:rPr>
        <w:rFonts w:ascii="Wingdings" w:hAnsi="Wingdings"/>
      </w:rPr>
    </w:lvl>
    <w:lvl w:ilvl="6" w:tentative="0">
      <w:start w:val="1"/>
      <w:numFmt w:val="bullet"/>
      <w:lvlText w:val=""/>
      <w:lvlJc w:val="left"/>
      <w:pPr>
        <w:tabs>
          <w:tab w:val="left" w:pos="3360"/>
        </w:tabs>
        <w:ind w:left="3360" w:hanging="420"/>
      </w:pPr>
      <w:rPr>
        <w:rFonts w:ascii="Wingdings" w:hAnsi="Wingdings"/>
      </w:rPr>
    </w:lvl>
    <w:lvl w:ilvl="7" w:tentative="0">
      <w:start w:val="1"/>
      <w:numFmt w:val="bullet"/>
      <w:lvlText w:val=""/>
      <w:lvlJc w:val="left"/>
      <w:pPr>
        <w:tabs>
          <w:tab w:val="left" w:pos="3780"/>
        </w:tabs>
        <w:ind w:left="3780" w:hanging="420"/>
      </w:pPr>
      <w:rPr>
        <w:rFonts w:ascii="Wingdings" w:hAnsi="Wingdings"/>
      </w:rPr>
    </w:lvl>
    <w:lvl w:ilvl="8" w:tentative="0">
      <w:start w:val="1"/>
      <w:numFmt w:val="bullet"/>
      <w:lvlText w:val=""/>
      <w:lvlJc w:val="left"/>
      <w:pPr>
        <w:tabs>
          <w:tab w:val="left" w:pos="4200"/>
        </w:tabs>
        <w:ind w:left="4200" w:hanging="420"/>
      </w:pPr>
      <w:rPr>
        <w:rFonts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4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dlYjBjNjYwZjlkMmE3MDE0YTZiNDk4NTI1OGM1MDMifQ=="/>
  </w:docVars>
  <w:rsids>
    <w:rsidRoot w:val="001050A8"/>
    <w:rsid w:val="0010400A"/>
    <w:rsid w:val="001050A8"/>
    <w:rsid w:val="004B029B"/>
    <w:rsid w:val="00B36E70"/>
    <w:rsid w:val="00C95362"/>
    <w:rsid w:val="03D80B70"/>
    <w:rsid w:val="041A5C49"/>
    <w:rsid w:val="049B69AA"/>
    <w:rsid w:val="05565CF4"/>
    <w:rsid w:val="05E22014"/>
    <w:rsid w:val="065344DE"/>
    <w:rsid w:val="07E76C61"/>
    <w:rsid w:val="0A36039E"/>
    <w:rsid w:val="0B2108D6"/>
    <w:rsid w:val="0BC10A08"/>
    <w:rsid w:val="0C0F3186"/>
    <w:rsid w:val="0C252478"/>
    <w:rsid w:val="12F46229"/>
    <w:rsid w:val="13125F00"/>
    <w:rsid w:val="13DF03FA"/>
    <w:rsid w:val="1531093B"/>
    <w:rsid w:val="159F3197"/>
    <w:rsid w:val="16F23502"/>
    <w:rsid w:val="1AE9320B"/>
    <w:rsid w:val="1B8E21CA"/>
    <w:rsid w:val="1CFC1CCA"/>
    <w:rsid w:val="1DB21E61"/>
    <w:rsid w:val="1F310AF0"/>
    <w:rsid w:val="20AD0837"/>
    <w:rsid w:val="22282A97"/>
    <w:rsid w:val="242A202A"/>
    <w:rsid w:val="24B74E65"/>
    <w:rsid w:val="25970911"/>
    <w:rsid w:val="25E17599"/>
    <w:rsid w:val="274E2D73"/>
    <w:rsid w:val="27890D64"/>
    <w:rsid w:val="27FC167D"/>
    <w:rsid w:val="289745EA"/>
    <w:rsid w:val="2B811AAF"/>
    <w:rsid w:val="2C854F70"/>
    <w:rsid w:val="2EBE7751"/>
    <w:rsid w:val="314277DA"/>
    <w:rsid w:val="39C24CF5"/>
    <w:rsid w:val="3A215256"/>
    <w:rsid w:val="3A581C4A"/>
    <w:rsid w:val="3BB92403"/>
    <w:rsid w:val="42CC0B33"/>
    <w:rsid w:val="449A14C3"/>
    <w:rsid w:val="44B75DF7"/>
    <w:rsid w:val="44DE2A7B"/>
    <w:rsid w:val="45A50643"/>
    <w:rsid w:val="48135B41"/>
    <w:rsid w:val="48F30996"/>
    <w:rsid w:val="4BBC5F63"/>
    <w:rsid w:val="51692C1A"/>
    <w:rsid w:val="55C71477"/>
    <w:rsid w:val="55EC35A5"/>
    <w:rsid w:val="55FF271A"/>
    <w:rsid w:val="588F7DC4"/>
    <w:rsid w:val="5C8D73D3"/>
    <w:rsid w:val="5CAA0F94"/>
    <w:rsid w:val="5CB35126"/>
    <w:rsid w:val="5E496F37"/>
    <w:rsid w:val="604A517F"/>
    <w:rsid w:val="610F64B0"/>
    <w:rsid w:val="61F25D2E"/>
    <w:rsid w:val="62654422"/>
    <w:rsid w:val="657A07E7"/>
    <w:rsid w:val="65DB6058"/>
    <w:rsid w:val="664E38AA"/>
    <w:rsid w:val="69717FB5"/>
    <w:rsid w:val="6BF213C0"/>
    <w:rsid w:val="6EC133CD"/>
    <w:rsid w:val="72554E32"/>
    <w:rsid w:val="731F7F22"/>
    <w:rsid w:val="74B963E8"/>
    <w:rsid w:val="75B01AD0"/>
    <w:rsid w:val="76070B31"/>
    <w:rsid w:val="780D6D66"/>
    <w:rsid w:val="78C00691"/>
    <w:rsid w:val="79400AE4"/>
    <w:rsid w:val="7A0D399C"/>
    <w:rsid w:val="7E473732"/>
    <w:rsid w:val="7FDE3DB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link w:val="56"/>
    <w:qFormat/>
    <w:uiPriority w:val="0"/>
    <w:pPr>
      <w:keepNext/>
      <w:keepLines/>
      <w:spacing w:line="360" w:lineRule="auto"/>
      <w:ind w:left="992" w:hanging="567"/>
      <w:outlineLvl w:val="1"/>
    </w:pPr>
    <w:rPr>
      <w:rFonts w:ascii="仿宋_GB2312" w:eastAsia="仿宋_GB2312"/>
      <w:b/>
      <w:bCs/>
      <w:sz w:val="24"/>
      <w:lang w:val="zh-CN"/>
    </w:rPr>
  </w:style>
  <w:style w:type="paragraph" w:styleId="6">
    <w:name w:val="heading 3"/>
    <w:basedOn w:val="1"/>
    <w:next w:val="1"/>
    <w:link w:val="57"/>
    <w:qFormat/>
    <w:uiPriority w:val="0"/>
    <w:pPr>
      <w:keepNext/>
      <w:keepLines/>
      <w:tabs>
        <w:tab w:val="left" w:pos="720"/>
      </w:tabs>
      <w:spacing w:before="260" w:after="260" w:line="416" w:lineRule="auto"/>
      <w:ind w:left="720" w:hanging="720"/>
      <w:outlineLvl w:val="2"/>
    </w:pPr>
    <w:rPr>
      <w:b/>
      <w:bCs/>
      <w:sz w:val="32"/>
      <w:szCs w:val="32"/>
    </w:rPr>
  </w:style>
  <w:style w:type="paragraph" w:styleId="7">
    <w:name w:val="heading 4"/>
    <w:basedOn w:val="1"/>
    <w:next w:val="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48">
    <w:name w:val="Default Paragraph Font"/>
    <w:semiHidden/>
    <w:unhideWhenUsed/>
    <w:qFormat/>
    <w:uiPriority w:val="1"/>
  </w:style>
  <w:style w:type="table" w:default="1" w:styleId="4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55"/>
    <w:qFormat/>
    <w:uiPriority w:val="0"/>
    <w:pPr>
      <w:spacing w:line="480" w:lineRule="exact"/>
      <w:ind w:firstLine="480" w:firstLineChars="200"/>
    </w:pPr>
    <w:rPr>
      <w:rFonts w:ascii="宋体" w:hAnsi="宋体"/>
      <w:sz w:val="24"/>
    </w:rPr>
  </w:style>
  <w:style w:type="paragraph" w:customStyle="1" w:styleId="3">
    <w:name w:val="正文文本首行缩进 21"/>
    <w:basedOn w:val="2"/>
    <w:unhideWhenUsed/>
    <w:qFormat/>
    <w:uiPriority w:val="99"/>
    <w:pPr>
      <w:ind w:firstLine="420"/>
    </w:pPr>
  </w:style>
  <w:style w:type="paragraph" w:styleId="13">
    <w:name w:val="toc 7"/>
    <w:basedOn w:val="1"/>
    <w:next w:val="1"/>
    <w:qFormat/>
    <w:uiPriority w:val="0"/>
    <w:pPr>
      <w:ind w:left="2520" w:leftChars="1200"/>
    </w:pPr>
  </w:style>
  <w:style w:type="paragraph" w:styleId="14">
    <w:name w:val="Normal Indent"/>
    <w:basedOn w:val="1"/>
    <w:link w:val="58"/>
    <w:qFormat/>
    <w:uiPriority w:val="0"/>
    <w:pPr>
      <w:widowControl/>
      <w:snapToGrid w:val="0"/>
      <w:spacing w:line="480" w:lineRule="exact"/>
      <w:ind w:firstLine="567"/>
    </w:pPr>
    <w:rPr>
      <w:rFonts w:ascii="宋体"/>
      <w:color w:val="000000"/>
      <w:kern w:val="28"/>
      <w:sz w:val="28"/>
      <w:szCs w:val="20"/>
    </w:rPr>
  </w:style>
  <w:style w:type="paragraph" w:styleId="15">
    <w:name w:val="caption"/>
    <w:basedOn w:val="1"/>
    <w:next w:val="1"/>
    <w:qFormat/>
    <w:uiPriority w:val="0"/>
    <w:rPr>
      <w:b/>
      <w:sz w:val="28"/>
      <w:szCs w:val="20"/>
    </w:rPr>
  </w:style>
  <w:style w:type="paragraph" w:styleId="16">
    <w:name w:val="Document Map"/>
    <w:basedOn w:val="1"/>
    <w:link w:val="59"/>
    <w:qFormat/>
    <w:uiPriority w:val="0"/>
    <w:pPr>
      <w:shd w:val="clear" w:color="auto" w:fill="000080"/>
    </w:pPr>
  </w:style>
  <w:style w:type="paragraph" w:styleId="17">
    <w:name w:val="annotation text"/>
    <w:basedOn w:val="1"/>
    <w:qFormat/>
    <w:uiPriority w:val="0"/>
    <w:pPr>
      <w:jc w:val="left"/>
    </w:pPr>
  </w:style>
  <w:style w:type="paragraph" w:styleId="18">
    <w:name w:val="Salutation"/>
    <w:basedOn w:val="1"/>
    <w:next w:val="1"/>
    <w:qFormat/>
    <w:uiPriority w:val="0"/>
    <w:rPr>
      <w:rFonts w:ascii="仿宋_GB2312" w:eastAsia="仿宋_GB2312"/>
      <w:sz w:val="28"/>
      <w:szCs w:val="20"/>
    </w:rPr>
  </w:style>
  <w:style w:type="paragraph" w:styleId="19">
    <w:name w:val="Body Text 3"/>
    <w:basedOn w:val="1"/>
    <w:qFormat/>
    <w:uiPriority w:val="0"/>
    <w:pPr>
      <w:jc w:val="center"/>
    </w:pPr>
    <w:rPr>
      <w:szCs w:val="20"/>
    </w:rPr>
  </w:style>
  <w:style w:type="paragraph" w:styleId="20">
    <w:name w:val="Body Text"/>
    <w:basedOn w:val="1"/>
    <w:qFormat/>
    <w:uiPriority w:val="0"/>
    <w:pPr>
      <w:autoSpaceDE w:val="0"/>
      <w:autoSpaceDN w:val="0"/>
      <w:spacing w:line="360" w:lineRule="auto"/>
    </w:pPr>
    <w:rPr>
      <w:rFonts w:ascii="宋体"/>
      <w:sz w:val="24"/>
      <w:szCs w:val="21"/>
      <w:lang w:val="zh-CN"/>
    </w:rPr>
  </w:style>
  <w:style w:type="paragraph" w:styleId="2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2">
    <w:name w:val="toc 5"/>
    <w:basedOn w:val="1"/>
    <w:next w:val="1"/>
    <w:qFormat/>
    <w:uiPriority w:val="0"/>
    <w:pPr>
      <w:ind w:left="1680" w:leftChars="800"/>
    </w:pPr>
  </w:style>
  <w:style w:type="paragraph" w:styleId="23">
    <w:name w:val="toc 3"/>
    <w:basedOn w:val="1"/>
    <w:next w:val="1"/>
    <w:qFormat/>
    <w:uiPriority w:val="0"/>
    <w:pPr>
      <w:tabs>
        <w:tab w:val="right" w:leader="dot" w:pos="8268"/>
      </w:tabs>
      <w:ind w:left="840" w:leftChars="400"/>
    </w:pPr>
    <w:rPr>
      <w:rFonts w:ascii="宋体" w:hAnsi="宋体"/>
    </w:rPr>
  </w:style>
  <w:style w:type="paragraph" w:styleId="24">
    <w:name w:val="Plain Text"/>
    <w:basedOn w:val="1"/>
    <w:link w:val="60"/>
    <w:qFormat/>
    <w:uiPriority w:val="0"/>
    <w:rPr>
      <w:rFonts w:ascii="宋体" w:hAnsi="Courier New"/>
      <w:szCs w:val="20"/>
    </w:rPr>
  </w:style>
  <w:style w:type="paragraph" w:styleId="2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26">
    <w:name w:val="toc 8"/>
    <w:basedOn w:val="1"/>
    <w:next w:val="1"/>
    <w:qFormat/>
    <w:uiPriority w:val="0"/>
    <w:pPr>
      <w:ind w:left="2940" w:leftChars="1400"/>
    </w:pPr>
  </w:style>
  <w:style w:type="paragraph" w:styleId="27">
    <w:name w:val="Date"/>
    <w:basedOn w:val="1"/>
    <w:next w:val="1"/>
    <w:link w:val="61"/>
    <w:qFormat/>
    <w:uiPriority w:val="0"/>
    <w:pPr>
      <w:ind w:left="100" w:leftChars="2500"/>
    </w:pPr>
    <w:rPr>
      <w:rFonts w:ascii="宋体"/>
      <w:sz w:val="24"/>
      <w:szCs w:val="21"/>
      <w:lang w:val="zh-CN"/>
    </w:rPr>
  </w:style>
  <w:style w:type="paragraph" w:styleId="28">
    <w:name w:val="Body Text Indent 2"/>
    <w:basedOn w:val="1"/>
    <w:qFormat/>
    <w:uiPriority w:val="0"/>
    <w:pPr>
      <w:spacing w:line="360" w:lineRule="auto"/>
      <w:ind w:firstLine="601"/>
    </w:pPr>
    <w:rPr>
      <w:rFonts w:ascii="宋体"/>
      <w:kern w:val="0"/>
      <w:sz w:val="28"/>
      <w:szCs w:val="20"/>
    </w:rPr>
  </w:style>
  <w:style w:type="paragraph" w:styleId="29">
    <w:name w:val="Balloon Text"/>
    <w:basedOn w:val="1"/>
    <w:qFormat/>
    <w:uiPriority w:val="0"/>
    <w:rPr>
      <w:sz w:val="18"/>
      <w:szCs w:val="18"/>
    </w:rPr>
  </w:style>
  <w:style w:type="paragraph" w:styleId="30">
    <w:name w:val="footer"/>
    <w:basedOn w:val="1"/>
    <w:link w:val="62"/>
    <w:qFormat/>
    <w:uiPriority w:val="0"/>
    <w:pPr>
      <w:tabs>
        <w:tab w:val="center" w:pos="4153"/>
        <w:tab w:val="right" w:pos="8306"/>
      </w:tabs>
      <w:snapToGrid w:val="0"/>
      <w:jc w:val="left"/>
    </w:pPr>
    <w:rPr>
      <w:sz w:val="18"/>
      <w:szCs w:val="18"/>
    </w:rPr>
  </w:style>
  <w:style w:type="paragraph" w:styleId="31">
    <w:name w:val="header"/>
    <w:basedOn w:val="1"/>
    <w:link w:val="63"/>
    <w:qFormat/>
    <w:uiPriority w:val="0"/>
    <w:pPr>
      <w:pBdr>
        <w:bottom w:val="single" w:color="000000" w:sz="6" w:space="1"/>
      </w:pBdr>
      <w:tabs>
        <w:tab w:val="center" w:pos="4153"/>
        <w:tab w:val="right" w:pos="8306"/>
      </w:tabs>
      <w:snapToGrid w:val="0"/>
      <w:jc w:val="center"/>
    </w:pPr>
    <w:rPr>
      <w:sz w:val="18"/>
      <w:szCs w:val="18"/>
    </w:rPr>
  </w:style>
  <w:style w:type="paragraph" w:styleId="32">
    <w:name w:val="Signature"/>
    <w:basedOn w:val="1"/>
    <w:qFormat/>
    <w:uiPriority w:val="0"/>
    <w:pPr>
      <w:spacing w:after="600" w:line="312" w:lineRule="atLeast"/>
      <w:jc w:val="center"/>
    </w:pPr>
    <w:rPr>
      <w:rFonts w:eastAsia="仿宋_GB2312"/>
      <w:kern w:val="0"/>
      <w:sz w:val="24"/>
      <w:szCs w:val="20"/>
    </w:rPr>
  </w:style>
  <w:style w:type="paragraph" w:styleId="33">
    <w:name w:val="toc 1"/>
    <w:basedOn w:val="1"/>
    <w:next w:val="1"/>
    <w:qFormat/>
    <w:uiPriority w:val="0"/>
  </w:style>
  <w:style w:type="paragraph" w:styleId="34">
    <w:name w:val="toc 4"/>
    <w:basedOn w:val="1"/>
    <w:next w:val="1"/>
    <w:qFormat/>
    <w:uiPriority w:val="0"/>
    <w:pPr>
      <w:ind w:left="1260" w:leftChars="600"/>
    </w:pPr>
  </w:style>
  <w:style w:type="paragraph" w:styleId="35">
    <w:name w:val="List Number 5"/>
    <w:basedOn w:val="1"/>
    <w:qFormat/>
    <w:uiPriority w:val="0"/>
    <w:pPr>
      <w:tabs>
        <w:tab w:val="left" w:pos="902"/>
      </w:tabs>
      <w:spacing w:line="400" w:lineRule="exact"/>
      <w:ind w:left="902" w:hanging="420"/>
    </w:pPr>
    <w:rPr>
      <w:sz w:val="24"/>
      <w:szCs w:val="20"/>
    </w:rPr>
  </w:style>
  <w:style w:type="paragraph" w:styleId="36">
    <w:name w:val="toc 6"/>
    <w:basedOn w:val="1"/>
    <w:next w:val="1"/>
    <w:qFormat/>
    <w:uiPriority w:val="0"/>
    <w:pPr>
      <w:ind w:left="2100" w:leftChars="1000"/>
    </w:pPr>
  </w:style>
  <w:style w:type="paragraph" w:styleId="37">
    <w:name w:val="Body Text Indent 3"/>
    <w:basedOn w:val="1"/>
    <w:qFormat/>
    <w:uiPriority w:val="0"/>
    <w:pPr>
      <w:spacing w:line="360" w:lineRule="auto"/>
      <w:ind w:firstLine="420"/>
    </w:pPr>
    <w:rPr>
      <w:sz w:val="24"/>
      <w:szCs w:val="20"/>
    </w:rPr>
  </w:style>
  <w:style w:type="paragraph" w:styleId="38">
    <w:name w:val="toc 2"/>
    <w:basedOn w:val="1"/>
    <w:next w:val="1"/>
    <w:qFormat/>
    <w:uiPriority w:val="0"/>
    <w:pPr>
      <w:ind w:left="420" w:leftChars="200"/>
    </w:pPr>
  </w:style>
  <w:style w:type="paragraph" w:styleId="39">
    <w:name w:val="toc 9"/>
    <w:basedOn w:val="1"/>
    <w:next w:val="1"/>
    <w:qFormat/>
    <w:uiPriority w:val="0"/>
    <w:pPr>
      <w:ind w:left="3360" w:leftChars="1600"/>
    </w:pPr>
  </w:style>
  <w:style w:type="paragraph" w:styleId="40">
    <w:name w:val="Body Text 2"/>
    <w:basedOn w:val="1"/>
    <w:link w:val="64"/>
    <w:qFormat/>
    <w:uiPriority w:val="0"/>
    <w:pPr>
      <w:spacing w:after="120" w:line="480" w:lineRule="auto"/>
    </w:pPr>
  </w:style>
  <w:style w:type="paragraph" w:styleId="41">
    <w:name w:val="Normal (Web)"/>
    <w:basedOn w:val="1"/>
    <w:qFormat/>
    <w:uiPriority w:val="0"/>
    <w:pPr>
      <w:widowControl/>
      <w:spacing w:before="100" w:beforeAutospacing="1" w:after="100" w:afterAutospacing="1"/>
      <w:jc w:val="left"/>
    </w:pPr>
    <w:rPr>
      <w:rFonts w:ascii="宋体" w:hAnsi="宋体"/>
      <w:kern w:val="0"/>
      <w:sz w:val="24"/>
    </w:rPr>
  </w:style>
  <w:style w:type="paragraph" w:styleId="42">
    <w:name w:val="Title"/>
    <w:basedOn w:val="1"/>
    <w:link w:val="65"/>
    <w:qFormat/>
    <w:uiPriority w:val="0"/>
    <w:pPr>
      <w:widowControl/>
      <w:overflowPunct w:val="0"/>
      <w:autoSpaceDE w:val="0"/>
      <w:autoSpaceDN w:val="0"/>
      <w:jc w:val="center"/>
    </w:pPr>
    <w:rPr>
      <w:b/>
      <w:kern w:val="0"/>
      <w:sz w:val="24"/>
      <w:szCs w:val="20"/>
    </w:rPr>
  </w:style>
  <w:style w:type="paragraph" w:styleId="43">
    <w:name w:val="annotation subject"/>
    <w:basedOn w:val="17"/>
    <w:next w:val="17"/>
    <w:link w:val="66"/>
    <w:qFormat/>
    <w:uiPriority w:val="0"/>
    <w:rPr>
      <w:b/>
      <w:bCs/>
    </w:rPr>
  </w:style>
  <w:style w:type="paragraph" w:styleId="44">
    <w:name w:val="Body Text First Indent"/>
    <w:basedOn w:val="20"/>
    <w:qFormat/>
    <w:uiPriority w:val="0"/>
    <w:pPr>
      <w:ind w:firstLine="420"/>
    </w:pPr>
    <w:rPr>
      <w:szCs w:val="20"/>
    </w:rPr>
  </w:style>
  <w:style w:type="table" w:styleId="46">
    <w:name w:val="Table Grid"/>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7">
    <w:name w:val="Table Grid 8"/>
    <w:basedOn w:val="4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character" w:styleId="49">
    <w:name w:val="Strong"/>
    <w:qFormat/>
    <w:uiPriority w:val="0"/>
    <w:rPr>
      <w:b/>
      <w:bCs/>
    </w:rPr>
  </w:style>
  <w:style w:type="character" w:styleId="50">
    <w:name w:val="page number"/>
    <w:basedOn w:val="48"/>
    <w:qFormat/>
    <w:uiPriority w:val="0"/>
  </w:style>
  <w:style w:type="character" w:styleId="51">
    <w:name w:val="Emphasis"/>
    <w:qFormat/>
    <w:uiPriority w:val="0"/>
    <w:rPr>
      <w:color w:val="CC0033"/>
    </w:rPr>
  </w:style>
  <w:style w:type="character" w:styleId="52">
    <w:name w:val="line number"/>
    <w:basedOn w:val="48"/>
    <w:qFormat/>
    <w:uiPriority w:val="0"/>
  </w:style>
  <w:style w:type="character" w:styleId="53">
    <w:name w:val="Hyperlink"/>
    <w:qFormat/>
    <w:uiPriority w:val="0"/>
    <w:rPr>
      <w:color w:val="0000FF"/>
      <w:u w:val="single"/>
    </w:rPr>
  </w:style>
  <w:style w:type="character" w:styleId="54">
    <w:name w:val="annotation reference"/>
    <w:qFormat/>
    <w:uiPriority w:val="0"/>
    <w:rPr>
      <w:sz w:val="21"/>
      <w:szCs w:val="21"/>
    </w:rPr>
  </w:style>
  <w:style w:type="character" w:customStyle="1" w:styleId="55">
    <w:name w:val="正文文本缩进 Char"/>
    <w:link w:val="2"/>
    <w:qFormat/>
    <w:uiPriority w:val="0"/>
    <w:rPr>
      <w:rFonts w:ascii="宋体" w:hAnsi="宋体" w:eastAsia="宋体"/>
      <w:kern w:val="2"/>
      <w:sz w:val="24"/>
      <w:szCs w:val="24"/>
      <w:lang w:val="en-US" w:eastAsia="zh-CN" w:bidi="ar-SA"/>
    </w:rPr>
  </w:style>
  <w:style w:type="character" w:customStyle="1" w:styleId="56">
    <w:name w:val="标题 2 Char1"/>
    <w:link w:val="5"/>
    <w:qFormat/>
    <w:uiPriority w:val="0"/>
    <w:rPr>
      <w:rFonts w:ascii="仿宋_GB2312" w:eastAsia="仿宋_GB2312"/>
      <w:b/>
      <w:bCs/>
      <w:kern w:val="2"/>
      <w:sz w:val="24"/>
      <w:szCs w:val="24"/>
      <w:lang w:val="zh-CN" w:eastAsia="zh-CN" w:bidi="ar-SA"/>
    </w:rPr>
  </w:style>
  <w:style w:type="character" w:customStyle="1" w:styleId="57">
    <w:name w:val="标题 3 Char"/>
    <w:link w:val="6"/>
    <w:qFormat/>
    <w:uiPriority w:val="0"/>
    <w:rPr>
      <w:b/>
      <w:bCs/>
      <w:kern w:val="2"/>
      <w:sz w:val="32"/>
      <w:szCs w:val="32"/>
    </w:rPr>
  </w:style>
  <w:style w:type="character" w:customStyle="1" w:styleId="58">
    <w:name w:val="正文缩进 Char1"/>
    <w:link w:val="14"/>
    <w:qFormat/>
    <w:uiPriority w:val="0"/>
    <w:rPr>
      <w:rFonts w:ascii="宋体" w:eastAsia="宋体"/>
      <w:color w:val="000000"/>
      <w:kern w:val="28"/>
      <w:sz w:val="28"/>
      <w:lang w:val="en-US" w:eastAsia="zh-CN" w:bidi="ar-SA"/>
    </w:rPr>
  </w:style>
  <w:style w:type="character" w:customStyle="1" w:styleId="59">
    <w:name w:val="文档结构图 Char"/>
    <w:link w:val="16"/>
    <w:qFormat/>
    <w:uiPriority w:val="0"/>
    <w:rPr>
      <w:rFonts w:eastAsia="宋体"/>
      <w:kern w:val="2"/>
      <w:sz w:val="21"/>
      <w:szCs w:val="24"/>
      <w:lang w:val="en-US" w:eastAsia="zh-CN" w:bidi="ar-SA"/>
    </w:rPr>
  </w:style>
  <w:style w:type="character" w:customStyle="1" w:styleId="60">
    <w:name w:val="纯文本 Char"/>
    <w:link w:val="24"/>
    <w:qFormat/>
    <w:uiPriority w:val="0"/>
    <w:rPr>
      <w:rFonts w:ascii="宋体" w:hAnsi="Courier New" w:eastAsia="宋体"/>
      <w:kern w:val="2"/>
      <w:sz w:val="21"/>
      <w:lang w:val="en-US" w:eastAsia="zh-CN" w:bidi="ar-SA"/>
    </w:rPr>
  </w:style>
  <w:style w:type="character" w:customStyle="1" w:styleId="61">
    <w:name w:val="日期 Char"/>
    <w:link w:val="27"/>
    <w:qFormat/>
    <w:uiPriority w:val="0"/>
    <w:rPr>
      <w:rFonts w:ascii="宋体"/>
      <w:kern w:val="2"/>
      <w:sz w:val="24"/>
      <w:szCs w:val="21"/>
      <w:lang w:val="zh-CN"/>
    </w:rPr>
  </w:style>
  <w:style w:type="character" w:customStyle="1" w:styleId="62">
    <w:name w:val="页脚 Char1"/>
    <w:link w:val="30"/>
    <w:qFormat/>
    <w:uiPriority w:val="0"/>
    <w:rPr>
      <w:rFonts w:eastAsia="宋体"/>
      <w:kern w:val="2"/>
      <w:sz w:val="18"/>
      <w:szCs w:val="18"/>
      <w:lang w:val="en-US" w:eastAsia="zh-CN" w:bidi="ar-SA"/>
    </w:rPr>
  </w:style>
  <w:style w:type="character" w:customStyle="1" w:styleId="63">
    <w:name w:val="页眉 Char1"/>
    <w:link w:val="31"/>
    <w:qFormat/>
    <w:uiPriority w:val="0"/>
    <w:rPr>
      <w:rFonts w:eastAsia="宋体"/>
      <w:kern w:val="2"/>
      <w:sz w:val="18"/>
      <w:szCs w:val="18"/>
      <w:lang w:val="en-US" w:eastAsia="zh-CN" w:bidi="ar-SA"/>
    </w:rPr>
  </w:style>
  <w:style w:type="character" w:customStyle="1" w:styleId="64">
    <w:name w:val="正文文本 2 Char"/>
    <w:link w:val="40"/>
    <w:qFormat/>
    <w:uiPriority w:val="0"/>
    <w:rPr>
      <w:rFonts w:eastAsia="宋体"/>
      <w:kern w:val="2"/>
      <w:sz w:val="21"/>
      <w:szCs w:val="24"/>
      <w:lang w:val="en-US" w:eastAsia="zh-CN" w:bidi="ar-SA"/>
    </w:rPr>
  </w:style>
  <w:style w:type="character" w:customStyle="1" w:styleId="65">
    <w:name w:val="标题 Char"/>
    <w:link w:val="42"/>
    <w:qFormat/>
    <w:uiPriority w:val="0"/>
    <w:rPr>
      <w:rFonts w:eastAsia="宋体"/>
      <w:b/>
      <w:sz w:val="24"/>
      <w:lang w:eastAsia="zh-CN" w:bidi="ar-SA"/>
    </w:rPr>
  </w:style>
  <w:style w:type="character" w:customStyle="1" w:styleId="66">
    <w:name w:val="批注主题 Char"/>
    <w:link w:val="43"/>
    <w:qFormat/>
    <w:uiPriority w:val="0"/>
    <w:rPr>
      <w:rFonts w:eastAsia="宋体"/>
      <w:b/>
      <w:bCs/>
      <w:kern w:val="2"/>
      <w:sz w:val="21"/>
      <w:szCs w:val="24"/>
      <w:lang w:val="en-US" w:eastAsia="zh-CN" w:bidi="ar-SA"/>
    </w:rPr>
  </w:style>
  <w:style w:type="character" w:customStyle="1" w:styleId="67">
    <w:name w:val="已访问的超链接1"/>
    <w:qFormat/>
    <w:uiPriority w:val="0"/>
    <w:rPr>
      <w:color w:val="800080"/>
      <w:u w:val="single"/>
    </w:rPr>
  </w:style>
  <w:style w:type="paragraph" w:customStyle="1" w:styleId="68">
    <w:name w:val="Table Text"/>
    <w:basedOn w:val="1"/>
    <w:link w:val="69"/>
    <w:qFormat/>
    <w:uiPriority w:val="0"/>
    <w:pPr>
      <w:widowControl/>
      <w:spacing w:before="60" w:after="60"/>
      <w:jc w:val="left"/>
    </w:pPr>
    <w:rPr>
      <w:kern w:val="0"/>
      <w:sz w:val="24"/>
    </w:rPr>
  </w:style>
  <w:style w:type="character" w:customStyle="1" w:styleId="69">
    <w:name w:val="Table Text Char1"/>
    <w:link w:val="68"/>
    <w:qFormat/>
    <w:uiPriority w:val="0"/>
    <w:rPr>
      <w:rFonts w:eastAsia="宋体"/>
      <w:sz w:val="24"/>
      <w:szCs w:val="24"/>
      <w:lang w:val="en-US" w:eastAsia="zh-CN" w:bidi="ar-SA"/>
    </w:rPr>
  </w:style>
  <w:style w:type="paragraph" w:customStyle="1" w:styleId="70">
    <w:name w:val="标准正文格式"/>
    <w:basedOn w:val="1"/>
    <w:link w:val="71"/>
    <w:qFormat/>
    <w:uiPriority w:val="0"/>
    <w:pPr>
      <w:widowControl/>
      <w:spacing w:before="60" w:after="120" w:line="360" w:lineRule="auto"/>
      <w:ind w:firstLine="200" w:firstLineChars="200"/>
    </w:pPr>
    <w:rPr>
      <w:rFonts w:ascii="宋体" w:eastAsia="仿宋_GB2312"/>
      <w:color w:val="000000"/>
      <w:kern w:val="0"/>
      <w:sz w:val="24"/>
      <w:szCs w:val="20"/>
    </w:rPr>
  </w:style>
  <w:style w:type="character" w:customStyle="1" w:styleId="71">
    <w:name w:val="标准正文格式 Char"/>
    <w:link w:val="70"/>
    <w:qFormat/>
    <w:uiPriority w:val="0"/>
    <w:rPr>
      <w:rFonts w:ascii="宋体" w:eastAsia="仿宋_GB2312"/>
      <w:color w:val="000000"/>
      <w:sz w:val="24"/>
      <w:lang w:val="en-US" w:eastAsia="zh-CN" w:bidi="ar-SA"/>
    </w:rPr>
  </w:style>
  <w:style w:type="paragraph" w:customStyle="1" w:styleId="72">
    <w:name w:val="正文2"/>
    <w:basedOn w:val="1"/>
    <w:link w:val="73"/>
    <w:qFormat/>
    <w:uiPriority w:val="0"/>
    <w:pPr>
      <w:spacing w:before="156" w:line="360" w:lineRule="auto"/>
      <w:ind w:firstLine="510" w:firstLineChars="200"/>
    </w:pPr>
    <w:rPr>
      <w:sz w:val="24"/>
      <w:szCs w:val="20"/>
    </w:rPr>
  </w:style>
  <w:style w:type="character" w:customStyle="1" w:styleId="73">
    <w:name w:val="正文2 Char"/>
    <w:link w:val="72"/>
    <w:qFormat/>
    <w:uiPriority w:val="0"/>
    <w:rPr>
      <w:rFonts w:eastAsia="宋体"/>
      <w:kern w:val="2"/>
      <w:sz w:val="24"/>
      <w:lang w:val="en-US" w:eastAsia="zh-CN" w:bidi="ar-SA"/>
    </w:rPr>
  </w:style>
  <w:style w:type="paragraph" w:customStyle="1" w:styleId="74">
    <w:name w:val="样式2"/>
    <w:basedOn w:val="72"/>
    <w:link w:val="75"/>
    <w:qFormat/>
    <w:uiPriority w:val="0"/>
    <w:pPr>
      <w:spacing w:before="0" w:line="460" w:lineRule="exact"/>
      <w:ind w:firstLine="480"/>
    </w:pPr>
    <w:rPr>
      <w:rFonts w:ascii="仿宋_GB2312" w:hAnsi="仿宋" w:eastAsia="仿宋_GB2312"/>
      <w:kern w:val="0"/>
    </w:rPr>
  </w:style>
  <w:style w:type="character" w:customStyle="1" w:styleId="75">
    <w:name w:val="样式2 Char"/>
    <w:link w:val="74"/>
    <w:qFormat/>
    <w:uiPriority w:val="0"/>
    <w:rPr>
      <w:rFonts w:ascii="仿宋_GB2312" w:hAnsi="仿宋" w:eastAsia="仿宋_GB2312"/>
      <w:sz w:val="24"/>
    </w:rPr>
  </w:style>
  <w:style w:type="paragraph" w:customStyle="1" w:styleId="76">
    <w:name w:val="表格"/>
    <w:basedOn w:val="1"/>
    <w:link w:val="77"/>
    <w:qFormat/>
    <w:uiPriority w:val="0"/>
    <w:pPr>
      <w:snapToGrid w:val="0"/>
      <w:ind w:firstLine="42" w:firstLineChars="21"/>
    </w:pPr>
    <w:rPr>
      <w:rFonts w:ascii="宋体" w:hAnsi="宋体"/>
      <w:kern w:val="0"/>
      <w:sz w:val="20"/>
      <w:szCs w:val="20"/>
    </w:rPr>
  </w:style>
  <w:style w:type="character" w:customStyle="1" w:styleId="77">
    <w:name w:val="表格 Char Char"/>
    <w:link w:val="76"/>
    <w:qFormat/>
    <w:uiPriority w:val="0"/>
    <w:rPr>
      <w:rFonts w:ascii="宋体" w:hAnsi="宋体" w:eastAsia="宋体"/>
      <w:lang w:bidi="ar-SA"/>
    </w:rPr>
  </w:style>
  <w:style w:type="paragraph" w:customStyle="1" w:styleId="78">
    <w:name w:val="列出段落1"/>
    <w:basedOn w:val="1"/>
    <w:link w:val="79"/>
    <w:qFormat/>
    <w:uiPriority w:val="0"/>
    <w:pPr>
      <w:spacing w:line="360" w:lineRule="auto"/>
      <w:ind w:firstLine="200" w:firstLineChars="200"/>
    </w:pPr>
    <w:rPr>
      <w:rFonts w:eastAsia="楷体_GB2312"/>
      <w:sz w:val="24"/>
    </w:rPr>
  </w:style>
  <w:style w:type="character" w:customStyle="1" w:styleId="79">
    <w:name w:val="列出段落 Char"/>
    <w:link w:val="78"/>
    <w:qFormat/>
    <w:uiPriority w:val="0"/>
    <w:rPr>
      <w:rFonts w:eastAsia="楷体_GB2312"/>
      <w:kern w:val="2"/>
      <w:sz w:val="24"/>
      <w:szCs w:val="24"/>
    </w:rPr>
  </w:style>
  <w:style w:type="paragraph" w:customStyle="1" w:styleId="80">
    <w:name w:val="gf正文1"/>
    <w:basedOn w:val="1"/>
    <w:link w:val="8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81">
    <w:name w:val="gf正文1 Char"/>
    <w:link w:val="80"/>
    <w:qFormat/>
    <w:uiPriority w:val="0"/>
    <w:rPr>
      <w:rFonts w:ascii="宋体" w:hAnsi="宋体" w:eastAsia="宋体"/>
      <w:kern w:val="2"/>
      <w:sz w:val="24"/>
      <w:szCs w:val="24"/>
      <w:lang w:val="en-US" w:eastAsia="zh-CN" w:bidi="ar-SA"/>
    </w:rPr>
  </w:style>
  <w:style w:type="paragraph" w:customStyle="1" w:styleId="82">
    <w:name w:val="FA正文"/>
    <w:basedOn w:val="1"/>
    <w:link w:val="83"/>
    <w:qFormat/>
    <w:uiPriority w:val="0"/>
    <w:pPr>
      <w:spacing w:line="360" w:lineRule="auto"/>
      <w:ind w:firstLine="480" w:firstLineChars="200"/>
    </w:pPr>
    <w:rPr>
      <w:rFonts w:hAnsi="宋体"/>
      <w:sz w:val="24"/>
      <w:szCs w:val="20"/>
    </w:rPr>
  </w:style>
  <w:style w:type="character" w:customStyle="1" w:styleId="83">
    <w:name w:val="FA正文 Char Char"/>
    <w:link w:val="82"/>
    <w:qFormat/>
    <w:uiPriority w:val="0"/>
    <w:rPr>
      <w:rFonts w:hAnsi="宋体"/>
      <w:kern w:val="2"/>
      <w:sz w:val="24"/>
      <w:lang w:bidi="ar-SA"/>
    </w:rPr>
  </w:style>
  <w:style w:type="paragraph" w:customStyle="1" w:styleId="84">
    <w:name w:val="无间隔1"/>
    <w:link w:val="85"/>
    <w:qFormat/>
    <w:uiPriority w:val="0"/>
    <w:rPr>
      <w:rFonts w:ascii="Calibri" w:hAnsi="Calibri" w:eastAsia="宋体" w:cs="Times New Roman"/>
      <w:sz w:val="22"/>
      <w:szCs w:val="22"/>
      <w:lang w:val="en-US" w:eastAsia="zh-CN" w:bidi="ar-SA"/>
    </w:rPr>
  </w:style>
  <w:style w:type="character" w:customStyle="1" w:styleId="85">
    <w:name w:val="无间隔 Char"/>
    <w:link w:val="84"/>
    <w:qFormat/>
    <w:uiPriority w:val="0"/>
    <w:rPr>
      <w:rFonts w:ascii="Calibri" w:hAnsi="Calibri"/>
      <w:sz w:val="22"/>
      <w:szCs w:val="22"/>
      <w:lang w:val="en-US" w:eastAsia="zh-CN" w:bidi="ar-SA"/>
    </w:rPr>
  </w:style>
  <w:style w:type="paragraph" w:customStyle="1" w:styleId="86">
    <w:name w:val="正文1"/>
    <w:basedOn w:val="1"/>
    <w:link w:val="87"/>
    <w:qFormat/>
    <w:uiPriority w:val="0"/>
    <w:pPr>
      <w:widowControl/>
      <w:spacing w:line="360" w:lineRule="auto"/>
      <w:ind w:left="360" w:firstLine="420"/>
      <w:jc w:val="left"/>
    </w:pPr>
    <w:rPr>
      <w:rFonts w:ascii="宋体" w:hAnsi="宋体"/>
      <w:kern w:val="0"/>
      <w:szCs w:val="20"/>
    </w:rPr>
  </w:style>
  <w:style w:type="character" w:customStyle="1" w:styleId="87">
    <w:name w:val="正文1 Char"/>
    <w:link w:val="86"/>
    <w:qFormat/>
    <w:uiPriority w:val="0"/>
    <w:rPr>
      <w:rFonts w:ascii="宋体" w:hAnsi="宋体" w:eastAsia="宋体"/>
      <w:sz w:val="21"/>
      <w:lang w:val="en-US" w:eastAsia="zh-CN" w:bidi="ar-SA"/>
    </w:rPr>
  </w:style>
  <w:style w:type="paragraph" w:customStyle="1" w:styleId="88">
    <w:name w:val="正文（标题三）"/>
    <w:basedOn w:val="1"/>
    <w:qFormat/>
    <w:uiPriority w:val="0"/>
    <w:pPr>
      <w:spacing w:line="360" w:lineRule="auto"/>
      <w:ind w:firstLine="200" w:firstLineChars="200"/>
    </w:pPr>
    <w:rPr>
      <w:sz w:val="24"/>
    </w:rPr>
  </w:style>
  <w:style w:type="paragraph" w:customStyle="1" w:styleId="8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90">
    <w:name w:val="彩色列表 - 强调文字颜色 11"/>
    <w:basedOn w:val="1"/>
    <w:qFormat/>
    <w:uiPriority w:val="0"/>
    <w:pPr>
      <w:spacing w:line="360" w:lineRule="auto"/>
      <w:ind w:firstLine="200" w:firstLineChars="200"/>
    </w:pPr>
    <w:rPr>
      <w:rFonts w:eastAsia="楷体_GB2312"/>
      <w:sz w:val="24"/>
    </w:rPr>
  </w:style>
  <w:style w:type="paragraph" w:customStyle="1" w:styleId="91">
    <w:name w:val="4"/>
    <w:basedOn w:val="1"/>
    <w:qFormat/>
    <w:uiPriority w:val="0"/>
    <w:pPr>
      <w:spacing w:after="120" w:line="480" w:lineRule="auto"/>
      <w:ind w:left="420" w:leftChars="200"/>
    </w:pPr>
    <w:rPr>
      <w:sz w:val="24"/>
      <w:szCs w:val="20"/>
    </w:rPr>
  </w:style>
  <w:style w:type="paragraph" w:customStyle="1" w:styleId="92">
    <w:name w:val="正文－恩普"/>
    <w:basedOn w:val="14"/>
    <w:qFormat/>
    <w:uiPriority w:val="0"/>
    <w:pPr>
      <w:snapToGrid/>
      <w:spacing w:before="100" w:beforeAutospacing="1" w:afterAutospacing="1" w:line="360" w:lineRule="auto"/>
      <w:ind w:firstLine="480" w:firstLineChars="200"/>
      <w:jc w:val="left"/>
    </w:pPr>
    <w:rPr>
      <w:rFonts w:ascii="Times New Roman"/>
      <w:kern w:val="0"/>
      <w:sz w:val="24"/>
    </w:rPr>
  </w:style>
  <w:style w:type="paragraph" w:customStyle="1" w:styleId="93">
    <w:name w:val="默认段落字体 Para Char"/>
    <w:basedOn w:val="1"/>
    <w:qFormat/>
    <w:uiPriority w:val="0"/>
    <w:rPr>
      <w:rFonts w:ascii="Tahoma" w:hAnsi="Tahoma"/>
      <w:sz w:val="24"/>
      <w:szCs w:val="20"/>
    </w:rPr>
  </w:style>
  <w:style w:type="paragraph" w:customStyle="1" w:styleId="94">
    <w:name w:val="xl30"/>
    <w:basedOn w:val="1"/>
    <w:qFormat/>
    <w:uiPriority w:val="0"/>
    <w:pPr>
      <w:widowControl/>
      <w:pBdr>
        <w:left w:val="single" w:color="000000" w:sz="4" w:space="0"/>
        <w:right w:val="single" w:color="000000" w:sz="4" w:space="0"/>
      </w:pBdr>
      <w:spacing w:before="100" w:beforeAutospacing="1" w:after="100" w:afterAutospacing="1"/>
      <w:jc w:val="center"/>
    </w:pPr>
    <w:rPr>
      <w:rFonts w:eastAsia="Arial Unicode MS"/>
      <w:kern w:val="0"/>
      <w:szCs w:val="21"/>
    </w:rPr>
  </w:style>
  <w:style w:type="paragraph" w:customStyle="1" w:styleId="95">
    <w:name w:val="Char Char Char Char Char Char Char Char Char Char"/>
    <w:basedOn w:val="1"/>
    <w:qFormat/>
    <w:uiPriority w:val="0"/>
    <w:rPr>
      <w:rFonts w:ascii="仿宋_GB2312" w:eastAsia="仿宋_GB2312"/>
      <w:b/>
      <w:sz w:val="32"/>
      <w:szCs w:val="32"/>
    </w:rPr>
  </w:style>
  <w:style w:type="paragraph" w:customStyle="1" w:styleId="96">
    <w:name w:val="标准正文"/>
    <w:basedOn w:val="1"/>
    <w:qFormat/>
    <w:uiPriority w:val="0"/>
    <w:pPr>
      <w:spacing w:before="60" w:after="60" w:line="360" w:lineRule="auto"/>
      <w:ind w:firstLine="482" w:firstLineChars="200"/>
    </w:pPr>
    <w:rPr>
      <w:rFonts w:ascii="Arial" w:hAnsi="Arial"/>
      <w:b/>
      <w:sz w:val="24"/>
      <w:szCs w:val="20"/>
    </w:rPr>
  </w:style>
  <w:style w:type="paragraph" w:customStyle="1" w:styleId="97">
    <w:name w:val="Char1"/>
    <w:basedOn w:val="1"/>
    <w:qFormat/>
    <w:uiPriority w:val="0"/>
    <w:rPr>
      <w:rFonts w:ascii="仿宋_GB2312" w:eastAsia="仿宋_GB2312"/>
      <w:b/>
      <w:sz w:val="32"/>
      <w:szCs w:val="32"/>
    </w:rPr>
  </w:style>
  <w:style w:type="paragraph" w:customStyle="1" w:styleId="98">
    <w:name w:val="列表内容"/>
    <w:basedOn w:val="1"/>
    <w:qFormat/>
    <w:uiPriority w:val="0"/>
    <w:pPr>
      <w:widowControl/>
      <w:tabs>
        <w:tab w:val="left" w:pos="840"/>
      </w:tabs>
      <w:ind w:left="840" w:hanging="420"/>
      <w:jc w:val="left"/>
    </w:pPr>
    <w:rPr>
      <w:kern w:val="0"/>
      <w:sz w:val="18"/>
    </w:rPr>
  </w:style>
  <w:style w:type="paragraph" w:customStyle="1" w:styleId="99">
    <w:name w:val="xl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4"/>
    </w:rPr>
  </w:style>
  <w:style w:type="paragraph" w:customStyle="1" w:styleId="100">
    <w:name w:val="规划正文"/>
    <w:basedOn w:val="1"/>
    <w:qFormat/>
    <w:uiPriority w:val="0"/>
    <w:pPr>
      <w:spacing w:line="360" w:lineRule="auto"/>
      <w:jc w:val="left"/>
    </w:pPr>
    <w:rPr>
      <w:rFonts w:ascii="Arial" w:hAnsi="Arial" w:eastAsia="仿宋_GB2312"/>
      <w:bCs/>
      <w:sz w:val="28"/>
    </w:rPr>
  </w:style>
  <w:style w:type="paragraph" w:customStyle="1" w:styleId="101">
    <w:name w:val="Char1 Char Char Char"/>
    <w:basedOn w:val="1"/>
    <w:qFormat/>
    <w:uiPriority w:val="0"/>
    <w:rPr>
      <w:rFonts w:ascii="Tahoma" w:hAnsi="Tahoma"/>
      <w:sz w:val="24"/>
      <w:szCs w:val="20"/>
    </w:rPr>
  </w:style>
  <w:style w:type="paragraph" w:customStyle="1" w:styleId="102">
    <w:name w:val="Body Text 21"/>
    <w:basedOn w:val="1"/>
    <w:qFormat/>
    <w:uiPriority w:val="0"/>
    <w:pPr>
      <w:widowControl/>
      <w:overflowPunct w:val="0"/>
      <w:autoSpaceDE w:val="0"/>
      <w:autoSpaceDN w:val="0"/>
      <w:ind w:left="720" w:hanging="720"/>
    </w:pPr>
    <w:rPr>
      <w:kern w:val="0"/>
      <w:sz w:val="24"/>
      <w:szCs w:val="20"/>
    </w:rPr>
  </w:style>
  <w:style w:type="paragraph" w:customStyle="1" w:styleId="103">
    <w:name w:val="正文（首行缩进）"/>
    <w:basedOn w:val="2"/>
    <w:qFormat/>
    <w:uiPriority w:val="0"/>
    <w:pPr>
      <w:widowControl/>
      <w:overflowPunct w:val="0"/>
      <w:autoSpaceDE w:val="0"/>
      <w:autoSpaceDN w:val="0"/>
      <w:spacing w:after="120" w:line="400" w:lineRule="exact"/>
      <w:ind w:left="200" w:leftChars="200" w:firstLine="200"/>
      <w:jc w:val="left"/>
    </w:pPr>
    <w:rPr>
      <w:rFonts w:ascii="Times New Roman" w:hAnsi="Times New Roman"/>
      <w:spacing w:val="10"/>
      <w:kern w:val="0"/>
      <w:szCs w:val="20"/>
    </w:rPr>
  </w:style>
  <w:style w:type="paragraph" w:customStyle="1" w:styleId="104">
    <w:name w:val="默认段落样式"/>
    <w:basedOn w:val="72"/>
    <w:qFormat/>
    <w:uiPriority w:val="0"/>
    <w:pPr>
      <w:spacing w:before="0"/>
      <w:ind w:firstLine="480"/>
      <w:outlineLvl w:val="2"/>
    </w:pPr>
    <w:rPr>
      <w:rFonts w:ascii="仿宋_GB2312" w:hAnsi="宋体" w:eastAsia="仿宋_GB2312"/>
      <w:color w:val="000000"/>
      <w:szCs w:val="24"/>
    </w:rPr>
  </w:style>
  <w:style w:type="paragraph" w:customStyle="1" w:styleId="105">
    <w:name w:val="标准小四"/>
    <w:basedOn w:val="1"/>
    <w:qFormat/>
    <w:uiPriority w:val="0"/>
    <w:pPr>
      <w:spacing w:line="360" w:lineRule="auto"/>
      <w:ind w:firstLine="480" w:firstLineChars="200"/>
    </w:pPr>
    <w:rPr>
      <w:rFonts w:ascii="Arial" w:hAnsi="Arial"/>
      <w:sz w:val="24"/>
      <w:szCs w:val="21"/>
    </w:rPr>
  </w:style>
  <w:style w:type="paragraph" w:customStyle="1" w:styleId="106">
    <w:name w:val="规范正文"/>
    <w:basedOn w:val="1"/>
    <w:qFormat/>
    <w:uiPriority w:val="0"/>
    <w:pPr>
      <w:tabs>
        <w:tab w:val="left" w:pos="900"/>
      </w:tabs>
      <w:spacing w:line="360" w:lineRule="auto"/>
      <w:ind w:left="900" w:hanging="420"/>
    </w:pPr>
    <w:rPr>
      <w:szCs w:val="20"/>
    </w:rPr>
  </w:style>
  <w:style w:type="paragraph" w:customStyle="1" w:styleId="107">
    <w:name w:val="Char Char1 Char"/>
    <w:basedOn w:val="1"/>
    <w:qFormat/>
    <w:uiPriority w:val="0"/>
    <w:rPr>
      <w:rFonts w:ascii="仿宋_GB2312" w:eastAsia="仿宋_GB2312"/>
      <w:b/>
      <w:sz w:val="32"/>
      <w:szCs w:val="32"/>
    </w:rPr>
  </w:style>
  <w:style w:type="paragraph" w:customStyle="1" w:styleId="108">
    <w:name w:val="正文（首行缩进2字符）"/>
    <w:basedOn w:val="1"/>
    <w:qFormat/>
    <w:uiPriority w:val="0"/>
    <w:pPr>
      <w:spacing w:line="360" w:lineRule="auto"/>
      <w:ind w:firstLine="480" w:firstLineChars="200"/>
    </w:pPr>
    <w:rPr>
      <w:sz w:val="24"/>
      <w:szCs w:val="20"/>
    </w:rPr>
  </w:style>
  <w:style w:type="paragraph" w:customStyle="1" w:styleId="109">
    <w:name w:val="三级条标题"/>
    <w:basedOn w:val="110"/>
    <w:qFormat/>
    <w:uiPriority w:val="0"/>
    <w:pPr>
      <w:outlineLvl w:val="4"/>
    </w:pPr>
  </w:style>
  <w:style w:type="paragraph" w:customStyle="1" w:styleId="110">
    <w:name w:val="二级条标题"/>
    <w:basedOn w:val="111"/>
    <w:qFormat/>
    <w:uiPriority w:val="0"/>
    <w:pPr>
      <w:ind w:left="0"/>
      <w:outlineLvl w:val="3"/>
    </w:pPr>
  </w:style>
  <w:style w:type="paragraph" w:customStyle="1" w:styleId="111">
    <w:name w:val="一级条标题"/>
    <w:basedOn w:val="112"/>
    <w:qFormat/>
    <w:uiPriority w:val="0"/>
    <w:pPr>
      <w:ind w:left="525"/>
      <w:outlineLvl w:val="2"/>
    </w:pPr>
  </w:style>
  <w:style w:type="paragraph" w:customStyle="1" w:styleId="112">
    <w:name w:val="章标题"/>
    <w:qFormat/>
    <w:uiPriority w:val="0"/>
    <w:pPr>
      <w:jc w:val="both"/>
      <w:outlineLvl w:val="1"/>
    </w:pPr>
    <w:rPr>
      <w:rFonts w:ascii="黑体" w:hAnsi="Times New Roman" w:eastAsia="黑体" w:cs="Times New Roman"/>
      <w:sz w:val="21"/>
      <w:lang w:val="en-US" w:eastAsia="zh-CN" w:bidi="ar-SA"/>
    </w:rPr>
  </w:style>
  <w:style w:type="paragraph" w:customStyle="1" w:styleId="11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4">
    <w:name w:val="9"/>
    <w:qFormat/>
    <w:uiPriority w:val="0"/>
    <w:pPr>
      <w:widowControl w:val="0"/>
      <w:autoSpaceDE w:val="0"/>
      <w:autoSpaceDN w:val="0"/>
      <w:jc w:val="both"/>
    </w:pPr>
    <w:rPr>
      <w:rFonts w:ascii="宋体" w:hAnsi="Times New Roman" w:eastAsia="宋体" w:cs="Times New Roman"/>
      <w:b/>
      <w:bCs/>
      <w:color w:val="000000"/>
      <w:spacing w:val="15"/>
      <w:sz w:val="18"/>
      <w:szCs w:val="18"/>
      <w:lang w:val="en-US" w:eastAsia="zh-CN" w:bidi="ar-SA"/>
    </w:rPr>
  </w:style>
  <w:style w:type="paragraph" w:customStyle="1" w:styleId="115">
    <w:name w:val="aspnumfaautoadjustrightr"/>
    <w:qFormat/>
    <w:uiPriority w:val="0"/>
    <w:pPr>
      <w:widowControl w:val="0"/>
      <w:autoSpaceDE w:val="0"/>
      <w:autoSpaceDN w:val="0"/>
      <w:ind w:firstLine="720"/>
      <w:jc w:val="both"/>
    </w:pPr>
    <w:rPr>
      <w:rFonts w:ascii="Times New Roman" w:hAnsi="Times New Roman" w:eastAsia="宋体" w:cs="Times New Roman"/>
      <w:lang w:val="en-US" w:eastAsia="zh-CN" w:bidi="ar-SA"/>
    </w:rPr>
  </w:style>
  <w:style w:type="paragraph" w:customStyle="1" w:styleId="116">
    <w:name w:val="1 Char"/>
    <w:basedOn w:val="1"/>
    <w:qFormat/>
    <w:uiPriority w:val="0"/>
    <w:pPr>
      <w:tabs>
        <w:tab w:val="left" w:pos="432"/>
      </w:tabs>
      <w:ind w:left="432" w:hanging="432"/>
    </w:pPr>
    <w:rPr>
      <w:sz w:val="24"/>
    </w:rPr>
  </w:style>
  <w:style w:type="paragraph" w:customStyle="1" w:styleId="117">
    <w:name w:val="±íÑùÊ½"/>
    <w:basedOn w:val="1"/>
    <w:qFormat/>
    <w:uiPriority w:val="0"/>
    <w:pPr>
      <w:widowControl/>
      <w:overflowPunct w:val="0"/>
      <w:autoSpaceDE w:val="0"/>
      <w:autoSpaceDN w:val="0"/>
      <w:jc w:val="left"/>
    </w:pPr>
    <w:rPr>
      <w:rFonts w:ascii="Arial Narrow" w:hAnsi="Arial Narrow"/>
      <w:kern w:val="0"/>
      <w:sz w:val="18"/>
      <w:szCs w:val="20"/>
    </w:rPr>
  </w:style>
  <w:style w:type="paragraph" w:customStyle="1" w:styleId="118">
    <w:name w:val="Char2"/>
    <w:basedOn w:val="1"/>
    <w:qFormat/>
    <w:uiPriority w:val="0"/>
    <w:rPr>
      <w:rFonts w:ascii="仿宋_GB2312" w:eastAsia="仿宋_GB2312"/>
      <w:b/>
      <w:sz w:val="32"/>
      <w:szCs w:val="32"/>
    </w:rPr>
  </w:style>
  <w:style w:type="paragraph" w:customStyle="1" w:styleId="119">
    <w:name w:val="af17cgridlangnp1033langf"/>
    <w:qFormat/>
    <w:uiPriority w:val="0"/>
    <w:pPr>
      <w:widowControl w:val="0"/>
      <w:autoSpaceDE w:val="0"/>
      <w:autoSpaceDN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2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21">
    <w:name w:val="正文表标题"/>
    <w:qFormat/>
    <w:uiPriority w:val="0"/>
    <w:pPr>
      <w:ind w:left="3240"/>
      <w:jc w:val="center"/>
    </w:pPr>
    <w:rPr>
      <w:rFonts w:ascii="黑体" w:hAnsi="Times New Roman" w:eastAsia="黑体" w:cs="Times New Roman"/>
      <w:sz w:val="21"/>
      <w:lang w:val="en-US" w:eastAsia="zh-CN" w:bidi="ar-SA"/>
    </w:rPr>
  </w:style>
  <w:style w:type="paragraph" w:customStyle="1" w:styleId="122">
    <w:name w:val="样式 首行缩进:  2 字符"/>
    <w:basedOn w:val="1"/>
    <w:qFormat/>
    <w:uiPriority w:val="0"/>
    <w:pPr>
      <w:snapToGrid w:val="0"/>
      <w:spacing w:line="360" w:lineRule="auto"/>
    </w:pPr>
    <w:rPr>
      <w:rFonts w:ascii="仿宋_GB2312" w:hAnsi="宋体" w:eastAsia="仿宋_GB2312"/>
      <w:color w:val="000000"/>
      <w:kern w:val="0"/>
      <w:sz w:val="28"/>
      <w:szCs w:val="21"/>
    </w:rPr>
  </w:style>
  <w:style w:type="paragraph" w:customStyle="1" w:styleId="123">
    <w:name w:val="表文字"/>
    <w:qFormat/>
    <w:uiPriority w:val="0"/>
    <w:rPr>
      <w:rFonts w:ascii="宋体" w:hAnsi="Times New Roman" w:eastAsia="宋体" w:cs="Times New Roman"/>
      <w:kern w:val="2"/>
      <w:lang w:val="en-US" w:eastAsia="zh-CN" w:bidi="ar-SA"/>
    </w:rPr>
  </w:style>
  <w:style w:type="paragraph" w:customStyle="1" w:styleId="12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125">
    <w:name w:val="Char Char Char"/>
    <w:basedOn w:val="1"/>
    <w:qFormat/>
    <w:uiPriority w:val="0"/>
    <w:pPr>
      <w:tabs>
        <w:tab w:val="left" w:pos="0"/>
      </w:tabs>
    </w:pPr>
    <w:rPr>
      <w:rFonts w:eastAsia="仿宋_GB2312"/>
      <w:sz w:val="28"/>
    </w:rPr>
  </w:style>
  <w:style w:type="paragraph" w:customStyle="1" w:styleId="126">
    <w:name w:val="MM Topic 5"/>
    <w:basedOn w:val="8"/>
    <w:qFormat/>
    <w:uiPriority w:val="0"/>
    <w:pPr>
      <w:tabs>
        <w:tab w:val="clear" w:pos="1008"/>
      </w:tabs>
      <w:ind w:left="0" w:firstLine="0"/>
    </w:pPr>
  </w:style>
  <w:style w:type="paragraph" w:customStyle="1" w:styleId="127">
    <w:name w:val="四级条标题"/>
    <w:basedOn w:val="109"/>
    <w:qFormat/>
    <w:uiPriority w:val="0"/>
    <w:pPr>
      <w:outlineLvl w:val="5"/>
    </w:pPr>
  </w:style>
  <w:style w:type="paragraph" w:customStyle="1" w:styleId="128">
    <w:name w:val="彩色底纹 - 强调文字颜色 11"/>
    <w:qFormat/>
    <w:uiPriority w:val="0"/>
    <w:rPr>
      <w:rFonts w:ascii="Times New Roman" w:hAnsi="Times New Roman" w:eastAsia="宋体" w:cs="Times New Roman"/>
      <w:kern w:val="2"/>
      <w:sz w:val="21"/>
      <w:lang w:val="en-US" w:eastAsia="zh-CN" w:bidi="ar-SA"/>
    </w:rPr>
  </w:style>
  <w:style w:type="paragraph" w:customStyle="1" w:styleId="12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30">
    <w:name w:val="首行缩进"/>
    <w:basedOn w:val="1"/>
    <w:qFormat/>
    <w:uiPriority w:val="0"/>
    <w:pPr>
      <w:spacing w:line="360" w:lineRule="auto"/>
      <w:ind w:firstLine="480" w:firstLineChars="200"/>
    </w:pPr>
    <w:rPr>
      <w:rFonts w:ascii="宋体"/>
      <w:sz w:val="24"/>
      <w:szCs w:val="20"/>
    </w:rPr>
  </w:style>
  <w:style w:type="paragraph" w:customStyle="1" w:styleId="13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32">
    <w:name w:val="标题2def"/>
    <w:basedOn w:val="42"/>
    <w:qFormat/>
    <w:uiPriority w:val="0"/>
    <w:pPr>
      <w:snapToGrid w:val="0"/>
      <w:spacing w:before="160" w:after="200"/>
      <w:outlineLvl w:val="0"/>
    </w:pPr>
    <w:rPr>
      <w:rFonts w:hAnsi="宋体" w:eastAsia="仿宋_GB2312"/>
      <w:sz w:val="32"/>
    </w:rPr>
  </w:style>
  <w:style w:type="paragraph" w:customStyle="1" w:styleId="133">
    <w:name w:val="数字标题6"/>
    <w:basedOn w:val="9"/>
    <w:qFormat/>
    <w:uiPriority w:val="0"/>
    <w:pPr>
      <w:tabs>
        <w:tab w:val="clear" w:pos="1152"/>
      </w:tabs>
      <w:ind w:left="480" w:hanging="480"/>
    </w:pPr>
    <w:rPr>
      <w:rFonts w:ascii="Times New Roman" w:hAnsi="Times New Roman" w:eastAsia="宋体"/>
      <w:i/>
    </w:rPr>
  </w:style>
  <w:style w:type="paragraph" w:customStyle="1" w:styleId="134">
    <w:name w:val="Char Char Char Char Char Char Char"/>
    <w:basedOn w:val="1"/>
    <w:qFormat/>
    <w:uiPriority w:val="0"/>
    <w:pPr>
      <w:tabs>
        <w:tab w:val="left" w:pos="432"/>
      </w:tabs>
      <w:spacing w:line="360" w:lineRule="auto"/>
      <w:ind w:left="432" w:hanging="432"/>
    </w:pPr>
    <w:rPr>
      <w:rFonts w:ascii="仿宋_GB2312" w:eastAsia="仿宋_GB2312"/>
      <w:kern w:val="0"/>
      <w:sz w:val="24"/>
      <w:lang w:val="zh-CN"/>
    </w:rPr>
  </w:style>
  <w:style w:type="paragraph" w:customStyle="1" w:styleId="135">
    <w:name w:val="数字标题4"/>
    <w:basedOn w:val="7"/>
    <w:qFormat/>
    <w:uiPriority w:val="0"/>
    <w:pPr>
      <w:tabs>
        <w:tab w:val="clear" w:pos="864"/>
      </w:tabs>
      <w:spacing w:before="0" w:after="0" w:line="360" w:lineRule="auto"/>
      <w:ind w:left="1" w:firstLine="0"/>
    </w:pPr>
    <w:rPr>
      <w:rFonts w:eastAsia="仿宋_GB2312"/>
      <w:b w:val="0"/>
      <w:bCs w:val="0"/>
      <w:color w:val="000000"/>
      <w:kern w:val="0"/>
      <w:sz w:val="24"/>
      <w:szCs w:val="24"/>
      <w:lang w:val="en-US"/>
    </w:rPr>
  </w:style>
  <w:style w:type="paragraph" w:customStyle="1" w:styleId="136">
    <w:name w:val="标题五"/>
    <w:basedOn w:val="1"/>
    <w:qFormat/>
    <w:uiPriority w:val="0"/>
    <w:pPr>
      <w:spacing w:line="360" w:lineRule="auto"/>
    </w:pPr>
    <w:rPr>
      <w:b/>
      <w:sz w:val="24"/>
    </w:rPr>
  </w:style>
  <w:style w:type="paragraph" w:customStyle="1" w:styleId="13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38">
    <w:name w:val="标准有序列表（L1）"/>
    <w:basedOn w:val="14"/>
    <w:qFormat/>
    <w:uiPriority w:val="0"/>
    <w:pPr>
      <w:widowControl w:val="0"/>
      <w:tabs>
        <w:tab w:val="left" w:pos="0"/>
        <w:tab w:val="left" w:pos="992"/>
      </w:tabs>
      <w:snapToGrid/>
      <w:spacing w:line="360" w:lineRule="auto"/>
      <w:ind w:firstLine="0"/>
    </w:pPr>
    <w:rPr>
      <w:rFonts w:ascii="黑体" w:eastAsia="黑体"/>
      <w:kern w:val="2"/>
      <w:sz w:val="24"/>
    </w:rPr>
  </w:style>
  <w:style w:type="paragraph" w:customStyle="1" w:styleId="139">
    <w:name w:val="样式 标题 3标题 3 Char第二层条h33Bold Headbh章标题1小标题level_3PIM 3..."/>
    <w:basedOn w:val="6"/>
    <w:qFormat/>
    <w:uiPriority w:val="0"/>
    <w:pPr>
      <w:tabs>
        <w:tab w:val="clear" w:pos="720"/>
      </w:tabs>
      <w:snapToGrid w:val="0"/>
      <w:spacing w:before="0" w:after="0" w:line="360" w:lineRule="auto"/>
      <w:ind w:left="0" w:firstLine="0"/>
    </w:pPr>
    <w:rPr>
      <w:rFonts w:ascii="黑体" w:hAnsi="宋体" w:eastAsia="黑体"/>
      <w:b w:val="0"/>
      <w:bCs w:val="0"/>
      <w:color w:val="000000"/>
      <w:kern w:val="0"/>
      <w:sz w:val="28"/>
      <w:szCs w:val="20"/>
    </w:rPr>
  </w:style>
  <w:style w:type="paragraph" w:customStyle="1" w:styleId="140">
    <w:name w:val="Test2"/>
    <w:basedOn w:val="5"/>
    <w:qFormat/>
    <w:uiPriority w:val="0"/>
    <w:pPr>
      <w:widowControl/>
      <w:snapToGrid w:val="0"/>
      <w:spacing w:before="360" w:after="360" w:line="240" w:lineRule="atLeast"/>
      <w:jc w:val="left"/>
    </w:pPr>
    <w:rPr>
      <w:rFonts w:ascii="宋体" w:hAnsi="Arial" w:eastAsia="宋体"/>
      <w:kern w:val="0"/>
      <w:sz w:val="28"/>
      <w:szCs w:val="32"/>
      <w:lang w:val="en-US"/>
    </w:rPr>
  </w:style>
  <w:style w:type="paragraph" w:customStyle="1" w:styleId="141">
    <w:name w:val="数字标题2"/>
    <w:basedOn w:val="5"/>
    <w:qFormat/>
    <w:uiPriority w:val="0"/>
    <w:pPr>
      <w:tabs>
        <w:tab w:val="left" w:pos="480"/>
      </w:tabs>
      <w:spacing w:before="260" w:after="260" w:line="416" w:lineRule="auto"/>
      <w:ind w:left="480" w:hanging="480"/>
    </w:pPr>
    <w:rPr>
      <w:rFonts w:ascii="Times New Roman" w:eastAsia="宋体"/>
      <w:i/>
      <w:sz w:val="36"/>
      <w:szCs w:val="36"/>
      <w:lang w:val="en-US"/>
    </w:rPr>
  </w:style>
  <w:style w:type="paragraph" w:customStyle="1" w:styleId="142">
    <w:name w:val="数字标题5"/>
    <w:basedOn w:val="8"/>
    <w:qFormat/>
    <w:uiPriority w:val="0"/>
    <w:pPr>
      <w:tabs>
        <w:tab w:val="clear" w:pos="1008"/>
      </w:tabs>
      <w:ind w:left="480" w:hanging="480"/>
    </w:pPr>
  </w:style>
  <w:style w:type="paragraph" w:customStyle="1" w:styleId="143">
    <w:name w:val="默认段落字体 Para Char Char Char1 Char"/>
    <w:basedOn w:val="1"/>
    <w:qFormat/>
    <w:uiPriority w:val="0"/>
    <w:pPr>
      <w:spacing w:line="240" w:lineRule="atLeast"/>
      <w:ind w:left="420" w:firstLine="420"/>
    </w:pPr>
    <w:rPr>
      <w:sz w:val="24"/>
    </w:rPr>
  </w:style>
  <w:style w:type="paragraph" w:customStyle="1" w:styleId="144">
    <w:name w:val="正文段"/>
    <w:basedOn w:val="1"/>
    <w:qFormat/>
    <w:uiPriority w:val="0"/>
    <w:pPr>
      <w:widowControl/>
      <w:snapToGrid w:val="0"/>
      <w:ind w:firstLine="200" w:firstLineChars="200"/>
    </w:pPr>
    <w:rPr>
      <w:kern w:val="0"/>
      <w:sz w:val="24"/>
      <w:szCs w:val="20"/>
    </w:rPr>
  </w:style>
  <w:style w:type="paragraph" w:customStyle="1" w:styleId="145">
    <w:name w:val="列出段落111"/>
    <w:basedOn w:val="1"/>
    <w:qFormat/>
    <w:uiPriority w:val="0"/>
    <w:pPr>
      <w:ind w:firstLine="420" w:firstLineChars="200"/>
    </w:pPr>
  </w:style>
  <w:style w:type="paragraph" w:customStyle="1" w:styleId="146">
    <w:name w:val="标准书眉_奇数页"/>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7">
    <w:name w:val="Char Char1 Char Char Char Char Char Char"/>
    <w:basedOn w:val="1"/>
    <w:qFormat/>
    <w:uiPriority w:val="0"/>
    <w:rPr>
      <w:rFonts w:ascii="仿宋_GB2312" w:eastAsia="仿宋_GB2312"/>
      <w:b/>
      <w:sz w:val="32"/>
      <w:szCs w:val="20"/>
    </w:rPr>
  </w:style>
  <w:style w:type="paragraph" w:customStyle="1" w:styleId="148">
    <w:name w:val="Char Char1 Char Char1 Char Char1"/>
    <w:basedOn w:val="1"/>
    <w:qFormat/>
    <w:uiPriority w:val="0"/>
    <w:pPr>
      <w:tabs>
        <w:tab w:val="left" w:pos="840"/>
      </w:tabs>
      <w:ind w:left="840" w:hanging="420"/>
    </w:pPr>
    <w:rPr>
      <w:rFonts w:ascii="Tahoma" w:hAnsi="Tahoma"/>
      <w:sz w:val="24"/>
    </w:rPr>
  </w:style>
  <w:style w:type="paragraph" w:customStyle="1" w:styleId="149">
    <w:name w:val="默认段落字体 Para Char Char Char Char Char Char Char"/>
    <w:basedOn w:val="1"/>
    <w:qFormat/>
    <w:uiPriority w:val="0"/>
    <w:rPr>
      <w:rFonts w:eastAsia="仿宋_GB2312"/>
      <w:sz w:val="28"/>
      <w:szCs w:val="20"/>
    </w:rPr>
  </w:style>
  <w:style w:type="paragraph" w:customStyle="1" w:styleId="150">
    <w:name w:val="Char3"/>
    <w:basedOn w:val="1"/>
    <w:qFormat/>
    <w:uiPriority w:val="0"/>
    <w:rPr>
      <w:rFonts w:ascii="仿宋_GB2312" w:eastAsia="仿宋_GB2312"/>
      <w:b/>
      <w:sz w:val="32"/>
      <w:szCs w:val="32"/>
    </w:rPr>
  </w:style>
  <w:style w:type="paragraph" w:customStyle="1" w:styleId="151">
    <w:name w:val="Char Char1 Char Char Char"/>
    <w:basedOn w:val="1"/>
    <w:qFormat/>
    <w:uiPriority w:val="0"/>
    <w:rPr>
      <w:rFonts w:ascii="仿宋_GB2312" w:eastAsia="仿宋_GB2312"/>
      <w:b/>
      <w:sz w:val="32"/>
      <w:szCs w:val="32"/>
    </w:rPr>
  </w:style>
  <w:style w:type="paragraph" w:customStyle="1" w:styleId="152">
    <w:name w:val="正文首行缩进1"/>
    <w:basedOn w:val="20"/>
    <w:qFormat/>
    <w:uiPriority w:val="0"/>
    <w:pPr>
      <w:suppressAutoHyphens/>
      <w:spacing w:after="120" w:line="240" w:lineRule="auto"/>
      <w:ind w:firstLine="420"/>
      <w:jc w:val="left"/>
    </w:pPr>
    <w:rPr>
      <w:rFonts w:ascii="Times New Roman"/>
      <w:kern w:val="1"/>
      <w:sz w:val="28"/>
      <w:szCs w:val="24"/>
      <w:lang w:val="en-US" w:eastAsia="ar-SA"/>
    </w:rPr>
  </w:style>
  <w:style w:type="paragraph" w:customStyle="1" w:styleId="153">
    <w:name w:val="Char Char11"/>
    <w:basedOn w:val="1"/>
    <w:qFormat/>
    <w:uiPriority w:val="0"/>
    <w:pPr>
      <w:spacing w:line="360" w:lineRule="auto"/>
    </w:pPr>
    <w:rPr>
      <w:rFonts w:ascii="Tahoma" w:hAnsi="Tahoma"/>
      <w:sz w:val="24"/>
      <w:szCs w:val="20"/>
    </w:rPr>
  </w:style>
  <w:style w:type="paragraph" w:customStyle="1" w:styleId="154">
    <w:name w:val="列出段落[858D7CFB-ED40-4347-BF05-701D383B685F][858D7CFB-ED40-4347-BF05-701D383B685F]"/>
    <w:basedOn w:val="1"/>
    <w:qFormat/>
    <w:uiPriority w:val="0"/>
    <w:pPr>
      <w:ind w:firstLine="420" w:firstLineChars="200"/>
    </w:pPr>
    <w:rPr>
      <w:szCs w:val="21"/>
    </w:rPr>
  </w:style>
  <w:style w:type="paragraph" w:customStyle="1" w:styleId="155">
    <w:name w:val="正文 首行缩进:  2 字符 Char"/>
    <w:basedOn w:val="1"/>
    <w:qFormat/>
    <w:uiPriority w:val="0"/>
    <w:pPr>
      <w:spacing w:line="360" w:lineRule="auto"/>
      <w:ind w:firstLine="480"/>
    </w:pPr>
    <w:rPr>
      <w:sz w:val="24"/>
      <w:szCs w:val="20"/>
    </w:rPr>
  </w:style>
  <w:style w:type="paragraph" w:customStyle="1" w:styleId="156">
    <w:name w:val="Char2 Char Char Char"/>
    <w:basedOn w:val="1"/>
    <w:qFormat/>
    <w:uiPriority w:val="0"/>
    <w:rPr>
      <w:rFonts w:ascii="仿宋_GB2312" w:eastAsia="仿宋_GB2312"/>
      <w:b/>
      <w:sz w:val="32"/>
      <w:szCs w:val="32"/>
    </w:rPr>
  </w:style>
  <w:style w:type="paragraph" w:customStyle="1" w:styleId="15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58">
    <w:name w:val="缺省文本"/>
    <w:basedOn w:val="1"/>
    <w:qFormat/>
    <w:uiPriority w:val="0"/>
    <w:pPr>
      <w:autoSpaceDE w:val="0"/>
      <w:autoSpaceDN w:val="0"/>
      <w:jc w:val="left"/>
    </w:pPr>
    <w:rPr>
      <w:kern w:val="0"/>
      <w:sz w:val="24"/>
    </w:rPr>
  </w:style>
  <w:style w:type="paragraph" w:customStyle="1" w:styleId="159">
    <w:name w:val="Char1 Char Char Char1"/>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6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61">
    <w:name w:val="注释"/>
    <w:basedOn w:val="1"/>
    <w:qFormat/>
    <w:uiPriority w:val="0"/>
    <w:pPr>
      <w:spacing w:line="360" w:lineRule="auto"/>
      <w:ind w:firstLine="480"/>
    </w:pPr>
    <w:rPr>
      <w:sz w:val="24"/>
    </w:rPr>
  </w:style>
  <w:style w:type="paragraph" w:customStyle="1" w:styleId="16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3">
    <w:name w:val="Char"/>
    <w:basedOn w:val="1"/>
    <w:qFormat/>
    <w:uiPriority w:val="0"/>
    <w:rPr>
      <w:rFonts w:ascii="仿宋_GB2312" w:eastAsia="仿宋_GB2312"/>
      <w:b/>
      <w:sz w:val="32"/>
      <w:szCs w:val="32"/>
    </w:rPr>
  </w:style>
  <w:style w:type="paragraph" w:customStyle="1" w:styleId="164">
    <w:name w:val="a1"/>
    <w:basedOn w:val="1"/>
    <w:qFormat/>
    <w:uiPriority w:val="0"/>
    <w:pPr>
      <w:widowControl/>
      <w:spacing w:line="300" w:lineRule="atLeast"/>
      <w:jc w:val="left"/>
    </w:pPr>
    <w:rPr>
      <w:rFonts w:ascii="宋体" w:hAnsi="宋体"/>
      <w:kern w:val="0"/>
      <w:sz w:val="18"/>
      <w:szCs w:val="20"/>
    </w:rPr>
  </w:style>
  <w:style w:type="paragraph" w:customStyle="1" w:styleId="16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166">
    <w:name w:val="tabletext"/>
    <w:basedOn w:val="1"/>
    <w:qFormat/>
    <w:uiPriority w:val="0"/>
    <w:pPr>
      <w:widowControl/>
      <w:spacing w:before="100" w:beforeAutospacing="1" w:after="100" w:afterAutospacing="1"/>
      <w:jc w:val="left"/>
    </w:pPr>
    <w:rPr>
      <w:rFonts w:ascii="宋体" w:hAnsi="宋体"/>
      <w:kern w:val="0"/>
      <w:sz w:val="24"/>
    </w:rPr>
  </w:style>
  <w:style w:type="paragraph" w:customStyle="1" w:styleId="167">
    <w:name w:val="样式 标题 3H3 + 两端对齐"/>
    <w:basedOn w:val="6"/>
    <w:qFormat/>
    <w:uiPriority w:val="0"/>
    <w:pPr>
      <w:tabs>
        <w:tab w:val="clear" w:pos="720"/>
      </w:tabs>
      <w:spacing w:before="0" w:after="0" w:line="240" w:lineRule="auto"/>
      <w:ind w:left="0" w:firstLine="0"/>
      <w:jc w:val="left"/>
    </w:pPr>
    <w:rPr>
      <w:sz w:val="21"/>
      <w:szCs w:val="20"/>
    </w:rPr>
  </w:style>
  <w:style w:type="paragraph" w:customStyle="1" w:styleId="168">
    <w:name w:val="Char Char Char Char"/>
    <w:basedOn w:val="1"/>
    <w:qFormat/>
    <w:uiPriority w:val="0"/>
    <w:rPr>
      <w:rFonts w:ascii="Tahoma" w:hAnsi="Tahoma"/>
      <w:sz w:val="24"/>
      <w:szCs w:val="20"/>
    </w:rPr>
  </w:style>
  <w:style w:type="paragraph" w:customStyle="1" w:styleId="169">
    <w:name w:val="小标题"/>
    <w:basedOn w:val="1"/>
    <w:qFormat/>
    <w:uiPriority w:val="0"/>
    <w:pPr>
      <w:spacing w:before="120" w:line="360" w:lineRule="atLeast"/>
      <w:ind w:left="1134"/>
      <w:jc w:val="left"/>
    </w:pPr>
    <w:rPr>
      <w:rFonts w:eastAsia="黑体"/>
      <w:kern w:val="0"/>
      <w:szCs w:val="20"/>
    </w:rPr>
  </w:style>
  <w:style w:type="paragraph" w:customStyle="1" w:styleId="170">
    <w:name w:val="正文缩进1"/>
    <w:basedOn w:val="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171">
    <w:name w:val="单元格左对齐"/>
    <w:basedOn w:val="1"/>
    <w:qFormat/>
    <w:uiPriority w:val="0"/>
    <w:pPr>
      <w:spacing w:line="360" w:lineRule="auto"/>
    </w:pPr>
    <w:rPr>
      <w:sz w:val="24"/>
    </w:rPr>
  </w:style>
  <w:style w:type="paragraph" w:customStyle="1" w:styleId="172">
    <w:name w:val="Char Char Char1"/>
    <w:basedOn w:val="1"/>
    <w:qFormat/>
    <w:uiPriority w:val="0"/>
    <w:rPr>
      <w:rFonts w:ascii="Tahoma" w:hAnsi="Tahoma"/>
      <w:sz w:val="24"/>
      <w:szCs w:val="20"/>
    </w:rPr>
  </w:style>
  <w:style w:type="paragraph" w:customStyle="1" w:styleId="173">
    <w:name w:val="xl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24"/>
    </w:rPr>
  </w:style>
  <w:style w:type="paragraph" w:customStyle="1" w:styleId="174">
    <w:name w:val="pl"/>
    <w:basedOn w:val="1"/>
    <w:qFormat/>
    <w:uiPriority w:val="0"/>
    <w:pPr>
      <w:widowControl/>
      <w:tabs>
        <w:tab w:val="left" w:pos="1151"/>
        <w:tab w:val="left" w:pos="1985"/>
        <w:tab w:val="left" w:pos="8363"/>
        <w:tab w:val="decimal" w:pos="9639"/>
      </w:tabs>
      <w:jc w:val="left"/>
    </w:pPr>
    <w:rPr>
      <w:rFonts w:ascii="Verdana" w:hAnsi="Verdana"/>
      <w:bCs/>
      <w:color w:val="000000"/>
      <w:kern w:val="0"/>
      <w:sz w:val="22"/>
      <w:szCs w:val="20"/>
    </w:rPr>
  </w:style>
  <w:style w:type="paragraph" w:customStyle="1" w:styleId="175">
    <w:name w:val="Char Char Char Char Char Char Char1"/>
    <w:basedOn w:val="1"/>
    <w:qFormat/>
    <w:uiPriority w:val="0"/>
    <w:rPr>
      <w:rFonts w:ascii="仿宋_GB2312" w:eastAsia="仿宋_GB2312"/>
      <w:b/>
      <w:sz w:val="32"/>
      <w:szCs w:val="32"/>
    </w:rPr>
  </w:style>
  <w:style w:type="paragraph" w:customStyle="1" w:styleId="176">
    <w:name w:val="无间距"/>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7">
    <w:name w:val="MM Topic 4"/>
    <w:basedOn w:val="7"/>
    <w:qFormat/>
    <w:uiPriority w:val="0"/>
    <w:pPr>
      <w:tabs>
        <w:tab w:val="clear" w:pos="864"/>
      </w:tabs>
      <w:ind w:left="0" w:firstLine="0"/>
    </w:pPr>
    <w:rPr>
      <w:lang w:val="en-US"/>
    </w:rPr>
  </w:style>
  <w:style w:type="paragraph" w:customStyle="1" w:styleId="178">
    <w:name w:val="正文样式 首行缩进:  0.74 厘米"/>
    <w:basedOn w:val="1"/>
    <w:qFormat/>
    <w:uiPriority w:val="0"/>
    <w:pPr>
      <w:spacing w:line="360" w:lineRule="auto"/>
      <w:ind w:firstLine="420"/>
    </w:pPr>
    <w:rPr>
      <w:sz w:val="24"/>
      <w:szCs w:val="20"/>
    </w:rPr>
  </w:style>
  <w:style w:type="paragraph" w:customStyle="1" w:styleId="179">
    <w:name w:val="font5"/>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180">
    <w:name w:val="样式 左侧:  0.85 厘米 首行缩进:  0.85 厘米"/>
    <w:basedOn w:val="1"/>
    <w:qFormat/>
    <w:uiPriority w:val="0"/>
    <w:pPr>
      <w:spacing w:line="360" w:lineRule="auto"/>
      <w:ind w:firstLine="482"/>
    </w:pPr>
    <w:rPr>
      <w:sz w:val="24"/>
      <w:szCs w:val="20"/>
    </w:rPr>
  </w:style>
  <w:style w:type="paragraph" w:customStyle="1" w:styleId="181">
    <w:name w:val="五级条标题"/>
    <w:basedOn w:val="127"/>
    <w:qFormat/>
    <w:uiPriority w:val="0"/>
    <w:pPr>
      <w:outlineLvl w:val="6"/>
    </w:pPr>
  </w:style>
  <w:style w:type="paragraph" w:customStyle="1" w:styleId="182">
    <w:name w:val="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3">
    <w:name w:val="Char Char1 Char1"/>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8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85">
    <w:name w:val="Char Char Char Char Char Char Char Char Char Char1"/>
    <w:basedOn w:val="1"/>
    <w:qFormat/>
    <w:uiPriority w:val="0"/>
    <w:rPr>
      <w:rFonts w:ascii="仿宋_GB2312" w:eastAsia="仿宋_GB2312"/>
      <w:b/>
      <w:sz w:val="32"/>
      <w:szCs w:val="32"/>
    </w:rPr>
  </w:style>
  <w:style w:type="paragraph" w:customStyle="1" w:styleId="186">
    <w:name w:val="ÕýÎÄÊ×ÐÐËõ½ø"/>
    <w:basedOn w:val="1"/>
    <w:qFormat/>
    <w:uiPriority w:val="0"/>
    <w:pPr>
      <w:widowControl/>
      <w:overflowPunct w:val="0"/>
      <w:autoSpaceDE w:val="0"/>
      <w:autoSpaceDN w:val="0"/>
      <w:spacing w:line="360" w:lineRule="auto"/>
      <w:ind w:left="1134"/>
    </w:pPr>
    <w:rPr>
      <w:rFonts w:eastAsia="Times New Roman"/>
      <w:kern w:val="0"/>
      <w:szCs w:val="20"/>
    </w:rPr>
  </w:style>
  <w:style w:type="paragraph" w:customStyle="1" w:styleId="187">
    <w:name w:val="数字标题1"/>
    <w:basedOn w:val="4"/>
    <w:qFormat/>
    <w:uiPriority w:val="0"/>
    <w:pPr>
      <w:tabs>
        <w:tab w:val="clear" w:pos="432"/>
      </w:tabs>
      <w:ind w:left="480" w:hanging="480"/>
    </w:pPr>
  </w:style>
  <w:style w:type="paragraph" w:customStyle="1" w:styleId="188">
    <w:name w:val="正文文字表格居中"/>
    <w:basedOn w:val="1"/>
    <w:qFormat/>
    <w:uiPriority w:val="0"/>
    <w:pPr>
      <w:snapToGrid w:val="0"/>
      <w:spacing w:line="360" w:lineRule="auto"/>
    </w:pPr>
    <w:rPr>
      <w:rFonts w:ascii="宋体"/>
      <w:b/>
      <w:sz w:val="24"/>
      <w:szCs w:val="20"/>
    </w:rPr>
  </w:style>
  <w:style w:type="paragraph" w:customStyle="1" w:styleId="189">
    <w:name w:val="前言、引言标题"/>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90">
    <w:name w:val="Char Char1 Char Char Char1"/>
    <w:basedOn w:val="1"/>
    <w:qFormat/>
    <w:uiPriority w:val="0"/>
    <w:rPr>
      <w:rFonts w:ascii="仿宋_GB2312" w:eastAsia="仿宋_GB2312"/>
      <w:b/>
      <w:sz w:val="32"/>
      <w:szCs w:val="20"/>
    </w:rPr>
  </w:style>
  <w:style w:type="paragraph" w:customStyle="1" w:styleId="191">
    <w:name w:val="Char Char Char Char1"/>
    <w:basedOn w:val="1"/>
    <w:qFormat/>
    <w:uiPriority w:val="0"/>
    <w:pPr>
      <w:widowControl/>
      <w:spacing w:after="160" w:line="240" w:lineRule="exact"/>
      <w:jc w:val="left"/>
    </w:pPr>
    <w:rPr>
      <w:rFonts w:ascii="Arial" w:hAnsi="Arial" w:eastAsia="Times New Roman"/>
      <w:b/>
      <w:kern w:val="0"/>
      <w:sz w:val="24"/>
      <w:szCs w:val="20"/>
      <w:lang w:eastAsia="en-US"/>
    </w:rPr>
  </w:style>
  <w:style w:type="paragraph" w:customStyle="1" w:styleId="192">
    <w:name w:val="MM Topic 3"/>
    <w:basedOn w:val="6"/>
    <w:qFormat/>
    <w:uiPriority w:val="0"/>
    <w:pPr>
      <w:tabs>
        <w:tab w:val="clear" w:pos="720"/>
      </w:tabs>
      <w:ind w:left="0" w:firstLine="0"/>
    </w:pPr>
  </w:style>
  <w:style w:type="paragraph" w:customStyle="1" w:styleId="193">
    <w:name w:val="修订1"/>
    <w:qFormat/>
    <w:uiPriority w:val="0"/>
    <w:rPr>
      <w:rFonts w:ascii="Times New Roman" w:hAnsi="Times New Roman" w:eastAsia="宋体" w:cs="Times New Roman"/>
      <w:kern w:val="2"/>
      <w:sz w:val="21"/>
      <w:szCs w:val="24"/>
      <w:lang w:val="en-US" w:eastAsia="zh-CN" w:bidi="ar-SA"/>
    </w:rPr>
  </w:style>
  <w:style w:type="paragraph" w:customStyle="1" w:styleId="194">
    <w:name w:val="数字标题3"/>
    <w:basedOn w:val="6"/>
    <w:qFormat/>
    <w:uiPriority w:val="0"/>
    <w:pPr>
      <w:tabs>
        <w:tab w:val="clear" w:pos="720"/>
      </w:tabs>
      <w:spacing w:line="240" w:lineRule="auto"/>
      <w:ind w:left="0" w:firstLine="0"/>
    </w:pPr>
    <w:rPr>
      <w:sz w:val="28"/>
      <w:szCs w:val="28"/>
    </w:rPr>
  </w:style>
  <w:style w:type="paragraph" w:customStyle="1" w:styleId="195">
    <w:name w:val="MM Title"/>
    <w:basedOn w:val="42"/>
    <w:qFormat/>
    <w:uiPriority w:val="0"/>
    <w:pPr>
      <w:widowControl w:val="0"/>
      <w:spacing w:before="240" w:after="60"/>
      <w:outlineLvl w:val="0"/>
    </w:pPr>
    <w:rPr>
      <w:rFonts w:ascii="Arial" w:hAnsi="Arial"/>
      <w:bCs/>
      <w:kern w:val="2"/>
      <w:sz w:val="32"/>
      <w:szCs w:val="32"/>
    </w:rPr>
  </w:style>
  <w:style w:type="paragraph" w:customStyle="1" w:styleId="196">
    <w:name w:val="MM Topic 2"/>
    <w:basedOn w:val="5"/>
    <w:qFormat/>
    <w:uiPriority w:val="0"/>
    <w:pPr>
      <w:spacing w:before="260" w:after="260" w:line="416" w:lineRule="auto"/>
      <w:ind w:left="0" w:firstLine="0"/>
    </w:pPr>
    <w:rPr>
      <w:rFonts w:ascii="Arial" w:hAnsi="Arial" w:eastAsia="黑体"/>
      <w:sz w:val="32"/>
      <w:szCs w:val="32"/>
      <w:lang w:val="en-US"/>
    </w:rPr>
  </w:style>
  <w:style w:type="paragraph" w:customStyle="1" w:styleId="197">
    <w:name w:val="Char Char1"/>
    <w:basedOn w:val="1"/>
    <w:qFormat/>
    <w:uiPriority w:val="0"/>
    <w:pPr>
      <w:widowControl/>
      <w:spacing w:after="160" w:line="240" w:lineRule="exact"/>
      <w:jc w:val="left"/>
    </w:pPr>
    <w:rPr>
      <w:rFonts w:eastAsia="仿宋_GB2312"/>
      <w:sz w:val="28"/>
    </w:rPr>
  </w:style>
  <w:style w:type="paragraph" w:customStyle="1" w:styleId="1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9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00">
    <w:name w:val="Char4"/>
    <w:basedOn w:val="1"/>
    <w:qFormat/>
    <w:uiPriority w:val="0"/>
    <w:rPr>
      <w:rFonts w:ascii="仿宋_GB2312" w:eastAsia="仿宋_GB2312"/>
      <w:b/>
      <w:sz w:val="32"/>
      <w:szCs w:val="32"/>
    </w:rPr>
  </w:style>
  <w:style w:type="paragraph" w:customStyle="1" w:styleId="201">
    <w:name w:val="MM Topic 1"/>
    <w:basedOn w:val="4"/>
    <w:qFormat/>
    <w:uiPriority w:val="0"/>
    <w:pPr>
      <w:tabs>
        <w:tab w:val="clear" w:pos="432"/>
      </w:tabs>
      <w:ind w:left="0" w:firstLine="0"/>
    </w:pPr>
  </w:style>
  <w:style w:type="paragraph" w:customStyle="1" w:styleId="202">
    <w:name w:val="xl25"/>
    <w:basedOn w:val="1"/>
    <w:qFormat/>
    <w:uiPriority w:val="0"/>
    <w:pPr>
      <w:widowControl/>
      <w:spacing w:before="100" w:beforeAutospacing="1" w:after="100" w:afterAutospacing="1"/>
      <w:jc w:val="center"/>
    </w:pPr>
    <w:rPr>
      <w:rFonts w:hint="eastAsia" w:ascii="楷体_GB2312" w:hAnsi="宋体" w:eastAsia="楷体_GB2312"/>
      <w:kern w:val="0"/>
      <w:sz w:val="24"/>
    </w:rPr>
  </w:style>
  <w:style w:type="paragraph" w:customStyle="1" w:styleId="203">
    <w:name w:val="列出段落11"/>
    <w:basedOn w:val="1"/>
    <w:qFormat/>
    <w:uiPriority w:val="0"/>
    <w:pPr>
      <w:ind w:firstLine="420" w:firstLineChars="200"/>
    </w:pPr>
  </w:style>
  <w:style w:type="paragraph" w:customStyle="1" w:styleId="204">
    <w:name w:val="0"/>
    <w:basedOn w:val="1"/>
    <w:qFormat/>
    <w:uiPriority w:val="0"/>
    <w:pPr>
      <w:widowControl/>
    </w:pPr>
    <w:rPr>
      <w:kern w:val="0"/>
      <w:sz w:val="24"/>
      <w:szCs w:val="20"/>
    </w:rPr>
  </w:style>
  <w:style w:type="paragraph" w:customStyle="1" w:styleId="20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06">
    <w:name w:val="MM Empty"/>
    <w:basedOn w:val="1"/>
    <w:qFormat/>
    <w:uiPriority w:val="0"/>
  </w:style>
  <w:style w:type="paragraph" w:customStyle="1" w:styleId="207">
    <w:name w:val="Char2 Char Char Char1"/>
    <w:basedOn w:val="1"/>
    <w:qFormat/>
    <w:uiPriority w:val="0"/>
    <w:rPr>
      <w:rFonts w:ascii="仿宋_GB2312" w:eastAsia="仿宋_GB2312"/>
      <w:b/>
      <w:sz w:val="32"/>
      <w:szCs w:val="32"/>
    </w:rPr>
  </w:style>
  <w:style w:type="paragraph" w:customStyle="1" w:styleId="208">
    <w:name w:val="文档正文"/>
    <w:basedOn w:val="1"/>
    <w:qFormat/>
    <w:uiPriority w:val="0"/>
    <w:pPr>
      <w:spacing w:line="480" w:lineRule="atLeast"/>
      <w:ind w:firstLine="567"/>
    </w:pPr>
    <w:rPr>
      <w:kern w:val="0"/>
      <w:sz w:val="24"/>
      <w:szCs w:val="20"/>
    </w:rPr>
  </w:style>
  <w:style w:type="paragraph" w:customStyle="1" w:styleId="209">
    <w:name w:val="Char3 Char Char"/>
    <w:basedOn w:val="1"/>
    <w:qFormat/>
    <w:uiPriority w:val="0"/>
    <w:pPr>
      <w:widowControl/>
      <w:spacing w:after="160" w:line="240" w:lineRule="exact"/>
      <w:jc w:val="left"/>
    </w:pPr>
    <w:rPr>
      <w:rFonts w:ascii="Arial" w:hAnsi="Arial" w:eastAsia="Times New Roman"/>
      <w:b/>
      <w:kern w:val="0"/>
      <w:sz w:val="24"/>
      <w:szCs w:val="20"/>
      <w:lang w:eastAsia="en-US"/>
    </w:rPr>
  </w:style>
  <w:style w:type="paragraph" w:customStyle="1" w:styleId="210">
    <w:name w:val="Char Char Char Char Char Char Char Char"/>
    <w:basedOn w:val="1"/>
    <w:qFormat/>
    <w:uiPriority w:val="0"/>
    <w:pPr>
      <w:tabs>
        <w:tab w:val="left" w:pos="360"/>
      </w:tabs>
    </w:pPr>
    <w:rPr>
      <w:sz w:val="24"/>
      <w:szCs w:val="20"/>
    </w:rPr>
  </w:style>
  <w:style w:type="paragraph" w:customStyle="1" w:styleId="211">
    <w:name w:val="此正文"/>
    <w:basedOn w:val="1"/>
    <w:qFormat/>
    <w:uiPriority w:val="0"/>
    <w:pPr>
      <w:spacing w:line="360" w:lineRule="auto"/>
      <w:ind w:firstLine="200" w:firstLineChars="200"/>
    </w:pPr>
    <w:rPr>
      <w:sz w:val="24"/>
    </w:rPr>
  </w:style>
  <w:style w:type="paragraph" w:customStyle="1" w:styleId="212">
    <w:name w:val="Char Char Char Char Char Char Char Char Char Char Char Char1 Char"/>
    <w:basedOn w:val="1"/>
    <w:qFormat/>
    <w:uiPriority w:val="0"/>
    <w:rPr>
      <w:rFonts w:ascii="Tahoma" w:hAnsi="Tahoma"/>
      <w:sz w:val="24"/>
      <w:szCs w:val="20"/>
    </w:rPr>
  </w:style>
  <w:style w:type="paragraph" w:customStyle="1" w:styleId="213">
    <w:name w:val="样式 正文文本缩进 2 + 仿宋_GB2312 黑色 行距: 1.5 倍行距"/>
    <w:basedOn w:val="28"/>
    <w:qFormat/>
    <w:uiPriority w:val="0"/>
    <w:pPr>
      <w:ind w:firstLine="560" w:firstLineChars="200"/>
    </w:pPr>
    <w:rPr>
      <w:rFonts w:hAnsi="宋体"/>
      <w:color w:val="000000"/>
      <w:kern w:val="2"/>
      <w:sz w:val="24"/>
    </w:rPr>
  </w:style>
  <w:style w:type="paragraph" w:customStyle="1" w:styleId="214">
    <w:name w:val="单元格居中"/>
    <w:basedOn w:val="1"/>
    <w:qFormat/>
    <w:uiPriority w:val="0"/>
    <w:pPr>
      <w:spacing w:line="360" w:lineRule="auto"/>
      <w:jc w:val="center"/>
    </w:pPr>
    <w:rPr>
      <w:sz w:val="24"/>
    </w:rPr>
  </w:style>
  <w:style w:type="paragraph" w:customStyle="1" w:styleId="215">
    <w:name w:val="Char Char Char Char Char Char"/>
    <w:basedOn w:val="1"/>
    <w:qFormat/>
    <w:uiPriority w:val="0"/>
    <w:pPr>
      <w:widowControl/>
      <w:spacing w:line="240" w:lineRule="exact"/>
      <w:jc w:val="left"/>
    </w:pPr>
    <w:rPr>
      <w:rFonts w:ascii="Verdana" w:hAnsi="Verdana"/>
      <w:kern w:val="0"/>
      <w:sz w:val="20"/>
      <w:szCs w:val="20"/>
      <w:lang w:eastAsia="en-US"/>
    </w:rPr>
  </w:style>
  <w:style w:type="paragraph" w:customStyle="1" w:styleId="216">
    <w:name w:val="_Style 3"/>
    <w:basedOn w:val="1"/>
    <w:qFormat/>
    <w:uiPriority w:val="0"/>
    <w:pPr>
      <w:ind w:firstLine="420" w:firstLineChars="200"/>
    </w:pPr>
    <w:rPr>
      <w:rFonts w:ascii="Calibri" w:hAnsi="Calibri"/>
    </w:rPr>
  </w:style>
  <w:style w:type="character" w:customStyle="1" w:styleId="217">
    <w:name w:val="正文文本 Char"/>
    <w:qFormat/>
    <w:uiPriority w:val="0"/>
    <w:rPr>
      <w:rFonts w:eastAsia="宋体"/>
      <w:kern w:val="2"/>
      <w:sz w:val="24"/>
      <w:szCs w:val="24"/>
      <w:lang w:val="en-US" w:eastAsia="zh-CN" w:bidi="ar-SA"/>
    </w:rPr>
  </w:style>
  <w:style w:type="character" w:customStyle="1" w:styleId="218">
    <w:name w:val="hui3"/>
    <w:qFormat/>
    <w:uiPriority w:val="0"/>
    <w:rPr>
      <w:color w:val="333333"/>
    </w:rPr>
  </w:style>
  <w:style w:type="character" w:customStyle="1" w:styleId="219">
    <w:name w:val="页脚 Char"/>
    <w:qFormat/>
    <w:uiPriority w:val="0"/>
    <w:rPr>
      <w:rFonts w:eastAsia="仿宋_GB2312"/>
      <w:kern w:val="2"/>
      <w:sz w:val="18"/>
      <w:lang w:val="en-US" w:eastAsia="zh-CN"/>
    </w:rPr>
  </w:style>
  <w:style w:type="character" w:customStyle="1" w:styleId="220">
    <w:name w:val="Char Char"/>
    <w:qFormat/>
    <w:uiPriority w:val="0"/>
    <w:rPr>
      <w:rFonts w:ascii="宋体" w:hAnsi="Courier New" w:eastAsia="宋体"/>
      <w:kern w:val="2"/>
      <w:sz w:val="21"/>
      <w:lang w:val="en-US" w:eastAsia="zh-CN" w:bidi="ar-SA"/>
    </w:rPr>
  </w:style>
  <w:style w:type="character" w:customStyle="1" w:styleId="221">
    <w:name w:val="页眉 Char"/>
    <w:qFormat/>
    <w:uiPriority w:val="0"/>
    <w:rPr>
      <w:rFonts w:eastAsia="仿宋_GB2312"/>
      <w:kern w:val="2"/>
      <w:sz w:val="18"/>
      <w:lang w:val="en-US" w:eastAsia="zh-CN"/>
    </w:rPr>
  </w:style>
  <w:style w:type="character" w:customStyle="1" w:styleId="222">
    <w:name w:val="Char Char8"/>
    <w:qFormat/>
    <w:uiPriority w:val="0"/>
    <w:rPr>
      <w:rFonts w:eastAsia="宋体"/>
      <w:b/>
      <w:sz w:val="24"/>
      <w:lang w:eastAsia="zh-CN"/>
    </w:rPr>
  </w:style>
  <w:style w:type="character" w:customStyle="1" w:styleId="223">
    <w:name w:val="普通文字 Char Char1"/>
    <w:qFormat/>
    <w:uiPriority w:val="0"/>
    <w:rPr>
      <w:rFonts w:ascii="宋体" w:hAnsi="Courier New"/>
      <w:kern w:val="2"/>
      <w:sz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md"/>
    <w:basedOn w:val="48"/>
    <w:qFormat/>
    <w:uiPriority w:val="0"/>
  </w:style>
  <w:style w:type="character" w:customStyle="1" w:styleId="226">
    <w:name w:val="style6"/>
    <w:basedOn w:val="48"/>
    <w:qFormat/>
    <w:uiPriority w:val="0"/>
  </w:style>
  <w:style w:type="character" w:customStyle="1" w:styleId="227">
    <w:name w:val="unnamed11"/>
    <w:qFormat/>
    <w:uiPriority w:val="0"/>
    <w:rPr>
      <w:sz w:val="20"/>
      <w:szCs w:val="20"/>
    </w:rPr>
  </w:style>
  <w:style w:type="character" w:customStyle="1" w:styleId="228">
    <w:name w:val="纯文本 Char Char Char"/>
    <w:qFormat/>
    <w:uiPriority w:val="0"/>
    <w:rPr>
      <w:rFonts w:ascii="宋体" w:hAnsi="Courier New" w:eastAsia="宋体"/>
      <w:kern w:val="2"/>
      <w:sz w:val="21"/>
      <w:lang w:val="en-US" w:eastAsia="zh-CN" w:bidi="ar-SA"/>
    </w:rPr>
  </w:style>
  <w:style w:type="character" w:customStyle="1" w:styleId="229">
    <w:name w:val="Ò³Ã¼ Char Char"/>
    <w:qFormat/>
    <w:uiPriority w:val="0"/>
    <w:rPr>
      <w:rFonts w:eastAsia="宋体"/>
      <w:kern w:val="2"/>
      <w:sz w:val="18"/>
      <w:lang w:val="en-US" w:eastAsia="zh-CN" w:bidi="ar-SA"/>
    </w:rPr>
  </w:style>
  <w:style w:type="character" w:customStyle="1" w:styleId="230">
    <w:name w:val="hui"/>
    <w:basedOn w:val="48"/>
    <w:qFormat/>
    <w:uiPriority w:val="0"/>
  </w:style>
  <w:style w:type="character" w:customStyle="1" w:styleId="231">
    <w:name w:val="正文缩进 Char"/>
    <w:qFormat/>
    <w:uiPriority w:val="0"/>
    <w:rPr>
      <w:rFonts w:eastAsia="宋体"/>
      <w:kern w:val="2"/>
      <w:sz w:val="21"/>
      <w:lang w:val="en-US" w:eastAsia="zh-CN"/>
    </w:rPr>
  </w:style>
  <w:style w:type="character" w:customStyle="1" w:styleId="232">
    <w:name w:val="style36"/>
    <w:basedOn w:val="48"/>
    <w:qFormat/>
    <w:uiPriority w:val="0"/>
  </w:style>
  <w:style w:type="character" w:customStyle="1" w:styleId="233">
    <w:name w:val="标题 2 Char"/>
    <w:qFormat/>
    <w:uiPriority w:val="0"/>
    <w:rPr>
      <w:rFonts w:ascii="Arial" w:hAnsi="Arial" w:eastAsia="黑体"/>
      <w:b/>
      <w:kern w:val="2"/>
      <w:sz w:val="32"/>
      <w:lang w:val="en-US" w:eastAsia="zh-CN"/>
    </w:rPr>
  </w:style>
  <w:style w:type="character" w:customStyle="1" w:styleId="234">
    <w:name w:val="hei16b1"/>
    <w:qFormat/>
    <w:uiPriority w:val="0"/>
    <w:rPr>
      <w:rFonts w:ascii="Arial" w:hAnsi="Arial"/>
      <w:b/>
      <w:bCs/>
      <w:color w:val="000000"/>
      <w:sz w:val="24"/>
      <w:szCs w:val="24"/>
    </w:rPr>
  </w:style>
  <w:style w:type="character" w:customStyle="1" w:styleId="235">
    <w:name w:val="普通文字 Char1"/>
    <w:qFormat/>
    <w:uiPriority w:val="0"/>
    <w:rPr>
      <w:rFonts w:ascii="宋体" w:hAnsi="Courier New" w:eastAsia="宋体"/>
      <w:kern w:val="2"/>
      <w:sz w:val="21"/>
      <w:lang w:val="en-US" w:eastAsia="zh-CN"/>
    </w:rPr>
  </w:style>
  <w:style w:type="character" w:customStyle="1" w:styleId="236">
    <w:name w:val="Footer-Even Char"/>
    <w:qFormat/>
    <w:uiPriority w:val="0"/>
    <w:rPr>
      <w:rFonts w:eastAsia="宋体"/>
      <w:kern w:val="2"/>
      <w:sz w:val="18"/>
      <w:lang w:val="en-US" w:eastAsia="zh-CN" w:bidi="ar-SA"/>
    </w:rPr>
  </w:style>
  <w:style w:type="character" w:customStyle="1" w:styleId="237">
    <w:name w:val="shadow11"/>
    <w:qFormat/>
    <w:uiPriority w:val="0"/>
    <w:rPr>
      <w:color w:val="000000"/>
      <w:sz w:val="21"/>
    </w:rPr>
  </w:style>
  <w:style w:type="character" w:customStyle="1" w:styleId="238">
    <w:name w:val="font21"/>
    <w:qFormat/>
    <w:uiPriority w:val="0"/>
    <w:rPr>
      <w:rFonts w:hint="eastAsia" w:ascii="宋体" w:hAnsi="宋体" w:eastAsia="宋体"/>
      <w:kern w:val="2"/>
      <w:sz w:val="28"/>
      <w:szCs w:val="28"/>
      <w:lang w:val="en-US" w:eastAsia="zh-CN" w:bidi="ar-SA"/>
    </w:rPr>
  </w:style>
  <w:style w:type="character" w:customStyle="1" w:styleId="239">
    <w:name w:val="Normal Indent Char Char"/>
    <w:qFormat/>
    <w:uiPriority w:val="0"/>
    <w:rPr>
      <w:rFonts w:eastAsia="宋体"/>
      <w:kern w:val="2"/>
      <w:sz w:val="21"/>
      <w:lang w:val="en-US" w:eastAsia="zh-CN" w:bidi="ar-SA"/>
    </w:rPr>
  </w:style>
  <w:style w:type="character" w:customStyle="1" w:styleId="240">
    <w:name w:val="style91"/>
    <w:qFormat/>
    <w:uiPriority w:val="0"/>
    <w:rPr>
      <w:color w:val="333333"/>
    </w:rPr>
  </w:style>
  <w:style w:type="character" w:customStyle="1" w:styleId="241">
    <w:name w:val="正文非缩进 Char"/>
    <w:qFormat/>
    <w:uiPriority w:val="0"/>
    <w:rPr>
      <w:rFonts w:ascii="宋体" w:eastAsia="宋体"/>
      <w:color w:val="000000"/>
      <w:kern w:val="28"/>
      <w:sz w:val="28"/>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gray6"/>
    <w:basedOn w:val="48"/>
    <w:qFormat/>
    <w:uiPriority w:val="0"/>
  </w:style>
  <w:style w:type="character" w:customStyle="1" w:styleId="244">
    <w:name w:val="h3 Char"/>
    <w:qFormat/>
    <w:uiPriority w:val="0"/>
    <w:rPr>
      <w:rFonts w:eastAsia="宋体"/>
      <w:b/>
      <w:kern w:val="2"/>
      <w:sz w:val="32"/>
      <w:lang w:val="en-US" w:eastAsia="zh-CN" w:bidi="ar-SA"/>
    </w:rPr>
  </w:style>
  <w:style w:type="character" w:customStyle="1" w:styleId="245">
    <w:name w:val="dandyren_title1"/>
    <w:qFormat/>
    <w:uiPriority w:val="0"/>
    <w:rPr>
      <w:b/>
      <w:bCs/>
      <w:color w:val="FF6633"/>
      <w:sz w:val="18"/>
      <w:szCs w:val="18"/>
    </w:rPr>
  </w:style>
  <w:style w:type="character" w:customStyle="1" w:styleId="246">
    <w:name w:val="blue1"/>
    <w:basedOn w:val="48"/>
    <w:qFormat/>
    <w:uiPriority w:val="0"/>
  </w:style>
  <w:style w:type="character" w:customStyle="1" w:styleId="247">
    <w:name w:val="pt141"/>
    <w:qFormat/>
    <w:uiPriority w:val="0"/>
    <w:rPr>
      <w:color w:val="330066"/>
      <w:sz w:val="22"/>
      <w:szCs w:val="22"/>
    </w:rPr>
  </w:style>
  <w:style w:type="character" w:customStyle="1" w:styleId="248">
    <w:name w:val="style5"/>
    <w:basedOn w:val="48"/>
    <w:qFormat/>
    <w:uiPriority w:val="0"/>
  </w:style>
  <w:style w:type="character" w:customStyle="1" w:styleId="249">
    <w:name w:val="普通文字 Char1 Char"/>
    <w:qFormat/>
    <w:uiPriority w:val="0"/>
    <w:rPr>
      <w:rFonts w:ascii="宋体" w:hAnsi="Courier New" w:eastAsia="宋体"/>
      <w:kern w:val="2"/>
      <w:sz w:val="21"/>
      <w:szCs w:val="24"/>
      <w:lang w:val="en-US" w:eastAsia="zh-CN" w:bidi="ar-SA"/>
    </w:rPr>
  </w:style>
  <w:style w:type="character" w:customStyle="1" w:styleId="250">
    <w:name w:val="large1"/>
    <w:qFormat/>
    <w:uiPriority w:val="0"/>
    <w:rPr>
      <w:rFonts w:hint="eastAsia" w:ascii="宋体" w:hAnsi="宋体" w:eastAsia="宋体"/>
      <w:sz w:val="21"/>
      <w:szCs w:val="21"/>
    </w:rPr>
  </w:style>
  <w:style w:type="character" w:customStyle="1" w:styleId="25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252">
    <w:name w:val="Char Char5"/>
    <w:qFormat/>
    <w:uiPriority w:val="0"/>
    <w:rPr>
      <w:rFonts w:ascii="宋体" w:hAnsi="Courier New" w:eastAsia="宋体"/>
      <w:kern w:val="2"/>
      <w:sz w:val="21"/>
      <w:lang w:val="en-US" w:eastAsia="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28</Pages>
  <Words>15723</Words>
  <Characters>16584</Characters>
  <Lines>138</Lines>
  <Paragraphs>38</Paragraphs>
  <TotalTime>93</TotalTime>
  <ScaleCrop>false</ScaleCrop>
  <LinksUpToDate>false</LinksUpToDate>
  <CharactersWithSpaces>17375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2023-05-21T19:33:00Z</dcterms:created>
  <dc:creator>WPS Office</dc:creator>
  <cp:lastModifiedBy>9960</cp:lastModifiedBy>
  <cp:lastPrinted>2025-02-24T11:31:00Z</cp:lastPrinted>
  <dcterms:modified xsi:type="dcterms:W3CDTF">2025-02-24T06:07:54Z</dcterms:modified>
  <dc:title>杭州住房公积金管理中心</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2760EAECD84C4B519554A7E9616D195B_13</vt:lpwstr>
  </property>
  <property fmtid="{D5CDD505-2E9C-101B-9397-08002B2CF9AE}" pid="4" name="KSOTemplateDocerSaveRecord">
    <vt:lpwstr>eyJoZGlkIjoiNWViZjYwY2I1YzE2ZTk1MjE4MmM5MjkwZTdlYzYyY2YiLCJ1c2VySWQiOiIyODQ2NzM4MTcifQ==</vt:lpwstr>
  </property>
</Properties>
</file>