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AA063">
      <w:pPr>
        <w:pStyle w:val="11"/>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hAnsi="宋体" w:cs="宋体"/>
          <w:b/>
          <w:color w:val="auto"/>
          <w:spacing w:val="-6"/>
          <w:sz w:val="40"/>
          <w:szCs w:val="40"/>
          <w:highlight w:val="none"/>
          <w:lang w:eastAsia="zh-CN"/>
        </w:rPr>
      </w:pPr>
      <w:r>
        <w:rPr>
          <w:rFonts w:hint="eastAsia" w:hAnsi="宋体" w:cs="宋体"/>
          <w:b/>
          <w:color w:val="auto"/>
          <w:spacing w:val="-6"/>
          <w:sz w:val="40"/>
          <w:szCs w:val="40"/>
          <w:highlight w:val="none"/>
          <w:lang w:eastAsia="zh-CN"/>
        </w:rPr>
        <w:t>台州市住房公积金管理中心天台分中心2025年</w:t>
      </w:r>
    </w:p>
    <w:p w14:paraId="03ED6E78">
      <w:pPr>
        <w:pStyle w:val="11"/>
        <w:keepNext w:val="0"/>
        <w:keepLines w:val="0"/>
        <w:pageBreakBefore w:val="0"/>
        <w:widowControl w:val="0"/>
        <w:kinsoku/>
        <w:wordWrap/>
        <w:overflowPunct/>
        <w:topLinePunct w:val="0"/>
        <w:autoSpaceDE/>
        <w:autoSpaceDN/>
        <w:bidi w:val="0"/>
        <w:adjustRightInd/>
        <w:snapToGrid/>
        <w:spacing w:line="780" w:lineRule="exact"/>
        <w:jc w:val="center"/>
        <w:textAlignment w:val="auto"/>
        <w:rPr>
          <w:rFonts w:hint="eastAsia" w:hAnsi="宋体" w:cs="宋体"/>
          <w:b/>
          <w:color w:val="auto"/>
          <w:spacing w:val="-6"/>
          <w:sz w:val="40"/>
          <w:szCs w:val="40"/>
          <w:highlight w:val="none"/>
          <w:lang w:eastAsia="zh-CN"/>
        </w:rPr>
      </w:pPr>
      <w:r>
        <w:rPr>
          <w:rFonts w:hint="eastAsia" w:hAnsi="宋体" w:cs="宋体"/>
          <w:b/>
          <w:color w:val="auto"/>
          <w:spacing w:val="-6"/>
          <w:sz w:val="40"/>
          <w:szCs w:val="40"/>
          <w:highlight w:val="none"/>
          <w:lang w:eastAsia="zh-CN"/>
        </w:rPr>
        <w:t>第一期资金竞争性存放招标（第二次）</w:t>
      </w:r>
    </w:p>
    <w:p w14:paraId="475A3B26">
      <w:pPr>
        <w:pStyle w:val="11"/>
        <w:rPr>
          <w:rFonts w:hint="eastAsia" w:ascii="宋体" w:hAnsi="宋体" w:eastAsia="宋体" w:cs="宋体"/>
          <w:color w:val="auto"/>
          <w:sz w:val="44"/>
          <w:szCs w:val="44"/>
          <w:highlight w:val="none"/>
        </w:rPr>
      </w:pPr>
    </w:p>
    <w:p w14:paraId="21E85796">
      <w:pPr>
        <w:rPr>
          <w:rFonts w:hint="eastAsia"/>
          <w:color w:val="auto"/>
          <w:highlight w:val="none"/>
        </w:rPr>
      </w:pPr>
    </w:p>
    <w:p w14:paraId="158CE0D5">
      <w:pPr>
        <w:jc w:val="center"/>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采购文件</w:t>
      </w:r>
    </w:p>
    <w:p w14:paraId="238EC567">
      <w:pPr>
        <w:pStyle w:val="3"/>
        <w:rPr>
          <w:rFonts w:hint="eastAsia" w:ascii="宋体" w:hAnsi="宋体" w:eastAsia="宋体" w:cs="宋体"/>
          <w:color w:val="auto"/>
          <w:sz w:val="44"/>
          <w:szCs w:val="44"/>
          <w:highlight w:val="none"/>
        </w:rPr>
      </w:pPr>
    </w:p>
    <w:p w14:paraId="33C01C70">
      <w:pPr>
        <w:jc w:val="center"/>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lang w:eastAsia="zh-CN"/>
        </w:rPr>
        <w:t>CTZB-2025060353A</w:t>
      </w:r>
    </w:p>
    <w:p w14:paraId="3B8E1A18">
      <w:pPr>
        <w:spacing w:line="240" w:lineRule="exact"/>
        <w:ind w:left="1145"/>
        <w:rPr>
          <w:rFonts w:hint="eastAsia" w:ascii="宋体" w:hAnsi="宋体" w:eastAsia="宋体" w:cs="宋体"/>
          <w:b/>
          <w:bCs/>
          <w:color w:val="auto"/>
          <w:sz w:val="21"/>
          <w:szCs w:val="21"/>
          <w:highlight w:val="none"/>
        </w:rPr>
      </w:pPr>
    </w:p>
    <w:p w14:paraId="167502D5">
      <w:pPr>
        <w:pStyle w:val="8"/>
        <w:jc w:val="center"/>
        <w:rPr>
          <w:rFonts w:hint="eastAsia"/>
          <w:color w:val="auto"/>
          <w:highlight w:val="none"/>
        </w:rPr>
      </w:pPr>
      <w:r>
        <w:rPr>
          <w:rFonts w:hint="eastAsia" w:eastAsia="宋体"/>
          <w:color w:val="auto"/>
          <w:highlight w:val="none"/>
          <w:lang w:eastAsia="zh-CN"/>
        </w:rPr>
        <w:drawing>
          <wp:inline distT="0" distB="0" distL="0" distR="0">
            <wp:extent cx="2419350" cy="1858010"/>
            <wp:effectExtent l="0" t="0" r="0" b="0"/>
            <wp:docPr id="1026" name="图片 3" descr="微信图片_20210712174848"/>
            <wp:cNvGraphicFramePr/>
            <a:graphic xmlns:a="http://schemas.openxmlformats.org/drawingml/2006/main">
              <a:graphicData uri="http://schemas.openxmlformats.org/drawingml/2006/picture">
                <pic:pic xmlns:pic="http://schemas.openxmlformats.org/drawingml/2006/picture">
                  <pic:nvPicPr>
                    <pic:cNvPr id="1026" name="图片 3" descr="微信图片_20210712174848"/>
                    <pic:cNvPicPr/>
                  </pic:nvPicPr>
                  <pic:blipFill>
                    <a:blip r:embed="rId12" cstate="print"/>
                    <a:srcRect l="24455" t="11993" r="24455" b="11589"/>
                    <a:stretch>
                      <a:fillRect/>
                    </a:stretch>
                  </pic:blipFill>
                  <pic:spPr>
                    <a:xfrm>
                      <a:off x="0" y="0"/>
                      <a:ext cx="2419350" cy="1858644"/>
                    </a:xfrm>
                    <a:prstGeom prst="rect">
                      <a:avLst/>
                    </a:prstGeom>
                    <a:ln>
                      <a:noFill/>
                    </a:ln>
                  </pic:spPr>
                </pic:pic>
              </a:graphicData>
            </a:graphic>
          </wp:inline>
        </w:drawing>
      </w:r>
    </w:p>
    <w:p w14:paraId="44802176">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采购单位</w:t>
      </w:r>
      <w:r>
        <w:rPr>
          <w:rFonts w:hint="eastAsia" w:ascii="宋体" w:hAnsi="宋体" w:cs="宋体"/>
          <w:b/>
          <w:bCs/>
          <w:color w:val="auto"/>
          <w:sz w:val="28"/>
          <w:szCs w:val="28"/>
          <w:highlight w:val="none"/>
          <w:lang w:eastAsia="zh-CN"/>
        </w:rPr>
        <w:t>（盖章）</w:t>
      </w:r>
      <w:r>
        <w:rPr>
          <w:rFonts w:hint="eastAsia" w:ascii="宋体" w:hAnsi="宋体" w:eastAsia="宋体" w:cs="宋体"/>
          <w:b/>
          <w:bCs/>
          <w:color w:val="auto"/>
          <w:sz w:val="28"/>
          <w:szCs w:val="28"/>
          <w:highlight w:val="none"/>
        </w:rPr>
        <w:t>：</w:t>
      </w:r>
      <w:r>
        <w:rPr>
          <w:rFonts w:hint="eastAsia" w:ascii="宋体" w:hAnsi="宋体" w:eastAsia="宋体" w:cs="宋体"/>
          <w:b w:val="0"/>
          <w:bCs w:val="0"/>
          <w:color w:val="auto"/>
          <w:sz w:val="28"/>
          <w:szCs w:val="28"/>
          <w:highlight w:val="none"/>
          <w:u w:val="single"/>
          <w:lang w:val="en-US" w:eastAsia="zh-CN"/>
        </w:rPr>
        <w:t>台州市住房公积金管理中心天台分中心</w:t>
      </w:r>
    </w:p>
    <w:p w14:paraId="49C99BD3">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 xml:space="preserve"> 联 系 人：</w:t>
      </w:r>
      <w:r>
        <w:rPr>
          <w:rFonts w:hint="eastAsia" w:ascii="宋体" w:hAnsi="宋体" w:cs="宋体"/>
          <w:color w:val="auto"/>
          <w:sz w:val="28"/>
          <w:szCs w:val="28"/>
          <w:highlight w:val="none"/>
          <w:u w:val="single"/>
          <w:lang w:val="en-US" w:eastAsia="zh-CN"/>
        </w:rPr>
        <w:t xml:space="preserve">陈宏峰 </w:t>
      </w:r>
      <w:r>
        <w:rPr>
          <w:rFonts w:hint="eastAsia" w:ascii="宋体" w:hAnsi="宋体" w:eastAsia="宋体" w:cs="宋体"/>
          <w:color w:val="auto"/>
          <w:sz w:val="28"/>
          <w:szCs w:val="28"/>
          <w:highlight w:val="none"/>
        </w:rPr>
        <w:t xml:space="preserve">  </w:t>
      </w:r>
    </w:p>
    <w:p w14:paraId="47375636">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联系电话：</w:t>
      </w:r>
      <w:r>
        <w:rPr>
          <w:rFonts w:hint="eastAsia" w:ascii="宋体" w:hAnsi="宋体" w:cs="宋体"/>
          <w:b w:val="0"/>
          <w:bCs w:val="0"/>
          <w:color w:val="auto"/>
          <w:sz w:val="28"/>
          <w:szCs w:val="28"/>
          <w:highlight w:val="none"/>
          <w:u w:val="single"/>
          <w:lang w:val="en-US" w:eastAsia="zh-CN"/>
        </w:rPr>
        <w:t>0576-83881644、13586238300（政府网638300）</w:t>
      </w:r>
    </w:p>
    <w:p w14:paraId="696A3ADE">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采购代理单位</w:t>
      </w:r>
      <w:r>
        <w:rPr>
          <w:rFonts w:hint="eastAsia" w:ascii="宋体" w:hAnsi="宋体" w:cs="宋体"/>
          <w:b/>
          <w:bCs/>
          <w:color w:val="auto"/>
          <w:sz w:val="28"/>
          <w:szCs w:val="28"/>
          <w:highlight w:val="none"/>
          <w:lang w:eastAsia="zh-CN"/>
        </w:rPr>
        <w:t>（盖章）</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u w:val="single"/>
        </w:rPr>
        <w:t>浙江省成套招标代理有限公司</w:t>
      </w:r>
    </w:p>
    <w:p w14:paraId="261B6B5C">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rPr>
        <w:t xml:space="preserve"> 联 系 人：</w:t>
      </w:r>
      <w:r>
        <w:rPr>
          <w:rFonts w:hint="eastAsia" w:ascii="宋体" w:hAnsi="宋体" w:eastAsia="宋体" w:cs="宋体"/>
          <w:color w:val="auto"/>
          <w:sz w:val="28"/>
          <w:szCs w:val="28"/>
          <w:highlight w:val="none"/>
          <w:u w:val="single"/>
        </w:rPr>
        <w:t>叶意莉</w:t>
      </w:r>
    </w:p>
    <w:p w14:paraId="7C83BE87">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 xml:space="preserve"> 联系电话：</w:t>
      </w:r>
      <w:r>
        <w:rPr>
          <w:rFonts w:hint="eastAsia" w:ascii="宋体" w:hAnsi="宋体" w:eastAsia="宋体" w:cs="宋体"/>
          <w:b w:val="0"/>
          <w:bCs w:val="0"/>
          <w:color w:val="auto"/>
          <w:sz w:val="28"/>
          <w:szCs w:val="28"/>
          <w:highlight w:val="none"/>
          <w:u w:val="single"/>
          <w:lang w:val="en-US" w:eastAsia="zh-CN"/>
        </w:rPr>
        <w:t>0576-83897703、</w:t>
      </w:r>
      <w:r>
        <w:rPr>
          <w:rFonts w:hint="eastAsia" w:ascii="宋体" w:hAnsi="宋体" w:eastAsia="宋体" w:cs="宋体"/>
          <w:color w:val="auto"/>
          <w:sz w:val="28"/>
          <w:szCs w:val="28"/>
          <w:highlight w:val="none"/>
          <w:u w:val="single"/>
        </w:rPr>
        <w:t>17805860910（政府网530910）</w:t>
      </w:r>
    </w:p>
    <w:p w14:paraId="23097E9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rPr>
        <w:t>日    期：</w:t>
      </w:r>
      <w:r>
        <w:rPr>
          <w:rFonts w:hint="eastAsia" w:ascii="宋体" w:hAnsi="宋体" w:eastAsia="宋体" w:cs="宋体"/>
          <w:color w:val="auto"/>
          <w:sz w:val="28"/>
          <w:szCs w:val="28"/>
          <w:highlight w:val="none"/>
          <w:u w:val="single"/>
          <w:lang w:val="en-US" w:eastAsia="zh-CN"/>
        </w:rPr>
        <w:t>二〇</w:t>
      </w:r>
      <w:r>
        <w:rPr>
          <w:rFonts w:hint="eastAsia" w:ascii="宋体" w:hAnsi="宋体" w:eastAsia="宋体" w:cs="宋体"/>
          <w:color w:val="auto"/>
          <w:sz w:val="28"/>
          <w:szCs w:val="28"/>
          <w:highlight w:val="none"/>
          <w:u w:val="single"/>
        </w:rPr>
        <w:t>二</w:t>
      </w:r>
      <w:r>
        <w:rPr>
          <w:rFonts w:hint="eastAsia" w:ascii="宋体" w:hAnsi="宋体" w:cs="宋体"/>
          <w:color w:val="auto"/>
          <w:sz w:val="28"/>
          <w:szCs w:val="28"/>
          <w:highlight w:val="none"/>
          <w:u w:val="single"/>
          <w:lang w:eastAsia="zh-CN"/>
        </w:rPr>
        <w:t>五</w:t>
      </w:r>
      <w:r>
        <w:rPr>
          <w:rFonts w:hint="eastAsia" w:ascii="宋体" w:hAnsi="宋体" w:eastAsia="宋体" w:cs="宋体"/>
          <w:color w:val="auto"/>
          <w:sz w:val="28"/>
          <w:szCs w:val="28"/>
          <w:highlight w:val="none"/>
          <w:u w:val="single"/>
        </w:rPr>
        <w:t>年</w:t>
      </w:r>
      <w:r>
        <w:rPr>
          <w:rFonts w:hint="eastAsia" w:ascii="宋体" w:hAnsi="宋体" w:cs="宋体"/>
          <w:color w:val="auto"/>
          <w:sz w:val="28"/>
          <w:szCs w:val="28"/>
          <w:highlight w:val="none"/>
          <w:u w:val="single"/>
          <w:lang w:val="en-US" w:eastAsia="zh-CN"/>
        </w:rPr>
        <w:t>七</w:t>
      </w:r>
      <w:r>
        <w:rPr>
          <w:rFonts w:hint="eastAsia" w:ascii="宋体" w:hAnsi="宋体" w:eastAsia="宋体" w:cs="宋体"/>
          <w:color w:val="auto"/>
          <w:sz w:val="28"/>
          <w:szCs w:val="28"/>
          <w:highlight w:val="none"/>
          <w:u w:val="single"/>
        </w:rPr>
        <w:t>月</w:t>
      </w:r>
    </w:p>
    <w:p w14:paraId="6A61A8F8">
      <w:pPr>
        <w:spacing w:line="240" w:lineRule="exact"/>
        <w:rPr>
          <w:rFonts w:hint="eastAsia" w:ascii="宋体" w:hAnsi="宋体" w:eastAsia="宋体" w:cs="宋体"/>
          <w:b/>
          <w:color w:val="auto"/>
          <w:sz w:val="21"/>
          <w:szCs w:val="21"/>
          <w:highlight w:val="none"/>
        </w:rPr>
      </w:pPr>
    </w:p>
    <w:p w14:paraId="6D7B7354">
      <w:pPr>
        <w:spacing w:line="240" w:lineRule="exact"/>
        <w:rPr>
          <w:rFonts w:hint="eastAsia" w:ascii="宋体" w:hAnsi="宋体" w:eastAsia="宋体" w:cs="宋体"/>
          <w:b/>
          <w:color w:val="auto"/>
          <w:sz w:val="21"/>
          <w:szCs w:val="21"/>
          <w:highlight w:val="none"/>
        </w:rPr>
        <w:sectPr>
          <w:headerReference r:id="rId4" w:type="first"/>
          <w:headerReference r:id="rId3" w:type="default"/>
          <w:footerReference r:id="rId5" w:type="default"/>
          <w:pgSz w:w="11905" w:h="16838"/>
          <w:pgMar w:top="1361" w:right="1587" w:bottom="1361" w:left="1587" w:header="737" w:footer="1020" w:gutter="0"/>
          <w:pgBorders>
            <w:top w:val="none" w:sz="0" w:space="0"/>
            <w:left w:val="none" w:sz="0" w:space="0"/>
            <w:bottom w:val="none" w:sz="0" w:space="0"/>
            <w:right w:val="none" w:sz="0" w:space="0"/>
          </w:pgBorders>
          <w:pgNumType w:fmt="decimal" w:start="1"/>
          <w:cols w:space="0" w:num="1"/>
          <w:titlePg/>
          <w:rtlGutter w:val="0"/>
          <w:docGrid w:type="lines" w:linePitch="330" w:charSpace="0"/>
        </w:sectPr>
      </w:pPr>
    </w:p>
    <w:p w14:paraId="2477BF0B">
      <w:pPr>
        <w:spacing w:line="240" w:lineRule="exact"/>
        <w:rPr>
          <w:rFonts w:hint="eastAsia" w:ascii="宋体" w:hAnsi="宋体" w:eastAsia="宋体" w:cs="宋体"/>
          <w:b/>
          <w:color w:val="auto"/>
          <w:sz w:val="21"/>
          <w:szCs w:val="21"/>
          <w:highlight w:val="none"/>
        </w:rPr>
      </w:pPr>
    </w:p>
    <w:p w14:paraId="406A017B">
      <w:pPr>
        <w:spacing w:line="240" w:lineRule="exact"/>
        <w:rPr>
          <w:rFonts w:hint="eastAsia" w:ascii="宋体" w:hAnsi="宋体" w:eastAsia="宋体" w:cs="宋体"/>
          <w:b/>
          <w:color w:val="auto"/>
          <w:sz w:val="21"/>
          <w:szCs w:val="21"/>
          <w:highlight w:val="none"/>
        </w:rPr>
      </w:pPr>
    </w:p>
    <w:p w14:paraId="41A828AD">
      <w:pPr>
        <w:pStyle w:val="8"/>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C2C3569">
      <w:pPr>
        <w:pStyle w:val="15"/>
        <w:keepNext w:val="0"/>
        <w:keepLines w:val="0"/>
        <w:pageBreakBefore w:val="0"/>
        <w:widowControl w:val="0"/>
        <w:tabs>
          <w:tab w:val="right" w:leader="middleDot" w:pos="8731"/>
        </w:tabs>
        <w:kinsoku/>
        <w:wordWrap/>
        <w:overflowPunct/>
        <w:topLinePunct w:val="0"/>
        <w:autoSpaceDE/>
        <w:autoSpaceDN/>
        <w:bidi w:val="0"/>
        <w:adjustRightInd/>
        <w:snapToGrid/>
        <w:spacing w:line="480" w:lineRule="auto"/>
        <w:textAlignment w:val="auto"/>
        <w:rPr>
          <w:color w:val="auto"/>
          <w:sz w:val="24"/>
          <w:szCs w:val="24"/>
        </w:rPr>
      </w:pPr>
      <w:r>
        <w:rPr>
          <w:rFonts w:hint="eastAsia" w:ascii="宋体" w:hAnsi="宋体" w:eastAsia="宋体" w:cs="宋体"/>
          <w:b w:val="0"/>
          <w:bCs/>
          <w:i w:val="0"/>
          <w:color w:val="auto"/>
          <w:sz w:val="24"/>
          <w:szCs w:val="24"/>
          <w:highlight w:val="none"/>
          <w:lang w:eastAsia="zh-CN"/>
        </w:rPr>
        <w:fldChar w:fldCharType="begin"/>
      </w:r>
      <w:r>
        <w:rPr>
          <w:rFonts w:hint="eastAsia" w:ascii="宋体" w:hAnsi="宋体" w:eastAsia="宋体" w:cs="宋体"/>
          <w:b w:val="0"/>
          <w:bCs/>
          <w:i w:val="0"/>
          <w:color w:val="auto"/>
          <w:sz w:val="24"/>
          <w:szCs w:val="24"/>
          <w:highlight w:val="none"/>
          <w:lang w:eastAsia="zh-CN"/>
        </w:rPr>
        <w:instrText xml:space="preserve">TOC \o "1-1" \h \u </w:instrText>
      </w:r>
      <w:r>
        <w:rPr>
          <w:rFonts w:hint="eastAsia" w:ascii="宋体" w:hAnsi="宋体" w:eastAsia="宋体" w:cs="宋体"/>
          <w:b w:val="0"/>
          <w:bCs/>
          <w:i w:val="0"/>
          <w:color w:val="auto"/>
          <w:sz w:val="24"/>
          <w:szCs w:val="24"/>
          <w:highlight w:val="none"/>
          <w:lang w:eastAsia="zh-CN"/>
        </w:rPr>
        <w:fldChar w:fldCharType="separate"/>
      </w:r>
      <w:r>
        <w:rPr>
          <w:rFonts w:hint="eastAsia" w:ascii="宋体" w:hAnsi="宋体" w:eastAsia="宋体" w:cs="宋体"/>
          <w:bCs/>
          <w:i w:val="0"/>
          <w:color w:val="auto"/>
          <w:sz w:val="24"/>
          <w:szCs w:val="24"/>
          <w:highlight w:val="none"/>
          <w:lang w:eastAsia="zh-CN"/>
        </w:rPr>
        <w:fldChar w:fldCharType="begin"/>
      </w:r>
      <w:r>
        <w:rPr>
          <w:rFonts w:hint="eastAsia" w:ascii="宋体" w:hAnsi="宋体" w:eastAsia="宋体" w:cs="宋体"/>
          <w:bCs/>
          <w:i w:val="0"/>
          <w:color w:val="auto"/>
          <w:sz w:val="24"/>
          <w:szCs w:val="24"/>
          <w:highlight w:val="none"/>
          <w:lang w:eastAsia="zh-CN"/>
        </w:rPr>
        <w:instrText xml:space="preserve"> HYPERLINK \l _Toc8974 </w:instrText>
      </w:r>
      <w:r>
        <w:rPr>
          <w:rFonts w:hint="eastAsia" w:ascii="宋体" w:hAnsi="宋体" w:eastAsia="宋体" w:cs="宋体"/>
          <w:bCs/>
          <w:i w:val="0"/>
          <w:color w:val="auto"/>
          <w:sz w:val="24"/>
          <w:szCs w:val="24"/>
          <w:highlight w:val="none"/>
          <w:lang w:eastAsia="zh-CN"/>
        </w:rPr>
        <w:fldChar w:fldCharType="separate"/>
      </w:r>
      <w:r>
        <w:rPr>
          <w:rFonts w:hint="eastAsia"/>
          <w:color w:val="auto"/>
          <w:sz w:val="24"/>
          <w:szCs w:val="24"/>
          <w:highlight w:val="none"/>
        </w:rPr>
        <w:t>第一章</w:t>
      </w:r>
      <w:r>
        <w:rPr>
          <w:rFonts w:hint="eastAsia"/>
          <w:color w:val="auto"/>
          <w:sz w:val="24"/>
          <w:szCs w:val="24"/>
          <w:highlight w:val="none"/>
          <w:lang w:val="en-US" w:eastAsia="zh-CN"/>
        </w:rPr>
        <w:t xml:space="preserve"> </w:t>
      </w:r>
      <w:r>
        <w:rPr>
          <w:rFonts w:hint="eastAsia"/>
          <w:color w:val="auto"/>
          <w:sz w:val="24"/>
          <w:szCs w:val="24"/>
          <w:highlight w:val="none"/>
          <w:lang w:eastAsia="zh-CN"/>
        </w:rPr>
        <w:t>招标公告</w:t>
      </w:r>
      <w:r>
        <w:rPr>
          <w:color w:val="auto"/>
          <w:sz w:val="24"/>
          <w:szCs w:val="24"/>
        </w:rPr>
        <w:tab/>
      </w:r>
      <w:r>
        <w:rPr>
          <w:color w:val="auto"/>
          <w:sz w:val="24"/>
          <w:szCs w:val="24"/>
        </w:rPr>
        <w:fldChar w:fldCharType="begin"/>
      </w:r>
      <w:r>
        <w:rPr>
          <w:color w:val="auto"/>
          <w:sz w:val="24"/>
          <w:szCs w:val="24"/>
        </w:rPr>
        <w:instrText xml:space="preserve"> PAGEREF _Toc8974 \h </w:instrText>
      </w:r>
      <w:r>
        <w:rPr>
          <w:color w:val="auto"/>
          <w:sz w:val="24"/>
          <w:szCs w:val="24"/>
        </w:rPr>
        <w:fldChar w:fldCharType="separate"/>
      </w:r>
      <w:r>
        <w:rPr>
          <w:color w:val="auto"/>
          <w:sz w:val="24"/>
          <w:szCs w:val="24"/>
        </w:rPr>
        <w:t>1</w:t>
      </w:r>
      <w:r>
        <w:rPr>
          <w:color w:val="auto"/>
          <w:sz w:val="24"/>
          <w:szCs w:val="24"/>
        </w:rPr>
        <w:fldChar w:fldCharType="end"/>
      </w:r>
      <w:r>
        <w:rPr>
          <w:rFonts w:hint="eastAsia" w:ascii="宋体" w:hAnsi="宋体" w:eastAsia="宋体" w:cs="宋体"/>
          <w:bCs/>
          <w:i w:val="0"/>
          <w:color w:val="auto"/>
          <w:sz w:val="24"/>
          <w:szCs w:val="24"/>
          <w:highlight w:val="none"/>
          <w:lang w:eastAsia="zh-CN"/>
        </w:rPr>
        <w:fldChar w:fldCharType="end"/>
      </w:r>
    </w:p>
    <w:p w14:paraId="56EB108E">
      <w:pPr>
        <w:pStyle w:val="15"/>
        <w:keepNext w:val="0"/>
        <w:keepLines w:val="0"/>
        <w:pageBreakBefore w:val="0"/>
        <w:widowControl w:val="0"/>
        <w:tabs>
          <w:tab w:val="right" w:leader="middleDot" w:pos="8731"/>
        </w:tabs>
        <w:kinsoku/>
        <w:wordWrap/>
        <w:overflowPunct/>
        <w:topLinePunct w:val="0"/>
        <w:autoSpaceDE/>
        <w:autoSpaceDN/>
        <w:bidi w:val="0"/>
        <w:adjustRightInd/>
        <w:snapToGrid/>
        <w:spacing w:line="480" w:lineRule="auto"/>
        <w:textAlignment w:val="auto"/>
        <w:rPr>
          <w:color w:val="auto"/>
          <w:sz w:val="24"/>
          <w:szCs w:val="24"/>
        </w:rPr>
      </w:pPr>
      <w:r>
        <w:rPr>
          <w:rFonts w:hint="eastAsia" w:ascii="宋体" w:hAnsi="宋体" w:eastAsia="宋体" w:cs="宋体"/>
          <w:bCs/>
          <w:i w:val="0"/>
          <w:color w:val="auto"/>
          <w:sz w:val="24"/>
          <w:szCs w:val="24"/>
          <w:highlight w:val="none"/>
          <w:lang w:eastAsia="zh-CN"/>
        </w:rPr>
        <w:fldChar w:fldCharType="begin"/>
      </w:r>
      <w:r>
        <w:rPr>
          <w:rFonts w:hint="eastAsia" w:ascii="宋体" w:hAnsi="宋体" w:eastAsia="宋体" w:cs="宋体"/>
          <w:bCs/>
          <w:i w:val="0"/>
          <w:color w:val="auto"/>
          <w:sz w:val="24"/>
          <w:szCs w:val="24"/>
          <w:highlight w:val="none"/>
          <w:lang w:eastAsia="zh-CN"/>
        </w:rPr>
        <w:instrText xml:space="preserve"> HYPERLINK \l _Toc2789 </w:instrText>
      </w:r>
      <w:r>
        <w:rPr>
          <w:rFonts w:hint="eastAsia" w:ascii="宋体" w:hAnsi="宋体" w:eastAsia="宋体" w:cs="宋体"/>
          <w:bCs/>
          <w:i w:val="0"/>
          <w:color w:val="auto"/>
          <w:sz w:val="24"/>
          <w:szCs w:val="24"/>
          <w:highlight w:val="none"/>
          <w:lang w:eastAsia="zh-CN"/>
        </w:rPr>
        <w:fldChar w:fldCharType="separate"/>
      </w:r>
      <w:r>
        <w:rPr>
          <w:rFonts w:hint="eastAsia"/>
          <w:color w:val="auto"/>
          <w:sz w:val="24"/>
          <w:szCs w:val="24"/>
          <w:highlight w:val="none"/>
        </w:rPr>
        <w:t>第二章</w:t>
      </w:r>
      <w:r>
        <w:rPr>
          <w:rFonts w:hint="eastAsia"/>
          <w:color w:val="auto"/>
          <w:sz w:val="24"/>
          <w:szCs w:val="24"/>
          <w:highlight w:val="none"/>
          <w:lang w:val="en-US" w:eastAsia="zh-CN"/>
        </w:rPr>
        <w:t xml:space="preserve"> </w:t>
      </w:r>
      <w:r>
        <w:rPr>
          <w:rFonts w:hint="eastAsia"/>
          <w:color w:val="auto"/>
          <w:sz w:val="24"/>
          <w:szCs w:val="24"/>
          <w:highlight w:val="none"/>
          <w:lang w:eastAsia="zh-CN"/>
        </w:rPr>
        <w:t>竞标银行</w:t>
      </w:r>
      <w:r>
        <w:rPr>
          <w:rFonts w:hint="eastAsia"/>
          <w:color w:val="auto"/>
          <w:sz w:val="24"/>
          <w:szCs w:val="24"/>
          <w:highlight w:val="none"/>
        </w:rPr>
        <w:t>须知</w:t>
      </w:r>
      <w:r>
        <w:rPr>
          <w:color w:val="auto"/>
          <w:sz w:val="24"/>
          <w:szCs w:val="24"/>
        </w:rPr>
        <w:tab/>
      </w:r>
      <w:r>
        <w:rPr>
          <w:color w:val="auto"/>
          <w:sz w:val="24"/>
          <w:szCs w:val="24"/>
        </w:rPr>
        <w:fldChar w:fldCharType="begin"/>
      </w:r>
      <w:r>
        <w:rPr>
          <w:color w:val="auto"/>
          <w:sz w:val="24"/>
          <w:szCs w:val="24"/>
        </w:rPr>
        <w:instrText xml:space="preserve"> PAGEREF _Toc2789 \h </w:instrText>
      </w:r>
      <w:r>
        <w:rPr>
          <w:color w:val="auto"/>
          <w:sz w:val="24"/>
          <w:szCs w:val="24"/>
        </w:rPr>
        <w:fldChar w:fldCharType="separate"/>
      </w:r>
      <w:r>
        <w:rPr>
          <w:color w:val="auto"/>
          <w:sz w:val="24"/>
          <w:szCs w:val="24"/>
        </w:rPr>
        <w:t>4</w:t>
      </w:r>
      <w:r>
        <w:rPr>
          <w:color w:val="auto"/>
          <w:sz w:val="24"/>
          <w:szCs w:val="24"/>
        </w:rPr>
        <w:fldChar w:fldCharType="end"/>
      </w:r>
      <w:r>
        <w:rPr>
          <w:rFonts w:hint="eastAsia" w:ascii="宋体" w:hAnsi="宋体" w:eastAsia="宋体" w:cs="宋体"/>
          <w:bCs/>
          <w:i w:val="0"/>
          <w:color w:val="auto"/>
          <w:sz w:val="24"/>
          <w:szCs w:val="24"/>
          <w:highlight w:val="none"/>
          <w:lang w:eastAsia="zh-CN"/>
        </w:rPr>
        <w:fldChar w:fldCharType="end"/>
      </w:r>
    </w:p>
    <w:p w14:paraId="6D117C59">
      <w:pPr>
        <w:pStyle w:val="15"/>
        <w:keepNext w:val="0"/>
        <w:keepLines w:val="0"/>
        <w:pageBreakBefore w:val="0"/>
        <w:widowControl w:val="0"/>
        <w:tabs>
          <w:tab w:val="right" w:leader="middleDot" w:pos="8731"/>
        </w:tabs>
        <w:kinsoku/>
        <w:wordWrap/>
        <w:overflowPunct/>
        <w:topLinePunct w:val="0"/>
        <w:autoSpaceDE/>
        <w:autoSpaceDN/>
        <w:bidi w:val="0"/>
        <w:adjustRightInd/>
        <w:snapToGrid/>
        <w:spacing w:line="480" w:lineRule="auto"/>
        <w:textAlignment w:val="auto"/>
        <w:rPr>
          <w:color w:val="auto"/>
          <w:sz w:val="24"/>
          <w:szCs w:val="24"/>
        </w:rPr>
      </w:pPr>
      <w:r>
        <w:rPr>
          <w:rFonts w:hint="eastAsia" w:ascii="宋体" w:hAnsi="宋体" w:eastAsia="宋体" w:cs="宋体"/>
          <w:bCs/>
          <w:i w:val="0"/>
          <w:color w:val="auto"/>
          <w:sz w:val="24"/>
          <w:szCs w:val="24"/>
          <w:highlight w:val="none"/>
          <w:lang w:eastAsia="zh-CN"/>
        </w:rPr>
        <w:fldChar w:fldCharType="begin"/>
      </w:r>
      <w:r>
        <w:rPr>
          <w:rFonts w:hint="eastAsia" w:ascii="宋体" w:hAnsi="宋体" w:eastAsia="宋体" w:cs="宋体"/>
          <w:bCs/>
          <w:i w:val="0"/>
          <w:color w:val="auto"/>
          <w:sz w:val="24"/>
          <w:szCs w:val="24"/>
          <w:highlight w:val="none"/>
          <w:lang w:eastAsia="zh-CN"/>
        </w:rPr>
        <w:instrText xml:space="preserve"> HYPERLINK \l _Toc10313 </w:instrText>
      </w:r>
      <w:r>
        <w:rPr>
          <w:rFonts w:hint="eastAsia" w:ascii="宋体" w:hAnsi="宋体" w:eastAsia="宋体" w:cs="宋体"/>
          <w:bCs/>
          <w:i w:val="0"/>
          <w:color w:val="auto"/>
          <w:sz w:val="24"/>
          <w:szCs w:val="24"/>
          <w:highlight w:val="none"/>
          <w:lang w:eastAsia="zh-CN"/>
        </w:rPr>
        <w:fldChar w:fldCharType="separate"/>
      </w:r>
      <w:r>
        <w:rPr>
          <w:rFonts w:hint="eastAsia" w:ascii="Times New Roman" w:hAnsi="Times New Roman" w:cs="Times New Roman"/>
          <w:color w:val="auto"/>
          <w:sz w:val="24"/>
          <w:szCs w:val="24"/>
          <w:highlight w:val="none"/>
        </w:rPr>
        <w:t xml:space="preserve">第三章 </w:t>
      </w:r>
      <w:r>
        <w:rPr>
          <w:rFonts w:hint="eastAsia" w:cs="Times New Roman"/>
          <w:color w:val="auto"/>
          <w:sz w:val="24"/>
          <w:szCs w:val="24"/>
          <w:highlight w:val="none"/>
          <w:lang w:eastAsia="zh-CN"/>
        </w:rPr>
        <w:t>协议书</w:t>
      </w:r>
      <w:r>
        <w:rPr>
          <w:rFonts w:hint="eastAsia" w:ascii="Times New Roman" w:hAnsi="Times New Roman" w:cs="Times New Roman"/>
          <w:color w:val="auto"/>
          <w:sz w:val="24"/>
          <w:szCs w:val="24"/>
          <w:highlight w:val="none"/>
        </w:rPr>
        <w:t>主要条款</w:t>
      </w:r>
      <w:r>
        <w:rPr>
          <w:color w:val="auto"/>
          <w:sz w:val="24"/>
          <w:szCs w:val="24"/>
        </w:rPr>
        <w:tab/>
      </w:r>
      <w:r>
        <w:rPr>
          <w:color w:val="auto"/>
          <w:sz w:val="24"/>
          <w:szCs w:val="24"/>
        </w:rPr>
        <w:fldChar w:fldCharType="begin"/>
      </w:r>
      <w:r>
        <w:rPr>
          <w:color w:val="auto"/>
          <w:sz w:val="24"/>
          <w:szCs w:val="24"/>
        </w:rPr>
        <w:instrText xml:space="preserve"> PAGEREF _Toc10313 \h </w:instrText>
      </w:r>
      <w:r>
        <w:rPr>
          <w:color w:val="auto"/>
          <w:sz w:val="24"/>
          <w:szCs w:val="24"/>
        </w:rPr>
        <w:fldChar w:fldCharType="separate"/>
      </w:r>
      <w:r>
        <w:rPr>
          <w:color w:val="auto"/>
          <w:sz w:val="24"/>
          <w:szCs w:val="24"/>
        </w:rPr>
        <w:t>14</w:t>
      </w:r>
      <w:r>
        <w:rPr>
          <w:color w:val="auto"/>
          <w:sz w:val="24"/>
          <w:szCs w:val="24"/>
        </w:rPr>
        <w:fldChar w:fldCharType="end"/>
      </w:r>
      <w:r>
        <w:rPr>
          <w:rFonts w:hint="eastAsia" w:ascii="宋体" w:hAnsi="宋体" w:eastAsia="宋体" w:cs="宋体"/>
          <w:bCs/>
          <w:i w:val="0"/>
          <w:color w:val="auto"/>
          <w:sz w:val="24"/>
          <w:szCs w:val="24"/>
          <w:highlight w:val="none"/>
          <w:lang w:eastAsia="zh-CN"/>
        </w:rPr>
        <w:fldChar w:fldCharType="end"/>
      </w:r>
    </w:p>
    <w:p w14:paraId="1360AF11">
      <w:pPr>
        <w:pStyle w:val="15"/>
        <w:keepNext w:val="0"/>
        <w:keepLines w:val="0"/>
        <w:pageBreakBefore w:val="0"/>
        <w:widowControl w:val="0"/>
        <w:tabs>
          <w:tab w:val="right" w:leader="middleDot" w:pos="8731"/>
        </w:tabs>
        <w:kinsoku/>
        <w:wordWrap/>
        <w:overflowPunct/>
        <w:topLinePunct w:val="0"/>
        <w:autoSpaceDE/>
        <w:autoSpaceDN/>
        <w:bidi w:val="0"/>
        <w:adjustRightInd/>
        <w:snapToGrid/>
        <w:spacing w:line="480" w:lineRule="auto"/>
        <w:textAlignment w:val="auto"/>
        <w:rPr>
          <w:color w:val="auto"/>
          <w:sz w:val="24"/>
          <w:szCs w:val="24"/>
        </w:rPr>
      </w:pPr>
      <w:r>
        <w:rPr>
          <w:rFonts w:hint="eastAsia" w:ascii="宋体" w:hAnsi="宋体" w:eastAsia="宋体" w:cs="宋体"/>
          <w:bCs/>
          <w:i w:val="0"/>
          <w:color w:val="auto"/>
          <w:sz w:val="24"/>
          <w:szCs w:val="24"/>
          <w:highlight w:val="none"/>
          <w:lang w:eastAsia="zh-CN"/>
        </w:rPr>
        <w:fldChar w:fldCharType="begin"/>
      </w:r>
      <w:r>
        <w:rPr>
          <w:rFonts w:hint="eastAsia" w:ascii="宋体" w:hAnsi="宋体" w:eastAsia="宋体" w:cs="宋体"/>
          <w:bCs/>
          <w:i w:val="0"/>
          <w:color w:val="auto"/>
          <w:sz w:val="24"/>
          <w:szCs w:val="24"/>
          <w:highlight w:val="none"/>
          <w:lang w:eastAsia="zh-CN"/>
        </w:rPr>
        <w:instrText xml:space="preserve"> HYPERLINK \l _Toc8979 </w:instrText>
      </w:r>
      <w:r>
        <w:rPr>
          <w:rFonts w:hint="eastAsia" w:ascii="宋体" w:hAnsi="宋体" w:eastAsia="宋体" w:cs="宋体"/>
          <w:bCs/>
          <w:i w:val="0"/>
          <w:color w:val="auto"/>
          <w:sz w:val="24"/>
          <w:szCs w:val="24"/>
          <w:highlight w:val="none"/>
          <w:lang w:eastAsia="zh-CN"/>
        </w:rPr>
        <w:fldChar w:fldCharType="separate"/>
      </w:r>
      <w:r>
        <w:rPr>
          <w:rFonts w:hint="eastAsia"/>
          <w:color w:val="auto"/>
          <w:sz w:val="24"/>
          <w:szCs w:val="24"/>
          <w:highlight w:val="none"/>
          <w:lang w:eastAsia="zh-CN"/>
        </w:rPr>
        <w:t>第四章 招标内容及需求</w:t>
      </w:r>
      <w:r>
        <w:rPr>
          <w:color w:val="auto"/>
          <w:sz w:val="24"/>
          <w:szCs w:val="24"/>
        </w:rPr>
        <w:tab/>
      </w:r>
      <w:r>
        <w:rPr>
          <w:color w:val="auto"/>
          <w:sz w:val="24"/>
          <w:szCs w:val="24"/>
        </w:rPr>
        <w:fldChar w:fldCharType="begin"/>
      </w:r>
      <w:r>
        <w:rPr>
          <w:color w:val="auto"/>
          <w:sz w:val="24"/>
          <w:szCs w:val="24"/>
        </w:rPr>
        <w:instrText xml:space="preserve"> PAGEREF _Toc8979 \h </w:instrText>
      </w:r>
      <w:r>
        <w:rPr>
          <w:color w:val="auto"/>
          <w:sz w:val="24"/>
          <w:szCs w:val="24"/>
        </w:rPr>
        <w:fldChar w:fldCharType="separate"/>
      </w:r>
      <w:r>
        <w:rPr>
          <w:color w:val="auto"/>
          <w:sz w:val="24"/>
          <w:szCs w:val="24"/>
        </w:rPr>
        <w:t>16</w:t>
      </w:r>
      <w:r>
        <w:rPr>
          <w:color w:val="auto"/>
          <w:sz w:val="24"/>
          <w:szCs w:val="24"/>
        </w:rPr>
        <w:fldChar w:fldCharType="end"/>
      </w:r>
      <w:r>
        <w:rPr>
          <w:rFonts w:hint="eastAsia" w:ascii="宋体" w:hAnsi="宋体" w:eastAsia="宋体" w:cs="宋体"/>
          <w:bCs/>
          <w:i w:val="0"/>
          <w:color w:val="auto"/>
          <w:sz w:val="24"/>
          <w:szCs w:val="24"/>
          <w:highlight w:val="none"/>
          <w:lang w:eastAsia="zh-CN"/>
        </w:rPr>
        <w:fldChar w:fldCharType="end"/>
      </w:r>
    </w:p>
    <w:p w14:paraId="5B4FFCE2">
      <w:pPr>
        <w:pStyle w:val="15"/>
        <w:keepNext w:val="0"/>
        <w:keepLines w:val="0"/>
        <w:pageBreakBefore w:val="0"/>
        <w:widowControl w:val="0"/>
        <w:tabs>
          <w:tab w:val="right" w:leader="middleDot" w:pos="8731"/>
        </w:tabs>
        <w:kinsoku/>
        <w:wordWrap/>
        <w:overflowPunct/>
        <w:topLinePunct w:val="0"/>
        <w:autoSpaceDE/>
        <w:autoSpaceDN/>
        <w:bidi w:val="0"/>
        <w:adjustRightInd/>
        <w:snapToGrid/>
        <w:spacing w:line="480" w:lineRule="auto"/>
        <w:textAlignment w:val="auto"/>
        <w:rPr>
          <w:color w:val="auto"/>
          <w:sz w:val="24"/>
          <w:szCs w:val="24"/>
        </w:rPr>
      </w:pPr>
      <w:r>
        <w:rPr>
          <w:rFonts w:hint="eastAsia" w:ascii="宋体" w:hAnsi="宋体" w:eastAsia="宋体" w:cs="宋体"/>
          <w:bCs/>
          <w:i w:val="0"/>
          <w:color w:val="auto"/>
          <w:sz w:val="24"/>
          <w:szCs w:val="24"/>
          <w:highlight w:val="none"/>
          <w:lang w:eastAsia="zh-CN"/>
        </w:rPr>
        <w:fldChar w:fldCharType="begin"/>
      </w:r>
      <w:r>
        <w:rPr>
          <w:rFonts w:hint="eastAsia" w:ascii="宋体" w:hAnsi="宋体" w:eastAsia="宋体" w:cs="宋体"/>
          <w:bCs/>
          <w:i w:val="0"/>
          <w:color w:val="auto"/>
          <w:sz w:val="24"/>
          <w:szCs w:val="24"/>
          <w:highlight w:val="none"/>
          <w:lang w:eastAsia="zh-CN"/>
        </w:rPr>
        <w:instrText xml:space="preserve"> HYPERLINK \l _Toc1219 </w:instrText>
      </w:r>
      <w:r>
        <w:rPr>
          <w:rFonts w:hint="eastAsia" w:ascii="宋体" w:hAnsi="宋体" w:eastAsia="宋体" w:cs="宋体"/>
          <w:bCs/>
          <w:i w:val="0"/>
          <w:color w:val="auto"/>
          <w:sz w:val="24"/>
          <w:szCs w:val="24"/>
          <w:highlight w:val="none"/>
          <w:lang w:eastAsia="zh-CN"/>
        </w:rPr>
        <w:fldChar w:fldCharType="separate"/>
      </w:r>
      <w:r>
        <w:rPr>
          <w:rFonts w:hint="eastAsia"/>
          <w:color w:val="auto"/>
          <w:sz w:val="24"/>
          <w:szCs w:val="24"/>
          <w:highlight w:val="none"/>
          <w:lang w:eastAsia="zh-CN"/>
        </w:rPr>
        <w:t>第五章</w:t>
      </w:r>
      <w:r>
        <w:rPr>
          <w:rFonts w:hint="eastAsia"/>
          <w:color w:val="auto"/>
          <w:sz w:val="24"/>
          <w:szCs w:val="24"/>
          <w:highlight w:val="none"/>
          <w:lang w:val="en-US" w:eastAsia="zh-CN"/>
        </w:rPr>
        <w:t xml:space="preserve"> </w:t>
      </w:r>
      <w:r>
        <w:rPr>
          <w:rFonts w:hint="eastAsia"/>
          <w:color w:val="auto"/>
          <w:sz w:val="24"/>
          <w:szCs w:val="24"/>
          <w:highlight w:val="none"/>
          <w:lang w:eastAsia="zh-CN"/>
        </w:rPr>
        <w:t>评标办法及评分标准</w:t>
      </w:r>
      <w:r>
        <w:rPr>
          <w:color w:val="auto"/>
          <w:sz w:val="24"/>
          <w:szCs w:val="24"/>
        </w:rPr>
        <w:tab/>
      </w:r>
      <w:r>
        <w:rPr>
          <w:color w:val="auto"/>
          <w:sz w:val="24"/>
          <w:szCs w:val="24"/>
        </w:rPr>
        <w:fldChar w:fldCharType="begin"/>
      </w:r>
      <w:r>
        <w:rPr>
          <w:color w:val="auto"/>
          <w:sz w:val="24"/>
          <w:szCs w:val="24"/>
        </w:rPr>
        <w:instrText xml:space="preserve"> PAGEREF _Toc1219 \h </w:instrText>
      </w:r>
      <w:r>
        <w:rPr>
          <w:color w:val="auto"/>
          <w:sz w:val="24"/>
          <w:szCs w:val="24"/>
        </w:rPr>
        <w:fldChar w:fldCharType="separate"/>
      </w:r>
      <w:r>
        <w:rPr>
          <w:color w:val="auto"/>
          <w:sz w:val="24"/>
          <w:szCs w:val="24"/>
        </w:rPr>
        <w:t>18</w:t>
      </w:r>
      <w:r>
        <w:rPr>
          <w:color w:val="auto"/>
          <w:sz w:val="24"/>
          <w:szCs w:val="24"/>
        </w:rPr>
        <w:fldChar w:fldCharType="end"/>
      </w:r>
      <w:r>
        <w:rPr>
          <w:rFonts w:hint="eastAsia" w:ascii="宋体" w:hAnsi="宋体" w:eastAsia="宋体" w:cs="宋体"/>
          <w:bCs/>
          <w:i w:val="0"/>
          <w:color w:val="auto"/>
          <w:sz w:val="24"/>
          <w:szCs w:val="24"/>
          <w:highlight w:val="none"/>
          <w:lang w:eastAsia="zh-CN"/>
        </w:rPr>
        <w:fldChar w:fldCharType="end"/>
      </w:r>
    </w:p>
    <w:p w14:paraId="0891B8E5">
      <w:pPr>
        <w:pStyle w:val="15"/>
        <w:keepNext w:val="0"/>
        <w:keepLines w:val="0"/>
        <w:pageBreakBefore w:val="0"/>
        <w:widowControl w:val="0"/>
        <w:tabs>
          <w:tab w:val="right" w:leader="middleDot" w:pos="8731"/>
        </w:tabs>
        <w:kinsoku/>
        <w:wordWrap/>
        <w:overflowPunct/>
        <w:topLinePunct w:val="0"/>
        <w:autoSpaceDE/>
        <w:autoSpaceDN/>
        <w:bidi w:val="0"/>
        <w:adjustRightInd/>
        <w:snapToGrid/>
        <w:spacing w:line="480" w:lineRule="auto"/>
        <w:textAlignment w:val="auto"/>
        <w:rPr>
          <w:color w:val="auto"/>
        </w:rPr>
      </w:pPr>
      <w:r>
        <w:rPr>
          <w:rFonts w:hint="eastAsia" w:ascii="宋体" w:hAnsi="宋体" w:eastAsia="宋体" w:cs="宋体"/>
          <w:bCs/>
          <w:i w:val="0"/>
          <w:color w:val="auto"/>
          <w:sz w:val="24"/>
          <w:szCs w:val="24"/>
          <w:highlight w:val="none"/>
          <w:lang w:eastAsia="zh-CN"/>
        </w:rPr>
        <w:fldChar w:fldCharType="begin"/>
      </w:r>
      <w:r>
        <w:rPr>
          <w:rFonts w:hint="eastAsia" w:ascii="宋体" w:hAnsi="宋体" w:eastAsia="宋体" w:cs="宋体"/>
          <w:bCs/>
          <w:i w:val="0"/>
          <w:color w:val="auto"/>
          <w:sz w:val="24"/>
          <w:szCs w:val="24"/>
          <w:highlight w:val="none"/>
          <w:lang w:eastAsia="zh-CN"/>
        </w:rPr>
        <w:instrText xml:space="preserve"> HYPERLINK \l _Toc18618 </w:instrText>
      </w:r>
      <w:r>
        <w:rPr>
          <w:rFonts w:hint="eastAsia" w:ascii="宋体" w:hAnsi="宋体" w:eastAsia="宋体" w:cs="宋体"/>
          <w:bCs/>
          <w:i w:val="0"/>
          <w:color w:val="auto"/>
          <w:sz w:val="24"/>
          <w:szCs w:val="24"/>
          <w:highlight w:val="none"/>
          <w:lang w:eastAsia="zh-CN"/>
        </w:rPr>
        <w:fldChar w:fldCharType="separate"/>
      </w:r>
      <w:r>
        <w:rPr>
          <w:rFonts w:hint="eastAsia"/>
          <w:color w:val="auto"/>
          <w:sz w:val="24"/>
          <w:szCs w:val="24"/>
          <w:highlight w:val="none"/>
          <w:lang w:eastAsia="zh-CN"/>
        </w:rPr>
        <w:t>第六章 投标文件格式</w:t>
      </w:r>
      <w:r>
        <w:rPr>
          <w:color w:val="auto"/>
          <w:sz w:val="24"/>
          <w:szCs w:val="24"/>
        </w:rPr>
        <w:tab/>
      </w:r>
      <w:r>
        <w:rPr>
          <w:color w:val="auto"/>
          <w:sz w:val="24"/>
          <w:szCs w:val="24"/>
        </w:rPr>
        <w:fldChar w:fldCharType="begin"/>
      </w:r>
      <w:r>
        <w:rPr>
          <w:color w:val="auto"/>
          <w:sz w:val="24"/>
          <w:szCs w:val="24"/>
        </w:rPr>
        <w:instrText xml:space="preserve"> PAGEREF _Toc18618 \h </w:instrText>
      </w:r>
      <w:r>
        <w:rPr>
          <w:color w:val="auto"/>
          <w:sz w:val="24"/>
          <w:szCs w:val="24"/>
        </w:rPr>
        <w:fldChar w:fldCharType="separate"/>
      </w:r>
      <w:r>
        <w:rPr>
          <w:color w:val="auto"/>
          <w:sz w:val="24"/>
          <w:szCs w:val="24"/>
        </w:rPr>
        <w:t>22</w:t>
      </w:r>
      <w:r>
        <w:rPr>
          <w:color w:val="auto"/>
          <w:sz w:val="24"/>
          <w:szCs w:val="24"/>
        </w:rPr>
        <w:fldChar w:fldCharType="end"/>
      </w:r>
      <w:r>
        <w:rPr>
          <w:rFonts w:hint="eastAsia" w:ascii="宋体" w:hAnsi="宋体" w:eastAsia="宋体" w:cs="宋体"/>
          <w:bCs/>
          <w:i w:val="0"/>
          <w:color w:val="auto"/>
          <w:sz w:val="24"/>
          <w:szCs w:val="24"/>
          <w:highlight w:val="none"/>
          <w:lang w:eastAsia="zh-CN"/>
        </w:rPr>
        <w:fldChar w:fldCharType="end"/>
      </w:r>
    </w:p>
    <w:p w14:paraId="712C4B99">
      <w:pPr>
        <w:pStyle w:val="23"/>
        <w:tabs>
          <w:tab w:val="right" w:leader="dot" w:pos="9072"/>
        </w:tabs>
        <w:rPr>
          <w:rFonts w:hint="eastAsia" w:ascii="宋体" w:hAnsi="宋体" w:eastAsia="宋体" w:cs="宋体"/>
          <w:b w:val="0"/>
          <w:bCs/>
          <w:i w:val="0"/>
          <w:color w:val="auto"/>
          <w:sz w:val="24"/>
          <w:szCs w:val="24"/>
          <w:highlight w:val="none"/>
          <w:lang w:eastAsia="zh-CN"/>
        </w:rPr>
      </w:pPr>
      <w:r>
        <w:rPr>
          <w:rFonts w:hint="eastAsia" w:ascii="宋体" w:hAnsi="宋体" w:eastAsia="宋体" w:cs="宋体"/>
          <w:bCs/>
          <w:i w:val="0"/>
          <w:color w:val="auto"/>
          <w:szCs w:val="24"/>
          <w:highlight w:val="none"/>
          <w:lang w:eastAsia="zh-CN"/>
        </w:rPr>
        <w:fldChar w:fldCharType="end"/>
      </w:r>
    </w:p>
    <w:p w14:paraId="1B533B58">
      <w:pPr>
        <w:keepNext w:val="0"/>
        <w:keepLines w:val="0"/>
        <w:pageBreakBefore w:val="0"/>
        <w:widowControl w:val="0"/>
        <w:kinsoku/>
        <w:wordWrap/>
        <w:overflowPunct/>
        <w:topLinePunct w:val="0"/>
        <w:autoSpaceDE/>
        <w:autoSpaceDN/>
        <w:bidi w:val="0"/>
        <w:adjustRightInd/>
        <w:snapToGrid/>
        <w:spacing w:after="312" w:afterLines="100" w:line="440" w:lineRule="exact"/>
        <w:jc w:val="center"/>
        <w:textAlignment w:val="auto"/>
        <w:outlineLvl w:val="0"/>
        <w:rPr>
          <w:rStyle w:val="24"/>
          <w:rFonts w:hint="eastAsia"/>
          <w:color w:val="auto"/>
          <w:highlight w:val="none"/>
        </w:rPr>
        <w:sectPr>
          <w:footerReference r:id="rId7" w:type="first"/>
          <w:footerReference r:id="rId6" w:type="default"/>
          <w:pgSz w:w="11905" w:h="16838"/>
          <w:pgMar w:top="1361" w:right="1587" w:bottom="1361" w:left="1587" w:header="454" w:footer="1020" w:gutter="0"/>
          <w:pgBorders>
            <w:top w:val="none" w:sz="0" w:space="0"/>
            <w:left w:val="none" w:sz="0" w:space="0"/>
            <w:bottom w:val="none" w:sz="0" w:space="0"/>
            <w:right w:val="none" w:sz="0" w:space="0"/>
          </w:pgBorders>
          <w:pgNumType w:fmt="decimal" w:start="1"/>
          <w:cols w:space="0" w:num="1"/>
          <w:rtlGutter w:val="0"/>
          <w:docGrid w:type="lines" w:linePitch="330" w:charSpace="0"/>
        </w:sectPr>
      </w:pPr>
      <w:bookmarkStart w:id="0" w:name="_Toc13400"/>
      <w:bookmarkStart w:id="1" w:name="_Toc30104"/>
    </w:p>
    <w:p w14:paraId="61EB5D5C">
      <w:pPr>
        <w:keepNext w:val="0"/>
        <w:keepLines w:val="0"/>
        <w:pageBreakBefore w:val="0"/>
        <w:widowControl w:val="0"/>
        <w:kinsoku/>
        <w:wordWrap/>
        <w:overflowPunct/>
        <w:topLinePunct w:val="0"/>
        <w:autoSpaceDE/>
        <w:autoSpaceDN/>
        <w:bidi w:val="0"/>
        <w:adjustRightInd/>
        <w:snapToGrid/>
        <w:spacing w:after="312" w:afterLines="100" w:line="440" w:lineRule="exact"/>
        <w:jc w:val="center"/>
        <w:textAlignment w:val="auto"/>
        <w:outlineLvl w:val="0"/>
        <w:rPr>
          <w:rFonts w:hint="eastAsia" w:ascii="宋体" w:hAnsi="宋体" w:eastAsia="宋体" w:cs="宋体"/>
          <w:color w:val="auto"/>
          <w:sz w:val="21"/>
          <w:szCs w:val="21"/>
          <w:highlight w:val="none"/>
          <w:lang w:eastAsia="zh-CN"/>
        </w:rPr>
      </w:pPr>
      <w:bookmarkStart w:id="2" w:name="_Toc8974"/>
      <w:r>
        <w:rPr>
          <w:rStyle w:val="24"/>
          <w:rFonts w:hint="eastAsia"/>
          <w:color w:val="auto"/>
          <w:highlight w:val="none"/>
        </w:rPr>
        <w:t>第一章</w:t>
      </w:r>
      <w:r>
        <w:rPr>
          <w:rStyle w:val="24"/>
          <w:rFonts w:hint="eastAsia"/>
          <w:color w:val="auto"/>
          <w:highlight w:val="none"/>
          <w:lang w:val="en-US" w:eastAsia="zh-CN"/>
        </w:rPr>
        <w:t xml:space="preserve"> </w:t>
      </w:r>
      <w:bookmarkEnd w:id="0"/>
      <w:r>
        <w:rPr>
          <w:rStyle w:val="24"/>
          <w:rFonts w:hint="eastAsia"/>
          <w:color w:val="auto"/>
          <w:highlight w:val="none"/>
          <w:lang w:eastAsia="zh-CN"/>
        </w:rPr>
        <w:t>招标公告</w:t>
      </w:r>
      <w:bookmarkEnd w:id="1"/>
      <w:bookmarkEnd w:id="2"/>
    </w:p>
    <w:p w14:paraId="2883D1F1">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bookmarkStart w:id="3" w:name="_Toc123628875"/>
      <w:r>
        <w:rPr>
          <w:rFonts w:hint="eastAsia" w:ascii="宋体" w:hAnsi="宋体" w:eastAsia="宋体" w:cs="宋体"/>
          <w:color w:val="auto"/>
          <w:sz w:val="22"/>
          <w:szCs w:val="22"/>
          <w:highlight w:val="none"/>
        </w:rPr>
        <w:t>为了提高资金效益，切实防范</w:t>
      </w:r>
      <w:r>
        <w:rPr>
          <w:rFonts w:hint="eastAsia" w:ascii="宋体" w:hAnsi="宋体" w:cs="宋体"/>
          <w:color w:val="auto"/>
          <w:sz w:val="22"/>
          <w:szCs w:val="22"/>
          <w:highlight w:val="none"/>
          <w:lang w:eastAsia="zh-CN"/>
        </w:rPr>
        <w:t>资金</w:t>
      </w:r>
      <w:r>
        <w:rPr>
          <w:rFonts w:hint="eastAsia" w:ascii="宋体" w:hAnsi="宋体" w:eastAsia="宋体" w:cs="宋体"/>
          <w:color w:val="auto"/>
          <w:sz w:val="22"/>
          <w:szCs w:val="22"/>
          <w:highlight w:val="none"/>
        </w:rPr>
        <w:t>存放方面的利益输送行为，根据《天台县人民政府办公室关于印发天台县行政事业单位公款竞争性存放管理办法的通知》（天政办发〔20</w:t>
      </w:r>
      <w:r>
        <w:rPr>
          <w:rFonts w:hint="eastAsia" w:ascii="宋体" w:hAnsi="宋体" w:eastAsia="宋体" w:cs="宋体"/>
          <w:color w:val="auto"/>
          <w:sz w:val="22"/>
          <w:szCs w:val="22"/>
          <w:highlight w:val="none"/>
          <w:lang w:val="en-US" w:eastAsia="zh-CN"/>
        </w:rPr>
        <w:t>22</w:t>
      </w:r>
      <w:r>
        <w:rPr>
          <w:rFonts w:hint="eastAsia" w:ascii="宋体" w:hAnsi="宋体" w:eastAsia="宋体" w:cs="宋体"/>
          <w:color w:val="auto"/>
          <w:sz w:val="22"/>
          <w:szCs w:val="22"/>
          <w:highlight w:val="none"/>
        </w:rPr>
        <w:t>〕23号）、《天台县财政局关于印发天台县县级财政专户资金竞争性存放商业银行定期存款业务操作规程的通知》</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天财预执〔20</w:t>
      </w: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〕6号</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等相关规定精神，本着公开、公平、公正、竞争、效益的原则，决定开展</w:t>
      </w:r>
      <w:r>
        <w:rPr>
          <w:rFonts w:hint="eastAsia" w:ascii="宋体" w:hAnsi="宋体" w:cs="宋体"/>
          <w:color w:val="auto"/>
          <w:sz w:val="22"/>
          <w:szCs w:val="22"/>
          <w:highlight w:val="none"/>
          <w:lang w:eastAsia="zh-CN"/>
        </w:rPr>
        <w:t>资金</w:t>
      </w:r>
      <w:r>
        <w:rPr>
          <w:rFonts w:hint="eastAsia" w:ascii="宋体" w:hAnsi="宋体" w:eastAsia="宋体" w:cs="宋体"/>
          <w:color w:val="auto"/>
          <w:sz w:val="22"/>
          <w:szCs w:val="22"/>
          <w:highlight w:val="none"/>
        </w:rPr>
        <w:t>竞争性存放招标工作，欢迎符合条件的银行机构参加投标。</w:t>
      </w:r>
    </w:p>
    <w:p w14:paraId="5EC28415">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42" w:firstLineChars="200"/>
        <w:textAlignment w:val="auto"/>
        <w:outlineLvl w:val="1"/>
        <w:rPr>
          <w:rFonts w:hint="eastAsia" w:ascii="宋体" w:hAnsi="宋体" w:cs="宋体"/>
          <w:b/>
          <w:color w:val="auto"/>
          <w:sz w:val="22"/>
          <w:szCs w:val="22"/>
          <w:highlight w:val="none"/>
          <w:lang w:eastAsia="zh-CN"/>
        </w:rPr>
      </w:pPr>
      <w:r>
        <w:rPr>
          <w:rFonts w:hint="eastAsia" w:ascii="宋体" w:hAnsi="宋体" w:cs="宋体"/>
          <w:b/>
          <w:color w:val="auto"/>
          <w:sz w:val="22"/>
          <w:szCs w:val="22"/>
          <w:highlight w:val="none"/>
          <w:lang w:eastAsia="zh-CN"/>
        </w:rPr>
        <w:t>采购人名称：</w:t>
      </w:r>
      <w:r>
        <w:rPr>
          <w:rFonts w:hint="eastAsia" w:ascii="宋体" w:hAnsi="宋体" w:cs="宋体"/>
          <w:b w:val="0"/>
          <w:bCs/>
          <w:color w:val="auto"/>
          <w:sz w:val="22"/>
          <w:szCs w:val="22"/>
          <w:highlight w:val="none"/>
          <w:u w:val="single"/>
          <w:lang w:eastAsia="zh-CN"/>
        </w:rPr>
        <w:t>台州市住房公积金管理中心天台分中心</w:t>
      </w:r>
    </w:p>
    <w:p w14:paraId="4730F955">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42" w:firstLineChars="200"/>
        <w:textAlignment w:val="auto"/>
        <w:outlineLvl w:val="1"/>
        <w:rPr>
          <w:rFonts w:hint="eastAsia" w:ascii="宋体" w:hAnsi="宋体" w:cs="宋体"/>
          <w:b/>
          <w:color w:val="auto"/>
          <w:sz w:val="22"/>
          <w:szCs w:val="22"/>
          <w:highlight w:val="none"/>
          <w:lang w:eastAsia="zh-CN"/>
        </w:rPr>
      </w:pPr>
      <w:r>
        <w:rPr>
          <w:rFonts w:hint="eastAsia" w:ascii="宋体" w:hAnsi="宋体" w:cs="宋体"/>
          <w:b/>
          <w:color w:val="auto"/>
          <w:sz w:val="22"/>
          <w:szCs w:val="22"/>
          <w:highlight w:val="none"/>
          <w:lang w:eastAsia="zh-CN"/>
        </w:rPr>
        <w:t>项目名称</w:t>
      </w:r>
      <w:r>
        <w:rPr>
          <w:rFonts w:hint="eastAsia" w:ascii="宋体" w:hAnsi="宋体" w:cs="宋体"/>
          <w:b w:val="0"/>
          <w:bCs/>
          <w:color w:val="auto"/>
          <w:sz w:val="22"/>
          <w:szCs w:val="22"/>
          <w:highlight w:val="none"/>
          <w:u w:val="single"/>
          <w:lang w:eastAsia="zh-CN"/>
        </w:rPr>
        <w:t>：台州市住房公积金管理中心天台分中心2025年第一期资金竞争性存放招标（第二次）</w:t>
      </w:r>
    </w:p>
    <w:p w14:paraId="4CB627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2" w:firstLineChars="200"/>
        <w:textAlignment w:val="auto"/>
        <w:outlineLvl w:val="1"/>
        <w:rPr>
          <w:rFonts w:hint="eastAsia" w:ascii="宋体" w:hAnsi="宋体" w:eastAsia="宋体" w:cs="宋体"/>
          <w:color w:val="auto"/>
          <w:sz w:val="22"/>
          <w:szCs w:val="22"/>
          <w:highlight w:val="none"/>
          <w:u w:val="single"/>
          <w:lang w:val="en-US"/>
        </w:rPr>
      </w:pPr>
      <w:r>
        <w:rPr>
          <w:rFonts w:hint="eastAsia" w:ascii="宋体" w:hAnsi="宋体" w:cs="宋体"/>
          <w:b/>
          <w:color w:val="auto"/>
          <w:sz w:val="22"/>
          <w:szCs w:val="22"/>
          <w:highlight w:val="none"/>
          <w:lang w:eastAsia="zh-CN"/>
        </w:rPr>
        <w:t>三、项目编号：</w:t>
      </w:r>
      <w:r>
        <w:rPr>
          <w:rFonts w:hint="eastAsia" w:ascii="宋体" w:hAnsi="宋体" w:cs="宋体"/>
          <w:color w:val="auto"/>
          <w:sz w:val="22"/>
          <w:szCs w:val="22"/>
          <w:highlight w:val="none"/>
          <w:u w:val="single"/>
          <w:lang w:val="en-US" w:eastAsia="zh-CN"/>
        </w:rPr>
        <w:t>CTZB-2025060353A</w:t>
      </w:r>
    </w:p>
    <w:p w14:paraId="4B4789C3">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outlineLvl w:val="1"/>
        <w:rPr>
          <w:rFonts w:hint="eastAsia" w:ascii="宋体" w:hAnsi="宋体" w:cs="宋体"/>
          <w:b/>
          <w:color w:val="auto"/>
          <w:sz w:val="22"/>
          <w:szCs w:val="22"/>
          <w:highlight w:val="none"/>
          <w:lang w:eastAsia="zh-CN"/>
        </w:rPr>
      </w:pPr>
      <w:r>
        <w:rPr>
          <w:rFonts w:hint="eastAsia" w:ascii="宋体" w:hAnsi="宋体" w:cs="宋体"/>
          <w:b/>
          <w:color w:val="auto"/>
          <w:sz w:val="22"/>
          <w:szCs w:val="22"/>
          <w:highlight w:val="none"/>
          <w:lang w:eastAsia="zh-CN"/>
        </w:rPr>
        <w:t>四</w:t>
      </w:r>
      <w:r>
        <w:rPr>
          <w:rFonts w:hint="eastAsia" w:ascii="宋体" w:hAnsi="宋体" w:eastAsia="宋体" w:cs="宋体"/>
          <w:b/>
          <w:color w:val="auto"/>
          <w:sz w:val="22"/>
          <w:szCs w:val="22"/>
          <w:highlight w:val="none"/>
        </w:rPr>
        <w:t>、</w:t>
      </w:r>
      <w:r>
        <w:rPr>
          <w:rFonts w:hint="eastAsia" w:ascii="宋体" w:hAnsi="宋体" w:cs="宋体"/>
          <w:b/>
          <w:color w:val="auto"/>
          <w:sz w:val="22"/>
          <w:szCs w:val="22"/>
          <w:highlight w:val="none"/>
          <w:lang w:eastAsia="zh-CN"/>
        </w:rPr>
        <w:t>招标项目内容</w:t>
      </w:r>
    </w:p>
    <w:tbl>
      <w:tblPr>
        <w:tblStyle w:val="20"/>
        <w:tblW w:w="94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15"/>
        <w:gridCol w:w="1565"/>
        <w:gridCol w:w="1125"/>
        <w:gridCol w:w="91"/>
        <w:gridCol w:w="698"/>
        <w:gridCol w:w="4014"/>
      </w:tblGrid>
      <w:tr w14:paraId="5330D5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15" w:type="dxa"/>
            <w:tcBorders>
              <w:tl2br w:val="nil"/>
              <w:tr2bl w:val="nil"/>
            </w:tcBorders>
            <w:vAlign w:val="center"/>
          </w:tcPr>
          <w:p w14:paraId="00C747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标段</w:t>
            </w:r>
          </w:p>
        </w:tc>
        <w:tc>
          <w:tcPr>
            <w:tcW w:w="1215" w:type="dxa"/>
            <w:tcBorders>
              <w:tl2br w:val="nil"/>
              <w:tr2bl w:val="nil"/>
            </w:tcBorders>
            <w:vAlign w:val="center"/>
          </w:tcPr>
          <w:p w14:paraId="13DF8A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招标内容</w:t>
            </w:r>
          </w:p>
        </w:tc>
        <w:tc>
          <w:tcPr>
            <w:tcW w:w="1565" w:type="dxa"/>
            <w:tcBorders>
              <w:tl2br w:val="nil"/>
              <w:tr2bl w:val="nil"/>
            </w:tcBorders>
            <w:vAlign w:val="center"/>
          </w:tcPr>
          <w:p w14:paraId="10A355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存放资金金额</w:t>
            </w:r>
          </w:p>
        </w:tc>
        <w:tc>
          <w:tcPr>
            <w:tcW w:w="1125" w:type="dxa"/>
            <w:tcBorders>
              <w:tl2br w:val="nil"/>
              <w:tr2bl w:val="nil"/>
            </w:tcBorders>
            <w:vAlign w:val="center"/>
          </w:tcPr>
          <w:p w14:paraId="51711D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存放期限</w:t>
            </w:r>
          </w:p>
        </w:tc>
        <w:tc>
          <w:tcPr>
            <w:tcW w:w="789" w:type="dxa"/>
            <w:gridSpan w:val="2"/>
            <w:tcBorders>
              <w:tl2br w:val="nil"/>
              <w:tr2bl w:val="nil"/>
            </w:tcBorders>
            <w:vAlign w:val="center"/>
          </w:tcPr>
          <w:p w14:paraId="167889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中标数量</w:t>
            </w:r>
          </w:p>
        </w:tc>
        <w:tc>
          <w:tcPr>
            <w:tcW w:w="4014" w:type="dxa"/>
            <w:tcBorders>
              <w:tl2br w:val="nil"/>
              <w:tr2bl w:val="nil"/>
            </w:tcBorders>
            <w:vAlign w:val="center"/>
          </w:tcPr>
          <w:p w14:paraId="2A18C6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招标底价</w:t>
            </w:r>
          </w:p>
        </w:tc>
      </w:tr>
      <w:tr w14:paraId="5656DC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tcBorders>
              <w:tl2br w:val="nil"/>
              <w:tr2bl w:val="nil"/>
            </w:tcBorders>
            <w:vAlign w:val="center"/>
          </w:tcPr>
          <w:p w14:paraId="2087F7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一</w:t>
            </w:r>
          </w:p>
        </w:tc>
        <w:tc>
          <w:tcPr>
            <w:tcW w:w="1215" w:type="dxa"/>
            <w:tcBorders>
              <w:tl2br w:val="nil"/>
              <w:tr2bl w:val="nil"/>
            </w:tcBorders>
            <w:vAlign w:val="center"/>
          </w:tcPr>
          <w:p w14:paraId="5A6E2D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资金竞争性存放</w:t>
            </w:r>
          </w:p>
        </w:tc>
        <w:tc>
          <w:tcPr>
            <w:tcW w:w="1565" w:type="dxa"/>
            <w:tcBorders>
              <w:tl2br w:val="nil"/>
              <w:tr2bl w:val="nil"/>
            </w:tcBorders>
            <w:vAlign w:val="center"/>
          </w:tcPr>
          <w:p w14:paraId="4A6E4B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42300万元</w:t>
            </w:r>
          </w:p>
        </w:tc>
        <w:tc>
          <w:tcPr>
            <w:tcW w:w="1125" w:type="dxa"/>
            <w:tcBorders>
              <w:tl2br w:val="nil"/>
              <w:tr2bl w:val="nil"/>
            </w:tcBorders>
            <w:vAlign w:val="center"/>
          </w:tcPr>
          <w:p w14:paraId="7283A4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十二个月</w:t>
            </w:r>
          </w:p>
        </w:tc>
        <w:tc>
          <w:tcPr>
            <w:tcW w:w="789" w:type="dxa"/>
            <w:gridSpan w:val="2"/>
            <w:tcBorders>
              <w:tl2br w:val="nil"/>
              <w:tr2bl w:val="nil"/>
            </w:tcBorders>
            <w:vAlign w:val="center"/>
          </w:tcPr>
          <w:p w14:paraId="3F3283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6家银行</w:t>
            </w:r>
          </w:p>
        </w:tc>
        <w:tc>
          <w:tcPr>
            <w:tcW w:w="4014" w:type="dxa"/>
            <w:tcBorders>
              <w:tl2br w:val="nil"/>
              <w:tr2bl w:val="nil"/>
            </w:tcBorders>
            <w:vAlign w:val="center"/>
          </w:tcPr>
          <w:p w14:paraId="4D517F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vertAlign w:val="baseline"/>
                <w:lang w:val="en-US" w:eastAsia="zh-CN"/>
              </w:rPr>
              <w:t>较一年期定期存款基准利率上浮不低于-40BP，定期存款年利率不低于1.10%</w:t>
            </w:r>
          </w:p>
        </w:tc>
      </w:tr>
      <w:tr w14:paraId="531FF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423" w:type="dxa"/>
            <w:gridSpan w:val="7"/>
            <w:tcBorders>
              <w:tl2br w:val="nil"/>
              <w:tr2bl w:val="nil"/>
            </w:tcBorders>
            <w:vAlign w:val="center"/>
          </w:tcPr>
          <w:p w14:paraId="7AB179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中标银行资金分配</w:t>
            </w:r>
          </w:p>
        </w:tc>
      </w:tr>
      <w:tr w14:paraId="00A200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711" w:type="dxa"/>
            <w:gridSpan w:val="5"/>
            <w:tcBorders>
              <w:tl2br w:val="nil"/>
              <w:tr2bl w:val="nil"/>
            </w:tcBorders>
            <w:vAlign w:val="center"/>
          </w:tcPr>
          <w:p w14:paraId="3D83C6E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第一中标候选银行分配金额为10300万元；</w:t>
            </w:r>
          </w:p>
          <w:p w14:paraId="6EB81FE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第二中标候选银行分配金额为9000万元；</w:t>
            </w:r>
          </w:p>
          <w:p w14:paraId="32174F1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第三中标候选银行分配金额为8000万元；</w:t>
            </w:r>
          </w:p>
        </w:tc>
        <w:tc>
          <w:tcPr>
            <w:tcW w:w="4712" w:type="dxa"/>
            <w:gridSpan w:val="2"/>
            <w:tcBorders>
              <w:tl2br w:val="nil"/>
              <w:tr2bl w:val="nil"/>
            </w:tcBorders>
            <w:vAlign w:val="center"/>
          </w:tcPr>
          <w:p w14:paraId="46BF86E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第四中标候选银行分配金额为6000万元；</w:t>
            </w:r>
          </w:p>
          <w:p w14:paraId="1E40466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第五中标候选银行分配金额为5000万元；</w:t>
            </w:r>
          </w:p>
          <w:p w14:paraId="60B94F7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第六中标候选银行分配金额为4000万元</w:t>
            </w:r>
            <w:r>
              <w:rPr>
                <w:rFonts w:hint="default" w:ascii="宋体" w:hAnsi="宋体" w:cs="宋体"/>
                <w:color w:val="auto"/>
                <w:sz w:val="22"/>
                <w:szCs w:val="22"/>
                <w:highlight w:val="none"/>
                <w:lang w:val="en-US" w:eastAsia="zh-CN"/>
              </w:rPr>
              <w:t>；</w:t>
            </w:r>
          </w:p>
        </w:tc>
      </w:tr>
    </w:tbl>
    <w:p w14:paraId="47D50AD7">
      <w:pPr>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outlineLvl w:val="1"/>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五</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lang w:eastAsia="zh-CN"/>
        </w:rPr>
        <w:t>竞标银行</w:t>
      </w:r>
      <w:r>
        <w:rPr>
          <w:rFonts w:hint="eastAsia" w:ascii="宋体" w:hAnsi="宋体" w:eastAsia="宋体" w:cs="宋体"/>
          <w:b/>
          <w:color w:val="auto"/>
          <w:sz w:val="22"/>
          <w:szCs w:val="22"/>
          <w:highlight w:val="none"/>
          <w:lang w:eastAsia="zh-CN"/>
        </w:rPr>
        <w:t>资格要求</w:t>
      </w:r>
    </w:p>
    <w:p w14:paraId="27EC5455">
      <w:pPr>
        <w:keepNext w:val="0"/>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在中华人民共和国境内依法设立的商业银行、农村信用合作联社等银行业金融机构。银行参与投标应符合以下条件：</w:t>
      </w:r>
    </w:p>
    <w:p w14:paraId="22C36913">
      <w:pPr>
        <w:keepNext w:val="0"/>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1、在天台县设有分支机构；</w:t>
      </w:r>
    </w:p>
    <w:p w14:paraId="0EE10E71">
      <w:pPr>
        <w:keepNext w:val="0"/>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2、依法开展经营活动，近3年内在经营活动中无重大违法违规记录及重大违约事件。</w:t>
      </w:r>
    </w:p>
    <w:p w14:paraId="34B9AF49">
      <w:pPr>
        <w:keepNext w:val="0"/>
        <w:keepLines w:val="0"/>
        <w:pageBreakBefore w:val="0"/>
        <w:widowControl w:val="0"/>
        <w:kinsoku/>
        <w:wordWrap/>
        <w:overflowPunct/>
        <w:topLinePunct w:val="0"/>
        <w:autoSpaceDE/>
        <w:autoSpaceDN/>
        <w:bidi w:val="0"/>
        <w:spacing w:line="440" w:lineRule="exact"/>
        <w:ind w:firstLine="440" w:firstLineChars="200"/>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纳入人民银行台州市分行综合评价的银行，上年度综合评价应达到B级及以上，不纳入人民银行台州市分行综合评价范围的银行不受此限制（如人民银行台州市分行未对投标人的支行作出综合评价，投标人可采用上级分行的综合评价材料）。</w:t>
      </w:r>
    </w:p>
    <w:p w14:paraId="59809E43">
      <w:pPr>
        <w:keepNext w:val="0"/>
        <w:keepLines w:val="0"/>
        <w:pageBreakBefore w:val="0"/>
        <w:widowControl w:val="0"/>
        <w:kinsoku/>
        <w:wordWrap/>
        <w:overflowPunct/>
        <w:topLinePunct w:val="0"/>
        <w:autoSpaceDE/>
        <w:autoSpaceDN/>
        <w:bidi w:val="0"/>
        <w:spacing w:line="440" w:lineRule="exact"/>
        <w:ind w:firstLine="442" w:firstLineChars="200"/>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4、经台州市住房公积金管理委员会批准的住房公积金业务受托银行，分别是中国银行股份有限公司天台县支行、中国工商银行股份有限公司天台支行、中国农业银行股份有限公司天台县支行、中国建设银行股份有限公司天台支行、中国邮政储蓄银行股份有限公司天台县支行、浙江天台农村商业银行股份有限公司、浙商银行股份有限公司台州天台支行。</w:t>
      </w:r>
    </w:p>
    <w:p w14:paraId="7E0ED5D2">
      <w:pPr>
        <w:keepNext w:val="0"/>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本项目不接受联合体投标</w:t>
      </w:r>
      <w:r>
        <w:rPr>
          <w:rFonts w:hint="eastAsia" w:ascii="宋体" w:hAnsi="宋体" w:cs="宋体"/>
          <w:color w:val="auto"/>
          <w:sz w:val="22"/>
          <w:szCs w:val="22"/>
          <w:highlight w:val="none"/>
          <w:lang w:eastAsia="zh-CN"/>
        </w:rPr>
        <w:t>，且</w:t>
      </w:r>
      <w:r>
        <w:rPr>
          <w:rFonts w:hint="eastAsia" w:ascii="宋体" w:hAnsi="宋体" w:eastAsia="宋体" w:cs="宋体"/>
          <w:color w:val="auto"/>
          <w:sz w:val="22"/>
          <w:szCs w:val="22"/>
          <w:highlight w:val="none"/>
          <w:lang w:eastAsia="zh-CN"/>
        </w:rPr>
        <w:t>每家银行只能有一个主体参与投标。</w:t>
      </w:r>
    </w:p>
    <w:p w14:paraId="5BF65E89">
      <w:pPr>
        <w:keepNext w:val="0"/>
        <w:keepLines w:val="0"/>
        <w:pageBreakBefore w:val="0"/>
        <w:widowControl w:val="0"/>
        <w:kinsoku/>
        <w:wordWrap/>
        <w:overflowPunct/>
        <w:topLinePunct w:val="0"/>
        <w:autoSpaceDE/>
        <w:autoSpaceDN/>
        <w:bidi w:val="0"/>
        <w:spacing w:line="440" w:lineRule="exact"/>
        <w:ind w:left="989" w:leftChars="228" w:hanging="442" w:hangingChars="200"/>
        <w:textAlignment w:val="auto"/>
        <w:outlineLvl w:val="1"/>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六</w:t>
      </w:r>
      <w:r>
        <w:rPr>
          <w:rFonts w:hint="eastAsia" w:ascii="宋体" w:hAnsi="宋体" w:eastAsia="宋体" w:cs="宋体"/>
          <w:b/>
          <w:color w:val="auto"/>
          <w:sz w:val="22"/>
          <w:szCs w:val="22"/>
          <w:highlight w:val="none"/>
          <w:lang w:eastAsia="zh-CN"/>
        </w:rPr>
        <w:t>、采购文件获取及报名的时间、方式</w:t>
      </w:r>
    </w:p>
    <w:p w14:paraId="413BBA06">
      <w:pPr>
        <w:keepNext w:val="0"/>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cs="宋体"/>
          <w:b w:val="0"/>
          <w:bCs w:val="0"/>
          <w:color w:val="auto"/>
          <w:sz w:val="22"/>
          <w:szCs w:val="22"/>
          <w:highlight w:val="none"/>
          <w:lang w:eastAsia="zh-CN"/>
        </w:rPr>
        <w:t>、</w:t>
      </w:r>
      <w:r>
        <w:rPr>
          <w:rFonts w:hint="eastAsia" w:ascii="宋体" w:hAnsi="宋体" w:eastAsia="宋体" w:cs="宋体"/>
          <w:color w:val="auto"/>
          <w:sz w:val="22"/>
          <w:szCs w:val="22"/>
          <w:highlight w:val="none"/>
        </w:rPr>
        <w:t>报名时间</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u w:val="single"/>
        </w:rPr>
        <w:t>20</w:t>
      </w:r>
      <w:r>
        <w:rPr>
          <w:rFonts w:hint="eastAsia" w:ascii="宋体" w:hAnsi="宋体" w:eastAsia="宋体" w:cs="宋体"/>
          <w:b w:val="0"/>
          <w:bCs w:val="0"/>
          <w:color w:val="auto"/>
          <w:sz w:val="22"/>
          <w:szCs w:val="22"/>
          <w:highlight w:val="none"/>
          <w:u w:val="single"/>
          <w:lang w:val="en-US" w:eastAsia="zh-CN"/>
        </w:rPr>
        <w:t>2</w:t>
      </w:r>
      <w:r>
        <w:rPr>
          <w:rFonts w:hint="eastAsia" w:ascii="宋体" w:hAnsi="宋体" w:cs="宋体"/>
          <w:b w:val="0"/>
          <w:bCs w:val="0"/>
          <w:color w:val="auto"/>
          <w:sz w:val="22"/>
          <w:szCs w:val="22"/>
          <w:highlight w:val="none"/>
          <w:u w:val="single"/>
          <w:lang w:val="en-US" w:eastAsia="zh-CN"/>
        </w:rPr>
        <w:t>5</w:t>
      </w:r>
      <w:r>
        <w:rPr>
          <w:rFonts w:hint="eastAsia" w:ascii="宋体" w:hAnsi="宋体" w:eastAsia="宋体" w:cs="宋体"/>
          <w:b w:val="0"/>
          <w:bCs w:val="0"/>
          <w:color w:val="auto"/>
          <w:sz w:val="22"/>
          <w:szCs w:val="22"/>
          <w:highlight w:val="none"/>
        </w:rPr>
        <w:t>年</w:t>
      </w:r>
      <w:r>
        <w:rPr>
          <w:rFonts w:hint="eastAsia" w:ascii="宋体" w:hAnsi="宋体" w:cs="宋体"/>
          <w:b w:val="0"/>
          <w:bCs w:val="0"/>
          <w:color w:val="auto"/>
          <w:sz w:val="22"/>
          <w:szCs w:val="22"/>
          <w:highlight w:val="none"/>
          <w:u w:val="single"/>
          <w:lang w:val="en-US" w:eastAsia="zh-CN"/>
        </w:rPr>
        <w:t xml:space="preserve"> 7 </w:t>
      </w:r>
      <w:r>
        <w:rPr>
          <w:rFonts w:hint="eastAsia" w:ascii="宋体" w:hAnsi="宋体" w:eastAsia="宋体" w:cs="宋体"/>
          <w:b w:val="0"/>
          <w:bCs w:val="0"/>
          <w:color w:val="auto"/>
          <w:sz w:val="22"/>
          <w:szCs w:val="22"/>
          <w:highlight w:val="none"/>
        </w:rPr>
        <w:t>月</w:t>
      </w:r>
      <w:r>
        <w:rPr>
          <w:rFonts w:hint="eastAsia" w:ascii="宋体" w:hAnsi="宋体" w:cs="宋体"/>
          <w:b w:val="0"/>
          <w:bCs w:val="0"/>
          <w:color w:val="auto"/>
          <w:sz w:val="22"/>
          <w:szCs w:val="22"/>
          <w:highlight w:val="none"/>
          <w:u w:val="single"/>
          <w:lang w:val="en-US" w:eastAsia="zh-CN"/>
        </w:rPr>
        <w:t xml:space="preserve"> 4</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日</w:t>
      </w:r>
      <w:r>
        <w:rPr>
          <w:rFonts w:hint="eastAsia" w:ascii="宋体" w:hAnsi="宋体" w:cs="宋体"/>
          <w:b w:val="0"/>
          <w:bCs w:val="0"/>
          <w:color w:val="auto"/>
          <w:sz w:val="22"/>
          <w:szCs w:val="22"/>
          <w:highlight w:val="none"/>
          <w:lang w:val="en-US" w:eastAsia="zh-CN"/>
        </w:rPr>
        <w:t>至</w:t>
      </w:r>
      <w:r>
        <w:rPr>
          <w:rFonts w:hint="eastAsia" w:ascii="宋体" w:hAnsi="宋体" w:eastAsia="宋体" w:cs="宋体"/>
          <w:b w:val="0"/>
          <w:bCs w:val="0"/>
          <w:color w:val="auto"/>
          <w:sz w:val="22"/>
          <w:szCs w:val="22"/>
          <w:highlight w:val="none"/>
          <w:u w:val="single"/>
        </w:rPr>
        <w:t>20</w:t>
      </w:r>
      <w:r>
        <w:rPr>
          <w:rFonts w:hint="eastAsia" w:ascii="宋体" w:hAnsi="宋体" w:eastAsia="宋体" w:cs="宋体"/>
          <w:b w:val="0"/>
          <w:bCs w:val="0"/>
          <w:color w:val="auto"/>
          <w:sz w:val="22"/>
          <w:szCs w:val="22"/>
          <w:highlight w:val="none"/>
          <w:u w:val="single"/>
          <w:lang w:val="en-US" w:eastAsia="zh-CN"/>
        </w:rPr>
        <w:t>2</w:t>
      </w:r>
      <w:r>
        <w:rPr>
          <w:rFonts w:hint="eastAsia" w:ascii="宋体" w:hAnsi="宋体" w:cs="宋体"/>
          <w:b w:val="0"/>
          <w:bCs w:val="0"/>
          <w:color w:val="auto"/>
          <w:sz w:val="22"/>
          <w:szCs w:val="22"/>
          <w:highlight w:val="none"/>
          <w:u w:val="single"/>
          <w:lang w:val="en-US" w:eastAsia="zh-CN"/>
        </w:rPr>
        <w:t>5</w:t>
      </w:r>
      <w:r>
        <w:rPr>
          <w:rFonts w:hint="eastAsia" w:ascii="宋体" w:hAnsi="宋体" w:eastAsia="宋体" w:cs="宋体"/>
          <w:b w:val="0"/>
          <w:bCs w:val="0"/>
          <w:color w:val="auto"/>
          <w:sz w:val="22"/>
          <w:szCs w:val="22"/>
          <w:highlight w:val="none"/>
        </w:rPr>
        <w:t>年</w:t>
      </w:r>
      <w:r>
        <w:rPr>
          <w:rFonts w:hint="eastAsia" w:ascii="宋体" w:hAnsi="宋体" w:cs="宋体"/>
          <w:b w:val="0"/>
          <w:bCs w:val="0"/>
          <w:color w:val="auto"/>
          <w:sz w:val="22"/>
          <w:szCs w:val="22"/>
          <w:highlight w:val="none"/>
          <w:u w:val="single"/>
          <w:lang w:val="en-US" w:eastAsia="zh-CN"/>
        </w:rPr>
        <w:t xml:space="preserve"> 7 </w:t>
      </w:r>
      <w:r>
        <w:rPr>
          <w:rFonts w:hint="eastAsia" w:ascii="宋体" w:hAnsi="宋体" w:eastAsia="宋体" w:cs="宋体"/>
          <w:b w:val="0"/>
          <w:bCs w:val="0"/>
          <w:color w:val="auto"/>
          <w:sz w:val="22"/>
          <w:szCs w:val="22"/>
          <w:highlight w:val="none"/>
        </w:rPr>
        <w:t>月</w:t>
      </w:r>
      <w:r>
        <w:rPr>
          <w:rFonts w:hint="eastAsia" w:ascii="宋体" w:hAnsi="宋体" w:cs="宋体"/>
          <w:b w:val="0"/>
          <w:bCs w:val="0"/>
          <w:color w:val="auto"/>
          <w:sz w:val="22"/>
          <w:szCs w:val="22"/>
          <w:highlight w:val="none"/>
          <w:u w:val="single"/>
          <w:lang w:val="en-US" w:eastAsia="zh-CN"/>
        </w:rPr>
        <w:t xml:space="preserve"> 11</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日</w:t>
      </w:r>
      <w:r>
        <w:rPr>
          <w:rFonts w:hint="eastAsia" w:ascii="宋体" w:hAnsi="宋体" w:cs="宋体"/>
          <w:b w:val="0"/>
          <w:bCs w:val="0"/>
          <w:color w:val="auto"/>
          <w:sz w:val="22"/>
          <w:szCs w:val="22"/>
          <w:highlight w:val="none"/>
          <w:u w:val="single"/>
          <w:lang w:val="en-US" w:eastAsia="zh-CN"/>
        </w:rPr>
        <w:t>17</w:t>
      </w:r>
      <w:r>
        <w:rPr>
          <w:rFonts w:hint="eastAsia" w:ascii="宋体" w:hAnsi="宋体" w:cs="宋体"/>
          <w:b w:val="0"/>
          <w:bCs w:val="0"/>
          <w:color w:val="auto"/>
          <w:sz w:val="22"/>
          <w:szCs w:val="22"/>
          <w:highlight w:val="none"/>
          <w:lang w:val="en-US" w:eastAsia="zh-CN"/>
        </w:rPr>
        <w:t>时</w:t>
      </w:r>
      <w:r>
        <w:rPr>
          <w:rFonts w:hint="eastAsia" w:ascii="宋体" w:hAnsi="宋体" w:cs="宋体"/>
          <w:b w:val="0"/>
          <w:bCs w:val="0"/>
          <w:color w:val="auto"/>
          <w:sz w:val="22"/>
          <w:szCs w:val="22"/>
          <w:highlight w:val="none"/>
          <w:u w:val="single"/>
          <w:lang w:val="en-US" w:eastAsia="zh-CN"/>
        </w:rPr>
        <w:t>00</w:t>
      </w:r>
      <w:r>
        <w:rPr>
          <w:rFonts w:hint="eastAsia" w:ascii="宋体" w:hAnsi="宋体" w:cs="宋体"/>
          <w:b w:val="0"/>
          <w:bCs w:val="0"/>
          <w:color w:val="auto"/>
          <w:sz w:val="22"/>
          <w:szCs w:val="22"/>
          <w:highlight w:val="none"/>
          <w:lang w:val="en-US" w:eastAsia="zh-CN"/>
        </w:rPr>
        <w:t>分（期间</w:t>
      </w:r>
      <w:r>
        <w:rPr>
          <w:rFonts w:hint="eastAsia" w:ascii="宋体" w:hAnsi="宋体" w:eastAsia="宋体" w:cs="宋体"/>
          <w:b w:val="0"/>
          <w:bCs w:val="0"/>
          <w:color w:val="auto"/>
          <w:sz w:val="22"/>
          <w:szCs w:val="22"/>
          <w:highlight w:val="none"/>
        </w:rPr>
        <w:t>每天上午00:00至12:00，下午12:00至23:59</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（北京时间，线上获取法定节假日均可，线下</w:t>
      </w:r>
      <w:r>
        <w:rPr>
          <w:rFonts w:hint="eastAsia" w:ascii="宋体" w:hAnsi="宋体" w:eastAsia="宋体" w:cs="宋体"/>
          <w:color w:val="auto"/>
          <w:sz w:val="22"/>
          <w:szCs w:val="22"/>
          <w:highlight w:val="none"/>
        </w:rPr>
        <w:t>获取文件法定节假日除外）；</w:t>
      </w:r>
    </w:p>
    <w:p w14:paraId="484CA468">
      <w:pPr>
        <w:keepNext w:val="0"/>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eastAsia="zh-CN"/>
        </w:rPr>
        <w:t>、报名方式</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本项目实行网上报名，不接受现场报名。报名银行须登录政府采购云平台（https://www.zcygov.cn）</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进入公款竞争性存放招标系统（以下简称“招标系统”），在“竞标项目</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进行中”标签页下，选择状态为“未报名”的项目，点击操作栏【报名】按钮进行报名。报名成功后联系人会收到短信通知，逾期报名视为未报名。（公告规定的</w:t>
      </w:r>
      <w:r>
        <w:rPr>
          <w:rFonts w:hint="eastAsia" w:ascii="宋体" w:hAnsi="宋体" w:cs="宋体"/>
          <w:color w:val="auto"/>
          <w:sz w:val="22"/>
          <w:szCs w:val="22"/>
          <w:highlight w:val="none"/>
          <w:u w:val="single"/>
          <w:lang w:eastAsia="zh-CN"/>
        </w:rPr>
        <w:t>采购文件</w:t>
      </w:r>
      <w:r>
        <w:rPr>
          <w:rFonts w:hint="eastAsia" w:ascii="宋体" w:hAnsi="宋体" w:eastAsia="宋体" w:cs="宋体"/>
          <w:color w:val="auto"/>
          <w:sz w:val="22"/>
          <w:szCs w:val="22"/>
          <w:highlight w:val="none"/>
          <w:u w:val="single"/>
        </w:rPr>
        <w:t>获取方式为依法获取</w:t>
      </w:r>
      <w:r>
        <w:rPr>
          <w:rFonts w:hint="eastAsia" w:ascii="宋体" w:hAnsi="宋体" w:cs="宋体"/>
          <w:color w:val="auto"/>
          <w:sz w:val="22"/>
          <w:szCs w:val="22"/>
          <w:highlight w:val="none"/>
          <w:u w:val="single"/>
          <w:lang w:eastAsia="zh-CN"/>
        </w:rPr>
        <w:t>采购文件</w:t>
      </w:r>
      <w:r>
        <w:rPr>
          <w:rFonts w:hint="eastAsia" w:ascii="宋体" w:hAnsi="宋体" w:eastAsia="宋体" w:cs="宋体"/>
          <w:color w:val="auto"/>
          <w:sz w:val="22"/>
          <w:szCs w:val="22"/>
          <w:highlight w:val="none"/>
          <w:u w:val="single"/>
        </w:rPr>
        <w:t>的方式，未按照公告规定的方式获取</w:t>
      </w:r>
      <w:r>
        <w:rPr>
          <w:rFonts w:hint="eastAsia" w:ascii="宋体" w:hAnsi="宋体" w:cs="宋体"/>
          <w:color w:val="auto"/>
          <w:sz w:val="22"/>
          <w:szCs w:val="22"/>
          <w:highlight w:val="none"/>
          <w:u w:val="single"/>
          <w:lang w:eastAsia="zh-CN"/>
        </w:rPr>
        <w:t>采购文件</w:t>
      </w:r>
      <w:r>
        <w:rPr>
          <w:rFonts w:hint="eastAsia" w:ascii="宋体" w:hAnsi="宋体" w:eastAsia="宋体" w:cs="宋体"/>
          <w:color w:val="auto"/>
          <w:sz w:val="22"/>
          <w:szCs w:val="22"/>
          <w:highlight w:val="none"/>
          <w:u w:val="single"/>
        </w:rPr>
        <w:t>的，不得对</w:t>
      </w:r>
      <w:r>
        <w:rPr>
          <w:rFonts w:hint="eastAsia" w:ascii="宋体" w:hAnsi="宋体" w:cs="宋体"/>
          <w:color w:val="auto"/>
          <w:sz w:val="22"/>
          <w:szCs w:val="22"/>
          <w:highlight w:val="none"/>
          <w:u w:val="single"/>
          <w:lang w:eastAsia="zh-CN"/>
        </w:rPr>
        <w:t>采购文件</w:t>
      </w:r>
      <w:r>
        <w:rPr>
          <w:rFonts w:hint="eastAsia" w:ascii="宋体" w:hAnsi="宋体" w:eastAsia="宋体" w:cs="宋体"/>
          <w:color w:val="auto"/>
          <w:sz w:val="22"/>
          <w:szCs w:val="22"/>
          <w:highlight w:val="none"/>
          <w:u w:val="single"/>
        </w:rPr>
        <w:t>提起质疑、投诉。）</w:t>
      </w:r>
    </w:p>
    <w:p w14:paraId="64961C35">
      <w:pPr>
        <w:keepNext w:val="0"/>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宋体" w:hAnsi="宋体" w:eastAsia="宋体" w:cs="宋体"/>
          <w:color w:val="auto"/>
          <w:sz w:val="22"/>
          <w:szCs w:val="22"/>
          <w:highlight w:val="none"/>
          <w:u w:val="single"/>
          <w:lang w:val="en-US" w:eastAsia="zh-CN"/>
        </w:rPr>
      </w:pPr>
      <w:r>
        <w:rPr>
          <w:rFonts w:hint="eastAsia" w:ascii="宋体" w:hAnsi="宋体" w:cs="宋体"/>
          <w:color w:val="auto"/>
          <w:sz w:val="22"/>
          <w:szCs w:val="22"/>
          <w:highlight w:val="none"/>
          <w:u w:val="none"/>
          <w:lang w:val="en-US" w:eastAsia="zh-CN"/>
        </w:rPr>
        <w:t>3、</w:t>
      </w:r>
      <w:r>
        <w:rPr>
          <w:rFonts w:hint="eastAsia" w:ascii="宋体" w:hAnsi="宋体" w:cs="宋体"/>
          <w:color w:val="auto"/>
          <w:sz w:val="22"/>
          <w:szCs w:val="22"/>
          <w:highlight w:val="none"/>
          <w:u w:val="none"/>
          <w:lang w:eastAsia="zh-CN"/>
        </w:rPr>
        <w:t>采购文件获取方式：</w:t>
      </w:r>
      <w:r>
        <w:rPr>
          <w:rFonts w:hint="eastAsia" w:ascii="宋体" w:hAnsi="宋体" w:cs="宋体"/>
          <w:color w:val="auto"/>
          <w:sz w:val="22"/>
          <w:szCs w:val="22"/>
          <w:highlight w:val="none"/>
          <w:u w:val="single"/>
          <w:lang w:eastAsia="zh-CN"/>
        </w:rPr>
        <w:t>报名成功后可在线查阅采购文件。</w:t>
      </w:r>
    </w:p>
    <w:p w14:paraId="7690E7C5">
      <w:pPr>
        <w:keepNext w:val="0"/>
        <w:keepLines w:val="0"/>
        <w:pageBreakBefore w:val="0"/>
        <w:widowControl w:val="0"/>
        <w:kinsoku/>
        <w:wordWrap/>
        <w:overflowPunct/>
        <w:topLinePunct w:val="0"/>
        <w:autoSpaceDE/>
        <w:autoSpaceDN/>
        <w:bidi w:val="0"/>
        <w:spacing w:line="440" w:lineRule="exact"/>
        <w:ind w:left="989" w:leftChars="228" w:hanging="442" w:hangingChars="200"/>
        <w:textAlignment w:val="auto"/>
        <w:outlineLvl w:val="1"/>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七</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lang w:eastAsia="zh-CN"/>
        </w:rPr>
        <w:t>投标须知</w:t>
      </w:r>
    </w:p>
    <w:p w14:paraId="5ED5E44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u w:val="none"/>
          <w:lang w:val="en-US" w:eastAsia="zh-CN"/>
        </w:rPr>
        <w:t>1、招标信息发布媒介：</w:t>
      </w:r>
      <w:r>
        <w:rPr>
          <w:rFonts w:hint="eastAsia" w:ascii="宋体" w:hAnsi="宋体" w:cs="宋体"/>
          <w:color w:val="auto"/>
          <w:sz w:val="22"/>
          <w:szCs w:val="22"/>
          <w:highlight w:val="none"/>
          <w:u w:val="single"/>
          <w:lang w:val="en-US" w:eastAsia="zh-CN"/>
        </w:rPr>
        <w:t>浙江政府采购网（网址：https://zfcg.czt.zj.gov.cn）、天台县人民政府门户公共资源交易（网址：http://www.zjtt.gov.cn/col/col1659806/index.html）。</w:t>
      </w:r>
    </w:p>
    <w:p w14:paraId="6997E1C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2、在线投标响应（电子投标）说明：</w:t>
      </w:r>
    </w:p>
    <w:p w14:paraId="616B101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u w:val="single"/>
          <w:lang w:val="en-US" w:eastAsia="zh-CN"/>
        </w:rPr>
        <w:t>①本项目采用公款竞争性存放采用网上招标方式；</w:t>
      </w:r>
    </w:p>
    <w:p w14:paraId="45C41A1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pacing w:val="-11"/>
          <w:sz w:val="22"/>
          <w:szCs w:val="22"/>
          <w:highlight w:val="none"/>
          <w:u w:val="single"/>
          <w:lang w:val="en-US" w:eastAsia="zh-CN"/>
        </w:rPr>
      </w:pPr>
      <w:r>
        <w:rPr>
          <w:rFonts w:hint="eastAsia" w:ascii="宋体" w:hAnsi="宋体" w:cs="宋体"/>
          <w:color w:val="auto"/>
          <w:spacing w:val="-11"/>
          <w:sz w:val="22"/>
          <w:szCs w:val="22"/>
          <w:highlight w:val="none"/>
          <w:u w:val="single"/>
          <w:lang w:val="en-US" w:eastAsia="zh-CN"/>
        </w:rPr>
        <w:t>②竞标银行应在投标报名前提交政府采购云平台（https://www.zcygov.cn）银行入驻申请并成为公款存放正式供应商，否则无法参与线上公款竞争性存放业务。如未进行银行入驻，请登录以下网址 https://middle.zcygov.cn/v-settle-front/registry?settleCategory=1&amp;entranceType=50（银行入驻注册页面） 完成入驻；</w:t>
      </w:r>
    </w:p>
    <w:p w14:paraId="3B88818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u w:val="single"/>
          <w:lang w:val="en-US" w:eastAsia="zh-CN"/>
        </w:rPr>
        <w:t>③</w:t>
      </w:r>
      <w:r>
        <w:rPr>
          <w:rFonts w:hint="eastAsia" w:ascii="宋体" w:hAnsi="宋体" w:cs="宋体"/>
          <w:color w:val="auto"/>
          <w:spacing w:val="-6"/>
          <w:sz w:val="22"/>
          <w:szCs w:val="22"/>
          <w:highlight w:val="none"/>
          <w:u w:val="single"/>
          <w:lang w:val="en-US" w:eastAsia="zh-CN"/>
        </w:rPr>
        <w:t>网上电子投标具体流程详见操作指南：登录政府采购云平台（https://www.zcygov.cn/），从首页-服务中心-帮助文档-公款竞争性存放-操作流程，查看文档；</w:t>
      </w:r>
    </w:p>
    <w:p w14:paraId="41F0777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sz w:val="22"/>
          <w:szCs w:val="22"/>
          <w:highlight w:val="none"/>
          <w:u w:val="single"/>
          <w:lang w:val="en-US" w:eastAsia="zh-CN"/>
        </w:rPr>
      </w:pPr>
      <w:r>
        <w:rPr>
          <w:rFonts w:hint="eastAsia" w:ascii="宋体" w:hAnsi="宋体" w:cs="宋体"/>
          <w:color w:val="auto"/>
          <w:sz w:val="22"/>
          <w:szCs w:val="22"/>
          <w:highlight w:val="none"/>
          <w:u w:val="single"/>
          <w:lang w:val="en-US" w:eastAsia="zh-CN"/>
        </w:rPr>
        <w:t>④如有疑问，可致电政府采购云平台技术支持热线咨询，联系方式：400-881-7190。</w:t>
      </w:r>
    </w:p>
    <w:p w14:paraId="4557A1C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投标</w:t>
      </w:r>
      <w:r>
        <w:rPr>
          <w:rFonts w:hint="eastAsia" w:ascii="宋体" w:hAnsi="宋体" w:cs="宋体"/>
          <w:b/>
          <w:bCs/>
          <w:color w:val="auto"/>
          <w:sz w:val="22"/>
          <w:szCs w:val="22"/>
          <w:highlight w:val="none"/>
          <w:lang w:eastAsia="zh-CN"/>
        </w:rPr>
        <w:t>起止时间及方式</w:t>
      </w:r>
    </w:p>
    <w:p w14:paraId="6D750A6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1、投标截止时间：</w:t>
      </w:r>
      <w:r>
        <w:rPr>
          <w:rFonts w:hint="eastAsia" w:ascii="宋体" w:hAnsi="宋体" w:eastAsia="宋体" w:cs="宋体"/>
          <w:b w:val="0"/>
          <w:bCs w:val="0"/>
          <w:color w:val="auto"/>
          <w:sz w:val="22"/>
          <w:szCs w:val="22"/>
          <w:highlight w:val="none"/>
          <w:u w:val="single"/>
        </w:rPr>
        <w:t>20</w:t>
      </w:r>
      <w:r>
        <w:rPr>
          <w:rFonts w:hint="eastAsia" w:ascii="宋体" w:hAnsi="宋体" w:eastAsia="宋体" w:cs="宋体"/>
          <w:b w:val="0"/>
          <w:bCs w:val="0"/>
          <w:color w:val="auto"/>
          <w:sz w:val="22"/>
          <w:szCs w:val="22"/>
          <w:highlight w:val="none"/>
          <w:u w:val="single"/>
          <w:lang w:val="en-US" w:eastAsia="zh-CN"/>
        </w:rPr>
        <w:t>2</w:t>
      </w:r>
      <w:r>
        <w:rPr>
          <w:rFonts w:hint="eastAsia" w:ascii="宋体" w:hAnsi="宋体" w:cs="宋体"/>
          <w:b w:val="0"/>
          <w:bCs w:val="0"/>
          <w:color w:val="auto"/>
          <w:sz w:val="22"/>
          <w:szCs w:val="22"/>
          <w:highlight w:val="none"/>
          <w:u w:val="single"/>
          <w:lang w:val="en-US" w:eastAsia="zh-CN"/>
        </w:rPr>
        <w:t>5</w:t>
      </w:r>
      <w:r>
        <w:rPr>
          <w:rFonts w:hint="eastAsia" w:ascii="宋体" w:hAnsi="宋体" w:eastAsia="宋体" w:cs="宋体"/>
          <w:b w:val="0"/>
          <w:bCs w:val="0"/>
          <w:color w:val="auto"/>
          <w:sz w:val="22"/>
          <w:szCs w:val="22"/>
          <w:highlight w:val="none"/>
        </w:rPr>
        <w:t>年</w:t>
      </w:r>
      <w:r>
        <w:rPr>
          <w:rFonts w:hint="eastAsia" w:ascii="宋体" w:hAnsi="宋体" w:cs="宋体"/>
          <w:b w:val="0"/>
          <w:bCs w:val="0"/>
          <w:color w:val="auto"/>
          <w:sz w:val="22"/>
          <w:szCs w:val="22"/>
          <w:highlight w:val="none"/>
          <w:u w:val="single"/>
          <w:lang w:val="en-US" w:eastAsia="zh-CN"/>
        </w:rPr>
        <w:t xml:space="preserve"> 7 </w:t>
      </w:r>
      <w:r>
        <w:rPr>
          <w:rFonts w:hint="eastAsia" w:ascii="宋体" w:hAnsi="宋体" w:eastAsia="宋体" w:cs="宋体"/>
          <w:b w:val="0"/>
          <w:bCs w:val="0"/>
          <w:color w:val="auto"/>
          <w:sz w:val="22"/>
          <w:szCs w:val="22"/>
          <w:highlight w:val="none"/>
        </w:rPr>
        <w:t>月</w:t>
      </w:r>
      <w:r>
        <w:rPr>
          <w:rFonts w:hint="eastAsia" w:ascii="宋体" w:hAnsi="宋体" w:cs="宋体"/>
          <w:b w:val="0"/>
          <w:bCs w:val="0"/>
          <w:color w:val="auto"/>
          <w:sz w:val="22"/>
          <w:szCs w:val="22"/>
          <w:highlight w:val="none"/>
          <w:u w:val="single"/>
          <w:lang w:val="en-US" w:eastAsia="zh-CN"/>
        </w:rPr>
        <w:t xml:space="preserve"> 15 </w:t>
      </w:r>
      <w:r>
        <w:rPr>
          <w:rFonts w:hint="eastAsia" w:ascii="宋体" w:hAnsi="宋体" w:eastAsia="宋体" w:cs="宋体"/>
          <w:b w:val="0"/>
          <w:bCs w:val="0"/>
          <w:color w:val="auto"/>
          <w:sz w:val="22"/>
          <w:szCs w:val="22"/>
          <w:highlight w:val="none"/>
        </w:rPr>
        <w:t>日</w:t>
      </w:r>
      <w:r>
        <w:rPr>
          <w:rFonts w:hint="eastAsia" w:ascii="宋体" w:hAnsi="宋体" w:cs="宋体"/>
          <w:b w:val="0"/>
          <w:bCs w:val="0"/>
          <w:i w:val="0"/>
          <w:iCs w:val="0"/>
          <w:color w:val="auto"/>
          <w:sz w:val="22"/>
          <w:szCs w:val="22"/>
          <w:highlight w:val="none"/>
          <w:u w:val="single"/>
          <w:lang w:val="en-US" w:eastAsia="zh-CN"/>
        </w:rPr>
        <w:t xml:space="preserve"> 9 </w:t>
      </w:r>
      <w:r>
        <w:rPr>
          <w:rFonts w:hint="eastAsia" w:ascii="宋体" w:hAnsi="宋体" w:eastAsia="宋体" w:cs="宋体"/>
          <w:b w:val="0"/>
          <w:bCs w:val="0"/>
          <w:color w:val="auto"/>
          <w:sz w:val="22"/>
          <w:szCs w:val="22"/>
          <w:highlight w:val="none"/>
        </w:rPr>
        <w:t>时</w:t>
      </w:r>
      <w:r>
        <w:rPr>
          <w:rFonts w:hint="eastAsia" w:ascii="宋体" w:hAnsi="宋体" w:cs="宋体"/>
          <w:b w:val="0"/>
          <w:bCs w:val="0"/>
          <w:color w:val="auto"/>
          <w:sz w:val="22"/>
          <w:szCs w:val="22"/>
          <w:highlight w:val="none"/>
          <w:u w:val="single"/>
          <w:lang w:val="en-US" w:eastAsia="zh-CN"/>
        </w:rPr>
        <w:t xml:space="preserve"> 30 </w:t>
      </w:r>
      <w:r>
        <w:rPr>
          <w:rFonts w:hint="eastAsia" w:ascii="宋体" w:hAnsi="宋体" w:eastAsia="宋体" w:cs="宋体"/>
          <w:b w:val="0"/>
          <w:bCs w:val="0"/>
          <w:color w:val="auto"/>
          <w:sz w:val="22"/>
          <w:szCs w:val="22"/>
          <w:highlight w:val="none"/>
        </w:rPr>
        <w:t>分</w:t>
      </w:r>
    </w:p>
    <w:p w14:paraId="7AFA577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2、投标地点</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政府采购云平台（https://www.zcygov.cn），本项目实行网上电子投标，竞标银行于投标截止时间前按照电子投标要求将电子标书上传到“政采云”平台并确认，逾期或未上传成功的，将导致无法投标或投标无效</w:t>
      </w:r>
      <w:r>
        <w:rPr>
          <w:rFonts w:hint="eastAsia" w:ascii="宋体" w:hAnsi="宋体" w:cs="宋体"/>
          <w:color w:val="auto"/>
          <w:sz w:val="22"/>
          <w:szCs w:val="22"/>
          <w:highlight w:val="none"/>
          <w:u w:val="none"/>
          <w:lang w:val="en-US" w:eastAsia="zh-CN"/>
        </w:rPr>
        <w:t>。 </w:t>
      </w:r>
      <w:r>
        <w:rPr>
          <w:rFonts w:hint="eastAsia" w:ascii="宋体" w:hAnsi="宋体" w:eastAsia="宋体" w:cs="宋体"/>
          <w:color w:val="auto"/>
          <w:sz w:val="22"/>
          <w:szCs w:val="22"/>
          <w:highlight w:val="none"/>
          <w:u w:val="none"/>
          <w:lang w:val="en-US" w:eastAsia="zh-CN"/>
        </w:rPr>
        <w:t xml:space="preserve">  </w:t>
      </w:r>
    </w:p>
    <w:p w14:paraId="44AB2FD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2"/>
          <w:szCs w:val="22"/>
          <w:highlight w:val="none"/>
          <w:lang w:eastAsia="zh-CN"/>
        </w:rPr>
      </w:pPr>
      <w:r>
        <w:rPr>
          <w:rFonts w:hint="eastAsia" w:ascii="宋体" w:hAnsi="宋体" w:cs="宋体"/>
          <w:b/>
          <w:bCs/>
          <w:color w:val="auto"/>
          <w:sz w:val="22"/>
          <w:szCs w:val="22"/>
          <w:highlight w:val="none"/>
          <w:lang w:eastAsia="zh-CN"/>
        </w:rPr>
        <w:t>九</w:t>
      </w:r>
      <w:r>
        <w:rPr>
          <w:rFonts w:hint="eastAsia" w:ascii="宋体" w:hAnsi="宋体" w:eastAsia="宋体" w:cs="宋体"/>
          <w:b/>
          <w:bCs/>
          <w:color w:val="auto"/>
          <w:sz w:val="22"/>
          <w:szCs w:val="22"/>
          <w:highlight w:val="none"/>
        </w:rPr>
        <w:t>、开标</w:t>
      </w:r>
      <w:r>
        <w:rPr>
          <w:rFonts w:hint="eastAsia" w:ascii="宋体" w:hAnsi="宋体" w:cs="宋体"/>
          <w:b/>
          <w:bCs/>
          <w:color w:val="auto"/>
          <w:sz w:val="22"/>
          <w:szCs w:val="22"/>
          <w:highlight w:val="none"/>
          <w:lang w:eastAsia="zh-CN"/>
        </w:rPr>
        <w:t>起止时间及方式</w:t>
      </w:r>
    </w:p>
    <w:p w14:paraId="4E4DD18B">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lang w:val="en-US" w:eastAsia="zh-CN"/>
        </w:rPr>
        <w:t>开标</w:t>
      </w:r>
      <w:r>
        <w:rPr>
          <w:rFonts w:hint="eastAsia" w:ascii="宋体" w:hAnsi="宋体" w:eastAsia="宋体" w:cs="宋体"/>
          <w:color w:val="auto"/>
          <w:sz w:val="22"/>
          <w:szCs w:val="22"/>
          <w:highlight w:val="none"/>
        </w:rPr>
        <w:t>时间</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u w:val="single"/>
        </w:rPr>
        <w:t>20</w:t>
      </w:r>
      <w:r>
        <w:rPr>
          <w:rFonts w:hint="eastAsia" w:ascii="宋体" w:hAnsi="宋体" w:eastAsia="宋体" w:cs="宋体"/>
          <w:b w:val="0"/>
          <w:bCs w:val="0"/>
          <w:color w:val="auto"/>
          <w:sz w:val="22"/>
          <w:szCs w:val="22"/>
          <w:highlight w:val="none"/>
          <w:u w:val="single"/>
          <w:lang w:val="en-US" w:eastAsia="zh-CN"/>
        </w:rPr>
        <w:t>2</w:t>
      </w:r>
      <w:r>
        <w:rPr>
          <w:rFonts w:hint="eastAsia" w:ascii="宋体" w:hAnsi="宋体" w:cs="宋体"/>
          <w:b w:val="0"/>
          <w:bCs w:val="0"/>
          <w:color w:val="auto"/>
          <w:sz w:val="22"/>
          <w:szCs w:val="22"/>
          <w:highlight w:val="none"/>
          <w:u w:val="single"/>
          <w:lang w:val="en-US" w:eastAsia="zh-CN"/>
        </w:rPr>
        <w:t>5</w:t>
      </w:r>
      <w:r>
        <w:rPr>
          <w:rFonts w:hint="eastAsia" w:ascii="宋体" w:hAnsi="宋体" w:eastAsia="宋体" w:cs="宋体"/>
          <w:b w:val="0"/>
          <w:bCs w:val="0"/>
          <w:color w:val="auto"/>
          <w:sz w:val="22"/>
          <w:szCs w:val="22"/>
          <w:highlight w:val="none"/>
        </w:rPr>
        <w:t>年</w:t>
      </w:r>
      <w:r>
        <w:rPr>
          <w:rFonts w:hint="eastAsia" w:ascii="宋体" w:hAnsi="宋体" w:cs="宋体"/>
          <w:b w:val="0"/>
          <w:bCs w:val="0"/>
          <w:color w:val="auto"/>
          <w:sz w:val="22"/>
          <w:szCs w:val="22"/>
          <w:highlight w:val="none"/>
          <w:u w:val="single"/>
          <w:lang w:val="en-US" w:eastAsia="zh-CN"/>
        </w:rPr>
        <w:t xml:space="preserve"> 7 </w:t>
      </w:r>
      <w:r>
        <w:rPr>
          <w:rFonts w:hint="eastAsia" w:ascii="宋体" w:hAnsi="宋体" w:eastAsia="宋体" w:cs="宋体"/>
          <w:b w:val="0"/>
          <w:bCs w:val="0"/>
          <w:color w:val="auto"/>
          <w:sz w:val="22"/>
          <w:szCs w:val="22"/>
          <w:highlight w:val="none"/>
        </w:rPr>
        <w:t>月</w:t>
      </w:r>
      <w:r>
        <w:rPr>
          <w:rFonts w:hint="eastAsia" w:ascii="宋体" w:hAnsi="宋体" w:cs="宋体"/>
          <w:b w:val="0"/>
          <w:bCs w:val="0"/>
          <w:color w:val="auto"/>
          <w:sz w:val="22"/>
          <w:szCs w:val="22"/>
          <w:highlight w:val="none"/>
          <w:u w:val="single"/>
          <w:lang w:val="en-US" w:eastAsia="zh-CN"/>
        </w:rPr>
        <w:t xml:space="preserve"> 15 </w:t>
      </w:r>
      <w:r>
        <w:rPr>
          <w:rFonts w:hint="eastAsia" w:ascii="宋体" w:hAnsi="宋体" w:eastAsia="宋体" w:cs="宋体"/>
          <w:b w:val="0"/>
          <w:bCs w:val="0"/>
          <w:color w:val="auto"/>
          <w:sz w:val="22"/>
          <w:szCs w:val="22"/>
          <w:highlight w:val="none"/>
        </w:rPr>
        <w:t>日</w:t>
      </w:r>
      <w:r>
        <w:rPr>
          <w:rFonts w:hint="eastAsia" w:ascii="宋体" w:hAnsi="宋体" w:cs="宋体"/>
          <w:b w:val="0"/>
          <w:bCs w:val="0"/>
          <w:i w:val="0"/>
          <w:iCs w:val="0"/>
          <w:color w:val="auto"/>
          <w:sz w:val="22"/>
          <w:szCs w:val="22"/>
          <w:highlight w:val="none"/>
          <w:u w:val="single"/>
          <w:lang w:val="en-US" w:eastAsia="zh-CN"/>
        </w:rPr>
        <w:t xml:space="preserve"> 9 </w:t>
      </w:r>
      <w:r>
        <w:rPr>
          <w:rFonts w:hint="eastAsia" w:ascii="宋体" w:hAnsi="宋体" w:eastAsia="宋体" w:cs="宋体"/>
          <w:b w:val="0"/>
          <w:bCs w:val="0"/>
          <w:color w:val="auto"/>
          <w:sz w:val="22"/>
          <w:szCs w:val="22"/>
          <w:highlight w:val="none"/>
        </w:rPr>
        <w:t>时</w:t>
      </w:r>
      <w:r>
        <w:rPr>
          <w:rFonts w:hint="eastAsia" w:ascii="宋体" w:hAnsi="宋体" w:cs="宋体"/>
          <w:b w:val="0"/>
          <w:bCs w:val="0"/>
          <w:color w:val="auto"/>
          <w:sz w:val="22"/>
          <w:szCs w:val="22"/>
          <w:highlight w:val="none"/>
          <w:u w:val="single"/>
          <w:lang w:val="en-US" w:eastAsia="zh-CN"/>
        </w:rPr>
        <w:t xml:space="preserve"> 30 </w:t>
      </w:r>
      <w:r>
        <w:rPr>
          <w:rFonts w:hint="eastAsia" w:ascii="宋体" w:hAnsi="宋体" w:eastAsia="宋体" w:cs="宋体"/>
          <w:b w:val="0"/>
          <w:bCs w:val="0"/>
          <w:color w:val="auto"/>
          <w:sz w:val="22"/>
          <w:szCs w:val="22"/>
          <w:highlight w:val="none"/>
        </w:rPr>
        <w:t>分</w:t>
      </w:r>
    </w:p>
    <w:p w14:paraId="2F994BE8">
      <w:pPr>
        <w:pStyle w:val="8"/>
        <w:keepNext w:val="0"/>
        <w:keepLines w:val="0"/>
        <w:pageBreakBefore w:val="0"/>
        <w:widowControl w:val="0"/>
        <w:kinsoku/>
        <w:wordWrap/>
        <w:overflowPunct/>
        <w:topLinePunct w:val="0"/>
        <w:autoSpaceDE/>
        <w:autoSpaceDN/>
        <w:bidi w:val="0"/>
        <w:spacing w:line="440" w:lineRule="exact"/>
        <w:ind w:firstLine="440" w:firstLineChars="200"/>
        <w:textAlignment w:val="auto"/>
        <w:rPr>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rPr>
        <w:t>2、</w:t>
      </w:r>
      <w:r>
        <w:rPr>
          <w:rFonts w:hint="eastAsia" w:ascii="宋体" w:hAnsi="宋体" w:cs="宋体"/>
          <w:color w:val="auto"/>
          <w:sz w:val="22"/>
          <w:szCs w:val="22"/>
          <w:highlight w:val="none"/>
          <w:lang w:val="en-US" w:eastAsia="zh-CN"/>
        </w:rPr>
        <w:t>开标</w:t>
      </w:r>
      <w:r>
        <w:rPr>
          <w:rFonts w:hint="eastAsia" w:ascii="宋体" w:hAnsi="宋体" w:eastAsia="宋体" w:cs="宋体"/>
          <w:color w:val="auto"/>
          <w:sz w:val="22"/>
          <w:szCs w:val="22"/>
          <w:highlight w:val="none"/>
        </w:rPr>
        <w:t>地点</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竞标银行无需到场参加，浙江政府采购网上在线参加开标会议</w:t>
      </w:r>
    </w:p>
    <w:p w14:paraId="514FFC2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十、</w:t>
      </w:r>
      <w:r>
        <w:rPr>
          <w:rFonts w:hint="eastAsia" w:ascii="宋体" w:hAnsi="宋体" w:eastAsia="宋体" w:cs="宋体"/>
          <w:b/>
          <w:bCs/>
          <w:color w:val="auto"/>
          <w:sz w:val="22"/>
          <w:szCs w:val="22"/>
          <w:highlight w:val="none"/>
          <w:lang w:eastAsia="zh-CN"/>
        </w:rPr>
        <w:t>其他</w:t>
      </w:r>
    </w:p>
    <w:p w14:paraId="58E90AA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rPr>
        <w:t>或</w:t>
      </w:r>
      <w:r>
        <w:rPr>
          <w:rFonts w:hint="eastAsia" w:ascii="宋体" w:hAnsi="宋体" w:eastAsia="宋体" w:cs="宋体"/>
          <w:color w:val="auto"/>
          <w:sz w:val="22"/>
          <w:szCs w:val="22"/>
          <w:highlight w:val="none"/>
          <w:lang w:val="en-US" w:eastAsia="zh-CN"/>
        </w:rPr>
        <w:t>招标代理</w:t>
      </w:r>
      <w:r>
        <w:rPr>
          <w:rFonts w:hint="eastAsia" w:ascii="宋体" w:hAnsi="宋体" w:eastAsia="宋体" w:cs="宋体"/>
          <w:color w:val="auto"/>
          <w:sz w:val="22"/>
          <w:szCs w:val="22"/>
          <w:highlight w:val="none"/>
        </w:rPr>
        <w:t>机构可以对已发出的</w:t>
      </w:r>
      <w:r>
        <w:rPr>
          <w:rFonts w:hint="eastAsia" w:ascii="宋体" w:hAnsi="宋体" w:eastAsia="宋体" w:cs="宋体"/>
          <w:color w:val="auto"/>
          <w:sz w:val="22"/>
          <w:szCs w:val="22"/>
          <w:highlight w:val="none"/>
          <w:lang w:eastAsia="zh-CN"/>
        </w:rPr>
        <w:t>采购文件</w:t>
      </w:r>
      <w:r>
        <w:rPr>
          <w:rFonts w:hint="eastAsia" w:ascii="宋体" w:hAnsi="宋体" w:eastAsia="宋体" w:cs="宋体"/>
          <w:color w:val="auto"/>
          <w:sz w:val="22"/>
          <w:szCs w:val="22"/>
          <w:highlight w:val="none"/>
        </w:rPr>
        <w:t>进行必要的澄清或者修改。澄清或者修改的内容可能影响投标文件编制的，</w:t>
      </w:r>
      <w:r>
        <w:rPr>
          <w:rFonts w:hint="eastAsia" w:ascii="宋体" w:hAnsi="宋体" w:cs="宋体"/>
          <w:color w:val="auto"/>
          <w:sz w:val="22"/>
          <w:szCs w:val="22"/>
          <w:highlight w:val="none"/>
          <w:lang w:val="en-US" w:eastAsia="zh-CN"/>
        </w:rPr>
        <w:t>采购人</w:t>
      </w:r>
      <w:r>
        <w:rPr>
          <w:rFonts w:hint="eastAsia" w:ascii="宋体" w:hAnsi="宋体" w:eastAsia="宋体" w:cs="宋体"/>
          <w:color w:val="auto"/>
          <w:sz w:val="22"/>
          <w:szCs w:val="22"/>
          <w:highlight w:val="none"/>
        </w:rPr>
        <w:t>或</w:t>
      </w:r>
      <w:r>
        <w:rPr>
          <w:rFonts w:hint="eastAsia" w:ascii="宋体" w:hAnsi="宋体" w:eastAsia="宋体" w:cs="宋体"/>
          <w:color w:val="auto"/>
          <w:sz w:val="22"/>
          <w:szCs w:val="22"/>
          <w:highlight w:val="none"/>
          <w:lang w:val="en-US" w:eastAsia="zh-CN"/>
        </w:rPr>
        <w:t>招标代理</w:t>
      </w:r>
      <w:r>
        <w:rPr>
          <w:rFonts w:hint="eastAsia" w:ascii="宋体" w:hAnsi="宋体" w:eastAsia="宋体" w:cs="宋体"/>
          <w:color w:val="auto"/>
          <w:sz w:val="22"/>
          <w:szCs w:val="22"/>
          <w:highlight w:val="none"/>
        </w:rPr>
        <w:t>机构应当在</w:t>
      </w:r>
      <w:r>
        <w:rPr>
          <w:rFonts w:hint="eastAsia" w:ascii="宋体" w:hAnsi="宋体" w:eastAsia="宋体" w:cs="宋体"/>
          <w:color w:val="auto"/>
          <w:sz w:val="22"/>
          <w:szCs w:val="22"/>
          <w:highlight w:val="none"/>
          <w:lang w:val="en-US" w:eastAsia="zh-CN"/>
        </w:rPr>
        <w:t>发布招标公告的网站上</w:t>
      </w:r>
      <w:r>
        <w:rPr>
          <w:rFonts w:hint="eastAsia" w:ascii="宋体" w:hAnsi="宋体" w:eastAsia="宋体" w:cs="宋体"/>
          <w:color w:val="auto"/>
          <w:sz w:val="22"/>
          <w:szCs w:val="22"/>
          <w:highlight w:val="none"/>
        </w:rPr>
        <w:t>发布更正公告或以书面形式通知所有已获取</w:t>
      </w:r>
      <w:r>
        <w:rPr>
          <w:rFonts w:hint="eastAsia" w:ascii="宋体" w:hAnsi="宋体" w:eastAsia="宋体" w:cs="宋体"/>
          <w:color w:val="auto"/>
          <w:sz w:val="22"/>
          <w:szCs w:val="22"/>
          <w:highlight w:val="none"/>
          <w:lang w:eastAsia="zh-CN"/>
        </w:rPr>
        <w:t>采购文件</w:t>
      </w:r>
      <w:r>
        <w:rPr>
          <w:rFonts w:hint="eastAsia" w:ascii="宋体" w:hAnsi="宋体" w:eastAsia="宋体" w:cs="宋体"/>
          <w:color w:val="auto"/>
          <w:sz w:val="22"/>
          <w:szCs w:val="22"/>
          <w:highlight w:val="none"/>
        </w:rPr>
        <w:t>的潜在</w:t>
      </w:r>
      <w:r>
        <w:rPr>
          <w:rFonts w:hint="eastAsia" w:ascii="宋体" w:hAnsi="宋体" w:cs="宋体"/>
          <w:color w:val="auto"/>
          <w:sz w:val="22"/>
          <w:szCs w:val="22"/>
          <w:highlight w:val="none"/>
          <w:lang w:eastAsia="zh-CN"/>
        </w:rPr>
        <w:t>竞标银行</w:t>
      </w:r>
      <w:r>
        <w:rPr>
          <w:rFonts w:hint="eastAsia" w:ascii="宋体" w:hAnsi="宋体" w:eastAsia="宋体" w:cs="宋体"/>
          <w:color w:val="auto"/>
          <w:sz w:val="22"/>
          <w:szCs w:val="22"/>
          <w:highlight w:val="none"/>
        </w:rPr>
        <w:t>，并且应当顺延投标截止时间，发布更正公告或书面变更通知之日至投标截止之日不得少于5个工作日。</w:t>
      </w:r>
    </w:p>
    <w:p w14:paraId="3304B94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十一</w:t>
      </w:r>
      <w:r>
        <w:rPr>
          <w:rFonts w:hint="eastAsia" w:ascii="宋体" w:hAnsi="宋体" w:eastAsia="宋体" w:cs="宋体"/>
          <w:b/>
          <w:bCs/>
          <w:color w:val="auto"/>
          <w:sz w:val="22"/>
          <w:szCs w:val="22"/>
          <w:highlight w:val="none"/>
        </w:rPr>
        <w:t>、联系方式</w:t>
      </w:r>
    </w:p>
    <w:p w14:paraId="7C93537F">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1、采购人</w:t>
      </w:r>
    </w:p>
    <w:p w14:paraId="6E2A22E6">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名</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eastAsia="zh-CN"/>
        </w:rPr>
        <w:t>称：台州市住房公积金管理中心天台分中心</w:t>
      </w:r>
    </w:p>
    <w:p w14:paraId="5CB234B9">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地</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eastAsia="zh-CN"/>
        </w:rPr>
        <w:t>点：天台县始丰街道宝通路138号</w:t>
      </w:r>
    </w:p>
    <w:p w14:paraId="51DDDC9C">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联 系 人： 陈宏峰  </w:t>
      </w:r>
    </w:p>
    <w:p w14:paraId="5C6B1A86">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cs="宋体"/>
          <w:color w:val="auto"/>
          <w:sz w:val="22"/>
          <w:szCs w:val="22"/>
          <w:highlight w:val="none"/>
          <w:lang w:val="en-US" w:eastAsia="zh-CN"/>
        </w:rPr>
        <w:t>：0576-83881644、</w:t>
      </w:r>
      <w:bookmarkStart w:id="56" w:name="_GoBack"/>
      <w:bookmarkEnd w:id="56"/>
      <w:r>
        <w:rPr>
          <w:rFonts w:hint="eastAsia" w:ascii="宋体" w:hAnsi="宋体" w:cs="宋体"/>
          <w:color w:val="auto"/>
          <w:sz w:val="22"/>
          <w:szCs w:val="22"/>
          <w:highlight w:val="none"/>
          <w:lang w:val="en-US" w:eastAsia="zh-CN"/>
        </w:rPr>
        <w:t>13586238300（政府网638300）</w:t>
      </w:r>
    </w:p>
    <w:p w14:paraId="1231A995">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2、采购代理机构</w:t>
      </w:r>
    </w:p>
    <w:p w14:paraId="17EE6676">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称：浙江省成套招标代理有限公司</w:t>
      </w:r>
    </w:p>
    <w:p w14:paraId="001B15B1">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w:t>
      </w:r>
      <w:r>
        <w:rPr>
          <w:rFonts w:hint="eastAsia" w:ascii="宋体" w:hAnsi="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点：天台县福溪街道法溪路265号环溪苑9幢1单元1601</w:t>
      </w:r>
    </w:p>
    <w:p w14:paraId="583A3019">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 系 人：叶意莉</w:t>
      </w:r>
      <w:r>
        <w:rPr>
          <w:rFonts w:hint="eastAsia" w:ascii="宋体" w:hAnsi="宋体" w:eastAsia="宋体" w:cs="宋体"/>
          <w:color w:val="auto"/>
          <w:sz w:val="22"/>
          <w:szCs w:val="22"/>
          <w:highlight w:val="none"/>
          <w:lang w:val="en-US" w:eastAsia="zh-CN"/>
        </w:rPr>
        <w:t xml:space="preserve">   </w:t>
      </w:r>
    </w:p>
    <w:p w14:paraId="4BC4A1A8">
      <w:pPr>
        <w:keepNext w:val="0"/>
        <w:keepLines w:val="0"/>
        <w:pageBreakBefore w:val="0"/>
        <w:widowControl w:val="0"/>
        <w:kinsoku/>
        <w:wordWrap/>
        <w:overflowPunct/>
        <w:topLinePunct w:val="0"/>
        <w:autoSpaceDE/>
        <w:autoSpaceDN/>
        <w:bidi w:val="0"/>
        <w:spacing w:line="440" w:lineRule="exact"/>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cs="宋体"/>
          <w:color w:val="auto"/>
          <w:sz w:val="22"/>
          <w:szCs w:val="22"/>
          <w:highlight w:val="none"/>
          <w:lang w:val="en-US" w:eastAsia="zh-CN"/>
        </w:rPr>
        <w:t>0576-83897703、</w:t>
      </w:r>
      <w:r>
        <w:rPr>
          <w:rFonts w:hint="eastAsia" w:ascii="宋体" w:hAnsi="宋体" w:eastAsia="宋体" w:cs="宋体"/>
          <w:color w:val="auto"/>
          <w:sz w:val="22"/>
          <w:szCs w:val="22"/>
          <w:highlight w:val="none"/>
        </w:rPr>
        <w:t>17805860910（政府网530910）</w:t>
      </w:r>
    </w:p>
    <w:p w14:paraId="674F6D0E">
      <w:pPr>
        <w:keepNext w:val="0"/>
        <w:keepLines w:val="0"/>
        <w:pageBreakBefore w:val="0"/>
        <w:widowControl w:val="0"/>
        <w:kinsoku/>
        <w:wordWrap/>
        <w:overflowPunct/>
        <w:topLinePunct w:val="0"/>
        <w:autoSpaceDE/>
        <w:autoSpaceDN/>
        <w:bidi w:val="0"/>
        <w:spacing w:line="440" w:lineRule="exact"/>
        <w:ind w:firstLine="331" w:firstLineChars="150"/>
        <w:textAlignment w:val="auto"/>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color w:val="auto"/>
          <w:sz w:val="22"/>
          <w:szCs w:val="22"/>
          <w:highlight w:val="none"/>
        </w:rPr>
        <w:t>1、本</w:t>
      </w:r>
      <w:r>
        <w:rPr>
          <w:rFonts w:hint="eastAsia" w:ascii="宋体" w:hAnsi="宋体" w:cs="宋体"/>
          <w:b/>
          <w:color w:val="auto"/>
          <w:sz w:val="22"/>
          <w:szCs w:val="22"/>
          <w:highlight w:val="none"/>
          <w:lang w:eastAsia="zh-CN"/>
        </w:rPr>
        <w:t>采购文件</w:t>
      </w:r>
      <w:r>
        <w:rPr>
          <w:rFonts w:hint="eastAsia" w:ascii="宋体" w:hAnsi="宋体" w:eastAsia="宋体" w:cs="宋体"/>
          <w:b/>
          <w:color w:val="auto"/>
          <w:sz w:val="22"/>
          <w:szCs w:val="22"/>
          <w:highlight w:val="none"/>
        </w:rPr>
        <w:t>时间以北京时间为准，采用</w:t>
      </w:r>
      <w:r>
        <w:rPr>
          <w:rFonts w:hint="eastAsia" w:ascii="宋体" w:hAnsi="宋体" w:cs="宋体"/>
          <w:b/>
          <w:color w:val="auto"/>
          <w:sz w:val="22"/>
          <w:szCs w:val="22"/>
          <w:highlight w:val="none"/>
          <w:lang w:val="en-US" w:eastAsia="zh-CN"/>
        </w:rPr>
        <w:t>24</w:t>
      </w:r>
      <w:r>
        <w:rPr>
          <w:rFonts w:hint="eastAsia" w:ascii="宋体" w:hAnsi="宋体" w:eastAsia="宋体" w:cs="宋体"/>
          <w:b/>
          <w:color w:val="auto"/>
          <w:sz w:val="22"/>
          <w:szCs w:val="22"/>
          <w:highlight w:val="none"/>
        </w:rPr>
        <w:t>小时制。</w:t>
      </w:r>
    </w:p>
    <w:p w14:paraId="5A2BFA0F">
      <w:pPr>
        <w:rPr>
          <w:rStyle w:val="24"/>
          <w:rFonts w:hint="eastAsia"/>
          <w:color w:val="auto"/>
          <w:highlight w:val="none"/>
        </w:rPr>
      </w:pPr>
      <w:bookmarkStart w:id="4" w:name="_Toc19570"/>
      <w:bookmarkStart w:id="5" w:name="_Toc22934"/>
      <w:r>
        <w:rPr>
          <w:rStyle w:val="24"/>
          <w:rFonts w:hint="eastAsia"/>
          <w:color w:val="auto"/>
          <w:highlight w:val="none"/>
        </w:rPr>
        <w:br w:type="page"/>
      </w:r>
    </w:p>
    <w:p w14:paraId="02A869D2">
      <w:pPr>
        <w:jc w:val="center"/>
        <w:rPr>
          <w:rFonts w:hint="eastAsia"/>
          <w:color w:val="auto"/>
          <w:highlight w:val="none"/>
        </w:rPr>
      </w:pPr>
      <w:bookmarkStart w:id="6" w:name="_Toc2789"/>
      <w:r>
        <w:rPr>
          <w:rStyle w:val="24"/>
          <w:rFonts w:hint="eastAsia"/>
          <w:color w:val="auto"/>
          <w:highlight w:val="none"/>
        </w:rPr>
        <w:t>第二章</w:t>
      </w:r>
      <w:r>
        <w:rPr>
          <w:rStyle w:val="24"/>
          <w:rFonts w:hint="eastAsia"/>
          <w:color w:val="auto"/>
          <w:highlight w:val="none"/>
          <w:lang w:val="en-US" w:eastAsia="zh-CN"/>
        </w:rPr>
        <w:t xml:space="preserve"> </w:t>
      </w:r>
      <w:r>
        <w:rPr>
          <w:rStyle w:val="24"/>
          <w:rFonts w:hint="eastAsia"/>
          <w:color w:val="auto"/>
          <w:highlight w:val="none"/>
          <w:lang w:eastAsia="zh-CN"/>
        </w:rPr>
        <w:t>竞标银行</w:t>
      </w:r>
      <w:r>
        <w:rPr>
          <w:rStyle w:val="24"/>
          <w:rFonts w:hint="eastAsia"/>
          <w:color w:val="auto"/>
          <w:highlight w:val="none"/>
        </w:rPr>
        <w:t>须知</w:t>
      </w:r>
      <w:bookmarkEnd w:id="3"/>
      <w:bookmarkEnd w:id="4"/>
      <w:bookmarkEnd w:id="5"/>
      <w:bookmarkEnd w:id="6"/>
      <w:bookmarkStart w:id="7" w:name="_Toc123628879"/>
    </w:p>
    <w:p w14:paraId="54DFD76E">
      <w:pPr>
        <w:bidi w:val="0"/>
        <w:jc w:val="center"/>
        <w:rPr>
          <w:rFonts w:hint="eastAsia"/>
          <w:color w:val="auto"/>
          <w:highlight w:val="none"/>
        </w:rPr>
      </w:pPr>
      <w:r>
        <w:rPr>
          <w:rFonts w:hint="eastAsia"/>
          <w:color w:val="auto"/>
          <w:highlight w:val="none"/>
          <w:lang w:eastAsia="zh-CN"/>
        </w:rPr>
        <w:t>竞标银行</w:t>
      </w:r>
      <w:r>
        <w:rPr>
          <w:rFonts w:hint="eastAsia"/>
          <w:color w:val="auto"/>
          <w:highlight w:val="none"/>
        </w:rPr>
        <w:t>须知前附表</w:t>
      </w:r>
    </w:p>
    <w:p w14:paraId="32ABF351">
      <w:pPr>
        <w:bidi w:val="0"/>
        <w:rPr>
          <w:rFonts w:hint="eastAsia"/>
          <w:highlight w:val="none"/>
        </w:rPr>
      </w:pPr>
    </w:p>
    <w:tbl>
      <w:tblPr>
        <w:tblStyle w:val="20"/>
        <w:tblW w:w="102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88"/>
        <w:gridCol w:w="7447"/>
      </w:tblGrid>
      <w:tr w14:paraId="602D9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0" w:type="dxa"/>
            <w:tcBorders>
              <w:tl2br w:val="nil"/>
              <w:tr2bl w:val="nil"/>
            </w:tcBorders>
            <w:vAlign w:val="center"/>
          </w:tcPr>
          <w:p w14:paraId="6306F8A3">
            <w:pPr>
              <w:bidi w:val="0"/>
              <w:jc w:val="center"/>
              <w:rPr>
                <w:rFonts w:hint="eastAsia"/>
                <w:b/>
                <w:bCs/>
                <w:color w:val="auto"/>
                <w:sz w:val="22"/>
                <w:szCs w:val="22"/>
                <w:highlight w:val="none"/>
              </w:rPr>
            </w:pPr>
            <w:r>
              <w:rPr>
                <w:rFonts w:hint="eastAsia"/>
                <w:b/>
                <w:bCs/>
                <w:color w:val="auto"/>
                <w:sz w:val="22"/>
                <w:szCs w:val="22"/>
                <w:highlight w:val="none"/>
              </w:rPr>
              <w:t>序号</w:t>
            </w:r>
          </w:p>
        </w:tc>
        <w:tc>
          <w:tcPr>
            <w:tcW w:w="2088" w:type="dxa"/>
            <w:tcBorders>
              <w:tl2br w:val="nil"/>
              <w:tr2bl w:val="nil"/>
            </w:tcBorders>
            <w:vAlign w:val="center"/>
          </w:tcPr>
          <w:p w14:paraId="1B3EA206">
            <w:pPr>
              <w:bidi w:val="0"/>
              <w:jc w:val="center"/>
              <w:rPr>
                <w:rFonts w:hint="eastAsia"/>
                <w:b/>
                <w:bCs/>
                <w:color w:val="auto"/>
                <w:sz w:val="22"/>
                <w:szCs w:val="22"/>
                <w:highlight w:val="none"/>
              </w:rPr>
            </w:pPr>
            <w:r>
              <w:rPr>
                <w:rFonts w:hint="eastAsia"/>
                <w:b/>
                <w:bCs/>
                <w:color w:val="auto"/>
                <w:sz w:val="22"/>
                <w:szCs w:val="22"/>
                <w:highlight w:val="none"/>
              </w:rPr>
              <w:t>条 款 名 称</w:t>
            </w:r>
          </w:p>
        </w:tc>
        <w:tc>
          <w:tcPr>
            <w:tcW w:w="7447" w:type="dxa"/>
            <w:tcBorders>
              <w:tl2br w:val="nil"/>
              <w:tr2bl w:val="nil"/>
            </w:tcBorders>
            <w:vAlign w:val="center"/>
          </w:tcPr>
          <w:p w14:paraId="7EA97A63">
            <w:pPr>
              <w:bidi w:val="0"/>
              <w:jc w:val="center"/>
              <w:rPr>
                <w:rFonts w:hint="eastAsia"/>
                <w:b/>
                <w:bCs/>
                <w:color w:val="auto"/>
                <w:sz w:val="22"/>
                <w:szCs w:val="22"/>
                <w:highlight w:val="none"/>
              </w:rPr>
            </w:pPr>
            <w:r>
              <w:rPr>
                <w:rFonts w:hint="eastAsia"/>
                <w:b/>
                <w:bCs/>
                <w:color w:val="auto"/>
                <w:sz w:val="22"/>
                <w:szCs w:val="22"/>
                <w:highlight w:val="none"/>
              </w:rPr>
              <w:t>内       容</w:t>
            </w:r>
          </w:p>
        </w:tc>
      </w:tr>
      <w:tr w14:paraId="1FD48C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01C5CB3D">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2088" w:type="dxa"/>
            <w:tcBorders>
              <w:tl2br w:val="nil"/>
              <w:tr2bl w:val="nil"/>
            </w:tcBorders>
            <w:vAlign w:val="center"/>
          </w:tcPr>
          <w:p w14:paraId="187C84FC">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2"/>
                <w:szCs w:val="22"/>
                <w:highlight w:val="none"/>
              </w:rPr>
            </w:pPr>
            <w:r>
              <w:rPr>
                <w:rFonts w:hint="eastAsia" w:ascii="宋体" w:hAnsi="宋体" w:eastAsia="宋体" w:cs="宋体"/>
                <w:color w:val="auto"/>
                <w:kern w:val="2"/>
                <w:sz w:val="22"/>
                <w:szCs w:val="22"/>
                <w:highlight w:val="none"/>
              </w:rPr>
              <w:t>采购人</w:t>
            </w:r>
          </w:p>
        </w:tc>
        <w:tc>
          <w:tcPr>
            <w:tcW w:w="7447" w:type="dxa"/>
            <w:tcBorders>
              <w:tl2br w:val="nil"/>
              <w:tr2bl w:val="nil"/>
            </w:tcBorders>
            <w:vAlign w:val="center"/>
          </w:tcPr>
          <w:p w14:paraId="32F167FC">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2"/>
                <w:szCs w:val="22"/>
                <w:highlight w:val="none"/>
              </w:rPr>
            </w:pPr>
            <w:r>
              <w:rPr>
                <w:rFonts w:hint="eastAsia" w:hAnsi="宋体" w:cs="宋体"/>
                <w:color w:val="auto"/>
                <w:sz w:val="22"/>
                <w:szCs w:val="22"/>
                <w:highlight w:val="none"/>
                <w:lang w:eastAsia="zh-CN"/>
              </w:rPr>
              <w:t>台州市住房公积金管理中心天台分中心</w:t>
            </w:r>
          </w:p>
        </w:tc>
      </w:tr>
      <w:tr w14:paraId="3BC3F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0E7962B1">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2088" w:type="dxa"/>
            <w:tcBorders>
              <w:tl2br w:val="nil"/>
              <w:tr2bl w:val="nil"/>
            </w:tcBorders>
            <w:vAlign w:val="center"/>
          </w:tcPr>
          <w:p w14:paraId="5D530DD7">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2"/>
                <w:szCs w:val="22"/>
                <w:highlight w:val="none"/>
              </w:rPr>
            </w:pPr>
            <w:r>
              <w:rPr>
                <w:rFonts w:hint="eastAsia" w:ascii="宋体" w:hAnsi="宋体" w:eastAsia="宋体" w:cs="宋体"/>
                <w:color w:val="auto"/>
                <w:kern w:val="2"/>
                <w:sz w:val="22"/>
                <w:szCs w:val="22"/>
                <w:highlight w:val="none"/>
              </w:rPr>
              <w:t>项目名称</w:t>
            </w:r>
          </w:p>
        </w:tc>
        <w:tc>
          <w:tcPr>
            <w:tcW w:w="7447" w:type="dxa"/>
            <w:tcBorders>
              <w:tl2br w:val="nil"/>
              <w:tr2bl w:val="nil"/>
            </w:tcBorders>
            <w:vAlign w:val="center"/>
          </w:tcPr>
          <w:p w14:paraId="0BB33D2C">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2"/>
                <w:szCs w:val="22"/>
                <w:highlight w:val="none"/>
              </w:rPr>
            </w:pPr>
            <w:r>
              <w:rPr>
                <w:rFonts w:hint="eastAsia" w:hAnsi="宋体" w:cs="宋体"/>
                <w:color w:val="auto"/>
                <w:spacing w:val="0"/>
                <w:sz w:val="22"/>
                <w:szCs w:val="22"/>
                <w:highlight w:val="none"/>
                <w:lang w:eastAsia="zh-CN"/>
              </w:rPr>
              <w:t>台州市住房公积金管理中心天台分中心2025年第一期资金竞争性存放招标（第二次）</w:t>
            </w:r>
          </w:p>
        </w:tc>
      </w:tr>
      <w:tr w14:paraId="1FF89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42D6B442">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2088" w:type="dxa"/>
            <w:tcBorders>
              <w:tl2br w:val="nil"/>
              <w:tr2bl w:val="nil"/>
            </w:tcBorders>
            <w:vAlign w:val="center"/>
          </w:tcPr>
          <w:p w14:paraId="29F3D696">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2"/>
                <w:szCs w:val="22"/>
                <w:highlight w:val="none"/>
              </w:rPr>
            </w:pPr>
            <w:r>
              <w:rPr>
                <w:rFonts w:hint="eastAsia" w:ascii="宋体" w:hAnsi="宋体" w:eastAsia="宋体" w:cs="宋体"/>
                <w:color w:val="auto"/>
                <w:kern w:val="2"/>
                <w:sz w:val="22"/>
                <w:szCs w:val="22"/>
                <w:highlight w:val="none"/>
              </w:rPr>
              <w:t>采购方式</w:t>
            </w:r>
          </w:p>
        </w:tc>
        <w:tc>
          <w:tcPr>
            <w:tcW w:w="7447" w:type="dxa"/>
            <w:tcBorders>
              <w:tl2br w:val="nil"/>
              <w:tr2bl w:val="nil"/>
            </w:tcBorders>
            <w:vAlign w:val="center"/>
          </w:tcPr>
          <w:p w14:paraId="4EDAC5DA">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2"/>
                <w:szCs w:val="22"/>
                <w:highlight w:val="none"/>
              </w:rPr>
            </w:pPr>
            <w:r>
              <w:rPr>
                <w:rFonts w:hint="eastAsia" w:hAnsi="宋体" w:cs="宋体"/>
                <w:color w:val="auto"/>
                <w:spacing w:val="0"/>
                <w:sz w:val="22"/>
                <w:szCs w:val="22"/>
                <w:highlight w:val="none"/>
                <w:lang w:eastAsia="zh-CN"/>
              </w:rPr>
              <w:t>公开招标</w:t>
            </w:r>
          </w:p>
        </w:tc>
      </w:tr>
      <w:tr w14:paraId="18EC1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262076FD">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2088" w:type="dxa"/>
            <w:tcBorders>
              <w:tl2br w:val="nil"/>
              <w:tr2bl w:val="nil"/>
            </w:tcBorders>
            <w:vAlign w:val="center"/>
          </w:tcPr>
          <w:p w14:paraId="7A9DDF52">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2"/>
                <w:szCs w:val="22"/>
                <w:highlight w:val="none"/>
              </w:rPr>
            </w:pPr>
            <w:r>
              <w:rPr>
                <w:rFonts w:hint="eastAsia" w:ascii="宋体" w:hAnsi="宋体" w:eastAsia="宋体" w:cs="宋体"/>
                <w:color w:val="auto"/>
                <w:kern w:val="2"/>
                <w:sz w:val="22"/>
                <w:szCs w:val="22"/>
                <w:highlight w:val="none"/>
                <w:lang w:eastAsia="zh-CN"/>
              </w:rPr>
              <w:t>标段</w:t>
            </w:r>
          </w:p>
        </w:tc>
        <w:tc>
          <w:tcPr>
            <w:tcW w:w="7447" w:type="dxa"/>
            <w:tcBorders>
              <w:tl2br w:val="nil"/>
              <w:tr2bl w:val="nil"/>
            </w:tcBorders>
            <w:vAlign w:val="center"/>
          </w:tcPr>
          <w:p w14:paraId="33CED019">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sz w:val="22"/>
                <w:szCs w:val="22"/>
                <w:highlight w:val="none"/>
              </w:rPr>
            </w:pPr>
            <w:r>
              <w:rPr>
                <w:rFonts w:hint="eastAsia" w:hAnsi="宋体" w:cs="宋体"/>
                <w:color w:val="auto"/>
                <w:kern w:val="2"/>
                <w:sz w:val="22"/>
                <w:szCs w:val="22"/>
                <w:highlight w:val="none"/>
                <w:lang w:val="en-US" w:eastAsia="zh-CN"/>
              </w:rPr>
              <w:t>一</w:t>
            </w:r>
            <w:r>
              <w:rPr>
                <w:rFonts w:hint="eastAsia" w:ascii="宋体" w:hAnsi="宋体" w:eastAsia="宋体" w:cs="宋体"/>
                <w:color w:val="auto"/>
                <w:kern w:val="2"/>
                <w:sz w:val="22"/>
                <w:szCs w:val="22"/>
                <w:highlight w:val="none"/>
                <w:lang w:val="en-US" w:eastAsia="zh-CN"/>
              </w:rPr>
              <w:t>个标段</w:t>
            </w:r>
          </w:p>
        </w:tc>
      </w:tr>
      <w:tr w14:paraId="417FD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tcBorders>
              <w:tl2br w:val="nil"/>
              <w:tr2bl w:val="nil"/>
            </w:tcBorders>
            <w:vAlign w:val="center"/>
          </w:tcPr>
          <w:p w14:paraId="592A1BBE">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2088" w:type="dxa"/>
            <w:tcBorders>
              <w:tl2br w:val="nil"/>
              <w:tr2bl w:val="nil"/>
            </w:tcBorders>
            <w:vAlign w:val="center"/>
          </w:tcPr>
          <w:p w14:paraId="7462147C">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2"/>
                <w:szCs w:val="22"/>
                <w:highlight w:val="none"/>
              </w:rPr>
            </w:pPr>
            <w:r>
              <w:rPr>
                <w:rFonts w:hint="eastAsia" w:ascii="宋体" w:hAnsi="宋体" w:eastAsia="宋体" w:cs="宋体"/>
                <w:color w:val="auto"/>
                <w:kern w:val="2"/>
                <w:sz w:val="22"/>
                <w:szCs w:val="22"/>
                <w:highlight w:val="none"/>
                <w:lang w:val="en-US" w:eastAsia="zh-CN" w:bidi="ar-SA"/>
              </w:rPr>
              <w:t>▲</w:t>
            </w:r>
            <w:r>
              <w:rPr>
                <w:rFonts w:hint="eastAsia"/>
                <w:color w:val="auto"/>
                <w:sz w:val="22"/>
                <w:szCs w:val="22"/>
                <w:highlight w:val="none"/>
              </w:rPr>
              <w:t>招标底价</w:t>
            </w:r>
          </w:p>
        </w:tc>
        <w:tc>
          <w:tcPr>
            <w:tcW w:w="7447" w:type="dxa"/>
            <w:tcBorders>
              <w:tl2br w:val="nil"/>
              <w:tr2bl w:val="nil"/>
            </w:tcBorders>
            <w:vAlign w:val="center"/>
          </w:tcPr>
          <w:p w14:paraId="263C7130">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pacing w:val="0"/>
                <w:sz w:val="22"/>
                <w:szCs w:val="22"/>
                <w:highlight w:val="none"/>
                <w:lang w:val="en-US" w:eastAsia="zh-CN"/>
              </w:rPr>
            </w:pPr>
            <w:r>
              <w:rPr>
                <w:rFonts w:hint="eastAsia" w:ascii="宋体" w:hAnsi="宋体" w:cs="宋体"/>
                <w:color w:val="auto"/>
                <w:sz w:val="22"/>
                <w:szCs w:val="22"/>
                <w:highlight w:val="none"/>
                <w:vertAlign w:val="baseline"/>
                <w:lang w:val="en-US" w:eastAsia="zh-CN"/>
              </w:rPr>
              <w:t>较一年期定期存款基准利率上浮不低于-40BP，定期存款年利率不低于1.10%</w:t>
            </w:r>
          </w:p>
        </w:tc>
      </w:tr>
      <w:tr w14:paraId="008D5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27DB720D">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2088" w:type="dxa"/>
            <w:tcBorders>
              <w:tl2br w:val="nil"/>
              <w:tr2bl w:val="nil"/>
            </w:tcBorders>
            <w:vAlign w:val="center"/>
          </w:tcPr>
          <w:p w14:paraId="4E50E517">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Times New Roman"/>
                <w:color w:val="auto"/>
                <w:sz w:val="22"/>
                <w:szCs w:val="22"/>
                <w:highlight w:val="none"/>
                <w:lang w:eastAsia="zh-CN"/>
              </w:rPr>
            </w:pPr>
            <w:r>
              <w:rPr>
                <w:rFonts w:hint="eastAsia" w:ascii="宋体" w:eastAsia="宋体" w:cs="Times New Roman"/>
                <w:color w:val="auto"/>
                <w:sz w:val="22"/>
                <w:szCs w:val="22"/>
                <w:highlight w:val="none"/>
                <w:lang w:eastAsia="zh-CN"/>
              </w:rPr>
              <w:t>存放期限</w:t>
            </w:r>
          </w:p>
        </w:tc>
        <w:tc>
          <w:tcPr>
            <w:tcW w:w="7447" w:type="dxa"/>
            <w:tcBorders>
              <w:tl2br w:val="nil"/>
              <w:tr2bl w:val="nil"/>
            </w:tcBorders>
            <w:vAlign w:val="center"/>
          </w:tcPr>
          <w:p w14:paraId="4D961970">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pacing w:val="0"/>
                <w:sz w:val="22"/>
                <w:szCs w:val="22"/>
                <w:highlight w:val="none"/>
                <w:lang w:val="en-US" w:eastAsia="zh-CN"/>
              </w:rPr>
            </w:pPr>
            <w:r>
              <w:rPr>
                <w:rFonts w:hint="eastAsia" w:hAnsi="宋体" w:cs="宋体"/>
                <w:color w:val="auto"/>
                <w:spacing w:val="0"/>
                <w:sz w:val="22"/>
                <w:szCs w:val="22"/>
                <w:highlight w:val="none"/>
                <w:lang w:val="en-US" w:eastAsia="zh-CN"/>
              </w:rPr>
              <w:t>十二个月</w:t>
            </w:r>
          </w:p>
        </w:tc>
      </w:tr>
      <w:tr w14:paraId="44309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590B89CD">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2088" w:type="dxa"/>
            <w:tcBorders>
              <w:tl2br w:val="nil"/>
              <w:tr2bl w:val="nil"/>
            </w:tcBorders>
            <w:vAlign w:val="center"/>
          </w:tcPr>
          <w:p w14:paraId="5C229B13">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Times New Roman"/>
                <w:color w:val="auto"/>
                <w:sz w:val="22"/>
                <w:szCs w:val="22"/>
                <w:highlight w:val="none"/>
                <w:lang w:eastAsia="zh-CN"/>
              </w:rPr>
            </w:pPr>
            <w:r>
              <w:rPr>
                <w:rFonts w:hint="eastAsia" w:ascii="宋体" w:eastAsia="宋体" w:cs="Times New Roman"/>
                <w:color w:val="auto"/>
                <w:sz w:val="22"/>
                <w:szCs w:val="22"/>
                <w:highlight w:val="none"/>
                <w:lang w:eastAsia="zh-CN"/>
              </w:rPr>
              <w:t>答疑与澄清</w:t>
            </w:r>
          </w:p>
        </w:tc>
        <w:tc>
          <w:tcPr>
            <w:tcW w:w="7447" w:type="dxa"/>
            <w:tcBorders>
              <w:tl2br w:val="nil"/>
              <w:tr2bl w:val="nil"/>
            </w:tcBorders>
            <w:vAlign w:val="center"/>
          </w:tcPr>
          <w:p w14:paraId="6F4C5677">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pacing w:val="0"/>
                <w:sz w:val="22"/>
                <w:szCs w:val="22"/>
                <w:highlight w:val="none"/>
                <w:lang w:val="en-US" w:eastAsia="zh-CN"/>
              </w:rPr>
            </w:pPr>
            <w:r>
              <w:rPr>
                <w:rFonts w:hint="eastAsia" w:hAnsi="宋体" w:cs="宋体"/>
                <w:color w:val="auto"/>
                <w:spacing w:val="0"/>
                <w:sz w:val="22"/>
                <w:szCs w:val="22"/>
                <w:highlight w:val="none"/>
                <w:lang w:val="en-US" w:eastAsia="zh-CN"/>
              </w:rPr>
              <w:t>竞标银行</w:t>
            </w:r>
            <w:r>
              <w:rPr>
                <w:rFonts w:hint="eastAsia" w:ascii="宋体" w:hAnsi="宋体" w:eastAsia="宋体" w:cs="宋体"/>
                <w:color w:val="auto"/>
                <w:spacing w:val="0"/>
                <w:sz w:val="22"/>
                <w:szCs w:val="22"/>
                <w:highlight w:val="none"/>
                <w:lang w:val="en-US" w:eastAsia="zh-CN"/>
              </w:rPr>
              <w:t>如对采购文件有异议，应当于采购文件要求提交投标文件截止时间五日前，以书面形式向采购单位提出，逾期不予受理。</w:t>
            </w:r>
          </w:p>
        </w:tc>
      </w:tr>
      <w:tr w14:paraId="76FF7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3C869644">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2088" w:type="dxa"/>
            <w:tcBorders>
              <w:tl2br w:val="nil"/>
              <w:tr2bl w:val="nil"/>
            </w:tcBorders>
            <w:vAlign w:val="center"/>
          </w:tcPr>
          <w:p w14:paraId="2D1649F7">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Times New Roman"/>
                <w:color w:val="auto"/>
                <w:sz w:val="22"/>
                <w:szCs w:val="22"/>
                <w:highlight w:val="none"/>
                <w:lang w:eastAsia="zh-CN"/>
              </w:rPr>
            </w:pPr>
            <w:r>
              <w:rPr>
                <w:rFonts w:hint="eastAsia" w:ascii="宋体" w:eastAsia="宋体" w:cs="Times New Roman"/>
                <w:color w:val="auto"/>
                <w:sz w:val="22"/>
                <w:szCs w:val="22"/>
                <w:highlight w:val="none"/>
                <w:lang w:eastAsia="zh-CN"/>
              </w:rPr>
              <w:t>投标截止时间</w:t>
            </w:r>
          </w:p>
        </w:tc>
        <w:tc>
          <w:tcPr>
            <w:tcW w:w="7447" w:type="dxa"/>
            <w:tcBorders>
              <w:tl2br w:val="nil"/>
              <w:tr2bl w:val="nil"/>
            </w:tcBorders>
            <w:vAlign w:val="center"/>
          </w:tcPr>
          <w:p w14:paraId="43903465">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sz w:val="22"/>
                <w:szCs w:val="22"/>
                <w:highlight w:val="none"/>
                <w:u w:val="none"/>
              </w:rPr>
            </w:pPr>
            <w:r>
              <w:rPr>
                <w:rFonts w:hint="eastAsia" w:ascii="宋体" w:hAnsi="宋体" w:eastAsia="宋体" w:cs="宋体"/>
                <w:b w:val="0"/>
                <w:bCs w:val="0"/>
                <w:color w:val="auto"/>
                <w:sz w:val="22"/>
                <w:szCs w:val="22"/>
                <w:highlight w:val="none"/>
                <w:u w:val="single"/>
              </w:rPr>
              <w:t>20</w:t>
            </w:r>
            <w:r>
              <w:rPr>
                <w:rFonts w:hint="eastAsia" w:ascii="宋体" w:hAnsi="宋体" w:eastAsia="宋体" w:cs="宋体"/>
                <w:b w:val="0"/>
                <w:bCs w:val="0"/>
                <w:color w:val="auto"/>
                <w:sz w:val="22"/>
                <w:szCs w:val="22"/>
                <w:highlight w:val="none"/>
                <w:u w:val="single"/>
                <w:lang w:val="en-US" w:eastAsia="zh-CN"/>
              </w:rPr>
              <w:t>2</w:t>
            </w:r>
            <w:r>
              <w:rPr>
                <w:rFonts w:hint="eastAsia" w:ascii="宋体" w:hAnsi="宋体" w:cs="宋体"/>
                <w:b w:val="0"/>
                <w:bCs w:val="0"/>
                <w:color w:val="auto"/>
                <w:sz w:val="22"/>
                <w:szCs w:val="22"/>
                <w:highlight w:val="none"/>
                <w:u w:val="single"/>
                <w:lang w:val="en-US" w:eastAsia="zh-CN"/>
              </w:rPr>
              <w:t>5</w:t>
            </w:r>
            <w:r>
              <w:rPr>
                <w:rFonts w:hint="eastAsia" w:ascii="宋体" w:hAnsi="宋体" w:eastAsia="宋体" w:cs="宋体"/>
                <w:b w:val="0"/>
                <w:bCs w:val="0"/>
                <w:color w:val="auto"/>
                <w:sz w:val="22"/>
                <w:szCs w:val="22"/>
                <w:highlight w:val="none"/>
              </w:rPr>
              <w:t>年</w:t>
            </w:r>
            <w:r>
              <w:rPr>
                <w:rFonts w:hint="eastAsia" w:ascii="宋体" w:hAnsi="宋体" w:cs="宋体"/>
                <w:b w:val="0"/>
                <w:bCs w:val="0"/>
                <w:color w:val="auto"/>
                <w:sz w:val="22"/>
                <w:szCs w:val="22"/>
                <w:highlight w:val="none"/>
                <w:u w:val="single"/>
                <w:lang w:val="en-US" w:eastAsia="zh-CN"/>
              </w:rPr>
              <w:t xml:space="preserve"> </w:t>
            </w:r>
            <w:r>
              <w:rPr>
                <w:rFonts w:hint="eastAsia" w:hAnsi="宋体" w:cs="宋体"/>
                <w:b w:val="0"/>
                <w:bCs w:val="0"/>
                <w:color w:val="auto"/>
                <w:sz w:val="22"/>
                <w:szCs w:val="22"/>
                <w:highlight w:val="none"/>
                <w:u w:val="single"/>
                <w:lang w:val="en-US" w:eastAsia="zh-CN"/>
              </w:rPr>
              <w:t>7</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月</w:t>
            </w:r>
            <w:r>
              <w:rPr>
                <w:rFonts w:hint="eastAsia" w:ascii="宋体" w:hAnsi="宋体" w:cs="宋体"/>
                <w:b w:val="0"/>
                <w:bCs w:val="0"/>
                <w:color w:val="auto"/>
                <w:sz w:val="22"/>
                <w:szCs w:val="22"/>
                <w:highlight w:val="none"/>
                <w:u w:val="single"/>
                <w:lang w:val="en-US" w:eastAsia="zh-CN"/>
              </w:rPr>
              <w:t xml:space="preserve"> </w:t>
            </w:r>
            <w:r>
              <w:rPr>
                <w:rFonts w:hint="eastAsia" w:hAnsi="宋体" w:cs="宋体"/>
                <w:b w:val="0"/>
                <w:bCs w:val="0"/>
                <w:color w:val="auto"/>
                <w:sz w:val="22"/>
                <w:szCs w:val="22"/>
                <w:highlight w:val="none"/>
                <w:u w:val="single"/>
                <w:lang w:val="en-US" w:eastAsia="zh-CN"/>
              </w:rPr>
              <w:t>15</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日</w:t>
            </w:r>
            <w:r>
              <w:rPr>
                <w:rFonts w:hint="eastAsia" w:ascii="宋体" w:hAnsi="宋体" w:cs="宋体"/>
                <w:b w:val="0"/>
                <w:bCs w:val="0"/>
                <w:i w:val="0"/>
                <w:iCs w:val="0"/>
                <w:color w:val="auto"/>
                <w:sz w:val="22"/>
                <w:szCs w:val="22"/>
                <w:highlight w:val="none"/>
                <w:u w:val="single"/>
                <w:lang w:val="en-US" w:eastAsia="zh-CN"/>
              </w:rPr>
              <w:t xml:space="preserve"> </w:t>
            </w:r>
            <w:r>
              <w:rPr>
                <w:rFonts w:hint="eastAsia" w:hAnsi="宋体" w:cs="宋体"/>
                <w:b w:val="0"/>
                <w:bCs w:val="0"/>
                <w:i w:val="0"/>
                <w:iCs w:val="0"/>
                <w:color w:val="auto"/>
                <w:sz w:val="22"/>
                <w:szCs w:val="22"/>
                <w:highlight w:val="none"/>
                <w:u w:val="single"/>
                <w:lang w:val="en-US" w:eastAsia="zh-CN"/>
              </w:rPr>
              <w:t>9</w:t>
            </w:r>
            <w:r>
              <w:rPr>
                <w:rFonts w:hint="eastAsia" w:ascii="宋体" w:hAnsi="宋体" w:cs="宋体"/>
                <w:b w:val="0"/>
                <w:bCs w:val="0"/>
                <w:i w:val="0"/>
                <w:i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时</w:t>
            </w:r>
            <w:r>
              <w:rPr>
                <w:rFonts w:hint="eastAsia" w:ascii="宋体" w:hAnsi="宋体" w:cs="宋体"/>
                <w:b w:val="0"/>
                <w:bCs w:val="0"/>
                <w:color w:val="auto"/>
                <w:sz w:val="22"/>
                <w:szCs w:val="22"/>
                <w:highlight w:val="none"/>
                <w:u w:val="single"/>
                <w:lang w:val="en-US" w:eastAsia="zh-CN"/>
              </w:rPr>
              <w:t xml:space="preserve"> </w:t>
            </w:r>
            <w:r>
              <w:rPr>
                <w:rFonts w:hint="eastAsia" w:hAnsi="宋体" w:cs="宋体"/>
                <w:b w:val="0"/>
                <w:bCs w:val="0"/>
                <w:color w:val="auto"/>
                <w:sz w:val="22"/>
                <w:szCs w:val="22"/>
                <w:highlight w:val="none"/>
                <w:u w:val="single"/>
                <w:lang w:val="en-US" w:eastAsia="zh-CN"/>
              </w:rPr>
              <w:t>30</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分</w:t>
            </w:r>
          </w:p>
        </w:tc>
      </w:tr>
      <w:tr w14:paraId="36F6B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09DA1C04">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2088" w:type="dxa"/>
            <w:tcBorders>
              <w:tl2br w:val="nil"/>
              <w:tr2bl w:val="nil"/>
            </w:tcBorders>
            <w:vAlign w:val="center"/>
          </w:tcPr>
          <w:p w14:paraId="5AAF911D">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Times New Roman"/>
                <w:color w:val="auto"/>
                <w:sz w:val="22"/>
                <w:szCs w:val="22"/>
                <w:highlight w:val="none"/>
                <w:lang w:eastAsia="zh-CN"/>
              </w:rPr>
            </w:pPr>
            <w:r>
              <w:rPr>
                <w:rFonts w:hint="eastAsia" w:ascii="宋体" w:eastAsia="宋体" w:cs="Times New Roman"/>
                <w:color w:val="auto"/>
                <w:sz w:val="22"/>
                <w:szCs w:val="22"/>
                <w:highlight w:val="none"/>
                <w:lang w:eastAsia="zh-CN"/>
              </w:rPr>
              <w:t>投标有效期</w:t>
            </w:r>
          </w:p>
        </w:tc>
        <w:tc>
          <w:tcPr>
            <w:tcW w:w="7447" w:type="dxa"/>
            <w:tcBorders>
              <w:tl2br w:val="nil"/>
              <w:tr2bl w:val="nil"/>
            </w:tcBorders>
            <w:vAlign w:val="center"/>
          </w:tcPr>
          <w:p w14:paraId="3000A870">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sz w:val="22"/>
                <w:szCs w:val="22"/>
                <w:highlight w:val="none"/>
                <w:u w:val="none"/>
              </w:rPr>
            </w:pPr>
            <w:r>
              <w:rPr>
                <w:rFonts w:hint="eastAsia" w:ascii="宋体" w:hAnsi="宋体" w:eastAsia="宋体" w:cs="宋体"/>
                <w:b w:val="0"/>
                <w:bCs w:val="0"/>
                <w:color w:val="auto"/>
                <w:kern w:val="2"/>
                <w:sz w:val="22"/>
                <w:szCs w:val="22"/>
                <w:highlight w:val="none"/>
                <w:u w:val="none"/>
              </w:rPr>
              <w:t>90日历天</w:t>
            </w:r>
          </w:p>
        </w:tc>
      </w:tr>
      <w:tr w14:paraId="2CA4E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6F36D630">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2088" w:type="dxa"/>
            <w:tcBorders>
              <w:tl2br w:val="nil"/>
              <w:tr2bl w:val="nil"/>
            </w:tcBorders>
            <w:vAlign w:val="center"/>
          </w:tcPr>
          <w:p w14:paraId="75E62FE9">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Times New Roman"/>
                <w:color w:val="auto"/>
                <w:sz w:val="22"/>
                <w:szCs w:val="22"/>
                <w:highlight w:val="none"/>
                <w:lang w:eastAsia="zh-CN"/>
              </w:rPr>
            </w:pPr>
            <w:r>
              <w:rPr>
                <w:rFonts w:hint="eastAsia" w:ascii="宋体" w:eastAsia="宋体" w:cs="Times New Roman"/>
                <w:color w:val="auto"/>
                <w:sz w:val="22"/>
                <w:szCs w:val="22"/>
                <w:highlight w:val="none"/>
                <w:lang w:eastAsia="zh-CN"/>
              </w:rPr>
              <w:t>开标时间</w:t>
            </w:r>
          </w:p>
        </w:tc>
        <w:tc>
          <w:tcPr>
            <w:tcW w:w="7447" w:type="dxa"/>
            <w:tcBorders>
              <w:tl2br w:val="nil"/>
              <w:tr2bl w:val="nil"/>
            </w:tcBorders>
            <w:vAlign w:val="center"/>
          </w:tcPr>
          <w:p w14:paraId="639C6ACF">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sz w:val="22"/>
                <w:szCs w:val="22"/>
                <w:highlight w:val="none"/>
                <w:u w:val="none"/>
              </w:rPr>
            </w:pPr>
            <w:r>
              <w:rPr>
                <w:rFonts w:hint="eastAsia" w:ascii="宋体" w:hAnsi="宋体" w:eastAsia="宋体" w:cs="宋体"/>
                <w:b w:val="0"/>
                <w:bCs w:val="0"/>
                <w:color w:val="auto"/>
                <w:sz w:val="22"/>
                <w:szCs w:val="22"/>
                <w:highlight w:val="none"/>
                <w:u w:val="single"/>
              </w:rPr>
              <w:t>20</w:t>
            </w:r>
            <w:r>
              <w:rPr>
                <w:rFonts w:hint="eastAsia" w:ascii="宋体" w:hAnsi="宋体" w:eastAsia="宋体" w:cs="宋体"/>
                <w:b w:val="0"/>
                <w:bCs w:val="0"/>
                <w:color w:val="auto"/>
                <w:sz w:val="22"/>
                <w:szCs w:val="22"/>
                <w:highlight w:val="none"/>
                <w:u w:val="single"/>
                <w:lang w:val="en-US" w:eastAsia="zh-CN"/>
              </w:rPr>
              <w:t>2</w:t>
            </w:r>
            <w:r>
              <w:rPr>
                <w:rFonts w:hint="eastAsia" w:ascii="宋体" w:hAnsi="宋体" w:cs="宋体"/>
                <w:b w:val="0"/>
                <w:bCs w:val="0"/>
                <w:color w:val="auto"/>
                <w:sz w:val="22"/>
                <w:szCs w:val="22"/>
                <w:highlight w:val="none"/>
                <w:u w:val="single"/>
                <w:lang w:val="en-US" w:eastAsia="zh-CN"/>
              </w:rPr>
              <w:t>5</w:t>
            </w:r>
            <w:r>
              <w:rPr>
                <w:rFonts w:hint="eastAsia" w:ascii="宋体" w:hAnsi="宋体" w:eastAsia="宋体" w:cs="宋体"/>
                <w:b w:val="0"/>
                <w:bCs w:val="0"/>
                <w:color w:val="auto"/>
                <w:sz w:val="22"/>
                <w:szCs w:val="22"/>
                <w:highlight w:val="none"/>
              </w:rPr>
              <w:t>年</w:t>
            </w:r>
            <w:r>
              <w:rPr>
                <w:rFonts w:hint="eastAsia" w:ascii="宋体" w:hAnsi="宋体" w:cs="宋体"/>
                <w:b w:val="0"/>
                <w:bCs w:val="0"/>
                <w:color w:val="auto"/>
                <w:sz w:val="22"/>
                <w:szCs w:val="22"/>
                <w:highlight w:val="none"/>
                <w:u w:val="single"/>
                <w:lang w:val="en-US" w:eastAsia="zh-CN"/>
              </w:rPr>
              <w:t xml:space="preserve"> </w:t>
            </w:r>
            <w:r>
              <w:rPr>
                <w:rFonts w:hint="eastAsia" w:hAnsi="宋体" w:cs="宋体"/>
                <w:b w:val="0"/>
                <w:bCs w:val="0"/>
                <w:color w:val="auto"/>
                <w:sz w:val="22"/>
                <w:szCs w:val="22"/>
                <w:highlight w:val="none"/>
                <w:u w:val="single"/>
                <w:lang w:val="en-US" w:eastAsia="zh-CN"/>
              </w:rPr>
              <w:t>7</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月</w:t>
            </w:r>
            <w:r>
              <w:rPr>
                <w:rFonts w:hint="eastAsia" w:ascii="宋体" w:hAnsi="宋体" w:cs="宋体"/>
                <w:b w:val="0"/>
                <w:bCs w:val="0"/>
                <w:color w:val="auto"/>
                <w:sz w:val="22"/>
                <w:szCs w:val="22"/>
                <w:highlight w:val="none"/>
                <w:u w:val="single"/>
                <w:lang w:val="en-US" w:eastAsia="zh-CN"/>
              </w:rPr>
              <w:t xml:space="preserve"> </w:t>
            </w:r>
            <w:r>
              <w:rPr>
                <w:rFonts w:hint="eastAsia" w:hAnsi="宋体" w:cs="宋体"/>
                <w:b w:val="0"/>
                <w:bCs w:val="0"/>
                <w:color w:val="auto"/>
                <w:sz w:val="22"/>
                <w:szCs w:val="22"/>
                <w:highlight w:val="none"/>
                <w:u w:val="single"/>
                <w:lang w:val="en-US" w:eastAsia="zh-CN"/>
              </w:rPr>
              <w:t>15</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日</w:t>
            </w:r>
            <w:r>
              <w:rPr>
                <w:rFonts w:hint="eastAsia" w:ascii="宋体" w:hAnsi="宋体" w:cs="宋体"/>
                <w:b w:val="0"/>
                <w:bCs w:val="0"/>
                <w:i w:val="0"/>
                <w:iCs w:val="0"/>
                <w:color w:val="auto"/>
                <w:sz w:val="22"/>
                <w:szCs w:val="22"/>
                <w:highlight w:val="none"/>
                <w:u w:val="single"/>
                <w:lang w:val="en-US" w:eastAsia="zh-CN"/>
              </w:rPr>
              <w:t xml:space="preserve"> </w:t>
            </w:r>
            <w:r>
              <w:rPr>
                <w:rFonts w:hint="eastAsia" w:hAnsi="宋体" w:cs="宋体"/>
                <w:b w:val="0"/>
                <w:bCs w:val="0"/>
                <w:i w:val="0"/>
                <w:iCs w:val="0"/>
                <w:color w:val="auto"/>
                <w:sz w:val="22"/>
                <w:szCs w:val="22"/>
                <w:highlight w:val="none"/>
                <w:u w:val="single"/>
                <w:lang w:val="en-US" w:eastAsia="zh-CN"/>
              </w:rPr>
              <w:t>9</w:t>
            </w:r>
            <w:r>
              <w:rPr>
                <w:rFonts w:hint="eastAsia" w:ascii="宋体" w:hAnsi="宋体" w:cs="宋体"/>
                <w:b w:val="0"/>
                <w:bCs w:val="0"/>
                <w:i w:val="0"/>
                <w:i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时</w:t>
            </w:r>
            <w:r>
              <w:rPr>
                <w:rFonts w:hint="eastAsia" w:ascii="宋体" w:hAnsi="宋体" w:cs="宋体"/>
                <w:b w:val="0"/>
                <w:bCs w:val="0"/>
                <w:color w:val="auto"/>
                <w:sz w:val="22"/>
                <w:szCs w:val="22"/>
                <w:highlight w:val="none"/>
                <w:u w:val="single"/>
                <w:lang w:val="en-US" w:eastAsia="zh-CN"/>
              </w:rPr>
              <w:t xml:space="preserve"> </w:t>
            </w:r>
            <w:r>
              <w:rPr>
                <w:rFonts w:hint="eastAsia" w:hAnsi="宋体" w:cs="宋体"/>
                <w:b w:val="0"/>
                <w:bCs w:val="0"/>
                <w:color w:val="auto"/>
                <w:sz w:val="22"/>
                <w:szCs w:val="22"/>
                <w:highlight w:val="none"/>
                <w:u w:val="single"/>
                <w:lang w:val="en-US" w:eastAsia="zh-CN"/>
              </w:rPr>
              <w:t>30</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分</w:t>
            </w:r>
          </w:p>
        </w:tc>
      </w:tr>
      <w:tr w14:paraId="08C7F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415A6B9D">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2088" w:type="dxa"/>
            <w:tcBorders>
              <w:tl2br w:val="nil"/>
              <w:tr2bl w:val="nil"/>
            </w:tcBorders>
            <w:vAlign w:val="center"/>
          </w:tcPr>
          <w:p w14:paraId="240817F8">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开标地点</w:t>
            </w:r>
          </w:p>
        </w:tc>
        <w:tc>
          <w:tcPr>
            <w:tcW w:w="7447" w:type="dxa"/>
            <w:tcBorders>
              <w:tl2br w:val="nil"/>
              <w:tr2bl w:val="nil"/>
            </w:tcBorders>
            <w:vAlign w:val="center"/>
          </w:tcPr>
          <w:p w14:paraId="6C18197A">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rPr>
            </w:pPr>
            <w:r>
              <w:rPr>
                <w:rFonts w:hint="eastAsia" w:hAnsi="宋体" w:cs="宋体"/>
                <w:color w:val="auto"/>
                <w:spacing w:val="0"/>
                <w:sz w:val="22"/>
                <w:szCs w:val="22"/>
                <w:highlight w:val="none"/>
                <w:lang w:val="en-US" w:eastAsia="zh-CN"/>
              </w:rPr>
              <w:t>竞标银行</w:t>
            </w:r>
            <w:r>
              <w:rPr>
                <w:rFonts w:hint="eastAsia" w:ascii="宋体" w:hAnsi="宋体" w:eastAsia="宋体" w:cs="宋体"/>
                <w:color w:val="auto"/>
                <w:spacing w:val="0"/>
                <w:sz w:val="22"/>
                <w:szCs w:val="22"/>
                <w:highlight w:val="none"/>
                <w:lang w:val="en-US" w:eastAsia="zh-CN"/>
              </w:rPr>
              <w:t>无需到场参加，</w:t>
            </w:r>
            <w:r>
              <w:rPr>
                <w:rFonts w:hint="eastAsia" w:hAnsi="宋体" w:cs="宋体"/>
                <w:color w:val="auto"/>
                <w:spacing w:val="0"/>
                <w:sz w:val="22"/>
                <w:szCs w:val="22"/>
                <w:highlight w:val="none"/>
                <w:lang w:val="en-US" w:eastAsia="zh-CN"/>
              </w:rPr>
              <w:t>浙江政府采购网</w:t>
            </w:r>
            <w:r>
              <w:rPr>
                <w:rFonts w:hint="eastAsia" w:ascii="宋体" w:hAnsi="宋体" w:eastAsia="宋体" w:cs="宋体"/>
                <w:color w:val="auto"/>
                <w:spacing w:val="0"/>
                <w:sz w:val="22"/>
                <w:szCs w:val="22"/>
                <w:highlight w:val="none"/>
                <w:lang w:val="en-US" w:eastAsia="zh-CN"/>
              </w:rPr>
              <w:t>上在线参加开标会议</w:t>
            </w:r>
          </w:p>
        </w:tc>
      </w:tr>
      <w:tr w14:paraId="12F88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469A4209">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w:t>
            </w:r>
          </w:p>
        </w:tc>
        <w:tc>
          <w:tcPr>
            <w:tcW w:w="2088" w:type="dxa"/>
            <w:tcBorders>
              <w:tl2br w:val="nil"/>
              <w:tr2bl w:val="nil"/>
            </w:tcBorders>
            <w:vAlign w:val="center"/>
          </w:tcPr>
          <w:p w14:paraId="25B13169">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6"/>
                <w:kern w:val="2"/>
                <w:sz w:val="22"/>
                <w:szCs w:val="22"/>
                <w:highlight w:val="none"/>
                <w:lang w:eastAsia="zh-CN"/>
              </w:rPr>
            </w:pPr>
            <w:r>
              <w:rPr>
                <w:rFonts w:hint="eastAsia" w:ascii="宋体" w:hAnsi="宋体" w:eastAsia="宋体" w:cs="宋体"/>
                <w:color w:val="auto"/>
                <w:spacing w:val="-6"/>
                <w:kern w:val="2"/>
                <w:sz w:val="22"/>
                <w:szCs w:val="22"/>
                <w:highlight w:val="none"/>
                <w:lang w:eastAsia="zh-CN"/>
              </w:rPr>
              <w:t>是否接受联合体投标</w:t>
            </w:r>
          </w:p>
        </w:tc>
        <w:tc>
          <w:tcPr>
            <w:tcW w:w="7447" w:type="dxa"/>
            <w:tcBorders>
              <w:tl2br w:val="nil"/>
              <w:tr2bl w:val="nil"/>
            </w:tcBorders>
            <w:vAlign w:val="center"/>
          </w:tcPr>
          <w:p w14:paraId="48E2AD93">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否</w:t>
            </w:r>
          </w:p>
        </w:tc>
      </w:tr>
      <w:tr w14:paraId="62113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1DB16C69">
            <w:pPr>
              <w:bidi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w:t>
            </w:r>
          </w:p>
        </w:tc>
        <w:tc>
          <w:tcPr>
            <w:tcW w:w="2088" w:type="dxa"/>
            <w:tcBorders>
              <w:tl2br w:val="nil"/>
              <w:tr2bl w:val="nil"/>
            </w:tcBorders>
            <w:vAlign w:val="center"/>
          </w:tcPr>
          <w:p w14:paraId="63A24943">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6"/>
                <w:kern w:val="2"/>
                <w:sz w:val="22"/>
                <w:szCs w:val="22"/>
                <w:highlight w:val="none"/>
                <w:lang w:eastAsia="zh-CN"/>
              </w:rPr>
            </w:pPr>
            <w:r>
              <w:rPr>
                <w:rFonts w:hint="eastAsia" w:ascii="宋体" w:hAnsi="宋体" w:eastAsia="宋体" w:cs="宋体"/>
                <w:color w:val="auto"/>
                <w:spacing w:val="-6"/>
                <w:kern w:val="2"/>
                <w:sz w:val="22"/>
                <w:szCs w:val="22"/>
                <w:highlight w:val="none"/>
                <w:lang w:eastAsia="zh-CN"/>
              </w:rPr>
              <w:t>是否接受转包与分包</w:t>
            </w:r>
          </w:p>
        </w:tc>
        <w:tc>
          <w:tcPr>
            <w:tcW w:w="7447" w:type="dxa"/>
            <w:tcBorders>
              <w:tl2br w:val="nil"/>
              <w:tr2bl w:val="nil"/>
            </w:tcBorders>
            <w:vAlign w:val="center"/>
          </w:tcPr>
          <w:p w14:paraId="1D7F1D11">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否</w:t>
            </w:r>
          </w:p>
        </w:tc>
      </w:tr>
      <w:tr w14:paraId="19A75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5437D053">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w:t>
            </w:r>
          </w:p>
        </w:tc>
        <w:tc>
          <w:tcPr>
            <w:tcW w:w="2088" w:type="dxa"/>
            <w:tcBorders>
              <w:tl2br w:val="nil"/>
              <w:tr2bl w:val="nil"/>
            </w:tcBorders>
            <w:vAlign w:val="center"/>
          </w:tcPr>
          <w:p w14:paraId="27CABF52">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2"/>
                <w:szCs w:val="22"/>
                <w:highlight w:val="none"/>
              </w:rPr>
            </w:pPr>
            <w:r>
              <w:rPr>
                <w:rFonts w:hint="eastAsia" w:ascii="宋体" w:hAnsi="宋体" w:eastAsia="宋体" w:cs="宋体"/>
                <w:color w:val="auto"/>
                <w:kern w:val="2"/>
                <w:sz w:val="22"/>
                <w:szCs w:val="22"/>
                <w:highlight w:val="none"/>
              </w:rPr>
              <w:t>评标办法</w:t>
            </w:r>
          </w:p>
        </w:tc>
        <w:tc>
          <w:tcPr>
            <w:tcW w:w="7447" w:type="dxa"/>
            <w:tcBorders>
              <w:tl2br w:val="nil"/>
              <w:tr2bl w:val="nil"/>
            </w:tcBorders>
            <w:vAlign w:val="center"/>
          </w:tcPr>
          <w:p w14:paraId="3422A9F7">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综合评分法</w:t>
            </w:r>
          </w:p>
        </w:tc>
      </w:tr>
      <w:tr w14:paraId="44ED2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46CDF7BE">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w:t>
            </w:r>
          </w:p>
        </w:tc>
        <w:tc>
          <w:tcPr>
            <w:tcW w:w="2088" w:type="dxa"/>
            <w:tcBorders>
              <w:tl2br w:val="nil"/>
              <w:tr2bl w:val="nil"/>
            </w:tcBorders>
            <w:vAlign w:val="center"/>
          </w:tcPr>
          <w:p w14:paraId="57C63E3E">
            <w:pPr>
              <w:pStyle w:val="11"/>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sz w:val="22"/>
                <w:szCs w:val="22"/>
                <w:highlight w:val="none"/>
              </w:rPr>
            </w:pPr>
            <w:r>
              <w:rPr>
                <w:rFonts w:hint="eastAsia" w:ascii="宋体" w:hAnsi="宋体" w:eastAsia="宋体" w:cs="宋体"/>
                <w:color w:val="auto"/>
                <w:kern w:val="2"/>
                <w:sz w:val="22"/>
                <w:szCs w:val="22"/>
                <w:highlight w:val="none"/>
              </w:rPr>
              <w:t>评标结果公示</w:t>
            </w:r>
          </w:p>
        </w:tc>
        <w:tc>
          <w:tcPr>
            <w:tcW w:w="7447" w:type="dxa"/>
            <w:tcBorders>
              <w:tl2br w:val="nil"/>
              <w:tr2bl w:val="nil"/>
            </w:tcBorders>
            <w:vAlign w:val="center"/>
          </w:tcPr>
          <w:p w14:paraId="22682C99">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浙江政府采购网（网址：</w:t>
            </w:r>
            <w:r>
              <w:rPr>
                <w:rFonts w:hint="eastAsia" w:ascii="宋体" w:hAnsi="宋体" w:eastAsia="宋体" w:cs="宋体"/>
                <w:color w:val="auto"/>
                <w:kern w:val="2"/>
                <w:sz w:val="22"/>
                <w:szCs w:val="22"/>
                <w:highlight w:val="none"/>
              </w:rPr>
              <w:fldChar w:fldCharType="begin"/>
            </w:r>
            <w:r>
              <w:rPr>
                <w:rFonts w:hint="eastAsia" w:ascii="宋体" w:hAnsi="宋体" w:eastAsia="宋体" w:cs="宋体"/>
                <w:color w:val="auto"/>
                <w:kern w:val="2"/>
                <w:sz w:val="22"/>
                <w:szCs w:val="22"/>
                <w:highlight w:val="none"/>
              </w:rPr>
              <w:instrText xml:space="preserve"> HYPERLINK "https://zfcg.czt.zj.gov.cn/）" </w:instrText>
            </w:r>
            <w:r>
              <w:rPr>
                <w:rFonts w:hint="eastAsia" w:ascii="宋体" w:hAnsi="宋体" w:eastAsia="宋体" w:cs="宋体"/>
                <w:color w:val="auto"/>
                <w:kern w:val="2"/>
                <w:sz w:val="22"/>
                <w:szCs w:val="22"/>
                <w:highlight w:val="none"/>
              </w:rPr>
              <w:fldChar w:fldCharType="separate"/>
            </w:r>
            <w:r>
              <w:rPr>
                <w:rFonts w:hint="eastAsia" w:ascii="宋体" w:hAnsi="宋体" w:eastAsia="宋体" w:cs="宋体"/>
                <w:color w:val="auto"/>
                <w:kern w:val="2"/>
                <w:sz w:val="22"/>
                <w:szCs w:val="22"/>
                <w:highlight w:val="none"/>
              </w:rPr>
              <w:t>https://zfcg.czt.zj.gov.cn）</w:t>
            </w:r>
            <w:r>
              <w:rPr>
                <w:rFonts w:hint="eastAsia" w:ascii="宋体" w:hAnsi="宋体" w:eastAsia="宋体" w:cs="宋体"/>
                <w:color w:val="auto"/>
                <w:kern w:val="2"/>
                <w:sz w:val="22"/>
                <w:szCs w:val="22"/>
                <w:highlight w:val="none"/>
              </w:rPr>
              <w:fldChar w:fldCharType="end"/>
            </w:r>
          </w:p>
          <w:p w14:paraId="183C013B">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天台县人民政府门户公共资源交易</w:t>
            </w:r>
          </w:p>
          <w:p w14:paraId="64DDB59A">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（网址：http://www.zjtt.gov.cn/col/col1659806/index.html）</w:t>
            </w:r>
          </w:p>
        </w:tc>
      </w:tr>
      <w:tr w14:paraId="034C6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449A842A">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w:t>
            </w:r>
          </w:p>
        </w:tc>
        <w:tc>
          <w:tcPr>
            <w:tcW w:w="2088" w:type="dxa"/>
            <w:tcBorders>
              <w:tl2br w:val="nil"/>
              <w:tr2bl w:val="nil"/>
            </w:tcBorders>
            <w:vAlign w:val="center"/>
          </w:tcPr>
          <w:p w14:paraId="4643AA10">
            <w:pPr>
              <w:pStyle w:val="11"/>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b w:val="0"/>
                <w:bCs w:val="0"/>
                <w:color w:val="auto"/>
                <w:sz w:val="22"/>
                <w:szCs w:val="22"/>
                <w:highlight w:val="none"/>
                <w:lang w:eastAsia="zh-CN"/>
              </w:rPr>
            </w:pPr>
            <w:r>
              <w:rPr>
                <w:rFonts w:hint="eastAsia" w:ascii="宋体" w:hAnsi="宋体" w:eastAsia="宋体" w:cs="宋体"/>
                <w:b w:val="0"/>
                <w:bCs w:val="0"/>
                <w:color w:val="auto"/>
                <w:kern w:val="2"/>
                <w:sz w:val="22"/>
                <w:szCs w:val="22"/>
                <w:highlight w:val="none"/>
              </w:rPr>
              <w:t>签订</w:t>
            </w:r>
            <w:r>
              <w:rPr>
                <w:rFonts w:hint="eastAsia" w:hAnsi="宋体" w:cs="宋体"/>
                <w:b w:val="0"/>
                <w:bCs w:val="0"/>
                <w:color w:val="auto"/>
                <w:kern w:val="2"/>
                <w:sz w:val="22"/>
                <w:szCs w:val="22"/>
                <w:highlight w:val="none"/>
                <w:lang w:eastAsia="zh-CN"/>
              </w:rPr>
              <w:t>协议书</w:t>
            </w:r>
          </w:p>
        </w:tc>
        <w:tc>
          <w:tcPr>
            <w:tcW w:w="7447" w:type="dxa"/>
            <w:tcBorders>
              <w:tl2br w:val="nil"/>
              <w:tr2bl w:val="nil"/>
            </w:tcBorders>
            <w:vAlign w:val="center"/>
          </w:tcPr>
          <w:p w14:paraId="2AD2483E">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在中标通知书</w:t>
            </w:r>
            <w:r>
              <w:rPr>
                <w:rFonts w:hint="eastAsia" w:hAnsi="宋体" w:cs="宋体"/>
                <w:color w:val="auto"/>
                <w:kern w:val="2"/>
                <w:sz w:val="22"/>
                <w:szCs w:val="22"/>
                <w:highlight w:val="none"/>
                <w:lang w:eastAsia="zh-CN"/>
              </w:rPr>
              <w:t>发出</w:t>
            </w:r>
            <w:r>
              <w:rPr>
                <w:rFonts w:hint="eastAsia" w:ascii="宋体" w:hAnsi="宋体" w:eastAsia="宋体" w:cs="宋体"/>
                <w:color w:val="auto"/>
                <w:kern w:val="2"/>
                <w:sz w:val="22"/>
                <w:szCs w:val="22"/>
                <w:highlight w:val="none"/>
                <w:lang w:eastAsia="zh-CN"/>
              </w:rPr>
              <w:t>后</w:t>
            </w:r>
            <w:r>
              <w:rPr>
                <w:rFonts w:hint="eastAsia" w:hAnsi="宋体" w:cs="宋体"/>
                <w:color w:val="auto"/>
                <w:kern w:val="2"/>
                <w:sz w:val="22"/>
                <w:szCs w:val="22"/>
                <w:highlight w:val="none"/>
                <w:lang w:val="en-US" w:eastAsia="zh-CN"/>
              </w:rPr>
              <w:t>15</w:t>
            </w:r>
            <w:r>
              <w:rPr>
                <w:rFonts w:hint="default" w:hAnsi="宋体" w:cs="宋体"/>
                <w:color w:val="auto"/>
                <w:kern w:val="2"/>
                <w:sz w:val="22"/>
                <w:szCs w:val="22"/>
                <w:highlight w:val="none"/>
                <w:lang w:val="en-US" w:eastAsia="zh-CN"/>
              </w:rPr>
              <w:t>日</w:t>
            </w:r>
            <w:r>
              <w:rPr>
                <w:rFonts w:hint="eastAsia" w:ascii="宋体" w:hAnsi="宋体" w:eastAsia="宋体" w:cs="宋体"/>
                <w:color w:val="auto"/>
                <w:kern w:val="2"/>
                <w:sz w:val="22"/>
                <w:szCs w:val="22"/>
                <w:highlight w:val="none"/>
                <w:lang w:eastAsia="zh-CN"/>
              </w:rPr>
              <w:t>内，与采购人签订</w:t>
            </w:r>
            <w:r>
              <w:rPr>
                <w:rFonts w:hint="eastAsia" w:hAnsi="宋体" w:cs="宋体"/>
                <w:color w:val="auto"/>
                <w:kern w:val="2"/>
                <w:sz w:val="22"/>
                <w:szCs w:val="22"/>
                <w:highlight w:val="none"/>
                <w:lang w:eastAsia="zh-CN"/>
              </w:rPr>
              <w:t>协议书</w:t>
            </w:r>
          </w:p>
        </w:tc>
      </w:tr>
      <w:tr w14:paraId="590B3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00C95C46">
            <w:pPr>
              <w:bidi w:val="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17</w:t>
            </w:r>
          </w:p>
        </w:tc>
        <w:tc>
          <w:tcPr>
            <w:tcW w:w="2088" w:type="dxa"/>
            <w:tcBorders>
              <w:tl2br w:val="nil"/>
              <w:tr2bl w:val="nil"/>
            </w:tcBorders>
            <w:vAlign w:val="center"/>
          </w:tcPr>
          <w:p w14:paraId="628BBA91">
            <w:pPr>
              <w:bidi w:val="0"/>
              <w:jc w:val="both"/>
              <w:rPr>
                <w:rFonts w:hint="eastAsia" w:ascii="宋体" w:hAnsi="宋体" w:eastAsia="宋体" w:cs="宋体"/>
                <w:b w:val="0"/>
                <w:bCs w:val="0"/>
                <w:color w:val="auto"/>
                <w:kern w:val="2"/>
                <w:sz w:val="22"/>
                <w:szCs w:val="22"/>
                <w:highlight w:val="none"/>
              </w:rPr>
            </w:pPr>
            <w:r>
              <w:rPr>
                <w:rFonts w:hint="eastAsia" w:ascii="宋体" w:hAnsi="宋体" w:eastAsia="宋体" w:cs="宋体"/>
                <w:b/>
                <w:bCs/>
                <w:color w:val="auto"/>
                <w:sz w:val="22"/>
                <w:szCs w:val="22"/>
                <w:highlight w:val="none"/>
                <w:lang w:val="en-US" w:eastAsia="zh-CN"/>
              </w:rPr>
              <w:t>提交担保函</w:t>
            </w:r>
          </w:p>
        </w:tc>
        <w:tc>
          <w:tcPr>
            <w:tcW w:w="7447" w:type="dxa"/>
            <w:tcBorders>
              <w:tl2br w:val="nil"/>
              <w:tr2bl w:val="nil"/>
            </w:tcBorders>
            <w:vAlign w:val="center"/>
          </w:tcPr>
          <w:p w14:paraId="5D2CF607">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b/>
                <w:bCs/>
                <w:color w:val="auto"/>
                <w:kern w:val="2"/>
                <w:sz w:val="22"/>
                <w:szCs w:val="22"/>
                <w:highlight w:val="none"/>
                <w:lang w:val="en-US" w:eastAsia="zh-CN" w:bidi="ar-SA"/>
              </w:rPr>
              <w:t>中标银行在</w:t>
            </w:r>
            <w:r>
              <w:rPr>
                <w:rFonts w:hint="default" w:ascii="宋体" w:hAnsi="宋体" w:eastAsia="宋体" w:cs="宋体"/>
                <w:b/>
                <w:bCs/>
                <w:color w:val="auto"/>
                <w:kern w:val="2"/>
                <w:sz w:val="22"/>
                <w:szCs w:val="22"/>
                <w:highlight w:val="none"/>
                <w:lang w:val="en-US" w:eastAsia="zh-CN" w:bidi="ar-SA"/>
              </w:rPr>
              <w:t>签订协议书</w:t>
            </w:r>
            <w:r>
              <w:rPr>
                <w:rFonts w:hint="eastAsia" w:ascii="宋体" w:hAnsi="宋体" w:eastAsia="宋体" w:cs="宋体"/>
                <w:b/>
                <w:bCs/>
                <w:color w:val="auto"/>
                <w:kern w:val="2"/>
                <w:sz w:val="22"/>
                <w:szCs w:val="22"/>
                <w:highlight w:val="none"/>
                <w:lang w:val="en-US" w:eastAsia="zh-CN" w:bidi="ar-SA"/>
              </w:rPr>
              <w:t>时，须出具上级行或其他银行中标金额120%的担保函。无规定额度担保函的，取消中标资格。</w:t>
            </w:r>
          </w:p>
        </w:tc>
      </w:tr>
      <w:tr w14:paraId="73538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80" w:type="dxa"/>
            <w:tcBorders>
              <w:tl2br w:val="nil"/>
              <w:tr2bl w:val="nil"/>
            </w:tcBorders>
            <w:vAlign w:val="center"/>
          </w:tcPr>
          <w:p w14:paraId="01D9B881">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8</w:t>
            </w:r>
          </w:p>
        </w:tc>
        <w:tc>
          <w:tcPr>
            <w:tcW w:w="2088" w:type="dxa"/>
            <w:tcBorders>
              <w:tl2br w:val="nil"/>
              <w:tr2bl w:val="nil"/>
            </w:tcBorders>
            <w:vAlign w:val="center"/>
          </w:tcPr>
          <w:p w14:paraId="68FE56CA">
            <w:pPr>
              <w:bidi w:val="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采购代理费</w:t>
            </w:r>
          </w:p>
        </w:tc>
        <w:tc>
          <w:tcPr>
            <w:tcW w:w="7447" w:type="dxa"/>
            <w:tcBorders>
              <w:tl2br w:val="nil"/>
              <w:tr2bl w:val="nil"/>
            </w:tcBorders>
            <w:vAlign w:val="center"/>
          </w:tcPr>
          <w:p w14:paraId="46435B97">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eastAsia="zh-CN"/>
              </w:rPr>
              <w:t>本项目由中标银行</w:t>
            </w:r>
            <w:r>
              <w:rPr>
                <w:rFonts w:hint="eastAsia" w:hAnsi="宋体" w:cs="宋体"/>
                <w:color w:val="auto"/>
                <w:kern w:val="2"/>
                <w:sz w:val="22"/>
                <w:szCs w:val="22"/>
                <w:highlight w:val="none"/>
                <w:lang w:eastAsia="zh-CN"/>
              </w:rPr>
              <w:t>支付采购代理服务费，每家中标银行的</w:t>
            </w:r>
            <w:r>
              <w:rPr>
                <w:rFonts w:hint="eastAsia" w:ascii="宋体" w:hAnsi="宋体" w:eastAsia="宋体" w:cs="宋体"/>
                <w:color w:val="auto"/>
                <w:spacing w:val="0"/>
                <w:sz w:val="22"/>
                <w:szCs w:val="22"/>
                <w:highlight w:val="none"/>
                <w:lang w:val="en-US" w:eastAsia="zh-CN"/>
              </w:rPr>
              <w:t>采购代理服务费</w:t>
            </w:r>
            <w:r>
              <w:rPr>
                <w:rFonts w:hint="eastAsia" w:hAnsi="宋体" w:cs="宋体"/>
                <w:color w:val="auto"/>
                <w:spacing w:val="0"/>
                <w:sz w:val="22"/>
                <w:szCs w:val="22"/>
                <w:highlight w:val="none"/>
                <w:lang w:val="en-US" w:eastAsia="zh-CN"/>
              </w:rPr>
              <w:t>为2500元，</w:t>
            </w:r>
            <w:r>
              <w:rPr>
                <w:rFonts w:hint="eastAsia" w:ascii="宋体" w:hAnsi="宋体" w:eastAsia="宋体" w:cs="宋体"/>
                <w:color w:val="auto"/>
                <w:kern w:val="2"/>
                <w:sz w:val="22"/>
                <w:szCs w:val="22"/>
                <w:highlight w:val="none"/>
                <w:lang w:eastAsia="zh-CN"/>
              </w:rPr>
              <w:t>在中标通知书领取前，向采购代理机构</w:t>
            </w:r>
            <w:r>
              <w:rPr>
                <w:rFonts w:hint="eastAsia" w:ascii="宋体" w:hAnsi="宋体" w:eastAsia="宋体" w:cs="宋体"/>
                <w:color w:val="auto"/>
                <w:kern w:val="2"/>
                <w:sz w:val="22"/>
                <w:szCs w:val="22"/>
                <w:highlight w:val="none"/>
                <w:lang w:val="en-US" w:eastAsia="zh-CN"/>
              </w:rPr>
              <w:t>支付。</w:t>
            </w:r>
          </w:p>
        </w:tc>
      </w:tr>
      <w:tr w14:paraId="1D4F6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49E3DC19">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9</w:t>
            </w:r>
          </w:p>
        </w:tc>
        <w:tc>
          <w:tcPr>
            <w:tcW w:w="2088" w:type="dxa"/>
            <w:tcBorders>
              <w:tl2br w:val="nil"/>
              <w:tr2bl w:val="nil"/>
            </w:tcBorders>
            <w:vAlign w:val="center"/>
          </w:tcPr>
          <w:p w14:paraId="739223C2">
            <w:pPr>
              <w:bidi w:val="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解释</w:t>
            </w:r>
          </w:p>
        </w:tc>
        <w:tc>
          <w:tcPr>
            <w:tcW w:w="7447" w:type="dxa"/>
            <w:tcBorders>
              <w:tl2br w:val="nil"/>
              <w:tr2bl w:val="nil"/>
            </w:tcBorders>
            <w:vAlign w:val="center"/>
          </w:tcPr>
          <w:p w14:paraId="238B0F6B">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本采购文件的解释权属于采购人和采购代理机构</w:t>
            </w:r>
          </w:p>
        </w:tc>
      </w:tr>
      <w:tr w14:paraId="10E6A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l2br w:val="nil"/>
              <w:tr2bl w:val="nil"/>
            </w:tcBorders>
            <w:vAlign w:val="center"/>
          </w:tcPr>
          <w:p w14:paraId="5CA43F3D">
            <w:pPr>
              <w:bidi w:val="0"/>
              <w:jc w:val="center"/>
              <w:rPr>
                <w:rFonts w:hint="default" w:ascii="宋体" w:hAnsi="宋体" w:eastAsia="宋体" w:cs="宋体"/>
                <w:color w:val="auto"/>
                <w:sz w:val="22"/>
                <w:szCs w:val="22"/>
                <w:highlight w:val="none"/>
                <w:lang w:val="en-US" w:eastAsia="zh-CN"/>
              </w:rPr>
            </w:pPr>
            <w:bookmarkStart w:id="8" w:name="_Toc18190"/>
            <w:r>
              <w:rPr>
                <w:rFonts w:hint="eastAsia" w:ascii="宋体" w:hAnsi="宋体" w:cs="宋体"/>
                <w:color w:val="auto"/>
                <w:sz w:val="22"/>
                <w:szCs w:val="22"/>
                <w:highlight w:val="none"/>
                <w:lang w:val="en-US" w:eastAsia="zh-CN"/>
              </w:rPr>
              <w:t>20</w:t>
            </w:r>
          </w:p>
        </w:tc>
        <w:tc>
          <w:tcPr>
            <w:tcW w:w="2088" w:type="dxa"/>
            <w:tcBorders>
              <w:tl2br w:val="nil"/>
              <w:tr2bl w:val="nil"/>
            </w:tcBorders>
            <w:vAlign w:val="center"/>
          </w:tcPr>
          <w:p w14:paraId="1446F1CD">
            <w:pPr>
              <w:pStyle w:val="11"/>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hAnsi="宋体" w:cs="宋体"/>
                <w:color w:val="auto"/>
                <w:kern w:val="2"/>
                <w:sz w:val="22"/>
                <w:szCs w:val="22"/>
                <w:highlight w:val="none"/>
                <w:lang w:val="en-US" w:eastAsia="zh-CN"/>
              </w:rPr>
              <w:t>其它</w:t>
            </w:r>
          </w:p>
        </w:tc>
        <w:tc>
          <w:tcPr>
            <w:tcW w:w="7447" w:type="dxa"/>
            <w:tcBorders>
              <w:tl2br w:val="nil"/>
              <w:tr2bl w:val="nil"/>
            </w:tcBorders>
            <w:vAlign w:val="center"/>
          </w:tcPr>
          <w:p w14:paraId="52F4A9DE">
            <w:pPr>
              <w:pStyle w:val="11"/>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本项目无需</w:t>
            </w:r>
            <w:r>
              <w:rPr>
                <w:rFonts w:hint="eastAsia" w:hAnsi="宋体" w:cs="宋体"/>
                <w:color w:val="auto"/>
                <w:kern w:val="2"/>
                <w:sz w:val="22"/>
                <w:szCs w:val="22"/>
                <w:highlight w:val="none"/>
                <w:lang w:eastAsia="zh-CN"/>
              </w:rPr>
              <w:t>缴</w:t>
            </w:r>
            <w:r>
              <w:rPr>
                <w:rFonts w:hint="eastAsia" w:ascii="宋体" w:hAnsi="宋体" w:eastAsia="宋体" w:cs="宋体"/>
                <w:color w:val="auto"/>
                <w:kern w:val="2"/>
                <w:sz w:val="22"/>
                <w:szCs w:val="22"/>
                <w:highlight w:val="none"/>
                <w:lang w:eastAsia="zh-CN"/>
              </w:rPr>
              <w:t>纳投标保证金和履约保证金</w:t>
            </w:r>
          </w:p>
        </w:tc>
      </w:tr>
      <w:bookmarkEnd w:id="7"/>
    </w:tbl>
    <w:p w14:paraId="6384B8F4">
      <w:pPr>
        <w:rPr>
          <w:rFonts w:hint="eastAsia"/>
          <w:color w:val="auto"/>
          <w:highlight w:val="none"/>
        </w:rPr>
      </w:pPr>
      <w:r>
        <w:rPr>
          <w:rFonts w:hint="eastAsia"/>
          <w:color w:val="auto"/>
          <w:highlight w:val="none"/>
        </w:rPr>
        <w:br w:type="page"/>
      </w:r>
    </w:p>
    <w:p w14:paraId="5A6007AA">
      <w:pPr>
        <w:pStyle w:val="3"/>
        <w:bidi w:val="0"/>
        <w:rPr>
          <w:rFonts w:hint="eastAsia"/>
          <w:color w:val="auto"/>
          <w:highlight w:val="none"/>
        </w:rPr>
      </w:pPr>
      <w:r>
        <w:rPr>
          <w:rFonts w:hint="eastAsia"/>
          <w:color w:val="auto"/>
          <w:highlight w:val="none"/>
        </w:rPr>
        <w:t>一、总则</w:t>
      </w:r>
    </w:p>
    <w:p w14:paraId="15025850">
      <w:pPr>
        <w:pStyle w:val="6"/>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适用范围</w:t>
      </w:r>
    </w:p>
    <w:p w14:paraId="195663D3">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本次</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中招标项目的招标、投标、评标、定标、</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履约等行为（法律、法规另有规定的，从其规定）。</w:t>
      </w:r>
    </w:p>
    <w:p w14:paraId="7BBBD7A9">
      <w:pPr>
        <w:pStyle w:val="6"/>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lang w:val="en-US" w:eastAsia="zh-CN"/>
        </w:rPr>
      </w:pPr>
      <w:bookmarkStart w:id="9" w:name="_Toc434586579"/>
      <w:bookmarkStart w:id="10" w:name="_Toc433710228"/>
      <w:r>
        <w:rPr>
          <w:rFonts w:hint="eastAsia" w:ascii="宋体" w:hAnsi="宋体" w:eastAsia="宋体" w:cs="宋体"/>
          <w:b/>
          <w:bCs/>
          <w:color w:val="auto"/>
          <w:sz w:val="22"/>
          <w:szCs w:val="22"/>
          <w:highlight w:val="none"/>
          <w:lang w:val="en-US" w:eastAsia="zh-CN"/>
        </w:rPr>
        <w:t>2.定义</w:t>
      </w:r>
      <w:bookmarkEnd w:id="9"/>
      <w:bookmarkEnd w:id="10"/>
    </w:p>
    <w:p w14:paraId="0BC09192">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2.1“采购组织机构”指采购人委托组织招标的采购代理机构。</w:t>
      </w:r>
    </w:p>
    <w:p w14:paraId="715E2AD9">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2.2采购人：是指委托采购代理机构采购本次项目的国家机关、事业单位和团体组织。</w:t>
      </w:r>
    </w:p>
    <w:p w14:paraId="01B9C96E">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2.3</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：是指向采购组织机构提交投标文件的</w:t>
      </w:r>
      <w:r>
        <w:rPr>
          <w:rFonts w:hint="eastAsia" w:ascii="宋体" w:hAnsi="宋体" w:cs="宋体"/>
          <w:color w:val="auto"/>
          <w:kern w:val="2"/>
          <w:sz w:val="22"/>
          <w:szCs w:val="22"/>
          <w:highlight w:val="none"/>
          <w:lang w:val="en-US" w:eastAsia="zh-CN" w:bidi="ar-SA"/>
        </w:rPr>
        <w:t>银行</w:t>
      </w:r>
      <w:r>
        <w:rPr>
          <w:rFonts w:hint="eastAsia" w:ascii="宋体" w:hAnsi="宋体" w:eastAsia="宋体" w:cs="宋体"/>
          <w:color w:val="auto"/>
          <w:kern w:val="2"/>
          <w:sz w:val="22"/>
          <w:szCs w:val="22"/>
          <w:highlight w:val="none"/>
          <w:lang w:val="en-US" w:eastAsia="zh-CN" w:bidi="ar-SA"/>
        </w:rPr>
        <w:t>。</w:t>
      </w:r>
    </w:p>
    <w:p w14:paraId="5229886B">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2.4货物：是指各种形态和种类的物品，包括原材料、燃料、设备、产品等。</w:t>
      </w:r>
    </w:p>
    <w:p w14:paraId="7E6C4590">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2.5服务：是指除货物和工程以外的政府采购对象，包括各类专业服务、信息网络开发服务、金融保险服务、运输服务，以及维修与维护服务等。</w:t>
      </w:r>
    </w:p>
    <w:p w14:paraId="1A1DAA61">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2.6“书面形式”包括信函、传真等。</w:t>
      </w:r>
    </w:p>
    <w:p w14:paraId="681D7B03">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2.7“▲”系指实质性要求条款，</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应当做出实质性响应。</w:t>
      </w:r>
    </w:p>
    <w:p w14:paraId="6336185B">
      <w:pPr>
        <w:pStyle w:val="6"/>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3.特别说明</w:t>
      </w:r>
    </w:p>
    <w:p w14:paraId="7BD1E49F">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应仔细阅读</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的所有内容，按照</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的要求提交投标文件，并对所提供的全部资料的真实性承担法律责任。</w:t>
      </w:r>
    </w:p>
    <w:p w14:paraId="15E55B0B">
      <w:pPr>
        <w:pStyle w:val="6"/>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4.质疑</w:t>
      </w:r>
    </w:p>
    <w:p w14:paraId="604020D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4.1</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认为采购文件、招标过程和中标结果使自己的权益受到损害的，可以在知道或者应知其</w:t>
      </w:r>
      <w:r>
        <w:rPr>
          <w:rFonts w:hint="eastAsia" w:ascii="宋体" w:hAnsi="宋体" w:cs="宋体"/>
          <w:color w:val="auto"/>
          <w:kern w:val="2"/>
          <w:sz w:val="22"/>
          <w:szCs w:val="22"/>
          <w:highlight w:val="none"/>
          <w:lang w:val="en-US" w:eastAsia="zh-CN" w:bidi="ar-SA"/>
        </w:rPr>
        <w:t>权益受到</w:t>
      </w:r>
      <w:r>
        <w:rPr>
          <w:rFonts w:hint="eastAsia" w:ascii="宋体" w:hAnsi="宋体" w:eastAsia="宋体" w:cs="宋体"/>
          <w:color w:val="auto"/>
          <w:kern w:val="2"/>
          <w:sz w:val="22"/>
          <w:szCs w:val="22"/>
          <w:highlight w:val="none"/>
          <w:lang w:val="en-US" w:eastAsia="zh-CN" w:bidi="ar-SA"/>
        </w:rPr>
        <w:t>损害之日起七个工作日内，以书面形式向代理机构提出质疑（在法定质疑期内一次性提出针对同一采购程序环节的质疑）。</w:t>
      </w:r>
    </w:p>
    <w:p w14:paraId="6296E62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4.2质疑</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630A446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4.3质疑函格式见《政府采购质疑和投诉办法》（财政部令第94号）附件范本，下载网址：浙江政府采购网</w:t>
      </w: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www.zjzfcg.gov.cn)。</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提出质疑应当提交质疑函和必要的证明材料。质疑函应当包括下列内容：</w:t>
      </w:r>
    </w:p>
    <w:p w14:paraId="44A8358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a.</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的姓名或者名称、地址、邮编、联系人及联系电话；</w:t>
      </w:r>
    </w:p>
    <w:p w14:paraId="0CF4FFF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b.质疑项目的名称、编号；</w:t>
      </w:r>
    </w:p>
    <w:p w14:paraId="0F05E59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c.具体、明确的质疑事项和与质疑事项相关的请求；</w:t>
      </w:r>
    </w:p>
    <w:p w14:paraId="4509044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d.事实依据；</w:t>
      </w:r>
    </w:p>
    <w:p w14:paraId="585E09D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e.必要的法律依据；</w:t>
      </w:r>
    </w:p>
    <w:p w14:paraId="59E25FC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f.提出质疑的日期。</w:t>
      </w:r>
    </w:p>
    <w:p w14:paraId="3B830C9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14:paraId="164FBD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4.4采购代理机构在收到质疑</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的书面质疑后7个工作日内作出书面答复（涉及项目采购需求内容的由采购人答复），质疑人在收到答复后应于1日内，以书面或传真形式（签署意见并加盖公章）向采购代理机构回复予以确认。过期未回复的，视为默认接受。</w:t>
      </w:r>
    </w:p>
    <w:p w14:paraId="0832877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4.5质疑</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捏造事实、提供虚假材料进行质疑的，采购代理机构报告同级财政部门。情况属实的，列入不良行为记录并在指定的媒体上公告。</w:t>
      </w:r>
    </w:p>
    <w:p w14:paraId="4E166FFB">
      <w:pPr>
        <w:pStyle w:val="3"/>
        <w:bidi w:val="0"/>
        <w:rPr>
          <w:rFonts w:hint="eastAsia"/>
          <w:color w:val="auto"/>
          <w:highlight w:val="none"/>
          <w:lang w:val="en-US" w:eastAsia="zh-CN"/>
        </w:rPr>
      </w:pPr>
      <w:r>
        <w:rPr>
          <w:rFonts w:hint="eastAsia"/>
          <w:color w:val="auto"/>
          <w:highlight w:val="none"/>
          <w:lang w:val="en-US" w:eastAsia="zh-CN"/>
        </w:rPr>
        <w:t>二、采购文件</w:t>
      </w:r>
    </w:p>
    <w:p w14:paraId="14B4C11E">
      <w:pPr>
        <w:pStyle w:val="6"/>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采购文件由以下部分组成：</w:t>
      </w:r>
    </w:p>
    <w:p w14:paraId="414007D9">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第一章 招标公告</w:t>
      </w:r>
    </w:p>
    <w:p w14:paraId="3C668A69">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第二章 </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须知</w:t>
      </w:r>
    </w:p>
    <w:p w14:paraId="484BC70D">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第三章 </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主要条款</w:t>
      </w:r>
    </w:p>
    <w:p w14:paraId="7FB8C194">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 xml:space="preserve">第四章 </w:t>
      </w:r>
      <w:r>
        <w:rPr>
          <w:rFonts w:hint="eastAsia" w:ascii="宋体" w:hAnsi="宋体" w:cs="宋体"/>
          <w:color w:val="auto"/>
          <w:kern w:val="2"/>
          <w:sz w:val="22"/>
          <w:szCs w:val="22"/>
          <w:highlight w:val="none"/>
          <w:lang w:val="en-US" w:eastAsia="zh-CN" w:bidi="ar-SA"/>
        </w:rPr>
        <w:t>招标</w:t>
      </w:r>
      <w:r>
        <w:rPr>
          <w:rFonts w:hint="eastAsia" w:ascii="宋体" w:hAnsi="宋体" w:eastAsia="宋体" w:cs="宋体"/>
          <w:color w:val="auto"/>
          <w:kern w:val="2"/>
          <w:sz w:val="22"/>
          <w:szCs w:val="22"/>
          <w:highlight w:val="none"/>
          <w:lang w:val="en-US" w:eastAsia="zh-CN" w:bidi="ar-SA"/>
        </w:rPr>
        <w:t>内容及需求</w:t>
      </w:r>
    </w:p>
    <w:p w14:paraId="0C3374A4">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第五章 评标办法及评标标准</w:t>
      </w:r>
    </w:p>
    <w:p w14:paraId="03F30C43">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第六章 附件：投标文件格式</w:t>
      </w:r>
    </w:p>
    <w:p w14:paraId="1116397F">
      <w:pPr>
        <w:pStyle w:val="6"/>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2.本采购文件的解释权属采购人和采购代理机构。</w:t>
      </w:r>
    </w:p>
    <w:p w14:paraId="3BFD078A">
      <w:pPr>
        <w:pStyle w:val="6"/>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lang w:val="en-US" w:eastAsia="zh-CN"/>
        </w:rPr>
      </w:pPr>
      <w:r>
        <w:rPr>
          <w:rFonts w:hint="eastAsia" w:hAnsi="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val="en-US" w:eastAsia="zh-CN"/>
        </w:rPr>
        <w:t>.</w:t>
      </w:r>
      <w:r>
        <w:rPr>
          <w:rFonts w:hint="eastAsia" w:hAnsi="宋体" w:cs="宋体"/>
          <w:b/>
          <w:bCs/>
          <w:color w:val="auto"/>
          <w:sz w:val="22"/>
          <w:szCs w:val="22"/>
          <w:highlight w:val="none"/>
          <w:lang w:val="en-US" w:eastAsia="zh-CN"/>
        </w:rPr>
        <w:t>采购文件</w:t>
      </w:r>
      <w:r>
        <w:rPr>
          <w:rFonts w:hint="eastAsia" w:ascii="宋体" w:hAnsi="宋体" w:eastAsia="宋体" w:cs="宋体"/>
          <w:b/>
          <w:bCs/>
          <w:color w:val="auto"/>
          <w:sz w:val="22"/>
          <w:szCs w:val="22"/>
          <w:highlight w:val="none"/>
          <w:lang w:val="en-US" w:eastAsia="zh-CN"/>
        </w:rPr>
        <w:t xml:space="preserve">的澄清与修改 </w:t>
      </w:r>
    </w:p>
    <w:p w14:paraId="7DD3434C">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3.1</w:t>
      </w:r>
      <w:r>
        <w:rPr>
          <w:rFonts w:hint="eastAsia" w:ascii="宋体" w:hAnsi="宋体" w:eastAsia="宋体" w:cs="宋体"/>
          <w:color w:val="auto"/>
          <w:kern w:val="2"/>
          <w:sz w:val="22"/>
          <w:szCs w:val="22"/>
          <w:highlight w:val="none"/>
          <w:lang w:val="en-US" w:eastAsia="zh-CN" w:bidi="ar-SA"/>
        </w:rPr>
        <w:t>采购人或招标代理机构可以对已发出的</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进行必要的澄清或者修改。澄清或者修改的内容可能影响投标文件编制的，采购人或招标代理机构应当在发布招标公告的网站上发布更正公告或以书面形式通知所有已获取</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的潜在</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，并且应当顺延投标截止时间，发布更正公告或书面变更通知之日至投标截止之日不得少于5个工作日。</w:t>
      </w:r>
    </w:p>
    <w:p w14:paraId="3C21711D">
      <w:pPr>
        <w:pStyle w:val="3"/>
        <w:bidi w:val="0"/>
        <w:rPr>
          <w:rFonts w:hint="eastAsia"/>
          <w:color w:val="auto"/>
          <w:highlight w:val="none"/>
          <w:lang w:val="en-US" w:eastAsia="zh-CN"/>
        </w:rPr>
      </w:pPr>
      <w:r>
        <w:rPr>
          <w:rFonts w:hint="eastAsia"/>
          <w:color w:val="auto"/>
          <w:highlight w:val="none"/>
          <w:lang w:val="en-US" w:eastAsia="zh-CN"/>
        </w:rPr>
        <w:t>三、投标文件的编制</w:t>
      </w:r>
    </w:p>
    <w:p w14:paraId="63E2559D">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应认真阅读</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中所有事项、格式、条款和技术规范等。</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没有按照</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要求提交全部资料，或者没有对</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各个方面</w:t>
      </w:r>
      <w:r>
        <w:rPr>
          <w:rFonts w:hint="eastAsia" w:ascii="宋体" w:hAnsi="宋体" w:cs="宋体"/>
          <w:color w:val="auto"/>
          <w:kern w:val="2"/>
          <w:sz w:val="22"/>
          <w:szCs w:val="22"/>
          <w:highlight w:val="none"/>
          <w:lang w:val="en-US" w:eastAsia="zh-CN" w:bidi="ar-SA"/>
        </w:rPr>
        <w:t>作出</w:t>
      </w:r>
      <w:r>
        <w:rPr>
          <w:rFonts w:hint="eastAsia" w:ascii="宋体" w:hAnsi="宋体" w:eastAsia="宋体" w:cs="宋体"/>
          <w:color w:val="auto"/>
          <w:kern w:val="2"/>
          <w:sz w:val="22"/>
          <w:szCs w:val="22"/>
          <w:highlight w:val="none"/>
          <w:lang w:val="en-US" w:eastAsia="zh-CN" w:bidi="ar-SA"/>
        </w:rPr>
        <w:t>实质性响应，导致投标被拒绝的风险由</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自行承担。</w:t>
      </w:r>
    </w:p>
    <w:p w14:paraId="3D3AA371">
      <w:pPr>
        <w:spacing w:line="360" w:lineRule="auto"/>
        <w:ind w:firstLine="440" w:firstLineChars="20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应保证所提供文件资料的真实性，所有文件资料必须是针对本次投标的，否则其投标将被拒绝。如发现</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提供了虚假文件资料，其投标将被拒绝，并自行承担相应的法律责任。</w:t>
      </w:r>
    </w:p>
    <w:p w14:paraId="0C30DB02">
      <w:pPr>
        <w:pStyle w:val="6"/>
        <w:keepLines w:val="0"/>
        <w:pageBreakBefore w:val="0"/>
        <w:kinsoku/>
        <w:wordWrap/>
        <w:overflowPunct/>
        <w:topLinePunct w:val="0"/>
        <w:autoSpaceDE/>
        <w:autoSpaceDN/>
        <w:bidi w:val="0"/>
        <w:spacing w:line="40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3.投标文件的构成：</w:t>
      </w:r>
    </w:p>
    <w:p w14:paraId="12AFE9E9">
      <w:pPr>
        <w:spacing w:line="360" w:lineRule="auto"/>
        <w:ind w:firstLine="440" w:firstLineChars="20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3.1投标文件由下列部分构成</w:t>
      </w:r>
      <w:r>
        <w:rPr>
          <w:rFonts w:hint="eastAsia" w:ascii="宋体" w:hAnsi="宋体" w:cs="宋体"/>
          <w:b/>
          <w:bCs/>
          <w:color w:val="auto"/>
          <w:kern w:val="2"/>
          <w:sz w:val="22"/>
          <w:szCs w:val="22"/>
          <w:highlight w:val="none"/>
          <w:u w:val="single"/>
          <w:lang w:val="en-US" w:eastAsia="zh-CN" w:bidi="ar-SA"/>
        </w:rPr>
        <w:t>（以下内容需在投标时全部上传政采云系统</w:t>
      </w:r>
      <w:r>
        <w:rPr>
          <w:rFonts w:hint="eastAsia" w:ascii="宋体" w:hAnsi="宋体" w:cs="宋体"/>
          <w:b/>
          <w:bCs/>
          <w:color w:val="auto"/>
          <w:kern w:val="2"/>
          <w:sz w:val="22"/>
          <w:szCs w:val="22"/>
          <w:highlight w:val="none"/>
          <w:lang w:val="en-US" w:eastAsia="zh-CN" w:bidi="ar-SA"/>
        </w:rPr>
        <w:t>）</w:t>
      </w:r>
      <w:r>
        <w:rPr>
          <w:rFonts w:hint="eastAsia" w:ascii="宋体" w:hAnsi="宋体" w:eastAsia="宋体" w:cs="宋体"/>
          <w:b/>
          <w:bCs/>
          <w:color w:val="auto"/>
          <w:kern w:val="2"/>
          <w:sz w:val="22"/>
          <w:szCs w:val="22"/>
          <w:highlight w:val="none"/>
          <w:lang w:val="en-US" w:eastAsia="zh-CN" w:bidi="ar-SA"/>
        </w:rPr>
        <w:t>：</w:t>
      </w:r>
    </w:p>
    <w:tbl>
      <w:tblPr>
        <w:tblStyle w:val="19"/>
        <w:tblW w:w="9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397"/>
      </w:tblGrid>
      <w:tr w14:paraId="73238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tcBorders>
              <w:tl2br w:val="nil"/>
              <w:tr2bl w:val="nil"/>
            </w:tcBorders>
          </w:tcPr>
          <w:p w14:paraId="7F99C55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序号</w:t>
            </w:r>
          </w:p>
        </w:tc>
        <w:tc>
          <w:tcPr>
            <w:tcW w:w="7350" w:type="dxa"/>
            <w:tcBorders>
              <w:tl2br w:val="nil"/>
              <w:tr2bl w:val="nil"/>
            </w:tcBorders>
          </w:tcPr>
          <w:p w14:paraId="7C84445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内容</w:t>
            </w:r>
          </w:p>
        </w:tc>
        <w:tc>
          <w:tcPr>
            <w:tcW w:w="1397" w:type="dxa"/>
            <w:tcBorders>
              <w:tl2br w:val="nil"/>
              <w:tr2bl w:val="nil"/>
            </w:tcBorders>
          </w:tcPr>
          <w:p w14:paraId="3DD7F4A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说明</w:t>
            </w:r>
          </w:p>
        </w:tc>
      </w:tr>
      <w:tr w14:paraId="5B39E7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742E6A4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w:t>
            </w:r>
          </w:p>
        </w:tc>
        <w:tc>
          <w:tcPr>
            <w:tcW w:w="7350" w:type="dxa"/>
            <w:tcBorders>
              <w:tl2br w:val="nil"/>
              <w:tr2bl w:val="nil"/>
            </w:tcBorders>
          </w:tcPr>
          <w:p w14:paraId="722C673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封面</w:t>
            </w:r>
          </w:p>
        </w:tc>
        <w:tc>
          <w:tcPr>
            <w:tcW w:w="1397" w:type="dxa"/>
            <w:tcBorders>
              <w:tl2br w:val="nil"/>
              <w:tr2bl w:val="nil"/>
            </w:tcBorders>
            <w:vAlign w:val="center"/>
          </w:tcPr>
          <w:p w14:paraId="2BD2B25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附件</w:t>
            </w:r>
            <w:r>
              <w:rPr>
                <w:rFonts w:hint="eastAsia" w:ascii="宋体" w:hAnsi="宋体" w:cs="宋体"/>
                <w:color w:val="auto"/>
                <w:kern w:val="2"/>
                <w:sz w:val="22"/>
                <w:szCs w:val="22"/>
                <w:highlight w:val="none"/>
                <w:lang w:val="en-US" w:eastAsia="zh-CN" w:bidi="ar-SA"/>
              </w:rPr>
              <w:t>一</w:t>
            </w:r>
          </w:p>
        </w:tc>
      </w:tr>
      <w:tr w14:paraId="19D6F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tcBorders>
              <w:tl2br w:val="nil"/>
              <w:tr2bl w:val="nil"/>
            </w:tcBorders>
            <w:vAlign w:val="center"/>
          </w:tcPr>
          <w:p w14:paraId="79DB585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kern w:val="2"/>
                <w:sz w:val="22"/>
                <w:szCs w:val="22"/>
                <w:highlight w:val="none"/>
                <w:lang w:val="en-US" w:eastAsia="zh-CN" w:bidi="ar-SA"/>
              </w:rPr>
              <w:t>3</w:t>
            </w:r>
          </w:p>
        </w:tc>
        <w:tc>
          <w:tcPr>
            <w:tcW w:w="7350" w:type="dxa"/>
            <w:tcBorders>
              <w:tl2br w:val="nil"/>
              <w:tr2bl w:val="nil"/>
            </w:tcBorders>
          </w:tcPr>
          <w:p w14:paraId="02806DF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投标声明函</w:t>
            </w:r>
          </w:p>
        </w:tc>
        <w:tc>
          <w:tcPr>
            <w:tcW w:w="1397" w:type="dxa"/>
            <w:tcBorders>
              <w:tl2br w:val="nil"/>
              <w:tr2bl w:val="nil"/>
            </w:tcBorders>
            <w:vAlign w:val="center"/>
          </w:tcPr>
          <w:p w14:paraId="10D7E07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附件</w:t>
            </w:r>
            <w:r>
              <w:rPr>
                <w:rFonts w:hint="eastAsia" w:ascii="宋体" w:hAnsi="宋体" w:cs="宋体"/>
                <w:color w:val="auto"/>
                <w:kern w:val="2"/>
                <w:sz w:val="22"/>
                <w:szCs w:val="22"/>
                <w:highlight w:val="none"/>
                <w:lang w:val="en-US" w:eastAsia="zh-CN" w:bidi="ar-SA"/>
              </w:rPr>
              <w:t>二</w:t>
            </w:r>
          </w:p>
        </w:tc>
      </w:tr>
      <w:tr w14:paraId="69835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25C2DB3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w:t>
            </w:r>
          </w:p>
        </w:tc>
        <w:tc>
          <w:tcPr>
            <w:tcW w:w="7350" w:type="dxa"/>
            <w:tcBorders>
              <w:tl2br w:val="nil"/>
              <w:tr2bl w:val="nil"/>
            </w:tcBorders>
          </w:tcPr>
          <w:p w14:paraId="3CE2A5F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营业执照复印件或扫描件</w:t>
            </w:r>
          </w:p>
        </w:tc>
        <w:tc>
          <w:tcPr>
            <w:tcW w:w="1397" w:type="dxa"/>
            <w:tcBorders>
              <w:tl2br w:val="nil"/>
              <w:tr2bl w:val="nil"/>
            </w:tcBorders>
            <w:vAlign w:val="center"/>
          </w:tcPr>
          <w:p w14:paraId="0593A48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自行提供</w:t>
            </w:r>
          </w:p>
        </w:tc>
      </w:tr>
      <w:tr w14:paraId="1D704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5AAADC7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en-US" w:eastAsia="zh-CN" w:bidi="ar-SA"/>
              </w:rPr>
              <w:t>4</w:t>
            </w:r>
          </w:p>
        </w:tc>
        <w:tc>
          <w:tcPr>
            <w:tcW w:w="7350" w:type="dxa"/>
            <w:tcBorders>
              <w:tl2br w:val="nil"/>
              <w:tr2bl w:val="nil"/>
            </w:tcBorders>
          </w:tcPr>
          <w:p w14:paraId="1629DF4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《中华人民共和国金融许可证》复印件或扫描件</w:t>
            </w:r>
          </w:p>
        </w:tc>
        <w:tc>
          <w:tcPr>
            <w:tcW w:w="1397" w:type="dxa"/>
            <w:tcBorders>
              <w:tl2br w:val="nil"/>
              <w:tr2bl w:val="nil"/>
            </w:tcBorders>
          </w:tcPr>
          <w:p w14:paraId="7A9A0E9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自行提供</w:t>
            </w:r>
          </w:p>
        </w:tc>
      </w:tr>
      <w:tr w14:paraId="353DBB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41B66CD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en-US" w:eastAsia="zh-CN" w:bidi="ar-SA"/>
              </w:rPr>
              <w:t>5</w:t>
            </w:r>
          </w:p>
        </w:tc>
        <w:tc>
          <w:tcPr>
            <w:tcW w:w="7350" w:type="dxa"/>
            <w:tcBorders>
              <w:tl2br w:val="nil"/>
              <w:tr2bl w:val="nil"/>
            </w:tcBorders>
          </w:tcPr>
          <w:p w14:paraId="265EF8A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近</w:t>
            </w:r>
            <w:r>
              <w:rPr>
                <w:rFonts w:hint="eastAsia" w:ascii="宋体" w:hAnsi="宋体" w:cs="宋体"/>
                <w:color w:val="auto"/>
                <w:kern w:val="2"/>
                <w:sz w:val="22"/>
                <w:szCs w:val="22"/>
                <w:highlight w:val="none"/>
                <w:lang w:val="en-US" w:eastAsia="zh-CN" w:bidi="ar-SA"/>
              </w:rPr>
              <w:t>三</w:t>
            </w:r>
            <w:r>
              <w:rPr>
                <w:rFonts w:hint="eastAsia" w:ascii="宋体" w:hAnsi="宋体" w:eastAsia="宋体" w:cs="宋体"/>
                <w:color w:val="auto"/>
                <w:kern w:val="2"/>
                <w:sz w:val="22"/>
                <w:szCs w:val="22"/>
                <w:highlight w:val="none"/>
                <w:lang w:val="en-US" w:eastAsia="zh-CN" w:bidi="ar-SA"/>
              </w:rPr>
              <w:t>年内在经营活动中无重大违法违规记录及重大违约事件</w:t>
            </w:r>
            <w:r>
              <w:rPr>
                <w:rFonts w:hint="eastAsia" w:ascii="宋体" w:hAnsi="宋体" w:cs="宋体"/>
                <w:color w:val="auto"/>
                <w:kern w:val="2"/>
                <w:sz w:val="22"/>
                <w:szCs w:val="22"/>
                <w:highlight w:val="none"/>
                <w:lang w:val="en-US" w:eastAsia="zh-CN" w:bidi="ar-SA"/>
              </w:rPr>
              <w:t>的</w:t>
            </w:r>
            <w:r>
              <w:rPr>
                <w:rFonts w:hint="eastAsia" w:ascii="宋体" w:hAnsi="宋体" w:eastAsia="宋体" w:cs="宋体"/>
                <w:color w:val="auto"/>
                <w:kern w:val="2"/>
                <w:sz w:val="22"/>
                <w:szCs w:val="22"/>
                <w:highlight w:val="none"/>
                <w:lang w:val="en-US" w:eastAsia="zh-CN" w:bidi="ar-SA"/>
              </w:rPr>
              <w:t>承诺函</w:t>
            </w:r>
          </w:p>
        </w:tc>
        <w:tc>
          <w:tcPr>
            <w:tcW w:w="1397" w:type="dxa"/>
            <w:tcBorders>
              <w:tl2br w:val="nil"/>
              <w:tr2bl w:val="nil"/>
            </w:tcBorders>
            <w:vAlign w:val="center"/>
          </w:tcPr>
          <w:p w14:paraId="6633E04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附件</w:t>
            </w:r>
            <w:r>
              <w:rPr>
                <w:rFonts w:hint="eastAsia" w:ascii="宋体" w:hAnsi="宋体" w:cs="宋体"/>
                <w:color w:val="auto"/>
                <w:kern w:val="2"/>
                <w:sz w:val="22"/>
                <w:szCs w:val="22"/>
                <w:highlight w:val="none"/>
                <w:lang w:val="en-US" w:eastAsia="zh-CN" w:bidi="ar-SA"/>
              </w:rPr>
              <w:t>三</w:t>
            </w:r>
          </w:p>
        </w:tc>
      </w:tr>
      <w:tr w14:paraId="1BC082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7B676A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kern w:val="2"/>
                <w:sz w:val="22"/>
                <w:szCs w:val="22"/>
                <w:highlight w:val="none"/>
                <w:lang w:val="en-US" w:eastAsia="zh-CN" w:bidi="ar-SA"/>
              </w:rPr>
              <w:t>6</w:t>
            </w:r>
          </w:p>
        </w:tc>
        <w:tc>
          <w:tcPr>
            <w:tcW w:w="7350" w:type="dxa"/>
            <w:tcBorders>
              <w:tl2br w:val="nil"/>
              <w:tr2bl w:val="nil"/>
            </w:tcBorders>
          </w:tcPr>
          <w:p w14:paraId="7DF157E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法定代表人（主要负责人）资格证明书</w:t>
            </w:r>
          </w:p>
        </w:tc>
        <w:tc>
          <w:tcPr>
            <w:tcW w:w="1397" w:type="dxa"/>
            <w:tcBorders>
              <w:tl2br w:val="nil"/>
              <w:tr2bl w:val="nil"/>
            </w:tcBorders>
          </w:tcPr>
          <w:p w14:paraId="6C38486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附件</w:t>
            </w:r>
            <w:r>
              <w:rPr>
                <w:rFonts w:hint="eastAsia" w:ascii="宋体" w:hAnsi="宋体" w:cs="宋体"/>
                <w:color w:val="auto"/>
                <w:kern w:val="2"/>
                <w:sz w:val="22"/>
                <w:szCs w:val="22"/>
                <w:highlight w:val="none"/>
                <w:lang w:val="en-US" w:eastAsia="zh-CN" w:bidi="ar-SA"/>
              </w:rPr>
              <w:t>四</w:t>
            </w:r>
          </w:p>
        </w:tc>
      </w:tr>
      <w:tr w14:paraId="1378F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73" w:type="dxa"/>
            <w:tcBorders>
              <w:tl2br w:val="nil"/>
              <w:tr2bl w:val="nil"/>
            </w:tcBorders>
            <w:vAlign w:val="center"/>
          </w:tcPr>
          <w:p w14:paraId="48FBA4C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7</w:t>
            </w:r>
          </w:p>
        </w:tc>
        <w:tc>
          <w:tcPr>
            <w:tcW w:w="7350" w:type="dxa"/>
            <w:tcBorders>
              <w:tl2br w:val="nil"/>
              <w:tr2bl w:val="nil"/>
            </w:tcBorders>
          </w:tcPr>
          <w:p w14:paraId="19B161C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法定代表人（主要负责人）授权书（法定代表人（主要负责人）亲自办理投标事宜的，则无需提交</w:t>
            </w:r>
            <w:r>
              <w:rPr>
                <w:rFonts w:hint="eastAsia" w:ascii="宋体" w:hAnsi="宋体" w:cs="宋体"/>
                <w:color w:val="auto"/>
                <w:kern w:val="2"/>
                <w:sz w:val="22"/>
                <w:szCs w:val="22"/>
                <w:highlight w:val="none"/>
                <w:lang w:val="en-US" w:eastAsia="zh-CN" w:bidi="ar-SA"/>
              </w:rPr>
              <w:t>）</w:t>
            </w:r>
          </w:p>
        </w:tc>
        <w:tc>
          <w:tcPr>
            <w:tcW w:w="1397" w:type="dxa"/>
            <w:tcBorders>
              <w:tl2br w:val="nil"/>
              <w:tr2bl w:val="nil"/>
            </w:tcBorders>
            <w:vAlign w:val="center"/>
          </w:tcPr>
          <w:p w14:paraId="13F0DC4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附件</w:t>
            </w:r>
            <w:r>
              <w:rPr>
                <w:rFonts w:hint="eastAsia" w:ascii="宋体" w:hAnsi="宋体" w:cs="宋体"/>
                <w:color w:val="auto"/>
                <w:kern w:val="2"/>
                <w:sz w:val="22"/>
                <w:szCs w:val="22"/>
                <w:highlight w:val="none"/>
                <w:lang w:val="en-US" w:eastAsia="zh-CN" w:bidi="ar-SA"/>
              </w:rPr>
              <w:t>五</w:t>
            </w:r>
          </w:p>
        </w:tc>
      </w:tr>
      <w:tr w14:paraId="077D1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73" w:type="dxa"/>
            <w:tcBorders>
              <w:tl2br w:val="nil"/>
              <w:tr2bl w:val="nil"/>
            </w:tcBorders>
            <w:vAlign w:val="center"/>
          </w:tcPr>
          <w:p w14:paraId="1ECCD6F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cs="宋体"/>
                <w:color w:val="auto"/>
                <w:kern w:val="2"/>
                <w:sz w:val="22"/>
                <w:szCs w:val="22"/>
                <w:highlight w:val="none"/>
                <w:lang w:val="en-US" w:eastAsia="zh-CN" w:bidi="ar-SA"/>
              </w:rPr>
              <w:t>8</w:t>
            </w:r>
          </w:p>
        </w:tc>
        <w:tc>
          <w:tcPr>
            <w:tcW w:w="7350" w:type="dxa"/>
            <w:tcBorders>
              <w:tl2br w:val="nil"/>
              <w:tr2bl w:val="nil"/>
            </w:tcBorders>
          </w:tcPr>
          <w:p w14:paraId="48B2084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zh-CN" w:eastAsia="zh-CN" w:bidi="ar-SA"/>
              </w:rPr>
              <w:t>人民银行台州市分行上年度综合评价B级及以上证明材料，不纳入人民银行台州市分行综合评价范围的银行请提供相关证明材料</w:t>
            </w:r>
            <w:r>
              <w:rPr>
                <w:rFonts w:hint="eastAsia" w:hAnsi="宋体" w:cs="宋体"/>
                <w:color w:val="auto"/>
                <w:sz w:val="22"/>
                <w:szCs w:val="22"/>
                <w:highlight w:val="none"/>
                <w:lang w:val="en-US" w:eastAsia="zh-CN"/>
              </w:rPr>
              <w:t>（如</w:t>
            </w:r>
            <w:r>
              <w:rPr>
                <w:rFonts w:hint="eastAsia" w:ascii="宋体" w:hAnsi="宋体" w:eastAsia="宋体" w:cs="宋体"/>
                <w:color w:val="auto"/>
                <w:sz w:val="22"/>
                <w:szCs w:val="22"/>
                <w:highlight w:val="none"/>
                <w:lang w:val="en-US" w:eastAsia="zh-CN"/>
              </w:rPr>
              <w:t>人民银行</w:t>
            </w:r>
            <w:r>
              <w:rPr>
                <w:rFonts w:hint="eastAsia" w:hAnsi="宋体" w:cs="宋体"/>
                <w:color w:val="auto"/>
                <w:sz w:val="22"/>
                <w:szCs w:val="22"/>
                <w:highlight w:val="none"/>
                <w:lang w:val="en-US" w:eastAsia="zh-CN"/>
              </w:rPr>
              <w:t>台州市分行未对投标人的支行作出综合评价，投标人可采用上级分行的综合评价材料）</w:t>
            </w:r>
          </w:p>
        </w:tc>
        <w:tc>
          <w:tcPr>
            <w:tcW w:w="1397" w:type="dxa"/>
            <w:tcBorders>
              <w:tl2br w:val="nil"/>
              <w:tr2bl w:val="nil"/>
            </w:tcBorders>
            <w:vAlign w:val="center"/>
          </w:tcPr>
          <w:p w14:paraId="2029F33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自行提供</w:t>
            </w:r>
          </w:p>
        </w:tc>
      </w:tr>
      <w:tr w14:paraId="4A8B7D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440B481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9</w:t>
            </w:r>
          </w:p>
        </w:tc>
        <w:tc>
          <w:tcPr>
            <w:tcW w:w="7350" w:type="dxa"/>
            <w:tcBorders>
              <w:tl2br w:val="nil"/>
              <w:tr2bl w:val="nil"/>
            </w:tcBorders>
          </w:tcPr>
          <w:p w14:paraId="268DD8D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廉政承诺书</w:t>
            </w:r>
          </w:p>
        </w:tc>
        <w:tc>
          <w:tcPr>
            <w:tcW w:w="1397" w:type="dxa"/>
            <w:tcBorders>
              <w:tl2br w:val="nil"/>
              <w:tr2bl w:val="nil"/>
            </w:tcBorders>
          </w:tcPr>
          <w:p w14:paraId="53EFE85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附件</w:t>
            </w:r>
            <w:r>
              <w:rPr>
                <w:rFonts w:hint="eastAsia" w:ascii="宋体" w:hAnsi="宋体" w:cs="宋体"/>
                <w:color w:val="auto"/>
                <w:kern w:val="2"/>
                <w:sz w:val="22"/>
                <w:szCs w:val="22"/>
                <w:highlight w:val="none"/>
                <w:lang w:val="en-US" w:eastAsia="zh-CN" w:bidi="ar-SA"/>
              </w:rPr>
              <w:t>六</w:t>
            </w:r>
          </w:p>
        </w:tc>
      </w:tr>
      <w:tr w14:paraId="260D4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l2br w:val="nil"/>
              <w:tr2bl w:val="nil"/>
            </w:tcBorders>
            <w:vAlign w:val="center"/>
          </w:tcPr>
          <w:p w14:paraId="7F9AC60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10</w:t>
            </w:r>
          </w:p>
        </w:tc>
        <w:tc>
          <w:tcPr>
            <w:tcW w:w="7350" w:type="dxa"/>
            <w:tcBorders>
              <w:tl2br w:val="nil"/>
              <w:tr2bl w:val="nil"/>
            </w:tcBorders>
          </w:tcPr>
          <w:p w14:paraId="13793C8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认为需要提供的其他资料</w:t>
            </w:r>
          </w:p>
        </w:tc>
        <w:tc>
          <w:tcPr>
            <w:tcW w:w="1397" w:type="dxa"/>
            <w:tcBorders>
              <w:tl2br w:val="nil"/>
              <w:tr2bl w:val="nil"/>
            </w:tcBorders>
          </w:tcPr>
          <w:p w14:paraId="5926611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如有</w:t>
            </w:r>
          </w:p>
        </w:tc>
      </w:tr>
      <w:tr w14:paraId="03AE3A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0" w:type="dxa"/>
            <w:gridSpan w:val="3"/>
            <w:tcBorders>
              <w:tl2br w:val="nil"/>
              <w:tr2bl w:val="nil"/>
            </w:tcBorders>
            <w:vAlign w:val="center"/>
          </w:tcPr>
          <w:p w14:paraId="469AE6E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color w:val="auto"/>
                <w:highlight w:val="none"/>
                <w:lang w:eastAsia="zh-CN"/>
              </w:rPr>
            </w:pPr>
            <w:r>
              <w:rPr>
                <w:rFonts w:hint="eastAsia" w:ascii="宋体" w:hAnsi="宋体" w:eastAsia="宋体" w:cs="宋体"/>
                <w:color w:val="auto"/>
                <w:kern w:val="2"/>
                <w:sz w:val="22"/>
                <w:szCs w:val="22"/>
                <w:highlight w:val="none"/>
                <w:lang w:val="en-US" w:eastAsia="zh-CN" w:bidi="ar-SA"/>
              </w:rPr>
              <w:t>说明：</w:t>
            </w:r>
            <w:r>
              <w:rPr>
                <w:rFonts w:hint="eastAsia" w:ascii="宋体" w:hAnsi="宋体" w:eastAsia="宋体" w:cs="宋体"/>
                <w:b/>
                <w:bCs/>
                <w:color w:val="auto"/>
                <w:kern w:val="2"/>
                <w:sz w:val="22"/>
                <w:szCs w:val="22"/>
                <w:highlight w:val="none"/>
                <w:u w:val="single"/>
                <w:lang w:val="en-US" w:eastAsia="zh-CN" w:bidi="ar-SA"/>
              </w:rPr>
              <w:t>以上所需的各种证书、证件、证明、执照若系复印件的，须在复印件上加盖</w:t>
            </w:r>
            <w:r>
              <w:rPr>
                <w:rFonts w:hint="eastAsia" w:ascii="宋体" w:hAnsi="宋体" w:cs="宋体"/>
                <w:b/>
                <w:bCs/>
                <w:color w:val="auto"/>
                <w:kern w:val="2"/>
                <w:sz w:val="22"/>
                <w:szCs w:val="22"/>
                <w:highlight w:val="none"/>
                <w:u w:val="single"/>
                <w:lang w:val="en-US" w:eastAsia="zh-CN" w:bidi="ar-SA"/>
              </w:rPr>
              <w:t>竞标银行</w:t>
            </w:r>
            <w:r>
              <w:rPr>
                <w:rFonts w:hint="eastAsia" w:ascii="宋体" w:hAnsi="宋体" w:eastAsia="宋体" w:cs="宋体"/>
                <w:b/>
                <w:bCs/>
                <w:color w:val="auto"/>
                <w:kern w:val="2"/>
                <w:sz w:val="22"/>
                <w:szCs w:val="22"/>
                <w:highlight w:val="none"/>
                <w:u w:val="single"/>
                <w:lang w:val="en-US" w:eastAsia="zh-CN" w:bidi="ar-SA"/>
              </w:rPr>
              <w:t>有效的单位公章；所有附件格式均为模板，</w:t>
            </w:r>
            <w:r>
              <w:rPr>
                <w:rFonts w:hint="eastAsia" w:ascii="宋体" w:hAnsi="宋体" w:cs="宋体"/>
                <w:b/>
                <w:bCs/>
                <w:color w:val="auto"/>
                <w:kern w:val="2"/>
                <w:sz w:val="22"/>
                <w:szCs w:val="22"/>
                <w:highlight w:val="none"/>
                <w:u w:val="single"/>
                <w:lang w:val="en-US" w:eastAsia="zh-CN" w:bidi="ar-SA"/>
              </w:rPr>
              <w:t>竞标银行</w:t>
            </w:r>
            <w:r>
              <w:rPr>
                <w:rFonts w:hint="eastAsia" w:ascii="宋体" w:hAnsi="宋体" w:eastAsia="宋体" w:cs="宋体"/>
                <w:b/>
                <w:bCs/>
                <w:color w:val="auto"/>
                <w:kern w:val="2"/>
                <w:sz w:val="22"/>
                <w:szCs w:val="22"/>
                <w:highlight w:val="none"/>
                <w:u w:val="single"/>
                <w:lang w:val="en-US" w:eastAsia="zh-CN" w:bidi="ar-SA"/>
              </w:rPr>
              <w:t>须根据项目实际要求进行填写。</w:t>
            </w:r>
          </w:p>
        </w:tc>
      </w:tr>
    </w:tbl>
    <w:p w14:paraId="75507243">
      <w:pPr>
        <w:bidi w:val="0"/>
        <w:rPr>
          <w:rFonts w:hint="eastAsia"/>
          <w:color w:val="auto"/>
          <w:lang w:val="en-US" w:eastAsia="zh-CN"/>
        </w:rPr>
      </w:pPr>
    </w:p>
    <w:p w14:paraId="272F4FBA">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3.2投标文件编制</w:t>
      </w:r>
    </w:p>
    <w:p w14:paraId="1A97F6BF">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（1）内容编制</w:t>
      </w:r>
    </w:p>
    <w:p w14:paraId="44694D10">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①投标文件应按照本章 3.1款中规定的顺序及采用“投标文件格式”中提供的格式进行编制，并通过政采云平台进行投标。投标文件编制具体流程详见操作指南：登录政府采购云平台（https://www.zcygov.cn/），从首页-服务中心-帮助文档-公款竞争性存放-操作流程，查看文档。</w:t>
      </w:r>
    </w:p>
    <w:p w14:paraId="11CFFCE9">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②投标文件应当对</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规定的内容进行对应明确说明，对</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规定的实质性内容应当作出响应。</w:t>
      </w:r>
    </w:p>
    <w:p w14:paraId="1FB6984F">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③采购人如对</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有澄清或修改，</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应按澄清或修改内容对投标信息进行补充或者修改，补充和修改时如投标成功的，应当先行撤回原文件，补充、修改后重新上传并对投标信息进行确认。</w:t>
      </w:r>
    </w:p>
    <w:p w14:paraId="2AB7657E">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④由于字迹模糊或表达不清引起的后果由</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负责。</w:t>
      </w:r>
    </w:p>
    <w:p w14:paraId="58A33370">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⑤为了避免页面存在兼容性问题，建议使用谷歌 Chrome或360浏览器操作。</w:t>
      </w:r>
    </w:p>
    <w:p w14:paraId="768103C3">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⑥投标文件可以线下完成盖章后上传政府采购云平台。</w:t>
      </w:r>
    </w:p>
    <w:p w14:paraId="67A6B81E">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（2）格式要求</w:t>
      </w:r>
    </w:p>
    <w:p w14:paraId="62A6445C">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①投标文件应编制目录。</w:t>
      </w:r>
    </w:p>
    <w:p w14:paraId="70AF8835">
      <w:pPr>
        <w:keepNext w:val="0"/>
        <w:keepLines w:val="0"/>
        <w:pageBreakBefore w:val="0"/>
        <w:widowControl w:val="0"/>
        <w:kinsoku/>
        <w:wordWrap/>
        <w:overflowPunct/>
        <w:topLinePunct w:val="0"/>
        <w:autoSpaceDE/>
        <w:autoSpaceDN/>
        <w:bidi w:val="0"/>
        <w:adjustRightInd/>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②投标文件格式为PDF。</w:t>
      </w:r>
    </w:p>
    <w:p w14:paraId="2D57077A">
      <w:pPr>
        <w:keepNext w:val="0"/>
        <w:keepLines w:val="0"/>
        <w:pageBreakBefore w:val="0"/>
        <w:widowControl w:val="0"/>
        <w:kinsoku/>
        <w:wordWrap/>
        <w:overflowPunct/>
        <w:topLinePunct w:val="0"/>
        <w:autoSpaceDE/>
        <w:autoSpaceDN/>
        <w:bidi w:val="0"/>
        <w:adjustRightInd/>
        <w:snapToGrid/>
        <w:spacing w:line="470" w:lineRule="exact"/>
        <w:ind w:firstLine="442"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③单个文件上传大小上限为300M</w:t>
      </w:r>
      <w:r>
        <w:rPr>
          <w:rFonts w:hint="eastAsia" w:ascii="宋体" w:hAnsi="宋体" w:eastAsia="宋体" w:cs="宋体"/>
          <w:color w:val="auto"/>
          <w:kern w:val="2"/>
          <w:sz w:val="22"/>
          <w:szCs w:val="22"/>
          <w:highlight w:val="none"/>
          <w:lang w:val="en-US" w:eastAsia="zh-CN" w:bidi="ar-SA"/>
        </w:rPr>
        <w:t>。</w:t>
      </w:r>
    </w:p>
    <w:p w14:paraId="78EA9E2E">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4.投标报价</w:t>
      </w:r>
    </w:p>
    <w:p w14:paraId="189A4252">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4.1 投标报价是指</w:t>
      </w:r>
      <w:r>
        <w:rPr>
          <w:rFonts w:hint="eastAsia" w:ascii="宋体" w:hAnsi="宋体" w:cs="宋体"/>
          <w:b/>
          <w:bCs/>
          <w:color w:val="auto"/>
          <w:kern w:val="2"/>
          <w:sz w:val="22"/>
          <w:szCs w:val="22"/>
          <w:highlight w:val="none"/>
          <w:lang w:val="en-US" w:eastAsia="zh-CN" w:bidi="ar-SA"/>
        </w:rPr>
        <w:t>竞标银行</w:t>
      </w:r>
      <w:r>
        <w:rPr>
          <w:rFonts w:hint="eastAsia" w:ascii="宋体" w:hAnsi="宋体" w:eastAsia="宋体" w:cs="宋体"/>
          <w:b/>
          <w:bCs/>
          <w:color w:val="auto"/>
          <w:kern w:val="2"/>
          <w:sz w:val="22"/>
          <w:szCs w:val="22"/>
          <w:highlight w:val="none"/>
          <w:lang w:val="en-US" w:eastAsia="zh-CN" w:bidi="ar-SA"/>
        </w:rPr>
        <w:t>针对本项目的存款资金综合收益指标，以存款利率形式报价。</w:t>
      </w:r>
    </w:p>
    <w:p w14:paraId="233EAE5A">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4.2</w:t>
      </w:r>
      <w:r>
        <w:rPr>
          <w:rFonts w:hint="eastAsia" w:ascii="宋体" w:hAnsi="宋体" w:eastAsia="宋体" w:cs="宋体"/>
          <w:color w:val="auto"/>
          <w:kern w:val="2"/>
          <w:sz w:val="22"/>
          <w:szCs w:val="22"/>
          <w:highlight w:val="none"/>
          <w:u w:val="single"/>
          <w:lang w:val="en-US" w:eastAsia="zh-CN" w:bidi="ar-SA"/>
        </w:rPr>
        <w:t>▲所投标项只允许有一个报价，不接受有选择报价的投标文件</w:t>
      </w:r>
      <w:r>
        <w:rPr>
          <w:rFonts w:hint="eastAsia" w:ascii="宋体" w:hAnsi="宋体" w:eastAsia="宋体" w:cs="宋体"/>
          <w:color w:val="auto"/>
          <w:kern w:val="2"/>
          <w:sz w:val="22"/>
          <w:szCs w:val="22"/>
          <w:highlight w:val="none"/>
          <w:lang w:val="en-US" w:eastAsia="zh-CN" w:bidi="ar-SA"/>
        </w:rPr>
        <w:t>。</w:t>
      </w:r>
    </w:p>
    <w:p w14:paraId="7D88E0F4">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4.3</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应在“政府采购云平台”中填写报价，报价应与上传的投标文件内容一致，如有不一致，以上传的投标文件中报价为准。</w:t>
      </w:r>
    </w:p>
    <w:p w14:paraId="76C9172F">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4.4</w:t>
      </w:r>
      <w:r>
        <w:rPr>
          <w:rFonts w:hint="eastAsia" w:ascii="宋体" w:hAnsi="宋体" w:eastAsia="宋体" w:cs="宋体"/>
          <w:b/>
          <w:bCs/>
          <w:color w:val="auto"/>
          <w:kern w:val="2"/>
          <w:sz w:val="22"/>
          <w:szCs w:val="22"/>
          <w:highlight w:val="none"/>
          <w:u w:val="single"/>
          <w:lang w:val="en-US" w:eastAsia="zh-CN" w:bidi="ar-SA"/>
        </w:rPr>
        <w:t>投标报价报出后，</w:t>
      </w:r>
      <w:r>
        <w:rPr>
          <w:rFonts w:hint="eastAsia" w:ascii="宋体" w:hAnsi="宋体" w:cs="宋体"/>
          <w:b/>
          <w:bCs/>
          <w:color w:val="auto"/>
          <w:kern w:val="2"/>
          <w:sz w:val="22"/>
          <w:szCs w:val="22"/>
          <w:highlight w:val="none"/>
          <w:u w:val="single"/>
          <w:lang w:val="en-US" w:eastAsia="zh-CN" w:bidi="ar-SA"/>
        </w:rPr>
        <w:t>竞标银行</w:t>
      </w:r>
      <w:r>
        <w:rPr>
          <w:rFonts w:hint="eastAsia" w:ascii="宋体" w:hAnsi="宋体" w:eastAsia="宋体" w:cs="宋体"/>
          <w:b/>
          <w:bCs/>
          <w:color w:val="auto"/>
          <w:kern w:val="2"/>
          <w:sz w:val="22"/>
          <w:szCs w:val="22"/>
          <w:highlight w:val="none"/>
          <w:u w:val="single"/>
          <w:lang w:val="en-US" w:eastAsia="zh-CN" w:bidi="ar-SA"/>
        </w:rPr>
        <w:t>不得以任何理由予以变更。任何包含价格调整的要求，将被认为是非实质性响应投标而予以拒绝</w:t>
      </w:r>
      <w:r>
        <w:rPr>
          <w:rFonts w:hint="eastAsia" w:ascii="宋体" w:hAnsi="宋体" w:eastAsia="宋体" w:cs="宋体"/>
          <w:b/>
          <w:bCs/>
          <w:color w:val="auto"/>
          <w:kern w:val="2"/>
          <w:sz w:val="22"/>
          <w:szCs w:val="22"/>
          <w:highlight w:val="none"/>
          <w:lang w:val="en-US" w:eastAsia="zh-CN" w:bidi="ar-SA"/>
        </w:rPr>
        <w:t>。</w:t>
      </w:r>
    </w:p>
    <w:p w14:paraId="5E108931">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5.投标有效期</w:t>
      </w:r>
    </w:p>
    <w:p w14:paraId="3975EB36">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.1</w:t>
      </w:r>
      <w:r>
        <w:rPr>
          <w:rFonts w:hint="eastAsia" w:ascii="宋体" w:hAnsi="宋体" w:eastAsia="宋体" w:cs="宋体"/>
          <w:b/>
          <w:bCs/>
          <w:color w:val="auto"/>
          <w:kern w:val="2"/>
          <w:sz w:val="22"/>
          <w:szCs w:val="22"/>
          <w:highlight w:val="none"/>
          <w:u w:val="single"/>
          <w:lang w:val="en-US" w:eastAsia="zh-CN" w:bidi="ar-SA"/>
        </w:rPr>
        <w:t>▲自开标之日起90日内投标应保持投标有效</w:t>
      </w:r>
      <w:r>
        <w:rPr>
          <w:rFonts w:hint="eastAsia" w:ascii="宋体" w:hAnsi="宋体" w:eastAsia="宋体" w:cs="宋体"/>
          <w:color w:val="auto"/>
          <w:kern w:val="2"/>
          <w:sz w:val="22"/>
          <w:szCs w:val="22"/>
          <w:highlight w:val="none"/>
          <w:lang w:val="en-US" w:eastAsia="zh-CN" w:bidi="ar-SA"/>
        </w:rPr>
        <w:t>。</w:t>
      </w:r>
    </w:p>
    <w:p w14:paraId="58533098">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.2特殊情况下，在原投标有效期截止前，采购人可与</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协商延长投标有效期，这种要求和答复均以书面形式进行。</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可拒绝接受延期要求，也可以接受延期要求。同意延长投标有效期的</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不得修改投标文件。</w:t>
      </w:r>
    </w:p>
    <w:p w14:paraId="4BAF0DC9">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hAnsi="宋体" w:cs="宋体"/>
          <w:b/>
          <w:bCs/>
          <w:color w:val="auto"/>
          <w:sz w:val="22"/>
          <w:szCs w:val="22"/>
          <w:highlight w:val="none"/>
          <w:lang w:val="en-US" w:eastAsia="zh-CN"/>
        </w:rPr>
        <w:t>6</w:t>
      </w:r>
      <w:r>
        <w:rPr>
          <w:rFonts w:hint="eastAsia" w:ascii="宋体" w:hAnsi="宋体" w:eastAsia="宋体" w:cs="宋体"/>
          <w:b/>
          <w:bCs/>
          <w:color w:val="auto"/>
          <w:sz w:val="22"/>
          <w:szCs w:val="22"/>
          <w:highlight w:val="none"/>
          <w:lang w:val="en-US" w:eastAsia="zh-CN"/>
        </w:rPr>
        <w:t>.投标文件的签署和规定</w:t>
      </w:r>
    </w:p>
    <w:p w14:paraId="670209A8">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.1</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应按本</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规定的格式和顺序编制投标文件并标注页码，投标文件内容不完整、编排混乱导致投标文件被误读、漏读或者查找不到相关内容的，是</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的责任。</w:t>
      </w:r>
    </w:p>
    <w:p w14:paraId="211D142F">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.2投标文件须由</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在规定位置盖章并由法定负责人或授权委托人签署，</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应写全称。</w:t>
      </w:r>
    </w:p>
    <w:p w14:paraId="01750728">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.3投标文件不得涂改，若有修改错漏处，须加盖</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公章或者法定负责人或授权委托人签名或盖章。投标文件因字迹潦草或表达不清所引起的后果由</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负责。</w:t>
      </w:r>
      <w:bookmarkStart w:id="11" w:name="_Toc230773778"/>
      <w:bookmarkStart w:id="12" w:name="_Toc103948071"/>
    </w:p>
    <w:p w14:paraId="12AF846E">
      <w:pPr>
        <w:pStyle w:val="3"/>
        <w:keepLines w:val="0"/>
        <w:pageBreakBefore w:val="0"/>
        <w:widowControl w:val="0"/>
        <w:kinsoku/>
        <w:wordWrap/>
        <w:overflowPunct/>
        <w:topLinePunct w:val="0"/>
        <w:autoSpaceDE/>
        <w:autoSpaceDN/>
        <w:bidi w:val="0"/>
        <w:snapToGrid/>
        <w:spacing w:line="470" w:lineRule="exact"/>
        <w:textAlignment w:val="auto"/>
        <w:rPr>
          <w:rFonts w:hint="eastAsia"/>
          <w:color w:val="auto"/>
          <w:highlight w:val="none"/>
          <w:lang w:val="en-US" w:eastAsia="zh-CN"/>
        </w:rPr>
      </w:pPr>
      <w:r>
        <w:rPr>
          <w:rFonts w:hint="eastAsia"/>
          <w:color w:val="auto"/>
          <w:highlight w:val="none"/>
          <w:lang w:val="en-US" w:eastAsia="zh-CN"/>
        </w:rPr>
        <w:t>四、 投标文件的递交</w:t>
      </w:r>
      <w:bookmarkEnd w:id="11"/>
      <w:bookmarkEnd w:id="12"/>
    </w:p>
    <w:p w14:paraId="5F348B7C">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1.投标文件的递交</w:t>
      </w:r>
    </w:p>
    <w:p w14:paraId="36A6E657">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到达投标时间后，</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可通过政采云平台进行投标。</w:t>
      </w:r>
    </w:p>
    <w:p w14:paraId="0AEA56D9">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【提示】投标和投标信息确认两个步骤操作，</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务必在规定时间内完成，否则视为投标逾期。</w:t>
      </w:r>
    </w:p>
    <w:p w14:paraId="389C256A">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菜单路径：用户中心—公款竞争性存放—竞标项目。</w:t>
      </w:r>
    </w:p>
    <w:p w14:paraId="56A1F565">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（1）在“竞标项目-进行中”标签页下，选择状态为“待投标”的项目，点击操作栏【投标】按钮，进行投标。</w:t>
      </w:r>
    </w:p>
    <w:p w14:paraId="0687BCC5">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（2）为避免</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在规定时间内无法完成项目投标与投标信息确认，</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报名审核通过后，可先将投标信息维护好，并点击【保存】，暂存投标信息，项目到达投标时间后，只需提交投标信息以及确认投标信息。</w:t>
      </w:r>
    </w:p>
    <w:p w14:paraId="3837AE0E">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（3）到达投标时间后，</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进入投标信息页面。</w:t>
      </w:r>
    </w:p>
    <w:p w14:paraId="49D7899B">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【填写注意事项】</w:t>
      </w:r>
    </w:p>
    <w:p w14:paraId="4BFAAFF7">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注意投标结束时间。</w:t>
      </w:r>
    </w:p>
    <w:p w14:paraId="431C683D">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选择对应的标项填写投标信息。</w:t>
      </w:r>
    </w:p>
    <w:p w14:paraId="505176E8">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对各审查项进行响应，响应文件必须以 PDF 格式上传，上传后如</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需要使用 CA（申领 CA，请参考《CA 申领操作指南》，）对上传文件进行签章。</w:t>
      </w:r>
    </w:p>
    <w:p w14:paraId="714F5134">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“评分规则”一栏，展示的是完整的评分指标体系。</w:t>
      </w:r>
    </w:p>
    <w:p w14:paraId="1194A1CB">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指标来源分为：财政部门提供、采购人提供和</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投标三种。财政部门提供的指标由省厅录入，采购人提供的指标由招标代理机构录入；</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投标的指标需在线进行响应。</w:t>
      </w:r>
    </w:p>
    <w:p w14:paraId="6D2578BC">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主观分的响应内容，</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需以 PDF 文件形式进行响应。</w:t>
      </w:r>
    </w:p>
    <w:p w14:paraId="50D99340">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客观分的响应内容</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可直接填写。</w:t>
      </w:r>
    </w:p>
    <w:p w14:paraId="576CDE56">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（4）确认投标信息无误，点击右上角【提交】。</w:t>
      </w:r>
    </w:p>
    <w:p w14:paraId="66A0C95D">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（5）在弹框里选择内部审核人员，点击【确定】。</w:t>
      </w:r>
    </w:p>
    <w:p w14:paraId="150490D5">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【提示】在投标截止时间前需完成投标确认，通过后才视为投标成功。</w:t>
      </w:r>
    </w:p>
    <w:p w14:paraId="11408CB0">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2.投标信息确认</w:t>
      </w:r>
    </w:p>
    <w:p w14:paraId="0DF9B247">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投标完成，需确认投标信息后才视为投标成功。</w:t>
      </w:r>
    </w:p>
    <w:p w14:paraId="6B587EB2">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【提示】投标和投标信息确认两步操作，</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务必在规定的时间内完成，否则视为投标逾期。菜单路径：用户中心—公款竞争性存放—竞标项目</w:t>
      </w:r>
    </w:p>
    <w:p w14:paraId="0E3A9FF2">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（1）在“竞标项目-进行中”标签页下，选择状态为“待确认”的项目，点击操作栏【确认】。</w:t>
      </w:r>
    </w:p>
    <w:p w14:paraId="5B7CF021">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（2）系统跳转至投标信息确认页面，查看对应标项投标信息。</w:t>
      </w:r>
    </w:p>
    <w:p w14:paraId="6C5E78CD">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（3）如确认投标信息无误后，点击右上角【确认】。</w:t>
      </w:r>
    </w:p>
    <w:p w14:paraId="0763D770">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（4）在弹框里确认结果选择【同意】，投标成功。</w:t>
      </w:r>
    </w:p>
    <w:p w14:paraId="5F351203">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（5）如对投标信息有异议，确认结果选择【不同意】并填写确认意见，回退至投标环节，修改信息。</w:t>
      </w:r>
    </w:p>
    <w:p w14:paraId="78B10E8B">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完成状态：</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投标成功后，在“竞标项目-进行中”标签页下显示状态为“待开标”。</w:t>
      </w:r>
    </w:p>
    <w:p w14:paraId="7F320159">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【提示】在投标截止时间之前，</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可“撤回”投标，项目到达开标时间后，</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可点击“查看”，查看开标情况。</w:t>
      </w:r>
    </w:p>
    <w:p w14:paraId="46C7A4EF">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3.投标文件的修改和撤回</w:t>
      </w:r>
    </w:p>
    <w:p w14:paraId="732EDAE8">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在投标以后如必须补充、修改或撤回投标文件，必须在投标截止时间以前在“政府采购云平台”上补充、修改或撤回投标文件。补充、修改电子投标文件的，应当先行撤回原文件，补充、修改后重新上传并对投标信息进行确认。投标截止时间前未完成投标信息确认的，视为撤回投标文件。</w:t>
      </w:r>
    </w:p>
    <w:p w14:paraId="5560C06A">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4.备选投标方案</w:t>
      </w:r>
    </w:p>
    <w:p w14:paraId="236580ED">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hAnsi="宋体" w:cs="宋体"/>
          <w:b/>
          <w:color w:val="auto"/>
          <w:highlight w:val="none"/>
        </w:rPr>
      </w:pP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不得提交备选投标方案，否则，投标文件将被判定为无效标</w:t>
      </w:r>
      <w:r>
        <w:rPr>
          <w:rFonts w:hint="eastAsia" w:ascii="宋体" w:hAnsi="宋体" w:cs="宋体"/>
          <w:color w:val="auto"/>
          <w:sz w:val="24"/>
          <w:szCs w:val="24"/>
          <w:highlight w:val="none"/>
        </w:rPr>
        <w:t>。</w:t>
      </w:r>
    </w:p>
    <w:p w14:paraId="017D6703">
      <w:pPr>
        <w:pStyle w:val="3"/>
        <w:keepLines w:val="0"/>
        <w:pageBreakBefore w:val="0"/>
        <w:widowControl w:val="0"/>
        <w:kinsoku/>
        <w:wordWrap/>
        <w:overflowPunct/>
        <w:topLinePunct w:val="0"/>
        <w:autoSpaceDE/>
        <w:autoSpaceDN/>
        <w:bidi w:val="0"/>
        <w:snapToGrid/>
        <w:spacing w:line="470" w:lineRule="exact"/>
        <w:textAlignment w:val="auto"/>
        <w:rPr>
          <w:rFonts w:hint="eastAsia"/>
          <w:color w:val="auto"/>
          <w:highlight w:val="none"/>
          <w:lang w:val="en-US" w:eastAsia="zh-CN"/>
        </w:rPr>
      </w:pPr>
      <w:r>
        <w:rPr>
          <w:rFonts w:hint="eastAsia"/>
          <w:color w:val="auto"/>
          <w:highlight w:val="none"/>
          <w:lang w:val="en-US" w:eastAsia="zh-CN"/>
        </w:rPr>
        <w:t>五、开标、评标及定标</w:t>
      </w:r>
    </w:p>
    <w:p w14:paraId="322EDEAB">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1.评标委员会</w:t>
      </w:r>
    </w:p>
    <w:p w14:paraId="39D7CB97">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采购人依法组建评标委员会。</w:t>
      </w:r>
    </w:p>
    <w:p w14:paraId="69FFFB8E">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2.评标过程的保密性</w:t>
      </w:r>
    </w:p>
    <w:p w14:paraId="58460C75">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开标后直至向</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授予</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时止，凡与评审有关的资料均不得向</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及与评标无关人员透露。如果</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在评标过程中试图向采购人施加影响，其投标将被拒绝。</w:t>
      </w:r>
    </w:p>
    <w:p w14:paraId="1205A6D0">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 开标</w:t>
      </w:r>
    </w:p>
    <w:p w14:paraId="209BD904">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3.1采购人</w:t>
      </w:r>
      <w:r>
        <w:rPr>
          <w:rFonts w:hint="default" w:ascii="宋体" w:hAnsi="宋体" w:eastAsia="宋体" w:cs="宋体"/>
          <w:color w:val="auto"/>
          <w:kern w:val="2"/>
          <w:sz w:val="22"/>
          <w:szCs w:val="22"/>
          <w:highlight w:val="none"/>
          <w:lang w:val="en-US" w:eastAsia="zh-CN" w:bidi="ar-SA"/>
        </w:rPr>
        <w:t>按</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kern w:val="2"/>
          <w:sz w:val="22"/>
          <w:szCs w:val="22"/>
          <w:highlight w:val="none"/>
          <w:lang w:val="en-US" w:eastAsia="zh-CN" w:bidi="ar-SA"/>
        </w:rPr>
        <w:t>竞标银行</w:t>
      </w:r>
      <w:r>
        <w:rPr>
          <w:rFonts w:hint="default" w:ascii="宋体" w:hAnsi="宋体" w:eastAsia="宋体" w:cs="宋体"/>
          <w:color w:val="auto"/>
          <w:kern w:val="2"/>
          <w:sz w:val="22"/>
          <w:szCs w:val="22"/>
          <w:highlight w:val="none"/>
          <w:lang w:val="en-US" w:eastAsia="zh-CN" w:bidi="ar-SA"/>
        </w:rPr>
        <w:t>须知前附表</w:t>
      </w:r>
      <w:r>
        <w:rPr>
          <w:rFonts w:hint="eastAsia" w:ascii="宋体" w:hAnsi="宋体" w:eastAsia="宋体" w:cs="宋体"/>
          <w:color w:val="auto"/>
          <w:kern w:val="2"/>
          <w:sz w:val="22"/>
          <w:szCs w:val="22"/>
          <w:highlight w:val="none"/>
          <w:lang w:val="en-US" w:eastAsia="zh-CN" w:bidi="ar-SA"/>
        </w:rPr>
        <w:t>”</w:t>
      </w:r>
      <w:r>
        <w:rPr>
          <w:rFonts w:hint="default" w:ascii="宋体" w:hAnsi="宋体" w:eastAsia="宋体" w:cs="宋体"/>
          <w:color w:val="auto"/>
          <w:kern w:val="2"/>
          <w:sz w:val="22"/>
          <w:szCs w:val="22"/>
          <w:highlight w:val="none"/>
          <w:lang w:val="en-US" w:eastAsia="zh-CN" w:bidi="ar-SA"/>
        </w:rPr>
        <w:t>规定的时间、地点公开开标</w:t>
      </w:r>
      <w:r>
        <w:rPr>
          <w:rFonts w:hint="eastAsia" w:ascii="宋体" w:hAnsi="宋体" w:eastAsia="宋体" w:cs="宋体"/>
          <w:color w:val="auto"/>
          <w:kern w:val="2"/>
          <w:sz w:val="22"/>
          <w:szCs w:val="22"/>
          <w:highlight w:val="none"/>
          <w:lang w:val="en-US" w:eastAsia="zh-CN" w:bidi="ar-SA"/>
        </w:rPr>
        <w:t>。</w:t>
      </w:r>
    </w:p>
    <w:p w14:paraId="4A362FE3">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3.2</w:t>
      </w:r>
      <w:r>
        <w:rPr>
          <w:rFonts w:hint="eastAsia" w:ascii="宋体" w:hAnsi="宋体" w:cs="宋体"/>
          <w:color w:val="auto"/>
          <w:kern w:val="2"/>
          <w:sz w:val="22"/>
          <w:szCs w:val="22"/>
          <w:highlight w:val="none"/>
          <w:lang w:val="en-US" w:eastAsia="zh-CN" w:bidi="ar-SA"/>
        </w:rPr>
        <w:t>竞标银行</w:t>
      </w:r>
      <w:r>
        <w:rPr>
          <w:rFonts w:hint="default" w:ascii="宋体" w:hAnsi="宋体" w:eastAsia="宋体" w:cs="宋体"/>
          <w:color w:val="auto"/>
          <w:kern w:val="2"/>
          <w:sz w:val="22"/>
          <w:szCs w:val="22"/>
          <w:highlight w:val="none"/>
          <w:lang w:val="en-US" w:eastAsia="zh-CN" w:bidi="ar-SA"/>
        </w:rPr>
        <w:t>代表可在线参加开标活动，查看开标情况</w:t>
      </w:r>
      <w:r>
        <w:rPr>
          <w:rFonts w:hint="eastAsia" w:ascii="宋体" w:hAnsi="宋体" w:eastAsia="宋体" w:cs="宋体"/>
          <w:color w:val="auto"/>
          <w:kern w:val="2"/>
          <w:sz w:val="22"/>
          <w:szCs w:val="22"/>
          <w:highlight w:val="none"/>
          <w:lang w:val="en-US" w:eastAsia="zh-CN" w:bidi="ar-SA"/>
        </w:rPr>
        <w:t>。</w:t>
      </w:r>
    </w:p>
    <w:p w14:paraId="07B05311">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3.3采购代理机构根据政采云规定的流程进行开标、记录</w:t>
      </w:r>
      <w:r>
        <w:rPr>
          <w:rFonts w:hint="eastAsia" w:ascii="宋体" w:hAnsi="宋体" w:cs="宋体"/>
          <w:color w:val="auto"/>
          <w:kern w:val="2"/>
          <w:sz w:val="22"/>
          <w:szCs w:val="22"/>
          <w:highlight w:val="none"/>
          <w:lang w:val="en-US" w:eastAsia="zh-CN" w:bidi="ar-SA"/>
        </w:rPr>
        <w:t>等</w:t>
      </w:r>
      <w:r>
        <w:rPr>
          <w:rFonts w:hint="eastAsia" w:ascii="宋体" w:hAnsi="宋体" w:eastAsia="宋体" w:cs="宋体"/>
          <w:color w:val="auto"/>
          <w:kern w:val="2"/>
          <w:sz w:val="22"/>
          <w:szCs w:val="22"/>
          <w:highlight w:val="none"/>
          <w:lang w:val="en-US" w:eastAsia="zh-CN" w:bidi="ar-SA"/>
        </w:rPr>
        <w:t>流程。</w:t>
      </w:r>
    </w:p>
    <w:p w14:paraId="5EE78B4F">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3.4</w:t>
      </w:r>
      <w:r>
        <w:rPr>
          <w:rFonts w:hint="default" w:ascii="宋体" w:hAnsi="宋体" w:eastAsia="宋体" w:cs="宋体"/>
          <w:color w:val="auto"/>
          <w:kern w:val="2"/>
          <w:sz w:val="22"/>
          <w:szCs w:val="22"/>
          <w:highlight w:val="none"/>
          <w:lang w:val="en-US" w:eastAsia="zh-CN" w:bidi="ar-SA"/>
        </w:rPr>
        <w:t>开标结束后，如发现开标结果与投标文件不一致者，以投标文件内容为准</w:t>
      </w:r>
      <w:r>
        <w:rPr>
          <w:rFonts w:hint="eastAsia" w:ascii="宋体" w:hAnsi="宋体" w:eastAsia="宋体" w:cs="宋体"/>
          <w:color w:val="auto"/>
          <w:kern w:val="2"/>
          <w:sz w:val="22"/>
          <w:szCs w:val="22"/>
          <w:highlight w:val="none"/>
          <w:lang w:val="en-US" w:eastAsia="zh-CN" w:bidi="ar-SA"/>
        </w:rPr>
        <w:t>。</w:t>
      </w:r>
    </w:p>
    <w:p w14:paraId="1B9DBAA6">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3.5</w:t>
      </w:r>
      <w:r>
        <w:rPr>
          <w:rFonts w:hint="default" w:ascii="宋体" w:hAnsi="宋体" w:eastAsia="宋体" w:cs="宋体"/>
          <w:color w:val="auto"/>
          <w:kern w:val="2"/>
          <w:sz w:val="22"/>
          <w:szCs w:val="22"/>
          <w:highlight w:val="none"/>
          <w:lang w:val="en-US" w:eastAsia="zh-CN" w:bidi="ar-SA"/>
        </w:rPr>
        <w:t>评选结果出来后，</w:t>
      </w:r>
      <w:r>
        <w:rPr>
          <w:rFonts w:hint="eastAsia" w:ascii="宋体" w:hAnsi="宋体" w:cs="宋体"/>
          <w:color w:val="auto"/>
          <w:kern w:val="2"/>
          <w:sz w:val="22"/>
          <w:szCs w:val="22"/>
          <w:highlight w:val="none"/>
          <w:lang w:val="en-US" w:eastAsia="zh-CN" w:bidi="ar-SA"/>
        </w:rPr>
        <w:t>竞标银行</w:t>
      </w:r>
      <w:r>
        <w:rPr>
          <w:rFonts w:hint="default" w:ascii="宋体" w:hAnsi="宋体" w:eastAsia="宋体" w:cs="宋体"/>
          <w:color w:val="auto"/>
          <w:kern w:val="2"/>
          <w:sz w:val="22"/>
          <w:szCs w:val="22"/>
          <w:highlight w:val="none"/>
          <w:lang w:val="en-US" w:eastAsia="zh-CN" w:bidi="ar-SA"/>
        </w:rPr>
        <w:t>可通过政采云平台查看评选结果</w:t>
      </w:r>
      <w:r>
        <w:rPr>
          <w:rFonts w:hint="eastAsia" w:ascii="宋体" w:hAnsi="宋体" w:eastAsia="宋体" w:cs="宋体"/>
          <w:color w:val="auto"/>
          <w:kern w:val="2"/>
          <w:sz w:val="22"/>
          <w:szCs w:val="22"/>
          <w:highlight w:val="none"/>
          <w:lang w:val="en-US" w:eastAsia="zh-CN" w:bidi="ar-SA"/>
        </w:rPr>
        <w:t>。</w:t>
      </w:r>
    </w:p>
    <w:p w14:paraId="2BC75858">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default" w:ascii="宋体" w:hAnsi="宋体" w:eastAsia="宋体" w:cs="宋体"/>
          <w:b/>
          <w:bCs/>
          <w:color w:val="auto"/>
          <w:kern w:val="2"/>
          <w:sz w:val="22"/>
          <w:szCs w:val="22"/>
          <w:highlight w:val="none"/>
          <w:u w:val="single"/>
          <w:lang w:val="en-US" w:eastAsia="zh-CN" w:bidi="ar-SA"/>
        </w:rPr>
      </w:pPr>
      <w:r>
        <w:rPr>
          <w:rFonts w:hint="default" w:ascii="宋体" w:hAnsi="宋体" w:eastAsia="宋体" w:cs="宋体"/>
          <w:b/>
          <w:bCs/>
          <w:color w:val="auto"/>
          <w:kern w:val="2"/>
          <w:sz w:val="22"/>
          <w:szCs w:val="22"/>
          <w:highlight w:val="none"/>
          <w:u w:val="single"/>
          <w:lang w:val="en-US" w:eastAsia="zh-CN" w:bidi="ar-SA"/>
        </w:rPr>
        <w:t>特别说明：</w:t>
      </w:r>
      <w:r>
        <w:rPr>
          <w:rFonts w:hint="eastAsia" w:ascii="宋体" w:hAnsi="宋体" w:cs="宋体"/>
          <w:b/>
          <w:bCs/>
          <w:color w:val="auto"/>
          <w:kern w:val="2"/>
          <w:sz w:val="22"/>
          <w:szCs w:val="22"/>
          <w:highlight w:val="none"/>
          <w:u w:val="single"/>
          <w:lang w:val="en-US" w:eastAsia="zh-CN" w:bidi="ar-SA"/>
        </w:rPr>
        <w:t>竞标银行</w:t>
      </w:r>
      <w:r>
        <w:rPr>
          <w:rFonts w:hint="default" w:ascii="宋体" w:hAnsi="宋体" w:eastAsia="宋体" w:cs="宋体"/>
          <w:b/>
          <w:bCs/>
          <w:color w:val="auto"/>
          <w:kern w:val="2"/>
          <w:sz w:val="22"/>
          <w:szCs w:val="22"/>
          <w:highlight w:val="none"/>
          <w:u w:val="single"/>
          <w:lang w:val="en-US" w:eastAsia="zh-CN" w:bidi="ar-SA"/>
        </w:rPr>
        <w:t>代表</w:t>
      </w:r>
      <w:r>
        <w:rPr>
          <w:rFonts w:hint="eastAsia" w:ascii="宋体" w:hAnsi="宋体" w:eastAsia="宋体" w:cs="宋体"/>
          <w:b/>
          <w:bCs/>
          <w:color w:val="auto"/>
          <w:kern w:val="2"/>
          <w:sz w:val="22"/>
          <w:szCs w:val="22"/>
          <w:highlight w:val="none"/>
          <w:u w:val="single"/>
          <w:lang w:val="en-US" w:eastAsia="zh-CN" w:bidi="ar-SA"/>
        </w:rPr>
        <w:t>无需</w:t>
      </w:r>
      <w:r>
        <w:rPr>
          <w:rFonts w:hint="default" w:ascii="宋体" w:hAnsi="宋体" w:eastAsia="宋体" w:cs="宋体"/>
          <w:b/>
          <w:bCs/>
          <w:color w:val="auto"/>
          <w:kern w:val="2"/>
          <w:sz w:val="22"/>
          <w:szCs w:val="22"/>
          <w:highlight w:val="none"/>
          <w:u w:val="single"/>
          <w:lang w:val="en-US" w:eastAsia="zh-CN" w:bidi="ar-SA"/>
        </w:rPr>
        <w:t>亲临现场，</w:t>
      </w:r>
      <w:r>
        <w:rPr>
          <w:rFonts w:hint="eastAsia" w:ascii="宋体" w:hAnsi="宋体" w:cs="宋体"/>
          <w:b/>
          <w:bCs/>
          <w:color w:val="auto"/>
          <w:kern w:val="2"/>
          <w:sz w:val="22"/>
          <w:szCs w:val="22"/>
          <w:highlight w:val="none"/>
          <w:u w:val="single"/>
          <w:lang w:val="en-US" w:eastAsia="zh-CN" w:bidi="ar-SA"/>
        </w:rPr>
        <w:t>竞标银行</w:t>
      </w:r>
      <w:r>
        <w:rPr>
          <w:rFonts w:hint="default" w:ascii="宋体" w:hAnsi="宋体" w:eastAsia="宋体" w:cs="宋体"/>
          <w:b/>
          <w:bCs/>
          <w:color w:val="auto"/>
          <w:kern w:val="2"/>
          <w:sz w:val="22"/>
          <w:szCs w:val="22"/>
          <w:highlight w:val="none"/>
          <w:u w:val="single"/>
          <w:lang w:val="en-US" w:eastAsia="zh-CN" w:bidi="ar-SA"/>
        </w:rPr>
        <w:t>代表可自行登录政府采购云平台（https://www.zcygov.cn/）查看开标结果情况。</w:t>
      </w:r>
    </w:p>
    <w:p w14:paraId="347B11E2">
      <w:pPr>
        <w:pStyle w:val="6"/>
        <w:keepLines w:val="0"/>
        <w:pageBreakBefore w:val="0"/>
        <w:widowControl w:val="0"/>
        <w:kinsoku/>
        <w:wordWrap/>
        <w:overflowPunct/>
        <w:topLinePunct w:val="0"/>
        <w:autoSpaceDE/>
        <w:autoSpaceDN/>
        <w:bidi w:val="0"/>
        <w:snapToGrid/>
        <w:spacing w:line="470" w:lineRule="exact"/>
        <w:ind w:firstLine="0"/>
        <w:textAlignment w:val="auto"/>
        <w:rPr>
          <w:rFonts w:hint="default" w:ascii="宋体" w:hAnsi="宋体" w:eastAsia="宋体" w:cs="宋体"/>
          <w:b/>
          <w:bCs/>
          <w:color w:val="auto"/>
          <w:sz w:val="22"/>
          <w:szCs w:val="22"/>
          <w:highlight w:val="none"/>
          <w:lang w:val="en-US" w:eastAsia="zh-CN"/>
        </w:rPr>
      </w:pPr>
      <w:r>
        <w:rPr>
          <w:rFonts w:hint="default" w:ascii="宋体" w:hAnsi="宋体" w:eastAsia="宋体" w:cs="宋体"/>
          <w:b/>
          <w:bCs/>
          <w:color w:val="auto"/>
          <w:sz w:val="22"/>
          <w:szCs w:val="22"/>
          <w:highlight w:val="none"/>
          <w:lang w:val="en-US" w:eastAsia="zh-CN"/>
        </w:rPr>
        <w:t>3.6开标异议</w:t>
      </w:r>
    </w:p>
    <w:p w14:paraId="6E325CD2">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竞标银行</w:t>
      </w:r>
      <w:r>
        <w:rPr>
          <w:rFonts w:hint="default" w:ascii="宋体" w:hAnsi="宋体" w:eastAsia="宋体" w:cs="宋体"/>
          <w:color w:val="auto"/>
          <w:kern w:val="2"/>
          <w:sz w:val="22"/>
          <w:szCs w:val="22"/>
          <w:highlight w:val="none"/>
          <w:lang w:val="en-US" w:eastAsia="zh-CN" w:bidi="ar-SA"/>
        </w:rPr>
        <w:t>如对开标有异议，应当在开标结束前致电代理机构联系人，代理机构工作人员将当场作出答复，并制作记录。</w:t>
      </w:r>
    </w:p>
    <w:p w14:paraId="75338293">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4.投标文件初步评审</w:t>
      </w:r>
    </w:p>
    <w:p w14:paraId="3E4693D1">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4.1</w:t>
      </w:r>
      <w:r>
        <w:rPr>
          <w:rFonts w:hint="default" w:ascii="宋体" w:hAnsi="宋体" w:eastAsia="宋体" w:cs="宋体"/>
          <w:color w:val="auto"/>
          <w:kern w:val="2"/>
          <w:sz w:val="22"/>
          <w:szCs w:val="22"/>
          <w:highlight w:val="none"/>
          <w:lang w:val="en-US" w:eastAsia="zh-CN" w:bidi="ar-SA"/>
        </w:rPr>
        <w:t>评选委员会将首先审查每份投标文件是否实质上响应了</w:t>
      </w:r>
      <w:r>
        <w:rPr>
          <w:rFonts w:hint="eastAsia" w:ascii="宋体" w:hAnsi="宋体" w:cs="宋体"/>
          <w:color w:val="auto"/>
          <w:kern w:val="2"/>
          <w:sz w:val="22"/>
          <w:szCs w:val="22"/>
          <w:highlight w:val="none"/>
          <w:lang w:val="en-US" w:eastAsia="zh-CN" w:bidi="ar-SA"/>
        </w:rPr>
        <w:t>采购文件</w:t>
      </w:r>
      <w:r>
        <w:rPr>
          <w:rFonts w:hint="default" w:ascii="宋体" w:hAnsi="宋体" w:eastAsia="宋体" w:cs="宋体"/>
          <w:color w:val="auto"/>
          <w:kern w:val="2"/>
          <w:sz w:val="22"/>
          <w:szCs w:val="22"/>
          <w:highlight w:val="none"/>
          <w:lang w:val="en-US" w:eastAsia="zh-CN" w:bidi="ar-SA"/>
        </w:rPr>
        <w:t>的要求，实质性响应的投标文件是指投标文件符合</w:t>
      </w:r>
      <w:r>
        <w:rPr>
          <w:rFonts w:hint="eastAsia" w:ascii="宋体" w:hAnsi="宋体" w:cs="宋体"/>
          <w:color w:val="auto"/>
          <w:kern w:val="2"/>
          <w:sz w:val="22"/>
          <w:szCs w:val="22"/>
          <w:highlight w:val="none"/>
          <w:lang w:val="en-US" w:eastAsia="zh-CN" w:bidi="ar-SA"/>
        </w:rPr>
        <w:t>采购文件</w:t>
      </w:r>
      <w:r>
        <w:rPr>
          <w:rFonts w:hint="default" w:ascii="宋体" w:hAnsi="宋体" w:eastAsia="宋体" w:cs="宋体"/>
          <w:color w:val="auto"/>
          <w:kern w:val="2"/>
          <w:sz w:val="22"/>
          <w:szCs w:val="22"/>
          <w:highlight w:val="none"/>
          <w:lang w:val="en-US" w:eastAsia="zh-CN" w:bidi="ar-SA"/>
        </w:rPr>
        <w:t>规定的实质性内容、条件和规定</w:t>
      </w:r>
      <w:r>
        <w:rPr>
          <w:rFonts w:hint="eastAsia" w:ascii="宋体" w:hAnsi="宋体" w:eastAsia="宋体" w:cs="宋体"/>
          <w:color w:val="auto"/>
          <w:kern w:val="2"/>
          <w:sz w:val="22"/>
          <w:szCs w:val="22"/>
          <w:highlight w:val="none"/>
          <w:lang w:val="en-US" w:eastAsia="zh-CN" w:bidi="ar-SA"/>
        </w:rPr>
        <w:t>。</w:t>
      </w:r>
    </w:p>
    <w:p w14:paraId="00E1E2FE">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4.2</w:t>
      </w:r>
      <w:r>
        <w:rPr>
          <w:rFonts w:hint="default" w:ascii="宋体" w:hAnsi="宋体" w:eastAsia="宋体" w:cs="宋体"/>
          <w:color w:val="auto"/>
          <w:kern w:val="2"/>
          <w:sz w:val="22"/>
          <w:szCs w:val="22"/>
          <w:highlight w:val="none"/>
          <w:lang w:val="en-US" w:eastAsia="zh-CN" w:bidi="ar-SA"/>
        </w:rPr>
        <w:t>初步评审工作内容</w:t>
      </w:r>
    </w:p>
    <w:p w14:paraId="5DFDA7C7">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（1）资格性审查。依据法律、法规和</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的规定，评标委员会对各投标文件中的法定代表人（主要负责人）资格证明书扫描件、法定代表人（主要负责人）授权书扫描件、</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代表有效身份证件扫描件和企业营业执照扫描件（加盖单位公章）等资格证明进行审查，以确定是否具备投标资格。</w:t>
      </w:r>
      <w:r>
        <w:rPr>
          <w:rFonts w:hint="eastAsia" w:ascii="宋体" w:hAnsi="宋体" w:eastAsia="宋体" w:cs="宋体"/>
          <w:b/>
          <w:bCs/>
          <w:color w:val="auto"/>
          <w:kern w:val="2"/>
          <w:sz w:val="22"/>
          <w:szCs w:val="22"/>
          <w:highlight w:val="none"/>
          <w:u w:val="single"/>
          <w:lang w:val="en-US" w:eastAsia="zh-CN" w:bidi="ar-SA"/>
        </w:rPr>
        <w:t>▲只要有一项审查不合格，则该</w:t>
      </w:r>
      <w:r>
        <w:rPr>
          <w:rFonts w:hint="eastAsia" w:ascii="宋体" w:hAnsi="宋体" w:cs="宋体"/>
          <w:b/>
          <w:bCs/>
          <w:color w:val="auto"/>
          <w:kern w:val="2"/>
          <w:sz w:val="22"/>
          <w:szCs w:val="22"/>
          <w:highlight w:val="none"/>
          <w:u w:val="single"/>
          <w:lang w:val="en-US" w:eastAsia="zh-CN" w:bidi="ar-SA"/>
        </w:rPr>
        <w:t>竞标银行</w:t>
      </w:r>
      <w:r>
        <w:rPr>
          <w:rFonts w:hint="eastAsia" w:ascii="宋体" w:hAnsi="宋体" w:eastAsia="宋体" w:cs="宋体"/>
          <w:b/>
          <w:bCs/>
          <w:color w:val="auto"/>
          <w:kern w:val="2"/>
          <w:sz w:val="22"/>
          <w:szCs w:val="22"/>
          <w:highlight w:val="none"/>
          <w:u w:val="single"/>
          <w:lang w:val="en-US" w:eastAsia="zh-CN" w:bidi="ar-SA"/>
        </w:rPr>
        <w:t>的资格审查不合格，审查不合格的投标文件将不予评审。</w:t>
      </w:r>
    </w:p>
    <w:p w14:paraId="5088BC93">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（2）符合性审查。依据</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的规定，对投标文件的有效性、完整性和对</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的响应程度进行审查，以确定是否对</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的实质性要求</w:t>
      </w:r>
      <w:r>
        <w:rPr>
          <w:rFonts w:hint="eastAsia" w:ascii="宋体" w:hAnsi="宋体" w:cs="宋体"/>
          <w:color w:val="auto"/>
          <w:kern w:val="2"/>
          <w:sz w:val="22"/>
          <w:szCs w:val="22"/>
          <w:highlight w:val="none"/>
          <w:lang w:val="en-US" w:eastAsia="zh-CN" w:bidi="ar-SA"/>
        </w:rPr>
        <w:t>作出</w:t>
      </w:r>
      <w:r>
        <w:rPr>
          <w:rFonts w:hint="eastAsia" w:ascii="宋体" w:hAnsi="宋体" w:eastAsia="宋体" w:cs="宋体"/>
          <w:color w:val="auto"/>
          <w:kern w:val="2"/>
          <w:sz w:val="22"/>
          <w:szCs w:val="22"/>
          <w:highlight w:val="none"/>
          <w:lang w:val="en-US" w:eastAsia="zh-CN" w:bidi="ar-SA"/>
        </w:rPr>
        <w:t>响应。</w:t>
      </w:r>
    </w:p>
    <w:p w14:paraId="405918EA">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lang w:val="en-US" w:eastAsia="zh-CN" w:bidi="ar-SA"/>
        </w:rPr>
        <w:t>4.3在详细评标之前，评标委员会要审查每份投标文件是否实质上响应了</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的要求。实质上响应的投标应该是与</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要求的全部条款、条件和规格基本相符，没有重大偏离。</w:t>
      </w:r>
      <w:r>
        <w:rPr>
          <w:rFonts w:hint="eastAsia" w:ascii="宋体" w:hAnsi="宋体" w:eastAsia="宋体" w:cs="宋体"/>
          <w:b/>
          <w:bCs/>
          <w:color w:val="auto"/>
          <w:kern w:val="2"/>
          <w:sz w:val="22"/>
          <w:szCs w:val="22"/>
          <w:highlight w:val="none"/>
          <w:u w:val="single"/>
          <w:lang w:val="en-US" w:eastAsia="zh-CN" w:bidi="ar-SA"/>
        </w:rPr>
        <w:t>▲评标委员会决定投标的响应性只根据投标文件本身的内容，而不寻求外部的证据。</w:t>
      </w:r>
    </w:p>
    <w:p w14:paraId="2DF2A4F2">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b/>
          <w:bCs/>
          <w:color w:val="auto"/>
          <w:kern w:val="2"/>
          <w:sz w:val="22"/>
          <w:szCs w:val="22"/>
          <w:highlight w:val="none"/>
          <w:u w:val="single"/>
          <w:lang w:val="en-US" w:eastAsia="zh-CN" w:bidi="ar-SA"/>
        </w:rPr>
        <w:t>4.4▲实质上没有响应</w:t>
      </w:r>
      <w:r>
        <w:rPr>
          <w:rFonts w:hint="eastAsia" w:ascii="宋体" w:hAnsi="宋体" w:cs="宋体"/>
          <w:b/>
          <w:bCs/>
          <w:color w:val="auto"/>
          <w:kern w:val="2"/>
          <w:sz w:val="22"/>
          <w:szCs w:val="22"/>
          <w:highlight w:val="none"/>
          <w:u w:val="single"/>
          <w:lang w:val="en-US" w:eastAsia="zh-CN" w:bidi="ar-SA"/>
        </w:rPr>
        <w:t>采购文件</w:t>
      </w:r>
      <w:r>
        <w:rPr>
          <w:rFonts w:hint="eastAsia" w:ascii="宋体" w:hAnsi="宋体" w:eastAsia="宋体" w:cs="宋体"/>
          <w:b/>
          <w:bCs/>
          <w:color w:val="auto"/>
          <w:kern w:val="2"/>
          <w:sz w:val="22"/>
          <w:szCs w:val="22"/>
          <w:highlight w:val="none"/>
          <w:u w:val="single"/>
          <w:lang w:val="en-US" w:eastAsia="zh-CN" w:bidi="ar-SA"/>
        </w:rPr>
        <w:t>要求的投标将被拒绝，</w:t>
      </w:r>
      <w:r>
        <w:rPr>
          <w:rFonts w:hint="eastAsia" w:ascii="宋体" w:hAnsi="宋体" w:cs="宋体"/>
          <w:b/>
          <w:bCs/>
          <w:color w:val="auto"/>
          <w:kern w:val="2"/>
          <w:sz w:val="22"/>
          <w:szCs w:val="22"/>
          <w:highlight w:val="none"/>
          <w:u w:val="single"/>
          <w:lang w:val="en-US" w:eastAsia="zh-CN" w:bidi="ar-SA"/>
        </w:rPr>
        <w:t>竞标银行</w:t>
      </w:r>
      <w:r>
        <w:rPr>
          <w:rFonts w:hint="eastAsia" w:ascii="宋体" w:hAnsi="宋体" w:eastAsia="宋体" w:cs="宋体"/>
          <w:b/>
          <w:bCs/>
          <w:color w:val="auto"/>
          <w:kern w:val="2"/>
          <w:sz w:val="22"/>
          <w:szCs w:val="22"/>
          <w:highlight w:val="none"/>
          <w:u w:val="single"/>
          <w:lang w:val="en-US" w:eastAsia="zh-CN" w:bidi="ar-SA"/>
        </w:rPr>
        <w:t>不得通过修正或</w:t>
      </w:r>
      <w:r>
        <w:rPr>
          <w:rFonts w:hint="eastAsia" w:ascii="宋体" w:hAnsi="宋体" w:cs="宋体"/>
          <w:b/>
          <w:bCs/>
          <w:color w:val="auto"/>
          <w:kern w:val="2"/>
          <w:sz w:val="22"/>
          <w:szCs w:val="22"/>
          <w:highlight w:val="none"/>
          <w:u w:val="single"/>
          <w:lang w:val="en-US" w:eastAsia="zh-CN" w:bidi="ar-SA"/>
        </w:rPr>
        <w:t>撤销</w:t>
      </w:r>
      <w:r>
        <w:rPr>
          <w:rFonts w:hint="eastAsia" w:ascii="宋体" w:hAnsi="宋体" w:eastAsia="宋体" w:cs="宋体"/>
          <w:b/>
          <w:bCs/>
          <w:color w:val="auto"/>
          <w:kern w:val="2"/>
          <w:sz w:val="22"/>
          <w:szCs w:val="22"/>
          <w:highlight w:val="none"/>
          <w:u w:val="single"/>
          <w:lang w:val="en-US" w:eastAsia="zh-CN" w:bidi="ar-SA"/>
        </w:rPr>
        <w:t>不合要求的偏离或保留从而使其投标成为实质上响应的投标。</w:t>
      </w:r>
    </w:p>
    <w:p w14:paraId="495049B9">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4.5▲在对各</w:t>
      </w:r>
      <w:r>
        <w:rPr>
          <w:rFonts w:hint="eastAsia" w:ascii="宋体" w:hAnsi="宋体" w:cs="宋体"/>
          <w:b/>
          <w:bCs/>
          <w:color w:val="auto"/>
          <w:kern w:val="2"/>
          <w:sz w:val="22"/>
          <w:szCs w:val="22"/>
          <w:highlight w:val="none"/>
          <w:lang w:val="en-US" w:eastAsia="zh-CN" w:bidi="ar-SA"/>
        </w:rPr>
        <w:t>竞标银行</w:t>
      </w:r>
      <w:r>
        <w:rPr>
          <w:rFonts w:hint="eastAsia" w:ascii="宋体" w:hAnsi="宋体" w:eastAsia="宋体" w:cs="宋体"/>
          <w:b/>
          <w:bCs/>
          <w:color w:val="auto"/>
          <w:kern w:val="2"/>
          <w:sz w:val="22"/>
          <w:szCs w:val="22"/>
          <w:highlight w:val="none"/>
          <w:lang w:val="en-US" w:eastAsia="zh-CN" w:bidi="ar-SA"/>
        </w:rPr>
        <w:t>的投标文件进行综合评审时有下列情况之一的，经评标委员会认定后按无效标处理：</w:t>
      </w:r>
    </w:p>
    <w:p w14:paraId="415A1292">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（1）</w:t>
      </w:r>
      <w:r>
        <w:rPr>
          <w:rFonts w:hint="eastAsia" w:ascii="宋体" w:hAnsi="宋体" w:eastAsia="宋体" w:cs="宋体"/>
          <w:b/>
          <w:bCs/>
          <w:color w:val="auto"/>
          <w:kern w:val="2"/>
          <w:sz w:val="22"/>
          <w:szCs w:val="22"/>
          <w:highlight w:val="none"/>
          <w:u w:val="single"/>
          <w:lang w:val="en-US" w:eastAsia="zh-CN" w:bidi="ar-SA"/>
        </w:rPr>
        <w:t>投标文件未按</w:t>
      </w:r>
      <w:r>
        <w:rPr>
          <w:rFonts w:hint="eastAsia" w:ascii="宋体" w:hAnsi="宋体" w:cs="宋体"/>
          <w:b/>
          <w:bCs/>
          <w:color w:val="auto"/>
          <w:kern w:val="2"/>
          <w:sz w:val="22"/>
          <w:szCs w:val="22"/>
          <w:highlight w:val="none"/>
          <w:u w:val="single"/>
          <w:lang w:val="en-US" w:eastAsia="zh-CN" w:bidi="ar-SA"/>
        </w:rPr>
        <w:t>采购文件</w:t>
      </w:r>
      <w:r>
        <w:rPr>
          <w:rFonts w:hint="eastAsia" w:ascii="宋体" w:hAnsi="宋体" w:eastAsia="宋体" w:cs="宋体"/>
          <w:b/>
          <w:bCs/>
          <w:color w:val="auto"/>
          <w:kern w:val="2"/>
          <w:sz w:val="22"/>
          <w:szCs w:val="22"/>
          <w:highlight w:val="none"/>
          <w:u w:val="single"/>
          <w:lang w:val="en-US" w:eastAsia="zh-CN" w:bidi="ar-SA"/>
        </w:rPr>
        <w:t>要求加盖</w:t>
      </w:r>
      <w:r>
        <w:rPr>
          <w:rFonts w:hint="eastAsia" w:ascii="宋体" w:hAnsi="宋体" w:cs="宋体"/>
          <w:b/>
          <w:bCs/>
          <w:color w:val="auto"/>
          <w:kern w:val="2"/>
          <w:sz w:val="22"/>
          <w:szCs w:val="22"/>
          <w:highlight w:val="none"/>
          <w:u w:val="single"/>
          <w:lang w:val="en-US" w:eastAsia="zh-CN" w:bidi="ar-SA"/>
        </w:rPr>
        <w:t>竞标银行</w:t>
      </w:r>
      <w:r>
        <w:rPr>
          <w:rFonts w:hint="eastAsia" w:ascii="宋体" w:hAnsi="宋体" w:eastAsia="宋体" w:cs="宋体"/>
          <w:b/>
          <w:bCs/>
          <w:color w:val="auto"/>
          <w:kern w:val="2"/>
          <w:sz w:val="22"/>
          <w:szCs w:val="22"/>
          <w:highlight w:val="none"/>
          <w:u w:val="single"/>
          <w:lang w:val="en-US" w:eastAsia="zh-CN" w:bidi="ar-SA"/>
        </w:rPr>
        <w:t>单位公章、无法定代表人（主要负责人）或其授权代表签字的；</w:t>
      </w:r>
    </w:p>
    <w:p w14:paraId="50DB2445">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（2）</w:t>
      </w:r>
      <w:r>
        <w:rPr>
          <w:rFonts w:hint="eastAsia" w:ascii="宋体" w:hAnsi="宋体" w:cs="宋体"/>
          <w:color w:val="auto"/>
          <w:kern w:val="2"/>
          <w:sz w:val="22"/>
          <w:szCs w:val="22"/>
          <w:highlight w:val="none"/>
          <w:u w:val="single"/>
          <w:lang w:val="en-US" w:eastAsia="zh-CN" w:bidi="ar-SA"/>
        </w:rPr>
        <w:t>竞标银行</w:t>
      </w:r>
      <w:r>
        <w:rPr>
          <w:rFonts w:hint="eastAsia" w:ascii="宋体" w:hAnsi="宋体" w:eastAsia="宋体" w:cs="宋体"/>
          <w:color w:val="auto"/>
          <w:kern w:val="2"/>
          <w:sz w:val="22"/>
          <w:szCs w:val="22"/>
          <w:highlight w:val="none"/>
          <w:u w:val="single"/>
          <w:lang w:val="en-US" w:eastAsia="zh-CN" w:bidi="ar-SA"/>
        </w:rPr>
        <w:t>不符合投标资格条件的；</w:t>
      </w:r>
    </w:p>
    <w:p w14:paraId="15B5CDB9">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（3）报名的</w:t>
      </w:r>
      <w:r>
        <w:rPr>
          <w:rFonts w:hint="eastAsia" w:ascii="宋体" w:hAnsi="宋体" w:cs="宋体"/>
          <w:color w:val="auto"/>
          <w:kern w:val="2"/>
          <w:sz w:val="22"/>
          <w:szCs w:val="22"/>
          <w:highlight w:val="none"/>
          <w:u w:val="single"/>
          <w:lang w:val="en-US" w:eastAsia="zh-CN" w:bidi="ar-SA"/>
        </w:rPr>
        <w:t>竞标银行</w:t>
      </w:r>
      <w:r>
        <w:rPr>
          <w:rFonts w:hint="eastAsia" w:ascii="宋体" w:hAnsi="宋体" w:eastAsia="宋体" w:cs="宋体"/>
          <w:color w:val="auto"/>
          <w:kern w:val="2"/>
          <w:sz w:val="22"/>
          <w:szCs w:val="22"/>
          <w:highlight w:val="none"/>
          <w:u w:val="single"/>
          <w:lang w:val="en-US" w:eastAsia="zh-CN" w:bidi="ar-SA"/>
        </w:rPr>
        <w:t>与参加投标的</w:t>
      </w:r>
      <w:r>
        <w:rPr>
          <w:rFonts w:hint="eastAsia" w:ascii="宋体" w:hAnsi="宋体" w:cs="宋体"/>
          <w:color w:val="auto"/>
          <w:kern w:val="2"/>
          <w:sz w:val="22"/>
          <w:szCs w:val="22"/>
          <w:highlight w:val="none"/>
          <w:u w:val="single"/>
          <w:lang w:val="en-US" w:eastAsia="zh-CN" w:bidi="ar-SA"/>
        </w:rPr>
        <w:t>竞标银行</w:t>
      </w:r>
      <w:r>
        <w:rPr>
          <w:rFonts w:hint="eastAsia" w:ascii="宋体" w:hAnsi="宋体" w:eastAsia="宋体" w:cs="宋体"/>
          <w:color w:val="auto"/>
          <w:kern w:val="2"/>
          <w:sz w:val="22"/>
          <w:szCs w:val="22"/>
          <w:highlight w:val="none"/>
          <w:u w:val="single"/>
          <w:lang w:val="en-US" w:eastAsia="zh-CN" w:bidi="ar-SA"/>
        </w:rPr>
        <w:t>发生实质性变更的且未提供有效证明的；</w:t>
      </w:r>
    </w:p>
    <w:p w14:paraId="5FED1265">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b/>
          <w:bCs/>
          <w:color w:val="auto"/>
          <w:kern w:val="2"/>
          <w:sz w:val="22"/>
          <w:szCs w:val="22"/>
          <w:highlight w:val="none"/>
          <w:u w:val="single"/>
          <w:lang w:val="en-US" w:eastAsia="zh-CN" w:bidi="ar-SA"/>
        </w:rPr>
        <w:t>（4）</w:t>
      </w:r>
      <w:r>
        <w:rPr>
          <w:rFonts w:hint="eastAsia" w:ascii="宋体" w:hAnsi="宋体" w:cs="宋体"/>
          <w:b/>
          <w:bCs/>
          <w:color w:val="auto"/>
          <w:kern w:val="2"/>
          <w:sz w:val="22"/>
          <w:szCs w:val="22"/>
          <w:highlight w:val="none"/>
          <w:u w:val="single"/>
          <w:lang w:val="en-US" w:eastAsia="zh-CN" w:bidi="ar-SA"/>
        </w:rPr>
        <w:t>竞标银行</w:t>
      </w:r>
      <w:r>
        <w:rPr>
          <w:rFonts w:hint="eastAsia" w:ascii="宋体" w:hAnsi="宋体" w:eastAsia="宋体" w:cs="宋体"/>
          <w:b/>
          <w:bCs/>
          <w:color w:val="auto"/>
          <w:kern w:val="2"/>
          <w:sz w:val="22"/>
          <w:szCs w:val="22"/>
          <w:highlight w:val="none"/>
          <w:u w:val="single"/>
          <w:lang w:val="en-US" w:eastAsia="zh-CN" w:bidi="ar-SA"/>
        </w:rPr>
        <w:t>代表未提交有效身份证件或授权代表无法定代表人（主要负责人）或企业合法有效授权委托书的；</w:t>
      </w:r>
    </w:p>
    <w:p w14:paraId="405BC62E">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b/>
          <w:bCs/>
          <w:color w:val="auto"/>
          <w:kern w:val="2"/>
          <w:sz w:val="22"/>
          <w:szCs w:val="22"/>
          <w:highlight w:val="none"/>
          <w:u w:val="single"/>
          <w:lang w:val="en-US" w:eastAsia="zh-CN" w:bidi="ar-SA"/>
        </w:rPr>
        <w:t>（5）投标文件内容未按</w:t>
      </w:r>
      <w:r>
        <w:rPr>
          <w:rFonts w:hint="eastAsia" w:ascii="宋体" w:hAnsi="宋体" w:cs="宋体"/>
          <w:b/>
          <w:bCs/>
          <w:color w:val="auto"/>
          <w:kern w:val="2"/>
          <w:sz w:val="22"/>
          <w:szCs w:val="22"/>
          <w:highlight w:val="none"/>
          <w:u w:val="single"/>
          <w:lang w:val="en-US" w:eastAsia="zh-CN" w:bidi="ar-SA"/>
        </w:rPr>
        <w:t>采购文件</w:t>
      </w:r>
      <w:r>
        <w:rPr>
          <w:rFonts w:hint="eastAsia" w:ascii="宋体" w:hAnsi="宋体" w:eastAsia="宋体" w:cs="宋体"/>
          <w:b/>
          <w:bCs/>
          <w:color w:val="auto"/>
          <w:kern w:val="2"/>
          <w:sz w:val="22"/>
          <w:szCs w:val="22"/>
          <w:highlight w:val="none"/>
          <w:u w:val="single"/>
          <w:lang w:val="en-US" w:eastAsia="zh-CN" w:bidi="ar-SA"/>
        </w:rPr>
        <w:t>规定盖章的；</w:t>
      </w:r>
    </w:p>
    <w:p w14:paraId="03C82EE5">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default"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（6）</w:t>
      </w:r>
      <w:r>
        <w:rPr>
          <w:rFonts w:hint="eastAsia" w:ascii="宋体" w:hAnsi="宋体" w:cs="宋体"/>
          <w:color w:val="auto"/>
          <w:kern w:val="2"/>
          <w:sz w:val="22"/>
          <w:szCs w:val="22"/>
          <w:highlight w:val="none"/>
          <w:u w:val="single"/>
          <w:lang w:val="en-US" w:eastAsia="zh-CN" w:bidi="ar-SA"/>
        </w:rPr>
        <w:t>竞标银行</w:t>
      </w:r>
      <w:r>
        <w:rPr>
          <w:rFonts w:hint="default" w:ascii="宋体" w:hAnsi="宋体" w:eastAsia="宋体" w:cs="宋体"/>
          <w:color w:val="auto"/>
          <w:kern w:val="2"/>
          <w:sz w:val="22"/>
          <w:szCs w:val="22"/>
          <w:highlight w:val="none"/>
          <w:u w:val="single"/>
          <w:lang w:val="en-US" w:eastAsia="zh-CN" w:bidi="ar-SA"/>
        </w:rPr>
        <w:t>未按</w:t>
      </w:r>
      <w:r>
        <w:rPr>
          <w:rFonts w:hint="eastAsia" w:ascii="宋体" w:hAnsi="宋体" w:cs="宋体"/>
          <w:color w:val="auto"/>
          <w:kern w:val="2"/>
          <w:sz w:val="22"/>
          <w:szCs w:val="22"/>
          <w:highlight w:val="none"/>
          <w:u w:val="single"/>
          <w:lang w:val="en-US" w:eastAsia="zh-CN" w:bidi="ar-SA"/>
        </w:rPr>
        <w:t>采购文件</w:t>
      </w:r>
      <w:r>
        <w:rPr>
          <w:rFonts w:hint="default" w:ascii="宋体" w:hAnsi="宋体" w:eastAsia="宋体" w:cs="宋体"/>
          <w:color w:val="auto"/>
          <w:kern w:val="2"/>
          <w:sz w:val="22"/>
          <w:szCs w:val="22"/>
          <w:highlight w:val="none"/>
          <w:u w:val="single"/>
          <w:lang w:val="en-US" w:eastAsia="zh-CN" w:bidi="ar-SA"/>
        </w:rPr>
        <w:t>变更通知更改投标文件的；</w:t>
      </w:r>
    </w:p>
    <w:p w14:paraId="28ADCFBC">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u w:val="single"/>
          <w:lang w:val="en-US" w:eastAsia="zh-CN" w:bidi="ar-SA"/>
        </w:rPr>
      </w:pPr>
      <w:r>
        <w:rPr>
          <w:rFonts w:hint="default" w:ascii="宋体" w:hAnsi="宋体" w:eastAsia="宋体" w:cs="宋体"/>
          <w:color w:val="auto"/>
          <w:kern w:val="2"/>
          <w:sz w:val="22"/>
          <w:szCs w:val="22"/>
          <w:highlight w:val="none"/>
          <w:u w:val="single"/>
          <w:lang w:val="en-US" w:eastAsia="zh-CN" w:bidi="ar-SA"/>
        </w:rPr>
        <w:t>（7）电子投标逾期的；</w:t>
      </w:r>
    </w:p>
    <w:p w14:paraId="2F8B7B4D">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u w:val="single"/>
          <w:lang w:val="en-US" w:eastAsia="zh-CN" w:bidi="ar-SA"/>
        </w:rPr>
      </w:pPr>
      <w:r>
        <w:rPr>
          <w:rFonts w:hint="eastAsia" w:ascii="宋体" w:hAnsi="宋体" w:eastAsia="宋体" w:cs="宋体"/>
          <w:color w:val="auto"/>
          <w:kern w:val="2"/>
          <w:sz w:val="22"/>
          <w:szCs w:val="22"/>
          <w:highlight w:val="none"/>
          <w:u w:val="single"/>
          <w:lang w:val="en-US" w:eastAsia="zh-CN" w:bidi="ar-SA"/>
        </w:rPr>
        <w:t>（8）不符合法律、法规和</w:t>
      </w:r>
      <w:r>
        <w:rPr>
          <w:rFonts w:hint="eastAsia" w:ascii="宋体" w:hAnsi="宋体" w:cs="宋体"/>
          <w:color w:val="auto"/>
          <w:kern w:val="2"/>
          <w:sz w:val="22"/>
          <w:szCs w:val="22"/>
          <w:highlight w:val="none"/>
          <w:u w:val="single"/>
          <w:lang w:val="en-US" w:eastAsia="zh-CN" w:bidi="ar-SA"/>
        </w:rPr>
        <w:t>采购文件</w:t>
      </w:r>
      <w:r>
        <w:rPr>
          <w:rFonts w:hint="eastAsia" w:ascii="宋体" w:hAnsi="宋体" w:eastAsia="宋体" w:cs="宋体"/>
          <w:color w:val="auto"/>
          <w:kern w:val="2"/>
          <w:sz w:val="22"/>
          <w:szCs w:val="22"/>
          <w:highlight w:val="none"/>
          <w:u w:val="single"/>
          <w:lang w:val="en-US" w:eastAsia="zh-CN" w:bidi="ar-SA"/>
        </w:rPr>
        <w:t>中规定的其它实质性要求的。</w:t>
      </w:r>
    </w:p>
    <w:p w14:paraId="4C6AA8CB">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4.6评标委员会对审查合格的投标文件，按照</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中制订的评标方法进行综合评定打分。</w:t>
      </w:r>
    </w:p>
    <w:p w14:paraId="6E6D304C">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4.7评标过程中遇到特殊情况，由评标委员会遵循公开、公正原则，采取投票方式按照少数服从多数原则决定。</w:t>
      </w:r>
    </w:p>
    <w:p w14:paraId="305181B2">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5.投标文件的澄清</w:t>
      </w:r>
    </w:p>
    <w:p w14:paraId="7F744BC5">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5.1在评标期间，评标委员会可以书面方式要求</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对投标文件中含义不明确、对同类问题表述不一致或者有明显文字和计算错误的内容作必要的澄清、说明或补正。澄清、说明或补正应以书面形式并由</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代表签署，但澄清内容不得超出投标文件的范围或者改变投标文件的实质性内容。拒不按要求对其投标文件进行澄清，说明或补正的</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，评标委员会可以否决其投标。</w:t>
      </w:r>
    </w:p>
    <w:p w14:paraId="2655FED4">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5.2</w:t>
      </w:r>
      <w:r>
        <w:rPr>
          <w:rFonts w:hint="eastAsia" w:ascii="宋体" w:hAnsi="宋体" w:eastAsia="宋体" w:cs="宋体"/>
          <w:b/>
          <w:bCs/>
          <w:color w:val="auto"/>
          <w:kern w:val="2"/>
          <w:sz w:val="22"/>
          <w:szCs w:val="22"/>
          <w:highlight w:val="none"/>
          <w:u w:val="single"/>
          <w:lang w:val="en-US" w:eastAsia="zh-CN" w:bidi="ar-SA"/>
        </w:rPr>
        <w:t>▲经澄清后，若偏差仍存在，且不可接受，投标文件则被认为是“没有实质性响应</w:t>
      </w:r>
      <w:r>
        <w:rPr>
          <w:rFonts w:hint="eastAsia" w:ascii="宋体" w:hAnsi="宋体" w:cs="宋体"/>
          <w:b/>
          <w:bCs/>
          <w:color w:val="auto"/>
          <w:kern w:val="2"/>
          <w:sz w:val="22"/>
          <w:szCs w:val="22"/>
          <w:highlight w:val="none"/>
          <w:u w:val="single"/>
          <w:lang w:val="en-US" w:eastAsia="zh-CN" w:bidi="ar-SA"/>
        </w:rPr>
        <w:t>采购文件</w:t>
      </w:r>
      <w:r>
        <w:rPr>
          <w:rFonts w:hint="eastAsia" w:ascii="宋体" w:hAnsi="宋体" w:eastAsia="宋体" w:cs="宋体"/>
          <w:b/>
          <w:bCs/>
          <w:color w:val="auto"/>
          <w:kern w:val="2"/>
          <w:sz w:val="22"/>
          <w:szCs w:val="22"/>
          <w:highlight w:val="none"/>
          <w:u w:val="single"/>
          <w:lang w:val="en-US" w:eastAsia="zh-CN" w:bidi="ar-SA"/>
        </w:rPr>
        <w:t>要求”，不进入下一步评审。</w:t>
      </w:r>
    </w:p>
    <w:p w14:paraId="364A0717">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6．定标</w:t>
      </w:r>
    </w:p>
    <w:p w14:paraId="58B7FB36">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6.1本次招标由评标委员会确定</w:t>
      </w:r>
      <w:r>
        <w:rPr>
          <w:rFonts w:hint="eastAsia" w:ascii="宋体" w:hAnsi="宋体" w:cs="宋体"/>
          <w:color w:val="auto"/>
          <w:kern w:val="2"/>
          <w:sz w:val="22"/>
          <w:szCs w:val="22"/>
          <w:highlight w:val="none"/>
          <w:lang w:val="en-US" w:eastAsia="zh-CN" w:bidi="ar-SA"/>
        </w:rPr>
        <w:t>中标候选银行</w:t>
      </w:r>
      <w:r>
        <w:rPr>
          <w:rFonts w:hint="eastAsia" w:ascii="宋体" w:hAnsi="宋体" w:eastAsia="宋体" w:cs="宋体"/>
          <w:color w:val="auto"/>
          <w:kern w:val="2"/>
          <w:sz w:val="22"/>
          <w:szCs w:val="22"/>
          <w:highlight w:val="none"/>
          <w:lang w:val="en-US" w:eastAsia="zh-CN" w:bidi="ar-SA"/>
        </w:rPr>
        <w:t>。</w:t>
      </w:r>
    </w:p>
    <w:p w14:paraId="28C3417C">
      <w:pPr>
        <w:pStyle w:val="6"/>
        <w:keepNext w:val="0"/>
        <w:keepLines w:val="0"/>
        <w:pageBreakBefore w:val="0"/>
        <w:widowControl w:val="0"/>
        <w:kinsoku/>
        <w:wordWrap/>
        <w:overflowPunct/>
        <w:topLinePunct w:val="0"/>
        <w:autoSpaceDE/>
        <w:autoSpaceDN/>
        <w:bidi w:val="0"/>
        <w:adjustRightInd/>
        <w:snapToGrid/>
        <w:spacing w:line="470" w:lineRule="exact"/>
        <w:ind w:firstLine="442" w:firstLineChars="200"/>
        <w:textAlignment w:val="auto"/>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b/>
          <w:bCs/>
          <w:color w:val="auto"/>
          <w:kern w:val="2"/>
          <w:sz w:val="22"/>
          <w:szCs w:val="22"/>
          <w:highlight w:val="none"/>
          <w:u w:val="single"/>
          <w:lang w:val="en-US" w:eastAsia="zh-CN" w:bidi="ar-SA"/>
        </w:rPr>
        <w:t>评标委员会按各投标人的总得分由高到低顺序排序，推荐排序第一名者为第一中标候选银行，排序第二名者为第二中标候选银行，排序第三名者为第三中标候选银行，排序第四名者为第四中标候选银行，排序第五名者为第五中标候选银行</w:t>
      </w:r>
      <w:r>
        <w:rPr>
          <w:rFonts w:hint="default" w:ascii="宋体" w:hAnsi="宋体" w:cs="宋体"/>
          <w:b/>
          <w:bCs/>
          <w:color w:val="auto"/>
          <w:kern w:val="2"/>
          <w:sz w:val="22"/>
          <w:szCs w:val="22"/>
          <w:highlight w:val="none"/>
          <w:u w:val="single"/>
          <w:lang w:val="en-US" w:eastAsia="zh-CN" w:bidi="ar-SA"/>
        </w:rPr>
        <w:t>，</w:t>
      </w:r>
      <w:r>
        <w:rPr>
          <w:rFonts w:hint="default" w:ascii="宋体" w:hAnsi="宋体" w:eastAsia="宋体" w:cs="宋体"/>
          <w:b/>
          <w:bCs/>
          <w:i w:val="0"/>
          <w:iCs w:val="0"/>
          <w:color w:val="auto"/>
          <w:kern w:val="2"/>
          <w:sz w:val="22"/>
          <w:szCs w:val="22"/>
          <w:highlight w:val="none"/>
          <w:u w:val="single" w:color="auto"/>
          <w:vertAlign w:val="baseline"/>
          <w:lang w:val="en-US" w:eastAsia="zh-CN" w:bidi="ar-SA"/>
        </w:rPr>
        <w:t>排序第六名者为第六中标候选银行</w:t>
      </w:r>
      <w:r>
        <w:rPr>
          <w:rFonts w:hint="eastAsia" w:ascii="宋体" w:hAnsi="宋体" w:eastAsia="宋体" w:cs="宋体"/>
          <w:b/>
          <w:bCs/>
          <w:color w:val="auto"/>
          <w:kern w:val="2"/>
          <w:sz w:val="22"/>
          <w:szCs w:val="22"/>
          <w:highlight w:val="none"/>
          <w:u w:val="single"/>
          <w:lang w:val="en-US" w:eastAsia="zh-CN" w:bidi="ar-SA"/>
        </w:rPr>
        <w:t>。如出现总得分相同的，按报价利率由高到低顺序排列；得分且报价利率报价相同的，依次按（1）经营状况指标得分；（2）经济贡献度指标得分；（3）服务水平指标得分的顺序由高到低排名。若依然相同，中标候选银行资格抽签确定。</w:t>
      </w:r>
    </w:p>
    <w:p w14:paraId="25B01721">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7.确定</w:t>
      </w:r>
      <w:r>
        <w:rPr>
          <w:rFonts w:hint="eastAsia" w:hAnsi="宋体" w:cs="宋体"/>
          <w:b/>
          <w:bCs/>
          <w:color w:val="auto"/>
          <w:sz w:val="22"/>
          <w:szCs w:val="22"/>
          <w:highlight w:val="none"/>
          <w:lang w:val="en-US" w:eastAsia="zh-CN"/>
        </w:rPr>
        <w:t>中标银行</w:t>
      </w:r>
    </w:p>
    <w:p w14:paraId="7D811832">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7.1采购人根据评标委员会推荐的结果进行最终确认</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w:t>
      </w:r>
    </w:p>
    <w:p w14:paraId="0404FBDA">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7.2如</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放弃中标</w:t>
      </w:r>
      <w:r>
        <w:rPr>
          <w:rFonts w:hint="eastAsia" w:ascii="宋体" w:hAnsi="宋体" w:cs="宋体"/>
          <w:color w:val="auto"/>
          <w:kern w:val="2"/>
          <w:sz w:val="22"/>
          <w:szCs w:val="22"/>
          <w:highlight w:val="none"/>
          <w:lang w:val="en-US" w:eastAsia="zh-CN" w:bidi="ar-SA"/>
        </w:rPr>
        <w:t>或</w:t>
      </w:r>
      <w:r>
        <w:rPr>
          <w:rFonts w:hint="eastAsia" w:ascii="宋体" w:hAnsi="宋体" w:eastAsia="宋体" w:cs="宋体"/>
          <w:color w:val="auto"/>
          <w:kern w:val="2"/>
          <w:sz w:val="22"/>
          <w:szCs w:val="22"/>
          <w:highlight w:val="none"/>
          <w:lang w:val="en-US" w:eastAsia="zh-CN" w:bidi="ar-SA"/>
        </w:rPr>
        <w:t>未能在规定时间内与采购人签订</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的；或者经质疑，采购人审查后，确因</w:t>
      </w:r>
      <w:r>
        <w:rPr>
          <w:rFonts w:hint="eastAsia" w:ascii="宋体" w:hAnsi="宋体" w:cs="宋体"/>
          <w:color w:val="auto"/>
          <w:kern w:val="2"/>
          <w:sz w:val="22"/>
          <w:szCs w:val="22"/>
          <w:highlight w:val="none"/>
          <w:lang w:val="en-US" w:eastAsia="zh-CN" w:bidi="ar-SA"/>
        </w:rPr>
        <w:t>中标候选银行</w:t>
      </w:r>
      <w:r>
        <w:rPr>
          <w:rFonts w:hint="eastAsia" w:ascii="宋体" w:hAnsi="宋体" w:eastAsia="宋体" w:cs="宋体"/>
          <w:color w:val="auto"/>
          <w:kern w:val="2"/>
          <w:sz w:val="22"/>
          <w:szCs w:val="22"/>
          <w:highlight w:val="none"/>
          <w:lang w:val="en-US" w:eastAsia="zh-CN" w:bidi="ar-SA"/>
        </w:rPr>
        <w:t>在本次采购活动中存在违法违规行为或其他原因使质疑成立的，采购人可以直接确定排名靠后的候选人为</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，以此类推至最后名。如最后名</w:t>
      </w:r>
      <w:r>
        <w:rPr>
          <w:rFonts w:hint="eastAsia" w:ascii="宋体" w:hAnsi="宋体" w:cs="宋体"/>
          <w:color w:val="auto"/>
          <w:kern w:val="2"/>
          <w:sz w:val="22"/>
          <w:szCs w:val="22"/>
          <w:highlight w:val="none"/>
          <w:lang w:val="en-US" w:eastAsia="zh-CN" w:bidi="ar-SA"/>
        </w:rPr>
        <w:t>中标候选银行</w:t>
      </w:r>
      <w:r>
        <w:rPr>
          <w:rFonts w:hint="eastAsia" w:ascii="宋体" w:hAnsi="宋体" w:eastAsia="宋体" w:cs="宋体"/>
          <w:color w:val="auto"/>
          <w:kern w:val="2"/>
          <w:sz w:val="22"/>
          <w:szCs w:val="22"/>
          <w:highlight w:val="none"/>
          <w:lang w:val="en-US" w:eastAsia="zh-CN" w:bidi="ar-SA"/>
        </w:rPr>
        <w:t>因前款规定的同样原因不能签订</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的，本次招标失败，重新组织招标。</w:t>
      </w:r>
    </w:p>
    <w:p w14:paraId="18C6F8DB">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7.3评标结束后，采购人将在</w:t>
      </w:r>
      <w:r>
        <w:rPr>
          <w:rFonts w:hint="eastAsia" w:ascii="宋体" w:hAnsi="宋体" w:eastAsia="宋体" w:cs="宋体"/>
          <w:color w:val="auto"/>
          <w:kern w:val="2"/>
          <w:sz w:val="22"/>
          <w:szCs w:val="22"/>
          <w:highlight w:val="none"/>
          <w:u w:val="single"/>
          <w:lang w:val="en-US" w:eastAsia="zh-CN" w:bidi="ar-SA"/>
        </w:rPr>
        <w:t>浙江政府采购网</w:t>
      </w:r>
      <w:r>
        <w:rPr>
          <w:rFonts w:hint="eastAsia" w:ascii="宋体" w:hAnsi="宋体" w:cs="宋体"/>
          <w:color w:val="auto"/>
          <w:kern w:val="2"/>
          <w:sz w:val="22"/>
          <w:szCs w:val="22"/>
          <w:highlight w:val="none"/>
          <w:u w:val="single"/>
          <w:lang w:val="en-US" w:eastAsia="zh-CN" w:bidi="ar-SA"/>
        </w:rPr>
        <w:t>、天台县人民政府门户公共资源交易（网址：http://www.zjtt.gov.cn/col/col1659806/index.html）网站</w:t>
      </w:r>
      <w:r>
        <w:rPr>
          <w:rFonts w:hint="eastAsia" w:ascii="宋体" w:hAnsi="宋体" w:eastAsia="宋体" w:cs="宋体"/>
          <w:color w:val="auto"/>
          <w:kern w:val="2"/>
          <w:sz w:val="22"/>
          <w:szCs w:val="22"/>
          <w:highlight w:val="none"/>
          <w:lang w:val="en-US" w:eastAsia="zh-CN" w:bidi="ar-SA"/>
        </w:rPr>
        <w:t>公示中标结果</w:t>
      </w:r>
      <w:r>
        <w:rPr>
          <w:rFonts w:hint="eastAsia" w:ascii="宋体" w:hAnsi="宋体" w:cs="宋体"/>
          <w:color w:val="auto"/>
          <w:kern w:val="2"/>
          <w:sz w:val="22"/>
          <w:szCs w:val="22"/>
          <w:highlight w:val="none"/>
          <w:lang w:val="en-US" w:eastAsia="zh-CN" w:bidi="ar-SA"/>
        </w:rPr>
        <w:t>，公示时间为3个工作日</w:t>
      </w:r>
      <w:r>
        <w:rPr>
          <w:rFonts w:hint="eastAsia" w:ascii="宋体" w:hAnsi="宋体" w:eastAsia="宋体" w:cs="宋体"/>
          <w:color w:val="auto"/>
          <w:kern w:val="2"/>
          <w:sz w:val="22"/>
          <w:szCs w:val="22"/>
          <w:highlight w:val="none"/>
          <w:lang w:val="en-US" w:eastAsia="zh-CN" w:bidi="ar-SA"/>
        </w:rPr>
        <w:t>。</w:t>
      </w:r>
    </w:p>
    <w:p w14:paraId="7C81627F">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8.评标细则详见第五章《评分办法和评分标准》。</w:t>
      </w:r>
    </w:p>
    <w:p w14:paraId="0CBF18CE">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9.开评标程序以政采云平台实际操作流程为准</w:t>
      </w:r>
      <w:r>
        <w:rPr>
          <w:rFonts w:hint="eastAsia" w:ascii="宋体" w:hAnsi="宋体" w:cs="宋体"/>
          <w:b/>
          <w:bCs/>
          <w:color w:val="auto"/>
          <w:kern w:val="2"/>
          <w:sz w:val="22"/>
          <w:szCs w:val="22"/>
          <w:highlight w:val="none"/>
          <w:lang w:val="en-US" w:eastAsia="zh-CN" w:bidi="ar-SA"/>
        </w:rPr>
        <w:t>，</w:t>
      </w:r>
      <w:r>
        <w:rPr>
          <w:rFonts w:hint="eastAsia" w:ascii="宋体" w:hAnsi="宋体" w:eastAsia="宋体" w:cs="宋体"/>
          <w:b/>
          <w:bCs/>
          <w:color w:val="auto"/>
          <w:kern w:val="2"/>
          <w:sz w:val="22"/>
          <w:szCs w:val="22"/>
          <w:highlight w:val="none"/>
          <w:lang w:val="en-US" w:eastAsia="zh-CN" w:bidi="ar-SA"/>
        </w:rPr>
        <w:t>政采云公司如对电子化开标及评审程序有调整的，按调整后的程序操作。</w:t>
      </w:r>
    </w:p>
    <w:p w14:paraId="70B17D0B">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10.未尽事宜遵循相关法律法规及规范性文件执行。</w:t>
      </w:r>
    </w:p>
    <w:p w14:paraId="2FE4969E">
      <w:pPr>
        <w:pStyle w:val="3"/>
        <w:keepLines w:val="0"/>
        <w:pageBreakBefore w:val="0"/>
        <w:widowControl w:val="0"/>
        <w:kinsoku/>
        <w:wordWrap/>
        <w:overflowPunct/>
        <w:topLinePunct w:val="0"/>
        <w:autoSpaceDE/>
        <w:autoSpaceDN/>
        <w:bidi w:val="0"/>
        <w:snapToGrid/>
        <w:spacing w:line="470" w:lineRule="exact"/>
        <w:textAlignment w:val="auto"/>
        <w:rPr>
          <w:rFonts w:hint="eastAsia"/>
          <w:color w:val="auto"/>
          <w:highlight w:val="none"/>
          <w:lang w:val="en-US" w:eastAsia="zh-CN"/>
        </w:rPr>
      </w:pPr>
      <w:bookmarkStart w:id="13" w:name="_Toc103948073"/>
      <w:r>
        <w:rPr>
          <w:rFonts w:hint="eastAsia"/>
          <w:color w:val="auto"/>
          <w:highlight w:val="none"/>
          <w:lang w:val="en-US" w:eastAsia="zh-CN"/>
        </w:rPr>
        <w:t>六、授予</w:t>
      </w:r>
      <w:bookmarkEnd w:id="13"/>
      <w:r>
        <w:rPr>
          <w:rFonts w:hint="eastAsia"/>
          <w:color w:val="auto"/>
          <w:highlight w:val="none"/>
          <w:lang w:val="en-US" w:eastAsia="zh-CN"/>
        </w:rPr>
        <w:t>协议书</w:t>
      </w:r>
    </w:p>
    <w:p w14:paraId="40B56AE7">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1.中标通知书</w:t>
      </w:r>
    </w:p>
    <w:p w14:paraId="08AC0623">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1.1</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确定后，采购人将向</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发出中标通知书。</w:t>
      </w:r>
    </w:p>
    <w:p w14:paraId="26979179">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1.2中标通知书是</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的一个组成部分,对采购人和</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均具有同等法律效力。</w:t>
      </w:r>
    </w:p>
    <w:p w14:paraId="5B20AE6C">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2.提交担保函</w:t>
      </w:r>
    </w:p>
    <w:p w14:paraId="3BB4FF91">
      <w:pPr>
        <w:keepLines w:val="0"/>
        <w:pageBreakBefore w:val="0"/>
        <w:widowControl w:val="0"/>
        <w:kinsoku/>
        <w:wordWrap/>
        <w:overflowPunct/>
        <w:topLinePunct w:val="0"/>
        <w:autoSpaceDE/>
        <w:autoSpaceDN/>
        <w:bidi w:val="0"/>
        <w:snapToGrid/>
        <w:spacing w:line="470" w:lineRule="exact"/>
        <w:ind w:firstLine="442" w:firstLineChars="20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2.1</w:t>
      </w:r>
      <w:r>
        <w:rPr>
          <w:rFonts w:hint="default" w:ascii="宋体" w:hAnsi="宋体" w:eastAsia="宋体" w:cs="宋体"/>
          <w:b/>
          <w:bCs/>
          <w:i w:val="0"/>
          <w:iCs w:val="0"/>
          <w:color w:val="auto"/>
          <w:kern w:val="2"/>
          <w:sz w:val="22"/>
          <w:szCs w:val="22"/>
          <w:highlight w:val="none"/>
          <w:vertAlign w:val="baseline"/>
          <w:lang w:val="en-US" w:eastAsia="zh-CN" w:bidi="ar-SA"/>
        </w:rPr>
        <w:t>中标银行在签订协议书时，须出具上级行或其他银行中标金额120%的担保函。无规定额度担保函的，取消中标资格。</w:t>
      </w:r>
    </w:p>
    <w:p w14:paraId="0AADE918">
      <w:pPr>
        <w:pStyle w:val="6"/>
        <w:keepLines w:val="0"/>
        <w:pageBreakBefore w:val="0"/>
        <w:widowControl w:val="0"/>
        <w:kinsoku/>
        <w:wordWrap/>
        <w:overflowPunct/>
        <w:topLinePunct w:val="0"/>
        <w:autoSpaceDE/>
        <w:autoSpaceDN/>
        <w:bidi w:val="0"/>
        <w:snapToGrid/>
        <w:spacing w:line="470" w:lineRule="exact"/>
        <w:ind w:firstLine="0"/>
        <w:textAlignment w:val="auto"/>
        <w:rPr>
          <w:rFonts w:hint="eastAsia" w:ascii="宋体" w:hAnsi="宋体" w:eastAsia="宋体" w:cs="宋体"/>
          <w:b/>
          <w:bCs/>
          <w:color w:val="auto"/>
          <w:sz w:val="22"/>
          <w:szCs w:val="22"/>
          <w:highlight w:val="none"/>
          <w:lang w:val="en-US" w:eastAsia="zh-CN"/>
        </w:rPr>
      </w:pPr>
      <w:r>
        <w:rPr>
          <w:rFonts w:hint="eastAsia" w:hAnsi="宋体" w:cs="宋体"/>
          <w:b/>
          <w:bCs/>
          <w:color w:val="auto"/>
          <w:sz w:val="22"/>
          <w:szCs w:val="22"/>
          <w:highlight w:val="none"/>
          <w:lang w:val="en-US" w:eastAsia="zh-CN"/>
        </w:rPr>
        <w:t>3.</w:t>
      </w:r>
      <w:r>
        <w:rPr>
          <w:rFonts w:hint="eastAsia" w:ascii="宋体" w:hAnsi="宋体" w:eastAsia="宋体" w:cs="宋体"/>
          <w:b/>
          <w:bCs/>
          <w:color w:val="auto"/>
          <w:sz w:val="22"/>
          <w:szCs w:val="22"/>
          <w:highlight w:val="none"/>
          <w:lang w:val="en-US" w:eastAsia="zh-CN"/>
        </w:rPr>
        <w:t>签订</w:t>
      </w:r>
      <w:r>
        <w:rPr>
          <w:rFonts w:hint="eastAsia" w:hAnsi="宋体" w:cs="宋体"/>
          <w:b/>
          <w:bCs/>
          <w:color w:val="auto"/>
          <w:sz w:val="22"/>
          <w:szCs w:val="22"/>
          <w:highlight w:val="none"/>
          <w:lang w:val="en-US" w:eastAsia="zh-CN"/>
        </w:rPr>
        <w:t>协议书</w:t>
      </w:r>
    </w:p>
    <w:p w14:paraId="5C55FD7E">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.1</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应</w:t>
      </w:r>
      <w:r>
        <w:rPr>
          <w:rFonts w:hint="eastAsia" w:ascii="宋体" w:hAnsi="宋体" w:cs="宋体"/>
          <w:color w:val="auto"/>
          <w:kern w:val="2"/>
          <w:sz w:val="22"/>
          <w:szCs w:val="22"/>
          <w:highlight w:val="none"/>
          <w:lang w:val="en-US" w:eastAsia="zh-CN" w:bidi="ar-SA"/>
        </w:rPr>
        <w:t>在中标通知书发出之日起15日内，</w:t>
      </w:r>
      <w:r>
        <w:rPr>
          <w:rFonts w:hint="eastAsia" w:ascii="宋体" w:hAnsi="宋体" w:eastAsia="宋体" w:cs="宋体"/>
          <w:color w:val="auto"/>
          <w:kern w:val="2"/>
          <w:sz w:val="22"/>
          <w:szCs w:val="22"/>
          <w:highlight w:val="none"/>
          <w:lang w:val="en-US" w:eastAsia="zh-CN" w:bidi="ar-SA"/>
        </w:rPr>
        <w:t>与采购人签订</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w:t>
      </w:r>
    </w:p>
    <w:p w14:paraId="35AEF19C">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.2</w:t>
      </w:r>
      <w:r>
        <w:rPr>
          <w:rFonts w:hint="eastAsia" w:ascii="宋体" w:hAnsi="宋体" w:cs="宋体"/>
          <w:color w:val="auto"/>
          <w:kern w:val="2"/>
          <w:sz w:val="22"/>
          <w:szCs w:val="22"/>
          <w:highlight w:val="none"/>
          <w:lang w:val="en-US" w:eastAsia="zh-CN" w:bidi="ar-SA"/>
        </w:rPr>
        <w:t>采购文件</w:t>
      </w:r>
      <w:r>
        <w:rPr>
          <w:rFonts w:hint="eastAsia" w:ascii="宋体" w:hAnsi="宋体" w:eastAsia="宋体" w:cs="宋体"/>
          <w:color w:val="auto"/>
          <w:kern w:val="2"/>
          <w:sz w:val="22"/>
          <w:szCs w:val="22"/>
          <w:highlight w:val="none"/>
          <w:lang w:val="en-US" w:eastAsia="zh-CN" w:bidi="ar-SA"/>
        </w:rPr>
        <w:t>、</w:t>
      </w: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的投标文件、投标修改文件、评标过程中有关澄清文件及经</w:t>
      </w:r>
      <w:r>
        <w:rPr>
          <w:rFonts w:hint="eastAsia" w:ascii="宋体" w:hAnsi="宋体" w:cs="宋体"/>
          <w:color w:val="auto"/>
          <w:kern w:val="2"/>
          <w:sz w:val="22"/>
          <w:szCs w:val="22"/>
          <w:highlight w:val="none"/>
          <w:lang w:val="en-US" w:eastAsia="zh-CN" w:bidi="ar-SA"/>
        </w:rPr>
        <w:t>竞标银行</w:t>
      </w:r>
      <w:r>
        <w:rPr>
          <w:rFonts w:hint="eastAsia" w:ascii="宋体" w:hAnsi="宋体" w:eastAsia="宋体" w:cs="宋体"/>
          <w:color w:val="auto"/>
          <w:kern w:val="2"/>
          <w:sz w:val="22"/>
          <w:szCs w:val="22"/>
          <w:highlight w:val="none"/>
          <w:lang w:val="en-US" w:eastAsia="zh-CN" w:bidi="ar-SA"/>
        </w:rPr>
        <w:t>和评委双方签字的询标纪要和中标通知书均作为</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附件。</w:t>
      </w:r>
    </w:p>
    <w:p w14:paraId="0C4D9AB8">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.3拒签</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的违约责任</w:t>
      </w:r>
    </w:p>
    <w:p w14:paraId="0A9DB66C">
      <w:pPr>
        <w:keepLines w:val="0"/>
        <w:pageBreakBefore w:val="0"/>
        <w:widowControl w:val="0"/>
        <w:kinsoku/>
        <w:wordWrap/>
        <w:overflowPunct/>
        <w:topLinePunct w:val="0"/>
        <w:autoSpaceDE/>
        <w:autoSpaceDN/>
        <w:bidi w:val="0"/>
        <w:snapToGrid/>
        <w:spacing w:line="47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中标银行</w:t>
      </w:r>
      <w:r>
        <w:rPr>
          <w:rFonts w:hint="eastAsia" w:ascii="宋体" w:hAnsi="宋体" w:eastAsia="宋体" w:cs="宋体"/>
          <w:color w:val="auto"/>
          <w:kern w:val="2"/>
          <w:sz w:val="22"/>
          <w:szCs w:val="22"/>
          <w:highlight w:val="none"/>
          <w:lang w:val="en-US" w:eastAsia="zh-CN" w:bidi="ar-SA"/>
        </w:rPr>
        <w:t>接到中标通知书后，在规定时间内借故否认已经承诺的条件而拒签</w:t>
      </w:r>
      <w:r>
        <w:rPr>
          <w:rFonts w:hint="eastAsia" w:ascii="宋体" w:hAnsi="宋体" w:cs="宋体"/>
          <w:color w:val="auto"/>
          <w:kern w:val="2"/>
          <w:sz w:val="22"/>
          <w:szCs w:val="22"/>
          <w:highlight w:val="none"/>
          <w:lang w:val="en-US" w:eastAsia="zh-CN" w:bidi="ar-SA"/>
        </w:rPr>
        <w:t>协议书</w:t>
      </w:r>
      <w:r>
        <w:rPr>
          <w:rFonts w:hint="eastAsia" w:ascii="宋体" w:hAnsi="宋体" w:eastAsia="宋体" w:cs="宋体"/>
          <w:color w:val="auto"/>
          <w:kern w:val="2"/>
          <w:sz w:val="22"/>
          <w:szCs w:val="22"/>
          <w:highlight w:val="none"/>
          <w:lang w:val="en-US" w:eastAsia="zh-CN" w:bidi="ar-SA"/>
        </w:rPr>
        <w:t>的，以违约处理。</w:t>
      </w:r>
    </w:p>
    <w:bookmarkEnd w:id="8"/>
    <w:p w14:paraId="70CD6755">
      <w:pPr>
        <w:rPr>
          <w:rStyle w:val="24"/>
          <w:rFonts w:hint="eastAsia" w:ascii="Times New Roman" w:hAnsi="Times New Roman" w:cs="Times New Roman"/>
          <w:color w:val="auto"/>
          <w:highlight w:val="none"/>
        </w:rPr>
      </w:pPr>
      <w:bookmarkStart w:id="14" w:name="_Toc26614"/>
      <w:bookmarkStart w:id="15" w:name="_Toc6600"/>
      <w:bookmarkStart w:id="16" w:name="_Toc172"/>
      <w:r>
        <w:rPr>
          <w:rStyle w:val="24"/>
          <w:rFonts w:hint="eastAsia" w:ascii="Times New Roman" w:hAnsi="Times New Roman" w:cs="Times New Roman"/>
          <w:color w:val="auto"/>
          <w:highlight w:val="none"/>
        </w:rPr>
        <w:br w:type="page"/>
      </w:r>
    </w:p>
    <w:p w14:paraId="2290B250">
      <w:pPr>
        <w:keepNext w:val="0"/>
        <w:keepLines w:val="0"/>
        <w:pageBreakBefore w:val="0"/>
        <w:kinsoku/>
        <w:wordWrap/>
        <w:overflowPunct/>
        <w:topLinePunct w:val="0"/>
        <w:bidi w:val="0"/>
        <w:snapToGrid w:val="0"/>
        <w:spacing w:before="312" w:beforeLines="100" w:after="156" w:afterLines="50" w:line="380" w:lineRule="exact"/>
        <w:jc w:val="center"/>
        <w:outlineLvl w:val="0"/>
        <w:rPr>
          <w:rStyle w:val="24"/>
          <w:rFonts w:hint="eastAsia" w:ascii="Times New Roman" w:hAnsi="Times New Roman" w:cs="Times New Roman"/>
          <w:color w:val="auto"/>
          <w:highlight w:val="none"/>
        </w:rPr>
      </w:pPr>
      <w:bookmarkStart w:id="17" w:name="_Toc10313"/>
      <w:r>
        <w:rPr>
          <w:rStyle w:val="24"/>
          <w:rFonts w:hint="eastAsia" w:ascii="Times New Roman" w:hAnsi="Times New Roman" w:cs="Times New Roman"/>
          <w:color w:val="auto"/>
          <w:highlight w:val="none"/>
        </w:rPr>
        <w:t xml:space="preserve">第三章  </w:t>
      </w:r>
      <w:r>
        <w:rPr>
          <w:rStyle w:val="24"/>
          <w:rFonts w:hint="eastAsia" w:cs="Times New Roman"/>
          <w:color w:val="auto"/>
          <w:highlight w:val="none"/>
          <w:lang w:eastAsia="zh-CN"/>
        </w:rPr>
        <w:t>协议书</w:t>
      </w:r>
      <w:r>
        <w:rPr>
          <w:rStyle w:val="24"/>
          <w:rFonts w:hint="eastAsia" w:ascii="Times New Roman" w:hAnsi="Times New Roman" w:cs="Times New Roman"/>
          <w:color w:val="auto"/>
          <w:highlight w:val="none"/>
        </w:rPr>
        <w:t>主要条款</w:t>
      </w:r>
      <w:bookmarkEnd w:id="14"/>
      <w:bookmarkEnd w:id="15"/>
      <w:bookmarkEnd w:id="17"/>
    </w:p>
    <w:p w14:paraId="71E3FA0E">
      <w:pPr>
        <w:keepNext w:val="0"/>
        <w:keepLines w:val="0"/>
        <w:pageBreakBefore w:val="0"/>
        <w:widowControl/>
        <w:kinsoku/>
        <w:wordWrap/>
        <w:overflowPunct/>
        <w:topLinePunct w:val="0"/>
        <w:autoSpaceDE/>
        <w:autoSpaceDN/>
        <w:bidi w:val="0"/>
        <w:adjustRightInd/>
        <w:snapToGrid/>
        <w:spacing w:line="480" w:lineRule="exact"/>
        <w:ind w:firstLine="442" w:firstLineChars="200"/>
        <w:jc w:val="center"/>
        <w:textAlignment w:val="auto"/>
        <w:rPr>
          <w:rFonts w:hint="eastAsia" w:ascii="宋体" w:hAnsi="宋体" w:eastAsia="宋体" w:cs="宋体"/>
          <w:b/>
          <w:bCs/>
          <w:color w:val="auto"/>
          <w:kern w:val="0"/>
          <w:sz w:val="22"/>
          <w:szCs w:val="22"/>
          <w:highlight w:val="none"/>
        </w:rPr>
      </w:pPr>
      <w:bookmarkStart w:id="18" w:name="_Toc1955"/>
      <w:r>
        <w:rPr>
          <w:rFonts w:hint="eastAsia" w:ascii="宋体" w:hAnsi="宋体" w:eastAsia="宋体" w:cs="宋体"/>
          <w:b/>
          <w:bCs/>
          <w:color w:val="auto"/>
          <w:kern w:val="0"/>
          <w:sz w:val="22"/>
          <w:szCs w:val="22"/>
          <w:highlight w:val="none"/>
          <w:lang w:val="en-US" w:eastAsia="zh-CN"/>
        </w:rPr>
        <w:t>天台县行政事业单位</w:t>
      </w:r>
      <w:r>
        <w:rPr>
          <w:rFonts w:hint="eastAsia" w:ascii="宋体" w:hAnsi="宋体" w:cs="宋体"/>
          <w:b/>
          <w:bCs/>
          <w:color w:val="auto"/>
          <w:kern w:val="0"/>
          <w:sz w:val="22"/>
          <w:szCs w:val="22"/>
          <w:highlight w:val="none"/>
          <w:lang w:val="en-US" w:eastAsia="zh-CN"/>
        </w:rPr>
        <w:t>资金</w:t>
      </w:r>
      <w:r>
        <w:rPr>
          <w:rFonts w:hint="eastAsia" w:ascii="宋体" w:hAnsi="宋体" w:eastAsia="宋体" w:cs="宋体"/>
          <w:b/>
          <w:bCs/>
          <w:color w:val="auto"/>
          <w:kern w:val="0"/>
          <w:sz w:val="22"/>
          <w:szCs w:val="22"/>
          <w:highlight w:val="none"/>
        </w:rPr>
        <w:t>竞争性存放商业银行定期存款协议书</w:t>
      </w:r>
    </w:p>
    <w:p w14:paraId="39D6CC7F">
      <w:pPr>
        <w:pStyle w:val="6"/>
        <w:ind w:firstLine="6571" w:firstLineChars="2975"/>
        <w:rPr>
          <w:rFonts w:hint="eastAsia" w:hAnsi="宋体" w:cs="宋体"/>
          <w:b/>
          <w:bCs/>
          <w:color w:val="auto"/>
          <w:kern w:val="0"/>
          <w:sz w:val="22"/>
          <w:szCs w:val="22"/>
          <w:highlight w:val="none"/>
          <w:lang w:eastAsia="zh-CN"/>
        </w:rPr>
      </w:pPr>
    </w:p>
    <w:p w14:paraId="0607F1AA">
      <w:pPr>
        <w:pStyle w:val="6"/>
        <w:ind w:firstLine="6571" w:firstLineChars="2975"/>
        <w:rPr>
          <w:rFonts w:hint="default" w:eastAsia="宋体"/>
          <w:color w:val="auto"/>
          <w:highlight w:val="none"/>
          <w:u w:val="single"/>
          <w:lang w:val="en-US" w:eastAsia="zh-CN"/>
        </w:rPr>
      </w:pPr>
      <w:r>
        <w:rPr>
          <w:rFonts w:hint="eastAsia" w:hAnsi="宋体" w:cs="宋体"/>
          <w:b/>
          <w:bCs/>
          <w:color w:val="auto"/>
          <w:kern w:val="0"/>
          <w:sz w:val="22"/>
          <w:szCs w:val="22"/>
          <w:highlight w:val="none"/>
          <w:lang w:eastAsia="zh-CN"/>
        </w:rPr>
        <w:t>编号：</w:t>
      </w:r>
      <w:r>
        <w:rPr>
          <w:rFonts w:hint="eastAsia" w:hAnsi="宋体" w:cs="宋体"/>
          <w:b/>
          <w:bCs/>
          <w:color w:val="auto"/>
          <w:kern w:val="0"/>
          <w:sz w:val="22"/>
          <w:szCs w:val="22"/>
          <w:highlight w:val="none"/>
          <w:u w:val="single"/>
          <w:lang w:val="en-US" w:eastAsia="zh-CN"/>
        </w:rPr>
        <w:t xml:space="preserve">          </w:t>
      </w:r>
    </w:p>
    <w:p w14:paraId="68136CA4">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Times New Roman" w:hAnsi="Times New Roman" w:eastAsia="宋体"/>
          <w:i w:val="0"/>
          <w:iCs w:val="0"/>
          <w:color w:val="auto"/>
          <w:sz w:val="22"/>
          <w:szCs w:val="22"/>
          <w:highlight w:val="none"/>
          <w:u w:val="single"/>
          <w:lang w:val="en-US" w:eastAsia="zh-CN"/>
        </w:rPr>
      </w:pPr>
      <w:r>
        <w:rPr>
          <w:rFonts w:hint="eastAsia" w:ascii="宋体" w:hAnsi="宋体" w:eastAsia="宋体" w:cs="宋体"/>
          <w:color w:val="auto"/>
          <w:kern w:val="0"/>
          <w:sz w:val="22"/>
          <w:szCs w:val="22"/>
          <w:highlight w:val="none"/>
        </w:rPr>
        <w:t>甲方：</w:t>
      </w:r>
      <w:r>
        <w:rPr>
          <w:rFonts w:hint="eastAsia" w:ascii="Times New Roman" w:hAnsi="Times New Roman" w:eastAsia="宋体"/>
          <w:i w:val="0"/>
          <w:iCs w:val="0"/>
          <w:color w:val="auto"/>
          <w:sz w:val="22"/>
          <w:szCs w:val="22"/>
          <w:highlight w:val="none"/>
          <w:u w:val="single"/>
          <w:lang w:val="en-US" w:eastAsia="zh-CN"/>
        </w:rPr>
        <w:t xml:space="preserve"> </w:t>
      </w:r>
      <w:r>
        <w:rPr>
          <w:rFonts w:hint="eastAsia"/>
          <w:i w:val="0"/>
          <w:iCs w:val="0"/>
          <w:color w:val="auto"/>
          <w:sz w:val="22"/>
          <w:szCs w:val="22"/>
          <w:highlight w:val="none"/>
          <w:u w:val="single"/>
          <w:lang w:val="en-US" w:eastAsia="zh-CN"/>
        </w:rPr>
        <w:t>台州市住房公积金管理中心天台分中心</w:t>
      </w:r>
      <w:r>
        <w:rPr>
          <w:rFonts w:hint="eastAsia" w:ascii="Times New Roman" w:hAnsi="Times New Roman" w:eastAsia="宋体"/>
          <w:i w:val="0"/>
          <w:iCs w:val="0"/>
          <w:color w:val="auto"/>
          <w:sz w:val="22"/>
          <w:szCs w:val="22"/>
          <w:highlight w:val="none"/>
          <w:u w:val="single"/>
          <w:lang w:val="en-US" w:eastAsia="zh-CN"/>
        </w:rPr>
        <w:t xml:space="preserve"> </w:t>
      </w:r>
    </w:p>
    <w:p w14:paraId="02F1DB47">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cs="宋体"/>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cs="宋体"/>
          <w:color w:val="auto"/>
          <w:kern w:val="0"/>
          <w:sz w:val="22"/>
          <w:szCs w:val="22"/>
          <w:highlight w:val="none"/>
          <w:u w:val="single"/>
          <w:lang w:val="en-US" w:eastAsia="zh-CN"/>
        </w:rPr>
        <w:t xml:space="preserve"> 天台县始丰街道宝通路138号 </w:t>
      </w:r>
    </w:p>
    <w:p w14:paraId="10AAD63E">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Times New Roman" w:hAnsi="Times New Roman" w:eastAsia="宋体"/>
          <w:i w:val="0"/>
          <w:iCs w:val="0"/>
          <w:color w:val="auto"/>
          <w:sz w:val="22"/>
          <w:szCs w:val="22"/>
          <w:highlight w:val="none"/>
          <w:u w:val="single"/>
          <w:lang w:val="en-US" w:eastAsia="zh-CN"/>
        </w:rPr>
      </w:pPr>
      <w:r>
        <w:rPr>
          <w:rFonts w:hint="eastAsia" w:ascii="宋体" w:hAnsi="宋体" w:eastAsia="宋体" w:cs="宋体"/>
          <w:color w:val="auto"/>
          <w:kern w:val="0"/>
          <w:sz w:val="22"/>
          <w:szCs w:val="22"/>
          <w:highlight w:val="none"/>
        </w:rPr>
        <w:t>乙方：</w:t>
      </w:r>
      <w:r>
        <w:rPr>
          <w:rFonts w:hint="eastAsia" w:ascii="Times New Roman" w:hAnsi="Times New Roman" w:eastAsia="宋体"/>
          <w:i w:val="0"/>
          <w:iCs w:val="0"/>
          <w:color w:val="auto"/>
          <w:sz w:val="22"/>
          <w:szCs w:val="22"/>
          <w:highlight w:val="none"/>
          <w:u w:val="single"/>
          <w:lang w:val="en-US" w:eastAsia="zh-CN"/>
        </w:rPr>
        <w:t xml:space="preserve">                        </w:t>
      </w:r>
    </w:p>
    <w:p w14:paraId="3F0D6CAB">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default" w:ascii="宋体" w:hAnsi="宋体" w:eastAsia="宋体" w:cs="宋体"/>
          <w:color w:val="auto"/>
          <w:kern w:val="0"/>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cs="宋体"/>
          <w:color w:val="auto"/>
          <w:kern w:val="0"/>
          <w:sz w:val="22"/>
          <w:szCs w:val="22"/>
          <w:highlight w:val="none"/>
          <w:u w:val="single"/>
          <w:lang w:val="en-US" w:eastAsia="zh-CN"/>
        </w:rPr>
        <w:t xml:space="preserve">                         </w:t>
      </w:r>
    </w:p>
    <w:p w14:paraId="1AAC9338">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为明确双方在</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u w:val="single"/>
          <w:lang w:eastAsia="zh-CN"/>
        </w:rPr>
        <w:t>台州市住房公积金管理中心天台分中心2025年第一期资金竞争性存放招标（第二次）</w:t>
      </w:r>
      <w:r>
        <w:rPr>
          <w:rFonts w:hint="eastAsia" w:ascii="宋体" w:hAnsi="宋体" w:cs="宋体"/>
          <w:color w:val="auto"/>
          <w:kern w:val="0"/>
          <w:sz w:val="22"/>
          <w:szCs w:val="22"/>
          <w:highlight w:val="none"/>
          <w:u w:val="single"/>
          <w:lang w:val="en-US" w:eastAsia="zh-CN"/>
        </w:rPr>
        <w:t xml:space="preserve">  </w:t>
      </w:r>
      <w:r>
        <w:rPr>
          <w:rFonts w:hint="eastAsia" w:ascii="宋体" w:hAnsi="宋体" w:cs="宋体"/>
          <w:color w:val="auto"/>
          <w:kern w:val="0"/>
          <w:sz w:val="22"/>
          <w:szCs w:val="22"/>
          <w:highlight w:val="none"/>
          <w:u w:val="none"/>
          <w:lang w:eastAsia="zh-CN"/>
        </w:rPr>
        <w:t>标段</w:t>
      </w:r>
      <w:r>
        <w:rPr>
          <w:rFonts w:hint="eastAsia" w:ascii="宋体" w:hAnsi="宋体" w:cs="宋体"/>
          <w:color w:val="auto"/>
          <w:kern w:val="0"/>
          <w:sz w:val="22"/>
          <w:szCs w:val="22"/>
          <w:highlight w:val="none"/>
          <w:u w:val="single"/>
          <w:lang w:val="en-US" w:eastAsia="zh-CN"/>
        </w:rPr>
        <w:t xml:space="preserve">  一  </w:t>
      </w:r>
      <w:r>
        <w:rPr>
          <w:rFonts w:hint="eastAsia" w:ascii="宋体" w:hAnsi="宋体" w:cs="宋体"/>
          <w:color w:val="auto"/>
          <w:kern w:val="0"/>
          <w:sz w:val="22"/>
          <w:szCs w:val="22"/>
          <w:highlight w:val="none"/>
          <w:u w:val="none"/>
          <w:lang w:val="en-US" w:eastAsia="zh-CN"/>
        </w:rPr>
        <w:t>，</w:t>
      </w:r>
      <w:r>
        <w:rPr>
          <w:rFonts w:hint="eastAsia" w:ascii="宋体" w:hAnsi="宋体" w:eastAsia="宋体" w:cs="宋体"/>
          <w:color w:val="auto"/>
          <w:kern w:val="0"/>
          <w:sz w:val="22"/>
          <w:szCs w:val="22"/>
          <w:highlight w:val="none"/>
          <w:lang w:eastAsia="zh-CN"/>
        </w:rPr>
        <w:t>业务活动中的权利与义务，甲、乙双方达成本协议。</w:t>
      </w:r>
    </w:p>
    <w:p w14:paraId="6A7DD1CB">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一、总则</w:t>
      </w:r>
    </w:p>
    <w:p w14:paraId="0584E50B">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第一条  参照《中华人民共和国</w:t>
      </w:r>
      <w:r>
        <w:rPr>
          <w:rFonts w:hint="eastAsia" w:ascii="宋体" w:hAnsi="宋体" w:eastAsia="宋体" w:cs="宋体"/>
          <w:color w:val="auto"/>
          <w:kern w:val="0"/>
          <w:sz w:val="22"/>
          <w:szCs w:val="22"/>
          <w:highlight w:val="none"/>
          <w:lang w:val="en-US" w:eastAsia="zh-CN"/>
        </w:rPr>
        <w:t>民法典</w:t>
      </w:r>
      <w:r>
        <w:rPr>
          <w:rFonts w:hint="eastAsia" w:ascii="宋体" w:hAnsi="宋体" w:eastAsia="宋体" w:cs="宋体"/>
          <w:color w:val="auto"/>
          <w:kern w:val="0"/>
          <w:sz w:val="22"/>
          <w:szCs w:val="22"/>
          <w:highlight w:val="none"/>
          <w:lang w:eastAsia="zh-CN"/>
        </w:rPr>
        <w:t>》、《天台县行政事业单位公款竞争性存放</w:t>
      </w:r>
      <w:r>
        <w:rPr>
          <w:rFonts w:hint="eastAsia" w:ascii="宋体" w:hAnsi="宋体" w:cs="宋体"/>
          <w:color w:val="auto"/>
          <w:kern w:val="0"/>
          <w:sz w:val="22"/>
          <w:szCs w:val="22"/>
          <w:highlight w:val="none"/>
          <w:lang w:eastAsia="zh-CN"/>
        </w:rPr>
        <w:t>管理办法</w:t>
      </w:r>
      <w:r>
        <w:rPr>
          <w:rFonts w:hint="eastAsia" w:ascii="宋体" w:hAnsi="宋体" w:eastAsia="宋体" w:cs="宋体"/>
          <w:color w:val="auto"/>
          <w:kern w:val="0"/>
          <w:sz w:val="22"/>
          <w:szCs w:val="22"/>
          <w:highlight w:val="none"/>
          <w:lang w:eastAsia="zh-CN"/>
        </w:rPr>
        <w:t>》等相关规定，经甲、乙双方平等协商，签订本协议。</w:t>
      </w:r>
    </w:p>
    <w:p w14:paraId="212CE5F2">
      <w:pPr>
        <w:keepNext w:val="0"/>
        <w:keepLines w:val="0"/>
        <w:pageBreakBefore w:val="0"/>
        <w:widowControl/>
        <w:kinsoku/>
        <w:wordWrap/>
        <w:overflowPunct/>
        <w:topLinePunct w:val="0"/>
        <w:autoSpaceDE/>
        <w:autoSpaceDN/>
        <w:bidi w:val="0"/>
        <w:adjustRightInd/>
        <w:spacing w:line="420" w:lineRule="exact"/>
        <w:ind w:firstLine="640"/>
        <w:textAlignment w:val="auto"/>
        <w:rPr>
          <w:rFonts w:hint="eastAsia" w:ascii="宋体" w:hAnsi="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 xml:space="preserve">第二条  </w:t>
      </w:r>
      <w:r>
        <w:rPr>
          <w:rFonts w:hint="eastAsia" w:ascii="宋体" w:hAnsi="宋体" w:eastAsia="宋体" w:cs="宋体"/>
          <w:color w:val="auto"/>
          <w:kern w:val="0"/>
          <w:sz w:val="22"/>
          <w:szCs w:val="22"/>
          <w:highlight w:val="none"/>
          <w:u w:val="single"/>
          <w:lang w:eastAsia="zh-CN"/>
        </w:rPr>
        <w:t>20</w:t>
      </w:r>
      <w:r>
        <w:rPr>
          <w:rFonts w:hint="eastAsia" w:ascii="宋体" w:hAnsi="宋体" w:cs="宋体"/>
          <w:color w:val="auto"/>
          <w:kern w:val="0"/>
          <w:sz w:val="22"/>
          <w:szCs w:val="22"/>
          <w:highlight w:val="none"/>
          <w:u w:val="single"/>
          <w:lang w:val="en-US" w:eastAsia="zh-CN"/>
        </w:rPr>
        <w:t>25</w:t>
      </w:r>
      <w:r>
        <w:rPr>
          <w:rFonts w:hint="eastAsia" w:ascii="宋体" w:hAnsi="宋体" w:eastAsia="宋体" w:cs="宋体"/>
          <w:color w:val="auto"/>
          <w:kern w:val="0"/>
          <w:sz w:val="22"/>
          <w:szCs w:val="22"/>
          <w:highlight w:val="none"/>
          <w:u w:val="single"/>
          <w:lang w:eastAsia="zh-CN"/>
        </w:rPr>
        <w:t>年</w:t>
      </w:r>
      <w:r>
        <w:rPr>
          <w:rFonts w:hint="eastAsia" w:ascii="宋体" w:hAnsi="宋体" w:cs="宋体"/>
          <w:color w:val="auto"/>
          <w:kern w:val="0"/>
          <w:sz w:val="22"/>
          <w:szCs w:val="22"/>
          <w:highlight w:val="none"/>
          <w:u w:val="single"/>
          <w:lang w:eastAsia="zh-CN"/>
        </w:rPr>
        <w:t>第一</w:t>
      </w:r>
      <w:r>
        <w:rPr>
          <w:rFonts w:hint="eastAsia" w:ascii="宋体" w:hAnsi="宋体" w:cs="宋体"/>
          <w:color w:val="auto"/>
          <w:kern w:val="0"/>
          <w:sz w:val="22"/>
          <w:szCs w:val="22"/>
          <w:highlight w:val="none"/>
          <w:u w:val="single"/>
          <w:lang w:val="en-US" w:eastAsia="zh-CN"/>
        </w:rPr>
        <w:t>期</w:t>
      </w:r>
      <w:r>
        <w:rPr>
          <w:rFonts w:hint="eastAsia" w:ascii="宋体" w:hAnsi="宋体" w:eastAsia="宋体" w:cs="宋体"/>
          <w:color w:val="auto"/>
          <w:kern w:val="0"/>
          <w:sz w:val="22"/>
          <w:szCs w:val="22"/>
          <w:highlight w:val="none"/>
          <w:lang w:eastAsia="zh-CN"/>
        </w:rPr>
        <w:t>，甲方通过招投标方式择优确定</w:t>
      </w:r>
      <w:r>
        <w:rPr>
          <w:rFonts w:hint="eastAsia" w:ascii="宋体" w:hAnsi="宋体" w:cs="宋体"/>
          <w:color w:val="auto"/>
          <w:kern w:val="0"/>
          <w:sz w:val="22"/>
          <w:szCs w:val="22"/>
          <w:highlight w:val="none"/>
          <w:lang w:eastAsia="zh-CN"/>
        </w:rPr>
        <w:t>资金竞争性存放的定期存款银行，其定期存款有关的资金管理、本息收回等活动适用本协议。</w:t>
      </w:r>
    </w:p>
    <w:p w14:paraId="77431F70">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第三条  经招投标确定，甲方在乙方开立定期存款账户，存入</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cs="宋体"/>
          <w:color w:val="auto"/>
          <w:kern w:val="0"/>
          <w:sz w:val="22"/>
          <w:szCs w:val="22"/>
          <w:highlight w:val="none"/>
          <w:u w:val="single"/>
          <w:lang w:val="en-US" w:eastAsia="zh-CN"/>
        </w:rPr>
        <w:t xml:space="preserve">  </w:t>
      </w:r>
      <w:r>
        <w:rPr>
          <w:rFonts w:hint="eastAsia" w:ascii="宋体" w:hAnsi="宋体" w:eastAsia="宋体" w:cs="宋体"/>
          <w:color w:val="auto"/>
          <w:kern w:val="0"/>
          <w:sz w:val="22"/>
          <w:szCs w:val="22"/>
          <w:highlight w:val="none"/>
          <w:lang w:eastAsia="zh-CN"/>
        </w:rPr>
        <w:t>个月定期存款</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万元，按人民银行同期限基准利率上浮</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BP，</w:t>
      </w:r>
      <w:r>
        <w:rPr>
          <w:rFonts w:hint="eastAsia" w:ascii="宋体" w:hAnsi="宋体" w:cs="宋体"/>
          <w:color w:val="auto"/>
          <w:kern w:val="0"/>
          <w:sz w:val="22"/>
          <w:szCs w:val="22"/>
          <w:highlight w:val="none"/>
          <w:lang w:eastAsia="zh-CN"/>
        </w:rPr>
        <w:t>年利率</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eastAsia="zh-CN"/>
        </w:rPr>
        <w:t>，到期计付利息。</w:t>
      </w:r>
    </w:p>
    <w:p w14:paraId="6C1EE733">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二、甲方权利与义务</w:t>
      </w:r>
    </w:p>
    <w:p w14:paraId="2BC2D4E7">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（一）监督乙方履行本协议；</w:t>
      </w:r>
    </w:p>
    <w:p w14:paraId="4EC314C9">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（二）要求乙方提供存款证明；</w:t>
      </w:r>
    </w:p>
    <w:p w14:paraId="1D9B79B9">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（三）对乙方定期存款业务实施监督管理；</w:t>
      </w:r>
    </w:p>
    <w:p w14:paraId="7F9E6BFC">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 xml:space="preserve">（四）按规定在乙方办理定期存款存放； </w:t>
      </w:r>
    </w:p>
    <w:p w14:paraId="5FC3A7D0">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（五）及时与乙方核对账务。</w:t>
      </w:r>
    </w:p>
    <w:p w14:paraId="6B573035">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三、乙方权利与义务</w:t>
      </w:r>
    </w:p>
    <w:p w14:paraId="0835D5EC">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 xml:space="preserve">（一）按中标金额取得甲方定期存款； </w:t>
      </w:r>
      <w:r>
        <w:rPr>
          <w:rFonts w:hint="eastAsia" w:ascii="宋体" w:hAnsi="宋体" w:cs="宋体"/>
          <w:color w:val="auto"/>
          <w:kern w:val="0"/>
          <w:sz w:val="22"/>
          <w:szCs w:val="22"/>
          <w:highlight w:val="none"/>
          <w:lang w:val="en-US" w:eastAsia="zh-CN"/>
        </w:rPr>
        <w:t xml:space="preserve"> </w:t>
      </w:r>
    </w:p>
    <w:p w14:paraId="2BA5DDA0">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二</w:t>
      </w:r>
      <w:r>
        <w:rPr>
          <w:rFonts w:hint="eastAsia" w:ascii="宋体" w:hAnsi="宋体" w:eastAsia="宋体" w:cs="宋体"/>
          <w:color w:val="auto"/>
          <w:kern w:val="0"/>
          <w:sz w:val="22"/>
          <w:szCs w:val="22"/>
          <w:highlight w:val="none"/>
          <w:lang w:eastAsia="zh-CN"/>
        </w:rPr>
        <w:t xml:space="preserve">）存款到期及时足额缴清甲方存款本息； </w:t>
      </w:r>
    </w:p>
    <w:p w14:paraId="436A7E4B">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三</w:t>
      </w:r>
      <w:r>
        <w:rPr>
          <w:rFonts w:hint="eastAsia" w:ascii="宋体" w:hAnsi="宋体" w:eastAsia="宋体" w:cs="宋体"/>
          <w:color w:val="auto"/>
          <w:kern w:val="0"/>
          <w:sz w:val="22"/>
          <w:szCs w:val="22"/>
          <w:highlight w:val="none"/>
          <w:lang w:eastAsia="zh-CN"/>
        </w:rPr>
        <w:t>）专户定期存款到期日</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eastAsia="zh-CN"/>
        </w:rPr>
        <w:t>遇节假日顺延</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eastAsia="zh-CN"/>
        </w:rPr>
        <w:t>，乙方应将存款本金和利息于当日分别按规定路径划汇至指定专户，并于到期日起3个工作日内向甲方送达存款支取和计息业务凭证（回单）</w:t>
      </w:r>
      <w:r>
        <w:rPr>
          <w:rFonts w:hint="eastAsia" w:ascii="宋体" w:hAnsi="宋体" w:cs="宋体"/>
          <w:color w:val="auto"/>
          <w:kern w:val="0"/>
          <w:sz w:val="22"/>
          <w:szCs w:val="22"/>
          <w:highlight w:val="none"/>
          <w:lang w:eastAsia="zh-CN"/>
        </w:rPr>
        <w:t>；</w:t>
      </w:r>
    </w:p>
    <w:p w14:paraId="52634654">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四</w:t>
      </w:r>
      <w:r>
        <w:rPr>
          <w:rFonts w:hint="eastAsia" w:ascii="宋体" w:hAnsi="宋体" w:eastAsia="宋体" w:cs="宋体"/>
          <w:color w:val="auto"/>
          <w:kern w:val="0"/>
          <w:sz w:val="22"/>
          <w:szCs w:val="22"/>
          <w:highlight w:val="none"/>
          <w:lang w:eastAsia="zh-CN"/>
        </w:rPr>
        <w:t xml:space="preserve">）确保甲方定期存款在乙方存续期间的资金安全； </w:t>
      </w:r>
    </w:p>
    <w:p w14:paraId="1AD7BC1F">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五</w:t>
      </w:r>
      <w:r>
        <w:rPr>
          <w:rFonts w:hint="eastAsia" w:ascii="宋体" w:hAnsi="宋体" w:eastAsia="宋体" w:cs="宋体"/>
          <w:color w:val="auto"/>
          <w:kern w:val="0"/>
          <w:sz w:val="22"/>
          <w:szCs w:val="22"/>
          <w:highlight w:val="none"/>
          <w:lang w:eastAsia="zh-CN"/>
        </w:rPr>
        <w:t xml:space="preserve">）接受甲方对定期存款业务的监督管理； </w:t>
      </w:r>
    </w:p>
    <w:p w14:paraId="2D9713A2">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六</w:t>
      </w:r>
      <w:r>
        <w:rPr>
          <w:rFonts w:hint="eastAsia" w:ascii="宋体" w:hAnsi="宋体" w:eastAsia="宋体" w:cs="宋体"/>
          <w:color w:val="auto"/>
          <w:kern w:val="0"/>
          <w:sz w:val="22"/>
          <w:szCs w:val="22"/>
          <w:highlight w:val="none"/>
          <w:lang w:eastAsia="zh-CN"/>
        </w:rPr>
        <w:t>）及时与甲方核对账务。</w:t>
      </w:r>
    </w:p>
    <w:p w14:paraId="2B404187">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 xml:space="preserve">四、违约责任 </w:t>
      </w:r>
    </w:p>
    <w:p w14:paraId="77D507A5">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除发生不可抗力外，违约责任按以下条款执行：</w:t>
      </w:r>
    </w:p>
    <w:p w14:paraId="5513288D">
      <w:pPr>
        <w:keepNext w:val="0"/>
        <w:keepLines w:val="0"/>
        <w:pageBreakBefore w:val="0"/>
        <w:widowControl/>
        <w:numPr>
          <w:ilvl w:val="0"/>
          <w:numId w:val="3"/>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甲方未及时办理资金存放，应按未划拨资金额，以当期存款协议中定期存款利率的两倍折成日利率，按日向乙方支付违约金。</w:t>
      </w:r>
    </w:p>
    <w:p w14:paraId="3D57EC97">
      <w:pPr>
        <w:keepNext w:val="0"/>
        <w:keepLines w:val="0"/>
        <w:pageBreakBefore w:val="0"/>
        <w:widowControl/>
        <w:numPr>
          <w:ilvl w:val="0"/>
          <w:numId w:val="3"/>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乙方对通过投标取得的定期存款在存续期间不得提前终止。若提前终止，存期利息按其中标的定期存款利率按日折算</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eastAsia="zh-CN"/>
        </w:rPr>
        <w:t>并处以已计利息的一倍罚息</w:t>
      </w:r>
      <w:r>
        <w:rPr>
          <w:rFonts w:hint="eastAsia" w:ascii="宋体" w:hAnsi="宋体" w:cs="宋体"/>
          <w:color w:val="auto"/>
          <w:kern w:val="0"/>
          <w:sz w:val="22"/>
          <w:szCs w:val="22"/>
          <w:highlight w:val="none"/>
          <w:lang w:eastAsia="zh-CN"/>
        </w:rPr>
        <w:t>。</w:t>
      </w:r>
    </w:p>
    <w:p w14:paraId="485975A5">
      <w:pPr>
        <w:keepNext w:val="0"/>
        <w:keepLines w:val="0"/>
        <w:pageBreakBefore w:val="0"/>
        <w:widowControl/>
        <w:numPr>
          <w:ilvl w:val="0"/>
          <w:numId w:val="3"/>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xml:space="preserve">乙方未及时向甲方缴清到期存款本息的，应以当期定期存款利率的两倍折成日利率，按日向甲方支付违约金。 </w:t>
      </w:r>
    </w:p>
    <w:p w14:paraId="55F796BA">
      <w:pPr>
        <w:keepNext w:val="0"/>
        <w:keepLines w:val="0"/>
        <w:pageBreakBefore w:val="0"/>
        <w:widowControl/>
        <w:numPr>
          <w:ilvl w:val="0"/>
          <w:numId w:val="3"/>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xml:space="preserve">乙方有下列情形之一的，甲方应当提前收回定期存款： </w:t>
      </w:r>
    </w:p>
    <w:p w14:paraId="76EBF0D1">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1.一年内未按规定及时汇划到期本息违约两次及以上；或涉及金额较大的；</w:t>
      </w:r>
    </w:p>
    <w:p w14:paraId="2D456061">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2.出现资金安全事故、重大违法违规，导致财务恶化或引起信用危机的；</w:t>
      </w:r>
    </w:p>
    <w:p w14:paraId="4046D2A1">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3.监管评级降低，人行评级降至B级以下；</w:t>
      </w:r>
    </w:p>
    <w:p w14:paraId="5F789D98">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4.未遵守廉政承诺或者在资金存放中存在其他利益输送行为的；</w:t>
      </w:r>
    </w:p>
    <w:p w14:paraId="58A60E88">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5.未按照存款协议履行相应的责任和义务的；</w:t>
      </w:r>
    </w:p>
    <w:p w14:paraId="46055014">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6.存在弄虚作假等严重不正当竞争行为的；</w:t>
      </w:r>
    </w:p>
    <w:p w14:paraId="6D331B32">
      <w:pPr>
        <w:keepNext w:val="0"/>
        <w:keepLines w:val="0"/>
        <w:pageBreakBefore w:val="0"/>
        <w:widowControl/>
        <w:numPr>
          <w:ilvl w:val="0"/>
          <w:numId w:val="0"/>
        </w:numPr>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7.可能危及资金安全的其他情况。</w:t>
      </w:r>
    </w:p>
    <w:p w14:paraId="59096299">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五、提前支取</w:t>
      </w:r>
    </w:p>
    <w:p w14:paraId="37CBB911">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经与乙方协商，甲方有权在到期日前提前支取定期存款，甲方至少应在5个工作日前通知乙方，提前支取金额</w:t>
      </w:r>
      <w:r>
        <w:rPr>
          <w:rFonts w:hint="eastAsia" w:ascii="宋体" w:hAnsi="宋体" w:cs="宋体"/>
          <w:color w:val="auto"/>
          <w:kern w:val="0"/>
          <w:sz w:val="22"/>
          <w:szCs w:val="22"/>
          <w:highlight w:val="none"/>
          <w:lang w:eastAsia="zh-CN"/>
        </w:rPr>
        <w:t>按支取时国家有关利率政策计付利息，</w:t>
      </w:r>
      <w:r>
        <w:rPr>
          <w:rFonts w:hint="eastAsia" w:ascii="宋体" w:hAnsi="宋体" w:eastAsia="宋体" w:cs="宋体"/>
          <w:color w:val="auto"/>
          <w:kern w:val="0"/>
          <w:sz w:val="22"/>
          <w:szCs w:val="22"/>
          <w:highlight w:val="none"/>
          <w:lang w:eastAsia="zh-CN"/>
        </w:rPr>
        <w:t>存续金额仍按原起息日、期限及存款利率计付利息。</w:t>
      </w:r>
    </w:p>
    <w:p w14:paraId="6E8958AC">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六、特殊事项</w:t>
      </w:r>
    </w:p>
    <w:p w14:paraId="4146F3B1">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七、</w:t>
      </w:r>
      <w:r>
        <w:rPr>
          <w:rFonts w:hint="eastAsia" w:ascii="宋体" w:hAnsi="宋体" w:eastAsia="宋体" w:cs="宋体"/>
          <w:b/>
          <w:bCs/>
          <w:color w:val="auto"/>
          <w:kern w:val="0"/>
          <w:sz w:val="22"/>
          <w:szCs w:val="22"/>
          <w:highlight w:val="none"/>
          <w:lang w:eastAsia="zh-CN"/>
        </w:rPr>
        <w:t>协议期限</w:t>
      </w:r>
    </w:p>
    <w:p w14:paraId="1ED271C6">
      <w:pPr>
        <w:keepNext w:val="0"/>
        <w:keepLines w:val="0"/>
        <w:pageBreakBefore w:val="0"/>
        <w:widowControl/>
        <w:kinsoku/>
        <w:wordWrap/>
        <w:overflowPunct/>
        <w:topLinePunct w:val="0"/>
        <w:autoSpaceDE/>
        <w:autoSpaceDN/>
        <w:bidi w:val="0"/>
        <w:adjustRightInd/>
        <w:snapToGrid/>
        <w:spacing w:line="42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本协议期限自</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年</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月</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日起至</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年</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月</w:t>
      </w:r>
      <w:r>
        <w:rPr>
          <w:rFonts w:hint="eastAsia" w:ascii="宋体" w:hAnsi="宋体" w:eastAsia="宋体" w:cs="宋体"/>
          <w:color w:val="auto"/>
          <w:kern w:val="0"/>
          <w:sz w:val="22"/>
          <w:szCs w:val="22"/>
          <w:highlight w:val="none"/>
          <w:u w:val="single"/>
          <w:lang w:eastAsia="zh-CN"/>
        </w:rPr>
        <w:t xml:space="preserve">    </w:t>
      </w:r>
      <w:r>
        <w:rPr>
          <w:rFonts w:hint="eastAsia" w:ascii="宋体" w:hAnsi="宋体" w:eastAsia="宋体" w:cs="宋体"/>
          <w:color w:val="auto"/>
          <w:kern w:val="0"/>
          <w:sz w:val="22"/>
          <w:szCs w:val="22"/>
          <w:highlight w:val="none"/>
          <w:lang w:eastAsia="zh-CN"/>
        </w:rPr>
        <w:t>日止。</w:t>
      </w:r>
    </w:p>
    <w:p w14:paraId="1AAF1203">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八、</w:t>
      </w:r>
      <w:r>
        <w:rPr>
          <w:rFonts w:hint="eastAsia" w:ascii="宋体" w:hAnsi="宋体" w:eastAsia="宋体" w:cs="宋体"/>
          <w:b/>
          <w:bCs/>
          <w:color w:val="auto"/>
          <w:kern w:val="0"/>
          <w:sz w:val="22"/>
          <w:szCs w:val="22"/>
          <w:highlight w:val="none"/>
          <w:lang w:val="en-US" w:eastAsia="zh-CN"/>
        </w:rPr>
        <w:t>本协议自甲、乙双方签字盖章之日起生效。</w:t>
      </w:r>
    </w:p>
    <w:p w14:paraId="2A0BFCAB">
      <w:pPr>
        <w:keepNext w:val="0"/>
        <w:keepLines w:val="0"/>
        <w:pageBreakBefore w:val="0"/>
        <w:widowControl/>
        <w:kinsoku/>
        <w:wordWrap/>
        <w:overflowPunct/>
        <w:topLinePunct w:val="0"/>
        <w:autoSpaceDE/>
        <w:autoSpaceDN/>
        <w:bidi w:val="0"/>
        <w:adjustRightInd/>
        <w:snapToGrid/>
        <w:spacing w:line="420" w:lineRule="exact"/>
        <w:ind w:firstLine="442" w:firstLineChars="200"/>
        <w:jc w:val="left"/>
        <w:textAlignment w:val="auto"/>
        <w:rPr>
          <w:rFonts w:hint="eastAsia" w:ascii="宋体" w:hAnsi="宋体" w:eastAsia="宋体" w:cs="宋体"/>
          <w:color w:val="auto"/>
          <w:kern w:val="0"/>
          <w:sz w:val="22"/>
          <w:szCs w:val="22"/>
          <w:highlight w:val="none"/>
          <w:u w:val="none"/>
          <w:lang w:eastAsia="zh-CN"/>
        </w:rPr>
      </w:pPr>
      <w:r>
        <w:rPr>
          <w:rFonts w:hint="eastAsia" w:ascii="宋体" w:hAnsi="宋体" w:cs="宋体"/>
          <w:b/>
          <w:bCs/>
          <w:color w:val="auto"/>
          <w:kern w:val="0"/>
          <w:sz w:val="22"/>
          <w:szCs w:val="22"/>
          <w:highlight w:val="none"/>
          <w:lang w:eastAsia="zh-CN"/>
        </w:rPr>
        <w:t>九、</w:t>
      </w:r>
      <w:r>
        <w:rPr>
          <w:rFonts w:hint="eastAsia" w:ascii="宋体" w:hAnsi="宋体" w:eastAsia="宋体" w:cs="宋体"/>
          <w:b/>
          <w:bCs/>
          <w:color w:val="auto"/>
          <w:kern w:val="0"/>
          <w:sz w:val="22"/>
          <w:szCs w:val="22"/>
          <w:highlight w:val="none"/>
          <w:lang w:eastAsia="zh-CN"/>
        </w:rPr>
        <w:t>本协议一式二份，甲乙双方各执一份，具有同等法律效力。</w:t>
      </w:r>
      <w:r>
        <w:rPr>
          <w:rFonts w:hint="eastAsia" w:ascii="宋体" w:hAnsi="宋体" w:eastAsia="宋体" w:cs="宋体"/>
          <w:color w:val="auto"/>
          <w:kern w:val="0"/>
          <w:sz w:val="22"/>
          <w:szCs w:val="22"/>
          <w:highlight w:val="none"/>
          <w:lang w:eastAsia="zh-CN"/>
        </w:rPr>
        <w:t>执行中如对本协议产生争议，通过协商解决。双方不能协商解决</w:t>
      </w:r>
      <w:r>
        <w:rPr>
          <w:rFonts w:hint="eastAsia" w:ascii="宋体" w:hAnsi="宋体" w:eastAsia="宋体" w:cs="宋体"/>
          <w:color w:val="auto"/>
          <w:kern w:val="0"/>
          <w:sz w:val="22"/>
          <w:szCs w:val="22"/>
          <w:highlight w:val="none"/>
          <w:u w:val="none"/>
          <w:lang w:eastAsia="zh-CN"/>
        </w:rPr>
        <w:t>的，提交</w:t>
      </w:r>
      <w:r>
        <w:rPr>
          <w:rFonts w:hint="eastAsia" w:ascii="宋体" w:hAnsi="宋体" w:cs="宋体"/>
          <w:color w:val="auto"/>
          <w:kern w:val="0"/>
          <w:sz w:val="22"/>
          <w:szCs w:val="22"/>
          <w:highlight w:val="none"/>
          <w:u w:val="none"/>
          <w:lang w:val="en-US" w:eastAsia="zh-CN"/>
        </w:rPr>
        <w:t>天台县人民法院起诉</w:t>
      </w:r>
      <w:r>
        <w:rPr>
          <w:rFonts w:hint="eastAsia" w:ascii="宋体" w:hAnsi="宋体" w:eastAsia="宋体" w:cs="宋体"/>
          <w:color w:val="auto"/>
          <w:kern w:val="0"/>
          <w:sz w:val="22"/>
          <w:szCs w:val="22"/>
          <w:highlight w:val="none"/>
          <w:u w:val="none"/>
          <w:lang w:eastAsia="zh-CN"/>
        </w:rPr>
        <w:t>。</w:t>
      </w:r>
    </w:p>
    <w:p w14:paraId="6EC24FAC">
      <w:pPr>
        <w:pStyle w:val="6"/>
        <w:keepNext w:val="0"/>
        <w:keepLines w:val="0"/>
        <w:pageBreakBefore w:val="0"/>
        <w:kinsoku/>
        <w:wordWrap/>
        <w:overflowPunct/>
        <w:topLinePunct w:val="0"/>
        <w:autoSpaceDE/>
        <w:autoSpaceDN/>
        <w:bidi w:val="0"/>
        <w:adjustRightInd/>
        <w:spacing w:line="420" w:lineRule="exact"/>
        <w:textAlignment w:val="auto"/>
        <w:rPr>
          <w:rFonts w:hint="eastAsia"/>
          <w:color w:val="auto"/>
          <w:highlight w:val="none"/>
          <w:lang w:eastAsia="zh-CN"/>
        </w:rPr>
      </w:pPr>
    </w:p>
    <w:p w14:paraId="20DF6725">
      <w:pPr>
        <w:rPr>
          <w:rFonts w:hint="eastAsia"/>
          <w:color w:val="auto"/>
          <w:lang w:eastAsia="zh-CN"/>
        </w:rPr>
      </w:pPr>
    </w:p>
    <w:p w14:paraId="4C560228">
      <w:pPr>
        <w:keepNext w:val="0"/>
        <w:keepLines w:val="0"/>
        <w:pageBreakBefore w:val="0"/>
        <w:widowControl/>
        <w:kinsoku/>
        <w:wordWrap/>
        <w:overflowPunct/>
        <w:topLinePunct w:val="0"/>
        <w:autoSpaceDE/>
        <w:autoSpaceDN/>
        <w:bidi w:val="0"/>
        <w:adjustRightInd/>
        <w:snapToGrid/>
        <w:spacing w:line="60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甲</w:t>
      </w:r>
      <w:r>
        <w:rPr>
          <w:rFonts w:hint="eastAsia" w:ascii="宋体" w:hAnsi="宋体" w:eastAsia="宋体" w:cs="宋体"/>
          <w:color w:val="auto"/>
          <w:kern w:val="0"/>
          <w:sz w:val="22"/>
          <w:szCs w:val="22"/>
          <w:highlight w:val="none"/>
          <w:lang w:eastAsia="zh-CN"/>
        </w:rPr>
        <w:t xml:space="preserve">方（盖章）：                            </w:t>
      </w: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eastAsia="zh-CN"/>
        </w:rPr>
        <w:t xml:space="preserve"> 乙方（盖章）：        </w:t>
      </w:r>
    </w:p>
    <w:p w14:paraId="4BB20AF2">
      <w:pPr>
        <w:keepNext w:val="0"/>
        <w:keepLines w:val="0"/>
        <w:pageBreakBefore w:val="0"/>
        <w:widowControl/>
        <w:kinsoku/>
        <w:wordWrap/>
        <w:overflowPunct/>
        <w:topLinePunct w:val="0"/>
        <w:autoSpaceDE/>
        <w:autoSpaceDN/>
        <w:bidi w:val="0"/>
        <w:adjustRightInd/>
        <w:snapToGrid/>
        <w:spacing w:line="60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甲方代表（签字）：</w:t>
      </w:r>
      <w:r>
        <w:rPr>
          <w:rFonts w:hint="eastAsia" w:ascii="宋体" w:hAnsi="宋体" w:eastAsia="宋体" w:cs="宋体"/>
          <w:color w:val="auto"/>
          <w:kern w:val="0"/>
          <w:sz w:val="22"/>
          <w:szCs w:val="22"/>
          <w:highlight w:val="none"/>
          <w:lang w:eastAsia="zh-CN"/>
        </w:rPr>
        <w:t xml:space="preserve">                        </w:t>
      </w:r>
      <w:r>
        <w:rPr>
          <w:rFonts w:hint="eastAsia" w:ascii="宋体" w:hAnsi="宋体" w:cs="宋体"/>
          <w:color w:val="auto"/>
          <w:kern w:val="0"/>
          <w:sz w:val="22"/>
          <w:szCs w:val="22"/>
          <w:highlight w:val="none"/>
          <w:lang w:val="en-US" w:eastAsia="zh-CN"/>
        </w:rPr>
        <w:t xml:space="preserve">  </w:t>
      </w:r>
      <w:r>
        <w:rPr>
          <w:rFonts w:hint="eastAsia" w:ascii="宋体" w:hAnsi="宋体" w:cs="宋体"/>
          <w:color w:val="auto"/>
          <w:kern w:val="0"/>
          <w:sz w:val="22"/>
          <w:szCs w:val="22"/>
          <w:highlight w:val="none"/>
          <w:lang w:eastAsia="zh-CN"/>
        </w:rPr>
        <w:t>乙方代表（签字）：</w:t>
      </w:r>
      <w:r>
        <w:rPr>
          <w:rFonts w:hint="eastAsia" w:ascii="宋体" w:hAnsi="宋体" w:eastAsia="宋体" w:cs="宋体"/>
          <w:color w:val="auto"/>
          <w:kern w:val="0"/>
          <w:sz w:val="22"/>
          <w:szCs w:val="22"/>
          <w:highlight w:val="none"/>
          <w:lang w:eastAsia="zh-CN"/>
        </w:rPr>
        <w:t xml:space="preserve">   </w:t>
      </w:r>
    </w:p>
    <w:p w14:paraId="285943AC">
      <w:pPr>
        <w:keepNext w:val="0"/>
        <w:keepLines w:val="0"/>
        <w:pageBreakBefore w:val="0"/>
        <w:widowControl/>
        <w:kinsoku/>
        <w:wordWrap/>
        <w:overflowPunct/>
        <w:topLinePunct w:val="0"/>
        <w:autoSpaceDE/>
        <w:autoSpaceDN/>
        <w:bidi w:val="0"/>
        <w:adjustRightInd/>
        <w:snapToGrid w:val="0"/>
        <w:spacing w:line="600" w:lineRule="exact"/>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 xml:space="preserve">年   月   日                          </w:t>
      </w:r>
      <w:r>
        <w:rPr>
          <w:rFonts w:hint="eastAsia" w:ascii="宋体" w:hAnsi="宋体" w:cs="宋体"/>
          <w:color w:val="auto"/>
          <w:kern w:val="0"/>
          <w:sz w:val="22"/>
          <w:szCs w:val="22"/>
          <w:highlight w:val="none"/>
          <w:lang w:val="en-US" w:eastAsia="zh-CN"/>
        </w:rPr>
        <w:t xml:space="preserve">   </w:t>
      </w:r>
      <w:r>
        <w:rPr>
          <w:rFonts w:hint="eastAsia" w:ascii="宋体" w:hAnsi="宋体" w:eastAsia="宋体" w:cs="宋体"/>
          <w:color w:val="auto"/>
          <w:kern w:val="0"/>
          <w:sz w:val="22"/>
          <w:szCs w:val="22"/>
          <w:highlight w:val="none"/>
          <w:lang w:eastAsia="zh-CN"/>
        </w:rPr>
        <w:t xml:space="preserve">   年   月   日</w:t>
      </w:r>
    </w:p>
    <w:p w14:paraId="3B68B3B4">
      <w:pPr>
        <w:rPr>
          <w:rStyle w:val="24"/>
          <w:rFonts w:hint="eastAsia" w:ascii="Times New Roman" w:hAnsi="Times New Roman" w:cs="Times New Roman"/>
          <w:color w:val="auto"/>
          <w:highlight w:val="none"/>
        </w:rPr>
      </w:pPr>
      <w:r>
        <w:rPr>
          <w:rStyle w:val="24"/>
          <w:rFonts w:hint="eastAsia" w:ascii="Times New Roman" w:hAnsi="Times New Roman" w:cs="Times New Roman"/>
          <w:color w:val="auto"/>
          <w:highlight w:val="none"/>
        </w:rPr>
        <w:br w:type="page"/>
      </w:r>
    </w:p>
    <w:p w14:paraId="73A79D60">
      <w:pPr>
        <w:jc w:val="center"/>
        <w:rPr>
          <w:rStyle w:val="24"/>
          <w:rFonts w:hint="eastAsia"/>
          <w:color w:val="auto"/>
          <w:highlight w:val="none"/>
          <w:lang w:eastAsia="zh-CN"/>
        </w:rPr>
      </w:pPr>
      <w:bookmarkStart w:id="19" w:name="_Toc8979"/>
      <w:r>
        <w:rPr>
          <w:rStyle w:val="24"/>
          <w:rFonts w:hint="eastAsia"/>
          <w:color w:val="auto"/>
          <w:highlight w:val="none"/>
          <w:lang w:eastAsia="zh-CN"/>
        </w:rPr>
        <w:t>第四章  招标内容及需求</w:t>
      </w:r>
      <w:bookmarkEnd w:id="16"/>
      <w:bookmarkEnd w:id="18"/>
    </w:p>
    <w:bookmarkEnd w:id="19"/>
    <w:p w14:paraId="54BED26F">
      <w:pPr>
        <w:pStyle w:val="3"/>
        <w:bidi w:val="0"/>
        <w:jc w:val="left"/>
        <w:rPr>
          <w:rFonts w:hint="default"/>
          <w:color w:val="auto"/>
          <w:highlight w:val="none"/>
          <w:lang w:val="en-US" w:eastAsia="zh-CN"/>
        </w:rPr>
      </w:pPr>
      <w:bookmarkStart w:id="20" w:name="_Toc6814"/>
      <w:bookmarkStart w:id="21" w:name="_Toc27459"/>
      <w:r>
        <w:rPr>
          <w:rFonts w:hint="eastAsia"/>
          <w:color w:val="auto"/>
          <w:highlight w:val="none"/>
          <w:lang w:val="en-US" w:eastAsia="zh-CN"/>
        </w:rPr>
        <w:t>一、项目概况</w:t>
      </w:r>
    </w:p>
    <w:p w14:paraId="4DF94D82">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为了提高资金效益，切实防范</w:t>
      </w:r>
      <w:r>
        <w:rPr>
          <w:rFonts w:hint="eastAsia" w:ascii="宋体" w:hAnsi="宋体" w:cs="宋体"/>
          <w:color w:val="auto"/>
          <w:sz w:val="22"/>
          <w:szCs w:val="22"/>
          <w:highlight w:val="none"/>
          <w:lang w:eastAsia="zh-CN"/>
        </w:rPr>
        <w:t>资金</w:t>
      </w:r>
      <w:r>
        <w:rPr>
          <w:rFonts w:hint="eastAsia" w:ascii="宋体" w:hAnsi="宋体" w:eastAsia="宋体" w:cs="宋体"/>
          <w:color w:val="auto"/>
          <w:sz w:val="22"/>
          <w:szCs w:val="22"/>
          <w:highlight w:val="none"/>
        </w:rPr>
        <w:t>存放方面的利益输送行为，根据《天台县人民政府办公室关于印发天台县行政事业单位公款竞争性存放管理办法的通知》（天政办发〔20</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〕23号）、《天台县财政局关于印发天台县县级财政专户资金竞争性存放商业银行定期存款业务操作规程的通知》（天财预执〔20</w:t>
      </w: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rPr>
        <w:t>〕6号</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等相关规定精神，本着公开、公平、公正、竞争、效益的原则，决定开展</w:t>
      </w:r>
      <w:r>
        <w:rPr>
          <w:rFonts w:hint="eastAsia" w:ascii="宋体" w:hAnsi="宋体" w:cs="宋体"/>
          <w:color w:val="auto"/>
          <w:sz w:val="22"/>
          <w:szCs w:val="22"/>
          <w:highlight w:val="none"/>
          <w:lang w:eastAsia="zh-CN"/>
        </w:rPr>
        <w:t>资金</w:t>
      </w:r>
      <w:r>
        <w:rPr>
          <w:rFonts w:hint="eastAsia" w:ascii="宋体" w:hAnsi="宋体" w:eastAsia="宋体" w:cs="宋体"/>
          <w:color w:val="auto"/>
          <w:sz w:val="22"/>
          <w:szCs w:val="22"/>
          <w:highlight w:val="none"/>
        </w:rPr>
        <w:t>竞争性存放招标工作，欢迎符合条件的银行机构参加投标。</w:t>
      </w:r>
    </w:p>
    <w:tbl>
      <w:tblPr>
        <w:tblStyle w:val="20"/>
        <w:tblW w:w="94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15"/>
        <w:gridCol w:w="1565"/>
        <w:gridCol w:w="1125"/>
        <w:gridCol w:w="91"/>
        <w:gridCol w:w="698"/>
        <w:gridCol w:w="4014"/>
      </w:tblGrid>
      <w:tr w14:paraId="2A7EF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15" w:type="dxa"/>
            <w:tcBorders>
              <w:tl2br w:val="nil"/>
              <w:tr2bl w:val="nil"/>
            </w:tcBorders>
            <w:vAlign w:val="center"/>
          </w:tcPr>
          <w:p w14:paraId="6EC67A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标段</w:t>
            </w:r>
          </w:p>
        </w:tc>
        <w:tc>
          <w:tcPr>
            <w:tcW w:w="1215" w:type="dxa"/>
            <w:tcBorders>
              <w:tl2br w:val="nil"/>
              <w:tr2bl w:val="nil"/>
            </w:tcBorders>
            <w:vAlign w:val="center"/>
          </w:tcPr>
          <w:p w14:paraId="592E66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招标内容</w:t>
            </w:r>
          </w:p>
        </w:tc>
        <w:tc>
          <w:tcPr>
            <w:tcW w:w="1565" w:type="dxa"/>
            <w:tcBorders>
              <w:tl2br w:val="nil"/>
              <w:tr2bl w:val="nil"/>
            </w:tcBorders>
            <w:vAlign w:val="center"/>
          </w:tcPr>
          <w:p w14:paraId="4CD1B8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存放资金金额</w:t>
            </w:r>
          </w:p>
        </w:tc>
        <w:tc>
          <w:tcPr>
            <w:tcW w:w="1125" w:type="dxa"/>
            <w:tcBorders>
              <w:tl2br w:val="nil"/>
              <w:tr2bl w:val="nil"/>
            </w:tcBorders>
            <w:vAlign w:val="center"/>
          </w:tcPr>
          <w:p w14:paraId="19A6DD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存放期限</w:t>
            </w:r>
          </w:p>
        </w:tc>
        <w:tc>
          <w:tcPr>
            <w:tcW w:w="789" w:type="dxa"/>
            <w:gridSpan w:val="2"/>
            <w:tcBorders>
              <w:tl2br w:val="nil"/>
              <w:tr2bl w:val="nil"/>
            </w:tcBorders>
            <w:vAlign w:val="center"/>
          </w:tcPr>
          <w:p w14:paraId="5A27FD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cs="宋体"/>
                <w:b/>
                <w:bCs/>
                <w:color w:val="auto"/>
                <w:sz w:val="22"/>
                <w:szCs w:val="22"/>
                <w:highlight w:val="none"/>
                <w:vertAlign w:val="baseline"/>
                <w:lang w:val="en-US" w:eastAsia="zh-CN"/>
              </w:rPr>
              <w:t>中标数量</w:t>
            </w:r>
          </w:p>
        </w:tc>
        <w:tc>
          <w:tcPr>
            <w:tcW w:w="4014" w:type="dxa"/>
            <w:tcBorders>
              <w:tl2br w:val="nil"/>
              <w:tr2bl w:val="nil"/>
            </w:tcBorders>
            <w:vAlign w:val="center"/>
          </w:tcPr>
          <w:p w14:paraId="095E12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招标底价</w:t>
            </w:r>
          </w:p>
        </w:tc>
      </w:tr>
      <w:tr w14:paraId="02770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tcBorders>
              <w:tl2br w:val="nil"/>
              <w:tr2bl w:val="nil"/>
            </w:tcBorders>
            <w:vAlign w:val="center"/>
          </w:tcPr>
          <w:p w14:paraId="6C380D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一</w:t>
            </w:r>
          </w:p>
        </w:tc>
        <w:tc>
          <w:tcPr>
            <w:tcW w:w="1215" w:type="dxa"/>
            <w:tcBorders>
              <w:tl2br w:val="nil"/>
              <w:tr2bl w:val="nil"/>
            </w:tcBorders>
            <w:vAlign w:val="center"/>
          </w:tcPr>
          <w:p w14:paraId="163D50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资金竞争性存放</w:t>
            </w:r>
          </w:p>
        </w:tc>
        <w:tc>
          <w:tcPr>
            <w:tcW w:w="1565" w:type="dxa"/>
            <w:tcBorders>
              <w:tl2br w:val="nil"/>
              <w:tr2bl w:val="nil"/>
            </w:tcBorders>
            <w:vAlign w:val="center"/>
          </w:tcPr>
          <w:p w14:paraId="455E1D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42300万元</w:t>
            </w:r>
          </w:p>
        </w:tc>
        <w:tc>
          <w:tcPr>
            <w:tcW w:w="1125" w:type="dxa"/>
            <w:tcBorders>
              <w:tl2br w:val="nil"/>
              <w:tr2bl w:val="nil"/>
            </w:tcBorders>
            <w:vAlign w:val="center"/>
          </w:tcPr>
          <w:p w14:paraId="039E39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十二个月</w:t>
            </w:r>
          </w:p>
        </w:tc>
        <w:tc>
          <w:tcPr>
            <w:tcW w:w="789" w:type="dxa"/>
            <w:gridSpan w:val="2"/>
            <w:tcBorders>
              <w:tl2br w:val="nil"/>
              <w:tr2bl w:val="nil"/>
            </w:tcBorders>
            <w:vAlign w:val="center"/>
          </w:tcPr>
          <w:p w14:paraId="70479D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s="宋体"/>
                <w:b w:val="0"/>
                <w:bCs w:val="0"/>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6家银行</w:t>
            </w:r>
          </w:p>
        </w:tc>
        <w:tc>
          <w:tcPr>
            <w:tcW w:w="4014" w:type="dxa"/>
            <w:tcBorders>
              <w:tl2br w:val="nil"/>
              <w:tr2bl w:val="nil"/>
            </w:tcBorders>
            <w:vAlign w:val="center"/>
          </w:tcPr>
          <w:p w14:paraId="5C421A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val="0"/>
                <w:bCs w:val="0"/>
                <w:color w:val="auto"/>
                <w:sz w:val="22"/>
                <w:szCs w:val="22"/>
                <w:highlight w:val="none"/>
                <w:lang w:val="en-US" w:eastAsia="zh-CN"/>
              </w:rPr>
            </w:pPr>
            <w:r>
              <w:rPr>
                <w:rFonts w:hint="eastAsia" w:ascii="宋体" w:hAnsi="宋体" w:cs="宋体"/>
                <w:color w:val="auto"/>
                <w:sz w:val="22"/>
                <w:szCs w:val="22"/>
                <w:highlight w:val="none"/>
                <w:vertAlign w:val="baseline"/>
                <w:lang w:val="en-US" w:eastAsia="zh-CN"/>
              </w:rPr>
              <w:t>较一年期定期存款基准利率上浮不低于-40BP，定期存款年利率不低于1.10%</w:t>
            </w:r>
          </w:p>
        </w:tc>
      </w:tr>
      <w:tr w14:paraId="6EE55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423" w:type="dxa"/>
            <w:gridSpan w:val="7"/>
            <w:tcBorders>
              <w:tl2br w:val="nil"/>
              <w:tr2bl w:val="nil"/>
            </w:tcBorders>
            <w:vAlign w:val="center"/>
          </w:tcPr>
          <w:p w14:paraId="662E70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highlight w:val="none"/>
                <w:lang w:val="en-US" w:eastAsia="zh-CN"/>
              </w:rPr>
            </w:pPr>
            <w:r>
              <w:rPr>
                <w:rFonts w:hint="eastAsia" w:ascii="宋体" w:hAnsi="宋体" w:cs="宋体"/>
                <w:b/>
                <w:bCs/>
                <w:color w:val="auto"/>
                <w:sz w:val="22"/>
                <w:szCs w:val="22"/>
                <w:highlight w:val="none"/>
                <w:lang w:val="en-US" w:eastAsia="zh-CN"/>
              </w:rPr>
              <w:t>中标银行资金分配</w:t>
            </w:r>
          </w:p>
        </w:tc>
      </w:tr>
      <w:tr w14:paraId="40D8F5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711" w:type="dxa"/>
            <w:gridSpan w:val="5"/>
            <w:tcBorders>
              <w:tl2br w:val="nil"/>
              <w:tr2bl w:val="nil"/>
            </w:tcBorders>
            <w:vAlign w:val="center"/>
          </w:tcPr>
          <w:p w14:paraId="04A01BE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第一中标候选银行分配金额为10300万元；</w:t>
            </w:r>
          </w:p>
          <w:p w14:paraId="3B45321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第二中标候选银行分配金额为9000万元；</w:t>
            </w:r>
          </w:p>
          <w:p w14:paraId="7AF2373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第三中标候选银行分配金额为8000万元；</w:t>
            </w:r>
          </w:p>
        </w:tc>
        <w:tc>
          <w:tcPr>
            <w:tcW w:w="4712" w:type="dxa"/>
            <w:gridSpan w:val="2"/>
            <w:tcBorders>
              <w:tl2br w:val="nil"/>
              <w:tr2bl w:val="nil"/>
            </w:tcBorders>
            <w:vAlign w:val="center"/>
          </w:tcPr>
          <w:p w14:paraId="00E571B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第四中标候选银行分配金额为6000万元；</w:t>
            </w:r>
          </w:p>
          <w:p w14:paraId="2033EA7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第五中标候选银行分配金额为5000万元；</w:t>
            </w:r>
          </w:p>
          <w:p w14:paraId="56EC77C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第六中标候选银行分配金额为4000万元</w:t>
            </w:r>
            <w:r>
              <w:rPr>
                <w:rFonts w:hint="default" w:ascii="宋体" w:hAnsi="宋体" w:cs="宋体"/>
                <w:color w:val="auto"/>
                <w:sz w:val="22"/>
                <w:szCs w:val="22"/>
                <w:highlight w:val="none"/>
                <w:lang w:val="en-US" w:eastAsia="zh-CN"/>
              </w:rPr>
              <w:t>；</w:t>
            </w:r>
          </w:p>
        </w:tc>
      </w:tr>
    </w:tbl>
    <w:p w14:paraId="1C25BD02">
      <w:pPr>
        <w:pStyle w:val="3"/>
        <w:bidi w:val="0"/>
        <w:jc w:val="left"/>
        <w:rPr>
          <w:rFonts w:hint="eastAsia" w:ascii="仿宋_GB2312" w:hAnsi="仿宋_GB2312" w:eastAsia="宋体" w:cs="Times New Roman"/>
          <w:color w:val="auto"/>
          <w:highlight w:val="none"/>
          <w:lang w:val="en-US" w:eastAsia="zh-CN"/>
        </w:rPr>
      </w:pPr>
      <w:r>
        <w:rPr>
          <w:rFonts w:hint="eastAsia" w:ascii="仿宋_GB2312" w:hAnsi="仿宋_GB2312" w:eastAsia="宋体" w:cs="Times New Roman"/>
          <w:color w:val="auto"/>
          <w:highlight w:val="none"/>
          <w:lang w:val="en-US" w:eastAsia="zh-CN"/>
        </w:rPr>
        <w:t>二、基本要求</w:t>
      </w:r>
    </w:p>
    <w:p w14:paraId="03E040D0">
      <w:pPr>
        <w:keepNext w:val="0"/>
        <w:keepLines w:val="0"/>
        <w:pageBreakBefore w:val="0"/>
        <w:widowControl/>
        <w:kinsoku/>
        <w:wordWrap/>
        <w:overflowPunct/>
        <w:topLinePunct w:val="0"/>
        <w:autoSpaceDE/>
        <w:autoSpaceDN/>
        <w:bidi w:val="0"/>
        <w:adjustRightInd/>
        <w:snapToGrid w:val="0"/>
        <w:spacing w:line="360" w:lineRule="auto"/>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（一）财务服务要求</w:t>
      </w:r>
    </w:p>
    <w:p w14:paraId="792A9E55">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rPr>
      </w:pPr>
      <w:bookmarkStart w:id="22" w:name="_Toc433710229"/>
      <w:bookmarkStart w:id="23" w:name="_Toc434586580"/>
      <w:r>
        <w:rPr>
          <w:rFonts w:hint="eastAsia" w:ascii="宋体" w:hAnsi="宋体" w:eastAsia="宋体" w:cs="宋体"/>
          <w:color w:val="auto"/>
          <w:kern w:val="0"/>
          <w:sz w:val="22"/>
          <w:szCs w:val="22"/>
          <w:highlight w:val="none"/>
        </w:rPr>
        <w:t>1、中标银行必须有项目负责人，按</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要求定期与</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财务人员对接工作事宜。</w:t>
      </w:r>
    </w:p>
    <w:p w14:paraId="78724207">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2、中标银行在</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规定时间内将账户的资金往来业务回单和银行对账单送达</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指定工作人员。</w:t>
      </w:r>
    </w:p>
    <w:p w14:paraId="2A2A99D3">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3、及时做好</w:t>
      </w:r>
      <w:r>
        <w:rPr>
          <w:rFonts w:hint="eastAsia" w:ascii="宋体" w:hAnsi="宋体" w:cs="宋体"/>
          <w:color w:val="auto"/>
          <w:kern w:val="0"/>
          <w:sz w:val="22"/>
          <w:szCs w:val="22"/>
          <w:highlight w:val="none"/>
          <w:lang w:eastAsia="zh-CN"/>
        </w:rPr>
        <w:t>采购人</w:t>
      </w:r>
      <w:r>
        <w:rPr>
          <w:rFonts w:hint="eastAsia" w:ascii="宋体" w:hAnsi="宋体" w:eastAsia="宋体" w:cs="宋体"/>
          <w:color w:val="auto"/>
          <w:kern w:val="0"/>
          <w:sz w:val="22"/>
          <w:szCs w:val="22"/>
          <w:highlight w:val="none"/>
        </w:rPr>
        <w:t>提出的其他服务要求。</w:t>
      </w:r>
    </w:p>
    <w:p w14:paraId="6F70A1D4">
      <w:pPr>
        <w:keepNext w:val="0"/>
        <w:keepLines w:val="0"/>
        <w:pageBreakBefore w:val="0"/>
        <w:widowControl/>
        <w:kinsoku/>
        <w:wordWrap/>
        <w:overflowPunct/>
        <w:topLinePunct w:val="0"/>
        <w:autoSpaceDE/>
        <w:autoSpaceDN/>
        <w:bidi w:val="0"/>
        <w:adjustRightInd/>
        <w:snapToGrid w:val="0"/>
        <w:spacing w:line="360" w:lineRule="auto"/>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（二）银行必须提供的服务</w:t>
      </w:r>
    </w:p>
    <w:bookmarkEnd w:id="22"/>
    <w:bookmarkEnd w:id="23"/>
    <w:p w14:paraId="125D2FDB">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中标银行须配备</w:t>
      </w:r>
      <w:r>
        <w:rPr>
          <w:rFonts w:hint="eastAsia" w:ascii="宋体" w:hAnsi="宋体" w:eastAsia="宋体" w:cs="宋体"/>
          <w:color w:val="auto"/>
          <w:kern w:val="0"/>
          <w:sz w:val="22"/>
          <w:szCs w:val="22"/>
          <w:highlight w:val="none"/>
          <w:lang w:val="en-US" w:eastAsia="zh-CN"/>
        </w:rPr>
        <w:t>1名正式专职</w:t>
      </w:r>
      <w:r>
        <w:rPr>
          <w:rFonts w:hint="eastAsia" w:ascii="宋体" w:hAnsi="宋体" w:eastAsia="宋体" w:cs="宋体"/>
          <w:color w:val="auto"/>
          <w:kern w:val="0"/>
          <w:sz w:val="22"/>
          <w:szCs w:val="22"/>
          <w:highlight w:val="none"/>
        </w:rPr>
        <w:t>员</w:t>
      </w:r>
      <w:r>
        <w:rPr>
          <w:rFonts w:hint="eastAsia" w:ascii="宋体" w:hAnsi="宋体" w:eastAsia="宋体" w:cs="宋体"/>
          <w:color w:val="auto"/>
          <w:kern w:val="0"/>
          <w:sz w:val="22"/>
          <w:szCs w:val="22"/>
          <w:highlight w:val="none"/>
          <w:lang w:val="en-US" w:eastAsia="zh-CN"/>
        </w:rPr>
        <w:t>工</w:t>
      </w:r>
      <w:r>
        <w:rPr>
          <w:rFonts w:hint="eastAsia" w:ascii="宋体" w:hAnsi="宋体" w:eastAsia="宋体" w:cs="宋体"/>
          <w:color w:val="auto"/>
          <w:kern w:val="0"/>
          <w:sz w:val="22"/>
          <w:szCs w:val="22"/>
          <w:highlight w:val="none"/>
        </w:rPr>
        <w:t>，负责资金结算管理工作</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资金的退付提供上门服务。</w:t>
      </w:r>
      <w:r>
        <w:rPr>
          <w:rFonts w:hint="eastAsia" w:ascii="宋体" w:hAnsi="宋体" w:eastAsia="宋体" w:cs="宋体"/>
          <w:color w:val="auto"/>
          <w:kern w:val="0"/>
          <w:sz w:val="22"/>
          <w:szCs w:val="22"/>
          <w:highlight w:val="none"/>
        </w:rPr>
        <w:t>银行确保资金汇划系统的安全性，确保资金安全，制度健全，管理规范。</w:t>
      </w:r>
    </w:p>
    <w:p w14:paraId="29C3BF97">
      <w:pPr>
        <w:pStyle w:val="3"/>
        <w:bidi w:val="0"/>
        <w:jc w:val="left"/>
        <w:rPr>
          <w:rFonts w:hint="eastAsia" w:ascii="仿宋_GB2312" w:hAnsi="仿宋_GB2312" w:eastAsia="宋体" w:cs="Times New Roman"/>
          <w:color w:val="auto"/>
          <w:highlight w:val="none"/>
          <w:lang w:val="en-US" w:eastAsia="zh-CN"/>
        </w:rPr>
      </w:pPr>
      <w:r>
        <w:rPr>
          <w:rFonts w:hint="eastAsia" w:ascii="仿宋_GB2312" w:hAnsi="仿宋_GB2312" w:eastAsia="宋体" w:cs="Times New Roman"/>
          <w:color w:val="auto"/>
          <w:highlight w:val="none"/>
          <w:lang w:val="en-US" w:eastAsia="zh-CN"/>
        </w:rPr>
        <w:t>三、招标项目及合作要求</w:t>
      </w:r>
    </w:p>
    <w:p w14:paraId="4E7BCFBF">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执行期间</w:t>
      </w:r>
      <w:r>
        <w:rPr>
          <w:rFonts w:hint="eastAsia" w:ascii="宋体" w:hAnsi="宋体" w:eastAsia="宋体" w:cs="宋体"/>
          <w:color w:val="auto"/>
          <w:kern w:val="0"/>
          <w:sz w:val="22"/>
          <w:szCs w:val="22"/>
          <w:highlight w:val="none"/>
          <w:lang w:eastAsia="zh-CN"/>
        </w:rPr>
        <w:t>有特殊情况一部分资金需要提前支取的，提前支取部分按</w:t>
      </w:r>
      <w:r>
        <w:rPr>
          <w:rFonts w:hint="eastAsia" w:ascii="宋体" w:hAnsi="宋体" w:eastAsia="宋体" w:cs="宋体"/>
          <w:color w:val="auto"/>
          <w:kern w:val="0"/>
          <w:sz w:val="22"/>
          <w:szCs w:val="22"/>
          <w:highlight w:val="none"/>
          <w:lang w:val="en-US" w:eastAsia="zh-CN"/>
        </w:rPr>
        <w:t>中标</w:t>
      </w:r>
      <w:r>
        <w:rPr>
          <w:rFonts w:hint="eastAsia" w:ascii="宋体" w:hAnsi="宋体" w:eastAsia="宋体" w:cs="宋体"/>
          <w:color w:val="auto"/>
          <w:kern w:val="0"/>
          <w:sz w:val="22"/>
          <w:szCs w:val="22"/>
          <w:highlight w:val="none"/>
          <w:lang w:eastAsia="zh-CN"/>
        </w:rPr>
        <w:t>银行</w:t>
      </w:r>
      <w:r>
        <w:rPr>
          <w:rFonts w:hint="eastAsia" w:ascii="宋体" w:hAnsi="宋体" w:eastAsia="宋体" w:cs="宋体"/>
          <w:color w:val="auto"/>
          <w:kern w:val="0"/>
          <w:sz w:val="22"/>
          <w:szCs w:val="22"/>
          <w:highlight w:val="none"/>
          <w:lang w:val="en-US" w:eastAsia="zh-CN"/>
        </w:rPr>
        <w:t>中标活</w:t>
      </w:r>
      <w:r>
        <w:rPr>
          <w:rFonts w:hint="eastAsia" w:ascii="宋体" w:hAnsi="宋体" w:eastAsia="宋体" w:cs="宋体"/>
          <w:color w:val="auto"/>
          <w:kern w:val="0"/>
          <w:sz w:val="22"/>
          <w:szCs w:val="22"/>
          <w:highlight w:val="none"/>
          <w:lang w:eastAsia="zh-CN"/>
        </w:rPr>
        <w:t>期利率计算。</w:t>
      </w:r>
    </w:p>
    <w:p w14:paraId="026106DD">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执行期间如遇上级重大政策调整、机构撤并等需要撤销有关银行账户时，协议无条件自然终止。执行期间发现存在利益冲突和利益输送现象，或发生其他重大违法违规问题可能影响存款存放安全等，无条件撤销账户和收回存款。</w:t>
      </w:r>
    </w:p>
    <w:p w14:paraId="10FC10DD">
      <w:pPr>
        <w:pStyle w:val="3"/>
        <w:bidi w:val="0"/>
        <w:jc w:val="left"/>
        <w:rPr>
          <w:rFonts w:hint="eastAsia" w:ascii="仿宋_GB2312" w:hAnsi="仿宋_GB2312" w:eastAsia="宋体" w:cs="Times New Roman"/>
          <w:color w:val="auto"/>
          <w:highlight w:val="none"/>
          <w:lang w:val="en-US" w:eastAsia="zh-CN"/>
        </w:rPr>
      </w:pPr>
      <w:r>
        <w:rPr>
          <w:rFonts w:hint="eastAsia" w:cs="Times New Roman"/>
          <w:color w:val="auto"/>
          <w:highlight w:val="none"/>
          <w:lang w:val="en-US" w:eastAsia="zh-CN"/>
        </w:rPr>
        <w:t>四</w:t>
      </w:r>
      <w:r>
        <w:rPr>
          <w:rFonts w:hint="eastAsia" w:ascii="仿宋_GB2312" w:hAnsi="仿宋_GB2312" w:eastAsia="宋体" w:cs="Times New Roman"/>
          <w:color w:val="auto"/>
          <w:highlight w:val="none"/>
          <w:lang w:val="en-US" w:eastAsia="zh-CN"/>
        </w:rPr>
        <w:t>、开立账户（存单）</w:t>
      </w:r>
    </w:p>
    <w:p w14:paraId="46DDBB4F">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bookmarkStart w:id="24" w:name="_Toc433710245"/>
      <w:bookmarkStart w:id="25" w:name="_Toc434586596"/>
      <w:r>
        <w:rPr>
          <w:rFonts w:hint="eastAsia" w:ascii="宋体" w:hAnsi="宋体" w:cs="宋体"/>
          <w:color w:val="auto"/>
          <w:kern w:val="0"/>
          <w:sz w:val="22"/>
          <w:szCs w:val="22"/>
          <w:highlight w:val="none"/>
          <w:lang w:val="en-US" w:eastAsia="zh-CN"/>
        </w:rPr>
        <w:t>采购人</w:t>
      </w:r>
      <w:r>
        <w:rPr>
          <w:rFonts w:hint="eastAsia" w:ascii="宋体" w:hAnsi="宋体" w:eastAsia="宋体" w:cs="宋体"/>
          <w:color w:val="auto"/>
          <w:kern w:val="0"/>
          <w:sz w:val="22"/>
          <w:szCs w:val="22"/>
          <w:highlight w:val="none"/>
          <w:lang w:val="en-US" w:eastAsia="zh-CN"/>
        </w:rPr>
        <w:t>收到</w:t>
      </w:r>
      <w:r>
        <w:rPr>
          <w:rFonts w:hint="eastAsia" w:ascii="宋体" w:hAnsi="宋体" w:cs="宋体"/>
          <w:color w:val="auto"/>
          <w:kern w:val="0"/>
          <w:sz w:val="22"/>
          <w:szCs w:val="22"/>
          <w:highlight w:val="none"/>
          <w:lang w:val="en-US" w:eastAsia="zh-CN"/>
        </w:rPr>
        <w:t>中标银行</w:t>
      </w:r>
      <w:r>
        <w:rPr>
          <w:rFonts w:hint="eastAsia" w:ascii="宋体" w:hAnsi="宋体" w:eastAsia="宋体" w:cs="宋体"/>
          <w:color w:val="auto"/>
          <w:kern w:val="0"/>
          <w:sz w:val="22"/>
          <w:szCs w:val="22"/>
          <w:highlight w:val="none"/>
          <w:lang w:val="en-US" w:eastAsia="zh-CN"/>
        </w:rPr>
        <w:t>的书面回复后，在</w:t>
      </w:r>
      <w:r>
        <w:rPr>
          <w:rFonts w:hint="eastAsia" w:ascii="宋体" w:hAnsi="宋体" w:cs="宋体"/>
          <w:color w:val="auto"/>
          <w:kern w:val="0"/>
          <w:sz w:val="22"/>
          <w:szCs w:val="22"/>
          <w:highlight w:val="none"/>
          <w:lang w:val="en-US" w:eastAsia="zh-CN"/>
        </w:rPr>
        <w:t>中标银行</w:t>
      </w:r>
      <w:r>
        <w:rPr>
          <w:rFonts w:hint="eastAsia" w:ascii="宋体" w:hAnsi="宋体" w:eastAsia="宋体" w:cs="宋体"/>
          <w:color w:val="auto"/>
          <w:kern w:val="0"/>
          <w:sz w:val="22"/>
          <w:szCs w:val="22"/>
          <w:highlight w:val="none"/>
          <w:lang w:val="en-US" w:eastAsia="zh-CN"/>
        </w:rPr>
        <w:t>开设账户（存单），并进行相关资金的结算。</w:t>
      </w:r>
    </w:p>
    <w:bookmarkEnd w:id="24"/>
    <w:bookmarkEnd w:id="25"/>
    <w:p w14:paraId="31067ABF">
      <w:pPr>
        <w:pStyle w:val="3"/>
        <w:numPr>
          <w:ilvl w:val="0"/>
          <w:numId w:val="0"/>
        </w:numPr>
        <w:bidi w:val="0"/>
        <w:jc w:val="left"/>
        <w:rPr>
          <w:rFonts w:hint="eastAsia" w:ascii="仿宋_GB2312" w:hAnsi="仿宋_GB2312" w:eastAsia="宋体" w:cs="Times New Roman"/>
          <w:color w:val="auto"/>
          <w:highlight w:val="none"/>
          <w:lang w:val="en-US" w:eastAsia="zh-CN"/>
        </w:rPr>
      </w:pPr>
      <w:r>
        <w:rPr>
          <w:rFonts w:hint="eastAsia" w:cs="Times New Roman"/>
          <w:color w:val="auto"/>
          <w:highlight w:val="none"/>
          <w:lang w:val="en-US" w:eastAsia="zh-CN"/>
        </w:rPr>
        <w:t>五、中标银行</w:t>
      </w:r>
      <w:r>
        <w:rPr>
          <w:rFonts w:hint="eastAsia" w:ascii="仿宋_GB2312" w:hAnsi="仿宋_GB2312" w:eastAsia="宋体" w:cs="Times New Roman"/>
          <w:color w:val="auto"/>
          <w:highlight w:val="none"/>
          <w:lang w:val="en-US" w:eastAsia="zh-CN"/>
        </w:rPr>
        <w:t>出现以下行为的，将收回定期存款并有权拒绝其在以后 2 年内参与本单位</w:t>
      </w:r>
      <w:r>
        <w:rPr>
          <w:rFonts w:hint="eastAsia" w:cs="Times New Roman"/>
          <w:color w:val="auto"/>
          <w:highlight w:val="none"/>
          <w:lang w:val="en-US" w:eastAsia="zh-CN"/>
        </w:rPr>
        <w:t>资金</w:t>
      </w:r>
      <w:r>
        <w:rPr>
          <w:rFonts w:hint="eastAsia" w:ascii="仿宋_GB2312" w:hAnsi="仿宋_GB2312" w:eastAsia="宋体" w:cs="Times New Roman"/>
          <w:color w:val="auto"/>
          <w:highlight w:val="none"/>
          <w:lang w:val="en-US" w:eastAsia="zh-CN"/>
        </w:rPr>
        <w:t>竞争性存放</w:t>
      </w:r>
    </w:p>
    <w:p w14:paraId="12B279B3">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1、出现资金安全事故、重大违法违规情况或财务状况恶化；</w:t>
      </w:r>
    </w:p>
    <w:p w14:paraId="500FC75D">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2、监管评级降低，</w:t>
      </w:r>
      <w:r>
        <w:rPr>
          <w:rFonts w:hint="eastAsia" w:ascii="宋体" w:hAnsi="宋体" w:cs="宋体"/>
          <w:color w:val="auto"/>
          <w:kern w:val="0"/>
          <w:sz w:val="22"/>
          <w:szCs w:val="22"/>
          <w:highlight w:val="none"/>
          <w:lang w:val="en-US" w:eastAsia="zh-CN"/>
        </w:rPr>
        <w:t>人民银行台州分行</w:t>
      </w:r>
      <w:r>
        <w:rPr>
          <w:rFonts w:hint="eastAsia" w:ascii="宋体" w:hAnsi="宋体" w:eastAsia="宋体" w:cs="宋体"/>
          <w:color w:val="auto"/>
          <w:kern w:val="0"/>
          <w:sz w:val="22"/>
          <w:szCs w:val="22"/>
          <w:highlight w:val="none"/>
          <w:lang w:val="en-US" w:eastAsia="zh-CN"/>
        </w:rPr>
        <w:t>评级降至B级及以下；</w:t>
      </w:r>
    </w:p>
    <w:p w14:paraId="1D4C5516">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3、有严重不正当投标行为；</w:t>
      </w:r>
    </w:p>
    <w:p w14:paraId="18549636">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4、没有按照中标协议承诺履行相应的责任和义务；</w:t>
      </w:r>
    </w:p>
    <w:p w14:paraId="4DCDF00C">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5、不能在规定期限内将存款本息足额缴入相关账户；</w:t>
      </w:r>
    </w:p>
    <w:p w14:paraId="5D8CB4E2">
      <w:pPr>
        <w:keepNext w:val="0"/>
        <w:keepLines w:val="0"/>
        <w:pageBreakBefore w:val="0"/>
        <w:widowControl/>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6、其它妨害资金安全的行为。</w:t>
      </w:r>
    </w:p>
    <w:p w14:paraId="2AEE388B">
      <w:pPr>
        <w:rPr>
          <w:rStyle w:val="24"/>
          <w:rFonts w:hint="eastAsia" w:ascii="Times New Roman" w:hAnsi="Times New Roman" w:cs="Times New Roman"/>
          <w:color w:val="auto"/>
          <w:highlight w:val="none"/>
        </w:rPr>
      </w:pPr>
      <w:r>
        <w:rPr>
          <w:rStyle w:val="24"/>
          <w:rFonts w:hint="eastAsia" w:ascii="Times New Roman" w:hAnsi="Times New Roman" w:cs="Times New Roman"/>
          <w:color w:val="auto"/>
          <w:highlight w:val="none"/>
        </w:rPr>
        <w:br w:type="page"/>
      </w:r>
    </w:p>
    <w:p w14:paraId="7C08F5EF">
      <w:pPr>
        <w:jc w:val="center"/>
        <w:rPr>
          <w:rStyle w:val="24"/>
          <w:rFonts w:hint="eastAsia"/>
          <w:color w:val="auto"/>
          <w:highlight w:val="none"/>
          <w:lang w:eastAsia="zh-CN"/>
        </w:rPr>
      </w:pPr>
      <w:bookmarkStart w:id="26" w:name="_Toc1219"/>
      <w:r>
        <w:rPr>
          <w:rStyle w:val="24"/>
          <w:rFonts w:hint="eastAsia"/>
          <w:color w:val="auto"/>
          <w:highlight w:val="none"/>
          <w:lang w:eastAsia="zh-CN"/>
        </w:rPr>
        <w:t>第五章</w:t>
      </w:r>
      <w:r>
        <w:rPr>
          <w:rStyle w:val="24"/>
          <w:rFonts w:hint="eastAsia"/>
          <w:color w:val="auto"/>
          <w:highlight w:val="none"/>
          <w:lang w:val="en-US" w:eastAsia="zh-CN"/>
        </w:rPr>
        <w:t xml:space="preserve"> </w:t>
      </w:r>
      <w:r>
        <w:rPr>
          <w:rStyle w:val="24"/>
          <w:rFonts w:hint="eastAsia"/>
          <w:color w:val="auto"/>
          <w:highlight w:val="none"/>
          <w:lang w:eastAsia="zh-CN"/>
        </w:rPr>
        <w:t>评标办法及评分标准</w:t>
      </w:r>
      <w:bookmarkEnd w:id="20"/>
      <w:bookmarkEnd w:id="21"/>
    </w:p>
    <w:bookmarkEnd w:id="26"/>
    <w:p w14:paraId="47076336">
      <w:pPr>
        <w:keepNext w:val="0"/>
        <w:keepLines w:val="0"/>
        <w:pageBreakBefore w:val="0"/>
        <w:widowControl w:val="0"/>
        <w:kinsoku/>
        <w:wordWrap/>
        <w:overflowPunct/>
        <w:topLinePunct w:val="0"/>
        <w:autoSpaceDE/>
        <w:autoSpaceDN/>
        <w:bidi w:val="0"/>
        <w:adjustRightInd/>
        <w:snapToGrid/>
        <w:spacing w:line="41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一 </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评审原则</w:t>
      </w:r>
    </w:p>
    <w:p w14:paraId="3E7B89E2">
      <w:pPr>
        <w:keepNext w:val="0"/>
        <w:keepLines w:val="0"/>
        <w:pageBreakBefore w:val="0"/>
        <w:widowControl w:val="0"/>
        <w:kinsoku/>
        <w:wordWrap/>
        <w:overflowPunct/>
        <w:topLinePunct w:val="0"/>
        <w:autoSpaceDE/>
        <w:autoSpaceDN/>
        <w:bidi w:val="0"/>
        <w:adjustRightInd/>
        <w:snapToGrid/>
        <w:spacing w:line="41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评标委员会必须公平、公正、客观，不带任何倾向性和启发性，不得向外界透露任何与评标有关的内容；任何单位和个人不得干扰、影响评标的正常进行；评标委员会及有关工作人员不得私下与</w:t>
      </w:r>
      <w:r>
        <w:rPr>
          <w:rFonts w:hint="eastAsia" w:ascii="宋体" w:hAnsi="宋体" w:cs="宋体"/>
          <w:color w:val="auto"/>
          <w:sz w:val="22"/>
          <w:szCs w:val="22"/>
          <w:highlight w:val="none"/>
          <w:lang w:eastAsia="zh-CN"/>
        </w:rPr>
        <w:t>竞标银行</w:t>
      </w:r>
      <w:r>
        <w:rPr>
          <w:rFonts w:hint="eastAsia" w:ascii="宋体" w:hAnsi="宋体" w:eastAsia="宋体" w:cs="宋体"/>
          <w:color w:val="auto"/>
          <w:sz w:val="22"/>
          <w:szCs w:val="22"/>
          <w:highlight w:val="none"/>
        </w:rPr>
        <w:t>接触。</w:t>
      </w:r>
    </w:p>
    <w:p w14:paraId="2984B6CB">
      <w:pPr>
        <w:keepNext w:val="0"/>
        <w:keepLines w:val="0"/>
        <w:pageBreakBefore w:val="0"/>
        <w:widowControl w:val="0"/>
        <w:numPr>
          <w:ilvl w:val="0"/>
          <w:numId w:val="4"/>
        </w:numPr>
        <w:kinsoku/>
        <w:wordWrap/>
        <w:overflowPunct/>
        <w:topLinePunct w:val="0"/>
        <w:autoSpaceDE/>
        <w:autoSpaceDN/>
        <w:bidi w:val="0"/>
        <w:adjustRightInd/>
        <w:snapToGrid/>
        <w:spacing w:line="41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评标办法</w:t>
      </w:r>
    </w:p>
    <w:p w14:paraId="28082A89">
      <w:pPr>
        <w:keepNext w:val="0"/>
        <w:keepLines w:val="0"/>
        <w:pageBreakBefore w:val="0"/>
        <w:widowControl w:val="0"/>
        <w:kinsoku/>
        <w:wordWrap/>
        <w:overflowPunct/>
        <w:topLinePunct w:val="0"/>
        <w:autoSpaceDE/>
        <w:autoSpaceDN/>
        <w:bidi w:val="0"/>
        <w:adjustRightInd/>
        <w:snapToGrid/>
        <w:spacing w:line="410" w:lineRule="exact"/>
        <w:ind w:firstLine="442" w:firstLineChars="200"/>
        <w:textAlignment w:val="auto"/>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zh-CN"/>
        </w:rPr>
        <w:t>评标要求</w:t>
      </w:r>
    </w:p>
    <w:p w14:paraId="5669D3D5">
      <w:pPr>
        <w:keepNext w:val="0"/>
        <w:keepLines w:val="0"/>
        <w:pageBreakBefore w:val="0"/>
        <w:widowControl w:val="0"/>
        <w:kinsoku/>
        <w:wordWrap/>
        <w:overflowPunct/>
        <w:topLinePunct w:val="0"/>
        <w:autoSpaceDE/>
        <w:autoSpaceDN/>
        <w:bidi w:val="0"/>
        <w:adjustRightInd/>
        <w:snapToGrid/>
        <w:spacing w:line="41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1.1评标委员将对投标文件的内容进行评审，凡投标文件实质性内容不响应</w:t>
      </w:r>
      <w:r>
        <w:rPr>
          <w:rFonts w:hint="eastAsia" w:ascii="宋体" w:hAnsi="宋体" w:cs="宋体"/>
          <w:color w:val="auto"/>
          <w:sz w:val="22"/>
          <w:szCs w:val="22"/>
          <w:highlight w:val="none"/>
          <w:lang w:eastAsia="zh-CN"/>
        </w:rPr>
        <w:t>采购文件</w:t>
      </w:r>
      <w:r>
        <w:rPr>
          <w:rFonts w:hint="eastAsia" w:ascii="宋体" w:hAnsi="宋体" w:eastAsia="宋体" w:cs="宋体"/>
          <w:color w:val="auto"/>
          <w:sz w:val="22"/>
          <w:szCs w:val="22"/>
          <w:highlight w:val="none"/>
        </w:rPr>
        <w:t>要求和关键格式不符合</w:t>
      </w:r>
      <w:r>
        <w:rPr>
          <w:rFonts w:hint="eastAsia" w:ascii="宋体" w:hAnsi="宋体" w:cs="宋体"/>
          <w:color w:val="auto"/>
          <w:sz w:val="22"/>
          <w:szCs w:val="22"/>
          <w:highlight w:val="none"/>
          <w:lang w:eastAsia="zh-CN"/>
        </w:rPr>
        <w:t>采购文件</w:t>
      </w:r>
      <w:r>
        <w:rPr>
          <w:rFonts w:hint="eastAsia" w:ascii="宋体" w:hAnsi="宋体" w:eastAsia="宋体" w:cs="宋体"/>
          <w:color w:val="auto"/>
          <w:sz w:val="22"/>
          <w:szCs w:val="22"/>
          <w:highlight w:val="none"/>
        </w:rPr>
        <w:t>规定的，经评标委员认定作为无效标处理。评标委员经过审标、询标，在对各</w:t>
      </w:r>
      <w:r>
        <w:rPr>
          <w:rFonts w:hint="eastAsia" w:ascii="宋体" w:hAnsi="宋体" w:cs="宋体"/>
          <w:color w:val="auto"/>
          <w:sz w:val="22"/>
          <w:szCs w:val="22"/>
          <w:highlight w:val="none"/>
          <w:lang w:eastAsia="zh-CN"/>
        </w:rPr>
        <w:t>竞标银行</w:t>
      </w:r>
      <w:r>
        <w:rPr>
          <w:rFonts w:hint="eastAsia" w:ascii="宋体" w:hAnsi="宋体" w:eastAsia="宋体" w:cs="宋体"/>
          <w:color w:val="auto"/>
          <w:sz w:val="22"/>
          <w:szCs w:val="22"/>
          <w:highlight w:val="none"/>
        </w:rPr>
        <w:t>及其投标文件进行充分分析、评议的基础上进行打分。</w:t>
      </w:r>
    </w:p>
    <w:p w14:paraId="6FF0FD19">
      <w:pPr>
        <w:keepNext w:val="0"/>
        <w:keepLines w:val="0"/>
        <w:pageBreakBefore w:val="0"/>
        <w:widowControl w:val="0"/>
        <w:kinsoku/>
        <w:wordWrap/>
        <w:overflowPunct/>
        <w:topLinePunct w:val="0"/>
        <w:autoSpaceDE/>
        <w:autoSpaceDN/>
        <w:bidi w:val="0"/>
        <w:adjustRightInd/>
        <w:snapToGrid/>
        <w:spacing w:line="41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1.2总得分为</w:t>
      </w:r>
      <w:r>
        <w:rPr>
          <w:rFonts w:hint="eastAsia" w:ascii="宋体" w:hAnsi="宋体" w:cs="宋体"/>
          <w:color w:val="auto"/>
          <w:sz w:val="22"/>
          <w:szCs w:val="22"/>
          <w:highlight w:val="none"/>
          <w:lang w:val="en-US" w:eastAsia="zh-CN"/>
        </w:rPr>
        <w:t>100</w:t>
      </w:r>
      <w:r>
        <w:rPr>
          <w:rFonts w:hint="eastAsia" w:ascii="宋体" w:hAnsi="宋体" w:eastAsia="宋体" w:cs="宋体"/>
          <w:color w:val="auto"/>
          <w:sz w:val="22"/>
          <w:szCs w:val="22"/>
          <w:highlight w:val="none"/>
        </w:rPr>
        <w:t>分。在规定的分值范围内由评委自行评定打分，如某个单项的打分超过所规定的分值范围，则该项打分无效。</w:t>
      </w:r>
    </w:p>
    <w:p w14:paraId="6FD33222">
      <w:pPr>
        <w:keepNext w:val="0"/>
        <w:keepLines w:val="0"/>
        <w:pageBreakBefore w:val="0"/>
        <w:widowControl w:val="0"/>
        <w:kinsoku/>
        <w:wordWrap/>
        <w:overflowPunct/>
        <w:topLinePunct w:val="0"/>
        <w:autoSpaceDE/>
        <w:autoSpaceDN/>
        <w:bidi w:val="0"/>
        <w:adjustRightInd/>
        <w:snapToGrid/>
        <w:spacing w:line="41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1.3根据评委打分累计后再取平均分作为</w:t>
      </w:r>
      <w:r>
        <w:rPr>
          <w:rFonts w:hint="eastAsia" w:ascii="宋体" w:hAnsi="宋体" w:cs="宋体"/>
          <w:color w:val="auto"/>
          <w:sz w:val="22"/>
          <w:szCs w:val="22"/>
          <w:highlight w:val="none"/>
          <w:lang w:eastAsia="zh-CN"/>
        </w:rPr>
        <w:t>竞标银行</w:t>
      </w:r>
      <w:r>
        <w:rPr>
          <w:rFonts w:hint="eastAsia" w:ascii="宋体" w:hAnsi="宋体" w:eastAsia="宋体" w:cs="宋体"/>
          <w:color w:val="auto"/>
          <w:sz w:val="22"/>
          <w:szCs w:val="22"/>
          <w:highlight w:val="none"/>
        </w:rPr>
        <w:t>的最终得分。</w:t>
      </w:r>
    </w:p>
    <w:p w14:paraId="563BEDFF">
      <w:pPr>
        <w:keepNext w:val="0"/>
        <w:keepLines w:val="0"/>
        <w:pageBreakBefore w:val="0"/>
        <w:widowControl w:val="0"/>
        <w:kinsoku/>
        <w:wordWrap/>
        <w:overflowPunct/>
        <w:topLinePunct w:val="0"/>
        <w:autoSpaceDE/>
        <w:autoSpaceDN/>
        <w:bidi w:val="0"/>
        <w:adjustRightInd/>
        <w:snapToGrid/>
        <w:spacing w:line="41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1.4所有计算结果小数点后保留2位，第3位四舍五入。</w:t>
      </w:r>
    </w:p>
    <w:p w14:paraId="268F7C47">
      <w:pPr>
        <w:keepNext w:val="0"/>
        <w:keepLines w:val="0"/>
        <w:pageBreakBefore w:val="0"/>
        <w:widowControl w:val="0"/>
        <w:kinsoku/>
        <w:wordWrap/>
        <w:overflowPunct/>
        <w:topLinePunct w:val="0"/>
        <w:autoSpaceDE/>
        <w:autoSpaceDN/>
        <w:bidi w:val="0"/>
        <w:adjustRightInd/>
        <w:snapToGrid/>
        <w:spacing w:line="41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2、评标</w:t>
      </w:r>
    </w:p>
    <w:p w14:paraId="67737C04">
      <w:pPr>
        <w:keepNext w:val="0"/>
        <w:keepLines w:val="0"/>
        <w:pageBreakBefore w:val="0"/>
        <w:widowControl w:val="0"/>
        <w:kinsoku/>
        <w:wordWrap/>
        <w:overflowPunct/>
        <w:topLinePunct w:val="0"/>
        <w:autoSpaceDE/>
        <w:autoSpaceDN/>
        <w:bidi w:val="0"/>
        <w:adjustRightInd/>
        <w:snapToGrid/>
        <w:spacing w:line="41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2.1合格</w:t>
      </w:r>
      <w:r>
        <w:rPr>
          <w:rFonts w:hint="eastAsia" w:ascii="宋体" w:hAnsi="宋体" w:cs="宋体"/>
          <w:color w:val="auto"/>
          <w:sz w:val="22"/>
          <w:szCs w:val="22"/>
          <w:highlight w:val="none"/>
          <w:lang w:val="en-US" w:eastAsia="zh-CN"/>
        </w:rPr>
        <w:t>竞标银行</w:t>
      </w:r>
      <w:r>
        <w:rPr>
          <w:rFonts w:hint="eastAsia" w:ascii="宋体" w:hAnsi="宋体" w:eastAsia="宋体" w:cs="宋体"/>
          <w:color w:val="auto"/>
          <w:sz w:val="22"/>
          <w:szCs w:val="22"/>
          <w:highlight w:val="none"/>
          <w:lang w:val="en-US" w:eastAsia="zh-CN"/>
        </w:rPr>
        <w:t>的评标得分为各项目汇总得分。</w:t>
      </w:r>
    </w:p>
    <w:p w14:paraId="15B36879">
      <w:pPr>
        <w:keepNext w:val="0"/>
        <w:keepLines w:val="0"/>
        <w:pageBreakBefore w:val="0"/>
        <w:widowControl w:val="0"/>
        <w:kinsoku/>
        <w:wordWrap/>
        <w:overflowPunct/>
        <w:topLinePunct w:val="0"/>
        <w:autoSpaceDE/>
        <w:autoSpaceDN/>
        <w:bidi w:val="0"/>
        <w:adjustRightInd/>
        <w:snapToGrid/>
        <w:spacing w:line="41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2.2竞标银行</w:t>
      </w:r>
      <w:r>
        <w:rPr>
          <w:rFonts w:hint="eastAsia" w:ascii="宋体" w:hAnsi="宋体" w:eastAsia="宋体" w:cs="宋体"/>
          <w:color w:val="auto"/>
          <w:sz w:val="22"/>
          <w:szCs w:val="22"/>
          <w:highlight w:val="none"/>
          <w:lang w:val="en-US" w:eastAsia="zh-CN"/>
        </w:rPr>
        <w:t>总得分=利率水平指标得分+经营状况指标得分+</w:t>
      </w:r>
      <w:r>
        <w:rPr>
          <w:rFonts w:hint="eastAsia" w:ascii="宋体" w:hAnsi="宋体" w:cs="宋体"/>
          <w:color w:val="auto"/>
          <w:sz w:val="22"/>
          <w:szCs w:val="22"/>
          <w:highlight w:val="none"/>
          <w:lang w:val="en-US" w:eastAsia="zh-CN"/>
        </w:rPr>
        <w:t>经济</w:t>
      </w:r>
      <w:r>
        <w:rPr>
          <w:rFonts w:hint="eastAsia" w:ascii="宋体" w:hAnsi="宋体" w:eastAsia="宋体" w:cs="宋体"/>
          <w:color w:val="auto"/>
          <w:sz w:val="22"/>
          <w:szCs w:val="22"/>
          <w:highlight w:val="none"/>
          <w:lang w:val="en-US" w:eastAsia="zh-CN"/>
        </w:rPr>
        <w:t>贡献度指标得分+服务水平指标得分；</w:t>
      </w:r>
      <w:r>
        <w:rPr>
          <w:rFonts w:hint="eastAsia" w:ascii="宋体" w:hAnsi="宋体" w:cs="宋体"/>
          <w:color w:val="auto"/>
          <w:sz w:val="22"/>
          <w:szCs w:val="22"/>
          <w:highlight w:val="none"/>
          <w:lang w:val="en-US" w:eastAsia="zh-CN"/>
        </w:rPr>
        <w:t>竞标银行</w:t>
      </w:r>
      <w:r>
        <w:rPr>
          <w:rFonts w:hint="eastAsia" w:ascii="宋体" w:hAnsi="宋体" w:eastAsia="宋体" w:cs="宋体"/>
          <w:color w:val="auto"/>
          <w:sz w:val="22"/>
          <w:szCs w:val="22"/>
          <w:highlight w:val="none"/>
          <w:lang w:val="en-US" w:eastAsia="zh-CN"/>
        </w:rPr>
        <w:t>评标综合得分按照评标委员会成员的独立评分结果汇总后的算术平均分计算。</w:t>
      </w:r>
    </w:p>
    <w:p w14:paraId="318D0764">
      <w:pPr>
        <w:keepNext w:val="0"/>
        <w:keepLines w:val="0"/>
        <w:pageBreakBefore w:val="0"/>
        <w:widowControl w:val="0"/>
        <w:kinsoku/>
        <w:wordWrap/>
        <w:overflowPunct/>
        <w:topLinePunct w:val="0"/>
        <w:autoSpaceDE/>
        <w:autoSpaceDN/>
        <w:bidi w:val="0"/>
        <w:adjustRightInd/>
        <w:snapToGrid/>
        <w:spacing w:line="410" w:lineRule="exact"/>
        <w:ind w:firstLine="442" w:firstLineChars="200"/>
        <w:textAlignment w:val="auto"/>
        <w:rPr>
          <w:rFonts w:hint="eastAsia" w:ascii="宋体" w:hAnsi="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2.3评分指标</w:t>
      </w:r>
      <w:r>
        <w:rPr>
          <w:rFonts w:hint="eastAsia" w:ascii="宋体" w:hAnsi="宋体" w:cs="宋体"/>
          <w:b/>
          <w:bCs/>
          <w:color w:val="auto"/>
          <w:sz w:val="22"/>
          <w:szCs w:val="22"/>
          <w:highlight w:val="none"/>
          <w:lang w:val="en-US" w:eastAsia="zh-CN"/>
        </w:rPr>
        <w:t>（指下方评审细则表中计分标准内的数据）</w:t>
      </w:r>
      <w:r>
        <w:rPr>
          <w:rFonts w:hint="eastAsia" w:ascii="宋体" w:hAnsi="宋体" w:eastAsia="宋体" w:cs="宋体"/>
          <w:b/>
          <w:bCs/>
          <w:color w:val="auto"/>
          <w:sz w:val="22"/>
          <w:szCs w:val="22"/>
          <w:highlight w:val="none"/>
          <w:lang w:val="en-US" w:eastAsia="zh-CN"/>
        </w:rPr>
        <w:t>如没有最新数据，则按对应的上一月或上一季、上一年数据</w:t>
      </w:r>
      <w:r>
        <w:rPr>
          <w:rFonts w:hint="eastAsia" w:ascii="宋体" w:hAnsi="宋体" w:cs="宋体"/>
          <w:b/>
          <w:bCs/>
          <w:color w:val="auto"/>
          <w:sz w:val="22"/>
          <w:szCs w:val="22"/>
          <w:highlight w:val="none"/>
          <w:lang w:val="en-US" w:eastAsia="zh-CN"/>
        </w:rPr>
        <w:t>。</w:t>
      </w:r>
    </w:p>
    <w:p w14:paraId="1ABC6FD2">
      <w:pPr>
        <w:keepNext w:val="0"/>
        <w:keepLines w:val="0"/>
        <w:pageBreakBefore w:val="0"/>
        <w:widowControl w:val="0"/>
        <w:kinsoku/>
        <w:wordWrap/>
        <w:overflowPunct/>
        <w:topLinePunct w:val="0"/>
        <w:autoSpaceDE/>
        <w:autoSpaceDN/>
        <w:bidi w:val="0"/>
        <w:adjustRightInd/>
        <w:snapToGrid/>
        <w:spacing w:line="410" w:lineRule="exact"/>
        <w:ind w:firstLine="442" w:firstLineChars="200"/>
        <w:textAlignment w:val="auto"/>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3、评审细则</w:t>
      </w:r>
    </w:p>
    <w:tbl>
      <w:tblPr>
        <w:tblStyle w:val="19"/>
        <w:tblpPr w:leftFromText="180" w:rightFromText="180" w:vertAnchor="text" w:horzAnchor="page" w:tblpXSpec="center" w:tblpY="362"/>
        <w:tblOverlap w:val="never"/>
        <w:tblW w:w="5881"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59"/>
        <w:gridCol w:w="1502"/>
        <w:gridCol w:w="7744"/>
      </w:tblGrid>
      <w:tr w14:paraId="7BE698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08" w:type="dxa"/>
            <w:tcBorders>
              <w:tl2br w:val="nil"/>
              <w:tr2bl w:val="nil"/>
            </w:tcBorders>
            <w:tcMar>
              <w:top w:w="15" w:type="dxa"/>
              <w:left w:w="15" w:type="dxa"/>
              <w:right w:w="15" w:type="dxa"/>
            </w:tcMar>
            <w:vAlign w:val="center"/>
          </w:tcPr>
          <w:p w14:paraId="5653A73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auto"/>
                <w:spacing w:val="0"/>
                <w:kern w:val="0"/>
                <w:sz w:val="22"/>
                <w:szCs w:val="22"/>
                <w:highlight w:val="none"/>
                <w:u w:val="none"/>
                <w:lang w:val="en-US" w:eastAsia="zh-CN" w:bidi="ar"/>
              </w:rPr>
            </w:pPr>
            <w:r>
              <w:rPr>
                <w:rFonts w:hint="eastAsia" w:ascii="宋体" w:hAnsi="宋体" w:eastAsia="宋体" w:cs="宋体"/>
                <w:b/>
                <w:i w:val="0"/>
                <w:color w:val="auto"/>
                <w:spacing w:val="0"/>
                <w:kern w:val="0"/>
                <w:sz w:val="22"/>
                <w:szCs w:val="22"/>
                <w:highlight w:val="none"/>
                <w:u w:val="none"/>
                <w:lang w:val="en-US" w:eastAsia="zh-CN" w:bidi="ar"/>
              </w:rPr>
              <w:t>类型</w:t>
            </w:r>
          </w:p>
        </w:tc>
        <w:tc>
          <w:tcPr>
            <w:tcW w:w="1429" w:type="dxa"/>
            <w:tcBorders>
              <w:tl2br w:val="nil"/>
              <w:tr2bl w:val="nil"/>
            </w:tcBorders>
            <w:tcMar>
              <w:top w:w="15" w:type="dxa"/>
              <w:left w:w="15" w:type="dxa"/>
              <w:right w:w="15" w:type="dxa"/>
            </w:tcMar>
            <w:vAlign w:val="center"/>
          </w:tcPr>
          <w:p w14:paraId="0C1C8B8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auto"/>
                <w:spacing w:val="0"/>
                <w:kern w:val="0"/>
                <w:sz w:val="22"/>
                <w:szCs w:val="22"/>
                <w:highlight w:val="none"/>
                <w:u w:val="none"/>
                <w:lang w:val="en-US" w:eastAsia="zh-CN" w:bidi="ar"/>
              </w:rPr>
            </w:pPr>
            <w:r>
              <w:rPr>
                <w:rFonts w:hint="eastAsia" w:ascii="宋体" w:hAnsi="宋体" w:eastAsia="宋体" w:cs="宋体"/>
                <w:b/>
                <w:i w:val="0"/>
                <w:color w:val="auto"/>
                <w:spacing w:val="0"/>
                <w:kern w:val="0"/>
                <w:sz w:val="22"/>
                <w:szCs w:val="22"/>
                <w:highlight w:val="none"/>
                <w:u w:val="none"/>
                <w:lang w:val="en-US" w:eastAsia="zh-CN" w:bidi="ar"/>
              </w:rPr>
              <w:t>具体指标</w:t>
            </w:r>
          </w:p>
        </w:tc>
        <w:tc>
          <w:tcPr>
            <w:tcW w:w="7368" w:type="dxa"/>
            <w:tcBorders>
              <w:tl2br w:val="nil"/>
              <w:tr2bl w:val="nil"/>
            </w:tcBorders>
            <w:tcMar>
              <w:top w:w="15" w:type="dxa"/>
              <w:left w:w="15" w:type="dxa"/>
              <w:right w:w="15" w:type="dxa"/>
            </w:tcMar>
            <w:vAlign w:val="center"/>
          </w:tcPr>
          <w:p w14:paraId="2E551F8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auto"/>
                <w:spacing w:val="0"/>
                <w:kern w:val="0"/>
                <w:sz w:val="22"/>
                <w:szCs w:val="22"/>
                <w:highlight w:val="none"/>
                <w:u w:val="none"/>
                <w:lang w:val="en-US" w:eastAsia="zh-CN" w:bidi="ar"/>
              </w:rPr>
            </w:pPr>
            <w:r>
              <w:rPr>
                <w:rFonts w:hint="eastAsia" w:ascii="宋体" w:hAnsi="宋体" w:eastAsia="宋体" w:cs="宋体"/>
                <w:b/>
                <w:i w:val="0"/>
                <w:color w:val="auto"/>
                <w:spacing w:val="0"/>
                <w:kern w:val="0"/>
                <w:sz w:val="22"/>
                <w:szCs w:val="22"/>
                <w:highlight w:val="none"/>
                <w:u w:val="none"/>
                <w:lang w:val="en-US" w:eastAsia="zh-CN" w:bidi="ar"/>
              </w:rPr>
              <w:t>计分标准</w:t>
            </w:r>
          </w:p>
        </w:tc>
      </w:tr>
      <w:tr w14:paraId="7A820F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08" w:type="dxa"/>
            <w:tcBorders>
              <w:tl2br w:val="nil"/>
              <w:tr2bl w:val="nil"/>
            </w:tcBorders>
            <w:tcMar>
              <w:top w:w="15" w:type="dxa"/>
              <w:left w:w="15" w:type="dxa"/>
              <w:right w:w="15" w:type="dxa"/>
            </w:tcMar>
            <w:vAlign w:val="center"/>
          </w:tcPr>
          <w:p w14:paraId="08AB99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利率</w:t>
            </w:r>
          </w:p>
          <w:p w14:paraId="0C73BFC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水平</w:t>
            </w:r>
          </w:p>
          <w:p w14:paraId="3D1F56B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w:t>
            </w:r>
            <w:r>
              <w:rPr>
                <w:rFonts w:hint="default" w:ascii="宋体" w:hAnsi="宋体" w:eastAsia="宋体" w:cs="宋体"/>
                <w:i w:val="0"/>
                <w:color w:val="auto"/>
                <w:spacing w:val="0"/>
                <w:kern w:val="0"/>
                <w:sz w:val="22"/>
                <w:szCs w:val="22"/>
                <w:highlight w:val="none"/>
                <w:u w:val="none"/>
                <w:lang w:val="en-US" w:eastAsia="zh-CN" w:bidi="ar"/>
              </w:rPr>
              <w:t>4</w:t>
            </w:r>
            <w:r>
              <w:rPr>
                <w:rFonts w:hint="eastAsia" w:ascii="宋体" w:hAnsi="宋体" w:eastAsia="宋体" w:cs="宋体"/>
                <w:i w:val="0"/>
                <w:color w:val="auto"/>
                <w:spacing w:val="0"/>
                <w:kern w:val="0"/>
                <w:sz w:val="22"/>
                <w:szCs w:val="22"/>
                <w:highlight w:val="none"/>
                <w:u w:val="none"/>
                <w:lang w:val="en-US" w:eastAsia="zh-CN" w:bidi="ar"/>
              </w:rPr>
              <w:t>分）</w:t>
            </w:r>
          </w:p>
        </w:tc>
        <w:tc>
          <w:tcPr>
            <w:tcW w:w="1429" w:type="dxa"/>
            <w:tcBorders>
              <w:tl2br w:val="nil"/>
              <w:tr2bl w:val="nil"/>
            </w:tcBorders>
            <w:tcMar>
              <w:top w:w="15" w:type="dxa"/>
              <w:left w:w="15" w:type="dxa"/>
              <w:right w:w="15" w:type="dxa"/>
            </w:tcMar>
            <w:vAlign w:val="center"/>
          </w:tcPr>
          <w:p w14:paraId="7796208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定期存款</w:t>
            </w:r>
          </w:p>
          <w:p w14:paraId="4C10C3A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年利率</w:t>
            </w:r>
          </w:p>
          <w:p w14:paraId="4A994D9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w:t>
            </w:r>
            <w:r>
              <w:rPr>
                <w:rFonts w:hint="default" w:ascii="宋体" w:hAnsi="宋体" w:eastAsia="宋体" w:cs="宋体"/>
                <w:i w:val="0"/>
                <w:color w:val="auto"/>
                <w:spacing w:val="0"/>
                <w:kern w:val="0"/>
                <w:sz w:val="22"/>
                <w:szCs w:val="22"/>
                <w:highlight w:val="none"/>
                <w:u w:val="none"/>
                <w:lang w:val="en-US" w:eastAsia="zh-CN" w:bidi="ar"/>
              </w:rPr>
              <w:t>4</w:t>
            </w:r>
            <w:r>
              <w:rPr>
                <w:rFonts w:hint="eastAsia" w:ascii="宋体" w:hAnsi="宋体" w:eastAsia="宋体" w:cs="宋体"/>
                <w:i w:val="0"/>
                <w:color w:val="auto"/>
                <w:spacing w:val="0"/>
                <w:kern w:val="0"/>
                <w:sz w:val="22"/>
                <w:szCs w:val="22"/>
                <w:highlight w:val="none"/>
                <w:u w:val="none"/>
                <w:lang w:val="en-US" w:eastAsia="zh-CN" w:bidi="ar"/>
              </w:rPr>
              <w:t>分）</w:t>
            </w:r>
          </w:p>
        </w:tc>
        <w:tc>
          <w:tcPr>
            <w:tcW w:w="7368" w:type="dxa"/>
            <w:tcBorders>
              <w:tl2br w:val="nil"/>
              <w:tr2bl w:val="nil"/>
            </w:tcBorders>
            <w:tcMar>
              <w:top w:w="15" w:type="dxa"/>
              <w:left w:w="15" w:type="dxa"/>
              <w:right w:w="15" w:type="dxa"/>
            </w:tcMar>
            <w:vAlign w:val="center"/>
          </w:tcPr>
          <w:p w14:paraId="7145785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按照各投标</w:t>
            </w:r>
            <w:r>
              <w:rPr>
                <w:rFonts w:hint="eastAsia" w:ascii="宋体" w:hAnsi="宋体" w:eastAsia="宋体" w:cs="宋体"/>
                <w:i w:val="0"/>
                <w:color w:val="auto"/>
                <w:spacing w:val="0"/>
                <w:kern w:val="0"/>
                <w:sz w:val="22"/>
                <w:szCs w:val="22"/>
                <w:highlight w:val="none"/>
                <w:u w:val="none"/>
                <w:lang w:val="zh-CN" w:eastAsia="zh-CN" w:bidi="ar"/>
              </w:rPr>
              <w:t>银行自律机制规定上限作为评标基准利率，达到该银行自律机制规定上限的得满分</w:t>
            </w:r>
            <w:r>
              <w:rPr>
                <w:rFonts w:hint="eastAsia" w:ascii="宋体" w:hAnsi="宋体" w:eastAsia="宋体" w:cs="宋体"/>
                <w:i w:val="0"/>
                <w:color w:val="auto"/>
                <w:spacing w:val="0"/>
                <w:kern w:val="0"/>
                <w:sz w:val="22"/>
                <w:szCs w:val="22"/>
                <w:highlight w:val="none"/>
                <w:u w:val="none"/>
                <w:lang w:val="en-US" w:eastAsia="zh-CN" w:bidi="ar"/>
              </w:rPr>
              <w:t>4</w:t>
            </w:r>
            <w:r>
              <w:rPr>
                <w:rFonts w:hint="eastAsia" w:ascii="宋体" w:hAnsi="宋体" w:eastAsia="宋体" w:cs="宋体"/>
                <w:i w:val="0"/>
                <w:color w:val="auto"/>
                <w:spacing w:val="0"/>
                <w:kern w:val="0"/>
                <w:sz w:val="22"/>
                <w:szCs w:val="22"/>
                <w:highlight w:val="none"/>
                <w:u w:val="none"/>
                <w:lang w:val="zh-CN" w:eastAsia="zh-CN" w:bidi="ar"/>
              </w:rPr>
              <w:t>分，未达上限的按占比计分</w:t>
            </w:r>
            <w:r>
              <w:rPr>
                <w:rFonts w:hint="eastAsia" w:ascii="宋体" w:hAnsi="宋体" w:eastAsia="宋体" w:cs="宋体"/>
                <w:i w:val="0"/>
                <w:color w:val="auto"/>
                <w:spacing w:val="0"/>
                <w:kern w:val="0"/>
                <w:sz w:val="22"/>
                <w:szCs w:val="22"/>
                <w:highlight w:val="none"/>
                <w:u w:val="none"/>
                <w:lang w:val="en-US" w:eastAsia="zh-CN" w:bidi="ar"/>
              </w:rPr>
              <w:t>。</w:t>
            </w:r>
          </w:p>
          <w:p w14:paraId="3C2064E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注：政采云平台中各投标银行的报价数据。</w:t>
            </w:r>
          </w:p>
        </w:tc>
      </w:tr>
      <w:tr w14:paraId="7E9A2F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08" w:type="dxa"/>
            <w:vMerge w:val="restart"/>
            <w:tcBorders>
              <w:tl2br w:val="nil"/>
              <w:tr2bl w:val="nil"/>
            </w:tcBorders>
            <w:tcMar>
              <w:top w:w="15" w:type="dxa"/>
              <w:left w:w="15" w:type="dxa"/>
              <w:right w:w="15" w:type="dxa"/>
            </w:tcMar>
            <w:vAlign w:val="center"/>
          </w:tcPr>
          <w:p w14:paraId="51A7C1D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经营</w:t>
            </w:r>
          </w:p>
          <w:p w14:paraId="4D484AC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状况</w:t>
            </w:r>
          </w:p>
          <w:p w14:paraId="02DB5F1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（30分）</w:t>
            </w:r>
          </w:p>
        </w:tc>
        <w:tc>
          <w:tcPr>
            <w:tcW w:w="1429" w:type="dxa"/>
            <w:tcBorders>
              <w:tl2br w:val="nil"/>
              <w:tr2bl w:val="nil"/>
            </w:tcBorders>
            <w:tcMar>
              <w:top w:w="15" w:type="dxa"/>
              <w:left w:w="15" w:type="dxa"/>
              <w:right w:w="15" w:type="dxa"/>
            </w:tcMar>
            <w:vAlign w:val="center"/>
          </w:tcPr>
          <w:p w14:paraId="2B33B68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sz w:val="22"/>
                <w:szCs w:val="22"/>
                <w:highlight w:val="none"/>
                <w:u w:val="none"/>
              </w:rPr>
            </w:pPr>
            <w:r>
              <w:rPr>
                <w:rFonts w:hint="eastAsia" w:ascii="宋体" w:hAnsi="宋体" w:eastAsia="宋体" w:cs="宋体"/>
                <w:i w:val="0"/>
                <w:color w:val="auto"/>
                <w:spacing w:val="0"/>
                <w:kern w:val="0"/>
                <w:sz w:val="22"/>
                <w:szCs w:val="22"/>
                <w:highlight w:val="none"/>
                <w:u w:val="none"/>
                <w:lang w:val="en-US" w:eastAsia="zh-CN" w:bidi="ar"/>
              </w:rPr>
              <w:t>1.存贷款增速（4分）</w:t>
            </w:r>
          </w:p>
        </w:tc>
        <w:tc>
          <w:tcPr>
            <w:tcW w:w="7368" w:type="dxa"/>
            <w:tcBorders>
              <w:tl2br w:val="nil"/>
              <w:tr2bl w:val="nil"/>
            </w:tcBorders>
            <w:tcMar>
              <w:top w:w="15" w:type="dxa"/>
              <w:left w:w="15" w:type="dxa"/>
              <w:right w:w="15" w:type="dxa"/>
            </w:tcMar>
            <w:vAlign w:val="center"/>
          </w:tcPr>
          <w:p w14:paraId="386081C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按投标前市对县GDP考核中4个季度考核月各投标银行的存贷款增速排名计分，其中，4季度考核月、1季度考核月的计分权重为30%，其余2个季度考核月的计分权重为20%。按计算结果排名赋分。第1名得满分，每递减一名扣0.02分。</w:t>
            </w:r>
          </w:p>
          <w:p w14:paraId="47F3E4B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计算公式：（各投标银行4季度考核月存贷款增速×30%+各投标银行1季度考核月存贷款增速×30%+各投标银行2季度考核月存贷款增速×20%+各投标银行3季度考核月存贷款增速×20%）。增速为负的不得分。</w:t>
            </w:r>
          </w:p>
          <w:p w14:paraId="2AD6B39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注：此项数据由人行台州市分行提供。</w:t>
            </w:r>
          </w:p>
        </w:tc>
      </w:tr>
      <w:tr w14:paraId="4E2377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95" w:hRule="atLeast"/>
          <w:jc w:val="center"/>
        </w:trPr>
        <w:tc>
          <w:tcPr>
            <w:tcW w:w="1008" w:type="dxa"/>
            <w:vMerge w:val="continue"/>
            <w:tcBorders>
              <w:tl2br w:val="nil"/>
              <w:tr2bl w:val="nil"/>
            </w:tcBorders>
            <w:tcMar>
              <w:top w:w="15" w:type="dxa"/>
              <w:left w:w="15" w:type="dxa"/>
              <w:right w:w="15" w:type="dxa"/>
            </w:tcMar>
            <w:vAlign w:val="center"/>
          </w:tcPr>
          <w:p w14:paraId="08D1F1E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p>
        </w:tc>
        <w:tc>
          <w:tcPr>
            <w:tcW w:w="1429" w:type="dxa"/>
            <w:tcBorders>
              <w:tl2br w:val="nil"/>
              <w:tr2bl w:val="nil"/>
            </w:tcBorders>
            <w:tcMar>
              <w:top w:w="15" w:type="dxa"/>
              <w:left w:w="15" w:type="dxa"/>
              <w:right w:w="15" w:type="dxa"/>
            </w:tcMar>
            <w:vAlign w:val="center"/>
          </w:tcPr>
          <w:p w14:paraId="2488C79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sz w:val="22"/>
                <w:szCs w:val="22"/>
                <w:highlight w:val="none"/>
                <w:u w:val="none"/>
              </w:rPr>
            </w:pPr>
            <w:r>
              <w:rPr>
                <w:rFonts w:hint="eastAsia" w:ascii="宋体" w:hAnsi="宋体" w:eastAsia="宋体" w:cs="宋体"/>
                <w:i w:val="0"/>
                <w:color w:val="auto"/>
                <w:spacing w:val="0"/>
                <w:kern w:val="0"/>
                <w:sz w:val="22"/>
                <w:szCs w:val="22"/>
                <w:highlight w:val="none"/>
                <w:u w:val="none"/>
                <w:lang w:val="en-US" w:eastAsia="zh-CN" w:bidi="ar"/>
              </w:rPr>
              <w:t>2.对全县存贷款增长的贡献率（5分）</w:t>
            </w:r>
          </w:p>
        </w:tc>
        <w:tc>
          <w:tcPr>
            <w:tcW w:w="7368" w:type="dxa"/>
            <w:tcBorders>
              <w:tl2br w:val="nil"/>
              <w:tr2bl w:val="nil"/>
            </w:tcBorders>
            <w:tcMar>
              <w:top w:w="15" w:type="dxa"/>
              <w:left w:w="15" w:type="dxa"/>
              <w:right w:w="15" w:type="dxa"/>
            </w:tcMar>
            <w:vAlign w:val="center"/>
          </w:tcPr>
          <w:p w14:paraId="5C9CB40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按投标前市对县GDP考核中4个季度考核月各投标银行对全县存贷款增长的贡献率排名计分，其中，4季度考核月、1季度考核月的计分权重为30%，其余2个季度考核月的计分权重为20%。按计算结果排名赋分。第1名得满分，每递减一名扣0.02分。</w:t>
            </w:r>
          </w:p>
          <w:p w14:paraId="642B0E3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计算公式：（各投标银行4季度考核月存贷款增量/全县4季度考核月存贷款增量×30%+各投标银行1季度考核月存贷款增量/全县1季度考核月存贷款增量×30%+各投标银行2季度考核月存贷款增量/全县2季度考核月存贷款增量×20%+各投标银行3季度考核月存贷款增量/全县3季度考核月存贷款增量×20%）。</w:t>
            </w:r>
          </w:p>
          <w:p w14:paraId="2698BD1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注：此项数据由人行台州市分行提供。</w:t>
            </w:r>
          </w:p>
        </w:tc>
      </w:tr>
      <w:tr w14:paraId="33DC39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008" w:type="dxa"/>
            <w:vMerge w:val="continue"/>
            <w:tcBorders>
              <w:tl2br w:val="nil"/>
              <w:tr2bl w:val="nil"/>
            </w:tcBorders>
            <w:tcMar>
              <w:top w:w="15" w:type="dxa"/>
              <w:left w:w="15" w:type="dxa"/>
              <w:right w:w="15" w:type="dxa"/>
            </w:tcMar>
            <w:vAlign w:val="center"/>
          </w:tcPr>
          <w:p w14:paraId="477A7C1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p>
        </w:tc>
        <w:tc>
          <w:tcPr>
            <w:tcW w:w="1429" w:type="dxa"/>
            <w:tcBorders>
              <w:tl2br w:val="nil"/>
              <w:tr2bl w:val="nil"/>
            </w:tcBorders>
            <w:tcMar>
              <w:top w:w="15" w:type="dxa"/>
              <w:left w:w="15" w:type="dxa"/>
              <w:right w:w="15" w:type="dxa"/>
            </w:tcMar>
            <w:vAlign w:val="center"/>
          </w:tcPr>
          <w:p w14:paraId="3F212E7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3.贷款增速</w:t>
            </w:r>
          </w:p>
          <w:p w14:paraId="11E85BE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sz w:val="22"/>
                <w:szCs w:val="22"/>
                <w:highlight w:val="none"/>
                <w:u w:val="none"/>
              </w:rPr>
            </w:pPr>
            <w:r>
              <w:rPr>
                <w:rFonts w:hint="eastAsia" w:ascii="宋体" w:hAnsi="宋体" w:eastAsia="宋体" w:cs="宋体"/>
                <w:i w:val="0"/>
                <w:color w:val="auto"/>
                <w:spacing w:val="0"/>
                <w:kern w:val="0"/>
                <w:sz w:val="22"/>
                <w:szCs w:val="22"/>
                <w:highlight w:val="none"/>
                <w:u w:val="none"/>
                <w:lang w:val="en-US" w:eastAsia="zh-CN" w:bidi="ar"/>
              </w:rPr>
              <w:t>（4分）</w:t>
            </w:r>
          </w:p>
        </w:tc>
        <w:tc>
          <w:tcPr>
            <w:tcW w:w="7368" w:type="dxa"/>
            <w:tcBorders>
              <w:tl2br w:val="nil"/>
              <w:tr2bl w:val="nil"/>
            </w:tcBorders>
            <w:tcMar>
              <w:top w:w="15" w:type="dxa"/>
              <w:left w:w="15" w:type="dxa"/>
              <w:right w:w="15" w:type="dxa"/>
            </w:tcMar>
            <w:vAlign w:val="center"/>
          </w:tcPr>
          <w:p w14:paraId="1E8E0AC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按投标前市对县GDP考核中4个季度考核月各投标银行的新增贷款增速排名计分，其中，4季度考核月、1季度考核月的计分权重为30%，其余2个季度考核月的计分权重为20%。按计算结果排名赋分。第1名得满分，每递减一名扣0.02分。</w:t>
            </w:r>
          </w:p>
          <w:p w14:paraId="43C6785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计算公式：（各投标银行4季度考核月新增贷款增速×30%+各投标银行1季度考核月新增贷款增速×30%+各投标银行2季度考核月新增贷款增速×20%+各投标银行3季度考核月新增贷款增速×20%）。</w:t>
            </w:r>
          </w:p>
          <w:p w14:paraId="64F1B28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b/>
                <w:bCs/>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注：此项数据由人行台州市分行提供。</w:t>
            </w:r>
          </w:p>
        </w:tc>
      </w:tr>
      <w:tr w14:paraId="3CD69C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1008" w:type="dxa"/>
            <w:vMerge w:val="continue"/>
            <w:tcBorders>
              <w:tl2br w:val="nil"/>
              <w:tr2bl w:val="nil"/>
            </w:tcBorders>
            <w:tcMar>
              <w:top w:w="15" w:type="dxa"/>
              <w:left w:w="15" w:type="dxa"/>
              <w:right w:w="15" w:type="dxa"/>
            </w:tcMar>
            <w:vAlign w:val="center"/>
          </w:tcPr>
          <w:p w14:paraId="77D14F0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p>
        </w:tc>
        <w:tc>
          <w:tcPr>
            <w:tcW w:w="1429" w:type="dxa"/>
            <w:tcBorders>
              <w:tl2br w:val="nil"/>
              <w:tr2bl w:val="nil"/>
            </w:tcBorders>
            <w:tcMar>
              <w:top w:w="15" w:type="dxa"/>
              <w:left w:w="15" w:type="dxa"/>
              <w:right w:w="15" w:type="dxa"/>
            </w:tcMar>
            <w:vAlign w:val="center"/>
          </w:tcPr>
          <w:p w14:paraId="2D7210C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p>
          <w:p w14:paraId="0A375F4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p>
          <w:p w14:paraId="7E4EAFB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sz w:val="22"/>
                <w:szCs w:val="22"/>
                <w:highlight w:val="none"/>
                <w:u w:val="none"/>
              </w:rPr>
            </w:pPr>
            <w:r>
              <w:rPr>
                <w:rFonts w:hint="eastAsia" w:ascii="宋体" w:hAnsi="宋体" w:eastAsia="宋体" w:cs="宋体"/>
                <w:i w:val="0"/>
                <w:color w:val="auto"/>
                <w:spacing w:val="0"/>
                <w:kern w:val="0"/>
                <w:sz w:val="22"/>
                <w:szCs w:val="22"/>
                <w:highlight w:val="none"/>
                <w:u w:val="none"/>
                <w:lang w:val="en-US" w:eastAsia="zh-CN" w:bidi="ar"/>
              </w:rPr>
              <w:t>4.对全县贷款增长的贡献率（5分）</w:t>
            </w:r>
          </w:p>
        </w:tc>
        <w:tc>
          <w:tcPr>
            <w:tcW w:w="7368" w:type="dxa"/>
            <w:tcBorders>
              <w:tl2br w:val="nil"/>
              <w:tr2bl w:val="nil"/>
            </w:tcBorders>
            <w:tcMar>
              <w:top w:w="15" w:type="dxa"/>
              <w:left w:w="15" w:type="dxa"/>
              <w:right w:w="15" w:type="dxa"/>
            </w:tcMar>
            <w:vAlign w:val="center"/>
          </w:tcPr>
          <w:p w14:paraId="3E69492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6"/>
                <w:kern w:val="0"/>
                <w:sz w:val="22"/>
                <w:szCs w:val="22"/>
                <w:highlight w:val="none"/>
                <w:u w:val="none"/>
                <w:lang w:val="en-US" w:eastAsia="zh-CN" w:bidi="ar"/>
              </w:rPr>
            </w:pPr>
            <w:r>
              <w:rPr>
                <w:rFonts w:hint="eastAsia" w:ascii="宋体" w:hAnsi="宋体" w:eastAsia="宋体" w:cs="宋体"/>
                <w:i w:val="0"/>
                <w:color w:val="auto"/>
                <w:spacing w:val="-6"/>
                <w:kern w:val="0"/>
                <w:sz w:val="22"/>
                <w:szCs w:val="22"/>
                <w:highlight w:val="none"/>
                <w:u w:val="none"/>
                <w:lang w:val="en-US" w:eastAsia="zh-CN" w:bidi="ar"/>
              </w:rPr>
              <w:t>按投标前市对县GDP考核中4个季度考核月各投标银行对全县贷款增长的贡献率排名计分，其中，4季度考核月、1季度考核月的计分权重为30%，其余2个季度考核月的计分权重各20%。按计算结果排名赋分。第1名得满分，每递减一名扣0.02分。</w:t>
            </w:r>
          </w:p>
          <w:p w14:paraId="05141D1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6"/>
                <w:kern w:val="0"/>
                <w:sz w:val="22"/>
                <w:szCs w:val="22"/>
                <w:highlight w:val="none"/>
                <w:u w:val="none"/>
                <w:lang w:val="en-US" w:eastAsia="zh-CN" w:bidi="ar"/>
              </w:rPr>
            </w:pPr>
            <w:r>
              <w:rPr>
                <w:rFonts w:hint="eastAsia" w:ascii="宋体" w:hAnsi="宋体" w:eastAsia="宋体" w:cs="宋体"/>
                <w:i w:val="0"/>
                <w:color w:val="auto"/>
                <w:spacing w:val="-6"/>
                <w:kern w:val="0"/>
                <w:sz w:val="22"/>
                <w:szCs w:val="22"/>
                <w:highlight w:val="none"/>
                <w:u w:val="none"/>
                <w:lang w:val="en-US" w:eastAsia="zh-CN" w:bidi="ar"/>
              </w:rPr>
              <w:t>计算公式：（各投标银行4季度考核月新增贷款增量/全县4季度考核月新增贷款增量×30%+各投标银行1季度考核月新增贷款增量/全县1季度考核月新增贷款增量×30%+各投标银行2季度考核月新增贷款增量/全县2季度考核月新增贷款增量×20%+各投标银行3季度考核月新增贷款增量/全县3季度考核月新增贷款增量×20%）。</w:t>
            </w:r>
          </w:p>
          <w:p w14:paraId="1C9F29B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注：此项数据由人行台州市分行提供。</w:t>
            </w:r>
          </w:p>
        </w:tc>
      </w:tr>
      <w:tr w14:paraId="3A77D8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08" w:type="dxa"/>
            <w:vMerge w:val="continue"/>
            <w:tcBorders>
              <w:tl2br w:val="nil"/>
              <w:tr2bl w:val="nil"/>
            </w:tcBorders>
            <w:tcMar>
              <w:top w:w="15" w:type="dxa"/>
              <w:left w:w="15" w:type="dxa"/>
              <w:right w:w="15" w:type="dxa"/>
            </w:tcMar>
            <w:vAlign w:val="center"/>
          </w:tcPr>
          <w:p w14:paraId="7EDDBBE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p>
        </w:tc>
        <w:tc>
          <w:tcPr>
            <w:tcW w:w="1429" w:type="dxa"/>
            <w:tcBorders>
              <w:tl2br w:val="nil"/>
              <w:tr2bl w:val="nil"/>
            </w:tcBorders>
            <w:tcMar>
              <w:top w:w="15" w:type="dxa"/>
              <w:left w:w="15" w:type="dxa"/>
              <w:right w:w="15" w:type="dxa"/>
            </w:tcMar>
            <w:vAlign w:val="center"/>
          </w:tcPr>
          <w:p w14:paraId="0127C54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5.月平均贷款余额（4分）</w:t>
            </w:r>
          </w:p>
        </w:tc>
        <w:tc>
          <w:tcPr>
            <w:tcW w:w="7368" w:type="dxa"/>
            <w:tcBorders>
              <w:tl2br w:val="nil"/>
              <w:tr2bl w:val="nil"/>
            </w:tcBorders>
            <w:tcMar>
              <w:top w:w="15" w:type="dxa"/>
              <w:left w:w="15" w:type="dxa"/>
              <w:right w:w="15" w:type="dxa"/>
            </w:tcMar>
            <w:vAlign w:val="center"/>
          </w:tcPr>
          <w:p w14:paraId="6D3D0CB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按照各投标银行投标月份前12个月在我县的月平均贷款余额。按计算结果排名赋分。第1名的得满分，其他投标银行每递减1名扣0.02分。</w:t>
            </w:r>
          </w:p>
          <w:p w14:paraId="2F828BA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注：此项数据由人行台州市分行提供。</w:t>
            </w:r>
          </w:p>
        </w:tc>
      </w:tr>
      <w:tr w14:paraId="097149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008" w:type="dxa"/>
            <w:vMerge w:val="continue"/>
            <w:tcBorders>
              <w:tl2br w:val="nil"/>
              <w:tr2bl w:val="nil"/>
            </w:tcBorders>
            <w:tcMar>
              <w:top w:w="15" w:type="dxa"/>
              <w:left w:w="15" w:type="dxa"/>
              <w:right w:w="15" w:type="dxa"/>
            </w:tcMar>
            <w:vAlign w:val="center"/>
          </w:tcPr>
          <w:p w14:paraId="02D957D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p>
        </w:tc>
        <w:tc>
          <w:tcPr>
            <w:tcW w:w="1429" w:type="dxa"/>
            <w:tcBorders>
              <w:tl2br w:val="nil"/>
              <w:tr2bl w:val="nil"/>
            </w:tcBorders>
            <w:tcMar>
              <w:top w:w="15" w:type="dxa"/>
              <w:left w:w="15" w:type="dxa"/>
              <w:right w:w="15" w:type="dxa"/>
            </w:tcMar>
            <w:vAlign w:val="center"/>
          </w:tcPr>
          <w:p w14:paraId="1DA99BEF">
            <w:pPr>
              <w:keepNext w:val="0"/>
              <w:keepLines w:val="0"/>
              <w:pageBreakBefore w:val="0"/>
              <w:widowControl/>
              <w:numPr>
                <w:ilvl w:val="0"/>
                <w:numId w:val="5"/>
              </w:numPr>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贷款增量</w:t>
            </w:r>
          </w:p>
          <w:p w14:paraId="75473AC1">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firstLine="440" w:firstLineChars="200"/>
              <w:jc w:val="both"/>
              <w:textAlignment w:val="center"/>
              <w:rPr>
                <w:rFonts w:hint="eastAsia" w:ascii="宋体" w:hAnsi="宋体" w:eastAsia="宋体" w:cs="宋体"/>
                <w:b w:val="0"/>
                <w:bCs w:val="0"/>
                <w:i w:val="0"/>
                <w:color w:val="auto"/>
                <w:spacing w:val="0"/>
                <w:sz w:val="22"/>
                <w:szCs w:val="22"/>
                <w:highlight w:val="none"/>
                <w:u w:val="none"/>
              </w:rPr>
            </w:pPr>
            <w:r>
              <w:rPr>
                <w:rFonts w:hint="eastAsia" w:ascii="宋体" w:hAnsi="宋体" w:eastAsia="宋体" w:cs="宋体"/>
                <w:i w:val="0"/>
                <w:color w:val="auto"/>
                <w:spacing w:val="0"/>
                <w:kern w:val="0"/>
                <w:sz w:val="22"/>
                <w:szCs w:val="22"/>
                <w:highlight w:val="none"/>
                <w:u w:val="none"/>
                <w:lang w:val="en-US" w:eastAsia="zh-CN" w:bidi="ar"/>
              </w:rPr>
              <w:t>（5分）</w:t>
            </w:r>
          </w:p>
        </w:tc>
        <w:tc>
          <w:tcPr>
            <w:tcW w:w="7368" w:type="dxa"/>
            <w:tcBorders>
              <w:tl2br w:val="nil"/>
              <w:tr2bl w:val="nil"/>
            </w:tcBorders>
            <w:tcMar>
              <w:top w:w="15" w:type="dxa"/>
              <w:left w:w="15" w:type="dxa"/>
              <w:right w:w="15" w:type="dxa"/>
            </w:tcMar>
            <w:vAlign w:val="center"/>
          </w:tcPr>
          <w:p w14:paraId="2A4A7A4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按照各投标银行投标月份前1个月份的贷款余额比该银行年初数的增量。按计算结果排名赋分。第1名得满分，其他投标银行每递减1名扣0.02分。</w:t>
            </w:r>
          </w:p>
          <w:p w14:paraId="7286951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 xml:space="preserve">注：此项数据由人行台州市分行提供。 </w:t>
            </w:r>
            <w:r>
              <w:rPr>
                <w:rFonts w:hint="eastAsia" w:ascii="宋体" w:hAnsi="宋体" w:eastAsia="宋体" w:cs="宋体"/>
                <w:i w:val="0"/>
                <w:color w:val="auto"/>
                <w:spacing w:val="0"/>
                <w:kern w:val="0"/>
                <w:sz w:val="22"/>
                <w:szCs w:val="22"/>
                <w:highlight w:val="none"/>
                <w:u w:val="none"/>
                <w:lang w:val="en-US" w:eastAsia="zh-CN" w:bidi="ar"/>
              </w:rPr>
              <w:t xml:space="preserve">             </w:t>
            </w:r>
          </w:p>
        </w:tc>
      </w:tr>
      <w:tr w14:paraId="23D256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08" w:type="dxa"/>
            <w:vMerge w:val="continue"/>
            <w:tcBorders>
              <w:tl2br w:val="nil"/>
              <w:tr2bl w:val="nil"/>
            </w:tcBorders>
            <w:tcMar>
              <w:top w:w="15" w:type="dxa"/>
              <w:left w:w="15" w:type="dxa"/>
              <w:right w:w="15" w:type="dxa"/>
            </w:tcMar>
            <w:vAlign w:val="center"/>
          </w:tcPr>
          <w:p w14:paraId="790A29E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p>
        </w:tc>
        <w:tc>
          <w:tcPr>
            <w:tcW w:w="1429" w:type="dxa"/>
            <w:tcBorders>
              <w:tl2br w:val="nil"/>
              <w:tr2bl w:val="nil"/>
            </w:tcBorders>
            <w:tcMar>
              <w:top w:w="15" w:type="dxa"/>
              <w:left w:w="15" w:type="dxa"/>
              <w:right w:w="15" w:type="dxa"/>
            </w:tcMar>
            <w:vAlign w:val="center"/>
          </w:tcPr>
          <w:p w14:paraId="10B5068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color w:val="auto"/>
                <w:spacing w:val="0"/>
                <w:sz w:val="22"/>
                <w:szCs w:val="22"/>
                <w:highlight w:val="none"/>
                <w:u w:val="none"/>
              </w:rPr>
            </w:pPr>
            <w:r>
              <w:rPr>
                <w:rFonts w:hint="eastAsia" w:ascii="宋体" w:hAnsi="宋体" w:eastAsia="宋体" w:cs="宋体"/>
                <w:i w:val="0"/>
                <w:color w:val="auto"/>
                <w:spacing w:val="0"/>
                <w:kern w:val="0"/>
                <w:sz w:val="22"/>
                <w:szCs w:val="22"/>
                <w:highlight w:val="none"/>
                <w:u w:val="none"/>
                <w:lang w:val="en-US" w:eastAsia="zh-CN" w:bidi="ar"/>
              </w:rPr>
              <w:t>7.不良贷款率（3分）</w:t>
            </w:r>
          </w:p>
        </w:tc>
        <w:tc>
          <w:tcPr>
            <w:tcW w:w="7368" w:type="dxa"/>
            <w:tcBorders>
              <w:tl2br w:val="nil"/>
              <w:tr2bl w:val="nil"/>
            </w:tcBorders>
            <w:tcMar>
              <w:top w:w="15" w:type="dxa"/>
              <w:left w:w="15" w:type="dxa"/>
              <w:right w:w="15" w:type="dxa"/>
            </w:tcMar>
            <w:vAlign w:val="center"/>
          </w:tcPr>
          <w:p w14:paraId="3FF6B45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按照各投标银行上一年末的不良贷款率排名。按计算结果排名赋分。最低的为第1名，第1名得满分，每递减1名扣0.02分。</w:t>
            </w:r>
          </w:p>
          <w:p w14:paraId="041992A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注：此项数据由国家金融监督管理总局天台监管支局提供。</w:t>
            </w:r>
          </w:p>
        </w:tc>
      </w:tr>
      <w:tr w14:paraId="25BD7C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6" w:hRule="atLeast"/>
          <w:jc w:val="center"/>
        </w:trPr>
        <w:tc>
          <w:tcPr>
            <w:tcW w:w="1008" w:type="dxa"/>
            <w:vMerge w:val="restart"/>
            <w:tcBorders>
              <w:tl2br w:val="nil"/>
              <w:tr2bl w:val="nil"/>
            </w:tcBorders>
            <w:tcMar>
              <w:top w:w="15" w:type="dxa"/>
              <w:left w:w="15" w:type="dxa"/>
              <w:right w:w="15" w:type="dxa"/>
            </w:tcMar>
            <w:vAlign w:val="center"/>
          </w:tcPr>
          <w:p w14:paraId="1927779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经济贡献度指标</w:t>
            </w:r>
          </w:p>
          <w:p w14:paraId="61ABEC5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（30分）</w:t>
            </w:r>
          </w:p>
        </w:tc>
        <w:tc>
          <w:tcPr>
            <w:tcW w:w="1429" w:type="dxa"/>
            <w:tcBorders>
              <w:tl2br w:val="nil"/>
              <w:tr2bl w:val="nil"/>
            </w:tcBorders>
            <w:tcMar>
              <w:top w:w="15" w:type="dxa"/>
              <w:left w:w="15" w:type="dxa"/>
              <w:right w:w="15" w:type="dxa"/>
            </w:tcMar>
            <w:vAlign w:val="center"/>
          </w:tcPr>
          <w:p w14:paraId="0AEA64E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sz w:val="22"/>
                <w:szCs w:val="22"/>
                <w:highlight w:val="none"/>
                <w:u w:val="none"/>
              </w:rPr>
            </w:pPr>
            <w:r>
              <w:rPr>
                <w:rFonts w:hint="eastAsia" w:ascii="宋体" w:hAnsi="宋体" w:eastAsia="宋体" w:cs="宋体"/>
                <w:i w:val="0"/>
                <w:color w:val="auto"/>
                <w:spacing w:val="0"/>
                <w:kern w:val="0"/>
                <w:sz w:val="22"/>
                <w:szCs w:val="22"/>
                <w:highlight w:val="none"/>
                <w:u w:val="none"/>
                <w:lang w:val="en-US" w:eastAsia="zh-CN" w:bidi="ar"/>
              </w:rPr>
              <w:t>8.存贷比差值（1分）</w:t>
            </w:r>
          </w:p>
        </w:tc>
        <w:tc>
          <w:tcPr>
            <w:tcW w:w="7368" w:type="dxa"/>
            <w:tcBorders>
              <w:tl2br w:val="nil"/>
              <w:tr2bl w:val="nil"/>
            </w:tcBorders>
            <w:tcMar>
              <w:top w:w="15" w:type="dxa"/>
              <w:left w:w="15" w:type="dxa"/>
              <w:right w:w="15" w:type="dxa"/>
            </w:tcMar>
            <w:vAlign w:val="center"/>
          </w:tcPr>
          <w:p w14:paraId="564E89D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按照各投标银行投标前1个月底的存贷比与同期我县银行业平均存贷比的差值计分。基准分为0.5分，差值为正数的，予以加分，每10个百分点，加0.05分，最多加0.5分；差值为负数的，予以扣分，每10个百分点，扣0.05分，扣完基准分为止。</w:t>
            </w:r>
          </w:p>
          <w:p w14:paraId="7790D86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sz w:val="22"/>
                <w:szCs w:val="22"/>
                <w:highlight w:val="none"/>
                <w:u w:val="none"/>
              </w:rPr>
            </w:pPr>
            <w:r>
              <w:rPr>
                <w:rFonts w:hint="eastAsia" w:ascii="宋体" w:hAnsi="宋体" w:eastAsia="宋体" w:cs="宋体"/>
                <w:b/>
                <w:bCs/>
                <w:i w:val="0"/>
                <w:color w:val="auto"/>
                <w:spacing w:val="0"/>
                <w:kern w:val="0"/>
                <w:sz w:val="22"/>
                <w:szCs w:val="22"/>
                <w:highlight w:val="none"/>
                <w:u w:val="none"/>
                <w:lang w:val="en-US" w:eastAsia="zh-CN" w:bidi="ar"/>
              </w:rPr>
              <w:t>注：此项数据由人行台州市分行提供。</w:t>
            </w:r>
          </w:p>
        </w:tc>
      </w:tr>
      <w:tr w14:paraId="009499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26" w:hRule="atLeast"/>
          <w:jc w:val="center"/>
        </w:trPr>
        <w:tc>
          <w:tcPr>
            <w:tcW w:w="1008" w:type="dxa"/>
            <w:vMerge w:val="continue"/>
            <w:tcBorders>
              <w:tl2br w:val="nil"/>
              <w:tr2bl w:val="nil"/>
            </w:tcBorders>
            <w:tcMar>
              <w:top w:w="15" w:type="dxa"/>
              <w:left w:w="15" w:type="dxa"/>
              <w:right w:w="15" w:type="dxa"/>
            </w:tcMar>
            <w:vAlign w:val="center"/>
          </w:tcPr>
          <w:p w14:paraId="40BEAE12">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pacing w:val="0"/>
                <w:sz w:val="22"/>
                <w:szCs w:val="22"/>
                <w:highlight w:val="none"/>
                <w:u w:val="none"/>
              </w:rPr>
            </w:pPr>
          </w:p>
        </w:tc>
        <w:tc>
          <w:tcPr>
            <w:tcW w:w="1429" w:type="dxa"/>
            <w:tcBorders>
              <w:tl2br w:val="nil"/>
              <w:tr2bl w:val="nil"/>
            </w:tcBorders>
            <w:tcMar>
              <w:top w:w="15" w:type="dxa"/>
              <w:left w:w="15" w:type="dxa"/>
              <w:right w:w="15" w:type="dxa"/>
            </w:tcMar>
            <w:vAlign w:val="center"/>
          </w:tcPr>
          <w:p w14:paraId="6C208BA8">
            <w:pPr>
              <w:keepNext w:val="0"/>
              <w:keepLines w:val="0"/>
              <w:pageBreakBefore w:val="0"/>
              <w:widowControl/>
              <w:numPr>
                <w:ilvl w:val="0"/>
                <w:numId w:val="6"/>
              </w:numPr>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color w:val="auto"/>
                <w:spacing w:val="0"/>
                <w:sz w:val="22"/>
                <w:szCs w:val="22"/>
                <w:highlight w:val="none"/>
                <w:u w:val="none"/>
              </w:rPr>
            </w:pPr>
            <w:r>
              <w:rPr>
                <w:rFonts w:hint="eastAsia" w:ascii="宋体" w:hAnsi="宋体" w:eastAsia="宋体" w:cs="宋体"/>
                <w:i w:val="0"/>
                <w:color w:val="auto"/>
                <w:spacing w:val="0"/>
                <w:kern w:val="0"/>
                <w:sz w:val="22"/>
                <w:szCs w:val="22"/>
                <w:highlight w:val="none"/>
                <w:u w:val="none"/>
                <w:lang w:val="en-US" w:eastAsia="zh-CN" w:bidi="ar"/>
              </w:rPr>
              <w:t>地方税费总额（5分）</w:t>
            </w:r>
          </w:p>
        </w:tc>
        <w:tc>
          <w:tcPr>
            <w:tcW w:w="7368" w:type="dxa"/>
            <w:tcBorders>
              <w:tl2br w:val="nil"/>
              <w:tr2bl w:val="nil"/>
            </w:tcBorders>
            <w:tcMar>
              <w:top w:w="15" w:type="dxa"/>
              <w:left w:w="15" w:type="dxa"/>
              <w:right w:w="15" w:type="dxa"/>
            </w:tcMar>
            <w:vAlign w:val="center"/>
          </w:tcPr>
          <w:p w14:paraId="74F62C18">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按照各投标银行上年度在天台县缴纳的纳入一般公共预算收入计算口径的税费为依据。按计算结果排名赋分。第1名的得满分，其他投标银行每递减1名扣0.02分。</w:t>
            </w:r>
          </w:p>
          <w:p w14:paraId="6CF5DD3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注：此项数据由天台县税务局提供。</w:t>
            </w:r>
          </w:p>
        </w:tc>
      </w:tr>
      <w:tr w14:paraId="0D3C94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08" w:type="dxa"/>
            <w:vMerge w:val="continue"/>
            <w:tcBorders>
              <w:tl2br w:val="nil"/>
              <w:tr2bl w:val="nil"/>
            </w:tcBorders>
            <w:tcMar>
              <w:top w:w="15" w:type="dxa"/>
              <w:left w:w="15" w:type="dxa"/>
              <w:right w:w="15" w:type="dxa"/>
            </w:tcMar>
            <w:vAlign w:val="center"/>
          </w:tcPr>
          <w:p w14:paraId="4C3EB241">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pacing w:val="0"/>
                <w:sz w:val="22"/>
                <w:szCs w:val="22"/>
                <w:highlight w:val="none"/>
                <w:u w:val="none"/>
              </w:rPr>
            </w:pPr>
          </w:p>
        </w:tc>
        <w:tc>
          <w:tcPr>
            <w:tcW w:w="1429" w:type="dxa"/>
            <w:tcBorders>
              <w:tl2br w:val="nil"/>
              <w:tr2bl w:val="nil"/>
            </w:tcBorders>
            <w:tcMar>
              <w:top w:w="15" w:type="dxa"/>
              <w:left w:w="15" w:type="dxa"/>
              <w:right w:w="15" w:type="dxa"/>
            </w:tcMar>
            <w:vAlign w:val="center"/>
          </w:tcPr>
          <w:p w14:paraId="0EF98B45">
            <w:pPr>
              <w:keepNext w:val="0"/>
              <w:keepLines w:val="0"/>
              <w:pageBreakBefore w:val="0"/>
              <w:widowControl/>
              <w:numPr>
                <w:ilvl w:val="0"/>
                <w:numId w:val="7"/>
              </w:numPr>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color w:val="auto"/>
                <w:spacing w:val="0"/>
                <w:sz w:val="22"/>
                <w:szCs w:val="22"/>
                <w:highlight w:val="none"/>
                <w:u w:val="none"/>
              </w:rPr>
            </w:pPr>
            <w:r>
              <w:rPr>
                <w:rFonts w:hint="eastAsia" w:ascii="宋体" w:hAnsi="宋体" w:eastAsia="宋体" w:cs="宋体"/>
                <w:i w:val="0"/>
                <w:color w:val="auto"/>
                <w:spacing w:val="0"/>
                <w:kern w:val="0"/>
                <w:sz w:val="22"/>
                <w:szCs w:val="22"/>
                <w:highlight w:val="none"/>
                <w:u w:val="none"/>
                <w:lang w:val="en-US" w:eastAsia="zh-CN" w:bidi="ar"/>
              </w:rPr>
              <w:t>制造业贷款余额（5分）</w:t>
            </w:r>
          </w:p>
        </w:tc>
        <w:tc>
          <w:tcPr>
            <w:tcW w:w="7368" w:type="dxa"/>
            <w:tcBorders>
              <w:tl2br w:val="nil"/>
              <w:tr2bl w:val="nil"/>
            </w:tcBorders>
            <w:tcMar>
              <w:top w:w="15" w:type="dxa"/>
              <w:left w:w="15" w:type="dxa"/>
              <w:right w:w="15" w:type="dxa"/>
            </w:tcMar>
            <w:vAlign w:val="center"/>
          </w:tcPr>
          <w:p w14:paraId="6628AE6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按照各投标银行投标前1个月底在我县的制造业企业贷款余额。按计算结果排名赋分。第1名的得满分，其他投标银行每递减1名扣0.02分。</w:t>
            </w:r>
          </w:p>
          <w:p w14:paraId="1612214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b/>
                <w:bCs/>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注：此项数据由国家金融监督管理总局天台监管支局提供。</w:t>
            </w:r>
          </w:p>
        </w:tc>
      </w:tr>
      <w:tr w14:paraId="553D8F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1008" w:type="dxa"/>
            <w:vMerge w:val="continue"/>
            <w:tcBorders>
              <w:tl2br w:val="nil"/>
              <w:tr2bl w:val="nil"/>
            </w:tcBorders>
            <w:tcMar>
              <w:top w:w="15" w:type="dxa"/>
              <w:left w:w="15" w:type="dxa"/>
              <w:right w:w="15" w:type="dxa"/>
            </w:tcMar>
            <w:vAlign w:val="center"/>
          </w:tcPr>
          <w:p w14:paraId="202518A9">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pacing w:val="0"/>
                <w:sz w:val="22"/>
                <w:szCs w:val="22"/>
                <w:highlight w:val="none"/>
                <w:u w:val="none"/>
              </w:rPr>
            </w:pPr>
          </w:p>
        </w:tc>
        <w:tc>
          <w:tcPr>
            <w:tcW w:w="1429" w:type="dxa"/>
            <w:tcBorders>
              <w:tl2br w:val="nil"/>
              <w:tr2bl w:val="nil"/>
            </w:tcBorders>
            <w:tcMar>
              <w:top w:w="15" w:type="dxa"/>
              <w:left w:w="15" w:type="dxa"/>
              <w:right w:w="15" w:type="dxa"/>
            </w:tcMar>
            <w:vAlign w:val="center"/>
          </w:tcPr>
          <w:p w14:paraId="2C7A4EDE">
            <w:pPr>
              <w:keepNext w:val="0"/>
              <w:keepLines w:val="0"/>
              <w:pageBreakBefore w:val="0"/>
              <w:widowControl/>
              <w:numPr>
                <w:ilvl w:val="0"/>
                <w:numId w:val="7"/>
              </w:numPr>
              <w:suppressLineNumbers w:val="0"/>
              <w:kinsoku/>
              <w:wordWrap/>
              <w:overflowPunct/>
              <w:topLinePunct w:val="0"/>
              <w:autoSpaceDE/>
              <w:autoSpaceDN/>
              <w:bidi w:val="0"/>
              <w:adjustRightInd/>
              <w:snapToGrid/>
              <w:spacing w:line="420" w:lineRule="exact"/>
              <w:ind w:left="0" w:leftChars="0" w:firstLine="0" w:firstLineChars="0"/>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国有企业贷款余额</w:t>
            </w:r>
          </w:p>
          <w:p w14:paraId="79E84297">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leftChars="0" w:firstLine="440" w:firstLineChars="200"/>
              <w:jc w:val="both"/>
              <w:textAlignment w:val="center"/>
              <w:rPr>
                <w:rFonts w:hint="eastAsia" w:ascii="宋体" w:hAnsi="宋体" w:eastAsia="宋体" w:cs="宋体"/>
                <w:b w:val="0"/>
                <w:bCs w:val="0"/>
                <w:i w:val="0"/>
                <w:color w:val="auto"/>
                <w:spacing w:val="0"/>
                <w:sz w:val="22"/>
                <w:szCs w:val="22"/>
                <w:highlight w:val="none"/>
                <w:u w:val="none"/>
              </w:rPr>
            </w:pPr>
            <w:r>
              <w:rPr>
                <w:rFonts w:hint="eastAsia" w:ascii="宋体" w:hAnsi="宋体" w:eastAsia="宋体" w:cs="宋体"/>
                <w:i w:val="0"/>
                <w:color w:val="auto"/>
                <w:spacing w:val="0"/>
                <w:kern w:val="0"/>
                <w:sz w:val="22"/>
                <w:szCs w:val="22"/>
                <w:highlight w:val="none"/>
                <w:u w:val="none"/>
                <w:lang w:val="en-US" w:eastAsia="zh-CN" w:bidi="ar"/>
              </w:rPr>
              <w:t>（2分）</w:t>
            </w:r>
          </w:p>
        </w:tc>
        <w:tc>
          <w:tcPr>
            <w:tcW w:w="7368" w:type="dxa"/>
            <w:tcBorders>
              <w:tl2br w:val="nil"/>
              <w:tr2bl w:val="nil"/>
            </w:tcBorders>
            <w:tcMar>
              <w:top w:w="15" w:type="dxa"/>
              <w:left w:w="15" w:type="dxa"/>
              <w:right w:w="15" w:type="dxa"/>
            </w:tcMar>
            <w:vAlign w:val="center"/>
          </w:tcPr>
          <w:p w14:paraId="655FE48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按照各投标银行最近考核月月末在我县的国有企业贷款余额。按计算结果排名赋分。第1名的得满分，其他投标银行每递减1名扣0.02分。</w:t>
            </w:r>
          </w:p>
          <w:p w14:paraId="7610341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注：此项数据由天台县国有资产事务中心提供。</w:t>
            </w:r>
          </w:p>
        </w:tc>
      </w:tr>
      <w:tr w14:paraId="104B14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08" w:type="dxa"/>
            <w:vMerge w:val="continue"/>
            <w:tcBorders>
              <w:tl2br w:val="nil"/>
              <w:tr2bl w:val="nil"/>
            </w:tcBorders>
            <w:tcMar>
              <w:top w:w="15" w:type="dxa"/>
              <w:left w:w="15" w:type="dxa"/>
              <w:right w:w="15" w:type="dxa"/>
            </w:tcMar>
            <w:vAlign w:val="center"/>
          </w:tcPr>
          <w:p w14:paraId="1D149C40">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pacing w:val="0"/>
                <w:sz w:val="22"/>
                <w:szCs w:val="22"/>
                <w:highlight w:val="none"/>
                <w:u w:val="none"/>
              </w:rPr>
            </w:pPr>
          </w:p>
        </w:tc>
        <w:tc>
          <w:tcPr>
            <w:tcW w:w="1429" w:type="dxa"/>
            <w:tcBorders>
              <w:tl2br w:val="nil"/>
              <w:tr2bl w:val="nil"/>
            </w:tcBorders>
            <w:tcMar>
              <w:top w:w="15" w:type="dxa"/>
              <w:left w:w="15" w:type="dxa"/>
              <w:right w:w="15" w:type="dxa"/>
            </w:tcMar>
            <w:vAlign w:val="center"/>
          </w:tcPr>
          <w:p w14:paraId="5466623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12.涉农贷款</w:t>
            </w:r>
          </w:p>
          <w:p w14:paraId="3745B8E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color w:val="auto"/>
                <w:spacing w:val="0"/>
                <w:sz w:val="22"/>
                <w:szCs w:val="22"/>
                <w:highlight w:val="none"/>
                <w:u w:val="none"/>
              </w:rPr>
            </w:pPr>
            <w:r>
              <w:rPr>
                <w:rFonts w:hint="eastAsia" w:ascii="宋体" w:hAnsi="宋体" w:eastAsia="宋体" w:cs="宋体"/>
                <w:i w:val="0"/>
                <w:color w:val="auto"/>
                <w:spacing w:val="0"/>
                <w:kern w:val="0"/>
                <w:sz w:val="22"/>
                <w:szCs w:val="22"/>
                <w:highlight w:val="none"/>
                <w:u w:val="none"/>
                <w:lang w:val="en-US" w:eastAsia="zh-CN" w:bidi="ar"/>
              </w:rPr>
              <w:t>余额（6分）</w:t>
            </w:r>
          </w:p>
        </w:tc>
        <w:tc>
          <w:tcPr>
            <w:tcW w:w="7368" w:type="dxa"/>
            <w:tcBorders>
              <w:tl2br w:val="nil"/>
              <w:tr2bl w:val="nil"/>
            </w:tcBorders>
            <w:tcMar>
              <w:top w:w="15" w:type="dxa"/>
              <w:left w:w="15" w:type="dxa"/>
              <w:right w:w="15" w:type="dxa"/>
            </w:tcMar>
            <w:vAlign w:val="center"/>
          </w:tcPr>
          <w:p w14:paraId="79343C8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按照各投标银行上年度对农、林、牧、渔业等的贷款总额。按计算结果排名赋分。第1名的得满分，其他投标银行每递减1名扣0.02分。</w:t>
            </w:r>
          </w:p>
          <w:p w14:paraId="512FEEA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注：此项数据由国家金融监督管理总局天台监管支局提供。</w:t>
            </w:r>
          </w:p>
        </w:tc>
      </w:tr>
      <w:tr w14:paraId="611881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1008" w:type="dxa"/>
            <w:vMerge w:val="continue"/>
            <w:tcBorders>
              <w:tl2br w:val="nil"/>
              <w:tr2bl w:val="nil"/>
            </w:tcBorders>
            <w:tcMar>
              <w:top w:w="15" w:type="dxa"/>
              <w:left w:w="15" w:type="dxa"/>
              <w:right w:w="15" w:type="dxa"/>
            </w:tcMar>
            <w:vAlign w:val="center"/>
          </w:tcPr>
          <w:p w14:paraId="1047A7FA">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pacing w:val="0"/>
                <w:sz w:val="22"/>
                <w:szCs w:val="22"/>
                <w:highlight w:val="none"/>
                <w:u w:val="none"/>
              </w:rPr>
            </w:pPr>
          </w:p>
        </w:tc>
        <w:tc>
          <w:tcPr>
            <w:tcW w:w="1429" w:type="dxa"/>
            <w:tcBorders>
              <w:tl2br w:val="nil"/>
              <w:tr2bl w:val="nil"/>
            </w:tcBorders>
            <w:tcMar>
              <w:top w:w="15" w:type="dxa"/>
              <w:left w:w="15" w:type="dxa"/>
              <w:right w:w="15" w:type="dxa"/>
            </w:tcMar>
            <w:vAlign w:val="center"/>
          </w:tcPr>
          <w:p w14:paraId="72AD74A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val="0"/>
                <w:bCs w:val="0"/>
                <w:i w:val="0"/>
                <w:color w:val="auto"/>
                <w:spacing w:val="0"/>
                <w:sz w:val="22"/>
                <w:szCs w:val="22"/>
                <w:highlight w:val="none"/>
                <w:u w:val="none"/>
              </w:rPr>
            </w:pPr>
            <w:r>
              <w:rPr>
                <w:rFonts w:hint="eastAsia" w:ascii="宋体" w:hAnsi="宋体" w:eastAsia="宋体" w:cs="宋体"/>
                <w:i w:val="0"/>
                <w:color w:val="auto"/>
                <w:spacing w:val="0"/>
                <w:kern w:val="0"/>
                <w:sz w:val="22"/>
                <w:szCs w:val="22"/>
                <w:highlight w:val="none"/>
                <w:u w:val="none"/>
                <w:lang w:val="en-US" w:eastAsia="zh-CN" w:bidi="ar"/>
              </w:rPr>
              <w:t>13.信保基金平均在保余额（6分）</w:t>
            </w:r>
          </w:p>
        </w:tc>
        <w:tc>
          <w:tcPr>
            <w:tcW w:w="7368" w:type="dxa"/>
            <w:tcBorders>
              <w:tl2br w:val="nil"/>
              <w:tr2bl w:val="nil"/>
            </w:tcBorders>
            <w:tcMar>
              <w:top w:w="15" w:type="dxa"/>
              <w:left w:w="15" w:type="dxa"/>
              <w:right w:w="15" w:type="dxa"/>
            </w:tcMar>
            <w:vAlign w:val="center"/>
          </w:tcPr>
          <w:p w14:paraId="63AA3BD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按照各投标银行投标前12个月月平均在保余额。按计算结果排名赋分。第1名的得满分，其他投标银行每递减1名扣0.02分。</w:t>
            </w:r>
          </w:p>
          <w:p w14:paraId="1320747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注：此项数据由县金融工作中心提供。</w:t>
            </w:r>
          </w:p>
        </w:tc>
      </w:tr>
      <w:tr w14:paraId="0323EA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1008" w:type="dxa"/>
            <w:vMerge w:val="continue"/>
            <w:tcBorders>
              <w:tl2br w:val="nil"/>
              <w:tr2bl w:val="nil"/>
            </w:tcBorders>
            <w:tcMar>
              <w:top w:w="15" w:type="dxa"/>
              <w:left w:w="15" w:type="dxa"/>
              <w:right w:w="15" w:type="dxa"/>
            </w:tcMar>
            <w:vAlign w:val="center"/>
          </w:tcPr>
          <w:p w14:paraId="53A40704">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i w:val="0"/>
                <w:color w:val="auto"/>
                <w:spacing w:val="0"/>
                <w:sz w:val="22"/>
                <w:szCs w:val="22"/>
                <w:highlight w:val="none"/>
                <w:u w:val="none"/>
              </w:rPr>
            </w:pPr>
          </w:p>
        </w:tc>
        <w:tc>
          <w:tcPr>
            <w:tcW w:w="1429" w:type="dxa"/>
            <w:tcBorders>
              <w:tl2br w:val="nil"/>
              <w:tr2bl w:val="nil"/>
            </w:tcBorders>
            <w:tcMar>
              <w:top w:w="15" w:type="dxa"/>
              <w:left w:w="15" w:type="dxa"/>
              <w:right w:w="15" w:type="dxa"/>
            </w:tcMar>
            <w:vAlign w:val="center"/>
          </w:tcPr>
          <w:p w14:paraId="59A8EEC1">
            <w:pPr>
              <w:keepNext w:val="0"/>
              <w:keepLines w:val="0"/>
              <w:pageBreakBefore w:val="0"/>
              <w:widowControl/>
              <w:numPr>
                <w:ilvl w:val="0"/>
                <w:numId w:val="8"/>
              </w:numPr>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金融机构综合考核</w:t>
            </w:r>
          </w:p>
          <w:p w14:paraId="3713A685">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firstLine="440" w:firstLineChars="200"/>
              <w:jc w:val="both"/>
              <w:textAlignment w:val="center"/>
              <w:rPr>
                <w:rFonts w:hint="eastAsia" w:ascii="宋体" w:hAnsi="宋体" w:eastAsia="宋体" w:cs="宋体"/>
                <w:b w:val="0"/>
                <w:bCs w:val="0"/>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（5分）</w:t>
            </w:r>
          </w:p>
        </w:tc>
        <w:tc>
          <w:tcPr>
            <w:tcW w:w="7368" w:type="dxa"/>
            <w:tcBorders>
              <w:tl2br w:val="nil"/>
              <w:tr2bl w:val="nil"/>
            </w:tcBorders>
            <w:tcMar>
              <w:top w:w="15" w:type="dxa"/>
              <w:left w:w="15" w:type="dxa"/>
              <w:right w:w="15" w:type="dxa"/>
            </w:tcMar>
            <w:vAlign w:val="center"/>
          </w:tcPr>
          <w:p w14:paraId="32206B5B">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根据县政府上一年度对各投标银行的考核情况。按计算结果排名赋分。第1名得满分，每递减1名扣0.02分。</w:t>
            </w:r>
          </w:p>
          <w:p w14:paraId="09971B6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注：此项数据由县金融工作中心提供。</w:t>
            </w:r>
          </w:p>
        </w:tc>
      </w:tr>
      <w:tr w14:paraId="24D7D9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65" w:hRule="atLeast"/>
          <w:jc w:val="center"/>
        </w:trPr>
        <w:tc>
          <w:tcPr>
            <w:tcW w:w="1008" w:type="dxa"/>
            <w:vMerge w:val="restart"/>
            <w:tcBorders>
              <w:tl2br w:val="nil"/>
              <w:tr2bl w:val="nil"/>
            </w:tcBorders>
            <w:tcMar>
              <w:top w:w="15" w:type="dxa"/>
              <w:left w:w="15" w:type="dxa"/>
              <w:right w:w="15" w:type="dxa"/>
            </w:tcMar>
            <w:vAlign w:val="center"/>
          </w:tcPr>
          <w:p w14:paraId="50C5D26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服务</w:t>
            </w:r>
          </w:p>
          <w:p w14:paraId="35881CB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水平</w:t>
            </w:r>
          </w:p>
          <w:p w14:paraId="2E5A113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sz w:val="22"/>
                <w:szCs w:val="22"/>
                <w:highlight w:val="none"/>
                <w:u w:val="none"/>
              </w:rPr>
            </w:pPr>
            <w:r>
              <w:rPr>
                <w:rFonts w:hint="eastAsia" w:ascii="宋体" w:hAnsi="宋体" w:eastAsia="宋体" w:cs="宋体"/>
                <w:i w:val="0"/>
                <w:color w:val="auto"/>
                <w:spacing w:val="0"/>
                <w:kern w:val="0"/>
                <w:sz w:val="22"/>
                <w:szCs w:val="22"/>
                <w:highlight w:val="none"/>
                <w:u w:val="none"/>
                <w:lang w:val="en-US" w:eastAsia="zh-CN" w:bidi="ar"/>
              </w:rPr>
              <w:t>（3</w:t>
            </w:r>
            <w:r>
              <w:rPr>
                <w:rFonts w:hint="default" w:ascii="宋体" w:hAnsi="宋体" w:eastAsia="宋体" w:cs="宋体"/>
                <w:i w:val="0"/>
                <w:color w:val="auto"/>
                <w:spacing w:val="0"/>
                <w:kern w:val="0"/>
                <w:sz w:val="22"/>
                <w:szCs w:val="22"/>
                <w:highlight w:val="none"/>
                <w:u w:val="none"/>
                <w:lang w:val="en-US" w:eastAsia="zh-CN" w:bidi="ar"/>
              </w:rPr>
              <w:t>6</w:t>
            </w:r>
            <w:r>
              <w:rPr>
                <w:rFonts w:hint="eastAsia" w:ascii="宋体" w:hAnsi="宋体" w:eastAsia="宋体" w:cs="宋体"/>
                <w:i w:val="0"/>
                <w:color w:val="auto"/>
                <w:spacing w:val="0"/>
                <w:kern w:val="0"/>
                <w:sz w:val="22"/>
                <w:szCs w:val="22"/>
                <w:highlight w:val="none"/>
                <w:u w:val="none"/>
                <w:lang w:val="en-US" w:eastAsia="zh-CN" w:bidi="ar"/>
              </w:rPr>
              <w:t>分）</w:t>
            </w:r>
          </w:p>
        </w:tc>
        <w:tc>
          <w:tcPr>
            <w:tcW w:w="1429" w:type="dxa"/>
            <w:tcBorders>
              <w:tl2br w:val="nil"/>
              <w:tr2bl w:val="nil"/>
            </w:tcBorders>
            <w:tcMar>
              <w:top w:w="15" w:type="dxa"/>
              <w:left w:w="15" w:type="dxa"/>
              <w:right w:w="15" w:type="dxa"/>
            </w:tcMar>
            <w:vAlign w:val="center"/>
          </w:tcPr>
          <w:p w14:paraId="1C62A32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业务工作</w:t>
            </w:r>
          </w:p>
          <w:p w14:paraId="5276A6C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cs="宋体"/>
                <w:i w:val="0"/>
                <w:color w:val="auto"/>
                <w:spacing w:val="0"/>
                <w:kern w:val="0"/>
                <w:sz w:val="22"/>
                <w:szCs w:val="22"/>
                <w:highlight w:val="yellow"/>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（2分）</w:t>
            </w:r>
          </w:p>
        </w:tc>
        <w:tc>
          <w:tcPr>
            <w:tcW w:w="7368" w:type="dxa"/>
            <w:tcBorders>
              <w:tl2br w:val="nil"/>
              <w:tr2bl w:val="nil"/>
            </w:tcBorders>
            <w:tcMar>
              <w:top w:w="15" w:type="dxa"/>
              <w:left w:w="15" w:type="dxa"/>
              <w:right w:w="15" w:type="dxa"/>
            </w:tcMar>
            <w:vAlign w:val="center"/>
          </w:tcPr>
          <w:p w14:paraId="7FF66C7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①各投标银行开设公积金业务专柜并指定专职工作人员的，得0.5分，未设专柜或未指定专职工作人员的不得分。</w:t>
            </w:r>
          </w:p>
          <w:p w14:paraId="1A750043">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②各投标银行及时办理公积金相关业务且配合良好的得1分。业务办理不及时、受到职工投诉或因银行原因影响公积金业务正常开展的，每发现一例扣0.25分，扣完为止。</w:t>
            </w:r>
          </w:p>
          <w:p w14:paraId="6EE8444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③各投标银行配备专人提供送单服务，每周二前将上周各类银行单据送达管理中心的，得0.5分，每延误一次扣0.25分，扣完为止。</w:t>
            </w:r>
          </w:p>
          <w:p w14:paraId="4992454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注：此项数据由采购人提供。</w:t>
            </w:r>
          </w:p>
        </w:tc>
      </w:tr>
      <w:tr w14:paraId="49079A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1008" w:type="dxa"/>
            <w:vMerge w:val="continue"/>
            <w:tcBorders>
              <w:tl2br w:val="nil"/>
              <w:tr2bl w:val="nil"/>
            </w:tcBorders>
            <w:tcMar>
              <w:top w:w="15" w:type="dxa"/>
              <w:left w:w="15" w:type="dxa"/>
              <w:right w:w="15" w:type="dxa"/>
            </w:tcMar>
            <w:vAlign w:val="center"/>
          </w:tcPr>
          <w:p w14:paraId="56ED613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color w:val="auto"/>
                <w:spacing w:val="0"/>
                <w:sz w:val="22"/>
                <w:szCs w:val="22"/>
                <w:highlight w:val="none"/>
                <w:lang w:val="en-US" w:eastAsia="zh-CN"/>
              </w:rPr>
            </w:pPr>
          </w:p>
        </w:tc>
        <w:tc>
          <w:tcPr>
            <w:tcW w:w="1429" w:type="dxa"/>
            <w:tcBorders>
              <w:tl2br w:val="nil"/>
              <w:tr2bl w:val="nil"/>
            </w:tcBorders>
            <w:tcMar>
              <w:top w:w="15" w:type="dxa"/>
              <w:left w:w="15" w:type="dxa"/>
              <w:right w:w="15" w:type="dxa"/>
            </w:tcMar>
            <w:vAlign w:val="center"/>
          </w:tcPr>
          <w:p w14:paraId="11582EA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扩面工作考核指标</w:t>
            </w:r>
          </w:p>
          <w:p w14:paraId="5647E56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bCs/>
                <w:i w:val="0"/>
                <w:color w:val="C00000"/>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（22分）</w:t>
            </w:r>
          </w:p>
        </w:tc>
        <w:tc>
          <w:tcPr>
            <w:tcW w:w="7368" w:type="dxa"/>
            <w:tcBorders>
              <w:tl2br w:val="nil"/>
              <w:tr2bl w:val="nil"/>
            </w:tcBorders>
            <w:tcMar>
              <w:top w:w="15" w:type="dxa"/>
              <w:left w:w="15" w:type="dxa"/>
              <w:right w:w="15" w:type="dxa"/>
            </w:tcMar>
            <w:vAlign w:val="center"/>
          </w:tcPr>
          <w:p w14:paraId="4ABED90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zh-CN" w:eastAsia="zh-CN" w:bidi="ar"/>
              </w:rPr>
              <w:t>考核时间范围为当期竞争性存放招标前</w:t>
            </w:r>
            <w:r>
              <w:rPr>
                <w:rFonts w:hint="eastAsia" w:ascii="宋体" w:hAnsi="宋体" w:eastAsia="宋体" w:cs="宋体"/>
                <w:i w:val="0"/>
                <w:color w:val="auto"/>
                <w:spacing w:val="0"/>
                <w:kern w:val="0"/>
                <w:sz w:val="22"/>
                <w:szCs w:val="22"/>
                <w:highlight w:val="none"/>
                <w:u w:val="none"/>
                <w:lang w:val="en-US" w:eastAsia="zh-CN" w:bidi="ar"/>
              </w:rPr>
              <w:t>6</w:t>
            </w:r>
            <w:r>
              <w:rPr>
                <w:rFonts w:hint="eastAsia" w:ascii="宋体" w:hAnsi="宋体" w:eastAsia="宋体" w:cs="宋体"/>
                <w:i w:val="0"/>
                <w:color w:val="auto"/>
                <w:spacing w:val="0"/>
                <w:kern w:val="0"/>
                <w:sz w:val="22"/>
                <w:szCs w:val="22"/>
                <w:highlight w:val="none"/>
                <w:u w:val="none"/>
                <w:lang w:val="zh-CN" w:eastAsia="zh-CN" w:bidi="ar"/>
              </w:rPr>
              <w:t>个月。</w:t>
            </w:r>
          </w:p>
          <w:p w14:paraId="0EAC450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①公积金企业扩面（2分）。</w:t>
            </w:r>
            <w:r>
              <w:rPr>
                <w:rFonts w:hint="eastAsia" w:ascii="宋体" w:hAnsi="宋体" w:eastAsia="宋体" w:cs="宋体"/>
                <w:i w:val="0"/>
                <w:color w:val="auto"/>
                <w:spacing w:val="0"/>
                <w:kern w:val="0"/>
                <w:sz w:val="22"/>
                <w:szCs w:val="22"/>
                <w:highlight w:val="none"/>
                <w:u w:val="none"/>
                <w:lang w:val="zh-CN" w:eastAsia="zh-CN" w:bidi="ar"/>
              </w:rPr>
              <w:t>建缴扩面单位数</w:t>
            </w:r>
            <w:r>
              <w:rPr>
                <w:rFonts w:hint="eastAsia" w:ascii="宋体" w:hAnsi="宋体" w:cs="宋体"/>
                <w:i w:val="0"/>
                <w:color w:val="auto"/>
                <w:spacing w:val="0"/>
                <w:kern w:val="0"/>
                <w:sz w:val="22"/>
                <w:szCs w:val="22"/>
                <w:highlight w:val="none"/>
                <w:u w:val="none"/>
                <w:lang w:val="en-US" w:eastAsia="zh-CN" w:bidi="ar"/>
              </w:rPr>
              <w:t>最多</w:t>
            </w:r>
            <w:r>
              <w:rPr>
                <w:rFonts w:hint="eastAsia" w:ascii="宋体" w:hAnsi="宋体" w:eastAsia="宋体" w:cs="宋体"/>
                <w:i w:val="0"/>
                <w:color w:val="auto"/>
                <w:spacing w:val="0"/>
                <w:kern w:val="0"/>
                <w:sz w:val="22"/>
                <w:szCs w:val="22"/>
                <w:highlight w:val="none"/>
                <w:u w:val="none"/>
                <w:lang w:val="zh-CN" w:eastAsia="zh-CN" w:bidi="ar"/>
              </w:rPr>
              <w:t>的</w:t>
            </w:r>
            <w:r>
              <w:rPr>
                <w:rFonts w:hint="eastAsia" w:ascii="宋体" w:hAnsi="宋体" w:eastAsia="宋体" w:cs="宋体"/>
                <w:i w:val="0"/>
                <w:color w:val="auto"/>
                <w:spacing w:val="0"/>
                <w:kern w:val="0"/>
                <w:sz w:val="22"/>
                <w:szCs w:val="22"/>
                <w:highlight w:val="none"/>
                <w:u w:val="none"/>
                <w:lang w:val="en-US" w:eastAsia="zh-CN" w:bidi="ar"/>
              </w:rPr>
              <w:t>投标</w:t>
            </w:r>
            <w:r>
              <w:rPr>
                <w:rFonts w:hint="eastAsia" w:ascii="宋体" w:hAnsi="宋体" w:eastAsia="宋体" w:cs="宋体"/>
                <w:i w:val="0"/>
                <w:color w:val="auto"/>
                <w:spacing w:val="0"/>
                <w:kern w:val="0"/>
                <w:sz w:val="22"/>
                <w:szCs w:val="22"/>
                <w:highlight w:val="none"/>
                <w:u w:val="none"/>
                <w:lang w:val="zh-CN" w:eastAsia="zh-CN" w:bidi="ar"/>
              </w:rPr>
              <w:t>银行得</w:t>
            </w:r>
            <w:r>
              <w:rPr>
                <w:rFonts w:hint="eastAsia" w:ascii="宋体" w:hAnsi="宋体" w:eastAsia="宋体" w:cs="宋体"/>
                <w:i w:val="0"/>
                <w:color w:val="auto"/>
                <w:spacing w:val="0"/>
                <w:kern w:val="0"/>
                <w:sz w:val="22"/>
                <w:szCs w:val="22"/>
                <w:highlight w:val="none"/>
                <w:u w:val="none"/>
                <w:lang w:val="en-US" w:eastAsia="zh-CN" w:bidi="ar"/>
              </w:rPr>
              <w:t>2</w:t>
            </w:r>
            <w:r>
              <w:rPr>
                <w:rFonts w:hint="eastAsia" w:ascii="宋体" w:hAnsi="宋体" w:eastAsia="宋体" w:cs="宋体"/>
                <w:i w:val="0"/>
                <w:color w:val="auto"/>
                <w:spacing w:val="0"/>
                <w:kern w:val="0"/>
                <w:sz w:val="22"/>
                <w:szCs w:val="22"/>
                <w:highlight w:val="none"/>
                <w:u w:val="none"/>
                <w:lang w:val="zh-CN" w:eastAsia="zh-CN" w:bidi="ar"/>
              </w:rPr>
              <w:t>分，其他</w:t>
            </w:r>
            <w:r>
              <w:rPr>
                <w:rFonts w:hint="eastAsia" w:ascii="宋体" w:hAnsi="宋体" w:eastAsia="宋体" w:cs="宋体"/>
                <w:i w:val="0"/>
                <w:color w:val="auto"/>
                <w:spacing w:val="0"/>
                <w:kern w:val="0"/>
                <w:sz w:val="22"/>
                <w:szCs w:val="22"/>
                <w:highlight w:val="none"/>
                <w:u w:val="none"/>
                <w:lang w:val="en-US" w:eastAsia="zh-CN" w:bidi="ar"/>
              </w:rPr>
              <w:t>投标银行按比例</w:t>
            </w:r>
            <w:r>
              <w:rPr>
                <w:rFonts w:hint="eastAsia" w:ascii="宋体" w:hAnsi="宋体" w:eastAsia="宋体" w:cs="宋体"/>
                <w:i w:val="0"/>
                <w:color w:val="auto"/>
                <w:spacing w:val="0"/>
                <w:kern w:val="0"/>
                <w:sz w:val="22"/>
                <w:szCs w:val="22"/>
                <w:highlight w:val="none"/>
                <w:u w:val="none"/>
                <w:lang w:val="zh-CN" w:eastAsia="zh-CN" w:bidi="ar"/>
              </w:rPr>
              <w:t>得分，</w:t>
            </w:r>
            <w:r>
              <w:rPr>
                <w:rFonts w:hint="eastAsia" w:ascii="宋体" w:hAnsi="宋体" w:eastAsia="宋体" w:cs="宋体"/>
                <w:i w:val="0"/>
                <w:color w:val="auto"/>
                <w:spacing w:val="0"/>
                <w:kern w:val="0"/>
                <w:sz w:val="22"/>
                <w:szCs w:val="22"/>
                <w:highlight w:val="none"/>
                <w:u w:val="none"/>
                <w:lang w:val="en-US" w:eastAsia="zh-CN" w:bidi="ar"/>
              </w:rPr>
              <w:t>即</w:t>
            </w:r>
            <w:r>
              <w:rPr>
                <w:rFonts w:hint="eastAsia" w:ascii="宋体" w:hAnsi="宋体" w:eastAsia="宋体" w:cs="宋体"/>
                <w:i w:val="0"/>
                <w:color w:val="auto"/>
                <w:spacing w:val="0"/>
                <w:kern w:val="0"/>
                <w:sz w:val="22"/>
                <w:szCs w:val="22"/>
                <w:highlight w:val="none"/>
                <w:u w:val="none"/>
                <w:lang w:val="zh-CN" w:eastAsia="zh-CN" w:bidi="ar"/>
              </w:rPr>
              <w:t>建缴扩面单位数/最</w:t>
            </w:r>
            <w:r>
              <w:rPr>
                <w:rFonts w:hint="eastAsia" w:ascii="宋体" w:hAnsi="宋体" w:cs="宋体"/>
                <w:i w:val="0"/>
                <w:color w:val="auto"/>
                <w:spacing w:val="0"/>
                <w:kern w:val="0"/>
                <w:sz w:val="22"/>
                <w:szCs w:val="22"/>
                <w:highlight w:val="none"/>
                <w:u w:val="none"/>
                <w:lang w:val="en-US" w:eastAsia="zh-CN" w:bidi="ar"/>
              </w:rPr>
              <w:t>多</w:t>
            </w:r>
            <w:r>
              <w:rPr>
                <w:rFonts w:hint="eastAsia" w:ascii="宋体" w:hAnsi="宋体" w:eastAsia="宋体" w:cs="宋体"/>
                <w:i w:val="0"/>
                <w:color w:val="auto"/>
                <w:spacing w:val="0"/>
                <w:kern w:val="0"/>
                <w:sz w:val="22"/>
                <w:szCs w:val="22"/>
                <w:highlight w:val="none"/>
                <w:u w:val="none"/>
                <w:lang w:val="zh-CN" w:eastAsia="zh-CN" w:bidi="ar"/>
              </w:rPr>
              <w:t>建缴扩面单位数×</w:t>
            </w:r>
            <w:r>
              <w:rPr>
                <w:rFonts w:hint="eastAsia" w:ascii="宋体" w:hAnsi="宋体" w:eastAsia="宋体" w:cs="宋体"/>
                <w:i w:val="0"/>
                <w:color w:val="auto"/>
                <w:spacing w:val="0"/>
                <w:kern w:val="0"/>
                <w:sz w:val="22"/>
                <w:szCs w:val="22"/>
                <w:highlight w:val="none"/>
                <w:u w:val="none"/>
                <w:lang w:val="en-US" w:eastAsia="zh-CN" w:bidi="ar"/>
              </w:rPr>
              <w:t>2</w:t>
            </w:r>
            <w:r>
              <w:rPr>
                <w:rFonts w:hint="eastAsia" w:ascii="宋体" w:hAnsi="宋体" w:eastAsia="宋体" w:cs="宋体"/>
                <w:i w:val="0"/>
                <w:color w:val="auto"/>
                <w:spacing w:val="0"/>
                <w:kern w:val="0"/>
                <w:sz w:val="22"/>
                <w:szCs w:val="22"/>
                <w:highlight w:val="none"/>
                <w:u w:val="none"/>
                <w:lang w:val="zh-CN" w:eastAsia="zh-CN" w:bidi="ar"/>
              </w:rPr>
              <w:t>分。</w:t>
            </w:r>
            <w:r>
              <w:rPr>
                <w:rFonts w:hint="eastAsia" w:ascii="宋体" w:hAnsi="宋体" w:eastAsia="宋体" w:cs="宋体"/>
                <w:i w:val="0"/>
                <w:color w:val="auto"/>
                <w:spacing w:val="0"/>
                <w:kern w:val="0"/>
                <w:sz w:val="22"/>
                <w:szCs w:val="22"/>
                <w:highlight w:val="none"/>
                <w:u w:val="none"/>
                <w:lang w:val="en-US" w:eastAsia="zh-CN" w:bidi="ar"/>
              </w:rPr>
              <w:t>（投标银行完成当期考核时段建缴单位5家及以上才可参加此项评分）。</w:t>
            </w:r>
          </w:p>
          <w:p w14:paraId="13A96A5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②公积金缴存人数扩面（5分+10分）。扩面人数分值5分。人数达到300人（含）以上，得5分；200人-299人，得3分；100人-199人，得2分；60人-99人，得1分。扩面人数排名分值10分。人数最多的投标银行得10分，其他投标银行按比例得分，即实际扩面人数/</w:t>
            </w:r>
            <w:r>
              <w:rPr>
                <w:rFonts w:hint="eastAsia" w:ascii="宋体" w:hAnsi="宋体" w:cs="宋体"/>
                <w:i w:val="0"/>
                <w:color w:val="auto"/>
                <w:spacing w:val="0"/>
                <w:kern w:val="0"/>
                <w:sz w:val="22"/>
                <w:szCs w:val="22"/>
                <w:highlight w:val="none"/>
                <w:u w:val="none"/>
                <w:lang w:val="en-US" w:eastAsia="zh-CN" w:bidi="ar"/>
              </w:rPr>
              <w:t>最多</w:t>
            </w:r>
            <w:r>
              <w:rPr>
                <w:rFonts w:hint="eastAsia" w:ascii="宋体" w:hAnsi="宋体" w:eastAsia="宋体" w:cs="宋体"/>
                <w:i w:val="0"/>
                <w:color w:val="auto"/>
                <w:spacing w:val="0"/>
                <w:kern w:val="0"/>
                <w:sz w:val="22"/>
                <w:szCs w:val="22"/>
                <w:highlight w:val="none"/>
                <w:u w:val="none"/>
                <w:lang w:val="en-US" w:eastAsia="zh-CN" w:bidi="ar"/>
              </w:rPr>
              <w:t>扩面人数×10分。（投标银行完成当期考核时段缴存人数60人及以上才可参加此项评分）。</w:t>
            </w:r>
          </w:p>
          <w:p w14:paraId="0ABD9D56">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③扩面质量（4分）。扩面质量以实际扩面总人数中参加职工基本养老保险占比为评分指标，占比大于等于80%的得满分4分，每下降5个百分点扣1分，扣完为止。（投标银行完成当期考核时段缴存总人数60人及以上才可参加此项评分）。</w:t>
            </w:r>
          </w:p>
          <w:p w14:paraId="606DEBA5">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④扩面配套政策（1分）。各投标银行制定完善的公积金制度扩面政策，包括扩面领导体系、目标、考核、奖惩等相关内容。具有完善的扩面政策的得1分。没有扩面政策或虽有政策但未执行的不得分。</w:t>
            </w:r>
          </w:p>
          <w:p w14:paraId="0E50A582">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(统计单位数和人数以实际资金到账为准。新增机关事业单位、国有企业、上市公司不纳入扩面考核)。</w:t>
            </w:r>
          </w:p>
          <w:p w14:paraId="6B66F68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注：此项数据由采购人提供。</w:t>
            </w:r>
          </w:p>
        </w:tc>
      </w:tr>
      <w:tr w14:paraId="1A902D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1008" w:type="dxa"/>
            <w:vMerge w:val="continue"/>
            <w:tcBorders>
              <w:tl2br w:val="nil"/>
              <w:tr2bl w:val="nil"/>
            </w:tcBorders>
            <w:tcMar>
              <w:top w:w="15" w:type="dxa"/>
              <w:left w:w="15" w:type="dxa"/>
              <w:right w:w="15" w:type="dxa"/>
            </w:tcMar>
            <w:vAlign w:val="center"/>
          </w:tcPr>
          <w:p w14:paraId="1799D17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color w:val="auto"/>
                <w:spacing w:val="0"/>
                <w:sz w:val="22"/>
                <w:szCs w:val="22"/>
                <w:highlight w:val="none"/>
                <w:lang w:val="en-US" w:eastAsia="zh-CN"/>
              </w:rPr>
            </w:pPr>
          </w:p>
        </w:tc>
        <w:tc>
          <w:tcPr>
            <w:tcW w:w="1429" w:type="dxa"/>
            <w:tcBorders>
              <w:tl2br w:val="nil"/>
              <w:tr2bl w:val="nil"/>
            </w:tcBorders>
            <w:tcMar>
              <w:top w:w="15" w:type="dxa"/>
              <w:left w:w="15" w:type="dxa"/>
              <w:right w:w="15" w:type="dxa"/>
            </w:tcMar>
            <w:vAlign w:val="center"/>
          </w:tcPr>
          <w:p w14:paraId="0DB52D9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商转公</w:t>
            </w:r>
            <w:r>
              <w:rPr>
                <w:rFonts w:hint="eastAsia" w:ascii="宋体" w:hAnsi="宋体" w:cs="宋体"/>
                <w:i w:val="0"/>
                <w:color w:val="auto"/>
                <w:spacing w:val="0"/>
                <w:kern w:val="0"/>
                <w:sz w:val="22"/>
                <w:szCs w:val="22"/>
                <w:highlight w:val="none"/>
                <w:u w:val="none"/>
                <w:lang w:val="en-US" w:eastAsia="zh-CN" w:bidi="ar"/>
              </w:rPr>
              <w:t>贷款业务考</w:t>
            </w:r>
            <w:r>
              <w:rPr>
                <w:rFonts w:hint="eastAsia" w:ascii="宋体" w:hAnsi="宋体" w:eastAsia="宋体" w:cs="宋体"/>
                <w:i w:val="0"/>
                <w:color w:val="auto"/>
                <w:spacing w:val="0"/>
                <w:kern w:val="0"/>
                <w:sz w:val="22"/>
                <w:szCs w:val="22"/>
                <w:highlight w:val="none"/>
                <w:u w:val="none"/>
                <w:lang w:val="en-US" w:eastAsia="zh-CN" w:bidi="ar"/>
              </w:rPr>
              <w:t>核指标</w:t>
            </w:r>
          </w:p>
          <w:p w14:paraId="2EBEC54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b/>
                <w:bCs/>
                <w:i w:val="0"/>
                <w:color w:val="C00000"/>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（12分）</w:t>
            </w:r>
          </w:p>
        </w:tc>
        <w:tc>
          <w:tcPr>
            <w:tcW w:w="7368" w:type="dxa"/>
            <w:tcBorders>
              <w:tl2br w:val="nil"/>
              <w:tr2bl w:val="nil"/>
            </w:tcBorders>
            <w:tcMar>
              <w:top w:w="15" w:type="dxa"/>
              <w:left w:w="15" w:type="dxa"/>
              <w:right w:w="15" w:type="dxa"/>
            </w:tcMar>
            <w:vAlign w:val="center"/>
          </w:tcPr>
          <w:p w14:paraId="2515B2A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zh-CN" w:eastAsia="zh-CN" w:bidi="ar"/>
              </w:rPr>
            </w:pPr>
            <w:r>
              <w:rPr>
                <w:rFonts w:hint="eastAsia" w:ascii="宋体" w:hAnsi="宋体" w:eastAsia="宋体" w:cs="宋体"/>
                <w:i w:val="0"/>
                <w:color w:val="auto"/>
                <w:spacing w:val="0"/>
                <w:kern w:val="0"/>
                <w:sz w:val="22"/>
                <w:szCs w:val="22"/>
                <w:highlight w:val="none"/>
                <w:u w:val="none"/>
                <w:lang w:val="zh-CN" w:eastAsia="zh-CN" w:bidi="ar"/>
              </w:rPr>
              <w:t>考核时间范围为当期竞争性存放招标前</w:t>
            </w:r>
            <w:r>
              <w:rPr>
                <w:rFonts w:hint="eastAsia" w:ascii="宋体" w:hAnsi="宋体" w:eastAsia="宋体" w:cs="宋体"/>
                <w:i w:val="0"/>
                <w:color w:val="auto"/>
                <w:spacing w:val="0"/>
                <w:kern w:val="0"/>
                <w:sz w:val="22"/>
                <w:szCs w:val="22"/>
                <w:highlight w:val="none"/>
                <w:u w:val="none"/>
                <w:lang w:val="en-US" w:eastAsia="zh-CN" w:bidi="ar"/>
              </w:rPr>
              <w:t>6</w:t>
            </w:r>
            <w:r>
              <w:rPr>
                <w:rFonts w:hint="eastAsia" w:ascii="宋体" w:hAnsi="宋体" w:eastAsia="宋体" w:cs="宋体"/>
                <w:i w:val="0"/>
                <w:color w:val="auto"/>
                <w:spacing w:val="0"/>
                <w:kern w:val="0"/>
                <w:sz w:val="22"/>
                <w:szCs w:val="22"/>
                <w:highlight w:val="none"/>
                <w:u w:val="none"/>
                <w:lang w:val="zh-CN" w:eastAsia="zh-CN" w:bidi="ar"/>
              </w:rPr>
              <w:t>个月。</w:t>
            </w:r>
          </w:p>
          <w:p w14:paraId="4E5F559E">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①各投标银行商转公</w:t>
            </w:r>
            <w:r>
              <w:rPr>
                <w:rFonts w:hint="eastAsia" w:ascii="宋体" w:hAnsi="宋体" w:cs="宋体"/>
                <w:i w:val="0"/>
                <w:color w:val="auto"/>
                <w:spacing w:val="0"/>
                <w:kern w:val="0"/>
                <w:sz w:val="22"/>
                <w:szCs w:val="22"/>
                <w:highlight w:val="none"/>
                <w:u w:val="none"/>
                <w:lang w:val="en-US" w:eastAsia="zh-CN" w:bidi="ar"/>
              </w:rPr>
              <w:t>贷款业务放贷</w:t>
            </w:r>
            <w:r>
              <w:rPr>
                <w:rFonts w:hint="eastAsia" w:ascii="宋体" w:hAnsi="宋体" w:eastAsia="宋体" w:cs="宋体"/>
                <w:i w:val="0"/>
                <w:color w:val="auto"/>
                <w:spacing w:val="0"/>
                <w:kern w:val="0"/>
                <w:sz w:val="22"/>
                <w:szCs w:val="22"/>
                <w:highlight w:val="none"/>
                <w:u w:val="none"/>
                <w:lang w:val="en-US" w:eastAsia="zh-CN" w:bidi="ar"/>
              </w:rPr>
              <w:t>金额达到500万元，得</w:t>
            </w:r>
            <w:r>
              <w:rPr>
                <w:rFonts w:hint="eastAsia" w:ascii="宋体" w:hAnsi="宋体" w:cs="宋体"/>
                <w:i w:val="0"/>
                <w:color w:val="auto"/>
                <w:spacing w:val="0"/>
                <w:kern w:val="0"/>
                <w:sz w:val="22"/>
                <w:szCs w:val="22"/>
                <w:highlight w:val="none"/>
                <w:u w:val="none"/>
                <w:lang w:val="en-US" w:eastAsia="zh-CN" w:bidi="ar"/>
              </w:rPr>
              <w:t>满分</w:t>
            </w:r>
            <w:r>
              <w:rPr>
                <w:rFonts w:hint="eastAsia" w:ascii="宋体" w:hAnsi="宋体" w:eastAsia="宋体" w:cs="宋体"/>
                <w:i w:val="0"/>
                <w:color w:val="auto"/>
                <w:spacing w:val="0"/>
                <w:kern w:val="0"/>
                <w:sz w:val="22"/>
                <w:szCs w:val="22"/>
                <w:highlight w:val="none"/>
                <w:u w:val="none"/>
                <w:lang w:val="en-US" w:eastAsia="zh-CN" w:bidi="ar"/>
              </w:rPr>
              <w:t>6分；</w:t>
            </w:r>
            <w:r>
              <w:rPr>
                <w:rFonts w:hint="eastAsia" w:ascii="宋体" w:hAnsi="宋体" w:cs="宋体"/>
                <w:i w:val="0"/>
                <w:color w:val="auto"/>
                <w:spacing w:val="0"/>
                <w:kern w:val="0"/>
                <w:sz w:val="22"/>
                <w:szCs w:val="22"/>
                <w:highlight w:val="none"/>
                <w:u w:val="none"/>
                <w:lang w:val="en-US" w:eastAsia="zh-CN" w:bidi="ar"/>
              </w:rPr>
              <w:t>放贷</w:t>
            </w:r>
            <w:r>
              <w:rPr>
                <w:rFonts w:hint="eastAsia" w:ascii="宋体" w:hAnsi="宋体" w:eastAsia="宋体" w:cs="宋体"/>
                <w:i w:val="0"/>
                <w:color w:val="auto"/>
                <w:spacing w:val="0"/>
                <w:kern w:val="0"/>
                <w:sz w:val="22"/>
                <w:szCs w:val="22"/>
                <w:highlight w:val="none"/>
                <w:u w:val="none"/>
                <w:lang w:val="en-US" w:eastAsia="zh-CN" w:bidi="ar"/>
              </w:rPr>
              <w:t>金额在150万元-500万元的，按比例计算得分</w:t>
            </w:r>
            <w:r>
              <w:rPr>
                <w:rFonts w:hint="eastAsia" w:ascii="宋体" w:hAnsi="宋体" w:cs="宋体"/>
                <w:i w:val="0"/>
                <w:color w:val="auto"/>
                <w:spacing w:val="0"/>
                <w:kern w:val="0"/>
                <w:sz w:val="22"/>
                <w:szCs w:val="22"/>
                <w:highlight w:val="none"/>
                <w:u w:val="none"/>
                <w:lang w:val="en-US" w:eastAsia="zh-CN" w:bidi="ar"/>
              </w:rPr>
              <w:t>，</w:t>
            </w:r>
            <w:r>
              <w:rPr>
                <w:rFonts w:hint="eastAsia" w:ascii="宋体" w:hAnsi="宋体" w:eastAsia="宋体" w:cs="宋体"/>
                <w:i w:val="0"/>
                <w:color w:val="auto"/>
                <w:spacing w:val="0"/>
                <w:kern w:val="0"/>
                <w:sz w:val="22"/>
                <w:szCs w:val="22"/>
                <w:highlight w:val="none"/>
                <w:u w:val="none"/>
                <w:lang w:val="en-US" w:eastAsia="zh-CN" w:bidi="ar"/>
              </w:rPr>
              <w:t>即</w:t>
            </w:r>
            <w:r>
              <w:rPr>
                <w:rFonts w:hint="eastAsia" w:ascii="宋体" w:hAnsi="宋体" w:cs="宋体"/>
                <w:i w:val="0"/>
                <w:color w:val="auto"/>
                <w:spacing w:val="0"/>
                <w:kern w:val="0"/>
                <w:sz w:val="22"/>
                <w:szCs w:val="22"/>
                <w:highlight w:val="none"/>
                <w:u w:val="none"/>
                <w:lang w:val="en-US" w:eastAsia="zh-CN" w:bidi="ar"/>
              </w:rPr>
              <w:t>放贷</w:t>
            </w:r>
            <w:r>
              <w:rPr>
                <w:rFonts w:hint="eastAsia" w:ascii="宋体" w:hAnsi="宋体" w:eastAsia="宋体" w:cs="宋体"/>
                <w:i w:val="0"/>
                <w:color w:val="auto"/>
                <w:spacing w:val="0"/>
                <w:kern w:val="0"/>
                <w:sz w:val="22"/>
                <w:szCs w:val="22"/>
                <w:highlight w:val="none"/>
                <w:u w:val="none"/>
                <w:lang w:val="en-US" w:eastAsia="zh-CN" w:bidi="ar"/>
              </w:rPr>
              <w:t>金额/500万元×6分。</w:t>
            </w:r>
            <w:r>
              <w:rPr>
                <w:rFonts w:hint="eastAsia" w:ascii="宋体" w:hAnsi="宋体" w:cs="宋体"/>
                <w:i w:val="0"/>
                <w:color w:val="auto"/>
                <w:spacing w:val="0"/>
                <w:kern w:val="0"/>
                <w:sz w:val="22"/>
                <w:szCs w:val="22"/>
                <w:highlight w:val="none"/>
                <w:u w:val="none"/>
                <w:lang w:val="en-US" w:eastAsia="zh-CN" w:bidi="ar"/>
              </w:rPr>
              <w:t>放贷金额</w:t>
            </w:r>
            <w:r>
              <w:rPr>
                <w:rFonts w:hint="eastAsia" w:ascii="宋体" w:hAnsi="宋体" w:eastAsia="宋体" w:cs="宋体"/>
                <w:i w:val="0"/>
                <w:color w:val="auto"/>
                <w:spacing w:val="0"/>
                <w:kern w:val="0"/>
                <w:sz w:val="22"/>
                <w:szCs w:val="22"/>
                <w:highlight w:val="none"/>
                <w:u w:val="none"/>
                <w:lang w:val="en-US" w:eastAsia="zh-CN" w:bidi="ar"/>
              </w:rPr>
              <w:t>低于150万元的，不得分。</w:t>
            </w:r>
          </w:p>
          <w:p w14:paraId="10B34AB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i w:val="0"/>
                <w:color w:val="auto"/>
                <w:spacing w:val="0"/>
                <w:kern w:val="0"/>
                <w:sz w:val="22"/>
                <w:szCs w:val="22"/>
                <w:highlight w:val="none"/>
                <w:u w:val="none"/>
                <w:lang w:val="en-US" w:eastAsia="zh-CN" w:bidi="ar"/>
              </w:rPr>
              <w:t>②商转公</w:t>
            </w:r>
            <w:r>
              <w:rPr>
                <w:rFonts w:hint="eastAsia" w:ascii="宋体" w:hAnsi="宋体" w:cs="宋体"/>
                <w:i w:val="0"/>
                <w:color w:val="auto"/>
                <w:spacing w:val="0"/>
                <w:kern w:val="0"/>
                <w:sz w:val="22"/>
                <w:szCs w:val="22"/>
                <w:highlight w:val="none"/>
                <w:u w:val="none"/>
                <w:lang w:val="en-US" w:eastAsia="zh-CN" w:bidi="ar"/>
              </w:rPr>
              <w:t>贷款业务放贷</w:t>
            </w:r>
            <w:r>
              <w:rPr>
                <w:rFonts w:hint="eastAsia" w:ascii="宋体" w:hAnsi="宋体" w:eastAsia="宋体" w:cs="宋体"/>
                <w:i w:val="0"/>
                <w:color w:val="auto"/>
                <w:spacing w:val="0"/>
                <w:kern w:val="0"/>
                <w:sz w:val="22"/>
                <w:szCs w:val="22"/>
                <w:highlight w:val="none"/>
                <w:u w:val="none"/>
                <w:lang w:val="en-US" w:eastAsia="zh-CN" w:bidi="ar"/>
              </w:rPr>
              <w:t>金额最多的投标银行得6分</w:t>
            </w:r>
            <w:r>
              <w:rPr>
                <w:rFonts w:hint="eastAsia" w:ascii="宋体" w:hAnsi="宋体" w:cs="宋体"/>
                <w:i w:val="0"/>
                <w:color w:val="auto"/>
                <w:spacing w:val="0"/>
                <w:kern w:val="0"/>
                <w:sz w:val="22"/>
                <w:szCs w:val="22"/>
                <w:highlight w:val="none"/>
                <w:u w:val="none"/>
                <w:lang w:val="en-US" w:eastAsia="zh-CN" w:bidi="ar"/>
              </w:rPr>
              <w:t>；</w:t>
            </w:r>
            <w:r>
              <w:rPr>
                <w:rFonts w:hint="eastAsia" w:ascii="宋体" w:hAnsi="宋体" w:eastAsia="宋体" w:cs="宋体"/>
                <w:i w:val="0"/>
                <w:color w:val="auto"/>
                <w:spacing w:val="0"/>
                <w:kern w:val="0"/>
                <w:sz w:val="22"/>
                <w:szCs w:val="22"/>
                <w:highlight w:val="none"/>
                <w:u w:val="none"/>
                <w:lang w:val="en-US" w:eastAsia="zh-CN" w:bidi="ar"/>
              </w:rPr>
              <w:t>其他投标银行按比例得分，即</w:t>
            </w:r>
            <w:r>
              <w:rPr>
                <w:rFonts w:hint="eastAsia" w:ascii="宋体" w:hAnsi="宋体" w:cs="宋体"/>
                <w:i w:val="0"/>
                <w:color w:val="auto"/>
                <w:spacing w:val="0"/>
                <w:kern w:val="0"/>
                <w:sz w:val="22"/>
                <w:szCs w:val="22"/>
                <w:highlight w:val="none"/>
                <w:u w:val="none"/>
                <w:lang w:val="en-US" w:eastAsia="zh-CN" w:bidi="ar"/>
              </w:rPr>
              <w:t>放贷</w:t>
            </w:r>
            <w:r>
              <w:rPr>
                <w:rFonts w:hint="eastAsia" w:ascii="宋体" w:hAnsi="宋体" w:eastAsia="宋体" w:cs="宋体"/>
                <w:i w:val="0"/>
                <w:color w:val="auto"/>
                <w:spacing w:val="0"/>
                <w:kern w:val="0"/>
                <w:sz w:val="22"/>
                <w:szCs w:val="22"/>
                <w:highlight w:val="none"/>
                <w:u w:val="none"/>
                <w:lang w:val="en-US" w:eastAsia="zh-CN" w:bidi="ar"/>
              </w:rPr>
              <w:t>金额/</w:t>
            </w:r>
            <w:r>
              <w:rPr>
                <w:rFonts w:hint="eastAsia" w:ascii="宋体" w:hAnsi="宋体" w:cs="宋体"/>
                <w:i w:val="0"/>
                <w:color w:val="auto"/>
                <w:spacing w:val="0"/>
                <w:kern w:val="0"/>
                <w:sz w:val="22"/>
                <w:szCs w:val="22"/>
                <w:highlight w:val="none"/>
                <w:u w:val="none"/>
                <w:lang w:val="en-US" w:eastAsia="zh-CN" w:bidi="ar"/>
              </w:rPr>
              <w:t>最多放贷</w:t>
            </w:r>
            <w:r>
              <w:rPr>
                <w:rFonts w:hint="eastAsia" w:ascii="宋体" w:hAnsi="宋体" w:eastAsia="宋体" w:cs="宋体"/>
                <w:i w:val="0"/>
                <w:color w:val="auto"/>
                <w:spacing w:val="0"/>
                <w:kern w:val="0"/>
                <w:sz w:val="22"/>
                <w:szCs w:val="22"/>
                <w:highlight w:val="none"/>
                <w:u w:val="none"/>
                <w:lang w:val="en-US" w:eastAsia="zh-CN" w:bidi="ar"/>
              </w:rPr>
              <w:t>金额×6分。</w:t>
            </w:r>
          </w:p>
          <w:p w14:paraId="2178E984">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color w:val="auto"/>
                <w:spacing w:val="0"/>
                <w:kern w:val="0"/>
                <w:sz w:val="22"/>
                <w:szCs w:val="22"/>
                <w:highlight w:val="none"/>
                <w:u w:val="none"/>
                <w:lang w:val="en-US" w:eastAsia="zh-CN" w:bidi="ar"/>
              </w:rPr>
            </w:pPr>
            <w:r>
              <w:rPr>
                <w:rFonts w:hint="eastAsia" w:ascii="宋体" w:hAnsi="宋体" w:eastAsia="宋体" w:cs="宋体"/>
                <w:b/>
                <w:bCs/>
                <w:i w:val="0"/>
                <w:color w:val="auto"/>
                <w:spacing w:val="0"/>
                <w:kern w:val="0"/>
                <w:sz w:val="22"/>
                <w:szCs w:val="22"/>
                <w:highlight w:val="none"/>
                <w:u w:val="none"/>
                <w:lang w:val="en-US" w:eastAsia="zh-CN" w:bidi="ar"/>
              </w:rPr>
              <w:t>注：此项数据由采购人提供。</w:t>
            </w:r>
          </w:p>
        </w:tc>
      </w:tr>
    </w:tbl>
    <w:p w14:paraId="13558D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cs="宋体"/>
          <w:b/>
          <w:bCs/>
          <w:color w:val="auto"/>
          <w:sz w:val="22"/>
          <w:szCs w:val="22"/>
          <w:highlight w:val="none"/>
          <w:lang w:val="en-US" w:eastAsia="zh-CN"/>
        </w:rPr>
      </w:pPr>
    </w:p>
    <w:p w14:paraId="022BA9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中标候选</w:t>
      </w:r>
      <w:r>
        <w:rPr>
          <w:rFonts w:hint="eastAsia" w:ascii="宋体" w:hAnsi="宋体" w:cs="宋体"/>
          <w:b/>
          <w:bCs/>
          <w:color w:val="auto"/>
          <w:sz w:val="22"/>
          <w:szCs w:val="22"/>
          <w:highlight w:val="none"/>
          <w:lang w:eastAsia="zh-CN"/>
        </w:rPr>
        <w:t>银行</w:t>
      </w:r>
      <w:r>
        <w:rPr>
          <w:rFonts w:hint="eastAsia" w:ascii="宋体" w:hAnsi="宋体" w:eastAsia="宋体" w:cs="宋体"/>
          <w:b/>
          <w:bCs/>
          <w:color w:val="auto"/>
          <w:sz w:val="22"/>
          <w:szCs w:val="22"/>
          <w:highlight w:val="none"/>
        </w:rPr>
        <w:t>的确定：</w:t>
      </w:r>
    </w:p>
    <w:p w14:paraId="38D2CE4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val="0"/>
          <w:color w:val="auto"/>
          <w:sz w:val="22"/>
          <w:szCs w:val="22"/>
          <w:highlight w:val="none"/>
          <w:u w:val="single"/>
        </w:rPr>
      </w:pPr>
      <w:r>
        <w:rPr>
          <w:rFonts w:hint="eastAsia" w:ascii="宋体" w:hAnsi="宋体" w:cs="宋体"/>
          <w:b w:val="0"/>
          <w:bCs w:val="0"/>
          <w:color w:val="auto"/>
          <w:sz w:val="22"/>
          <w:szCs w:val="22"/>
          <w:highlight w:val="none"/>
          <w:u w:val="single"/>
          <w:lang w:val="en-US" w:eastAsia="zh-CN"/>
        </w:rPr>
        <w:t>评标委员会按各投标人的总得分由高到低顺序排序，推荐排序第一名者为第一中标候选银行，排序第二名者为第二中标候选银行，排序第三名者为第三中标候选银行，排序第四名者为第四中标候选银行，排序第五名者为第五中标候选银行</w:t>
      </w:r>
      <w:r>
        <w:rPr>
          <w:rFonts w:hint="default" w:ascii="宋体" w:hAnsi="宋体" w:cs="宋体"/>
          <w:b w:val="0"/>
          <w:bCs w:val="0"/>
          <w:color w:val="auto"/>
          <w:sz w:val="22"/>
          <w:szCs w:val="22"/>
          <w:highlight w:val="none"/>
          <w:u w:val="single"/>
          <w:lang w:val="en-US" w:eastAsia="zh-CN"/>
        </w:rPr>
        <w:t>，</w:t>
      </w:r>
      <w:r>
        <w:rPr>
          <w:rFonts w:hint="default" w:ascii="宋体" w:hAnsi="宋体" w:eastAsia="宋体" w:cs="宋体"/>
          <w:b w:val="0"/>
          <w:bCs w:val="0"/>
          <w:i w:val="0"/>
          <w:iCs w:val="0"/>
          <w:color w:val="auto"/>
          <w:kern w:val="2"/>
          <w:sz w:val="22"/>
          <w:szCs w:val="22"/>
          <w:highlight w:val="none"/>
          <w:u w:val="single" w:color="auto"/>
          <w:vertAlign w:val="baseline"/>
          <w:lang w:val="en-US" w:eastAsia="zh-CN" w:bidi="ar-SA"/>
        </w:rPr>
        <w:t>排序第六名者为第六中标候选银行</w:t>
      </w:r>
      <w:r>
        <w:rPr>
          <w:rFonts w:hint="eastAsia" w:ascii="宋体" w:hAnsi="宋体" w:cs="宋体"/>
          <w:b w:val="0"/>
          <w:bCs w:val="0"/>
          <w:color w:val="auto"/>
          <w:sz w:val="22"/>
          <w:szCs w:val="22"/>
          <w:highlight w:val="none"/>
          <w:u w:val="single"/>
          <w:lang w:val="en-US" w:eastAsia="zh-CN"/>
        </w:rPr>
        <w:t>。如出现总得分相同的，按报价利率由高到低顺序排列；得分且报价利率报价相同的，依次按（1）经营状况指标得分；（2）经济贡献度指标得分；（3）服务水平指标得分的顺序由高到低排名。若依然相同，中标候选银行资格抽签确定。</w:t>
      </w:r>
    </w:p>
    <w:p w14:paraId="2034BEF0">
      <w:pPr>
        <w:rPr>
          <w:rFonts w:hint="eastAsia"/>
          <w:color w:val="auto"/>
          <w:sz w:val="30"/>
          <w:szCs w:val="30"/>
          <w:highlight w:val="none"/>
        </w:rPr>
      </w:pPr>
      <w:r>
        <w:rPr>
          <w:rFonts w:hint="eastAsia"/>
          <w:color w:val="auto"/>
          <w:sz w:val="30"/>
          <w:szCs w:val="30"/>
          <w:highlight w:val="none"/>
        </w:rPr>
        <w:br w:type="page"/>
      </w:r>
    </w:p>
    <w:p w14:paraId="25D4FC78">
      <w:pPr>
        <w:jc w:val="center"/>
        <w:rPr>
          <w:rStyle w:val="24"/>
          <w:rFonts w:hint="eastAsia"/>
          <w:color w:val="auto"/>
          <w:highlight w:val="none"/>
          <w:lang w:eastAsia="zh-CN"/>
        </w:rPr>
      </w:pPr>
      <w:bookmarkStart w:id="27" w:name="_Toc18618"/>
      <w:r>
        <w:rPr>
          <w:rStyle w:val="24"/>
          <w:rFonts w:hint="eastAsia"/>
          <w:color w:val="auto"/>
          <w:highlight w:val="none"/>
          <w:lang w:eastAsia="zh-CN"/>
        </w:rPr>
        <w:t>第六章  投标文件格式</w:t>
      </w:r>
    </w:p>
    <w:bookmarkEnd w:id="27"/>
    <w:p w14:paraId="5A269741">
      <w:pPr>
        <w:tabs>
          <w:tab w:val="left" w:pos="7530"/>
        </w:tabs>
        <w:spacing w:line="520" w:lineRule="exact"/>
        <w:outlineLvl w:val="0"/>
        <w:rPr>
          <w:rFonts w:hint="eastAsia" w:ascii="宋体" w:hAnsi="宋体" w:eastAsia="宋体" w:cs="宋体"/>
          <w:bCs/>
          <w:color w:val="auto"/>
          <w:highlight w:val="none"/>
        </w:rPr>
      </w:pPr>
      <w:bookmarkStart w:id="28" w:name="_Toc14922"/>
      <w:bookmarkStart w:id="29" w:name="_Toc29083"/>
      <w:bookmarkStart w:id="30" w:name="_Toc25650"/>
      <w:r>
        <w:rPr>
          <w:rFonts w:hint="eastAsia" w:ascii="宋体" w:hAnsi="宋体" w:eastAsia="宋体" w:cs="宋体"/>
          <w:bCs/>
          <w:color w:val="auto"/>
          <w:highlight w:val="none"/>
        </w:rPr>
        <w:t>附件一：</w:t>
      </w:r>
      <w:bookmarkEnd w:id="28"/>
      <w:bookmarkEnd w:id="29"/>
      <w:bookmarkEnd w:id="30"/>
    </w:p>
    <w:p w14:paraId="0E22763A">
      <w:pPr>
        <w:spacing w:line="640" w:lineRule="exact"/>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台州市住房公积金管理中心天台分中心2025年第一期资金竞争性存放招标（第二次）</w:t>
      </w:r>
    </w:p>
    <w:p w14:paraId="744D09DB">
      <w:pPr>
        <w:pStyle w:val="18"/>
        <w:keepNext w:val="0"/>
        <w:keepLines w:val="0"/>
        <w:pageBreakBefore w:val="0"/>
        <w:widowControl w:val="0"/>
        <w:kinsoku/>
        <w:wordWrap/>
        <w:overflowPunct/>
        <w:topLinePunct w:val="0"/>
        <w:bidi w:val="0"/>
        <w:snapToGrid/>
        <w:spacing w:line="360" w:lineRule="auto"/>
        <w:ind w:left="0" w:leftChars="0" w:firstLine="0" w:firstLineChars="0"/>
        <w:rPr>
          <w:rFonts w:hint="eastAsia" w:ascii="宋体" w:hAnsi="宋体" w:eastAsia="宋体" w:cs="宋体"/>
          <w:b/>
          <w:bCs/>
          <w:color w:val="auto"/>
          <w:sz w:val="24"/>
          <w:szCs w:val="24"/>
          <w:highlight w:val="none"/>
          <w:u w:val="none"/>
          <w:lang w:eastAsia="zh-CN"/>
        </w:rPr>
      </w:pPr>
    </w:p>
    <w:p w14:paraId="7DA64444">
      <w:pPr>
        <w:spacing w:before="156" w:beforeLines="50" w:after="156" w:afterLines="50" w:line="640" w:lineRule="exact"/>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eastAsia="zh-CN"/>
        </w:rPr>
        <w:t>CTZB-2025060353A</w:t>
      </w:r>
    </w:p>
    <w:p w14:paraId="1A29F85E">
      <w:pPr>
        <w:bidi w:val="0"/>
        <w:rPr>
          <w:rFonts w:hint="eastAsia"/>
          <w:color w:val="auto"/>
          <w:lang w:val="en-US" w:eastAsia="zh-CN"/>
        </w:rPr>
      </w:pPr>
    </w:p>
    <w:p w14:paraId="285751D9">
      <w:pPr>
        <w:pStyle w:val="17"/>
        <w:rPr>
          <w:rFonts w:hint="eastAsia"/>
          <w:color w:val="auto"/>
          <w:lang w:val="en-US" w:eastAsia="zh-CN"/>
        </w:rPr>
      </w:pPr>
    </w:p>
    <w:p w14:paraId="32A7A89E">
      <w:pPr>
        <w:pStyle w:val="16"/>
        <w:rPr>
          <w:rFonts w:hint="eastAsia"/>
          <w:color w:val="auto"/>
          <w:lang w:val="en-US" w:eastAsia="zh-CN"/>
        </w:rPr>
      </w:pPr>
    </w:p>
    <w:p w14:paraId="0D655D13">
      <w:pPr>
        <w:pStyle w:val="6"/>
        <w:rPr>
          <w:rFonts w:hint="eastAsia"/>
          <w:color w:val="auto"/>
          <w:highlight w:val="none"/>
        </w:rPr>
      </w:pPr>
    </w:p>
    <w:p w14:paraId="2A2788B0">
      <w:pPr>
        <w:spacing w:line="900" w:lineRule="exact"/>
        <w:jc w:val="center"/>
        <w:rPr>
          <w:rFonts w:hint="eastAsia" w:ascii="宋体" w:hAnsi="宋体" w:cs="宋体"/>
          <w:color w:val="auto"/>
          <w:sz w:val="84"/>
          <w:highlight w:val="none"/>
          <w:lang w:eastAsia="zh-CN"/>
        </w:rPr>
      </w:pPr>
      <w:r>
        <w:rPr>
          <w:rFonts w:hint="eastAsia" w:ascii="宋体" w:hAnsi="宋体" w:cs="宋体"/>
          <w:color w:val="auto"/>
          <w:sz w:val="84"/>
          <w:highlight w:val="none"/>
          <w:lang w:eastAsia="zh-CN"/>
        </w:rPr>
        <w:t>投</w:t>
      </w:r>
    </w:p>
    <w:p w14:paraId="33234865">
      <w:pPr>
        <w:spacing w:line="900" w:lineRule="exact"/>
        <w:jc w:val="center"/>
        <w:rPr>
          <w:rFonts w:hint="eastAsia" w:ascii="宋体" w:hAnsi="宋体" w:eastAsia="宋体" w:cs="宋体"/>
          <w:color w:val="auto"/>
          <w:sz w:val="84"/>
          <w:highlight w:val="none"/>
          <w:lang w:eastAsia="zh-CN"/>
        </w:rPr>
      </w:pPr>
      <w:r>
        <w:rPr>
          <w:rFonts w:hint="eastAsia" w:ascii="宋体" w:hAnsi="宋体" w:cs="宋体"/>
          <w:color w:val="auto"/>
          <w:sz w:val="84"/>
          <w:highlight w:val="none"/>
          <w:lang w:eastAsia="zh-CN"/>
        </w:rPr>
        <w:t>标</w:t>
      </w:r>
    </w:p>
    <w:p w14:paraId="544503E4">
      <w:pPr>
        <w:spacing w:line="900" w:lineRule="exact"/>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文</w:t>
      </w:r>
    </w:p>
    <w:p w14:paraId="4F6A4D54">
      <w:pPr>
        <w:spacing w:line="900" w:lineRule="exact"/>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件</w:t>
      </w:r>
    </w:p>
    <w:p w14:paraId="2789BF9E">
      <w:pPr>
        <w:pStyle w:val="6"/>
        <w:rPr>
          <w:rFonts w:hint="eastAsia"/>
          <w:color w:val="auto"/>
          <w:highlight w:val="none"/>
        </w:rPr>
      </w:pPr>
    </w:p>
    <w:p w14:paraId="7D9D4E98">
      <w:pPr>
        <w:rPr>
          <w:rFonts w:hint="eastAsia"/>
          <w:color w:val="auto"/>
        </w:rPr>
      </w:pPr>
    </w:p>
    <w:p w14:paraId="1C9A5FBE">
      <w:pPr>
        <w:pStyle w:val="6"/>
        <w:rPr>
          <w:rFonts w:hint="eastAsia"/>
          <w:color w:val="auto"/>
        </w:rPr>
      </w:pPr>
    </w:p>
    <w:p w14:paraId="2E684FB8">
      <w:pPr>
        <w:spacing w:after="156" w:afterLines="50" w:line="900" w:lineRule="exact"/>
        <w:jc w:val="center"/>
        <w:rPr>
          <w:rFonts w:hint="eastAsia" w:ascii="宋体" w:hAnsi="宋体" w:eastAsia="宋体" w:cs="宋体"/>
          <w:color w:val="auto"/>
          <w:sz w:val="32"/>
          <w:szCs w:val="32"/>
          <w:highlight w:val="none"/>
          <w:u w:val="single"/>
        </w:rPr>
      </w:pPr>
      <w:r>
        <w:rPr>
          <w:rFonts w:hint="eastAsia" w:ascii="宋体" w:hAnsi="宋体" w:cs="宋体"/>
          <w:color w:val="auto"/>
          <w:sz w:val="32"/>
          <w:szCs w:val="32"/>
          <w:highlight w:val="none"/>
          <w:lang w:eastAsia="zh-CN"/>
        </w:rPr>
        <w:t>竞标银行</w:t>
      </w:r>
      <w:r>
        <w:rPr>
          <w:rFonts w:hint="eastAsia" w:ascii="宋体" w:hAnsi="宋体" w:eastAsia="宋体" w:cs="宋体"/>
          <w:color w:val="auto"/>
          <w:sz w:val="32"/>
          <w:szCs w:val="32"/>
          <w:highlight w:val="none"/>
        </w:rPr>
        <w:t>全称</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（盖公章）</w:t>
      </w:r>
    </w:p>
    <w:p w14:paraId="25FF7A9A">
      <w:pPr>
        <w:spacing w:after="156" w:afterLines="50" w:line="900" w:lineRule="exact"/>
        <w:ind w:firstLine="3600" w:firstLineChars="1000"/>
        <w:rPr>
          <w:rFonts w:hint="eastAsia" w:ascii="宋体" w:hAnsi="宋体" w:eastAsia="宋体" w:cs="宋体"/>
          <w:color w:val="auto"/>
          <w:sz w:val="28"/>
          <w:szCs w:val="28"/>
          <w:highlight w:val="none"/>
        </w:rPr>
      </w:pPr>
      <w:r>
        <w:rPr>
          <w:rFonts w:hint="eastAsia" w:ascii="宋体" w:hAnsi="宋体" w:eastAsia="宋体" w:cs="宋体"/>
          <w:color w:val="auto"/>
          <w:sz w:val="36"/>
          <w:szCs w:val="36"/>
          <w:highlight w:val="none"/>
        </w:rPr>
        <w:t>年  月  日</w:t>
      </w:r>
      <w:r>
        <w:rPr>
          <w:rFonts w:hint="eastAsia" w:ascii="宋体" w:hAnsi="宋体" w:eastAsia="宋体" w:cs="宋体"/>
          <w:color w:val="auto"/>
          <w:sz w:val="28"/>
          <w:szCs w:val="28"/>
          <w:highlight w:val="none"/>
        </w:rPr>
        <w:t xml:space="preserve"> </w:t>
      </w:r>
    </w:p>
    <w:p w14:paraId="73024536">
      <w:pPr>
        <w:tabs>
          <w:tab w:val="left" w:pos="7530"/>
        </w:tabs>
        <w:spacing w:line="52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开标时开启</w:t>
      </w:r>
    </w:p>
    <w:p w14:paraId="003CC80D">
      <w:pPr>
        <w:jc w:val="center"/>
        <w:rPr>
          <w:rFonts w:hint="eastAsia" w:ascii="宋体" w:hAnsi="宋体" w:cs="宋体"/>
          <w:bCs/>
          <w:color w:val="auto"/>
          <w:sz w:val="32"/>
          <w:szCs w:val="32"/>
          <w:highlight w:val="none"/>
          <w:lang w:eastAsia="zh-CN"/>
        </w:rPr>
      </w:pPr>
      <w:r>
        <w:rPr>
          <w:rFonts w:hint="eastAsia" w:ascii="宋体" w:hAnsi="宋体" w:eastAsia="宋体" w:cs="宋体"/>
          <w:color w:val="auto"/>
          <w:sz w:val="36"/>
          <w:szCs w:val="36"/>
          <w:highlight w:val="none"/>
        </w:rPr>
        <w:br w:type="page"/>
      </w:r>
    </w:p>
    <w:p w14:paraId="7658D18B">
      <w:pPr>
        <w:rPr>
          <w:rFonts w:hint="eastAsia" w:ascii="宋体" w:hAnsi="宋体" w:eastAsia="宋体" w:cs="宋体"/>
          <w:bCs/>
          <w:color w:val="auto"/>
          <w:highlight w:val="none"/>
        </w:rPr>
      </w:pPr>
      <w:bookmarkStart w:id="31" w:name="_Toc19209"/>
      <w:bookmarkStart w:id="32" w:name="_Toc13019"/>
      <w:r>
        <w:rPr>
          <w:rFonts w:hint="eastAsia" w:ascii="宋体" w:hAnsi="宋体" w:eastAsia="宋体" w:cs="宋体"/>
          <w:bCs/>
          <w:color w:val="auto"/>
          <w:highlight w:val="none"/>
        </w:rPr>
        <w:t>附件</w:t>
      </w:r>
      <w:r>
        <w:rPr>
          <w:rFonts w:hint="eastAsia" w:ascii="宋体" w:hAnsi="宋体" w:cs="宋体"/>
          <w:bCs/>
          <w:color w:val="auto"/>
          <w:highlight w:val="none"/>
          <w:lang w:eastAsia="zh-CN"/>
        </w:rPr>
        <w:t>二</w:t>
      </w:r>
      <w:r>
        <w:rPr>
          <w:rFonts w:hint="eastAsia" w:ascii="宋体" w:hAnsi="宋体" w:eastAsia="宋体" w:cs="宋体"/>
          <w:bCs/>
          <w:color w:val="auto"/>
          <w:highlight w:val="none"/>
        </w:rPr>
        <w:t>：</w:t>
      </w:r>
    </w:p>
    <w:bookmarkEnd w:id="31"/>
    <w:bookmarkEnd w:id="32"/>
    <w:p w14:paraId="27A7F0DE">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投标声明函</w:t>
      </w:r>
    </w:p>
    <w:p w14:paraId="7F96AB1D">
      <w:pPr>
        <w:spacing w:line="360" w:lineRule="auto"/>
        <w:rPr>
          <w:rFonts w:hint="eastAsia" w:ascii="宋体" w:hAnsi="宋体" w:eastAsia="宋体" w:cs="宋体"/>
          <w:b/>
          <w:color w:val="auto"/>
          <w:w w:val="90"/>
          <w:kern w:val="0"/>
          <w:sz w:val="24"/>
          <w:szCs w:val="24"/>
          <w:highlight w:val="none"/>
          <w:u w:val="single"/>
        </w:rPr>
      </w:pPr>
    </w:p>
    <w:p w14:paraId="14333D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u w:val="single"/>
        </w:rPr>
        <w:t>致</w:t>
      </w:r>
      <w:r>
        <w:rPr>
          <w:rFonts w:hint="eastAsia" w:ascii="宋体" w:hAnsi="宋体" w:cs="宋体"/>
          <w:color w:val="auto"/>
          <w:sz w:val="24"/>
          <w:szCs w:val="24"/>
          <w:highlight w:val="none"/>
          <w:u w:val="single"/>
          <w:lang w:val="en-US" w:eastAsia="zh-CN"/>
        </w:rPr>
        <w:t>台州市住房公积金管理中心天台分中心（采购人）</w:t>
      </w:r>
      <w:r>
        <w:rPr>
          <w:rFonts w:hint="eastAsia" w:ascii="宋体" w:hAnsi="宋体" w:eastAsia="宋体" w:cs="宋体"/>
          <w:color w:val="auto"/>
          <w:sz w:val="24"/>
          <w:szCs w:val="24"/>
          <w:highlight w:val="none"/>
          <w:u w:val="single"/>
        </w:rPr>
        <w:t>：</w:t>
      </w:r>
    </w:p>
    <w:p w14:paraId="3F93DF6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color w:val="auto"/>
          <w:highlight w:val="none"/>
        </w:rPr>
      </w:pPr>
      <w:r>
        <w:rPr>
          <w:rFonts w:hint="eastAsia"/>
          <w:color w:val="auto"/>
          <w:highlight w:val="none"/>
        </w:rPr>
        <w:t>我</w:t>
      </w:r>
      <w:r>
        <w:rPr>
          <w:rFonts w:hint="eastAsia"/>
          <w:color w:val="auto"/>
          <w:highlight w:val="none"/>
          <w:u w:val="single"/>
          <w:lang w:val="en-US" w:eastAsia="zh-CN"/>
        </w:rPr>
        <w:t xml:space="preserve">   </w:t>
      </w:r>
      <w:r>
        <w:rPr>
          <w:rFonts w:hint="eastAsia"/>
          <w:color w:val="auto"/>
          <w:highlight w:val="none"/>
          <w:u w:val="single"/>
        </w:rPr>
        <w:t>（</w:t>
      </w:r>
      <w:r>
        <w:rPr>
          <w:rFonts w:hint="eastAsia"/>
          <w:color w:val="auto"/>
          <w:highlight w:val="none"/>
          <w:u w:val="single"/>
          <w:lang w:eastAsia="zh-CN"/>
        </w:rPr>
        <w:t>法人</w:t>
      </w:r>
      <w:r>
        <w:rPr>
          <w:rFonts w:hint="eastAsia"/>
          <w:color w:val="auto"/>
          <w:highlight w:val="none"/>
          <w:u w:val="single"/>
        </w:rPr>
        <w:t>姓名）</w:t>
      </w:r>
      <w:r>
        <w:rPr>
          <w:rFonts w:hint="eastAsia"/>
          <w:color w:val="auto"/>
          <w:highlight w:val="none"/>
          <w:u w:val="single"/>
          <w:lang w:val="en-US" w:eastAsia="zh-CN"/>
        </w:rPr>
        <w:t xml:space="preserve">  </w:t>
      </w:r>
      <w:r>
        <w:rPr>
          <w:rFonts w:hint="eastAsia"/>
          <w:color w:val="auto"/>
          <w:highlight w:val="none"/>
        </w:rPr>
        <w:t>系</w:t>
      </w:r>
      <w:r>
        <w:rPr>
          <w:rFonts w:hint="eastAsia"/>
          <w:color w:val="auto"/>
          <w:highlight w:val="none"/>
          <w:u w:val="single"/>
          <w:lang w:val="en-US" w:eastAsia="zh-CN"/>
        </w:rPr>
        <w:t xml:space="preserve">    </w:t>
      </w:r>
      <w:r>
        <w:rPr>
          <w:rFonts w:hint="eastAsia"/>
          <w:color w:val="auto"/>
          <w:highlight w:val="none"/>
          <w:u w:val="single"/>
        </w:rPr>
        <w:t>（</w:t>
      </w:r>
      <w:r>
        <w:rPr>
          <w:rFonts w:hint="eastAsia"/>
          <w:color w:val="auto"/>
          <w:highlight w:val="none"/>
          <w:u w:val="single"/>
          <w:lang w:eastAsia="zh-CN"/>
        </w:rPr>
        <w:t>竞标银行</w:t>
      </w:r>
      <w:r>
        <w:rPr>
          <w:rFonts w:hint="eastAsia"/>
          <w:color w:val="auto"/>
          <w:highlight w:val="none"/>
          <w:u w:val="single"/>
        </w:rPr>
        <w:t>名称）</w:t>
      </w:r>
      <w:r>
        <w:rPr>
          <w:rFonts w:hint="eastAsia"/>
          <w:color w:val="auto"/>
          <w:highlight w:val="none"/>
          <w:u w:val="single"/>
          <w:lang w:val="en-US" w:eastAsia="zh-CN"/>
        </w:rPr>
        <w:t xml:space="preserve">    </w:t>
      </w:r>
      <w:r>
        <w:rPr>
          <w:rFonts w:hint="eastAsia"/>
          <w:color w:val="auto"/>
          <w:highlight w:val="none"/>
        </w:rPr>
        <w:t>的</w:t>
      </w:r>
      <w:r>
        <w:rPr>
          <w:rFonts w:hint="eastAsia"/>
          <w:color w:val="auto"/>
          <w:highlight w:val="none"/>
          <w:lang w:eastAsia="zh-CN"/>
        </w:rPr>
        <w:t>法定代表人</w:t>
      </w:r>
      <w:r>
        <w:rPr>
          <w:rFonts w:hint="eastAsia"/>
          <w:color w:val="auto"/>
          <w:highlight w:val="none"/>
          <w:lang w:val="en-US" w:eastAsia="zh-CN"/>
        </w:rPr>
        <w:t>（或</w:t>
      </w:r>
      <w:r>
        <w:rPr>
          <w:rFonts w:hint="eastAsia"/>
          <w:color w:val="auto"/>
          <w:highlight w:val="none"/>
        </w:rPr>
        <w:t>主要负责人</w:t>
      </w:r>
      <w:r>
        <w:rPr>
          <w:rFonts w:hint="eastAsia"/>
          <w:color w:val="auto"/>
          <w:highlight w:val="none"/>
          <w:lang w:val="en-US" w:eastAsia="zh-CN"/>
        </w:rPr>
        <w:t>）</w:t>
      </w:r>
      <w:r>
        <w:rPr>
          <w:rFonts w:hint="eastAsia"/>
          <w:color w:val="auto"/>
          <w:highlight w:val="none"/>
        </w:rPr>
        <w:t>，我方</w:t>
      </w:r>
      <w:r>
        <w:rPr>
          <w:rFonts w:hint="eastAsia"/>
          <w:color w:val="auto"/>
          <w:highlight w:val="none"/>
          <w:lang w:eastAsia="zh-CN"/>
        </w:rPr>
        <w:t>自愿</w:t>
      </w:r>
      <w:r>
        <w:rPr>
          <w:rFonts w:hint="eastAsia"/>
          <w:color w:val="auto"/>
          <w:highlight w:val="none"/>
        </w:rPr>
        <w:t>参加</w:t>
      </w:r>
      <w:r>
        <w:rPr>
          <w:rFonts w:hint="eastAsia"/>
          <w:color w:val="auto"/>
          <w:highlight w:val="none"/>
          <w:u w:val="single"/>
          <w:lang w:val="en-US" w:eastAsia="zh-CN"/>
        </w:rPr>
        <w:t xml:space="preserve">  </w:t>
      </w:r>
      <w:r>
        <w:rPr>
          <w:rFonts w:hint="eastAsia"/>
          <w:color w:val="auto"/>
          <w:highlight w:val="none"/>
          <w:u w:val="single"/>
          <w:lang w:eastAsia="zh-CN"/>
        </w:rPr>
        <w:t>台州市住房公积金管理中心天台分中心2025年第一期资金竞争性存放招标（第二次）</w:t>
      </w:r>
      <w:r>
        <w:rPr>
          <w:rFonts w:hint="eastAsia"/>
          <w:color w:val="auto"/>
          <w:highlight w:val="none"/>
          <w:u w:val="single"/>
          <w:lang w:val="en-US" w:eastAsia="zh-CN"/>
        </w:rPr>
        <w:t xml:space="preserve"> </w:t>
      </w:r>
      <w:r>
        <w:rPr>
          <w:rFonts w:hint="eastAsia"/>
          <w:color w:val="auto"/>
          <w:highlight w:val="none"/>
        </w:rPr>
        <w:t>（项目编号：</w:t>
      </w:r>
      <w:r>
        <w:rPr>
          <w:rFonts w:hint="eastAsia"/>
          <w:color w:val="auto"/>
          <w:highlight w:val="none"/>
          <w:u w:val="single"/>
          <w:lang w:eastAsia="zh-CN"/>
        </w:rPr>
        <w:t>CTZB-2025060353A</w:t>
      </w:r>
      <w:r>
        <w:rPr>
          <w:rFonts w:hint="eastAsia"/>
          <w:color w:val="auto"/>
          <w:highlight w:val="none"/>
        </w:rPr>
        <w:t>）的投标，为此，我方就本次投标有关事项郑重声明如下：</w:t>
      </w:r>
    </w:p>
    <w:p w14:paraId="283463C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eastAsia="宋体"/>
          <w:color w:val="auto"/>
          <w:highlight w:val="none"/>
          <w:lang w:eastAsia="zh-CN"/>
        </w:rPr>
      </w:pPr>
      <w:r>
        <w:rPr>
          <w:rFonts w:hint="eastAsia"/>
          <w:color w:val="auto"/>
          <w:highlight w:val="none"/>
        </w:rPr>
        <w:t>1</w:t>
      </w:r>
      <w:r>
        <w:rPr>
          <w:rFonts w:hint="eastAsia"/>
          <w:color w:val="auto"/>
          <w:highlight w:val="none"/>
          <w:lang w:eastAsia="zh-CN"/>
        </w:rPr>
        <w:t>、我方</w:t>
      </w:r>
      <w:r>
        <w:rPr>
          <w:rFonts w:hint="eastAsia"/>
          <w:color w:val="auto"/>
          <w:highlight w:val="none"/>
        </w:rPr>
        <w:t>已详细阅读全部</w:t>
      </w:r>
      <w:r>
        <w:rPr>
          <w:rFonts w:hint="eastAsia"/>
          <w:color w:val="auto"/>
          <w:highlight w:val="none"/>
          <w:lang w:eastAsia="zh-CN"/>
        </w:rPr>
        <w:t>采购文件</w:t>
      </w:r>
      <w:r>
        <w:rPr>
          <w:rFonts w:hint="eastAsia"/>
          <w:color w:val="auto"/>
          <w:highlight w:val="none"/>
        </w:rPr>
        <w:t>，同意</w:t>
      </w:r>
      <w:r>
        <w:rPr>
          <w:rFonts w:hint="eastAsia"/>
          <w:color w:val="auto"/>
          <w:highlight w:val="none"/>
          <w:lang w:eastAsia="zh-CN"/>
        </w:rPr>
        <w:t>采购文件</w:t>
      </w:r>
      <w:r>
        <w:rPr>
          <w:rFonts w:hint="eastAsia"/>
          <w:color w:val="auto"/>
          <w:highlight w:val="none"/>
        </w:rPr>
        <w:t>的各项要求</w:t>
      </w:r>
      <w:r>
        <w:rPr>
          <w:rFonts w:hint="eastAsia"/>
          <w:color w:val="auto"/>
          <w:highlight w:val="none"/>
          <w:lang w:eastAsia="zh-CN"/>
        </w:rPr>
        <w:t>；</w:t>
      </w:r>
    </w:p>
    <w:p w14:paraId="0478EDE8">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eastAsia="宋体"/>
          <w:color w:val="auto"/>
          <w:highlight w:val="none"/>
          <w:lang w:eastAsia="zh-CN"/>
        </w:rPr>
      </w:pPr>
      <w:r>
        <w:rPr>
          <w:rFonts w:hint="eastAsia"/>
          <w:color w:val="auto"/>
          <w:highlight w:val="none"/>
        </w:rPr>
        <w:t>2</w:t>
      </w:r>
      <w:r>
        <w:rPr>
          <w:rFonts w:hint="eastAsia"/>
          <w:color w:val="auto"/>
          <w:highlight w:val="none"/>
          <w:lang w:eastAsia="zh-CN"/>
        </w:rPr>
        <w:t>、</w:t>
      </w:r>
      <w:r>
        <w:rPr>
          <w:rFonts w:hint="eastAsia"/>
          <w:color w:val="auto"/>
          <w:highlight w:val="none"/>
        </w:rPr>
        <w:t>我方向贵方提交的所有投标文件资料都是准确的和真实的</w:t>
      </w:r>
      <w:r>
        <w:rPr>
          <w:rFonts w:hint="eastAsia"/>
          <w:color w:val="auto"/>
          <w:highlight w:val="none"/>
          <w:lang w:eastAsia="zh-CN"/>
        </w:rPr>
        <w:t>；</w:t>
      </w:r>
    </w:p>
    <w:p w14:paraId="0351F65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color w:val="auto"/>
          <w:highlight w:val="none"/>
          <w:lang w:eastAsia="zh-CN"/>
        </w:rPr>
      </w:pPr>
      <w:r>
        <w:rPr>
          <w:rFonts w:hint="eastAsia"/>
          <w:color w:val="auto"/>
          <w:highlight w:val="none"/>
        </w:rPr>
        <w:t>3</w:t>
      </w:r>
      <w:r>
        <w:rPr>
          <w:rFonts w:hint="eastAsia"/>
          <w:color w:val="auto"/>
          <w:highlight w:val="none"/>
          <w:lang w:eastAsia="zh-CN"/>
        </w:rPr>
        <w:t>、我方此次向贵方提供的服务，我方有能力提供；</w:t>
      </w:r>
    </w:p>
    <w:p w14:paraId="3C5B4F0F">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color w:val="auto"/>
          <w:highlight w:val="none"/>
        </w:rPr>
      </w:pPr>
      <w:r>
        <w:rPr>
          <w:rFonts w:hint="eastAsia"/>
          <w:color w:val="auto"/>
          <w:highlight w:val="none"/>
          <w:lang w:val="en-US" w:eastAsia="zh-CN"/>
        </w:rPr>
        <w:t>4、</w:t>
      </w:r>
      <w:r>
        <w:rPr>
          <w:rFonts w:hint="eastAsia"/>
          <w:color w:val="auto"/>
          <w:highlight w:val="none"/>
        </w:rPr>
        <w:t>若</w:t>
      </w:r>
      <w:r>
        <w:rPr>
          <w:rFonts w:hint="eastAsia"/>
          <w:color w:val="auto"/>
          <w:highlight w:val="none"/>
          <w:lang w:eastAsia="zh-CN"/>
        </w:rPr>
        <w:t>我方</w:t>
      </w:r>
      <w:r>
        <w:rPr>
          <w:rFonts w:hint="eastAsia"/>
          <w:color w:val="auto"/>
          <w:highlight w:val="none"/>
        </w:rPr>
        <w:t>中标，我方将按</w:t>
      </w:r>
      <w:r>
        <w:rPr>
          <w:rFonts w:hint="eastAsia"/>
          <w:color w:val="auto"/>
          <w:highlight w:val="none"/>
          <w:lang w:eastAsia="zh-CN"/>
        </w:rPr>
        <w:t>采购文件</w:t>
      </w:r>
      <w:r>
        <w:rPr>
          <w:rFonts w:hint="eastAsia"/>
          <w:color w:val="auto"/>
          <w:highlight w:val="none"/>
        </w:rPr>
        <w:t>规定履行</w:t>
      </w:r>
      <w:r>
        <w:rPr>
          <w:rFonts w:hint="eastAsia"/>
          <w:color w:val="auto"/>
          <w:highlight w:val="none"/>
          <w:lang w:eastAsia="zh-CN"/>
        </w:rPr>
        <w:t>协议书</w:t>
      </w:r>
      <w:r>
        <w:rPr>
          <w:rFonts w:hint="eastAsia"/>
          <w:color w:val="auto"/>
          <w:highlight w:val="none"/>
        </w:rPr>
        <w:t>责任和义务。</w:t>
      </w:r>
    </w:p>
    <w:p w14:paraId="221FF6AC">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color w:val="auto"/>
          <w:highlight w:val="none"/>
        </w:rPr>
      </w:pP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我方不是</w:t>
      </w:r>
      <w:r>
        <w:rPr>
          <w:rFonts w:hint="eastAsia"/>
          <w:color w:val="auto"/>
          <w:highlight w:val="none"/>
          <w:lang w:eastAsia="zh-CN"/>
        </w:rPr>
        <w:t>采购人</w:t>
      </w:r>
      <w:r>
        <w:rPr>
          <w:rFonts w:hint="eastAsia"/>
          <w:color w:val="auto"/>
          <w:highlight w:val="none"/>
        </w:rPr>
        <w:t>的附属机构；在获知本项目招标信息后，与</w:t>
      </w:r>
      <w:r>
        <w:rPr>
          <w:rFonts w:hint="eastAsia"/>
          <w:color w:val="auto"/>
          <w:highlight w:val="none"/>
          <w:lang w:eastAsia="zh-CN"/>
        </w:rPr>
        <w:t>采购人</w:t>
      </w:r>
      <w:r>
        <w:rPr>
          <w:rFonts w:hint="eastAsia"/>
          <w:color w:val="auto"/>
          <w:highlight w:val="none"/>
        </w:rPr>
        <w:t>聘请的为此项目提供咨询服务的公司及其附属机构没有任何</w:t>
      </w:r>
      <w:r>
        <w:rPr>
          <w:rFonts w:hint="eastAsia"/>
          <w:color w:val="auto"/>
          <w:highlight w:val="none"/>
          <w:lang w:eastAsia="zh-CN"/>
        </w:rPr>
        <w:t>利害关系</w:t>
      </w:r>
      <w:r>
        <w:rPr>
          <w:rFonts w:hint="eastAsia"/>
          <w:color w:val="auto"/>
          <w:highlight w:val="none"/>
        </w:rPr>
        <w:t>。</w:t>
      </w:r>
    </w:p>
    <w:p w14:paraId="71DEFE69">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color w:val="auto"/>
          <w:highlight w:val="none"/>
        </w:rPr>
      </w:pPr>
      <w:r>
        <w:rPr>
          <w:rFonts w:hint="eastAsia"/>
          <w:color w:val="auto"/>
          <w:highlight w:val="none"/>
          <w:lang w:val="en-US" w:eastAsia="zh-CN"/>
        </w:rPr>
        <w:t>6</w:t>
      </w:r>
      <w:r>
        <w:rPr>
          <w:rFonts w:hint="eastAsia"/>
          <w:color w:val="auto"/>
          <w:highlight w:val="none"/>
          <w:lang w:eastAsia="zh-CN"/>
        </w:rPr>
        <w:t>、</w:t>
      </w:r>
      <w:r>
        <w:rPr>
          <w:rFonts w:hint="eastAsia"/>
          <w:color w:val="auto"/>
          <w:highlight w:val="none"/>
        </w:rPr>
        <w:t>投标</w:t>
      </w:r>
      <w:r>
        <w:rPr>
          <w:rFonts w:hint="eastAsia"/>
          <w:color w:val="auto"/>
          <w:highlight w:val="none"/>
          <w:lang w:eastAsia="zh-CN"/>
        </w:rPr>
        <w:t>文件</w:t>
      </w:r>
      <w:r>
        <w:rPr>
          <w:rFonts w:hint="eastAsia"/>
          <w:color w:val="auto"/>
          <w:highlight w:val="none"/>
        </w:rPr>
        <w:t>自提交投标文件截止日起有效期为90</w:t>
      </w:r>
      <w:r>
        <w:rPr>
          <w:rFonts w:hint="default"/>
          <w:color w:val="auto"/>
          <w:highlight w:val="none"/>
          <w:lang w:val="en-US"/>
        </w:rPr>
        <w:t>日</w:t>
      </w:r>
      <w:r>
        <w:rPr>
          <w:rFonts w:hint="eastAsia"/>
          <w:color w:val="auto"/>
          <w:highlight w:val="none"/>
        </w:rPr>
        <w:t>。</w:t>
      </w:r>
    </w:p>
    <w:p w14:paraId="70961B43">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color w:val="auto"/>
          <w:highlight w:val="none"/>
        </w:rPr>
      </w:pP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以上事项如有虚假或隐瞒，我方愿意承担一切后果，并不再寻求任何旨在减轻或免除法律责任的辩解。</w:t>
      </w:r>
    </w:p>
    <w:p w14:paraId="560E9013">
      <w:pPr>
        <w:keepNext w:val="0"/>
        <w:keepLines w:val="0"/>
        <w:pageBreakBefore w:val="0"/>
        <w:widowControl w:val="0"/>
        <w:kinsoku/>
        <w:wordWrap/>
        <w:overflowPunct/>
        <w:topLinePunct w:val="0"/>
        <w:autoSpaceDE/>
        <w:autoSpaceDN/>
        <w:bidi w:val="0"/>
        <w:adjustRightInd/>
        <w:snapToGrid w:val="0"/>
        <w:spacing w:before="156" w:beforeLines="50" w:after="50" w:line="5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D0024B2">
      <w:pPr>
        <w:spacing w:line="460" w:lineRule="exact"/>
        <w:ind w:firstLine="3000" w:firstLineChars="1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竞标银行</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（盖公章）</w:t>
      </w:r>
    </w:p>
    <w:p w14:paraId="690EBEC8">
      <w:pPr>
        <w:spacing w:line="460" w:lineRule="exact"/>
        <w:ind w:firstLine="1980" w:firstLineChars="825"/>
        <w:rPr>
          <w:rFonts w:hint="eastAsia" w:ascii="宋体" w:hAnsi="宋体" w:eastAsia="宋体" w:cs="宋体"/>
          <w:color w:val="auto"/>
          <w:sz w:val="24"/>
          <w:szCs w:val="24"/>
          <w:highlight w:val="none"/>
          <w:u w:val="single"/>
        </w:rPr>
      </w:pPr>
    </w:p>
    <w:p w14:paraId="58437414">
      <w:pPr>
        <w:spacing w:line="460" w:lineRule="exact"/>
        <w:ind w:firstLine="1320" w:firstLine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i/>
          <w:color w:val="auto"/>
          <w:sz w:val="24"/>
          <w:szCs w:val="24"/>
          <w:highlight w:val="none"/>
        </w:rPr>
        <w:t>（负责人）</w:t>
      </w:r>
      <w:r>
        <w:rPr>
          <w:rFonts w:hint="eastAsia" w:ascii="宋体" w:hAnsi="宋体" w:eastAsia="宋体" w:cs="宋体"/>
          <w:color w:val="auto"/>
          <w:sz w:val="24"/>
          <w:szCs w:val="24"/>
          <w:highlight w:val="none"/>
        </w:rPr>
        <w:t>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3D6E174C">
      <w:pPr>
        <w:spacing w:line="460" w:lineRule="exact"/>
        <w:ind w:firstLine="1980" w:firstLineChars="825"/>
        <w:rPr>
          <w:rFonts w:hint="eastAsia" w:ascii="宋体" w:hAnsi="宋体" w:eastAsia="宋体" w:cs="宋体"/>
          <w:color w:val="auto"/>
          <w:sz w:val="24"/>
          <w:szCs w:val="24"/>
          <w:highlight w:val="none"/>
        </w:rPr>
      </w:pPr>
    </w:p>
    <w:p w14:paraId="753FC086">
      <w:pPr>
        <w:adjustRightInd w:val="0"/>
        <w:snapToGrid w:val="0"/>
        <w:spacing w:line="360" w:lineRule="auto"/>
        <w:ind w:right="480"/>
        <w:jc w:val="center"/>
        <w:rPr>
          <w:rFonts w:hint="eastAsia" w:ascii="宋体" w:hAnsi="宋体" w:eastAsia="宋体" w:cs="宋体"/>
          <w:color w:val="auto"/>
          <w:sz w:val="24"/>
          <w:szCs w:val="24"/>
          <w:highlight w:val="none"/>
        </w:rPr>
        <w:sectPr>
          <w:footerReference r:id="rId8" w:type="default"/>
          <w:pgSz w:w="11905" w:h="16838"/>
          <w:pgMar w:top="1361" w:right="1587" w:bottom="1361" w:left="1587" w:header="454" w:footer="964" w:gutter="0"/>
          <w:pgBorders>
            <w:top w:val="none" w:sz="0" w:space="0"/>
            <w:left w:val="none" w:sz="0" w:space="0"/>
            <w:bottom w:val="none" w:sz="0" w:space="0"/>
            <w:right w:val="none" w:sz="0" w:space="0"/>
          </w:pgBorders>
          <w:pgNumType w:fmt="decimal" w:start="1"/>
          <w:cols w:space="0" w:num="1"/>
          <w:rtlGutter w:val="0"/>
          <w:docGrid w:type="lines" w:linePitch="330" w:charSpace="0"/>
        </w:sectPr>
      </w:pPr>
      <w:r>
        <w:rPr>
          <w:rFonts w:hint="eastAsia" w:ascii="宋体" w:hAnsi="宋体" w:eastAsia="宋体" w:cs="宋体"/>
          <w:color w:val="auto"/>
          <w:sz w:val="24"/>
          <w:szCs w:val="24"/>
          <w:highlight w:val="none"/>
        </w:rPr>
        <w:t xml:space="preserve">                                            年    月    日</w:t>
      </w:r>
    </w:p>
    <w:p w14:paraId="4689E46A">
      <w:pPr>
        <w:spacing w:line="520" w:lineRule="exact"/>
        <w:jc w:val="left"/>
        <w:outlineLvl w:val="0"/>
        <w:rPr>
          <w:rFonts w:hint="eastAsia" w:ascii="宋体" w:hAnsi="宋体" w:eastAsia="宋体" w:cs="宋体"/>
          <w:bCs/>
          <w:color w:val="auto"/>
          <w:highlight w:val="none"/>
        </w:rPr>
      </w:pPr>
      <w:bookmarkStart w:id="33" w:name="_Toc22007"/>
      <w:bookmarkStart w:id="34" w:name="_Toc13407"/>
      <w:bookmarkStart w:id="35" w:name="_Toc23756"/>
      <w:bookmarkStart w:id="36" w:name="_Toc14589"/>
      <w:r>
        <w:rPr>
          <w:rFonts w:hint="eastAsia" w:ascii="宋体" w:hAnsi="宋体" w:eastAsia="宋体" w:cs="宋体"/>
          <w:bCs/>
          <w:color w:val="auto"/>
          <w:highlight w:val="none"/>
        </w:rPr>
        <w:t>附件</w:t>
      </w:r>
      <w:r>
        <w:rPr>
          <w:rFonts w:hint="eastAsia" w:ascii="宋体" w:hAnsi="宋体" w:cs="宋体"/>
          <w:bCs/>
          <w:color w:val="auto"/>
          <w:highlight w:val="none"/>
          <w:lang w:eastAsia="zh-CN"/>
        </w:rPr>
        <w:t>三</w:t>
      </w:r>
      <w:r>
        <w:rPr>
          <w:rFonts w:hint="eastAsia" w:ascii="宋体" w:hAnsi="宋体" w:eastAsia="宋体" w:cs="宋体"/>
          <w:bCs/>
          <w:color w:val="auto"/>
          <w:highlight w:val="none"/>
        </w:rPr>
        <w:t>：</w:t>
      </w:r>
      <w:bookmarkEnd w:id="33"/>
      <w:bookmarkEnd w:id="34"/>
      <w:bookmarkEnd w:id="35"/>
      <w:bookmarkEnd w:id="36"/>
    </w:p>
    <w:p w14:paraId="64B1A9AC">
      <w:pPr>
        <w:spacing w:line="520" w:lineRule="exact"/>
        <w:jc w:val="center"/>
        <w:rPr>
          <w:rFonts w:hint="eastAsia" w:ascii="宋体" w:hAnsi="宋体" w:eastAsia="宋体" w:cs="宋体"/>
          <w:bCs/>
          <w:color w:val="auto"/>
          <w:sz w:val="44"/>
          <w:szCs w:val="44"/>
          <w:highlight w:val="none"/>
        </w:rPr>
      </w:pPr>
    </w:p>
    <w:p w14:paraId="6ADEC03E">
      <w:pPr>
        <w:spacing w:line="520" w:lineRule="exact"/>
        <w:jc w:val="cente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t>近三年内在经营活动中无重大违法违规记录</w:t>
      </w:r>
    </w:p>
    <w:p w14:paraId="7390B279">
      <w:pPr>
        <w:spacing w:line="520" w:lineRule="exact"/>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及重大违约事件</w:t>
      </w:r>
      <w:r>
        <w:rPr>
          <w:rFonts w:hint="eastAsia" w:ascii="宋体" w:hAnsi="宋体" w:eastAsia="宋体" w:cs="宋体"/>
          <w:b/>
          <w:color w:val="auto"/>
          <w:sz w:val="32"/>
          <w:szCs w:val="32"/>
          <w:highlight w:val="none"/>
        </w:rPr>
        <w:t>的承诺函</w:t>
      </w:r>
    </w:p>
    <w:p w14:paraId="5C1C88B2">
      <w:pPr>
        <w:pStyle w:val="8"/>
        <w:rPr>
          <w:rFonts w:hint="eastAsia"/>
          <w:color w:val="auto"/>
          <w:highlight w:val="none"/>
        </w:rPr>
      </w:pPr>
    </w:p>
    <w:p w14:paraId="747F93B0">
      <w:pPr>
        <w:spacing w:line="520" w:lineRule="exact"/>
        <w:jc w:val="center"/>
        <w:rPr>
          <w:rFonts w:hint="eastAsia" w:ascii="宋体" w:hAnsi="宋体" w:eastAsia="宋体" w:cs="宋体"/>
          <w:bCs/>
          <w:color w:val="auto"/>
          <w:sz w:val="44"/>
          <w:szCs w:val="44"/>
          <w:highlight w:val="none"/>
        </w:rPr>
      </w:pPr>
    </w:p>
    <w:p w14:paraId="5CF2580F">
      <w:pPr>
        <w:keepNext w:val="0"/>
        <w:keepLines w:val="0"/>
        <w:pageBreakBefore w:val="0"/>
        <w:widowControl w:val="0"/>
        <w:kinsoku/>
        <w:wordWrap/>
        <w:overflowPunct/>
        <w:topLinePunct w:val="0"/>
        <w:autoSpaceDE/>
        <w:autoSpaceDN/>
        <w:bidi w:val="0"/>
        <w:adjustRightInd/>
        <w:spacing w:line="48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u w:val="single"/>
        </w:rPr>
        <w:t>致</w:t>
      </w:r>
      <w:r>
        <w:rPr>
          <w:rFonts w:hint="eastAsia" w:ascii="宋体" w:hAnsi="宋体" w:cs="宋体"/>
          <w:color w:val="auto"/>
          <w:sz w:val="24"/>
          <w:szCs w:val="24"/>
          <w:highlight w:val="none"/>
          <w:u w:val="single"/>
          <w:lang w:eastAsia="zh-CN"/>
        </w:rPr>
        <w:t>台州市住房公积金管理中心天台分中心</w:t>
      </w:r>
      <w:r>
        <w:rPr>
          <w:rFonts w:hint="eastAsia" w:ascii="宋体" w:hAnsi="宋体" w:eastAsia="宋体" w:cs="宋体"/>
          <w:color w:val="auto"/>
          <w:sz w:val="24"/>
          <w:szCs w:val="24"/>
          <w:highlight w:val="none"/>
          <w:u w:val="single"/>
        </w:rPr>
        <w:t>：</w:t>
      </w:r>
    </w:p>
    <w:p w14:paraId="67C09246">
      <w:pPr>
        <w:keepNext w:val="0"/>
        <w:keepLines w:val="0"/>
        <w:pageBreakBefore w:val="0"/>
        <w:widowControl w:val="0"/>
        <w:kinsoku/>
        <w:wordWrap/>
        <w:overflowPunct/>
        <w:topLinePunct w:val="0"/>
        <w:autoSpaceDE/>
        <w:autoSpaceDN/>
        <w:bidi w:val="0"/>
        <w:adjustRightInd/>
        <w:snapToGrid w:val="0"/>
        <w:spacing w:before="156" w:beforeLines="50" w:after="50"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我方郑重承诺，我方依法开展经营活动，内部管理机制健全，具有较强的风险控制能力，</w:t>
      </w:r>
      <w:r>
        <w:rPr>
          <w:rFonts w:hint="eastAsia" w:ascii="宋体" w:hAnsi="宋体" w:cs="宋体"/>
          <w:color w:val="auto"/>
          <w:sz w:val="24"/>
          <w:szCs w:val="24"/>
          <w:highlight w:val="none"/>
          <w:lang w:eastAsia="zh-CN"/>
        </w:rPr>
        <w:t>近三年内在</w:t>
      </w:r>
      <w:r>
        <w:rPr>
          <w:rFonts w:hint="eastAsia" w:ascii="宋体" w:hAnsi="宋体" w:eastAsia="宋体" w:cs="宋体"/>
          <w:color w:val="auto"/>
          <w:sz w:val="24"/>
          <w:szCs w:val="24"/>
          <w:highlight w:val="none"/>
        </w:rPr>
        <w:t>经营活动中无重大违法违规记录及重大违约事件。如有虚假或隐瞒，采购人可取消我方任何资格（投标/谈判/中标（成交）/签订</w:t>
      </w:r>
      <w:r>
        <w:rPr>
          <w:rFonts w:hint="eastAsia" w:ascii="宋体" w:hAnsi="宋体" w:cs="宋体"/>
          <w:color w:val="auto"/>
          <w:sz w:val="24"/>
          <w:szCs w:val="24"/>
          <w:highlight w:val="none"/>
          <w:lang w:eastAsia="zh-CN"/>
        </w:rPr>
        <w:t>协议书</w:t>
      </w:r>
      <w:r>
        <w:rPr>
          <w:rFonts w:hint="eastAsia" w:ascii="宋体" w:hAnsi="宋体" w:eastAsia="宋体" w:cs="宋体"/>
          <w:color w:val="auto"/>
          <w:sz w:val="24"/>
          <w:szCs w:val="24"/>
          <w:highlight w:val="none"/>
        </w:rPr>
        <w:t>），我方对此无任何异议，并愿意承担一切后果和责任。</w:t>
      </w:r>
    </w:p>
    <w:p w14:paraId="7616570F">
      <w:pPr>
        <w:keepNext w:val="0"/>
        <w:keepLines w:val="0"/>
        <w:pageBreakBefore w:val="0"/>
        <w:widowControl w:val="0"/>
        <w:kinsoku/>
        <w:wordWrap/>
        <w:overflowPunct/>
        <w:topLinePunct w:val="0"/>
        <w:autoSpaceDE/>
        <w:autoSpaceDN/>
        <w:bidi w:val="0"/>
        <w:adjustRightInd/>
        <w:snapToGrid w:val="0"/>
        <w:spacing w:before="156" w:beforeLines="50" w:after="50"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w:t>
      </w:r>
      <w:r>
        <w:rPr>
          <w:rFonts w:hint="eastAsia" w:ascii="宋体" w:hAnsi="宋体" w:eastAsia="宋体" w:cs="宋体"/>
          <w:color w:val="auto"/>
          <w:kern w:val="0"/>
          <w:sz w:val="24"/>
          <w:szCs w:val="24"/>
          <w:highlight w:val="none"/>
        </w:rPr>
        <w:t>承诺</w:t>
      </w:r>
      <w:r>
        <w:rPr>
          <w:rFonts w:hint="eastAsia" w:ascii="宋体" w:hAnsi="宋体" w:eastAsia="宋体" w:cs="宋体"/>
          <w:color w:val="auto"/>
          <w:sz w:val="24"/>
          <w:szCs w:val="24"/>
          <w:highlight w:val="none"/>
        </w:rPr>
        <w:t>！</w:t>
      </w:r>
    </w:p>
    <w:p w14:paraId="585EEDFC">
      <w:pPr>
        <w:spacing w:line="460" w:lineRule="exact"/>
        <w:ind w:firstLine="3000" w:firstLineChars="125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竞标银行</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（盖公章）</w:t>
      </w:r>
    </w:p>
    <w:p w14:paraId="511A31B8">
      <w:pPr>
        <w:spacing w:line="460" w:lineRule="exact"/>
        <w:ind w:firstLine="1980" w:firstLineChars="825"/>
        <w:rPr>
          <w:rFonts w:hint="eastAsia" w:ascii="宋体" w:hAnsi="宋体" w:eastAsia="宋体" w:cs="宋体"/>
          <w:color w:val="auto"/>
          <w:sz w:val="24"/>
          <w:szCs w:val="24"/>
          <w:highlight w:val="none"/>
          <w:u w:val="single"/>
        </w:rPr>
      </w:pPr>
    </w:p>
    <w:p w14:paraId="3DD1AD0C">
      <w:pPr>
        <w:spacing w:line="460" w:lineRule="exact"/>
        <w:ind w:firstLine="1320" w:firstLine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i/>
          <w:color w:val="auto"/>
          <w:sz w:val="24"/>
          <w:szCs w:val="24"/>
          <w:highlight w:val="none"/>
        </w:rPr>
        <w:t>（负责人）</w:t>
      </w:r>
      <w:r>
        <w:rPr>
          <w:rFonts w:hint="eastAsia" w:ascii="宋体" w:hAnsi="宋体" w:eastAsia="宋体" w:cs="宋体"/>
          <w:color w:val="auto"/>
          <w:sz w:val="24"/>
          <w:szCs w:val="24"/>
          <w:highlight w:val="none"/>
        </w:rPr>
        <w:t>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2"/>
          <w:szCs w:val="22"/>
          <w:highlight w:val="none"/>
        </w:rPr>
        <w:t>签字或盖章</w:t>
      </w:r>
      <w:r>
        <w:rPr>
          <w:rFonts w:hint="eastAsia" w:ascii="宋体" w:hAnsi="宋体" w:eastAsia="宋体" w:cs="宋体"/>
          <w:color w:val="auto"/>
          <w:sz w:val="24"/>
          <w:szCs w:val="24"/>
          <w:highlight w:val="none"/>
        </w:rPr>
        <w:t>）</w:t>
      </w:r>
    </w:p>
    <w:p w14:paraId="61B41CFE">
      <w:pPr>
        <w:spacing w:line="460" w:lineRule="exact"/>
        <w:ind w:firstLine="1980" w:firstLineChars="825"/>
        <w:rPr>
          <w:rFonts w:hint="eastAsia" w:ascii="宋体" w:hAnsi="宋体" w:eastAsia="宋体" w:cs="宋体"/>
          <w:color w:val="auto"/>
          <w:sz w:val="24"/>
          <w:szCs w:val="24"/>
          <w:highlight w:val="none"/>
        </w:rPr>
      </w:pPr>
    </w:p>
    <w:p w14:paraId="0754440A">
      <w:pPr>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FB2FECA">
      <w:pPr>
        <w:spacing w:line="520" w:lineRule="exact"/>
        <w:jc w:val="left"/>
        <w:outlineLvl w:val="0"/>
        <w:rPr>
          <w:rFonts w:hint="eastAsia" w:ascii="宋体" w:hAnsi="宋体" w:eastAsia="宋体" w:cs="宋体"/>
          <w:bCs/>
          <w:color w:val="auto"/>
          <w:highlight w:val="none"/>
        </w:rPr>
      </w:pPr>
      <w:r>
        <w:rPr>
          <w:rFonts w:hint="eastAsia" w:ascii="宋体" w:hAnsi="宋体" w:eastAsia="宋体" w:cs="宋体"/>
          <w:bCs/>
          <w:color w:val="auto"/>
          <w:highlight w:val="none"/>
        </w:rPr>
        <w:br w:type="page"/>
      </w:r>
      <w:bookmarkStart w:id="37" w:name="_Toc4617"/>
      <w:bookmarkStart w:id="38" w:name="_Toc25095"/>
      <w:bookmarkStart w:id="39" w:name="_Toc17602"/>
      <w:bookmarkStart w:id="40" w:name="_Toc7543"/>
      <w:r>
        <w:rPr>
          <w:rFonts w:hint="eastAsia" w:ascii="宋体" w:hAnsi="宋体" w:eastAsia="宋体" w:cs="宋体"/>
          <w:bCs/>
          <w:color w:val="auto"/>
          <w:highlight w:val="none"/>
        </w:rPr>
        <w:t>附件</w:t>
      </w:r>
      <w:r>
        <w:rPr>
          <w:rFonts w:hint="eastAsia" w:ascii="宋体" w:hAnsi="宋体" w:cs="宋体"/>
          <w:bCs/>
          <w:color w:val="auto"/>
          <w:highlight w:val="none"/>
          <w:lang w:val="en-US" w:eastAsia="zh-CN"/>
        </w:rPr>
        <w:t>四</w:t>
      </w:r>
      <w:r>
        <w:rPr>
          <w:rFonts w:hint="eastAsia" w:ascii="宋体" w:hAnsi="宋体" w:eastAsia="宋体" w:cs="宋体"/>
          <w:bCs/>
          <w:color w:val="auto"/>
          <w:highlight w:val="none"/>
        </w:rPr>
        <w:t>：</w:t>
      </w:r>
      <w:bookmarkEnd w:id="37"/>
      <w:bookmarkEnd w:id="38"/>
      <w:bookmarkEnd w:id="39"/>
      <w:bookmarkEnd w:id="40"/>
    </w:p>
    <w:p w14:paraId="3562A3A7">
      <w:pPr>
        <w:tabs>
          <w:tab w:val="left" w:pos="7530"/>
        </w:tabs>
        <w:spacing w:line="520" w:lineRule="exact"/>
        <w:outlineLvl w:val="0"/>
        <w:rPr>
          <w:rFonts w:hint="eastAsia" w:ascii="宋体" w:hAnsi="宋体" w:eastAsia="宋体" w:cs="宋体"/>
          <w:bCs/>
          <w:color w:val="auto"/>
          <w:highlight w:val="none"/>
        </w:rPr>
      </w:pPr>
    </w:p>
    <w:p w14:paraId="68411AFB">
      <w:pPr>
        <w:spacing w:line="52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法定代表人（</w:t>
      </w:r>
      <w:r>
        <w:rPr>
          <w:rFonts w:hint="eastAsia" w:ascii="宋体" w:hAnsi="宋体" w:cs="宋体"/>
          <w:b/>
          <w:color w:val="auto"/>
          <w:sz w:val="44"/>
          <w:szCs w:val="44"/>
          <w:highlight w:val="none"/>
          <w:lang w:eastAsia="zh-CN"/>
        </w:rPr>
        <w:t>主要</w:t>
      </w:r>
      <w:r>
        <w:rPr>
          <w:rFonts w:hint="eastAsia" w:ascii="宋体" w:hAnsi="宋体" w:eastAsia="宋体" w:cs="宋体"/>
          <w:b/>
          <w:color w:val="auto"/>
          <w:sz w:val="44"/>
          <w:szCs w:val="44"/>
          <w:highlight w:val="none"/>
        </w:rPr>
        <w:t>负责人）资格证明书</w:t>
      </w:r>
    </w:p>
    <w:p w14:paraId="4E00A41E">
      <w:pPr>
        <w:spacing w:line="520" w:lineRule="exact"/>
        <w:jc w:val="center"/>
        <w:rPr>
          <w:rFonts w:hint="eastAsia" w:ascii="宋体" w:hAnsi="宋体" w:eastAsia="宋体" w:cs="宋体"/>
          <w:bCs/>
          <w:color w:val="auto"/>
          <w:sz w:val="44"/>
          <w:szCs w:val="44"/>
          <w:highlight w:val="none"/>
        </w:rPr>
      </w:pPr>
    </w:p>
    <w:p w14:paraId="0E13BA64">
      <w:pPr>
        <w:spacing w:line="700" w:lineRule="exact"/>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lang w:eastAsia="zh-CN"/>
        </w:rPr>
        <w:t>竞标银行</w:t>
      </w:r>
      <w:r>
        <w:rPr>
          <w:rFonts w:hint="eastAsia" w:ascii="宋体" w:hAnsi="宋体" w:eastAsia="宋体" w:cs="宋体"/>
          <w:bCs/>
          <w:color w:val="auto"/>
          <w:sz w:val="28"/>
          <w:szCs w:val="28"/>
          <w:highlight w:val="none"/>
        </w:rPr>
        <w:t>名称：</w:t>
      </w:r>
      <w:r>
        <w:rPr>
          <w:rFonts w:hint="eastAsia" w:ascii="宋体" w:hAnsi="宋体" w:eastAsia="宋体" w:cs="宋体"/>
          <w:color w:val="auto"/>
          <w:sz w:val="28"/>
          <w:szCs w:val="28"/>
          <w:highlight w:val="none"/>
          <w:u w:val="single"/>
        </w:rPr>
        <w:t xml:space="preserve">                                               </w:t>
      </w:r>
    </w:p>
    <w:p w14:paraId="7665ECCD">
      <w:pPr>
        <w:spacing w:line="700" w:lineRule="exac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地址：</w:t>
      </w:r>
      <w:r>
        <w:rPr>
          <w:rFonts w:hint="eastAsia" w:ascii="宋体" w:hAnsi="宋体" w:eastAsia="宋体" w:cs="宋体"/>
          <w:color w:val="auto"/>
          <w:sz w:val="28"/>
          <w:szCs w:val="28"/>
          <w:highlight w:val="none"/>
          <w:u w:val="single"/>
        </w:rPr>
        <w:t xml:space="preserve">                                                     </w:t>
      </w:r>
    </w:p>
    <w:p w14:paraId="36A2880B">
      <w:pPr>
        <w:spacing w:line="700" w:lineRule="exac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成立时间：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 xml:space="preserve"> 年</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日</w:t>
      </w:r>
    </w:p>
    <w:p w14:paraId="2175C339">
      <w:pPr>
        <w:spacing w:line="700" w:lineRule="exact"/>
        <w:rPr>
          <w:rFonts w:hint="eastAsia" w:ascii="宋体" w:hAnsi="宋体" w:eastAsia="宋体" w:cs="宋体"/>
          <w:color w:val="auto"/>
          <w:sz w:val="28"/>
          <w:szCs w:val="28"/>
          <w:highlight w:val="none"/>
          <w:u w:val="single"/>
        </w:rPr>
      </w:pPr>
      <w:r>
        <w:rPr>
          <w:rFonts w:hint="eastAsia" w:ascii="宋体" w:hAnsi="宋体" w:eastAsia="宋体" w:cs="宋体"/>
          <w:bCs/>
          <w:color w:val="auto"/>
          <w:sz w:val="28"/>
          <w:szCs w:val="28"/>
          <w:highlight w:val="none"/>
        </w:rPr>
        <w:t>经营期限：</w:t>
      </w:r>
      <w:r>
        <w:rPr>
          <w:rFonts w:hint="eastAsia" w:ascii="宋体" w:hAnsi="宋体" w:eastAsia="宋体" w:cs="宋体"/>
          <w:color w:val="auto"/>
          <w:sz w:val="28"/>
          <w:szCs w:val="28"/>
          <w:highlight w:val="none"/>
          <w:u w:val="single"/>
        </w:rPr>
        <w:t xml:space="preserve">                                                  </w:t>
      </w:r>
    </w:p>
    <w:p w14:paraId="7E764F13">
      <w:pPr>
        <w:spacing w:line="700" w:lineRule="exac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姓名：</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年龄：</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 xml:space="preserve">            </w:t>
      </w:r>
    </w:p>
    <w:p w14:paraId="2E10A42F">
      <w:pPr>
        <w:spacing w:line="700" w:lineRule="exact"/>
        <w:ind w:left="140" w:hanging="140" w:hangingChars="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 xml:space="preserve">               </w:t>
      </w:r>
    </w:p>
    <w:p w14:paraId="447296A3">
      <w:pPr>
        <w:spacing w:line="700" w:lineRule="exact"/>
        <w:ind w:left="140" w:hanging="140" w:hangingChars="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系  </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w:t>
      </w:r>
      <w:r>
        <w:rPr>
          <w:rFonts w:hint="eastAsia" w:ascii="宋体" w:hAnsi="宋体" w:cs="宋体"/>
          <w:bCs/>
          <w:color w:val="auto"/>
          <w:sz w:val="28"/>
          <w:szCs w:val="28"/>
          <w:highlight w:val="none"/>
          <w:lang w:eastAsia="zh-CN"/>
        </w:rPr>
        <w:t>竞标银行</w:t>
      </w:r>
      <w:r>
        <w:rPr>
          <w:rFonts w:hint="eastAsia" w:ascii="宋体" w:hAnsi="宋体" w:eastAsia="宋体" w:cs="宋体"/>
          <w:bCs/>
          <w:color w:val="auto"/>
          <w:sz w:val="28"/>
          <w:szCs w:val="28"/>
          <w:highlight w:val="none"/>
        </w:rPr>
        <w:t>名称）的法定代表人（负责人）。</w:t>
      </w:r>
    </w:p>
    <w:p w14:paraId="4F4875CD">
      <w:pPr>
        <w:spacing w:line="520" w:lineRule="exact"/>
        <w:rPr>
          <w:rFonts w:hint="eastAsia" w:ascii="宋体" w:hAnsi="宋体" w:eastAsia="宋体" w:cs="宋体"/>
          <w:bCs/>
          <w:color w:val="auto"/>
          <w:sz w:val="28"/>
          <w:szCs w:val="28"/>
          <w:highlight w:val="none"/>
        </w:rPr>
      </w:pPr>
    </w:p>
    <w:p w14:paraId="5E78CF5F">
      <w:pPr>
        <w:spacing w:line="520" w:lineRule="exac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特此证明。</w:t>
      </w:r>
    </w:p>
    <w:p w14:paraId="17B3F3B9">
      <w:pPr>
        <w:spacing w:line="520" w:lineRule="exact"/>
        <w:jc w:val="right"/>
        <w:rPr>
          <w:rFonts w:hint="eastAsia" w:ascii="宋体" w:hAnsi="宋体" w:eastAsia="宋体" w:cs="宋体"/>
          <w:bCs/>
          <w:color w:val="auto"/>
          <w:sz w:val="28"/>
          <w:szCs w:val="28"/>
          <w:highlight w:val="none"/>
        </w:rPr>
      </w:pPr>
    </w:p>
    <w:p w14:paraId="4C239B3C">
      <w:pPr>
        <w:wordWrap w:val="0"/>
        <w:spacing w:line="520" w:lineRule="exact"/>
        <w:jc w:val="right"/>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lang w:eastAsia="zh-CN"/>
        </w:rPr>
        <w:t>竞标银行</w:t>
      </w:r>
      <w:r>
        <w:rPr>
          <w:rFonts w:hint="eastAsia" w:ascii="宋体" w:hAnsi="宋体" w:eastAsia="宋体" w:cs="宋体"/>
          <w:bCs/>
          <w:color w:val="auto"/>
          <w:sz w:val="28"/>
          <w:szCs w:val="28"/>
          <w:highlight w:val="none"/>
        </w:rPr>
        <w:t xml:space="preserve">全称： </w:t>
      </w:r>
      <w:r>
        <w:rPr>
          <w:rFonts w:hint="eastAsia" w:ascii="宋体" w:hAnsi="宋体" w:eastAsia="宋体" w:cs="宋体"/>
          <w:color w:val="auto"/>
          <w:sz w:val="28"/>
          <w:szCs w:val="28"/>
          <w:highlight w:val="none"/>
          <w:u w:val="single"/>
        </w:rPr>
        <w:t xml:space="preserve">                     </w:t>
      </w:r>
      <w:r>
        <w:rPr>
          <w:rFonts w:hint="eastAsia" w:ascii="宋体" w:hAnsi="宋体" w:eastAsia="宋体" w:cs="宋体"/>
          <w:bCs/>
          <w:color w:val="auto"/>
          <w:sz w:val="28"/>
          <w:szCs w:val="28"/>
          <w:highlight w:val="none"/>
        </w:rPr>
        <w:t>（盖公章）</w:t>
      </w:r>
    </w:p>
    <w:p w14:paraId="18902F3D">
      <w:pPr>
        <w:spacing w:line="520" w:lineRule="exact"/>
        <w:ind w:firstLine="4900" w:firstLineChars="1750"/>
        <w:rPr>
          <w:rFonts w:hint="eastAsia" w:ascii="宋体" w:hAnsi="宋体" w:eastAsia="宋体" w:cs="宋体"/>
          <w:bCs/>
          <w:color w:val="auto"/>
          <w:sz w:val="28"/>
          <w:szCs w:val="28"/>
          <w:highlight w:val="none"/>
        </w:rPr>
      </w:pPr>
    </w:p>
    <w:p w14:paraId="07990932">
      <w:pPr>
        <w:spacing w:line="520" w:lineRule="exact"/>
        <w:ind w:firstLine="4900" w:firstLineChars="17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年    月    日</w:t>
      </w:r>
    </w:p>
    <w:tbl>
      <w:tblPr>
        <w:tblStyle w:val="19"/>
        <w:tblpPr w:leftFromText="180" w:rightFromText="180" w:vertAnchor="text" w:horzAnchor="page" w:tblpXSpec="center" w:tblpY="714"/>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86"/>
      </w:tblGrid>
      <w:tr w14:paraId="558BE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5886" w:type="dxa"/>
            <w:tcBorders>
              <w:tl2br w:val="nil"/>
              <w:tr2bl w:val="nil"/>
            </w:tcBorders>
          </w:tcPr>
          <w:p w14:paraId="2829E7E9">
            <w:pPr>
              <w:pStyle w:val="29"/>
              <w:adjustRightInd w:val="0"/>
              <w:snapToGrid w:val="0"/>
              <w:ind w:left="52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6BBFBA7">
            <w:pPr>
              <w:pStyle w:val="29"/>
              <w:adjustRightInd w:val="0"/>
              <w:snapToGrid w:val="0"/>
              <w:ind w:firstLine="21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附：</w:t>
            </w:r>
            <w:r>
              <w:rPr>
                <w:rFonts w:hint="eastAsia" w:ascii="宋体" w:hAnsi="宋体" w:eastAsia="宋体" w:cs="宋体"/>
                <w:color w:val="auto"/>
                <w:szCs w:val="21"/>
                <w:highlight w:val="none"/>
              </w:rPr>
              <w:t>法定代表人（主要负责人）</w:t>
            </w:r>
            <w:r>
              <w:rPr>
                <w:rFonts w:hint="eastAsia" w:ascii="宋体" w:hAnsi="宋体" w:eastAsia="宋体" w:cs="宋体"/>
                <w:color w:val="auto"/>
                <w:szCs w:val="21"/>
                <w:highlight w:val="none"/>
                <w:lang w:val="en-US" w:eastAsia="zh-CN"/>
              </w:rPr>
              <w:t>有效</w:t>
            </w:r>
            <w:r>
              <w:rPr>
                <w:rFonts w:hint="eastAsia" w:ascii="宋体" w:hAnsi="宋体" w:eastAsia="宋体" w:cs="宋体"/>
                <w:color w:val="auto"/>
                <w:szCs w:val="21"/>
                <w:highlight w:val="none"/>
              </w:rPr>
              <w:t>身份证正、反面</w:t>
            </w:r>
            <w:r>
              <w:rPr>
                <w:rFonts w:hint="eastAsia" w:ascii="宋体" w:hAnsi="宋体" w:eastAsia="宋体" w:cs="宋体"/>
                <w:color w:val="auto"/>
                <w:szCs w:val="21"/>
                <w:highlight w:val="none"/>
                <w:lang w:val="en-US" w:eastAsia="zh-CN"/>
              </w:rPr>
              <w:t>复印</w:t>
            </w:r>
            <w:r>
              <w:rPr>
                <w:rFonts w:hint="eastAsia" w:ascii="宋体" w:hAnsi="宋体" w:eastAsia="宋体" w:cs="宋体"/>
                <w:color w:val="auto"/>
                <w:szCs w:val="21"/>
                <w:highlight w:val="none"/>
              </w:rPr>
              <w:t>件</w:t>
            </w:r>
          </w:p>
          <w:p w14:paraId="276FC518">
            <w:pPr>
              <w:pStyle w:val="29"/>
              <w:adjustRightInd w:val="0"/>
              <w:snapToGrid w:val="0"/>
              <w:ind w:left="5250" w:firstLine="420" w:firstLineChars="200"/>
              <w:rPr>
                <w:rFonts w:hint="eastAsia" w:ascii="宋体" w:hAnsi="宋体" w:eastAsia="宋体" w:cs="宋体"/>
                <w:color w:val="auto"/>
                <w:szCs w:val="21"/>
                <w:highlight w:val="none"/>
              </w:rPr>
            </w:pPr>
          </w:p>
          <w:p w14:paraId="40BA599B">
            <w:pPr>
              <w:pStyle w:val="29"/>
              <w:adjustRightInd w:val="0"/>
              <w:snapToGrid w:val="0"/>
              <w:ind w:left="5250" w:firstLine="420" w:firstLineChars="200"/>
              <w:rPr>
                <w:rFonts w:hint="eastAsia" w:ascii="宋体" w:hAnsi="宋体" w:eastAsia="宋体" w:cs="宋体"/>
                <w:color w:val="auto"/>
                <w:szCs w:val="21"/>
                <w:highlight w:val="none"/>
              </w:rPr>
            </w:pPr>
          </w:p>
          <w:p w14:paraId="613434F6">
            <w:pPr>
              <w:pStyle w:val="29"/>
              <w:adjustRightInd w:val="0"/>
              <w:snapToGrid w:val="0"/>
              <w:ind w:left="5250" w:firstLine="420" w:firstLineChars="200"/>
              <w:rPr>
                <w:rFonts w:hint="eastAsia" w:ascii="宋体" w:hAnsi="宋体" w:eastAsia="宋体" w:cs="宋体"/>
                <w:color w:val="auto"/>
                <w:szCs w:val="21"/>
                <w:highlight w:val="none"/>
              </w:rPr>
            </w:pPr>
          </w:p>
          <w:p w14:paraId="144F597D">
            <w:pPr>
              <w:pStyle w:val="29"/>
              <w:adjustRightInd w:val="0"/>
              <w:snapToGrid w:val="0"/>
              <w:ind w:left="5250" w:firstLine="420" w:firstLineChars="200"/>
              <w:rPr>
                <w:rFonts w:hint="eastAsia" w:ascii="宋体" w:hAnsi="宋体" w:eastAsia="宋体" w:cs="宋体"/>
                <w:color w:val="auto"/>
                <w:szCs w:val="21"/>
                <w:highlight w:val="none"/>
              </w:rPr>
            </w:pPr>
          </w:p>
          <w:p w14:paraId="70F81B30">
            <w:pPr>
              <w:pStyle w:val="29"/>
              <w:adjustRightInd w:val="0"/>
              <w:snapToGrid w:val="0"/>
              <w:ind w:left="5250" w:firstLine="420" w:firstLineChars="200"/>
              <w:rPr>
                <w:rFonts w:hint="eastAsia" w:ascii="宋体" w:hAnsi="宋体" w:eastAsia="宋体" w:cs="宋体"/>
                <w:color w:val="auto"/>
                <w:szCs w:val="21"/>
                <w:highlight w:val="none"/>
              </w:rPr>
            </w:pPr>
          </w:p>
          <w:p w14:paraId="636E8A87">
            <w:pPr>
              <w:pStyle w:val="29"/>
              <w:adjustRightInd w:val="0"/>
              <w:snapToGrid w:val="0"/>
              <w:ind w:left="5250" w:firstLine="420" w:firstLineChars="200"/>
              <w:rPr>
                <w:rFonts w:hint="eastAsia" w:ascii="宋体" w:hAnsi="宋体" w:eastAsia="宋体" w:cs="宋体"/>
                <w:color w:val="auto"/>
                <w:szCs w:val="21"/>
                <w:highlight w:val="none"/>
              </w:rPr>
            </w:pPr>
          </w:p>
        </w:tc>
      </w:tr>
    </w:tbl>
    <w:p w14:paraId="7EA0B481">
      <w:pPr>
        <w:spacing w:line="520" w:lineRule="exact"/>
        <w:rPr>
          <w:rFonts w:hint="eastAsia" w:ascii="宋体" w:hAnsi="宋体" w:eastAsia="宋体" w:cs="宋体"/>
          <w:bCs/>
          <w:color w:val="auto"/>
          <w:sz w:val="28"/>
          <w:szCs w:val="28"/>
          <w:highlight w:val="none"/>
        </w:rPr>
      </w:pPr>
    </w:p>
    <w:p w14:paraId="6775D789">
      <w:pPr>
        <w:spacing w:line="500" w:lineRule="exact"/>
        <w:jc w:val="center"/>
        <w:rPr>
          <w:rFonts w:hint="eastAsia" w:ascii="宋体" w:hAnsi="宋体" w:eastAsia="宋体" w:cs="宋体"/>
          <w:color w:val="auto"/>
          <w:sz w:val="44"/>
          <w:szCs w:val="44"/>
          <w:highlight w:val="none"/>
        </w:rPr>
      </w:pPr>
    </w:p>
    <w:p w14:paraId="5995C9B7">
      <w:pPr>
        <w:spacing w:line="500" w:lineRule="exact"/>
        <w:jc w:val="center"/>
        <w:rPr>
          <w:rFonts w:hint="eastAsia" w:ascii="宋体" w:hAnsi="宋体" w:eastAsia="宋体" w:cs="宋体"/>
          <w:color w:val="auto"/>
          <w:sz w:val="44"/>
          <w:szCs w:val="44"/>
          <w:highlight w:val="none"/>
        </w:rPr>
      </w:pPr>
    </w:p>
    <w:p w14:paraId="67E314DA">
      <w:pPr>
        <w:spacing w:line="500" w:lineRule="exact"/>
        <w:rPr>
          <w:rFonts w:hint="eastAsia" w:ascii="宋体" w:hAnsi="宋体" w:eastAsia="宋体" w:cs="宋体"/>
          <w:color w:val="auto"/>
          <w:sz w:val="44"/>
          <w:szCs w:val="44"/>
          <w:highlight w:val="none"/>
        </w:rPr>
      </w:pPr>
    </w:p>
    <w:p w14:paraId="59CE72C2">
      <w:pPr>
        <w:spacing w:line="500" w:lineRule="exact"/>
        <w:rPr>
          <w:rFonts w:hint="eastAsia" w:ascii="宋体" w:hAnsi="宋体" w:eastAsia="宋体" w:cs="宋体"/>
          <w:color w:val="auto"/>
          <w:sz w:val="44"/>
          <w:szCs w:val="44"/>
          <w:highlight w:val="none"/>
        </w:rPr>
      </w:pPr>
    </w:p>
    <w:p w14:paraId="72D61A06">
      <w:pPr>
        <w:rPr>
          <w:rFonts w:hint="eastAsia" w:ascii="宋体" w:hAnsi="宋体" w:eastAsia="宋体" w:cs="宋体"/>
          <w:bCs/>
          <w:color w:val="auto"/>
          <w:highlight w:val="none"/>
        </w:rPr>
      </w:pPr>
      <w:bookmarkStart w:id="41" w:name="_Toc5950"/>
      <w:bookmarkStart w:id="42" w:name="_Toc19089"/>
      <w:r>
        <w:rPr>
          <w:rFonts w:hint="eastAsia" w:ascii="宋体" w:hAnsi="宋体" w:eastAsia="宋体" w:cs="宋体"/>
          <w:bCs/>
          <w:color w:val="auto"/>
          <w:highlight w:val="none"/>
        </w:rPr>
        <w:br w:type="page"/>
      </w:r>
    </w:p>
    <w:p w14:paraId="1F576292">
      <w:pPr>
        <w:spacing w:line="520" w:lineRule="exact"/>
        <w:outlineLvl w:val="0"/>
        <w:rPr>
          <w:rFonts w:hint="eastAsia" w:ascii="宋体" w:hAnsi="宋体" w:eastAsia="宋体" w:cs="宋体"/>
          <w:bCs/>
          <w:color w:val="auto"/>
          <w:highlight w:val="none"/>
        </w:rPr>
      </w:pPr>
      <w:bookmarkStart w:id="43" w:name="_Toc11431"/>
      <w:r>
        <w:rPr>
          <w:rFonts w:hint="eastAsia" w:ascii="宋体" w:hAnsi="宋体" w:eastAsia="宋体" w:cs="宋体"/>
          <w:bCs/>
          <w:color w:val="auto"/>
          <w:highlight w:val="none"/>
        </w:rPr>
        <w:t>附件</w:t>
      </w:r>
      <w:r>
        <w:rPr>
          <w:rFonts w:hint="eastAsia" w:ascii="宋体" w:hAnsi="宋体" w:cs="宋体"/>
          <w:bCs/>
          <w:color w:val="auto"/>
          <w:sz w:val="24"/>
          <w:szCs w:val="24"/>
          <w:highlight w:val="none"/>
          <w:lang w:val="en-US" w:eastAsia="zh-CN"/>
        </w:rPr>
        <w:t>五</w:t>
      </w:r>
      <w:r>
        <w:rPr>
          <w:rFonts w:hint="eastAsia" w:ascii="宋体" w:hAnsi="宋体" w:eastAsia="宋体" w:cs="宋体"/>
          <w:bCs/>
          <w:color w:val="auto"/>
          <w:highlight w:val="none"/>
        </w:rPr>
        <w:t>：</w:t>
      </w:r>
      <w:bookmarkEnd w:id="41"/>
      <w:bookmarkEnd w:id="42"/>
      <w:bookmarkEnd w:id="43"/>
    </w:p>
    <w:p w14:paraId="5DCB8A83">
      <w:pPr>
        <w:bidi w:val="0"/>
        <w:rPr>
          <w:rFonts w:hint="eastAsia"/>
          <w:color w:val="auto"/>
        </w:rPr>
      </w:pPr>
    </w:p>
    <w:p w14:paraId="3E3C90BD">
      <w:pPr>
        <w:spacing w:line="50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w:t>
      </w:r>
    </w:p>
    <w:p w14:paraId="139F857B">
      <w:pPr>
        <w:pStyle w:val="6"/>
        <w:rPr>
          <w:rFonts w:hint="eastAsia" w:ascii="宋体" w:hAnsi="宋体" w:eastAsia="宋体" w:cs="宋体"/>
          <w:color w:val="auto"/>
          <w:highlight w:val="none"/>
        </w:rPr>
      </w:pPr>
    </w:p>
    <w:p w14:paraId="54FF1F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highlight w:val="none"/>
          <w:u w:val="single"/>
          <w:lang w:val="en-US" w:eastAsia="zh-CN"/>
        </w:rPr>
        <w:t>台州市住房公积金管理中心天台分中心</w:t>
      </w:r>
      <w:r>
        <w:rPr>
          <w:rFonts w:hint="eastAsia" w:ascii="宋体" w:hAnsi="宋体" w:eastAsia="宋体" w:cs="宋体"/>
          <w:color w:val="auto"/>
          <w:sz w:val="24"/>
          <w:highlight w:val="none"/>
        </w:rPr>
        <w:t>：</w:t>
      </w:r>
    </w:p>
    <w:p w14:paraId="1CB83AD1">
      <w:pPr>
        <w:snapToGrid w:val="0"/>
        <w:spacing w:before="156" w:beforeLines="50" w:after="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竞标银行</w:t>
      </w:r>
      <w:r>
        <w:rPr>
          <w:rFonts w:hint="eastAsia" w:ascii="宋体" w:hAnsi="宋体" w:eastAsia="宋体" w:cs="宋体"/>
          <w:color w:val="auto"/>
          <w:sz w:val="24"/>
          <w:highlight w:val="none"/>
        </w:rPr>
        <w:t>名称）的法定代表人（负责人），现授权委托本单位在职职工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（姓名）以我方的名义参加</w:t>
      </w:r>
      <w:r>
        <w:rPr>
          <w:rFonts w:hint="eastAsia" w:ascii="宋体" w:hAnsi="宋体" w:cs="宋体"/>
          <w:color w:val="auto"/>
          <w:sz w:val="24"/>
          <w:szCs w:val="24"/>
          <w:highlight w:val="none"/>
          <w:u w:val="single"/>
          <w:lang w:eastAsia="zh-CN"/>
        </w:rPr>
        <w:t>台州市住房公积金管理中心天台分中心2025年第一期资金竞争性存放招标（第二次）</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single"/>
          <w:lang w:eastAsia="zh-CN"/>
        </w:rPr>
        <w:t>CTZB-2025060353A</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的投标活动，并代表我方全权办理针对上述项目的投标、开标、评标、签约等具体事务和签署相关文件。</w:t>
      </w:r>
    </w:p>
    <w:p w14:paraId="4D353120">
      <w:pPr>
        <w:snapToGrid w:val="0"/>
        <w:spacing w:before="156" w:beforeLines="50" w:after="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我方对委托代理人的签名负全部责任。</w:t>
      </w:r>
    </w:p>
    <w:p w14:paraId="0C029A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。委托代理人在授权书有效期内签署的所有文件不因授权的撤销而失效。</w:t>
      </w:r>
    </w:p>
    <w:p w14:paraId="10FEA53B">
      <w:pPr>
        <w:snapToGrid w:val="0"/>
        <w:spacing w:before="156" w:beforeLines="50" w:after="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49CB6912">
      <w:pPr>
        <w:spacing w:line="500" w:lineRule="exact"/>
        <w:ind w:firstLine="2640" w:firstLineChars="1100"/>
        <w:rPr>
          <w:rFonts w:hint="eastAsia" w:ascii="宋体" w:hAnsi="宋体" w:eastAsia="宋体" w:cs="宋体"/>
          <w:color w:val="auto"/>
          <w:sz w:val="24"/>
          <w:highlight w:val="none"/>
        </w:rPr>
      </w:pPr>
      <w:r>
        <w:rPr>
          <w:rFonts w:hint="eastAsia" w:ascii="宋体" w:hAnsi="宋体" w:cs="宋体"/>
          <w:color w:val="auto"/>
          <w:sz w:val="24"/>
          <w:highlight w:val="none"/>
          <w:lang w:eastAsia="zh-CN"/>
        </w:rPr>
        <w:t>竞标银行</w:t>
      </w:r>
      <w:r>
        <w:rPr>
          <w:rFonts w:hint="eastAsia" w:ascii="宋体" w:hAnsi="宋体" w:eastAsia="宋体" w:cs="宋体"/>
          <w:color w:val="auto"/>
          <w:sz w:val="24"/>
          <w:highlight w:val="none"/>
        </w:rPr>
        <w:t xml:space="preserve">全称：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14:paraId="118D73E5">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法定代表人（负责人）：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5265692D">
      <w:pPr>
        <w:spacing w:line="500" w:lineRule="exact"/>
        <w:ind w:firstLine="2640" w:firstLineChars="11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69ECE643">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p>
    <w:p w14:paraId="4824E875">
      <w:pPr>
        <w:spacing w:line="420" w:lineRule="exact"/>
        <w:ind w:firstLine="56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委托代理人姓名：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B7B4764">
      <w:pPr>
        <w:spacing w:line="420" w:lineRule="exact"/>
        <w:ind w:firstLine="56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身份证号码：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A950037">
      <w:pPr>
        <w:spacing w:line="420" w:lineRule="exact"/>
        <w:ind w:firstLine="56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联系电话：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37C4FAB">
      <w:pPr>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tbl>
      <w:tblPr>
        <w:tblStyle w:val="19"/>
        <w:tblpPr w:leftFromText="180" w:rightFromText="180" w:vertAnchor="text" w:horzAnchor="page" w:tblpXSpec="center" w:tblpY="714"/>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86"/>
      </w:tblGrid>
      <w:tr w14:paraId="6C588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86" w:type="dxa"/>
            <w:tcBorders>
              <w:tl2br w:val="nil"/>
              <w:tr2bl w:val="nil"/>
            </w:tcBorders>
          </w:tcPr>
          <w:p w14:paraId="481BA421">
            <w:pPr>
              <w:pStyle w:val="29"/>
              <w:adjustRightInd w:val="0"/>
              <w:snapToGrid w:val="0"/>
              <w:ind w:left="52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0D42E82">
            <w:pPr>
              <w:pStyle w:val="29"/>
              <w:adjustRightInd w:val="0"/>
              <w:snapToGrid w:val="0"/>
              <w:ind w:firstLine="21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附：</w:t>
            </w: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lang w:val="en-US" w:eastAsia="zh-CN"/>
              </w:rPr>
              <w:t>有效</w:t>
            </w:r>
            <w:r>
              <w:rPr>
                <w:rFonts w:hint="eastAsia" w:ascii="宋体" w:hAnsi="宋体" w:eastAsia="宋体" w:cs="宋体"/>
                <w:color w:val="auto"/>
                <w:szCs w:val="21"/>
                <w:highlight w:val="none"/>
              </w:rPr>
              <w:t>身份证正、反面</w:t>
            </w:r>
            <w:r>
              <w:rPr>
                <w:rFonts w:hint="eastAsia" w:ascii="宋体" w:hAnsi="宋体" w:eastAsia="宋体" w:cs="宋体"/>
                <w:color w:val="auto"/>
                <w:szCs w:val="21"/>
                <w:highlight w:val="none"/>
                <w:lang w:val="en-US" w:eastAsia="zh-CN"/>
              </w:rPr>
              <w:t>复印</w:t>
            </w:r>
            <w:r>
              <w:rPr>
                <w:rFonts w:hint="eastAsia" w:ascii="宋体" w:hAnsi="宋体" w:eastAsia="宋体" w:cs="宋体"/>
                <w:color w:val="auto"/>
                <w:szCs w:val="21"/>
                <w:highlight w:val="none"/>
              </w:rPr>
              <w:t>件</w:t>
            </w:r>
          </w:p>
          <w:p w14:paraId="34A21CEE">
            <w:pPr>
              <w:pStyle w:val="29"/>
              <w:adjustRightInd w:val="0"/>
              <w:snapToGrid w:val="0"/>
              <w:ind w:left="5250" w:firstLine="420" w:firstLineChars="200"/>
              <w:rPr>
                <w:rFonts w:hint="eastAsia" w:ascii="宋体" w:hAnsi="宋体" w:eastAsia="宋体" w:cs="宋体"/>
                <w:color w:val="auto"/>
                <w:szCs w:val="21"/>
                <w:highlight w:val="none"/>
              </w:rPr>
            </w:pPr>
          </w:p>
          <w:p w14:paraId="09481E32">
            <w:pPr>
              <w:pStyle w:val="29"/>
              <w:adjustRightInd w:val="0"/>
              <w:snapToGrid w:val="0"/>
              <w:ind w:left="5250" w:firstLine="420" w:firstLineChars="200"/>
              <w:rPr>
                <w:rFonts w:hint="eastAsia" w:ascii="宋体" w:hAnsi="宋体" w:eastAsia="宋体" w:cs="宋体"/>
                <w:color w:val="auto"/>
                <w:szCs w:val="21"/>
                <w:highlight w:val="none"/>
              </w:rPr>
            </w:pPr>
          </w:p>
          <w:p w14:paraId="1CF8CB5F">
            <w:pPr>
              <w:pStyle w:val="29"/>
              <w:adjustRightInd w:val="0"/>
              <w:snapToGrid w:val="0"/>
              <w:ind w:left="5250" w:firstLine="420" w:firstLineChars="200"/>
              <w:rPr>
                <w:rFonts w:hint="eastAsia" w:ascii="宋体" w:hAnsi="宋体" w:eastAsia="宋体" w:cs="宋体"/>
                <w:color w:val="auto"/>
                <w:szCs w:val="21"/>
                <w:highlight w:val="none"/>
              </w:rPr>
            </w:pPr>
          </w:p>
          <w:p w14:paraId="4E620460">
            <w:pPr>
              <w:pStyle w:val="29"/>
              <w:adjustRightInd w:val="0"/>
              <w:snapToGrid w:val="0"/>
              <w:ind w:left="5250" w:firstLine="420" w:firstLineChars="200"/>
              <w:rPr>
                <w:rFonts w:hint="eastAsia" w:ascii="宋体" w:hAnsi="宋体" w:eastAsia="宋体" w:cs="宋体"/>
                <w:color w:val="auto"/>
                <w:szCs w:val="21"/>
                <w:highlight w:val="none"/>
              </w:rPr>
            </w:pPr>
          </w:p>
          <w:p w14:paraId="15550E4B">
            <w:pPr>
              <w:pStyle w:val="29"/>
              <w:adjustRightInd w:val="0"/>
              <w:snapToGrid w:val="0"/>
              <w:ind w:left="5250" w:firstLine="420" w:firstLineChars="200"/>
              <w:rPr>
                <w:rFonts w:hint="eastAsia" w:ascii="宋体" w:hAnsi="宋体" w:eastAsia="宋体" w:cs="宋体"/>
                <w:color w:val="auto"/>
                <w:szCs w:val="21"/>
                <w:highlight w:val="none"/>
              </w:rPr>
            </w:pPr>
          </w:p>
          <w:p w14:paraId="6854B126">
            <w:pPr>
              <w:pStyle w:val="29"/>
              <w:adjustRightInd w:val="0"/>
              <w:snapToGrid w:val="0"/>
              <w:ind w:left="5250" w:firstLine="420" w:firstLineChars="200"/>
              <w:rPr>
                <w:rFonts w:hint="eastAsia" w:ascii="宋体" w:hAnsi="宋体" w:eastAsia="宋体" w:cs="宋体"/>
                <w:color w:val="auto"/>
                <w:szCs w:val="21"/>
                <w:highlight w:val="none"/>
              </w:rPr>
            </w:pPr>
          </w:p>
        </w:tc>
      </w:tr>
    </w:tbl>
    <w:p w14:paraId="52A5A1B8">
      <w:pPr>
        <w:pStyle w:val="29"/>
        <w:ind w:firstLine="210"/>
        <w:rPr>
          <w:rFonts w:hint="eastAsia" w:ascii="宋体" w:hAnsi="宋体" w:eastAsia="宋体" w:cs="宋体"/>
          <w:color w:val="auto"/>
          <w:szCs w:val="21"/>
          <w:highlight w:val="none"/>
        </w:rPr>
      </w:pPr>
    </w:p>
    <w:p w14:paraId="5F04B44B">
      <w:pPr>
        <w:rPr>
          <w:rFonts w:hint="eastAsia"/>
          <w:color w:val="auto"/>
        </w:rPr>
        <w:sectPr>
          <w:headerReference r:id="rId9" w:type="default"/>
          <w:footerReference r:id="rId10" w:type="default"/>
          <w:pgSz w:w="11905" w:h="16838"/>
          <w:pgMar w:top="1361" w:right="1587" w:bottom="1361" w:left="1587" w:header="510" w:footer="1020" w:gutter="0"/>
          <w:pgBorders>
            <w:top w:val="none" w:sz="0" w:space="0"/>
            <w:left w:val="none" w:sz="0" w:space="0"/>
            <w:bottom w:val="none" w:sz="0" w:space="0"/>
            <w:right w:val="none" w:sz="0" w:space="0"/>
          </w:pgBorders>
          <w:pgNumType w:fmt="decimal"/>
          <w:cols w:space="0" w:num="1"/>
          <w:rtlGutter w:val="0"/>
          <w:docGrid w:type="lines" w:linePitch="330" w:charSpace="0"/>
        </w:sectPr>
      </w:pPr>
    </w:p>
    <w:p w14:paraId="43FA82CE">
      <w:pPr>
        <w:rPr>
          <w:rFonts w:hint="eastAsia" w:ascii="宋体" w:hAnsi="宋体" w:eastAsia="宋体" w:cs="宋体"/>
          <w:bCs/>
          <w:color w:val="auto"/>
          <w:highlight w:val="none"/>
        </w:rPr>
      </w:pPr>
      <w:bookmarkStart w:id="44" w:name="_Toc27912"/>
      <w:bookmarkStart w:id="45" w:name="_Toc17798"/>
      <w:r>
        <w:rPr>
          <w:rFonts w:hint="eastAsia" w:ascii="宋体" w:hAnsi="宋体" w:eastAsia="宋体" w:cs="宋体"/>
          <w:bCs/>
          <w:color w:val="auto"/>
          <w:highlight w:val="none"/>
        </w:rPr>
        <w:t>附件</w:t>
      </w:r>
      <w:bookmarkEnd w:id="44"/>
      <w:bookmarkEnd w:id="45"/>
      <w:r>
        <w:rPr>
          <w:rFonts w:hint="eastAsia" w:ascii="宋体" w:hAnsi="宋体" w:cs="宋体"/>
          <w:bCs/>
          <w:color w:val="auto"/>
          <w:highlight w:val="none"/>
          <w:lang w:eastAsia="zh-CN"/>
        </w:rPr>
        <w:t>六</w:t>
      </w:r>
      <w:r>
        <w:rPr>
          <w:rFonts w:hint="eastAsia" w:ascii="宋体" w:hAnsi="宋体" w:eastAsia="宋体" w:cs="宋体"/>
          <w:bCs/>
          <w:color w:val="auto"/>
          <w:highlight w:val="none"/>
        </w:rPr>
        <w:t>：</w:t>
      </w:r>
    </w:p>
    <w:p w14:paraId="5E3BF9DA">
      <w:pPr>
        <w:jc w:val="center"/>
        <w:rPr>
          <w:rStyle w:val="24"/>
          <w:rFonts w:hint="eastAsia" w:ascii="Times New Roman" w:hAnsi="Times New Roman" w:cs="Times New Roman"/>
          <w:color w:val="auto"/>
          <w:highlight w:val="none"/>
        </w:rPr>
      </w:pPr>
    </w:p>
    <w:p w14:paraId="427AF368">
      <w:pPr>
        <w:jc w:val="center"/>
        <w:rPr>
          <w:rStyle w:val="24"/>
          <w:rFonts w:hint="eastAsia" w:ascii="Times New Roman" w:hAnsi="Times New Roman" w:cs="Times New Roman"/>
          <w:color w:val="auto"/>
          <w:highlight w:val="none"/>
        </w:rPr>
      </w:pPr>
      <w:bookmarkStart w:id="46" w:name="_Toc10093"/>
      <w:r>
        <w:rPr>
          <w:rStyle w:val="24"/>
          <w:rFonts w:hint="eastAsia" w:ascii="Times New Roman" w:hAnsi="Times New Roman" w:cs="Times New Roman"/>
          <w:color w:val="auto"/>
          <w:highlight w:val="none"/>
        </w:rPr>
        <w:t>廉政承诺书</w:t>
      </w:r>
    </w:p>
    <w:bookmarkEnd w:id="46"/>
    <w:p w14:paraId="2CC27896">
      <w:pPr>
        <w:pStyle w:val="8"/>
        <w:rPr>
          <w:rFonts w:hint="eastAsia"/>
          <w:color w:val="auto"/>
          <w:highlight w:val="none"/>
        </w:rPr>
      </w:pPr>
    </w:p>
    <w:p w14:paraId="158BD141">
      <w:pPr>
        <w:keepNext w:val="0"/>
        <w:keepLines w:val="0"/>
        <w:pageBreakBefore w:val="0"/>
        <w:widowControl w:val="0"/>
        <w:kinsoku/>
        <w:wordWrap/>
        <w:overflowPunct/>
        <w:topLinePunct w:val="0"/>
        <w:autoSpaceDE/>
        <w:autoSpaceDN/>
        <w:bidi w:val="0"/>
        <w:adjustRightInd/>
        <w:snapToGrid/>
        <w:spacing w:line="480" w:lineRule="auto"/>
        <w:textAlignment w:val="auto"/>
        <w:rPr>
          <w:rStyle w:val="24"/>
          <w:rFonts w:hint="eastAsia" w:ascii="宋体" w:hAnsi="宋体" w:eastAsia="宋体" w:cs="宋体"/>
          <w:b w:val="0"/>
          <w:bCs w:val="0"/>
          <w:color w:val="auto"/>
          <w:sz w:val="24"/>
          <w:szCs w:val="24"/>
          <w:highlight w:val="none"/>
        </w:rPr>
      </w:pPr>
      <w:bookmarkStart w:id="47" w:name="_Toc26346"/>
      <w:r>
        <w:rPr>
          <w:rStyle w:val="24"/>
          <w:rFonts w:hint="eastAsia" w:ascii="宋体" w:hAnsi="宋体" w:cs="宋体"/>
          <w:b w:val="0"/>
          <w:bCs w:val="0"/>
          <w:color w:val="auto"/>
          <w:sz w:val="24"/>
          <w:szCs w:val="24"/>
          <w:highlight w:val="none"/>
          <w:u w:val="single"/>
          <w:lang w:eastAsia="zh-CN"/>
        </w:rPr>
        <w:t>台州市住房公积金管理中心天台分中心</w:t>
      </w:r>
      <w:r>
        <w:rPr>
          <w:rStyle w:val="24"/>
          <w:rFonts w:hint="eastAsia" w:ascii="宋体" w:hAnsi="宋体" w:eastAsia="宋体" w:cs="宋体"/>
          <w:b w:val="0"/>
          <w:bCs w:val="0"/>
          <w:color w:val="auto"/>
          <w:sz w:val="24"/>
          <w:szCs w:val="24"/>
          <w:highlight w:val="none"/>
          <w:u w:val="single"/>
        </w:rPr>
        <w:t xml:space="preserve"> </w:t>
      </w:r>
      <w:r>
        <w:rPr>
          <w:rStyle w:val="24"/>
          <w:rFonts w:hint="eastAsia" w:ascii="宋体" w:hAnsi="宋体" w:eastAsia="宋体" w:cs="宋体"/>
          <w:b w:val="0"/>
          <w:bCs w:val="0"/>
          <w:color w:val="auto"/>
          <w:sz w:val="24"/>
          <w:szCs w:val="24"/>
          <w:highlight w:val="none"/>
        </w:rPr>
        <w:t>：</w:t>
      </w:r>
    </w:p>
    <w:bookmarkEnd w:id="47"/>
    <w:p w14:paraId="544C8834">
      <w:pPr>
        <w:keepNext w:val="0"/>
        <w:keepLines w:val="0"/>
        <w:pageBreakBefore w:val="0"/>
        <w:widowControl w:val="0"/>
        <w:kinsoku/>
        <w:wordWrap/>
        <w:overflowPunct/>
        <w:topLinePunct w:val="0"/>
        <w:autoSpaceDE/>
        <w:autoSpaceDN/>
        <w:bidi w:val="0"/>
        <w:adjustRightInd/>
        <w:snapToGrid/>
        <w:spacing w:line="480" w:lineRule="auto"/>
        <w:textAlignment w:val="auto"/>
        <w:rPr>
          <w:rStyle w:val="24"/>
          <w:rFonts w:hint="eastAsia" w:ascii="宋体" w:hAnsi="宋体" w:eastAsia="宋体" w:cs="宋体"/>
          <w:b w:val="0"/>
          <w:bCs w:val="0"/>
          <w:color w:val="auto"/>
          <w:sz w:val="24"/>
          <w:szCs w:val="24"/>
          <w:highlight w:val="none"/>
        </w:rPr>
      </w:pPr>
      <w:bookmarkStart w:id="48" w:name="_Toc10742"/>
      <w:r>
        <w:rPr>
          <w:rStyle w:val="24"/>
          <w:rFonts w:hint="eastAsia" w:ascii="宋体" w:hAnsi="宋体" w:eastAsia="宋体" w:cs="宋体"/>
          <w:b w:val="0"/>
          <w:bCs w:val="0"/>
          <w:color w:val="auto"/>
          <w:sz w:val="24"/>
          <w:szCs w:val="24"/>
          <w:highlight w:val="none"/>
        </w:rPr>
        <w:t xml:space="preserve">    根据《财政部关于进一步加强财政部门和预算单位资金存放管理的指导意见》（财库〔2017〕76号）、《天台县人民政府办公室关于印发天台县行政事业单位公款竞争性存放管理办法的通知》（天政办发〔20</w:t>
      </w:r>
      <w:r>
        <w:rPr>
          <w:rStyle w:val="24"/>
          <w:rFonts w:hint="eastAsia" w:ascii="宋体" w:hAnsi="宋体" w:cs="宋体"/>
          <w:b w:val="0"/>
          <w:bCs w:val="0"/>
          <w:color w:val="auto"/>
          <w:sz w:val="24"/>
          <w:szCs w:val="24"/>
          <w:highlight w:val="none"/>
          <w:lang w:val="en-US" w:eastAsia="zh-CN"/>
        </w:rPr>
        <w:t>22</w:t>
      </w:r>
      <w:r>
        <w:rPr>
          <w:rStyle w:val="24"/>
          <w:rFonts w:hint="eastAsia" w:ascii="宋体" w:hAnsi="宋体" w:eastAsia="宋体" w:cs="宋体"/>
          <w:b w:val="0"/>
          <w:bCs w:val="0"/>
          <w:color w:val="auto"/>
          <w:sz w:val="24"/>
          <w:szCs w:val="24"/>
          <w:highlight w:val="none"/>
        </w:rPr>
        <w:t>〕23号）相关规定，现就本行参加贵单位</w:t>
      </w:r>
      <w:r>
        <w:rPr>
          <w:rStyle w:val="24"/>
          <w:rFonts w:hint="eastAsia" w:ascii="宋体" w:hAnsi="宋体" w:cs="宋体"/>
          <w:b w:val="0"/>
          <w:bCs w:val="0"/>
          <w:color w:val="auto"/>
          <w:sz w:val="24"/>
          <w:szCs w:val="24"/>
          <w:highlight w:val="none"/>
          <w:lang w:eastAsia="zh-CN"/>
        </w:rPr>
        <w:t>的</w:t>
      </w:r>
      <w:bookmarkEnd w:id="48"/>
      <w:r>
        <w:rPr>
          <w:rFonts w:hint="eastAsia" w:ascii="宋体" w:hAnsi="宋体" w:cs="宋体"/>
          <w:color w:val="auto"/>
          <w:sz w:val="24"/>
          <w:szCs w:val="24"/>
          <w:highlight w:val="none"/>
          <w:u w:val="single"/>
          <w:lang w:eastAsia="zh-CN"/>
        </w:rPr>
        <w:t>台州市住房公积金管理中心天台分中心2025年第一期资金竞争性存放招标（第二次）</w:t>
      </w:r>
      <w:r>
        <w:rPr>
          <w:rStyle w:val="24"/>
          <w:rFonts w:hint="eastAsia" w:ascii="宋体" w:hAnsi="宋体" w:eastAsia="宋体" w:cs="宋体"/>
          <w:b w:val="0"/>
          <w:bCs w:val="0"/>
          <w:color w:val="auto"/>
          <w:sz w:val="24"/>
          <w:szCs w:val="24"/>
          <w:highlight w:val="none"/>
        </w:rPr>
        <w:t>作出如下承诺：</w:t>
      </w:r>
    </w:p>
    <w:p w14:paraId="636B8DBB">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24"/>
          <w:rFonts w:hint="eastAsia" w:ascii="宋体" w:hAnsi="宋体" w:eastAsia="宋体" w:cs="宋体"/>
          <w:b w:val="0"/>
          <w:bCs w:val="0"/>
          <w:color w:val="auto"/>
          <w:sz w:val="24"/>
          <w:szCs w:val="24"/>
          <w:highlight w:val="none"/>
        </w:rPr>
      </w:pPr>
      <w:bookmarkStart w:id="49" w:name="_Toc27005"/>
      <w:r>
        <w:rPr>
          <w:rStyle w:val="24"/>
          <w:rFonts w:hint="eastAsia" w:ascii="宋体" w:hAnsi="宋体" w:eastAsia="宋体" w:cs="宋体"/>
          <w:b w:val="0"/>
          <w:bCs w:val="0"/>
          <w:color w:val="auto"/>
          <w:sz w:val="24"/>
          <w:szCs w:val="24"/>
          <w:highlight w:val="none"/>
          <w:lang w:val="en-US" w:eastAsia="zh-CN"/>
        </w:rPr>
        <w:t>1、</w:t>
      </w:r>
      <w:r>
        <w:rPr>
          <w:rStyle w:val="24"/>
          <w:rFonts w:hint="eastAsia" w:ascii="宋体" w:hAnsi="宋体" w:eastAsia="宋体" w:cs="宋体"/>
          <w:b w:val="0"/>
          <w:bCs w:val="0"/>
          <w:color w:val="auto"/>
          <w:sz w:val="24"/>
          <w:szCs w:val="24"/>
          <w:highlight w:val="none"/>
        </w:rPr>
        <w:t>不向贵单位负责</w:t>
      </w:r>
      <w:r>
        <w:rPr>
          <w:rStyle w:val="24"/>
          <w:rFonts w:hint="eastAsia" w:ascii="宋体" w:hAnsi="宋体" w:cs="宋体"/>
          <w:b w:val="0"/>
          <w:bCs w:val="0"/>
          <w:color w:val="auto"/>
          <w:sz w:val="24"/>
          <w:szCs w:val="24"/>
          <w:highlight w:val="none"/>
          <w:lang w:eastAsia="zh-CN"/>
        </w:rPr>
        <w:t>资金</w:t>
      </w:r>
      <w:r>
        <w:rPr>
          <w:rStyle w:val="24"/>
          <w:rFonts w:hint="eastAsia" w:ascii="宋体" w:hAnsi="宋体" w:eastAsia="宋体" w:cs="宋体"/>
          <w:b w:val="0"/>
          <w:bCs w:val="0"/>
          <w:color w:val="auto"/>
          <w:sz w:val="24"/>
          <w:szCs w:val="24"/>
          <w:highlight w:val="none"/>
        </w:rPr>
        <w:t>存放管理的领导及相关人员进行利益输送；</w:t>
      </w:r>
    </w:p>
    <w:bookmarkEnd w:id="49"/>
    <w:p w14:paraId="499E2A1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24"/>
          <w:rFonts w:hint="eastAsia" w:ascii="宋体" w:hAnsi="宋体" w:eastAsia="宋体" w:cs="宋体"/>
          <w:b w:val="0"/>
          <w:bCs w:val="0"/>
          <w:color w:val="auto"/>
          <w:sz w:val="24"/>
          <w:szCs w:val="24"/>
          <w:highlight w:val="none"/>
        </w:rPr>
      </w:pPr>
      <w:bookmarkStart w:id="50" w:name="_Toc10582"/>
      <w:r>
        <w:rPr>
          <w:rStyle w:val="24"/>
          <w:rFonts w:hint="eastAsia" w:ascii="宋体" w:hAnsi="宋体" w:eastAsia="宋体" w:cs="宋体"/>
          <w:b w:val="0"/>
          <w:bCs w:val="0"/>
          <w:color w:val="auto"/>
          <w:sz w:val="24"/>
          <w:szCs w:val="24"/>
          <w:highlight w:val="none"/>
          <w:lang w:val="en-US" w:eastAsia="zh-CN"/>
        </w:rPr>
        <w:t>2、</w:t>
      </w:r>
      <w:r>
        <w:rPr>
          <w:rStyle w:val="24"/>
          <w:rFonts w:hint="eastAsia" w:ascii="宋体" w:hAnsi="宋体" w:eastAsia="宋体" w:cs="宋体"/>
          <w:b w:val="0"/>
          <w:bCs w:val="0"/>
          <w:color w:val="auto"/>
          <w:sz w:val="24"/>
          <w:szCs w:val="24"/>
          <w:highlight w:val="none"/>
        </w:rPr>
        <w:t>不将</w:t>
      </w:r>
      <w:r>
        <w:rPr>
          <w:rStyle w:val="24"/>
          <w:rFonts w:hint="eastAsia" w:ascii="宋体" w:hAnsi="宋体" w:cs="宋体"/>
          <w:b w:val="0"/>
          <w:bCs w:val="0"/>
          <w:color w:val="auto"/>
          <w:sz w:val="24"/>
          <w:szCs w:val="24"/>
          <w:highlight w:val="none"/>
          <w:lang w:eastAsia="zh-CN"/>
        </w:rPr>
        <w:t>资金</w:t>
      </w:r>
      <w:r>
        <w:rPr>
          <w:rStyle w:val="24"/>
          <w:rFonts w:hint="eastAsia" w:ascii="宋体" w:hAnsi="宋体" w:eastAsia="宋体" w:cs="宋体"/>
          <w:b w:val="0"/>
          <w:bCs w:val="0"/>
          <w:color w:val="auto"/>
          <w:sz w:val="24"/>
          <w:szCs w:val="24"/>
          <w:highlight w:val="none"/>
        </w:rPr>
        <w:t>存放与贵单位负责</w:t>
      </w:r>
      <w:r>
        <w:rPr>
          <w:rStyle w:val="24"/>
          <w:rFonts w:hint="eastAsia" w:ascii="宋体" w:hAnsi="宋体" w:cs="宋体"/>
          <w:b w:val="0"/>
          <w:bCs w:val="0"/>
          <w:color w:val="auto"/>
          <w:sz w:val="24"/>
          <w:szCs w:val="24"/>
          <w:highlight w:val="none"/>
          <w:lang w:eastAsia="zh-CN"/>
        </w:rPr>
        <w:t>资金</w:t>
      </w:r>
      <w:r>
        <w:rPr>
          <w:rStyle w:val="24"/>
          <w:rFonts w:hint="eastAsia" w:ascii="宋体" w:hAnsi="宋体" w:eastAsia="宋体" w:cs="宋体"/>
          <w:b w:val="0"/>
          <w:bCs w:val="0"/>
          <w:color w:val="auto"/>
          <w:sz w:val="24"/>
          <w:szCs w:val="24"/>
          <w:highlight w:val="none"/>
        </w:rPr>
        <w:t>存放管理的领导及相关人员在本行的配偶、子女及其配偶和其他直接利益相关人员的业绩、收入、晋升等利益挂钩；</w:t>
      </w:r>
    </w:p>
    <w:bookmarkEnd w:id="50"/>
    <w:p w14:paraId="60445D2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24"/>
          <w:rFonts w:hint="eastAsia" w:ascii="宋体" w:hAnsi="宋体" w:eastAsia="宋体" w:cs="宋体"/>
          <w:b w:val="0"/>
          <w:bCs w:val="0"/>
          <w:color w:val="auto"/>
          <w:sz w:val="24"/>
          <w:szCs w:val="24"/>
          <w:highlight w:val="none"/>
        </w:rPr>
      </w:pPr>
      <w:bookmarkStart w:id="51" w:name="_Toc25906"/>
      <w:r>
        <w:rPr>
          <w:rStyle w:val="24"/>
          <w:rFonts w:hint="eastAsia" w:ascii="宋体" w:hAnsi="宋体" w:eastAsia="宋体" w:cs="宋体"/>
          <w:b w:val="0"/>
          <w:bCs w:val="0"/>
          <w:color w:val="auto"/>
          <w:sz w:val="24"/>
          <w:szCs w:val="24"/>
          <w:highlight w:val="none"/>
          <w:lang w:val="en-US" w:eastAsia="zh-CN"/>
        </w:rPr>
        <w:t>3、</w:t>
      </w:r>
      <w:r>
        <w:rPr>
          <w:rStyle w:val="24"/>
          <w:rFonts w:hint="eastAsia" w:ascii="宋体" w:hAnsi="宋体" w:eastAsia="宋体" w:cs="宋体"/>
          <w:b w:val="0"/>
          <w:bCs w:val="0"/>
          <w:color w:val="auto"/>
          <w:sz w:val="24"/>
          <w:szCs w:val="24"/>
          <w:highlight w:val="none"/>
        </w:rPr>
        <w:t>严格执行利益回避制度，贵单位负责</w:t>
      </w:r>
      <w:r>
        <w:rPr>
          <w:rStyle w:val="24"/>
          <w:rFonts w:hint="eastAsia" w:ascii="宋体" w:hAnsi="宋体" w:cs="宋体"/>
          <w:b w:val="0"/>
          <w:bCs w:val="0"/>
          <w:color w:val="auto"/>
          <w:sz w:val="24"/>
          <w:szCs w:val="24"/>
          <w:highlight w:val="none"/>
          <w:lang w:eastAsia="zh-CN"/>
        </w:rPr>
        <w:t>资金</w:t>
      </w:r>
      <w:r>
        <w:rPr>
          <w:rStyle w:val="24"/>
          <w:rFonts w:hint="eastAsia" w:ascii="宋体" w:hAnsi="宋体" w:eastAsia="宋体" w:cs="宋体"/>
          <w:b w:val="0"/>
          <w:bCs w:val="0"/>
          <w:color w:val="auto"/>
          <w:sz w:val="24"/>
          <w:szCs w:val="24"/>
          <w:highlight w:val="none"/>
        </w:rPr>
        <w:t>竞争性存放相关人员的配偶、子女及其配偶和其他直接利益相关人员为本行工作人员的，不参与</w:t>
      </w:r>
      <w:r>
        <w:rPr>
          <w:rStyle w:val="24"/>
          <w:rFonts w:hint="eastAsia" w:ascii="宋体" w:hAnsi="宋体" w:cs="宋体"/>
          <w:b w:val="0"/>
          <w:bCs w:val="0"/>
          <w:color w:val="auto"/>
          <w:sz w:val="24"/>
          <w:szCs w:val="24"/>
          <w:highlight w:val="none"/>
          <w:lang w:eastAsia="zh-CN"/>
        </w:rPr>
        <w:t>资金</w:t>
      </w:r>
      <w:r>
        <w:rPr>
          <w:rStyle w:val="24"/>
          <w:rFonts w:hint="eastAsia" w:ascii="宋体" w:hAnsi="宋体" w:eastAsia="宋体" w:cs="宋体"/>
          <w:b w:val="0"/>
          <w:bCs w:val="0"/>
          <w:color w:val="auto"/>
          <w:sz w:val="24"/>
          <w:szCs w:val="24"/>
          <w:highlight w:val="none"/>
        </w:rPr>
        <w:t>竞争性存放工作；</w:t>
      </w:r>
    </w:p>
    <w:bookmarkEnd w:id="51"/>
    <w:p w14:paraId="47070B4D">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24"/>
          <w:rFonts w:hint="eastAsia" w:ascii="宋体" w:hAnsi="宋体" w:eastAsia="宋体" w:cs="宋体"/>
          <w:b w:val="0"/>
          <w:bCs w:val="0"/>
          <w:color w:val="auto"/>
          <w:sz w:val="24"/>
          <w:szCs w:val="24"/>
          <w:highlight w:val="none"/>
        </w:rPr>
      </w:pPr>
      <w:bookmarkStart w:id="52" w:name="_Toc7003"/>
      <w:r>
        <w:rPr>
          <w:rStyle w:val="24"/>
          <w:rFonts w:hint="eastAsia" w:ascii="宋体" w:hAnsi="宋体" w:eastAsia="宋体" w:cs="宋体"/>
          <w:b w:val="0"/>
          <w:bCs w:val="0"/>
          <w:color w:val="auto"/>
          <w:sz w:val="24"/>
          <w:szCs w:val="24"/>
          <w:highlight w:val="none"/>
          <w:lang w:val="en-US" w:eastAsia="zh-CN"/>
        </w:rPr>
        <w:t>4、</w:t>
      </w:r>
      <w:r>
        <w:rPr>
          <w:rStyle w:val="24"/>
          <w:rFonts w:hint="eastAsia" w:ascii="宋体" w:hAnsi="宋体" w:eastAsia="宋体" w:cs="宋体"/>
          <w:b w:val="0"/>
          <w:bCs w:val="0"/>
          <w:color w:val="auto"/>
          <w:sz w:val="24"/>
          <w:szCs w:val="24"/>
          <w:highlight w:val="none"/>
        </w:rPr>
        <w:t>不发生除上述行为之外的其他任何利益输送行为。</w:t>
      </w:r>
    </w:p>
    <w:bookmarkEnd w:id="52"/>
    <w:p w14:paraId="48E41A0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24"/>
          <w:rFonts w:hint="eastAsia" w:ascii="宋体" w:hAnsi="宋体" w:eastAsia="宋体" w:cs="宋体"/>
          <w:b w:val="0"/>
          <w:bCs w:val="0"/>
          <w:color w:val="auto"/>
          <w:sz w:val="24"/>
          <w:szCs w:val="24"/>
          <w:highlight w:val="none"/>
        </w:rPr>
      </w:pPr>
      <w:bookmarkStart w:id="53" w:name="_Toc26582"/>
      <w:r>
        <w:rPr>
          <w:rStyle w:val="24"/>
          <w:rFonts w:hint="eastAsia" w:ascii="宋体" w:hAnsi="宋体" w:eastAsia="宋体" w:cs="宋体"/>
          <w:b w:val="0"/>
          <w:bCs w:val="0"/>
          <w:color w:val="auto"/>
          <w:sz w:val="24"/>
          <w:szCs w:val="24"/>
          <w:highlight w:val="none"/>
        </w:rPr>
        <w:t>未遵守以上承诺的，本行自愿接受财政部门通报和处理，承担相应的一切后果。</w:t>
      </w:r>
    </w:p>
    <w:bookmarkEnd w:id="53"/>
    <w:p w14:paraId="1D3A00BD">
      <w:pPr>
        <w:pStyle w:val="8"/>
        <w:rPr>
          <w:rStyle w:val="24"/>
          <w:rFonts w:hint="eastAsia" w:ascii="宋体" w:hAnsi="宋体" w:eastAsia="宋体" w:cs="宋体"/>
          <w:b w:val="0"/>
          <w:bCs w:val="0"/>
          <w:color w:val="auto"/>
          <w:sz w:val="24"/>
          <w:szCs w:val="24"/>
          <w:highlight w:val="none"/>
        </w:rPr>
      </w:pPr>
    </w:p>
    <w:p w14:paraId="132B181E">
      <w:pPr>
        <w:pStyle w:val="9"/>
        <w:rPr>
          <w:rFonts w:hint="eastAsia"/>
          <w:color w:val="auto"/>
          <w:sz w:val="36"/>
          <w:szCs w:val="28"/>
          <w:highlight w:val="none"/>
        </w:rPr>
      </w:pPr>
    </w:p>
    <w:p w14:paraId="387C74B5">
      <w:pPr>
        <w:keepNext w:val="0"/>
        <w:keepLines w:val="0"/>
        <w:pageBreakBefore w:val="0"/>
        <w:widowControl w:val="0"/>
        <w:kinsoku/>
        <w:wordWrap/>
        <w:overflowPunct/>
        <w:topLinePunct w:val="0"/>
        <w:autoSpaceDE/>
        <w:autoSpaceDN/>
        <w:bidi w:val="0"/>
        <w:adjustRightInd/>
        <w:snapToGrid/>
        <w:spacing w:line="480" w:lineRule="auto"/>
        <w:ind w:firstLine="420"/>
        <w:jc w:val="right"/>
        <w:textAlignment w:val="auto"/>
        <w:rPr>
          <w:rStyle w:val="24"/>
          <w:rFonts w:hint="eastAsia" w:ascii="宋体" w:hAnsi="宋体" w:eastAsia="宋体" w:cs="宋体"/>
          <w:b w:val="0"/>
          <w:bCs w:val="0"/>
          <w:color w:val="auto"/>
          <w:sz w:val="24"/>
          <w:szCs w:val="24"/>
          <w:highlight w:val="none"/>
          <w:lang w:val="en-US" w:eastAsia="zh-CN"/>
        </w:rPr>
      </w:pPr>
      <w:r>
        <w:rPr>
          <w:rStyle w:val="24"/>
          <w:rFonts w:hint="eastAsia" w:ascii="宋体" w:hAnsi="宋体" w:eastAsia="宋体" w:cs="宋体"/>
          <w:b w:val="0"/>
          <w:bCs w:val="0"/>
          <w:color w:val="auto"/>
          <w:sz w:val="24"/>
          <w:szCs w:val="24"/>
          <w:highlight w:val="none"/>
          <w:u w:val="single"/>
          <w:lang w:val="en-US" w:eastAsia="zh-CN"/>
        </w:rPr>
        <w:t xml:space="preserve">   </w:t>
      </w:r>
      <w:r>
        <w:rPr>
          <w:rStyle w:val="24"/>
          <w:rFonts w:hint="eastAsia" w:ascii="宋体" w:hAnsi="宋体" w:cs="宋体"/>
          <w:b w:val="0"/>
          <w:bCs w:val="0"/>
          <w:color w:val="auto"/>
          <w:sz w:val="24"/>
          <w:szCs w:val="24"/>
          <w:highlight w:val="none"/>
          <w:u w:val="single"/>
          <w:lang w:val="en-US" w:eastAsia="zh-CN"/>
        </w:rPr>
        <w:t xml:space="preserve">       </w:t>
      </w:r>
      <w:r>
        <w:rPr>
          <w:rStyle w:val="24"/>
          <w:rFonts w:hint="eastAsia" w:ascii="宋体" w:hAnsi="宋体" w:eastAsia="宋体" w:cs="宋体"/>
          <w:b w:val="0"/>
          <w:bCs w:val="0"/>
          <w:color w:val="auto"/>
          <w:sz w:val="24"/>
          <w:szCs w:val="24"/>
          <w:highlight w:val="none"/>
          <w:u w:val="single"/>
          <w:lang w:val="en-US" w:eastAsia="zh-CN"/>
        </w:rPr>
        <w:t xml:space="preserve"> </w:t>
      </w:r>
      <w:bookmarkStart w:id="54" w:name="_Toc28909"/>
      <w:r>
        <w:rPr>
          <w:rStyle w:val="24"/>
          <w:rFonts w:hint="eastAsia" w:ascii="宋体" w:hAnsi="宋体" w:eastAsia="宋体" w:cs="宋体"/>
          <w:b w:val="0"/>
          <w:bCs w:val="0"/>
          <w:color w:val="auto"/>
          <w:sz w:val="24"/>
          <w:szCs w:val="24"/>
          <w:highlight w:val="none"/>
          <w:lang w:val="en-US" w:eastAsia="zh-CN"/>
        </w:rPr>
        <w:t>银行（公章）</w:t>
      </w:r>
    </w:p>
    <w:bookmarkEnd w:id="54"/>
    <w:p w14:paraId="53F6EFE8">
      <w:pPr>
        <w:keepNext w:val="0"/>
        <w:keepLines w:val="0"/>
        <w:pageBreakBefore w:val="0"/>
        <w:widowControl w:val="0"/>
        <w:kinsoku/>
        <w:wordWrap/>
        <w:overflowPunct/>
        <w:topLinePunct w:val="0"/>
        <w:autoSpaceDE/>
        <w:autoSpaceDN/>
        <w:bidi w:val="0"/>
        <w:adjustRightInd/>
        <w:snapToGrid/>
        <w:spacing w:line="480" w:lineRule="auto"/>
        <w:ind w:firstLine="1680" w:firstLineChars="700"/>
        <w:jc w:val="right"/>
        <w:textAlignment w:val="auto"/>
        <w:rPr>
          <w:rStyle w:val="24"/>
          <w:rFonts w:hint="eastAsia" w:ascii="宋体" w:hAnsi="宋体" w:eastAsia="宋体" w:cs="宋体"/>
          <w:b w:val="0"/>
          <w:bCs w:val="0"/>
          <w:color w:val="auto"/>
          <w:sz w:val="24"/>
          <w:szCs w:val="24"/>
          <w:highlight w:val="none"/>
          <w:lang w:val="en-US" w:eastAsia="zh-CN"/>
        </w:rPr>
      </w:pPr>
      <w:bookmarkStart w:id="55" w:name="_Toc6080"/>
      <w:r>
        <w:rPr>
          <w:rStyle w:val="24"/>
          <w:rFonts w:hint="eastAsia" w:ascii="宋体" w:hAnsi="宋体" w:eastAsia="宋体" w:cs="宋体"/>
          <w:b w:val="0"/>
          <w:bCs w:val="0"/>
          <w:color w:val="auto"/>
          <w:sz w:val="24"/>
          <w:szCs w:val="24"/>
          <w:highlight w:val="none"/>
          <w:lang w:val="en-US" w:eastAsia="zh-CN"/>
        </w:rPr>
        <w:t xml:space="preserve">年  </w:t>
      </w:r>
      <w:r>
        <w:rPr>
          <w:rStyle w:val="24"/>
          <w:rFonts w:hint="eastAsia" w:ascii="宋体" w:hAnsi="宋体" w:cs="宋体"/>
          <w:b w:val="0"/>
          <w:bCs w:val="0"/>
          <w:color w:val="auto"/>
          <w:sz w:val="24"/>
          <w:szCs w:val="24"/>
          <w:highlight w:val="none"/>
          <w:lang w:val="en-US" w:eastAsia="zh-CN"/>
        </w:rPr>
        <w:t xml:space="preserve">   </w:t>
      </w:r>
      <w:r>
        <w:rPr>
          <w:rStyle w:val="24"/>
          <w:rFonts w:hint="eastAsia" w:ascii="宋体" w:hAnsi="宋体" w:eastAsia="宋体" w:cs="宋体"/>
          <w:b w:val="0"/>
          <w:bCs w:val="0"/>
          <w:color w:val="auto"/>
          <w:sz w:val="24"/>
          <w:szCs w:val="24"/>
          <w:highlight w:val="none"/>
          <w:lang w:val="en-US" w:eastAsia="zh-CN"/>
        </w:rPr>
        <w:t>月</w:t>
      </w:r>
      <w:r>
        <w:rPr>
          <w:rStyle w:val="24"/>
          <w:rFonts w:hint="eastAsia" w:ascii="宋体" w:hAnsi="宋体" w:cs="宋体"/>
          <w:b w:val="0"/>
          <w:bCs w:val="0"/>
          <w:color w:val="auto"/>
          <w:sz w:val="24"/>
          <w:szCs w:val="24"/>
          <w:highlight w:val="none"/>
          <w:lang w:val="en-US" w:eastAsia="zh-CN"/>
        </w:rPr>
        <w:t xml:space="preserve">   </w:t>
      </w:r>
      <w:r>
        <w:rPr>
          <w:rStyle w:val="24"/>
          <w:rFonts w:hint="eastAsia" w:ascii="宋体" w:hAnsi="宋体" w:eastAsia="宋体" w:cs="宋体"/>
          <w:b w:val="0"/>
          <w:bCs w:val="0"/>
          <w:color w:val="auto"/>
          <w:sz w:val="24"/>
          <w:szCs w:val="24"/>
          <w:highlight w:val="none"/>
          <w:lang w:val="en-US" w:eastAsia="zh-CN"/>
        </w:rPr>
        <w:t xml:space="preserve">  日</w:t>
      </w:r>
    </w:p>
    <w:bookmarkEnd w:id="55"/>
    <w:p w14:paraId="7A7BB538">
      <w:pPr>
        <w:rPr>
          <w:rFonts w:hint="eastAsia"/>
          <w:color w:val="auto"/>
          <w:highlight w:val="none"/>
        </w:rPr>
      </w:pPr>
    </w:p>
    <w:sectPr>
      <w:pgSz w:w="11905" w:h="16838"/>
      <w:pgMar w:top="1361" w:right="1587" w:bottom="1361" w:left="1587" w:header="510" w:footer="1020" w:gutter="0"/>
      <w:pgBorders>
        <w:top w:val="none" w:sz="0" w:space="0"/>
        <w:left w:val="none" w:sz="0" w:space="0"/>
        <w:bottom w:val="none" w:sz="0" w:space="0"/>
        <w:right w:val="none" w:sz="0" w:space="0"/>
      </w:pgBorders>
      <w:pgNumType w:fmt="decimal"/>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D0A4A">
    <w:pPr>
      <w:pStyle w:val="13"/>
      <w:spacing w:after="1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BBF50">
    <w:pPr>
      <w:pStyle w:val="13"/>
      <w:spacing w:after="120"/>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3BE07D1">
                          <w:pPr>
                            <w:pStyle w:val="13"/>
                            <w:spacing w:after="120"/>
                            <w:jc w:val="center"/>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5SfRAQAAn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smeUn0QEAAJ4DAAAOAAAAAAAAAAEAIAAAAB8BAABk&#10;cnMvZTJvRG9jLnhtbFBLBQYAAAAABgAGAFkBAABiBQAAAAA=&#10;">
              <v:fill on="f" focussize="0,0"/>
              <v:stroke on="f"/>
              <v:imagedata o:title=""/>
              <o:lock v:ext="edit" aspectratio="f"/>
              <v:textbox inset="0mm,0mm,0mm,0mm" style="mso-fit-shape-to-text:t;">
                <w:txbxContent>
                  <w:p w14:paraId="73BE07D1">
                    <w:pPr>
                      <w:pStyle w:val="13"/>
                      <w:spacing w:after="120"/>
                      <w:jc w:val="center"/>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41463">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E9904F1">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upDTSAQAAngMAAA4AAABkcnMvZTJvRG9jLnhtbK1TzY7TMBC+I/EO&#10;lu80aYVQtmq6QqoWISFYaeEBXMdpLPlPM26T8gDwBpy4cOe5+hyMnaSLlsseuDgzHvub7/s82dwO&#10;1rCTAtTe1Xy5KDlTTvpGu0PNv3y+e1VxhlG4RhjvVM3PCvnt9uWLTR/WauU7bxoFjEAcrvtQ8y7G&#10;sC4KlJ2yAhc+KEfF1oMVkVI4FA2IntCtKVZl+aboPTQBvFSItLsbi3xChOcA+rbVUu28PFrl4ogK&#10;yohIkrDTAfk2s21bJeOntkUVmak5KY15pSYU79NabDdifQAROi0nCuI5FJ5oskI7anqF2oko2BH0&#10;P1BWS/Do27iQ3hajkOwIqViWT7x56ERQWQtZjeFqOv4/WPnxdA9MNzV/Xd7ccOaEpTe//Ph++fn7&#10;8usbq5JDfcA1HXwI9zBlSGGSO7Rg05eEsCG7er66qobIJG0uq1VVlW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K6kNNIBAACeAwAADgAAAAAAAAABACAAAAAfAQAA&#10;ZHJzL2Uyb0RvYy54bWxQSwUGAAAAAAYABgBZAQAAYwUAAAAA&#10;">
              <v:fill on="f" focussize="0,0"/>
              <v:stroke on="f"/>
              <v:imagedata o:title=""/>
              <o:lock v:ext="edit" aspectratio="f"/>
              <v:textbox inset="0mm,0mm,0mm,0mm" style="mso-fit-shape-to-text:t;">
                <w:txbxContent>
                  <w:p w14:paraId="6E9904F1">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3E2F">
    <w:pPr>
      <w:pStyle w:val="13"/>
      <w:spacing w:after="120"/>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5C1BE6C">
                          <w:pPr>
                            <w:pStyle w:val="13"/>
                            <w:spacing w:after="120"/>
                            <w:jc w:val="center"/>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QKXDXQAQAAngMAAA4AAABkcnMvZTJvRG9jLnhtbK1TzY7TMBC+I/EO&#10;lu80aYVQiZ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yWZ4oSlN7/8/HH59efy&#10;+zt7mxzqA1Z08D7cwZQhhUnu0IJNXxLChuzq+eqqGiKTtLlcr9brhC2pNieEUzxcD4DxvfKWpaDm&#10;QM+W3RSnjxjHo/OR1M24tDp/q40Zq2mnSDRHYimKw36Y2O59cyaVNPQE3nn4xllPT15zRxPOmfng&#10;yNE0HXMAc7CfA+EkXax55OwYQB+6PEmJBoZ3x0hUMs/UeOw28aFny0qnEUtz8TjPpx5+q+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JQKXDXQAQAAngMAAA4AAAAAAAAAAQAgAAAAHwEAAGRy&#10;cy9lMm9Eb2MueG1sUEsFBgAAAAAGAAYAWQEAAGEFAAAAAA==&#10;">
              <v:fill on="f" focussize="0,0"/>
              <v:stroke on="f"/>
              <v:imagedata o:title=""/>
              <o:lock v:ext="edit" aspectratio="f"/>
              <v:textbox inset="0mm,0mm,0mm,0mm" style="mso-fit-shape-to-text:t;">
                <w:txbxContent>
                  <w:p w14:paraId="55C1BE6C">
                    <w:pPr>
                      <w:pStyle w:val="13"/>
                      <w:spacing w:after="120"/>
                      <w:jc w:val="center"/>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54D43">
    <w:pPr>
      <w:pStyle w:val="13"/>
      <w:spacing w:after="120"/>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3E6D4F">
                          <w:pPr>
                            <w:pStyle w:val="13"/>
                            <w:spacing w:after="120"/>
                            <w:jc w:val="center"/>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2SdjLSAQAAng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l+WKMycsvfnl54/Lrz+X&#10;39/Zm+RQH7Cig/fhDqYMKUxyhxZs+pIQNmRXz1dX1RCZpM3lerVel2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XZJ2MtIBAACeAwAADgAAAAAAAAABACAAAAAfAQAA&#10;ZHJzL2Uyb0RvYy54bWxQSwUGAAAAAAYABgBZAQAAYwUAAAAA&#10;">
              <v:fill on="f" focussize="0,0"/>
              <v:stroke on="f"/>
              <v:imagedata o:title=""/>
              <o:lock v:ext="edit" aspectratio="f"/>
              <v:textbox inset="0mm,0mm,0mm,0mm" style="mso-fit-shape-to-text:t;">
                <w:txbxContent>
                  <w:p w14:paraId="053E6D4F">
                    <w:pPr>
                      <w:pStyle w:val="13"/>
                      <w:spacing w:after="120"/>
                      <w:jc w:val="center"/>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6F2C">
    <w:pPr>
      <w:pStyle w:val="14"/>
      <w:pBdr>
        <w:bottom w:val="single" w:color="auto" w:sz="4" w:space="1"/>
      </w:pBdr>
      <w:tabs>
        <w:tab w:val="left" w:pos="7079"/>
      </w:tabs>
      <w:jc w:val="left"/>
      <w:rPr>
        <w:rFonts w:hint="eastAsia"/>
        <w:sz w:val="16"/>
        <w:szCs w:val="16"/>
        <w:lang w:eastAsia="zh-CN"/>
      </w:rPr>
    </w:pPr>
    <w:r>
      <w:drawing>
        <wp:inline distT="0" distB="0" distL="0" distR="0">
          <wp:extent cx="942975" cy="272415"/>
          <wp:effectExtent l="0" t="0" r="9525" b="13334"/>
          <wp:docPr id="4097" name="图片 1" descr="公司LOGO"/>
          <wp:cNvGraphicFramePr/>
          <a:graphic xmlns:a="http://schemas.openxmlformats.org/drawingml/2006/main">
            <a:graphicData uri="http://schemas.openxmlformats.org/drawingml/2006/picture">
              <pic:pic xmlns:pic="http://schemas.openxmlformats.org/drawingml/2006/picture">
                <pic:nvPicPr>
                  <pic:cNvPr id="4097" name="图片 1" descr="公司LOGO"/>
                  <pic:cNvPicPr/>
                </pic:nvPicPr>
                <pic:blipFill>
                  <a:blip r:embed="rId1" cstate="print"/>
                  <a:srcRect/>
                  <a:stretch>
                    <a:fillRect/>
                  </a:stretch>
                </pic:blipFill>
                <pic:spPr>
                  <a:xfrm>
                    <a:off x="0" y="0"/>
                    <a:ext cx="942975" cy="272415"/>
                  </a:xfrm>
                  <a:prstGeom prst="rect">
                    <a:avLst/>
                  </a:prstGeom>
                  <a:ln>
                    <a:noFill/>
                  </a:ln>
                </pic:spPr>
              </pic:pic>
            </a:graphicData>
          </a:graphic>
        </wp:inline>
      </w:drawing>
    </w:r>
    <w:r>
      <w:rPr>
        <w:rFonts w:hint="eastAsia"/>
        <w:lang w:val="en-US" w:eastAsia="zh-CN"/>
      </w:rPr>
      <w:t xml:space="preserve">       </w:t>
    </w:r>
    <w:r>
      <w:rPr>
        <w:rFonts w:hint="eastAsia" w:ascii="宋体" w:hAnsi="宋体" w:cs="宋体"/>
        <w:spacing w:val="0"/>
        <w:sz w:val="18"/>
        <w:szCs w:val="18"/>
        <w:lang w:eastAsia="zh-CN"/>
      </w:rPr>
      <w:t>台州市住房公积金管理中心天台分中心2025年第一期资金竞争性存放招标（第二次）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FD6E">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76EF7">
    <w:pPr>
      <w:pStyle w:val="14"/>
      <w:jc w:val="both"/>
      <w:rPr>
        <w:rFonts w:hint="eastAsia"/>
        <w:sz w:val="16"/>
        <w:szCs w:val="16"/>
        <w:lang w:eastAsia="zh-CN"/>
      </w:rPr>
    </w:pPr>
    <w:r>
      <w:drawing>
        <wp:inline distT="0" distB="0" distL="0" distR="0">
          <wp:extent cx="867410" cy="232410"/>
          <wp:effectExtent l="0" t="0" r="8890" b="15240"/>
          <wp:docPr id="4101" name="图片 2" descr="公司LOGO"/>
          <wp:cNvGraphicFramePr/>
          <a:graphic xmlns:a="http://schemas.openxmlformats.org/drawingml/2006/main">
            <a:graphicData uri="http://schemas.openxmlformats.org/drawingml/2006/picture">
              <pic:pic xmlns:pic="http://schemas.openxmlformats.org/drawingml/2006/picture">
                <pic:nvPicPr>
                  <pic:cNvPr id="4101" name="图片 2" descr="公司LOGO"/>
                  <pic:cNvPicPr/>
                </pic:nvPicPr>
                <pic:blipFill>
                  <a:blip r:embed="rId1" cstate="print"/>
                  <a:srcRect/>
                  <a:stretch>
                    <a:fillRect/>
                  </a:stretch>
                </pic:blipFill>
                <pic:spPr>
                  <a:xfrm>
                    <a:off x="0" y="0"/>
                    <a:ext cx="867410" cy="232410"/>
                  </a:xfrm>
                  <a:prstGeom prst="rect">
                    <a:avLst/>
                  </a:prstGeom>
                  <a:ln>
                    <a:noFill/>
                  </a:ln>
                </pic:spPr>
              </pic:pic>
            </a:graphicData>
          </a:graphic>
        </wp:inline>
      </w:drawing>
    </w:r>
    <w:r>
      <w:rPr>
        <w:rFonts w:hint="eastAsia"/>
        <w:lang w:val="en-US" w:eastAsia="zh-CN"/>
      </w:rPr>
      <w:t xml:space="preserve">       </w:t>
    </w:r>
    <w:r>
      <w:rPr>
        <w:rFonts w:hint="eastAsia" w:ascii="宋体" w:hAnsi="宋体" w:cs="仿宋"/>
        <w:sz w:val="18"/>
        <w:szCs w:val="22"/>
        <w:lang w:eastAsia="zh-CN"/>
      </w:rPr>
      <w:t>台州市住房公积金管理中心天台分中心2025年第一期资金竞争性存放招标（第二次）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A9D1E"/>
    <w:multiLevelType w:val="singleLevel"/>
    <w:tmpl w:val="A2FA9D1E"/>
    <w:lvl w:ilvl="0" w:tentative="0">
      <w:start w:val="10"/>
      <w:numFmt w:val="decimal"/>
      <w:lvlText w:val="%1."/>
      <w:lvlJc w:val="left"/>
      <w:pPr>
        <w:tabs>
          <w:tab w:val="left" w:pos="312"/>
        </w:tabs>
      </w:pPr>
    </w:lvl>
  </w:abstractNum>
  <w:abstractNum w:abstractNumId="1">
    <w:nsid w:val="BAFF2D3D"/>
    <w:multiLevelType w:val="singleLevel"/>
    <w:tmpl w:val="BAFF2D3D"/>
    <w:lvl w:ilvl="0" w:tentative="0">
      <w:start w:val="14"/>
      <w:numFmt w:val="decimal"/>
      <w:lvlText w:val="%1."/>
      <w:lvlJc w:val="left"/>
      <w:pPr>
        <w:tabs>
          <w:tab w:val="left" w:pos="312"/>
        </w:tabs>
      </w:pPr>
    </w:lvl>
  </w:abstractNum>
  <w:abstractNum w:abstractNumId="2">
    <w:nsid w:val="00000000"/>
    <w:multiLevelType w:val="singleLevel"/>
    <w:tmpl w:val="00000000"/>
    <w:lvl w:ilvl="0" w:tentative="0">
      <w:start w:val="1"/>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pStyle w:val="5"/>
      <w:lvlText w:val="%1."/>
      <w:lvlJc w:val="left"/>
      <w:pPr>
        <w:tabs>
          <w:tab w:val="left" w:pos="360"/>
        </w:tabs>
        <w:ind w:left="128" w:hanging="360"/>
      </w:pPr>
    </w:lvl>
  </w:abstractNum>
  <w:abstractNum w:abstractNumId="4">
    <w:nsid w:val="00000003"/>
    <w:multiLevelType w:val="singleLevel"/>
    <w:tmpl w:val="00000003"/>
    <w:lvl w:ilvl="0" w:tentative="0">
      <w:start w:val="1"/>
      <w:numFmt w:val="chineseCounting"/>
      <w:suff w:val="nothing"/>
      <w:lvlText w:val="%1、"/>
      <w:lvlJc w:val="left"/>
      <w:rPr>
        <w:rFonts w:hint="eastAsia"/>
      </w:rPr>
    </w:lvl>
  </w:abstractNum>
  <w:abstractNum w:abstractNumId="5">
    <w:nsid w:val="00000004"/>
    <w:multiLevelType w:val="singleLevel"/>
    <w:tmpl w:val="00000004"/>
    <w:lvl w:ilvl="0" w:tentative="0">
      <w:start w:val="2"/>
      <w:numFmt w:val="chineseCounting"/>
      <w:suff w:val="nothing"/>
      <w:lvlText w:val="%1、"/>
      <w:lvlJc w:val="left"/>
      <w:rPr>
        <w:rFonts w:hint="eastAsia"/>
      </w:rPr>
    </w:lvl>
  </w:abstractNum>
  <w:abstractNum w:abstractNumId="6">
    <w:nsid w:val="47E61DEA"/>
    <w:multiLevelType w:val="singleLevel"/>
    <w:tmpl w:val="47E61DEA"/>
    <w:lvl w:ilvl="0" w:tentative="0">
      <w:start w:val="6"/>
      <w:numFmt w:val="decimal"/>
      <w:lvlText w:val="%1."/>
      <w:lvlJc w:val="left"/>
      <w:pPr>
        <w:tabs>
          <w:tab w:val="left" w:pos="312"/>
        </w:tabs>
      </w:pPr>
    </w:lvl>
  </w:abstractNum>
  <w:abstractNum w:abstractNumId="7">
    <w:nsid w:val="5F204100"/>
    <w:multiLevelType w:val="singleLevel"/>
    <w:tmpl w:val="5F204100"/>
    <w:lvl w:ilvl="0" w:tentative="0">
      <w:start w:val="9"/>
      <w:numFmt w:val="decimal"/>
      <w:lvlText w:val="%1."/>
      <w:lvlJc w:val="left"/>
      <w:pPr>
        <w:tabs>
          <w:tab w:val="left" w:pos="312"/>
        </w:tabs>
      </w:pPr>
    </w:lvl>
  </w:abstractNum>
  <w:num w:numId="1">
    <w:abstractNumId w:val="3"/>
  </w:num>
  <w:num w:numId="2">
    <w:abstractNumId w:val="4"/>
  </w:num>
  <w:num w:numId="3">
    <w:abstractNumId w:val="2"/>
  </w:num>
  <w:num w:numId="4">
    <w:abstractNumId w:val="5"/>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4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204BB"/>
    <w:rsid w:val="02223D56"/>
    <w:rsid w:val="0407251F"/>
    <w:rsid w:val="05EC0AE0"/>
    <w:rsid w:val="084E7652"/>
    <w:rsid w:val="0D637095"/>
    <w:rsid w:val="11AB279F"/>
    <w:rsid w:val="19D77043"/>
    <w:rsid w:val="1B6C117F"/>
    <w:rsid w:val="1C9A0C60"/>
    <w:rsid w:val="1E1F2B9A"/>
    <w:rsid w:val="26B755A4"/>
    <w:rsid w:val="28650217"/>
    <w:rsid w:val="30BD28D7"/>
    <w:rsid w:val="358F2C0D"/>
    <w:rsid w:val="3AD90B7E"/>
    <w:rsid w:val="432F7D4E"/>
    <w:rsid w:val="44CD4E80"/>
    <w:rsid w:val="4847319B"/>
    <w:rsid w:val="49234B67"/>
    <w:rsid w:val="4EC85F32"/>
    <w:rsid w:val="59965D30"/>
    <w:rsid w:val="5D672096"/>
    <w:rsid w:val="5F404393"/>
    <w:rsid w:val="61686617"/>
    <w:rsid w:val="6302469F"/>
    <w:rsid w:val="638471A4"/>
    <w:rsid w:val="66A3383B"/>
    <w:rsid w:val="6725798C"/>
    <w:rsid w:val="72EC5879"/>
    <w:rsid w:val="753B630D"/>
    <w:rsid w:val="7ACB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4"/>
    <w:qFormat/>
    <w:uiPriority w:val="9"/>
    <w:pPr>
      <w:keepNext/>
      <w:keepLines/>
      <w:spacing w:before="340" w:after="330" w:line="360" w:lineRule="auto"/>
      <w:jc w:val="center"/>
      <w:outlineLvl w:val="0"/>
    </w:pPr>
    <w:rPr>
      <w:b/>
      <w:bCs/>
      <w:kern w:val="44"/>
      <w:sz w:val="32"/>
      <w:szCs w:val="44"/>
    </w:rPr>
  </w:style>
  <w:style w:type="paragraph" w:styleId="3">
    <w:name w:val="heading 2"/>
    <w:basedOn w:val="1"/>
    <w:next w:val="1"/>
    <w:qFormat/>
    <w:uiPriority w:val="0"/>
    <w:pPr>
      <w:keepNext/>
      <w:adjustRightInd w:val="0"/>
      <w:spacing w:line="360" w:lineRule="auto"/>
      <w:jc w:val="center"/>
      <w:outlineLvl w:val="1"/>
    </w:pPr>
    <w:rPr>
      <w:rFonts w:ascii="仿宋_GB2312" w:hAnsi="仿宋_GB2312" w:eastAsia="宋体"/>
      <w:b/>
      <w:kern w:val="0"/>
      <w:sz w:val="24"/>
      <w:szCs w:val="20"/>
    </w:rPr>
  </w:style>
  <w:style w:type="paragraph" w:styleId="4">
    <w:name w:val="heading 3"/>
    <w:basedOn w:val="1"/>
    <w:next w:val="1"/>
    <w:qFormat/>
    <w:uiPriority w:val="0"/>
    <w:pPr>
      <w:numPr>
        <w:ilvl w:val="2"/>
        <w:numId w:val="0"/>
      </w:numPr>
      <w:tabs>
        <w:tab w:val="left" w:pos="709"/>
      </w:tabs>
      <w:autoSpaceDE w:val="0"/>
      <w:autoSpaceDN w:val="0"/>
      <w:adjustRightInd w:val="0"/>
      <w:spacing w:line="360" w:lineRule="auto"/>
      <w:jc w:val="center"/>
      <w:textAlignment w:val="baseline"/>
      <w:outlineLvl w:val="2"/>
    </w:pPr>
    <w:rPr>
      <w:rFonts w:ascii="黑体" w:hAnsi="黑体" w:eastAsia="宋体"/>
      <w:b/>
      <w:color w:val="000000"/>
      <w:kern w:val="0"/>
      <w:sz w:val="28"/>
      <w:szCs w:val="20"/>
    </w:rPr>
  </w:style>
  <w:style w:type="character" w:default="1" w:styleId="21">
    <w:name w:val="Default Paragraph Font"/>
    <w:qFormat/>
    <w:uiPriority w:val="0"/>
  </w:style>
  <w:style w:type="table" w:default="1" w:styleId="19">
    <w:name w:val="Normal Table"/>
    <w:qFormat/>
    <w:uiPriority w:val="0"/>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next w:val="1"/>
    <w:qFormat/>
    <w:uiPriority w:val="0"/>
    <w:pPr>
      <w:ind w:firstLine="420"/>
    </w:pPr>
    <w:rPr>
      <w:rFonts w:ascii="宋体" w:hAnsi="Courier New" w:eastAsia="宋体"/>
      <w:kern w:val="2"/>
      <w:sz w:val="21"/>
      <w:lang w:val="en-US" w:eastAsia="zh-CN" w:bidi="ar-SA"/>
    </w:rPr>
  </w:style>
  <w:style w:type="paragraph" w:styleId="7">
    <w:name w:val="annotation text"/>
    <w:basedOn w:val="1"/>
    <w:qFormat/>
    <w:uiPriority w:val="0"/>
    <w:pPr>
      <w:jc w:val="left"/>
    </w:pPr>
  </w:style>
  <w:style w:type="paragraph" w:styleId="8">
    <w:name w:val="Body Text"/>
    <w:basedOn w:val="1"/>
    <w:next w:val="9"/>
    <w:qFormat/>
    <w:uiPriority w:val="99"/>
    <w:pPr>
      <w:spacing w:after="120"/>
    </w:pPr>
    <w:rPr>
      <w:szCs w:val="20"/>
    </w:rPr>
  </w:style>
  <w:style w:type="paragraph" w:customStyle="1" w:styleId="9">
    <w:name w:val="_Style 2"/>
    <w:basedOn w:val="1"/>
    <w:qFormat/>
    <w:uiPriority w:val="0"/>
    <w:pPr>
      <w:ind w:firstLine="200" w:firstLineChars="200"/>
    </w:pPr>
    <w:rPr>
      <w:rFonts w:ascii="Calibri" w:hAnsi="Calibri"/>
      <w:sz w:val="28"/>
      <w:szCs w:val="22"/>
    </w:rPr>
  </w:style>
  <w:style w:type="paragraph" w:styleId="10">
    <w:name w:val="Body Text Indent"/>
    <w:basedOn w:val="1"/>
    <w:next w:val="1"/>
    <w:qFormat/>
    <w:uiPriority w:val="0"/>
    <w:pPr>
      <w:spacing w:line="400" w:lineRule="atLeast"/>
      <w:ind w:left="210" w:firstLine="210"/>
    </w:pPr>
    <w:rPr>
      <w:rFonts w:hint="eastAsia" w:ascii="宋体" w:hAnsi="宋体"/>
      <w:szCs w:val="20"/>
    </w:rPr>
  </w:style>
  <w:style w:type="paragraph" w:styleId="11">
    <w:name w:val="Plain Text"/>
    <w:basedOn w:val="1"/>
    <w:next w:val="12"/>
    <w:qFormat/>
    <w:uiPriority w:val="0"/>
    <w:rPr>
      <w:rFonts w:ascii="宋体" w:hAnsi="Courier New" w:eastAsia="宋体"/>
      <w:kern w:val="2"/>
      <w:sz w:val="21"/>
      <w:lang w:val="en-US" w:eastAsia="zh-CN" w:bidi="ar-SA"/>
    </w:rPr>
  </w:style>
  <w:style w:type="paragraph" w:styleId="12">
    <w:name w:val="index 7"/>
    <w:basedOn w:val="1"/>
    <w:next w:val="1"/>
    <w:qFormat/>
    <w:uiPriority w:val="0"/>
    <w:pPr>
      <w:ind w:left="1200" w:leftChars="1200"/>
    </w:p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6"/>
    <w:basedOn w:val="1"/>
    <w:next w:val="1"/>
    <w:qFormat/>
    <w:uiPriority w:val="39"/>
    <w:pPr>
      <w:widowControl/>
      <w:ind w:left="1000"/>
      <w:jc w:val="left"/>
    </w:pPr>
    <w:rPr>
      <w:kern w:val="0"/>
      <w:sz w:val="18"/>
      <w:szCs w:val="20"/>
    </w:rPr>
  </w:style>
  <w:style w:type="paragraph" w:styleId="17">
    <w:name w:val="Body Text First Indent"/>
    <w:basedOn w:val="8"/>
    <w:next w:val="16"/>
    <w:qFormat/>
    <w:uiPriority w:val="99"/>
    <w:pPr>
      <w:spacing w:line="360" w:lineRule="auto"/>
      <w:ind w:firstLine="200" w:firstLineChars="200"/>
      <w:jc w:val="left"/>
    </w:pPr>
    <w:rPr>
      <w:bCs/>
      <w:sz w:val="24"/>
      <w:szCs w:val="24"/>
    </w:rPr>
  </w:style>
  <w:style w:type="paragraph" w:styleId="18">
    <w:name w:val="Body Text First Indent 2"/>
    <w:basedOn w:val="10"/>
    <w:next w:val="17"/>
    <w:qFormat/>
    <w:uiPriority w:val="99"/>
    <w:pPr>
      <w:autoSpaceDE w:val="0"/>
      <w:autoSpaceDN w:val="0"/>
      <w:adjustRightInd w:val="0"/>
      <w:spacing w:after="120" w:line="240" w:lineRule="auto"/>
      <w:ind w:left="420" w:leftChars="200" w:firstLine="420" w:firstLineChars="200"/>
      <w:textAlignment w:val="baseline"/>
    </w:pPr>
    <w:rPr>
      <w:rFonts w:hint="default" w:ascii="Times New Roman" w:hAnsi="Times New Roman"/>
      <w:spacing w:val="-4"/>
      <w:kern w:val="0"/>
      <w:sz w:val="20"/>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99"/>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character" w:customStyle="1" w:styleId="24">
    <w:name w:val="标题 1 Char"/>
    <w:link w:val="2"/>
    <w:qFormat/>
    <w:uiPriority w:val="9"/>
    <w:rPr>
      <w:b/>
      <w:bCs/>
      <w:kern w:val="44"/>
      <w:sz w:val="32"/>
      <w:szCs w:val="44"/>
    </w:rPr>
  </w:style>
  <w:style w:type="character" w:customStyle="1" w:styleId="25">
    <w:name w:val="font01"/>
    <w:qFormat/>
    <w:uiPriority w:val="0"/>
    <w:rPr>
      <w:rFonts w:hint="default" w:ascii="Times New Roman" w:hAnsi="Times New Roman" w:cs="Times New Roman"/>
      <w:color w:val="000000"/>
      <w:sz w:val="22"/>
      <w:szCs w:val="22"/>
      <w:u w:val="none"/>
    </w:rPr>
  </w:style>
  <w:style w:type="character" w:customStyle="1" w:styleId="26">
    <w:name w:val="font31"/>
    <w:qFormat/>
    <w:uiPriority w:val="0"/>
    <w:rPr>
      <w:rFonts w:hint="eastAsia" w:ascii="宋体" w:hAnsi="宋体" w:eastAsia="宋体" w:cs="宋体"/>
      <w:color w:val="000000"/>
      <w:sz w:val="22"/>
      <w:szCs w:val="22"/>
      <w:u w:val="none"/>
    </w:rPr>
  </w:style>
  <w:style w:type="character" w:customStyle="1" w:styleId="27">
    <w:name w:val="fontstyle01"/>
    <w:qFormat/>
    <w:uiPriority w:val="0"/>
    <w:rPr>
      <w:rFonts w:hint="eastAsia" w:ascii="宋体" w:hAnsi="宋体" w:eastAsia="宋体"/>
      <w:color w:val="000000"/>
      <w:sz w:val="22"/>
      <w:szCs w:val="22"/>
    </w:rPr>
  </w:style>
  <w:style w:type="character" w:customStyle="1" w:styleId="28">
    <w:name w:val="fontstyle11"/>
    <w:qFormat/>
    <w:uiPriority w:val="0"/>
    <w:rPr>
      <w:rFonts w:hint="default" w:ascii="Calibri" w:hAnsi="Calibri" w:cs="Calibri"/>
      <w:color w:val="000000"/>
      <w:sz w:val="22"/>
      <w:szCs w:val="22"/>
    </w:rPr>
  </w:style>
  <w:style w:type="paragraph" w:customStyle="1" w:styleId="29">
    <w:name w:val="正文_5"/>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9258</Words>
  <Characters>10089</Characters>
  <Lines>0</Lines>
  <Paragraphs>797</Paragraphs>
  <TotalTime>0</TotalTime>
  <ScaleCrop>false</ScaleCrop>
  <LinksUpToDate>false</LinksUpToDate>
  <CharactersWithSpaces>10239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2021-08-13T10:21:00Z</dcterms:created>
  <dc:creator>叶意莉</dc:creator>
  <cp:lastModifiedBy>Lenovo</cp:lastModifiedBy>
  <cp:lastPrinted>2023-05-18T08:40:00Z</cp:lastPrinted>
  <dcterms:modified xsi:type="dcterms:W3CDTF">2025-07-04T01:40:14Z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8BBEAE6DCC0E4B37A14263497B142F18_13</vt:lpwstr>
  </property>
  <property fmtid="{D5CDD505-2E9C-101B-9397-08002B2CF9AE}" pid="4" name="KSOTemplateDocerSaveRecord">
    <vt:lpwstr>eyJoZGlkIjoiODU3MjJkZjZhYTBjYjZiYjdiMzQyMDA0NjU0NDE2OTIiLCJ1c2VySWQiOiIyNTcxMzI0MCJ9</vt:lpwstr>
  </property>
</Properties>
</file>