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4E15D">
      <w:pPr>
        <w:pStyle w:val="11"/>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hAnsi="宋体" w:cs="宋体"/>
          <w:b/>
          <w:color w:val="auto"/>
          <w:spacing w:val="-6"/>
          <w:sz w:val="40"/>
          <w:szCs w:val="40"/>
          <w:highlight w:val="none"/>
          <w:lang w:eastAsia="zh-CN"/>
        </w:rPr>
      </w:pPr>
      <w:r>
        <w:rPr>
          <w:rFonts w:hint="eastAsia" w:hAnsi="宋体" w:cs="宋体"/>
          <w:b/>
          <w:color w:val="auto"/>
          <w:spacing w:val="-6"/>
          <w:sz w:val="40"/>
          <w:szCs w:val="40"/>
          <w:highlight w:val="none"/>
          <w:lang w:eastAsia="zh-CN"/>
        </w:rPr>
        <w:t>天台县总工会2024年公款竞争性存放项目（第二次）</w:t>
      </w:r>
    </w:p>
    <w:p w14:paraId="700B8819">
      <w:pPr>
        <w:pStyle w:val="11"/>
        <w:rPr>
          <w:rFonts w:hint="eastAsia" w:ascii="宋体" w:hAnsi="宋体" w:eastAsia="宋体" w:cs="宋体"/>
          <w:color w:val="auto"/>
          <w:sz w:val="44"/>
          <w:szCs w:val="44"/>
          <w:highlight w:val="none"/>
        </w:rPr>
      </w:pPr>
    </w:p>
    <w:p w14:paraId="7693576D">
      <w:pPr>
        <w:rPr>
          <w:rFonts w:hint="eastAsia"/>
          <w:color w:val="auto"/>
          <w:highlight w:val="none"/>
        </w:rPr>
      </w:pPr>
    </w:p>
    <w:p w14:paraId="0102F45F">
      <w:pPr>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采购文件</w:t>
      </w:r>
    </w:p>
    <w:p w14:paraId="33ECF8B5">
      <w:pPr>
        <w:pStyle w:val="4"/>
        <w:rPr>
          <w:rFonts w:hint="eastAsia" w:ascii="宋体" w:hAnsi="宋体" w:eastAsia="宋体" w:cs="宋体"/>
          <w:color w:val="auto"/>
          <w:sz w:val="44"/>
          <w:szCs w:val="44"/>
          <w:highlight w:val="none"/>
        </w:rPr>
      </w:pPr>
    </w:p>
    <w:p w14:paraId="3452DF2F">
      <w:pPr>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CTZB-2024090099A</w:t>
      </w:r>
    </w:p>
    <w:p w14:paraId="402E7A9B">
      <w:pPr>
        <w:spacing w:line="240" w:lineRule="exact"/>
        <w:ind w:left="1145"/>
        <w:rPr>
          <w:rFonts w:hint="eastAsia" w:ascii="宋体" w:hAnsi="宋体" w:eastAsia="宋体" w:cs="宋体"/>
          <w:b/>
          <w:bCs/>
          <w:color w:val="auto"/>
          <w:sz w:val="21"/>
          <w:szCs w:val="21"/>
          <w:highlight w:val="none"/>
        </w:rPr>
      </w:pPr>
    </w:p>
    <w:p w14:paraId="19CF6F3C">
      <w:pPr>
        <w:pStyle w:val="8"/>
        <w:jc w:val="center"/>
        <w:rPr>
          <w:rFonts w:hint="eastAsia"/>
          <w:color w:val="auto"/>
          <w:highlight w:val="none"/>
        </w:rPr>
      </w:pPr>
      <w:r>
        <w:rPr>
          <w:rFonts w:hint="eastAsia" w:eastAsia="宋体"/>
          <w:color w:val="auto"/>
          <w:highlight w:val="none"/>
          <w:lang w:eastAsia="zh-CN"/>
        </w:rPr>
        <w:drawing>
          <wp:inline distT="0" distB="0" distL="0" distR="0">
            <wp:extent cx="2419350" cy="1858010"/>
            <wp:effectExtent l="0" t="0" r="0" b="0"/>
            <wp:docPr id="1026" name="图片 3" descr="微信图片_20210712174848"/>
            <wp:cNvGraphicFramePr/>
            <a:graphic xmlns:a="http://schemas.openxmlformats.org/drawingml/2006/main">
              <a:graphicData uri="http://schemas.openxmlformats.org/drawingml/2006/picture">
                <pic:pic xmlns:pic="http://schemas.openxmlformats.org/drawingml/2006/picture">
                  <pic:nvPicPr>
                    <pic:cNvPr id="1026" name="图片 3" descr="微信图片_20210712174848"/>
                    <pic:cNvPicPr/>
                  </pic:nvPicPr>
                  <pic:blipFill>
                    <a:blip r:embed="rId12" cstate="print"/>
                    <a:srcRect l="24455" t="11993" r="24455" b="11589"/>
                    <a:stretch>
                      <a:fillRect/>
                    </a:stretch>
                  </pic:blipFill>
                  <pic:spPr>
                    <a:xfrm>
                      <a:off x="0" y="0"/>
                      <a:ext cx="2419350" cy="1858644"/>
                    </a:xfrm>
                    <a:prstGeom prst="rect">
                      <a:avLst/>
                    </a:prstGeom>
                    <a:ln>
                      <a:noFill/>
                    </a:ln>
                  </pic:spPr>
                </pic:pic>
              </a:graphicData>
            </a:graphic>
          </wp:inline>
        </w:drawing>
      </w:r>
    </w:p>
    <w:p w14:paraId="383BBC7B">
      <w:pPr>
        <w:bidi w:val="0"/>
        <w:rPr>
          <w:rFonts w:hint="eastAsia"/>
          <w:color w:val="auto"/>
        </w:rPr>
      </w:pPr>
      <w:r>
        <w:rPr>
          <w:rFonts w:hint="eastAsia"/>
          <w:color w:val="auto"/>
        </w:rPr>
        <w:t xml:space="preserve"> </w:t>
      </w:r>
    </w:p>
    <w:p w14:paraId="520B392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u w:val="none"/>
          <w:lang w:eastAsia="zh-CN"/>
        </w:rPr>
      </w:pPr>
      <w:r>
        <w:rPr>
          <w:rFonts w:hint="eastAsia" w:ascii="宋体" w:hAnsi="宋体" w:eastAsia="宋体" w:cs="宋体"/>
          <w:b/>
          <w:bCs/>
          <w:color w:val="auto"/>
          <w:sz w:val="28"/>
          <w:szCs w:val="28"/>
          <w:highlight w:val="none"/>
          <w:u w:val="none"/>
        </w:rPr>
        <w:t>采购单位</w:t>
      </w:r>
      <w:r>
        <w:rPr>
          <w:rFonts w:hint="eastAsia" w:ascii="宋体" w:hAnsi="宋体" w:cs="宋体"/>
          <w:b/>
          <w:bCs/>
          <w:color w:val="auto"/>
          <w:sz w:val="28"/>
          <w:szCs w:val="28"/>
          <w:highlight w:val="none"/>
          <w:u w:val="none"/>
          <w:lang w:eastAsia="zh-CN"/>
        </w:rPr>
        <w:t>（盖章）</w:t>
      </w:r>
      <w:r>
        <w:rPr>
          <w:rFonts w:hint="eastAsia" w:ascii="宋体" w:hAnsi="宋体" w:eastAsia="宋体" w:cs="宋体"/>
          <w:b/>
          <w:bCs/>
          <w:color w:val="auto"/>
          <w:sz w:val="28"/>
          <w:szCs w:val="28"/>
          <w:highlight w:val="none"/>
          <w:u w:val="none"/>
        </w:rPr>
        <w:t>：</w:t>
      </w:r>
      <w:r>
        <w:rPr>
          <w:rFonts w:hint="eastAsia" w:ascii="宋体" w:hAnsi="宋体" w:cs="宋体"/>
          <w:b w:val="0"/>
          <w:bCs w:val="0"/>
          <w:color w:val="auto"/>
          <w:sz w:val="28"/>
          <w:szCs w:val="28"/>
          <w:highlight w:val="none"/>
          <w:u w:val="none"/>
          <w:lang w:val="en-US" w:eastAsia="zh-CN"/>
        </w:rPr>
        <w:t>天台县总工会</w:t>
      </w:r>
    </w:p>
    <w:p w14:paraId="2A052C1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u w:val="none"/>
        </w:rPr>
      </w:pPr>
      <w:r>
        <w:rPr>
          <w:rFonts w:hint="eastAsia" w:ascii="宋体" w:hAnsi="宋体" w:eastAsia="宋体" w:cs="宋体"/>
          <w:b/>
          <w:bCs/>
          <w:color w:val="auto"/>
          <w:sz w:val="28"/>
          <w:szCs w:val="28"/>
          <w:highlight w:val="none"/>
          <w:u w:val="none"/>
        </w:rPr>
        <w:t>联 系 人：</w:t>
      </w:r>
      <w:r>
        <w:rPr>
          <w:rFonts w:hint="eastAsia" w:ascii="宋体" w:hAnsi="宋体" w:cs="宋体"/>
          <w:b w:val="0"/>
          <w:bCs w:val="0"/>
          <w:color w:val="auto"/>
          <w:sz w:val="28"/>
          <w:szCs w:val="28"/>
          <w:highlight w:val="none"/>
          <w:u w:val="none"/>
          <w:lang w:val="en-US" w:eastAsia="zh-CN"/>
        </w:rPr>
        <w:t>张嫱</w:t>
      </w:r>
    </w:p>
    <w:p w14:paraId="3BEE480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b/>
          <w:bCs/>
          <w:color w:val="auto"/>
          <w:sz w:val="28"/>
          <w:szCs w:val="28"/>
          <w:highlight w:val="none"/>
          <w:u w:val="none"/>
        </w:rPr>
        <w:t>联系电话：</w:t>
      </w:r>
      <w:r>
        <w:rPr>
          <w:rFonts w:hint="eastAsia" w:ascii="宋体" w:hAnsi="宋体" w:cs="宋体"/>
          <w:b w:val="0"/>
          <w:bCs w:val="0"/>
          <w:color w:val="auto"/>
          <w:sz w:val="28"/>
          <w:szCs w:val="28"/>
          <w:highlight w:val="none"/>
          <w:u w:val="none"/>
          <w:lang w:eastAsia="zh-CN"/>
        </w:rPr>
        <w:t>0576-83807229</w:t>
      </w:r>
    </w:p>
    <w:p w14:paraId="14DEECE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u w:val="none"/>
        </w:rPr>
      </w:pPr>
      <w:r>
        <w:rPr>
          <w:rFonts w:hint="eastAsia" w:ascii="宋体" w:hAnsi="宋体" w:eastAsia="宋体" w:cs="宋体"/>
          <w:b/>
          <w:bCs/>
          <w:color w:val="auto"/>
          <w:sz w:val="28"/>
          <w:szCs w:val="28"/>
          <w:highlight w:val="none"/>
          <w:u w:val="none"/>
        </w:rPr>
        <w:t>采购代理单位</w:t>
      </w:r>
      <w:r>
        <w:rPr>
          <w:rFonts w:hint="eastAsia" w:ascii="宋体" w:hAnsi="宋体" w:cs="宋体"/>
          <w:b/>
          <w:bCs/>
          <w:color w:val="auto"/>
          <w:sz w:val="28"/>
          <w:szCs w:val="28"/>
          <w:highlight w:val="none"/>
          <w:u w:val="none"/>
          <w:lang w:eastAsia="zh-CN"/>
        </w:rPr>
        <w:t>（盖章）</w:t>
      </w:r>
      <w:r>
        <w:rPr>
          <w:rFonts w:hint="eastAsia" w:ascii="宋体" w:hAnsi="宋体" w:eastAsia="宋体" w:cs="宋体"/>
          <w:b/>
          <w:bCs/>
          <w:color w:val="auto"/>
          <w:sz w:val="28"/>
          <w:szCs w:val="28"/>
          <w:highlight w:val="none"/>
          <w:u w:val="none"/>
        </w:rPr>
        <w:t>：</w:t>
      </w:r>
      <w:r>
        <w:rPr>
          <w:rFonts w:hint="eastAsia" w:ascii="宋体" w:hAnsi="宋体" w:eastAsia="宋体" w:cs="宋体"/>
          <w:color w:val="auto"/>
          <w:sz w:val="28"/>
          <w:szCs w:val="28"/>
          <w:highlight w:val="none"/>
          <w:u w:val="none"/>
        </w:rPr>
        <w:t>浙江省成套招标代理有限公司</w:t>
      </w:r>
    </w:p>
    <w:p w14:paraId="5F96B25F">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b/>
          <w:bCs/>
          <w:color w:val="auto"/>
          <w:sz w:val="28"/>
          <w:szCs w:val="28"/>
          <w:highlight w:val="none"/>
          <w:u w:val="none"/>
        </w:rPr>
        <w:t>联 系 人：</w:t>
      </w:r>
      <w:r>
        <w:rPr>
          <w:rFonts w:hint="eastAsia" w:ascii="宋体" w:hAnsi="宋体" w:eastAsia="宋体" w:cs="宋体"/>
          <w:color w:val="auto"/>
          <w:sz w:val="28"/>
          <w:szCs w:val="28"/>
          <w:highlight w:val="none"/>
          <w:u w:val="none"/>
        </w:rPr>
        <w:t>叶意莉</w:t>
      </w:r>
    </w:p>
    <w:p w14:paraId="55ACB56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u w:val="none"/>
        </w:rPr>
      </w:pPr>
      <w:r>
        <w:rPr>
          <w:rFonts w:hint="eastAsia" w:ascii="宋体" w:hAnsi="宋体" w:eastAsia="宋体" w:cs="宋体"/>
          <w:b/>
          <w:bCs/>
          <w:color w:val="auto"/>
          <w:sz w:val="28"/>
          <w:szCs w:val="28"/>
          <w:highlight w:val="none"/>
          <w:u w:val="none"/>
        </w:rPr>
        <w:t>联系电话：</w:t>
      </w:r>
      <w:r>
        <w:rPr>
          <w:rFonts w:hint="eastAsia" w:ascii="宋体" w:hAnsi="宋体" w:eastAsia="宋体" w:cs="宋体"/>
          <w:b w:val="0"/>
          <w:bCs w:val="0"/>
          <w:color w:val="auto"/>
          <w:sz w:val="28"/>
          <w:szCs w:val="28"/>
          <w:highlight w:val="none"/>
          <w:u w:val="none"/>
          <w:lang w:val="en-US" w:eastAsia="zh-CN"/>
        </w:rPr>
        <w:t>0576-83897703、</w:t>
      </w:r>
      <w:r>
        <w:rPr>
          <w:rFonts w:hint="eastAsia" w:ascii="宋体" w:hAnsi="宋体" w:eastAsia="宋体" w:cs="宋体"/>
          <w:color w:val="auto"/>
          <w:sz w:val="28"/>
          <w:szCs w:val="28"/>
          <w:highlight w:val="none"/>
          <w:u w:val="none"/>
        </w:rPr>
        <w:t>17805860910（政府网530910）</w:t>
      </w:r>
    </w:p>
    <w:p w14:paraId="05352CC9">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u w:val="none"/>
        </w:rPr>
      </w:pPr>
      <w:r>
        <w:rPr>
          <w:rFonts w:hint="eastAsia" w:ascii="宋体" w:hAnsi="宋体" w:eastAsia="宋体" w:cs="宋体"/>
          <w:b/>
          <w:bCs/>
          <w:color w:val="auto"/>
          <w:sz w:val="28"/>
          <w:szCs w:val="28"/>
          <w:highlight w:val="none"/>
          <w:u w:val="none"/>
        </w:rPr>
        <w:t>日    期：</w:t>
      </w:r>
      <w:r>
        <w:rPr>
          <w:rFonts w:hint="eastAsia" w:ascii="宋体" w:hAnsi="宋体" w:eastAsia="宋体" w:cs="宋体"/>
          <w:color w:val="auto"/>
          <w:sz w:val="28"/>
          <w:szCs w:val="28"/>
          <w:highlight w:val="none"/>
          <w:u w:val="none"/>
          <w:lang w:val="en-US" w:eastAsia="zh-CN"/>
        </w:rPr>
        <w:t>二〇</w:t>
      </w:r>
      <w:r>
        <w:rPr>
          <w:rFonts w:hint="eastAsia" w:ascii="宋体" w:hAnsi="宋体" w:eastAsia="宋体" w:cs="宋体"/>
          <w:color w:val="auto"/>
          <w:sz w:val="28"/>
          <w:szCs w:val="28"/>
          <w:highlight w:val="none"/>
          <w:u w:val="none"/>
        </w:rPr>
        <w:t>二</w:t>
      </w:r>
      <w:r>
        <w:rPr>
          <w:rFonts w:hint="eastAsia" w:ascii="宋体" w:hAnsi="宋体" w:cs="宋体"/>
          <w:color w:val="auto"/>
          <w:sz w:val="28"/>
          <w:szCs w:val="28"/>
          <w:highlight w:val="none"/>
          <w:u w:val="none"/>
          <w:lang w:eastAsia="zh-CN"/>
        </w:rPr>
        <w:t>四</w:t>
      </w:r>
      <w:r>
        <w:rPr>
          <w:rFonts w:hint="eastAsia" w:ascii="宋体" w:hAnsi="宋体" w:eastAsia="宋体" w:cs="宋体"/>
          <w:color w:val="auto"/>
          <w:sz w:val="28"/>
          <w:szCs w:val="28"/>
          <w:highlight w:val="none"/>
          <w:u w:val="none"/>
        </w:rPr>
        <w:t>年</w:t>
      </w:r>
      <w:r>
        <w:rPr>
          <w:rFonts w:hint="eastAsia" w:ascii="宋体" w:hAnsi="宋体" w:cs="宋体"/>
          <w:color w:val="auto"/>
          <w:sz w:val="28"/>
          <w:szCs w:val="28"/>
          <w:highlight w:val="none"/>
          <w:u w:val="none"/>
          <w:lang w:val="en-US" w:eastAsia="zh-CN"/>
        </w:rPr>
        <w:t>九</w:t>
      </w:r>
      <w:r>
        <w:rPr>
          <w:rFonts w:hint="eastAsia" w:ascii="宋体" w:hAnsi="宋体" w:eastAsia="宋体" w:cs="宋体"/>
          <w:color w:val="auto"/>
          <w:sz w:val="28"/>
          <w:szCs w:val="28"/>
          <w:highlight w:val="none"/>
          <w:u w:val="none"/>
        </w:rPr>
        <w:t>月</w:t>
      </w:r>
    </w:p>
    <w:p w14:paraId="11C48C3B">
      <w:pPr>
        <w:spacing w:line="240" w:lineRule="exact"/>
        <w:rPr>
          <w:rFonts w:hint="eastAsia" w:ascii="宋体" w:hAnsi="宋体" w:eastAsia="宋体" w:cs="宋体"/>
          <w:b/>
          <w:color w:val="auto"/>
          <w:sz w:val="21"/>
          <w:szCs w:val="21"/>
          <w:highlight w:val="none"/>
        </w:rPr>
      </w:pPr>
    </w:p>
    <w:p w14:paraId="28754173">
      <w:pPr>
        <w:spacing w:line="240" w:lineRule="exact"/>
        <w:rPr>
          <w:rFonts w:hint="eastAsia" w:ascii="宋体" w:hAnsi="宋体" w:eastAsia="宋体" w:cs="宋体"/>
          <w:b/>
          <w:color w:val="auto"/>
          <w:sz w:val="21"/>
          <w:szCs w:val="21"/>
          <w:highlight w:val="none"/>
        </w:rPr>
        <w:sectPr>
          <w:headerReference r:id="rId4" w:type="first"/>
          <w:headerReference r:id="rId3" w:type="default"/>
          <w:footerReference r:id="rId5" w:type="default"/>
          <w:pgSz w:w="11905" w:h="16838"/>
          <w:pgMar w:top="1361" w:right="1587" w:bottom="1361" w:left="1587" w:header="737" w:footer="1020" w:gutter="0"/>
          <w:pgBorders>
            <w:top w:val="none" w:sz="0" w:space="0"/>
            <w:left w:val="none" w:sz="0" w:space="0"/>
            <w:bottom w:val="none" w:sz="0" w:space="0"/>
            <w:right w:val="none" w:sz="0" w:space="0"/>
          </w:pgBorders>
          <w:pgNumType w:fmt="decimal" w:start="1"/>
          <w:cols w:space="0" w:num="1"/>
          <w:titlePg/>
          <w:rtlGutter w:val="0"/>
          <w:docGrid w:type="lines" w:linePitch="330" w:charSpace="0"/>
        </w:sectPr>
      </w:pPr>
    </w:p>
    <w:p w14:paraId="721A597A">
      <w:pPr>
        <w:spacing w:line="240" w:lineRule="exact"/>
        <w:rPr>
          <w:rFonts w:hint="eastAsia" w:ascii="宋体" w:hAnsi="宋体" w:eastAsia="宋体" w:cs="宋体"/>
          <w:b/>
          <w:color w:val="auto"/>
          <w:sz w:val="21"/>
          <w:szCs w:val="21"/>
          <w:highlight w:val="none"/>
        </w:rPr>
      </w:pPr>
    </w:p>
    <w:p w14:paraId="78AFEBB7">
      <w:pPr>
        <w:spacing w:line="240" w:lineRule="exact"/>
        <w:rPr>
          <w:rFonts w:hint="eastAsia" w:ascii="宋体" w:hAnsi="宋体" w:eastAsia="宋体" w:cs="宋体"/>
          <w:b/>
          <w:color w:val="auto"/>
          <w:sz w:val="21"/>
          <w:szCs w:val="21"/>
          <w:highlight w:val="none"/>
        </w:rPr>
      </w:pPr>
    </w:p>
    <w:p w14:paraId="48791A67">
      <w:pPr>
        <w:pStyle w:val="8"/>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479C806D">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 w:val="0"/>
          <w:bCs/>
          <w:i w:val="0"/>
          <w:color w:val="auto"/>
          <w:sz w:val="24"/>
          <w:szCs w:val="24"/>
          <w:highlight w:val="none"/>
          <w:lang w:eastAsia="zh-CN"/>
        </w:rPr>
        <w:fldChar w:fldCharType="begin"/>
      </w:r>
      <w:r>
        <w:rPr>
          <w:rFonts w:hint="eastAsia" w:ascii="宋体" w:hAnsi="宋体" w:eastAsia="宋体" w:cs="宋体"/>
          <w:b w:val="0"/>
          <w:bCs/>
          <w:i w:val="0"/>
          <w:color w:val="auto"/>
          <w:sz w:val="24"/>
          <w:szCs w:val="24"/>
          <w:highlight w:val="none"/>
          <w:lang w:eastAsia="zh-CN"/>
        </w:rPr>
        <w:instrText xml:space="preserve">TOC \o "1-1" \h \u </w:instrText>
      </w:r>
      <w:r>
        <w:rPr>
          <w:rFonts w:hint="eastAsia" w:ascii="宋体" w:hAnsi="宋体" w:eastAsia="宋体" w:cs="宋体"/>
          <w:b w:val="0"/>
          <w:bCs/>
          <w:i w:val="0"/>
          <w:color w:val="auto"/>
          <w:sz w:val="24"/>
          <w:szCs w:val="24"/>
          <w:highlight w:val="none"/>
          <w:lang w:eastAsia="zh-CN"/>
        </w:rPr>
        <w:fldChar w:fldCharType="separate"/>
      </w: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_Toc8974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rPr>
        <w:t>第一章</w:t>
      </w:r>
      <w:r>
        <w:rPr>
          <w:rFonts w:hint="eastAsia"/>
          <w:color w:val="auto"/>
          <w:sz w:val="24"/>
          <w:szCs w:val="24"/>
          <w:highlight w:val="none"/>
          <w:lang w:val="en-US" w:eastAsia="zh-CN"/>
        </w:rPr>
        <w:t xml:space="preserve"> </w:t>
      </w:r>
      <w:r>
        <w:rPr>
          <w:rFonts w:hint="eastAsia"/>
          <w:color w:val="auto"/>
          <w:sz w:val="24"/>
          <w:szCs w:val="24"/>
          <w:highlight w:val="none"/>
          <w:lang w:eastAsia="zh-CN"/>
        </w:rPr>
        <w:t>招标公告</w:t>
      </w:r>
      <w:r>
        <w:rPr>
          <w:color w:val="auto"/>
          <w:sz w:val="24"/>
          <w:szCs w:val="24"/>
        </w:rPr>
        <w:tab/>
      </w:r>
      <w:r>
        <w:rPr>
          <w:color w:val="auto"/>
          <w:sz w:val="24"/>
          <w:szCs w:val="24"/>
        </w:rPr>
        <w:fldChar w:fldCharType="begin"/>
      </w:r>
      <w:r>
        <w:rPr>
          <w:color w:val="auto"/>
          <w:sz w:val="24"/>
          <w:szCs w:val="24"/>
        </w:rPr>
        <w:instrText xml:space="preserve"> PAGEREF _Toc8974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326142E3">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_Toc2789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rPr>
        <w:t>第二章</w:t>
      </w:r>
      <w:r>
        <w:rPr>
          <w:rFonts w:hint="eastAsia"/>
          <w:color w:val="auto"/>
          <w:sz w:val="24"/>
          <w:szCs w:val="24"/>
          <w:highlight w:val="none"/>
          <w:lang w:val="en-US" w:eastAsia="zh-CN"/>
        </w:rPr>
        <w:t xml:space="preserve"> </w:t>
      </w:r>
      <w:r>
        <w:rPr>
          <w:rFonts w:hint="eastAsia"/>
          <w:color w:val="auto"/>
          <w:sz w:val="24"/>
          <w:szCs w:val="24"/>
          <w:highlight w:val="none"/>
          <w:lang w:eastAsia="zh-CN"/>
        </w:rPr>
        <w:t>竞标银行</w:t>
      </w:r>
      <w:r>
        <w:rPr>
          <w:rFonts w:hint="eastAsia"/>
          <w:color w:val="auto"/>
          <w:sz w:val="24"/>
          <w:szCs w:val="24"/>
          <w:highlight w:val="none"/>
        </w:rPr>
        <w:t>须知</w:t>
      </w:r>
      <w:r>
        <w:rPr>
          <w:color w:val="auto"/>
          <w:sz w:val="24"/>
          <w:szCs w:val="24"/>
        </w:rPr>
        <w:tab/>
      </w:r>
      <w:r>
        <w:rPr>
          <w:color w:val="auto"/>
          <w:sz w:val="24"/>
          <w:szCs w:val="24"/>
        </w:rPr>
        <w:fldChar w:fldCharType="begin"/>
      </w:r>
      <w:r>
        <w:rPr>
          <w:color w:val="auto"/>
          <w:sz w:val="24"/>
          <w:szCs w:val="24"/>
        </w:rPr>
        <w:instrText xml:space="preserve"> PAGEREF _Toc2789 \h </w:instrText>
      </w:r>
      <w:r>
        <w:rPr>
          <w:color w:val="auto"/>
          <w:sz w:val="24"/>
          <w:szCs w:val="24"/>
        </w:rPr>
        <w:fldChar w:fldCharType="separate"/>
      </w:r>
      <w:r>
        <w:rPr>
          <w:color w:val="auto"/>
          <w:sz w:val="24"/>
          <w:szCs w:val="24"/>
        </w:rPr>
        <w:t>4</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553CC28B">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_Toc10313 </w:instrText>
      </w:r>
      <w:r>
        <w:rPr>
          <w:rFonts w:hint="eastAsia" w:ascii="宋体" w:hAnsi="宋体" w:eastAsia="宋体" w:cs="宋体"/>
          <w:bCs/>
          <w:i w:val="0"/>
          <w:color w:val="auto"/>
          <w:sz w:val="24"/>
          <w:szCs w:val="24"/>
          <w:highlight w:val="none"/>
          <w:lang w:eastAsia="zh-CN"/>
        </w:rPr>
        <w:fldChar w:fldCharType="separate"/>
      </w:r>
      <w:r>
        <w:rPr>
          <w:rFonts w:hint="eastAsia" w:ascii="Times New Roman" w:hAnsi="Times New Roman" w:cs="Times New Roman"/>
          <w:color w:val="auto"/>
          <w:sz w:val="24"/>
          <w:szCs w:val="24"/>
          <w:highlight w:val="none"/>
        </w:rPr>
        <w:t xml:space="preserve">第三章 </w:t>
      </w:r>
      <w:r>
        <w:rPr>
          <w:rFonts w:hint="eastAsia" w:cs="Times New Roman"/>
          <w:color w:val="auto"/>
          <w:sz w:val="24"/>
          <w:szCs w:val="24"/>
          <w:highlight w:val="none"/>
          <w:lang w:eastAsia="zh-CN"/>
        </w:rPr>
        <w:t>协议书</w:t>
      </w:r>
      <w:r>
        <w:rPr>
          <w:rFonts w:hint="eastAsia" w:ascii="Times New Roman" w:hAnsi="Times New Roman" w:cs="Times New Roman"/>
          <w:color w:val="auto"/>
          <w:sz w:val="24"/>
          <w:szCs w:val="24"/>
          <w:highlight w:val="none"/>
        </w:rPr>
        <w:t>主要条款</w:t>
      </w:r>
      <w:r>
        <w:rPr>
          <w:color w:val="auto"/>
          <w:sz w:val="24"/>
          <w:szCs w:val="24"/>
        </w:rPr>
        <w:tab/>
      </w:r>
      <w:r>
        <w:rPr>
          <w:color w:val="auto"/>
          <w:sz w:val="24"/>
          <w:szCs w:val="24"/>
        </w:rPr>
        <w:fldChar w:fldCharType="begin"/>
      </w:r>
      <w:r>
        <w:rPr>
          <w:color w:val="auto"/>
          <w:sz w:val="24"/>
          <w:szCs w:val="24"/>
        </w:rPr>
        <w:instrText xml:space="preserve"> PAGEREF _Toc10313 \h </w:instrText>
      </w:r>
      <w:r>
        <w:rPr>
          <w:color w:val="auto"/>
          <w:sz w:val="24"/>
          <w:szCs w:val="24"/>
        </w:rPr>
        <w:fldChar w:fldCharType="separate"/>
      </w:r>
      <w:r>
        <w:rPr>
          <w:color w:val="auto"/>
          <w:sz w:val="24"/>
          <w:szCs w:val="24"/>
        </w:rPr>
        <w:t>14</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768DB03A">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_Toc8979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lang w:eastAsia="zh-CN"/>
        </w:rPr>
        <w:t>第四章 招标内容及需求</w:t>
      </w:r>
      <w:r>
        <w:rPr>
          <w:color w:val="auto"/>
          <w:sz w:val="24"/>
          <w:szCs w:val="24"/>
        </w:rPr>
        <w:tab/>
      </w:r>
      <w:r>
        <w:rPr>
          <w:color w:val="auto"/>
          <w:sz w:val="24"/>
          <w:szCs w:val="24"/>
        </w:rPr>
        <w:fldChar w:fldCharType="begin"/>
      </w:r>
      <w:r>
        <w:rPr>
          <w:color w:val="auto"/>
          <w:sz w:val="24"/>
          <w:szCs w:val="24"/>
        </w:rPr>
        <w:instrText xml:space="preserve"> PAGEREF _Toc8979 \h </w:instrText>
      </w:r>
      <w:r>
        <w:rPr>
          <w:color w:val="auto"/>
          <w:sz w:val="24"/>
          <w:szCs w:val="24"/>
        </w:rPr>
        <w:fldChar w:fldCharType="separate"/>
      </w:r>
      <w:r>
        <w:rPr>
          <w:color w:val="auto"/>
          <w:sz w:val="24"/>
          <w:szCs w:val="24"/>
        </w:rPr>
        <w:t>16</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21A9F7E1">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_Toc1219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lang w:eastAsia="zh-CN"/>
        </w:rPr>
        <w:t>第五章</w:t>
      </w:r>
      <w:r>
        <w:rPr>
          <w:rFonts w:hint="eastAsia"/>
          <w:color w:val="auto"/>
          <w:sz w:val="24"/>
          <w:szCs w:val="24"/>
          <w:highlight w:val="none"/>
          <w:lang w:val="en-US" w:eastAsia="zh-CN"/>
        </w:rPr>
        <w:t xml:space="preserve"> </w:t>
      </w:r>
      <w:r>
        <w:rPr>
          <w:rFonts w:hint="eastAsia"/>
          <w:color w:val="auto"/>
          <w:sz w:val="24"/>
          <w:szCs w:val="24"/>
          <w:highlight w:val="none"/>
          <w:lang w:eastAsia="zh-CN"/>
        </w:rPr>
        <w:t>评标办法及评分标准</w:t>
      </w:r>
      <w:r>
        <w:rPr>
          <w:color w:val="auto"/>
          <w:sz w:val="24"/>
          <w:szCs w:val="24"/>
        </w:rPr>
        <w:tab/>
      </w:r>
      <w:r>
        <w:rPr>
          <w:color w:val="auto"/>
          <w:sz w:val="24"/>
          <w:szCs w:val="24"/>
        </w:rPr>
        <w:fldChar w:fldCharType="begin"/>
      </w:r>
      <w:r>
        <w:rPr>
          <w:color w:val="auto"/>
          <w:sz w:val="24"/>
          <w:szCs w:val="24"/>
        </w:rPr>
        <w:instrText xml:space="preserve"> PAGEREF _Toc1219 \h </w:instrText>
      </w:r>
      <w:r>
        <w:rPr>
          <w:color w:val="auto"/>
          <w:sz w:val="24"/>
          <w:szCs w:val="24"/>
        </w:rPr>
        <w:fldChar w:fldCharType="separate"/>
      </w:r>
      <w:r>
        <w:rPr>
          <w:color w:val="auto"/>
          <w:sz w:val="24"/>
          <w:szCs w:val="24"/>
        </w:rPr>
        <w:t>18</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5BE74250">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_Toc18618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lang w:eastAsia="zh-CN"/>
        </w:rPr>
        <w:t>第六章 投标文件格式</w:t>
      </w:r>
      <w:r>
        <w:rPr>
          <w:color w:val="auto"/>
          <w:sz w:val="24"/>
          <w:szCs w:val="24"/>
        </w:rPr>
        <w:tab/>
      </w:r>
      <w:r>
        <w:rPr>
          <w:color w:val="auto"/>
          <w:sz w:val="24"/>
          <w:szCs w:val="24"/>
        </w:rPr>
        <w:fldChar w:fldCharType="begin"/>
      </w:r>
      <w:r>
        <w:rPr>
          <w:color w:val="auto"/>
          <w:sz w:val="24"/>
          <w:szCs w:val="24"/>
        </w:rPr>
        <w:instrText xml:space="preserve"> PAGEREF _Toc18618 \h </w:instrText>
      </w:r>
      <w:r>
        <w:rPr>
          <w:color w:val="auto"/>
          <w:sz w:val="24"/>
          <w:szCs w:val="24"/>
        </w:rPr>
        <w:fldChar w:fldCharType="separate"/>
      </w:r>
      <w:r>
        <w:rPr>
          <w:color w:val="auto"/>
          <w:sz w:val="24"/>
          <w:szCs w:val="24"/>
        </w:rPr>
        <w:t>22</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2C7604B1">
      <w:pPr>
        <w:pStyle w:val="23"/>
        <w:tabs>
          <w:tab w:val="right" w:leader="dot" w:pos="9072"/>
        </w:tabs>
        <w:rPr>
          <w:rFonts w:hint="eastAsia" w:ascii="宋体" w:hAnsi="宋体" w:eastAsia="宋体" w:cs="宋体"/>
          <w:b w:val="0"/>
          <w:bCs/>
          <w:i w:val="0"/>
          <w:color w:val="auto"/>
          <w:sz w:val="24"/>
          <w:szCs w:val="24"/>
          <w:highlight w:val="none"/>
          <w:lang w:eastAsia="zh-CN"/>
        </w:rPr>
      </w:pPr>
      <w:r>
        <w:rPr>
          <w:rFonts w:hint="eastAsia" w:ascii="宋体" w:hAnsi="宋体" w:eastAsia="宋体" w:cs="宋体"/>
          <w:bCs/>
          <w:i w:val="0"/>
          <w:color w:val="auto"/>
          <w:szCs w:val="24"/>
          <w:highlight w:val="none"/>
          <w:lang w:eastAsia="zh-CN"/>
        </w:rPr>
        <w:fldChar w:fldCharType="end"/>
      </w:r>
    </w:p>
    <w:p w14:paraId="7AD26BD4">
      <w:pPr>
        <w:keepNext w:val="0"/>
        <w:keepLines w:val="0"/>
        <w:pageBreakBefore w:val="0"/>
        <w:widowControl w:val="0"/>
        <w:kinsoku/>
        <w:wordWrap/>
        <w:overflowPunct/>
        <w:topLinePunct w:val="0"/>
        <w:autoSpaceDE/>
        <w:autoSpaceDN/>
        <w:bidi w:val="0"/>
        <w:adjustRightInd/>
        <w:snapToGrid/>
        <w:spacing w:after="312" w:afterLines="100" w:line="440" w:lineRule="exact"/>
        <w:jc w:val="center"/>
        <w:textAlignment w:val="auto"/>
        <w:outlineLvl w:val="0"/>
        <w:rPr>
          <w:rStyle w:val="24"/>
          <w:rFonts w:hint="eastAsia"/>
          <w:color w:val="auto"/>
          <w:highlight w:val="none"/>
        </w:rPr>
        <w:sectPr>
          <w:footerReference r:id="rId7" w:type="first"/>
          <w:footerReference r:id="rId6" w:type="default"/>
          <w:pgSz w:w="11905" w:h="16838"/>
          <w:pgMar w:top="1361" w:right="1587" w:bottom="1361" w:left="1587" w:header="454" w:footer="1020" w:gutter="0"/>
          <w:pgBorders>
            <w:top w:val="none" w:sz="0" w:space="0"/>
            <w:left w:val="none" w:sz="0" w:space="0"/>
            <w:bottom w:val="none" w:sz="0" w:space="0"/>
            <w:right w:val="none" w:sz="0" w:space="0"/>
          </w:pgBorders>
          <w:pgNumType w:fmt="decimal" w:start="1"/>
          <w:cols w:space="0" w:num="1"/>
          <w:rtlGutter w:val="0"/>
          <w:docGrid w:type="lines" w:linePitch="330" w:charSpace="0"/>
        </w:sectPr>
      </w:pPr>
      <w:bookmarkStart w:id="0" w:name="_Toc13400"/>
      <w:bookmarkStart w:id="1" w:name="_Toc30104"/>
    </w:p>
    <w:p w14:paraId="553EE193">
      <w:pPr>
        <w:keepNext w:val="0"/>
        <w:keepLines w:val="0"/>
        <w:pageBreakBefore w:val="0"/>
        <w:widowControl w:val="0"/>
        <w:kinsoku/>
        <w:wordWrap/>
        <w:overflowPunct/>
        <w:topLinePunct w:val="0"/>
        <w:autoSpaceDE/>
        <w:autoSpaceDN/>
        <w:bidi w:val="0"/>
        <w:adjustRightInd/>
        <w:snapToGrid/>
        <w:spacing w:after="312" w:afterLines="100" w:line="440" w:lineRule="exact"/>
        <w:jc w:val="center"/>
        <w:textAlignment w:val="auto"/>
        <w:outlineLvl w:val="0"/>
        <w:rPr>
          <w:rFonts w:hint="eastAsia" w:ascii="宋体" w:hAnsi="宋体" w:eastAsia="宋体" w:cs="宋体"/>
          <w:color w:val="auto"/>
          <w:sz w:val="21"/>
          <w:szCs w:val="21"/>
          <w:highlight w:val="none"/>
          <w:lang w:eastAsia="zh-CN"/>
        </w:rPr>
      </w:pPr>
      <w:bookmarkStart w:id="2" w:name="_Toc8974"/>
      <w:r>
        <w:rPr>
          <w:rStyle w:val="24"/>
          <w:rFonts w:hint="eastAsia"/>
          <w:color w:val="auto"/>
          <w:highlight w:val="none"/>
        </w:rPr>
        <w:t>第一章</w:t>
      </w:r>
      <w:r>
        <w:rPr>
          <w:rStyle w:val="24"/>
          <w:rFonts w:hint="eastAsia"/>
          <w:color w:val="auto"/>
          <w:highlight w:val="none"/>
          <w:lang w:val="en-US" w:eastAsia="zh-CN"/>
        </w:rPr>
        <w:t xml:space="preserve"> </w:t>
      </w:r>
      <w:bookmarkEnd w:id="0"/>
      <w:r>
        <w:rPr>
          <w:rStyle w:val="24"/>
          <w:rFonts w:hint="eastAsia"/>
          <w:color w:val="auto"/>
          <w:highlight w:val="none"/>
          <w:lang w:eastAsia="zh-CN"/>
        </w:rPr>
        <w:t>招标公告</w:t>
      </w:r>
      <w:bookmarkEnd w:id="1"/>
      <w:bookmarkEnd w:id="2"/>
    </w:p>
    <w:p w14:paraId="006505ED">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bookmarkStart w:id="3" w:name="_Toc123628875"/>
      <w:r>
        <w:rPr>
          <w:rFonts w:hint="eastAsia" w:ascii="宋体" w:hAnsi="宋体" w:eastAsia="宋体" w:cs="宋体"/>
          <w:color w:val="auto"/>
          <w:sz w:val="22"/>
          <w:szCs w:val="22"/>
          <w:highlight w:val="none"/>
        </w:rPr>
        <w:t>为了提高资金效益，切实防范公款存放方面的利益输送行为，根据《天台县人民政府办公室关于印发天台县行政事业单位公款竞争性存放管理办法的通知》（天政办发〔20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〕23号）、《天台县财政局关于印发天台县县级财政专户资金竞争性存放商业银行定期存款业务操作规程的通知》</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天财预执〔20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〕6号</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等相关规定精神，本着公开、公平、公正、竞争、效益的原则，决定开展公款竞争性存放招标工作，欢迎符合条件的银行机构参加投标。</w:t>
      </w:r>
    </w:p>
    <w:p w14:paraId="36F274A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cs="宋体"/>
          <w:b/>
          <w:color w:val="auto"/>
          <w:sz w:val="22"/>
          <w:szCs w:val="22"/>
          <w:highlight w:val="none"/>
          <w:lang w:eastAsia="zh-CN"/>
        </w:rPr>
      </w:pPr>
      <w:r>
        <w:rPr>
          <w:rFonts w:hint="eastAsia" w:ascii="宋体" w:hAnsi="宋体" w:cs="宋体"/>
          <w:b/>
          <w:color w:val="auto"/>
          <w:sz w:val="22"/>
          <w:szCs w:val="22"/>
          <w:highlight w:val="none"/>
          <w:lang w:eastAsia="zh-CN"/>
        </w:rPr>
        <w:t>采购人名称：</w:t>
      </w:r>
      <w:r>
        <w:rPr>
          <w:rFonts w:hint="eastAsia" w:ascii="宋体" w:hAnsi="宋体" w:cs="宋体"/>
          <w:b w:val="0"/>
          <w:bCs/>
          <w:color w:val="auto"/>
          <w:sz w:val="22"/>
          <w:szCs w:val="22"/>
          <w:highlight w:val="none"/>
          <w:u w:val="single"/>
          <w:lang w:eastAsia="zh-CN"/>
        </w:rPr>
        <w:t>天台县总工会</w:t>
      </w:r>
    </w:p>
    <w:p w14:paraId="7FA8051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cs="宋体"/>
          <w:b/>
          <w:color w:val="auto"/>
          <w:sz w:val="22"/>
          <w:szCs w:val="22"/>
          <w:highlight w:val="none"/>
          <w:lang w:eastAsia="zh-CN"/>
        </w:rPr>
      </w:pPr>
      <w:r>
        <w:rPr>
          <w:rFonts w:hint="eastAsia" w:ascii="宋体" w:hAnsi="宋体" w:cs="宋体"/>
          <w:b/>
          <w:color w:val="auto"/>
          <w:sz w:val="22"/>
          <w:szCs w:val="22"/>
          <w:highlight w:val="none"/>
          <w:lang w:eastAsia="zh-CN"/>
        </w:rPr>
        <w:t>项目名称：</w:t>
      </w:r>
      <w:r>
        <w:rPr>
          <w:rFonts w:hint="eastAsia" w:ascii="宋体" w:hAnsi="宋体" w:cs="宋体"/>
          <w:b w:val="0"/>
          <w:bCs/>
          <w:color w:val="auto"/>
          <w:spacing w:val="-6"/>
          <w:sz w:val="22"/>
          <w:szCs w:val="22"/>
          <w:highlight w:val="none"/>
          <w:u w:val="single"/>
          <w:lang w:eastAsia="zh-CN"/>
        </w:rPr>
        <w:t>天台县总工会2024年公款竞争性存放项目（第二次）</w:t>
      </w:r>
    </w:p>
    <w:p w14:paraId="482C48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eastAsia="宋体" w:cs="宋体"/>
          <w:color w:val="auto"/>
          <w:sz w:val="22"/>
          <w:szCs w:val="22"/>
          <w:highlight w:val="none"/>
          <w:u w:val="single"/>
          <w:lang w:val="en-US"/>
        </w:rPr>
      </w:pPr>
      <w:r>
        <w:rPr>
          <w:rFonts w:hint="eastAsia" w:ascii="宋体" w:hAnsi="宋体" w:cs="宋体"/>
          <w:b/>
          <w:color w:val="auto"/>
          <w:sz w:val="22"/>
          <w:szCs w:val="22"/>
          <w:highlight w:val="none"/>
          <w:lang w:eastAsia="zh-CN"/>
        </w:rPr>
        <w:t>三、项目编号：</w:t>
      </w:r>
      <w:r>
        <w:rPr>
          <w:rFonts w:hint="eastAsia" w:ascii="宋体" w:hAnsi="宋体" w:cs="宋体"/>
          <w:color w:val="auto"/>
          <w:sz w:val="22"/>
          <w:szCs w:val="22"/>
          <w:highlight w:val="none"/>
          <w:u w:val="single"/>
          <w:lang w:val="en-US" w:eastAsia="zh-CN"/>
        </w:rPr>
        <w:t>CTZB-2024090099A</w:t>
      </w:r>
    </w:p>
    <w:p w14:paraId="4D970214">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cs="宋体"/>
          <w:b/>
          <w:color w:val="auto"/>
          <w:sz w:val="22"/>
          <w:szCs w:val="22"/>
          <w:highlight w:val="none"/>
          <w:lang w:eastAsia="zh-CN"/>
        </w:rPr>
      </w:pPr>
      <w:r>
        <w:rPr>
          <w:rFonts w:hint="eastAsia" w:ascii="宋体" w:hAnsi="宋体" w:cs="宋体"/>
          <w:b/>
          <w:color w:val="auto"/>
          <w:sz w:val="22"/>
          <w:szCs w:val="22"/>
          <w:highlight w:val="none"/>
          <w:lang w:eastAsia="zh-CN"/>
        </w:rPr>
        <w:t>四</w:t>
      </w: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eastAsia="zh-CN"/>
        </w:rPr>
        <w:t>招标项目内容</w:t>
      </w:r>
    </w:p>
    <w:tbl>
      <w:tblPr>
        <w:tblStyle w:val="20"/>
        <w:tblW w:w="92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15"/>
        <w:gridCol w:w="1565"/>
        <w:gridCol w:w="1125"/>
        <w:gridCol w:w="678"/>
        <w:gridCol w:w="3955"/>
      </w:tblGrid>
      <w:tr w14:paraId="4B627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5" w:type="dxa"/>
            <w:tcBorders>
              <w:tl2br w:val="nil"/>
              <w:tr2bl w:val="nil"/>
            </w:tcBorders>
            <w:vAlign w:val="center"/>
          </w:tcPr>
          <w:p w14:paraId="4591CB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标段</w:t>
            </w:r>
          </w:p>
        </w:tc>
        <w:tc>
          <w:tcPr>
            <w:tcW w:w="1215" w:type="dxa"/>
            <w:tcBorders>
              <w:tl2br w:val="nil"/>
              <w:tr2bl w:val="nil"/>
            </w:tcBorders>
            <w:vAlign w:val="center"/>
          </w:tcPr>
          <w:p w14:paraId="59B4D6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招标内容</w:t>
            </w:r>
          </w:p>
        </w:tc>
        <w:tc>
          <w:tcPr>
            <w:tcW w:w="1565" w:type="dxa"/>
            <w:tcBorders>
              <w:tl2br w:val="nil"/>
              <w:tr2bl w:val="nil"/>
            </w:tcBorders>
            <w:vAlign w:val="center"/>
          </w:tcPr>
          <w:p w14:paraId="235CA9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存放资金金额</w:t>
            </w:r>
          </w:p>
        </w:tc>
        <w:tc>
          <w:tcPr>
            <w:tcW w:w="1125" w:type="dxa"/>
            <w:tcBorders>
              <w:tl2br w:val="nil"/>
              <w:tr2bl w:val="nil"/>
            </w:tcBorders>
            <w:vAlign w:val="center"/>
          </w:tcPr>
          <w:p w14:paraId="4E966E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存放期限</w:t>
            </w:r>
          </w:p>
        </w:tc>
        <w:tc>
          <w:tcPr>
            <w:tcW w:w="678" w:type="dxa"/>
            <w:tcBorders>
              <w:tl2br w:val="nil"/>
              <w:tr2bl w:val="nil"/>
            </w:tcBorders>
            <w:vAlign w:val="center"/>
          </w:tcPr>
          <w:p w14:paraId="7051AD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中标数量</w:t>
            </w:r>
          </w:p>
        </w:tc>
        <w:tc>
          <w:tcPr>
            <w:tcW w:w="3955" w:type="dxa"/>
            <w:tcBorders>
              <w:tl2br w:val="nil"/>
              <w:tr2bl w:val="nil"/>
            </w:tcBorders>
            <w:vAlign w:val="center"/>
          </w:tcPr>
          <w:p w14:paraId="4B5EDB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招标底价</w:t>
            </w:r>
          </w:p>
        </w:tc>
      </w:tr>
      <w:tr w14:paraId="08767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5" w:type="dxa"/>
            <w:tcBorders>
              <w:tl2br w:val="nil"/>
              <w:tr2bl w:val="nil"/>
            </w:tcBorders>
            <w:vAlign w:val="center"/>
          </w:tcPr>
          <w:p w14:paraId="2CF9AE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一</w:t>
            </w:r>
          </w:p>
        </w:tc>
        <w:tc>
          <w:tcPr>
            <w:tcW w:w="1215" w:type="dxa"/>
            <w:tcBorders>
              <w:tl2br w:val="nil"/>
              <w:tr2bl w:val="nil"/>
            </w:tcBorders>
            <w:vAlign w:val="center"/>
          </w:tcPr>
          <w:p w14:paraId="768590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公款竞争性存放</w:t>
            </w:r>
          </w:p>
        </w:tc>
        <w:tc>
          <w:tcPr>
            <w:tcW w:w="1565" w:type="dxa"/>
            <w:tcBorders>
              <w:tl2br w:val="nil"/>
              <w:tr2bl w:val="nil"/>
            </w:tcBorders>
            <w:vAlign w:val="center"/>
          </w:tcPr>
          <w:p w14:paraId="120F4D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color w:val="auto"/>
                <w:sz w:val="22"/>
                <w:szCs w:val="22"/>
                <w:highlight w:val="none"/>
                <w:lang w:val="en-US" w:eastAsia="zh-CN"/>
              </w:rPr>
              <w:t>1000万元</w:t>
            </w:r>
          </w:p>
        </w:tc>
        <w:tc>
          <w:tcPr>
            <w:tcW w:w="1125" w:type="dxa"/>
            <w:tcBorders>
              <w:tl2br w:val="nil"/>
              <w:tr2bl w:val="nil"/>
            </w:tcBorders>
            <w:vAlign w:val="center"/>
          </w:tcPr>
          <w:p w14:paraId="0BB9DB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十二个月</w:t>
            </w:r>
          </w:p>
        </w:tc>
        <w:tc>
          <w:tcPr>
            <w:tcW w:w="678" w:type="dxa"/>
            <w:tcBorders>
              <w:tl2br w:val="nil"/>
              <w:tr2bl w:val="nil"/>
            </w:tcBorders>
            <w:vAlign w:val="center"/>
          </w:tcPr>
          <w:p w14:paraId="662BDE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1家银行</w:t>
            </w:r>
          </w:p>
        </w:tc>
        <w:tc>
          <w:tcPr>
            <w:tcW w:w="3955" w:type="dxa"/>
            <w:tcBorders>
              <w:tl2br w:val="nil"/>
              <w:tr2bl w:val="nil"/>
            </w:tcBorders>
            <w:vAlign w:val="center"/>
          </w:tcPr>
          <w:p w14:paraId="0382FC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较一年期定期存款基准利率上浮不低于10BP，定期存款年利率不低于1.60%</w:t>
            </w:r>
          </w:p>
        </w:tc>
      </w:tr>
    </w:tbl>
    <w:p w14:paraId="05575FF7">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五</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eastAsia="zh-CN"/>
        </w:rPr>
        <w:t>竞标银行</w:t>
      </w:r>
      <w:r>
        <w:rPr>
          <w:rFonts w:hint="eastAsia" w:ascii="宋体" w:hAnsi="宋体" w:eastAsia="宋体" w:cs="宋体"/>
          <w:b/>
          <w:color w:val="auto"/>
          <w:sz w:val="22"/>
          <w:szCs w:val="22"/>
          <w:highlight w:val="none"/>
          <w:lang w:eastAsia="zh-CN"/>
        </w:rPr>
        <w:t>资格要求</w:t>
      </w:r>
    </w:p>
    <w:p w14:paraId="56BA4D58">
      <w:pPr>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符合《天台县人民政府办公室关于印发天台县行政事业单位公款竞争性存放管理办法的通知》（天政办发〔2022〕23号）第十五条</w:t>
      </w:r>
      <w:r>
        <w:rPr>
          <w:rFonts w:hint="eastAsia" w:ascii="宋体" w:hAnsi="宋体" w:cs="宋体"/>
          <w:color w:val="auto"/>
          <w:sz w:val="22"/>
          <w:szCs w:val="22"/>
          <w:lang w:eastAsia="zh-CN"/>
        </w:rPr>
        <w:t>规定，</w:t>
      </w:r>
      <w:r>
        <w:rPr>
          <w:rFonts w:hint="eastAsia" w:ascii="宋体" w:hAnsi="宋体" w:cs="宋体"/>
          <w:color w:val="auto"/>
          <w:sz w:val="22"/>
          <w:szCs w:val="22"/>
          <w:u w:val="single"/>
        </w:rPr>
        <w:t>在中华人民共和国境内依法设立的商业银行、农村信用合作联社等银行业金融机构。银行参与投标应符合以下条件：</w:t>
      </w:r>
    </w:p>
    <w:p w14:paraId="29527988">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1.在天台县内设有分支机构；</w:t>
      </w:r>
    </w:p>
    <w:p w14:paraId="4307A7BC">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2.依法开展经营活动，近3年内在经营活动中无重大违法违规记录及重大违约事件；</w:t>
      </w:r>
    </w:p>
    <w:p w14:paraId="26CDD4C2">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3.纳入人民银行台州市分行综合评价的银行，上年度综合评价应达到B级及以上，不纳入人民银行台州市分行综合评价范围的银行不受此限制（如人民银行台州市分行未对投标人的支行作出综合评价，投标人可采用上级分行的综合评价材料）。</w:t>
      </w:r>
    </w:p>
    <w:p w14:paraId="1C6CF000">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4.本项目不接受联合体投标，且每家银行只能有一个主体参与投标。</w:t>
      </w:r>
    </w:p>
    <w:p w14:paraId="2151F662">
      <w:pPr>
        <w:keepNext w:val="0"/>
        <w:keepLines w:val="0"/>
        <w:pageBreakBefore w:val="0"/>
        <w:widowControl w:val="0"/>
        <w:kinsoku/>
        <w:wordWrap/>
        <w:overflowPunct/>
        <w:topLinePunct w:val="0"/>
        <w:autoSpaceDE/>
        <w:autoSpaceDN/>
        <w:bidi w:val="0"/>
        <w:spacing w:line="440" w:lineRule="exact"/>
        <w:ind w:left="989" w:leftChars="228" w:hanging="442" w:hangingChars="200"/>
        <w:textAlignment w:val="auto"/>
        <w:outlineLvl w:val="1"/>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六</w:t>
      </w:r>
      <w:r>
        <w:rPr>
          <w:rFonts w:hint="eastAsia" w:ascii="宋体" w:hAnsi="宋体" w:eastAsia="宋体" w:cs="宋体"/>
          <w:b/>
          <w:color w:val="auto"/>
          <w:sz w:val="22"/>
          <w:szCs w:val="22"/>
          <w:highlight w:val="none"/>
          <w:lang w:eastAsia="zh-CN"/>
        </w:rPr>
        <w:t>、采购文件获取及报名的时间、方式</w:t>
      </w:r>
    </w:p>
    <w:p w14:paraId="5BA2F933">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w:t>
      </w:r>
      <w:r>
        <w:rPr>
          <w:rFonts w:hint="eastAsia" w:ascii="宋体" w:hAnsi="宋体" w:eastAsia="宋体" w:cs="宋体"/>
          <w:color w:val="auto"/>
          <w:sz w:val="22"/>
          <w:szCs w:val="22"/>
          <w:highlight w:val="none"/>
        </w:rPr>
        <w:t>报名时间：</w:t>
      </w:r>
      <w:r>
        <w:rPr>
          <w:rFonts w:hint="eastAsia" w:ascii="宋体" w:hAnsi="宋体" w:eastAsia="宋体" w:cs="宋体"/>
          <w:color w:val="auto"/>
          <w:sz w:val="22"/>
          <w:szCs w:val="22"/>
          <w:highlight w:val="none"/>
          <w:u w:val="single"/>
        </w:rPr>
        <w:t>20</w:t>
      </w:r>
      <w:r>
        <w:rPr>
          <w:rFonts w:hint="eastAsia" w:ascii="宋体" w:hAnsi="宋体" w:eastAsia="宋体" w:cs="宋体"/>
          <w:color w:val="auto"/>
          <w:sz w:val="22"/>
          <w:szCs w:val="22"/>
          <w:highlight w:val="none"/>
          <w:u w:val="single"/>
          <w:lang w:val="en-US" w:eastAsia="zh-CN"/>
        </w:rPr>
        <w:t>2</w:t>
      </w:r>
      <w:r>
        <w:rPr>
          <w:rFonts w:hint="eastAsia" w:ascii="宋体" w:hAnsi="宋体" w:cs="宋体"/>
          <w:color w:val="auto"/>
          <w:sz w:val="22"/>
          <w:szCs w:val="22"/>
          <w:highlight w:val="none"/>
          <w:u w:val="singl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9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25</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至</w:t>
      </w:r>
      <w:r>
        <w:rPr>
          <w:rFonts w:hint="eastAsia" w:ascii="宋体" w:hAnsi="宋体" w:eastAsia="宋体" w:cs="宋体"/>
          <w:color w:val="auto"/>
          <w:sz w:val="22"/>
          <w:szCs w:val="22"/>
          <w:highlight w:val="none"/>
          <w:u w:val="single"/>
        </w:rPr>
        <w:t>20</w:t>
      </w:r>
      <w:r>
        <w:rPr>
          <w:rFonts w:hint="eastAsia" w:ascii="宋体" w:hAnsi="宋体" w:eastAsia="宋体" w:cs="宋体"/>
          <w:color w:val="auto"/>
          <w:sz w:val="22"/>
          <w:szCs w:val="22"/>
          <w:highlight w:val="none"/>
          <w:u w:val="single"/>
          <w:lang w:val="en-US" w:eastAsia="zh-CN"/>
        </w:rPr>
        <w:t>2</w:t>
      </w:r>
      <w:r>
        <w:rPr>
          <w:rFonts w:hint="eastAsia" w:ascii="宋体" w:hAnsi="宋体" w:cs="宋体"/>
          <w:color w:val="auto"/>
          <w:sz w:val="22"/>
          <w:szCs w:val="22"/>
          <w:highlight w:val="none"/>
          <w:u w:val="singl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10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8</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u w:val="single"/>
          <w:lang w:val="en-US" w:eastAsia="zh-CN"/>
        </w:rPr>
        <w:t xml:space="preserve"> 17 </w:t>
      </w:r>
      <w:r>
        <w:rPr>
          <w:rFonts w:hint="eastAsia" w:ascii="宋体" w:hAnsi="宋体" w:cs="宋体"/>
          <w:color w:val="auto"/>
          <w:sz w:val="22"/>
          <w:szCs w:val="22"/>
          <w:highlight w:val="none"/>
          <w:lang w:val="en-US" w:eastAsia="zh-CN"/>
        </w:rPr>
        <w:t>时</w:t>
      </w:r>
      <w:r>
        <w:rPr>
          <w:rFonts w:hint="eastAsia" w:ascii="宋体" w:hAnsi="宋体" w:cs="宋体"/>
          <w:color w:val="auto"/>
          <w:sz w:val="22"/>
          <w:szCs w:val="22"/>
          <w:highlight w:val="none"/>
          <w:u w:val="single"/>
          <w:lang w:val="en-US" w:eastAsia="zh-CN"/>
        </w:rPr>
        <w:t xml:space="preserve"> 00 </w:t>
      </w:r>
      <w:r>
        <w:rPr>
          <w:rFonts w:hint="eastAsia" w:ascii="宋体" w:hAnsi="宋体" w:cs="宋体"/>
          <w:color w:val="auto"/>
          <w:sz w:val="22"/>
          <w:szCs w:val="22"/>
          <w:highlight w:val="none"/>
          <w:lang w:val="en-US" w:eastAsia="zh-CN"/>
        </w:rPr>
        <w:t>分</w:t>
      </w:r>
      <w:r>
        <w:rPr>
          <w:rFonts w:hint="eastAsia" w:ascii="宋体" w:hAnsi="宋体" w:eastAsia="宋体" w:cs="宋体"/>
          <w:color w:val="auto"/>
          <w:sz w:val="22"/>
          <w:szCs w:val="22"/>
          <w:highlight w:val="none"/>
          <w:lang w:val="en-US" w:eastAsia="zh-CN"/>
        </w:rPr>
        <w:t>（期间</w:t>
      </w:r>
      <w:r>
        <w:rPr>
          <w:rFonts w:hint="eastAsia" w:ascii="宋体" w:hAnsi="宋体" w:eastAsia="宋体" w:cs="宋体"/>
          <w:color w:val="auto"/>
          <w:sz w:val="22"/>
          <w:szCs w:val="22"/>
          <w:highlight w:val="none"/>
          <w:lang w:eastAsia="zh-CN"/>
        </w:rPr>
        <w:t>每天上午00:00至12:00，下午12:00至23:59</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（北京时间，线上获取法定节假日均可，线下获取文件法定节假日除外）；</w:t>
      </w:r>
    </w:p>
    <w:p w14:paraId="4E261300">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eastAsia="zh-CN"/>
        </w:rPr>
        <w:t>报名方式</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本项目实行网上报名，不接受现场报名。报名银行须登录政府采购云平台（https://www.zcygov.cn）</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进入公款竞争性存放招标系统（以下简称“招标系统”），在“竞标项目</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进行中”标签页下，选择状态为“未报名”的项目，点击操作栏【报名】按钮进行报名。报名成功后联系人会收到短信通知，逾期报名视为未报名。（公告规定的</w:t>
      </w:r>
      <w:r>
        <w:rPr>
          <w:rFonts w:hint="eastAsia" w:ascii="宋体" w:hAnsi="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获取方式为依法获取</w:t>
      </w:r>
      <w:r>
        <w:rPr>
          <w:rFonts w:hint="eastAsia" w:ascii="宋体" w:hAnsi="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的方式，未按照公告规定的方式获取</w:t>
      </w:r>
      <w:r>
        <w:rPr>
          <w:rFonts w:hint="eastAsia" w:ascii="宋体" w:hAnsi="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的，不得对</w:t>
      </w:r>
      <w:r>
        <w:rPr>
          <w:rFonts w:hint="eastAsia" w:ascii="宋体" w:hAnsi="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提起质疑、投诉）。</w:t>
      </w:r>
    </w:p>
    <w:p w14:paraId="5AB9A51F">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u w:val="none"/>
          <w:lang w:val="en-US" w:eastAsia="zh-CN"/>
        </w:rPr>
        <w:t>3.</w:t>
      </w:r>
      <w:r>
        <w:rPr>
          <w:rFonts w:hint="eastAsia" w:ascii="宋体" w:hAnsi="宋体" w:cs="宋体"/>
          <w:color w:val="auto"/>
          <w:sz w:val="22"/>
          <w:szCs w:val="22"/>
          <w:highlight w:val="none"/>
          <w:u w:val="none"/>
          <w:lang w:eastAsia="zh-CN"/>
        </w:rPr>
        <w:t>采购文件获取方式：</w:t>
      </w:r>
      <w:r>
        <w:rPr>
          <w:rFonts w:hint="eastAsia" w:ascii="宋体" w:hAnsi="宋体" w:cs="宋体"/>
          <w:color w:val="auto"/>
          <w:sz w:val="22"/>
          <w:szCs w:val="22"/>
          <w:highlight w:val="none"/>
          <w:u w:val="single"/>
          <w:lang w:eastAsia="zh-CN"/>
        </w:rPr>
        <w:t>报名成功后可在线查阅采购文件。</w:t>
      </w:r>
    </w:p>
    <w:p w14:paraId="71CF0CF1">
      <w:pPr>
        <w:keepNext w:val="0"/>
        <w:keepLines w:val="0"/>
        <w:pageBreakBefore w:val="0"/>
        <w:widowControl w:val="0"/>
        <w:kinsoku/>
        <w:wordWrap/>
        <w:overflowPunct/>
        <w:topLinePunct w:val="0"/>
        <w:autoSpaceDE/>
        <w:autoSpaceDN/>
        <w:bidi w:val="0"/>
        <w:spacing w:line="440" w:lineRule="exact"/>
        <w:ind w:left="989" w:leftChars="228" w:hanging="442" w:hangingChars="200"/>
        <w:textAlignment w:val="auto"/>
        <w:outlineLvl w:val="1"/>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七</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eastAsia="zh-CN"/>
        </w:rPr>
        <w:t>投标须知</w:t>
      </w:r>
    </w:p>
    <w:p w14:paraId="16CF980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none"/>
          <w:lang w:val="en-US" w:eastAsia="zh-CN"/>
        </w:rPr>
        <w:t>1、招标信息发布媒介：</w:t>
      </w:r>
      <w:r>
        <w:rPr>
          <w:rFonts w:hint="eastAsia" w:ascii="宋体" w:hAnsi="宋体" w:cs="宋体"/>
          <w:color w:val="auto"/>
          <w:sz w:val="22"/>
          <w:szCs w:val="22"/>
          <w:highlight w:val="none"/>
          <w:u w:val="single"/>
          <w:lang w:val="en-US" w:eastAsia="zh-CN"/>
        </w:rPr>
        <w:t>浙江政府采购网（网址：https://zfcg.czt.zj.gov.cn）</w:t>
      </w:r>
    </w:p>
    <w:p w14:paraId="3986F4A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2、在线投标响应（电子投标）说明：</w:t>
      </w:r>
    </w:p>
    <w:p w14:paraId="332023A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①本项目采用公款竞争性存放采用网上招标方式；</w:t>
      </w:r>
    </w:p>
    <w:p w14:paraId="5761C7D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pacing w:val="-11"/>
          <w:sz w:val="22"/>
          <w:szCs w:val="22"/>
          <w:highlight w:val="none"/>
          <w:u w:val="single"/>
          <w:lang w:val="en-US" w:eastAsia="zh-CN"/>
        </w:rPr>
      </w:pPr>
      <w:r>
        <w:rPr>
          <w:rFonts w:hint="eastAsia" w:ascii="宋体" w:hAnsi="宋体" w:cs="宋体"/>
          <w:color w:val="auto"/>
          <w:spacing w:val="-11"/>
          <w:sz w:val="22"/>
          <w:szCs w:val="22"/>
          <w:highlight w:val="none"/>
          <w:u w:val="single"/>
          <w:lang w:val="en-US" w:eastAsia="zh-CN"/>
        </w:rPr>
        <w:t>②竞标银行应在投标报名前提交政府采购云平台（https://www.zcygov.cn）银行入驻申请并成为公款存放正式供应商，否则无法参与线上公款竞争性存放业务。如未进行银行入驻，请登录以下网址 https://middle.zcygov.cn/v-settle-front/registry?settleCategory=1&amp;entranceType=50（银行入驻注册页面） 完成入驻；</w:t>
      </w:r>
      <w:bookmarkStart w:id="56" w:name="_GoBack"/>
      <w:bookmarkEnd w:id="56"/>
    </w:p>
    <w:p w14:paraId="009DB39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③</w:t>
      </w:r>
      <w:r>
        <w:rPr>
          <w:rFonts w:hint="eastAsia" w:ascii="宋体" w:hAnsi="宋体" w:cs="宋体"/>
          <w:color w:val="auto"/>
          <w:spacing w:val="-6"/>
          <w:sz w:val="22"/>
          <w:szCs w:val="22"/>
          <w:highlight w:val="none"/>
          <w:u w:val="single"/>
          <w:lang w:val="en-US" w:eastAsia="zh-CN"/>
        </w:rPr>
        <w:t>网上电子投标具体流程详见操作指南：登录政府采购云平台（https://www.zcygov.cn/），从首页－服务中心－帮助文档－公款竞争性存放－操作流程，查看文档；</w:t>
      </w:r>
    </w:p>
    <w:p w14:paraId="1323D76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④如有疑问，可致电政府采购云平台技术支持热线咨询，联系方式：400-881-7190。</w:t>
      </w:r>
    </w:p>
    <w:p w14:paraId="402D6B5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投标</w:t>
      </w:r>
      <w:r>
        <w:rPr>
          <w:rFonts w:hint="eastAsia" w:ascii="宋体" w:hAnsi="宋体" w:cs="宋体"/>
          <w:b/>
          <w:bCs/>
          <w:color w:val="auto"/>
          <w:sz w:val="22"/>
          <w:szCs w:val="22"/>
          <w:highlight w:val="none"/>
          <w:lang w:eastAsia="zh-CN"/>
        </w:rPr>
        <w:t>起止时间及方式</w:t>
      </w:r>
    </w:p>
    <w:p w14:paraId="54761DA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投标截止时间：</w:t>
      </w:r>
      <w:r>
        <w:rPr>
          <w:rFonts w:hint="eastAsia" w:ascii="宋体" w:hAnsi="宋体" w:eastAsia="宋体" w:cs="宋体"/>
          <w:color w:val="auto"/>
          <w:sz w:val="22"/>
          <w:szCs w:val="22"/>
          <w:highlight w:val="none"/>
          <w:u w:val="single"/>
        </w:rPr>
        <w:t>20</w:t>
      </w:r>
      <w:r>
        <w:rPr>
          <w:rFonts w:hint="eastAsia" w:ascii="宋体" w:hAnsi="宋体" w:eastAsia="宋体" w:cs="宋体"/>
          <w:color w:val="auto"/>
          <w:sz w:val="22"/>
          <w:szCs w:val="22"/>
          <w:highlight w:val="none"/>
          <w:u w:val="single"/>
          <w:lang w:val="en-US" w:eastAsia="zh-CN"/>
        </w:rPr>
        <w:t>2</w:t>
      </w:r>
      <w:r>
        <w:rPr>
          <w:rFonts w:hint="eastAsia" w:ascii="宋体" w:hAnsi="宋体" w:cs="宋体"/>
          <w:color w:val="auto"/>
          <w:sz w:val="22"/>
          <w:szCs w:val="22"/>
          <w:highlight w:val="none"/>
          <w:u w:val="singl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10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11 </w:t>
      </w:r>
      <w:r>
        <w:rPr>
          <w:rFonts w:hint="eastAsia" w:ascii="宋体" w:hAnsi="宋体" w:eastAsia="宋体" w:cs="宋体"/>
          <w:color w:val="auto"/>
          <w:sz w:val="22"/>
          <w:szCs w:val="22"/>
          <w:highlight w:val="none"/>
        </w:rPr>
        <w:t>日</w:t>
      </w:r>
      <w:r>
        <w:rPr>
          <w:rFonts w:hint="eastAsia" w:ascii="宋体" w:hAnsi="宋体" w:cs="宋体"/>
          <w:i w:val="0"/>
          <w:iCs w:val="0"/>
          <w:color w:val="auto"/>
          <w:sz w:val="22"/>
          <w:szCs w:val="22"/>
          <w:highlight w:val="none"/>
          <w:u w:val="single"/>
          <w:lang w:val="en-US" w:eastAsia="zh-CN"/>
        </w:rPr>
        <w:t xml:space="preserve"> 9 </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u w:val="single"/>
          <w:lang w:val="en-US" w:eastAsia="zh-CN"/>
        </w:rPr>
        <w:t xml:space="preserve"> 30 </w:t>
      </w:r>
      <w:r>
        <w:rPr>
          <w:rFonts w:hint="eastAsia" w:ascii="宋体" w:hAnsi="宋体" w:eastAsia="宋体" w:cs="宋体"/>
          <w:color w:val="auto"/>
          <w:sz w:val="22"/>
          <w:szCs w:val="22"/>
          <w:highlight w:val="none"/>
        </w:rPr>
        <w:t>分</w:t>
      </w:r>
    </w:p>
    <w:p w14:paraId="4D24108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投标地点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政府采购云平台（https://www.zcygov.cn），本项目实行网上电子投标，竞标银行于投标截止时间前按照电子投标要求将电子标书上传到“政采云”平台并确认，逾期或未上传成功的，将导致无法投标或投标无效</w:t>
      </w:r>
      <w:r>
        <w:rPr>
          <w:rFonts w:hint="eastAsia" w:ascii="宋体" w:hAnsi="宋体" w:cs="宋体"/>
          <w:color w:val="auto"/>
          <w:sz w:val="22"/>
          <w:szCs w:val="22"/>
          <w:highlight w:val="none"/>
          <w:u w:val="none"/>
          <w:lang w:val="en-US" w:eastAsia="zh-CN"/>
        </w:rPr>
        <w:t>。 </w:t>
      </w:r>
      <w:r>
        <w:rPr>
          <w:rFonts w:hint="eastAsia" w:ascii="宋体" w:hAnsi="宋体" w:eastAsia="宋体" w:cs="宋体"/>
          <w:color w:val="auto"/>
          <w:sz w:val="22"/>
          <w:szCs w:val="22"/>
          <w:highlight w:val="none"/>
          <w:u w:val="none"/>
          <w:lang w:val="en-US" w:eastAsia="zh-CN"/>
        </w:rPr>
        <w:t xml:space="preserve">  </w:t>
      </w:r>
    </w:p>
    <w:p w14:paraId="2B2ED1F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lang w:eastAsia="zh-CN"/>
        </w:rPr>
        <w:t>九</w:t>
      </w:r>
      <w:r>
        <w:rPr>
          <w:rFonts w:hint="eastAsia" w:ascii="宋体" w:hAnsi="宋体" w:eastAsia="宋体" w:cs="宋体"/>
          <w:b/>
          <w:bCs/>
          <w:color w:val="auto"/>
          <w:sz w:val="22"/>
          <w:szCs w:val="22"/>
          <w:highlight w:val="none"/>
        </w:rPr>
        <w:t>、开标</w:t>
      </w:r>
      <w:r>
        <w:rPr>
          <w:rFonts w:hint="eastAsia" w:ascii="宋体" w:hAnsi="宋体" w:cs="宋体"/>
          <w:b/>
          <w:bCs/>
          <w:color w:val="auto"/>
          <w:sz w:val="22"/>
          <w:szCs w:val="22"/>
          <w:highlight w:val="none"/>
          <w:lang w:eastAsia="zh-CN"/>
        </w:rPr>
        <w:t>起止时间及方式</w:t>
      </w:r>
    </w:p>
    <w:p w14:paraId="1C6FE14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.开标</w:t>
      </w: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u w:val="single"/>
        </w:rPr>
        <w:t>20</w:t>
      </w:r>
      <w:r>
        <w:rPr>
          <w:rFonts w:hint="eastAsia" w:ascii="宋体" w:hAnsi="宋体" w:eastAsia="宋体" w:cs="宋体"/>
          <w:color w:val="auto"/>
          <w:sz w:val="22"/>
          <w:szCs w:val="22"/>
          <w:highlight w:val="none"/>
          <w:u w:val="single"/>
          <w:lang w:val="en-US" w:eastAsia="zh-CN"/>
        </w:rPr>
        <w:t>2</w:t>
      </w:r>
      <w:r>
        <w:rPr>
          <w:rFonts w:hint="eastAsia" w:ascii="宋体" w:hAnsi="宋体" w:cs="宋体"/>
          <w:color w:val="auto"/>
          <w:sz w:val="22"/>
          <w:szCs w:val="22"/>
          <w:highlight w:val="none"/>
          <w:u w:val="single"/>
          <w:lang w:val="en-US" w:eastAsia="zh-CN"/>
        </w:rPr>
        <w:t>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10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11 </w:t>
      </w:r>
      <w:r>
        <w:rPr>
          <w:rFonts w:hint="eastAsia" w:ascii="宋体" w:hAnsi="宋体" w:eastAsia="宋体" w:cs="宋体"/>
          <w:color w:val="auto"/>
          <w:sz w:val="22"/>
          <w:szCs w:val="22"/>
          <w:highlight w:val="none"/>
        </w:rPr>
        <w:t>日</w:t>
      </w:r>
      <w:r>
        <w:rPr>
          <w:rFonts w:hint="eastAsia" w:ascii="宋体" w:hAnsi="宋体" w:cs="宋体"/>
          <w:i w:val="0"/>
          <w:iCs w:val="0"/>
          <w:color w:val="auto"/>
          <w:sz w:val="22"/>
          <w:szCs w:val="22"/>
          <w:highlight w:val="none"/>
          <w:u w:val="single"/>
          <w:lang w:val="en-US" w:eastAsia="zh-CN"/>
        </w:rPr>
        <w:t xml:space="preserve"> 9 </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u w:val="single"/>
          <w:lang w:val="en-US" w:eastAsia="zh-CN"/>
        </w:rPr>
        <w:t xml:space="preserve"> 30 </w:t>
      </w:r>
      <w:r>
        <w:rPr>
          <w:rFonts w:hint="eastAsia" w:ascii="宋体" w:hAnsi="宋体" w:eastAsia="宋体" w:cs="宋体"/>
          <w:color w:val="auto"/>
          <w:sz w:val="22"/>
          <w:szCs w:val="22"/>
          <w:highlight w:val="none"/>
        </w:rPr>
        <w:t>分</w:t>
      </w:r>
    </w:p>
    <w:p w14:paraId="00E9C088">
      <w:pPr>
        <w:pStyle w:val="8"/>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.开标</w:t>
      </w: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竞标银行无需到场参加，浙江省政府采购网上在线参加开标会议</w:t>
      </w:r>
    </w:p>
    <w:p w14:paraId="49DE74E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十、</w:t>
      </w:r>
      <w:r>
        <w:rPr>
          <w:rFonts w:hint="eastAsia" w:ascii="宋体" w:hAnsi="宋体" w:eastAsia="宋体" w:cs="宋体"/>
          <w:b/>
          <w:bCs/>
          <w:color w:val="auto"/>
          <w:sz w:val="22"/>
          <w:szCs w:val="22"/>
          <w:highlight w:val="none"/>
          <w:lang w:eastAsia="zh-CN"/>
        </w:rPr>
        <w:t>其他</w:t>
      </w:r>
    </w:p>
    <w:p w14:paraId="45A3292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en-US" w:eastAsia="zh-CN"/>
        </w:rPr>
        <w:t>招标代理</w:t>
      </w:r>
      <w:r>
        <w:rPr>
          <w:rFonts w:hint="eastAsia" w:ascii="宋体" w:hAnsi="宋体" w:eastAsia="宋体" w:cs="宋体"/>
          <w:color w:val="auto"/>
          <w:sz w:val="22"/>
          <w:szCs w:val="22"/>
          <w:highlight w:val="none"/>
        </w:rPr>
        <w:t>机构可以对已发出的</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进行必要的澄清或者修改。澄清或者修改的内容可能影响投标文件编制的，</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en-US" w:eastAsia="zh-CN"/>
        </w:rPr>
        <w:t>招标代理</w:t>
      </w:r>
      <w:r>
        <w:rPr>
          <w:rFonts w:hint="eastAsia" w:ascii="宋体" w:hAnsi="宋体" w:eastAsia="宋体" w:cs="宋体"/>
          <w:color w:val="auto"/>
          <w:sz w:val="22"/>
          <w:szCs w:val="22"/>
          <w:highlight w:val="none"/>
        </w:rPr>
        <w:t>机构应当在</w:t>
      </w:r>
      <w:r>
        <w:rPr>
          <w:rFonts w:hint="eastAsia" w:ascii="宋体" w:hAnsi="宋体" w:eastAsia="宋体" w:cs="宋体"/>
          <w:color w:val="auto"/>
          <w:sz w:val="22"/>
          <w:szCs w:val="22"/>
          <w:highlight w:val="none"/>
          <w:lang w:val="en-US" w:eastAsia="zh-CN"/>
        </w:rPr>
        <w:t>发布招标公告的网站上</w:t>
      </w:r>
      <w:r>
        <w:rPr>
          <w:rFonts w:hint="eastAsia" w:ascii="宋体" w:hAnsi="宋体" w:eastAsia="宋体" w:cs="宋体"/>
          <w:color w:val="auto"/>
          <w:sz w:val="22"/>
          <w:szCs w:val="22"/>
          <w:highlight w:val="none"/>
        </w:rPr>
        <w:t>发布更正公告或以书面形式通知所有已获取</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的潜在</w:t>
      </w:r>
      <w:r>
        <w:rPr>
          <w:rFonts w:hint="eastAsia" w:ascii="宋体" w:hAnsi="宋体" w:cs="宋体"/>
          <w:color w:val="auto"/>
          <w:sz w:val="22"/>
          <w:szCs w:val="22"/>
          <w:highlight w:val="none"/>
          <w:lang w:eastAsia="zh-CN"/>
        </w:rPr>
        <w:t>竞标银行</w:t>
      </w:r>
      <w:r>
        <w:rPr>
          <w:rFonts w:hint="eastAsia" w:ascii="宋体" w:hAnsi="宋体" w:eastAsia="宋体" w:cs="宋体"/>
          <w:color w:val="auto"/>
          <w:sz w:val="22"/>
          <w:szCs w:val="22"/>
          <w:highlight w:val="none"/>
        </w:rPr>
        <w:t>，并且应当顺延投标截止时间，发布更正公告或书面变更通知之日至投标截止之日不得少于5个工作日。</w:t>
      </w:r>
    </w:p>
    <w:p w14:paraId="442E100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十一</w:t>
      </w:r>
      <w:r>
        <w:rPr>
          <w:rFonts w:hint="eastAsia" w:ascii="宋体" w:hAnsi="宋体" w:eastAsia="宋体" w:cs="宋体"/>
          <w:b/>
          <w:bCs/>
          <w:color w:val="auto"/>
          <w:sz w:val="22"/>
          <w:szCs w:val="22"/>
          <w:highlight w:val="none"/>
        </w:rPr>
        <w:t>、联系方式</w:t>
      </w:r>
    </w:p>
    <w:p w14:paraId="35EFC203">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采购人</w:t>
      </w:r>
    </w:p>
    <w:p w14:paraId="29D43907">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名</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称：天台县总工会</w:t>
      </w:r>
    </w:p>
    <w:p w14:paraId="04E2947B">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地</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点：天台县康宁南路2号</w:t>
      </w:r>
    </w:p>
    <w:p w14:paraId="1BAD7F92">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联 系 人：张嫱</w:t>
      </w:r>
    </w:p>
    <w:p w14:paraId="2CA38EE2">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联系电话：0576-83807229</w:t>
      </w:r>
    </w:p>
    <w:p w14:paraId="15A35202">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采购代理机构</w:t>
      </w:r>
    </w:p>
    <w:p w14:paraId="48D078E5">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称：浙江省成套招标代理有限公司</w:t>
      </w:r>
    </w:p>
    <w:p w14:paraId="39B38456">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点：天台县福溪街道法溪路265号环溪苑9幢1单元1601</w:t>
      </w:r>
    </w:p>
    <w:p w14:paraId="1198F5FA">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 系 人：叶意莉</w:t>
      </w:r>
      <w:r>
        <w:rPr>
          <w:rFonts w:hint="eastAsia" w:ascii="宋体" w:hAnsi="宋体" w:eastAsia="宋体" w:cs="宋体"/>
          <w:color w:val="auto"/>
          <w:sz w:val="22"/>
          <w:szCs w:val="22"/>
          <w:highlight w:val="none"/>
          <w:lang w:val="en-US" w:eastAsia="zh-CN"/>
        </w:rPr>
        <w:t xml:space="preserve">   </w:t>
      </w:r>
    </w:p>
    <w:p w14:paraId="74CF099C">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联系电话：17805860910（政府网530910）</w:t>
      </w:r>
    </w:p>
    <w:p w14:paraId="47E10035">
      <w:pPr>
        <w:keepNext w:val="0"/>
        <w:keepLines w:val="0"/>
        <w:pageBreakBefore w:val="0"/>
        <w:widowControl w:val="0"/>
        <w:kinsoku/>
        <w:wordWrap/>
        <w:overflowPunct/>
        <w:topLinePunct w:val="0"/>
        <w:autoSpaceDE/>
        <w:autoSpaceDN/>
        <w:bidi w:val="0"/>
        <w:spacing w:line="440" w:lineRule="exact"/>
        <w:ind w:firstLine="331" w:firstLineChars="150"/>
        <w:textAlignment w:val="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color w:val="auto"/>
          <w:sz w:val="22"/>
          <w:szCs w:val="22"/>
          <w:highlight w:val="none"/>
        </w:rPr>
        <w:t>1、本</w:t>
      </w:r>
      <w:r>
        <w:rPr>
          <w:rFonts w:hint="eastAsia" w:ascii="宋体" w:hAnsi="宋体" w:cs="宋体"/>
          <w:b/>
          <w:color w:val="auto"/>
          <w:sz w:val="22"/>
          <w:szCs w:val="22"/>
          <w:highlight w:val="none"/>
          <w:lang w:eastAsia="zh-CN"/>
        </w:rPr>
        <w:t>采购文件</w:t>
      </w:r>
      <w:r>
        <w:rPr>
          <w:rFonts w:hint="eastAsia" w:ascii="宋体" w:hAnsi="宋体" w:eastAsia="宋体" w:cs="宋体"/>
          <w:b/>
          <w:color w:val="auto"/>
          <w:sz w:val="22"/>
          <w:szCs w:val="22"/>
          <w:highlight w:val="none"/>
        </w:rPr>
        <w:t>时间以北京时间为准，采用</w:t>
      </w:r>
      <w:r>
        <w:rPr>
          <w:rFonts w:hint="eastAsia" w:ascii="宋体" w:hAnsi="宋体" w:cs="宋体"/>
          <w:b/>
          <w:color w:val="auto"/>
          <w:sz w:val="22"/>
          <w:szCs w:val="22"/>
          <w:highlight w:val="none"/>
          <w:lang w:val="en-US" w:eastAsia="zh-CN"/>
        </w:rPr>
        <w:t>24</w:t>
      </w:r>
      <w:r>
        <w:rPr>
          <w:rFonts w:hint="eastAsia" w:ascii="宋体" w:hAnsi="宋体" w:eastAsia="宋体" w:cs="宋体"/>
          <w:b/>
          <w:color w:val="auto"/>
          <w:sz w:val="22"/>
          <w:szCs w:val="22"/>
          <w:highlight w:val="none"/>
        </w:rPr>
        <w:t>小时制。</w:t>
      </w:r>
    </w:p>
    <w:p w14:paraId="7F73EED6">
      <w:pPr>
        <w:rPr>
          <w:rStyle w:val="24"/>
          <w:rFonts w:hint="eastAsia"/>
          <w:color w:val="auto"/>
          <w:highlight w:val="none"/>
        </w:rPr>
      </w:pPr>
      <w:bookmarkStart w:id="4" w:name="_Toc22934"/>
      <w:bookmarkStart w:id="5" w:name="_Toc19570"/>
      <w:r>
        <w:rPr>
          <w:rStyle w:val="24"/>
          <w:rFonts w:hint="eastAsia"/>
          <w:color w:val="auto"/>
          <w:highlight w:val="none"/>
        </w:rPr>
        <w:br w:type="page"/>
      </w:r>
    </w:p>
    <w:p w14:paraId="557F494C">
      <w:pPr>
        <w:jc w:val="center"/>
        <w:rPr>
          <w:rFonts w:hint="eastAsia"/>
          <w:color w:val="auto"/>
          <w:highlight w:val="none"/>
        </w:rPr>
      </w:pPr>
      <w:bookmarkStart w:id="6" w:name="_Toc2789"/>
      <w:r>
        <w:rPr>
          <w:rStyle w:val="24"/>
          <w:rFonts w:hint="eastAsia"/>
          <w:color w:val="auto"/>
          <w:highlight w:val="none"/>
        </w:rPr>
        <w:t>第二章</w:t>
      </w:r>
      <w:r>
        <w:rPr>
          <w:rStyle w:val="24"/>
          <w:rFonts w:hint="eastAsia"/>
          <w:color w:val="auto"/>
          <w:highlight w:val="none"/>
          <w:lang w:val="en-US" w:eastAsia="zh-CN"/>
        </w:rPr>
        <w:t xml:space="preserve"> </w:t>
      </w:r>
      <w:r>
        <w:rPr>
          <w:rStyle w:val="24"/>
          <w:rFonts w:hint="eastAsia"/>
          <w:color w:val="auto"/>
          <w:highlight w:val="none"/>
          <w:lang w:eastAsia="zh-CN"/>
        </w:rPr>
        <w:t>竞标银行</w:t>
      </w:r>
      <w:r>
        <w:rPr>
          <w:rStyle w:val="24"/>
          <w:rFonts w:hint="eastAsia"/>
          <w:color w:val="auto"/>
          <w:highlight w:val="none"/>
        </w:rPr>
        <w:t>须知</w:t>
      </w:r>
      <w:bookmarkEnd w:id="3"/>
      <w:bookmarkEnd w:id="4"/>
      <w:bookmarkEnd w:id="5"/>
      <w:bookmarkEnd w:id="6"/>
      <w:bookmarkStart w:id="7" w:name="_Toc123628879"/>
    </w:p>
    <w:p w14:paraId="2F121613">
      <w:pPr>
        <w:bidi w:val="0"/>
        <w:jc w:val="center"/>
        <w:rPr>
          <w:rFonts w:hint="eastAsia"/>
          <w:color w:val="auto"/>
          <w:highlight w:val="none"/>
        </w:rPr>
      </w:pPr>
      <w:r>
        <w:rPr>
          <w:rFonts w:hint="eastAsia"/>
          <w:color w:val="auto"/>
          <w:highlight w:val="none"/>
          <w:lang w:eastAsia="zh-CN"/>
        </w:rPr>
        <w:t>竞标银行</w:t>
      </w:r>
      <w:r>
        <w:rPr>
          <w:rFonts w:hint="eastAsia"/>
          <w:color w:val="auto"/>
          <w:highlight w:val="none"/>
        </w:rPr>
        <w:t>须知前附表</w:t>
      </w:r>
    </w:p>
    <w:tbl>
      <w:tblPr>
        <w:tblStyle w:val="20"/>
        <w:tblW w:w="102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200"/>
        <w:gridCol w:w="7335"/>
      </w:tblGrid>
      <w:tr w14:paraId="3DCEF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1" w:type="dxa"/>
            <w:tcBorders>
              <w:tl2br w:val="nil"/>
              <w:tr2bl w:val="nil"/>
            </w:tcBorders>
            <w:vAlign w:val="center"/>
          </w:tcPr>
          <w:p w14:paraId="215E4ACE">
            <w:pPr>
              <w:bidi w:val="0"/>
              <w:jc w:val="center"/>
              <w:rPr>
                <w:rFonts w:hint="eastAsia"/>
                <w:b/>
                <w:bCs/>
                <w:color w:val="auto"/>
                <w:sz w:val="22"/>
                <w:szCs w:val="22"/>
                <w:highlight w:val="none"/>
              </w:rPr>
            </w:pPr>
            <w:r>
              <w:rPr>
                <w:rFonts w:hint="eastAsia"/>
                <w:b/>
                <w:bCs/>
                <w:color w:val="auto"/>
                <w:sz w:val="22"/>
                <w:szCs w:val="22"/>
                <w:highlight w:val="none"/>
              </w:rPr>
              <w:t>序号</w:t>
            </w:r>
          </w:p>
        </w:tc>
        <w:tc>
          <w:tcPr>
            <w:tcW w:w="2200" w:type="dxa"/>
            <w:tcBorders>
              <w:tl2br w:val="nil"/>
              <w:tr2bl w:val="nil"/>
            </w:tcBorders>
            <w:vAlign w:val="center"/>
          </w:tcPr>
          <w:p w14:paraId="4EBFAFCD">
            <w:pPr>
              <w:bidi w:val="0"/>
              <w:jc w:val="center"/>
              <w:rPr>
                <w:rFonts w:hint="eastAsia"/>
                <w:b/>
                <w:bCs/>
                <w:color w:val="auto"/>
                <w:sz w:val="22"/>
                <w:szCs w:val="22"/>
                <w:highlight w:val="none"/>
              </w:rPr>
            </w:pPr>
            <w:r>
              <w:rPr>
                <w:rFonts w:hint="eastAsia"/>
                <w:b/>
                <w:bCs/>
                <w:color w:val="auto"/>
                <w:sz w:val="22"/>
                <w:szCs w:val="22"/>
                <w:highlight w:val="none"/>
              </w:rPr>
              <w:t>条 款 名 称</w:t>
            </w:r>
          </w:p>
        </w:tc>
        <w:tc>
          <w:tcPr>
            <w:tcW w:w="7335" w:type="dxa"/>
            <w:tcBorders>
              <w:tl2br w:val="nil"/>
              <w:tr2bl w:val="nil"/>
            </w:tcBorders>
            <w:vAlign w:val="center"/>
          </w:tcPr>
          <w:p w14:paraId="76FC98CB">
            <w:pPr>
              <w:bidi w:val="0"/>
              <w:jc w:val="center"/>
              <w:rPr>
                <w:rFonts w:hint="eastAsia"/>
                <w:b/>
                <w:bCs/>
                <w:color w:val="auto"/>
                <w:sz w:val="22"/>
                <w:szCs w:val="22"/>
                <w:highlight w:val="none"/>
              </w:rPr>
            </w:pPr>
            <w:r>
              <w:rPr>
                <w:rFonts w:hint="eastAsia"/>
                <w:b/>
                <w:bCs/>
                <w:color w:val="auto"/>
                <w:sz w:val="22"/>
                <w:szCs w:val="22"/>
                <w:highlight w:val="none"/>
              </w:rPr>
              <w:t>内       容</w:t>
            </w:r>
          </w:p>
        </w:tc>
      </w:tr>
      <w:tr w14:paraId="04177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9FC79E3">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200" w:type="dxa"/>
            <w:tcBorders>
              <w:tl2br w:val="nil"/>
              <w:tr2bl w:val="nil"/>
            </w:tcBorders>
            <w:vAlign w:val="center"/>
          </w:tcPr>
          <w:p w14:paraId="561C246D">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采购人</w:t>
            </w:r>
          </w:p>
        </w:tc>
        <w:tc>
          <w:tcPr>
            <w:tcW w:w="7335" w:type="dxa"/>
            <w:tcBorders>
              <w:tl2br w:val="nil"/>
              <w:tr2bl w:val="nil"/>
            </w:tcBorders>
            <w:vAlign w:val="center"/>
          </w:tcPr>
          <w:p w14:paraId="13BBD3B5">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rPr>
            </w:pPr>
            <w:r>
              <w:rPr>
                <w:rFonts w:hint="eastAsia" w:hAnsi="宋体" w:cs="宋体"/>
                <w:color w:val="auto"/>
                <w:sz w:val="22"/>
                <w:szCs w:val="22"/>
                <w:highlight w:val="none"/>
                <w:lang w:eastAsia="zh-CN"/>
              </w:rPr>
              <w:t>天台县总工会</w:t>
            </w:r>
          </w:p>
        </w:tc>
      </w:tr>
      <w:tr w14:paraId="0F154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553BAFDE">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200" w:type="dxa"/>
            <w:tcBorders>
              <w:tl2br w:val="nil"/>
              <w:tr2bl w:val="nil"/>
            </w:tcBorders>
            <w:vAlign w:val="center"/>
          </w:tcPr>
          <w:p w14:paraId="581FC6C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项目名称</w:t>
            </w:r>
          </w:p>
        </w:tc>
        <w:tc>
          <w:tcPr>
            <w:tcW w:w="7335" w:type="dxa"/>
            <w:tcBorders>
              <w:tl2br w:val="nil"/>
              <w:tr2bl w:val="nil"/>
            </w:tcBorders>
            <w:vAlign w:val="center"/>
          </w:tcPr>
          <w:p w14:paraId="3EBA67E8">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rPr>
            </w:pPr>
            <w:r>
              <w:rPr>
                <w:rFonts w:hint="eastAsia" w:hAnsi="宋体" w:cs="宋体"/>
                <w:color w:val="auto"/>
                <w:spacing w:val="0"/>
                <w:sz w:val="22"/>
                <w:szCs w:val="22"/>
                <w:highlight w:val="none"/>
                <w:lang w:eastAsia="zh-CN"/>
              </w:rPr>
              <w:t>天台县总工会2024年公款竞争性存放项目（第二次）</w:t>
            </w:r>
          </w:p>
        </w:tc>
      </w:tr>
      <w:tr w14:paraId="35B54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26D163E">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200" w:type="dxa"/>
            <w:tcBorders>
              <w:tl2br w:val="nil"/>
              <w:tr2bl w:val="nil"/>
            </w:tcBorders>
            <w:vAlign w:val="center"/>
          </w:tcPr>
          <w:p w14:paraId="2166396C">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采购方式</w:t>
            </w:r>
          </w:p>
        </w:tc>
        <w:tc>
          <w:tcPr>
            <w:tcW w:w="7335" w:type="dxa"/>
            <w:tcBorders>
              <w:tl2br w:val="nil"/>
              <w:tr2bl w:val="nil"/>
            </w:tcBorders>
            <w:vAlign w:val="center"/>
          </w:tcPr>
          <w:p w14:paraId="583C5E34">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rPr>
            </w:pPr>
            <w:r>
              <w:rPr>
                <w:rFonts w:hint="eastAsia" w:hAnsi="宋体" w:cs="宋体"/>
                <w:color w:val="auto"/>
                <w:spacing w:val="0"/>
                <w:sz w:val="22"/>
                <w:szCs w:val="22"/>
                <w:highlight w:val="none"/>
                <w:lang w:eastAsia="zh-CN"/>
              </w:rPr>
              <w:t>公开招标</w:t>
            </w:r>
          </w:p>
        </w:tc>
      </w:tr>
      <w:tr w14:paraId="7F08C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A4B1E78">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200" w:type="dxa"/>
            <w:tcBorders>
              <w:tl2br w:val="nil"/>
              <w:tr2bl w:val="nil"/>
            </w:tcBorders>
            <w:vAlign w:val="center"/>
          </w:tcPr>
          <w:p w14:paraId="4FC3799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lang w:eastAsia="zh-CN"/>
              </w:rPr>
              <w:t>标段</w:t>
            </w:r>
          </w:p>
        </w:tc>
        <w:tc>
          <w:tcPr>
            <w:tcW w:w="7335" w:type="dxa"/>
            <w:tcBorders>
              <w:tl2br w:val="nil"/>
              <w:tr2bl w:val="nil"/>
            </w:tcBorders>
            <w:vAlign w:val="center"/>
          </w:tcPr>
          <w:p w14:paraId="1524E85E">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rPr>
            </w:pPr>
            <w:r>
              <w:rPr>
                <w:rFonts w:hint="eastAsia" w:hAnsi="宋体" w:cs="宋体"/>
                <w:color w:val="auto"/>
                <w:kern w:val="2"/>
                <w:sz w:val="22"/>
                <w:szCs w:val="22"/>
                <w:highlight w:val="none"/>
                <w:lang w:val="en-US" w:eastAsia="zh-CN"/>
              </w:rPr>
              <w:t>一</w:t>
            </w:r>
            <w:r>
              <w:rPr>
                <w:rFonts w:hint="eastAsia" w:ascii="宋体" w:hAnsi="宋体" w:eastAsia="宋体" w:cs="宋体"/>
                <w:color w:val="auto"/>
                <w:kern w:val="2"/>
                <w:sz w:val="22"/>
                <w:szCs w:val="22"/>
                <w:highlight w:val="none"/>
                <w:lang w:val="en-US" w:eastAsia="zh-CN"/>
              </w:rPr>
              <w:t>个标段</w:t>
            </w:r>
          </w:p>
        </w:tc>
      </w:tr>
      <w:tr w14:paraId="52ACA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A08AA80">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2200" w:type="dxa"/>
            <w:tcBorders>
              <w:tl2br w:val="nil"/>
              <w:tr2bl w:val="nil"/>
            </w:tcBorders>
            <w:vAlign w:val="center"/>
          </w:tcPr>
          <w:p w14:paraId="5932FFB4">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lang w:val="en-US" w:eastAsia="zh-CN" w:bidi="ar-SA"/>
              </w:rPr>
              <w:t>▲</w:t>
            </w:r>
            <w:r>
              <w:rPr>
                <w:rFonts w:hint="eastAsia"/>
                <w:color w:val="auto"/>
                <w:sz w:val="22"/>
                <w:szCs w:val="22"/>
                <w:highlight w:val="none"/>
              </w:rPr>
              <w:t>招标底价</w:t>
            </w:r>
          </w:p>
        </w:tc>
        <w:tc>
          <w:tcPr>
            <w:tcW w:w="7335" w:type="dxa"/>
            <w:tcBorders>
              <w:tl2br w:val="nil"/>
              <w:tr2bl w:val="nil"/>
            </w:tcBorders>
            <w:vAlign w:val="center"/>
          </w:tcPr>
          <w:p w14:paraId="50FA5DAD">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pacing w:val="0"/>
                <w:sz w:val="22"/>
                <w:szCs w:val="22"/>
                <w:highlight w:val="none"/>
                <w:lang w:val="en-US" w:eastAsia="zh-CN"/>
              </w:rPr>
            </w:pPr>
            <w:r>
              <w:rPr>
                <w:rFonts w:hint="eastAsia" w:ascii="宋体" w:hAnsi="宋体" w:eastAsia="宋体" w:cs="宋体"/>
                <w:color w:val="auto"/>
                <w:spacing w:val="0"/>
                <w:sz w:val="22"/>
                <w:szCs w:val="22"/>
                <w:highlight w:val="none"/>
                <w:lang w:val="en-US" w:eastAsia="zh-CN"/>
              </w:rPr>
              <w:t>较一年期定期存款基准利率上浮不低于</w:t>
            </w:r>
            <w:r>
              <w:rPr>
                <w:rFonts w:hint="eastAsia" w:hAnsi="宋体" w:cs="宋体"/>
                <w:color w:val="auto"/>
                <w:spacing w:val="0"/>
                <w:sz w:val="22"/>
                <w:szCs w:val="22"/>
                <w:highlight w:val="none"/>
                <w:lang w:val="en-US" w:eastAsia="zh-CN"/>
              </w:rPr>
              <w:t>1</w:t>
            </w:r>
            <w:r>
              <w:rPr>
                <w:rFonts w:hint="eastAsia" w:ascii="宋体" w:hAnsi="宋体" w:eastAsia="宋体" w:cs="宋体"/>
                <w:color w:val="auto"/>
                <w:spacing w:val="0"/>
                <w:sz w:val="22"/>
                <w:szCs w:val="22"/>
                <w:highlight w:val="none"/>
                <w:lang w:val="en-US" w:eastAsia="zh-CN"/>
              </w:rPr>
              <w:t>0BP，定期存款年利率不低于1.</w:t>
            </w:r>
            <w:r>
              <w:rPr>
                <w:rFonts w:hint="eastAsia" w:hAnsi="宋体" w:cs="宋体"/>
                <w:color w:val="auto"/>
                <w:spacing w:val="0"/>
                <w:sz w:val="22"/>
                <w:szCs w:val="22"/>
                <w:highlight w:val="none"/>
                <w:lang w:val="en-US" w:eastAsia="zh-CN"/>
              </w:rPr>
              <w:t>6</w:t>
            </w:r>
            <w:r>
              <w:rPr>
                <w:rFonts w:hint="eastAsia" w:ascii="宋体" w:hAnsi="宋体" w:eastAsia="宋体" w:cs="宋体"/>
                <w:color w:val="auto"/>
                <w:spacing w:val="0"/>
                <w:sz w:val="22"/>
                <w:szCs w:val="22"/>
                <w:highlight w:val="none"/>
                <w:lang w:val="en-US" w:eastAsia="zh-CN"/>
              </w:rPr>
              <w:t>0%</w:t>
            </w:r>
            <w:r>
              <w:rPr>
                <w:rFonts w:hint="eastAsia" w:hAnsi="宋体" w:cs="宋体"/>
                <w:color w:val="auto"/>
                <w:spacing w:val="0"/>
                <w:sz w:val="22"/>
                <w:szCs w:val="22"/>
                <w:highlight w:val="none"/>
                <w:lang w:val="en-US" w:eastAsia="zh-CN"/>
              </w:rPr>
              <w:t>；</w:t>
            </w:r>
          </w:p>
        </w:tc>
      </w:tr>
      <w:tr w14:paraId="4CC71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720D2F4A">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2200" w:type="dxa"/>
            <w:tcBorders>
              <w:tl2br w:val="nil"/>
              <w:tr2bl w:val="nil"/>
            </w:tcBorders>
            <w:vAlign w:val="center"/>
          </w:tcPr>
          <w:p w14:paraId="3FFA8E70">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存放期限</w:t>
            </w:r>
          </w:p>
        </w:tc>
        <w:tc>
          <w:tcPr>
            <w:tcW w:w="7335" w:type="dxa"/>
            <w:tcBorders>
              <w:tl2br w:val="nil"/>
              <w:tr2bl w:val="nil"/>
            </w:tcBorders>
            <w:vAlign w:val="center"/>
          </w:tcPr>
          <w:p w14:paraId="4199621D">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0"/>
                <w:sz w:val="22"/>
                <w:szCs w:val="22"/>
                <w:highlight w:val="none"/>
                <w:lang w:val="en-US" w:eastAsia="zh-CN"/>
              </w:rPr>
            </w:pPr>
            <w:r>
              <w:rPr>
                <w:rFonts w:hint="eastAsia" w:hAnsi="宋体" w:cs="宋体"/>
                <w:color w:val="auto"/>
                <w:spacing w:val="0"/>
                <w:sz w:val="22"/>
                <w:szCs w:val="22"/>
                <w:highlight w:val="none"/>
                <w:lang w:val="en-US" w:eastAsia="zh-CN"/>
              </w:rPr>
              <w:t>协议书</w:t>
            </w:r>
            <w:r>
              <w:rPr>
                <w:rFonts w:hint="eastAsia" w:ascii="宋体" w:hAnsi="宋体" w:eastAsia="宋体" w:cs="宋体"/>
                <w:color w:val="auto"/>
                <w:spacing w:val="0"/>
                <w:sz w:val="22"/>
                <w:szCs w:val="22"/>
                <w:highlight w:val="none"/>
                <w:lang w:val="en-US" w:eastAsia="zh-CN"/>
              </w:rPr>
              <w:t>签订之日起1年</w:t>
            </w:r>
          </w:p>
        </w:tc>
      </w:tr>
      <w:tr w14:paraId="51795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790ECC7">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2200" w:type="dxa"/>
            <w:tcBorders>
              <w:tl2br w:val="nil"/>
              <w:tr2bl w:val="nil"/>
            </w:tcBorders>
            <w:vAlign w:val="center"/>
          </w:tcPr>
          <w:p w14:paraId="2AB5D563">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答疑与澄清</w:t>
            </w:r>
          </w:p>
        </w:tc>
        <w:tc>
          <w:tcPr>
            <w:tcW w:w="7335" w:type="dxa"/>
            <w:tcBorders>
              <w:tl2br w:val="nil"/>
              <w:tr2bl w:val="nil"/>
            </w:tcBorders>
            <w:vAlign w:val="center"/>
          </w:tcPr>
          <w:p w14:paraId="28800D3E">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0"/>
                <w:sz w:val="22"/>
                <w:szCs w:val="22"/>
                <w:highlight w:val="none"/>
                <w:lang w:val="en-US" w:eastAsia="zh-CN"/>
              </w:rPr>
            </w:pPr>
            <w:r>
              <w:rPr>
                <w:rFonts w:hint="eastAsia" w:hAnsi="宋体" w:cs="宋体"/>
                <w:color w:val="auto"/>
                <w:spacing w:val="0"/>
                <w:sz w:val="22"/>
                <w:szCs w:val="22"/>
                <w:highlight w:val="none"/>
                <w:lang w:val="en-US" w:eastAsia="zh-CN"/>
              </w:rPr>
              <w:t>竞标银行</w:t>
            </w:r>
            <w:r>
              <w:rPr>
                <w:rFonts w:hint="eastAsia" w:ascii="宋体" w:hAnsi="宋体" w:eastAsia="宋体" w:cs="宋体"/>
                <w:color w:val="auto"/>
                <w:spacing w:val="0"/>
                <w:sz w:val="22"/>
                <w:szCs w:val="22"/>
                <w:highlight w:val="none"/>
                <w:lang w:val="en-US" w:eastAsia="zh-CN"/>
              </w:rPr>
              <w:t>如对采购文件有异议，应当于采购文件要求提交投标文件截止时间五日前，以书面形式向采购单位提出，逾期不予受理。</w:t>
            </w:r>
          </w:p>
        </w:tc>
      </w:tr>
      <w:tr w14:paraId="2432E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5ED3395A">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2200" w:type="dxa"/>
            <w:tcBorders>
              <w:tl2br w:val="nil"/>
              <w:tr2bl w:val="nil"/>
            </w:tcBorders>
            <w:vAlign w:val="center"/>
          </w:tcPr>
          <w:p w14:paraId="4EA4539E">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投标截止时间</w:t>
            </w:r>
          </w:p>
        </w:tc>
        <w:tc>
          <w:tcPr>
            <w:tcW w:w="7335" w:type="dxa"/>
            <w:tcBorders>
              <w:tl2br w:val="nil"/>
              <w:tr2bl w:val="nil"/>
            </w:tcBorders>
            <w:vAlign w:val="center"/>
          </w:tcPr>
          <w:p w14:paraId="4B996DE2">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u w:val="none"/>
              </w:rPr>
            </w:pPr>
            <w:r>
              <w:rPr>
                <w:rFonts w:hint="eastAsia" w:ascii="宋体" w:hAnsi="宋体" w:eastAsia="宋体" w:cs="宋体"/>
                <w:color w:val="auto"/>
                <w:sz w:val="22"/>
                <w:szCs w:val="22"/>
                <w:highlight w:val="none"/>
                <w:u w:val="none"/>
              </w:rPr>
              <w:t>20</w:t>
            </w:r>
            <w:r>
              <w:rPr>
                <w:rFonts w:hint="eastAsia" w:ascii="宋体" w:hAnsi="宋体" w:eastAsia="宋体" w:cs="宋体"/>
                <w:color w:val="auto"/>
                <w:sz w:val="22"/>
                <w:szCs w:val="22"/>
                <w:highlight w:val="none"/>
                <w:u w:val="none"/>
                <w:lang w:val="en-US" w:eastAsia="zh-CN"/>
              </w:rPr>
              <w:t>2</w:t>
            </w:r>
            <w:r>
              <w:rPr>
                <w:rFonts w:hint="eastAsia"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年</w:t>
            </w:r>
            <w:r>
              <w:rPr>
                <w:rFonts w:hint="eastAsia"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月</w:t>
            </w:r>
            <w:r>
              <w:rPr>
                <w:rFonts w:hint="eastAsia" w:hAnsi="宋体" w:cs="宋体"/>
                <w:color w:val="auto"/>
                <w:sz w:val="22"/>
                <w:szCs w:val="22"/>
                <w:highlight w:val="none"/>
                <w:u w:val="none"/>
                <w:lang w:val="en-US" w:eastAsia="zh-CN"/>
              </w:rPr>
              <w:t>11</w:t>
            </w:r>
            <w:r>
              <w:rPr>
                <w:rFonts w:hint="eastAsia" w:ascii="宋体" w:hAnsi="宋体" w:eastAsia="宋体" w:cs="宋体"/>
                <w:color w:val="auto"/>
                <w:sz w:val="22"/>
                <w:szCs w:val="22"/>
                <w:highlight w:val="none"/>
                <w:u w:val="none"/>
              </w:rPr>
              <w:t>日</w:t>
            </w:r>
            <w:r>
              <w:rPr>
                <w:rFonts w:hint="eastAsia" w:hAnsi="宋体" w:cs="宋体"/>
                <w:i w:val="0"/>
                <w:iCs w:val="0"/>
                <w:color w:val="auto"/>
                <w:sz w:val="22"/>
                <w:szCs w:val="22"/>
                <w:highlight w:val="none"/>
                <w:u w:val="none"/>
                <w:lang w:val="en-US" w:eastAsia="zh-CN"/>
              </w:rPr>
              <w:t>9</w:t>
            </w:r>
            <w:r>
              <w:rPr>
                <w:rFonts w:hint="eastAsia" w:ascii="宋体" w:hAnsi="宋体" w:eastAsia="宋体" w:cs="宋体"/>
                <w:color w:val="auto"/>
                <w:sz w:val="22"/>
                <w:szCs w:val="22"/>
                <w:highlight w:val="none"/>
                <w:u w:val="none"/>
              </w:rPr>
              <w:t>时</w:t>
            </w:r>
            <w:r>
              <w:rPr>
                <w:rFonts w:hint="eastAsia" w:hAnsi="宋体" w:cs="宋体"/>
                <w:color w:val="auto"/>
                <w:sz w:val="22"/>
                <w:szCs w:val="22"/>
                <w:highlight w:val="none"/>
                <w:u w:val="none"/>
                <w:lang w:val="en-US" w:eastAsia="zh-CN"/>
              </w:rPr>
              <w:t>30</w:t>
            </w:r>
            <w:r>
              <w:rPr>
                <w:rFonts w:hint="eastAsia" w:ascii="宋体" w:hAnsi="宋体" w:eastAsia="宋体" w:cs="宋体"/>
                <w:color w:val="auto"/>
                <w:sz w:val="22"/>
                <w:szCs w:val="22"/>
                <w:highlight w:val="none"/>
                <w:u w:val="none"/>
              </w:rPr>
              <w:t>分</w:t>
            </w:r>
          </w:p>
        </w:tc>
      </w:tr>
      <w:tr w14:paraId="2EF95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7834BAB5">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2200" w:type="dxa"/>
            <w:tcBorders>
              <w:tl2br w:val="nil"/>
              <w:tr2bl w:val="nil"/>
            </w:tcBorders>
            <w:vAlign w:val="center"/>
          </w:tcPr>
          <w:p w14:paraId="51CFB3FA">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投标有效期</w:t>
            </w:r>
          </w:p>
        </w:tc>
        <w:tc>
          <w:tcPr>
            <w:tcW w:w="7335" w:type="dxa"/>
            <w:tcBorders>
              <w:tl2br w:val="nil"/>
              <w:tr2bl w:val="nil"/>
            </w:tcBorders>
            <w:vAlign w:val="center"/>
          </w:tcPr>
          <w:p w14:paraId="1D7484D2">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u w:val="none"/>
              </w:rPr>
            </w:pPr>
            <w:r>
              <w:rPr>
                <w:rFonts w:hint="eastAsia" w:ascii="宋体" w:hAnsi="宋体" w:eastAsia="宋体" w:cs="宋体"/>
                <w:color w:val="auto"/>
                <w:kern w:val="2"/>
                <w:sz w:val="22"/>
                <w:szCs w:val="22"/>
                <w:highlight w:val="none"/>
                <w:u w:val="none"/>
              </w:rPr>
              <w:t>90日历天</w:t>
            </w:r>
          </w:p>
        </w:tc>
      </w:tr>
      <w:tr w14:paraId="451C3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tcBorders>
              <w:tl2br w:val="nil"/>
              <w:tr2bl w:val="nil"/>
            </w:tcBorders>
            <w:vAlign w:val="center"/>
          </w:tcPr>
          <w:p w14:paraId="43C5B282">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2200" w:type="dxa"/>
            <w:tcBorders>
              <w:tl2br w:val="nil"/>
              <w:tr2bl w:val="nil"/>
            </w:tcBorders>
            <w:vAlign w:val="center"/>
          </w:tcPr>
          <w:p w14:paraId="39FBBCF2">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开标时间</w:t>
            </w:r>
          </w:p>
        </w:tc>
        <w:tc>
          <w:tcPr>
            <w:tcW w:w="7335" w:type="dxa"/>
            <w:tcBorders>
              <w:tl2br w:val="nil"/>
              <w:tr2bl w:val="nil"/>
            </w:tcBorders>
            <w:vAlign w:val="center"/>
          </w:tcPr>
          <w:p w14:paraId="04FEC722">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u w:val="none"/>
              </w:rPr>
            </w:pPr>
            <w:r>
              <w:rPr>
                <w:rFonts w:hint="eastAsia" w:ascii="宋体" w:hAnsi="宋体" w:eastAsia="宋体" w:cs="宋体"/>
                <w:color w:val="auto"/>
                <w:sz w:val="22"/>
                <w:szCs w:val="22"/>
                <w:highlight w:val="none"/>
                <w:u w:val="none"/>
              </w:rPr>
              <w:t>20</w:t>
            </w:r>
            <w:r>
              <w:rPr>
                <w:rFonts w:hint="eastAsia" w:ascii="宋体" w:hAnsi="宋体" w:eastAsia="宋体" w:cs="宋体"/>
                <w:color w:val="auto"/>
                <w:sz w:val="22"/>
                <w:szCs w:val="22"/>
                <w:highlight w:val="none"/>
                <w:u w:val="none"/>
                <w:lang w:val="en-US" w:eastAsia="zh-CN"/>
              </w:rPr>
              <w:t>2</w:t>
            </w:r>
            <w:r>
              <w:rPr>
                <w:rFonts w:hint="eastAsia"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年</w:t>
            </w:r>
            <w:r>
              <w:rPr>
                <w:rFonts w:hint="eastAsia"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月</w:t>
            </w:r>
            <w:r>
              <w:rPr>
                <w:rFonts w:hint="eastAsia" w:hAnsi="宋体" w:cs="宋体"/>
                <w:color w:val="auto"/>
                <w:sz w:val="22"/>
                <w:szCs w:val="22"/>
                <w:highlight w:val="none"/>
                <w:u w:val="none"/>
                <w:lang w:val="en-US" w:eastAsia="zh-CN"/>
              </w:rPr>
              <w:t>11</w:t>
            </w:r>
            <w:r>
              <w:rPr>
                <w:rFonts w:hint="eastAsia" w:ascii="宋体" w:hAnsi="宋体" w:eastAsia="宋体" w:cs="宋体"/>
                <w:color w:val="auto"/>
                <w:sz w:val="22"/>
                <w:szCs w:val="22"/>
                <w:highlight w:val="none"/>
                <w:u w:val="none"/>
              </w:rPr>
              <w:t>日</w:t>
            </w:r>
            <w:r>
              <w:rPr>
                <w:rFonts w:hint="eastAsia" w:hAnsi="宋体" w:cs="宋体"/>
                <w:i w:val="0"/>
                <w:iCs w:val="0"/>
                <w:color w:val="auto"/>
                <w:sz w:val="22"/>
                <w:szCs w:val="22"/>
                <w:highlight w:val="none"/>
                <w:u w:val="none"/>
                <w:lang w:val="en-US" w:eastAsia="zh-CN"/>
              </w:rPr>
              <w:t>9</w:t>
            </w:r>
            <w:r>
              <w:rPr>
                <w:rFonts w:hint="eastAsia" w:ascii="宋体" w:hAnsi="宋体" w:eastAsia="宋体" w:cs="宋体"/>
                <w:color w:val="auto"/>
                <w:sz w:val="22"/>
                <w:szCs w:val="22"/>
                <w:highlight w:val="none"/>
                <w:u w:val="none"/>
              </w:rPr>
              <w:t>时</w:t>
            </w:r>
            <w:r>
              <w:rPr>
                <w:rFonts w:hint="eastAsia" w:hAnsi="宋体" w:cs="宋体"/>
                <w:color w:val="auto"/>
                <w:sz w:val="22"/>
                <w:szCs w:val="22"/>
                <w:highlight w:val="none"/>
                <w:u w:val="none"/>
                <w:lang w:val="en-US" w:eastAsia="zh-CN"/>
              </w:rPr>
              <w:t>30</w:t>
            </w:r>
            <w:r>
              <w:rPr>
                <w:rFonts w:hint="eastAsia" w:ascii="宋体" w:hAnsi="宋体" w:eastAsia="宋体" w:cs="宋体"/>
                <w:color w:val="auto"/>
                <w:sz w:val="22"/>
                <w:szCs w:val="22"/>
                <w:highlight w:val="none"/>
                <w:u w:val="none"/>
              </w:rPr>
              <w:t>分</w:t>
            </w:r>
          </w:p>
        </w:tc>
      </w:tr>
      <w:tr w14:paraId="1CC6C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543DC8F9">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2200" w:type="dxa"/>
            <w:tcBorders>
              <w:tl2br w:val="nil"/>
              <w:tr2bl w:val="nil"/>
            </w:tcBorders>
            <w:vAlign w:val="center"/>
          </w:tcPr>
          <w:p w14:paraId="717B6379">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开标地点</w:t>
            </w:r>
          </w:p>
        </w:tc>
        <w:tc>
          <w:tcPr>
            <w:tcW w:w="7335" w:type="dxa"/>
            <w:tcBorders>
              <w:tl2br w:val="nil"/>
              <w:tr2bl w:val="nil"/>
            </w:tcBorders>
            <w:vAlign w:val="center"/>
          </w:tcPr>
          <w:p w14:paraId="08CFCECE">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rPr>
            </w:pPr>
            <w:r>
              <w:rPr>
                <w:rFonts w:hint="eastAsia" w:hAnsi="宋体" w:cs="宋体"/>
                <w:color w:val="auto"/>
                <w:spacing w:val="0"/>
                <w:sz w:val="22"/>
                <w:szCs w:val="22"/>
                <w:highlight w:val="none"/>
                <w:lang w:val="en-US" w:eastAsia="zh-CN"/>
              </w:rPr>
              <w:t>竞标银行</w:t>
            </w:r>
            <w:r>
              <w:rPr>
                <w:rFonts w:hint="eastAsia" w:ascii="宋体" w:hAnsi="宋体" w:eastAsia="宋体" w:cs="宋体"/>
                <w:color w:val="auto"/>
                <w:spacing w:val="0"/>
                <w:sz w:val="22"/>
                <w:szCs w:val="22"/>
                <w:highlight w:val="none"/>
                <w:lang w:val="en-US" w:eastAsia="zh-CN"/>
              </w:rPr>
              <w:t>无需到场参加，浙江省政府采购网上在线参加开标会议</w:t>
            </w:r>
          </w:p>
        </w:tc>
      </w:tr>
      <w:tr w14:paraId="27B57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FE01CD3">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2200" w:type="dxa"/>
            <w:tcBorders>
              <w:tl2br w:val="nil"/>
              <w:tr2bl w:val="nil"/>
            </w:tcBorders>
            <w:vAlign w:val="center"/>
          </w:tcPr>
          <w:p w14:paraId="1DEFE7A9">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是否接受联合体投标</w:t>
            </w:r>
          </w:p>
        </w:tc>
        <w:tc>
          <w:tcPr>
            <w:tcW w:w="7335" w:type="dxa"/>
            <w:tcBorders>
              <w:tl2br w:val="nil"/>
              <w:tr2bl w:val="nil"/>
            </w:tcBorders>
            <w:vAlign w:val="center"/>
          </w:tcPr>
          <w:p w14:paraId="001DD044">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否</w:t>
            </w:r>
          </w:p>
        </w:tc>
      </w:tr>
      <w:tr w14:paraId="3365F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B30A021">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2200" w:type="dxa"/>
            <w:tcBorders>
              <w:tl2br w:val="nil"/>
              <w:tr2bl w:val="nil"/>
            </w:tcBorders>
            <w:vAlign w:val="center"/>
          </w:tcPr>
          <w:p w14:paraId="5237CF33">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是否接受转包与分包</w:t>
            </w:r>
          </w:p>
        </w:tc>
        <w:tc>
          <w:tcPr>
            <w:tcW w:w="7335" w:type="dxa"/>
            <w:tcBorders>
              <w:tl2br w:val="nil"/>
              <w:tr2bl w:val="nil"/>
            </w:tcBorders>
            <w:vAlign w:val="center"/>
          </w:tcPr>
          <w:p w14:paraId="31335CE6">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否</w:t>
            </w:r>
          </w:p>
        </w:tc>
      </w:tr>
      <w:tr w14:paraId="76BB5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EDF348C">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2200" w:type="dxa"/>
            <w:tcBorders>
              <w:tl2br w:val="nil"/>
              <w:tr2bl w:val="nil"/>
            </w:tcBorders>
            <w:vAlign w:val="center"/>
          </w:tcPr>
          <w:p w14:paraId="2E260BA9">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评标办法</w:t>
            </w:r>
          </w:p>
        </w:tc>
        <w:tc>
          <w:tcPr>
            <w:tcW w:w="7335" w:type="dxa"/>
            <w:tcBorders>
              <w:tl2br w:val="nil"/>
              <w:tr2bl w:val="nil"/>
            </w:tcBorders>
            <w:vAlign w:val="center"/>
          </w:tcPr>
          <w:p w14:paraId="1A9E0208">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综合评分法</w:t>
            </w:r>
          </w:p>
        </w:tc>
      </w:tr>
      <w:tr w14:paraId="3846F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00689F7B">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2200" w:type="dxa"/>
            <w:tcBorders>
              <w:tl2br w:val="nil"/>
              <w:tr2bl w:val="nil"/>
            </w:tcBorders>
            <w:vAlign w:val="center"/>
          </w:tcPr>
          <w:p w14:paraId="31BA615F">
            <w:pPr>
              <w:pStyle w:val="11"/>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评标结果公示</w:t>
            </w:r>
          </w:p>
        </w:tc>
        <w:tc>
          <w:tcPr>
            <w:tcW w:w="7335" w:type="dxa"/>
            <w:tcBorders>
              <w:tl2br w:val="nil"/>
              <w:tr2bl w:val="nil"/>
            </w:tcBorders>
            <w:vAlign w:val="center"/>
          </w:tcPr>
          <w:p w14:paraId="5E5CC603">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浙江省政府采购网（网址：</w:t>
            </w:r>
            <w:r>
              <w:rPr>
                <w:rFonts w:hint="eastAsia" w:ascii="宋体" w:hAnsi="宋体" w:eastAsia="宋体" w:cs="宋体"/>
                <w:color w:val="auto"/>
                <w:kern w:val="2"/>
                <w:sz w:val="22"/>
                <w:szCs w:val="22"/>
                <w:highlight w:val="none"/>
              </w:rPr>
              <w:fldChar w:fldCharType="begin"/>
            </w:r>
            <w:r>
              <w:rPr>
                <w:rFonts w:hint="eastAsia" w:ascii="宋体" w:hAnsi="宋体" w:eastAsia="宋体" w:cs="宋体"/>
                <w:color w:val="auto"/>
                <w:kern w:val="2"/>
                <w:sz w:val="22"/>
                <w:szCs w:val="22"/>
                <w:highlight w:val="none"/>
              </w:rPr>
              <w:instrText xml:space="preserve"> HYPERLINK "https://zfcg.czt.zj.gov.cn/）" </w:instrText>
            </w:r>
            <w:r>
              <w:rPr>
                <w:rFonts w:hint="eastAsia" w:ascii="宋体" w:hAnsi="宋体" w:eastAsia="宋体" w:cs="宋体"/>
                <w:color w:val="auto"/>
                <w:kern w:val="2"/>
                <w:sz w:val="22"/>
                <w:szCs w:val="22"/>
                <w:highlight w:val="none"/>
              </w:rPr>
              <w:fldChar w:fldCharType="separate"/>
            </w:r>
            <w:r>
              <w:rPr>
                <w:rFonts w:hint="eastAsia" w:ascii="宋体" w:hAnsi="宋体" w:eastAsia="宋体" w:cs="宋体"/>
                <w:color w:val="auto"/>
                <w:kern w:val="2"/>
                <w:sz w:val="22"/>
                <w:szCs w:val="22"/>
                <w:highlight w:val="none"/>
              </w:rPr>
              <w:t>https://zfcg.czt.zj.gov.cn）</w:t>
            </w:r>
            <w:r>
              <w:rPr>
                <w:rFonts w:hint="eastAsia" w:ascii="宋体" w:hAnsi="宋体" w:eastAsia="宋体" w:cs="宋体"/>
                <w:color w:val="auto"/>
                <w:kern w:val="2"/>
                <w:sz w:val="22"/>
                <w:szCs w:val="22"/>
                <w:highlight w:val="none"/>
              </w:rPr>
              <w:fldChar w:fldCharType="end"/>
            </w:r>
          </w:p>
        </w:tc>
      </w:tr>
      <w:tr w14:paraId="72CCC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4DC1E4A0">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2200" w:type="dxa"/>
            <w:tcBorders>
              <w:tl2br w:val="nil"/>
              <w:tr2bl w:val="nil"/>
            </w:tcBorders>
            <w:vAlign w:val="center"/>
          </w:tcPr>
          <w:p w14:paraId="59E08CE5">
            <w:pPr>
              <w:pStyle w:val="11"/>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b w:val="0"/>
                <w:bCs w:val="0"/>
                <w:color w:val="auto"/>
                <w:sz w:val="22"/>
                <w:szCs w:val="22"/>
                <w:highlight w:val="none"/>
                <w:lang w:eastAsia="zh-CN"/>
              </w:rPr>
            </w:pPr>
            <w:r>
              <w:rPr>
                <w:rFonts w:hint="eastAsia" w:ascii="宋体" w:hAnsi="宋体" w:eastAsia="宋体" w:cs="宋体"/>
                <w:b w:val="0"/>
                <w:bCs w:val="0"/>
                <w:color w:val="auto"/>
                <w:kern w:val="2"/>
                <w:sz w:val="22"/>
                <w:szCs w:val="22"/>
                <w:highlight w:val="none"/>
              </w:rPr>
              <w:t>签订</w:t>
            </w:r>
            <w:r>
              <w:rPr>
                <w:rFonts w:hint="eastAsia" w:hAnsi="宋体" w:cs="宋体"/>
                <w:b w:val="0"/>
                <w:bCs w:val="0"/>
                <w:color w:val="auto"/>
                <w:kern w:val="2"/>
                <w:sz w:val="22"/>
                <w:szCs w:val="22"/>
                <w:highlight w:val="none"/>
                <w:lang w:eastAsia="zh-CN"/>
              </w:rPr>
              <w:t>协议书</w:t>
            </w:r>
          </w:p>
        </w:tc>
        <w:tc>
          <w:tcPr>
            <w:tcW w:w="7335" w:type="dxa"/>
            <w:tcBorders>
              <w:tl2br w:val="nil"/>
              <w:tr2bl w:val="nil"/>
            </w:tcBorders>
            <w:vAlign w:val="center"/>
          </w:tcPr>
          <w:p w14:paraId="78175BAE">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中标通知书</w:t>
            </w:r>
            <w:r>
              <w:rPr>
                <w:rFonts w:hint="eastAsia" w:hAnsi="宋体" w:cs="宋体"/>
                <w:color w:val="auto"/>
                <w:kern w:val="2"/>
                <w:sz w:val="22"/>
                <w:szCs w:val="22"/>
                <w:highlight w:val="none"/>
                <w:lang w:eastAsia="zh-CN"/>
              </w:rPr>
              <w:t>发出之日起</w:t>
            </w:r>
            <w:r>
              <w:rPr>
                <w:rFonts w:hint="eastAsia" w:hAnsi="宋体" w:cs="宋体"/>
                <w:color w:val="auto"/>
                <w:kern w:val="2"/>
                <w:sz w:val="22"/>
                <w:szCs w:val="22"/>
                <w:highlight w:val="none"/>
                <w:lang w:val="en-US" w:eastAsia="zh-CN"/>
              </w:rPr>
              <w:t>15</w:t>
            </w:r>
            <w:r>
              <w:rPr>
                <w:rFonts w:hint="default" w:hAnsi="宋体" w:cs="宋体"/>
                <w:color w:val="auto"/>
                <w:kern w:val="2"/>
                <w:sz w:val="22"/>
                <w:szCs w:val="22"/>
                <w:highlight w:val="none"/>
                <w:lang w:val="en-US" w:eastAsia="zh-CN"/>
              </w:rPr>
              <w:t>日</w:t>
            </w:r>
            <w:r>
              <w:rPr>
                <w:rFonts w:hint="eastAsia" w:ascii="宋体" w:hAnsi="宋体" w:eastAsia="宋体" w:cs="宋体"/>
                <w:color w:val="auto"/>
                <w:kern w:val="2"/>
                <w:sz w:val="22"/>
                <w:szCs w:val="22"/>
                <w:highlight w:val="none"/>
                <w:lang w:eastAsia="zh-CN"/>
              </w:rPr>
              <w:t>内，与采购人签订</w:t>
            </w:r>
            <w:r>
              <w:rPr>
                <w:rFonts w:hint="eastAsia" w:hAnsi="宋体" w:cs="宋体"/>
                <w:color w:val="auto"/>
                <w:kern w:val="2"/>
                <w:sz w:val="22"/>
                <w:szCs w:val="22"/>
                <w:highlight w:val="none"/>
                <w:lang w:eastAsia="zh-CN"/>
              </w:rPr>
              <w:t>协议书</w:t>
            </w:r>
          </w:p>
        </w:tc>
      </w:tr>
      <w:tr w14:paraId="0D2B2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tcBorders>
              <w:tl2br w:val="nil"/>
              <w:tr2bl w:val="nil"/>
            </w:tcBorders>
            <w:vAlign w:val="center"/>
          </w:tcPr>
          <w:p w14:paraId="68E40D91">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7</w:t>
            </w:r>
          </w:p>
        </w:tc>
        <w:tc>
          <w:tcPr>
            <w:tcW w:w="2200" w:type="dxa"/>
            <w:tcBorders>
              <w:tl2br w:val="nil"/>
              <w:tr2bl w:val="nil"/>
            </w:tcBorders>
            <w:vAlign w:val="center"/>
          </w:tcPr>
          <w:p w14:paraId="3820F24C">
            <w:pPr>
              <w:bidi w:val="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采购代理费</w:t>
            </w:r>
          </w:p>
        </w:tc>
        <w:tc>
          <w:tcPr>
            <w:tcW w:w="7335" w:type="dxa"/>
            <w:tcBorders>
              <w:tl2br w:val="nil"/>
              <w:tr2bl w:val="nil"/>
            </w:tcBorders>
            <w:vAlign w:val="center"/>
          </w:tcPr>
          <w:p w14:paraId="284BDEE1">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eastAsia="zh-CN"/>
              </w:rPr>
              <w:t>本项</w:t>
            </w:r>
            <w:r>
              <w:rPr>
                <w:rFonts w:hint="eastAsia" w:hAnsi="宋体" w:cs="宋体"/>
                <w:color w:val="auto"/>
                <w:kern w:val="2"/>
                <w:sz w:val="22"/>
                <w:szCs w:val="22"/>
                <w:highlight w:val="none"/>
                <w:lang w:eastAsia="zh-CN"/>
              </w:rPr>
              <w:t>目由中标银行支付采购代理服务费，中标银行的</w:t>
            </w:r>
            <w:r>
              <w:rPr>
                <w:rFonts w:hint="eastAsia" w:hAnsi="宋体" w:cs="宋体"/>
                <w:color w:val="auto"/>
                <w:kern w:val="2"/>
                <w:sz w:val="22"/>
                <w:szCs w:val="22"/>
                <w:highlight w:val="none"/>
                <w:lang w:val="en-US" w:eastAsia="zh-CN"/>
              </w:rPr>
              <w:t>采购代理服务费为7000元，</w:t>
            </w:r>
            <w:r>
              <w:rPr>
                <w:rFonts w:hint="eastAsia" w:hAnsi="宋体" w:cs="宋体"/>
                <w:color w:val="auto"/>
                <w:kern w:val="2"/>
                <w:sz w:val="22"/>
                <w:szCs w:val="22"/>
                <w:highlight w:val="none"/>
                <w:lang w:eastAsia="zh-CN"/>
              </w:rPr>
              <w:t>在中标通知书领取前，向采购代理机构</w:t>
            </w:r>
            <w:r>
              <w:rPr>
                <w:rFonts w:hint="eastAsia" w:hAnsi="宋体" w:cs="宋体"/>
                <w:color w:val="auto"/>
                <w:kern w:val="2"/>
                <w:sz w:val="22"/>
                <w:szCs w:val="22"/>
                <w:highlight w:val="none"/>
                <w:lang w:val="en-US" w:eastAsia="zh-CN"/>
              </w:rPr>
              <w:t>支付。</w:t>
            </w:r>
          </w:p>
        </w:tc>
      </w:tr>
      <w:tr w14:paraId="2FD5B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05E42C15">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8</w:t>
            </w:r>
          </w:p>
        </w:tc>
        <w:tc>
          <w:tcPr>
            <w:tcW w:w="2200" w:type="dxa"/>
            <w:tcBorders>
              <w:tl2br w:val="nil"/>
              <w:tr2bl w:val="nil"/>
            </w:tcBorders>
            <w:vAlign w:val="center"/>
          </w:tcPr>
          <w:p w14:paraId="50EB1DFD">
            <w:pPr>
              <w:bidi w:val="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解释</w:t>
            </w:r>
          </w:p>
        </w:tc>
        <w:tc>
          <w:tcPr>
            <w:tcW w:w="7335" w:type="dxa"/>
            <w:tcBorders>
              <w:tl2br w:val="nil"/>
              <w:tr2bl w:val="nil"/>
            </w:tcBorders>
            <w:vAlign w:val="center"/>
          </w:tcPr>
          <w:p w14:paraId="6DE00C4E">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本采购文件的解释权属于采购人和采购代理机构</w:t>
            </w:r>
          </w:p>
        </w:tc>
      </w:tr>
      <w:tr w14:paraId="15CDA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43ABB562">
            <w:pPr>
              <w:bidi w:val="0"/>
              <w:jc w:val="center"/>
              <w:rPr>
                <w:rFonts w:hint="default" w:ascii="宋体" w:hAnsi="宋体" w:eastAsia="宋体" w:cs="宋体"/>
                <w:color w:val="auto"/>
                <w:sz w:val="22"/>
                <w:szCs w:val="22"/>
                <w:highlight w:val="none"/>
                <w:lang w:val="en-US" w:eastAsia="zh-CN"/>
              </w:rPr>
            </w:pPr>
            <w:bookmarkStart w:id="8" w:name="_Toc18190"/>
            <w:r>
              <w:rPr>
                <w:rFonts w:hint="eastAsia" w:ascii="宋体" w:hAnsi="宋体" w:cs="宋体"/>
                <w:color w:val="auto"/>
                <w:sz w:val="22"/>
                <w:szCs w:val="22"/>
                <w:highlight w:val="none"/>
                <w:lang w:val="en-US" w:eastAsia="zh-CN"/>
              </w:rPr>
              <w:t>19</w:t>
            </w:r>
          </w:p>
        </w:tc>
        <w:tc>
          <w:tcPr>
            <w:tcW w:w="2200" w:type="dxa"/>
            <w:tcBorders>
              <w:tl2br w:val="nil"/>
              <w:tr2bl w:val="nil"/>
            </w:tcBorders>
            <w:vAlign w:val="center"/>
          </w:tcPr>
          <w:p w14:paraId="5A95855E">
            <w:pPr>
              <w:pStyle w:val="11"/>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hAnsi="宋体" w:cs="宋体"/>
                <w:color w:val="auto"/>
                <w:kern w:val="2"/>
                <w:sz w:val="22"/>
                <w:szCs w:val="22"/>
                <w:highlight w:val="none"/>
                <w:lang w:val="en-US" w:eastAsia="zh-CN"/>
              </w:rPr>
              <w:t>其它</w:t>
            </w:r>
          </w:p>
        </w:tc>
        <w:tc>
          <w:tcPr>
            <w:tcW w:w="7335" w:type="dxa"/>
            <w:tcBorders>
              <w:tl2br w:val="nil"/>
              <w:tr2bl w:val="nil"/>
            </w:tcBorders>
            <w:vAlign w:val="center"/>
          </w:tcPr>
          <w:p w14:paraId="1DE77230">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本项目无需</w:t>
            </w:r>
            <w:r>
              <w:rPr>
                <w:rFonts w:hint="eastAsia" w:hAnsi="宋体" w:cs="宋体"/>
                <w:color w:val="auto"/>
                <w:kern w:val="2"/>
                <w:sz w:val="22"/>
                <w:szCs w:val="22"/>
                <w:highlight w:val="none"/>
                <w:lang w:eastAsia="zh-CN"/>
              </w:rPr>
              <w:t>缴</w:t>
            </w:r>
            <w:r>
              <w:rPr>
                <w:rFonts w:hint="eastAsia" w:ascii="宋体" w:hAnsi="宋体" w:eastAsia="宋体" w:cs="宋体"/>
                <w:color w:val="auto"/>
                <w:kern w:val="2"/>
                <w:sz w:val="22"/>
                <w:szCs w:val="22"/>
                <w:highlight w:val="none"/>
                <w:lang w:eastAsia="zh-CN"/>
              </w:rPr>
              <w:t>纳投标保证金和履约保证金</w:t>
            </w:r>
          </w:p>
        </w:tc>
      </w:tr>
      <w:bookmarkEnd w:id="7"/>
    </w:tbl>
    <w:p w14:paraId="3DFF2075">
      <w:pPr>
        <w:rPr>
          <w:rFonts w:hint="eastAsia"/>
          <w:color w:val="auto"/>
          <w:highlight w:val="none"/>
        </w:rPr>
      </w:pPr>
      <w:r>
        <w:rPr>
          <w:rFonts w:hint="eastAsia"/>
          <w:color w:val="auto"/>
          <w:highlight w:val="none"/>
        </w:rPr>
        <w:br w:type="page"/>
      </w:r>
    </w:p>
    <w:p w14:paraId="1FEA5F19">
      <w:pPr>
        <w:pStyle w:val="4"/>
        <w:bidi w:val="0"/>
        <w:rPr>
          <w:rFonts w:hint="eastAsia"/>
          <w:color w:val="auto"/>
          <w:highlight w:val="none"/>
        </w:rPr>
      </w:pPr>
      <w:r>
        <w:rPr>
          <w:rFonts w:hint="eastAsia"/>
          <w:color w:val="auto"/>
          <w:highlight w:val="none"/>
        </w:rPr>
        <w:t>一、总则</w:t>
      </w:r>
    </w:p>
    <w:p w14:paraId="7B90DBBF">
      <w:pPr>
        <w:pStyle w:val="2"/>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适用范围</w:t>
      </w:r>
    </w:p>
    <w:p w14:paraId="12C1188D">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本次</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中招标项目的招标、投标、评标、定标、</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履约等行为（法律、法规另有规定的，从其规定）。</w:t>
      </w:r>
    </w:p>
    <w:p w14:paraId="4767A90A">
      <w:pPr>
        <w:pStyle w:val="2"/>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bookmarkStart w:id="9" w:name="_Toc433710228"/>
      <w:bookmarkStart w:id="10" w:name="_Toc434586579"/>
      <w:r>
        <w:rPr>
          <w:rFonts w:hint="eastAsia" w:ascii="宋体" w:hAnsi="宋体" w:eastAsia="宋体" w:cs="宋体"/>
          <w:b/>
          <w:bCs/>
          <w:color w:val="auto"/>
          <w:sz w:val="22"/>
          <w:szCs w:val="22"/>
          <w:highlight w:val="none"/>
          <w:lang w:val="en-US" w:eastAsia="zh-CN"/>
        </w:rPr>
        <w:t>2.定义</w:t>
      </w:r>
      <w:bookmarkEnd w:id="9"/>
      <w:bookmarkEnd w:id="10"/>
    </w:p>
    <w:p w14:paraId="0A49DEEC">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2.1“采购组织机构”指采购人委托组织招标的采购代理机构。</w:t>
      </w:r>
    </w:p>
    <w:p w14:paraId="62603AFC">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2.2采购人：是指委托采购代理机构采购本次项目的国家机关、事业单位和团体组织。</w:t>
      </w:r>
    </w:p>
    <w:p w14:paraId="0C8AB6C1">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2.3</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：是指向采购组织机构提交投标文件的</w:t>
      </w:r>
      <w:r>
        <w:rPr>
          <w:rFonts w:hint="eastAsia" w:ascii="宋体" w:hAnsi="宋体" w:cs="宋体"/>
          <w:color w:val="auto"/>
          <w:kern w:val="2"/>
          <w:sz w:val="22"/>
          <w:szCs w:val="22"/>
          <w:highlight w:val="none"/>
          <w:lang w:val="en-US" w:eastAsia="zh-CN" w:bidi="ar-SA"/>
        </w:rPr>
        <w:t>银行</w:t>
      </w:r>
      <w:r>
        <w:rPr>
          <w:rFonts w:hint="eastAsia" w:ascii="宋体" w:hAnsi="宋体" w:eastAsia="宋体" w:cs="宋体"/>
          <w:color w:val="auto"/>
          <w:kern w:val="2"/>
          <w:sz w:val="22"/>
          <w:szCs w:val="22"/>
          <w:highlight w:val="none"/>
          <w:lang w:val="en-US" w:eastAsia="zh-CN" w:bidi="ar-SA"/>
        </w:rPr>
        <w:t>。</w:t>
      </w:r>
    </w:p>
    <w:p w14:paraId="07135211">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2.4货物：是指各种形态和种类的物品，包括原材料、燃料、设备、产品等。</w:t>
      </w:r>
    </w:p>
    <w:p w14:paraId="697963A2">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2.5服务：是指除货物和工程以外的政府采购对象，包括各类专业服务、信息网络开发服务、金融保险服务、运输服务，以及维修与维护服务等。</w:t>
      </w:r>
    </w:p>
    <w:p w14:paraId="097CCF7A">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2.6“书面形式”包括信函、传真等。</w:t>
      </w:r>
    </w:p>
    <w:p w14:paraId="2A33E0D6">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2.7“▲”系指实质性要求条款，</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应当做出实质性响应。</w:t>
      </w:r>
    </w:p>
    <w:p w14:paraId="1B07AD76">
      <w:pPr>
        <w:pStyle w:val="2"/>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3.特别说明</w:t>
      </w:r>
    </w:p>
    <w:p w14:paraId="6CAD44B4">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应仔细阅读</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的所有内容，按照</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的要求提交投标文件，并对所提供的全部资料的真实性承担法律责任。</w:t>
      </w:r>
    </w:p>
    <w:p w14:paraId="5A99DFE1">
      <w:pPr>
        <w:pStyle w:val="2"/>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4.质疑</w:t>
      </w:r>
    </w:p>
    <w:p w14:paraId="18DC6A0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4.1</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认为采购文件、招标过程和中标结果使自己的权益受到损害的，可以在知道或者应知其</w:t>
      </w:r>
      <w:r>
        <w:rPr>
          <w:rFonts w:hint="eastAsia" w:ascii="宋体" w:hAnsi="宋体" w:cs="宋体"/>
          <w:color w:val="auto"/>
          <w:kern w:val="2"/>
          <w:sz w:val="22"/>
          <w:szCs w:val="22"/>
          <w:highlight w:val="none"/>
          <w:lang w:val="en-US" w:eastAsia="zh-CN" w:bidi="ar-SA"/>
        </w:rPr>
        <w:t>权益受到</w:t>
      </w:r>
      <w:r>
        <w:rPr>
          <w:rFonts w:hint="eastAsia" w:ascii="宋体" w:hAnsi="宋体" w:eastAsia="宋体" w:cs="宋体"/>
          <w:color w:val="auto"/>
          <w:kern w:val="2"/>
          <w:sz w:val="22"/>
          <w:szCs w:val="22"/>
          <w:highlight w:val="none"/>
          <w:lang w:val="en-US" w:eastAsia="zh-CN" w:bidi="ar-SA"/>
        </w:rPr>
        <w:t>损害之日起七个工作日内，以书面形式向代理机构提出质疑（在法定质疑期内一次性提出针对同一采购程序环节的质疑）。</w:t>
      </w:r>
    </w:p>
    <w:p w14:paraId="02E4E18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4.2质疑</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1DC45E4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4.3质疑函格式见《政府采购质疑和投诉办法》（财政部令第94号）附件范本，下载网址：浙江政府采购网</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www.zjzfcg.gov.cn)。</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提出质疑应当提交质疑函和必要的证明材料。质疑函应当包括下列内容：</w:t>
      </w:r>
    </w:p>
    <w:p w14:paraId="2CCF685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a.</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的姓名或者名称、地址、邮编、联系人及联系电话；</w:t>
      </w:r>
    </w:p>
    <w:p w14:paraId="712DD71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b.质疑项目的名称、编号；</w:t>
      </w:r>
    </w:p>
    <w:p w14:paraId="1BB622A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c.具体、明确的质疑事项和与质疑事项相关的请求；</w:t>
      </w:r>
    </w:p>
    <w:p w14:paraId="1428D57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d.事实依据；</w:t>
      </w:r>
    </w:p>
    <w:p w14:paraId="46A522C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e.必要的法律依据；</w:t>
      </w:r>
    </w:p>
    <w:p w14:paraId="163781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f.提出质疑的日期。</w:t>
      </w:r>
    </w:p>
    <w:p w14:paraId="4AA4AFD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质疑函不符合《政府采购质疑和投诉办法》相关规定的，应在规定期限内补齐的，自收到补齐材料之日起受理；逾期未补齐的，按自动撤回质疑处理。</w:t>
      </w:r>
    </w:p>
    <w:p w14:paraId="3F2092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4.4采购代理机构在收到</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的书面质疑后7个工作日内</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作出书面答复（涉及项目采购需求内容的由采购人答复），质疑人在收到答复后应于1日内，以书面或传真形式（签署意见并加盖公章）向采购代理机构回复予以确认。过期未回复的，视为默认接受。</w:t>
      </w:r>
    </w:p>
    <w:p w14:paraId="02D0B80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4.5质疑</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捏造事实、提供虚假材料进行质疑的，采购代理机构报告同级财政部门。情况属实的，列入不良行为记录并在指定的媒体上公告。</w:t>
      </w:r>
    </w:p>
    <w:p w14:paraId="0597FF0F">
      <w:pPr>
        <w:pStyle w:val="4"/>
        <w:bidi w:val="0"/>
        <w:rPr>
          <w:rFonts w:hint="eastAsia"/>
          <w:color w:val="auto"/>
          <w:highlight w:val="none"/>
          <w:lang w:val="en-US" w:eastAsia="zh-CN"/>
        </w:rPr>
      </w:pPr>
      <w:r>
        <w:rPr>
          <w:rFonts w:hint="eastAsia"/>
          <w:color w:val="auto"/>
          <w:highlight w:val="none"/>
          <w:lang w:val="en-US" w:eastAsia="zh-CN"/>
        </w:rPr>
        <w:t>二、采购文件</w:t>
      </w:r>
    </w:p>
    <w:p w14:paraId="22B17376">
      <w:pPr>
        <w:pStyle w:val="2"/>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采购文件由以下部分组成：</w:t>
      </w:r>
    </w:p>
    <w:p w14:paraId="7124E30A">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第一章 招标公告</w:t>
      </w:r>
    </w:p>
    <w:p w14:paraId="39C9F71C">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第二章 </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须知</w:t>
      </w:r>
    </w:p>
    <w:p w14:paraId="6D3EAB4C">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第三章 </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主要条款</w:t>
      </w:r>
    </w:p>
    <w:p w14:paraId="4B7F99D8">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第四章 </w:t>
      </w:r>
      <w:r>
        <w:rPr>
          <w:rFonts w:hint="eastAsia" w:ascii="宋体" w:hAnsi="宋体" w:cs="宋体"/>
          <w:color w:val="auto"/>
          <w:kern w:val="2"/>
          <w:sz w:val="22"/>
          <w:szCs w:val="22"/>
          <w:highlight w:val="none"/>
          <w:lang w:val="en-US" w:eastAsia="zh-CN" w:bidi="ar-SA"/>
        </w:rPr>
        <w:t>招标</w:t>
      </w:r>
      <w:r>
        <w:rPr>
          <w:rFonts w:hint="eastAsia" w:ascii="宋体" w:hAnsi="宋体" w:eastAsia="宋体" w:cs="宋体"/>
          <w:color w:val="auto"/>
          <w:kern w:val="2"/>
          <w:sz w:val="22"/>
          <w:szCs w:val="22"/>
          <w:highlight w:val="none"/>
          <w:lang w:val="en-US" w:eastAsia="zh-CN" w:bidi="ar-SA"/>
        </w:rPr>
        <w:t>内容及需求</w:t>
      </w:r>
    </w:p>
    <w:p w14:paraId="401BB137">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第五章 评标办法及评标标准</w:t>
      </w:r>
    </w:p>
    <w:p w14:paraId="1AD94B2D">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第六章 附件：投标文件格式</w:t>
      </w:r>
    </w:p>
    <w:p w14:paraId="7FA16893">
      <w:pPr>
        <w:pStyle w:val="2"/>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2.本采购文件的解释权属采购人和采购代理机构。</w:t>
      </w:r>
    </w:p>
    <w:p w14:paraId="72724E75">
      <w:pPr>
        <w:pStyle w:val="2"/>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val="en-US" w:eastAsia="zh-CN"/>
        </w:rPr>
        <w:t>.</w:t>
      </w:r>
      <w:r>
        <w:rPr>
          <w:rFonts w:hint="eastAsia" w:hAnsi="宋体" w:cs="宋体"/>
          <w:b/>
          <w:bCs/>
          <w:color w:val="auto"/>
          <w:sz w:val="22"/>
          <w:szCs w:val="22"/>
          <w:highlight w:val="none"/>
          <w:lang w:val="en-US" w:eastAsia="zh-CN"/>
        </w:rPr>
        <w:t>采购文件</w:t>
      </w:r>
      <w:r>
        <w:rPr>
          <w:rFonts w:hint="eastAsia" w:ascii="宋体" w:hAnsi="宋体" w:eastAsia="宋体" w:cs="宋体"/>
          <w:b/>
          <w:bCs/>
          <w:color w:val="auto"/>
          <w:sz w:val="22"/>
          <w:szCs w:val="22"/>
          <w:highlight w:val="none"/>
          <w:lang w:val="en-US" w:eastAsia="zh-CN"/>
        </w:rPr>
        <w:t xml:space="preserve">的澄清与修改 </w:t>
      </w:r>
    </w:p>
    <w:p w14:paraId="3A2EE626">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3.1</w:t>
      </w:r>
      <w:r>
        <w:rPr>
          <w:rFonts w:hint="eastAsia" w:ascii="宋体" w:hAnsi="宋体" w:eastAsia="宋体" w:cs="宋体"/>
          <w:color w:val="auto"/>
          <w:kern w:val="2"/>
          <w:sz w:val="22"/>
          <w:szCs w:val="22"/>
          <w:highlight w:val="none"/>
          <w:lang w:val="en-US" w:eastAsia="zh-CN" w:bidi="ar-SA"/>
        </w:rPr>
        <w:t>采购人或招标代理机构可以对已发出的</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进行必要的澄清或者修改。澄清或者修改的内容可能影响投标文件编制的，采购人或招标代理机构应当在发布招标公告的网站上发布更正公告或以书面形式通知所有已获取</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的潜在</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，并且应当顺延投标截止时间，发布更正公告或书面变更通知之日至投标截止之日不得少于5个工作日。</w:t>
      </w:r>
    </w:p>
    <w:p w14:paraId="2737C504">
      <w:pPr>
        <w:pStyle w:val="4"/>
        <w:bidi w:val="0"/>
        <w:rPr>
          <w:rFonts w:hint="eastAsia"/>
          <w:color w:val="auto"/>
          <w:highlight w:val="none"/>
          <w:lang w:val="en-US" w:eastAsia="zh-CN"/>
        </w:rPr>
      </w:pPr>
      <w:r>
        <w:rPr>
          <w:rFonts w:hint="eastAsia"/>
          <w:color w:val="auto"/>
          <w:highlight w:val="none"/>
          <w:lang w:val="en-US" w:eastAsia="zh-CN"/>
        </w:rPr>
        <w:t>三、投标文件的编制</w:t>
      </w:r>
    </w:p>
    <w:p w14:paraId="78EE367B">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应认真阅读</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中所有事项、格式、条款和技术规范等。</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没有按照</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要求提交全部资料，或者没有对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各个方面</w:t>
      </w:r>
      <w:r>
        <w:rPr>
          <w:rFonts w:hint="eastAsia" w:ascii="宋体" w:hAnsi="宋体" w:cs="宋体"/>
          <w:color w:val="auto"/>
          <w:kern w:val="2"/>
          <w:sz w:val="22"/>
          <w:szCs w:val="22"/>
          <w:highlight w:val="none"/>
          <w:lang w:val="en-US" w:eastAsia="zh-CN" w:bidi="ar-SA"/>
        </w:rPr>
        <w:t>作出</w:t>
      </w:r>
      <w:r>
        <w:rPr>
          <w:rFonts w:hint="eastAsia" w:ascii="宋体" w:hAnsi="宋体" w:eastAsia="宋体" w:cs="宋体"/>
          <w:color w:val="auto"/>
          <w:kern w:val="2"/>
          <w:sz w:val="22"/>
          <w:szCs w:val="22"/>
          <w:highlight w:val="none"/>
          <w:lang w:val="en-US" w:eastAsia="zh-CN" w:bidi="ar-SA"/>
        </w:rPr>
        <w:t>实质性响应，导致投标被拒绝的风险由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自行承担。</w:t>
      </w:r>
    </w:p>
    <w:p w14:paraId="4E8DC211">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应保证所提供文件资料的真实性，所有文件资料必须是针对本次投标的，否则其投标将被拒绝。如发现</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提供了虚假文件资料，其投标将被拒绝，并自行承担相应的法律责任。</w:t>
      </w:r>
    </w:p>
    <w:p w14:paraId="61186095">
      <w:pPr>
        <w:pStyle w:val="2"/>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3.投标文件的构成：</w:t>
      </w:r>
    </w:p>
    <w:p w14:paraId="1FB7ED53">
      <w:pPr>
        <w:spacing w:line="360" w:lineRule="auto"/>
        <w:ind w:firstLine="440" w:firstLineChars="20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3.1投标文件由下列部分构成</w:t>
      </w:r>
      <w:r>
        <w:rPr>
          <w:rFonts w:hint="eastAsia" w:ascii="宋体" w:hAnsi="宋体" w:cs="宋体"/>
          <w:b/>
          <w:bCs/>
          <w:color w:val="auto"/>
          <w:kern w:val="2"/>
          <w:sz w:val="22"/>
          <w:szCs w:val="22"/>
          <w:highlight w:val="none"/>
          <w:u w:val="single"/>
          <w:lang w:val="en-US" w:eastAsia="zh-CN" w:bidi="ar-SA"/>
        </w:rPr>
        <w:t>（以下内容需在投标时全部上传政采云系统</w:t>
      </w:r>
      <w:r>
        <w:rPr>
          <w:rFonts w:hint="eastAsia" w:ascii="宋体" w:hAnsi="宋体" w:cs="宋体"/>
          <w:b/>
          <w:bCs/>
          <w:color w:val="auto"/>
          <w:kern w:val="2"/>
          <w:sz w:val="22"/>
          <w:szCs w:val="22"/>
          <w:highlight w:val="none"/>
          <w:lang w:val="en-US" w:eastAsia="zh-CN" w:bidi="ar-SA"/>
        </w:rPr>
        <w:t>）</w:t>
      </w:r>
      <w:r>
        <w:rPr>
          <w:rFonts w:hint="eastAsia" w:ascii="宋体" w:hAnsi="宋体" w:eastAsia="宋体" w:cs="宋体"/>
          <w:b/>
          <w:bCs/>
          <w:color w:val="auto"/>
          <w:kern w:val="2"/>
          <w:sz w:val="22"/>
          <w:szCs w:val="22"/>
          <w:highlight w:val="none"/>
          <w:lang w:val="en-US" w:eastAsia="zh-CN" w:bidi="ar-SA"/>
        </w:rPr>
        <w:t>：</w:t>
      </w:r>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397"/>
      </w:tblGrid>
      <w:tr w14:paraId="70E9A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l2br w:val="nil"/>
              <w:tr2bl w:val="nil"/>
            </w:tcBorders>
          </w:tcPr>
          <w:p w14:paraId="26095E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序号</w:t>
            </w:r>
          </w:p>
        </w:tc>
        <w:tc>
          <w:tcPr>
            <w:tcW w:w="7350" w:type="dxa"/>
            <w:tcBorders>
              <w:tl2br w:val="nil"/>
              <w:tr2bl w:val="nil"/>
            </w:tcBorders>
          </w:tcPr>
          <w:p w14:paraId="17E35C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内容</w:t>
            </w:r>
          </w:p>
        </w:tc>
        <w:tc>
          <w:tcPr>
            <w:tcW w:w="1397" w:type="dxa"/>
            <w:tcBorders>
              <w:tl2br w:val="nil"/>
              <w:tr2bl w:val="nil"/>
            </w:tcBorders>
          </w:tcPr>
          <w:p w14:paraId="70C27B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说明</w:t>
            </w:r>
          </w:p>
        </w:tc>
      </w:tr>
      <w:tr w14:paraId="06094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232DB5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7350" w:type="dxa"/>
            <w:tcBorders>
              <w:tl2br w:val="nil"/>
              <w:tr2bl w:val="nil"/>
            </w:tcBorders>
          </w:tcPr>
          <w:p w14:paraId="7A03771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封面</w:t>
            </w:r>
          </w:p>
        </w:tc>
        <w:tc>
          <w:tcPr>
            <w:tcW w:w="1397" w:type="dxa"/>
            <w:tcBorders>
              <w:tl2br w:val="nil"/>
              <w:tr2bl w:val="nil"/>
            </w:tcBorders>
            <w:vAlign w:val="center"/>
          </w:tcPr>
          <w:p w14:paraId="78899BA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附件</w:t>
            </w:r>
            <w:r>
              <w:rPr>
                <w:rFonts w:hint="eastAsia" w:ascii="宋体" w:hAnsi="宋体" w:cs="宋体"/>
                <w:color w:val="auto"/>
                <w:kern w:val="2"/>
                <w:sz w:val="22"/>
                <w:szCs w:val="22"/>
                <w:highlight w:val="none"/>
                <w:lang w:val="en-US" w:eastAsia="zh-CN" w:bidi="ar-SA"/>
              </w:rPr>
              <w:t>一</w:t>
            </w:r>
          </w:p>
        </w:tc>
      </w:tr>
      <w:tr w14:paraId="05F31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tcBorders>
              <w:tl2br w:val="nil"/>
              <w:tr2bl w:val="nil"/>
            </w:tcBorders>
            <w:vAlign w:val="center"/>
          </w:tcPr>
          <w:p w14:paraId="0016E4C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kern w:val="2"/>
                <w:sz w:val="22"/>
                <w:szCs w:val="22"/>
                <w:highlight w:val="none"/>
                <w:lang w:val="en-US" w:eastAsia="zh-CN" w:bidi="ar-SA"/>
              </w:rPr>
              <w:t>2</w:t>
            </w:r>
          </w:p>
        </w:tc>
        <w:tc>
          <w:tcPr>
            <w:tcW w:w="7350" w:type="dxa"/>
            <w:tcBorders>
              <w:tl2br w:val="nil"/>
              <w:tr2bl w:val="nil"/>
            </w:tcBorders>
          </w:tcPr>
          <w:p w14:paraId="2892149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投标声明函</w:t>
            </w:r>
          </w:p>
        </w:tc>
        <w:tc>
          <w:tcPr>
            <w:tcW w:w="1397" w:type="dxa"/>
            <w:tcBorders>
              <w:tl2br w:val="nil"/>
              <w:tr2bl w:val="nil"/>
            </w:tcBorders>
            <w:vAlign w:val="center"/>
          </w:tcPr>
          <w:p w14:paraId="0A77D1D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附件</w:t>
            </w:r>
            <w:r>
              <w:rPr>
                <w:rFonts w:hint="eastAsia" w:ascii="宋体" w:hAnsi="宋体" w:cs="宋体"/>
                <w:color w:val="auto"/>
                <w:kern w:val="2"/>
                <w:sz w:val="22"/>
                <w:szCs w:val="22"/>
                <w:highlight w:val="none"/>
                <w:lang w:val="en-US" w:eastAsia="zh-CN" w:bidi="ar-SA"/>
              </w:rPr>
              <w:t>二</w:t>
            </w:r>
          </w:p>
        </w:tc>
      </w:tr>
      <w:tr w14:paraId="1E5AD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631AB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7350" w:type="dxa"/>
            <w:tcBorders>
              <w:tl2br w:val="nil"/>
              <w:tr2bl w:val="nil"/>
            </w:tcBorders>
          </w:tcPr>
          <w:p w14:paraId="618972C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营业执照复印件或扫描件</w:t>
            </w:r>
          </w:p>
        </w:tc>
        <w:tc>
          <w:tcPr>
            <w:tcW w:w="1397" w:type="dxa"/>
            <w:tcBorders>
              <w:tl2br w:val="nil"/>
              <w:tr2bl w:val="nil"/>
            </w:tcBorders>
            <w:vAlign w:val="center"/>
          </w:tcPr>
          <w:p w14:paraId="6CD67B9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自行提供</w:t>
            </w:r>
          </w:p>
        </w:tc>
      </w:tr>
      <w:tr w14:paraId="26C17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0913D7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4</w:t>
            </w:r>
          </w:p>
        </w:tc>
        <w:tc>
          <w:tcPr>
            <w:tcW w:w="7350" w:type="dxa"/>
            <w:tcBorders>
              <w:tl2br w:val="nil"/>
              <w:tr2bl w:val="nil"/>
            </w:tcBorders>
          </w:tcPr>
          <w:p w14:paraId="2967A63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《中华人民共和国金融许可证》复印件或扫描件</w:t>
            </w:r>
          </w:p>
        </w:tc>
        <w:tc>
          <w:tcPr>
            <w:tcW w:w="1397" w:type="dxa"/>
            <w:tcBorders>
              <w:tl2br w:val="nil"/>
              <w:tr2bl w:val="nil"/>
            </w:tcBorders>
          </w:tcPr>
          <w:p w14:paraId="36924BC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自行提供</w:t>
            </w:r>
          </w:p>
        </w:tc>
      </w:tr>
      <w:tr w14:paraId="6F10F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3A3E3A0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5</w:t>
            </w:r>
          </w:p>
        </w:tc>
        <w:tc>
          <w:tcPr>
            <w:tcW w:w="7350" w:type="dxa"/>
            <w:tcBorders>
              <w:tl2br w:val="nil"/>
              <w:tr2bl w:val="nil"/>
            </w:tcBorders>
          </w:tcPr>
          <w:p w14:paraId="6FB2F5E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近</w:t>
            </w:r>
            <w:r>
              <w:rPr>
                <w:rFonts w:hint="eastAsia" w:ascii="宋体" w:hAnsi="宋体" w:cs="宋体"/>
                <w:color w:val="auto"/>
                <w:kern w:val="2"/>
                <w:sz w:val="22"/>
                <w:szCs w:val="22"/>
                <w:highlight w:val="none"/>
                <w:lang w:val="en-US" w:eastAsia="zh-CN" w:bidi="ar-SA"/>
              </w:rPr>
              <w:t>三</w:t>
            </w:r>
            <w:r>
              <w:rPr>
                <w:rFonts w:hint="eastAsia" w:ascii="宋体" w:hAnsi="宋体" w:eastAsia="宋体" w:cs="宋体"/>
                <w:color w:val="auto"/>
                <w:kern w:val="2"/>
                <w:sz w:val="22"/>
                <w:szCs w:val="22"/>
                <w:highlight w:val="none"/>
                <w:lang w:val="en-US" w:eastAsia="zh-CN" w:bidi="ar-SA"/>
              </w:rPr>
              <w:t>年内在经营活动中无重大违法违规记录及重大违约事件</w:t>
            </w:r>
            <w:r>
              <w:rPr>
                <w:rFonts w:hint="eastAsia" w:ascii="宋体" w:hAnsi="宋体" w:cs="宋体"/>
                <w:color w:val="auto"/>
                <w:kern w:val="2"/>
                <w:sz w:val="22"/>
                <w:szCs w:val="22"/>
                <w:highlight w:val="none"/>
                <w:lang w:val="en-US" w:eastAsia="zh-CN" w:bidi="ar-SA"/>
              </w:rPr>
              <w:t>的</w:t>
            </w:r>
            <w:r>
              <w:rPr>
                <w:rFonts w:hint="eastAsia" w:ascii="宋体" w:hAnsi="宋体" w:eastAsia="宋体" w:cs="宋体"/>
                <w:color w:val="auto"/>
                <w:kern w:val="2"/>
                <w:sz w:val="22"/>
                <w:szCs w:val="22"/>
                <w:highlight w:val="none"/>
                <w:lang w:val="en-US" w:eastAsia="zh-CN" w:bidi="ar-SA"/>
              </w:rPr>
              <w:t>承诺函</w:t>
            </w:r>
          </w:p>
        </w:tc>
        <w:tc>
          <w:tcPr>
            <w:tcW w:w="1397" w:type="dxa"/>
            <w:tcBorders>
              <w:tl2br w:val="nil"/>
              <w:tr2bl w:val="nil"/>
            </w:tcBorders>
            <w:vAlign w:val="center"/>
          </w:tcPr>
          <w:p w14:paraId="7E250E3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附件</w:t>
            </w:r>
            <w:r>
              <w:rPr>
                <w:rFonts w:hint="eastAsia" w:ascii="宋体" w:hAnsi="宋体" w:cs="宋体"/>
                <w:color w:val="auto"/>
                <w:kern w:val="2"/>
                <w:sz w:val="22"/>
                <w:szCs w:val="22"/>
                <w:highlight w:val="none"/>
                <w:lang w:val="en-US" w:eastAsia="zh-CN" w:bidi="ar-SA"/>
              </w:rPr>
              <w:t>三</w:t>
            </w:r>
          </w:p>
        </w:tc>
      </w:tr>
      <w:tr w14:paraId="5D955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2A583FB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kern w:val="2"/>
                <w:sz w:val="22"/>
                <w:szCs w:val="22"/>
                <w:highlight w:val="none"/>
                <w:lang w:val="en-US" w:eastAsia="zh-CN" w:bidi="ar-SA"/>
              </w:rPr>
              <w:t>6</w:t>
            </w:r>
          </w:p>
        </w:tc>
        <w:tc>
          <w:tcPr>
            <w:tcW w:w="7350" w:type="dxa"/>
            <w:tcBorders>
              <w:tl2br w:val="nil"/>
              <w:tr2bl w:val="nil"/>
            </w:tcBorders>
          </w:tcPr>
          <w:p w14:paraId="1FD5C68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法定代表人（主要负责人）资格证明书</w:t>
            </w:r>
          </w:p>
        </w:tc>
        <w:tc>
          <w:tcPr>
            <w:tcW w:w="1397" w:type="dxa"/>
            <w:tcBorders>
              <w:tl2br w:val="nil"/>
              <w:tr2bl w:val="nil"/>
            </w:tcBorders>
          </w:tcPr>
          <w:p w14:paraId="7BC276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附件</w:t>
            </w:r>
            <w:r>
              <w:rPr>
                <w:rFonts w:hint="eastAsia" w:ascii="宋体" w:hAnsi="宋体" w:cs="宋体"/>
                <w:color w:val="auto"/>
                <w:kern w:val="2"/>
                <w:sz w:val="22"/>
                <w:szCs w:val="22"/>
                <w:highlight w:val="none"/>
                <w:lang w:val="en-US" w:eastAsia="zh-CN" w:bidi="ar-SA"/>
              </w:rPr>
              <w:t>四</w:t>
            </w:r>
          </w:p>
        </w:tc>
      </w:tr>
      <w:tr w14:paraId="680DF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73" w:type="dxa"/>
            <w:tcBorders>
              <w:tl2br w:val="nil"/>
              <w:tr2bl w:val="nil"/>
            </w:tcBorders>
            <w:vAlign w:val="center"/>
          </w:tcPr>
          <w:p w14:paraId="278359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7</w:t>
            </w:r>
          </w:p>
        </w:tc>
        <w:tc>
          <w:tcPr>
            <w:tcW w:w="7350" w:type="dxa"/>
            <w:tcBorders>
              <w:tl2br w:val="nil"/>
              <w:tr2bl w:val="nil"/>
            </w:tcBorders>
          </w:tcPr>
          <w:p w14:paraId="6A8C4BC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法定代表人（主要负责人）授权书（法定代表人（主要负责人）亲自办理投标事宜的，则无需提交</w:t>
            </w:r>
            <w:r>
              <w:rPr>
                <w:rFonts w:hint="eastAsia" w:ascii="宋体" w:hAnsi="宋体" w:cs="宋体"/>
                <w:color w:val="auto"/>
                <w:kern w:val="2"/>
                <w:sz w:val="22"/>
                <w:szCs w:val="22"/>
                <w:highlight w:val="none"/>
                <w:lang w:val="en-US" w:eastAsia="zh-CN" w:bidi="ar-SA"/>
              </w:rPr>
              <w:t>）</w:t>
            </w:r>
          </w:p>
        </w:tc>
        <w:tc>
          <w:tcPr>
            <w:tcW w:w="1397" w:type="dxa"/>
            <w:tcBorders>
              <w:tl2br w:val="nil"/>
              <w:tr2bl w:val="nil"/>
            </w:tcBorders>
            <w:vAlign w:val="center"/>
          </w:tcPr>
          <w:p w14:paraId="428298B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附件</w:t>
            </w:r>
            <w:r>
              <w:rPr>
                <w:rFonts w:hint="eastAsia" w:ascii="宋体" w:hAnsi="宋体" w:cs="宋体"/>
                <w:color w:val="auto"/>
                <w:kern w:val="2"/>
                <w:sz w:val="22"/>
                <w:szCs w:val="22"/>
                <w:highlight w:val="none"/>
                <w:lang w:val="en-US" w:eastAsia="zh-CN" w:bidi="ar-SA"/>
              </w:rPr>
              <w:t>五</w:t>
            </w:r>
          </w:p>
        </w:tc>
      </w:tr>
      <w:tr w14:paraId="2E527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tcBorders>
              <w:tl2br w:val="nil"/>
              <w:tr2bl w:val="nil"/>
            </w:tcBorders>
            <w:vAlign w:val="center"/>
          </w:tcPr>
          <w:p w14:paraId="0CCC75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kern w:val="2"/>
                <w:sz w:val="22"/>
                <w:szCs w:val="22"/>
                <w:highlight w:val="none"/>
                <w:lang w:val="en-US" w:eastAsia="zh-CN" w:bidi="ar-SA"/>
              </w:rPr>
              <w:t>8</w:t>
            </w:r>
          </w:p>
        </w:tc>
        <w:tc>
          <w:tcPr>
            <w:tcW w:w="7350" w:type="dxa"/>
            <w:tcBorders>
              <w:tl2br w:val="nil"/>
              <w:tr2bl w:val="nil"/>
            </w:tcBorders>
          </w:tcPr>
          <w:p w14:paraId="4252106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zh-CN" w:eastAsia="zh-CN" w:bidi="ar-SA"/>
              </w:rPr>
              <w:t>人民银行台州市分行上年度综合评价B级及以上证明材料，不纳入人民银行台州市分行综合评价范围的银行请提供相关证明材料</w:t>
            </w:r>
            <w:r>
              <w:rPr>
                <w:rFonts w:hint="eastAsia" w:hAnsi="宋体" w:cs="宋体"/>
                <w:color w:val="auto"/>
                <w:sz w:val="22"/>
                <w:szCs w:val="22"/>
                <w:highlight w:val="none"/>
                <w:lang w:val="en-US" w:eastAsia="zh-CN"/>
              </w:rPr>
              <w:t>（如</w:t>
            </w:r>
            <w:r>
              <w:rPr>
                <w:rFonts w:hint="eastAsia" w:ascii="宋体" w:hAnsi="宋体" w:eastAsia="宋体" w:cs="宋体"/>
                <w:color w:val="auto"/>
                <w:sz w:val="22"/>
                <w:szCs w:val="22"/>
                <w:highlight w:val="none"/>
                <w:lang w:val="en-US" w:eastAsia="zh-CN"/>
              </w:rPr>
              <w:t>人民银行</w:t>
            </w:r>
            <w:r>
              <w:rPr>
                <w:rFonts w:hint="eastAsia" w:hAnsi="宋体" w:cs="宋体"/>
                <w:color w:val="auto"/>
                <w:sz w:val="22"/>
                <w:szCs w:val="22"/>
                <w:highlight w:val="none"/>
                <w:lang w:val="en-US" w:eastAsia="zh-CN"/>
              </w:rPr>
              <w:t>台州市分行未对投标人的支行作出综合评价，投标人可采用上级分行的综合评价材料）</w:t>
            </w:r>
          </w:p>
        </w:tc>
        <w:tc>
          <w:tcPr>
            <w:tcW w:w="1397" w:type="dxa"/>
            <w:tcBorders>
              <w:tl2br w:val="nil"/>
              <w:tr2bl w:val="nil"/>
            </w:tcBorders>
            <w:vAlign w:val="center"/>
          </w:tcPr>
          <w:p w14:paraId="38109C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自行提供</w:t>
            </w:r>
          </w:p>
        </w:tc>
      </w:tr>
      <w:tr w14:paraId="2E800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1A69334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9</w:t>
            </w:r>
          </w:p>
        </w:tc>
        <w:tc>
          <w:tcPr>
            <w:tcW w:w="7350" w:type="dxa"/>
            <w:tcBorders>
              <w:tl2br w:val="nil"/>
              <w:tr2bl w:val="nil"/>
            </w:tcBorders>
          </w:tcPr>
          <w:p w14:paraId="79964F5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廉政承诺书</w:t>
            </w:r>
          </w:p>
        </w:tc>
        <w:tc>
          <w:tcPr>
            <w:tcW w:w="1397" w:type="dxa"/>
            <w:tcBorders>
              <w:tl2br w:val="nil"/>
              <w:tr2bl w:val="nil"/>
            </w:tcBorders>
          </w:tcPr>
          <w:p w14:paraId="20B756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附件</w:t>
            </w:r>
            <w:r>
              <w:rPr>
                <w:rFonts w:hint="eastAsia" w:ascii="宋体" w:hAnsi="宋体" w:cs="宋体"/>
                <w:color w:val="auto"/>
                <w:kern w:val="2"/>
                <w:sz w:val="22"/>
                <w:szCs w:val="22"/>
                <w:highlight w:val="none"/>
                <w:lang w:val="en-US" w:eastAsia="zh-CN" w:bidi="ar-SA"/>
              </w:rPr>
              <w:t>六</w:t>
            </w:r>
          </w:p>
        </w:tc>
      </w:tr>
      <w:tr w14:paraId="77610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6FE3DA4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10</w:t>
            </w:r>
          </w:p>
        </w:tc>
        <w:tc>
          <w:tcPr>
            <w:tcW w:w="7350" w:type="dxa"/>
            <w:tcBorders>
              <w:tl2br w:val="nil"/>
              <w:tr2bl w:val="nil"/>
            </w:tcBorders>
          </w:tcPr>
          <w:p w14:paraId="067FF18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根据第五章评标办法编制的内容，如服务方案</w:t>
            </w:r>
          </w:p>
        </w:tc>
        <w:tc>
          <w:tcPr>
            <w:tcW w:w="1397" w:type="dxa"/>
            <w:tcBorders>
              <w:tl2br w:val="nil"/>
              <w:tr2bl w:val="nil"/>
            </w:tcBorders>
          </w:tcPr>
          <w:p w14:paraId="04DAA8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如有</w:t>
            </w:r>
          </w:p>
        </w:tc>
      </w:tr>
      <w:tr w14:paraId="72EDC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0F0C13C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11</w:t>
            </w:r>
          </w:p>
        </w:tc>
        <w:tc>
          <w:tcPr>
            <w:tcW w:w="7350" w:type="dxa"/>
            <w:tcBorders>
              <w:tl2br w:val="nil"/>
              <w:tr2bl w:val="nil"/>
            </w:tcBorders>
          </w:tcPr>
          <w:p w14:paraId="07C50D7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认为需要提供的其他资料</w:t>
            </w:r>
          </w:p>
        </w:tc>
        <w:tc>
          <w:tcPr>
            <w:tcW w:w="1397" w:type="dxa"/>
            <w:tcBorders>
              <w:tl2br w:val="nil"/>
              <w:tr2bl w:val="nil"/>
            </w:tcBorders>
          </w:tcPr>
          <w:p w14:paraId="1131D79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如有</w:t>
            </w:r>
          </w:p>
        </w:tc>
      </w:tr>
      <w:tr w14:paraId="5A7EF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tcBorders>
              <w:tl2br w:val="nil"/>
              <w:tr2bl w:val="nil"/>
            </w:tcBorders>
            <w:vAlign w:val="center"/>
          </w:tcPr>
          <w:p w14:paraId="16EDB01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color w:val="auto"/>
                <w:highlight w:val="none"/>
                <w:lang w:eastAsia="zh-CN"/>
              </w:rPr>
            </w:pPr>
            <w:r>
              <w:rPr>
                <w:rFonts w:hint="eastAsia" w:ascii="宋体" w:hAnsi="宋体" w:eastAsia="宋体" w:cs="宋体"/>
                <w:color w:val="auto"/>
                <w:kern w:val="2"/>
                <w:sz w:val="22"/>
                <w:szCs w:val="22"/>
                <w:highlight w:val="none"/>
                <w:lang w:val="en-US" w:eastAsia="zh-CN" w:bidi="ar-SA"/>
              </w:rPr>
              <w:t>说明：</w:t>
            </w:r>
            <w:r>
              <w:rPr>
                <w:rFonts w:hint="eastAsia" w:ascii="宋体" w:hAnsi="宋体" w:eastAsia="宋体" w:cs="宋体"/>
                <w:b/>
                <w:bCs/>
                <w:color w:val="auto"/>
                <w:kern w:val="2"/>
                <w:sz w:val="22"/>
                <w:szCs w:val="22"/>
                <w:highlight w:val="none"/>
                <w:u w:val="single"/>
                <w:lang w:val="en-US" w:eastAsia="zh-CN" w:bidi="ar-SA"/>
              </w:rPr>
              <w:t>以上所需的各种证书、证件、证明、执照若系复印件的，须在复印件上加盖</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有效的单位公章；所有附件格式均为模板，</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须根据项目实际要求进行填写。</w:t>
            </w:r>
          </w:p>
        </w:tc>
      </w:tr>
    </w:tbl>
    <w:p w14:paraId="1C649C6E">
      <w:pPr>
        <w:bidi w:val="0"/>
        <w:rPr>
          <w:rFonts w:hint="eastAsia"/>
          <w:color w:val="auto"/>
          <w:lang w:val="en-US" w:eastAsia="zh-CN"/>
        </w:rPr>
      </w:pPr>
    </w:p>
    <w:p w14:paraId="1A3D8C27">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3.2投标文件编制</w:t>
      </w:r>
    </w:p>
    <w:p w14:paraId="3874D760">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（1）内容编制</w:t>
      </w:r>
    </w:p>
    <w:p w14:paraId="6A4BBCA9">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①投标文件应按照本章 3.1款中规定的顺序及采用“投标文件格式”中提供的格式进行编制，并通过政采云平台进行投标。投标文件编制具体流程详见操作指南：登录政府采购云平台（https://www.zcygov.cn/），从首页</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服务中心</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帮助文档</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公款竞争性存放</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操作流程，查看文档。</w:t>
      </w:r>
    </w:p>
    <w:p w14:paraId="1A82B968">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②投标文件应当对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规定的内容进行对应明确说明，对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规定的实质性内容应当作出响应。</w:t>
      </w:r>
    </w:p>
    <w:p w14:paraId="17CD0E2C">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③采购人如对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有澄清或修改，</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应按澄清或修改内容对投标信息进行补充或者修改，补充和修改时如投标成功的，应当先行撤回原文件，补充、修改后重新上传并对投标信息进行确认。</w:t>
      </w:r>
    </w:p>
    <w:p w14:paraId="1D745E0B">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④由于字迹模糊或表达不清引起的后果由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负责。</w:t>
      </w:r>
    </w:p>
    <w:p w14:paraId="10556262">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⑤为了避免页面存在兼容性问题，建议使用谷歌 Chrome或360浏览器操作。</w:t>
      </w:r>
    </w:p>
    <w:p w14:paraId="0687E16A">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⑥投标文件可以线下完成盖章后上传政府采购云平台。</w:t>
      </w:r>
    </w:p>
    <w:p w14:paraId="32E01DD9">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（2）格式要求</w:t>
      </w:r>
    </w:p>
    <w:p w14:paraId="687C9541">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①投标文件应编制目录。</w:t>
      </w:r>
    </w:p>
    <w:p w14:paraId="5B74BD0F">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②投标文件格式为PDF。</w:t>
      </w:r>
    </w:p>
    <w:p w14:paraId="6E265921">
      <w:pPr>
        <w:keepNext w:val="0"/>
        <w:keepLines w:val="0"/>
        <w:pageBreakBefore w:val="0"/>
        <w:widowControl w:val="0"/>
        <w:kinsoku/>
        <w:wordWrap/>
        <w:overflowPunct/>
        <w:topLinePunct w:val="0"/>
        <w:autoSpaceDE/>
        <w:autoSpaceDN/>
        <w:bidi w:val="0"/>
        <w:adjustRightInd/>
        <w:snapToGrid/>
        <w:spacing w:line="470" w:lineRule="exact"/>
        <w:ind w:firstLine="442"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③单个文件上传大小上限为300M</w:t>
      </w:r>
      <w:r>
        <w:rPr>
          <w:rFonts w:hint="eastAsia" w:ascii="宋体" w:hAnsi="宋体" w:eastAsia="宋体" w:cs="宋体"/>
          <w:color w:val="auto"/>
          <w:kern w:val="2"/>
          <w:sz w:val="22"/>
          <w:szCs w:val="22"/>
          <w:highlight w:val="none"/>
          <w:lang w:val="en-US" w:eastAsia="zh-CN" w:bidi="ar-SA"/>
        </w:rPr>
        <w:t>。</w:t>
      </w:r>
    </w:p>
    <w:p w14:paraId="1FC8FECD">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4.投标报价</w:t>
      </w:r>
    </w:p>
    <w:p w14:paraId="11752560">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4.1 投标报价是指</w:t>
      </w:r>
      <w:r>
        <w:rPr>
          <w:rFonts w:hint="eastAsia" w:ascii="宋体" w:hAnsi="宋体" w:cs="宋体"/>
          <w:b/>
          <w:bCs/>
          <w:color w:val="auto"/>
          <w:kern w:val="2"/>
          <w:sz w:val="22"/>
          <w:szCs w:val="22"/>
          <w:highlight w:val="none"/>
          <w:lang w:val="en-US" w:eastAsia="zh-CN" w:bidi="ar-SA"/>
        </w:rPr>
        <w:t>竞标银行</w:t>
      </w:r>
      <w:r>
        <w:rPr>
          <w:rFonts w:hint="eastAsia" w:ascii="宋体" w:hAnsi="宋体" w:eastAsia="宋体" w:cs="宋体"/>
          <w:b/>
          <w:bCs/>
          <w:color w:val="auto"/>
          <w:kern w:val="2"/>
          <w:sz w:val="22"/>
          <w:szCs w:val="22"/>
          <w:highlight w:val="none"/>
          <w:lang w:val="en-US" w:eastAsia="zh-CN" w:bidi="ar-SA"/>
        </w:rPr>
        <w:t>针对本项目的存款资金综合收益指标，以存款利率形式报价。</w:t>
      </w:r>
    </w:p>
    <w:p w14:paraId="2824CFF8">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4.2</w:t>
      </w:r>
      <w:r>
        <w:rPr>
          <w:rFonts w:hint="eastAsia" w:ascii="宋体" w:hAnsi="宋体" w:eastAsia="宋体" w:cs="宋体"/>
          <w:color w:val="auto"/>
          <w:kern w:val="2"/>
          <w:sz w:val="22"/>
          <w:szCs w:val="22"/>
          <w:highlight w:val="none"/>
          <w:u w:val="single"/>
          <w:lang w:val="en-US" w:eastAsia="zh-CN" w:bidi="ar-SA"/>
        </w:rPr>
        <w:t>▲所投标项只允许有一个报价，不接受有选择报价的投标文件</w:t>
      </w:r>
      <w:r>
        <w:rPr>
          <w:rFonts w:hint="eastAsia" w:ascii="宋体" w:hAnsi="宋体" w:eastAsia="宋体" w:cs="宋体"/>
          <w:color w:val="auto"/>
          <w:kern w:val="2"/>
          <w:sz w:val="22"/>
          <w:szCs w:val="22"/>
          <w:highlight w:val="none"/>
          <w:lang w:val="en-US" w:eastAsia="zh-CN" w:bidi="ar-SA"/>
        </w:rPr>
        <w:t>。</w:t>
      </w:r>
    </w:p>
    <w:p w14:paraId="3CE0CC2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4.3</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应在“政府采购云平台”中填写报价，报价应与上传的投标文件内容一致，如有不一致，以上传的投标文件中报价为准。</w:t>
      </w:r>
    </w:p>
    <w:p w14:paraId="46BAD606">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4.4</w:t>
      </w:r>
      <w:r>
        <w:rPr>
          <w:rFonts w:hint="eastAsia" w:ascii="宋体" w:hAnsi="宋体" w:eastAsia="宋体" w:cs="宋体"/>
          <w:b/>
          <w:bCs/>
          <w:color w:val="auto"/>
          <w:kern w:val="2"/>
          <w:sz w:val="22"/>
          <w:szCs w:val="22"/>
          <w:highlight w:val="none"/>
          <w:u w:val="single"/>
          <w:lang w:val="en-US" w:eastAsia="zh-CN" w:bidi="ar-SA"/>
        </w:rPr>
        <w:t>投标报价报出后，</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不得以任何理由予以变更。任何包含价格调整的要求，将被认为是非实质性响应投标而予以拒绝</w:t>
      </w:r>
      <w:r>
        <w:rPr>
          <w:rFonts w:hint="eastAsia" w:ascii="宋体" w:hAnsi="宋体" w:eastAsia="宋体" w:cs="宋体"/>
          <w:b/>
          <w:bCs/>
          <w:color w:val="auto"/>
          <w:kern w:val="2"/>
          <w:sz w:val="22"/>
          <w:szCs w:val="22"/>
          <w:highlight w:val="none"/>
          <w:lang w:val="en-US" w:eastAsia="zh-CN" w:bidi="ar-SA"/>
        </w:rPr>
        <w:t>。</w:t>
      </w:r>
    </w:p>
    <w:p w14:paraId="0B914BF0">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5.投标有效期</w:t>
      </w:r>
    </w:p>
    <w:p w14:paraId="70DF0C1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b/>
          <w:bCs/>
          <w:color w:val="auto"/>
          <w:kern w:val="2"/>
          <w:sz w:val="22"/>
          <w:szCs w:val="22"/>
          <w:highlight w:val="none"/>
          <w:u w:val="single"/>
          <w:lang w:val="en-US" w:eastAsia="zh-CN" w:bidi="ar-SA"/>
        </w:rPr>
        <w:t>▲自开标之日起90日内投标应保持投标有效</w:t>
      </w:r>
      <w:r>
        <w:rPr>
          <w:rFonts w:hint="eastAsia" w:ascii="宋体" w:hAnsi="宋体" w:eastAsia="宋体" w:cs="宋体"/>
          <w:color w:val="auto"/>
          <w:kern w:val="2"/>
          <w:sz w:val="22"/>
          <w:szCs w:val="22"/>
          <w:highlight w:val="none"/>
          <w:lang w:val="en-US" w:eastAsia="zh-CN" w:bidi="ar-SA"/>
        </w:rPr>
        <w:t>。</w:t>
      </w:r>
    </w:p>
    <w:p w14:paraId="1A5DBF4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.2特殊情况下，在原投标有效期截止前，采购人可与</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协商延长投标有效期，这种要求和答复均以书面形式进行。</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可拒绝接受延期要求，也可以接受延期要求。同意延长投标有效期的</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不得修改投标文件。</w:t>
      </w:r>
    </w:p>
    <w:p w14:paraId="3838509F">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lang w:val="en-US" w:eastAsia="zh-CN"/>
        </w:rPr>
        <w:t>.投标文件的签署和规定</w:t>
      </w:r>
    </w:p>
    <w:p w14:paraId="6345A57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应按本</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规定的格式和顺序编制投标文件并标注页码，投标文件内容不完整、编排混乱导致投标文件被误读、漏读或者查找不到相关内容的，是</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的责任。</w:t>
      </w:r>
    </w:p>
    <w:p w14:paraId="0947230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.2投标文件须由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在规定位置盖章并由法定负责人或授权委托人签署，</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应写全称。</w:t>
      </w:r>
    </w:p>
    <w:p w14:paraId="6E8DD9D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.3投标文件不得涂改，若有修改错漏处，须加盖</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公章或者法定负责人或授权委托人签名或盖章。投标文件因字迹潦草或表达不清所引起的后果由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负责。</w:t>
      </w:r>
      <w:bookmarkStart w:id="11" w:name="_Toc230773778"/>
      <w:bookmarkStart w:id="12" w:name="_Toc103948071"/>
    </w:p>
    <w:p w14:paraId="71B2CD96">
      <w:pPr>
        <w:pStyle w:val="4"/>
        <w:keepLines w:val="0"/>
        <w:pageBreakBefore w:val="0"/>
        <w:widowControl w:val="0"/>
        <w:kinsoku/>
        <w:wordWrap/>
        <w:overflowPunct/>
        <w:topLinePunct w:val="0"/>
        <w:autoSpaceDE/>
        <w:autoSpaceDN/>
        <w:bidi w:val="0"/>
        <w:snapToGrid/>
        <w:spacing w:line="470" w:lineRule="exact"/>
        <w:textAlignment w:val="auto"/>
        <w:rPr>
          <w:rFonts w:hint="eastAsia"/>
          <w:color w:val="auto"/>
          <w:highlight w:val="none"/>
          <w:lang w:val="en-US" w:eastAsia="zh-CN"/>
        </w:rPr>
      </w:pPr>
      <w:r>
        <w:rPr>
          <w:rFonts w:hint="eastAsia"/>
          <w:color w:val="auto"/>
          <w:highlight w:val="none"/>
          <w:lang w:val="en-US" w:eastAsia="zh-CN"/>
        </w:rPr>
        <w:t>四、 投标文件的递交</w:t>
      </w:r>
      <w:bookmarkEnd w:id="11"/>
      <w:bookmarkEnd w:id="12"/>
    </w:p>
    <w:p w14:paraId="29C5F651">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1.投标文件的递交</w:t>
      </w:r>
    </w:p>
    <w:p w14:paraId="07F9A96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到达投标时间后，</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可通过政采云平台进行投标。</w:t>
      </w:r>
    </w:p>
    <w:p w14:paraId="7415069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【提示】投标和投标信息确认两个步骤操作，</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务必在规定时间内完成，否则视为投标逾期。</w:t>
      </w:r>
    </w:p>
    <w:p w14:paraId="3948FB5F">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菜单路径：用户中心—公款竞争性存放—竞标项目。</w:t>
      </w:r>
    </w:p>
    <w:p w14:paraId="6810AB83">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（1）在“竞标项目</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进行中”标签页下，选择状态为“待投标”的项目，点击操作栏【投标】按钮，进行投标。</w:t>
      </w:r>
    </w:p>
    <w:p w14:paraId="70D6502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（2）为避免</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在规定时间内无法完成项目投标与投标信息确认，</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报名审核通过后，可先将投标信息维护好，并点击【保存】，暂存投标信息，项目到达投标时间后，只需提交投标信息以及确认投标信息。</w:t>
      </w:r>
    </w:p>
    <w:p w14:paraId="2E5BDE0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（3）到达投标时间后，</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进入投标信息页面。</w:t>
      </w:r>
    </w:p>
    <w:p w14:paraId="5026F3B1">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【填写注意事项】</w:t>
      </w:r>
    </w:p>
    <w:p w14:paraId="0CA6C37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注意投标结束时间。</w:t>
      </w:r>
    </w:p>
    <w:p w14:paraId="0203443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选择对应的标项填写投标信息。</w:t>
      </w:r>
    </w:p>
    <w:p w14:paraId="0768482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对各审查项进行响应，响应文件必须以 PDF 格式上传，上传后如</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需要使用 CA（申领 CA，请参考《CA 申领操作指南》，）对上传文件进行签章。</w:t>
      </w:r>
    </w:p>
    <w:p w14:paraId="2FD95C9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“评分规则”一栏，展示的是完整的评分指标体系。</w:t>
      </w:r>
    </w:p>
    <w:p w14:paraId="2E367FB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指标来源分为：财政部门提供、采购人提供和</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投标三种。财政部门提供的指标由省厅录入，采购人提供的指标由招标代理机构录入；</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投标的指标需在线进行响应。</w:t>
      </w:r>
    </w:p>
    <w:p w14:paraId="6CB858C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主观分的响应内容，</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需以 PDF 文件形式进行响应。</w:t>
      </w:r>
    </w:p>
    <w:p w14:paraId="4CEE5AAE">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客观分的响应内容</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可直接填写。</w:t>
      </w:r>
    </w:p>
    <w:p w14:paraId="2E97424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（4）确认投标信息无误，点击右上角【提交】。</w:t>
      </w:r>
    </w:p>
    <w:p w14:paraId="406A49DE">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（5）在弹框里选择内部审核人员，点击【确定】。</w:t>
      </w:r>
    </w:p>
    <w:p w14:paraId="51A716CC">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【提示】在投标截止时间前需完成投标确认，通过后才视为投标成功。</w:t>
      </w:r>
    </w:p>
    <w:p w14:paraId="1D88CF93">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2.投标信息确认</w:t>
      </w:r>
    </w:p>
    <w:p w14:paraId="7684E6E1">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投标完成，需确认投标信息后才视为投标成功。</w:t>
      </w:r>
    </w:p>
    <w:p w14:paraId="3B393AA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【提示】投标和投标信息确认两步操作，</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务必在规定的时间内完成，否则视为投标逾期。菜单路径：用户中心—公款竞争性存放—竞标项目</w:t>
      </w:r>
    </w:p>
    <w:p w14:paraId="108F20A0">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（1）在“竞标项目</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进行中”标签页下，选择状态为“待确认”的项目，点击操作栏【确认】。</w:t>
      </w:r>
    </w:p>
    <w:p w14:paraId="1EB1580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（2）系统跳转至投标信息确认页面，查看对应标项投标信息。</w:t>
      </w:r>
    </w:p>
    <w:p w14:paraId="178618D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（3）如确认投标信息无误后，点击右上角【确认】。</w:t>
      </w:r>
    </w:p>
    <w:p w14:paraId="654BC2E1">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（4）在弹框里确认结果选择【同意】，投标成功。</w:t>
      </w:r>
    </w:p>
    <w:p w14:paraId="156209F3">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（5）如对投标信息有异议，确认结果选择【不同意】并填写确认意见，回退至投标环节，修改信息。</w:t>
      </w:r>
    </w:p>
    <w:p w14:paraId="7D4D272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完成状态：</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投标成功后，在“竞标项目</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进行中”标签页下显示状态为“待开标”。</w:t>
      </w:r>
    </w:p>
    <w:p w14:paraId="5C880EEC">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【提示】在投标截止时间之前，</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可“撤回”投标，项目到达开标时间后，</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可点击“查看”，查看开标情况。</w:t>
      </w:r>
    </w:p>
    <w:p w14:paraId="28D183A0">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3.投标文件的修改和撤回</w:t>
      </w:r>
    </w:p>
    <w:p w14:paraId="6E7C9B6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在投标以后如必须补充、修改或撤回投标文件，必须在投标截止时间以前在“政府采购云平台”上补充、修改或撤回投标文件。补充、修改电子投标文件的，应当先行撤回原文件，补充、修改后重新上传并对投标信息进行确认。投标截止时间前未完成投标信息确认的，视为撤回投标文件。</w:t>
      </w:r>
    </w:p>
    <w:p w14:paraId="3FD6E461">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4.备选投标方案</w:t>
      </w:r>
    </w:p>
    <w:p w14:paraId="35118A03">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hAnsi="宋体" w:cs="宋体"/>
          <w:b/>
          <w:color w:val="auto"/>
          <w:highlight w:val="none"/>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不得提交备选投标方案，否则，投标文件将被判定为无效标</w:t>
      </w:r>
      <w:r>
        <w:rPr>
          <w:rFonts w:hint="eastAsia" w:ascii="宋体" w:hAnsi="宋体" w:cs="宋体"/>
          <w:color w:val="auto"/>
          <w:sz w:val="24"/>
          <w:szCs w:val="24"/>
          <w:highlight w:val="none"/>
        </w:rPr>
        <w:t>。</w:t>
      </w:r>
    </w:p>
    <w:p w14:paraId="105D0F18">
      <w:pPr>
        <w:pStyle w:val="4"/>
        <w:keepLines w:val="0"/>
        <w:pageBreakBefore w:val="0"/>
        <w:widowControl w:val="0"/>
        <w:kinsoku/>
        <w:wordWrap/>
        <w:overflowPunct/>
        <w:topLinePunct w:val="0"/>
        <w:autoSpaceDE/>
        <w:autoSpaceDN/>
        <w:bidi w:val="0"/>
        <w:snapToGrid/>
        <w:spacing w:line="470" w:lineRule="exact"/>
        <w:textAlignment w:val="auto"/>
        <w:rPr>
          <w:rFonts w:hint="eastAsia"/>
          <w:color w:val="auto"/>
          <w:highlight w:val="none"/>
          <w:lang w:val="en-US" w:eastAsia="zh-CN"/>
        </w:rPr>
      </w:pPr>
      <w:r>
        <w:rPr>
          <w:rFonts w:hint="eastAsia"/>
          <w:color w:val="auto"/>
          <w:highlight w:val="none"/>
          <w:lang w:val="en-US" w:eastAsia="zh-CN"/>
        </w:rPr>
        <w:t>五、开标、评标及定标</w:t>
      </w:r>
    </w:p>
    <w:p w14:paraId="67AA16D5">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1.评标委员会</w:t>
      </w:r>
    </w:p>
    <w:p w14:paraId="0B4592F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采购人依法组建评标委员会。</w:t>
      </w:r>
    </w:p>
    <w:p w14:paraId="3A6429A6">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2.评标过程的保密性</w:t>
      </w:r>
    </w:p>
    <w:p w14:paraId="3CA72E0E">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开标后直至向</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授予</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时止，凡与评审有关的资料均不得向</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及与评标无关人员透露。如果</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在评标过程中试图向采购人施加影响，其投标将被拒绝。</w:t>
      </w:r>
    </w:p>
    <w:p w14:paraId="353B8A7F">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 开标</w:t>
      </w:r>
    </w:p>
    <w:p w14:paraId="73AB933B">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3.1采购人</w:t>
      </w:r>
      <w:r>
        <w:rPr>
          <w:rFonts w:hint="default" w:ascii="宋体" w:hAnsi="宋体" w:eastAsia="宋体" w:cs="宋体"/>
          <w:color w:val="auto"/>
          <w:kern w:val="2"/>
          <w:sz w:val="22"/>
          <w:szCs w:val="22"/>
          <w:highlight w:val="none"/>
          <w:lang w:val="en-US" w:eastAsia="zh-CN" w:bidi="ar-SA"/>
        </w:rPr>
        <w:t>按</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竞标银行</w:t>
      </w:r>
      <w:r>
        <w:rPr>
          <w:rFonts w:hint="default" w:ascii="宋体" w:hAnsi="宋体" w:eastAsia="宋体" w:cs="宋体"/>
          <w:color w:val="auto"/>
          <w:kern w:val="2"/>
          <w:sz w:val="22"/>
          <w:szCs w:val="22"/>
          <w:highlight w:val="none"/>
          <w:lang w:val="en-US" w:eastAsia="zh-CN" w:bidi="ar-SA"/>
        </w:rPr>
        <w:t>须知前附表</w:t>
      </w:r>
      <w:r>
        <w:rPr>
          <w:rFonts w:hint="eastAsia" w:ascii="宋体" w:hAnsi="宋体" w:eastAsia="宋体" w:cs="宋体"/>
          <w:color w:val="auto"/>
          <w:kern w:val="2"/>
          <w:sz w:val="22"/>
          <w:szCs w:val="22"/>
          <w:highlight w:val="none"/>
          <w:lang w:val="en-US" w:eastAsia="zh-CN" w:bidi="ar-SA"/>
        </w:rPr>
        <w:t>”</w:t>
      </w:r>
      <w:r>
        <w:rPr>
          <w:rFonts w:hint="default" w:ascii="宋体" w:hAnsi="宋体" w:eastAsia="宋体" w:cs="宋体"/>
          <w:color w:val="auto"/>
          <w:kern w:val="2"/>
          <w:sz w:val="22"/>
          <w:szCs w:val="22"/>
          <w:highlight w:val="none"/>
          <w:lang w:val="en-US" w:eastAsia="zh-CN" w:bidi="ar-SA"/>
        </w:rPr>
        <w:t>规定的时间、地点公开开标</w:t>
      </w:r>
      <w:r>
        <w:rPr>
          <w:rFonts w:hint="eastAsia" w:ascii="宋体" w:hAnsi="宋体" w:eastAsia="宋体" w:cs="宋体"/>
          <w:color w:val="auto"/>
          <w:kern w:val="2"/>
          <w:sz w:val="22"/>
          <w:szCs w:val="22"/>
          <w:highlight w:val="none"/>
          <w:lang w:val="en-US" w:eastAsia="zh-CN" w:bidi="ar-SA"/>
        </w:rPr>
        <w:t>。</w:t>
      </w:r>
    </w:p>
    <w:p w14:paraId="2BCC554E">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3.2</w:t>
      </w:r>
      <w:r>
        <w:rPr>
          <w:rFonts w:hint="eastAsia" w:ascii="宋体" w:hAnsi="宋体" w:cs="宋体"/>
          <w:color w:val="auto"/>
          <w:kern w:val="2"/>
          <w:sz w:val="22"/>
          <w:szCs w:val="22"/>
          <w:highlight w:val="none"/>
          <w:lang w:val="en-US" w:eastAsia="zh-CN" w:bidi="ar-SA"/>
        </w:rPr>
        <w:t>竞标银行</w:t>
      </w:r>
      <w:r>
        <w:rPr>
          <w:rFonts w:hint="default" w:ascii="宋体" w:hAnsi="宋体" w:eastAsia="宋体" w:cs="宋体"/>
          <w:color w:val="auto"/>
          <w:kern w:val="2"/>
          <w:sz w:val="22"/>
          <w:szCs w:val="22"/>
          <w:highlight w:val="none"/>
          <w:lang w:val="en-US" w:eastAsia="zh-CN" w:bidi="ar-SA"/>
        </w:rPr>
        <w:t>代表可在线参加开标活动，查看开标情况</w:t>
      </w:r>
      <w:r>
        <w:rPr>
          <w:rFonts w:hint="eastAsia" w:ascii="宋体" w:hAnsi="宋体" w:eastAsia="宋体" w:cs="宋体"/>
          <w:color w:val="auto"/>
          <w:kern w:val="2"/>
          <w:sz w:val="22"/>
          <w:szCs w:val="22"/>
          <w:highlight w:val="none"/>
          <w:lang w:val="en-US" w:eastAsia="zh-CN" w:bidi="ar-SA"/>
        </w:rPr>
        <w:t>。</w:t>
      </w:r>
    </w:p>
    <w:p w14:paraId="4A30551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3.3采购代理机构根据政采云规定的流程进行开标、记录</w:t>
      </w:r>
      <w:r>
        <w:rPr>
          <w:rFonts w:hint="eastAsia" w:ascii="宋体" w:hAnsi="宋体" w:cs="宋体"/>
          <w:color w:val="auto"/>
          <w:kern w:val="2"/>
          <w:sz w:val="22"/>
          <w:szCs w:val="22"/>
          <w:highlight w:val="none"/>
          <w:lang w:val="en-US" w:eastAsia="zh-CN" w:bidi="ar-SA"/>
        </w:rPr>
        <w:t>等</w:t>
      </w:r>
      <w:r>
        <w:rPr>
          <w:rFonts w:hint="eastAsia" w:ascii="宋体" w:hAnsi="宋体" w:eastAsia="宋体" w:cs="宋体"/>
          <w:color w:val="auto"/>
          <w:kern w:val="2"/>
          <w:sz w:val="22"/>
          <w:szCs w:val="22"/>
          <w:highlight w:val="none"/>
          <w:lang w:val="en-US" w:eastAsia="zh-CN" w:bidi="ar-SA"/>
        </w:rPr>
        <w:t>流程。</w:t>
      </w:r>
    </w:p>
    <w:p w14:paraId="7878225B">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3.4</w:t>
      </w:r>
      <w:r>
        <w:rPr>
          <w:rFonts w:hint="default" w:ascii="宋体" w:hAnsi="宋体" w:eastAsia="宋体" w:cs="宋体"/>
          <w:color w:val="auto"/>
          <w:kern w:val="2"/>
          <w:sz w:val="22"/>
          <w:szCs w:val="22"/>
          <w:highlight w:val="none"/>
          <w:lang w:val="en-US" w:eastAsia="zh-CN" w:bidi="ar-SA"/>
        </w:rPr>
        <w:t>开标结束后，如发现开标结果与投标文件不一致者，以投标文件内容为准</w:t>
      </w:r>
      <w:r>
        <w:rPr>
          <w:rFonts w:hint="eastAsia" w:ascii="宋体" w:hAnsi="宋体" w:eastAsia="宋体" w:cs="宋体"/>
          <w:color w:val="auto"/>
          <w:kern w:val="2"/>
          <w:sz w:val="22"/>
          <w:szCs w:val="22"/>
          <w:highlight w:val="none"/>
          <w:lang w:val="en-US" w:eastAsia="zh-CN" w:bidi="ar-SA"/>
        </w:rPr>
        <w:t>。</w:t>
      </w:r>
    </w:p>
    <w:p w14:paraId="75706570">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3.5</w:t>
      </w:r>
      <w:r>
        <w:rPr>
          <w:rFonts w:hint="default" w:ascii="宋体" w:hAnsi="宋体" w:eastAsia="宋体" w:cs="宋体"/>
          <w:color w:val="auto"/>
          <w:kern w:val="2"/>
          <w:sz w:val="22"/>
          <w:szCs w:val="22"/>
          <w:highlight w:val="none"/>
          <w:lang w:val="en-US" w:eastAsia="zh-CN" w:bidi="ar-SA"/>
        </w:rPr>
        <w:t>评选结果出来后，</w:t>
      </w:r>
      <w:r>
        <w:rPr>
          <w:rFonts w:hint="eastAsia" w:ascii="宋体" w:hAnsi="宋体" w:cs="宋体"/>
          <w:color w:val="auto"/>
          <w:kern w:val="2"/>
          <w:sz w:val="22"/>
          <w:szCs w:val="22"/>
          <w:highlight w:val="none"/>
          <w:lang w:val="en-US" w:eastAsia="zh-CN" w:bidi="ar-SA"/>
        </w:rPr>
        <w:t>竞标银行</w:t>
      </w:r>
      <w:r>
        <w:rPr>
          <w:rFonts w:hint="default" w:ascii="宋体" w:hAnsi="宋体" w:eastAsia="宋体" w:cs="宋体"/>
          <w:color w:val="auto"/>
          <w:kern w:val="2"/>
          <w:sz w:val="22"/>
          <w:szCs w:val="22"/>
          <w:highlight w:val="none"/>
          <w:lang w:val="en-US" w:eastAsia="zh-CN" w:bidi="ar-SA"/>
        </w:rPr>
        <w:t>可通过政采云平台查看评选结果</w:t>
      </w:r>
      <w:r>
        <w:rPr>
          <w:rFonts w:hint="eastAsia" w:ascii="宋体" w:hAnsi="宋体" w:eastAsia="宋体" w:cs="宋体"/>
          <w:color w:val="auto"/>
          <w:kern w:val="2"/>
          <w:sz w:val="22"/>
          <w:szCs w:val="22"/>
          <w:highlight w:val="none"/>
          <w:lang w:val="en-US" w:eastAsia="zh-CN" w:bidi="ar-SA"/>
        </w:rPr>
        <w:t>。</w:t>
      </w:r>
    </w:p>
    <w:p w14:paraId="339084A4">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default" w:ascii="宋体" w:hAnsi="宋体" w:eastAsia="宋体" w:cs="宋体"/>
          <w:b/>
          <w:bCs/>
          <w:color w:val="auto"/>
          <w:kern w:val="2"/>
          <w:sz w:val="22"/>
          <w:szCs w:val="22"/>
          <w:highlight w:val="none"/>
          <w:u w:val="single"/>
          <w:lang w:val="en-US" w:eastAsia="zh-CN" w:bidi="ar-SA"/>
        </w:rPr>
      </w:pPr>
      <w:r>
        <w:rPr>
          <w:rFonts w:hint="default" w:ascii="宋体" w:hAnsi="宋体" w:eastAsia="宋体" w:cs="宋体"/>
          <w:b/>
          <w:bCs/>
          <w:color w:val="auto"/>
          <w:kern w:val="2"/>
          <w:sz w:val="22"/>
          <w:szCs w:val="22"/>
          <w:highlight w:val="none"/>
          <w:u w:val="single"/>
          <w:lang w:val="en-US" w:eastAsia="zh-CN" w:bidi="ar-SA"/>
        </w:rPr>
        <w:t>特别说明：</w:t>
      </w:r>
      <w:r>
        <w:rPr>
          <w:rFonts w:hint="eastAsia" w:ascii="宋体" w:hAnsi="宋体" w:cs="宋体"/>
          <w:b/>
          <w:bCs/>
          <w:color w:val="auto"/>
          <w:kern w:val="2"/>
          <w:sz w:val="22"/>
          <w:szCs w:val="22"/>
          <w:highlight w:val="none"/>
          <w:u w:val="single"/>
          <w:lang w:val="en-US" w:eastAsia="zh-CN" w:bidi="ar-SA"/>
        </w:rPr>
        <w:t>竞标银行</w:t>
      </w:r>
      <w:r>
        <w:rPr>
          <w:rFonts w:hint="default" w:ascii="宋体" w:hAnsi="宋体" w:eastAsia="宋体" w:cs="宋体"/>
          <w:b/>
          <w:bCs/>
          <w:color w:val="auto"/>
          <w:kern w:val="2"/>
          <w:sz w:val="22"/>
          <w:szCs w:val="22"/>
          <w:highlight w:val="none"/>
          <w:u w:val="single"/>
          <w:lang w:val="en-US" w:eastAsia="zh-CN" w:bidi="ar-SA"/>
        </w:rPr>
        <w:t>代表</w:t>
      </w:r>
      <w:r>
        <w:rPr>
          <w:rFonts w:hint="eastAsia" w:ascii="宋体" w:hAnsi="宋体" w:eastAsia="宋体" w:cs="宋体"/>
          <w:b/>
          <w:bCs/>
          <w:color w:val="auto"/>
          <w:kern w:val="2"/>
          <w:sz w:val="22"/>
          <w:szCs w:val="22"/>
          <w:highlight w:val="none"/>
          <w:u w:val="single"/>
          <w:lang w:val="en-US" w:eastAsia="zh-CN" w:bidi="ar-SA"/>
        </w:rPr>
        <w:t>无需</w:t>
      </w:r>
      <w:r>
        <w:rPr>
          <w:rFonts w:hint="default" w:ascii="宋体" w:hAnsi="宋体" w:eastAsia="宋体" w:cs="宋体"/>
          <w:b/>
          <w:bCs/>
          <w:color w:val="auto"/>
          <w:kern w:val="2"/>
          <w:sz w:val="22"/>
          <w:szCs w:val="22"/>
          <w:highlight w:val="none"/>
          <w:u w:val="single"/>
          <w:lang w:val="en-US" w:eastAsia="zh-CN" w:bidi="ar-SA"/>
        </w:rPr>
        <w:t>亲临现场，</w:t>
      </w:r>
      <w:r>
        <w:rPr>
          <w:rFonts w:hint="eastAsia" w:ascii="宋体" w:hAnsi="宋体" w:cs="宋体"/>
          <w:b/>
          <w:bCs/>
          <w:color w:val="auto"/>
          <w:kern w:val="2"/>
          <w:sz w:val="22"/>
          <w:szCs w:val="22"/>
          <w:highlight w:val="none"/>
          <w:u w:val="single"/>
          <w:lang w:val="en-US" w:eastAsia="zh-CN" w:bidi="ar-SA"/>
        </w:rPr>
        <w:t>竞标银行</w:t>
      </w:r>
      <w:r>
        <w:rPr>
          <w:rFonts w:hint="default" w:ascii="宋体" w:hAnsi="宋体" w:eastAsia="宋体" w:cs="宋体"/>
          <w:b/>
          <w:bCs/>
          <w:color w:val="auto"/>
          <w:kern w:val="2"/>
          <w:sz w:val="22"/>
          <w:szCs w:val="22"/>
          <w:highlight w:val="none"/>
          <w:u w:val="single"/>
          <w:lang w:val="en-US" w:eastAsia="zh-CN" w:bidi="ar-SA"/>
        </w:rPr>
        <w:t>代表可自行登录政府采购云平台（https://www.zcygov.cn/）查看开标结果情况。</w:t>
      </w:r>
    </w:p>
    <w:p w14:paraId="7405C743">
      <w:pPr>
        <w:pStyle w:val="2"/>
        <w:keepLines w:val="0"/>
        <w:pageBreakBefore w:val="0"/>
        <w:widowControl w:val="0"/>
        <w:kinsoku/>
        <w:wordWrap/>
        <w:overflowPunct/>
        <w:topLinePunct w:val="0"/>
        <w:autoSpaceDE/>
        <w:autoSpaceDN/>
        <w:bidi w:val="0"/>
        <w:snapToGrid/>
        <w:spacing w:line="470" w:lineRule="exact"/>
        <w:ind w:firstLine="0"/>
        <w:textAlignment w:val="auto"/>
        <w:rPr>
          <w:rFonts w:hint="default" w:ascii="宋体" w:hAnsi="宋体" w:eastAsia="宋体" w:cs="宋体"/>
          <w:b/>
          <w:bCs/>
          <w:color w:val="auto"/>
          <w:sz w:val="22"/>
          <w:szCs w:val="22"/>
          <w:highlight w:val="none"/>
          <w:lang w:val="en-US" w:eastAsia="zh-CN"/>
        </w:rPr>
      </w:pPr>
      <w:r>
        <w:rPr>
          <w:rFonts w:hint="default" w:ascii="宋体" w:hAnsi="宋体" w:eastAsia="宋体" w:cs="宋体"/>
          <w:b/>
          <w:bCs/>
          <w:color w:val="auto"/>
          <w:sz w:val="22"/>
          <w:szCs w:val="22"/>
          <w:highlight w:val="none"/>
          <w:lang w:val="en-US" w:eastAsia="zh-CN"/>
        </w:rPr>
        <w:t>3.6开标异议</w:t>
      </w:r>
    </w:p>
    <w:p w14:paraId="0EA6BC5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default" w:ascii="宋体" w:hAnsi="宋体" w:eastAsia="宋体" w:cs="宋体"/>
          <w:color w:val="auto"/>
          <w:kern w:val="2"/>
          <w:sz w:val="22"/>
          <w:szCs w:val="22"/>
          <w:highlight w:val="none"/>
          <w:lang w:val="en-US" w:eastAsia="zh-CN" w:bidi="ar-SA"/>
        </w:rPr>
        <w:t>如对开标有异议，应当在开标结束前致电代理机构联系人，代理机构工作人员将当场作出答复，并制作记录。</w:t>
      </w:r>
    </w:p>
    <w:p w14:paraId="22531AA0">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4.投标文件初步评审</w:t>
      </w:r>
    </w:p>
    <w:p w14:paraId="7E8EE5C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4.1</w:t>
      </w:r>
      <w:r>
        <w:rPr>
          <w:rFonts w:hint="default" w:ascii="宋体" w:hAnsi="宋体" w:eastAsia="宋体" w:cs="宋体"/>
          <w:color w:val="auto"/>
          <w:kern w:val="2"/>
          <w:sz w:val="22"/>
          <w:szCs w:val="22"/>
          <w:highlight w:val="none"/>
          <w:lang w:val="en-US" w:eastAsia="zh-CN" w:bidi="ar-SA"/>
        </w:rPr>
        <w:t>评选委员会将首先审查每份投标文件是否实质上响应了</w:t>
      </w:r>
      <w:r>
        <w:rPr>
          <w:rFonts w:hint="eastAsia" w:ascii="宋体" w:hAnsi="宋体" w:cs="宋体"/>
          <w:color w:val="auto"/>
          <w:kern w:val="2"/>
          <w:sz w:val="22"/>
          <w:szCs w:val="22"/>
          <w:highlight w:val="none"/>
          <w:lang w:val="en-US" w:eastAsia="zh-CN" w:bidi="ar-SA"/>
        </w:rPr>
        <w:t>采购文件</w:t>
      </w:r>
      <w:r>
        <w:rPr>
          <w:rFonts w:hint="default" w:ascii="宋体" w:hAnsi="宋体" w:eastAsia="宋体" w:cs="宋体"/>
          <w:color w:val="auto"/>
          <w:kern w:val="2"/>
          <w:sz w:val="22"/>
          <w:szCs w:val="22"/>
          <w:highlight w:val="none"/>
          <w:lang w:val="en-US" w:eastAsia="zh-CN" w:bidi="ar-SA"/>
        </w:rPr>
        <w:t>的要求，实质性响应的投标文件是指投标文件符合</w:t>
      </w:r>
      <w:r>
        <w:rPr>
          <w:rFonts w:hint="eastAsia" w:ascii="宋体" w:hAnsi="宋体" w:cs="宋体"/>
          <w:color w:val="auto"/>
          <w:kern w:val="2"/>
          <w:sz w:val="22"/>
          <w:szCs w:val="22"/>
          <w:highlight w:val="none"/>
          <w:lang w:val="en-US" w:eastAsia="zh-CN" w:bidi="ar-SA"/>
        </w:rPr>
        <w:t>采购文件</w:t>
      </w:r>
      <w:r>
        <w:rPr>
          <w:rFonts w:hint="default" w:ascii="宋体" w:hAnsi="宋体" w:eastAsia="宋体" w:cs="宋体"/>
          <w:color w:val="auto"/>
          <w:kern w:val="2"/>
          <w:sz w:val="22"/>
          <w:szCs w:val="22"/>
          <w:highlight w:val="none"/>
          <w:lang w:val="en-US" w:eastAsia="zh-CN" w:bidi="ar-SA"/>
        </w:rPr>
        <w:t>规定的实质性内容、条件和规定</w:t>
      </w:r>
      <w:r>
        <w:rPr>
          <w:rFonts w:hint="eastAsia" w:ascii="宋体" w:hAnsi="宋体" w:eastAsia="宋体" w:cs="宋体"/>
          <w:color w:val="auto"/>
          <w:kern w:val="2"/>
          <w:sz w:val="22"/>
          <w:szCs w:val="22"/>
          <w:highlight w:val="none"/>
          <w:lang w:val="en-US" w:eastAsia="zh-CN" w:bidi="ar-SA"/>
        </w:rPr>
        <w:t>。</w:t>
      </w:r>
    </w:p>
    <w:p w14:paraId="5871A1C3">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4.2</w:t>
      </w:r>
      <w:r>
        <w:rPr>
          <w:rFonts w:hint="default" w:ascii="宋体" w:hAnsi="宋体" w:eastAsia="宋体" w:cs="宋体"/>
          <w:color w:val="auto"/>
          <w:kern w:val="2"/>
          <w:sz w:val="22"/>
          <w:szCs w:val="22"/>
          <w:highlight w:val="none"/>
          <w:lang w:val="en-US" w:eastAsia="zh-CN" w:bidi="ar-SA"/>
        </w:rPr>
        <w:t>初步评审工作内容</w:t>
      </w:r>
    </w:p>
    <w:p w14:paraId="17E053E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（1）资格性审查。依据法律、法规和</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的规定，评标委员会对各投标文件中的法定代表人（主要负责人）资格证明书扫描件、法定代表人（主要负责人）授权书扫描件、</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代表有效身份证件扫描件和企业营业执照扫描件（加盖单位公章）等资格证明进行审查，以确定是否具备投标资格。</w:t>
      </w:r>
      <w:r>
        <w:rPr>
          <w:rFonts w:hint="eastAsia" w:ascii="宋体" w:hAnsi="宋体" w:eastAsia="宋体" w:cs="宋体"/>
          <w:b/>
          <w:bCs/>
          <w:color w:val="auto"/>
          <w:kern w:val="2"/>
          <w:sz w:val="22"/>
          <w:szCs w:val="22"/>
          <w:highlight w:val="none"/>
          <w:u w:val="single"/>
          <w:lang w:val="en-US" w:eastAsia="zh-CN" w:bidi="ar-SA"/>
        </w:rPr>
        <w:t>▲只要有一项审查不合格，则该</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的资格审查不合格，审查不合格的投标文件将不予评审。</w:t>
      </w:r>
    </w:p>
    <w:p w14:paraId="314CCFDF">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（2）符合性审查。依据</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的规定，对投标文件的有效性、完整性和对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的响应程度进行审查，以确定是否对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的实质性要求</w:t>
      </w:r>
      <w:r>
        <w:rPr>
          <w:rFonts w:hint="eastAsia" w:ascii="宋体" w:hAnsi="宋体" w:cs="宋体"/>
          <w:color w:val="auto"/>
          <w:kern w:val="2"/>
          <w:sz w:val="22"/>
          <w:szCs w:val="22"/>
          <w:highlight w:val="none"/>
          <w:lang w:val="en-US" w:eastAsia="zh-CN" w:bidi="ar-SA"/>
        </w:rPr>
        <w:t>作出</w:t>
      </w:r>
      <w:r>
        <w:rPr>
          <w:rFonts w:hint="eastAsia" w:ascii="宋体" w:hAnsi="宋体" w:eastAsia="宋体" w:cs="宋体"/>
          <w:color w:val="auto"/>
          <w:kern w:val="2"/>
          <w:sz w:val="22"/>
          <w:szCs w:val="22"/>
          <w:highlight w:val="none"/>
          <w:lang w:val="en-US" w:eastAsia="zh-CN" w:bidi="ar-SA"/>
        </w:rPr>
        <w:t>响应。</w:t>
      </w:r>
    </w:p>
    <w:p w14:paraId="341EC63B">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lang w:val="en-US" w:eastAsia="zh-CN" w:bidi="ar-SA"/>
        </w:rPr>
        <w:t>4.3在详细评标之前，评标委员会要审查每份投标文件是否实质上响应了</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的要求。实质上响应的投标应该是与</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要求的全部条款、条件和规格基本相符，没有重大偏离。</w:t>
      </w:r>
      <w:r>
        <w:rPr>
          <w:rFonts w:hint="eastAsia" w:ascii="宋体" w:hAnsi="宋体" w:eastAsia="宋体" w:cs="宋体"/>
          <w:b/>
          <w:bCs/>
          <w:color w:val="auto"/>
          <w:kern w:val="2"/>
          <w:sz w:val="22"/>
          <w:szCs w:val="22"/>
          <w:highlight w:val="none"/>
          <w:u w:val="single"/>
          <w:lang w:val="en-US" w:eastAsia="zh-CN" w:bidi="ar-SA"/>
        </w:rPr>
        <w:t>▲评标委员会决定投标的响应性只根据投标文件本身的内容，而不寻求外部的证据。</w:t>
      </w:r>
    </w:p>
    <w:p w14:paraId="30D3C3C1">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4.4▲实质上没有响应</w:t>
      </w:r>
      <w:r>
        <w:rPr>
          <w:rFonts w:hint="eastAsia" w:ascii="宋体" w:hAnsi="宋体" w:cs="宋体"/>
          <w:b/>
          <w:bCs/>
          <w:color w:val="auto"/>
          <w:kern w:val="2"/>
          <w:sz w:val="22"/>
          <w:szCs w:val="22"/>
          <w:highlight w:val="none"/>
          <w:u w:val="single"/>
          <w:lang w:val="en-US" w:eastAsia="zh-CN" w:bidi="ar-SA"/>
        </w:rPr>
        <w:t>采购文件</w:t>
      </w:r>
      <w:r>
        <w:rPr>
          <w:rFonts w:hint="eastAsia" w:ascii="宋体" w:hAnsi="宋体" w:eastAsia="宋体" w:cs="宋体"/>
          <w:b/>
          <w:bCs/>
          <w:color w:val="auto"/>
          <w:kern w:val="2"/>
          <w:sz w:val="22"/>
          <w:szCs w:val="22"/>
          <w:highlight w:val="none"/>
          <w:u w:val="single"/>
          <w:lang w:val="en-US" w:eastAsia="zh-CN" w:bidi="ar-SA"/>
        </w:rPr>
        <w:t>要求的投标将被拒绝，</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不得通过修正或</w:t>
      </w:r>
      <w:r>
        <w:rPr>
          <w:rFonts w:hint="eastAsia" w:ascii="宋体" w:hAnsi="宋体" w:cs="宋体"/>
          <w:b/>
          <w:bCs/>
          <w:color w:val="auto"/>
          <w:kern w:val="2"/>
          <w:sz w:val="22"/>
          <w:szCs w:val="22"/>
          <w:highlight w:val="none"/>
          <w:u w:val="single"/>
          <w:lang w:val="en-US" w:eastAsia="zh-CN" w:bidi="ar-SA"/>
        </w:rPr>
        <w:t>撤销</w:t>
      </w:r>
      <w:r>
        <w:rPr>
          <w:rFonts w:hint="eastAsia" w:ascii="宋体" w:hAnsi="宋体" w:eastAsia="宋体" w:cs="宋体"/>
          <w:b/>
          <w:bCs/>
          <w:color w:val="auto"/>
          <w:kern w:val="2"/>
          <w:sz w:val="22"/>
          <w:szCs w:val="22"/>
          <w:highlight w:val="none"/>
          <w:u w:val="single"/>
          <w:lang w:val="en-US" w:eastAsia="zh-CN" w:bidi="ar-SA"/>
        </w:rPr>
        <w:t>不合要求的偏离或保留从而使其投标成为实质上响应的投标。</w:t>
      </w:r>
    </w:p>
    <w:p w14:paraId="4CD4C1CC">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4.5▲在对各</w:t>
      </w:r>
      <w:r>
        <w:rPr>
          <w:rFonts w:hint="eastAsia" w:ascii="宋体" w:hAnsi="宋体" w:cs="宋体"/>
          <w:b/>
          <w:bCs/>
          <w:color w:val="auto"/>
          <w:kern w:val="2"/>
          <w:sz w:val="22"/>
          <w:szCs w:val="22"/>
          <w:highlight w:val="none"/>
          <w:lang w:val="en-US" w:eastAsia="zh-CN" w:bidi="ar-SA"/>
        </w:rPr>
        <w:t>竞标银行</w:t>
      </w:r>
      <w:r>
        <w:rPr>
          <w:rFonts w:hint="eastAsia" w:ascii="宋体" w:hAnsi="宋体" w:eastAsia="宋体" w:cs="宋体"/>
          <w:b/>
          <w:bCs/>
          <w:color w:val="auto"/>
          <w:kern w:val="2"/>
          <w:sz w:val="22"/>
          <w:szCs w:val="22"/>
          <w:highlight w:val="none"/>
          <w:lang w:val="en-US" w:eastAsia="zh-CN" w:bidi="ar-SA"/>
        </w:rPr>
        <w:t>的投标文件进行综合评审时有下列情况之一的，经评标委员会认定后按无效标处理：</w:t>
      </w:r>
    </w:p>
    <w:p w14:paraId="0934609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（1）</w:t>
      </w:r>
      <w:r>
        <w:rPr>
          <w:rFonts w:hint="eastAsia" w:ascii="宋体" w:hAnsi="宋体" w:eastAsia="宋体" w:cs="宋体"/>
          <w:b/>
          <w:bCs/>
          <w:color w:val="auto"/>
          <w:kern w:val="2"/>
          <w:sz w:val="22"/>
          <w:szCs w:val="22"/>
          <w:highlight w:val="none"/>
          <w:u w:val="single"/>
          <w:lang w:val="en-US" w:eastAsia="zh-CN" w:bidi="ar-SA"/>
        </w:rPr>
        <w:t>投标文件未按</w:t>
      </w:r>
      <w:r>
        <w:rPr>
          <w:rFonts w:hint="eastAsia" w:ascii="宋体" w:hAnsi="宋体" w:cs="宋体"/>
          <w:b/>
          <w:bCs/>
          <w:color w:val="auto"/>
          <w:kern w:val="2"/>
          <w:sz w:val="22"/>
          <w:szCs w:val="22"/>
          <w:highlight w:val="none"/>
          <w:u w:val="single"/>
          <w:lang w:val="en-US" w:eastAsia="zh-CN" w:bidi="ar-SA"/>
        </w:rPr>
        <w:t>采购文件</w:t>
      </w:r>
      <w:r>
        <w:rPr>
          <w:rFonts w:hint="eastAsia" w:ascii="宋体" w:hAnsi="宋体" w:eastAsia="宋体" w:cs="宋体"/>
          <w:b/>
          <w:bCs/>
          <w:color w:val="auto"/>
          <w:kern w:val="2"/>
          <w:sz w:val="22"/>
          <w:szCs w:val="22"/>
          <w:highlight w:val="none"/>
          <w:u w:val="single"/>
          <w:lang w:val="en-US" w:eastAsia="zh-CN" w:bidi="ar-SA"/>
        </w:rPr>
        <w:t>要求加盖</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单位公章、无法定代表人（主要负责人）或其授权代表签字的；</w:t>
      </w:r>
    </w:p>
    <w:p w14:paraId="27B1AF5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（2）</w:t>
      </w:r>
      <w:r>
        <w:rPr>
          <w:rFonts w:hint="eastAsia" w:ascii="宋体" w:hAnsi="宋体" w:cs="宋体"/>
          <w:color w:val="auto"/>
          <w:kern w:val="2"/>
          <w:sz w:val="22"/>
          <w:szCs w:val="22"/>
          <w:highlight w:val="none"/>
          <w:u w:val="single"/>
          <w:lang w:val="en-US" w:eastAsia="zh-CN" w:bidi="ar-SA"/>
        </w:rPr>
        <w:t>竞标银行</w:t>
      </w:r>
      <w:r>
        <w:rPr>
          <w:rFonts w:hint="eastAsia" w:ascii="宋体" w:hAnsi="宋体" w:eastAsia="宋体" w:cs="宋体"/>
          <w:color w:val="auto"/>
          <w:kern w:val="2"/>
          <w:sz w:val="22"/>
          <w:szCs w:val="22"/>
          <w:highlight w:val="none"/>
          <w:u w:val="single"/>
          <w:lang w:val="en-US" w:eastAsia="zh-CN" w:bidi="ar-SA"/>
        </w:rPr>
        <w:t>不符合投标资格条件的；</w:t>
      </w:r>
    </w:p>
    <w:p w14:paraId="489CB2F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（3）报名的</w:t>
      </w:r>
      <w:r>
        <w:rPr>
          <w:rFonts w:hint="eastAsia" w:ascii="宋体" w:hAnsi="宋体" w:cs="宋体"/>
          <w:color w:val="auto"/>
          <w:kern w:val="2"/>
          <w:sz w:val="22"/>
          <w:szCs w:val="22"/>
          <w:highlight w:val="none"/>
          <w:u w:val="single"/>
          <w:lang w:val="en-US" w:eastAsia="zh-CN" w:bidi="ar-SA"/>
        </w:rPr>
        <w:t>竞标银行</w:t>
      </w:r>
      <w:r>
        <w:rPr>
          <w:rFonts w:hint="eastAsia" w:ascii="宋体" w:hAnsi="宋体" w:eastAsia="宋体" w:cs="宋体"/>
          <w:color w:val="auto"/>
          <w:kern w:val="2"/>
          <w:sz w:val="22"/>
          <w:szCs w:val="22"/>
          <w:highlight w:val="none"/>
          <w:u w:val="single"/>
          <w:lang w:val="en-US" w:eastAsia="zh-CN" w:bidi="ar-SA"/>
        </w:rPr>
        <w:t>与参加投标的</w:t>
      </w:r>
      <w:r>
        <w:rPr>
          <w:rFonts w:hint="eastAsia" w:ascii="宋体" w:hAnsi="宋体" w:cs="宋体"/>
          <w:color w:val="auto"/>
          <w:kern w:val="2"/>
          <w:sz w:val="22"/>
          <w:szCs w:val="22"/>
          <w:highlight w:val="none"/>
          <w:u w:val="single"/>
          <w:lang w:val="en-US" w:eastAsia="zh-CN" w:bidi="ar-SA"/>
        </w:rPr>
        <w:t>竞标银行</w:t>
      </w:r>
      <w:r>
        <w:rPr>
          <w:rFonts w:hint="eastAsia" w:ascii="宋体" w:hAnsi="宋体" w:eastAsia="宋体" w:cs="宋体"/>
          <w:color w:val="auto"/>
          <w:kern w:val="2"/>
          <w:sz w:val="22"/>
          <w:szCs w:val="22"/>
          <w:highlight w:val="none"/>
          <w:u w:val="single"/>
          <w:lang w:val="en-US" w:eastAsia="zh-CN" w:bidi="ar-SA"/>
        </w:rPr>
        <w:t>发生实质性变更的且未提供有效证明的；</w:t>
      </w:r>
    </w:p>
    <w:p w14:paraId="62E6B9B7">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（4）</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代表未提交有效身份证件或授权代表无法定代表人（主要负责人）或企业合法有效授权委托书的；</w:t>
      </w:r>
    </w:p>
    <w:p w14:paraId="3AE44CF6">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（5）投标文件内容未按</w:t>
      </w:r>
      <w:r>
        <w:rPr>
          <w:rFonts w:hint="eastAsia" w:ascii="宋体" w:hAnsi="宋体" w:cs="宋体"/>
          <w:b/>
          <w:bCs/>
          <w:color w:val="auto"/>
          <w:kern w:val="2"/>
          <w:sz w:val="22"/>
          <w:szCs w:val="22"/>
          <w:highlight w:val="none"/>
          <w:u w:val="single"/>
          <w:lang w:val="en-US" w:eastAsia="zh-CN" w:bidi="ar-SA"/>
        </w:rPr>
        <w:t>采购文件</w:t>
      </w:r>
      <w:r>
        <w:rPr>
          <w:rFonts w:hint="eastAsia" w:ascii="宋体" w:hAnsi="宋体" w:eastAsia="宋体" w:cs="宋体"/>
          <w:b/>
          <w:bCs/>
          <w:color w:val="auto"/>
          <w:kern w:val="2"/>
          <w:sz w:val="22"/>
          <w:szCs w:val="22"/>
          <w:highlight w:val="none"/>
          <w:u w:val="single"/>
          <w:lang w:val="en-US" w:eastAsia="zh-CN" w:bidi="ar-SA"/>
        </w:rPr>
        <w:t>规定盖章的；</w:t>
      </w:r>
    </w:p>
    <w:p w14:paraId="188BE00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default"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（6）</w:t>
      </w:r>
      <w:r>
        <w:rPr>
          <w:rFonts w:hint="eastAsia" w:ascii="宋体" w:hAnsi="宋体" w:cs="宋体"/>
          <w:color w:val="auto"/>
          <w:kern w:val="2"/>
          <w:sz w:val="22"/>
          <w:szCs w:val="22"/>
          <w:highlight w:val="none"/>
          <w:u w:val="single"/>
          <w:lang w:val="en-US" w:eastAsia="zh-CN" w:bidi="ar-SA"/>
        </w:rPr>
        <w:t>竞标银行</w:t>
      </w:r>
      <w:r>
        <w:rPr>
          <w:rFonts w:hint="default" w:ascii="宋体" w:hAnsi="宋体" w:eastAsia="宋体" w:cs="宋体"/>
          <w:color w:val="auto"/>
          <w:kern w:val="2"/>
          <w:sz w:val="22"/>
          <w:szCs w:val="22"/>
          <w:highlight w:val="none"/>
          <w:u w:val="single"/>
          <w:lang w:val="en-US" w:eastAsia="zh-CN" w:bidi="ar-SA"/>
        </w:rPr>
        <w:t>未按</w:t>
      </w:r>
      <w:r>
        <w:rPr>
          <w:rFonts w:hint="eastAsia" w:ascii="宋体" w:hAnsi="宋体" w:cs="宋体"/>
          <w:color w:val="auto"/>
          <w:kern w:val="2"/>
          <w:sz w:val="22"/>
          <w:szCs w:val="22"/>
          <w:highlight w:val="none"/>
          <w:u w:val="single"/>
          <w:lang w:val="en-US" w:eastAsia="zh-CN" w:bidi="ar-SA"/>
        </w:rPr>
        <w:t>采购文件</w:t>
      </w:r>
      <w:r>
        <w:rPr>
          <w:rFonts w:hint="default" w:ascii="宋体" w:hAnsi="宋体" w:eastAsia="宋体" w:cs="宋体"/>
          <w:color w:val="auto"/>
          <w:kern w:val="2"/>
          <w:sz w:val="22"/>
          <w:szCs w:val="22"/>
          <w:highlight w:val="none"/>
          <w:u w:val="single"/>
          <w:lang w:val="en-US" w:eastAsia="zh-CN" w:bidi="ar-SA"/>
        </w:rPr>
        <w:t>变更通知更改投标文件的；</w:t>
      </w:r>
    </w:p>
    <w:p w14:paraId="7950D47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default" w:ascii="宋体" w:hAnsi="宋体" w:eastAsia="宋体" w:cs="宋体"/>
          <w:color w:val="auto"/>
          <w:kern w:val="2"/>
          <w:sz w:val="22"/>
          <w:szCs w:val="22"/>
          <w:highlight w:val="none"/>
          <w:u w:val="single"/>
          <w:lang w:val="en-US" w:eastAsia="zh-CN" w:bidi="ar-SA"/>
        </w:rPr>
        <w:t>（7）电子投标逾期的；</w:t>
      </w:r>
    </w:p>
    <w:p w14:paraId="2B7A757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（8）不符合法律、法规和</w:t>
      </w:r>
      <w:r>
        <w:rPr>
          <w:rFonts w:hint="eastAsia" w:ascii="宋体" w:hAnsi="宋体" w:cs="宋体"/>
          <w:color w:val="auto"/>
          <w:kern w:val="2"/>
          <w:sz w:val="22"/>
          <w:szCs w:val="22"/>
          <w:highlight w:val="none"/>
          <w:u w:val="single"/>
          <w:lang w:val="en-US" w:eastAsia="zh-CN" w:bidi="ar-SA"/>
        </w:rPr>
        <w:t>采购文件</w:t>
      </w:r>
      <w:r>
        <w:rPr>
          <w:rFonts w:hint="eastAsia" w:ascii="宋体" w:hAnsi="宋体" w:eastAsia="宋体" w:cs="宋体"/>
          <w:color w:val="auto"/>
          <w:kern w:val="2"/>
          <w:sz w:val="22"/>
          <w:szCs w:val="22"/>
          <w:highlight w:val="none"/>
          <w:u w:val="single"/>
          <w:lang w:val="en-US" w:eastAsia="zh-CN" w:bidi="ar-SA"/>
        </w:rPr>
        <w:t>中规定的其它实质性要求的。</w:t>
      </w:r>
    </w:p>
    <w:p w14:paraId="0F1ECAD4">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4.6评标委员会对审查合格的投标文件，按照</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中制订的评标方法进行综合评定打分。</w:t>
      </w:r>
    </w:p>
    <w:p w14:paraId="280F5E7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4.7评标过程中遇到特殊情况，由评标委员会遵循公开、公正原则，采取投票方式按照少数服从多数原则决定。</w:t>
      </w:r>
    </w:p>
    <w:p w14:paraId="667EA2A5">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5.投标文件的澄清</w:t>
      </w:r>
    </w:p>
    <w:p w14:paraId="4128759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5.1在评标期间，评标委员会可以书面方式要求</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对投标文件中含义不明确、对同类问题表述不一致或者有明显文字和计算错误的内容作必要的澄清、说明或补正。澄清、说明或补正应以书面形式并由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代表签署，但澄清内容不得超出投标文件的范围或者改变投标文件的实质性内容。拒不按要求对其投标文件进行澄清，说明或补正的</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，评标委员会可以否决其投标。</w:t>
      </w:r>
    </w:p>
    <w:p w14:paraId="3DEA8C6F">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5.2</w:t>
      </w:r>
      <w:r>
        <w:rPr>
          <w:rFonts w:hint="eastAsia" w:ascii="宋体" w:hAnsi="宋体" w:eastAsia="宋体" w:cs="宋体"/>
          <w:b/>
          <w:bCs/>
          <w:color w:val="auto"/>
          <w:kern w:val="2"/>
          <w:sz w:val="22"/>
          <w:szCs w:val="22"/>
          <w:highlight w:val="none"/>
          <w:u w:val="single"/>
          <w:lang w:val="en-US" w:eastAsia="zh-CN" w:bidi="ar-SA"/>
        </w:rPr>
        <w:t>▲经澄清后，若偏差仍存在，且不可接受，投标文件则被认为是“没有实质性响应</w:t>
      </w:r>
      <w:r>
        <w:rPr>
          <w:rFonts w:hint="eastAsia" w:ascii="宋体" w:hAnsi="宋体" w:cs="宋体"/>
          <w:b/>
          <w:bCs/>
          <w:color w:val="auto"/>
          <w:kern w:val="2"/>
          <w:sz w:val="22"/>
          <w:szCs w:val="22"/>
          <w:highlight w:val="none"/>
          <w:u w:val="single"/>
          <w:lang w:val="en-US" w:eastAsia="zh-CN" w:bidi="ar-SA"/>
        </w:rPr>
        <w:t>采购文件</w:t>
      </w:r>
      <w:r>
        <w:rPr>
          <w:rFonts w:hint="eastAsia" w:ascii="宋体" w:hAnsi="宋体" w:eastAsia="宋体" w:cs="宋体"/>
          <w:b/>
          <w:bCs/>
          <w:color w:val="auto"/>
          <w:kern w:val="2"/>
          <w:sz w:val="22"/>
          <w:szCs w:val="22"/>
          <w:highlight w:val="none"/>
          <w:u w:val="single"/>
          <w:lang w:val="en-US" w:eastAsia="zh-CN" w:bidi="ar-SA"/>
        </w:rPr>
        <w:t>要求”，不进入下一步评审。</w:t>
      </w:r>
    </w:p>
    <w:p w14:paraId="762D648A">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6．定标</w:t>
      </w:r>
    </w:p>
    <w:p w14:paraId="6B737A91">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6.1本次招标由评标委员会确定</w:t>
      </w:r>
      <w:r>
        <w:rPr>
          <w:rFonts w:hint="eastAsia" w:ascii="宋体" w:hAnsi="宋体" w:cs="宋体"/>
          <w:color w:val="auto"/>
          <w:kern w:val="2"/>
          <w:sz w:val="22"/>
          <w:szCs w:val="22"/>
          <w:highlight w:val="none"/>
          <w:lang w:val="en-US" w:eastAsia="zh-CN" w:bidi="ar-SA"/>
        </w:rPr>
        <w:t>中标候选银行</w:t>
      </w:r>
      <w:r>
        <w:rPr>
          <w:rFonts w:hint="eastAsia" w:ascii="宋体" w:hAnsi="宋体" w:eastAsia="宋体" w:cs="宋体"/>
          <w:color w:val="auto"/>
          <w:kern w:val="2"/>
          <w:sz w:val="22"/>
          <w:szCs w:val="22"/>
          <w:highlight w:val="none"/>
          <w:lang w:val="en-US" w:eastAsia="zh-CN" w:bidi="ar-SA"/>
        </w:rPr>
        <w:t>。</w:t>
      </w:r>
    </w:p>
    <w:p w14:paraId="35E4D0B7">
      <w:pPr>
        <w:pStyle w:val="2"/>
        <w:keepNext w:val="0"/>
        <w:keepLines w:val="0"/>
        <w:pageBreakBefore w:val="0"/>
        <w:widowControl w:val="0"/>
        <w:kinsoku/>
        <w:wordWrap/>
        <w:overflowPunct/>
        <w:topLinePunct w:val="0"/>
        <w:autoSpaceDE/>
        <w:autoSpaceDN/>
        <w:bidi w:val="0"/>
        <w:adjustRightInd/>
        <w:snapToGrid/>
        <w:spacing w:line="47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评标委员会按各投标人的总得分由高到低顺序排序，推荐排序第一名者为第一中标候选银行。如出现总得分相同的，按报价利率由高到低顺序排列；得分且报价利率报价相同的，依次按（1）经营状况指标得分；（2）经济贡献度指标得分；（3）服务水平指标得分的顺序由高到低排名。若依然相同，中标候选银行资格抽签确定。</w:t>
      </w:r>
    </w:p>
    <w:p w14:paraId="4FF25F2B">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7.确定</w:t>
      </w:r>
      <w:r>
        <w:rPr>
          <w:rFonts w:hint="eastAsia" w:hAnsi="宋体" w:cs="宋体"/>
          <w:b/>
          <w:bCs/>
          <w:color w:val="auto"/>
          <w:sz w:val="22"/>
          <w:szCs w:val="22"/>
          <w:highlight w:val="none"/>
          <w:lang w:val="en-US" w:eastAsia="zh-CN"/>
        </w:rPr>
        <w:t>中标银行</w:t>
      </w:r>
    </w:p>
    <w:p w14:paraId="7F8E0F1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7.1采购人根据评标委员会推荐的结果进行最终确认</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w:t>
      </w:r>
    </w:p>
    <w:p w14:paraId="651F4D2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7.2如</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放弃中标</w:t>
      </w:r>
      <w:r>
        <w:rPr>
          <w:rFonts w:hint="eastAsia" w:ascii="宋体" w:hAnsi="宋体" w:cs="宋体"/>
          <w:color w:val="auto"/>
          <w:kern w:val="2"/>
          <w:sz w:val="22"/>
          <w:szCs w:val="22"/>
          <w:highlight w:val="none"/>
          <w:lang w:val="en-US" w:eastAsia="zh-CN" w:bidi="ar-SA"/>
        </w:rPr>
        <w:t>或</w:t>
      </w:r>
      <w:r>
        <w:rPr>
          <w:rFonts w:hint="eastAsia" w:ascii="宋体" w:hAnsi="宋体" w:eastAsia="宋体" w:cs="宋体"/>
          <w:color w:val="auto"/>
          <w:kern w:val="2"/>
          <w:sz w:val="22"/>
          <w:szCs w:val="22"/>
          <w:highlight w:val="none"/>
          <w:lang w:val="en-US" w:eastAsia="zh-CN" w:bidi="ar-SA"/>
        </w:rPr>
        <w:t>未能在规定时间内与采购人签订</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的；或者经质疑，采购人审查后，确因</w:t>
      </w:r>
      <w:r>
        <w:rPr>
          <w:rFonts w:hint="eastAsia" w:ascii="宋体" w:hAnsi="宋体" w:cs="宋体"/>
          <w:color w:val="auto"/>
          <w:kern w:val="2"/>
          <w:sz w:val="22"/>
          <w:szCs w:val="22"/>
          <w:highlight w:val="none"/>
          <w:lang w:val="en-US" w:eastAsia="zh-CN" w:bidi="ar-SA"/>
        </w:rPr>
        <w:t>中标候选银行</w:t>
      </w:r>
      <w:r>
        <w:rPr>
          <w:rFonts w:hint="eastAsia" w:ascii="宋体" w:hAnsi="宋体" w:eastAsia="宋体" w:cs="宋体"/>
          <w:color w:val="auto"/>
          <w:kern w:val="2"/>
          <w:sz w:val="22"/>
          <w:szCs w:val="22"/>
          <w:highlight w:val="none"/>
          <w:lang w:val="en-US" w:eastAsia="zh-CN" w:bidi="ar-SA"/>
        </w:rPr>
        <w:t>在本次采购活动中存在违法违规行为或其他原因使质疑成立的，采购人可以直接确定排名靠后的候选人为</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，以此类推至最</w:t>
      </w:r>
      <w:r>
        <w:rPr>
          <w:rFonts w:hint="eastAsia" w:ascii="宋体" w:hAnsi="宋体" w:cs="宋体"/>
          <w:color w:val="auto"/>
          <w:kern w:val="2"/>
          <w:sz w:val="22"/>
          <w:szCs w:val="22"/>
          <w:highlight w:val="none"/>
          <w:lang w:val="en-US" w:eastAsia="zh-CN" w:bidi="ar-SA"/>
        </w:rPr>
        <w:t>后一</w:t>
      </w:r>
      <w:r>
        <w:rPr>
          <w:rFonts w:hint="eastAsia" w:ascii="宋体" w:hAnsi="宋体" w:eastAsia="宋体" w:cs="宋体"/>
          <w:color w:val="auto"/>
          <w:kern w:val="2"/>
          <w:sz w:val="22"/>
          <w:szCs w:val="22"/>
          <w:highlight w:val="none"/>
          <w:lang w:val="en-US" w:eastAsia="zh-CN" w:bidi="ar-SA"/>
        </w:rPr>
        <w:t>名。如最</w:t>
      </w:r>
      <w:r>
        <w:rPr>
          <w:rFonts w:hint="eastAsia" w:ascii="宋体" w:hAnsi="宋体" w:cs="宋体"/>
          <w:color w:val="auto"/>
          <w:kern w:val="2"/>
          <w:sz w:val="22"/>
          <w:szCs w:val="22"/>
          <w:highlight w:val="none"/>
          <w:lang w:val="en-US" w:eastAsia="zh-CN" w:bidi="ar-SA"/>
        </w:rPr>
        <w:t>后一</w:t>
      </w:r>
      <w:r>
        <w:rPr>
          <w:rFonts w:hint="eastAsia" w:ascii="宋体" w:hAnsi="宋体" w:eastAsia="宋体" w:cs="宋体"/>
          <w:color w:val="auto"/>
          <w:kern w:val="2"/>
          <w:sz w:val="22"/>
          <w:szCs w:val="22"/>
          <w:highlight w:val="none"/>
          <w:lang w:val="en-US" w:eastAsia="zh-CN" w:bidi="ar-SA"/>
        </w:rPr>
        <w:t>名</w:t>
      </w:r>
      <w:r>
        <w:rPr>
          <w:rFonts w:hint="eastAsia" w:ascii="宋体" w:hAnsi="宋体" w:cs="宋体"/>
          <w:color w:val="auto"/>
          <w:kern w:val="2"/>
          <w:sz w:val="22"/>
          <w:szCs w:val="22"/>
          <w:highlight w:val="none"/>
          <w:lang w:val="en-US" w:eastAsia="zh-CN" w:bidi="ar-SA"/>
        </w:rPr>
        <w:t>中标候选银行</w:t>
      </w:r>
      <w:r>
        <w:rPr>
          <w:rFonts w:hint="eastAsia" w:ascii="宋体" w:hAnsi="宋体" w:eastAsia="宋体" w:cs="宋体"/>
          <w:color w:val="auto"/>
          <w:kern w:val="2"/>
          <w:sz w:val="22"/>
          <w:szCs w:val="22"/>
          <w:highlight w:val="none"/>
          <w:lang w:val="en-US" w:eastAsia="zh-CN" w:bidi="ar-SA"/>
        </w:rPr>
        <w:t>因前款规定的同样原因不能签订</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的，本次招标失败，重新组织招标。</w:t>
      </w:r>
    </w:p>
    <w:p w14:paraId="020C37B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7.3评标结束后，采购人将在浙江政府采购网公示中标结果</w:t>
      </w:r>
      <w:r>
        <w:rPr>
          <w:rFonts w:hint="eastAsia" w:ascii="宋体" w:hAnsi="宋体" w:cs="宋体"/>
          <w:color w:val="auto"/>
          <w:kern w:val="2"/>
          <w:sz w:val="22"/>
          <w:szCs w:val="22"/>
          <w:highlight w:val="none"/>
          <w:lang w:val="en-US" w:eastAsia="zh-CN" w:bidi="ar-SA"/>
        </w:rPr>
        <w:t>，公示时间为3个工作日</w:t>
      </w:r>
      <w:r>
        <w:rPr>
          <w:rFonts w:hint="eastAsia" w:ascii="宋体" w:hAnsi="宋体" w:eastAsia="宋体" w:cs="宋体"/>
          <w:color w:val="auto"/>
          <w:kern w:val="2"/>
          <w:sz w:val="22"/>
          <w:szCs w:val="22"/>
          <w:highlight w:val="none"/>
          <w:lang w:val="en-US" w:eastAsia="zh-CN" w:bidi="ar-SA"/>
        </w:rPr>
        <w:t>。</w:t>
      </w:r>
    </w:p>
    <w:p w14:paraId="61C450FC">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8.评标细则详见第五章《评分办法和评分标准》。</w:t>
      </w:r>
    </w:p>
    <w:p w14:paraId="5E5FADF4">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9.开评标程序以政采云平台实际操作流程为准</w:t>
      </w:r>
      <w:r>
        <w:rPr>
          <w:rFonts w:hint="eastAsia" w:ascii="宋体" w:hAnsi="宋体" w:cs="宋体"/>
          <w:b/>
          <w:bCs/>
          <w:color w:val="auto"/>
          <w:kern w:val="2"/>
          <w:sz w:val="22"/>
          <w:szCs w:val="22"/>
          <w:highlight w:val="none"/>
          <w:lang w:val="en-US" w:eastAsia="zh-CN" w:bidi="ar-SA"/>
        </w:rPr>
        <w:t>，</w:t>
      </w:r>
      <w:r>
        <w:rPr>
          <w:rFonts w:hint="eastAsia" w:ascii="宋体" w:hAnsi="宋体" w:eastAsia="宋体" w:cs="宋体"/>
          <w:b/>
          <w:bCs/>
          <w:color w:val="auto"/>
          <w:kern w:val="2"/>
          <w:sz w:val="22"/>
          <w:szCs w:val="22"/>
          <w:highlight w:val="none"/>
          <w:lang w:val="en-US" w:eastAsia="zh-CN" w:bidi="ar-SA"/>
        </w:rPr>
        <w:t>政采云公司如对电子化开标及评审程序有调整的，按调整后的程序操作。</w:t>
      </w:r>
    </w:p>
    <w:p w14:paraId="6AE43A12">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10.未尽事宜遵循相关法律法规及规范性文件执行。</w:t>
      </w:r>
    </w:p>
    <w:p w14:paraId="67D49787">
      <w:pPr>
        <w:pStyle w:val="4"/>
        <w:keepLines w:val="0"/>
        <w:pageBreakBefore w:val="0"/>
        <w:widowControl w:val="0"/>
        <w:kinsoku/>
        <w:wordWrap/>
        <w:overflowPunct/>
        <w:topLinePunct w:val="0"/>
        <w:autoSpaceDE/>
        <w:autoSpaceDN/>
        <w:bidi w:val="0"/>
        <w:snapToGrid/>
        <w:spacing w:line="470" w:lineRule="exact"/>
        <w:textAlignment w:val="auto"/>
        <w:rPr>
          <w:rFonts w:hint="eastAsia"/>
          <w:color w:val="auto"/>
          <w:highlight w:val="none"/>
          <w:lang w:val="en-US" w:eastAsia="zh-CN"/>
        </w:rPr>
      </w:pPr>
      <w:bookmarkStart w:id="13" w:name="_Toc103948073"/>
      <w:r>
        <w:rPr>
          <w:rFonts w:hint="eastAsia"/>
          <w:color w:val="auto"/>
          <w:highlight w:val="none"/>
          <w:lang w:val="en-US" w:eastAsia="zh-CN"/>
        </w:rPr>
        <w:t>六、授予</w:t>
      </w:r>
      <w:bookmarkEnd w:id="13"/>
      <w:r>
        <w:rPr>
          <w:rFonts w:hint="eastAsia"/>
          <w:color w:val="auto"/>
          <w:highlight w:val="none"/>
          <w:lang w:val="en-US" w:eastAsia="zh-CN"/>
        </w:rPr>
        <w:t>协议书</w:t>
      </w:r>
    </w:p>
    <w:p w14:paraId="519D9A45">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1.中标通知书</w:t>
      </w:r>
    </w:p>
    <w:p w14:paraId="661847EF">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1.1</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确定后，采购人将向</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发出中标通知书。</w:t>
      </w:r>
    </w:p>
    <w:p w14:paraId="79500DB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1.2中标通知书是</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的一个组成部分</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对采购人和</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均具有同等法律效力。</w:t>
      </w:r>
    </w:p>
    <w:p w14:paraId="27E29FFF">
      <w:pPr>
        <w:pStyle w:val="2"/>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2.签订协议书</w:t>
      </w:r>
    </w:p>
    <w:p w14:paraId="5DC5A964">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应</w:t>
      </w:r>
      <w:r>
        <w:rPr>
          <w:rFonts w:hint="eastAsia" w:ascii="宋体" w:hAnsi="宋体" w:cs="宋体"/>
          <w:color w:val="auto"/>
          <w:kern w:val="2"/>
          <w:sz w:val="22"/>
          <w:szCs w:val="22"/>
          <w:highlight w:val="none"/>
          <w:lang w:val="en-US" w:eastAsia="zh-CN" w:bidi="ar-SA"/>
        </w:rPr>
        <w:t>在中标通知书发出之日起15日内，</w:t>
      </w:r>
      <w:r>
        <w:rPr>
          <w:rFonts w:hint="eastAsia" w:ascii="宋体" w:hAnsi="宋体" w:eastAsia="宋体" w:cs="宋体"/>
          <w:color w:val="auto"/>
          <w:kern w:val="2"/>
          <w:sz w:val="22"/>
          <w:szCs w:val="22"/>
          <w:highlight w:val="none"/>
          <w:lang w:val="en-US" w:eastAsia="zh-CN" w:bidi="ar-SA"/>
        </w:rPr>
        <w:t>与采购人签订</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w:t>
      </w:r>
    </w:p>
    <w:p w14:paraId="58393D2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.2</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的投标文件、投标修改文件、评标过程中有关澄清文件及经</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和评委双方签字的询标纪要和中标通知书均作为</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附件。</w:t>
      </w:r>
    </w:p>
    <w:p w14:paraId="5BA4075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.3拒签</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的违约责任</w:t>
      </w:r>
    </w:p>
    <w:p w14:paraId="6B4A83D8">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接到中标通知书后，在规定时间内借故否认已经承诺的条件而拒签</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的，以违约处理。</w:t>
      </w:r>
    </w:p>
    <w:bookmarkEnd w:id="8"/>
    <w:p w14:paraId="152354D6">
      <w:pPr>
        <w:rPr>
          <w:rStyle w:val="24"/>
          <w:rFonts w:hint="eastAsia" w:ascii="Times New Roman" w:hAnsi="Times New Roman" w:cs="Times New Roman"/>
          <w:color w:val="auto"/>
          <w:highlight w:val="none"/>
        </w:rPr>
      </w:pPr>
      <w:bookmarkStart w:id="14" w:name="_Toc26614"/>
      <w:bookmarkStart w:id="15" w:name="_Toc6600"/>
      <w:bookmarkStart w:id="16" w:name="_Toc172"/>
      <w:r>
        <w:rPr>
          <w:rStyle w:val="24"/>
          <w:rFonts w:hint="eastAsia" w:ascii="Times New Roman" w:hAnsi="Times New Roman" w:cs="Times New Roman"/>
          <w:color w:val="auto"/>
          <w:highlight w:val="none"/>
        </w:rPr>
        <w:br w:type="page"/>
      </w:r>
    </w:p>
    <w:p w14:paraId="1B775260">
      <w:pPr>
        <w:keepNext w:val="0"/>
        <w:keepLines w:val="0"/>
        <w:pageBreakBefore w:val="0"/>
        <w:kinsoku/>
        <w:wordWrap/>
        <w:overflowPunct/>
        <w:topLinePunct w:val="0"/>
        <w:bidi w:val="0"/>
        <w:snapToGrid w:val="0"/>
        <w:spacing w:before="312" w:beforeLines="100" w:after="156" w:afterLines="50" w:line="380" w:lineRule="exact"/>
        <w:jc w:val="center"/>
        <w:outlineLvl w:val="0"/>
        <w:rPr>
          <w:rStyle w:val="24"/>
          <w:rFonts w:hint="eastAsia" w:ascii="Times New Roman" w:hAnsi="Times New Roman" w:cs="Times New Roman"/>
          <w:color w:val="auto"/>
          <w:highlight w:val="none"/>
        </w:rPr>
      </w:pPr>
      <w:bookmarkStart w:id="17" w:name="_Toc10313"/>
      <w:r>
        <w:rPr>
          <w:rStyle w:val="24"/>
          <w:rFonts w:hint="eastAsia" w:ascii="Times New Roman" w:hAnsi="Times New Roman" w:cs="Times New Roman"/>
          <w:color w:val="auto"/>
          <w:highlight w:val="none"/>
        </w:rPr>
        <w:t xml:space="preserve">第三章  </w:t>
      </w:r>
      <w:r>
        <w:rPr>
          <w:rStyle w:val="24"/>
          <w:rFonts w:hint="eastAsia" w:cs="Times New Roman"/>
          <w:color w:val="auto"/>
          <w:highlight w:val="none"/>
          <w:lang w:eastAsia="zh-CN"/>
        </w:rPr>
        <w:t>协议书</w:t>
      </w:r>
      <w:r>
        <w:rPr>
          <w:rStyle w:val="24"/>
          <w:rFonts w:hint="eastAsia" w:ascii="Times New Roman" w:hAnsi="Times New Roman" w:cs="Times New Roman"/>
          <w:color w:val="auto"/>
          <w:highlight w:val="none"/>
        </w:rPr>
        <w:t>主要条款</w:t>
      </w:r>
      <w:bookmarkEnd w:id="14"/>
      <w:bookmarkEnd w:id="15"/>
      <w:bookmarkEnd w:id="17"/>
    </w:p>
    <w:p w14:paraId="52D97DB3">
      <w:pPr>
        <w:keepNext w:val="0"/>
        <w:keepLines w:val="0"/>
        <w:pageBreakBefore w:val="0"/>
        <w:widowControl/>
        <w:kinsoku/>
        <w:wordWrap/>
        <w:overflowPunct/>
        <w:topLinePunct w:val="0"/>
        <w:autoSpaceDE/>
        <w:autoSpaceDN/>
        <w:bidi w:val="0"/>
        <w:adjustRightInd/>
        <w:snapToGrid/>
        <w:spacing w:line="480" w:lineRule="exact"/>
        <w:ind w:firstLine="442" w:firstLineChars="200"/>
        <w:jc w:val="center"/>
        <w:textAlignment w:val="auto"/>
        <w:rPr>
          <w:rFonts w:hint="eastAsia" w:ascii="宋体" w:hAnsi="宋体" w:eastAsia="宋体" w:cs="宋体"/>
          <w:b/>
          <w:bCs/>
          <w:color w:val="auto"/>
          <w:kern w:val="0"/>
          <w:sz w:val="22"/>
          <w:szCs w:val="22"/>
          <w:highlight w:val="none"/>
        </w:rPr>
      </w:pPr>
      <w:bookmarkStart w:id="18" w:name="_Toc1955"/>
      <w:r>
        <w:rPr>
          <w:rFonts w:hint="eastAsia" w:ascii="宋体" w:hAnsi="宋体" w:eastAsia="宋体" w:cs="宋体"/>
          <w:b/>
          <w:bCs/>
          <w:color w:val="auto"/>
          <w:kern w:val="0"/>
          <w:sz w:val="22"/>
          <w:szCs w:val="22"/>
          <w:highlight w:val="none"/>
          <w:lang w:val="en-US" w:eastAsia="zh-CN"/>
        </w:rPr>
        <w:t>天台县行政事业单位公款</w:t>
      </w:r>
      <w:r>
        <w:rPr>
          <w:rFonts w:hint="eastAsia" w:ascii="宋体" w:hAnsi="宋体" w:eastAsia="宋体" w:cs="宋体"/>
          <w:b/>
          <w:bCs/>
          <w:color w:val="auto"/>
          <w:kern w:val="0"/>
          <w:sz w:val="22"/>
          <w:szCs w:val="22"/>
          <w:highlight w:val="none"/>
        </w:rPr>
        <w:t>竞争性存放商业银行定期存款协议书</w:t>
      </w:r>
    </w:p>
    <w:p w14:paraId="73B87B1F">
      <w:pPr>
        <w:pStyle w:val="2"/>
        <w:ind w:firstLine="6571" w:firstLineChars="2975"/>
        <w:rPr>
          <w:rFonts w:hint="eastAsia" w:hAnsi="宋体" w:cs="宋体"/>
          <w:b/>
          <w:bCs/>
          <w:color w:val="auto"/>
          <w:kern w:val="0"/>
          <w:sz w:val="22"/>
          <w:szCs w:val="22"/>
          <w:highlight w:val="none"/>
          <w:lang w:eastAsia="zh-CN"/>
        </w:rPr>
      </w:pPr>
    </w:p>
    <w:p w14:paraId="7E73C9B1">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Times New Roman" w:hAnsi="Times New Roman" w:eastAsia="宋体"/>
          <w:i w:val="0"/>
          <w:iCs w:val="0"/>
          <w:color w:val="auto"/>
          <w:sz w:val="22"/>
          <w:szCs w:val="22"/>
          <w:highlight w:val="none"/>
          <w:u w:val="single"/>
          <w:lang w:val="en-US" w:eastAsia="zh-CN"/>
        </w:rPr>
      </w:pPr>
      <w:r>
        <w:rPr>
          <w:rFonts w:hint="eastAsia" w:ascii="宋体" w:hAnsi="宋体" w:eastAsia="宋体" w:cs="宋体"/>
          <w:color w:val="auto"/>
          <w:kern w:val="0"/>
          <w:sz w:val="22"/>
          <w:szCs w:val="22"/>
          <w:highlight w:val="none"/>
        </w:rPr>
        <w:t>甲方：</w:t>
      </w:r>
      <w:r>
        <w:rPr>
          <w:rFonts w:hint="eastAsia" w:ascii="Times New Roman" w:hAnsi="Times New Roman" w:eastAsia="宋体"/>
          <w:i w:val="0"/>
          <w:iCs w:val="0"/>
          <w:color w:val="auto"/>
          <w:sz w:val="22"/>
          <w:szCs w:val="22"/>
          <w:highlight w:val="none"/>
          <w:u w:val="single"/>
          <w:lang w:val="en-US" w:eastAsia="zh-CN"/>
        </w:rPr>
        <w:t xml:space="preserve"> </w:t>
      </w:r>
      <w:r>
        <w:rPr>
          <w:rFonts w:hint="eastAsia"/>
          <w:i w:val="0"/>
          <w:iCs w:val="0"/>
          <w:color w:val="auto"/>
          <w:sz w:val="22"/>
          <w:szCs w:val="22"/>
          <w:highlight w:val="none"/>
          <w:u w:val="single"/>
          <w:lang w:val="en-US" w:eastAsia="zh-CN"/>
        </w:rPr>
        <w:t>天台县总工会</w:t>
      </w:r>
      <w:r>
        <w:rPr>
          <w:rFonts w:hint="eastAsia" w:ascii="Times New Roman" w:hAnsi="Times New Roman" w:eastAsia="宋体"/>
          <w:i w:val="0"/>
          <w:iCs w:val="0"/>
          <w:color w:val="auto"/>
          <w:sz w:val="22"/>
          <w:szCs w:val="22"/>
          <w:highlight w:val="none"/>
          <w:u w:val="single"/>
          <w:lang w:val="en-US" w:eastAsia="zh-CN"/>
        </w:rPr>
        <w:t xml:space="preserve"> </w:t>
      </w:r>
    </w:p>
    <w:p w14:paraId="7B96694C">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cs="宋体"/>
          <w:color w:val="auto"/>
          <w:kern w:val="0"/>
          <w:sz w:val="22"/>
          <w:szCs w:val="22"/>
          <w:highlight w:val="none"/>
          <w:u w:val="single"/>
          <w:lang w:val="en-US" w:eastAsia="zh-CN"/>
        </w:rPr>
        <w:t xml:space="preserve"> 天台县和合北路159号 </w:t>
      </w:r>
    </w:p>
    <w:p w14:paraId="57534D4B">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Times New Roman" w:hAnsi="Times New Roman" w:eastAsia="宋体"/>
          <w:i w:val="0"/>
          <w:iCs w:val="0"/>
          <w:color w:val="auto"/>
          <w:sz w:val="22"/>
          <w:szCs w:val="22"/>
          <w:highlight w:val="none"/>
          <w:u w:val="single"/>
          <w:lang w:val="en-US" w:eastAsia="zh-CN"/>
        </w:rPr>
      </w:pPr>
      <w:r>
        <w:rPr>
          <w:rFonts w:hint="eastAsia" w:ascii="宋体" w:hAnsi="宋体" w:eastAsia="宋体" w:cs="宋体"/>
          <w:color w:val="auto"/>
          <w:kern w:val="0"/>
          <w:sz w:val="22"/>
          <w:szCs w:val="22"/>
          <w:highlight w:val="none"/>
        </w:rPr>
        <w:t>乙方：</w:t>
      </w:r>
      <w:r>
        <w:rPr>
          <w:rFonts w:hint="eastAsia" w:ascii="Times New Roman" w:hAnsi="Times New Roman" w:eastAsia="宋体"/>
          <w:i w:val="0"/>
          <w:iCs w:val="0"/>
          <w:color w:val="auto"/>
          <w:sz w:val="22"/>
          <w:szCs w:val="22"/>
          <w:highlight w:val="none"/>
          <w:u w:val="single"/>
          <w:lang w:val="en-US" w:eastAsia="zh-CN"/>
        </w:rPr>
        <w:t xml:space="preserve">                        </w:t>
      </w:r>
    </w:p>
    <w:p w14:paraId="1319B878">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default"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cs="宋体"/>
          <w:color w:val="auto"/>
          <w:kern w:val="0"/>
          <w:sz w:val="22"/>
          <w:szCs w:val="22"/>
          <w:highlight w:val="none"/>
          <w:u w:val="single"/>
          <w:lang w:val="en-US" w:eastAsia="zh-CN"/>
        </w:rPr>
        <w:t xml:space="preserve">                         </w:t>
      </w:r>
    </w:p>
    <w:p w14:paraId="54D473FD">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为明确双方在</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lang w:eastAsia="zh-CN"/>
        </w:rPr>
        <w:t>天台县总工会2024年公款竞争性存放项目（第二次）</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eastAsia="zh-CN"/>
        </w:rPr>
        <w:t>业务活动中的权利与义务，甲、乙双方达成本协议。</w:t>
      </w:r>
    </w:p>
    <w:p w14:paraId="5DD2A843">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一、总则</w:t>
      </w:r>
    </w:p>
    <w:p w14:paraId="71FB074D">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第一条  参照《中华人民共和国</w:t>
      </w:r>
      <w:r>
        <w:rPr>
          <w:rFonts w:hint="eastAsia" w:ascii="宋体" w:hAnsi="宋体" w:eastAsia="宋体" w:cs="宋体"/>
          <w:color w:val="auto"/>
          <w:kern w:val="0"/>
          <w:sz w:val="22"/>
          <w:szCs w:val="22"/>
          <w:highlight w:val="none"/>
          <w:lang w:val="en-US" w:eastAsia="zh-CN"/>
        </w:rPr>
        <w:t>民法典</w:t>
      </w:r>
      <w:r>
        <w:rPr>
          <w:rFonts w:hint="eastAsia" w:ascii="宋体" w:hAnsi="宋体" w:eastAsia="宋体" w:cs="宋体"/>
          <w:color w:val="auto"/>
          <w:kern w:val="0"/>
          <w:sz w:val="22"/>
          <w:szCs w:val="22"/>
          <w:highlight w:val="none"/>
          <w:lang w:eastAsia="zh-CN"/>
        </w:rPr>
        <w:t>》、《天台县行政事业单位公款竞争性存放</w:t>
      </w:r>
      <w:r>
        <w:rPr>
          <w:rFonts w:hint="eastAsia" w:ascii="宋体" w:hAnsi="宋体" w:cs="宋体"/>
          <w:color w:val="auto"/>
          <w:kern w:val="0"/>
          <w:sz w:val="22"/>
          <w:szCs w:val="22"/>
          <w:highlight w:val="none"/>
          <w:lang w:eastAsia="zh-CN"/>
        </w:rPr>
        <w:t>管理办法</w:t>
      </w:r>
      <w:r>
        <w:rPr>
          <w:rFonts w:hint="eastAsia" w:ascii="宋体" w:hAnsi="宋体" w:eastAsia="宋体" w:cs="宋体"/>
          <w:color w:val="auto"/>
          <w:kern w:val="0"/>
          <w:sz w:val="22"/>
          <w:szCs w:val="22"/>
          <w:highlight w:val="none"/>
          <w:lang w:eastAsia="zh-CN"/>
        </w:rPr>
        <w:t>》等相关规定，经甲、乙双方平等协商，签订本协议。</w:t>
      </w:r>
    </w:p>
    <w:p w14:paraId="64090654">
      <w:pPr>
        <w:keepNext w:val="0"/>
        <w:keepLines w:val="0"/>
        <w:pageBreakBefore w:val="0"/>
        <w:widowControl/>
        <w:kinsoku/>
        <w:wordWrap/>
        <w:overflowPunct/>
        <w:topLinePunct w:val="0"/>
        <w:autoSpaceDE/>
        <w:autoSpaceDN/>
        <w:bidi w:val="0"/>
        <w:adjustRightInd/>
        <w:spacing w:line="420" w:lineRule="exact"/>
        <w:ind w:firstLine="640"/>
        <w:textAlignment w:val="auto"/>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第二条  甲方通过招投标方式择优确定</w:t>
      </w:r>
      <w:r>
        <w:rPr>
          <w:rFonts w:hint="eastAsia" w:ascii="宋体" w:hAnsi="宋体" w:cs="宋体"/>
          <w:color w:val="auto"/>
          <w:kern w:val="0"/>
          <w:sz w:val="22"/>
          <w:szCs w:val="22"/>
          <w:highlight w:val="none"/>
          <w:lang w:eastAsia="zh-CN"/>
        </w:rPr>
        <w:t>资金竞争性存放的定期存款银行，其定期存款有关的资金管理、本息收回等活动适用本协议。</w:t>
      </w:r>
    </w:p>
    <w:p w14:paraId="629EE8ED">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第三条  经招投标确定，甲方在乙方开立定期存款账户，存入</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eastAsia="zh-CN"/>
        </w:rPr>
        <w:t>个月定期存款</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万元，按人民银行同期限基准利率上浮</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BP，</w:t>
      </w:r>
      <w:r>
        <w:rPr>
          <w:rFonts w:hint="eastAsia" w:ascii="宋体" w:hAnsi="宋体" w:cs="宋体"/>
          <w:color w:val="auto"/>
          <w:kern w:val="0"/>
          <w:sz w:val="22"/>
          <w:szCs w:val="22"/>
          <w:highlight w:val="none"/>
          <w:lang w:eastAsia="zh-CN"/>
        </w:rPr>
        <w:t>年利率</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eastAsia="zh-CN"/>
        </w:rPr>
        <w:t>，到期计付利息。</w:t>
      </w:r>
    </w:p>
    <w:p w14:paraId="6281AD97">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二、甲方权利与义务</w:t>
      </w:r>
    </w:p>
    <w:p w14:paraId="16D25622">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（一）监督乙方履行本协议；</w:t>
      </w:r>
    </w:p>
    <w:p w14:paraId="312BE2C4">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（二）要求乙方提供存款证明；</w:t>
      </w:r>
    </w:p>
    <w:p w14:paraId="31853DF2">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（三）对乙方定期存款业务实施监督管理；</w:t>
      </w:r>
    </w:p>
    <w:p w14:paraId="12EFABAE">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（四）按规定在乙方办理定期存款存放； </w:t>
      </w:r>
    </w:p>
    <w:p w14:paraId="780C347E">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（五）及时与乙方核对账务。</w:t>
      </w:r>
    </w:p>
    <w:p w14:paraId="574E6743">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三、乙方权利与义务</w:t>
      </w:r>
    </w:p>
    <w:p w14:paraId="634AA40B">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 xml:space="preserve">（一）按中标金额取得甲方定期存款； </w:t>
      </w:r>
      <w:r>
        <w:rPr>
          <w:rFonts w:hint="eastAsia" w:ascii="宋体" w:hAnsi="宋体" w:cs="宋体"/>
          <w:color w:val="auto"/>
          <w:kern w:val="0"/>
          <w:sz w:val="22"/>
          <w:szCs w:val="22"/>
          <w:highlight w:val="none"/>
          <w:lang w:val="en-US" w:eastAsia="zh-CN"/>
        </w:rPr>
        <w:t xml:space="preserve"> </w:t>
      </w:r>
    </w:p>
    <w:p w14:paraId="4E57BEC8">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二</w:t>
      </w:r>
      <w:r>
        <w:rPr>
          <w:rFonts w:hint="eastAsia" w:ascii="宋体" w:hAnsi="宋体" w:eastAsia="宋体" w:cs="宋体"/>
          <w:color w:val="auto"/>
          <w:kern w:val="0"/>
          <w:sz w:val="22"/>
          <w:szCs w:val="22"/>
          <w:highlight w:val="none"/>
          <w:lang w:eastAsia="zh-CN"/>
        </w:rPr>
        <w:t>）及时办理定期存款并向甲方提供存款证明；</w:t>
      </w:r>
    </w:p>
    <w:p w14:paraId="7AA8CF21">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三</w:t>
      </w:r>
      <w:r>
        <w:rPr>
          <w:rFonts w:hint="eastAsia" w:ascii="宋体" w:hAnsi="宋体" w:eastAsia="宋体" w:cs="宋体"/>
          <w:color w:val="auto"/>
          <w:kern w:val="0"/>
          <w:sz w:val="22"/>
          <w:szCs w:val="22"/>
          <w:highlight w:val="none"/>
          <w:lang w:eastAsia="zh-CN"/>
        </w:rPr>
        <w:t xml:space="preserve">）存款到期及时足额缴清甲方存款本息； </w:t>
      </w:r>
    </w:p>
    <w:p w14:paraId="2E48C35D">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四</w:t>
      </w:r>
      <w:r>
        <w:rPr>
          <w:rFonts w:hint="eastAsia" w:ascii="宋体" w:hAnsi="宋体" w:eastAsia="宋体" w:cs="宋体"/>
          <w:color w:val="auto"/>
          <w:kern w:val="0"/>
          <w:sz w:val="22"/>
          <w:szCs w:val="22"/>
          <w:highlight w:val="none"/>
          <w:lang w:eastAsia="zh-CN"/>
        </w:rPr>
        <w:t xml:space="preserve">）确保甲方定期存款在乙方存续期间的资金安全； </w:t>
      </w:r>
    </w:p>
    <w:p w14:paraId="6DC0167B">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五</w:t>
      </w:r>
      <w:r>
        <w:rPr>
          <w:rFonts w:hint="eastAsia" w:ascii="宋体" w:hAnsi="宋体" w:eastAsia="宋体" w:cs="宋体"/>
          <w:color w:val="auto"/>
          <w:kern w:val="0"/>
          <w:sz w:val="22"/>
          <w:szCs w:val="22"/>
          <w:highlight w:val="none"/>
          <w:lang w:eastAsia="zh-CN"/>
        </w:rPr>
        <w:t xml:space="preserve">）接受甲方对定期存款业务的监督管理； </w:t>
      </w:r>
    </w:p>
    <w:p w14:paraId="0BE9B2C4">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六</w:t>
      </w:r>
      <w:r>
        <w:rPr>
          <w:rFonts w:hint="eastAsia" w:ascii="宋体" w:hAnsi="宋体" w:eastAsia="宋体" w:cs="宋体"/>
          <w:color w:val="auto"/>
          <w:kern w:val="0"/>
          <w:sz w:val="22"/>
          <w:szCs w:val="22"/>
          <w:highlight w:val="none"/>
          <w:lang w:eastAsia="zh-CN"/>
        </w:rPr>
        <w:t>）及时与甲方核对账务。</w:t>
      </w:r>
    </w:p>
    <w:p w14:paraId="7F217CC8">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 xml:space="preserve">四、违约责任 </w:t>
      </w:r>
    </w:p>
    <w:p w14:paraId="103957FB">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除发生不可抗力外，违约责任按以下条款执行：</w:t>
      </w:r>
    </w:p>
    <w:p w14:paraId="3F6F6CBF">
      <w:pPr>
        <w:keepNext w:val="0"/>
        <w:keepLines w:val="0"/>
        <w:pageBreakBefore w:val="0"/>
        <w:widowControl/>
        <w:numPr>
          <w:ilvl w:val="0"/>
          <w:numId w:val="3"/>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甲方未及时办理资金存放，应按未划拨资金额，以当期存款协议中定期存款利率的两倍折成日利率，按日向乙方支付违约金。</w:t>
      </w:r>
    </w:p>
    <w:p w14:paraId="17CC5B71">
      <w:pPr>
        <w:keepNext w:val="0"/>
        <w:keepLines w:val="0"/>
        <w:pageBreakBefore w:val="0"/>
        <w:widowControl/>
        <w:numPr>
          <w:ilvl w:val="0"/>
          <w:numId w:val="3"/>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乙方对通过投标取得的定期存款在存续期间不得提前终止。若提前终止，存期利息按其中标的定期存款利率按日折算</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eastAsia="zh-CN"/>
        </w:rPr>
        <w:t>并处以已计利息的一倍罚息</w:t>
      </w:r>
      <w:r>
        <w:rPr>
          <w:rFonts w:hint="eastAsia" w:ascii="宋体" w:hAnsi="宋体" w:cs="宋体"/>
          <w:color w:val="auto"/>
          <w:kern w:val="0"/>
          <w:sz w:val="22"/>
          <w:szCs w:val="22"/>
          <w:highlight w:val="none"/>
          <w:lang w:eastAsia="zh-CN"/>
        </w:rPr>
        <w:t>。</w:t>
      </w:r>
    </w:p>
    <w:p w14:paraId="727398B8">
      <w:pPr>
        <w:keepNext w:val="0"/>
        <w:keepLines w:val="0"/>
        <w:pageBreakBefore w:val="0"/>
        <w:widowControl/>
        <w:numPr>
          <w:ilvl w:val="0"/>
          <w:numId w:val="3"/>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乙方未及时向甲方缴清到期存款本息的，应以当期定期存款利率的两倍折成日利率，按日向甲方支付违约金。 </w:t>
      </w:r>
    </w:p>
    <w:p w14:paraId="308A8E0A">
      <w:pPr>
        <w:keepNext w:val="0"/>
        <w:keepLines w:val="0"/>
        <w:pageBreakBefore w:val="0"/>
        <w:widowControl/>
        <w:numPr>
          <w:ilvl w:val="0"/>
          <w:numId w:val="3"/>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乙方有下列情形之一的，甲方应当提前收回定期存款： </w:t>
      </w:r>
    </w:p>
    <w:p w14:paraId="19B794C5">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1.出现资金安全事故、重大违法违规情况或财务状况恶化；</w:t>
      </w:r>
    </w:p>
    <w:p w14:paraId="5C23A678">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2.监管评级降低，人民银行台州市分行评级降至B级及以下；</w:t>
      </w:r>
    </w:p>
    <w:p w14:paraId="3C7DD652">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3.有严重不正当投标行为；</w:t>
      </w:r>
    </w:p>
    <w:p w14:paraId="77B7DF55">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4.没有按照中标协议承诺履行相应的责任和义务；</w:t>
      </w:r>
    </w:p>
    <w:p w14:paraId="70A7538F">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5.不能在规定期限内将存款本息足额缴入相关账户；</w:t>
      </w:r>
    </w:p>
    <w:p w14:paraId="69CD5AA6">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6.其它妨害财政资金安全的行为。</w:t>
      </w:r>
    </w:p>
    <w:p w14:paraId="2A33F026">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五、提前支取</w:t>
      </w:r>
    </w:p>
    <w:p w14:paraId="40F6BBA6">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经与乙方协商，甲方有权在到期日前提前支取定期存款，甲方至少应在5个工作日前通知乙方，提前支取金额</w:t>
      </w:r>
      <w:r>
        <w:rPr>
          <w:rFonts w:hint="eastAsia" w:ascii="宋体" w:hAnsi="宋体" w:cs="宋体"/>
          <w:color w:val="auto"/>
          <w:kern w:val="0"/>
          <w:sz w:val="22"/>
          <w:szCs w:val="22"/>
          <w:highlight w:val="none"/>
          <w:lang w:eastAsia="zh-CN"/>
        </w:rPr>
        <w:t>按支取时国家有关利率政策计付利息，</w:t>
      </w:r>
      <w:r>
        <w:rPr>
          <w:rFonts w:hint="eastAsia" w:ascii="宋体" w:hAnsi="宋体" w:eastAsia="宋体" w:cs="宋体"/>
          <w:color w:val="auto"/>
          <w:kern w:val="0"/>
          <w:sz w:val="22"/>
          <w:szCs w:val="22"/>
          <w:highlight w:val="none"/>
          <w:lang w:eastAsia="zh-CN"/>
        </w:rPr>
        <w:t>存续金额仍按原起息日、期限及存款利率计付利息。</w:t>
      </w:r>
    </w:p>
    <w:p w14:paraId="795B105F">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七、</w:t>
      </w:r>
      <w:r>
        <w:rPr>
          <w:rFonts w:hint="eastAsia" w:ascii="宋体" w:hAnsi="宋体" w:eastAsia="宋体" w:cs="宋体"/>
          <w:b/>
          <w:bCs/>
          <w:color w:val="auto"/>
          <w:kern w:val="0"/>
          <w:sz w:val="22"/>
          <w:szCs w:val="22"/>
          <w:highlight w:val="none"/>
          <w:lang w:eastAsia="zh-CN"/>
        </w:rPr>
        <w:t>协议期限</w:t>
      </w:r>
    </w:p>
    <w:p w14:paraId="23A79BEE">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本协议期限自</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年</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日起至</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年</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日止。</w:t>
      </w:r>
    </w:p>
    <w:p w14:paraId="79F66868">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八、</w:t>
      </w:r>
      <w:r>
        <w:rPr>
          <w:rFonts w:hint="eastAsia" w:ascii="宋体" w:hAnsi="宋体" w:eastAsia="宋体" w:cs="宋体"/>
          <w:b/>
          <w:bCs/>
          <w:color w:val="auto"/>
          <w:kern w:val="0"/>
          <w:sz w:val="22"/>
          <w:szCs w:val="22"/>
          <w:highlight w:val="none"/>
          <w:lang w:val="en-US" w:eastAsia="zh-CN"/>
        </w:rPr>
        <w:t>本协议自甲、乙双方签字盖章之日起生效。</w:t>
      </w:r>
    </w:p>
    <w:p w14:paraId="67384D47">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color w:val="auto"/>
          <w:kern w:val="0"/>
          <w:sz w:val="22"/>
          <w:szCs w:val="22"/>
          <w:highlight w:val="none"/>
          <w:u w:val="none"/>
          <w:lang w:eastAsia="zh-CN"/>
        </w:rPr>
      </w:pPr>
      <w:r>
        <w:rPr>
          <w:rFonts w:hint="eastAsia" w:ascii="宋体" w:hAnsi="宋体" w:cs="宋体"/>
          <w:b/>
          <w:bCs/>
          <w:color w:val="auto"/>
          <w:kern w:val="0"/>
          <w:sz w:val="22"/>
          <w:szCs w:val="22"/>
          <w:highlight w:val="none"/>
          <w:lang w:eastAsia="zh-CN"/>
        </w:rPr>
        <w:t>九、</w:t>
      </w:r>
      <w:r>
        <w:rPr>
          <w:rFonts w:hint="eastAsia" w:ascii="宋体" w:hAnsi="宋体" w:eastAsia="宋体" w:cs="宋体"/>
          <w:b/>
          <w:bCs/>
          <w:color w:val="auto"/>
          <w:kern w:val="0"/>
          <w:sz w:val="22"/>
          <w:szCs w:val="22"/>
          <w:highlight w:val="none"/>
          <w:lang w:eastAsia="zh-CN"/>
        </w:rPr>
        <w:t>本协议一式二份，甲乙双方各执一份，具有同等法律效力。</w:t>
      </w:r>
      <w:r>
        <w:rPr>
          <w:rFonts w:hint="eastAsia" w:ascii="宋体" w:hAnsi="宋体" w:eastAsia="宋体" w:cs="宋体"/>
          <w:color w:val="auto"/>
          <w:kern w:val="0"/>
          <w:sz w:val="22"/>
          <w:szCs w:val="22"/>
          <w:highlight w:val="none"/>
          <w:lang w:eastAsia="zh-CN"/>
        </w:rPr>
        <w:t>执行中如对本协议产生争议，通过协商解决。双方不能协商解决</w:t>
      </w:r>
      <w:r>
        <w:rPr>
          <w:rFonts w:hint="eastAsia" w:ascii="宋体" w:hAnsi="宋体" w:eastAsia="宋体" w:cs="宋体"/>
          <w:color w:val="auto"/>
          <w:kern w:val="0"/>
          <w:sz w:val="22"/>
          <w:szCs w:val="22"/>
          <w:highlight w:val="none"/>
          <w:u w:val="none"/>
          <w:lang w:eastAsia="zh-CN"/>
        </w:rPr>
        <w:t>的，</w:t>
      </w:r>
      <w:r>
        <w:rPr>
          <w:rFonts w:hint="eastAsia" w:ascii="宋体" w:hAnsi="宋体" w:cs="宋体"/>
          <w:color w:val="auto"/>
          <w:kern w:val="0"/>
          <w:sz w:val="22"/>
          <w:szCs w:val="22"/>
          <w:highlight w:val="none"/>
          <w:u w:val="none"/>
          <w:lang w:eastAsia="zh-CN"/>
        </w:rPr>
        <w:t>向</w:t>
      </w:r>
      <w:r>
        <w:rPr>
          <w:rFonts w:hint="eastAsia" w:ascii="宋体" w:hAnsi="宋体" w:cs="宋体"/>
          <w:color w:val="auto"/>
          <w:kern w:val="0"/>
          <w:sz w:val="22"/>
          <w:szCs w:val="22"/>
          <w:u w:val="single"/>
        </w:rPr>
        <w:t>天台县人民法院</w:t>
      </w:r>
      <w:r>
        <w:rPr>
          <w:rFonts w:hint="eastAsia" w:ascii="宋体" w:hAnsi="宋体" w:cs="宋体"/>
          <w:color w:val="auto"/>
          <w:kern w:val="0"/>
          <w:sz w:val="22"/>
          <w:szCs w:val="22"/>
          <w:highlight w:val="none"/>
          <w:u w:val="none"/>
          <w:lang w:val="en-US" w:eastAsia="zh-CN"/>
        </w:rPr>
        <w:t>起诉</w:t>
      </w:r>
      <w:r>
        <w:rPr>
          <w:rFonts w:hint="eastAsia" w:ascii="宋体" w:hAnsi="宋体" w:eastAsia="宋体" w:cs="宋体"/>
          <w:color w:val="auto"/>
          <w:kern w:val="0"/>
          <w:sz w:val="22"/>
          <w:szCs w:val="22"/>
          <w:highlight w:val="none"/>
          <w:u w:val="none"/>
          <w:lang w:eastAsia="zh-CN"/>
        </w:rPr>
        <w:t>。</w:t>
      </w:r>
    </w:p>
    <w:p w14:paraId="3603D320">
      <w:pPr>
        <w:pStyle w:val="2"/>
        <w:keepNext w:val="0"/>
        <w:keepLines w:val="0"/>
        <w:pageBreakBefore w:val="0"/>
        <w:kinsoku/>
        <w:wordWrap/>
        <w:overflowPunct/>
        <w:topLinePunct w:val="0"/>
        <w:autoSpaceDE/>
        <w:autoSpaceDN/>
        <w:bidi w:val="0"/>
        <w:adjustRightInd/>
        <w:spacing w:line="420" w:lineRule="exact"/>
        <w:textAlignment w:val="auto"/>
        <w:rPr>
          <w:rFonts w:hint="eastAsia"/>
          <w:color w:val="auto"/>
          <w:highlight w:val="none"/>
          <w:lang w:eastAsia="zh-CN"/>
        </w:rPr>
      </w:pPr>
    </w:p>
    <w:p w14:paraId="40AEBB4C">
      <w:pPr>
        <w:rPr>
          <w:rFonts w:hint="eastAsia"/>
          <w:color w:val="auto"/>
          <w:lang w:eastAsia="zh-CN"/>
        </w:rPr>
      </w:pPr>
    </w:p>
    <w:p w14:paraId="3727E8DA">
      <w:pPr>
        <w:keepNext w:val="0"/>
        <w:keepLines w:val="0"/>
        <w:pageBreakBefore w:val="0"/>
        <w:widowControl/>
        <w:kinsoku/>
        <w:wordWrap/>
        <w:overflowPunct/>
        <w:topLinePunct w:val="0"/>
        <w:autoSpaceDE/>
        <w:autoSpaceDN/>
        <w:bidi w:val="0"/>
        <w:adjustRightInd/>
        <w:snapToGrid/>
        <w:spacing w:line="60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甲</w:t>
      </w:r>
      <w:r>
        <w:rPr>
          <w:rFonts w:hint="eastAsia" w:ascii="宋体" w:hAnsi="宋体" w:eastAsia="宋体" w:cs="宋体"/>
          <w:color w:val="auto"/>
          <w:kern w:val="0"/>
          <w:sz w:val="22"/>
          <w:szCs w:val="22"/>
          <w:highlight w:val="none"/>
          <w:lang w:eastAsia="zh-CN"/>
        </w:rPr>
        <w:t xml:space="preserve">方（盖章）：                            </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eastAsia="zh-CN"/>
        </w:rPr>
        <w:t xml:space="preserve"> 乙方（盖章）：        </w:t>
      </w:r>
    </w:p>
    <w:p w14:paraId="0ED71C45">
      <w:pPr>
        <w:keepNext w:val="0"/>
        <w:keepLines w:val="0"/>
        <w:pageBreakBefore w:val="0"/>
        <w:widowControl/>
        <w:kinsoku/>
        <w:wordWrap/>
        <w:overflowPunct/>
        <w:topLinePunct w:val="0"/>
        <w:autoSpaceDE/>
        <w:autoSpaceDN/>
        <w:bidi w:val="0"/>
        <w:adjustRightInd/>
        <w:snapToGrid/>
        <w:spacing w:line="60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甲方代表（签字）：</w:t>
      </w:r>
      <w:r>
        <w:rPr>
          <w:rFonts w:hint="eastAsia" w:ascii="宋体" w:hAnsi="宋体" w:eastAsia="宋体" w:cs="宋体"/>
          <w:color w:val="auto"/>
          <w:kern w:val="0"/>
          <w:sz w:val="22"/>
          <w:szCs w:val="22"/>
          <w:highlight w:val="none"/>
          <w:lang w:eastAsia="zh-CN"/>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lang w:eastAsia="zh-CN"/>
        </w:rPr>
        <w:t>乙方代表（签字）：</w:t>
      </w:r>
      <w:r>
        <w:rPr>
          <w:rFonts w:hint="eastAsia" w:ascii="宋体" w:hAnsi="宋体" w:eastAsia="宋体" w:cs="宋体"/>
          <w:color w:val="auto"/>
          <w:kern w:val="0"/>
          <w:sz w:val="22"/>
          <w:szCs w:val="22"/>
          <w:highlight w:val="none"/>
          <w:lang w:eastAsia="zh-CN"/>
        </w:rPr>
        <w:t xml:space="preserve">   </w:t>
      </w:r>
    </w:p>
    <w:p w14:paraId="2F9584FA">
      <w:pPr>
        <w:keepNext w:val="0"/>
        <w:keepLines w:val="0"/>
        <w:pageBreakBefore w:val="0"/>
        <w:widowControl/>
        <w:kinsoku/>
        <w:wordWrap/>
        <w:overflowPunct/>
        <w:topLinePunct w:val="0"/>
        <w:autoSpaceDE/>
        <w:autoSpaceDN/>
        <w:bidi w:val="0"/>
        <w:adjustRightInd/>
        <w:snapToGrid w:val="0"/>
        <w:spacing w:line="60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年   月   日                          </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eastAsia="zh-CN"/>
        </w:rPr>
        <w:t xml:space="preserve">   年   月   日</w:t>
      </w:r>
    </w:p>
    <w:p w14:paraId="5E5E8A64">
      <w:pPr>
        <w:rPr>
          <w:rStyle w:val="24"/>
          <w:rFonts w:hint="eastAsia" w:ascii="Times New Roman" w:hAnsi="Times New Roman" w:cs="Times New Roman"/>
          <w:color w:val="auto"/>
          <w:highlight w:val="none"/>
        </w:rPr>
      </w:pPr>
      <w:r>
        <w:rPr>
          <w:rStyle w:val="24"/>
          <w:rFonts w:hint="eastAsia" w:ascii="Times New Roman" w:hAnsi="Times New Roman" w:cs="Times New Roman"/>
          <w:color w:val="auto"/>
          <w:highlight w:val="none"/>
        </w:rPr>
        <w:br w:type="page"/>
      </w:r>
    </w:p>
    <w:p w14:paraId="23E6E3E3">
      <w:pPr>
        <w:jc w:val="center"/>
        <w:rPr>
          <w:rStyle w:val="24"/>
          <w:rFonts w:hint="eastAsia"/>
          <w:color w:val="auto"/>
          <w:highlight w:val="none"/>
          <w:lang w:eastAsia="zh-CN"/>
        </w:rPr>
      </w:pPr>
      <w:bookmarkStart w:id="19" w:name="_Toc8979"/>
      <w:r>
        <w:rPr>
          <w:rStyle w:val="24"/>
          <w:rFonts w:hint="eastAsia"/>
          <w:color w:val="auto"/>
          <w:highlight w:val="none"/>
          <w:lang w:eastAsia="zh-CN"/>
        </w:rPr>
        <w:t>第四章  招标内容及需求</w:t>
      </w:r>
      <w:bookmarkEnd w:id="16"/>
      <w:bookmarkEnd w:id="18"/>
    </w:p>
    <w:bookmarkEnd w:id="19"/>
    <w:p w14:paraId="0B09D7A5">
      <w:pPr>
        <w:pStyle w:val="4"/>
        <w:bidi w:val="0"/>
        <w:jc w:val="left"/>
        <w:rPr>
          <w:rFonts w:hint="default"/>
          <w:color w:val="auto"/>
          <w:highlight w:val="none"/>
          <w:lang w:val="en-US" w:eastAsia="zh-CN"/>
        </w:rPr>
      </w:pPr>
      <w:bookmarkStart w:id="20" w:name="_Toc27459"/>
      <w:bookmarkStart w:id="21" w:name="_Toc6814"/>
      <w:r>
        <w:rPr>
          <w:rFonts w:hint="eastAsia"/>
          <w:color w:val="auto"/>
          <w:highlight w:val="none"/>
          <w:lang w:val="en-US" w:eastAsia="zh-CN"/>
        </w:rPr>
        <w:t>一、项目概况</w:t>
      </w:r>
    </w:p>
    <w:p w14:paraId="1E7F27F9">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为了提高资金效益，切实防范公款存放方面的利益输送行为，根据《天台县人民政府办公室关于印发天台县行政事业单位公款竞争性存放管理办法的通知》（天政办发〔20</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〕23号）、《天台县财政局关于印发天台县县级财政专户资金竞争性存放商业银行定期存款业务操作规程的通知》（天财预执〔20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〕6号</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等相关规定精神，本着公开、公平、公正、竞争、效益的原则，决定开展公款竞争性存放招标工作，欢迎符合条件的银行机构参加投标。</w:t>
      </w:r>
    </w:p>
    <w:tbl>
      <w:tblPr>
        <w:tblStyle w:val="20"/>
        <w:tblW w:w="9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15"/>
        <w:gridCol w:w="1565"/>
        <w:gridCol w:w="1125"/>
        <w:gridCol w:w="789"/>
        <w:gridCol w:w="4014"/>
      </w:tblGrid>
      <w:tr w14:paraId="714C5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15" w:type="dxa"/>
            <w:tcBorders>
              <w:tl2br w:val="nil"/>
              <w:tr2bl w:val="nil"/>
            </w:tcBorders>
            <w:vAlign w:val="center"/>
          </w:tcPr>
          <w:p w14:paraId="1CF63B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标段</w:t>
            </w:r>
          </w:p>
        </w:tc>
        <w:tc>
          <w:tcPr>
            <w:tcW w:w="1215" w:type="dxa"/>
            <w:tcBorders>
              <w:tl2br w:val="nil"/>
              <w:tr2bl w:val="nil"/>
            </w:tcBorders>
            <w:vAlign w:val="center"/>
          </w:tcPr>
          <w:p w14:paraId="0AFA1C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招标内容</w:t>
            </w:r>
          </w:p>
        </w:tc>
        <w:tc>
          <w:tcPr>
            <w:tcW w:w="1565" w:type="dxa"/>
            <w:tcBorders>
              <w:tl2br w:val="nil"/>
              <w:tr2bl w:val="nil"/>
            </w:tcBorders>
            <w:vAlign w:val="center"/>
          </w:tcPr>
          <w:p w14:paraId="0E47FB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存放资金金额</w:t>
            </w:r>
          </w:p>
        </w:tc>
        <w:tc>
          <w:tcPr>
            <w:tcW w:w="1125" w:type="dxa"/>
            <w:tcBorders>
              <w:tl2br w:val="nil"/>
              <w:tr2bl w:val="nil"/>
            </w:tcBorders>
            <w:vAlign w:val="center"/>
          </w:tcPr>
          <w:p w14:paraId="31D567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存放期限</w:t>
            </w:r>
          </w:p>
        </w:tc>
        <w:tc>
          <w:tcPr>
            <w:tcW w:w="789" w:type="dxa"/>
            <w:tcBorders>
              <w:tl2br w:val="nil"/>
              <w:tr2bl w:val="nil"/>
            </w:tcBorders>
            <w:vAlign w:val="center"/>
          </w:tcPr>
          <w:p w14:paraId="2CF6C3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中标数量</w:t>
            </w:r>
          </w:p>
        </w:tc>
        <w:tc>
          <w:tcPr>
            <w:tcW w:w="4014" w:type="dxa"/>
            <w:tcBorders>
              <w:tl2br w:val="nil"/>
              <w:tr2bl w:val="nil"/>
            </w:tcBorders>
            <w:vAlign w:val="center"/>
          </w:tcPr>
          <w:p w14:paraId="7B1C1F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招标底价</w:t>
            </w:r>
          </w:p>
        </w:tc>
      </w:tr>
      <w:tr w14:paraId="4E64F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15" w:type="dxa"/>
            <w:tcBorders>
              <w:tl2br w:val="nil"/>
              <w:tr2bl w:val="nil"/>
            </w:tcBorders>
            <w:vAlign w:val="center"/>
          </w:tcPr>
          <w:p w14:paraId="233426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一</w:t>
            </w:r>
          </w:p>
        </w:tc>
        <w:tc>
          <w:tcPr>
            <w:tcW w:w="1215" w:type="dxa"/>
            <w:tcBorders>
              <w:tl2br w:val="nil"/>
              <w:tr2bl w:val="nil"/>
            </w:tcBorders>
            <w:vAlign w:val="center"/>
          </w:tcPr>
          <w:p w14:paraId="0C53A1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公款竞争性存放</w:t>
            </w:r>
          </w:p>
        </w:tc>
        <w:tc>
          <w:tcPr>
            <w:tcW w:w="1565" w:type="dxa"/>
            <w:tcBorders>
              <w:tl2br w:val="nil"/>
              <w:tr2bl w:val="nil"/>
            </w:tcBorders>
            <w:vAlign w:val="center"/>
          </w:tcPr>
          <w:p w14:paraId="6DA6B3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color w:val="auto"/>
                <w:sz w:val="22"/>
                <w:szCs w:val="22"/>
                <w:highlight w:val="none"/>
                <w:lang w:val="en-US" w:eastAsia="zh-CN"/>
              </w:rPr>
              <w:t>1000万元</w:t>
            </w:r>
          </w:p>
        </w:tc>
        <w:tc>
          <w:tcPr>
            <w:tcW w:w="1125" w:type="dxa"/>
            <w:tcBorders>
              <w:tl2br w:val="nil"/>
              <w:tr2bl w:val="nil"/>
            </w:tcBorders>
            <w:vAlign w:val="center"/>
          </w:tcPr>
          <w:p w14:paraId="5D3BF3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十二个月</w:t>
            </w:r>
          </w:p>
        </w:tc>
        <w:tc>
          <w:tcPr>
            <w:tcW w:w="789" w:type="dxa"/>
            <w:tcBorders>
              <w:tl2br w:val="nil"/>
              <w:tr2bl w:val="nil"/>
            </w:tcBorders>
            <w:vAlign w:val="center"/>
          </w:tcPr>
          <w:p w14:paraId="7C33D4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1家银行</w:t>
            </w:r>
          </w:p>
        </w:tc>
        <w:tc>
          <w:tcPr>
            <w:tcW w:w="4014" w:type="dxa"/>
            <w:tcBorders>
              <w:tl2br w:val="nil"/>
              <w:tr2bl w:val="nil"/>
            </w:tcBorders>
            <w:vAlign w:val="center"/>
          </w:tcPr>
          <w:p w14:paraId="71131C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较一年期定期存款基准利率上浮不低于1</w:t>
            </w:r>
            <w:r>
              <w:rPr>
                <w:rFonts w:hint="default" w:ascii="宋体" w:hAnsi="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BP，定期存款年利率不低于1.60%</w:t>
            </w:r>
          </w:p>
        </w:tc>
      </w:tr>
    </w:tbl>
    <w:p w14:paraId="33AF3286">
      <w:pPr>
        <w:pStyle w:val="4"/>
        <w:bidi w:val="0"/>
        <w:jc w:val="left"/>
        <w:rPr>
          <w:rFonts w:hint="eastAsia" w:ascii="仿宋_GB2312" w:hAnsi="仿宋_GB2312" w:eastAsia="宋体" w:cs="Times New Roman"/>
          <w:color w:val="auto"/>
          <w:highlight w:val="none"/>
          <w:lang w:val="en-US" w:eastAsia="zh-CN"/>
        </w:rPr>
      </w:pPr>
      <w:r>
        <w:rPr>
          <w:rFonts w:hint="eastAsia" w:ascii="仿宋_GB2312" w:hAnsi="仿宋_GB2312" w:eastAsia="宋体" w:cs="Times New Roman"/>
          <w:color w:val="auto"/>
          <w:highlight w:val="none"/>
          <w:lang w:val="en-US" w:eastAsia="zh-CN"/>
        </w:rPr>
        <w:t>二、基本要求</w:t>
      </w:r>
    </w:p>
    <w:p w14:paraId="47FE513D">
      <w:pPr>
        <w:keepNext w:val="0"/>
        <w:keepLines w:val="0"/>
        <w:pageBreakBefore w:val="0"/>
        <w:widowControl/>
        <w:kinsoku/>
        <w:wordWrap/>
        <w:overflowPunct/>
        <w:topLinePunct w:val="0"/>
        <w:autoSpaceDE/>
        <w:autoSpaceDN/>
        <w:bidi w:val="0"/>
        <w:adjustRightInd/>
        <w:snapToGrid w:val="0"/>
        <w:spacing w:line="360" w:lineRule="auto"/>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（一）财务服务要求</w:t>
      </w:r>
    </w:p>
    <w:p w14:paraId="5C936574">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rPr>
      </w:pPr>
      <w:bookmarkStart w:id="22" w:name="_Toc433710229"/>
      <w:bookmarkStart w:id="23" w:name="_Toc434586580"/>
      <w:r>
        <w:rPr>
          <w:rFonts w:hint="eastAsia" w:ascii="宋体" w:hAnsi="宋体" w:eastAsia="宋体" w:cs="宋体"/>
          <w:color w:val="auto"/>
          <w:kern w:val="0"/>
          <w:sz w:val="22"/>
          <w:szCs w:val="22"/>
          <w:highlight w:val="none"/>
        </w:rPr>
        <w:t>1、中标银行必须有项目负责人，按</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要求定期与</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财务人员对接工作事宜。</w:t>
      </w:r>
    </w:p>
    <w:p w14:paraId="5F2DE7F6">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2、中标银行在</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规定时间内将账户的资金往来业务回单和银行对账单送达</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指定工作人员。</w:t>
      </w:r>
    </w:p>
    <w:p w14:paraId="32038180">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3、及时做好</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提出的其他服务要求。</w:t>
      </w:r>
    </w:p>
    <w:p w14:paraId="5609BE27">
      <w:pPr>
        <w:keepNext w:val="0"/>
        <w:keepLines w:val="0"/>
        <w:pageBreakBefore w:val="0"/>
        <w:widowControl/>
        <w:kinsoku/>
        <w:wordWrap/>
        <w:overflowPunct/>
        <w:topLinePunct w:val="0"/>
        <w:autoSpaceDE/>
        <w:autoSpaceDN/>
        <w:bidi w:val="0"/>
        <w:adjustRightInd/>
        <w:snapToGrid w:val="0"/>
        <w:spacing w:line="360" w:lineRule="auto"/>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（二）银行必须提供的服务</w:t>
      </w:r>
    </w:p>
    <w:bookmarkEnd w:id="22"/>
    <w:bookmarkEnd w:id="23"/>
    <w:p w14:paraId="0E1ED6A4">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中标银行须配备</w:t>
      </w:r>
      <w:r>
        <w:rPr>
          <w:rFonts w:hint="eastAsia" w:ascii="宋体" w:hAnsi="宋体" w:eastAsia="宋体" w:cs="宋体"/>
          <w:color w:val="auto"/>
          <w:kern w:val="0"/>
          <w:sz w:val="22"/>
          <w:szCs w:val="22"/>
          <w:highlight w:val="none"/>
          <w:lang w:val="en-US" w:eastAsia="zh-CN"/>
        </w:rPr>
        <w:t>1名正式专职</w:t>
      </w:r>
      <w:r>
        <w:rPr>
          <w:rFonts w:hint="eastAsia" w:ascii="宋体" w:hAnsi="宋体" w:eastAsia="宋体" w:cs="宋体"/>
          <w:color w:val="auto"/>
          <w:kern w:val="0"/>
          <w:sz w:val="22"/>
          <w:szCs w:val="22"/>
          <w:highlight w:val="none"/>
        </w:rPr>
        <w:t>员</w:t>
      </w:r>
      <w:r>
        <w:rPr>
          <w:rFonts w:hint="eastAsia" w:ascii="宋体" w:hAnsi="宋体" w:eastAsia="宋体" w:cs="宋体"/>
          <w:color w:val="auto"/>
          <w:kern w:val="0"/>
          <w:sz w:val="22"/>
          <w:szCs w:val="22"/>
          <w:highlight w:val="none"/>
          <w:lang w:val="en-US" w:eastAsia="zh-CN"/>
        </w:rPr>
        <w:t>工</w:t>
      </w:r>
      <w:r>
        <w:rPr>
          <w:rFonts w:hint="eastAsia" w:ascii="宋体" w:hAnsi="宋体" w:eastAsia="宋体" w:cs="宋体"/>
          <w:color w:val="auto"/>
          <w:kern w:val="0"/>
          <w:sz w:val="22"/>
          <w:szCs w:val="22"/>
          <w:highlight w:val="none"/>
        </w:rPr>
        <w:t>，负责资金结算管理工作</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资金的退付提供上门服务。</w:t>
      </w:r>
      <w:r>
        <w:rPr>
          <w:rFonts w:hint="eastAsia" w:ascii="宋体" w:hAnsi="宋体" w:eastAsia="宋体" w:cs="宋体"/>
          <w:color w:val="auto"/>
          <w:kern w:val="0"/>
          <w:sz w:val="22"/>
          <w:szCs w:val="22"/>
          <w:highlight w:val="none"/>
        </w:rPr>
        <w:t>银行确保资金汇划系统的安全性，确保资金安全，制度健全，管理规范。</w:t>
      </w:r>
    </w:p>
    <w:p w14:paraId="7D032B16">
      <w:pPr>
        <w:pStyle w:val="4"/>
        <w:bidi w:val="0"/>
        <w:jc w:val="left"/>
        <w:rPr>
          <w:rFonts w:hint="eastAsia" w:ascii="仿宋_GB2312" w:hAnsi="仿宋_GB2312" w:eastAsia="宋体" w:cs="Times New Roman"/>
          <w:color w:val="auto"/>
          <w:highlight w:val="none"/>
          <w:lang w:val="en-US" w:eastAsia="zh-CN"/>
        </w:rPr>
      </w:pPr>
      <w:r>
        <w:rPr>
          <w:rFonts w:hint="eastAsia" w:ascii="仿宋_GB2312" w:hAnsi="仿宋_GB2312" w:eastAsia="宋体" w:cs="Times New Roman"/>
          <w:color w:val="auto"/>
          <w:highlight w:val="none"/>
          <w:lang w:val="en-US" w:eastAsia="zh-CN"/>
        </w:rPr>
        <w:t>三、招标项目及合作要求</w:t>
      </w:r>
    </w:p>
    <w:p w14:paraId="227D2A02">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执行期间</w:t>
      </w:r>
      <w:r>
        <w:rPr>
          <w:rFonts w:hint="eastAsia" w:ascii="宋体" w:hAnsi="宋体" w:eastAsia="宋体" w:cs="宋体"/>
          <w:color w:val="auto"/>
          <w:kern w:val="0"/>
          <w:sz w:val="22"/>
          <w:szCs w:val="22"/>
          <w:highlight w:val="none"/>
          <w:lang w:eastAsia="zh-CN"/>
        </w:rPr>
        <w:t>有特殊情况一部分资金需要提前支取的，提前支取部分按</w:t>
      </w:r>
      <w:r>
        <w:rPr>
          <w:rFonts w:hint="eastAsia" w:ascii="宋体" w:hAnsi="宋体" w:eastAsia="宋体" w:cs="宋体"/>
          <w:color w:val="auto"/>
          <w:kern w:val="0"/>
          <w:sz w:val="22"/>
          <w:szCs w:val="22"/>
          <w:highlight w:val="none"/>
          <w:lang w:val="en-US" w:eastAsia="zh-CN"/>
        </w:rPr>
        <w:t>中标</w:t>
      </w:r>
      <w:r>
        <w:rPr>
          <w:rFonts w:hint="eastAsia" w:ascii="宋体" w:hAnsi="宋体" w:eastAsia="宋体" w:cs="宋体"/>
          <w:color w:val="auto"/>
          <w:kern w:val="0"/>
          <w:sz w:val="22"/>
          <w:szCs w:val="22"/>
          <w:highlight w:val="none"/>
          <w:lang w:eastAsia="zh-CN"/>
        </w:rPr>
        <w:t>银行</w:t>
      </w:r>
      <w:r>
        <w:rPr>
          <w:rFonts w:hint="eastAsia" w:ascii="宋体" w:hAnsi="宋体" w:eastAsia="宋体" w:cs="宋体"/>
          <w:color w:val="auto"/>
          <w:kern w:val="0"/>
          <w:sz w:val="22"/>
          <w:szCs w:val="22"/>
          <w:highlight w:val="none"/>
          <w:lang w:val="en-US" w:eastAsia="zh-CN"/>
        </w:rPr>
        <w:t>中标活</w:t>
      </w:r>
      <w:r>
        <w:rPr>
          <w:rFonts w:hint="eastAsia" w:ascii="宋体" w:hAnsi="宋体" w:eastAsia="宋体" w:cs="宋体"/>
          <w:color w:val="auto"/>
          <w:kern w:val="0"/>
          <w:sz w:val="22"/>
          <w:szCs w:val="22"/>
          <w:highlight w:val="none"/>
          <w:lang w:eastAsia="zh-CN"/>
        </w:rPr>
        <w:t>期利率计算。</w:t>
      </w:r>
    </w:p>
    <w:p w14:paraId="746853A3">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执行期间如遇上级重大政策调整、机构撤并等需要撤销有关银行账户时，协议无条件自然终止。执行期间发现存在利益冲突和利益输送现象，或发生其他重大违法违规问题可能影响存款存放安全等，无条件撤销账户和收回存款。</w:t>
      </w:r>
    </w:p>
    <w:p w14:paraId="0F951484">
      <w:pPr>
        <w:pStyle w:val="4"/>
        <w:bidi w:val="0"/>
        <w:jc w:val="left"/>
        <w:rPr>
          <w:rFonts w:hint="eastAsia" w:ascii="仿宋_GB2312" w:hAnsi="仿宋_GB2312" w:eastAsia="宋体" w:cs="Times New Roman"/>
          <w:color w:val="auto"/>
          <w:highlight w:val="none"/>
          <w:lang w:val="en-US" w:eastAsia="zh-CN"/>
        </w:rPr>
      </w:pPr>
      <w:r>
        <w:rPr>
          <w:rFonts w:hint="eastAsia" w:cs="Times New Roman"/>
          <w:color w:val="auto"/>
          <w:highlight w:val="none"/>
          <w:lang w:val="en-US" w:eastAsia="zh-CN"/>
        </w:rPr>
        <w:t>四</w:t>
      </w:r>
      <w:r>
        <w:rPr>
          <w:rFonts w:hint="eastAsia" w:ascii="仿宋_GB2312" w:hAnsi="仿宋_GB2312" w:eastAsia="宋体" w:cs="Times New Roman"/>
          <w:color w:val="auto"/>
          <w:highlight w:val="none"/>
          <w:lang w:val="en-US" w:eastAsia="zh-CN"/>
        </w:rPr>
        <w:t>、开立账户（存单）</w:t>
      </w:r>
    </w:p>
    <w:p w14:paraId="7B8D2C6D">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bookmarkStart w:id="24" w:name="_Toc434586596"/>
      <w:bookmarkStart w:id="25" w:name="_Toc433710245"/>
      <w:r>
        <w:rPr>
          <w:rFonts w:hint="eastAsia" w:ascii="宋体" w:hAnsi="宋体" w:cs="宋体"/>
          <w:color w:val="auto"/>
          <w:kern w:val="0"/>
          <w:sz w:val="22"/>
          <w:szCs w:val="22"/>
          <w:highlight w:val="none"/>
          <w:lang w:val="en-US" w:eastAsia="zh-CN"/>
        </w:rPr>
        <w:t>采购人</w:t>
      </w:r>
      <w:r>
        <w:rPr>
          <w:rFonts w:hint="eastAsia" w:ascii="宋体" w:hAnsi="宋体" w:eastAsia="宋体" w:cs="宋体"/>
          <w:color w:val="auto"/>
          <w:kern w:val="0"/>
          <w:sz w:val="22"/>
          <w:szCs w:val="22"/>
          <w:highlight w:val="none"/>
          <w:lang w:val="en-US" w:eastAsia="zh-CN"/>
        </w:rPr>
        <w:t>收到</w:t>
      </w:r>
      <w:r>
        <w:rPr>
          <w:rFonts w:hint="eastAsia" w:ascii="宋体" w:hAnsi="宋体" w:cs="宋体"/>
          <w:color w:val="auto"/>
          <w:kern w:val="0"/>
          <w:sz w:val="22"/>
          <w:szCs w:val="22"/>
          <w:highlight w:val="none"/>
          <w:lang w:val="en-US" w:eastAsia="zh-CN"/>
        </w:rPr>
        <w:t>中标银行</w:t>
      </w:r>
      <w:r>
        <w:rPr>
          <w:rFonts w:hint="eastAsia" w:ascii="宋体" w:hAnsi="宋体" w:eastAsia="宋体" w:cs="宋体"/>
          <w:color w:val="auto"/>
          <w:kern w:val="0"/>
          <w:sz w:val="22"/>
          <w:szCs w:val="22"/>
          <w:highlight w:val="none"/>
          <w:lang w:val="en-US" w:eastAsia="zh-CN"/>
        </w:rPr>
        <w:t>的书面回复后，在</w:t>
      </w:r>
      <w:r>
        <w:rPr>
          <w:rFonts w:hint="eastAsia" w:ascii="宋体" w:hAnsi="宋体" w:cs="宋体"/>
          <w:color w:val="auto"/>
          <w:kern w:val="0"/>
          <w:sz w:val="22"/>
          <w:szCs w:val="22"/>
          <w:highlight w:val="none"/>
          <w:lang w:val="en-US" w:eastAsia="zh-CN"/>
        </w:rPr>
        <w:t>中标银行</w:t>
      </w:r>
      <w:r>
        <w:rPr>
          <w:rFonts w:hint="eastAsia" w:ascii="宋体" w:hAnsi="宋体" w:eastAsia="宋体" w:cs="宋体"/>
          <w:color w:val="auto"/>
          <w:kern w:val="0"/>
          <w:sz w:val="22"/>
          <w:szCs w:val="22"/>
          <w:highlight w:val="none"/>
          <w:lang w:val="en-US" w:eastAsia="zh-CN"/>
        </w:rPr>
        <w:t>开设账户（存单），并进行相关资金的结算。</w:t>
      </w:r>
    </w:p>
    <w:bookmarkEnd w:id="24"/>
    <w:bookmarkEnd w:id="25"/>
    <w:p w14:paraId="100A5943">
      <w:pPr>
        <w:pStyle w:val="4"/>
        <w:numPr>
          <w:ilvl w:val="0"/>
          <w:numId w:val="0"/>
        </w:numPr>
        <w:bidi w:val="0"/>
        <w:jc w:val="left"/>
        <w:rPr>
          <w:rFonts w:hint="eastAsia" w:ascii="仿宋_GB2312" w:hAnsi="仿宋_GB2312" w:eastAsia="宋体" w:cs="Times New Roman"/>
          <w:color w:val="auto"/>
          <w:highlight w:val="none"/>
          <w:lang w:val="en-US" w:eastAsia="zh-CN"/>
        </w:rPr>
      </w:pPr>
      <w:r>
        <w:rPr>
          <w:rFonts w:hint="eastAsia" w:cs="Times New Roman"/>
          <w:color w:val="auto"/>
          <w:highlight w:val="none"/>
          <w:lang w:val="en-US" w:eastAsia="zh-CN"/>
        </w:rPr>
        <w:t>五、中标银行</w:t>
      </w:r>
      <w:r>
        <w:rPr>
          <w:rFonts w:hint="eastAsia" w:ascii="仿宋_GB2312" w:hAnsi="仿宋_GB2312" w:eastAsia="宋体" w:cs="Times New Roman"/>
          <w:color w:val="auto"/>
          <w:highlight w:val="none"/>
          <w:lang w:val="en-US" w:eastAsia="zh-CN"/>
        </w:rPr>
        <w:t>出现以下行为的，将收回定期存款并有权拒绝其在以后2年内参与本单位公款竞争性存放</w:t>
      </w:r>
    </w:p>
    <w:p w14:paraId="75D8BB86">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1、出现资金安全事故、重大违法违规情况或财务状况恶化；</w:t>
      </w:r>
    </w:p>
    <w:p w14:paraId="3829088C">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2、监管评级降低，人民银行天台支行评级降至B级及以下；</w:t>
      </w:r>
    </w:p>
    <w:p w14:paraId="7E8100A6">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3、有严重不正当投标行为；</w:t>
      </w:r>
    </w:p>
    <w:p w14:paraId="1D4B375A">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4、没有按照中标协议承诺履行相应的责任和义务；</w:t>
      </w:r>
    </w:p>
    <w:p w14:paraId="15F611E0">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5、不能在规定期限内将存款本息足额缴入相关账户；</w:t>
      </w:r>
    </w:p>
    <w:p w14:paraId="7CF9E80C">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6、其它妨害资金安全的行为。</w:t>
      </w:r>
    </w:p>
    <w:p w14:paraId="6409DD41">
      <w:pPr>
        <w:rPr>
          <w:rStyle w:val="24"/>
          <w:rFonts w:hint="eastAsia" w:ascii="Times New Roman" w:hAnsi="Times New Roman" w:cs="Times New Roman"/>
          <w:color w:val="auto"/>
          <w:highlight w:val="none"/>
        </w:rPr>
      </w:pPr>
      <w:r>
        <w:rPr>
          <w:rStyle w:val="24"/>
          <w:rFonts w:hint="eastAsia" w:ascii="Times New Roman" w:hAnsi="Times New Roman" w:cs="Times New Roman"/>
          <w:color w:val="auto"/>
          <w:highlight w:val="none"/>
        </w:rPr>
        <w:br w:type="page"/>
      </w:r>
    </w:p>
    <w:p w14:paraId="24FF111F">
      <w:pPr>
        <w:jc w:val="center"/>
        <w:rPr>
          <w:rStyle w:val="24"/>
          <w:rFonts w:hint="eastAsia"/>
          <w:color w:val="auto"/>
          <w:highlight w:val="none"/>
          <w:lang w:eastAsia="zh-CN"/>
        </w:rPr>
      </w:pPr>
      <w:bookmarkStart w:id="26" w:name="_Toc1219"/>
      <w:r>
        <w:rPr>
          <w:rStyle w:val="24"/>
          <w:rFonts w:hint="eastAsia"/>
          <w:color w:val="auto"/>
          <w:highlight w:val="none"/>
          <w:lang w:eastAsia="zh-CN"/>
        </w:rPr>
        <w:t>第五章</w:t>
      </w:r>
      <w:r>
        <w:rPr>
          <w:rStyle w:val="24"/>
          <w:rFonts w:hint="eastAsia"/>
          <w:color w:val="auto"/>
          <w:highlight w:val="none"/>
          <w:lang w:val="en-US" w:eastAsia="zh-CN"/>
        </w:rPr>
        <w:t xml:space="preserve"> </w:t>
      </w:r>
      <w:r>
        <w:rPr>
          <w:rStyle w:val="24"/>
          <w:rFonts w:hint="eastAsia"/>
          <w:color w:val="auto"/>
          <w:highlight w:val="none"/>
          <w:lang w:eastAsia="zh-CN"/>
        </w:rPr>
        <w:t>评标办法及评分标准</w:t>
      </w:r>
      <w:bookmarkEnd w:id="20"/>
      <w:bookmarkEnd w:id="21"/>
    </w:p>
    <w:bookmarkEnd w:id="26"/>
    <w:p w14:paraId="552BC50F">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一 </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评审原则</w:t>
      </w:r>
    </w:p>
    <w:p w14:paraId="6B8FBF02">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auto"/>
          <w:sz w:val="22"/>
          <w:szCs w:val="22"/>
          <w:highlight w:val="none"/>
          <w:lang w:eastAsia="zh-CN"/>
        </w:rPr>
        <w:t>竞标银行</w:t>
      </w:r>
      <w:r>
        <w:rPr>
          <w:rFonts w:hint="eastAsia" w:ascii="宋体" w:hAnsi="宋体" w:eastAsia="宋体" w:cs="宋体"/>
          <w:color w:val="auto"/>
          <w:sz w:val="22"/>
          <w:szCs w:val="22"/>
          <w:highlight w:val="none"/>
        </w:rPr>
        <w:t>接触。</w:t>
      </w:r>
    </w:p>
    <w:p w14:paraId="41DCFFF1">
      <w:pPr>
        <w:keepNext w:val="0"/>
        <w:keepLines w:val="0"/>
        <w:pageBreakBefore w:val="0"/>
        <w:widowControl w:val="0"/>
        <w:numPr>
          <w:ilvl w:val="0"/>
          <w:numId w:val="4"/>
        </w:numPr>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评标办法</w:t>
      </w:r>
    </w:p>
    <w:p w14:paraId="7B0CC48F">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zh-CN"/>
        </w:rPr>
        <w:t>评标要求</w:t>
      </w:r>
    </w:p>
    <w:p w14:paraId="51836C73">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1.1评标委员将对投标文件的内容进行评审，凡投标文件实质性内容不响应</w:t>
      </w:r>
      <w:r>
        <w:rPr>
          <w:rFonts w:hint="eastAsia" w:ascii="宋体" w:hAnsi="宋体" w:cs="宋体"/>
          <w:color w:val="auto"/>
          <w:sz w:val="22"/>
          <w:szCs w:val="22"/>
          <w:highlight w:val="none"/>
          <w:lang w:eastAsia="zh-CN"/>
        </w:rPr>
        <w:t>采购文件</w:t>
      </w:r>
      <w:r>
        <w:rPr>
          <w:rFonts w:hint="eastAsia" w:ascii="宋体" w:hAnsi="宋体" w:eastAsia="宋体" w:cs="宋体"/>
          <w:color w:val="auto"/>
          <w:sz w:val="22"/>
          <w:szCs w:val="22"/>
          <w:highlight w:val="none"/>
        </w:rPr>
        <w:t>要求和关键格式不符合</w:t>
      </w:r>
      <w:r>
        <w:rPr>
          <w:rFonts w:hint="eastAsia" w:ascii="宋体" w:hAnsi="宋体" w:cs="宋体"/>
          <w:color w:val="auto"/>
          <w:sz w:val="22"/>
          <w:szCs w:val="22"/>
          <w:highlight w:val="none"/>
          <w:lang w:eastAsia="zh-CN"/>
        </w:rPr>
        <w:t>采购文件</w:t>
      </w:r>
      <w:r>
        <w:rPr>
          <w:rFonts w:hint="eastAsia" w:ascii="宋体" w:hAnsi="宋体" w:eastAsia="宋体" w:cs="宋体"/>
          <w:color w:val="auto"/>
          <w:sz w:val="22"/>
          <w:szCs w:val="22"/>
          <w:highlight w:val="none"/>
        </w:rPr>
        <w:t>规定的，经评标委员认定作为无效标处理。评标委员经过审标、询标，在对各</w:t>
      </w:r>
      <w:r>
        <w:rPr>
          <w:rFonts w:hint="eastAsia" w:ascii="宋体" w:hAnsi="宋体" w:cs="宋体"/>
          <w:color w:val="auto"/>
          <w:sz w:val="22"/>
          <w:szCs w:val="22"/>
          <w:highlight w:val="none"/>
          <w:lang w:eastAsia="zh-CN"/>
        </w:rPr>
        <w:t>竞标银行</w:t>
      </w:r>
      <w:r>
        <w:rPr>
          <w:rFonts w:hint="eastAsia" w:ascii="宋体" w:hAnsi="宋体" w:eastAsia="宋体" w:cs="宋体"/>
          <w:color w:val="auto"/>
          <w:sz w:val="22"/>
          <w:szCs w:val="22"/>
          <w:highlight w:val="none"/>
        </w:rPr>
        <w:t>及其投标文件进行充分分析、评议的基础上进行打分。</w:t>
      </w:r>
    </w:p>
    <w:p w14:paraId="0B257B2C">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1.2总得分为</w:t>
      </w:r>
      <w:r>
        <w:rPr>
          <w:rFonts w:hint="eastAsia" w:ascii="宋体" w:hAnsi="宋体" w:cs="宋体"/>
          <w:color w:val="auto"/>
          <w:sz w:val="22"/>
          <w:szCs w:val="22"/>
          <w:highlight w:val="none"/>
          <w:lang w:val="en-US" w:eastAsia="zh-CN"/>
        </w:rPr>
        <w:t>100</w:t>
      </w:r>
      <w:r>
        <w:rPr>
          <w:rFonts w:hint="eastAsia" w:ascii="宋体" w:hAnsi="宋体" w:eastAsia="宋体" w:cs="宋体"/>
          <w:color w:val="auto"/>
          <w:sz w:val="22"/>
          <w:szCs w:val="22"/>
          <w:highlight w:val="none"/>
        </w:rPr>
        <w:t>分。在规定的分值范围内由评委自行评定打分，如某个单项的打分超过所规定的分值范围，则该项打分无效。</w:t>
      </w:r>
    </w:p>
    <w:p w14:paraId="5C9E2760">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1.3根据评委打分累计后再取平均分作为</w:t>
      </w:r>
      <w:r>
        <w:rPr>
          <w:rFonts w:hint="eastAsia" w:ascii="宋体" w:hAnsi="宋体" w:cs="宋体"/>
          <w:color w:val="auto"/>
          <w:sz w:val="22"/>
          <w:szCs w:val="22"/>
          <w:highlight w:val="none"/>
          <w:lang w:eastAsia="zh-CN"/>
        </w:rPr>
        <w:t>竞标银行</w:t>
      </w:r>
      <w:r>
        <w:rPr>
          <w:rFonts w:hint="eastAsia" w:ascii="宋体" w:hAnsi="宋体" w:eastAsia="宋体" w:cs="宋体"/>
          <w:color w:val="auto"/>
          <w:sz w:val="22"/>
          <w:szCs w:val="22"/>
          <w:highlight w:val="none"/>
        </w:rPr>
        <w:t>的最终得分。</w:t>
      </w:r>
    </w:p>
    <w:p w14:paraId="213845D6">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1.4所有计算结果小数点后保留2位，第3位四舍五入。</w:t>
      </w:r>
    </w:p>
    <w:p w14:paraId="72C5BCA9">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2、评标</w:t>
      </w:r>
    </w:p>
    <w:p w14:paraId="607CFCA3">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2.1合格</w:t>
      </w:r>
      <w:r>
        <w:rPr>
          <w:rFonts w:hint="eastAsia" w:ascii="宋体" w:hAnsi="宋体" w:cs="宋体"/>
          <w:color w:val="auto"/>
          <w:sz w:val="22"/>
          <w:szCs w:val="22"/>
          <w:highlight w:val="none"/>
          <w:lang w:val="en-US" w:eastAsia="zh-CN"/>
        </w:rPr>
        <w:t>竞标银行</w:t>
      </w:r>
      <w:r>
        <w:rPr>
          <w:rFonts w:hint="eastAsia" w:ascii="宋体" w:hAnsi="宋体" w:eastAsia="宋体" w:cs="宋体"/>
          <w:color w:val="auto"/>
          <w:sz w:val="22"/>
          <w:szCs w:val="22"/>
          <w:highlight w:val="none"/>
          <w:lang w:val="en-US" w:eastAsia="zh-CN"/>
        </w:rPr>
        <w:t>的评标得分为各项目汇总得分。</w:t>
      </w:r>
    </w:p>
    <w:p w14:paraId="35E8AF54">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r>
        <w:rPr>
          <w:rFonts w:hint="eastAsia" w:ascii="宋体" w:hAnsi="宋体" w:cs="宋体"/>
          <w:b/>
          <w:bCs/>
          <w:color w:val="auto"/>
          <w:sz w:val="22"/>
          <w:szCs w:val="22"/>
          <w:highlight w:val="none"/>
          <w:u w:val="single"/>
          <w:lang w:val="en-US" w:eastAsia="zh-CN"/>
        </w:rPr>
        <w:t>竞标银行</w:t>
      </w:r>
      <w:r>
        <w:rPr>
          <w:rFonts w:hint="eastAsia" w:ascii="宋体" w:hAnsi="宋体" w:eastAsia="宋体" w:cs="宋体"/>
          <w:b/>
          <w:bCs/>
          <w:color w:val="auto"/>
          <w:sz w:val="22"/>
          <w:szCs w:val="22"/>
          <w:highlight w:val="none"/>
          <w:u w:val="single"/>
          <w:lang w:val="en-US" w:eastAsia="zh-CN"/>
        </w:rPr>
        <w:t>总得分=利率水平指标得分+经营状况指标得分+</w:t>
      </w:r>
      <w:r>
        <w:rPr>
          <w:rFonts w:hint="eastAsia" w:ascii="宋体" w:hAnsi="宋体" w:cs="宋体"/>
          <w:b/>
          <w:bCs/>
          <w:color w:val="auto"/>
          <w:sz w:val="22"/>
          <w:szCs w:val="22"/>
          <w:highlight w:val="none"/>
          <w:u w:val="single"/>
          <w:lang w:val="en-US" w:eastAsia="zh-CN"/>
        </w:rPr>
        <w:t>经济</w:t>
      </w:r>
      <w:r>
        <w:rPr>
          <w:rFonts w:hint="eastAsia" w:ascii="宋体" w:hAnsi="宋体" w:eastAsia="宋体" w:cs="宋体"/>
          <w:b/>
          <w:bCs/>
          <w:color w:val="auto"/>
          <w:sz w:val="22"/>
          <w:szCs w:val="22"/>
          <w:highlight w:val="none"/>
          <w:u w:val="single"/>
          <w:lang w:val="en-US" w:eastAsia="zh-CN"/>
        </w:rPr>
        <w:t>贡献度指标得分+服务水平指标得分</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竞标银行</w:t>
      </w:r>
      <w:r>
        <w:rPr>
          <w:rFonts w:hint="eastAsia" w:ascii="宋体" w:hAnsi="宋体" w:eastAsia="宋体" w:cs="宋体"/>
          <w:color w:val="auto"/>
          <w:sz w:val="22"/>
          <w:szCs w:val="22"/>
          <w:highlight w:val="none"/>
          <w:lang w:val="en-US" w:eastAsia="zh-CN"/>
        </w:rPr>
        <w:t>评标综合得分按照评标委员会成员的独立评分结果汇总后的算术平均分计算。</w:t>
      </w:r>
    </w:p>
    <w:p w14:paraId="01C5F5FB">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2.3评分指标</w:t>
      </w:r>
      <w:r>
        <w:rPr>
          <w:rFonts w:hint="eastAsia" w:ascii="宋体" w:hAnsi="宋体" w:cs="宋体"/>
          <w:b/>
          <w:bCs/>
          <w:color w:val="auto"/>
          <w:sz w:val="22"/>
          <w:szCs w:val="22"/>
          <w:highlight w:val="none"/>
          <w:lang w:val="en-US" w:eastAsia="zh-CN"/>
        </w:rPr>
        <w:t>（指下方评审细则表中计分标准内的数据）</w:t>
      </w:r>
      <w:r>
        <w:rPr>
          <w:rFonts w:hint="eastAsia" w:ascii="宋体" w:hAnsi="宋体" w:eastAsia="宋体" w:cs="宋体"/>
          <w:b/>
          <w:bCs/>
          <w:color w:val="auto"/>
          <w:sz w:val="22"/>
          <w:szCs w:val="22"/>
          <w:highlight w:val="none"/>
          <w:lang w:val="en-US" w:eastAsia="zh-CN"/>
        </w:rPr>
        <w:t>如没有最新数据，则按对应的上一月或上一季或上一年数据</w:t>
      </w:r>
      <w:r>
        <w:rPr>
          <w:rFonts w:hint="eastAsia" w:ascii="宋体" w:hAnsi="宋体" w:cs="宋体"/>
          <w:b/>
          <w:bCs/>
          <w:color w:val="auto"/>
          <w:sz w:val="22"/>
          <w:szCs w:val="22"/>
          <w:highlight w:val="none"/>
          <w:lang w:val="en-US" w:eastAsia="zh-CN"/>
        </w:rPr>
        <w:t>。</w:t>
      </w:r>
    </w:p>
    <w:p w14:paraId="3D75F8E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评审细则</w:t>
      </w:r>
    </w:p>
    <w:tbl>
      <w:tblPr>
        <w:tblStyle w:val="19"/>
        <w:tblW w:w="56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1155"/>
        <w:gridCol w:w="7753"/>
      </w:tblGrid>
      <w:tr w14:paraId="36B742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37" w:type="pct"/>
            <w:tcBorders>
              <w:tl2br w:val="nil"/>
              <w:tr2bl w:val="nil"/>
            </w:tcBorders>
            <w:noWrap/>
            <w:tcMar>
              <w:top w:w="15" w:type="dxa"/>
              <w:left w:w="15" w:type="dxa"/>
              <w:right w:w="15" w:type="dxa"/>
            </w:tcMar>
            <w:vAlign w:val="center"/>
          </w:tcPr>
          <w:p w14:paraId="73323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类型</w:t>
            </w:r>
          </w:p>
        </w:tc>
        <w:tc>
          <w:tcPr>
            <w:tcW w:w="578" w:type="pct"/>
            <w:tcBorders>
              <w:tl2br w:val="nil"/>
              <w:tr2bl w:val="nil"/>
            </w:tcBorders>
            <w:noWrap/>
            <w:tcMar>
              <w:top w:w="15" w:type="dxa"/>
              <w:left w:w="15" w:type="dxa"/>
              <w:right w:w="15" w:type="dxa"/>
            </w:tcMar>
            <w:vAlign w:val="center"/>
          </w:tcPr>
          <w:p w14:paraId="6DD7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具体指标</w:t>
            </w:r>
          </w:p>
        </w:tc>
        <w:tc>
          <w:tcPr>
            <w:tcW w:w="3883" w:type="pct"/>
            <w:tcBorders>
              <w:tl2br w:val="nil"/>
              <w:tr2bl w:val="nil"/>
            </w:tcBorders>
            <w:noWrap/>
            <w:tcMar>
              <w:top w:w="15" w:type="dxa"/>
              <w:left w:w="15" w:type="dxa"/>
              <w:right w:w="15" w:type="dxa"/>
            </w:tcMar>
            <w:vAlign w:val="center"/>
          </w:tcPr>
          <w:p w14:paraId="7325B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计分标准</w:t>
            </w:r>
          </w:p>
        </w:tc>
      </w:tr>
      <w:tr w14:paraId="43CF47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37" w:type="pct"/>
            <w:tcBorders>
              <w:tl2br w:val="nil"/>
              <w:tr2bl w:val="nil"/>
            </w:tcBorders>
            <w:noWrap/>
            <w:tcMar>
              <w:top w:w="15" w:type="dxa"/>
              <w:left w:w="15" w:type="dxa"/>
              <w:right w:w="15" w:type="dxa"/>
            </w:tcMar>
            <w:vAlign w:val="center"/>
          </w:tcPr>
          <w:p w14:paraId="1363B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利率水平</w:t>
            </w:r>
          </w:p>
          <w:p w14:paraId="1253B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（12分）</w:t>
            </w:r>
          </w:p>
        </w:tc>
        <w:tc>
          <w:tcPr>
            <w:tcW w:w="578" w:type="pct"/>
            <w:tcBorders>
              <w:tl2br w:val="nil"/>
              <w:tr2bl w:val="nil"/>
            </w:tcBorders>
            <w:noWrap/>
            <w:tcMar>
              <w:top w:w="15" w:type="dxa"/>
              <w:left w:w="15" w:type="dxa"/>
              <w:right w:w="15" w:type="dxa"/>
            </w:tcMar>
            <w:vAlign w:val="center"/>
          </w:tcPr>
          <w:p w14:paraId="4C9C1D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定期存款</w:t>
            </w:r>
          </w:p>
          <w:p w14:paraId="50E10F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年利率</w:t>
            </w:r>
          </w:p>
          <w:p w14:paraId="18A856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（12</w:t>
            </w:r>
            <w:r>
              <w:rPr>
                <w:rFonts w:hint="eastAsia" w:ascii="宋体" w:hAnsi="宋体" w:eastAsia="宋体" w:cs="宋体"/>
                <w:i w:val="0"/>
                <w:color w:val="auto"/>
                <w:kern w:val="0"/>
                <w:sz w:val="22"/>
                <w:szCs w:val="22"/>
                <w:highlight w:val="none"/>
                <w:u w:val="none"/>
                <w:lang w:val="en-US" w:eastAsia="zh-CN" w:bidi="ar"/>
              </w:rPr>
              <w:t>分</w:t>
            </w:r>
            <w:r>
              <w:rPr>
                <w:rFonts w:hint="eastAsia" w:ascii="宋体" w:hAnsi="宋体" w:cs="宋体"/>
                <w:i w:val="0"/>
                <w:color w:val="auto"/>
                <w:kern w:val="0"/>
                <w:sz w:val="22"/>
                <w:szCs w:val="22"/>
                <w:highlight w:val="none"/>
                <w:u w:val="none"/>
                <w:lang w:val="en-US" w:eastAsia="zh-CN" w:bidi="ar"/>
              </w:rPr>
              <w:t>）</w:t>
            </w:r>
          </w:p>
        </w:tc>
        <w:tc>
          <w:tcPr>
            <w:tcW w:w="3883" w:type="pct"/>
            <w:tcBorders>
              <w:tl2br w:val="nil"/>
              <w:tr2bl w:val="nil"/>
            </w:tcBorders>
            <w:noWrap w:val="0"/>
            <w:tcMar>
              <w:top w:w="15" w:type="dxa"/>
              <w:left w:w="15" w:type="dxa"/>
              <w:right w:w="15" w:type="dxa"/>
            </w:tcMar>
            <w:vAlign w:val="center"/>
          </w:tcPr>
          <w:p w14:paraId="096B3F6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按照各投标银行所投的定期存款利率排名，最高的为第1名，第1名的得满分，每递减1挡扣1分，扣完为止。</w:t>
            </w:r>
          </w:p>
          <w:p w14:paraId="6B8D472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color w:val="auto"/>
                <w:highlight w:val="none"/>
              </w:rPr>
            </w:pPr>
            <w:r>
              <w:rPr>
                <w:rFonts w:hint="eastAsia" w:ascii="宋体" w:hAnsi="宋体" w:eastAsia="宋体" w:cs="宋体"/>
                <w:b/>
                <w:bCs/>
                <w:i w:val="0"/>
                <w:color w:val="auto"/>
                <w:kern w:val="0"/>
                <w:sz w:val="22"/>
                <w:szCs w:val="22"/>
                <w:highlight w:val="none"/>
                <w:u w:val="none"/>
                <w:lang w:val="en-US" w:eastAsia="zh-CN" w:bidi="ar"/>
              </w:rPr>
              <w:t>注：</w:t>
            </w:r>
            <w:r>
              <w:rPr>
                <w:rFonts w:hint="eastAsia" w:ascii="宋体" w:hAnsi="宋体" w:cs="宋体"/>
                <w:b/>
                <w:bCs/>
                <w:i w:val="0"/>
                <w:color w:val="auto"/>
                <w:kern w:val="0"/>
                <w:sz w:val="22"/>
                <w:szCs w:val="22"/>
                <w:highlight w:val="none"/>
                <w:u w:val="none"/>
                <w:lang w:val="en-US" w:eastAsia="zh-CN" w:bidi="ar"/>
              </w:rPr>
              <w:t>开标一览表</w:t>
            </w:r>
            <w:r>
              <w:rPr>
                <w:rFonts w:hint="eastAsia" w:ascii="宋体" w:hAnsi="宋体" w:eastAsia="宋体" w:cs="宋体"/>
                <w:b/>
                <w:bCs/>
                <w:i w:val="0"/>
                <w:color w:val="auto"/>
                <w:kern w:val="0"/>
                <w:sz w:val="22"/>
                <w:szCs w:val="22"/>
                <w:highlight w:val="none"/>
                <w:u w:val="none"/>
                <w:lang w:val="en-US" w:eastAsia="zh-CN" w:bidi="ar"/>
              </w:rPr>
              <w:t>中的报价数据。</w:t>
            </w:r>
          </w:p>
        </w:tc>
      </w:tr>
      <w:tr w14:paraId="49A45A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restart"/>
            <w:tcBorders>
              <w:tl2br w:val="nil"/>
              <w:tr2bl w:val="nil"/>
            </w:tcBorders>
            <w:noWrap/>
            <w:tcMar>
              <w:top w:w="15" w:type="dxa"/>
              <w:left w:w="15" w:type="dxa"/>
              <w:right w:w="15" w:type="dxa"/>
            </w:tcMar>
            <w:vAlign w:val="center"/>
          </w:tcPr>
          <w:p w14:paraId="4781C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经营状况（41分）</w:t>
            </w:r>
          </w:p>
        </w:tc>
        <w:tc>
          <w:tcPr>
            <w:tcW w:w="578" w:type="pct"/>
            <w:tcBorders>
              <w:tl2br w:val="nil"/>
              <w:tr2bl w:val="nil"/>
            </w:tcBorders>
            <w:noWrap w:val="0"/>
            <w:tcMar>
              <w:top w:w="15" w:type="dxa"/>
              <w:left w:w="15" w:type="dxa"/>
              <w:right w:w="15" w:type="dxa"/>
            </w:tcMar>
            <w:vAlign w:val="center"/>
          </w:tcPr>
          <w:p w14:paraId="2CBFCDC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i w:val="0"/>
                <w:color w:val="auto"/>
                <w:kern w:val="0"/>
                <w:sz w:val="22"/>
                <w:szCs w:val="22"/>
                <w:highlight w:val="none"/>
                <w:u w:val="none"/>
                <w:lang w:val="en-US" w:eastAsia="zh-CN" w:bidi="ar"/>
              </w:rPr>
              <w:t>存贷款增速（8分）</w:t>
            </w:r>
          </w:p>
        </w:tc>
        <w:tc>
          <w:tcPr>
            <w:tcW w:w="3883" w:type="pct"/>
            <w:tcBorders>
              <w:tl2br w:val="nil"/>
              <w:tr2bl w:val="nil"/>
            </w:tcBorders>
            <w:noWrap w:val="0"/>
            <w:tcMar>
              <w:top w:w="15" w:type="dxa"/>
              <w:left w:w="15" w:type="dxa"/>
              <w:right w:w="15" w:type="dxa"/>
            </w:tcMar>
            <w:vAlign w:val="center"/>
          </w:tcPr>
          <w:p w14:paraId="7D483EC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spacing w:val="-6"/>
                <w:kern w:val="0"/>
                <w:sz w:val="22"/>
                <w:szCs w:val="22"/>
                <w:highlight w:val="none"/>
                <w:u w:val="none"/>
                <w:lang w:val="en-US" w:eastAsia="zh-CN" w:bidi="ar"/>
              </w:rPr>
              <w:t>按投标前市对县GDP考核中4个季度考核月各投标银行的存贷款增速排名计分，</w:t>
            </w:r>
            <w:r>
              <w:rPr>
                <w:rFonts w:hint="eastAsia" w:ascii="宋体" w:hAnsi="宋体" w:eastAsia="宋体" w:cs="宋体"/>
                <w:i w:val="0"/>
                <w:color w:val="auto"/>
                <w:kern w:val="0"/>
                <w:sz w:val="22"/>
                <w:szCs w:val="22"/>
                <w:highlight w:val="none"/>
                <w:u w:val="none"/>
                <w:lang w:val="en-US" w:eastAsia="zh-CN" w:bidi="ar"/>
              </w:rPr>
              <w:t>其中，4季度考核月、1季度考核月的计分权重为30%，其余2个季度考核月的计分权重为20%。按计算结果排名赋分。第1名得满分，每递减一名扣减0.</w:t>
            </w:r>
            <w:r>
              <w:rPr>
                <w:rFonts w:hint="eastAsia" w:ascii="宋体" w:hAnsi="宋体" w:cs="宋体"/>
                <w:i w:val="0"/>
                <w:color w:val="auto"/>
                <w:kern w:val="0"/>
                <w:sz w:val="22"/>
                <w:szCs w:val="22"/>
                <w:highlight w:val="none"/>
                <w:u w:val="none"/>
                <w:lang w:val="en-US" w:eastAsia="zh-CN" w:bidi="ar"/>
              </w:rPr>
              <w:t>7</w:t>
            </w:r>
            <w:r>
              <w:rPr>
                <w:rFonts w:hint="eastAsia" w:ascii="宋体" w:hAnsi="宋体" w:eastAsia="宋体" w:cs="宋体"/>
                <w:i w:val="0"/>
                <w:color w:val="auto"/>
                <w:kern w:val="0"/>
                <w:sz w:val="22"/>
                <w:szCs w:val="22"/>
                <w:highlight w:val="none"/>
                <w:u w:val="none"/>
                <w:lang w:val="en-US" w:eastAsia="zh-CN" w:bidi="ar"/>
              </w:rPr>
              <w:t>分。</w:t>
            </w:r>
          </w:p>
          <w:p w14:paraId="158C3DC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计算公式：（各投标银行4季度考核月存贷款增速×30%+各投标银行1季度考核月存贷款增速×30%+各投标银行2季度考核月存贷款增速×20%+各投标银行3季度考核月存贷款增速×20%）</w:t>
            </w:r>
            <w:r>
              <w:rPr>
                <w:rFonts w:hint="eastAsia" w:ascii="宋体" w:hAnsi="宋体" w:eastAsia="宋体" w:cs="宋体"/>
                <w:i w:val="0"/>
                <w:color w:val="auto"/>
                <w:spacing w:val="-6"/>
                <w:kern w:val="0"/>
                <w:sz w:val="22"/>
                <w:szCs w:val="22"/>
                <w:highlight w:val="none"/>
                <w:u w:val="none"/>
                <w:lang w:val="en-US" w:eastAsia="zh-CN" w:bidi="ar"/>
              </w:rPr>
              <w:t>。增速为负的不得分。</w:t>
            </w:r>
          </w:p>
          <w:p w14:paraId="6C6E061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注：此项数据由人行</w:t>
            </w:r>
            <w:r>
              <w:rPr>
                <w:rFonts w:hint="eastAsia" w:ascii="宋体" w:hAnsi="宋体" w:cs="宋体"/>
                <w:b/>
                <w:bCs/>
                <w:i w:val="0"/>
                <w:color w:val="auto"/>
                <w:kern w:val="0"/>
                <w:sz w:val="22"/>
                <w:szCs w:val="22"/>
                <w:highlight w:val="none"/>
                <w:u w:val="none"/>
                <w:lang w:val="en-US" w:eastAsia="zh-CN" w:bidi="ar"/>
              </w:rPr>
              <w:t>台州市分</w:t>
            </w:r>
            <w:r>
              <w:rPr>
                <w:rFonts w:hint="eastAsia" w:ascii="宋体" w:hAnsi="宋体" w:eastAsia="宋体" w:cs="宋体"/>
                <w:b/>
                <w:bCs/>
                <w:i w:val="0"/>
                <w:color w:val="auto"/>
                <w:kern w:val="0"/>
                <w:sz w:val="22"/>
                <w:szCs w:val="22"/>
                <w:highlight w:val="none"/>
                <w:u w:val="none"/>
                <w:lang w:val="en-US" w:eastAsia="zh-CN" w:bidi="ar"/>
              </w:rPr>
              <w:t>行提供。</w:t>
            </w:r>
          </w:p>
        </w:tc>
      </w:tr>
      <w:tr w14:paraId="5515E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99" w:hRule="atLeast"/>
          <w:jc w:val="center"/>
        </w:trPr>
        <w:tc>
          <w:tcPr>
            <w:tcW w:w="537" w:type="pct"/>
            <w:vMerge w:val="continue"/>
            <w:tcBorders>
              <w:tl2br w:val="nil"/>
              <w:tr2bl w:val="nil"/>
            </w:tcBorders>
            <w:noWrap/>
            <w:tcMar>
              <w:top w:w="15" w:type="dxa"/>
              <w:left w:w="15" w:type="dxa"/>
              <w:right w:w="15" w:type="dxa"/>
            </w:tcMar>
            <w:vAlign w:val="center"/>
          </w:tcPr>
          <w:p w14:paraId="2B725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56B49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w:t>
            </w:r>
            <w:r>
              <w:rPr>
                <w:rFonts w:hint="eastAsia" w:ascii="宋体" w:hAnsi="宋体" w:eastAsia="宋体" w:cs="宋体"/>
                <w:i w:val="0"/>
                <w:color w:val="auto"/>
                <w:kern w:val="0"/>
                <w:sz w:val="22"/>
                <w:szCs w:val="22"/>
                <w:highlight w:val="none"/>
                <w:u w:val="none"/>
                <w:lang w:val="en-US" w:eastAsia="zh-CN" w:bidi="ar"/>
              </w:rPr>
              <w:t>对全县</w:t>
            </w:r>
            <w:r>
              <w:rPr>
                <w:rFonts w:hint="eastAsia" w:ascii="宋体" w:hAnsi="宋体" w:cs="宋体"/>
                <w:i w:val="0"/>
                <w:color w:val="auto"/>
                <w:kern w:val="0"/>
                <w:sz w:val="22"/>
                <w:szCs w:val="22"/>
                <w:highlight w:val="none"/>
                <w:u w:val="none"/>
                <w:lang w:val="en-US" w:eastAsia="zh-CN" w:bidi="ar"/>
              </w:rPr>
              <w:t>存</w:t>
            </w:r>
            <w:r>
              <w:rPr>
                <w:rFonts w:hint="eastAsia" w:ascii="宋体" w:hAnsi="宋体" w:eastAsia="宋体" w:cs="宋体"/>
                <w:i w:val="0"/>
                <w:color w:val="auto"/>
                <w:kern w:val="0"/>
                <w:sz w:val="22"/>
                <w:szCs w:val="22"/>
                <w:highlight w:val="none"/>
                <w:u w:val="none"/>
                <w:lang w:val="en-US" w:eastAsia="zh-CN" w:bidi="ar"/>
              </w:rPr>
              <w:t>贷款增长的贡献率</w:t>
            </w:r>
          </w:p>
          <w:p w14:paraId="208EEA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251C318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投标前市对县GDP考核中4个季度考核月各投标银行对全县存贷款增长的贡献率排名计分，其中，4季度考核月、1季度考核月的计分权重为30%，其余2个季度考核月的计分权重为20%。按计算结果排名赋分。第1名得满分，每递减一名扣减0.5分。</w:t>
            </w:r>
          </w:p>
          <w:p w14:paraId="26D538A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公式：（各投标银行4季度考核月存贷款增量/全县4季度考核月存贷款增量×30%+各投标银行1季度考核月存贷款增量/全县1季度考核月存贷款增量×30%+各投标银行2季度考核月存贷款增量/全县2季度考核月存贷款增量×20%+各投标银行3季度考核月存贷款增量/全县3季度考核月存贷款增量×20%）。增量为负的不得分。</w:t>
            </w:r>
          </w:p>
          <w:p w14:paraId="1D411AF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人行台州市分行</w:t>
            </w:r>
            <w:r>
              <w:rPr>
                <w:rFonts w:hint="eastAsia" w:ascii="宋体" w:hAnsi="宋体" w:eastAsia="宋体" w:cs="宋体"/>
                <w:b/>
                <w:bCs/>
                <w:i w:val="0"/>
                <w:color w:val="auto"/>
                <w:kern w:val="0"/>
                <w:sz w:val="22"/>
                <w:szCs w:val="22"/>
                <w:highlight w:val="none"/>
                <w:u w:val="none"/>
                <w:lang w:val="en-US" w:eastAsia="zh-CN" w:bidi="ar"/>
              </w:rPr>
              <w:t>提供。</w:t>
            </w:r>
          </w:p>
        </w:tc>
      </w:tr>
      <w:tr w14:paraId="6C5BD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537" w:type="pct"/>
            <w:vMerge w:val="continue"/>
            <w:tcBorders>
              <w:tl2br w:val="nil"/>
              <w:tr2bl w:val="nil"/>
            </w:tcBorders>
            <w:noWrap/>
            <w:tcMar>
              <w:top w:w="15" w:type="dxa"/>
              <w:left w:w="15" w:type="dxa"/>
              <w:right w:w="15" w:type="dxa"/>
            </w:tcMar>
            <w:vAlign w:val="center"/>
          </w:tcPr>
          <w:p w14:paraId="5EE09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62EC9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i w:val="0"/>
                <w:color w:val="auto"/>
                <w:kern w:val="0"/>
                <w:sz w:val="22"/>
                <w:szCs w:val="22"/>
                <w:highlight w:val="none"/>
                <w:u w:val="none"/>
                <w:lang w:val="en-US" w:eastAsia="zh-CN" w:bidi="ar"/>
              </w:rPr>
              <w:t>贷款增速</w:t>
            </w:r>
          </w:p>
          <w:p w14:paraId="6BBB9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3C57C3A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投标前市对县GDP考核中4个季度考核月各投标银行的新增贷款增速排名计分，其中，4季度考核月、1季度考核月的计分权重为30%，其余2个季度考核月的计分权重为20%。按计算结果排名赋分。第1名得满分，每递减一名扣减0.5分。</w:t>
            </w:r>
          </w:p>
          <w:p w14:paraId="3F3A24C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计算公式：（各投标银行4季度考核月新增贷款增速</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30%+各投标银行1季度考核月新增贷款增速</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30%+各投标银行2季度考核月新增贷款增速</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20%+各投标银行3季度考核月新增贷款增速</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20%）。增速为负的不得分。</w:t>
            </w:r>
          </w:p>
          <w:p w14:paraId="5CF003E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人行台州市分行</w:t>
            </w:r>
            <w:r>
              <w:rPr>
                <w:rFonts w:hint="eastAsia" w:ascii="宋体" w:hAnsi="宋体" w:eastAsia="宋体" w:cs="宋体"/>
                <w:b/>
                <w:bCs/>
                <w:i w:val="0"/>
                <w:color w:val="auto"/>
                <w:kern w:val="0"/>
                <w:sz w:val="22"/>
                <w:szCs w:val="22"/>
                <w:highlight w:val="none"/>
                <w:u w:val="none"/>
                <w:lang w:val="en-US" w:eastAsia="zh-CN" w:bidi="ar"/>
              </w:rPr>
              <w:t>提供。</w:t>
            </w:r>
          </w:p>
        </w:tc>
      </w:tr>
      <w:tr w14:paraId="447A63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425F3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20B102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对全县贷款增长的贡献率</w:t>
            </w:r>
          </w:p>
          <w:p w14:paraId="0C7BE2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13D1B98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按投标前市对县GDP考核中4个季度考核月各投标银行对全县贷款增长的贡献率排名计分，其中，4季度考核月、1季度考核月的计分权重为30%，</w:t>
            </w:r>
            <w:r>
              <w:rPr>
                <w:rFonts w:hint="eastAsia" w:ascii="宋体" w:hAnsi="宋体" w:cs="宋体"/>
                <w:i w:val="0"/>
                <w:color w:val="auto"/>
                <w:kern w:val="0"/>
                <w:sz w:val="22"/>
                <w:szCs w:val="22"/>
                <w:highlight w:val="none"/>
                <w:u w:val="none"/>
                <w:lang w:val="en-US" w:eastAsia="zh-CN" w:bidi="ar"/>
              </w:rPr>
              <w:t>其余2个季度考核月</w:t>
            </w:r>
            <w:r>
              <w:rPr>
                <w:rFonts w:hint="eastAsia" w:ascii="宋体" w:hAnsi="宋体" w:eastAsia="宋体" w:cs="宋体"/>
                <w:i w:val="0"/>
                <w:color w:val="auto"/>
                <w:kern w:val="0"/>
                <w:sz w:val="22"/>
                <w:szCs w:val="22"/>
                <w:highlight w:val="none"/>
                <w:u w:val="none"/>
                <w:lang w:val="en-US" w:eastAsia="zh-CN" w:bidi="ar"/>
              </w:rPr>
              <w:t>的计分权重</w:t>
            </w:r>
            <w:r>
              <w:rPr>
                <w:rFonts w:hint="eastAsia" w:ascii="宋体" w:hAnsi="宋体" w:cs="宋体"/>
                <w:i w:val="0"/>
                <w:color w:val="auto"/>
                <w:kern w:val="0"/>
                <w:sz w:val="22"/>
                <w:szCs w:val="22"/>
                <w:highlight w:val="none"/>
                <w:u w:val="none"/>
                <w:lang w:val="en-US" w:eastAsia="zh-CN" w:bidi="ar"/>
              </w:rPr>
              <w:t>各</w:t>
            </w:r>
            <w:r>
              <w:rPr>
                <w:rFonts w:hint="eastAsia" w:ascii="宋体" w:hAnsi="宋体" w:eastAsia="宋体" w:cs="宋体"/>
                <w:i w:val="0"/>
                <w:color w:val="auto"/>
                <w:kern w:val="0"/>
                <w:sz w:val="22"/>
                <w:szCs w:val="22"/>
                <w:highlight w:val="none"/>
                <w:u w:val="none"/>
                <w:lang w:val="en-US" w:eastAsia="zh-CN" w:bidi="ar"/>
              </w:rPr>
              <w:t>20%。按计算结果排名赋分。第1名得满分，每递减一名扣减0.3分。</w:t>
            </w:r>
          </w:p>
          <w:p w14:paraId="109816D1">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计算公式：（各投标银行4季度考核月新增贷款增量/全县4季度考核月新增贷款增量</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30%+各投标银行1季度考核月新增贷款增量/全县1季度考核月新增贷款增量</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30%+各投标银行2季度考核月新增贷款增量/全县2季度考核月新增贷款增量</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20%+各投标银行3季度考核月新增贷款增量/全县3季度考核月新增贷款增量</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20%）。增量为负的不得分。</w:t>
            </w:r>
          </w:p>
          <w:p w14:paraId="3548BBE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人行台州市分行</w:t>
            </w:r>
            <w:r>
              <w:rPr>
                <w:rFonts w:hint="eastAsia" w:ascii="宋体" w:hAnsi="宋体" w:eastAsia="宋体" w:cs="宋体"/>
                <w:b/>
                <w:bCs/>
                <w:i w:val="0"/>
                <w:color w:val="auto"/>
                <w:kern w:val="0"/>
                <w:sz w:val="22"/>
                <w:szCs w:val="22"/>
                <w:highlight w:val="none"/>
                <w:u w:val="none"/>
                <w:lang w:val="en-US" w:eastAsia="zh-CN" w:bidi="ar"/>
              </w:rPr>
              <w:t>提供。</w:t>
            </w:r>
          </w:p>
        </w:tc>
      </w:tr>
      <w:tr w14:paraId="112F8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50B67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1A354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i w:val="0"/>
                <w:color w:val="auto"/>
                <w:kern w:val="0"/>
                <w:sz w:val="22"/>
                <w:szCs w:val="22"/>
                <w:highlight w:val="none"/>
                <w:u w:val="none"/>
                <w:lang w:val="en-US" w:eastAsia="zh-CN" w:bidi="ar"/>
              </w:rPr>
              <w:t>月平均贷款余额</w:t>
            </w:r>
          </w:p>
          <w:p w14:paraId="7C6C7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（7分）</w:t>
            </w:r>
          </w:p>
        </w:tc>
        <w:tc>
          <w:tcPr>
            <w:tcW w:w="3883" w:type="pct"/>
            <w:tcBorders>
              <w:tl2br w:val="nil"/>
              <w:tr2bl w:val="nil"/>
            </w:tcBorders>
            <w:noWrap w:val="0"/>
            <w:tcMar>
              <w:top w:w="15" w:type="dxa"/>
              <w:left w:w="15" w:type="dxa"/>
              <w:right w:w="15" w:type="dxa"/>
            </w:tcMar>
            <w:vAlign w:val="center"/>
          </w:tcPr>
          <w:p w14:paraId="2F391AE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按照各投标银行投标月份前12个月在我县的月平均贷款余额，第1名的得满分，其他投标银行按与第1名的占比计分。</w:t>
            </w:r>
          </w:p>
          <w:p w14:paraId="291D028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宋体" w:hAnsi="宋体" w:eastAsia="宋体" w:cs="宋体"/>
                <w:i w:val="0"/>
                <w:color w:val="auto"/>
                <w:spacing w:val="-6"/>
                <w:kern w:val="0"/>
                <w:sz w:val="22"/>
                <w:szCs w:val="22"/>
                <w:highlight w:val="none"/>
                <w:u w:val="none"/>
                <w:lang w:val="en-US" w:eastAsia="zh-CN" w:bidi="ar"/>
              </w:rPr>
            </w:pPr>
            <w:r>
              <w:rPr>
                <w:rFonts w:hint="eastAsia" w:ascii="宋体" w:hAnsi="宋体" w:eastAsia="宋体" w:cs="宋体"/>
                <w:i w:val="0"/>
                <w:color w:val="auto"/>
                <w:spacing w:val="-6"/>
                <w:kern w:val="0"/>
                <w:sz w:val="22"/>
                <w:szCs w:val="22"/>
                <w:highlight w:val="none"/>
                <w:u w:val="none"/>
                <w:lang w:val="en-US" w:eastAsia="zh-CN" w:bidi="ar"/>
              </w:rPr>
              <w:t>计算公式：</w:t>
            </w:r>
            <w:r>
              <w:rPr>
                <w:rFonts w:hint="eastAsia" w:ascii="宋体" w:hAnsi="宋体" w:cs="宋体"/>
                <w:i w:val="0"/>
                <w:color w:val="auto"/>
                <w:spacing w:val="-6"/>
                <w:kern w:val="0"/>
                <w:sz w:val="22"/>
                <w:szCs w:val="22"/>
                <w:highlight w:val="none"/>
                <w:u w:val="none"/>
                <w:lang w:val="en-US" w:eastAsia="zh-CN" w:bidi="ar"/>
              </w:rPr>
              <w:t>（</w:t>
            </w:r>
            <w:r>
              <w:rPr>
                <w:rFonts w:hint="eastAsia" w:ascii="宋体" w:hAnsi="宋体" w:eastAsia="宋体" w:cs="宋体"/>
                <w:i w:val="0"/>
                <w:color w:val="auto"/>
                <w:spacing w:val="-6"/>
                <w:kern w:val="0"/>
                <w:sz w:val="22"/>
                <w:szCs w:val="22"/>
                <w:highlight w:val="none"/>
                <w:u w:val="none"/>
                <w:lang w:val="en-US" w:eastAsia="zh-CN" w:bidi="ar"/>
              </w:rPr>
              <w:t>投标银行月平均贷款余额/第1名投标银行的月平均贷款余额</w:t>
            </w:r>
            <w:r>
              <w:rPr>
                <w:rFonts w:hint="eastAsia" w:ascii="宋体" w:hAnsi="宋体" w:cs="宋体"/>
                <w:i w:val="0"/>
                <w:color w:val="auto"/>
                <w:spacing w:val="-6"/>
                <w:kern w:val="0"/>
                <w:sz w:val="22"/>
                <w:szCs w:val="22"/>
                <w:highlight w:val="none"/>
                <w:u w:val="none"/>
                <w:lang w:val="en-US" w:eastAsia="zh-CN" w:bidi="ar"/>
              </w:rPr>
              <w:t>）×</w:t>
            </w:r>
            <w:r>
              <w:rPr>
                <w:rFonts w:hint="eastAsia" w:ascii="宋体" w:hAnsi="宋体" w:eastAsia="宋体" w:cs="宋体"/>
                <w:i w:val="0"/>
                <w:color w:val="auto"/>
                <w:spacing w:val="-6"/>
                <w:kern w:val="0"/>
                <w:sz w:val="22"/>
                <w:szCs w:val="22"/>
                <w:highlight w:val="none"/>
                <w:u w:val="none"/>
                <w:lang w:val="en-US" w:eastAsia="zh-CN" w:bidi="ar"/>
              </w:rPr>
              <w:t>7分</w:t>
            </w:r>
            <w:r>
              <w:rPr>
                <w:rFonts w:hint="eastAsia" w:ascii="宋体" w:hAnsi="宋体" w:cs="宋体"/>
                <w:i w:val="0"/>
                <w:color w:val="auto"/>
                <w:spacing w:val="-6"/>
                <w:kern w:val="0"/>
                <w:sz w:val="22"/>
                <w:szCs w:val="22"/>
                <w:highlight w:val="none"/>
                <w:u w:val="none"/>
                <w:lang w:val="en-US" w:eastAsia="zh-CN" w:bidi="ar"/>
              </w:rPr>
              <w:t>。</w:t>
            </w:r>
          </w:p>
          <w:p w14:paraId="1C4CB93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人行台州市分行</w:t>
            </w:r>
            <w:r>
              <w:rPr>
                <w:rFonts w:hint="eastAsia" w:ascii="宋体" w:hAnsi="宋体" w:eastAsia="宋体" w:cs="宋体"/>
                <w:b/>
                <w:bCs/>
                <w:i w:val="0"/>
                <w:color w:val="auto"/>
                <w:kern w:val="0"/>
                <w:sz w:val="22"/>
                <w:szCs w:val="22"/>
                <w:highlight w:val="none"/>
                <w:u w:val="none"/>
                <w:lang w:val="en-US" w:eastAsia="zh-CN" w:bidi="ar"/>
              </w:rPr>
              <w:t>提供。</w:t>
            </w:r>
          </w:p>
        </w:tc>
      </w:tr>
      <w:tr w14:paraId="6DC5E3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2AB15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44E833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7.</w:t>
            </w:r>
            <w:r>
              <w:rPr>
                <w:rFonts w:hint="eastAsia" w:ascii="宋体" w:hAnsi="宋体" w:eastAsia="宋体" w:cs="宋体"/>
                <w:i w:val="0"/>
                <w:color w:val="auto"/>
                <w:kern w:val="0"/>
                <w:sz w:val="22"/>
                <w:szCs w:val="22"/>
                <w:highlight w:val="none"/>
                <w:u w:val="none"/>
                <w:lang w:val="en-US" w:eastAsia="zh-CN" w:bidi="ar"/>
              </w:rPr>
              <w:t>贷款增量</w:t>
            </w:r>
          </w:p>
          <w:p w14:paraId="3DCA3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（5分）</w:t>
            </w:r>
          </w:p>
        </w:tc>
        <w:tc>
          <w:tcPr>
            <w:tcW w:w="3883" w:type="pct"/>
            <w:tcBorders>
              <w:tl2br w:val="nil"/>
              <w:tr2bl w:val="nil"/>
            </w:tcBorders>
            <w:noWrap w:val="0"/>
            <w:tcMar>
              <w:top w:w="15" w:type="dxa"/>
              <w:left w:w="15" w:type="dxa"/>
              <w:right w:w="15" w:type="dxa"/>
            </w:tcMar>
            <w:vAlign w:val="center"/>
          </w:tcPr>
          <w:p w14:paraId="610C09F4">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按照各投标银行投标月份前1个月份的贷款余额比该银行年初数的增量，第1名得满分，其他投标银行按与第1名的占比计分。</w:t>
            </w:r>
          </w:p>
          <w:p w14:paraId="4618E72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计算公式：（投标银行贷款增量/第1名投标银行的贷款增量）</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5分</w:t>
            </w:r>
            <w:r>
              <w:rPr>
                <w:rFonts w:hint="eastAsia" w:ascii="宋体" w:hAnsi="宋体" w:cs="宋体"/>
                <w:i w:val="0"/>
                <w:color w:val="auto"/>
                <w:kern w:val="0"/>
                <w:sz w:val="22"/>
                <w:szCs w:val="22"/>
                <w:highlight w:val="none"/>
                <w:u w:val="none"/>
                <w:lang w:val="en-US" w:eastAsia="zh-CN" w:bidi="ar"/>
              </w:rPr>
              <w:t>。</w:t>
            </w:r>
          </w:p>
          <w:p w14:paraId="34C77B7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人行台州市分行</w:t>
            </w:r>
            <w:r>
              <w:rPr>
                <w:rFonts w:hint="eastAsia" w:ascii="宋体" w:hAnsi="宋体" w:eastAsia="宋体" w:cs="宋体"/>
                <w:b/>
                <w:bCs/>
                <w:i w:val="0"/>
                <w:color w:val="auto"/>
                <w:kern w:val="0"/>
                <w:sz w:val="22"/>
                <w:szCs w:val="22"/>
                <w:highlight w:val="none"/>
                <w:u w:val="none"/>
                <w:lang w:val="en-US" w:eastAsia="zh-CN" w:bidi="ar"/>
              </w:rPr>
              <w:t>提供。</w:t>
            </w:r>
          </w:p>
        </w:tc>
      </w:tr>
      <w:tr w14:paraId="50FCB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69274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39BBC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8.</w:t>
            </w:r>
            <w:r>
              <w:rPr>
                <w:rFonts w:hint="eastAsia" w:ascii="宋体" w:hAnsi="宋体" w:eastAsia="宋体" w:cs="宋体"/>
                <w:i w:val="0"/>
                <w:color w:val="auto"/>
                <w:kern w:val="0"/>
                <w:sz w:val="22"/>
                <w:szCs w:val="22"/>
                <w:highlight w:val="none"/>
                <w:u w:val="none"/>
                <w:lang w:val="en-US" w:eastAsia="zh-CN" w:bidi="ar"/>
              </w:rPr>
              <w:t>不良贷款率（</w:t>
            </w: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5260FCC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w:t>
            </w:r>
            <w:r>
              <w:rPr>
                <w:rFonts w:hint="eastAsia" w:ascii="宋体" w:hAnsi="宋体" w:cs="宋体"/>
                <w:i w:val="0"/>
                <w:color w:val="auto"/>
                <w:kern w:val="0"/>
                <w:sz w:val="22"/>
                <w:szCs w:val="22"/>
                <w:highlight w:val="none"/>
                <w:u w:val="none"/>
                <w:lang w:val="en-US" w:eastAsia="zh-CN" w:bidi="ar"/>
              </w:rPr>
              <w:t>上一年末</w:t>
            </w:r>
            <w:r>
              <w:rPr>
                <w:rFonts w:hint="eastAsia" w:ascii="宋体" w:hAnsi="宋体" w:eastAsia="宋体" w:cs="宋体"/>
                <w:i w:val="0"/>
                <w:color w:val="auto"/>
                <w:kern w:val="0"/>
                <w:sz w:val="22"/>
                <w:szCs w:val="22"/>
                <w:highlight w:val="none"/>
                <w:u w:val="none"/>
                <w:lang w:val="en-US" w:eastAsia="zh-CN" w:bidi="ar"/>
              </w:rPr>
              <w:t>的不良贷款率排名，最低的为第1名，第1名得满分，每递增1档扣0.</w:t>
            </w:r>
            <w:r>
              <w:rPr>
                <w:rFonts w:hint="eastAsia" w:ascii="宋体" w:hAnsi="宋体" w:cs="宋体"/>
                <w:i w:val="0"/>
                <w:color w:val="auto"/>
                <w:kern w:val="0"/>
                <w:sz w:val="22"/>
                <w:szCs w:val="22"/>
                <w:highlight w:val="none"/>
                <w:u w:val="none"/>
                <w:lang w:val="en-US" w:eastAsia="zh-CN" w:bidi="ar"/>
              </w:rPr>
              <w:t>25</w:t>
            </w:r>
            <w:r>
              <w:rPr>
                <w:rFonts w:hint="eastAsia" w:ascii="宋体" w:hAnsi="宋体" w:eastAsia="宋体" w:cs="宋体"/>
                <w:i w:val="0"/>
                <w:color w:val="auto"/>
                <w:kern w:val="0"/>
                <w:sz w:val="22"/>
                <w:szCs w:val="22"/>
                <w:highlight w:val="none"/>
                <w:u w:val="none"/>
                <w:lang w:val="en-US" w:eastAsia="zh-CN" w:bidi="ar"/>
              </w:rPr>
              <w:t>分，扣完为止。</w:t>
            </w:r>
          </w:p>
          <w:p w14:paraId="1730059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人行台州市分行</w:t>
            </w:r>
            <w:r>
              <w:rPr>
                <w:rFonts w:hint="eastAsia" w:ascii="宋体" w:hAnsi="宋体" w:eastAsia="宋体" w:cs="宋体"/>
                <w:b/>
                <w:bCs/>
                <w:i w:val="0"/>
                <w:color w:val="auto"/>
                <w:kern w:val="0"/>
                <w:sz w:val="22"/>
                <w:szCs w:val="22"/>
                <w:highlight w:val="none"/>
                <w:u w:val="none"/>
                <w:lang w:val="en-US" w:eastAsia="zh-CN" w:bidi="ar"/>
              </w:rPr>
              <w:t>提供。</w:t>
            </w:r>
          </w:p>
        </w:tc>
      </w:tr>
      <w:tr w14:paraId="1AFF17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537" w:type="pct"/>
            <w:vMerge w:val="restart"/>
            <w:tcBorders>
              <w:tl2br w:val="nil"/>
              <w:tr2bl w:val="nil"/>
            </w:tcBorders>
            <w:noWrap/>
            <w:tcMar>
              <w:top w:w="15" w:type="dxa"/>
              <w:left w:w="15" w:type="dxa"/>
              <w:right w:w="15" w:type="dxa"/>
            </w:tcMar>
            <w:vAlign w:val="center"/>
          </w:tcPr>
          <w:p w14:paraId="42A2A2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贡献度指标</w:t>
            </w:r>
          </w:p>
          <w:p w14:paraId="15923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lang w:val="en-US" w:eastAsia="zh-CN"/>
              </w:rPr>
              <w:t>（35分）</w:t>
            </w:r>
          </w:p>
        </w:tc>
        <w:tc>
          <w:tcPr>
            <w:tcW w:w="578" w:type="pct"/>
            <w:tcBorders>
              <w:tl2br w:val="nil"/>
              <w:tr2bl w:val="nil"/>
            </w:tcBorders>
            <w:noWrap/>
            <w:tcMar>
              <w:top w:w="15" w:type="dxa"/>
              <w:left w:w="15" w:type="dxa"/>
              <w:right w:w="15" w:type="dxa"/>
            </w:tcMar>
            <w:vAlign w:val="center"/>
          </w:tcPr>
          <w:p w14:paraId="6CB3BB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9.</w:t>
            </w:r>
            <w:r>
              <w:rPr>
                <w:rFonts w:hint="eastAsia" w:ascii="宋体" w:hAnsi="宋体" w:eastAsia="宋体" w:cs="宋体"/>
                <w:i w:val="0"/>
                <w:color w:val="auto"/>
                <w:kern w:val="0"/>
                <w:sz w:val="22"/>
                <w:szCs w:val="22"/>
                <w:highlight w:val="none"/>
                <w:u w:val="none"/>
                <w:lang w:val="en-US" w:eastAsia="zh-CN" w:bidi="ar"/>
              </w:rPr>
              <w:t>存贷比差值（</w:t>
            </w:r>
            <w:r>
              <w:rPr>
                <w:rFonts w:hint="eastAsia" w:ascii="宋体" w:hAnsi="宋体" w:cs="宋体"/>
                <w:i w:val="0"/>
                <w:color w:val="auto"/>
                <w:kern w:val="0"/>
                <w:sz w:val="22"/>
                <w:szCs w:val="22"/>
                <w:highlight w:val="none"/>
                <w:u w:val="none"/>
                <w:lang w:val="en-US" w:eastAsia="zh-CN" w:bidi="ar"/>
              </w:rPr>
              <w:t>3</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0208533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按照各投标银行投标前1个月</w:t>
            </w:r>
            <w:r>
              <w:rPr>
                <w:rFonts w:hint="eastAsia" w:ascii="宋体" w:hAnsi="宋体" w:cs="宋体"/>
                <w:i w:val="0"/>
                <w:color w:val="auto"/>
                <w:kern w:val="0"/>
                <w:sz w:val="22"/>
                <w:szCs w:val="22"/>
                <w:highlight w:val="none"/>
                <w:u w:val="none"/>
                <w:lang w:val="en-US" w:eastAsia="zh-CN" w:bidi="ar"/>
              </w:rPr>
              <w:t>底</w:t>
            </w:r>
            <w:r>
              <w:rPr>
                <w:rFonts w:hint="eastAsia" w:ascii="宋体" w:hAnsi="宋体" w:eastAsia="宋体" w:cs="宋体"/>
                <w:i w:val="0"/>
                <w:color w:val="auto"/>
                <w:kern w:val="0"/>
                <w:sz w:val="22"/>
                <w:szCs w:val="22"/>
                <w:highlight w:val="none"/>
                <w:u w:val="none"/>
                <w:lang w:val="en-US" w:eastAsia="zh-CN" w:bidi="ar"/>
              </w:rPr>
              <w:t>的存贷比与同期我县银行业平均存贷比的差值计分。基准分为</w:t>
            </w: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i w:val="0"/>
                <w:color w:val="auto"/>
                <w:kern w:val="0"/>
                <w:sz w:val="22"/>
                <w:szCs w:val="22"/>
                <w:highlight w:val="none"/>
                <w:u w:val="none"/>
                <w:lang w:val="en-US" w:eastAsia="zh-CN" w:bidi="ar"/>
              </w:rPr>
              <w:t>分，差值为正数的，予以加分，每5个百分点，加0.</w:t>
            </w: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i w:val="0"/>
                <w:color w:val="auto"/>
                <w:kern w:val="0"/>
                <w:sz w:val="22"/>
                <w:szCs w:val="22"/>
                <w:highlight w:val="none"/>
                <w:u w:val="none"/>
                <w:lang w:val="en-US" w:eastAsia="zh-CN" w:bidi="ar"/>
              </w:rPr>
              <w:t>分，最多加</w:t>
            </w: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i w:val="0"/>
                <w:color w:val="auto"/>
                <w:kern w:val="0"/>
                <w:sz w:val="22"/>
                <w:szCs w:val="22"/>
                <w:highlight w:val="none"/>
                <w:u w:val="none"/>
                <w:lang w:val="en-US" w:eastAsia="zh-CN" w:bidi="ar"/>
              </w:rPr>
              <w:t>分；差值为负数的，予以扣分，每5个百分点，扣0.</w:t>
            </w: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i w:val="0"/>
                <w:color w:val="auto"/>
                <w:kern w:val="0"/>
                <w:sz w:val="22"/>
                <w:szCs w:val="22"/>
                <w:highlight w:val="none"/>
                <w:u w:val="none"/>
                <w:lang w:val="en-US" w:eastAsia="zh-CN" w:bidi="ar"/>
              </w:rPr>
              <w:t>分，扣完基准分为止。</w:t>
            </w:r>
          </w:p>
          <w:p w14:paraId="62D4535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人行台州市分行</w:t>
            </w:r>
            <w:r>
              <w:rPr>
                <w:rFonts w:hint="eastAsia" w:ascii="宋体" w:hAnsi="宋体" w:eastAsia="宋体" w:cs="宋体"/>
                <w:b/>
                <w:bCs/>
                <w:i w:val="0"/>
                <w:color w:val="auto"/>
                <w:kern w:val="0"/>
                <w:sz w:val="22"/>
                <w:szCs w:val="22"/>
                <w:highlight w:val="none"/>
                <w:u w:val="none"/>
                <w:lang w:val="en-US" w:eastAsia="zh-CN" w:bidi="ar"/>
              </w:rPr>
              <w:t>提供。</w:t>
            </w:r>
          </w:p>
        </w:tc>
      </w:tr>
      <w:tr w14:paraId="64811D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537" w:type="pct"/>
            <w:vMerge w:val="continue"/>
            <w:tcBorders>
              <w:tl2br w:val="nil"/>
              <w:tr2bl w:val="nil"/>
            </w:tcBorders>
            <w:noWrap/>
            <w:tcMar>
              <w:top w:w="15" w:type="dxa"/>
              <w:left w:w="15" w:type="dxa"/>
              <w:right w:w="15" w:type="dxa"/>
            </w:tcMar>
            <w:vAlign w:val="center"/>
          </w:tcPr>
          <w:p w14:paraId="30920D57">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655B7A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10.</w:t>
            </w:r>
            <w:r>
              <w:rPr>
                <w:rFonts w:hint="eastAsia" w:ascii="宋体" w:hAnsi="宋体" w:eastAsia="宋体" w:cs="宋体"/>
                <w:i w:val="0"/>
                <w:color w:val="auto"/>
                <w:kern w:val="0"/>
                <w:sz w:val="22"/>
                <w:szCs w:val="22"/>
                <w:highlight w:val="none"/>
                <w:u w:val="none"/>
                <w:lang w:val="en-US" w:eastAsia="zh-CN" w:bidi="ar"/>
              </w:rPr>
              <w:t>地方税费总额（</w:t>
            </w: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63DF15A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w:t>
            </w:r>
            <w:r>
              <w:rPr>
                <w:rFonts w:hint="eastAsia" w:ascii="宋体" w:hAnsi="宋体" w:cs="宋体"/>
                <w:i w:val="0"/>
                <w:color w:val="auto"/>
                <w:kern w:val="0"/>
                <w:sz w:val="22"/>
                <w:szCs w:val="22"/>
                <w:highlight w:val="none"/>
                <w:u w:val="none"/>
                <w:lang w:val="en-US" w:eastAsia="zh-CN" w:bidi="ar"/>
              </w:rPr>
              <w:t>上年度</w:t>
            </w:r>
            <w:r>
              <w:rPr>
                <w:rFonts w:hint="eastAsia" w:ascii="宋体" w:hAnsi="宋体" w:eastAsia="宋体" w:cs="宋体"/>
                <w:i w:val="0"/>
                <w:color w:val="auto"/>
                <w:kern w:val="0"/>
                <w:sz w:val="22"/>
                <w:szCs w:val="22"/>
                <w:highlight w:val="none"/>
                <w:u w:val="none"/>
                <w:lang w:val="en-US" w:eastAsia="zh-CN" w:bidi="ar"/>
              </w:rPr>
              <w:t>在天台县缴纳的纳入一般公共预算收入计算口径的税费为依据，第1名得满分，其他投标银行按与第1名的占比计分。</w:t>
            </w:r>
          </w:p>
          <w:p w14:paraId="0FF69B5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spacing w:val="-6"/>
                <w:kern w:val="0"/>
                <w:sz w:val="22"/>
                <w:szCs w:val="22"/>
                <w:highlight w:val="none"/>
                <w:u w:val="none"/>
                <w:lang w:val="en-US" w:eastAsia="zh-CN" w:bidi="ar"/>
              </w:rPr>
              <w:t>计算公式：</w:t>
            </w:r>
            <w:r>
              <w:rPr>
                <w:rFonts w:hint="eastAsia" w:ascii="宋体" w:hAnsi="宋体" w:cs="宋体"/>
                <w:i w:val="0"/>
                <w:color w:val="auto"/>
                <w:spacing w:val="-6"/>
                <w:kern w:val="0"/>
                <w:sz w:val="22"/>
                <w:szCs w:val="22"/>
                <w:highlight w:val="none"/>
                <w:u w:val="none"/>
                <w:lang w:val="en-US" w:eastAsia="zh-CN" w:bidi="ar"/>
              </w:rPr>
              <w:t>（</w:t>
            </w:r>
            <w:r>
              <w:rPr>
                <w:rFonts w:hint="eastAsia" w:ascii="宋体" w:hAnsi="宋体" w:eastAsia="宋体" w:cs="宋体"/>
                <w:i w:val="0"/>
                <w:color w:val="auto"/>
                <w:spacing w:val="-6"/>
                <w:kern w:val="0"/>
                <w:sz w:val="22"/>
                <w:szCs w:val="22"/>
                <w:highlight w:val="none"/>
                <w:u w:val="none"/>
                <w:lang w:val="en-US" w:eastAsia="zh-CN" w:bidi="ar"/>
              </w:rPr>
              <w:t>投标银行地方税费额/第1名投标银行的地方税费额</w:t>
            </w:r>
            <w:r>
              <w:rPr>
                <w:rFonts w:hint="eastAsia" w:ascii="宋体" w:hAnsi="宋体" w:cs="宋体"/>
                <w:i w:val="0"/>
                <w:color w:val="auto"/>
                <w:spacing w:val="-6"/>
                <w:kern w:val="0"/>
                <w:sz w:val="22"/>
                <w:szCs w:val="22"/>
                <w:highlight w:val="none"/>
                <w:u w:val="none"/>
                <w:lang w:val="en-US" w:eastAsia="zh-CN" w:bidi="ar"/>
              </w:rPr>
              <w:t>)×6</w:t>
            </w:r>
            <w:r>
              <w:rPr>
                <w:rFonts w:hint="eastAsia" w:ascii="宋体" w:hAnsi="宋体" w:eastAsia="宋体" w:cs="宋体"/>
                <w:i w:val="0"/>
                <w:color w:val="auto"/>
                <w:spacing w:val="-6"/>
                <w:kern w:val="0"/>
                <w:sz w:val="22"/>
                <w:szCs w:val="22"/>
                <w:highlight w:val="none"/>
                <w:u w:val="none"/>
                <w:lang w:val="en-US" w:eastAsia="zh-CN" w:bidi="ar"/>
              </w:rPr>
              <w:t>分</w:t>
            </w:r>
            <w:r>
              <w:rPr>
                <w:rFonts w:hint="eastAsia" w:ascii="宋体" w:hAnsi="宋体" w:cs="宋体"/>
                <w:i w:val="0"/>
                <w:color w:val="auto"/>
                <w:spacing w:val="-6"/>
                <w:kern w:val="0"/>
                <w:sz w:val="22"/>
                <w:szCs w:val="22"/>
                <w:highlight w:val="none"/>
                <w:u w:val="none"/>
                <w:lang w:val="en-US" w:eastAsia="zh-CN" w:bidi="ar"/>
              </w:rPr>
              <w:t>。</w:t>
            </w:r>
          </w:p>
          <w:p w14:paraId="32910291">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注：此项数据由天台县税务局提供。</w:t>
            </w:r>
          </w:p>
        </w:tc>
      </w:tr>
      <w:tr w14:paraId="257C5B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150DE776">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4E46D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6"/>
                <w:kern w:val="0"/>
                <w:sz w:val="22"/>
                <w:szCs w:val="22"/>
                <w:highlight w:val="none"/>
                <w:u w:val="none"/>
                <w:lang w:val="en-US" w:eastAsia="zh-CN" w:bidi="ar"/>
              </w:rPr>
              <w:t>1</w:t>
            </w:r>
            <w:r>
              <w:rPr>
                <w:rFonts w:hint="eastAsia" w:ascii="宋体" w:hAnsi="宋体" w:cs="宋体"/>
                <w:i w:val="0"/>
                <w:color w:val="auto"/>
                <w:spacing w:val="-6"/>
                <w:kern w:val="0"/>
                <w:sz w:val="22"/>
                <w:szCs w:val="22"/>
                <w:highlight w:val="none"/>
                <w:u w:val="none"/>
                <w:lang w:val="en-US" w:eastAsia="zh-CN" w:bidi="ar"/>
              </w:rPr>
              <w:t>1</w:t>
            </w:r>
            <w:r>
              <w:rPr>
                <w:rFonts w:hint="eastAsia" w:ascii="宋体" w:hAnsi="宋体" w:eastAsia="宋体" w:cs="宋体"/>
                <w:i w:val="0"/>
                <w:color w:val="auto"/>
                <w:spacing w:val="-6"/>
                <w:kern w:val="0"/>
                <w:sz w:val="22"/>
                <w:szCs w:val="22"/>
                <w:highlight w:val="none"/>
                <w:u w:val="none"/>
                <w:lang w:val="en-US" w:eastAsia="zh-CN" w:bidi="ar"/>
              </w:rPr>
              <w:t>.</w:t>
            </w:r>
            <w:r>
              <w:rPr>
                <w:rFonts w:hint="eastAsia" w:ascii="宋体" w:hAnsi="宋体" w:cs="宋体"/>
                <w:i w:val="0"/>
                <w:color w:val="auto"/>
                <w:spacing w:val="-6"/>
                <w:kern w:val="0"/>
                <w:sz w:val="22"/>
                <w:szCs w:val="22"/>
                <w:highlight w:val="none"/>
                <w:u w:val="none"/>
                <w:lang w:val="en-US" w:eastAsia="zh-CN" w:bidi="ar"/>
              </w:rPr>
              <w:t>制造业</w:t>
            </w:r>
            <w:r>
              <w:rPr>
                <w:rFonts w:hint="eastAsia" w:ascii="宋体" w:hAnsi="宋体" w:eastAsia="宋体" w:cs="宋体"/>
                <w:i w:val="0"/>
                <w:color w:val="auto"/>
                <w:spacing w:val="-6"/>
                <w:kern w:val="0"/>
                <w:sz w:val="22"/>
                <w:szCs w:val="22"/>
                <w:highlight w:val="none"/>
                <w:u w:val="none"/>
                <w:lang w:val="en-US" w:eastAsia="zh-CN" w:bidi="ar"/>
              </w:rPr>
              <w:t>贷款余额（</w:t>
            </w:r>
            <w:r>
              <w:rPr>
                <w:rFonts w:hint="eastAsia" w:ascii="宋体" w:hAnsi="宋体" w:cs="宋体"/>
                <w:i w:val="0"/>
                <w:color w:val="auto"/>
                <w:spacing w:val="-6"/>
                <w:kern w:val="0"/>
                <w:sz w:val="22"/>
                <w:szCs w:val="22"/>
                <w:highlight w:val="none"/>
                <w:u w:val="none"/>
                <w:lang w:val="en-US" w:eastAsia="zh-CN" w:bidi="ar"/>
              </w:rPr>
              <w:t>8</w:t>
            </w:r>
            <w:r>
              <w:rPr>
                <w:rFonts w:hint="eastAsia" w:ascii="宋体" w:hAnsi="宋体" w:eastAsia="宋体" w:cs="宋体"/>
                <w:i w:val="0"/>
                <w:color w:val="auto"/>
                <w:spacing w:val="-6"/>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3613A90A">
            <w:pPr>
              <w:keepNext w:val="0"/>
              <w:keepLines w:val="0"/>
              <w:pageBreakBefore w:val="0"/>
              <w:widowControl/>
              <w:suppressLineNumbers w:val="0"/>
              <w:shd w:val="clear"/>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按照各投标银行投标前1个月底在我县的制造业企业贷款余额计分，第1名的得满分，其他投标银行按与第1名的占比计分。</w:t>
            </w:r>
          </w:p>
          <w:p w14:paraId="2C8DDF33">
            <w:pPr>
              <w:keepNext w:val="0"/>
              <w:keepLines w:val="0"/>
              <w:pageBreakBefore w:val="0"/>
              <w:widowControl/>
              <w:suppressLineNumbers w:val="0"/>
              <w:shd w:val="clear"/>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计算公式：（投标银行制造业企业贷款额/第1名投标银行制造业企业贷款额）×</w:t>
            </w:r>
            <w:r>
              <w:rPr>
                <w:rFonts w:hint="eastAsia" w:ascii="宋体" w:hAnsi="宋体" w:cs="宋体"/>
                <w:i w:val="0"/>
                <w:color w:val="auto"/>
                <w:kern w:val="0"/>
                <w:sz w:val="22"/>
                <w:szCs w:val="22"/>
                <w:highlight w:val="none"/>
                <w:u w:val="none"/>
                <w:lang w:val="en-US" w:eastAsia="zh-CN" w:bidi="ar"/>
              </w:rPr>
              <w:t>8</w:t>
            </w:r>
            <w:r>
              <w:rPr>
                <w:rFonts w:hint="eastAsia" w:ascii="宋体" w:hAnsi="宋体" w:eastAsia="宋体" w:cs="宋体"/>
                <w:i w:val="0"/>
                <w:color w:val="auto"/>
                <w:spacing w:val="-6"/>
                <w:kern w:val="0"/>
                <w:sz w:val="22"/>
                <w:szCs w:val="22"/>
                <w:highlight w:val="none"/>
                <w:u w:val="none"/>
                <w:lang w:val="en-US" w:eastAsia="zh-CN" w:bidi="ar"/>
              </w:rPr>
              <w:t>分</w:t>
            </w:r>
            <w:r>
              <w:rPr>
                <w:rFonts w:hint="eastAsia" w:ascii="宋体" w:hAnsi="宋体" w:eastAsia="宋体" w:cs="宋体"/>
                <w:i w:val="0"/>
                <w:color w:val="auto"/>
                <w:kern w:val="0"/>
                <w:sz w:val="22"/>
                <w:szCs w:val="22"/>
                <w:highlight w:val="none"/>
                <w:u w:val="none"/>
                <w:lang w:val="en-US" w:eastAsia="zh-CN" w:bidi="ar"/>
              </w:rPr>
              <w:t>。</w:t>
            </w:r>
          </w:p>
          <w:p w14:paraId="0F3AC9E1">
            <w:pPr>
              <w:keepNext w:val="0"/>
              <w:keepLines w:val="0"/>
              <w:pageBreakBefore w:val="0"/>
              <w:widowControl/>
              <w:suppressLineNumbers w:val="0"/>
              <w:shd w:val="clear"/>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cs="宋体"/>
                <w:b/>
                <w:bCs/>
                <w:i w:val="0"/>
                <w:color w:val="auto"/>
                <w:kern w:val="0"/>
                <w:sz w:val="22"/>
                <w:szCs w:val="22"/>
                <w:highlight w:val="none"/>
                <w:u w:val="none"/>
                <w:lang w:val="en-US" w:eastAsia="zh-CN" w:bidi="ar"/>
              </w:rPr>
              <w:t>评分依据：此项数据由人行台州市分行提供</w:t>
            </w:r>
          </w:p>
        </w:tc>
      </w:tr>
      <w:tr w14:paraId="63CB28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537" w:type="pct"/>
            <w:vMerge w:val="continue"/>
            <w:tcBorders>
              <w:tl2br w:val="nil"/>
              <w:tr2bl w:val="nil"/>
            </w:tcBorders>
            <w:noWrap/>
            <w:tcMar>
              <w:top w:w="15" w:type="dxa"/>
              <w:left w:w="15" w:type="dxa"/>
              <w:right w:w="15" w:type="dxa"/>
            </w:tcMar>
            <w:vAlign w:val="center"/>
          </w:tcPr>
          <w:p w14:paraId="519F4162">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55A430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12.</w:t>
            </w:r>
            <w:r>
              <w:rPr>
                <w:rFonts w:hint="eastAsia" w:ascii="宋体" w:hAnsi="宋体" w:eastAsia="宋体" w:cs="宋体"/>
                <w:i w:val="0"/>
                <w:color w:val="auto"/>
                <w:kern w:val="0"/>
                <w:sz w:val="22"/>
                <w:szCs w:val="22"/>
                <w:highlight w:val="none"/>
                <w:u w:val="none"/>
                <w:lang w:val="en-US" w:eastAsia="zh-CN" w:bidi="ar"/>
              </w:rPr>
              <w:t>国有企业贷款余额</w:t>
            </w:r>
          </w:p>
          <w:p w14:paraId="647D04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2C74801A">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按照各投标银行最近考核月月末在我县的国有企业贷款余额计分，第1名的得满分，其他投标银行按与第1名的占比计分。</w:t>
            </w:r>
          </w:p>
          <w:p w14:paraId="3C20B22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pacing w:val="-6"/>
                <w:kern w:val="0"/>
                <w:sz w:val="22"/>
                <w:szCs w:val="22"/>
                <w:highlight w:val="none"/>
                <w:u w:val="none"/>
                <w:lang w:val="en-US" w:eastAsia="zh-CN" w:bidi="ar"/>
              </w:rPr>
            </w:pPr>
            <w:r>
              <w:rPr>
                <w:rFonts w:hint="eastAsia" w:ascii="宋体" w:hAnsi="宋体" w:eastAsia="宋体" w:cs="宋体"/>
                <w:i w:val="0"/>
                <w:color w:val="auto"/>
                <w:spacing w:val="-6"/>
                <w:kern w:val="0"/>
                <w:sz w:val="22"/>
                <w:szCs w:val="22"/>
                <w:highlight w:val="none"/>
                <w:u w:val="none"/>
                <w:lang w:val="en-US" w:eastAsia="zh-CN" w:bidi="ar"/>
              </w:rPr>
              <w:t>计算公式：</w:t>
            </w:r>
            <w:r>
              <w:rPr>
                <w:rFonts w:hint="eastAsia" w:ascii="宋体" w:hAnsi="宋体" w:cs="宋体"/>
                <w:i w:val="0"/>
                <w:color w:val="auto"/>
                <w:spacing w:val="-6"/>
                <w:kern w:val="0"/>
                <w:sz w:val="22"/>
                <w:szCs w:val="22"/>
                <w:highlight w:val="none"/>
                <w:u w:val="none"/>
                <w:lang w:val="en-US" w:eastAsia="zh-CN" w:bidi="ar"/>
              </w:rPr>
              <w:t>（</w:t>
            </w:r>
            <w:r>
              <w:rPr>
                <w:rFonts w:hint="eastAsia" w:ascii="宋体" w:hAnsi="宋体" w:eastAsia="宋体" w:cs="宋体"/>
                <w:i w:val="0"/>
                <w:color w:val="auto"/>
                <w:spacing w:val="-6"/>
                <w:kern w:val="0"/>
                <w:sz w:val="22"/>
                <w:szCs w:val="22"/>
                <w:highlight w:val="none"/>
                <w:u w:val="none"/>
                <w:lang w:val="en-US" w:eastAsia="zh-CN" w:bidi="ar"/>
              </w:rPr>
              <w:t>投标银行国有企业贷款余额/第1名投标银行国有企业贷款余额</w:t>
            </w:r>
            <w:r>
              <w:rPr>
                <w:rFonts w:hint="eastAsia" w:ascii="宋体" w:hAnsi="宋体" w:cs="宋体"/>
                <w:i w:val="0"/>
                <w:color w:val="auto"/>
                <w:spacing w:val="-6"/>
                <w:kern w:val="0"/>
                <w:sz w:val="22"/>
                <w:szCs w:val="22"/>
                <w:highlight w:val="none"/>
                <w:u w:val="none"/>
                <w:lang w:val="en-US" w:eastAsia="zh-CN" w:bidi="ar"/>
              </w:rPr>
              <w:t>)×4</w:t>
            </w:r>
            <w:r>
              <w:rPr>
                <w:rFonts w:hint="eastAsia" w:ascii="宋体" w:hAnsi="宋体" w:eastAsia="宋体" w:cs="宋体"/>
                <w:i w:val="0"/>
                <w:color w:val="auto"/>
                <w:spacing w:val="-6"/>
                <w:kern w:val="0"/>
                <w:sz w:val="22"/>
                <w:szCs w:val="22"/>
                <w:highlight w:val="none"/>
                <w:u w:val="none"/>
                <w:lang w:val="en-US" w:eastAsia="zh-CN" w:bidi="ar"/>
              </w:rPr>
              <w:t>分</w:t>
            </w:r>
            <w:r>
              <w:rPr>
                <w:rFonts w:hint="eastAsia" w:ascii="宋体" w:hAnsi="宋体" w:cs="宋体"/>
                <w:i w:val="0"/>
                <w:color w:val="auto"/>
                <w:spacing w:val="-6"/>
                <w:kern w:val="0"/>
                <w:sz w:val="22"/>
                <w:szCs w:val="22"/>
                <w:highlight w:val="none"/>
                <w:u w:val="none"/>
                <w:lang w:val="en-US" w:eastAsia="zh-CN" w:bidi="ar"/>
              </w:rPr>
              <w:t>。</w:t>
            </w:r>
          </w:p>
          <w:p w14:paraId="5F8DF86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注：此项数据由天台县国有资产事务中</w:t>
            </w:r>
            <w:r>
              <w:rPr>
                <w:rFonts w:hint="eastAsia" w:ascii="宋体" w:hAnsi="宋体" w:cs="宋体"/>
                <w:b/>
                <w:bCs/>
                <w:i w:val="0"/>
                <w:color w:val="auto"/>
                <w:kern w:val="0"/>
                <w:sz w:val="22"/>
                <w:szCs w:val="22"/>
                <w:highlight w:val="none"/>
                <w:u w:val="none"/>
                <w:lang w:val="en-US" w:eastAsia="zh-CN" w:bidi="ar"/>
              </w:rPr>
              <w:t>心</w:t>
            </w:r>
            <w:r>
              <w:rPr>
                <w:rFonts w:hint="eastAsia" w:ascii="宋体" w:hAnsi="宋体" w:eastAsia="宋体" w:cs="宋体"/>
                <w:b/>
                <w:bCs/>
                <w:i w:val="0"/>
                <w:color w:val="auto"/>
                <w:kern w:val="0"/>
                <w:sz w:val="22"/>
                <w:szCs w:val="22"/>
                <w:highlight w:val="none"/>
                <w:u w:val="none"/>
                <w:lang w:val="en-US" w:eastAsia="zh-CN" w:bidi="ar"/>
              </w:rPr>
              <w:t>提供。</w:t>
            </w:r>
          </w:p>
        </w:tc>
      </w:tr>
      <w:tr w14:paraId="1F42DB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15839B5D">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1FD6E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13.</w:t>
            </w:r>
            <w:r>
              <w:rPr>
                <w:rFonts w:hint="eastAsia" w:ascii="宋体" w:hAnsi="宋体" w:eastAsia="宋体" w:cs="宋体"/>
                <w:i w:val="0"/>
                <w:color w:val="auto"/>
                <w:kern w:val="0"/>
                <w:sz w:val="22"/>
                <w:szCs w:val="22"/>
                <w:highlight w:val="none"/>
                <w:u w:val="none"/>
                <w:lang w:val="en-US" w:eastAsia="zh-CN" w:bidi="ar"/>
              </w:rPr>
              <w:t>涉农贷款余额</w:t>
            </w:r>
          </w:p>
          <w:p w14:paraId="212BE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0B6AA47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w:t>
            </w:r>
            <w:r>
              <w:rPr>
                <w:rFonts w:hint="eastAsia" w:ascii="宋体" w:hAnsi="宋体" w:cs="宋体"/>
                <w:i w:val="0"/>
                <w:color w:val="auto"/>
                <w:kern w:val="0"/>
                <w:sz w:val="22"/>
                <w:szCs w:val="22"/>
                <w:highlight w:val="none"/>
                <w:u w:val="none"/>
                <w:lang w:val="en-US" w:eastAsia="zh-CN" w:bidi="ar"/>
              </w:rPr>
              <w:t>上年度</w:t>
            </w:r>
            <w:r>
              <w:rPr>
                <w:rFonts w:hint="eastAsia" w:ascii="宋体" w:hAnsi="宋体" w:eastAsia="宋体" w:cs="宋体"/>
                <w:i w:val="0"/>
                <w:color w:val="auto"/>
                <w:kern w:val="0"/>
                <w:sz w:val="22"/>
                <w:szCs w:val="22"/>
                <w:highlight w:val="none"/>
                <w:u w:val="none"/>
                <w:lang w:val="en-US" w:eastAsia="zh-CN" w:bidi="ar"/>
              </w:rPr>
              <w:t>对农、林、牧、渔业等的贷款总额计分，第1名的得满分，其他投标银行按与第1名的占比计分。</w:t>
            </w:r>
          </w:p>
          <w:p w14:paraId="0C2E163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计算公式：</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投标银行支持涉农贷款额/第1名投标银行支持涉农贷款额</w:t>
            </w: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i w:val="0"/>
                <w:color w:val="auto"/>
                <w:kern w:val="0"/>
                <w:sz w:val="22"/>
                <w:szCs w:val="22"/>
                <w:highlight w:val="none"/>
                <w:u w:val="none"/>
                <w:lang w:val="en-US" w:eastAsia="zh-CN" w:bidi="ar"/>
              </w:rPr>
              <w:t>分</w:t>
            </w:r>
            <w:r>
              <w:rPr>
                <w:rFonts w:hint="eastAsia" w:ascii="宋体" w:hAnsi="宋体" w:cs="宋体"/>
                <w:i w:val="0"/>
                <w:color w:val="auto"/>
                <w:kern w:val="0"/>
                <w:sz w:val="22"/>
                <w:szCs w:val="22"/>
                <w:highlight w:val="none"/>
                <w:u w:val="none"/>
                <w:lang w:val="en-US" w:eastAsia="zh-CN" w:bidi="ar"/>
              </w:rPr>
              <w:t>。</w:t>
            </w:r>
          </w:p>
          <w:p w14:paraId="2455377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人行台州市分行</w:t>
            </w:r>
            <w:r>
              <w:rPr>
                <w:rFonts w:hint="eastAsia" w:ascii="宋体" w:hAnsi="宋体" w:eastAsia="宋体" w:cs="宋体"/>
                <w:b/>
                <w:bCs/>
                <w:i w:val="0"/>
                <w:color w:val="auto"/>
                <w:kern w:val="0"/>
                <w:sz w:val="22"/>
                <w:szCs w:val="22"/>
                <w:highlight w:val="none"/>
                <w:u w:val="none"/>
                <w:lang w:val="en-US" w:eastAsia="zh-CN" w:bidi="ar"/>
              </w:rPr>
              <w:t>提供。</w:t>
            </w:r>
          </w:p>
        </w:tc>
      </w:tr>
      <w:tr w14:paraId="1A354A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537" w:type="pct"/>
            <w:vMerge w:val="continue"/>
            <w:tcBorders>
              <w:tl2br w:val="nil"/>
              <w:tr2bl w:val="nil"/>
            </w:tcBorders>
            <w:noWrap/>
            <w:tcMar>
              <w:top w:w="15" w:type="dxa"/>
              <w:left w:w="15" w:type="dxa"/>
              <w:right w:w="15" w:type="dxa"/>
            </w:tcMar>
            <w:vAlign w:val="center"/>
          </w:tcPr>
          <w:p w14:paraId="3273820F">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2616A2E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14.</w:t>
            </w:r>
            <w:r>
              <w:rPr>
                <w:rFonts w:hint="eastAsia" w:ascii="宋体" w:hAnsi="宋体" w:eastAsia="宋体" w:cs="宋体"/>
                <w:i w:val="0"/>
                <w:color w:val="auto"/>
                <w:kern w:val="0"/>
                <w:sz w:val="22"/>
                <w:szCs w:val="22"/>
                <w:highlight w:val="none"/>
                <w:u w:val="none"/>
                <w:lang w:val="en-US" w:eastAsia="zh-CN" w:bidi="ar"/>
              </w:rPr>
              <w:t>信保基金平均在保余额（</w:t>
            </w: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6CC9168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按照各投标银行投标前12个月</w:t>
            </w:r>
            <w:r>
              <w:rPr>
                <w:rFonts w:hint="eastAsia" w:ascii="宋体" w:hAnsi="宋体" w:cs="宋体"/>
                <w:i w:val="0"/>
                <w:color w:val="auto"/>
                <w:kern w:val="0"/>
                <w:sz w:val="22"/>
                <w:szCs w:val="22"/>
                <w:highlight w:val="none"/>
                <w:u w:val="none"/>
                <w:lang w:val="en-US" w:eastAsia="zh-CN" w:bidi="ar"/>
              </w:rPr>
              <w:t>月</w:t>
            </w:r>
            <w:r>
              <w:rPr>
                <w:rFonts w:hint="eastAsia" w:ascii="宋体" w:hAnsi="宋体" w:eastAsia="宋体" w:cs="宋体"/>
                <w:i w:val="0"/>
                <w:color w:val="auto"/>
                <w:kern w:val="0"/>
                <w:sz w:val="22"/>
                <w:szCs w:val="22"/>
                <w:highlight w:val="none"/>
                <w:u w:val="none"/>
                <w:lang w:val="en-US" w:eastAsia="zh-CN" w:bidi="ar"/>
              </w:rPr>
              <w:t>平均在保余额计分，第1名的得满分，其他投标银行按与第1名的占比计分。</w:t>
            </w:r>
          </w:p>
          <w:p w14:paraId="22D0707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计算公式：（投标银行信保基金月平均在保余额/第1名投标银行信保基金月平均在保余额）</w:t>
            </w: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i w:val="0"/>
                <w:color w:val="auto"/>
                <w:kern w:val="0"/>
                <w:sz w:val="22"/>
                <w:szCs w:val="22"/>
                <w:highlight w:val="none"/>
                <w:u w:val="none"/>
                <w:lang w:val="en-US" w:eastAsia="zh-CN" w:bidi="ar"/>
              </w:rPr>
              <w:t>分</w:t>
            </w:r>
            <w:r>
              <w:rPr>
                <w:rFonts w:hint="eastAsia" w:ascii="宋体" w:hAnsi="宋体" w:cs="宋体"/>
                <w:i w:val="0"/>
                <w:color w:val="auto"/>
                <w:kern w:val="0"/>
                <w:sz w:val="22"/>
                <w:szCs w:val="22"/>
                <w:highlight w:val="none"/>
                <w:u w:val="none"/>
                <w:lang w:val="en-US" w:eastAsia="zh-CN" w:bidi="ar"/>
              </w:rPr>
              <w:t>。</w:t>
            </w:r>
          </w:p>
          <w:p w14:paraId="47D0DD7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注：此项数据由县金融工作中心提供。</w:t>
            </w:r>
          </w:p>
        </w:tc>
      </w:tr>
      <w:tr w14:paraId="71FA8E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537" w:type="pct"/>
            <w:vMerge w:val="continue"/>
            <w:tcBorders>
              <w:tl2br w:val="nil"/>
              <w:tr2bl w:val="nil"/>
            </w:tcBorders>
            <w:noWrap/>
            <w:tcMar>
              <w:top w:w="15" w:type="dxa"/>
              <w:left w:w="15" w:type="dxa"/>
              <w:right w:w="15" w:type="dxa"/>
            </w:tcMar>
            <w:vAlign w:val="center"/>
          </w:tcPr>
          <w:p w14:paraId="1746F1F2">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2982C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i w:val="0"/>
                <w:color w:val="auto"/>
                <w:kern w:val="0"/>
                <w:sz w:val="22"/>
                <w:szCs w:val="22"/>
                <w:highlight w:val="none"/>
                <w:u w:val="none"/>
                <w:lang w:val="en-US" w:eastAsia="zh-CN" w:bidi="ar"/>
              </w:rPr>
              <w:t>金融机构综合考核（4分）</w:t>
            </w:r>
          </w:p>
        </w:tc>
        <w:tc>
          <w:tcPr>
            <w:tcW w:w="3883" w:type="pct"/>
            <w:tcBorders>
              <w:tl2br w:val="nil"/>
              <w:tr2bl w:val="nil"/>
            </w:tcBorders>
            <w:noWrap w:val="0"/>
            <w:tcMar>
              <w:top w:w="15" w:type="dxa"/>
              <w:left w:w="15" w:type="dxa"/>
              <w:right w:w="15" w:type="dxa"/>
            </w:tcMar>
            <w:vAlign w:val="center"/>
          </w:tcPr>
          <w:p w14:paraId="47270B5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根据县政府</w:t>
            </w:r>
            <w:r>
              <w:rPr>
                <w:rFonts w:hint="eastAsia" w:ascii="宋体" w:hAnsi="宋体" w:cs="宋体"/>
                <w:i w:val="0"/>
                <w:color w:val="auto"/>
                <w:kern w:val="0"/>
                <w:sz w:val="22"/>
                <w:szCs w:val="22"/>
                <w:highlight w:val="none"/>
                <w:u w:val="none"/>
                <w:lang w:val="en-US" w:eastAsia="zh-CN" w:bidi="ar"/>
              </w:rPr>
              <w:t>上一年度</w:t>
            </w:r>
            <w:r>
              <w:rPr>
                <w:rFonts w:hint="eastAsia" w:ascii="宋体" w:hAnsi="宋体" w:eastAsia="宋体" w:cs="宋体"/>
                <w:i w:val="0"/>
                <w:color w:val="auto"/>
                <w:kern w:val="0"/>
                <w:sz w:val="22"/>
                <w:szCs w:val="22"/>
                <w:highlight w:val="none"/>
                <w:u w:val="none"/>
                <w:lang w:val="en-US" w:eastAsia="zh-CN" w:bidi="ar"/>
              </w:rPr>
              <w:t>对各投标银行的考核情况，第1名得满分，每递减1名扣0.3分，扣完为止。</w:t>
            </w:r>
          </w:p>
          <w:p w14:paraId="66B0F1A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注：此项数据由县金融工作中心提供。</w:t>
            </w:r>
          </w:p>
        </w:tc>
      </w:tr>
      <w:tr w14:paraId="38F6D0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537" w:type="pct"/>
            <w:tcBorders>
              <w:tl2br w:val="nil"/>
              <w:tr2bl w:val="nil"/>
            </w:tcBorders>
            <w:noWrap/>
            <w:tcMar>
              <w:top w:w="15" w:type="dxa"/>
              <w:left w:w="15" w:type="dxa"/>
              <w:right w:w="15" w:type="dxa"/>
            </w:tcMar>
            <w:vAlign w:val="center"/>
          </w:tcPr>
          <w:p w14:paraId="10018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服务</w:t>
            </w:r>
          </w:p>
          <w:p w14:paraId="603DDA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水平</w:t>
            </w:r>
          </w:p>
          <w:p w14:paraId="63CFB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（12分）</w:t>
            </w:r>
          </w:p>
        </w:tc>
        <w:tc>
          <w:tcPr>
            <w:tcW w:w="578" w:type="pct"/>
            <w:tcBorders>
              <w:tl2br w:val="nil"/>
              <w:tr2bl w:val="nil"/>
            </w:tcBorders>
            <w:noWrap/>
            <w:tcMar>
              <w:top w:w="15" w:type="dxa"/>
              <w:left w:w="15" w:type="dxa"/>
              <w:right w:w="15" w:type="dxa"/>
            </w:tcMar>
            <w:vAlign w:val="center"/>
          </w:tcPr>
          <w:p w14:paraId="4A90FF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16.</w:t>
            </w:r>
            <w:r>
              <w:rPr>
                <w:rFonts w:hint="eastAsia" w:ascii="宋体" w:hAnsi="宋体" w:eastAsia="宋体" w:cs="宋体"/>
                <w:i w:val="0"/>
                <w:color w:val="auto"/>
                <w:kern w:val="0"/>
                <w:sz w:val="22"/>
                <w:szCs w:val="22"/>
                <w:highlight w:val="none"/>
                <w:u w:val="none"/>
                <w:lang w:val="en-US" w:eastAsia="zh-CN" w:bidi="ar"/>
              </w:rPr>
              <w:t>服务方案</w:t>
            </w:r>
          </w:p>
          <w:p w14:paraId="69940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2分）</w:t>
            </w:r>
          </w:p>
        </w:tc>
        <w:tc>
          <w:tcPr>
            <w:tcW w:w="3883" w:type="pct"/>
            <w:tcBorders>
              <w:tl2br w:val="nil"/>
              <w:tr2bl w:val="nil"/>
            </w:tcBorders>
            <w:noWrap w:val="0"/>
            <w:tcMar>
              <w:top w:w="15" w:type="dxa"/>
              <w:left w:w="15" w:type="dxa"/>
              <w:right w:w="15" w:type="dxa"/>
            </w:tcMar>
            <w:vAlign w:val="center"/>
          </w:tcPr>
          <w:p w14:paraId="454B5F9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反映各投标银行包括但不限于提供支付结算、对账、分账核算等服务的能力和水平以及在信息系统建设、以往服务履约等方面情况（</w:t>
            </w: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2分）</w:t>
            </w:r>
          </w:p>
          <w:p w14:paraId="48E0414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注：根据投标人自拟的服务方案评审。</w:t>
            </w:r>
          </w:p>
        </w:tc>
      </w:tr>
    </w:tbl>
    <w:p w14:paraId="1C4590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b/>
          <w:bCs/>
          <w:color w:val="auto"/>
          <w:sz w:val="22"/>
          <w:szCs w:val="22"/>
          <w:highlight w:val="none"/>
          <w:lang w:val="en-US" w:eastAsia="zh-CN"/>
        </w:rPr>
      </w:pPr>
    </w:p>
    <w:p w14:paraId="1CF9E2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中标候选</w:t>
      </w:r>
      <w:r>
        <w:rPr>
          <w:rFonts w:hint="eastAsia" w:ascii="宋体" w:hAnsi="宋体" w:cs="宋体"/>
          <w:b/>
          <w:bCs/>
          <w:color w:val="auto"/>
          <w:sz w:val="22"/>
          <w:szCs w:val="22"/>
          <w:highlight w:val="none"/>
          <w:lang w:eastAsia="zh-CN"/>
        </w:rPr>
        <w:t>银行</w:t>
      </w:r>
      <w:r>
        <w:rPr>
          <w:rFonts w:hint="eastAsia" w:ascii="宋体" w:hAnsi="宋体" w:eastAsia="宋体" w:cs="宋体"/>
          <w:b/>
          <w:bCs/>
          <w:color w:val="auto"/>
          <w:sz w:val="22"/>
          <w:szCs w:val="22"/>
          <w:highlight w:val="none"/>
        </w:rPr>
        <w:t>的确定：</w:t>
      </w:r>
    </w:p>
    <w:p w14:paraId="77757D8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sz w:val="22"/>
          <w:szCs w:val="22"/>
          <w:highlight w:val="none"/>
          <w:u w:val="single"/>
        </w:rPr>
      </w:pPr>
      <w:r>
        <w:rPr>
          <w:rFonts w:hint="eastAsia" w:ascii="宋体" w:hAnsi="宋体" w:cs="宋体"/>
          <w:b w:val="0"/>
          <w:bCs w:val="0"/>
          <w:color w:val="auto"/>
          <w:sz w:val="22"/>
          <w:szCs w:val="22"/>
          <w:highlight w:val="none"/>
          <w:u w:val="single"/>
          <w:lang w:val="en-US" w:eastAsia="zh-CN"/>
        </w:rPr>
        <w:t>评标委员会按各投标人的总得分由高到低顺序排序，推荐排序第一名者为第一中标候选银行。如出现总得分相同的，按报价利率由高到低顺序排列；得分且报价利率报价相同的，依次按（1）经营状况指标得分；（2）经济贡献度指标得分；（3）服务水平指标得分的顺序由高到低排名。若依然相同，中标候选银行资格抽签确定。</w:t>
      </w:r>
    </w:p>
    <w:p w14:paraId="3C30ADBE">
      <w:pPr>
        <w:rPr>
          <w:rFonts w:hint="eastAsia"/>
          <w:color w:val="auto"/>
          <w:sz w:val="30"/>
          <w:szCs w:val="30"/>
          <w:highlight w:val="none"/>
        </w:rPr>
      </w:pPr>
      <w:r>
        <w:rPr>
          <w:rFonts w:hint="eastAsia"/>
          <w:color w:val="auto"/>
          <w:sz w:val="30"/>
          <w:szCs w:val="30"/>
          <w:highlight w:val="none"/>
        </w:rPr>
        <w:br w:type="page"/>
      </w:r>
    </w:p>
    <w:p w14:paraId="63E1B70E">
      <w:pPr>
        <w:jc w:val="center"/>
        <w:rPr>
          <w:rStyle w:val="24"/>
          <w:rFonts w:hint="eastAsia"/>
          <w:color w:val="auto"/>
          <w:highlight w:val="none"/>
          <w:lang w:eastAsia="zh-CN"/>
        </w:rPr>
      </w:pPr>
      <w:bookmarkStart w:id="27" w:name="_Toc18618"/>
      <w:r>
        <w:rPr>
          <w:rStyle w:val="24"/>
          <w:rFonts w:hint="eastAsia"/>
          <w:color w:val="auto"/>
          <w:highlight w:val="none"/>
          <w:lang w:eastAsia="zh-CN"/>
        </w:rPr>
        <w:t>第六章  投标文件格式</w:t>
      </w:r>
    </w:p>
    <w:bookmarkEnd w:id="27"/>
    <w:p w14:paraId="6E8E0495">
      <w:pPr>
        <w:tabs>
          <w:tab w:val="left" w:pos="7530"/>
        </w:tabs>
        <w:spacing w:line="520" w:lineRule="exact"/>
        <w:outlineLvl w:val="0"/>
        <w:rPr>
          <w:rFonts w:hint="eastAsia" w:ascii="宋体" w:hAnsi="宋体" w:eastAsia="宋体" w:cs="宋体"/>
          <w:bCs/>
          <w:color w:val="auto"/>
          <w:highlight w:val="none"/>
        </w:rPr>
      </w:pPr>
      <w:bookmarkStart w:id="28" w:name="_Toc25650"/>
      <w:bookmarkStart w:id="29" w:name="_Toc29083"/>
      <w:bookmarkStart w:id="30" w:name="_Toc14922"/>
      <w:r>
        <w:rPr>
          <w:rFonts w:hint="eastAsia" w:ascii="宋体" w:hAnsi="宋体" w:eastAsia="宋体" w:cs="宋体"/>
          <w:bCs/>
          <w:color w:val="auto"/>
          <w:highlight w:val="none"/>
        </w:rPr>
        <w:t>附件一：</w:t>
      </w:r>
      <w:bookmarkEnd w:id="28"/>
      <w:bookmarkEnd w:id="29"/>
      <w:bookmarkEnd w:id="30"/>
    </w:p>
    <w:p w14:paraId="39D2BF43">
      <w:pPr>
        <w:spacing w:line="64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天台县总工会2024年公款竞争性存放项目（第二次）</w:t>
      </w:r>
    </w:p>
    <w:p w14:paraId="288E972B">
      <w:pPr>
        <w:pStyle w:val="18"/>
        <w:keepNext w:val="0"/>
        <w:keepLines w:val="0"/>
        <w:pageBreakBefore w:val="0"/>
        <w:widowControl w:val="0"/>
        <w:kinsoku/>
        <w:wordWrap/>
        <w:overflowPunct/>
        <w:topLinePunct w:val="0"/>
        <w:bidi w:val="0"/>
        <w:snapToGrid/>
        <w:spacing w:line="360" w:lineRule="auto"/>
        <w:ind w:left="0" w:leftChars="0" w:firstLine="0" w:firstLineChars="0"/>
        <w:rPr>
          <w:rFonts w:hint="eastAsia" w:ascii="宋体" w:hAnsi="宋体" w:eastAsia="宋体" w:cs="宋体"/>
          <w:b/>
          <w:bCs/>
          <w:color w:val="auto"/>
          <w:sz w:val="24"/>
          <w:szCs w:val="24"/>
          <w:highlight w:val="none"/>
          <w:u w:val="none"/>
          <w:lang w:eastAsia="zh-CN"/>
        </w:rPr>
      </w:pPr>
    </w:p>
    <w:p w14:paraId="4CEA39A1">
      <w:pPr>
        <w:spacing w:before="156" w:beforeLines="50" w:after="156" w:afterLines="50" w:line="64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CTZB-2024090099A</w:t>
      </w:r>
    </w:p>
    <w:p w14:paraId="16E11BE1">
      <w:pPr>
        <w:bidi w:val="0"/>
        <w:rPr>
          <w:rFonts w:hint="eastAsia"/>
          <w:color w:val="auto"/>
          <w:lang w:val="en-US" w:eastAsia="zh-CN"/>
        </w:rPr>
      </w:pPr>
    </w:p>
    <w:p w14:paraId="3E57A2D6">
      <w:pPr>
        <w:pStyle w:val="17"/>
        <w:rPr>
          <w:rFonts w:hint="eastAsia"/>
          <w:color w:val="auto"/>
          <w:lang w:val="en-US" w:eastAsia="zh-CN"/>
        </w:rPr>
      </w:pPr>
    </w:p>
    <w:p w14:paraId="73C0D55B">
      <w:pPr>
        <w:pStyle w:val="16"/>
        <w:rPr>
          <w:rFonts w:hint="eastAsia"/>
          <w:color w:val="auto"/>
          <w:lang w:val="en-US" w:eastAsia="zh-CN"/>
        </w:rPr>
      </w:pPr>
    </w:p>
    <w:p w14:paraId="682EC79D">
      <w:pPr>
        <w:pStyle w:val="2"/>
        <w:rPr>
          <w:rFonts w:hint="eastAsia"/>
          <w:color w:val="auto"/>
          <w:highlight w:val="none"/>
        </w:rPr>
      </w:pPr>
    </w:p>
    <w:p w14:paraId="11EDFB63">
      <w:pPr>
        <w:spacing w:line="900" w:lineRule="exact"/>
        <w:jc w:val="center"/>
        <w:rPr>
          <w:rFonts w:hint="eastAsia" w:ascii="宋体" w:hAnsi="宋体" w:cs="宋体"/>
          <w:color w:val="auto"/>
          <w:sz w:val="84"/>
          <w:highlight w:val="none"/>
          <w:lang w:eastAsia="zh-CN"/>
        </w:rPr>
      </w:pPr>
      <w:r>
        <w:rPr>
          <w:rFonts w:hint="eastAsia" w:ascii="宋体" w:hAnsi="宋体" w:cs="宋体"/>
          <w:color w:val="auto"/>
          <w:sz w:val="84"/>
          <w:highlight w:val="none"/>
          <w:lang w:eastAsia="zh-CN"/>
        </w:rPr>
        <w:t>投</w:t>
      </w:r>
    </w:p>
    <w:p w14:paraId="5EECDE32">
      <w:pPr>
        <w:spacing w:line="900" w:lineRule="exact"/>
        <w:jc w:val="center"/>
        <w:rPr>
          <w:rFonts w:hint="eastAsia" w:ascii="宋体" w:hAnsi="宋体" w:eastAsia="宋体" w:cs="宋体"/>
          <w:color w:val="auto"/>
          <w:sz w:val="84"/>
          <w:highlight w:val="none"/>
          <w:lang w:eastAsia="zh-CN"/>
        </w:rPr>
      </w:pPr>
      <w:r>
        <w:rPr>
          <w:rFonts w:hint="eastAsia" w:ascii="宋体" w:hAnsi="宋体" w:cs="宋体"/>
          <w:color w:val="auto"/>
          <w:sz w:val="84"/>
          <w:highlight w:val="none"/>
          <w:lang w:eastAsia="zh-CN"/>
        </w:rPr>
        <w:t>标</w:t>
      </w:r>
    </w:p>
    <w:p w14:paraId="63A1D28C">
      <w:pPr>
        <w:spacing w:line="900" w:lineRule="exact"/>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文</w:t>
      </w:r>
    </w:p>
    <w:p w14:paraId="1A779BBA">
      <w:pPr>
        <w:spacing w:line="900" w:lineRule="exact"/>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件</w:t>
      </w:r>
    </w:p>
    <w:p w14:paraId="09CD8813">
      <w:pPr>
        <w:pStyle w:val="2"/>
        <w:rPr>
          <w:rFonts w:hint="eastAsia"/>
          <w:color w:val="auto"/>
          <w:highlight w:val="none"/>
        </w:rPr>
      </w:pPr>
    </w:p>
    <w:p w14:paraId="73AA0AAC">
      <w:pPr>
        <w:rPr>
          <w:rFonts w:hint="eastAsia"/>
          <w:color w:val="auto"/>
        </w:rPr>
      </w:pPr>
    </w:p>
    <w:p w14:paraId="7F48E4E0">
      <w:pPr>
        <w:pStyle w:val="2"/>
        <w:rPr>
          <w:rFonts w:hint="eastAsia"/>
          <w:color w:val="auto"/>
        </w:rPr>
      </w:pPr>
    </w:p>
    <w:p w14:paraId="2D431E7F">
      <w:pPr>
        <w:spacing w:after="156" w:afterLines="50" w:line="900" w:lineRule="exact"/>
        <w:jc w:val="center"/>
        <w:rPr>
          <w:rFonts w:hint="eastAsia" w:ascii="宋体" w:hAnsi="宋体" w:eastAsia="宋体" w:cs="宋体"/>
          <w:color w:val="auto"/>
          <w:sz w:val="32"/>
          <w:szCs w:val="32"/>
          <w:highlight w:val="none"/>
          <w:u w:val="single"/>
        </w:rPr>
      </w:pPr>
      <w:r>
        <w:rPr>
          <w:rFonts w:hint="eastAsia" w:ascii="宋体" w:hAnsi="宋体" w:cs="宋体"/>
          <w:color w:val="auto"/>
          <w:sz w:val="32"/>
          <w:szCs w:val="32"/>
          <w:highlight w:val="none"/>
          <w:lang w:eastAsia="zh-CN"/>
        </w:rPr>
        <w:t>竞标银行</w:t>
      </w:r>
      <w:r>
        <w:rPr>
          <w:rFonts w:hint="eastAsia" w:ascii="宋体" w:hAnsi="宋体" w:eastAsia="宋体" w:cs="宋体"/>
          <w:color w:val="auto"/>
          <w:sz w:val="32"/>
          <w:szCs w:val="32"/>
          <w:highlight w:val="none"/>
        </w:rPr>
        <w:t>全称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（盖公章）</w:t>
      </w:r>
    </w:p>
    <w:p w14:paraId="1E3F9608">
      <w:pPr>
        <w:spacing w:after="156" w:afterLines="50" w:line="900" w:lineRule="exact"/>
        <w:ind w:firstLine="3600" w:firstLineChars="1000"/>
        <w:rPr>
          <w:rFonts w:hint="eastAsia" w:ascii="宋体" w:hAnsi="宋体" w:eastAsia="宋体" w:cs="宋体"/>
          <w:color w:val="auto"/>
          <w:sz w:val="28"/>
          <w:szCs w:val="28"/>
          <w:highlight w:val="none"/>
        </w:rPr>
      </w:pPr>
      <w:r>
        <w:rPr>
          <w:rFonts w:hint="eastAsia" w:ascii="宋体" w:hAnsi="宋体" w:eastAsia="宋体" w:cs="宋体"/>
          <w:color w:val="auto"/>
          <w:sz w:val="36"/>
          <w:szCs w:val="36"/>
          <w:highlight w:val="none"/>
        </w:rPr>
        <w:t>年  月  日</w:t>
      </w:r>
      <w:r>
        <w:rPr>
          <w:rFonts w:hint="eastAsia" w:ascii="宋体" w:hAnsi="宋体" w:eastAsia="宋体" w:cs="宋体"/>
          <w:color w:val="auto"/>
          <w:sz w:val="28"/>
          <w:szCs w:val="28"/>
          <w:highlight w:val="none"/>
        </w:rPr>
        <w:t xml:space="preserve"> </w:t>
      </w:r>
    </w:p>
    <w:p w14:paraId="7E1950AD">
      <w:pPr>
        <w:tabs>
          <w:tab w:val="left" w:pos="7530"/>
        </w:tabs>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开标时开启</w:t>
      </w:r>
    </w:p>
    <w:p w14:paraId="5EC34262">
      <w:pPr>
        <w:jc w:val="center"/>
        <w:rPr>
          <w:rFonts w:hint="eastAsia" w:ascii="宋体" w:hAnsi="宋体" w:cs="宋体"/>
          <w:bCs/>
          <w:color w:val="auto"/>
          <w:sz w:val="32"/>
          <w:szCs w:val="32"/>
          <w:highlight w:val="none"/>
          <w:lang w:eastAsia="zh-CN"/>
        </w:rPr>
      </w:pPr>
      <w:r>
        <w:rPr>
          <w:rFonts w:hint="eastAsia" w:ascii="宋体" w:hAnsi="宋体" w:eastAsia="宋体" w:cs="宋体"/>
          <w:color w:val="auto"/>
          <w:sz w:val="36"/>
          <w:szCs w:val="36"/>
          <w:highlight w:val="none"/>
        </w:rPr>
        <w:br w:type="page"/>
      </w:r>
    </w:p>
    <w:p w14:paraId="796EC674">
      <w:pPr>
        <w:rPr>
          <w:rFonts w:hint="eastAsia" w:ascii="宋体" w:hAnsi="宋体" w:eastAsia="宋体" w:cs="宋体"/>
          <w:bCs/>
          <w:color w:val="auto"/>
          <w:highlight w:val="none"/>
        </w:rPr>
      </w:pPr>
      <w:bookmarkStart w:id="31" w:name="_Toc19209"/>
      <w:bookmarkStart w:id="32" w:name="_Toc13019"/>
      <w:r>
        <w:rPr>
          <w:rFonts w:hint="eastAsia" w:ascii="宋体" w:hAnsi="宋体" w:eastAsia="宋体" w:cs="宋体"/>
          <w:bCs/>
          <w:color w:val="auto"/>
          <w:highlight w:val="none"/>
        </w:rPr>
        <w:t>附件</w:t>
      </w:r>
      <w:r>
        <w:rPr>
          <w:rFonts w:hint="eastAsia" w:ascii="宋体" w:hAnsi="宋体" w:cs="宋体"/>
          <w:bCs/>
          <w:color w:val="auto"/>
          <w:highlight w:val="none"/>
          <w:lang w:eastAsia="zh-CN"/>
        </w:rPr>
        <w:t>二</w:t>
      </w:r>
      <w:r>
        <w:rPr>
          <w:rFonts w:hint="eastAsia" w:ascii="宋体" w:hAnsi="宋体" w:eastAsia="宋体" w:cs="宋体"/>
          <w:bCs/>
          <w:color w:val="auto"/>
          <w:highlight w:val="none"/>
        </w:rPr>
        <w:t>：</w:t>
      </w:r>
    </w:p>
    <w:bookmarkEnd w:id="31"/>
    <w:bookmarkEnd w:id="32"/>
    <w:p w14:paraId="26729FA6">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投标声明函</w:t>
      </w:r>
    </w:p>
    <w:p w14:paraId="7144A1D6">
      <w:pPr>
        <w:spacing w:line="360" w:lineRule="auto"/>
        <w:rPr>
          <w:rFonts w:hint="eastAsia" w:ascii="宋体" w:hAnsi="宋体" w:eastAsia="宋体" w:cs="宋体"/>
          <w:b/>
          <w:color w:val="auto"/>
          <w:w w:val="90"/>
          <w:kern w:val="0"/>
          <w:sz w:val="24"/>
          <w:szCs w:val="24"/>
          <w:highlight w:val="none"/>
          <w:u w:val="single"/>
        </w:rPr>
      </w:pPr>
    </w:p>
    <w:p w14:paraId="19A28B5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single"/>
        </w:rPr>
        <w:t>致</w:t>
      </w:r>
      <w:r>
        <w:rPr>
          <w:rFonts w:hint="eastAsia" w:ascii="宋体" w:hAnsi="宋体" w:cs="宋体"/>
          <w:color w:val="auto"/>
          <w:sz w:val="24"/>
          <w:szCs w:val="24"/>
          <w:highlight w:val="none"/>
          <w:u w:val="single"/>
          <w:lang w:val="en-US" w:eastAsia="zh-CN"/>
        </w:rPr>
        <w:t>天台县总工会（采购人）</w:t>
      </w:r>
      <w:r>
        <w:rPr>
          <w:rFonts w:hint="eastAsia" w:ascii="宋体" w:hAnsi="宋体" w:eastAsia="宋体" w:cs="宋体"/>
          <w:color w:val="auto"/>
          <w:sz w:val="24"/>
          <w:szCs w:val="24"/>
          <w:highlight w:val="none"/>
          <w:u w:val="single"/>
        </w:rPr>
        <w:t>：</w:t>
      </w:r>
    </w:p>
    <w:p w14:paraId="2FB9F07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olor w:val="auto"/>
          <w:highlight w:val="none"/>
        </w:rPr>
      </w:pPr>
      <w:r>
        <w:rPr>
          <w:rFonts w:hint="eastAsia"/>
          <w:color w:val="auto"/>
          <w:highlight w:val="none"/>
        </w:rPr>
        <w:t>我</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u w:val="single"/>
          <w:lang w:eastAsia="zh-CN"/>
        </w:rPr>
        <w:t>法人</w:t>
      </w:r>
      <w:r>
        <w:rPr>
          <w:rFonts w:hint="eastAsia"/>
          <w:color w:val="auto"/>
          <w:highlight w:val="none"/>
          <w:u w:val="single"/>
        </w:rPr>
        <w:t>姓名）</w:t>
      </w:r>
      <w:r>
        <w:rPr>
          <w:rFonts w:hint="eastAsia"/>
          <w:color w:val="auto"/>
          <w:highlight w:val="none"/>
          <w:u w:val="single"/>
          <w:lang w:val="en-US" w:eastAsia="zh-CN"/>
        </w:rPr>
        <w:t xml:space="preserve">  </w:t>
      </w:r>
      <w:r>
        <w:rPr>
          <w:rFonts w:hint="eastAsia"/>
          <w:color w:val="auto"/>
          <w:highlight w:val="none"/>
        </w:rPr>
        <w:t>系</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u w:val="single"/>
          <w:lang w:eastAsia="zh-CN"/>
        </w:rPr>
        <w:t>竞标银行</w:t>
      </w:r>
      <w:r>
        <w:rPr>
          <w:rFonts w:hint="eastAsia"/>
          <w:color w:val="auto"/>
          <w:highlight w:val="none"/>
          <w:u w:val="single"/>
        </w:rPr>
        <w:t>名称）</w:t>
      </w:r>
      <w:r>
        <w:rPr>
          <w:rFonts w:hint="eastAsia"/>
          <w:color w:val="auto"/>
          <w:highlight w:val="none"/>
          <w:u w:val="single"/>
          <w:lang w:val="en-US" w:eastAsia="zh-CN"/>
        </w:rPr>
        <w:t xml:space="preserve">  </w:t>
      </w:r>
      <w:r>
        <w:rPr>
          <w:rFonts w:hint="eastAsia"/>
          <w:color w:val="auto"/>
          <w:highlight w:val="none"/>
        </w:rPr>
        <w:t>的</w:t>
      </w:r>
      <w:r>
        <w:rPr>
          <w:rFonts w:hint="eastAsia"/>
          <w:color w:val="auto"/>
          <w:highlight w:val="none"/>
          <w:lang w:eastAsia="zh-CN"/>
        </w:rPr>
        <w:t>法定代表人</w:t>
      </w:r>
      <w:r>
        <w:rPr>
          <w:rFonts w:hint="eastAsia"/>
          <w:color w:val="auto"/>
          <w:highlight w:val="none"/>
          <w:lang w:val="en-US" w:eastAsia="zh-CN"/>
        </w:rPr>
        <w:t>（或</w:t>
      </w:r>
      <w:r>
        <w:rPr>
          <w:rFonts w:hint="eastAsia"/>
          <w:color w:val="auto"/>
          <w:highlight w:val="none"/>
        </w:rPr>
        <w:t>主要负责人</w:t>
      </w:r>
      <w:r>
        <w:rPr>
          <w:rFonts w:hint="eastAsia"/>
          <w:color w:val="auto"/>
          <w:highlight w:val="none"/>
          <w:lang w:val="en-US" w:eastAsia="zh-CN"/>
        </w:rPr>
        <w:t>）</w:t>
      </w:r>
      <w:r>
        <w:rPr>
          <w:rFonts w:hint="eastAsia"/>
          <w:color w:val="auto"/>
          <w:highlight w:val="none"/>
        </w:rPr>
        <w:t>，我方</w:t>
      </w:r>
      <w:r>
        <w:rPr>
          <w:rFonts w:hint="eastAsia"/>
          <w:color w:val="auto"/>
          <w:highlight w:val="none"/>
          <w:lang w:eastAsia="zh-CN"/>
        </w:rPr>
        <w:t>自愿</w:t>
      </w:r>
      <w:r>
        <w:rPr>
          <w:rFonts w:hint="eastAsia"/>
          <w:color w:val="auto"/>
          <w:highlight w:val="none"/>
        </w:rPr>
        <w:t>参加</w:t>
      </w:r>
      <w:r>
        <w:rPr>
          <w:rFonts w:hint="eastAsia"/>
          <w:color w:val="auto"/>
          <w:highlight w:val="none"/>
          <w:u w:val="single"/>
          <w:lang w:val="en-US" w:eastAsia="zh-CN"/>
        </w:rPr>
        <w:t xml:space="preserve"> </w:t>
      </w:r>
      <w:r>
        <w:rPr>
          <w:rFonts w:hint="eastAsia"/>
          <w:color w:val="auto"/>
          <w:highlight w:val="none"/>
          <w:u w:val="single"/>
          <w:lang w:eastAsia="zh-CN"/>
        </w:rPr>
        <w:t>天台县总工会2024年公款竞争性存放项目（第二次）</w:t>
      </w:r>
      <w:r>
        <w:rPr>
          <w:rFonts w:hint="eastAsia"/>
          <w:color w:val="auto"/>
          <w:highlight w:val="none"/>
        </w:rPr>
        <w:t>（项目编号：</w:t>
      </w:r>
      <w:r>
        <w:rPr>
          <w:rFonts w:hint="eastAsia"/>
          <w:color w:val="auto"/>
          <w:highlight w:val="none"/>
          <w:u w:val="single"/>
          <w:lang w:eastAsia="zh-CN"/>
        </w:rPr>
        <w:t>CTZB-2024090099A</w:t>
      </w:r>
      <w:r>
        <w:rPr>
          <w:rFonts w:hint="eastAsia"/>
          <w:color w:val="auto"/>
          <w:highlight w:val="none"/>
        </w:rPr>
        <w:t>）的投标，为此，我方就本次投标有关事项郑重声明如下：</w:t>
      </w:r>
    </w:p>
    <w:p w14:paraId="72EFD20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eastAsia="zh-CN"/>
        </w:rPr>
        <w:t>、我方</w:t>
      </w:r>
      <w:r>
        <w:rPr>
          <w:rFonts w:hint="eastAsia"/>
          <w:color w:val="auto"/>
          <w:highlight w:val="none"/>
        </w:rPr>
        <w:t>已详细阅读全部</w:t>
      </w:r>
      <w:r>
        <w:rPr>
          <w:rFonts w:hint="eastAsia"/>
          <w:color w:val="auto"/>
          <w:highlight w:val="none"/>
          <w:lang w:eastAsia="zh-CN"/>
        </w:rPr>
        <w:t>采购文件</w:t>
      </w:r>
      <w:r>
        <w:rPr>
          <w:rFonts w:hint="eastAsia"/>
          <w:color w:val="auto"/>
          <w:highlight w:val="none"/>
        </w:rPr>
        <w:t>，同意</w:t>
      </w:r>
      <w:r>
        <w:rPr>
          <w:rFonts w:hint="eastAsia"/>
          <w:color w:val="auto"/>
          <w:highlight w:val="none"/>
          <w:lang w:eastAsia="zh-CN"/>
        </w:rPr>
        <w:t>采购文件</w:t>
      </w:r>
      <w:r>
        <w:rPr>
          <w:rFonts w:hint="eastAsia"/>
          <w:color w:val="auto"/>
          <w:highlight w:val="none"/>
        </w:rPr>
        <w:t>的各项要求</w:t>
      </w:r>
      <w:r>
        <w:rPr>
          <w:rFonts w:hint="eastAsia"/>
          <w:color w:val="auto"/>
          <w:highlight w:val="none"/>
          <w:lang w:eastAsia="zh-CN"/>
        </w:rPr>
        <w:t>；</w:t>
      </w:r>
    </w:p>
    <w:p w14:paraId="4586D3A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eastAsia="宋体"/>
          <w:color w:val="auto"/>
          <w:highlight w:val="none"/>
          <w:lang w:eastAsia="zh-CN"/>
        </w:rPr>
      </w:pPr>
      <w:r>
        <w:rPr>
          <w:rFonts w:hint="eastAsia"/>
          <w:color w:val="auto"/>
          <w:highlight w:val="none"/>
        </w:rPr>
        <w:t>2</w:t>
      </w:r>
      <w:r>
        <w:rPr>
          <w:rFonts w:hint="eastAsia"/>
          <w:color w:val="auto"/>
          <w:highlight w:val="none"/>
          <w:lang w:eastAsia="zh-CN"/>
        </w:rPr>
        <w:t>、</w:t>
      </w:r>
      <w:r>
        <w:rPr>
          <w:rFonts w:hint="eastAsia"/>
          <w:color w:val="auto"/>
          <w:highlight w:val="none"/>
        </w:rPr>
        <w:t>我方向贵方提交的所有投标文件资料都是准确的和真实的</w:t>
      </w:r>
      <w:r>
        <w:rPr>
          <w:rFonts w:hint="eastAsia"/>
          <w:color w:val="auto"/>
          <w:highlight w:val="none"/>
          <w:lang w:eastAsia="zh-CN"/>
        </w:rPr>
        <w:t>；</w:t>
      </w:r>
    </w:p>
    <w:p w14:paraId="49FB9DB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lang w:eastAsia="zh-CN"/>
        </w:rPr>
      </w:pPr>
      <w:r>
        <w:rPr>
          <w:rFonts w:hint="eastAsia"/>
          <w:color w:val="auto"/>
          <w:highlight w:val="none"/>
        </w:rPr>
        <w:t>3</w:t>
      </w:r>
      <w:r>
        <w:rPr>
          <w:rFonts w:hint="eastAsia"/>
          <w:color w:val="auto"/>
          <w:highlight w:val="none"/>
          <w:lang w:eastAsia="zh-CN"/>
        </w:rPr>
        <w:t>、我方此次向贵方提供的服务，我方有能力提供；</w:t>
      </w:r>
    </w:p>
    <w:p w14:paraId="6DF3C40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若</w:t>
      </w:r>
      <w:r>
        <w:rPr>
          <w:rFonts w:hint="eastAsia"/>
          <w:color w:val="auto"/>
          <w:highlight w:val="none"/>
          <w:lang w:eastAsia="zh-CN"/>
        </w:rPr>
        <w:t>我方</w:t>
      </w:r>
      <w:r>
        <w:rPr>
          <w:rFonts w:hint="eastAsia"/>
          <w:color w:val="auto"/>
          <w:highlight w:val="none"/>
        </w:rPr>
        <w:t>中标，我方将按</w:t>
      </w:r>
      <w:r>
        <w:rPr>
          <w:rFonts w:hint="eastAsia"/>
          <w:color w:val="auto"/>
          <w:highlight w:val="none"/>
          <w:lang w:eastAsia="zh-CN"/>
        </w:rPr>
        <w:t>采购文件</w:t>
      </w:r>
      <w:r>
        <w:rPr>
          <w:rFonts w:hint="eastAsia"/>
          <w:color w:val="auto"/>
          <w:highlight w:val="none"/>
        </w:rPr>
        <w:t>规定履行</w:t>
      </w:r>
      <w:r>
        <w:rPr>
          <w:rFonts w:hint="eastAsia"/>
          <w:color w:val="auto"/>
          <w:highlight w:val="none"/>
          <w:lang w:eastAsia="zh-CN"/>
        </w:rPr>
        <w:t>协议书</w:t>
      </w:r>
      <w:r>
        <w:rPr>
          <w:rFonts w:hint="eastAsia"/>
          <w:color w:val="auto"/>
          <w:highlight w:val="none"/>
        </w:rPr>
        <w:t>责任和义务。</w:t>
      </w:r>
    </w:p>
    <w:p w14:paraId="6F69EF0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我方不是</w:t>
      </w:r>
      <w:r>
        <w:rPr>
          <w:rFonts w:hint="eastAsia"/>
          <w:color w:val="auto"/>
          <w:highlight w:val="none"/>
          <w:lang w:eastAsia="zh-CN"/>
        </w:rPr>
        <w:t>采购人</w:t>
      </w:r>
      <w:r>
        <w:rPr>
          <w:rFonts w:hint="eastAsia"/>
          <w:color w:val="auto"/>
          <w:highlight w:val="none"/>
        </w:rPr>
        <w:t>的附属机构；在获知本项目招标信息后，与</w:t>
      </w:r>
      <w:r>
        <w:rPr>
          <w:rFonts w:hint="eastAsia"/>
          <w:color w:val="auto"/>
          <w:highlight w:val="none"/>
          <w:lang w:eastAsia="zh-CN"/>
        </w:rPr>
        <w:t>采购人</w:t>
      </w:r>
      <w:r>
        <w:rPr>
          <w:rFonts w:hint="eastAsia"/>
          <w:color w:val="auto"/>
          <w:highlight w:val="none"/>
        </w:rPr>
        <w:t>聘请的为此项目提供咨询服务的公司及其附属机构没有任何</w:t>
      </w:r>
      <w:r>
        <w:rPr>
          <w:rFonts w:hint="eastAsia"/>
          <w:color w:val="auto"/>
          <w:highlight w:val="none"/>
          <w:lang w:eastAsia="zh-CN"/>
        </w:rPr>
        <w:t>利害关系</w:t>
      </w:r>
      <w:r>
        <w:rPr>
          <w:rFonts w:hint="eastAsia"/>
          <w:color w:val="auto"/>
          <w:highlight w:val="none"/>
        </w:rPr>
        <w:t>。</w:t>
      </w:r>
    </w:p>
    <w:p w14:paraId="3E4F82E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投标</w:t>
      </w:r>
      <w:r>
        <w:rPr>
          <w:rFonts w:hint="eastAsia"/>
          <w:color w:val="auto"/>
          <w:highlight w:val="none"/>
          <w:lang w:eastAsia="zh-CN"/>
        </w:rPr>
        <w:t>文件</w:t>
      </w:r>
      <w:r>
        <w:rPr>
          <w:rFonts w:hint="eastAsia"/>
          <w:color w:val="auto"/>
          <w:highlight w:val="none"/>
        </w:rPr>
        <w:t>自提交投标文件截止日起有效期为90</w:t>
      </w:r>
      <w:r>
        <w:rPr>
          <w:rFonts w:hint="default"/>
          <w:color w:val="auto"/>
          <w:highlight w:val="none"/>
          <w:lang w:val="en-US"/>
        </w:rPr>
        <w:t>日</w:t>
      </w:r>
      <w:r>
        <w:rPr>
          <w:rFonts w:hint="eastAsia"/>
          <w:color w:val="auto"/>
          <w:highlight w:val="none"/>
        </w:rPr>
        <w:t>。</w:t>
      </w:r>
    </w:p>
    <w:p w14:paraId="07AC8DE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以上事项如有虚假或隐瞒，我方愿意承担一切后果，并不再寻求任何旨在减轻或免除法律责任的辩解。</w:t>
      </w:r>
    </w:p>
    <w:p w14:paraId="39C6BC4E">
      <w:pPr>
        <w:keepNext w:val="0"/>
        <w:keepLines w:val="0"/>
        <w:pageBreakBefore w:val="0"/>
        <w:widowControl w:val="0"/>
        <w:kinsoku/>
        <w:wordWrap/>
        <w:overflowPunct/>
        <w:topLinePunct w:val="0"/>
        <w:autoSpaceDE/>
        <w:autoSpaceDN/>
        <w:bidi w:val="0"/>
        <w:adjustRightInd/>
        <w:snapToGrid w:val="0"/>
        <w:spacing w:before="156" w:beforeLines="50" w:after="5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7BF1FB8">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竞标银行</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（盖公章）</w:t>
      </w:r>
    </w:p>
    <w:p w14:paraId="517F478E">
      <w:pPr>
        <w:spacing w:line="460" w:lineRule="exact"/>
        <w:ind w:firstLine="1980" w:firstLineChars="825"/>
        <w:rPr>
          <w:rFonts w:hint="eastAsia" w:ascii="宋体" w:hAnsi="宋体" w:eastAsia="宋体" w:cs="宋体"/>
          <w:color w:val="auto"/>
          <w:sz w:val="24"/>
          <w:szCs w:val="24"/>
          <w:highlight w:val="none"/>
          <w:u w:val="single"/>
        </w:rPr>
      </w:pPr>
    </w:p>
    <w:p w14:paraId="5733B23D">
      <w:pPr>
        <w:spacing w:line="460" w:lineRule="exact"/>
        <w:ind w:firstLine="1320" w:firstLine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i/>
          <w:color w:val="auto"/>
          <w:sz w:val="24"/>
          <w:szCs w:val="24"/>
          <w:highlight w:val="none"/>
        </w:rPr>
        <w:t>（负责人）</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FC680B8">
      <w:pPr>
        <w:spacing w:line="460" w:lineRule="exact"/>
        <w:ind w:firstLine="1980" w:firstLineChars="825"/>
        <w:rPr>
          <w:rFonts w:hint="eastAsia" w:ascii="宋体" w:hAnsi="宋体" w:eastAsia="宋体" w:cs="宋体"/>
          <w:color w:val="auto"/>
          <w:sz w:val="24"/>
          <w:szCs w:val="24"/>
          <w:highlight w:val="none"/>
        </w:rPr>
      </w:pPr>
    </w:p>
    <w:p w14:paraId="5D88358C">
      <w:pPr>
        <w:adjustRightInd w:val="0"/>
        <w:snapToGrid w:val="0"/>
        <w:spacing w:line="360" w:lineRule="auto"/>
        <w:ind w:right="480"/>
        <w:jc w:val="center"/>
        <w:rPr>
          <w:rFonts w:hint="eastAsia" w:ascii="宋体" w:hAnsi="宋体" w:eastAsia="宋体" w:cs="宋体"/>
          <w:color w:val="auto"/>
          <w:sz w:val="24"/>
          <w:szCs w:val="24"/>
          <w:highlight w:val="none"/>
        </w:rPr>
        <w:sectPr>
          <w:footerReference r:id="rId8" w:type="default"/>
          <w:pgSz w:w="11905" w:h="16838"/>
          <w:pgMar w:top="1361" w:right="1587" w:bottom="1361" w:left="1587" w:header="454" w:footer="964" w:gutter="0"/>
          <w:pgBorders>
            <w:top w:val="none" w:sz="0" w:space="0"/>
            <w:left w:val="none" w:sz="0" w:space="0"/>
            <w:bottom w:val="none" w:sz="0" w:space="0"/>
            <w:right w:val="none" w:sz="0" w:space="0"/>
          </w:pgBorders>
          <w:pgNumType w:fmt="decimal" w:start="1"/>
          <w:cols w:space="0" w:num="1"/>
          <w:rtlGutter w:val="0"/>
          <w:docGrid w:type="lines" w:linePitch="330" w:charSpace="0"/>
        </w:sectPr>
      </w:pPr>
      <w:r>
        <w:rPr>
          <w:rFonts w:hint="eastAsia" w:ascii="宋体" w:hAnsi="宋体" w:eastAsia="宋体" w:cs="宋体"/>
          <w:color w:val="auto"/>
          <w:sz w:val="24"/>
          <w:szCs w:val="24"/>
          <w:highlight w:val="none"/>
        </w:rPr>
        <w:t xml:space="preserve">                                            年    月    日</w:t>
      </w:r>
    </w:p>
    <w:p w14:paraId="05F9AE45">
      <w:pPr>
        <w:spacing w:line="520" w:lineRule="exact"/>
        <w:jc w:val="left"/>
        <w:outlineLvl w:val="0"/>
        <w:rPr>
          <w:rFonts w:hint="eastAsia" w:ascii="宋体" w:hAnsi="宋体" w:eastAsia="宋体" w:cs="宋体"/>
          <w:bCs/>
          <w:color w:val="auto"/>
          <w:highlight w:val="none"/>
        </w:rPr>
      </w:pPr>
      <w:bookmarkStart w:id="33" w:name="_Toc22007"/>
      <w:bookmarkStart w:id="34" w:name="_Toc13407"/>
      <w:bookmarkStart w:id="35" w:name="_Toc23756"/>
      <w:bookmarkStart w:id="36" w:name="_Toc14589"/>
      <w:r>
        <w:rPr>
          <w:rFonts w:hint="eastAsia" w:ascii="宋体" w:hAnsi="宋体" w:eastAsia="宋体" w:cs="宋体"/>
          <w:bCs/>
          <w:color w:val="auto"/>
          <w:highlight w:val="none"/>
        </w:rPr>
        <w:t>附件</w:t>
      </w:r>
      <w:r>
        <w:rPr>
          <w:rFonts w:hint="eastAsia" w:ascii="宋体" w:hAnsi="宋体" w:cs="宋体"/>
          <w:bCs/>
          <w:color w:val="auto"/>
          <w:highlight w:val="none"/>
          <w:lang w:eastAsia="zh-CN"/>
        </w:rPr>
        <w:t>三</w:t>
      </w:r>
      <w:r>
        <w:rPr>
          <w:rFonts w:hint="eastAsia" w:ascii="宋体" w:hAnsi="宋体" w:eastAsia="宋体" w:cs="宋体"/>
          <w:bCs/>
          <w:color w:val="auto"/>
          <w:highlight w:val="none"/>
        </w:rPr>
        <w:t>：</w:t>
      </w:r>
      <w:bookmarkEnd w:id="33"/>
      <w:bookmarkEnd w:id="34"/>
      <w:bookmarkEnd w:id="35"/>
      <w:bookmarkEnd w:id="36"/>
    </w:p>
    <w:p w14:paraId="00E17CA3">
      <w:pPr>
        <w:spacing w:line="520" w:lineRule="exact"/>
        <w:jc w:val="center"/>
        <w:rPr>
          <w:rFonts w:hint="eastAsia" w:ascii="宋体" w:hAnsi="宋体" w:eastAsia="宋体" w:cs="宋体"/>
          <w:bCs/>
          <w:color w:val="auto"/>
          <w:sz w:val="44"/>
          <w:szCs w:val="44"/>
          <w:highlight w:val="none"/>
        </w:rPr>
      </w:pPr>
    </w:p>
    <w:p w14:paraId="6C17F336">
      <w:pPr>
        <w:spacing w:line="520" w:lineRule="exact"/>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近三年内在经营活动中无重大违法违规记录</w:t>
      </w:r>
    </w:p>
    <w:p w14:paraId="28C6F051">
      <w:pPr>
        <w:spacing w:line="520" w:lineRule="exact"/>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及重大违约事件</w:t>
      </w:r>
      <w:r>
        <w:rPr>
          <w:rFonts w:hint="eastAsia" w:ascii="宋体" w:hAnsi="宋体" w:eastAsia="宋体" w:cs="宋体"/>
          <w:b/>
          <w:color w:val="auto"/>
          <w:sz w:val="32"/>
          <w:szCs w:val="32"/>
          <w:highlight w:val="none"/>
        </w:rPr>
        <w:t>的承诺函</w:t>
      </w:r>
    </w:p>
    <w:p w14:paraId="2990EBCF">
      <w:pPr>
        <w:pStyle w:val="8"/>
        <w:rPr>
          <w:rFonts w:hint="eastAsia"/>
          <w:color w:val="auto"/>
          <w:highlight w:val="none"/>
        </w:rPr>
      </w:pPr>
    </w:p>
    <w:p w14:paraId="012EE24B">
      <w:pPr>
        <w:spacing w:line="520" w:lineRule="exact"/>
        <w:jc w:val="center"/>
        <w:rPr>
          <w:rFonts w:hint="eastAsia" w:ascii="宋体" w:hAnsi="宋体" w:eastAsia="宋体" w:cs="宋体"/>
          <w:bCs/>
          <w:color w:val="auto"/>
          <w:sz w:val="44"/>
          <w:szCs w:val="44"/>
          <w:highlight w:val="none"/>
        </w:rPr>
      </w:pPr>
    </w:p>
    <w:p w14:paraId="0C8688F8">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single"/>
        </w:rPr>
        <w:t>致</w:t>
      </w:r>
      <w:r>
        <w:rPr>
          <w:rFonts w:hint="eastAsia" w:ascii="宋体" w:hAnsi="宋体" w:cs="宋体"/>
          <w:color w:val="auto"/>
          <w:sz w:val="24"/>
          <w:szCs w:val="24"/>
          <w:highlight w:val="none"/>
          <w:u w:val="single"/>
          <w:lang w:eastAsia="zh-CN"/>
        </w:rPr>
        <w:t>天台县总工会</w:t>
      </w:r>
      <w:r>
        <w:rPr>
          <w:rFonts w:hint="eastAsia" w:ascii="宋体" w:hAnsi="宋体" w:eastAsia="宋体" w:cs="宋体"/>
          <w:color w:val="auto"/>
          <w:sz w:val="24"/>
          <w:szCs w:val="24"/>
          <w:highlight w:val="none"/>
          <w:u w:val="single"/>
        </w:rPr>
        <w:t>：</w:t>
      </w:r>
    </w:p>
    <w:p w14:paraId="1F4151CE">
      <w:pPr>
        <w:keepNext w:val="0"/>
        <w:keepLines w:val="0"/>
        <w:pageBreakBefore w:val="0"/>
        <w:widowControl w:val="0"/>
        <w:kinsoku/>
        <w:wordWrap/>
        <w:overflowPunct/>
        <w:topLinePunct w:val="0"/>
        <w:autoSpaceDE/>
        <w:autoSpaceDN/>
        <w:bidi w:val="0"/>
        <w:adjustRightInd/>
        <w:snapToGrid w:val="0"/>
        <w:spacing w:before="156" w:beforeLines="50" w:after="50"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我方郑重承诺，我方依法开展经营活动，内部管理机制健全，具有较强的风险控制能力，</w:t>
      </w:r>
      <w:r>
        <w:rPr>
          <w:rFonts w:hint="eastAsia" w:ascii="宋体" w:hAnsi="宋体" w:cs="宋体"/>
          <w:color w:val="auto"/>
          <w:sz w:val="24"/>
          <w:szCs w:val="24"/>
          <w:highlight w:val="none"/>
          <w:lang w:eastAsia="zh-CN"/>
        </w:rPr>
        <w:t>近三年内在</w:t>
      </w:r>
      <w:r>
        <w:rPr>
          <w:rFonts w:hint="eastAsia" w:ascii="宋体" w:hAnsi="宋体" w:eastAsia="宋体" w:cs="宋体"/>
          <w:color w:val="auto"/>
          <w:sz w:val="24"/>
          <w:szCs w:val="24"/>
          <w:highlight w:val="none"/>
        </w:rPr>
        <w:t>经营活动中无重大违法违规记录及重大违约事件。如有虚假或隐瞒，采购人可取消我方任何资格（投标/谈判/中标（成交）/签订</w:t>
      </w:r>
      <w:r>
        <w:rPr>
          <w:rFonts w:hint="eastAsia" w:ascii="宋体" w:hAnsi="宋体" w:cs="宋体"/>
          <w:color w:val="auto"/>
          <w:sz w:val="24"/>
          <w:szCs w:val="24"/>
          <w:highlight w:val="none"/>
          <w:lang w:eastAsia="zh-CN"/>
        </w:rPr>
        <w:t>协议书</w:t>
      </w:r>
      <w:r>
        <w:rPr>
          <w:rFonts w:hint="eastAsia" w:ascii="宋体" w:hAnsi="宋体" w:eastAsia="宋体" w:cs="宋体"/>
          <w:color w:val="auto"/>
          <w:sz w:val="24"/>
          <w:szCs w:val="24"/>
          <w:highlight w:val="none"/>
        </w:rPr>
        <w:t>），我方对此无任何异议，并愿意承担一切后果和责任。</w:t>
      </w:r>
    </w:p>
    <w:p w14:paraId="117D8E32">
      <w:pPr>
        <w:keepNext w:val="0"/>
        <w:keepLines w:val="0"/>
        <w:pageBreakBefore w:val="0"/>
        <w:widowControl w:val="0"/>
        <w:kinsoku/>
        <w:wordWrap/>
        <w:overflowPunct/>
        <w:topLinePunct w:val="0"/>
        <w:autoSpaceDE/>
        <w:autoSpaceDN/>
        <w:bidi w:val="0"/>
        <w:adjustRightInd/>
        <w:snapToGrid w:val="0"/>
        <w:spacing w:before="156" w:beforeLines="50" w:after="50"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w:t>
      </w:r>
      <w:r>
        <w:rPr>
          <w:rFonts w:hint="eastAsia" w:ascii="宋体" w:hAnsi="宋体" w:eastAsia="宋体" w:cs="宋体"/>
          <w:color w:val="auto"/>
          <w:kern w:val="0"/>
          <w:sz w:val="24"/>
          <w:szCs w:val="24"/>
          <w:highlight w:val="none"/>
        </w:rPr>
        <w:t>承诺</w:t>
      </w:r>
      <w:r>
        <w:rPr>
          <w:rFonts w:hint="eastAsia" w:ascii="宋体" w:hAnsi="宋体" w:eastAsia="宋体" w:cs="宋体"/>
          <w:color w:val="auto"/>
          <w:sz w:val="24"/>
          <w:szCs w:val="24"/>
          <w:highlight w:val="none"/>
        </w:rPr>
        <w:t>！</w:t>
      </w:r>
    </w:p>
    <w:p w14:paraId="67915D13">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竞标银行</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（盖公章）</w:t>
      </w:r>
    </w:p>
    <w:p w14:paraId="4789BB3F">
      <w:pPr>
        <w:spacing w:line="460" w:lineRule="exact"/>
        <w:ind w:firstLine="1980" w:firstLineChars="825"/>
        <w:rPr>
          <w:rFonts w:hint="eastAsia" w:ascii="宋体" w:hAnsi="宋体" w:eastAsia="宋体" w:cs="宋体"/>
          <w:color w:val="auto"/>
          <w:sz w:val="24"/>
          <w:szCs w:val="24"/>
          <w:highlight w:val="none"/>
          <w:u w:val="single"/>
        </w:rPr>
      </w:pPr>
    </w:p>
    <w:p w14:paraId="75E6257E">
      <w:pPr>
        <w:spacing w:line="460" w:lineRule="exact"/>
        <w:ind w:firstLine="1320" w:firstLine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i/>
          <w:color w:val="auto"/>
          <w:sz w:val="24"/>
          <w:szCs w:val="24"/>
          <w:highlight w:val="none"/>
        </w:rPr>
        <w:t>（负责人）</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2"/>
          <w:szCs w:val="22"/>
          <w:highlight w:val="none"/>
        </w:rPr>
        <w:t>签字或盖章</w:t>
      </w:r>
      <w:r>
        <w:rPr>
          <w:rFonts w:hint="eastAsia" w:ascii="宋体" w:hAnsi="宋体" w:eastAsia="宋体" w:cs="宋体"/>
          <w:color w:val="auto"/>
          <w:sz w:val="24"/>
          <w:szCs w:val="24"/>
          <w:highlight w:val="none"/>
        </w:rPr>
        <w:t>）</w:t>
      </w:r>
    </w:p>
    <w:p w14:paraId="60E67C3F">
      <w:pPr>
        <w:spacing w:line="460" w:lineRule="exact"/>
        <w:ind w:firstLine="1980" w:firstLineChars="825"/>
        <w:rPr>
          <w:rFonts w:hint="eastAsia" w:ascii="宋体" w:hAnsi="宋体" w:eastAsia="宋体" w:cs="宋体"/>
          <w:color w:val="auto"/>
          <w:sz w:val="24"/>
          <w:szCs w:val="24"/>
          <w:highlight w:val="none"/>
        </w:rPr>
      </w:pPr>
    </w:p>
    <w:p w14:paraId="4E9D6343">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AA987C6">
      <w:pPr>
        <w:spacing w:line="520" w:lineRule="exact"/>
        <w:jc w:val="left"/>
        <w:outlineLvl w:val="0"/>
        <w:rPr>
          <w:rFonts w:hint="eastAsia" w:ascii="宋体" w:hAnsi="宋体" w:eastAsia="宋体" w:cs="宋体"/>
          <w:bCs/>
          <w:color w:val="auto"/>
          <w:highlight w:val="none"/>
        </w:rPr>
      </w:pPr>
      <w:r>
        <w:rPr>
          <w:rFonts w:hint="eastAsia" w:ascii="宋体" w:hAnsi="宋体" w:eastAsia="宋体" w:cs="宋体"/>
          <w:bCs/>
          <w:color w:val="auto"/>
          <w:highlight w:val="none"/>
        </w:rPr>
        <w:br w:type="page"/>
      </w:r>
      <w:bookmarkStart w:id="37" w:name="_Toc25095"/>
      <w:bookmarkStart w:id="38" w:name="_Toc4617"/>
      <w:bookmarkStart w:id="39" w:name="_Toc17602"/>
      <w:bookmarkStart w:id="40" w:name="_Toc7543"/>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四</w:t>
      </w:r>
      <w:r>
        <w:rPr>
          <w:rFonts w:hint="eastAsia" w:ascii="宋体" w:hAnsi="宋体" w:eastAsia="宋体" w:cs="宋体"/>
          <w:bCs/>
          <w:color w:val="auto"/>
          <w:highlight w:val="none"/>
        </w:rPr>
        <w:t>：</w:t>
      </w:r>
      <w:bookmarkEnd w:id="37"/>
      <w:bookmarkEnd w:id="38"/>
      <w:bookmarkEnd w:id="39"/>
      <w:bookmarkEnd w:id="40"/>
    </w:p>
    <w:p w14:paraId="54129A3D">
      <w:pPr>
        <w:tabs>
          <w:tab w:val="left" w:pos="7530"/>
        </w:tabs>
        <w:spacing w:line="520" w:lineRule="exact"/>
        <w:outlineLvl w:val="0"/>
        <w:rPr>
          <w:rFonts w:hint="eastAsia" w:ascii="宋体" w:hAnsi="宋体" w:eastAsia="宋体" w:cs="宋体"/>
          <w:bCs/>
          <w:color w:val="auto"/>
          <w:highlight w:val="none"/>
        </w:rPr>
      </w:pPr>
    </w:p>
    <w:p w14:paraId="4BC7BCDC">
      <w:pPr>
        <w:spacing w:line="52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法定代表人（</w:t>
      </w:r>
      <w:r>
        <w:rPr>
          <w:rFonts w:hint="eastAsia" w:ascii="宋体" w:hAnsi="宋体" w:cs="宋体"/>
          <w:b/>
          <w:color w:val="auto"/>
          <w:sz w:val="44"/>
          <w:szCs w:val="44"/>
          <w:highlight w:val="none"/>
          <w:lang w:eastAsia="zh-CN"/>
        </w:rPr>
        <w:t>主要</w:t>
      </w:r>
      <w:r>
        <w:rPr>
          <w:rFonts w:hint="eastAsia" w:ascii="宋体" w:hAnsi="宋体" w:eastAsia="宋体" w:cs="宋体"/>
          <w:b/>
          <w:color w:val="auto"/>
          <w:sz w:val="44"/>
          <w:szCs w:val="44"/>
          <w:highlight w:val="none"/>
        </w:rPr>
        <w:t>负责人）资格证明书</w:t>
      </w:r>
    </w:p>
    <w:p w14:paraId="1CA8FAEB">
      <w:pPr>
        <w:spacing w:line="520" w:lineRule="exact"/>
        <w:jc w:val="center"/>
        <w:rPr>
          <w:rFonts w:hint="eastAsia" w:ascii="宋体" w:hAnsi="宋体" w:eastAsia="宋体" w:cs="宋体"/>
          <w:bCs/>
          <w:color w:val="auto"/>
          <w:sz w:val="44"/>
          <w:szCs w:val="44"/>
          <w:highlight w:val="none"/>
        </w:rPr>
      </w:pPr>
    </w:p>
    <w:p w14:paraId="671CBE67">
      <w:pPr>
        <w:spacing w:line="700" w:lineRule="exact"/>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竞标银行</w:t>
      </w:r>
      <w:r>
        <w:rPr>
          <w:rFonts w:hint="eastAsia" w:ascii="宋体" w:hAnsi="宋体" w:eastAsia="宋体" w:cs="宋体"/>
          <w:bCs/>
          <w:color w:val="auto"/>
          <w:sz w:val="28"/>
          <w:szCs w:val="28"/>
          <w:highlight w:val="none"/>
        </w:rPr>
        <w:t>名称：</w:t>
      </w:r>
      <w:r>
        <w:rPr>
          <w:rFonts w:hint="eastAsia" w:ascii="宋体" w:hAnsi="宋体" w:eastAsia="宋体" w:cs="宋体"/>
          <w:color w:val="auto"/>
          <w:sz w:val="28"/>
          <w:szCs w:val="28"/>
          <w:highlight w:val="none"/>
          <w:u w:val="single"/>
        </w:rPr>
        <w:t xml:space="preserve">                                               </w:t>
      </w:r>
    </w:p>
    <w:p w14:paraId="47B966C2">
      <w:pPr>
        <w:spacing w:line="70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地址：</w:t>
      </w:r>
      <w:r>
        <w:rPr>
          <w:rFonts w:hint="eastAsia" w:ascii="宋体" w:hAnsi="宋体" w:eastAsia="宋体" w:cs="宋体"/>
          <w:color w:val="auto"/>
          <w:sz w:val="28"/>
          <w:szCs w:val="28"/>
          <w:highlight w:val="none"/>
          <w:u w:val="single"/>
        </w:rPr>
        <w:t xml:space="preserve">                                                     </w:t>
      </w:r>
    </w:p>
    <w:p w14:paraId="0A19B619">
      <w:pPr>
        <w:spacing w:line="70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 xml:space="preserve"> 年</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065E78ED">
      <w:pPr>
        <w:spacing w:line="700" w:lineRule="exact"/>
        <w:rPr>
          <w:rFonts w:hint="eastAsia" w:ascii="宋体" w:hAnsi="宋体" w:eastAsia="宋体" w:cs="宋体"/>
          <w:color w:val="auto"/>
          <w:sz w:val="28"/>
          <w:szCs w:val="28"/>
          <w:highlight w:val="none"/>
          <w:u w:val="single"/>
        </w:rPr>
      </w:pPr>
      <w:r>
        <w:rPr>
          <w:rFonts w:hint="eastAsia" w:ascii="宋体" w:hAnsi="宋体" w:eastAsia="宋体" w:cs="宋体"/>
          <w:bCs/>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5540A8B9">
      <w:pPr>
        <w:spacing w:line="70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14:paraId="094D9C12">
      <w:pPr>
        <w:spacing w:line="700" w:lineRule="exact"/>
        <w:ind w:left="140" w:hanging="140" w:hangingChars="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14:paraId="67D25F1D">
      <w:pPr>
        <w:spacing w:line="700" w:lineRule="exact"/>
        <w:ind w:left="140" w:hanging="140" w:hangingChars="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系  </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w:t>
      </w:r>
      <w:r>
        <w:rPr>
          <w:rFonts w:hint="eastAsia" w:ascii="宋体" w:hAnsi="宋体" w:cs="宋体"/>
          <w:bCs/>
          <w:color w:val="auto"/>
          <w:sz w:val="28"/>
          <w:szCs w:val="28"/>
          <w:highlight w:val="none"/>
          <w:lang w:eastAsia="zh-CN"/>
        </w:rPr>
        <w:t>竞标银行</w:t>
      </w:r>
      <w:r>
        <w:rPr>
          <w:rFonts w:hint="eastAsia" w:ascii="宋体" w:hAnsi="宋体" w:eastAsia="宋体" w:cs="宋体"/>
          <w:bCs/>
          <w:color w:val="auto"/>
          <w:sz w:val="28"/>
          <w:szCs w:val="28"/>
          <w:highlight w:val="none"/>
        </w:rPr>
        <w:t>名称）的法定代表人（负责人）。</w:t>
      </w:r>
    </w:p>
    <w:p w14:paraId="3739D5C9">
      <w:pPr>
        <w:spacing w:line="520" w:lineRule="exact"/>
        <w:rPr>
          <w:rFonts w:hint="eastAsia" w:ascii="宋体" w:hAnsi="宋体" w:eastAsia="宋体" w:cs="宋体"/>
          <w:bCs/>
          <w:color w:val="auto"/>
          <w:sz w:val="28"/>
          <w:szCs w:val="28"/>
          <w:highlight w:val="none"/>
        </w:rPr>
      </w:pPr>
    </w:p>
    <w:p w14:paraId="3C05CFD7">
      <w:pPr>
        <w:spacing w:line="52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特此证明。</w:t>
      </w:r>
    </w:p>
    <w:p w14:paraId="2E836350">
      <w:pPr>
        <w:pStyle w:val="2"/>
        <w:rPr>
          <w:rFonts w:hint="eastAsia"/>
          <w:color w:val="auto"/>
        </w:rPr>
      </w:pPr>
    </w:p>
    <w:p w14:paraId="2088C3C2">
      <w:pPr>
        <w:pStyle w:val="2"/>
        <w:rPr>
          <w:rFonts w:hint="eastAsia"/>
          <w:color w:val="auto"/>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4"/>
      </w:tblGrid>
      <w:tr w14:paraId="1E9E0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4473" w:type="dxa"/>
            <w:tcBorders>
              <w:tl2br w:val="nil"/>
              <w:tr2bl w:val="nil"/>
            </w:tcBorders>
            <w:vAlign w:val="center"/>
          </w:tcPr>
          <w:p w14:paraId="6FD9AB7D">
            <w:pPr>
              <w:pStyle w:val="29"/>
              <w:adjustRightInd w:val="0"/>
              <w:snapToGrid w:val="0"/>
              <w:ind w:firstLine="210"/>
              <w:jc w:val="center"/>
              <w:rPr>
                <w:rFonts w:hint="eastAsia" w:ascii="宋体" w:hAnsi="宋体" w:eastAsia="宋体" w:cs="宋体"/>
                <w:bCs/>
                <w:color w:val="auto"/>
                <w:sz w:val="28"/>
                <w:szCs w:val="28"/>
                <w:highlight w:val="none"/>
                <w:vertAlign w:val="baseli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有效</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身份证正面</w:t>
            </w:r>
          </w:p>
        </w:tc>
        <w:tc>
          <w:tcPr>
            <w:tcW w:w="4474" w:type="dxa"/>
            <w:tcBorders>
              <w:tl2br w:val="nil"/>
              <w:tr2bl w:val="nil"/>
            </w:tcBorders>
            <w:vAlign w:val="center"/>
          </w:tcPr>
          <w:p w14:paraId="5247B303">
            <w:pPr>
              <w:pStyle w:val="29"/>
              <w:adjustRightInd w:val="0"/>
              <w:snapToGrid w:val="0"/>
              <w:jc w:val="center"/>
              <w:rPr>
                <w:rFonts w:hint="eastAsia" w:ascii="宋体" w:hAnsi="宋体" w:eastAsia="宋体" w:cs="宋体"/>
                <w:bCs/>
                <w:color w:val="auto"/>
                <w:sz w:val="28"/>
                <w:szCs w:val="28"/>
                <w:highlight w:val="none"/>
                <w:vertAlign w:val="baseli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有效</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身份证</w:t>
            </w:r>
            <w:r>
              <w:rPr>
                <w:rFonts w:hint="eastAsia" w:ascii="宋体" w:hAnsi="宋体" w:cs="宋体"/>
                <w:color w:val="auto"/>
                <w:szCs w:val="21"/>
                <w:highlight w:val="none"/>
                <w:lang w:eastAsia="zh-CN"/>
              </w:rPr>
              <w:t>反</w:t>
            </w:r>
            <w:r>
              <w:rPr>
                <w:rFonts w:hint="eastAsia" w:ascii="宋体" w:hAnsi="宋体" w:eastAsia="宋体" w:cs="宋体"/>
                <w:color w:val="auto"/>
                <w:szCs w:val="21"/>
                <w:highlight w:val="none"/>
              </w:rPr>
              <w:t>面</w:t>
            </w:r>
          </w:p>
        </w:tc>
      </w:tr>
    </w:tbl>
    <w:p w14:paraId="72D55A33">
      <w:pPr>
        <w:wordWrap w:val="0"/>
        <w:spacing w:line="520" w:lineRule="exact"/>
        <w:jc w:val="right"/>
        <w:rPr>
          <w:rFonts w:hint="eastAsia" w:ascii="宋体" w:hAnsi="宋体" w:cs="宋体"/>
          <w:bCs/>
          <w:color w:val="auto"/>
          <w:sz w:val="28"/>
          <w:szCs w:val="28"/>
          <w:highlight w:val="none"/>
          <w:lang w:eastAsia="zh-CN"/>
        </w:rPr>
      </w:pPr>
    </w:p>
    <w:p w14:paraId="21F547EE">
      <w:pPr>
        <w:wordWrap w:val="0"/>
        <w:spacing w:line="520" w:lineRule="exact"/>
        <w:jc w:val="right"/>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竞标银行</w:t>
      </w:r>
      <w:r>
        <w:rPr>
          <w:rFonts w:hint="eastAsia" w:ascii="宋体" w:hAnsi="宋体" w:eastAsia="宋体" w:cs="宋体"/>
          <w:bCs/>
          <w:color w:val="auto"/>
          <w:sz w:val="28"/>
          <w:szCs w:val="28"/>
          <w:highlight w:val="none"/>
        </w:rPr>
        <w:t xml:space="preserve">全称：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（盖公章）</w:t>
      </w:r>
    </w:p>
    <w:p w14:paraId="33E782AB">
      <w:pPr>
        <w:spacing w:line="520" w:lineRule="exact"/>
        <w:ind w:firstLine="4900" w:firstLineChars="1750"/>
        <w:rPr>
          <w:rFonts w:hint="eastAsia" w:ascii="宋体" w:hAnsi="宋体" w:eastAsia="宋体" w:cs="宋体"/>
          <w:bCs/>
          <w:color w:val="auto"/>
          <w:sz w:val="28"/>
          <w:szCs w:val="28"/>
          <w:highlight w:val="none"/>
        </w:rPr>
      </w:pPr>
    </w:p>
    <w:p w14:paraId="542DA9A2">
      <w:pPr>
        <w:spacing w:line="520" w:lineRule="exact"/>
        <w:ind w:firstLine="4900" w:firstLineChars="17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年    月    日</w:t>
      </w:r>
    </w:p>
    <w:p w14:paraId="66DD1C0B">
      <w:pPr>
        <w:spacing w:line="520" w:lineRule="exact"/>
        <w:rPr>
          <w:rFonts w:hint="eastAsia" w:ascii="宋体" w:hAnsi="宋体" w:eastAsia="宋体" w:cs="宋体"/>
          <w:bCs/>
          <w:color w:val="auto"/>
          <w:sz w:val="28"/>
          <w:szCs w:val="28"/>
          <w:highlight w:val="none"/>
        </w:rPr>
      </w:pPr>
    </w:p>
    <w:p w14:paraId="60300309">
      <w:pPr>
        <w:spacing w:line="500" w:lineRule="exact"/>
        <w:jc w:val="center"/>
        <w:rPr>
          <w:rFonts w:hint="eastAsia" w:ascii="宋体" w:hAnsi="宋体" w:eastAsia="宋体" w:cs="宋体"/>
          <w:color w:val="auto"/>
          <w:sz w:val="44"/>
          <w:szCs w:val="44"/>
          <w:highlight w:val="none"/>
        </w:rPr>
      </w:pPr>
    </w:p>
    <w:p w14:paraId="762C7DDD">
      <w:pPr>
        <w:rPr>
          <w:rFonts w:hint="eastAsia" w:ascii="宋体" w:hAnsi="宋体" w:eastAsia="宋体" w:cs="宋体"/>
          <w:bCs/>
          <w:color w:val="auto"/>
          <w:highlight w:val="none"/>
        </w:rPr>
      </w:pPr>
      <w:bookmarkStart w:id="41" w:name="_Toc19089"/>
      <w:bookmarkStart w:id="42" w:name="_Toc5950"/>
      <w:bookmarkStart w:id="43" w:name="_Toc11431"/>
      <w:r>
        <w:rPr>
          <w:rFonts w:hint="eastAsia" w:ascii="宋体" w:hAnsi="宋体" w:eastAsia="宋体" w:cs="宋体"/>
          <w:bCs/>
          <w:color w:val="auto"/>
          <w:highlight w:val="none"/>
        </w:rPr>
        <w:br w:type="page"/>
      </w:r>
    </w:p>
    <w:p w14:paraId="0542C71A">
      <w:pPr>
        <w:spacing w:line="520" w:lineRule="exact"/>
        <w:outlineLvl w:val="0"/>
        <w:rPr>
          <w:rFonts w:hint="eastAsia" w:ascii="宋体" w:hAnsi="宋体" w:eastAsia="宋体" w:cs="宋体"/>
          <w:bCs/>
          <w:color w:val="auto"/>
          <w:highlight w:val="none"/>
        </w:rPr>
      </w:pPr>
      <w:r>
        <w:rPr>
          <w:rFonts w:hint="eastAsia" w:ascii="宋体" w:hAnsi="宋体" w:eastAsia="宋体" w:cs="宋体"/>
          <w:bCs/>
          <w:color w:val="auto"/>
          <w:highlight w:val="none"/>
        </w:rPr>
        <w:t>附件</w:t>
      </w:r>
      <w:r>
        <w:rPr>
          <w:rFonts w:hint="eastAsia" w:ascii="宋体" w:hAnsi="宋体" w:cs="宋体"/>
          <w:bCs/>
          <w:color w:val="auto"/>
          <w:sz w:val="24"/>
          <w:szCs w:val="24"/>
          <w:highlight w:val="none"/>
          <w:lang w:val="en-US" w:eastAsia="zh-CN"/>
        </w:rPr>
        <w:t>五</w:t>
      </w:r>
      <w:r>
        <w:rPr>
          <w:rFonts w:hint="eastAsia" w:ascii="宋体" w:hAnsi="宋体" w:eastAsia="宋体" w:cs="宋体"/>
          <w:bCs/>
          <w:color w:val="auto"/>
          <w:highlight w:val="none"/>
        </w:rPr>
        <w:t>：</w:t>
      </w:r>
      <w:bookmarkEnd w:id="41"/>
      <w:bookmarkEnd w:id="42"/>
      <w:bookmarkEnd w:id="43"/>
    </w:p>
    <w:p w14:paraId="612989BA">
      <w:pPr>
        <w:bidi w:val="0"/>
        <w:rPr>
          <w:rFonts w:hint="eastAsia"/>
          <w:color w:val="auto"/>
        </w:rPr>
      </w:pPr>
    </w:p>
    <w:p w14:paraId="01DC29F1">
      <w:pPr>
        <w:spacing w:line="5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w:t>
      </w:r>
    </w:p>
    <w:p w14:paraId="156195BF">
      <w:pPr>
        <w:pStyle w:val="2"/>
        <w:rPr>
          <w:rFonts w:hint="eastAsia" w:ascii="宋体" w:hAnsi="宋体" w:eastAsia="宋体" w:cs="宋体"/>
          <w:color w:val="auto"/>
          <w:highlight w:val="none"/>
        </w:rPr>
      </w:pPr>
    </w:p>
    <w:p w14:paraId="69F7DC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u w:val="single"/>
          <w:lang w:val="en-US" w:eastAsia="zh-CN"/>
        </w:rPr>
        <w:t>天台县总工会</w:t>
      </w:r>
      <w:r>
        <w:rPr>
          <w:rFonts w:hint="eastAsia" w:ascii="宋体" w:hAnsi="宋体" w:eastAsia="宋体" w:cs="宋体"/>
          <w:color w:val="auto"/>
          <w:sz w:val="24"/>
          <w:highlight w:val="none"/>
        </w:rPr>
        <w:t>：</w:t>
      </w:r>
    </w:p>
    <w:p w14:paraId="035611D5">
      <w:pPr>
        <w:snapToGrid w:val="0"/>
        <w:spacing w:before="156"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竞标银行</w:t>
      </w:r>
      <w:r>
        <w:rPr>
          <w:rFonts w:hint="eastAsia" w:ascii="宋体" w:hAnsi="宋体" w:eastAsia="宋体" w:cs="宋体"/>
          <w:color w:val="auto"/>
          <w:sz w:val="24"/>
          <w:highlight w:val="none"/>
        </w:rPr>
        <w:t>名称）的法定代表人（负责人），现授权委托本单位在职职工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szCs w:val="24"/>
          <w:highlight w:val="none"/>
          <w:u w:val="single"/>
          <w:lang w:eastAsia="zh-CN"/>
        </w:rPr>
        <w:t>天台县总工会2024年公款竞争性存放项目（第二次）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eastAsia="zh-CN"/>
        </w:rPr>
        <w:t>CTZB-2024090099A</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02244809">
      <w:pPr>
        <w:snapToGrid w:val="0"/>
        <w:spacing w:before="156"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我方对委托代理人的签名负全部责任。</w:t>
      </w:r>
    </w:p>
    <w:p w14:paraId="6C25AE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。委托代理人在授权书有效期内签署的所有文件不因授权的撤销而失效。</w:t>
      </w:r>
    </w:p>
    <w:p w14:paraId="0202F72C">
      <w:pPr>
        <w:snapToGrid w:val="0"/>
        <w:spacing w:before="156"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580DE4E7">
      <w:pPr>
        <w:spacing w:line="500" w:lineRule="exact"/>
        <w:ind w:firstLine="2640" w:firstLineChars="1100"/>
        <w:rPr>
          <w:rFonts w:hint="eastAsia" w:ascii="宋体" w:hAnsi="宋体" w:eastAsia="宋体" w:cs="宋体"/>
          <w:color w:val="auto"/>
          <w:sz w:val="24"/>
          <w:highlight w:val="none"/>
        </w:rPr>
      </w:pPr>
      <w:r>
        <w:rPr>
          <w:rFonts w:hint="eastAsia" w:ascii="宋体" w:hAnsi="宋体" w:cs="宋体"/>
          <w:color w:val="auto"/>
          <w:sz w:val="24"/>
          <w:highlight w:val="none"/>
          <w:lang w:eastAsia="zh-CN"/>
        </w:rPr>
        <w:t>竞标银行</w:t>
      </w:r>
      <w:r>
        <w:rPr>
          <w:rFonts w:hint="eastAsia" w:ascii="宋体" w:hAnsi="宋体" w:eastAsia="宋体" w:cs="宋体"/>
          <w:color w:val="auto"/>
          <w:sz w:val="24"/>
          <w:highlight w:val="none"/>
        </w:rPr>
        <w:t xml:space="preserve">全称：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34884E7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3F28AF8F">
      <w:pPr>
        <w:spacing w:line="500" w:lineRule="exact"/>
        <w:ind w:firstLine="2640" w:firstLineChars="11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71BF3364">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1D0E276D">
      <w:pPr>
        <w:spacing w:line="42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委托代理人姓名：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FB823AE">
      <w:pPr>
        <w:spacing w:line="42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身份证号码：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2238CA0">
      <w:pPr>
        <w:spacing w:line="42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C046767">
      <w:pPr>
        <w:spacing w:line="42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4"/>
      </w:tblGrid>
      <w:tr w14:paraId="29FDE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142" w:hRule="atLeast"/>
          <w:jc w:val="center"/>
        </w:trPr>
        <w:tc>
          <w:tcPr>
            <w:tcW w:w="4473" w:type="dxa"/>
            <w:tcBorders>
              <w:tl2br w:val="nil"/>
              <w:tr2bl w:val="nil"/>
            </w:tcBorders>
            <w:vAlign w:val="center"/>
          </w:tcPr>
          <w:p w14:paraId="58A180F8">
            <w:pPr>
              <w:pStyle w:val="29"/>
              <w:adjustRightInd w:val="0"/>
              <w:snapToGrid w:val="0"/>
              <w:ind w:firstLine="210"/>
              <w:jc w:val="center"/>
              <w:rPr>
                <w:rFonts w:hint="eastAsia" w:ascii="宋体" w:hAnsi="宋体" w:eastAsia="宋体" w:cs="宋体"/>
                <w:bCs/>
                <w:color w:val="auto"/>
                <w:sz w:val="28"/>
                <w:szCs w:val="28"/>
                <w:highlight w:val="none"/>
                <w:vertAlign w:val="baseline"/>
              </w:rPr>
            </w:pPr>
            <w:r>
              <w:rPr>
                <w:rFonts w:hint="eastAsia" w:ascii="宋体" w:hAnsi="宋体" w:cs="宋体"/>
                <w:color w:val="auto"/>
                <w:szCs w:val="21"/>
                <w:highlight w:val="none"/>
                <w:lang w:eastAsia="zh-CN"/>
              </w:rPr>
              <w:t>委托代理人</w:t>
            </w:r>
            <w:r>
              <w:rPr>
                <w:rFonts w:hint="eastAsia" w:ascii="宋体" w:hAnsi="宋体" w:eastAsia="宋体" w:cs="宋体"/>
                <w:color w:val="auto"/>
                <w:szCs w:val="21"/>
                <w:highlight w:val="none"/>
                <w:lang w:val="en-US" w:eastAsia="zh-CN"/>
              </w:rPr>
              <w:t>有效</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身份证正面</w:t>
            </w:r>
          </w:p>
        </w:tc>
        <w:tc>
          <w:tcPr>
            <w:tcW w:w="4474" w:type="dxa"/>
            <w:tcBorders>
              <w:tl2br w:val="nil"/>
              <w:tr2bl w:val="nil"/>
            </w:tcBorders>
            <w:vAlign w:val="center"/>
          </w:tcPr>
          <w:p w14:paraId="29620A95">
            <w:pPr>
              <w:pStyle w:val="29"/>
              <w:adjustRightInd w:val="0"/>
              <w:snapToGrid w:val="0"/>
              <w:jc w:val="center"/>
              <w:rPr>
                <w:rFonts w:hint="eastAsia" w:ascii="宋体" w:hAnsi="宋体" w:eastAsia="宋体" w:cs="宋体"/>
                <w:bCs/>
                <w:color w:val="auto"/>
                <w:sz w:val="28"/>
                <w:szCs w:val="28"/>
                <w:highlight w:val="none"/>
                <w:vertAlign w:val="baseline"/>
                <w:lang w:val="en-US" w:eastAsia="zh-CN"/>
              </w:rPr>
            </w:pPr>
            <w:r>
              <w:rPr>
                <w:rFonts w:hint="eastAsia" w:ascii="宋体" w:hAnsi="宋体" w:cs="宋体"/>
                <w:color w:val="auto"/>
                <w:szCs w:val="21"/>
                <w:highlight w:val="none"/>
                <w:lang w:eastAsia="zh-CN"/>
              </w:rPr>
              <w:t>委托代理人</w:t>
            </w:r>
            <w:r>
              <w:rPr>
                <w:rFonts w:hint="eastAsia" w:ascii="宋体" w:hAnsi="宋体" w:eastAsia="宋体" w:cs="宋体"/>
                <w:color w:val="auto"/>
                <w:szCs w:val="21"/>
                <w:highlight w:val="none"/>
                <w:lang w:val="en-US" w:eastAsia="zh-CN"/>
              </w:rPr>
              <w:t>有效</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身份证</w:t>
            </w:r>
            <w:r>
              <w:rPr>
                <w:rFonts w:hint="eastAsia" w:ascii="宋体" w:hAnsi="宋体" w:cs="宋体"/>
                <w:color w:val="auto"/>
                <w:szCs w:val="21"/>
                <w:highlight w:val="none"/>
                <w:lang w:eastAsia="zh-CN"/>
              </w:rPr>
              <w:t>反</w:t>
            </w:r>
            <w:r>
              <w:rPr>
                <w:rFonts w:hint="eastAsia" w:ascii="宋体" w:hAnsi="宋体" w:eastAsia="宋体" w:cs="宋体"/>
                <w:color w:val="auto"/>
                <w:szCs w:val="21"/>
                <w:highlight w:val="none"/>
              </w:rPr>
              <w:t>面</w:t>
            </w:r>
          </w:p>
        </w:tc>
      </w:tr>
    </w:tbl>
    <w:p w14:paraId="13573B37">
      <w:pPr>
        <w:pStyle w:val="29"/>
        <w:ind w:firstLine="210"/>
        <w:rPr>
          <w:rFonts w:hint="eastAsia" w:ascii="宋体" w:hAnsi="宋体" w:eastAsia="宋体" w:cs="宋体"/>
          <w:color w:val="auto"/>
          <w:szCs w:val="21"/>
          <w:highlight w:val="none"/>
        </w:rPr>
      </w:pPr>
    </w:p>
    <w:p w14:paraId="3281A069">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7441BB9E">
      <w:pPr>
        <w:rPr>
          <w:rFonts w:hint="eastAsia"/>
          <w:color w:val="auto"/>
        </w:rPr>
        <w:sectPr>
          <w:headerReference r:id="rId9" w:type="default"/>
          <w:footerReference r:id="rId10" w:type="default"/>
          <w:pgSz w:w="11905" w:h="16838"/>
          <w:pgMar w:top="1361" w:right="1587" w:bottom="1361" w:left="1587" w:header="510" w:footer="1020" w:gutter="0"/>
          <w:pgBorders>
            <w:top w:val="none" w:sz="0" w:space="0"/>
            <w:left w:val="none" w:sz="0" w:space="0"/>
            <w:bottom w:val="none" w:sz="0" w:space="0"/>
            <w:right w:val="none" w:sz="0" w:space="0"/>
          </w:pgBorders>
          <w:pgNumType w:fmt="decimal"/>
          <w:cols w:space="0" w:num="1"/>
          <w:rtlGutter w:val="0"/>
          <w:docGrid w:type="lines" w:linePitch="330" w:charSpace="0"/>
        </w:sectPr>
      </w:pPr>
    </w:p>
    <w:p w14:paraId="709CCAF7">
      <w:pPr>
        <w:rPr>
          <w:rFonts w:hint="eastAsia" w:ascii="宋体" w:hAnsi="宋体" w:eastAsia="宋体" w:cs="宋体"/>
          <w:bCs/>
          <w:color w:val="auto"/>
          <w:highlight w:val="none"/>
        </w:rPr>
      </w:pPr>
      <w:bookmarkStart w:id="44" w:name="_Toc17798"/>
      <w:bookmarkStart w:id="45" w:name="_Toc27912"/>
      <w:r>
        <w:rPr>
          <w:rFonts w:hint="eastAsia" w:ascii="宋体" w:hAnsi="宋体" w:eastAsia="宋体" w:cs="宋体"/>
          <w:bCs/>
          <w:color w:val="auto"/>
          <w:highlight w:val="none"/>
        </w:rPr>
        <w:t>附件</w:t>
      </w:r>
      <w:bookmarkEnd w:id="44"/>
      <w:bookmarkEnd w:id="45"/>
      <w:r>
        <w:rPr>
          <w:rFonts w:hint="eastAsia" w:ascii="宋体" w:hAnsi="宋体" w:cs="宋体"/>
          <w:bCs/>
          <w:color w:val="auto"/>
          <w:highlight w:val="none"/>
          <w:lang w:eastAsia="zh-CN"/>
        </w:rPr>
        <w:t>六</w:t>
      </w:r>
      <w:r>
        <w:rPr>
          <w:rFonts w:hint="eastAsia" w:ascii="宋体" w:hAnsi="宋体" w:eastAsia="宋体" w:cs="宋体"/>
          <w:bCs/>
          <w:color w:val="auto"/>
          <w:highlight w:val="none"/>
        </w:rPr>
        <w:t>：</w:t>
      </w:r>
    </w:p>
    <w:p w14:paraId="22E2729F">
      <w:pPr>
        <w:jc w:val="center"/>
        <w:rPr>
          <w:rStyle w:val="24"/>
          <w:rFonts w:hint="eastAsia" w:ascii="Times New Roman" w:hAnsi="Times New Roman" w:cs="Times New Roman"/>
          <w:color w:val="auto"/>
          <w:highlight w:val="none"/>
        </w:rPr>
      </w:pPr>
    </w:p>
    <w:p w14:paraId="3CCE5D91">
      <w:pPr>
        <w:jc w:val="center"/>
        <w:rPr>
          <w:rStyle w:val="24"/>
          <w:rFonts w:hint="eastAsia" w:ascii="Times New Roman" w:hAnsi="Times New Roman" w:cs="Times New Roman"/>
          <w:color w:val="auto"/>
          <w:highlight w:val="none"/>
        </w:rPr>
      </w:pPr>
      <w:bookmarkStart w:id="46" w:name="_Toc10093"/>
      <w:r>
        <w:rPr>
          <w:rFonts w:hint="eastAsia" w:ascii="宋体" w:hAnsi="宋体" w:eastAsia="宋体" w:cs="宋体"/>
          <w:b/>
          <w:bCs/>
          <w:color w:val="auto"/>
          <w:sz w:val="44"/>
          <w:szCs w:val="44"/>
          <w:highlight w:val="none"/>
        </w:rPr>
        <w:t>廉政承诺书</w:t>
      </w:r>
    </w:p>
    <w:bookmarkEnd w:id="46"/>
    <w:p w14:paraId="049564F3">
      <w:pPr>
        <w:keepNext w:val="0"/>
        <w:keepLines w:val="0"/>
        <w:pageBreakBefore w:val="0"/>
        <w:widowControl w:val="0"/>
        <w:kinsoku/>
        <w:wordWrap/>
        <w:overflowPunct/>
        <w:topLinePunct w:val="0"/>
        <w:autoSpaceDE/>
        <w:autoSpaceDN/>
        <w:bidi w:val="0"/>
        <w:adjustRightInd/>
        <w:snapToGrid/>
        <w:spacing w:line="480" w:lineRule="auto"/>
        <w:textAlignment w:val="auto"/>
        <w:rPr>
          <w:rStyle w:val="24"/>
          <w:rFonts w:hint="eastAsia" w:ascii="宋体" w:hAnsi="宋体" w:eastAsia="宋体" w:cs="宋体"/>
          <w:b w:val="0"/>
          <w:bCs w:val="0"/>
          <w:color w:val="auto"/>
          <w:sz w:val="24"/>
          <w:szCs w:val="24"/>
          <w:highlight w:val="none"/>
        </w:rPr>
      </w:pPr>
      <w:bookmarkStart w:id="47" w:name="_Toc26346"/>
      <w:r>
        <w:rPr>
          <w:rStyle w:val="24"/>
          <w:rFonts w:hint="eastAsia" w:ascii="宋体" w:hAnsi="宋体" w:cs="宋体"/>
          <w:b w:val="0"/>
          <w:bCs w:val="0"/>
          <w:color w:val="auto"/>
          <w:sz w:val="24"/>
          <w:szCs w:val="24"/>
          <w:highlight w:val="none"/>
          <w:u w:val="single"/>
          <w:lang w:eastAsia="zh-CN"/>
        </w:rPr>
        <w:t>天台县总工会</w:t>
      </w:r>
      <w:r>
        <w:rPr>
          <w:rStyle w:val="24"/>
          <w:rFonts w:hint="eastAsia" w:ascii="宋体" w:hAnsi="宋体" w:eastAsia="宋体" w:cs="宋体"/>
          <w:b w:val="0"/>
          <w:bCs w:val="0"/>
          <w:color w:val="auto"/>
          <w:sz w:val="24"/>
          <w:szCs w:val="24"/>
          <w:highlight w:val="none"/>
          <w:u w:val="single"/>
        </w:rPr>
        <w:t xml:space="preserve"> </w:t>
      </w:r>
      <w:r>
        <w:rPr>
          <w:rStyle w:val="24"/>
          <w:rFonts w:hint="eastAsia" w:ascii="宋体" w:hAnsi="宋体" w:eastAsia="宋体" w:cs="宋体"/>
          <w:b w:val="0"/>
          <w:bCs w:val="0"/>
          <w:color w:val="auto"/>
          <w:sz w:val="24"/>
          <w:szCs w:val="24"/>
          <w:highlight w:val="none"/>
        </w:rPr>
        <w:t>：</w:t>
      </w:r>
    </w:p>
    <w:bookmarkEnd w:id="47"/>
    <w:p w14:paraId="0F9A9D0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48" w:name="_Toc10742"/>
      <w:r>
        <w:rPr>
          <w:rStyle w:val="24"/>
          <w:rFonts w:hint="eastAsia" w:ascii="宋体" w:hAnsi="宋体" w:eastAsia="宋体" w:cs="宋体"/>
          <w:b w:val="0"/>
          <w:bCs w:val="0"/>
          <w:color w:val="auto"/>
          <w:sz w:val="24"/>
          <w:szCs w:val="24"/>
          <w:highlight w:val="none"/>
        </w:rPr>
        <w:t>根据《财政部关于进一步加强财政部门和预算单位资金存放管理的指导意见》（财库〔2017〕76号）、《天台县人民政府办公室关于印发天台县行政事业单位公款竞争性存放管理办法的通知》（天政办发〔20</w:t>
      </w:r>
      <w:r>
        <w:rPr>
          <w:rStyle w:val="24"/>
          <w:rFonts w:hint="eastAsia" w:ascii="宋体" w:hAnsi="宋体" w:cs="宋体"/>
          <w:b w:val="0"/>
          <w:bCs w:val="0"/>
          <w:color w:val="auto"/>
          <w:sz w:val="24"/>
          <w:szCs w:val="24"/>
          <w:highlight w:val="none"/>
          <w:lang w:val="en-US" w:eastAsia="zh-CN"/>
        </w:rPr>
        <w:t>22</w:t>
      </w:r>
      <w:r>
        <w:rPr>
          <w:rStyle w:val="24"/>
          <w:rFonts w:hint="eastAsia" w:ascii="宋体" w:hAnsi="宋体" w:eastAsia="宋体" w:cs="宋体"/>
          <w:b w:val="0"/>
          <w:bCs w:val="0"/>
          <w:color w:val="auto"/>
          <w:sz w:val="24"/>
          <w:szCs w:val="24"/>
          <w:highlight w:val="none"/>
        </w:rPr>
        <w:t>〕23号）相关规定，现就本行参加贵单位</w:t>
      </w:r>
      <w:r>
        <w:rPr>
          <w:rStyle w:val="24"/>
          <w:rFonts w:hint="eastAsia" w:ascii="宋体" w:hAnsi="宋体" w:cs="宋体"/>
          <w:b w:val="0"/>
          <w:bCs w:val="0"/>
          <w:color w:val="auto"/>
          <w:sz w:val="24"/>
          <w:szCs w:val="24"/>
          <w:highlight w:val="none"/>
          <w:lang w:eastAsia="zh-CN"/>
        </w:rPr>
        <w:t>的</w:t>
      </w:r>
      <w:bookmarkEnd w:id="48"/>
      <w:r>
        <w:rPr>
          <w:rFonts w:hint="eastAsia" w:ascii="宋体" w:hAnsi="宋体" w:cs="宋体"/>
          <w:color w:val="auto"/>
          <w:sz w:val="24"/>
          <w:szCs w:val="24"/>
          <w:highlight w:val="none"/>
          <w:u w:val="single"/>
          <w:lang w:eastAsia="zh-CN"/>
        </w:rPr>
        <w:t>天台县总工会2024年公款竞争性存放项目（第二次）</w:t>
      </w:r>
      <w:r>
        <w:rPr>
          <w:rStyle w:val="24"/>
          <w:rFonts w:hint="eastAsia" w:ascii="宋体" w:hAnsi="宋体" w:eastAsia="宋体" w:cs="宋体"/>
          <w:b w:val="0"/>
          <w:bCs w:val="0"/>
          <w:color w:val="auto"/>
          <w:sz w:val="24"/>
          <w:szCs w:val="24"/>
          <w:highlight w:val="none"/>
        </w:rPr>
        <w:t>作出如下承诺：</w:t>
      </w:r>
    </w:p>
    <w:p w14:paraId="494D772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49" w:name="_Toc27005"/>
      <w:r>
        <w:rPr>
          <w:rStyle w:val="24"/>
          <w:rFonts w:hint="eastAsia" w:ascii="宋体" w:hAnsi="宋体" w:eastAsia="宋体" w:cs="宋体"/>
          <w:b w:val="0"/>
          <w:bCs w:val="0"/>
          <w:color w:val="auto"/>
          <w:sz w:val="24"/>
          <w:szCs w:val="24"/>
          <w:highlight w:val="none"/>
          <w:lang w:val="en-US" w:eastAsia="zh-CN"/>
        </w:rPr>
        <w:t>1、</w:t>
      </w:r>
      <w:r>
        <w:rPr>
          <w:rStyle w:val="24"/>
          <w:rFonts w:hint="eastAsia" w:ascii="宋体" w:hAnsi="宋体" w:eastAsia="宋体" w:cs="宋体"/>
          <w:b w:val="0"/>
          <w:bCs w:val="0"/>
          <w:color w:val="auto"/>
          <w:sz w:val="24"/>
          <w:szCs w:val="24"/>
          <w:highlight w:val="none"/>
        </w:rPr>
        <w:t>不向贵单位负责公款存放管理的领导及相关人员进行利益输送；</w:t>
      </w:r>
    </w:p>
    <w:bookmarkEnd w:id="49"/>
    <w:p w14:paraId="38601D9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50" w:name="_Toc10582"/>
      <w:r>
        <w:rPr>
          <w:rStyle w:val="24"/>
          <w:rFonts w:hint="eastAsia" w:ascii="宋体" w:hAnsi="宋体" w:eastAsia="宋体" w:cs="宋体"/>
          <w:b w:val="0"/>
          <w:bCs w:val="0"/>
          <w:color w:val="auto"/>
          <w:sz w:val="24"/>
          <w:szCs w:val="24"/>
          <w:highlight w:val="none"/>
          <w:lang w:val="en-US" w:eastAsia="zh-CN"/>
        </w:rPr>
        <w:t>2、</w:t>
      </w:r>
      <w:r>
        <w:rPr>
          <w:rStyle w:val="24"/>
          <w:rFonts w:hint="eastAsia" w:ascii="宋体" w:hAnsi="宋体" w:eastAsia="宋体" w:cs="宋体"/>
          <w:b w:val="0"/>
          <w:bCs w:val="0"/>
          <w:color w:val="auto"/>
          <w:sz w:val="24"/>
          <w:szCs w:val="24"/>
          <w:highlight w:val="none"/>
        </w:rPr>
        <w:t>不将公款存放与贵单位负责公款存放管理的领导及相关人员在本行的配偶、子女及其配偶和其他直接利益相关人员的业绩、收入、晋升等利益挂钩；</w:t>
      </w:r>
    </w:p>
    <w:bookmarkEnd w:id="50"/>
    <w:p w14:paraId="4156FBC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51" w:name="_Toc25906"/>
      <w:r>
        <w:rPr>
          <w:rStyle w:val="24"/>
          <w:rFonts w:hint="eastAsia" w:ascii="宋体" w:hAnsi="宋体" w:eastAsia="宋体" w:cs="宋体"/>
          <w:b w:val="0"/>
          <w:bCs w:val="0"/>
          <w:color w:val="auto"/>
          <w:sz w:val="24"/>
          <w:szCs w:val="24"/>
          <w:highlight w:val="none"/>
          <w:lang w:val="en-US" w:eastAsia="zh-CN"/>
        </w:rPr>
        <w:t>3、</w:t>
      </w:r>
      <w:r>
        <w:rPr>
          <w:rStyle w:val="24"/>
          <w:rFonts w:hint="eastAsia" w:ascii="宋体" w:hAnsi="宋体" w:eastAsia="宋体" w:cs="宋体"/>
          <w:b w:val="0"/>
          <w:bCs w:val="0"/>
          <w:color w:val="auto"/>
          <w:sz w:val="24"/>
          <w:szCs w:val="24"/>
          <w:highlight w:val="none"/>
        </w:rPr>
        <w:t>严格执行利益回避制度，贵单位负责公款竞争性存放相关人员的配偶、子女及其配偶和其他直接利益相关人员为本行工作人员的，不参与公款竞争性存放工作；</w:t>
      </w:r>
    </w:p>
    <w:bookmarkEnd w:id="51"/>
    <w:p w14:paraId="369B06A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52" w:name="_Toc7003"/>
      <w:r>
        <w:rPr>
          <w:rStyle w:val="24"/>
          <w:rFonts w:hint="eastAsia" w:ascii="宋体" w:hAnsi="宋体" w:eastAsia="宋体" w:cs="宋体"/>
          <w:b w:val="0"/>
          <w:bCs w:val="0"/>
          <w:color w:val="auto"/>
          <w:sz w:val="24"/>
          <w:szCs w:val="24"/>
          <w:highlight w:val="none"/>
          <w:lang w:val="en-US" w:eastAsia="zh-CN"/>
        </w:rPr>
        <w:t>4、</w:t>
      </w:r>
      <w:r>
        <w:rPr>
          <w:rStyle w:val="24"/>
          <w:rFonts w:hint="eastAsia" w:ascii="宋体" w:hAnsi="宋体" w:eastAsia="宋体" w:cs="宋体"/>
          <w:b w:val="0"/>
          <w:bCs w:val="0"/>
          <w:color w:val="auto"/>
          <w:sz w:val="24"/>
          <w:szCs w:val="24"/>
          <w:highlight w:val="none"/>
        </w:rPr>
        <w:t>不发生除上述行为之外的其他任何利益输送行为。</w:t>
      </w:r>
    </w:p>
    <w:bookmarkEnd w:id="52"/>
    <w:p w14:paraId="6B76F2C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53" w:name="_Toc26582"/>
      <w:r>
        <w:rPr>
          <w:rStyle w:val="24"/>
          <w:rFonts w:hint="eastAsia" w:ascii="宋体" w:hAnsi="宋体" w:eastAsia="宋体" w:cs="宋体"/>
          <w:b w:val="0"/>
          <w:bCs w:val="0"/>
          <w:color w:val="auto"/>
          <w:sz w:val="24"/>
          <w:szCs w:val="24"/>
          <w:highlight w:val="none"/>
        </w:rPr>
        <w:t>未遵守以上承诺的，本行自愿接受财政部门通报和处理，承担相应的一切后果。</w:t>
      </w:r>
    </w:p>
    <w:bookmarkEnd w:id="53"/>
    <w:p w14:paraId="40A48FA6">
      <w:pPr>
        <w:pStyle w:val="8"/>
        <w:rPr>
          <w:rStyle w:val="24"/>
          <w:rFonts w:hint="eastAsia" w:ascii="宋体" w:hAnsi="宋体" w:eastAsia="宋体" w:cs="宋体"/>
          <w:b w:val="0"/>
          <w:bCs w:val="0"/>
          <w:color w:val="auto"/>
          <w:sz w:val="24"/>
          <w:szCs w:val="24"/>
          <w:highlight w:val="none"/>
        </w:rPr>
      </w:pPr>
    </w:p>
    <w:p w14:paraId="2F7AA773">
      <w:pPr>
        <w:pStyle w:val="9"/>
        <w:rPr>
          <w:rFonts w:hint="eastAsia"/>
          <w:color w:val="auto"/>
          <w:sz w:val="36"/>
          <w:szCs w:val="28"/>
          <w:highlight w:val="none"/>
        </w:rPr>
      </w:pPr>
    </w:p>
    <w:p w14:paraId="2AC8AE7B">
      <w:pPr>
        <w:keepNext w:val="0"/>
        <w:keepLines w:val="0"/>
        <w:pageBreakBefore w:val="0"/>
        <w:widowControl w:val="0"/>
        <w:kinsoku/>
        <w:wordWrap/>
        <w:overflowPunct/>
        <w:topLinePunct w:val="0"/>
        <w:autoSpaceDE/>
        <w:autoSpaceDN/>
        <w:bidi w:val="0"/>
        <w:adjustRightInd/>
        <w:snapToGrid/>
        <w:spacing w:line="480" w:lineRule="auto"/>
        <w:ind w:firstLine="420"/>
        <w:jc w:val="right"/>
        <w:textAlignment w:val="auto"/>
        <w:rPr>
          <w:rStyle w:val="24"/>
          <w:rFonts w:hint="eastAsia" w:ascii="宋体" w:hAnsi="宋体" w:eastAsia="宋体" w:cs="宋体"/>
          <w:b w:val="0"/>
          <w:bCs w:val="0"/>
          <w:color w:val="auto"/>
          <w:sz w:val="24"/>
          <w:szCs w:val="24"/>
          <w:highlight w:val="none"/>
          <w:lang w:val="en-US" w:eastAsia="zh-CN"/>
        </w:rPr>
      </w:pPr>
      <w:r>
        <w:rPr>
          <w:rStyle w:val="24"/>
          <w:rFonts w:hint="eastAsia" w:ascii="宋体" w:hAnsi="宋体" w:eastAsia="宋体" w:cs="宋体"/>
          <w:b w:val="0"/>
          <w:bCs w:val="0"/>
          <w:color w:val="auto"/>
          <w:sz w:val="24"/>
          <w:szCs w:val="24"/>
          <w:highlight w:val="none"/>
          <w:u w:val="single"/>
          <w:lang w:val="en-US" w:eastAsia="zh-CN"/>
        </w:rPr>
        <w:t xml:space="preserve">   </w:t>
      </w:r>
      <w:r>
        <w:rPr>
          <w:rStyle w:val="24"/>
          <w:rFonts w:hint="eastAsia" w:ascii="宋体" w:hAnsi="宋体" w:cs="宋体"/>
          <w:b w:val="0"/>
          <w:bCs w:val="0"/>
          <w:color w:val="auto"/>
          <w:sz w:val="24"/>
          <w:szCs w:val="24"/>
          <w:highlight w:val="none"/>
          <w:u w:val="single"/>
          <w:lang w:val="en-US" w:eastAsia="zh-CN"/>
        </w:rPr>
        <w:t xml:space="preserve">       </w:t>
      </w:r>
      <w:r>
        <w:rPr>
          <w:rStyle w:val="24"/>
          <w:rFonts w:hint="eastAsia" w:ascii="宋体" w:hAnsi="宋体" w:eastAsia="宋体" w:cs="宋体"/>
          <w:b w:val="0"/>
          <w:bCs w:val="0"/>
          <w:color w:val="auto"/>
          <w:sz w:val="24"/>
          <w:szCs w:val="24"/>
          <w:highlight w:val="none"/>
          <w:u w:val="single"/>
          <w:lang w:val="en-US" w:eastAsia="zh-CN"/>
        </w:rPr>
        <w:t xml:space="preserve"> </w:t>
      </w:r>
      <w:bookmarkStart w:id="54" w:name="_Toc28909"/>
      <w:r>
        <w:rPr>
          <w:rStyle w:val="24"/>
          <w:rFonts w:hint="eastAsia" w:ascii="宋体" w:hAnsi="宋体" w:eastAsia="宋体" w:cs="宋体"/>
          <w:b w:val="0"/>
          <w:bCs w:val="0"/>
          <w:color w:val="auto"/>
          <w:sz w:val="24"/>
          <w:szCs w:val="24"/>
          <w:highlight w:val="none"/>
          <w:lang w:val="en-US" w:eastAsia="zh-CN"/>
        </w:rPr>
        <w:t>银行（公章）</w:t>
      </w:r>
    </w:p>
    <w:bookmarkEnd w:id="54"/>
    <w:p w14:paraId="00ED7144">
      <w:pPr>
        <w:keepNext w:val="0"/>
        <w:keepLines w:val="0"/>
        <w:pageBreakBefore w:val="0"/>
        <w:widowControl w:val="0"/>
        <w:kinsoku/>
        <w:wordWrap/>
        <w:overflowPunct/>
        <w:topLinePunct w:val="0"/>
        <w:autoSpaceDE/>
        <w:autoSpaceDN/>
        <w:bidi w:val="0"/>
        <w:adjustRightInd/>
        <w:snapToGrid/>
        <w:spacing w:line="480" w:lineRule="auto"/>
        <w:ind w:firstLine="1680" w:firstLineChars="700"/>
        <w:jc w:val="right"/>
        <w:textAlignment w:val="auto"/>
        <w:rPr>
          <w:rStyle w:val="24"/>
          <w:rFonts w:hint="eastAsia" w:ascii="宋体" w:hAnsi="宋体" w:eastAsia="宋体" w:cs="宋体"/>
          <w:b w:val="0"/>
          <w:bCs w:val="0"/>
          <w:color w:val="auto"/>
          <w:sz w:val="24"/>
          <w:szCs w:val="24"/>
          <w:highlight w:val="none"/>
          <w:lang w:val="en-US" w:eastAsia="zh-CN"/>
        </w:rPr>
      </w:pPr>
      <w:bookmarkStart w:id="55" w:name="_Toc6080"/>
      <w:r>
        <w:rPr>
          <w:rStyle w:val="24"/>
          <w:rFonts w:hint="eastAsia" w:ascii="宋体" w:hAnsi="宋体" w:eastAsia="宋体" w:cs="宋体"/>
          <w:b w:val="0"/>
          <w:bCs w:val="0"/>
          <w:color w:val="auto"/>
          <w:sz w:val="24"/>
          <w:szCs w:val="24"/>
          <w:highlight w:val="none"/>
          <w:lang w:val="en-US" w:eastAsia="zh-CN"/>
        </w:rPr>
        <w:t xml:space="preserve">年  </w:t>
      </w:r>
      <w:r>
        <w:rPr>
          <w:rStyle w:val="24"/>
          <w:rFonts w:hint="eastAsia" w:ascii="宋体" w:hAnsi="宋体" w:cs="宋体"/>
          <w:b w:val="0"/>
          <w:bCs w:val="0"/>
          <w:color w:val="auto"/>
          <w:sz w:val="24"/>
          <w:szCs w:val="24"/>
          <w:highlight w:val="none"/>
          <w:lang w:val="en-US" w:eastAsia="zh-CN"/>
        </w:rPr>
        <w:t xml:space="preserve">   </w:t>
      </w:r>
      <w:r>
        <w:rPr>
          <w:rStyle w:val="24"/>
          <w:rFonts w:hint="eastAsia" w:ascii="宋体" w:hAnsi="宋体" w:eastAsia="宋体" w:cs="宋体"/>
          <w:b w:val="0"/>
          <w:bCs w:val="0"/>
          <w:color w:val="auto"/>
          <w:sz w:val="24"/>
          <w:szCs w:val="24"/>
          <w:highlight w:val="none"/>
          <w:lang w:val="en-US" w:eastAsia="zh-CN"/>
        </w:rPr>
        <w:t>月</w:t>
      </w:r>
      <w:r>
        <w:rPr>
          <w:rStyle w:val="24"/>
          <w:rFonts w:hint="eastAsia" w:ascii="宋体" w:hAnsi="宋体" w:cs="宋体"/>
          <w:b w:val="0"/>
          <w:bCs w:val="0"/>
          <w:color w:val="auto"/>
          <w:sz w:val="24"/>
          <w:szCs w:val="24"/>
          <w:highlight w:val="none"/>
          <w:lang w:val="en-US" w:eastAsia="zh-CN"/>
        </w:rPr>
        <w:t xml:space="preserve">   </w:t>
      </w:r>
      <w:r>
        <w:rPr>
          <w:rStyle w:val="24"/>
          <w:rFonts w:hint="eastAsia" w:ascii="宋体" w:hAnsi="宋体" w:eastAsia="宋体" w:cs="宋体"/>
          <w:b w:val="0"/>
          <w:bCs w:val="0"/>
          <w:color w:val="auto"/>
          <w:sz w:val="24"/>
          <w:szCs w:val="24"/>
          <w:highlight w:val="none"/>
          <w:lang w:val="en-US" w:eastAsia="zh-CN"/>
        </w:rPr>
        <w:t xml:space="preserve">  日</w:t>
      </w:r>
    </w:p>
    <w:bookmarkEnd w:id="55"/>
    <w:p w14:paraId="19D9539E">
      <w:pPr>
        <w:rPr>
          <w:rFonts w:hint="eastAsia"/>
          <w:color w:val="auto"/>
          <w:highlight w:val="none"/>
        </w:rPr>
      </w:pPr>
    </w:p>
    <w:sectPr>
      <w:pgSz w:w="11905" w:h="16838"/>
      <w:pgMar w:top="1361" w:right="1587" w:bottom="1361" w:left="1587" w:header="510" w:footer="1020" w:gutter="0"/>
      <w:pgBorders>
        <w:top w:val="none" w:sz="0" w:space="0"/>
        <w:left w:val="none" w:sz="0" w:space="0"/>
        <w:bottom w:val="none" w:sz="0" w:space="0"/>
        <w:right w:val="none" w:sz="0" w:space="0"/>
      </w:pgBorders>
      <w:pgNumType w:fmt="decimal"/>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ACB6">
    <w:pPr>
      <w:pStyle w:val="13"/>
      <w:spacing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7806A">
    <w:pPr>
      <w:pStyle w:val="13"/>
      <w:spacing w:after="12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0F882E">
                          <w:pPr>
                            <w:pStyle w:val="13"/>
                            <w:spacing w:after="120"/>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7B0F882E">
                    <w:pPr>
                      <w:pStyle w:val="13"/>
                      <w:spacing w:after="120"/>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F330">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F5792D">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K6kNNIBAACeAwAADgAAAAAAAAABACAAAAAfAQAA&#10;ZHJzL2Uyb0RvYy54bWxQSwUGAAAAAAYABgBZAQAAYwUAAAAA&#10;">
              <v:fill on="f" focussize="0,0"/>
              <v:stroke on="f"/>
              <v:imagedata o:title=""/>
              <o:lock v:ext="edit" aspectratio="f"/>
              <v:textbox inset="0mm,0mm,0mm,0mm" style="mso-fit-shape-to-text:t;">
                <w:txbxContent>
                  <w:p w14:paraId="57F5792D">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8E0D">
    <w:pPr>
      <w:pStyle w:val="13"/>
      <w:spacing w:after="12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4BA45A8">
                          <w:pPr>
                            <w:pStyle w:val="13"/>
                            <w:spacing w:after="120"/>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KXDXQAQAAngMAAA4AAABkcnMvZTJvRG9jLnhtbK1TzY7TMBC+I/EO&#10;lu80aYV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QKXDXQAQAAngMAAA4AAAAAAAAAAQAgAAAAHwEAAGRy&#10;cy9lMm9Eb2MueG1sUEsFBgAAAAAGAAYAWQEAAGEFAAAAAA==&#10;">
              <v:fill on="f" focussize="0,0"/>
              <v:stroke on="f"/>
              <v:imagedata o:title=""/>
              <o:lock v:ext="edit" aspectratio="f"/>
              <v:textbox inset="0mm,0mm,0mm,0mm" style="mso-fit-shape-to-text:t;">
                <w:txbxContent>
                  <w:p w14:paraId="44BA45A8">
                    <w:pPr>
                      <w:pStyle w:val="13"/>
                      <w:spacing w:after="120"/>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834C">
    <w:pPr>
      <w:pStyle w:val="13"/>
      <w:spacing w:after="12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9B5D45">
                          <w:pPr>
                            <w:pStyle w:val="13"/>
                            <w:spacing w:after="120"/>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2SdjLSAQAAn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WKMycsvfnl54/Lrz+X&#10;39/Zm+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ZJ2MtIBAACeAwAADgAAAAAAAAABACAAAAAfAQAA&#10;ZHJzL2Uyb0RvYy54bWxQSwUGAAAAAAYABgBZAQAAYwUAAAAA&#10;">
              <v:fill on="f" focussize="0,0"/>
              <v:stroke on="f"/>
              <v:imagedata o:title=""/>
              <o:lock v:ext="edit" aspectratio="f"/>
              <v:textbox inset="0mm,0mm,0mm,0mm" style="mso-fit-shape-to-text:t;">
                <w:txbxContent>
                  <w:p w14:paraId="059B5D45">
                    <w:pPr>
                      <w:pStyle w:val="13"/>
                      <w:spacing w:after="120"/>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E628">
    <w:pPr>
      <w:pStyle w:val="14"/>
      <w:pBdr>
        <w:bottom w:val="single" w:color="auto" w:sz="4" w:space="1"/>
      </w:pBdr>
      <w:tabs>
        <w:tab w:val="left" w:pos="7079"/>
      </w:tabs>
      <w:jc w:val="left"/>
      <w:rPr>
        <w:rFonts w:hint="eastAsia"/>
        <w:sz w:val="16"/>
        <w:szCs w:val="16"/>
        <w:lang w:eastAsia="zh-CN"/>
      </w:rPr>
    </w:pPr>
    <w:r>
      <w:drawing>
        <wp:inline distT="0" distB="0" distL="0" distR="0">
          <wp:extent cx="942975" cy="272415"/>
          <wp:effectExtent l="0" t="0" r="9525" b="13334"/>
          <wp:docPr id="4097" name="图片 1" descr="公司LOGO"/>
          <wp:cNvGraphicFramePr/>
          <a:graphic xmlns:a="http://schemas.openxmlformats.org/drawingml/2006/main">
            <a:graphicData uri="http://schemas.openxmlformats.org/drawingml/2006/picture">
              <pic:pic xmlns:pic="http://schemas.openxmlformats.org/drawingml/2006/picture">
                <pic:nvPicPr>
                  <pic:cNvPr id="4097" name="图片 1" descr="公司LOGO"/>
                  <pic:cNvPicPr/>
                </pic:nvPicPr>
                <pic:blipFill>
                  <a:blip r:embed="rId1" cstate="print"/>
                  <a:srcRect/>
                  <a:stretch>
                    <a:fillRect/>
                  </a:stretch>
                </pic:blipFill>
                <pic:spPr>
                  <a:xfrm>
                    <a:off x="0" y="0"/>
                    <a:ext cx="942975" cy="272415"/>
                  </a:xfrm>
                  <a:prstGeom prst="rect">
                    <a:avLst/>
                  </a:prstGeom>
                  <a:ln>
                    <a:noFill/>
                  </a:ln>
                </pic:spPr>
              </pic:pic>
            </a:graphicData>
          </a:graphic>
        </wp:inline>
      </w:drawing>
    </w:r>
    <w:r>
      <w:rPr>
        <w:rFonts w:hint="eastAsia"/>
        <w:lang w:val="en-US" w:eastAsia="zh-CN"/>
      </w:rPr>
      <w:t xml:space="preserve">                                 </w:t>
    </w:r>
    <w:r>
      <w:rPr>
        <w:rFonts w:hint="eastAsia" w:ascii="宋体" w:hAnsi="宋体" w:cs="宋体"/>
        <w:spacing w:val="0"/>
        <w:sz w:val="18"/>
        <w:szCs w:val="18"/>
        <w:lang w:eastAsia="zh-CN"/>
      </w:rPr>
      <w:t>天台县总工会2024年公款竞争性存放项目（第二次）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7731">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4E11">
    <w:pPr>
      <w:pStyle w:val="14"/>
      <w:jc w:val="both"/>
      <w:rPr>
        <w:rFonts w:hint="eastAsia"/>
        <w:sz w:val="16"/>
        <w:szCs w:val="16"/>
        <w:lang w:eastAsia="zh-CN"/>
      </w:rPr>
    </w:pPr>
    <w:r>
      <w:drawing>
        <wp:inline distT="0" distB="0" distL="0" distR="0">
          <wp:extent cx="867410" cy="232410"/>
          <wp:effectExtent l="0" t="0" r="8890" b="15240"/>
          <wp:docPr id="4101" name="图片 2" descr="公司LOGO"/>
          <wp:cNvGraphicFramePr/>
          <a:graphic xmlns:a="http://schemas.openxmlformats.org/drawingml/2006/main">
            <a:graphicData uri="http://schemas.openxmlformats.org/drawingml/2006/picture">
              <pic:pic xmlns:pic="http://schemas.openxmlformats.org/drawingml/2006/picture">
                <pic:nvPicPr>
                  <pic:cNvPr id="4101" name="图片 2" descr="公司LOGO"/>
                  <pic:cNvPicPr/>
                </pic:nvPicPr>
                <pic:blipFill>
                  <a:blip r:embed="rId1" cstate="print"/>
                  <a:srcRect/>
                  <a:stretch>
                    <a:fillRect/>
                  </a:stretch>
                </pic:blipFill>
                <pic:spPr>
                  <a:xfrm>
                    <a:off x="0" y="0"/>
                    <a:ext cx="867410" cy="232410"/>
                  </a:xfrm>
                  <a:prstGeom prst="rect">
                    <a:avLst/>
                  </a:prstGeom>
                  <a:ln>
                    <a:noFill/>
                  </a:ln>
                </pic:spPr>
              </pic:pic>
            </a:graphicData>
          </a:graphic>
        </wp:inline>
      </w:drawing>
    </w:r>
    <w:r>
      <w:rPr>
        <w:rFonts w:hint="eastAsia"/>
        <w:lang w:val="en-US" w:eastAsia="zh-CN"/>
      </w:rPr>
      <w:t xml:space="preserve">                                                </w:t>
    </w:r>
    <w:r>
      <w:rPr>
        <w:rFonts w:hint="eastAsia" w:ascii="宋体" w:hAnsi="宋体" w:cs="仿宋"/>
        <w:sz w:val="18"/>
        <w:szCs w:val="22"/>
        <w:lang w:eastAsia="zh-CN"/>
      </w:rPr>
      <w:t>天台县总工会2024年公款竞争性存放项目（第二次）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pStyle w:val="6"/>
      <w:lvlText w:val="%1."/>
      <w:lvlJc w:val="left"/>
      <w:pPr>
        <w:tabs>
          <w:tab w:val="left" w:pos="360"/>
        </w:tabs>
        <w:ind w:left="128" w:hanging="360"/>
      </w:p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2"/>
      <w:numFmt w:val="chineseCounting"/>
      <w:suff w:val="nothing"/>
      <w:lvlText w:val="%1、"/>
      <w:lvlJc w:val="left"/>
      <w:rPr>
        <w:rFonts w:hint="eastAsia"/>
      </w:rPr>
    </w:lvl>
  </w:abstractNum>
  <w:abstractNum w:abstractNumId="4">
    <w:nsid w:val="794AA38E"/>
    <w:multiLevelType w:val="singleLevel"/>
    <w:tmpl w:val="794AA38E"/>
    <w:lvl w:ilvl="0" w:tentative="0">
      <w:start w:val="3"/>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4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2Q0ZmIzZDI1MmM5YzJlYTliYzY2MjBhMGU3ZDYifQ=="/>
  </w:docVars>
  <w:rsids>
    <w:rsidRoot w:val="00000000"/>
    <w:rsid w:val="005673A7"/>
    <w:rsid w:val="01F01F8D"/>
    <w:rsid w:val="02C40969"/>
    <w:rsid w:val="03165668"/>
    <w:rsid w:val="03B731E0"/>
    <w:rsid w:val="04814D63"/>
    <w:rsid w:val="065D35AE"/>
    <w:rsid w:val="06712BB6"/>
    <w:rsid w:val="072E0AA7"/>
    <w:rsid w:val="073A6BF5"/>
    <w:rsid w:val="08C96CD9"/>
    <w:rsid w:val="0A8C6210"/>
    <w:rsid w:val="0AB614DF"/>
    <w:rsid w:val="0BC17E1D"/>
    <w:rsid w:val="0C1D53EF"/>
    <w:rsid w:val="0CA32F90"/>
    <w:rsid w:val="0CEB3524"/>
    <w:rsid w:val="0D151DF7"/>
    <w:rsid w:val="0F2E7001"/>
    <w:rsid w:val="0FED3E23"/>
    <w:rsid w:val="111D5E14"/>
    <w:rsid w:val="12B851EB"/>
    <w:rsid w:val="1356560D"/>
    <w:rsid w:val="13D36C5E"/>
    <w:rsid w:val="13E14176"/>
    <w:rsid w:val="15915022"/>
    <w:rsid w:val="15A703A2"/>
    <w:rsid w:val="16B229FD"/>
    <w:rsid w:val="1A0D19E3"/>
    <w:rsid w:val="1ABB12CC"/>
    <w:rsid w:val="1C827473"/>
    <w:rsid w:val="1D1A3B4F"/>
    <w:rsid w:val="1D5C1A72"/>
    <w:rsid w:val="1DC400D0"/>
    <w:rsid w:val="1E706541"/>
    <w:rsid w:val="1FB738D7"/>
    <w:rsid w:val="1FBF1E16"/>
    <w:rsid w:val="212C60E2"/>
    <w:rsid w:val="214967B1"/>
    <w:rsid w:val="21B31E7D"/>
    <w:rsid w:val="21E93AF0"/>
    <w:rsid w:val="23BA5744"/>
    <w:rsid w:val="241C477A"/>
    <w:rsid w:val="24E72569"/>
    <w:rsid w:val="2561056D"/>
    <w:rsid w:val="257F27A2"/>
    <w:rsid w:val="28AD3ACA"/>
    <w:rsid w:val="29A37085"/>
    <w:rsid w:val="2A120AC3"/>
    <w:rsid w:val="2B231E21"/>
    <w:rsid w:val="2D1664CA"/>
    <w:rsid w:val="2FAC28ED"/>
    <w:rsid w:val="2FCE4C63"/>
    <w:rsid w:val="30E81B43"/>
    <w:rsid w:val="315E64D9"/>
    <w:rsid w:val="320C1861"/>
    <w:rsid w:val="337E3C46"/>
    <w:rsid w:val="33F26834"/>
    <w:rsid w:val="34367069"/>
    <w:rsid w:val="345D45F6"/>
    <w:rsid w:val="34727975"/>
    <w:rsid w:val="353F1F4D"/>
    <w:rsid w:val="367E2601"/>
    <w:rsid w:val="36852CE8"/>
    <w:rsid w:val="369342FF"/>
    <w:rsid w:val="379F6CD3"/>
    <w:rsid w:val="38B36943"/>
    <w:rsid w:val="391B682D"/>
    <w:rsid w:val="3A6C5593"/>
    <w:rsid w:val="3CA675E5"/>
    <w:rsid w:val="3CF96E86"/>
    <w:rsid w:val="3DAC3EF8"/>
    <w:rsid w:val="3E18158D"/>
    <w:rsid w:val="3ECA0ADA"/>
    <w:rsid w:val="3F6F1681"/>
    <w:rsid w:val="3FE45BCB"/>
    <w:rsid w:val="40011957"/>
    <w:rsid w:val="421D3616"/>
    <w:rsid w:val="422E75D1"/>
    <w:rsid w:val="4249440B"/>
    <w:rsid w:val="429A0819"/>
    <w:rsid w:val="43302ED5"/>
    <w:rsid w:val="435117C9"/>
    <w:rsid w:val="43D22554"/>
    <w:rsid w:val="45621944"/>
    <w:rsid w:val="468772B0"/>
    <w:rsid w:val="471D709E"/>
    <w:rsid w:val="49FF7D34"/>
    <w:rsid w:val="4BB943B0"/>
    <w:rsid w:val="4C0C747B"/>
    <w:rsid w:val="4C4A325A"/>
    <w:rsid w:val="4D502AF2"/>
    <w:rsid w:val="4D777E52"/>
    <w:rsid w:val="4E027F59"/>
    <w:rsid w:val="4E1F6361"/>
    <w:rsid w:val="4E367A46"/>
    <w:rsid w:val="4E3B5389"/>
    <w:rsid w:val="4E54216E"/>
    <w:rsid w:val="4F8E7901"/>
    <w:rsid w:val="50616DC4"/>
    <w:rsid w:val="514F6D09"/>
    <w:rsid w:val="522400A9"/>
    <w:rsid w:val="52383B54"/>
    <w:rsid w:val="5238521D"/>
    <w:rsid w:val="52BA0EFB"/>
    <w:rsid w:val="537D3F15"/>
    <w:rsid w:val="53C566E4"/>
    <w:rsid w:val="54A03898"/>
    <w:rsid w:val="54FC5926"/>
    <w:rsid w:val="55050666"/>
    <w:rsid w:val="564725B8"/>
    <w:rsid w:val="56582A17"/>
    <w:rsid w:val="57886964"/>
    <w:rsid w:val="59D24F7D"/>
    <w:rsid w:val="59F737F9"/>
    <w:rsid w:val="5AC02939"/>
    <w:rsid w:val="5AF95A53"/>
    <w:rsid w:val="5B461090"/>
    <w:rsid w:val="5C08111D"/>
    <w:rsid w:val="5C8400C2"/>
    <w:rsid w:val="5DCD7847"/>
    <w:rsid w:val="5EC32668"/>
    <w:rsid w:val="5EFA466C"/>
    <w:rsid w:val="5F3959A0"/>
    <w:rsid w:val="5F3C2ED6"/>
    <w:rsid w:val="608A7C71"/>
    <w:rsid w:val="608B2E38"/>
    <w:rsid w:val="61135EB8"/>
    <w:rsid w:val="612E2CF2"/>
    <w:rsid w:val="61450556"/>
    <w:rsid w:val="6280757E"/>
    <w:rsid w:val="63247F09"/>
    <w:rsid w:val="63AE1EC8"/>
    <w:rsid w:val="63E92F01"/>
    <w:rsid w:val="648B3E59"/>
    <w:rsid w:val="651F307E"/>
    <w:rsid w:val="65B8702E"/>
    <w:rsid w:val="65D06126"/>
    <w:rsid w:val="660D145B"/>
    <w:rsid w:val="6885769C"/>
    <w:rsid w:val="69F76313"/>
    <w:rsid w:val="6A484E25"/>
    <w:rsid w:val="6ABB04E2"/>
    <w:rsid w:val="6C5F1FB2"/>
    <w:rsid w:val="6C64581A"/>
    <w:rsid w:val="6C8D2FC3"/>
    <w:rsid w:val="6CC24F80"/>
    <w:rsid w:val="6E1D3ED3"/>
    <w:rsid w:val="6E3F209B"/>
    <w:rsid w:val="6E5B1E0B"/>
    <w:rsid w:val="6E693F03"/>
    <w:rsid w:val="6EF47329"/>
    <w:rsid w:val="72E72D01"/>
    <w:rsid w:val="73FA1F39"/>
    <w:rsid w:val="74CF1255"/>
    <w:rsid w:val="75023E22"/>
    <w:rsid w:val="761E4C8C"/>
    <w:rsid w:val="76432944"/>
    <w:rsid w:val="76886348"/>
    <w:rsid w:val="76EC4D8A"/>
    <w:rsid w:val="77D23F80"/>
    <w:rsid w:val="780308B3"/>
    <w:rsid w:val="785E1CB7"/>
    <w:rsid w:val="78E977D3"/>
    <w:rsid w:val="78F96FD7"/>
    <w:rsid w:val="79A951B4"/>
    <w:rsid w:val="7A2B3E1B"/>
    <w:rsid w:val="7A315AA1"/>
    <w:rsid w:val="7AB93EA3"/>
    <w:rsid w:val="7ABD2CC5"/>
    <w:rsid w:val="7D09166B"/>
    <w:rsid w:val="7EAF6DC9"/>
    <w:rsid w:val="7ED625A7"/>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4"/>
    <w:qFormat/>
    <w:uiPriority w:val="9"/>
    <w:pPr>
      <w:keepNext/>
      <w:keepLines/>
      <w:spacing w:before="340" w:after="330" w:line="360" w:lineRule="auto"/>
      <w:jc w:val="center"/>
      <w:outlineLvl w:val="0"/>
    </w:pPr>
    <w:rPr>
      <w:b/>
      <w:bCs/>
      <w:kern w:val="44"/>
      <w:sz w:val="32"/>
      <w:szCs w:val="44"/>
    </w:rPr>
  </w:style>
  <w:style w:type="paragraph" w:styleId="4">
    <w:name w:val="heading 2"/>
    <w:basedOn w:val="1"/>
    <w:next w:val="1"/>
    <w:qFormat/>
    <w:uiPriority w:val="0"/>
    <w:pPr>
      <w:keepNext/>
      <w:adjustRightInd w:val="0"/>
      <w:spacing w:line="360" w:lineRule="auto"/>
      <w:jc w:val="center"/>
      <w:outlineLvl w:val="1"/>
    </w:pPr>
    <w:rPr>
      <w:rFonts w:ascii="仿宋_GB2312" w:hAnsi="仿宋_GB2312" w:eastAsia="宋体"/>
      <w:b/>
      <w:kern w:val="0"/>
      <w:sz w:val="24"/>
      <w:szCs w:val="20"/>
    </w:rPr>
  </w:style>
  <w:style w:type="paragraph" w:styleId="5">
    <w:name w:val="heading 3"/>
    <w:basedOn w:val="1"/>
    <w:next w:val="1"/>
    <w:qFormat/>
    <w:uiPriority w:val="0"/>
    <w:pPr>
      <w:numPr>
        <w:ilvl w:val="2"/>
        <w:numId w:val="0"/>
      </w:numPr>
      <w:tabs>
        <w:tab w:val="left" w:pos="709"/>
      </w:tabs>
      <w:autoSpaceDE w:val="0"/>
      <w:autoSpaceDN w:val="0"/>
      <w:adjustRightInd w:val="0"/>
      <w:spacing w:line="360" w:lineRule="auto"/>
      <w:jc w:val="center"/>
      <w:textAlignment w:val="baseline"/>
      <w:outlineLvl w:val="2"/>
    </w:pPr>
    <w:rPr>
      <w:rFonts w:ascii="黑体" w:hAnsi="黑体" w:eastAsia="宋体"/>
      <w:b/>
      <w:color w:val="000000"/>
      <w:kern w:val="0"/>
      <w:sz w:val="28"/>
      <w:szCs w:val="20"/>
    </w:rPr>
  </w:style>
  <w:style w:type="character" w:default="1" w:styleId="21">
    <w:name w:val="Default Paragraph Font"/>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eastAsia="宋体"/>
      <w:kern w:val="2"/>
      <w:sz w:val="21"/>
      <w:lang w:val="en-US" w:eastAsia="zh-CN" w:bidi="ar-SA"/>
    </w:rPr>
  </w:style>
  <w:style w:type="paragraph" w:styleId="6">
    <w:name w:val="List Number"/>
    <w:basedOn w:val="1"/>
    <w:qFormat/>
    <w:uiPriority w:val="0"/>
    <w:pPr>
      <w:numPr>
        <w:ilvl w:val="0"/>
        <w:numId w:val="1"/>
      </w:numPr>
    </w:pPr>
  </w:style>
  <w:style w:type="paragraph" w:styleId="7">
    <w:name w:val="annotation text"/>
    <w:basedOn w:val="1"/>
    <w:qFormat/>
    <w:uiPriority w:val="0"/>
    <w:pPr>
      <w:jc w:val="left"/>
    </w:pPr>
  </w:style>
  <w:style w:type="paragraph" w:styleId="8">
    <w:name w:val="Body Text"/>
    <w:basedOn w:val="1"/>
    <w:next w:val="9"/>
    <w:qFormat/>
    <w:uiPriority w:val="99"/>
    <w:pPr>
      <w:spacing w:after="120"/>
    </w:pPr>
    <w:rPr>
      <w:szCs w:val="20"/>
    </w:rPr>
  </w:style>
  <w:style w:type="paragraph" w:customStyle="1" w:styleId="9">
    <w:name w:val="_Style 2"/>
    <w:basedOn w:val="1"/>
    <w:qFormat/>
    <w:uiPriority w:val="0"/>
    <w:pPr>
      <w:ind w:firstLine="200" w:firstLineChars="200"/>
    </w:pPr>
    <w:rPr>
      <w:rFonts w:ascii="Calibri" w:hAnsi="Calibri"/>
      <w:sz w:val="28"/>
      <w:szCs w:val="22"/>
    </w:rPr>
  </w:style>
  <w:style w:type="paragraph" w:styleId="10">
    <w:name w:val="Body Text Indent"/>
    <w:basedOn w:val="1"/>
    <w:next w:val="1"/>
    <w:qFormat/>
    <w:uiPriority w:val="0"/>
    <w:pPr>
      <w:spacing w:line="400" w:lineRule="atLeast"/>
      <w:ind w:left="210" w:firstLine="210"/>
    </w:pPr>
    <w:rPr>
      <w:rFonts w:hint="eastAsia" w:ascii="宋体" w:hAnsi="宋体"/>
      <w:szCs w:val="20"/>
    </w:rPr>
  </w:style>
  <w:style w:type="paragraph" w:styleId="11">
    <w:name w:val="Plain Text"/>
    <w:basedOn w:val="1"/>
    <w:next w:val="12"/>
    <w:qFormat/>
    <w:uiPriority w:val="0"/>
    <w:rPr>
      <w:rFonts w:ascii="宋体" w:hAnsi="Courier New" w:eastAsia="宋体"/>
      <w:kern w:val="2"/>
      <w:sz w:val="21"/>
      <w:lang w:val="en-US" w:eastAsia="zh-CN" w:bidi="ar-SA"/>
    </w:rPr>
  </w:style>
  <w:style w:type="paragraph" w:styleId="12">
    <w:name w:val="index 7"/>
    <w:basedOn w:val="1"/>
    <w:next w:val="1"/>
    <w:qFormat/>
    <w:uiPriority w:val="0"/>
    <w:pPr>
      <w:ind w:left="1200" w:leftChars="12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6"/>
    <w:basedOn w:val="1"/>
    <w:next w:val="1"/>
    <w:qFormat/>
    <w:uiPriority w:val="39"/>
    <w:pPr>
      <w:widowControl/>
      <w:ind w:left="1000"/>
      <w:jc w:val="left"/>
    </w:pPr>
    <w:rPr>
      <w:kern w:val="0"/>
      <w:sz w:val="18"/>
      <w:szCs w:val="20"/>
    </w:rPr>
  </w:style>
  <w:style w:type="paragraph" w:styleId="17">
    <w:name w:val="Body Text First Indent"/>
    <w:basedOn w:val="8"/>
    <w:next w:val="16"/>
    <w:qFormat/>
    <w:uiPriority w:val="99"/>
    <w:pPr>
      <w:spacing w:line="360" w:lineRule="auto"/>
      <w:ind w:firstLine="200" w:firstLineChars="200"/>
      <w:jc w:val="left"/>
    </w:pPr>
    <w:rPr>
      <w:bCs/>
      <w:sz w:val="24"/>
      <w:szCs w:val="24"/>
    </w:rPr>
  </w:style>
  <w:style w:type="paragraph" w:styleId="18">
    <w:name w:val="Body Text First Indent 2"/>
    <w:basedOn w:val="10"/>
    <w:next w:val="17"/>
    <w:qFormat/>
    <w:uiPriority w:val="99"/>
    <w:pPr>
      <w:autoSpaceDE w:val="0"/>
      <w:autoSpaceDN w:val="0"/>
      <w:adjustRightInd w:val="0"/>
      <w:spacing w:after="120" w:line="240" w:lineRule="auto"/>
      <w:ind w:left="420" w:leftChars="200" w:firstLine="420" w:firstLineChars="200"/>
      <w:textAlignment w:val="baseline"/>
    </w:pPr>
    <w:rPr>
      <w:rFonts w:hint="default" w:ascii="Times New Roman" w:hAnsi="Times New Roman"/>
      <w:spacing w:val="-4"/>
      <w:kern w:val="0"/>
      <w:sz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标题 1 Char"/>
    <w:link w:val="3"/>
    <w:qFormat/>
    <w:uiPriority w:val="9"/>
    <w:rPr>
      <w:b/>
      <w:bCs/>
      <w:kern w:val="44"/>
      <w:sz w:val="32"/>
      <w:szCs w:val="44"/>
    </w:rPr>
  </w:style>
  <w:style w:type="character" w:customStyle="1" w:styleId="25">
    <w:name w:val="font01"/>
    <w:qFormat/>
    <w:uiPriority w:val="0"/>
    <w:rPr>
      <w:rFonts w:hint="default" w:ascii="Times New Roman" w:hAnsi="Times New Roman" w:cs="Times New Roman"/>
      <w:color w:val="000000"/>
      <w:sz w:val="22"/>
      <w:szCs w:val="22"/>
      <w:u w:val="none"/>
    </w:rPr>
  </w:style>
  <w:style w:type="character" w:customStyle="1" w:styleId="26">
    <w:name w:val="font31"/>
    <w:qFormat/>
    <w:uiPriority w:val="0"/>
    <w:rPr>
      <w:rFonts w:hint="eastAsia" w:ascii="宋体" w:hAnsi="宋体" w:eastAsia="宋体" w:cs="宋体"/>
      <w:color w:val="000000"/>
      <w:sz w:val="22"/>
      <w:szCs w:val="22"/>
      <w:u w:val="none"/>
    </w:rPr>
  </w:style>
  <w:style w:type="character" w:customStyle="1" w:styleId="27">
    <w:name w:val="fontstyle01"/>
    <w:qFormat/>
    <w:uiPriority w:val="0"/>
    <w:rPr>
      <w:rFonts w:hint="eastAsia" w:ascii="宋体" w:hAnsi="宋体" w:eastAsia="宋体"/>
      <w:color w:val="000000"/>
      <w:sz w:val="22"/>
      <w:szCs w:val="22"/>
    </w:rPr>
  </w:style>
  <w:style w:type="character" w:customStyle="1" w:styleId="28">
    <w:name w:val="fontstyle11"/>
    <w:qFormat/>
    <w:uiPriority w:val="0"/>
    <w:rPr>
      <w:rFonts w:hint="default" w:ascii="Calibri" w:hAnsi="Calibri" w:cs="Calibri"/>
      <w:color w:val="000000"/>
      <w:sz w:val="22"/>
      <w:szCs w:val="22"/>
    </w:rPr>
  </w:style>
  <w:style w:type="paragraph" w:customStyle="1" w:styleId="29">
    <w:name w:val="正文_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15109</Words>
  <Characters>16003</Characters>
  <Paragraphs>797</Paragraphs>
  <TotalTime>13</TotalTime>
  <ScaleCrop>false</ScaleCrop>
  <LinksUpToDate>false</LinksUpToDate>
  <CharactersWithSpaces>17277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2021-08-13T02:21:00Z</dcterms:created>
  <dc:creator>叶意莉</dc:creator>
  <cp:lastModifiedBy>叶意莉</cp:lastModifiedBy>
  <cp:lastPrinted>2024-09-06T06:54:00Z</cp:lastPrinted>
  <dcterms:modified xsi:type="dcterms:W3CDTF">2024-09-25T03:11:06Z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C46FFD1BD33E43E79208A83481389638_13</vt:lpwstr>
  </property>
</Properties>
</file>