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F4A00">
      <w:pPr>
        <w:pStyle w:val="2"/>
        <w:widowControl/>
        <w:spacing w:line="450" w:lineRule="atLeast"/>
        <w:jc w:val="center"/>
        <w:rPr>
          <w:rFonts w:hint="eastAsia" w:ascii="宋体" w:hAnsi="宋体" w:eastAsia="宋体" w:cs="宋体"/>
          <w:color w:val="auto"/>
          <w:szCs w:val="24"/>
        </w:rPr>
      </w:pPr>
      <w:r>
        <w:rPr>
          <w:rFonts w:hint="eastAsia" w:ascii="宋体" w:hAnsi="宋体" w:eastAsia="宋体" w:cs="宋体"/>
          <w:color w:val="auto"/>
          <w:sz w:val="36"/>
          <w:szCs w:val="36"/>
        </w:rPr>
        <w:t>关于</w:t>
      </w:r>
      <w:r>
        <w:rPr>
          <w:rFonts w:hint="eastAsia" w:cs="宋体"/>
          <w:color w:val="auto"/>
          <w:sz w:val="36"/>
          <w:szCs w:val="36"/>
          <w:lang w:eastAsia="zh-CN"/>
        </w:rPr>
        <w:t>台州市中心医院（台州学院附属医院）2025年第一期公款竞争性存放项目</w:t>
      </w:r>
      <w:r>
        <w:rPr>
          <w:rFonts w:hint="eastAsia" w:ascii="宋体" w:hAnsi="宋体" w:eastAsia="宋体" w:cs="宋体"/>
          <w:color w:val="auto"/>
          <w:sz w:val="36"/>
          <w:szCs w:val="36"/>
        </w:rPr>
        <w:t>的招标公告</w:t>
      </w:r>
    </w:p>
    <w:p w14:paraId="482D0C2F">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ascii="sans-serif" w:hAnsi="sans-serif" w:eastAsia="sans-serif" w:cs="sans-serif"/>
          <w:color w:val="auto"/>
          <w:szCs w:val="24"/>
        </w:rPr>
      </w:pPr>
      <w:r>
        <w:rPr>
          <w:rFonts w:hint="eastAsia" w:ascii="宋体" w:hAnsi="宋体" w:eastAsia="宋体" w:cs="宋体"/>
          <w:color w:val="auto"/>
          <w:sz w:val="24"/>
        </w:rPr>
        <w:t>根据《财政部关于进一步加强财政部门和预算单位资金存放管理的指导意见》（财库〔2017〕76号）、《浙江省财政厅关于进一步规范省级行政事业单位公款竞争性存放管理的通知》（浙财预执〔2018〕5号）、《台州市人民政府办公室关于印发台州市市本级财政专户资金竞争性存放管理实施办法和台州市市本级行政事业单位公款竞争性存放管理办法的通知》（台政办发〔2018〕63号）、《台州市财政局关于发布台州市市本级财政专户资金竞争性存放有关事项的通知》（台财预执发〔2021〕14号）《台州市市本级公立医院公款竞争性存放商业银行定期存款业务实施办法》（台卫发〔2019〕97号）、《台州市市本级公立医院公款竞争性存放商业银行定期存款业务实施办法》的补充规定、《台州市卫生健康委关于发布市本级公立医院资金竞争性存放有关事项的通知》（台卫发〔2021〕92号）</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台州市卫生健康委关于调整《市本级公立医院资金竞争性存放有关事项》</w:t>
      </w:r>
      <w:r>
        <w:rPr>
          <w:rFonts w:hint="eastAsia" w:ascii="宋体" w:hAnsi="宋体" w:eastAsia="宋体" w:cs="宋体"/>
          <w:color w:val="auto"/>
          <w:sz w:val="24"/>
        </w:rPr>
        <w:t>（台卫发〔202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号）</w:t>
      </w:r>
      <w:r>
        <w:rPr>
          <w:rFonts w:hint="eastAsia" w:ascii="宋体" w:hAnsi="宋体" w:eastAsia="宋体" w:cs="宋体"/>
          <w:color w:val="auto"/>
          <w:sz w:val="24"/>
          <w:lang w:val="en-US" w:eastAsia="zh-CN"/>
        </w:rPr>
        <w:t>的通知</w:t>
      </w:r>
      <w:r>
        <w:rPr>
          <w:rFonts w:hint="eastAsia" w:ascii="宋体" w:hAnsi="宋体" w:eastAsia="宋体" w:cs="宋体"/>
          <w:color w:val="auto"/>
          <w:sz w:val="24"/>
        </w:rPr>
        <w:t>等相关规定，决定开展公款存放招标工作，欢迎符合条件的银行机构参加投标。</w:t>
      </w:r>
      <w:r>
        <w:rPr>
          <w:rFonts w:hint="eastAsia" w:ascii="宋体" w:hAnsi="宋体" w:eastAsia="宋体" w:cs="宋体"/>
          <w:color w:val="auto"/>
          <w:sz w:val="24"/>
          <w:szCs w:val="24"/>
        </w:rPr>
        <w:t>现就本项目公告如下：</w:t>
      </w:r>
    </w:p>
    <w:p w14:paraId="655C24FF">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sans-serif" w:hAnsi="sans-serif" w:eastAsia="宋体" w:cs="sans-serif"/>
          <w:color w:val="auto"/>
          <w:szCs w:val="24"/>
          <w:lang w:val="en-US" w:eastAsia="zh-CN"/>
        </w:rPr>
      </w:pPr>
      <w:r>
        <w:rPr>
          <w:rStyle w:val="11"/>
          <w:rFonts w:hint="eastAsia" w:ascii="宋体" w:hAnsi="宋体" w:eastAsia="宋体" w:cs="宋体"/>
          <w:color w:val="auto"/>
          <w:szCs w:val="24"/>
        </w:rPr>
        <w:t>一、项目编号：</w:t>
      </w:r>
      <w:r>
        <w:rPr>
          <w:rFonts w:hint="eastAsia" w:ascii="宋体" w:hAnsi="宋体" w:eastAsia="宋体" w:cs="宋体"/>
          <w:color w:val="auto"/>
          <w:szCs w:val="24"/>
          <w:lang w:eastAsia="zh-CN"/>
        </w:rPr>
        <w:t>ZJWS2025-JJ262</w:t>
      </w:r>
    </w:p>
    <w:p w14:paraId="26718DFC">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sans-serif" w:hAnsi="sans-serif" w:eastAsia="宋体" w:cs="sans-serif"/>
          <w:color w:val="auto"/>
          <w:szCs w:val="24"/>
          <w:lang w:eastAsia="zh-CN"/>
        </w:rPr>
      </w:pPr>
      <w:r>
        <w:rPr>
          <w:rStyle w:val="11"/>
          <w:rFonts w:hint="eastAsia" w:ascii="宋体" w:hAnsi="宋体" w:eastAsia="宋体" w:cs="宋体"/>
          <w:color w:val="auto"/>
          <w:szCs w:val="24"/>
        </w:rPr>
        <w:t>二、项目名称：</w:t>
      </w:r>
      <w:r>
        <w:rPr>
          <w:rFonts w:hint="eastAsia" w:ascii="宋体" w:hAnsi="宋体" w:eastAsia="宋体" w:cs="宋体"/>
          <w:color w:val="auto"/>
          <w:szCs w:val="24"/>
          <w:lang w:eastAsia="zh-CN"/>
        </w:rPr>
        <w:t>台州市中心医院（台州学院附属医院）2025年第一期公款竞争性存放项目</w:t>
      </w:r>
    </w:p>
    <w:p w14:paraId="32D47F82">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ascii="sans-serif" w:hAnsi="sans-serif" w:eastAsia="sans-serif" w:cs="sans-serif"/>
          <w:color w:val="auto"/>
          <w:szCs w:val="24"/>
        </w:rPr>
      </w:pPr>
      <w:r>
        <w:rPr>
          <w:rStyle w:val="11"/>
          <w:rFonts w:hint="eastAsia" w:ascii="宋体" w:hAnsi="宋体" w:eastAsia="宋体" w:cs="宋体"/>
          <w:color w:val="auto"/>
          <w:szCs w:val="24"/>
        </w:rPr>
        <w:t>三、招标内容</w:t>
      </w:r>
    </w:p>
    <w:p w14:paraId="3D34EDB0">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台州市中心医院（台州学院附属医院）2025年第一期公款竞争性存放项目，本次项目需设置1个标段，具体如下：</w:t>
      </w:r>
    </w:p>
    <w:p w14:paraId="7A3FDB2B">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1.2亿元1年期公款存放，拟中标2家银行</w:t>
      </w:r>
    </w:p>
    <w:p w14:paraId="726A791F">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ascii="sans-serif" w:hAnsi="sans-serif" w:eastAsia="sans-serif" w:cs="sans-serif"/>
          <w:color w:val="auto"/>
          <w:szCs w:val="24"/>
        </w:rPr>
      </w:pPr>
      <w:r>
        <w:rPr>
          <w:rStyle w:val="11"/>
          <w:rFonts w:hint="eastAsia" w:ascii="宋体" w:hAnsi="宋体" w:eastAsia="宋体" w:cs="宋体"/>
          <w:color w:val="auto"/>
          <w:szCs w:val="24"/>
        </w:rPr>
        <w:t>四、招标底价</w:t>
      </w:r>
    </w:p>
    <w:p w14:paraId="0FB038AF">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1、存款期限12个月，基准下减不高于40个BP，资金年利率不低于1.10%；</w:t>
      </w:r>
    </w:p>
    <w:p w14:paraId="75BC336D">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2、本期招标</w:t>
      </w:r>
      <w:bookmarkStart w:id="0" w:name="_GoBack"/>
      <w:bookmarkEnd w:id="0"/>
      <w:r>
        <w:rPr>
          <w:rFonts w:hint="eastAsia" w:ascii="宋体" w:hAnsi="宋体" w:eastAsia="宋体" w:cs="宋体"/>
          <w:b w:val="0"/>
          <w:bCs w:val="0"/>
          <w:color w:val="auto"/>
          <w:kern w:val="2"/>
          <w:sz w:val="24"/>
          <w:szCs w:val="24"/>
          <w:lang w:val="en-US" w:eastAsia="zh-CN" w:bidi="ar-SA"/>
        </w:rPr>
        <w:t>评标均采用综合评分法。中标银行2家。</w:t>
      </w:r>
    </w:p>
    <w:p w14:paraId="42E76164">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宋体" w:hAnsi="宋体" w:eastAsia="宋体" w:cs="宋体"/>
          <w:color w:val="auto"/>
          <w:szCs w:val="24"/>
        </w:rPr>
      </w:pPr>
      <w:r>
        <w:rPr>
          <w:rFonts w:hint="eastAsia" w:ascii="宋体" w:hAnsi="宋体" w:eastAsia="宋体" w:cs="宋体"/>
          <w:color w:val="auto"/>
          <w:szCs w:val="24"/>
          <w:lang w:val="en-US" w:eastAsia="zh-CN"/>
        </w:rPr>
        <w:t>3、</w:t>
      </w:r>
      <w:r>
        <w:rPr>
          <w:rFonts w:hint="eastAsia" w:ascii="宋体" w:hAnsi="宋体" w:eastAsia="宋体" w:cs="宋体"/>
          <w:color w:val="auto"/>
          <w:szCs w:val="24"/>
        </w:rPr>
        <w:t>各竞标银行允许中标一次。</w:t>
      </w:r>
    </w:p>
    <w:p w14:paraId="610FF685">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ascii="sans-serif" w:hAnsi="sans-serif" w:eastAsia="sans-serif" w:cs="sans-serif"/>
          <w:color w:val="auto"/>
          <w:szCs w:val="24"/>
        </w:rPr>
      </w:pPr>
      <w:r>
        <w:rPr>
          <w:rStyle w:val="11"/>
          <w:rFonts w:hint="eastAsia" w:ascii="宋体" w:hAnsi="宋体" w:eastAsia="宋体" w:cs="宋体"/>
          <w:color w:val="auto"/>
          <w:szCs w:val="24"/>
          <w:lang w:val="en-US" w:eastAsia="zh-CN"/>
        </w:rPr>
        <w:t>五</w:t>
      </w:r>
      <w:r>
        <w:rPr>
          <w:rStyle w:val="11"/>
          <w:rFonts w:hint="eastAsia" w:ascii="宋体" w:hAnsi="宋体" w:eastAsia="宋体" w:cs="宋体"/>
          <w:color w:val="auto"/>
          <w:szCs w:val="24"/>
        </w:rPr>
        <w:t>、竞标银行资格要求</w:t>
      </w:r>
    </w:p>
    <w:p w14:paraId="10071EAD">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参与市本级公立医院公款竞争性存放投标的银行是指在中华人民共和国境内依法设立的政策性银行、国有商业银行、股份制商业银行、邮政储蓄银行、城市商业银行及农村商业银行。银行参与投标应符合以下条件：（一）在公立医院所在地为市本级（含台州湾新区）、椒江区、路桥区、临海市，可以允许分行或当地支行参加，但只能选派一家银行参加；（二）依法开展经营活动，近3 年内在经营活动中无重大违法违规记录及重大违约事件；（三）人行台州市中心支行上年度综合评价应达到B 级及以上，但是不纳入人行台州市中心支行评级范围的银行不受此限制。</w:t>
      </w:r>
    </w:p>
    <w:p w14:paraId="1FCA234E">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ascii="sans-serif" w:hAnsi="sans-serif" w:eastAsia="sans-serif" w:cs="sans-serif"/>
          <w:color w:val="auto"/>
          <w:szCs w:val="24"/>
        </w:rPr>
      </w:pPr>
      <w:r>
        <w:rPr>
          <w:rStyle w:val="11"/>
          <w:rFonts w:hint="eastAsia" w:ascii="宋体" w:hAnsi="宋体" w:eastAsia="宋体" w:cs="宋体"/>
          <w:color w:val="auto"/>
          <w:szCs w:val="24"/>
          <w:lang w:val="en-US" w:eastAsia="zh-CN"/>
        </w:rPr>
        <w:t>六</w:t>
      </w:r>
      <w:r>
        <w:rPr>
          <w:rStyle w:val="11"/>
          <w:rFonts w:hint="eastAsia" w:ascii="宋体" w:hAnsi="宋体" w:eastAsia="宋体" w:cs="宋体"/>
          <w:color w:val="auto"/>
          <w:szCs w:val="24"/>
        </w:rPr>
        <w:t>、招标文件获取方式</w:t>
      </w:r>
    </w:p>
    <w:p w14:paraId="1046C96A">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ascii="sans-serif" w:hAnsi="sans-serif" w:eastAsia="sans-serif" w:cs="sans-serif"/>
          <w:color w:val="auto"/>
          <w:szCs w:val="24"/>
        </w:rPr>
      </w:pPr>
      <w:r>
        <w:rPr>
          <w:rFonts w:hint="eastAsia" w:ascii="宋体" w:hAnsi="宋体" w:eastAsia="宋体" w:cs="宋体"/>
          <w:color w:val="auto"/>
          <w:szCs w:val="24"/>
        </w:rPr>
        <w:t>可通过浙江省政府采购网（zfcg.czt.zj.gov.cn）的本项目招标公告，自行获取招标文件。</w:t>
      </w:r>
    </w:p>
    <w:p w14:paraId="196BDE66">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ascii="sans-serif" w:hAnsi="sans-serif" w:eastAsia="sans-serif" w:cs="sans-serif"/>
          <w:color w:val="auto"/>
          <w:szCs w:val="24"/>
        </w:rPr>
      </w:pPr>
      <w:r>
        <w:rPr>
          <w:rStyle w:val="11"/>
          <w:rFonts w:hint="eastAsia" w:ascii="宋体" w:hAnsi="宋体" w:eastAsia="宋体" w:cs="宋体"/>
          <w:color w:val="auto"/>
          <w:szCs w:val="24"/>
          <w:lang w:val="en-US" w:eastAsia="zh-CN"/>
        </w:rPr>
        <w:t>七</w:t>
      </w:r>
      <w:r>
        <w:rPr>
          <w:rStyle w:val="11"/>
          <w:rFonts w:hint="eastAsia" w:ascii="宋体" w:hAnsi="宋体" w:eastAsia="宋体" w:cs="宋体"/>
          <w:color w:val="auto"/>
          <w:szCs w:val="24"/>
        </w:rPr>
        <w:t>、报名及网上电子投标</w:t>
      </w:r>
    </w:p>
    <w:p w14:paraId="62D46E8B">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宋体" w:hAnsi="宋体" w:eastAsia="宋体" w:cs="宋体"/>
          <w:color w:val="auto"/>
          <w:szCs w:val="24"/>
          <w:lang w:eastAsia="zh-CN"/>
        </w:rPr>
      </w:pPr>
      <w:r>
        <w:rPr>
          <w:rFonts w:hint="eastAsia" w:ascii="宋体" w:hAnsi="宋体" w:eastAsia="宋体" w:cs="宋体"/>
          <w:color w:val="auto"/>
          <w:szCs w:val="24"/>
        </w:rPr>
        <w:t>（一）时间：202</w:t>
      </w:r>
      <w:r>
        <w:rPr>
          <w:rFonts w:hint="eastAsia" w:ascii="宋体" w:hAnsi="宋体" w:eastAsia="宋体" w:cs="宋体"/>
          <w:color w:val="auto"/>
          <w:szCs w:val="24"/>
          <w:lang w:val="en-US" w:eastAsia="zh-CN"/>
        </w:rPr>
        <w:t>5</w:t>
      </w:r>
      <w:r>
        <w:rPr>
          <w:rFonts w:hint="eastAsia" w:ascii="宋体" w:hAnsi="宋体" w:eastAsia="宋体" w:cs="宋体"/>
          <w:color w:val="auto"/>
          <w:szCs w:val="24"/>
        </w:rPr>
        <w:t>年</w:t>
      </w:r>
      <w:r>
        <w:rPr>
          <w:rFonts w:hint="eastAsia" w:ascii="宋体" w:hAnsi="宋体" w:eastAsia="宋体" w:cs="宋体"/>
          <w:color w:val="auto"/>
          <w:szCs w:val="24"/>
          <w:lang w:val="en-US" w:eastAsia="zh-CN"/>
        </w:rPr>
        <w:t>07</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13</w:t>
      </w:r>
      <w:r>
        <w:rPr>
          <w:rFonts w:hint="eastAsia" w:ascii="宋体" w:hAnsi="宋体" w:eastAsia="宋体" w:cs="宋体"/>
          <w:color w:val="auto"/>
          <w:szCs w:val="24"/>
        </w:rPr>
        <w:t>日</w:t>
      </w:r>
      <w:r>
        <w:rPr>
          <w:rFonts w:hint="eastAsia" w:ascii="宋体" w:hAnsi="宋体" w:eastAsia="宋体" w:cs="宋体"/>
          <w:color w:val="auto"/>
          <w:szCs w:val="24"/>
          <w:lang w:val="en-US" w:eastAsia="zh-CN"/>
        </w:rPr>
        <w:t>下午17</w:t>
      </w:r>
      <w:r>
        <w:rPr>
          <w:rFonts w:hint="eastAsia" w:ascii="宋体" w:hAnsi="宋体" w:eastAsia="宋体" w:cs="宋体"/>
          <w:color w:val="auto"/>
          <w:szCs w:val="24"/>
        </w:rPr>
        <w:t>：</w:t>
      </w:r>
      <w:r>
        <w:rPr>
          <w:rFonts w:hint="eastAsia" w:ascii="宋体" w:hAnsi="宋体" w:eastAsia="宋体" w:cs="宋体"/>
          <w:color w:val="auto"/>
          <w:szCs w:val="24"/>
          <w:lang w:val="en-US" w:eastAsia="zh-CN"/>
        </w:rPr>
        <w:t>00</w:t>
      </w:r>
      <w:r>
        <w:rPr>
          <w:rFonts w:hint="eastAsia" w:ascii="宋体" w:hAnsi="宋体" w:eastAsia="宋体" w:cs="宋体"/>
          <w:color w:val="auto"/>
          <w:szCs w:val="24"/>
        </w:rPr>
        <w:t>之前完成报名</w:t>
      </w:r>
      <w:r>
        <w:rPr>
          <w:rFonts w:hint="eastAsia" w:ascii="宋体" w:hAnsi="宋体" w:eastAsia="宋体" w:cs="宋体"/>
          <w:color w:val="auto"/>
          <w:szCs w:val="24"/>
          <w:lang w:eastAsia="zh-CN"/>
        </w:rPr>
        <w:t>；</w:t>
      </w:r>
    </w:p>
    <w:p w14:paraId="495B14E1">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firstLine="1888" w:firstLineChars="800"/>
        <w:rPr>
          <w:rFonts w:ascii="sans-serif" w:hAnsi="sans-serif" w:eastAsia="sans-serif" w:cs="sans-serif"/>
          <w:color w:val="auto"/>
          <w:szCs w:val="24"/>
        </w:rPr>
      </w:pPr>
      <w:r>
        <w:rPr>
          <w:rFonts w:hint="eastAsia" w:ascii="宋体" w:hAnsi="宋体" w:eastAsia="宋体" w:cs="宋体"/>
          <w:color w:val="auto"/>
          <w:szCs w:val="24"/>
        </w:rPr>
        <w:t>202</w:t>
      </w:r>
      <w:r>
        <w:rPr>
          <w:rFonts w:hint="eastAsia" w:ascii="宋体" w:hAnsi="宋体" w:eastAsia="宋体" w:cs="宋体"/>
          <w:color w:val="auto"/>
          <w:szCs w:val="24"/>
          <w:lang w:val="en-US" w:eastAsia="zh-CN"/>
        </w:rPr>
        <w:t>5</w:t>
      </w:r>
      <w:r>
        <w:rPr>
          <w:rFonts w:hint="eastAsia" w:ascii="宋体" w:hAnsi="宋体" w:eastAsia="宋体" w:cs="宋体"/>
          <w:color w:val="auto"/>
          <w:szCs w:val="24"/>
        </w:rPr>
        <w:t>年</w:t>
      </w:r>
      <w:r>
        <w:rPr>
          <w:rFonts w:hint="eastAsia" w:ascii="宋体" w:hAnsi="宋体" w:eastAsia="宋体" w:cs="宋体"/>
          <w:color w:val="auto"/>
          <w:szCs w:val="24"/>
          <w:lang w:val="en-US" w:eastAsia="zh-CN"/>
        </w:rPr>
        <w:t>07</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18</w:t>
      </w:r>
      <w:r>
        <w:rPr>
          <w:rFonts w:hint="eastAsia" w:ascii="宋体" w:hAnsi="宋体" w:eastAsia="宋体" w:cs="宋体"/>
          <w:color w:val="auto"/>
          <w:szCs w:val="24"/>
        </w:rPr>
        <w:t>日上午</w:t>
      </w:r>
      <w:r>
        <w:rPr>
          <w:rFonts w:hint="eastAsia" w:ascii="宋体" w:hAnsi="宋体" w:eastAsia="宋体" w:cs="宋体"/>
          <w:color w:val="auto"/>
          <w:szCs w:val="24"/>
          <w:lang w:val="en-US" w:eastAsia="zh-CN"/>
        </w:rPr>
        <w:t>0</w:t>
      </w:r>
      <w:r>
        <w:rPr>
          <w:rFonts w:hint="eastAsia" w:ascii="宋体" w:hAnsi="宋体" w:eastAsia="宋体" w:cs="宋体"/>
          <w:color w:val="auto"/>
          <w:szCs w:val="24"/>
        </w:rPr>
        <w:t>9：</w:t>
      </w:r>
      <w:r>
        <w:rPr>
          <w:rFonts w:hint="eastAsia" w:ascii="宋体" w:hAnsi="宋体" w:eastAsia="宋体" w:cs="宋体"/>
          <w:color w:val="auto"/>
          <w:szCs w:val="24"/>
          <w:lang w:val="en-US" w:eastAsia="zh-CN"/>
        </w:rPr>
        <w:t>3</w:t>
      </w:r>
      <w:r>
        <w:rPr>
          <w:rFonts w:hint="eastAsia" w:ascii="宋体" w:hAnsi="宋体" w:eastAsia="宋体" w:cs="宋体"/>
          <w:color w:val="auto"/>
          <w:szCs w:val="24"/>
        </w:rPr>
        <w:t>0之前完成投标；</w:t>
      </w:r>
    </w:p>
    <w:p w14:paraId="4ED58516">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ascii="sans-serif" w:hAnsi="sans-serif" w:eastAsia="sans-serif" w:cs="sans-serif"/>
          <w:color w:val="auto"/>
          <w:szCs w:val="24"/>
        </w:rPr>
      </w:pPr>
      <w:r>
        <w:rPr>
          <w:rFonts w:hint="eastAsia" w:ascii="宋体" w:hAnsi="宋体" w:eastAsia="宋体" w:cs="宋体"/>
          <w:color w:val="auto"/>
          <w:szCs w:val="24"/>
        </w:rPr>
        <w:t>（二）方式：</w:t>
      </w:r>
    </w:p>
    <w:p w14:paraId="4BB0DF39">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ascii="sans-serif" w:hAnsi="sans-serif" w:eastAsia="sans-serif" w:cs="sans-serif"/>
          <w:color w:val="auto"/>
          <w:szCs w:val="24"/>
        </w:rPr>
      </w:pPr>
      <w:r>
        <w:rPr>
          <w:rFonts w:hint="eastAsia" w:ascii="宋体" w:hAnsi="宋体" w:eastAsia="宋体" w:cs="宋体"/>
          <w:color w:val="auto"/>
          <w:szCs w:val="24"/>
        </w:rPr>
        <w:t>登录政府采购云平台（https://www.zcygov.cn）,进入公款竞争性存放招标系统，在财政资金竞争性存放-竞标项目内按规定进行报名及投标。</w:t>
      </w:r>
    </w:p>
    <w:p w14:paraId="3E454CC0">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ascii="sans-serif" w:hAnsi="sans-serif" w:eastAsia="sans-serif" w:cs="sans-serif"/>
          <w:color w:val="auto"/>
          <w:szCs w:val="24"/>
        </w:rPr>
      </w:pPr>
      <w:r>
        <w:rPr>
          <w:rStyle w:val="11"/>
          <w:rFonts w:hint="eastAsia" w:ascii="宋体" w:hAnsi="宋体" w:eastAsia="宋体" w:cs="宋体"/>
          <w:color w:val="auto"/>
          <w:szCs w:val="24"/>
          <w:lang w:val="en-US" w:eastAsia="zh-CN"/>
        </w:rPr>
        <w:t>八</w:t>
      </w:r>
      <w:r>
        <w:rPr>
          <w:rStyle w:val="11"/>
          <w:rFonts w:hint="eastAsia" w:ascii="宋体" w:hAnsi="宋体" w:eastAsia="宋体" w:cs="宋体"/>
          <w:color w:val="auto"/>
          <w:szCs w:val="24"/>
        </w:rPr>
        <w:t>、开标时间</w:t>
      </w:r>
    </w:p>
    <w:p w14:paraId="1766250B">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ascii="sans-serif" w:hAnsi="sans-serif" w:eastAsia="sans-serif" w:cs="sans-serif"/>
          <w:color w:val="auto"/>
          <w:szCs w:val="24"/>
        </w:rPr>
      </w:pPr>
      <w:r>
        <w:rPr>
          <w:rFonts w:hint="eastAsia" w:ascii="宋体" w:hAnsi="宋体" w:eastAsia="宋体" w:cs="宋体"/>
          <w:color w:val="auto"/>
          <w:szCs w:val="24"/>
        </w:rPr>
        <w:t>本次招标将于202</w:t>
      </w:r>
      <w:r>
        <w:rPr>
          <w:rFonts w:hint="eastAsia" w:ascii="宋体" w:hAnsi="宋体" w:eastAsia="宋体" w:cs="宋体"/>
          <w:color w:val="auto"/>
          <w:szCs w:val="24"/>
          <w:lang w:val="en-US" w:eastAsia="zh-CN"/>
        </w:rPr>
        <w:t>5</w:t>
      </w:r>
      <w:r>
        <w:rPr>
          <w:rFonts w:hint="eastAsia" w:ascii="宋体" w:hAnsi="宋体" w:eastAsia="宋体" w:cs="宋体"/>
          <w:color w:val="auto"/>
          <w:szCs w:val="24"/>
        </w:rPr>
        <w:t>年</w:t>
      </w:r>
      <w:r>
        <w:rPr>
          <w:rFonts w:hint="eastAsia" w:ascii="宋体" w:hAnsi="宋体" w:eastAsia="宋体" w:cs="宋体"/>
          <w:color w:val="auto"/>
          <w:szCs w:val="24"/>
          <w:lang w:val="en-US" w:eastAsia="zh-CN"/>
        </w:rPr>
        <w:t>07</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18</w:t>
      </w:r>
      <w:r>
        <w:rPr>
          <w:rFonts w:hint="eastAsia" w:ascii="宋体" w:hAnsi="宋体" w:eastAsia="宋体" w:cs="宋体"/>
          <w:color w:val="auto"/>
          <w:szCs w:val="24"/>
        </w:rPr>
        <w:t>日上午9：</w:t>
      </w:r>
      <w:r>
        <w:rPr>
          <w:rFonts w:hint="eastAsia" w:ascii="宋体" w:hAnsi="宋体" w:eastAsia="宋体" w:cs="宋体"/>
          <w:color w:val="auto"/>
          <w:szCs w:val="24"/>
          <w:lang w:val="en-US" w:eastAsia="zh-CN"/>
        </w:rPr>
        <w:t>3</w:t>
      </w:r>
      <w:r>
        <w:rPr>
          <w:rFonts w:hint="eastAsia" w:ascii="宋体" w:hAnsi="宋体" w:eastAsia="宋体" w:cs="宋体"/>
          <w:color w:val="auto"/>
          <w:szCs w:val="24"/>
        </w:rPr>
        <w:t>0开标。</w:t>
      </w:r>
    </w:p>
    <w:p w14:paraId="1EA905D5">
      <w:pPr>
        <w:keepNext w:val="0"/>
        <w:keepLines w:val="0"/>
        <w:widowControl/>
        <w:suppressLineNumbers w:val="0"/>
        <w:ind w:firstLine="472" w:firstLineChars="200"/>
        <w:jc w:val="left"/>
        <w:rPr>
          <w:rStyle w:val="11"/>
          <w:rFonts w:hint="eastAsia" w:ascii="宋体" w:hAnsi="宋体" w:eastAsia="宋体" w:cs="宋体"/>
          <w:color w:val="auto"/>
          <w:kern w:val="0"/>
          <w:sz w:val="24"/>
          <w:szCs w:val="24"/>
          <w:lang w:val="en-US" w:eastAsia="zh-CN" w:bidi="ar-SA"/>
        </w:rPr>
      </w:pPr>
      <w:r>
        <w:rPr>
          <w:rStyle w:val="11"/>
          <w:rFonts w:hint="eastAsia" w:ascii="宋体" w:hAnsi="宋体" w:eastAsia="宋体" w:cs="宋体"/>
          <w:color w:val="auto"/>
          <w:kern w:val="0"/>
          <w:sz w:val="24"/>
          <w:szCs w:val="24"/>
          <w:lang w:val="en-US" w:eastAsia="zh-CN" w:bidi="ar-SA"/>
        </w:rPr>
        <w:t xml:space="preserve">九、不见面开标 </w:t>
      </w:r>
    </w:p>
    <w:p w14:paraId="413ED79B">
      <w:pPr>
        <w:keepNext w:val="0"/>
        <w:keepLines w:val="0"/>
        <w:widowControl/>
        <w:suppressLineNumbers w:val="0"/>
        <w:ind w:firstLine="708" w:firstLineChars="300"/>
        <w:jc w:val="left"/>
        <w:rPr>
          <w:rFonts w:ascii="sans-serif" w:hAnsi="sans-serif" w:eastAsia="sans-serif" w:cs="sans-serif"/>
          <w:color w:val="auto"/>
          <w:szCs w:val="24"/>
        </w:rPr>
      </w:pPr>
      <w:r>
        <w:rPr>
          <w:rFonts w:hint="eastAsia" w:ascii="宋体" w:hAnsi="宋体" w:eastAsia="宋体" w:cs="宋体"/>
          <w:color w:val="auto"/>
          <w:kern w:val="0"/>
          <w:sz w:val="24"/>
          <w:szCs w:val="24"/>
          <w:lang w:val="en-US" w:eastAsia="zh-CN" w:bidi="ar"/>
        </w:rPr>
        <w:t>本项目开评标环节实行全流程电子化。</w:t>
      </w:r>
    </w:p>
    <w:p w14:paraId="364CD3CD">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Style w:val="11"/>
          <w:rFonts w:hint="eastAsia" w:ascii="宋体" w:hAnsi="宋体" w:eastAsia="宋体" w:cs="宋体"/>
          <w:color w:val="auto"/>
          <w:szCs w:val="24"/>
        </w:rPr>
      </w:pPr>
      <w:r>
        <w:rPr>
          <w:rStyle w:val="11"/>
          <w:rFonts w:hint="eastAsia" w:ascii="宋体" w:hAnsi="宋体" w:eastAsia="宋体" w:cs="宋体"/>
          <w:color w:val="auto"/>
          <w:szCs w:val="24"/>
        </w:rPr>
        <w:t>十、中标服务费：</w:t>
      </w:r>
    </w:p>
    <w:p w14:paraId="37ED8745">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宋体" w:hAnsi="宋体" w:eastAsia="宋体" w:cs="宋体"/>
          <w:color w:val="auto"/>
          <w:szCs w:val="24"/>
          <w:lang w:eastAsia="zh-CN"/>
        </w:rPr>
      </w:pPr>
      <w:r>
        <w:rPr>
          <w:rFonts w:hint="eastAsia" w:ascii="宋体" w:hAnsi="宋体" w:eastAsia="宋体" w:cs="宋体"/>
          <w:color w:val="auto"/>
          <w:szCs w:val="24"/>
        </w:rPr>
        <w:t>向每一家中标银行收取中标服务费人民币</w:t>
      </w:r>
      <w:r>
        <w:rPr>
          <w:rFonts w:hint="eastAsia" w:ascii="宋体" w:hAnsi="宋体" w:eastAsia="宋体" w:cs="宋体"/>
          <w:color w:val="auto"/>
          <w:szCs w:val="24"/>
          <w:lang w:val="en-US" w:eastAsia="zh-CN"/>
        </w:rPr>
        <w:t>叁</w:t>
      </w:r>
      <w:r>
        <w:rPr>
          <w:rFonts w:hint="eastAsia" w:ascii="宋体" w:hAnsi="宋体" w:eastAsia="宋体" w:cs="宋体"/>
          <w:color w:val="auto"/>
          <w:szCs w:val="24"/>
        </w:rPr>
        <w:t>仟</w:t>
      </w:r>
      <w:r>
        <w:rPr>
          <w:rFonts w:hint="eastAsia" w:ascii="宋体" w:hAnsi="宋体" w:eastAsia="宋体" w:cs="宋体"/>
          <w:color w:val="auto"/>
          <w:szCs w:val="24"/>
          <w:lang w:val="en-US" w:eastAsia="zh-CN"/>
        </w:rPr>
        <w:t>伍佰</w:t>
      </w:r>
      <w:r>
        <w:rPr>
          <w:rFonts w:hint="eastAsia" w:ascii="宋体" w:hAnsi="宋体" w:eastAsia="宋体" w:cs="宋体"/>
          <w:color w:val="auto"/>
          <w:szCs w:val="24"/>
        </w:rPr>
        <w:t>元整</w:t>
      </w:r>
      <w:r>
        <w:rPr>
          <w:rFonts w:hint="eastAsia" w:ascii="宋体" w:hAnsi="宋体" w:eastAsia="宋体" w:cs="宋体"/>
          <w:color w:val="auto"/>
          <w:szCs w:val="24"/>
          <w:lang w:eastAsia="zh-CN"/>
        </w:rPr>
        <w:t>，</w:t>
      </w:r>
      <w:r>
        <w:rPr>
          <w:rFonts w:hint="eastAsia" w:ascii="宋体" w:hAnsi="宋体" w:eastAsia="宋体" w:cs="宋体"/>
          <w:color w:val="auto"/>
          <w:szCs w:val="24"/>
        </w:rPr>
        <w:t>该费用中标方须在中标通知书发出5日内一次性付清</w:t>
      </w:r>
      <w:r>
        <w:rPr>
          <w:rFonts w:hint="eastAsia" w:ascii="宋体" w:hAnsi="宋体" w:eastAsia="宋体" w:cs="宋体"/>
          <w:color w:val="auto"/>
          <w:szCs w:val="24"/>
          <w:lang w:eastAsia="zh-CN"/>
        </w:rPr>
        <w:t>。</w:t>
      </w:r>
    </w:p>
    <w:p w14:paraId="26EBA5CD">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ascii="sans-serif" w:hAnsi="sans-serif" w:eastAsia="sans-serif" w:cs="sans-serif"/>
          <w:color w:val="auto"/>
          <w:szCs w:val="24"/>
        </w:rPr>
      </w:pPr>
      <w:r>
        <w:rPr>
          <w:rStyle w:val="11"/>
          <w:rFonts w:hint="eastAsia" w:ascii="宋体" w:hAnsi="宋体" w:eastAsia="宋体" w:cs="宋体"/>
          <w:color w:val="auto"/>
          <w:szCs w:val="24"/>
          <w:lang w:val="en-US" w:eastAsia="zh-CN"/>
        </w:rPr>
        <w:t>十一、</w:t>
      </w:r>
      <w:r>
        <w:rPr>
          <w:rStyle w:val="11"/>
          <w:rFonts w:hint="eastAsia" w:ascii="宋体" w:hAnsi="宋体" w:eastAsia="宋体" w:cs="宋体"/>
          <w:color w:val="auto"/>
          <w:szCs w:val="24"/>
        </w:rPr>
        <w:t>联系方式：</w:t>
      </w:r>
    </w:p>
    <w:p w14:paraId="22D771CC">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宋体" w:hAnsi="宋体" w:eastAsia="宋体" w:cs="宋体"/>
          <w:color w:val="auto"/>
          <w:szCs w:val="24"/>
        </w:rPr>
      </w:pPr>
      <w:r>
        <w:rPr>
          <w:rFonts w:hint="eastAsia" w:ascii="宋体" w:hAnsi="宋体" w:eastAsia="宋体" w:cs="宋体"/>
          <w:color w:val="auto"/>
          <w:szCs w:val="24"/>
        </w:rPr>
        <w:t>1、采购单位：</w:t>
      </w:r>
      <w:r>
        <w:rPr>
          <w:rFonts w:hint="eastAsia" w:ascii="宋体" w:hAnsi="宋体" w:eastAsia="宋体" w:cs="宋体"/>
          <w:color w:val="auto"/>
          <w:szCs w:val="24"/>
          <w:lang w:eastAsia="zh-CN"/>
        </w:rPr>
        <w:t>台州市中心医院（台州学院附属医院）</w:t>
      </w:r>
      <w:r>
        <w:rPr>
          <w:rFonts w:hint="eastAsia" w:ascii="宋体" w:hAnsi="宋体" w:eastAsia="宋体" w:cs="宋体"/>
          <w:color w:val="auto"/>
          <w:szCs w:val="24"/>
        </w:rPr>
        <w:t>。</w:t>
      </w:r>
    </w:p>
    <w:p w14:paraId="55BDD0B4">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宋体" w:hAnsi="宋体" w:eastAsia="宋体" w:cs="宋体"/>
          <w:color w:val="000000"/>
          <w:szCs w:val="24"/>
        </w:rPr>
      </w:pPr>
      <w:r>
        <w:rPr>
          <w:rFonts w:hint="eastAsia" w:ascii="宋体" w:hAnsi="宋体" w:eastAsia="宋体" w:cs="宋体"/>
          <w:color w:val="000000"/>
          <w:szCs w:val="24"/>
        </w:rPr>
        <w:t>联系人：</w:t>
      </w:r>
      <w:r>
        <w:rPr>
          <w:rFonts w:hint="eastAsia" w:ascii="宋体" w:hAnsi="宋体" w:eastAsia="宋体" w:cs="宋体"/>
          <w:color w:val="000000"/>
          <w:szCs w:val="24"/>
          <w:lang w:val="en-US" w:eastAsia="zh-CN"/>
        </w:rPr>
        <w:t>王</w:t>
      </w:r>
      <w:r>
        <w:rPr>
          <w:rFonts w:hint="eastAsia" w:ascii="宋体" w:hAnsi="宋体" w:eastAsia="宋体" w:cs="宋体"/>
          <w:color w:val="000000"/>
          <w:szCs w:val="24"/>
        </w:rPr>
        <w:t>先生。</w:t>
      </w:r>
    </w:p>
    <w:p w14:paraId="6328629F">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default" w:ascii="宋体" w:hAnsi="宋体" w:eastAsia="宋体" w:cs="宋体"/>
          <w:color w:val="000000"/>
          <w:szCs w:val="24"/>
          <w:lang w:val="en-US" w:eastAsia="zh-CN"/>
        </w:rPr>
      </w:pPr>
      <w:r>
        <w:rPr>
          <w:rFonts w:hint="eastAsia" w:ascii="宋体" w:hAnsi="宋体" w:eastAsia="宋体" w:cs="宋体"/>
          <w:color w:val="000000"/>
          <w:szCs w:val="24"/>
        </w:rPr>
        <w:t>联系电话：0576-</w:t>
      </w:r>
      <w:r>
        <w:rPr>
          <w:rFonts w:hint="eastAsia" w:ascii="宋体" w:hAnsi="宋体" w:eastAsia="宋体" w:cs="宋体"/>
          <w:color w:val="000000"/>
          <w:szCs w:val="24"/>
          <w:lang w:val="en-US" w:eastAsia="zh-CN"/>
        </w:rPr>
        <w:t>88526220</w:t>
      </w:r>
    </w:p>
    <w:p w14:paraId="4C752A2C">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宋体" w:hAnsi="宋体" w:eastAsia="宋体" w:cs="宋体"/>
          <w:color w:val="000000"/>
          <w:szCs w:val="24"/>
        </w:rPr>
      </w:pPr>
      <w:r>
        <w:rPr>
          <w:rFonts w:hint="eastAsia" w:ascii="宋体" w:hAnsi="宋体" w:eastAsia="宋体" w:cs="宋体"/>
          <w:color w:val="000000"/>
          <w:szCs w:val="24"/>
        </w:rPr>
        <w:t>地址：</w:t>
      </w:r>
      <w:r>
        <w:rPr>
          <w:rFonts w:hint="eastAsia" w:ascii="宋体" w:hAnsi="宋体" w:eastAsia="宋体" w:cs="宋体"/>
          <w:color w:val="000000"/>
          <w:szCs w:val="24"/>
          <w:lang w:val="en-US" w:eastAsia="zh-CN"/>
        </w:rPr>
        <w:t>台州市椒江区东海大道999号</w:t>
      </w:r>
      <w:r>
        <w:rPr>
          <w:rFonts w:hint="eastAsia" w:ascii="宋体" w:hAnsi="宋体" w:eastAsia="宋体" w:cs="宋体"/>
          <w:color w:val="000000"/>
          <w:szCs w:val="24"/>
        </w:rPr>
        <w:t>。</w:t>
      </w:r>
    </w:p>
    <w:p w14:paraId="099A9C6F">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宋体" w:hAnsi="宋体" w:eastAsia="宋体" w:cs="宋体"/>
          <w:color w:val="auto"/>
          <w:szCs w:val="24"/>
        </w:rPr>
      </w:pPr>
      <w:r>
        <w:rPr>
          <w:rFonts w:hint="eastAsia" w:ascii="宋体" w:hAnsi="宋体" w:eastAsia="宋体" w:cs="宋体"/>
          <w:color w:val="auto"/>
          <w:szCs w:val="24"/>
        </w:rPr>
        <w:t>2、采购代理机构名称：浙江五石中正工程咨询有限公司。</w:t>
      </w:r>
    </w:p>
    <w:p w14:paraId="50FC4530">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宋体" w:hAnsi="宋体" w:eastAsia="宋体" w:cs="宋体"/>
          <w:color w:val="auto"/>
          <w:szCs w:val="24"/>
        </w:rPr>
      </w:pPr>
      <w:r>
        <w:rPr>
          <w:rFonts w:hint="eastAsia" w:ascii="宋体" w:hAnsi="宋体" w:eastAsia="宋体" w:cs="宋体"/>
          <w:color w:val="auto"/>
          <w:szCs w:val="24"/>
        </w:rPr>
        <w:t>项目联系人：</w:t>
      </w:r>
      <w:r>
        <w:rPr>
          <w:rFonts w:hint="eastAsia" w:ascii="宋体" w:hAnsi="宋体" w:eastAsia="宋体" w:cs="宋体"/>
          <w:color w:val="auto"/>
          <w:szCs w:val="24"/>
          <w:lang w:val="en-US" w:eastAsia="zh-CN"/>
        </w:rPr>
        <w:t>徐名峰</w:t>
      </w:r>
      <w:r>
        <w:rPr>
          <w:rFonts w:hint="eastAsia" w:ascii="宋体" w:hAnsi="宋体" w:eastAsia="宋体" w:cs="宋体"/>
          <w:color w:val="auto"/>
          <w:szCs w:val="24"/>
        </w:rPr>
        <w:t>；联系电话：0576-88781913。</w:t>
      </w:r>
    </w:p>
    <w:p w14:paraId="762F7819">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宋体" w:hAnsi="宋体" w:eastAsia="宋体" w:cs="宋体"/>
          <w:color w:val="auto"/>
          <w:szCs w:val="24"/>
        </w:rPr>
      </w:pPr>
      <w:r>
        <w:rPr>
          <w:rFonts w:hint="eastAsia" w:ascii="宋体" w:hAnsi="宋体" w:eastAsia="宋体" w:cs="宋体"/>
          <w:color w:val="auto"/>
          <w:szCs w:val="24"/>
        </w:rPr>
        <w:t>质疑接收联系人：潘先生；联系电话：0576-88785265。</w:t>
      </w:r>
    </w:p>
    <w:p w14:paraId="109CE2C4">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ind w:left="0" w:firstLine="472" w:firstLineChars="200"/>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地址：</w:t>
      </w:r>
      <w:r>
        <w:rPr>
          <w:rFonts w:hint="eastAsia" w:ascii="宋体" w:hAnsi="宋体" w:eastAsia="宋体" w:cs="宋体"/>
          <w:color w:val="auto"/>
          <w:szCs w:val="24"/>
        </w:rPr>
        <w:t>杭州市拱墅区白石路318号中国（杭州）人力资源服务产业园北楼512室</w:t>
      </w:r>
      <w:r>
        <w:rPr>
          <w:rFonts w:hint="eastAsia" w:ascii="宋体" w:hAnsi="宋体" w:eastAsia="宋体" w:cs="宋体"/>
          <w:color w:val="auto"/>
          <w:szCs w:val="24"/>
          <w:lang w:eastAsia="zh-CN"/>
        </w:rPr>
        <w:t>。</w:t>
      </w:r>
    </w:p>
    <w:p w14:paraId="05E94BC5">
      <w:pPr>
        <w:pStyle w:val="4"/>
        <w:jc w:val="both"/>
        <w:rPr>
          <w:rFonts w:hint="eastAsia"/>
          <w:lang w:val="en-US" w:eastAsia="zh-CN"/>
        </w:rPr>
      </w:pPr>
    </w:p>
    <w:p w14:paraId="7303995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1D41D5"/>
          <w:sz w:val="32"/>
          <w:szCs w:val="32"/>
          <w:highlight w:val="none"/>
          <w:lang w:val="en-US" w:eastAsia="zh-CN"/>
        </w:rPr>
      </w:pPr>
      <w:r>
        <w:rPr>
          <w:rFonts w:hint="eastAsia" w:ascii="宋体" w:hAnsi="宋体" w:eastAsia="宋体" w:cs="宋体"/>
          <w:b/>
          <w:bCs/>
          <w:color w:val="1D41D5"/>
          <w:sz w:val="32"/>
          <w:szCs w:val="32"/>
          <w:highlight w:val="none"/>
          <w:lang w:val="en-US" w:eastAsia="zh-CN"/>
        </w:rPr>
        <w:t>附件：投标文件格式及评分规则</w:t>
      </w:r>
    </w:p>
    <w:p w14:paraId="63940DB2">
      <w:pPr>
        <w:pStyle w:val="8"/>
        <w:keepNext w:val="0"/>
        <w:keepLines w:val="0"/>
        <w:pageBreakBefore w:val="0"/>
        <w:widowControl/>
        <w:kinsoku/>
        <w:wordWrap/>
        <w:overflowPunct w:val="0"/>
        <w:topLinePunct/>
        <w:autoSpaceDE/>
        <w:autoSpaceDN/>
        <w:bidi w:val="0"/>
        <w:adjustRightInd w:val="0"/>
        <w:snapToGrid w:val="0"/>
        <w:spacing w:beforeAutospacing="0" w:afterAutospacing="0" w:line="500" w:lineRule="exact"/>
        <w:rPr>
          <w:rFonts w:hint="eastAsia" w:ascii="宋体" w:hAnsi="宋体" w:eastAsia="宋体" w:cs="宋体"/>
          <w:color w:val="auto"/>
          <w:szCs w:val="24"/>
        </w:rPr>
      </w:pPr>
    </w:p>
    <w:p w14:paraId="05FFCDA4">
      <w:pPr>
        <w:pStyle w:val="8"/>
        <w:keepNext w:val="0"/>
        <w:keepLines w:val="0"/>
        <w:pageBreakBefore w:val="0"/>
        <w:widowControl/>
        <w:kinsoku/>
        <w:wordWrap w:val="0"/>
        <w:overflowPunct w:val="0"/>
        <w:topLinePunct/>
        <w:autoSpaceDE/>
        <w:autoSpaceDN/>
        <w:bidi w:val="0"/>
        <w:adjustRightInd w:val="0"/>
        <w:snapToGrid w:val="0"/>
        <w:spacing w:beforeAutospacing="0" w:afterAutospacing="0" w:line="500" w:lineRule="exact"/>
        <w:ind w:left="0" w:firstLine="472" w:firstLineChars="200"/>
        <w:jc w:val="right"/>
        <w:rPr>
          <w:rFonts w:hint="default" w:ascii="宋体" w:hAnsi="宋体" w:eastAsia="宋体" w:cs="宋体"/>
          <w:color w:val="auto"/>
          <w:szCs w:val="24"/>
          <w:lang w:val="en-US" w:eastAsia="zh-CN"/>
        </w:rPr>
      </w:pPr>
      <w:r>
        <w:rPr>
          <w:rFonts w:hint="eastAsia" w:ascii="宋体" w:hAnsi="宋体" w:eastAsia="宋体" w:cs="宋体"/>
          <w:color w:val="auto"/>
          <w:szCs w:val="24"/>
        </w:rPr>
        <w:t xml:space="preserve"> </w:t>
      </w:r>
      <w:r>
        <w:rPr>
          <w:rFonts w:hint="eastAsia" w:ascii="宋体" w:hAnsi="宋体" w:eastAsia="宋体" w:cs="宋体"/>
          <w:color w:val="auto"/>
          <w:szCs w:val="24"/>
          <w:lang w:val="en-US" w:eastAsia="zh-CN"/>
        </w:rPr>
        <w:t xml:space="preserve">浙江五石中正工程咨询有限公司    </w:t>
      </w:r>
    </w:p>
    <w:p w14:paraId="3A8A0E51">
      <w:pPr>
        <w:pStyle w:val="8"/>
        <w:keepNext w:val="0"/>
        <w:keepLines w:val="0"/>
        <w:pageBreakBefore w:val="0"/>
        <w:widowControl/>
        <w:kinsoku/>
        <w:wordWrap w:val="0"/>
        <w:overflowPunct w:val="0"/>
        <w:topLinePunct/>
        <w:autoSpaceDE/>
        <w:autoSpaceDN/>
        <w:bidi w:val="0"/>
        <w:adjustRightInd w:val="0"/>
        <w:snapToGrid w:val="0"/>
        <w:spacing w:beforeAutospacing="0" w:afterAutospacing="0" w:line="500" w:lineRule="exact"/>
        <w:ind w:left="0" w:firstLine="472" w:firstLineChars="200"/>
        <w:jc w:val="right"/>
        <w:rPr>
          <w:rFonts w:hint="default" w:ascii="宋体" w:hAnsi="宋体" w:eastAsia="宋体" w:cs="宋体"/>
          <w:color w:val="auto"/>
          <w:szCs w:val="24"/>
          <w:lang w:val="en-US" w:eastAsia="zh-CN"/>
        </w:rPr>
      </w:pPr>
      <w:r>
        <w:rPr>
          <w:rFonts w:hint="eastAsia" w:ascii="宋体" w:hAnsi="宋体" w:eastAsia="宋体" w:cs="宋体"/>
          <w:color w:val="auto"/>
          <w:szCs w:val="24"/>
        </w:rPr>
        <w:t>202</w:t>
      </w:r>
      <w:r>
        <w:rPr>
          <w:rFonts w:hint="eastAsia" w:ascii="宋体" w:hAnsi="宋体" w:eastAsia="宋体" w:cs="宋体"/>
          <w:color w:val="auto"/>
          <w:szCs w:val="24"/>
          <w:lang w:val="en-US" w:eastAsia="zh-CN"/>
        </w:rPr>
        <w:t>5</w:t>
      </w:r>
      <w:r>
        <w:rPr>
          <w:rFonts w:hint="eastAsia" w:ascii="宋体" w:hAnsi="宋体" w:eastAsia="宋体" w:cs="宋体"/>
          <w:color w:val="auto"/>
          <w:szCs w:val="24"/>
        </w:rPr>
        <w:t>年</w:t>
      </w:r>
      <w:r>
        <w:rPr>
          <w:rFonts w:hint="eastAsia" w:ascii="宋体" w:hAnsi="宋体" w:eastAsia="宋体" w:cs="宋体"/>
          <w:color w:val="auto"/>
          <w:szCs w:val="24"/>
          <w:lang w:val="en-US" w:eastAsia="zh-CN"/>
        </w:rPr>
        <w:t>07</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04</w:t>
      </w:r>
      <w:r>
        <w:rPr>
          <w:rFonts w:hint="eastAsia" w:ascii="宋体" w:hAnsi="宋体" w:eastAsia="宋体" w:cs="宋体"/>
          <w:color w:val="auto"/>
          <w:szCs w:val="24"/>
        </w:rPr>
        <w:t>日</w:t>
      </w:r>
      <w:r>
        <w:rPr>
          <w:rFonts w:hint="eastAsia" w:ascii="宋体" w:hAnsi="宋体" w:eastAsia="宋体" w:cs="宋体"/>
          <w:color w:val="auto"/>
          <w:szCs w:val="24"/>
          <w:lang w:val="en-US" w:eastAsia="zh-CN"/>
        </w:rPr>
        <w:t xml:space="preserve">    </w:t>
      </w:r>
    </w:p>
    <w:p w14:paraId="154BFCB8">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14:paraId="7AAA787D">
      <w:pPr>
        <w:keepNext w:val="0"/>
        <w:keepLines w:val="0"/>
        <w:pageBreakBefore w:val="0"/>
        <w:tabs>
          <w:tab w:val="left" w:pos="7560"/>
        </w:tabs>
        <w:kinsoku/>
        <w:wordWrap/>
        <w:autoSpaceDE/>
        <w:autoSpaceDN/>
        <w:bidi w:val="0"/>
        <w:adjustRightInd w:val="0"/>
        <w:snapToGrid w:val="0"/>
        <w:spacing w:line="520" w:lineRule="exac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附件1：</w:t>
      </w:r>
    </w:p>
    <w:p w14:paraId="763F00F7">
      <w:pPr>
        <w:pStyle w:val="19"/>
        <w:spacing w:line="360" w:lineRule="auto"/>
        <w:ind w:firstLine="3068" w:firstLineChars="1300"/>
        <w:rPr>
          <w:rFonts w:hint="eastAsia" w:ascii="宋体" w:hAnsi="宋体" w:eastAsia="宋体" w:cs="宋体"/>
          <w:b/>
          <w:color w:val="auto"/>
          <w:sz w:val="24"/>
          <w:szCs w:val="24"/>
        </w:rPr>
      </w:pPr>
      <w:r>
        <w:rPr>
          <w:rFonts w:hint="eastAsia" w:ascii="宋体" w:hAnsi="宋体" w:eastAsia="宋体" w:cs="宋体"/>
          <w:b/>
          <w:color w:val="auto"/>
          <w:sz w:val="24"/>
          <w:szCs w:val="24"/>
        </w:rPr>
        <w:t>投标文件格式</w:t>
      </w:r>
    </w:p>
    <w:p w14:paraId="68ED0ABC">
      <w:pPr>
        <w:pStyle w:val="3"/>
        <w:overflowPunct w:val="0"/>
        <w:spacing w:line="240" w:lineRule="auto"/>
        <w:ind w:firstLine="468" w:firstLineChars="198"/>
        <w:rPr>
          <w:rFonts w:hint="eastAsia" w:ascii="宋体" w:hAnsi="宋体" w:eastAsia="宋体" w:cs="宋体"/>
          <w:b/>
          <w:color w:val="auto"/>
          <w:sz w:val="24"/>
          <w:szCs w:val="24"/>
        </w:rPr>
      </w:pPr>
      <w:r>
        <w:rPr>
          <w:rFonts w:hint="eastAsia" w:ascii="宋体" w:hAnsi="宋体" w:eastAsia="宋体" w:cs="宋体"/>
          <w:b/>
          <w:color w:val="auto"/>
          <w:sz w:val="24"/>
          <w:szCs w:val="24"/>
        </w:rPr>
        <w:t>说明：对本章所有的投标书格式 ，投标方可根据自身情况进行补充和修改，但补充和修改不得造成与本格式内容有实质性的违背。</w:t>
      </w:r>
    </w:p>
    <w:p w14:paraId="7CA97D68">
      <w:pPr>
        <w:pStyle w:val="3"/>
        <w:overflowPunct w:val="0"/>
        <w:spacing w:line="240" w:lineRule="auto"/>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格式一：投标函</w:t>
      </w:r>
    </w:p>
    <w:p w14:paraId="182392AC">
      <w:pPr>
        <w:spacing w:line="24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（招标人名称）</w:t>
      </w:r>
    </w:p>
    <w:p w14:paraId="62E74882">
      <w:pPr>
        <w:pStyle w:val="19"/>
        <w:spacing w:line="240" w:lineRule="auto"/>
        <w:ind w:right="-379" w:rightChars="-120"/>
        <w:rPr>
          <w:rFonts w:hint="eastAsia" w:ascii="宋体" w:hAnsi="宋体" w:eastAsia="宋体" w:cs="宋体"/>
          <w:color w:val="auto"/>
          <w:sz w:val="24"/>
          <w:szCs w:val="24"/>
        </w:rPr>
      </w:pPr>
      <w:r>
        <w:rPr>
          <w:rFonts w:hint="eastAsia" w:ascii="宋体" w:hAnsi="宋体" w:eastAsia="宋体" w:cs="宋体"/>
          <w:color w:val="auto"/>
          <w:sz w:val="24"/>
          <w:szCs w:val="24"/>
        </w:rPr>
        <w:t xml:space="preserve">     根据你方</w:t>
      </w:r>
      <w:r>
        <w:rPr>
          <w:rFonts w:hint="eastAsia" w:ascii="宋体" w:hAnsi="宋体" w:eastAsia="宋体" w:cs="宋体"/>
          <w:color w:val="auto"/>
          <w:sz w:val="24"/>
          <w:szCs w:val="24"/>
          <w:u w:val="single"/>
        </w:rPr>
        <w:t>　　（招标项目名称）　　</w:t>
      </w:r>
      <w:r>
        <w:rPr>
          <w:rFonts w:hint="eastAsia" w:ascii="宋体" w:hAnsi="宋体" w:eastAsia="宋体" w:cs="宋体"/>
          <w:color w:val="auto"/>
          <w:sz w:val="24"/>
          <w:szCs w:val="24"/>
        </w:rPr>
        <w:t>的招标文件，经仔细阅读和研究，决定购买标书并参加投标。</w:t>
      </w:r>
    </w:p>
    <w:p w14:paraId="111CD1F8">
      <w:pPr>
        <w:spacing w:line="240" w:lineRule="auto"/>
        <w:ind w:firstLine="472"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1、我们愿意按照招标文件的一切要求，决定投该项目的全部内容。</w:t>
      </w:r>
    </w:p>
    <w:p w14:paraId="28E585C6">
      <w:pPr>
        <w:spacing w:line="240" w:lineRule="auto"/>
        <w:ind w:firstLine="47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2、我们愿意提供招标方在招标文件中要求的所有资料。</w:t>
      </w:r>
    </w:p>
    <w:p w14:paraId="13F20263">
      <w:pPr>
        <w:pStyle w:val="19"/>
        <w:spacing w:line="240" w:lineRule="auto"/>
        <w:ind w:firstLine="472"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3、我们同意从规定的开标日期起遵循本投标文件，并在规定的投标有效期期满之前均具有约束力。</w:t>
      </w:r>
    </w:p>
    <w:p w14:paraId="011227FE">
      <w:pPr>
        <w:spacing w:line="240" w:lineRule="auto"/>
        <w:ind w:firstLine="472"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4、保证严格执行招标文件规定的合同条款，并承担合同规定的责任义务。</w:t>
      </w:r>
    </w:p>
    <w:p w14:paraId="0706D9AF">
      <w:pPr>
        <w:pStyle w:val="19"/>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5、我们愿意遵守招标通告及招标文件中所列的收费标准。</w:t>
      </w:r>
    </w:p>
    <w:p w14:paraId="262A6D53">
      <w:pPr>
        <w:pStyle w:val="19"/>
        <w:spacing w:line="240" w:lineRule="auto"/>
        <w:ind w:firstLine="472"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6、我们承诺该项投标在开标后的全过程中保持有效，不作任何更改和变动。</w:t>
      </w:r>
    </w:p>
    <w:p w14:paraId="44984A12">
      <w:pPr>
        <w:pStyle w:val="19"/>
        <w:spacing w:line="240" w:lineRule="auto"/>
        <w:ind w:firstLine="472"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7、如果我们中标，我们愿意在签订合同时按招标文件要求支付中标服务费。</w:t>
      </w:r>
    </w:p>
    <w:p w14:paraId="0E12BDB7">
      <w:pPr>
        <w:overflowPunct w:val="0"/>
        <w:spacing w:line="240" w:lineRule="auto"/>
        <w:ind w:right="-474" w:rightChars="-150" w:firstLine="472"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8、所有有关本次投标的函电，请按下列方法联系。</w:t>
      </w:r>
    </w:p>
    <w:p w14:paraId="1ADA3389">
      <w:pPr>
        <w:spacing w:line="240" w:lineRule="auto"/>
        <w:ind w:firstLine="2714" w:firstLineChars="1150"/>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（盖章）　　</w:t>
      </w:r>
    </w:p>
    <w:p w14:paraId="31EAA071">
      <w:pPr>
        <w:spacing w:line="240" w:lineRule="auto"/>
        <w:ind w:firstLine="2714" w:firstLineChars="1150"/>
        <w:rPr>
          <w:rFonts w:hint="eastAsia" w:ascii="宋体" w:hAnsi="宋体" w:eastAsia="宋体" w:cs="宋体"/>
          <w:color w:val="auto"/>
          <w:sz w:val="24"/>
          <w:szCs w:val="24"/>
          <w:u w:val="single"/>
        </w:rPr>
      </w:pPr>
      <w:r>
        <w:rPr>
          <w:rFonts w:hint="eastAsia" w:ascii="宋体" w:hAnsi="宋体" w:eastAsia="宋体" w:cs="宋体"/>
          <w:color w:val="auto"/>
          <w:sz w:val="24"/>
          <w:szCs w:val="24"/>
        </w:rPr>
        <w:t>单位地址：</w:t>
      </w:r>
      <w:r>
        <w:rPr>
          <w:rFonts w:hint="eastAsia" w:ascii="宋体" w:hAnsi="宋体" w:eastAsia="宋体" w:cs="宋体"/>
          <w:color w:val="auto"/>
          <w:sz w:val="24"/>
          <w:szCs w:val="24"/>
          <w:u w:val="single"/>
        </w:rPr>
        <w:t>　　　　　　　　　　　　　　　　　　</w:t>
      </w:r>
    </w:p>
    <w:p w14:paraId="2CDD49BB">
      <w:pPr>
        <w:spacing w:line="240" w:lineRule="auto"/>
        <w:ind w:firstLine="2714" w:firstLineChars="115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法定代表人（负责人）或其委托代理人：</w:t>
      </w:r>
      <w:r>
        <w:rPr>
          <w:rFonts w:hint="eastAsia" w:ascii="宋体" w:hAnsi="宋体" w:eastAsia="宋体" w:cs="宋体"/>
          <w:color w:val="auto"/>
          <w:sz w:val="24"/>
          <w:szCs w:val="24"/>
          <w:u w:val="single"/>
        </w:rPr>
        <w:t>　　（签字或盖章）　</w:t>
      </w:r>
    </w:p>
    <w:p w14:paraId="5FA1435E">
      <w:pPr>
        <w:spacing w:line="240" w:lineRule="auto"/>
        <w:ind w:firstLine="2714" w:firstLineChars="115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w:t>
      </w:r>
    </w:p>
    <w:p w14:paraId="2CFDC6F3">
      <w:pPr>
        <w:spacing w:line="240" w:lineRule="auto"/>
        <w:ind w:firstLine="2714" w:firstLineChars="1150"/>
        <w:rPr>
          <w:rFonts w:hint="eastAsia" w:ascii="宋体" w:hAnsi="宋体" w:eastAsia="宋体" w:cs="宋体"/>
          <w:b/>
          <w:color w:val="auto"/>
          <w:sz w:val="24"/>
          <w:szCs w:val="24"/>
        </w:rPr>
      </w:pPr>
      <w:r>
        <w:rPr>
          <w:rFonts w:hint="eastAsia" w:ascii="宋体" w:hAnsi="宋体" w:eastAsia="宋体" w:cs="宋体"/>
          <w:color w:val="auto"/>
          <w:sz w:val="24"/>
          <w:szCs w:val="24"/>
        </w:rPr>
        <w:t>日期：　　　　　　　年　　　　　月　　　　　日</w:t>
      </w:r>
    </w:p>
    <w:p w14:paraId="21DAE191">
      <w:pPr>
        <w:pStyle w:val="3"/>
        <w:overflowPunct w:val="0"/>
        <w:spacing w:line="360" w:lineRule="auto"/>
        <w:jc w:val="both"/>
        <w:rPr>
          <w:rFonts w:hint="eastAsia" w:ascii="宋体" w:hAnsi="宋体" w:eastAsia="宋体" w:cs="宋体"/>
          <w:b/>
          <w:color w:val="auto"/>
          <w:sz w:val="24"/>
          <w:szCs w:val="24"/>
        </w:rPr>
      </w:pPr>
      <w:r>
        <w:rPr>
          <w:rFonts w:hint="eastAsia" w:ascii="宋体" w:hAnsi="宋体" w:eastAsia="宋体" w:cs="宋体"/>
          <w:b/>
          <w:color w:val="auto"/>
          <w:sz w:val="24"/>
          <w:szCs w:val="24"/>
        </w:rPr>
        <w:t>格式二：          法定代表人（负责人）授权委托书　</w:t>
      </w:r>
    </w:p>
    <w:p w14:paraId="402700C0">
      <w:pPr>
        <w:spacing w:line="360" w:lineRule="auto"/>
        <w:ind w:firstLine="472"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本授权书声明：</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银行的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（法定代表人或负责人姓名、职务）代表本银行授权</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（被授权人的姓名、职务），身份证号码</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为本银行的合法代理人，就参加</w:t>
      </w:r>
      <w:r>
        <w:rPr>
          <w:rFonts w:hint="eastAsia" w:ascii="宋体" w:hAnsi="宋体" w:eastAsia="宋体" w:cs="宋体"/>
          <w:color w:val="auto"/>
          <w:sz w:val="24"/>
          <w:szCs w:val="24"/>
          <w:u w:val="single"/>
          <w:lang w:eastAsia="zh-CN"/>
        </w:rPr>
        <w:t>台州市中心医院（台州学院附属医院）2025年第一期公款竞争性存放项目</w:t>
      </w:r>
      <w:r>
        <w:rPr>
          <w:rFonts w:hint="eastAsia" w:ascii="宋体" w:hAnsi="宋体" w:eastAsia="宋体" w:cs="宋体"/>
          <w:color w:val="auto"/>
          <w:sz w:val="24"/>
          <w:szCs w:val="24"/>
        </w:rPr>
        <w:t>投标、签订合同以及合同的执行、完成和纠纷处理，以本银行名义处理一切与之有关的事务。</w:t>
      </w:r>
    </w:p>
    <w:p w14:paraId="4AC38D1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本授权书于202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    月    日生效，特此声明。</w:t>
      </w:r>
    </w:p>
    <w:p w14:paraId="781F8EA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法定代表人（负责人）签字（或盖章）： </w:t>
      </w:r>
    </w:p>
    <w:p w14:paraId="2CAA4B2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p w14:paraId="05971F9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代理人（被授权人）签字：                </w:t>
      </w:r>
    </w:p>
    <w:p w14:paraId="51F51549">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职    务：    </w:t>
      </w:r>
    </w:p>
    <w:p w14:paraId="1969FBD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银行名称（公章）：         日期：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电话：</w:t>
      </w:r>
    </w:p>
    <w:p w14:paraId="7BD75BC9">
      <w:pPr>
        <w:pStyle w:val="19"/>
        <w:spacing w:line="360" w:lineRule="auto"/>
        <w:rPr>
          <w:rFonts w:hint="default" w:ascii="宋体" w:hAnsi="宋体" w:eastAsia="宋体" w:cs="宋体"/>
          <w:b/>
          <w:color w:val="auto"/>
          <w:sz w:val="24"/>
          <w:szCs w:val="24"/>
          <w:lang w:val="en-US" w:eastAsia="zh-CN"/>
        </w:rPr>
      </w:pPr>
      <w:r>
        <w:rPr>
          <w:rFonts w:hint="eastAsia" w:hAnsi="宋体" w:eastAsia="宋体" w:cs="宋体"/>
          <w:b/>
          <w:color w:val="auto"/>
          <w:sz w:val="24"/>
          <w:szCs w:val="24"/>
          <w:lang w:val="en-US" w:eastAsia="zh-CN"/>
        </w:rPr>
        <w:t>身份证明复印件</w:t>
      </w:r>
    </w:p>
    <w:p w14:paraId="4B94B611">
      <w:pPr>
        <w:pStyle w:val="19"/>
        <w:spacing w:line="360" w:lineRule="auto"/>
        <w:rPr>
          <w:rFonts w:hint="eastAsia" w:ascii="宋体" w:hAnsi="宋体" w:eastAsia="宋体" w:cs="宋体"/>
          <w:b/>
          <w:color w:val="auto"/>
          <w:sz w:val="24"/>
          <w:szCs w:val="24"/>
        </w:rPr>
      </w:pPr>
    </w:p>
    <w:p w14:paraId="30E3C029">
      <w:pPr>
        <w:pStyle w:val="19"/>
        <w:spacing w:line="360" w:lineRule="auto"/>
        <w:rPr>
          <w:rFonts w:hint="eastAsia" w:ascii="宋体" w:hAnsi="宋体" w:eastAsia="宋体" w:cs="宋体"/>
          <w:b/>
          <w:color w:val="auto"/>
          <w:sz w:val="24"/>
          <w:szCs w:val="24"/>
        </w:rPr>
      </w:pPr>
    </w:p>
    <w:p w14:paraId="63D2E34D">
      <w:pPr>
        <w:pStyle w:val="19"/>
        <w:spacing w:line="360" w:lineRule="auto"/>
        <w:rPr>
          <w:rFonts w:hint="eastAsia" w:ascii="宋体" w:hAnsi="宋体" w:eastAsia="宋体" w:cs="宋体"/>
          <w:b/>
          <w:color w:val="auto"/>
          <w:sz w:val="24"/>
          <w:szCs w:val="24"/>
        </w:rPr>
      </w:pPr>
    </w:p>
    <w:p w14:paraId="618B5484">
      <w:pPr>
        <w:pStyle w:val="19"/>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格式三：                         开标一览表</w:t>
      </w:r>
    </w:p>
    <w:p w14:paraId="78B09F0C">
      <w:pPr>
        <w:snapToGrid w:val="0"/>
        <w:spacing w:line="59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医院：</w:t>
      </w:r>
    </w:p>
    <w:p w14:paraId="0BAFF6A6">
      <w:pPr>
        <w:snapToGrid w:val="0"/>
        <w:spacing w:line="590" w:lineRule="exact"/>
        <w:ind w:firstLine="472"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我单位承诺：本投标书由我单位授权经办人填写，内容真实、准确、完整。</w:t>
      </w:r>
    </w:p>
    <w:p w14:paraId="6BA27078">
      <w:pPr>
        <w:snapToGrid w:val="0"/>
        <w:spacing w:line="59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投标方名称：_____________________________________</w:t>
      </w:r>
    </w:p>
    <w:p w14:paraId="3045478F">
      <w:pPr>
        <w:snapToGrid w:val="0"/>
        <w:spacing w:line="590" w:lineRule="exact"/>
        <w:rPr>
          <w:rFonts w:hint="eastAsia" w:ascii="宋体" w:hAnsi="宋体" w:eastAsia="宋体" w:cs="宋体"/>
          <w:color w:val="auto"/>
          <w:sz w:val="24"/>
          <w:szCs w:val="24"/>
        </w:rPr>
      </w:pPr>
      <w:r>
        <w:rPr>
          <w:rFonts w:hint="eastAsia" w:ascii="宋体" w:hAnsi="宋体" w:eastAsia="宋体" w:cs="宋体"/>
          <w:color w:val="auto"/>
          <w:sz w:val="24"/>
          <w:szCs w:val="24"/>
        </w:rPr>
        <w:t>联系地址：___________________________邮编：_____________</w:t>
      </w:r>
    </w:p>
    <w:p w14:paraId="2C7965AF">
      <w:pPr>
        <w:snapToGrid w:val="0"/>
        <w:spacing w:line="590" w:lineRule="exact"/>
        <w:rPr>
          <w:rFonts w:hint="eastAsia" w:ascii="宋体" w:hAnsi="宋体" w:eastAsia="宋体" w:cs="宋体"/>
          <w:color w:val="auto"/>
          <w:sz w:val="24"/>
          <w:szCs w:val="24"/>
        </w:rPr>
      </w:pPr>
      <w:r>
        <w:rPr>
          <w:rFonts w:hint="eastAsia" w:ascii="宋体" w:hAnsi="宋体" w:eastAsia="宋体" w:cs="宋体"/>
          <w:color w:val="auto"/>
          <w:sz w:val="24"/>
          <w:szCs w:val="24"/>
        </w:rPr>
        <w:t>联系人：__________________联系电话：________________</w:t>
      </w:r>
    </w:p>
    <w:p w14:paraId="3E2786AD">
      <w:pPr>
        <w:pStyle w:val="4"/>
        <w:rPr>
          <w:rFonts w:hint="eastAsia" w:ascii="宋体" w:hAnsi="宋体" w:eastAsia="宋体" w:cs="宋体"/>
          <w:color w:val="auto"/>
          <w:sz w:val="24"/>
          <w:szCs w:val="24"/>
          <w:u w:val="single"/>
        </w:rPr>
      </w:pPr>
    </w:p>
    <w:p w14:paraId="31DB07F3">
      <w:pPr>
        <w:pStyle w:val="4"/>
        <w:ind w:firstLine="236" w:firstLineChars="100"/>
        <w:jc w:val="both"/>
        <w:rPr>
          <w:rFonts w:hint="eastAsia" w:ascii="宋体" w:hAnsi="宋体" w:eastAsia="宋体" w:cs="宋体"/>
          <w:b/>
          <w:bCs/>
          <w:color w:val="auto"/>
          <w:sz w:val="24"/>
          <w:szCs w:val="24"/>
        </w:rPr>
      </w:pPr>
    </w:p>
    <w:tbl>
      <w:tblPr>
        <w:tblStyle w:val="9"/>
        <w:tblW w:w="8898" w:type="dxa"/>
        <w:jc w:val="center"/>
        <w:tblLayout w:type="fixed"/>
        <w:tblCellMar>
          <w:top w:w="0" w:type="dxa"/>
          <w:left w:w="108" w:type="dxa"/>
          <w:bottom w:w="0" w:type="dxa"/>
          <w:right w:w="108" w:type="dxa"/>
        </w:tblCellMar>
      </w:tblPr>
      <w:tblGrid>
        <w:gridCol w:w="1418"/>
        <w:gridCol w:w="2702"/>
        <w:gridCol w:w="2202"/>
        <w:gridCol w:w="2576"/>
      </w:tblGrid>
      <w:tr w14:paraId="1264979C">
        <w:tblPrEx>
          <w:tblCellMar>
            <w:top w:w="0" w:type="dxa"/>
            <w:left w:w="108" w:type="dxa"/>
            <w:bottom w:w="0" w:type="dxa"/>
            <w:right w:w="108" w:type="dxa"/>
          </w:tblCellMar>
        </w:tblPrEx>
        <w:trPr>
          <w:cantSplit/>
          <w:trHeight w:val="1294" w:hRule="atLeast"/>
          <w:jc w:val="center"/>
        </w:trPr>
        <w:tc>
          <w:tcPr>
            <w:tcW w:w="1418" w:type="dxa"/>
            <w:tcBorders>
              <w:top w:val="single" w:color="000000" w:sz="4" w:space="0"/>
              <w:left w:val="single" w:color="000000" w:sz="4" w:space="0"/>
              <w:bottom w:val="single" w:color="000000" w:sz="4" w:space="0"/>
              <w:right w:val="single" w:color="auto" w:sz="4" w:space="0"/>
            </w:tcBorders>
            <w:noWrap w:val="0"/>
            <w:vAlign w:val="center"/>
          </w:tcPr>
          <w:p w14:paraId="54B528EE">
            <w:pPr>
              <w:keepNext w:val="0"/>
              <w:keepLines w:val="0"/>
              <w:pageBreakBefore w:val="0"/>
              <w:kinsoku/>
              <w:wordWrap/>
              <w:autoSpaceDE/>
              <w:autoSpaceDN/>
              <w:bidi w:val="0"/>
              <w:adjustRightInd w:val="0"/>
              <w:snapToGrid w:val="0"/>
              <w:spacing w:line="3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序号</w:t>
            </w:r>
          </w:p>
        </w:tc>
        <w:tc>
          <w:tcPr>
            <w:tcW w:w="2702" w:type="dxa"/>
            <w:tcBorders>
              <w:top w:val="single" w:color="auto" w:sz="4" w:space="0"/>
              <w:left w:val="nil"/>
              <w:bottom w:val="nil"/>
              <w:right w:val="single" w:color="auto" w:sz="4" w:space="0"/>
            </w:tcBorders>
            <w:noWrap w:val="0"/>
            <w:vAlign w:val="center"/>
          </w:tcPr>
          <w:p w14:paraId="0D3D68D2">
            <w:pPr>
              <w:keepNext w:val="0"/>
              <w:keepLines w:val="0"/>
              <w:pageBreakBefore w:val="0"/>
              <w:kinsoku/>
              <w:wordWrap/>
              <w:autoSpaceDE/>
              <w:autoSpaceDN/>
              <w:bidi w:val="0"/>
              <w:adjustRightInd w:val="0"/>
              <w:snapToGrid w:val="0"/>
              <w:spacing w:line="3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投标金额</w:t>
            </w:r>
          </w:p>
          <w:p w14:paraId="1FE80250">
            <w:pPr>
              <w:keepNext w:val="0"/>
              <w:keepLines w:val="0"/>
              <w:pageBreakBefore w:val="0"/>
              <w:kinsoku/>
              <w:wordWrap/>
              <w:autoSpaceDE/>
              <w:autoSpaceDN/>
              <w:bidi w:val="0"/>
              <w:adjustRightInd w:val="0"/>
              <w:snapToGrid w:val="0"/>
              <w:spacing w:line="3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（万元）</w:t>
            </w:r>
          </w:p>
        </w:tc>
        <w:tc>
          <w:tcPr>
            <w:tcW w:w="2202" w:type="dxa"/>
            <w:tcBorders>
              <w:top w:val="single" w:color="000000" w:sz="4" w:space="0"/>
              <w:left w:val="nil"/>
              <w:bottom w:val="single" w:color="000000" w:sz="4" w:space="0"/>
              <w:right w:val="single" w:color="000000" w:sz="4" w:space="0"/>
            </w:tcBorders>
            <w:noWrap w:val="0"/>
            <w:vAlign w:val="center"/>
          </w:tcPr>
          <w:p w14:paraId="1156CFF2">
            <w:pPr>
              <w:keepNext w:val="0"/>
              <w:keepLines w:val="0"/>
              <w:pageBreakBefore w:val="0"/>
              <w:kinsoku/>
              <w:wordWrap/>
              <w:autoSpaceDE/>
              <w:autoSpaceDN/>
              <w:bidi w:val="0"/>
              <w:adjustRightInd w:val="0"/>
              <w:snapToGrid w:val="0"/>
              <w:spacing w:line="3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定期存款年利率</w:t>
            </w:r>
            <w:r>
              <w:rPr>
                <w:rFonts w:hint="eastAsia" w:ascii="宋体" w:hAnsi="宋体" w:eastAsia="宋体" w:cs="宋体"/>
                <w:color w:val="auto"/>
                <w:sz w:val="28"/>
                <w:szCs w:val="28"/>
                <w:highlight w:val="none"/>
                <w:lang w:val="en-US" w:eastAsia="zh-CN"/>
              </w:rPr>
              <w:t>下减</w:t>
            </w:r>
            <w:r>
              <w:rPr>
                <w:rFonts w:hint="eastAsia" w:ascii="宋体" w:hAnsi="宋体" w:eastAsia="宋体" w:cs="宋体"/>
                <w:color w:val="auto"/>
                <w:sz w:val="28"/>
                <w:szCs w:val="28"/>
                <w:lang w:val="en-US" w:eastAsia="zh-CN"/>
              </w:rPr>
              <w:t>BP值</w:t>
            </w:r>
          </w:p>
        </w:tc>
        <w:tc>
          <w:tcPr>
            <w:tcW w:w="2576" w:type="dxa"/>
            <w:tcBorders>
              <w:top w:val="single" w:color="000000" w:sz="4" w:space="0"/>
              <w:left w:val="nil"/>
              <w:bottom w:val="single" w:color="000000" w:sz="4" w:space="0"/>
              <w:right w:val="single" w:color="000000" w:sz="4" w:space="0"/>
            </w:tcBorders>
            <w:noWrap w:val="0"/>
            <w:vAlign w:val="center"/>
          </w:tcPr>
          <w:p w14:paraId="0613A727">
            <w:pPr>
              <w:keepNext w:val="0"/>
              <w:keepLines w:val="0"/>
              <w:pageBreakBefore w:val="0"/>
              <w:tabs>
                <w:tab w:val="left" w:pos="557"/>
              </w:tabs>
              <w:kinsoku/>
              <w:wordWrap/>
              <w:autoSpaceDE/>
              <w:autoSpaceDN/>
              <w:bidi w:val="0"/>
              <w:adjustRightInd w:val="0"/>
              <w:snapToGrid w:val="0"/>
              <w:spacing w:line="300" w:lineRule="exact"/>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定期存款年利率（%）</w:t>
            </w:r>
          </w:p>
        </w:tc>
      </w:tr>
      <w:tr w14:paraId="4D5F1AA9">
        <w:tblPrEx>
          <w:tblCellMar>
            <w:top w:w="0" w:type="dxa"/>
            <w:left w:w="108" w:type="dxa"/>
            <w:bottom w:w="0" w:type="dxa"/>
            <w:right w:w="108" w:type="dxa"/>
          </w:tblCellMar>
        </w:tblPrEx>
        <w:trPr>
          <w:trHeight w:val="600" w:hRule="atLeast"/>
          <w:jc w:val="center"/>
        </w:trPr>
        <w:tc>
          <w:tcPr>
            <w:tcW w:w="1418" w:type="dxa"/>
            <w:tcBorders>
              <w:top w:val="single" w:color="000000" w:sz="4" w:space="0"/>
              <w:left w:val="single" w:color="000000" w:sz="4" w:space="0"/>
              <w:bottom w:val="single" w:color="000000" w:sz="4" w:space="0"/>
              <w:right w:val="single" w:color="auto" w:sz="4" w:space="0"/>
            </w:tcBorders>
            <w:noWrap w:val="0"/>
            <w:vAlign w:val="top"/>
          </w:tcPr>
          <w:p w14:paraId="753BFB01">
            <w:pPr>
              <w:keepNext w:val="0"/>
              <w:keepLines w:val="0"/>
              <w:pageBreakBefore w:val="0"/>
              <w:kinsoku/>
              <w:wordWrap/>
              <w:autoSpaceDE/>
              <w:autoSpaceDN/>
              <w:bidi w:val="0"/>
              <w:adjustRightInd w:val="0"/>
              <w:snapToGrid w:val="0"/>
              <w:spacing w:line="300" w:lineRule="exact"/>
              <w:rPr>
                <w:rFonts w:hint="default" w:ascii="宋体" w:hAnsi="宋体" w:eastAsia="宋体" w:cs="宋体"/>
                <w:color w:val="auto"/>
                <w:sz w:val="28"/>
                <w:szCs w:val="28"/>
                <w:lang w:val="en-US" w:eastAsia="zh-CN"/>
              </w:rPr>
            </w:pPr>
          </w:p>
        </w:tc>
        <w:tc>
          <w:tcPr>
            <w:tcW w:w="2702" w:type="dxa"/>
            <w:tcBorders>
              <w:top w:val="single" w:color="000000" w:sz="4" w:space="0"/>
              <w:left w:val="nil"/>
              <w:bottom w:val="single" w:color="000000" w:sz="4" w:space="0"/>
              <w:right w:val="single" w:color="auto" w:sz="4" w:space="0"/>
            </w:tcBorders>
            <w:noWrap w:val="0"/>
            <w:vAlign w:val="top"/>
          </w:tcPr>
          <w:p w14:paraId="13ECF916">
            <w:pPr>
              <w:keepNext w:val="0"/>
              <w:keepLines w:val="0"/>
              <w:pageBreakBefore w:val="0"/>
              <w:kinsoku/>
              <w:wordWrap/>
              <w:autoSpaceDE/>
              <w:autoSpaceDN/>
              <w:bidi w:val="0"/>
              <w:adjustRightInd w:val="0"/>
              <w:snapToGrid w:val="0"/>
              <w:spacing w:line="300" w:lineRule="exact"/>
              <w:jc w:val="center"/>
              <w:rPr>
                <w:rFonts w:hint="eastAsia" w:ascii="宋体" w:hAnsi="宋体" w:eastAsia="宋体" w:cs="宋体"/>
                <w:color w:val="auto"/>
                <w:sz w:val="28"/>
                <w:szCs w:val="28"/>
                <w:lang w:val="en-US" w:eastAsia="zh-CN"/>
              </w:rPr>
            </w:pPr>
          </w:p>
        </w:tc>
        <w:tc>
          <w:tcPr>
            <w:tcW w:w="2202" w:type="dxa"/>
            <w:tcBorders>
              <w:top w:val="single" w:color="000000" w:sz="4" w:space="0"/>
              <w:left w:val="nil"/>
              <w:bottom w:val="single" w:color="000000" w:sz="4" w:space="0"/>
              <w:right w:val="single" w:color="000000" w:sz="4" w:space="0"/>
            </w:tcBorders>
            <w:noWrap w:val="0"/>
            <w:vAlign w:val="top"/>
          </w:tcPr>
          <w:p w14:paraId="75998330">
            <w:pPr>
              <w:keepNext w:val="0"/>
              <w:keepLines w:val="0"/>
              <w:pageBreakBefore w:val="0"/>
              <w:kinsoku/>
              <w:wordWrap/>
              <w:autoSpaceDE/>
              <w:autoSpaceDN/>
              <w:bidi w:val="0"/>
              <w:adjustRightInd w:val="0"/>
              <w:snapToGrid w:val="0"/>
              <w:spacing w:line="300" w:lineRule="exact"/>
              <w:jc w:val="center"/>
              <w:rPr>
                <w:rFonts w:hint="eastAsia" w:ascii="宋体" w:hAnsi="宋体" w:eastAsia="宋体" w:cs="宋体"/>
                <w:color w:val="auto"/>
                <w:sz w:val="28"/>
                <w:szCs w:val="28"/>
                <w:lang w:val="en-US" w:eastAsia="zh-CN"/>
              </w:rPr>
            </w:pPr>
          </w:p>
        </w:tc>
        <w:tc>
          <w:tcPr>
            <w:tcW w:w="2576" w:type="dxa"/>
            <w:tcBorders>
              <w:top w:val="single" w:color="000000" w:sz="4" w:space="0"/>
              <w:left w:val="nil"/>
              <w:bottom w:val="single" w:color="000000" w:sz="4" w:space="0"/>
              <w:right w:val="single" w:color="000000" w:sz="4" w:space="0"/>
            </w:tcBorders>
            <w:noWrap w:val="0"/>
            <w:vAlign w:val="top"/>
          </w:tcPr>
          <w:p w14:paraId="74417FC7">
            <w:pPr>
              <w:keepNext w:val="0"/>
              <w:keepLines w:val="0"/>
              <w:pageBreakBefore w:val="0"/>
              <w:kinsoku/>
              <w:wordWrap/>
              <w:autoSpaceDE/>
              <w:autoSpaceDN/>
              <w:bidi w:val="0"/>
              <w:adjustRightInd w:val="0"/>
              <w:snapToGrid w:val="0"/>
              <w:spacing w:line="300" w:lineRule="exact"/>
              <w:jc w:val="center"/>
              <w:rPr>
                <w:rFonts w:hint="eastAsia" w:ascii="宋体" w:hAnsi="宋体" w:eastAsia="宋体" w:cs="宋体"/>
                <w:color w:val="auto"/>
                <w:sz w:val="28"/>
                <w:szCs w:val="28"/>
                <w:lang w:val="en-US" w:eastAsia="zh-CN"/>
              </w:rPr>
            </w:pPr>
          </w:p>
        </w:tc>
      </w:tr>
    </w:tbl>
    <w:p w14:paraId="56914B78">
      <w:pPr>
        <w:pStyle w:val="4"/>
        <w:ind w:firstLine="236" w:firstLineChars="100"/>
        <w:jc w:val="both"/>
        <w:rPr>
          <w:rFonts w:hint="eastAsia" w:ascii="宋体" w:hAnsi="宋体" w:eastAsia="宋体" w:cs="宋体"/>
          <w:b/>
          <w:bCs/>
          <w:color w:val="auto"/>
          <w:sz w:val="24"/>
          <w:szCs w:val="24"/>
        </w:rPr>
      </w:pPr>
    </w:p>
    <w:p w14:paraId="31F0E543">
      <w:pPr>
        <w:pStyle w:val="4"/>
        <w:jc w:val="both"/>
        <w:rPr>
          <w:rFonts w:hint="eastAsia" w:ascii="宋体" w:hAnsi="宋体" w:eastAsia="宋体" w:cs="宋体"/>
          <w:color w:val="auto"/>
          <w:sz w:val="24"/>
          <w:szCs w:val="24"/>
          <w:u w:val="single"/>
        </w:rPr>
      </w:pPr>
    </w:p>
    <w:p w14:paraId="522FAB9B">
      <w:pPr>
        <w:pStyle w:val="4"/>
        <w:rPr>
          <w:rFonts w:hint="eastAsia" w:ascii="宋体" w:hAnsi="宋体" w:eastAsia="宋体" w:cs="宋体"/>
          <w:color w:val="auto"/>
          <w:sz w:val="24"/>
          <w:szCs w:val="24"/>
        </w:rPr>
      </w:pPr>
    </w:p>
    <w:p w14:paraId="50547341">
      <w:pPr>
        <w:snapToGrid w:val="0"/>
        <w:spacing w:line="590" w:lineRule="exact"/>
        <w:ind w:left="960" w:hanging="944" w:hangingChars="400"/>
        <w:rPr>
          <w:rFonts w:hint="eastAsia" w:ascii="宋体" w:hAnsi="宋体" w:eastAsia="宋体" w:cs="宋体"/>
          <w:color w:val="auto"/>
          <w:sz w:val="24"/>
          <w:szCs w:val="24"/>
        </w:rPr>
      </w:pPr>
      <w:r>
        <w:rPr>
          <w:rFonts w:hint="eastAsia" w:ascii="宋体" w:hAnsi="宋体" w:eastAsia="宋体" w:cs="宋体"/>
          <w:color w:val="auto"/>
          <w:sz w:val="24"/>
          <w:szCs w:val="24"/>
        </w:rPr>
        <w:t>备注：1. 定期存款年利率不得违反国家利率政策，否则视为无效投标；</w:t>
      </w:r>
    </w:p>
    <w:p w14:paraId="675DCBEF">
      <w:pPr>
        <w:numPr>
          <w:ilvl w:val="0"/>
          <w:numId w:val="5"/>
        </w:numPr>
        <w:snapToGrid w:val="0"/>
        <w:spacing w:line="590" w:lineRule="exact"/>
        <w:ind w:firstLine="840"/>
        <w:rPr>
          <w:rFonts w:hint="eastAsia" w:ascii="宋体" w:hAnsi="宋体" w:eastAsia="宋体" w:cs="宋体"/>
          <w:color w:val="auto"/>
          <w:sz w:val="24"/>
          <w:szCs w:val="24"/>
        </w:rPr>
      </w:pPr>
      <w:r>
        <w:rPr>
          <w:rFonts w:hint="eastAsia" w:ascii="宋体" w:hAnsi="宋体" w:eastAsia="宋体" w:cs="宋体"/>
          <w:color w:val="auto"/>
          <w:sz w:val="24"/>
          <w:szCs w:val="24"/>
        </w:rPr>
        <w:t>本投标书填写须清晰、不得涂改，否则视为无效投标。</w:t>
      </w:r>
    </w:p>
    <w:p w14:paraId="258411ED">
      <w:pPr>
        <w:pStyle w:val="4"/>
        <w:jc w:val="both"/>
        <w:rPr>
          <w:rFonts w:hint="eastAsia" w:ascii="宋体" w:hAnsi="宋体" w:eastAsia="宋体" w:cs="宋体"/>
          <w:color w:val="auto"/>
          <w:sz w:val="24"/>
          <w:szCs w:val="24"/>
        </w:rPr>
      </w:pPr>
    </w:p>
    <w:p w14:paraId="0E0D890C">
      <w:pPr>
        <w:pStyle w:val="19"/>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3831290">
      <w:pPr>
        <w:pStyle w:val="19"/>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25013FDA">
      <w:pPr>
        <w:pStyle w:val="19"/>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法定代表人（负责人）或被授权人：（签字或盖章）</w:t>
      </w:r>
    </w:p>
    <w:p w14:paraId="3E9298F2">
      <w:pPr>
        <w:pStyle w:val="19"/>
        <w:spacing w:line="360" w:lineRule="auto"/>
        <w:ind w:firstLine="480"/>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 xml:space="preserve">                 年   月   </w:t>
      </w:r>
      <w:r>
        <w:rPr>
          <w:rFonts w:hint="eastAsia" w:hAnsi="宋体" w:eastAsia="宋体" w:cs="宋体"/>
          <w:color w:val="auto"/>
          <w:sz w:val="24"/>
          <w:szCs w:val="24"/>
          <w:lang w:val="en-US" w:eastAsia="zh-CN"/>
        </w:rPr>
        <w:t>日</w:t>
      </w:r>
    </w:p>
    <w:p w14:paraId="445F15C5">
      <w:pPr>
        <w:widowControl/>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格式四：</w:t>
      </w:r>
    </w:p>
    <w:p w14:paraId="3D403EB2">
      <w:pPr>
        <w:widowControl/>
        <w:spacing w:line="360" w:lineRule="auto"/>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廉政承诺书</w:t>
      </w:r>
    </w:p>
    <w:p w14:paraId="2F201CC3">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医院：</w:t>
      </w:r>
    </w:p>
    <w:p w14:paraId="39756DFB">
      <w:pPr>
        <w:snapToGrid w:val="0"/>
        <w:spacing w:line="5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根据《财政部关于进一步加强财政部门和预算单位资金存放管理的指导意见》（财库〔2017〕76号）、《浙江省财政厅关于进一步规范省级行政事业单位公款竞争性存放管理的通知》（浙财预执〔2018〕5号）、《台州市人民政府办公室关于印发台州市市本级财政专户资金竞争性存放管理实施办法和台州市市本级行政事业单位公款竞争性存放管理办法的通知》（台政办发〔2018〕63号）和《台州市市本级公立医院公款竞争性存放商业银行定期存款业务实施办法》（台卫发〔2019〕97号）等相关规定，现就本行参加贵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年度公款竞争性存放做出如下承诺：</w:t>
      </w:r>
    </w:p>
    <w:p w14:paraId="042615DE">
      <w:pPr>
        <w:spacing w:line="520" w:lineRule="exact"/>
        <w:ind w:firstLine="472"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1.不向台州市卫生健康委员会和贵单位负责公款存放管理的领导及相关人员进行利益输送；</w:t>
      </w:r>
    </w:p>
    <w:p w14:paraId="0EBDBA45">
      <w:pPr>
        <w:spacing w:line="520" w:lineRule="exact"/>
        <w:ind w:firstLine="47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2.不将公款存放与台州市卫生健康委员会和贵单位负责公款存放管理的领导及相关人员在本行的配偶、子女及其配偶和其他直接利益相关人员的业绩、收入、晋升等利益挂钩；</w:t>
      </w:r>
    </w:p>
    <w:p w14:paraId="590591B5">
      <w:pPr>
        <w:spacing w:line="520" w:lineRule="exact"/>
        <w:ind w:firstLine="472"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3.严格执行利益回避制度，台州市卫生健康委员会和贵单位负责专户资金竞争性存放相关人员的配偶、子女及其配偶和其他直接利益相关人员为本行工作人员的，不参与公款竞争性存放工作；</w:t>
      </w:r>
    </w:p>
    <w:p w14:paraId="0FEE6F20">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4.不发生除上述行为之外的其他任何利益输送行为。</w:t>
      </w:r>
    </w:p>
    <w:p w14:paraId="2577362C">
      <w:pPr>
        <w:spacing w:line="52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未遵守以上承诺的，本行自愿接受台州市卫生健康委员会和台州市财政局通报和处理，承担相应的一切后果。</w:t>
      </w:r>
    </w:p>
    <w:p w14:paraId="2C72EED5">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银行（公章）</w:t>
      </w:r>
    </w:p>
    <w:p w14:paraId="03158D9C">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8222AF5">
      <w:pPr>
        <w:autoSpaceDE w:val="0"/>
        <w:autoSpaceDN w:val="0"/>
        <w:adjustRightInd w:val="0"/>
        <w:spacing w:line="360" w:lineRule="auto"/>
        <w:ind w:right="640"/>
        <w:jc w:val="both"/>
        <w:rPr>
          <w:rFonts w:hint="eastAsia" w:ascii="宋体" w:hAnsi="宋体"/>
          <w:color w:val="auto"/>
          <w:sz w:val="24"/>
          <w:szCs w:val="24"/>
          <w:lang w:val="zh-CN"/>
        </w:rPr>
      </w:pPr>
    </w:p>
    <w:p w14:paraId="666F52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台州市中心医院（台州学院附属医院）2025年第一期公款竞争性存放项目</w:t>
      </w:r>
    </w:p>
    <w:p w14:paraId="612FCC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评分规则</w:t>
      </w:r>
    </w:p>
    <w:tbl>
      <w:tblPr>
        <w:tblStyle w:val="9"/>
        <w:tblpPr w:leftFromText="180" w:rightFromText="180" w:vertAnchor="text" w:horzAnchor="page" w:tblpX="1412" w:tblpY="620"/>
        <w:tblOverlap w:val="never"/>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377"/>
        <w:gridCol w:w="6658"/>
      </w:tblGrid>
      <w:tr w14:paraId="1E51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03" w:type="dxa"/>
            <w:noWrap w:val="0"/>
            <w:vAlign w:val="center"/>
          </w:tcPr>
          <w:p w14:paraId="5542760A">
            <w:pPr>
              <w:pStyle w:val="4"/>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377" w:type="dxa"/>
            <w:noWrap w:val="0"/>
            <w:vAlign w:val="center"/>
          </w:tcPr>
          <w:p w14:paraId="7BF69F3B">
            <w:pPr>
              <w:pStyle w:val="4"/>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评分指标</w:t>
            </w:r>
          </w:p>
        </w:tc>
        <w:tc>
          <w:tcPr>
            <w:tcW w:w="6658" w:type="dxa"/>
            <w:noWrap w:val="0"/>
            <w:vAlign w:val="center"/>
          </w:tcPr>
          <w:p w14:paraId="526D58A7">
            <w:pPr>
              <w:pStyle w:val="4"/>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r>
      <w:tr w14:paraId="312D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03" w:type="dxa"/>
            <w:noWrap w:val="0"/>
            <w:vAlign w:val="center"/>
          </w:tcPr>
          <w:p w14:paraId="4522D22F">
            <w:pPr>
              <w:pStyle w:val="4"/>
              <w:spacing w:line="24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color w:val="auto"/>
                <w:sz w:val="24"/>
                <w:szCs w:val="24"/>
              </w:rPr>
              <w:t>利率水平</w:t>
            </w:r>
          </w:p>
        </w:tc>
        <w:tc>
          <w:tcPr>
            <w:tcW w:w="2377" w:type="dxa"/>
            <w:shd w:val="clear" w:color="auto" w:fill="auto"/>
            <w:noWrap w:val="0"/>
            <w:vAlign w:val="center"/>
          </w:tcPr>
          <w:p w14:paraId="38CDB65D">
            <w:pPr>
              <w:pStyle w:val="4"/>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利率水平（5分）</w:t>
            </w:r>
          </w:p>
        </w:tc>
        <w:tc>
          <w:tcPr>
            <w:tcW w:w="6658" w:type="dxa"/>
            <w:shd w:val="clear" w:color="auto" w:fill="auto"/>
            <w:noWrap w:val="0"/>
            <w:vAlign w:val="center"/>
          </w:tcPr>
          <w:p w14:paraId="0FF2D2C4">
            <w:pPr>
              <w:pStyle w:val="4"/>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有效竞标银行与同期人民银行定期存款基准利率相比的</w:t>
            </w:r>
            <w:r>
              <w:rPr>
                <w:rFonts w:hint="eastAsia" w:ascii="宋体" w:hAnsi="宋体" w:eastAsia="宋体" w:cs="宋体"/>
                <w:color w:val="auto"/>
                <w:sz w:val="24"/>
                <w:szCs w:val="24"/>
                <w:lang w:val="en-US" w:eastAsia="zh-CN"/>
              </w:rPr>
              <w:t>下减</w:t>
            </w:r>
            <w:r>
              <w:rPr>
                <w:rFonts w:hint="eastAsia" w:ascii="宋体" w:hAnsi="宋体" w:eastAsia="宋体" w:cs="宋体"/>
                <w:color w:val="auto"/>
                <w:sz w:val="24"/>
                <w:szCs w:val="24"/>
              </w:rPr>
              <w:t>基点数(BP 值)最</w:t>
            </w:r>
            <w:r>
              <w:rPr>
                <w:rFonts w:hint="eastAsia" w:ascii="宋体" w:hAnsi="宋体" w:eastAsia="宋体" w:cs="宋体"/>
                <w:color w:val="auto"/>
                <w:sz w:val="24"/>
                <w:szCs w:val="24"/>
                <w:lang w:val="en-US" w:eastAsia="zh-CN"/>
              </w:rPr>
              <w:t>少</w:t>
            </w:r>
            <w:r>
              <w:rPr>
                <w:rFonts w:hint="eastAsia" w:ascii="宋体" w:hAnsi="宋体" w:eastAsia="宋体" w:cs="宋体"/>
                <w:color w:val="auto"/>
                <w:sz w:val="24"/>
                <w:szCs w:val="24"/>
              </w:rPr>
              <w:t>的得满分， BP值每下降1个BP扣0.05分，扣完为止。</w:t>
            </w:r>
          </w:p>
        </w:tc>
      </w:tr>
      <w:tr w14:paraId="1B07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03" w:type="dxa"/>
            <w:vMerge w:val="restart"/>
            <w:noWrap w:val="0"/>
            <w:vAlign w:val="center"/>
          </w:tcPr>
          <w:p w14:paraId="7BEADFED">
            <w:pPr>
              <w:pStyle w:val="4"/>
              <w:spacing w:line="24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经营状况（35分）</w:t>
            </w:r>
          </w:p>
          <w:p w14:paraId="5680324D">
            <w:pPr>
              <w:pStyle w:val="4"/>
              <w:spacing w:line="240" w:lineRule="auto"/>
              <w:rPr>
                <w:rFonts w:hint="eastAsia" w:ascii="宋体" w:hAnsi="宋体" w:eastAsia="宋体" w:cs="宋体"/>
                <w:b/>
                <w:bCs/>
                <w:color w:val="auto"/>
                <w:sz w:val="24"/>
                <w:szCs w:val="24"/>
              </w:rPr>
            </w:pPr>
          </w:p>
          <w:p w14:paraId="3C3957B1">
            <w:pPr>
              <w:pStyle w:val="4"/>
              <w:spacing w:line="240" w:lineRule="auto"/>
              <w:rPr>
                <w:rFonts w:hint="eastAsia" w:ascii="宋体" w:hAnsi="宋体" w:eastAsia="宋体" w:cs="宋体"/>
                <w:b/>
                <w:bCs/>
                <w:color w:val="auto"/>
                <w:sz w:val="24"/>
                <w:szCs w:val="24"/>
              </w:rPr>
            </w:pPr>
          </w:p>
          <w:p w14:paraId="36CCB77D">
            <w:pPr>
              <w:pStyle w:val="4"/>
              <w:spacing w:line="240" w:lineRule="auto"/>
              <w:rPr>
                <w:rFonts w:hint="eastAsia" w:ascii="宋体" w:hAnsi="宋体" w:eastAsia="宋体" w:cs="宋体"/>
                <w:b/>
                <w:bCs/>
                <w:color w:val="auto"/>
                <w:sz w:val="24"/>
                <w:szCs w:val="24"/>
              </w:rPr>
            </w:pPr>
          </w:p>
          <w:p w14:paraId="26AB6E1B">
            <w:pPr>
              <w:pStyle w:val="4"/>
              <w:spacing w:line="240" w:lineRule="auto"/>
              <w:rPr>
                <w:rFonts w:hint="eastAsia" w:ascii="宋体" w:hAnsi="宋体" w:eastAsia="宋体" w:cs="宋体"/>
                <w:b/>
                <w:bCs/>
                <w:color w:val="auto"/>
                <w:sz w:val="24"/>
                <w:szCs w:val="24"/>
              </w:rPr>
            </w:pPr>
          </w:p>
          <w:p w14:paraId="1ABC0C30">
            <w:pPr>
              <w:pStyle w:val="4"/>
              <w:spacing w:line="240" w:lineRule="auto"/>
              <w:rPr>
                <w:rFonts w:hint="eastAsia" w:ascii="宋体" w:hAnsi="宋体" w:eastAsia="宋体" w:cs="宋体"/>
                <w:b/>
                <w:bCs/>
                <w:color w:val="auto"/>
                <w:sz w:val="24"/>
                <w:szCs w:val="24"/>
              </w:rPr>
            </w:pPr>
          </w:p>
        </w:tc>
        <w:tc>
          <w:tcPr>
            <w:tcW w:w="2377" w:type="dxa"/>
            <w:shd w:val="clear" w:color="auto" w:fill="auto"/>
            <w:noWrap w:val="0"/>
            <w:vAlign w:val="center"/>
          </w:tcPr>
          <w:p w14:paraId="52736F87">
            <w:pPr>
              <w:pStyle w:val="4"/>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贷款余额（10分）</w:t>
            </w:r>
          </w:p>
        </w:tc>
        <w:tc>
          <w:tcPr>
            <w:tcW w:w="6658" w:type="dxa"/>
            <w:shd w:val="clear" w:color="auto" w:fill="auto"/>
            <w:noWrap w:val="0"/>
            <w:vAlign w:val="center"/>
          </w:tcPr>
          <w:p w14:paraId="66CE033D">
            <w:pPr>
              <w:pStyle w:val="4"/>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按照各竞标银行竞标月份前一个月在市级贷款余额，第1名的得满分，其他竞标银行与第1名得占比计分。计算公式：（竞标银行贷款余额/第1名竞标银行的贷款余额）*10。此项数据由人行台州市中心支行提供。</w:t>
            </w:r>
          </w:p>
        </w:tc>
      </w:tr>
      <w:tr w14:paraId="6AC0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03" w:type="dxa"/>
            <w:vMerge w:val="continue"/>
            <w:noWrap w:val="0"/>
            <w:vAlign w:val="center"/>
          </w:tcPr>
          <w:p w14:paraId="16D6C177">
            <w:pPr>
              <w:pStyle w:val="4"/>
              <w:spacing w:line="240" w:lineRule="auto"/>
              <w:rPr>
                <w:rFonts w:hint="eastAsia" w:ascii="宋体" w:hAnsi="宋体" w:eastAsia="宋体" w:cs="宋体"/>
                <w:b/>
                <w:bCs/>
                <w:color w:val="auto"/>
                <w:sz w:val="24"/>
                <w:szCs w:val="24"/>
              </w:rPr>
            </w:pPr>
          </w:p>
        </w:tc>
        <w:tc>
          <w:tcPr>
            <w:tcW w:w="2377" w:type="dxa"/>
            <w:shd w:val="clear" w:color="auto" w:fill="auto"/>
            <w:noWrap w:val="0"/>
            <w:vAlign w:val="center"/>
          </w:tcPr>
          <w:p w14:paraId="5866B374">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贷款增量</w:t>
            </w:r>
          </w:p>
          <w:p w14:paraId="28624F4A">
            <w:pPr>
              <w:pStyle w:val="4"/>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（3分）</w:t>
            </w:r>
          </w:p>
        </w:tc>
        <w:tc>
          <w:tcPr>
            <w:tcW w:w="6658" w:type="dxa"/>
            <w:shd w:val="clear" w:color="auto" w:fill="auto"/>
            <w:noWrap w:val="0"/>
            <w:vAlign w:val="center"/>
          </w:tcPr>
          <w:p w14:paraId="6E220EC1">
            <w:pPr>
              <w:pStyle w:val="4"/>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按照各竞标银行竞标月份前一个月的贷款余额比该银行年初数的增量，第1名的得满分，其他竞标银行按与第1名得占比计分。计算公式：（竞标银行贷款增量/第1名竞标银行得贷款增量）*3；增量为负数的，该项不得分。此项数据由人行台州市中心支行提供。</w:t>
            </w:r>
          </w:p>
        </w:tc>
      </w:tr>
      <w:tr w14:paraId="3725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03" w:type="dxa"/>
            <w:vMerge w:val="continue"/>
            <w:noWrap w:val="0"/>
            <w:vAlign w:val="center"/>
          </w:tcPr>
          <w:p w14:paraId="44C562FF">
            <w:pPr>
              <w:pStyle w:val="4"/>
              <w:spacing w:line="240" w:lineRule="auto"/>
              <w:rPr>
                <w:rFonts w:hint="eastAsia" w:ascii="宋体" w:hAnsi="宋体" w:eastAsia="宋体" w:cs="宋体"/>
                <w:b/>
                <w:bCs/>
                <w:color w:val="auto"/>
                <w:sz w:val="24"/>
                <w:szCs w:val="24"/>
              </w:rPr>
            </w:pPr>
          </w:p>
        </w:tc>
        <w:tc>
          <w:tcPr>
            <w:tcW w:w="2377" w:type="dxa"/>
            <w:shd w:val="clear" w:color="auto" w:fill="auto"/>
            <w:noWrap w:val="0"/>
            <w:vAlign w:val="center"/>
          </w:tcPr>
          <w:p w14:paraId="7AD50610">
            <w:pPr>
              <w:pStyle w:val="4"/>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不良贷款率（4分）</w:t>
            </w:r>
          </w:p>
        </w:tc>
        <w:tc>
          <w:tcPr>
            <w:tcW w:w="6658" w:type="dxa"/>
            <w:shd w:val="clear" w:color="auto" w:fill="auto"/>
            <w:noWrap w:val="0"/>
            <w:vAlign w:val="center"/>
          </w:tcPr>
          <w:p w14:paraId="5CBA9B37">
            <w:pPr>
              <w:pStyle w:val="4"/>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按照各竞标银行竞标月份前一个月的不良贷款率排名，最低的为第1名，第1名的得满分，每递减1名扣0.2分，扣完4分为止。此项数据由台州银保监分局提供。</w:t>
            </w:r>
          </w:p>
        </w:tc>
      </w:tr>
      <w:tr w14:paraId="56F1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03" w:type="dxa"/>
            <w:vMerge w:val="continue"/>
            <w:noWrap w:val="0"/>
            <w:vAlign w:val="center"/>
          </w:tcPr>
          <w:p w14:paraId="36459993">
            <w:pPr>
              <w:pStyle w:val="4"/>
              <w:spacing w:line="240" w:lineRule="auto"/>
              <w:rPr>
                <w:rFonts w:hint="eastAsia" w:ascii="宋体" w:hAnsi="宋体" w:eastAsia="宋体" w:cs="宋体"/>
                <w:b/>
                <w:bCs/>
                <w:color w:val="auto"/>
                <w:sz w:val="24"/>
                <w:szCs w:val="24"/>
              </w:rPr>
            </w:pPr>
          </w:p>
        </w:tc>
        <w:tc>
          <w:tcPr>
            <w:tcW w:w="2377" w:type="dxa"/>
            <w:shd w:val="clear" w:color="auto" w:fill="auto"/>
            <w:noWrap w:val="0"/>
            <w:vAlign w:val="center"/>
          </w:tcPr>
          <w:p w14:paraId="3F291E71">
            <w:pPr>
              <w:pStyle w:val="4"/>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资产利润率（3分)</w:t>
            </w:r>
          </w:p>
        </w:tc>
        <w:tc>
          <w:tcPr>
            <w:tcW w:w="6658" w:type="dxa"/>
            <w:shd w:val="clear" w:color="auto" w:fill="auto"/>
            <w:noWrap w:val="0"/>
            <w:vAlign w:val="center"/>
          </w:tcPr>
          <w:p w14:paraId="0E6B1E0A">
            <w:pPr>
              <w:pStyle w:val="4"/>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按照各竞标银行上年度的资产利润率排名，最高的为第1名，第1名的得满分，每递减1名扣0.15分，扣完3分为止。此项数据由台州银保监分局提供。</w:t>
            </w:r>
          </w:p>
        </w:tc>
      </w:tr>
      <w:tr w14:paraId="62E9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03" w:type="dxa"/>
            <w:vMerge w:val="continue"/>
            <w:noWrap w:val="0"/>
            <w:vAlign w:val="center"/>
          </w:tcPr>
          <w:p w14:paraId="0BACA403">
            <w:pPr>
              <w:pStyle w:val="4"/>
              <w:spacing w:line="240" w:lineRule="auto"/>
              <w:rPr>
                <w:rFonts w:hint="eastAsia" w:ascii="宋体" w:hAnsi="宋体" w:eastAsia="宋体" w:cs="宋体"/>
                <w:b/>
                <w:bCs/>
                <w:color w:val="auto"/>
                <w:sz w:val="24"/>
                <w:szCs w:val="24"/>
              </w:rPr>
            </w:pPr>
          </w:p>
        </w:tc>
        <w:tc>
          <w:tcPr>
            <w:tcW w:w="2377" w:type="dxa"/>
            <w:shd w:val="clear" w:color="auto" w:fill="auto"/>
            <w:noWrap w:val="0"/>
            <w:vAlign w:val="center"/>
          </w:tcPr>
          <w:p w14:paraId="72E97044">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利润总额</w:t>
            </w:r>
          </w:p>
          <w:p w14:paraId="230EA330">
            <w:pPr>
              <w:pStyle w:val="4"/>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c>
          <w:tcPr>
            <w:tcW w:w="6658" w:type="dxa"/>
            <w:shd w:val="clear" w:color="auto" w:fill="auto"/>
            <w:noWrap w:val="0"/>
            <w:vAlign w:val="center"/>
          </w:tcPr>
          <w:p w14:paraId="1AAED736">
            <w:pPr>
              <w:pStyle w:val="4"/>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按照各竞标银行竞标上年度的利润总额计分，第1名的得满分，其他竞标银行按与第1名的占比计分。计算公式：（竞标银行上年度利润总额/第1名竞标银行上年度的利润总额）*4。此项数据由台州银保监分局提供。</w:t>
            </w:r>
          </w:p>
        </w:tc>
      </w:tr>
      <w:tr w14:paraId="28A7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03" w:type="dxa"/>
            <w:vMerge w:val="continue"/>
            <w:noWrap w:val="0"/>
            <w:vAlign w:val="center"/>
          </w:tcPr>
          <w:p w14:paraId="069685F5">
            <w:pPr>
              <w:pStyle w:val="4"/>
              <w:spacing w:line="240" w:lineRule="auto"/>
              <w:rPr>
                <w:rFonts w:hint="eastAsia" w:ascii="宋体" w:hAnsi="宋体" w:eastAsia="宋体" w:cs="宋体"/>
                <w:b/>
                <w:bCs/>
                <w:color w:val="auto"/>
                <w:sz w:val="24"/>
                <w:szCs w:val="24"/>
              </w:rPr>
            </w:pPr>
          </w:p>
        </w:tc>
        <w:tc>
          <w:tcPr>
            <w:tcW w:w="2377" w:type="dxa"/>
            <w:shd w:val="clear" w:color="auto" w:fill="auto"/>
            <w:noWrap w:val="0"/>
            <w:vAlign w:val="center"/>
          </w:tcPr>
          <w:p w14:paraId="69056F83">
            <w:pPr>
              <w:pStyle w:val="4"/>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资本充足率（2分）</w:t>
            </w:r>
          </w:p>
        </w:tc>
        <w:tc>
          <w:tcPr>
            <w:tcW w:w="6658" w:type="dxa"/>
            <w:shd w:val="clear" w:color="auto" w:fill="auto"/>
            <w:noWrap w:val="0"/>
            <w:vAlign w:val="center"/>
          </w:tcPr>
          <w:p w14:paraId="739B72BA">
            <w:pPr>
              <w:pStyle w:val="4"/>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按照各竞标银行的资本充足率排名，最高的为第1名，第1名得满分，每递减1名扣0.1分，扣完2分为止。此项数据由各竞标银行自行提供。</w:t>
            </w:r>
          </w:p>
        </w:tc>
      </w:tr>
      <w:tr w14:paraId="0447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03" w:type="dxa"/>
            <w:vMerge w:val="continue"/>
            <w:noWrap w:val="0"/>
            <w:vAlign w:val="center"/>
          </w:tcPr>
          <w:p w14:paraId="22729D5C">
            <w:pPr>
              <w:pStyle w:val="4"/>
              <w:spacing w:line="240" w:lineRule="auto"/>
              <w:rPr>
                <w:rFonts w:hint="eastAsia" w:ascii="宋体" w:hAnsi="宋体" w:eastAsia="宋体" w:cs="宋体"/>
                <w:b/>
                <w:bCs/>
                <w:color w:val="auto"/>
                <w:sz w:val="24"/>
                <w:szCs w:val="24"/>
              </w:rPr>
            </w:pPr>
          </w:p>
        </w:tc>
        <w:tc>
          <w:tcPr>
            <w:tcW w:w="2377" w:type="dxa"/>
            <w:shd w:val="clear" w:color="auto" w:fill="auto"/>
            <w:noWrap w:val="0"/>
            <w:vAlign w:val="center"/>
          </w:tcPr>
          <w:p w14:paraId="603996A5">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监管部门年度评级</w:t>
            </w:r>
          </w:p>
          <w:p w14:paraId="4876CCD1">
            <w:pPr>
              <w:pStyle w:val="4"/>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（5分）</w:t>
            </w:r>
          </w:p>
        </w:tc>
        <w:tc>
          <w:tcPr>
            <w:tcW w:w="6658" w:type="dxa"/>
            <w:shd w:val="clear" w:color="auto" w:fill="auto"/>
            <w:noWrap w:val="0"/>
            <w:vAlign w:val="center"/>
          </w:tcPr>
          <w:p w14:paraId="222EF1E9">
            <w:pPr>
              <w:pStyle w:val="4"/>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 xml:space="preserve">按照监管部门的评级得分，1A为满分 5 分，每下降一个等级扣 0.5 分。同时，按照竞标银行上年度监管部门的评级与上上年度的评级比较，每向前移一位加 0.5 分，每向后移一位扣 0.5 分。该项最高得分 5 分，最低得分 0 分。未纳入监管评级的，该项不得分。其中，国有大型银行、全国性股份制商业银行在台分支机构以其上一级分支机构评级结果为准，其他地方性中小法人银行机构以其总行评级结果为准。此项数据由各竞标银行自行提供。 </w:t>
            </w:r>
          </w:p>
        </w:tc>
      </w:tr>
      <w:tr w14:paraId="1EA9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03" w:type="dxa"/>
            <w:vMerge w:val="continue"/>
            <w:noWrap w:val="0"/>
            <w:vAlign w:val="center"/>
          </w:tcPr>
          <w:p w14:paraId="4EAB8D5B">
            <w:pPr>
              <w:pStyle w:val="4"/>
              <w:spacing w:line="240" w:lineRule="auto"/>
              <w:rPr>
                <w:rFonts w:hint="eastAsia" w:ascii="宋体" w:hAnsi="宋体" w:eastAsia="宋体" w:cs="宋体"/>
                <w:b/>
                <w:bCs/>
                <w:color w:val="auto"/>
                <w:sz w:val="24"/>
                <w:szCs w:val="24"/>
              </w:rPr>
            </w:pPr>
          </w:p>
        </w:tc>
        <w:tc>
          <w:tcPr>
            <w:tcW w:w="2377" w:type="dxa"/>
            <w:shd w:val="clear" w:color="auto" w:fill="auto"/>
            <w:noWrap w:val="0"/>
            <w:vAlign w:val="center"/>
          </w:tcPr>
          <w:p w14:paraId="45C87508">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金融机构综合考核</w:t>
            </w:r>
          </w:p>
          <w:p w14:paraId="3216E2E5">
            <w:pPr>
              <w:pStyle w:val="4"/>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c>
          <w:tcPr>
            <w:tcW w:w="6658" w:type="dxa"/>
            <w:shd w:val="clear" w:color="auto" w:fill="auto"/>
            <w:noWrap w:val="0"/>
            <w:vAlign w:val="center"/>
          </w:tcPr>
          <w:p w14:paraId="3ACFA8B6">
            <w:pPr>
              <w:pStyle w:val="4"/>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反映市政府对各竞标银行的考核情况，</w:t>
            </w:r>
            <w:r>
              <w:rPr>
                <w:rFonts w:hint="eastAsia" w:ascii="宋体" w:hAnsi="宋体" w:eastAsia="宋体" w:cs="宋体"/>
                <w:color w:val="auto"/>
                <w:sz w:val="24"/>
                <w:szCs w:val="24"/>
              </w:rPr>
              <w:t>第1名得满分，每递减1名扣0.2分，扣完4分为止。若市金融办未对某银行进行年度综合考核的，则该银行该项得分为0。此项数据由市金融办提供。</w:t>
            </w:r>
          </w:p>
        </w:tc>
      </w:tr>
      <w:tr w14:paraId="7902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803" w:type="dxa"/>
            <w:vMerge w:val="restart"/>
            <w:noWrap w:val="0"/>
            <w:vAlign w:val="center"/>
          </w:tcPr>
          <w:p w14:paraId="30CD8E45">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贡献度指标（30分）</w:t>
            </w:r>
          </w:p>
        </w:tc>
        <w:tc>
          <w:tcPr>
            <w:tcW w:w="2377" w:type="dxa"/>
            <w:noWrap w:val="0"/>
            <w:vAlign w:val="center"/>
          </w:tcPr>
          <w:p w14:paraId="4C85B1DC">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增贷任务完成情况</w:t>
            </w:r>
          </w:p>
          <w:p w14:paraId="28148890">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6658" w:type="dxa"/>
            <w:noWrap w:val="0"/>
            <w:vAlign w:val="center"/>
          </w:tcPr>
          <w:p w14:paraId="51FBC2CA">
            <w:pPr>
              <w:pStyle w:val="4"/>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按照各竞标银行年度增贷任务的完成情况计分，计算公式：各竞标银行年度增贷任务完成百分比*6，满分6分。若市政府未对某银行下达增贷任务的，则该银行该项得分为0。此项数据由人行台州市中心支行提供。</w:t>
            </w:r>
          </w:p>
        </w:tc>
      </w:tr>
      <w:tr w14:paraId="72A0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03" w:type="dxa"/>
            <w:vMerge w:val="continue"/>
            <w:noWrap w:val="0"/>
            <w:vAlign w:val="center"/>
          </w:tcPr>
          <w:p w14:paraId="11A88EA6">
            <w:pPr>
              <w:pStyle w:val="4"/>
              <w:spacing w:line="240" w:lineRule="auto"/>
              <w:rPr>
                <w:rFonts w:hint="eastAsia" w:ascii="宋体" w:hAnsi="宋体" w:eastAsia="宋体" w:cs="宋体"/>
                <w:color w:val="auto"/>
                <w:sz w:val="24"/>
                <w:szCs w:val="24"/>
              </w:rPr>
            </w:pPr>
          </w:p>
        </w:tc>
        <w:tc>
          <w:tcPr>
            <w:tcW w:w="2377" w:type="dxa"/>
            <w:noWrap w:val="0"/>
            <w:vAlign w:val="center"/>
          </w:tcPr>
          <w:p w14:paraId="1EF393EF">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贷款利率横向比较</w:t>
            </w:r>
          </w:p>
          <w:p w14:paraId="3AB4AD17">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（8分）</w:t>
            </w:r>
          </w:p>
        </w:tc>
        <w:tc>
          <w:tcPr>
            <w:tcW w:w="6658" w:type="dxa"/>
            <w:noWrap w:val="0"/>
            <w:vAlign w:val="center"/>
          </w:tcPr>
          <w:p w14:paraId="414AC9BC">
            <w:pPr>
              <w:pStyle w:val="4"/>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按照本年度各竞标银行竞标前一个月份的累计加权平均贷款利率与同期银行业累计加权平均贷款利率的差值计分，基准分为4分。差值为负数的，予以加分，差值为正数的，予以扣分，每0.4个百分点，加（扣）0.4分，最多加（扣）4分。此项数据由人行台州市中心支行提供。</w:t>
            </w:r>
          </w:p>
        </w:tc>
      </w:tr>
      <w:tr w14:paraId="6C5D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03" w:type="dxa"/>
            <w:vMerge w:val="continue"/>
            <w:noWrap w:val="0"/>
            <w:vAlign w:val="center"/>
          </w:tcPr>
          <w:p w14:paraId="4AC7A1FD">
            <w:pPr>
              <w:pStyle w:val="4"/>
              <w:spacing w:line="240" w:lineRule="auto"/>
              <w:rPr>
                <w:rFonts w:hint="eastAsia" w:ascii="宋体" w:hAnsi="宋体" w:eastAsia="宋体" w:cs="宋体"/>
                <w:color w:val="auto"/>
                <w:sz w:val="24"/>
                <w:szCs w:val="24"/>
              </w:rPr>
            </w:pPr>
          </w:p>
        </w:tc>
        <w:tc>
          <w:tcPr>
            <w:tcW w:w="2377" w:type="dxa"/>
            <w:noWrap w:val="0"/>
            <w:vAlign w:val="center"/>
          </w:tcPr>
          <w:p w14:paraId="629EF0C5">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贷款利率纵向比较</w:t>
            </w:r>
          </w:p>
          <w:p w14:paraId="5A1F838E">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6658" w:type="dxa"/>
            <w:noWrap w:val="0"/>
            <w:vAlign w:val="center"/>
          </w:tcPr>
          <w:p w14:paraId="65D397FB">
            <w:pPr>
              <w:pStyle w:val="4"/>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按照各竞标银行竞标前1个月份的累计加权平均贷款利率与上年度该竞标银行的累计加权平均贷款利率的差值计分，基准分3分。差值为负数的，予以加分，差值为正数的，予以扣分，每0.04个百分点，加（扣）0.2分，最多加（扣）3分。此项数据由人行台州市中心支行提供。</w:t>
            </w:r>
          </w:p>
        </w:tc>
      </w:tr>
      <w:tr w14:paraId="7A75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03" w:type="dxa"/>
            <w:vMerge w:val="continue"/>
            <w:noWrap w:val="0"/>
            <w:vAlign w:val="center"/>
          </w:tcPr>
          <w:p w14:paraId="56BB1276">
            <w:pPr>
              <w:pStyle w:val="4"/>
              <w:spacing w:line="240" w:lineRule="auto"/>
              <w:rPr>
                <w:rFonts w:hint="eastAsia" w:ascii="宋体" w:hAnsi="宋体" w:eastAsia="宋体" w:cs="宋体"/>
                <w:color w:val="auto"/>
                <w:sz w:val="24"/>
                <w:szCs w:val="24"/>
              </w:rPr>
            </w:pPr>
          </w:p>
        </w:tc>
        <w:tc>
          <w:tcPr>
            <w:tcW w:w="2377" w:type="dxa"/>
            <w:noWrap w:val="0"/>
            <w:vAlign w:val="center"/>
          </w:tcPr>
          <w:p w14:paraId="7E7A1524">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制造业贷款余额（5分）</w:t>
            </w:r>
          </w:p>
        </w:tc>
        <w:tc>
          <w:tcPr>
            <w:tcW w:w="6658" w:type="dxa"/>
            <w:noWrap w:val="0"/>
            <w:vAlign w:val="center"/>
          </w:tcPr>
          <w:p w14:paraId="4B305E2F">
            <w:pPr>
              <w:pStyle w:val="4"/>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按照各竞标银行竞标前一个月份对制造业的贷款余额计分，第1名的得满分，其他竞标银行按与第1名的占比计分。计算公式：（竞标银行支持制造业贷款余额/第1名竞标银行支持制造业贷款余额）*5。此项数据由台州银保监分局提供。</w:t>
            </w:r>
          </w:p>
        </w:tc>
      </w:tr>
      <w:tr w14:paraId="2AFE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03" w:type="dxa"/>
            <w:vMerge w:val="continue"/>
            <w:noWrap w:val="0"/>
            <w:vAlign w:val="center"/>
          </w:tcPr>
          <w:p w14:paraId="518421BA">
            <w:pPr>
              <w:pStyle w:val="4"/>
              <w:spacing w:line="240" w:lineRule="auto"/>
              <w:rPr>
                <w:rFonts w:hint="eastAsia" w:ascii="宋体" w:hAnsi="宋体" w:eastAsia="宋体" w:cs="宋体"/>
                <w:color w:val="auto"/>
                <w:sz w:val="24"/>
                <w:szCs w:val="24"/>
              </w:rPr>
            </w:pPr>
          </w:p>
        </w:tc>
        <w:tc>
          <w:tcPr>
            <w:tcW w:w="2377" w:type="dxa"/>
            <w:noWrap w:val="0"/>
            <w:vAlign w:val="center"/>
          </w:tcPr>
          <w:p w14:paraId="63C7C144">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制造业贷款增长率</w:t>
            </w:r>
          </w:p>
          <w:p w14:paraId="6D7D2D3E">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（1分）</w:t>
            </w:r>
          </w:p>
        </w:tc>
        <w:tc>
          <w:tcPr>
            <w:tcW w:w="6658" w:type="dxa"/>
            <w:noWrap w:val="0"/>
            <w:vAlign w:val="center"/>
          </w:tcPr>
          <w:p w14:paraId="71C9A36C">
            <w:pPr>
              <w:pStyle w:val="4"/>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按照各竞标银行竞标前一个月份制造业贷款余额与上年同期相应贷款余额的比率排名，最高的为第1名，第1名的得满分，每递减1名扣0.05分，扣完1分为止。制造业贷款增长率为负的，该项指标不得分。此项数据由台州银保监分局提供。</w:t>
            </w:r>
          </w:p>
        </w:tc>
      </w:tr>
      <w:tr w14:paraId="7AA2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03" w:type="dxa"/>
            <w:vMerge w:val="continue"/>
            <w:noWrap w:val="0"/>
            <w:vAlign w:val="center"/>
          </w:tcPr>
          <w:p w14:paraId="1F39346D">
            <w:pPr>
              <w:pStyle w:val="4"/>
              <w:spacing w:line="240" w:lineRule="auto"/>
              <w:rPr>
                <w:rFonts w:hint="eastAsia" w:ascii="宋体" w:hAnsi="宋体" w:eastAsia="宋体" w:cs="宋体"/>
                <w:color w:val="auto"/>
                <w:sz w:val="24"/>
                <w:szCs w:val="24"/>
              </w:rPr>
            </w:pPr>
          </w:p>
        </w:tc>
        <w:tc>
          <w:tcPr>
            <w:tcW w:w="2377" w:type="dxa"/>
            <w:noWrap w:val="0"/>
            <w:vAlign w:val="center"/>
          </w:tcPr>
          <w:p w14:paraId="76780B1D">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地方税费总额（4分）</w:t>
            </w:r>
          </w:p>
        </w:tc>
        <w:tc>
          <w:tcPr>
            <w:tcW w:w="6658" w:type="dxa"/>
            <w:noWrap w:val="0"/>
            <w:vAlign w:val="center"/>
          </w:tcPr>
          <w:p w14:paraId="559D6E8F">
            <w:pPr>
              <w:pStyle w:val="4"/>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按照各竞标银行上年度在台州市级缴纳的纳入一般公共预算收入计算口径的税费（以下简称地方税费）为依据。第1名的得满分，其他竞标银行按与第1名的占比计分。计算公式：（竞标银行地方税费额/第1名竞标银行的地方税费额）*4。此项数据由台州市税务局提供。</w:t>
            </w:r>
          </w:p>
        </w:tc>
      </w:tr>
      <w:tr w14:paraId="5601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803" w:type="dxa"/>
            <w:vMerge w:val="restart"/>
            <w:noWrap w:val="0"/>
            <w:vAlign w:val="center"/>
          </w:tcPr>
          <w:p w14:paraId="55DA2627">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（四）服务水平（30分）</w:t>
            </w:r>
          </w:p>
        </w:tc>
        <w:tc>
          <w:tcPr>
            <w:tcW w:w="2377" w:type="dxa"/>
            <w:noWrap w:val="0"/>
            <w:vAlign w:val="center"/>
          </w:tcPr>
          <w:p w14:paraId="7BA54253">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银医信息系统合作</w:t>
            </w:r>
          </w:p>
          <w:p w14:paraId="2DCECF88">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6658" w:type="dxa"/>
            <w:noWrap w:val="0"/>
            <w:vAlign w:val="center"/>
          </w:tcPr>
          <w:p w14:paraId="4CC45261">
            <w:pPr>
              <w:pStyle w:val="4"/>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近3年内与台州市内其他医院有合作开发便民就医信息系统或其他便民服务合作措施（需合作医院出具书面证明材料并加盖公单，否则，视为无合作经验。下同）的得5分；与本医院合作开发便民就医信息系统或其他便民服务合作措施的合作银行最高得10分</w:t>
            </w:r>
            <w:r>
              <w:rPr>
                <w:rFonts w:hint="eastAsia" w:ascii="宋体" w:hAnsi="宋体" w:eastAsia="宋体" w:cs="宋体"/>
                <w:color w:val="auto"/>
                <w:sz w:val="24"/>
                <w:szCs w:val="24"/>
                <w:lang w:eastAsia="zh-CN"/>
              </w:rPr>
              <w:t>，如</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lang w:eastAsia="zh-CN"/>
              </w:rPr>
              <w:t>过去中标协议承诺的责任和义务履行不到位的情况，扣1-5分，情节严重的，本医院有权拒绝其在以后 2 至 5 年内参与本单位公款竞争性存放</w:t>
            </w:r>
            <w:r>
              <w:rPr>
                <w:rFonts w:hint="eastAsia" w:ascii="宋体" w:hAnsi="宋体" w:eastAsia="宋体" w:cs="宋体"/>
                <w:color w:val="auto"/>
                <w:sz w:val="24"/>
                <w:szCs w:val="24"/>
              </w:rPr>
              <w:t>；与医院无合作经验的得零分，评标委员会根据银行提供的书面证明材料予以评分。本项目最高分10分，此项数据由银行在投标书中提供。</w:t>
            </w:r>
          </w:p>
        </w:tc>
      </w:tr>
      <w:tr w14:paraId="317A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03" w:type="dxa"/>
            <w:vMerge w:val="continue"/>
            <w:noWrap w:val="0"/>
            <w:vAlign w:val="center"/>
          </w:tcPr>
          <w:p w14:paraId="7E13EE0C">
            <w:pPr>
              <w:pStyle w:val="4"/>
              <w:spacing w:line="240" w:lineRule="auto"/>
              <w:rPr>
                <w:rFonts w:hint="eastAsia" w:ascii="宋体" w:hAnsi="宋体" w:eastAsia="宋体" w:cs="宋体"/>
                <w:color w:val="auto"/>
                <w:sz w:val="24"/>
                <w:szCs w:val="24"/>
              </w:rPr>
            </w:pPr>
          </w:p>
        </w:tc>
        <w:tc>
          <w:tcPr>
            <w:tcW w:w="2377" w:type="dxa"/>
            <w:noWrap w:val="0"/>
            <w:vAlign w:val="center"/>
          </w:tcPr>
          <w:p w14:paraId="344B2100">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便民便医服务能力</w:t>
            </w:r>
          </w:p>
          <w:p w14:paraId="0FECB931">
            <w:pPr>
              <w:pStyle w:val="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（20分）</w:t>
            </w:r>
          </w:p>
        </w:tc>
        <w:tc>
          <w:tcPr>
            <w:tcW w:w="6658" w:type="dxa"/>
            <w:noWrap w:val="0"/>
            <w:vAlign w:val="center"/>
          </w:tcPr>
          <w:p w14:paraId="0686E22C">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反映银行在共建便民便医服务方面的能力。此项数据由银行在投标书中提供。</w:t>
            </w:r>
          </w:p>
          <w:p w14:paraId="0DA353F0">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为方便群众就医便利，银行根据自身能力，积极在医疗服务场所内提供个性化特色服务。包括但不限于安排现场服务人员、投入和维护就医便民支付设施设备等，积极减少群众在就医付费环节的等候时间，让群众就医更便捷。评委根据各家银行提供的个性化服务内容综合计分。</w:t>
            </w:r>
          </w:p>
        </w:tc>
      </w:tr>
    </w:tbl>
    <w:p w14:paraId="617D69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lang w:val="en-US" w:eastAsia="zh-CN"/>
        </w:rPr>
      </w:pPr>
    </w:p>
    <w:p w14:paraId="647E05C3">
      <w:pPr>
        <w:keepNext w:val="0"/>
        <w:keepLines w:val="0"/>
        <w:pageBreakBefore w:val="0"/>
        <w:kinsoku/>
        <w:wordWrap/>
        <w:autoSpaceDE/>
        <w:autoSpaceDN/>
        <w:bidi w:val="0"/>
        <w:adjustRightInd w:val="0"/>
        <w:snapToGrid w:val="0"/>
        <w:spacing w:line="360" w:lineRule="auto"/>
        <w:rPr>
          <w:rFonts w:hint="eastAsia" w:ascii="宋体" w:hAnsi="宋体" w:eastAsia="宋体" w:cs="宋体"/>
          <w:color w:val="auto"/>
          <w:sz w:val="24"/>
        </w:rPr>
      </w:pPr>
    </w:p>
    <w:p w14:paraId="335E147F">
      <w:pPr>
        <w:keepNext w:val="0"/>
        <w:keepLines w:val="0"/>
        <w:pageBreakBefore w:val="0"/>
        <w:kinsoku/>
        <w:wordWrap/>
        <w:autoSpaceDE/>
        <w:autoSpaceDN/>
        <w:bidi w:val="0"/>
        <w:adjustRightInd w:val="0"/>
        <w:snapToGrid w:val="0"/>
        <w:spacing w:line="360" w:lineRule="auto"/>
        <w:rPr>
          <w:rFonts w:hint="eastAsia" w:ascii="宋体" w:hAnsi="宋体" w:eastAsia="宋体" w:cs="宋体"/>
          <w:color w:val="auto"/>
          <w:sz w:val="24"/>
        </w:rPr>
      </w:pPr>
    </w:p>
    <w:p w14:paraId="72B442AC">
      <w:pPr>
        <w:keepNext w:val="0"/>
        <w:keepLines w:val="0"/>
        <w:pageBreakBefore w:val="0"/>
        <w:kinsoku/>
        <w:wordWrap/>
        <w:autoSpaceDE/>
        <w:autoSpaceDN/>
        <w:bidi w:val="0"/>
        <w:adjustRightInd w:val="0"/>
        <w:snapToGrid w:val="0"/>
        <w:spacing w:line="360" w:lineRule="auto"/>
        <w:rPr>
          <w:rFonts w:hint="eastAsia" w:ascii="宋体" w:hAnsi="宋体" w:eastAsia="宋体" w:cs="宋体"/>
          <w:color w:val="auto"/>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1049"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455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2D8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018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0867">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9836">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95A0">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72829"/>
    <w:multiLevelType w:val="singleLevel"/>
    <w:tmpl w:val="A8B72829"/>
    <w:lvl w:ilvl="0" w:tentative="0">
      <w:start w:val="1"/>
      <w:numFmt w:val="chineseCounting"/>
      <w:pStyle w:val="16"/>
      <w:suff w:val="nothing"/>
      <w:lvlText w:val="（%1）"/>
      <w:lvlJc w:val="left"/>
      <w:pPr>
        <w:ind w:left="0" w:firstLine="0"/>
      </w:pPr>
      <w:rPr>
        <w:rFonts w:hint="eastAsia"/>
      </w:rPr>
    </w:lvl>
  </w:abstractNum>
  <w:abstractNum w:abstractNumId="1">
    <w:nsid w:val="BBFB97B2"/>
    <w:multiLevelType w:val="singleLevel"/>
    <w:tmpl w:val="BBFB97B2"/>
    <w:lvl w:ilvl="0" w:tentative="0">
      <w:start w:val="2"/>
      <w:numFmt w:val="decimal"/>
      <w:suff w:val="space"/>
      <w:lvlText w:val="%1."/>
      <w:lvlJc w:val="left"/>
    </w:lvl>
  </w:abstractNum>
  <w:abstractNum w:abstractNumId="2">
    <w:nsid w:val="051A4E85"/>
    <w:multiLevelType w:val="singleLevel"/>
    <w:tmpl w:val="051A4E85"/>
    <w:lvl w:ilvl="0" w:tentative="0">
      <w:start w:val="1"/>
      <w:numFmt w:val="decimal"/>
      <w:pStyle w:val="15"/>
      <w:suff w:val="nothing"/>
      <w:lvlText w:val="（%1）"/>
      <w:lvlJc w:val="left"/>
      <w:pPr>
        <w:ind w:left="0" w:firstLine="0"/>
      </w:pPr>
      <w:rPr>
        <w:rFonts w:hint="default"/>
      </w:rPr>
    </w:lvl>
  </w:abstractNum>
  <w:abstractNum w:abstractNumId="3">
    <w:nsid w:val="1FD18B64"/>
    <w:multiLevelType w:val="singleLevel"/>
    <w:tmpl w:val="1FD18B64"/>
    <w:lvl w:ilvl="0" w:tentative="0">
      <w:start w:val="1"/>
      <w:numFmt w:val="decimal"/>
      <w:pStyle w:val="13"/>
      <w:suff w:val="nothing"/>
      <w:lvlText w:val="%1."/>
      <w:lvlJc w:val="left"/>
      <w:pPr>
        <w:ind w:left="0" w:firstLine="0"/>
      </w:pPr>
      <w:rPr>
        <w:rFonts w:hint="default"/>
      </w:rPr>
    </w:lvl>
  </w:abstractNum>
  <w:abstractNum w:abstractNumId="4">
    <w:nsid w:val="59ABB6A0"/>
    <w:multiLevelType w:val="singleLevel"/>
    <w:tmpl w:val="59ABB6A0"/>
    <w:lvl w:ilvl="0" w:tentative="0">
      <w:start w:val="1"/>
      <w:numFmt w:val="chineseCounting"/>
      <w:pStyle w:val="14"/>
      <w:suff w:val="nothing"/>
      <w:lvlText w:val="%1、"/>
      <w:lvlJc w:val="left"/>
      <w:pPr>
        <w:ind w:left="0" w:firstLine="0"/>
      </w:pPr>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632"/>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ZWQyOTk1MmRiMWZhZWM1OGZiNTZlZTY4NzVmZjkifQ=="/>
  </w:docVars>
  <w:rsids>
    <w:rsidRoot w:val="27955A77"/>
    <w:rsid w:val="004D1C77"/>
    <w:rsid w:val="008001C9"/>
    <w:rsid w:val="00A97848"/>
    <w:rsid w:val="00D251A3"/>
    <w:rsid w:val="00EB052F"/>
    <w:rsid w:val="023A3844"/>
    <w:rsid w:val="02BB7875"/>
    <w:rsid w:val="05B85375"/>
    <w:rsid w:val="065C363E"/>
    <w:rsid w:val="06C323F1"/>
    <w:rsid w:val="074F1FD4"/>
    <w:rsid w:val="0A977412"/>
    <w:rsid w:val="0AE00993"/>
    <w:rsid w:val="0B4F44AB"/>
    <w:rsid w:val="0BDD68D7"/>
    <w:rsid w:val="0CDF5DB3"/>
    <w:rsid w:val="0D5A21CE"/>
    <w:rsid w:val="0DDF64DA"/>
    <w:rsid w:val="0DE56315"/>
    <w:rsid w:val="0F5C0611"/>
    <w:rsid w:val="126E7D99"/>
    <w:rsid w:val="128325E0"/>
    <w:rsid w:val="12BD1E00"/>
    <w:rsid w:val="136A730B"/>
    <w:rsid w:val="138C3F1D"/>
    <w:rsid w:val="14B56C50"/>
    <w:rsid w:val="15040FA7"/>
    <w:rsid w:val="1676708A"/>
    <w:rsid w:val="16E6802E"/>
    <w:rsid w:val="16FB1346"/>
    <w:rsid w:val="18BB4EB6"/>
    <w:rsid w:val="19206870"/>
    <w:rsid w:val="1D604B73"/>
    <w:rsid w:val="1FA02EF4"/>
    <w:rsid w:val="20686B09"/>
    <w:rsid w:val="21FC7CC7"/>
    <w:rsid w:val="22C377AA"/>
    <w:rsid w:val="22EB0ED1"/>
    <w:rsid w:val="24667A2C"/>
    <w:rsid w:val="25FB471A"/>
    <w:rsid w:val="26335C56"/>
    <w:rsid w:val="27955A77"/>
    <w:rsid w:val="27DB3E04"/>
    <w:rsid w:val="2D3C5DC4"/>
    <w:rsid w:val="2D746BEB"/>
    <w:rsid w:val="2F41EDC9"/>
    <w:rsid w:val="2F466EAB"/>
    <w:rsid w:val="2FDA35E2"/>
    <w:rsid w:val="2FDDA9EA"/>
    <w:rsid w:val="3028655B"/>
    <w:rsid w:val="31C418C9"/>
    <w:rsid w:val="33F7B365"/>
    <w:rsid w:val="35DD6DE7"/>
    <w:rsid w:val="37F527C1"/>
    <w:rsid w:val="390E7372"/>
    <w:rsid w:val="391D3B6A"/>
    <w:rsid w:val="394B2DDE"/>
    <w:rsid w:val="39557C35"/>
    <w:rsid w:val="397BC286"/>
    <w:rsid w:val="399F5B58"/>
    <w:rsid w:val="3C7123E8"/>
    <w:rsid w:val="3CE12131"/>
    <w:rsid w:val="3CF75027"/>
    <w:rsid w:val="404D210C"/>
    <w:rsid w:val="416E1D10"/>
    <w:rsid w:val="42BD7D96"/>
    <w:rsid w:val="45492799"/>
    <w:rsid w:val="465644FE"/>
    <w:rsid w:val="47466018"/>
    <w:rsid w:val="49A74B65"/>
    <w:rsid w:val="4A8F2E3D"/>
    <w:rsid w:val="4B0E20FA"/>
    <w:rsid w:val="4B6E6534"/>
    <w:rsid w:val="4BABD11A"/>
    <w:rsid w:val="4C94714C"/>
    <w:rsid w:val="4EB805DF"/>
    <w:rsid w:val="4EBC2001"/>
    <w:rsid w:val="4FAE53B1"/>
    <w:rsid w:val="4FEFE724"/>
    <w:rsid w:val="53FB5BFC"/>
    <w:rsid w:val="547D12D1"/>
    <w:rsid w:val="54F56AFE"/>
    <w:rsid w:val="551749BE"/>
    <w:rsid w:val="55577983"/>
    <w:rsid w:val="55AA053A"/>
    <w:rsid w:val="56641252"/>
    <w:rsid w:val="57CDCC43"/>
    <w:rsid w:val="57FA0D99"/>
    <w:rsid w:val="57FF8C8E"/>
    <w:rsid w:val="5C0120F2"/>
    <w:rsid w:val="5DDF22A3"/>
    <w:rsid w:val="5DFF252E"/>
    <w:rsid w:val="5E474C84"/>
    <w:rsid w:val="5F0E0B3C"/>
    <w:rsid w:val="5F6F10DD"/>
    <w:rsid w:val="5FD5FEFE"/>
    <w:rsid w:val="5FFA960D"/>
    <w:rsid w:val="5FFEC51C"/>
    <w:rsid w:val="61EC126A"/>
    <w:rsid w:val="61F84EF2"/>
    <w:rsid w:val="64975087"/>
    <w:rsid w:val="64D93C17"/>
    <w:rsid w:val="657C417C"/>
    <w:rsid w:val="66771A92"/>
    <w:rsid w:val="66A67FB7"/>
    <w:rsid w:val="66DE4C77"/>
    <w:rsid w:val="67EA1DFA"/>
    <w:rsid w:val="68976AF8"/>
    <w:rsid w:val="6BB30226"/>
    <w:rsid w:val="6BFDF29B"/>
    <w:rsid w:val="6E1528B4"/>
    <w:rsid w:val="6EB7E84E"/>
    <w:rsid w:val="6FBF3E61"/>
    <w:rsid w:val="6FC40918"/>
    <w:rsid w:val="7054363E"/>
    <w:rsid w:val="73FDE3B0"/>
    <w:rsid w:val="747E651B"/>
    <w:rsid w:val="76EF32F3"/>
    <w:rsid w:val="77605677"/>
    <w:rsid w:val="77EDA4E6"/>
    <w:rsid w:val="77F3C07E"/>
    <w:rsid w:val="77FF7F4C"/>
    <w:rsid w:val="790974DA"/>
    <w:rsid w:val="79FFB8C3"/>
    <w:rsid w:val="7B7F1D4B"/>
    <w:rsid w:val="7B7F5933"/>
    <w:rsid w:val="7BD91400"/>
    <w:rsid w:val="7BF0000C"/>
    <w:rsid w:val="7BFD551C"/>
    <w:rsid w:val="7DA64D51"/>
    <w:rsid w:val="7DCD6AF0"/>
    <w:rsid w:val="7E2E6BB0"/>
    <w:rsid w:val="7E3D6B3B"/>
    <w:rsid w:val="7E75EE2A"/>
    <w:rsid w:val="7EFE0FA0"/>
    <w:rsid w:val="7F6EBD4B"/>
    <w:rsid w:val="7FAC144F"/>
    <w:rsid w:val="7FF67C7C"/>
    <w:rsid w:val="7FF72AC3"/>
    <w:rsid w:val="8BEDAA59"/>
    <w:rsid w:val="8DDFB4E0"/>
    <w:rsid w:val="969FD0D7"/>
    <w:rsid w:val="AEEEC110"/>
    <w:rsid w:val="BCFD0566"/>
    <w:rsid w:val="BFDF993D"/>
    <w:rsid w:val="C1D72004"/>
    <w:rsid w:val="CFED491C"/>
    <w:rsid w:val="CFFD0C32"/>
    <w:rsid w:val="DBDF9AA6"/>
    <w:rsid w:val="DF7D082D"/>
    <w:rsid w:val="DFEFB3CB"/>
    <w:rsid w:val="DFFFE607"/>
    <w:rsid w:val="E506C212"/>
    <w:rsid w:val="E7E7AEEB"/>
    <w:rsid w:val="E9FF4D04"/>
    <w:rsid w:val="EA5B01D6"/>
    <w:rsid w:val="EDFF835B"/>
    <w:rsid w:val="EF4EE8A3"/>
    <w:rsid w:val="F2ECF0FC"/>
    <w:rsid w:val="F77FA3EF"/>
    <w:rsid w:val="FBAD9E22"/>
    <w:rsid w:val="FD2DF41D"/>
    <w:rsid w:val="FE7CDAFE"/>
    <w:rsid w:val="FEE39784"/>
    <w:rsid w:val="FFFAC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paragraph" w:styleId="2">
    <w:name w:val="heading 1"/>
    <w:basedOn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ind w:firstLine="420"/>
      <w:jc w:val="left"/>
    </w:pPr>
    <w:rPr>
      <w:rFonts w:eastAsia="楷体_GB2312"/>
      <w:sz w:val="24"/>
    </w:rPr>
  </w:style>
  <w:style w:type="paragraph" w:styleId="4">
    <w:name w:val="Body Text"/>
    <w:basedOn w:val="1"/>
    <w:qFormat/>
    <w:uiPriority w:val="0"/>
    <w:pPr>
      <w:spacing w:line="500" w:lineRule="exact"/>
      <w:jc w:val="center"/>
    </w:pPr>
    <w:rPr>
      <w:szCs w:val="24"/>
    </w:rPr>
  </w:style>
  <w:style w:type="paragraph" w:styleId="5">
    <w:name w:val="Plain Text"/>
    <w:basedOn w:val="1"/>
    <w:qFormat/>
    <w:uiPriority w:val="0"/>
    <w:rPr>
      <w:rFonts w:ascii="宋体" w:hAnsi="Courier New" w:cs="Times New Roman"/>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paragraph" w:customStyle="1" w:styleId="12">
    <w:name w:val="无间隔1"/>
    <w:qFormat/>
    <w:uiPriority w:val="0"/>
    <w:pPr>
      <w:adjustRightInd w:val="0"/>
      <w:snapToGrid w:val="0"/>
    </w:pPr>
    <w:rPr>
      <w:rFonts w:ascii="Tahoma" w:hAnsi="Tahoma" w:eastAsia="微软雅黑" w:cs="黑体"/>
      <w:sz w:val="22"/>
      <w:szCs w:val="22"/>
      <w:lang w:val="en-US" w:eastAsia="zh-CN" w:bidi="ar-SA"/>
    </w:rPr>
  </w:style>
  <w:style w:type="paragraph" w:customStyle="1" w:styleId="13">
    <w:name w:val="公文标题 3"/>
    <w:qFormat/>
    <w:uiPriority w:val="0"/>
    <w:pPr>
      <w:widowControl w:val="0"/>
      <w:numPr>
        <w:ilvl w:val="0"/>
        <w:numId w:val="1"/>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14">
    <w:name w:val="公文标题 1"/>
    <w:qFormat/>
    <w:uiPriority w:val="0"/>
    <w:pPr>
      <w:widowControl w:val="0"/>
      <w:numPr>
        <w:ilvl w:val="0"/>
        <w:numId w:val="2"/>
      </w:numPr>
      <w:overflowPunct w:val="0"/>
      <w:topLinePunct/>
      <w:jc w:val="both"/>
    </w:pPr>
    <w:rPr>
      <w:rFonts w:ascii="Times New Roman" w:hAnsi="Times New Roman" w:eastAsia="方正黑体_GBK" w:cs="Times New Roman"/>
      <w:kern w:val="2"/>
      <w:sz w:val="32"/>
      <w:szCs w:val="32"/>
      <w:lang w:val="en-US" w:eastAsia="zh-CN" w:bidi="ar-SA"/>
    </w:rPr>
  </w:style>
  <w:style w:type="paragraph" w:customStyle="1" w:styleId="15">
    <w:name w:val="公文标题 4"/>
    <w:qFormat/>
    <w:uiPriority w:val="0"/>
    <w:pPr>
      <w:widowControl w:val="0"/>
      <w:numPr>
        <w:ilvl w:val="0"/>
        <w:numId w:val="3"/>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16">
    <w:name w:val="公文标题 2"/>
    <w:qFormat/>
    <w:uiPriority w:val="0"/>
    <w:pPr>
      <w:widowControl w:val="0"/>
      <w:numPr>
        <w:ilvl w:val="0"/>
        <w:numId w:val="4"/>
      </w:numPr>
      <w:overflowPunct w:val="0"/>
      <w:topLinePunct/>
      <w:jc w:val="both"/>
    </w:pPr>
    <w:rPr>
      <w:rFonts w:ascii="Times New Roman" w:hAnsi="Times New Roman" w:eastAsia="方正楷体_GBK" w:cs="Times New Roman"/>
      <w:kern w:val="2"/>
      <w:sz w:val="32"/>
      <w:szCs w:val="32"/>
      <w:lang w:val="en-US" w:eastAsia="zh-CN" w:bidi="ar-SA"/>
    </w:rPr>
  </w:style>
  <w:style w:type="character" w:customStyle="1" w:styleId="17">
    <w:name w:val="页眉 Char"/>
    <w:basedOn w:val="10"/>
    <w:link w:val="7"/>
    <w:qFormat/>
    <w:uiPriority w:val="0"/>
    <w:rPr>
      <w:rFonts w:eastAsia="方正仿宋_GBK"/>
      <w:kern w:val="2"/>
      <w:sz w:val="18"/>
      <w:szCs w:val="18"/>
    </w:rPr>
  </w:style>
  <w:style w:type="character" w:customStyle="1" w:styleId="18">
    <w:name w:val="页脚 Char"/>
    <w:basedOn w:val="10"/>
    <w:link w:val="6"/>
    <w:qFormat/>
    <w:uiPriority w:val="0"/>
    <w:rPr>
      <w:rFonts w:eastAsia="方正仿宋_GBK"/>
      <w:kern w:val="2"/>
      <w:sz w:val="18"/>
      <w:szCs w:val="18"/>
    </w:rPr>
  </w:style>
  <w:style w:type="paragraph" w:customStyle="1" w:styleId="19">
    <w:name w:val="Plain Text"/>
    <w:basedOn w:val="1"/>
    <w:qFormat/>
    <w:uiPriority w:val="0"/>
    <w:pPr>
      <w:adjustRightInd w:val="0"/>
    </w:pPr>
    <w:rPr>
      <w:rFonts w:ascii="宋体" w:hAnsi="Courier New"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关于台州市财政局2022年（第6期）市本级公款竞争性存放项目的招标公告</Template>
  <Pages>11</Pages>
  <Words>4924</Words>
  <Characters>5274</Characters>
  <Lines>14</Lines>
  <Paragraphs>4</Paragraphs>
  <TotalTime>16</TotalTime>
  <ScaleCrop>false</ScaleCrop>
  <LinksUpToDate>false</LinksUpToDate>
  <CharactersWithSpaces>5679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2022-12-13T01:46:00Z</dcterms:created>
  <dc:creator>wps</dc:creator>
  <cp:lastModifiedBy>陆喵了个白。</cp:lastModifiedBy>
  <dcterms:modified xsi:type="dcterms:W3CDTF">2025-07-07T07:12:41Z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50F102794E934C798C08EF24A583C300_13</vt:lpwstr>
  </property>
  <property fmtid="{D5CDD505-2E9C-101B-9397-08002B2CF9AE}" pid="4" name="KSOTemplateDocerSaveRecord">
    <vt:lpwstr>eyJoZGlkIjoiMjllMmM5ZmViZjJiNTAxNWQ4OGJlNWI5MmE4Y2RjY2MiLCJ1c2VySWQiOiIzMzg4NDkwNTkifQ==</vt:lpwstr>
  </property>
</Properties>
</file>