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B5DD1">
      <w:pPr>
        <w:keepNext w:val="0"/>
        <w:keepLines w:val="0"/>
        <w:pageBreakBefore w:val="0"/>
        <w:widowControl w:val="0"/>
        <w:tabs>
          <w:tab w:val="left" w:pos="851"/>
        </w:tabs>
        <w:kinsoku/>
        <w:wordWrap/>
        <w:overflowPunct/>
        <w:topLinePunct w:val="0"/>
        <w:autoSpaceDN/>
        <w:bidi w:val="0"/>
        <w:adjustRightInd/>
        <w:snapToGrid/>
        <w:spacing w:line="600" w:lineRule="exact"/>
        <w:ind w:firstLine="480" w:firstLineChars="200"/>
        <w:jc w:val="left"/>
        <w:textAlignment w:val="auto"/>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sz w:val="24"/>
          <w:szCs w:val="24"/>
          <w:lang w:val="en-US" w:eastAsia="zh-CN"/>
        </w:rPr>
        <w:t>因玉房金〔2025〕4号文件2025年4月30日发布，2025年1月至3月数据计算方式仍旧按《台州市住房公积金管理中心玉环分中心资金竞争性存放实施细则（试行）》的通知（玉房金〔2024〕6号）文件计算，4月至6月数据按新文件计算</w:t>
      </w:r>
      <w:bookmarkStart w:id="0" w:name="_GoBack"/>
      <w:bookmarkEnd w:id="0"/>
      <w:r>
        <w:rPr>
          <w:rFonts w:hint="eastAsia" w:ascii="宋体" w:hAnsi="宋体" w:eastAsia="宋体" w:cs="宋体"/>
          <w:b w:val="0"/>
          <w:bCs w:val="0"/>
          <w:i w:val="0"/>
          <w:caps w:val="0"/>
          <w:color w:val="auto"/>
          <w:spacing w:val="0"/>
          <w:sz w:val="24"/>
          <w:szCs w:val="24"/>
          <w:lang w:val="en-US" w:eastAsia="zh-CN"/>
        </w:rPr>
        <w:t>。</w:t>
      </w:r>
    </w:p>
    <w:p w14:paraId="75815C22">
      <w:pPr>
        <w:keepNext w:val="0"/>
        <w:keepLines w:val="0"/>
        <w:pageBreakBefore w:val="0"/>
        <w:widowControl w:val="0"/>
        <w:tabs>
          <w:tab w:val="left" w:pos="851"/>
        </w:tabs>
        <w:kinsoku/>
        <w:wordWrap/>
        <w:overflowPunct/>
        <w:topLinePunct w:val="0"/>
        <w:autoSpaceDN/>
        <w:bidi w:val="0"/>
        <w:adjustRightInd/>
        <w:snapToGrid/>
        <w:spacing w:line="600" w:lineRule="exact"/>
        <w:ind w:firstLine="240" w:firstLineChars="100"/>
        <w:jc w:val="left"/>
        <w:textAlignment w:val="auto"/>
        <w:rPr>
          <w:rFonts w:hint="default" w:ascii="宋体" w:hAnsi="宋体" w:eastAsia="宋体" w:cs="宋体"/>
          <w:b w:val="0"/>
          <w:bCs w:val="0"/>
          <w:i w:val="0"/>
          <w:caps w:val="0"/>
          <w:color w:val="auto"/>
          <w:spacing w:val="0"/>
          <w:sz w:val="24"/>
          <w:szCs w:val="24"/>
          <w:lang w:val="en-US" w:eastAsia="zh-CN"/>
        </w:rPr>
      </w:pPr>
      <w:r>
        <w:rPr>
          <w:rFonts w:hint="eastAsia" w:ascii="宋体" w:hAnsi="宋体" w:cs="宋体"/>
          <w:b w:val="0"/>
          <w:bCs w:val="0"/>
          <w:i w:val="0"/>
          <w:caps w:val="0"/>
          <w:color w:val="auto"/>
          <w:spacing w:val="0"/>
          <w:sz w:val="24"/>
          <w:szCs w:val="24"/>
          <w:lang w:val="en-US" w:eastAsia="zh-CN"/>
        </w:rPr>
        <w:t>附表一</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248"/>
        <w:gridCol w:w="5379"/>
        <w:gridCol w:w="1083"/>
      </w:tblGrid>
      <w:tr w14:paraId="222E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9" w:type="dxa"/>
            <w:noWrap w:val="0"/>
            <w:tcMar>
              <w:top w:w="0" w:type="dxa"/>
              <w:left w:w="108" w:type="dxa"/>
              <w:bottom w:w="0" w:type="dxa"/>
              <w:right w:w="108" w:type="dxa"/>
            </w:tcMar>
            <w:vAlign w:val="center"/>
          </w:tcPr>
          <w:p w14:paraId="0346F135">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序号</w:t>
            </w:r>
          </w:p>
        </w:tc>
        <w:tc>
          <w:tcPr>
            <w:tcW w:w="2248" w:type="dxa"/>
            <w:noWrap w:val="0"/>
            <w:tcMar>
              <w:top w:w="0" w:type="dxa"/>
              <w:left w:w="108" w:type="dxa"/>
              <w:bottom w:w="0" w:type="dxa"/>
              <w:right w:w="108" w:type="dxa"/>
            </w:tcMar>
            <w:vAlign w:val="center"/>
          </w:tcPr>
          <w:p w14:paraId="3382BE36">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评标项目</w:t>
            </w:r>
          </w:p>
        </w:tc>
        <w:tc>
          <w:tcPr>
            <w:tcW w:w="5379" w:type="dxa"/>
            <w:noWrap w:val="0"/>
            <w:tcMar>
              <w:top w:w="0" w:type="dxa"/>
              <w:left w:w="108" w:type="dxa"/>
              <w:bottom w:w="0" w:type="dxa"/>
              <w:right w:w="108" w:type="dxa"/>
            </w:tcMar>
            <w:vAlign w:val="center"/>
          </w:tcPr>
          <w:p w14:paraId="5386B366">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评标内容</w:t>
            </w:r>
          </w:p>
        </w:tc>
        <w:tc>
          <w:tcPr>
            <w:tcW w:w="1083" w:type="dxa"/>
            <w:noWrap w:val="0"/>
            <w:tcMar>
              <w:top w:w="0" w:type="dxa"/>
              <w:left w:w="108" w:type="dxa"/>
              <w:bottom w:w="0" w:type="dxa"/>
              <w:right w:w="108" w:type="dxa"/>
            </w:tcMar>
            <w:vAlign w:val="center"/>
          </w:tcPr>
          <w:p w14:paraId="094079A1">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得分</w:t>
            </w:r>
          </w:p>
        </w:tc>
      </w:tr>
      <w:tr w14:paraId="344A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9" w:type="dxa"/>
            <w:noWrap w:val="0"/>
            <w:tcMar>
              <w:top w:w="0" w:type="dxa"/>
              <w:left w:w="108" w:type="dxa"/>
              <w:bottom w:w="0" w:type="dxa"/>
              <w:right w:w="108" w:type="dxa"/>
            </w:tcMar>
            <w:vAlign w:val="center"/>
          </w:tcPr>
          <w:p w14:paraId="2A2F7E86">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c>
          <w:tcPr>
            <w:tcW w:w="2248" w:type="dxa"/>
            <w:noWrap w:val="0"/>
            <w:tcMar>
              <w:top w:w="0" w:type="dxa"/>
              <w:left w:w="108" w:type="dxa"/>
              <w:bottom w:w="0" w:type="dxa"/>
              <w:right w:w="108" w:type="dxa"/>
            </w:tcMar>
            <w:vAlign w:val="center"/>
          </w:tcPr>
          <w:p w14:paraId="08D210FF">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资金年收益率指标（</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eastAsia="zh-CN"/>
              </w:rPr>
              <w:t>分）</w:t>
            </w:r>
          </w:p>
        </w:tc>
        <w:tc>
          <w:tcPr>
            <w:tcW w:w="5379" w:type="dxa"/>
            <w:noWrap w:val="0"/>
            <w:tcMar>
              <w:top w:w="0" w:type="dxa"/>
              <w:left w:w="108" w:type="dxa"/>
              <w:bottom w:w="0" w:type="dxa"/>
              <w:right w:w="108" w:type="dxa"/>
            </w:tcMar>
            <w:vAlign w:val="center"/>
          </w:tcPr>
          <w:p w14:paraId="4FDDBD5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资金年收益率指资金定期存款年利率。投标利率须遵守浙江省市场利率定价自律机制相关规定。以有效投标人所对应银行自律机制规定上限作为评标基准利率，达到银行业自律机制规定上限者得满分</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zh-CN"/>
              </w:rPr>
              <w:t>分</w:t>
            </w:r>
            <w:r>
              <w:rPr>
                <w:rFonts w:hint="eastAsia" w:ascii="宋体" w:hAnsi="宋体" w:cs="宋体"/>
                <w:b w:val="0"/>
                <w:bCs w:val="0"/>
                <w:color w:val="auto"/>
                <w:sz w:val="24"/>
                <w:szCs w:val="24"/>
                <w:highlight w:val="none"/>
                <w:lang w:val="zh-CN"/>
              </w:rPr>
              <w:t>，</w:t>
            </w:r>
            <w:r>
              <w:rPr>
                <w:rFonts w:hint="eastAsia" w:ascii="宋体" w:hAnsi="宋体" w:cs="宋体"/>
                <w:b w:val="0"/>
                <w:bCs w:val="0"/>
                <w:color w:val="auto"/>
                <w:sz w:val="24"/>
                <w:szCs w:val="24"/>
                <w:highlight w:val="none"/>
                <w:lang w:val="en-US" w:eastAsia="zh-CN"/>
              </w:rPr>
              <w:t>其他未达到最高上限得分如下：</w:t>
            </w:r>
          </w:p>
          <w:p w14:paraId="1ED6E95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right="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aps w:val="0"/>
                <w:smallCaps w:val="0"/>
                <w:vanish w:val="0"/>
                <w:color w:val="auto"/>
                <w:sz w:val="24"/>
                <w:szCs w:val="24"/>
                <w:highlight w:val="none"/>
                <w:lang w:val="zh-CN"/>
              </w:rPr>
              <w:t>计算公式：</w:t>
            </w:r>
            <w:r>
              <w:rPr>
                <w:rFonts w:hint="eastAsia" w:ascii="宋体" w:hAnsi="宋体" w:eastAsia="宋体" w:cs="宋体"/>
                <w:b w:val="0"/>
                <w:bCs w:val="0"/>
                <w:caps w:val="0"/>
                <w:smallCaps w:val="0"/>
                <w:vanish w:val="0"/>
                <w:color w:val="auto"/>
                <w:sz w:val="24"/>
                <w:szCs w:val="24"/>
                <w:highlight w:val="none"/>
                <w:lang w:val="en-US" w:eastAsia="zh-CN"/>
              </w:rPr>
              <w:t>未达到最高上限的得分=投标银行报价利率/自律公约上限利率</w:t>
            </w:r>
            <w:r>
              <w:rPr>
                <w:rFonts w:hint="eastAsia" w:ascii="宋体" w:hAnsi="宋体" w:eastAsia="宋体" w:cs="宋体"/>
                <w:b w:val="0"/>
                <w:bCs w:val="0"/>
                <w:color w:val="auto"/>
                <w:highlight w:val="none"/>
              </w:rPr>
              <w:t>×</w:t>
            </w:r>
            <w:r>
              <w:rPr>
                <w:rFonts w:hint="eastAsia" w:ascii="宋体" w:hAnsi="宋体" w:eastAsia="宋体" w:cs="宋体"/>
                <w:b w:val="0"/>
                <w:bCs w:val="0"/>
                <w:caps w:val="0"/>
                <w:smallCaps w:val="0"/>
                <w:vanish w:val="0"/>
                <w:color w:val="auto"/>
                <w:sz w:val="24"/>
                <w:szCs w:val="24"/>
                <w:highlight w:val="none"/>
                <w:lang w:val="en-US" w:eastAsia="zh-CN"/>
              </w:rPr>
              <w:t>25分。</w:t>
            </w:r>
          </w:p>
        </w:tc>
        <w:tc>
          <w:tcPr>
            <w:tcW w:w="1083" w:type="dxa"/>
            <w:noWrap w:val="0"/>
            <w:tcMar>
              <w:top w:w="0" w:type="dxa"/>
              <w:left w:w="108" w:type="dxa"/>
              <w:bottom w:w="0" w:type="dxa"/>
              <w:right w:w="108" w:type="dxa"/>
            </w:tcMar>
            <w:vAlign w:val="center"/>
          </w:tcPr>
          <w:p w14:paraId="5CA38767">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r>
      <w:tr w14:paraId="1E19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49" w:type="dxa"/>
            <w:noWrap w:val="0"/>
            <w:tcMar>
              <w:top w:w="0" w:type="dxa"/>
              <w:left w:w="108" w:type="dxa"/>
              <w:bottom w:w="0" w:type="dxa"/>
              <w:right w:w="108" w:type="dxa"/>
            </w:tcMar>
            <w:vAlign w:val="center"/>
          </w:tcPr>
          <w:p w14:paraId="087A42E2">
            <w:pPr>
              <w:shd w:val="clear" w:color="auto" w:fill="auto"/>
              <w:bidi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2248" w:type="dxa"/>
            <w:noWrap w:val="0"/>
            <w:tcMar>
              <w:top w:w="0" w:type="dxa"/>
              <w:left w:w="108" w:type="dxa"/>
              <w:bottom w:w="0" w:type="dxa"/>
              <w:right w:w="108" w:type="dxa"/>
            </w:tcMar>
            <w:vAlign w:val="center"/>
          </w:tcPr>
          <w:p w14:paraId="5929D749">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上年度地方税收贡献度（5分）</w:t>
            </w:r>
          </w:p>
        </w:tc>
        <w:tc>
          <w:tcPr>
            <w:tcW w:w="5379" w:type="dxa"/>
            <w:noWrap w:val="0"/>
            <w:tcMar>
              <w:top w:w="0" w:type="dxa"/>
              <w:left w:w="108" w:type="dxa"/>
              <w:bottom w:w="0" w:type="dxa"/>
              <w:right w:w="108" w:type="dxa"/>
            </w:tcMar>
            <w:vAlign w:val="center"/>
          </w:tcPr>
          <w:p w14:paraId="7B578C8A">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按照市税务部门提供的各竞标银行纳税金额计分。纳税金额最高的银行得5分，其他各银行依据考核排名依次递减0.25分。（均须提供相关证明资料复印件加盖投标人公章）</w:t>
            </w:r>
          </w:p>
        </w:tc>
        <w:tc>
          <w:tcPr>
            <w:tcW w:w="1083" w:type="dxa"/>
            <w:noWrap w:val="0"/>
            <w:tcMar>
              <w:top w:w="0" w:type="dxa"/>
              <w:left w:w="108" w:type="dxa"/>
              <w:bottom w:w="0" w:type="dxa"/>
              <w:right w:w="108" w:type="dxa"/>
            </w:tcMar>
            <w:vAlign w:val="center"/>
          </w:tcPr>
          <w:p w14:paraId="1E96FC86">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49B5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49" w:type="dxa"/>
            <w:vMerge w:val="restart"/>
            <w:noWrap w:val="0"/>
            <w:tcMar>
              <w:top w:w="0" w:type="dxa"/>
              <w:left w:w="108" w:type="dxa"/>
              <w:bottom w:w="0" w:type="dxa"/>
              <w:right w:w="108" w:type="dxa"/>
            </w:tcMar>
            <w:vAlign w:val="center"/>
          </w:tcPr>
          <w:p w14:paraId="2D2A176A">
            <w:pPr>
              <w:shd w:val="clear" w:color="auto" w:fill="auto"/>
              <w:bidi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248" w:type="dxa"/>
            <w:vMerge w:val="restart"/>
            <w:noWrap w:val="0"/>
            <w:tcMar>
              <w:top w:w="0" w:type="dxa"/>
              <w:left w:w="108" w:type="dxa"/>
              <w:bottom w:w="0" w:type="dxa"/>
              <w:right w:w="108" w:type="dxa"/>
            </w:tcMar>
            <w:vAlign w:val="center"/>
          </w:tcPr>
          <w:p w14:paraId="3BF610AF">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受托银行与分中心业务合作指标（</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分）</w:t>
            </w:r>
          </w:p>
        </w:tc>
        <w:tc>
          <w:tcPr>
            <w:tcW w:w="5379" w:type="dxa"/>
            <w:noWrap w:val="0"/>
            <w:tcMar>
              <w:top w:w="0" w:type="dxa"/>
              <w:left w:w="108" w:type="dxa"/>
              <w:bottom w:w="0" w:type="dxa"/>
              <w:right w:w="108" w:type="dxa"/>
            </w:tcMar>
            <w:vAlign w:val="center"/>
          </w:tcPr>
          <w:p w14:paraId="527E72AD">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受托银行住房公积金业务考核指标（</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rPr>
              <w:t>分）。以招标</w:t>
            </w:r>
            <w:r>
              <w:rPr>
                <w:rFonts w:hint="eastAsia" w:ascii="宋体" w:hAnsi="宋体" w:cs="宋体"/>
                <w:b w:val="0"/>
                <w:bCs w:val="0"/>
                <w:color w:val="auto"/>
                <w:sz w:val="24"/>
                <w:szCs w:val="24"/>
                <w:highlight w:val="none"/>
                <w:lang w:val="zh-CN"/>
              </w:rPr>
              <w:t>前</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zh-CN"/>
              </w:rPr>
              <w:t>个月（</w:t>
            </w:r>
            <w:r>
              <w:rPr>
                <w:rFonts w:hint="eastAsia" w:ascii="宋体" w:hAnsi="宋体" w:cs="宋体"/>
                <w:b w:val="0"/>
                <w:bCs w:val="0"/>
                <w:color w:val="auto"/>
                <w:sz w:val="24"/>
                <w:szCs w:val="24"/>
                <w:highlight w:val="none"/>
                <w:lang w:val="en-US" w:eastAsia="zh-CN"/>
              </w:rPr>
              <w:t>1月-3月）</w:t>
            </w:r>
            <w:r>
              <w:rPr>
                <w:rFonts w:hint="eastAsia" w:ascii="宋体" w:hAnsi="宋体" w:eastAsia="宋体" w:cs="宋体"/>
                <w:b w:val="0"/>
                <w:bCs w:val="0"/>
                <w:color w:val="auto"/>
                <w:sz w:val="24"/>
                <w:szCs w:val="24"/>
                <w:highlight w:val="none"/>
                <w:lang w:val="zh-CN" w:eastAsia="zh-CN"/>
              </w:rPr>
              <w:t>分</w:t>
            </w:r>
            <w:r>
              <w:rPr>
                <w:rFonts w:hint="eastAsia" w:ascii="宋体" w:hAnsi="宋体" w:eastAsia="宋体" w:cs="宋体"/>
                <w:b w:val="0"/>
                <w:bCs w:val="0"/>
                <w:color w:val="auto"/>
                <w:sz w:val="24"/>
                <w:szCs w:val="24"/>
                <w:highlight w:val="none"/>
                <w:lang w:val="zh-CN"/>
              </w:rPr>
              <w:t>中心对受托银行公积金业务考核分数为考核内容，考核分数最高的银行得</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rPr>
              <w:t>分，其他各银行得分＝</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rPr>
              <w:t>实际考核分数/最高的银行考核分数</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rPr>
              <w:t>分。</w:t>
            </w:r>
          </w:p>
        </w:tc>
        <w:tc>
          <w:tcPr>
            <w:tcW w:w="1083" w:type="dxa"/>
            <w:noWrap w:val="0"/>
            <w:tcMar>
              <w:top w:w="0" w:type="dxa"/>
              <w:left w:w="108" w:type="dxa"/>
              <w:bottom w:w="0" w:type="dxa"/>
              <w:right w:w="108" w:type="dxa"/>
            </w:tcMar>
            <w:vAlign w:val="center"/>
          </w:tcPr>
          <w:p w14:paraId="0D23B1D9">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14:paraId="77A3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49" w:type="dxa"/>
            <w:vMerge w:val="continue"/>
            <w:noWrap w:val="0"/>
            <w:tcMar>
              <w:top w:w="0" w:type="dxa"/>
              <w:left w:w="108" w:type="dxa"/>
              <w:bottom w:w="0" w:type="dxa"/>
              <w:right w:w="108" w:type="dxa"/>
            </w:tcMar>
            <w:vAlign w:val="center"/>
          </w:tcPr>
          <w:p w14:paraId="563E64F0">
            <w:pPr>
              <w:shd w:val="clear" w:color="auto" w:fill="auto"/>
              <w:bidi w:val="0"/>
              <w:spacing w:line="360" w:lineRule="auto"/>
              <w:jc w:val="center"/>
              <w:rPr>
                <w:rFonts w:hint="eastAsia" w:ascii="宋体" w:hAnsi="宋体" w:cs="宋体"/>
                <w:b w:val="0"/>
                <w:bCs w:val="0"/>
                <w:color w:val="auto"/>
                <w:sz w:val="24"/>
                <w:szCs w:val="24"/>
                <w:highlight w:val="none"/>
                <w:lang w:val="en-US" w:eastAsia="zh-CN"/>
              </w:rPr>
            </w:pPr>
          </w:p>
        </w:tc>
        <w:tc>
          <w:tcPr>
            <w:tcW w:w="2248" w:type="dxa"/>
            <w:vMerge w:val="continue"/>
            <w:noWrap w:val="0"/>
            <w:tcMar>
              <w:top w:w="0" w:type="dxa"/>
              <w:left w:w="108" w:type="dxa"/>
              <w:bottom w:w="0" w:type="dxa"/>
              <w:right w:w="108" w:type="dxa"/>
            </w:tcMar>
            <w:vAlign w:val="center"/>
          </w:tcPr>
          <w:p w14:paraId="52BD71D3">
            <w:pPr>
              <w:shd w:val="clear" w:color="auto" w:fill="auto"/>
              <w:bidi w:val="0"/>
              <w:spacing w:line="360" w:lineRule="auto"/>
              <w:jc w:val="center"/>
              <w:rPr>
                <w:rFonts w:hint="eastAsia" w:ascii="宋体" w:hAnsi="宋体" w:eastAsia="宋体" w:cs="宋体"/>
                <w:b w:val="0"/>
                <w:bCs w:val="0"/>
                <w:color w:val="auto"/>
                <w:sz w:val="24"/>
                <w:szCs w:val="24"/>
                <w:highlight w:val="none"/>
                <w:lang w:val="zh-CN"/>
              </w:rPr>
            </w:pPr>
          </w:p>
        </w:tc>
        <w:tc>
          <w:tcPr>
            <w:tcW w:w="5379" w:type="dxa"/>
            <w:noWrap w:val="0"/>
            <w:tcMar>
              <w:top w:w="0" w:type="dxa"/>
              <w:left w:w="108" w:type="dxa"/>
              <w:bottom w:w="0" w:type="dxa"/>
              <w:right w:w="108" w:type="dxa"/>
            </w:tcMar>
            <w:vAlign w:val="center"/>
          </w:tcPr>
          <w:p w14:paraId="6781E86A">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受托银行配合分中心工作指标（</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分）。受托银行派遣工作人员入驻分中心行政服务中心窗口并接受统一管理的得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分，受托银行派遣人员缺岗的，每缺一个月扣减</w:t>
            </w:r>
            <w:r>
              <w:rPr>
                <w:rFonts w:hint="eastAsia" w:ascii="宋体" w:hAnsi="宋体" w:eastAsia="宋体" w:cs="宋体"/>
                <w:b w:val="0"/>
                <w:bCs w:val="0"/>
                <w:color w:val="auto"/>
                <w:sz w:val="24"/>
                <w:szCs w:val="24"/>
                <w:highlight w:val="none"/>
                <w:lang w:val="en-US" w:eastAsia="zh-CN"/>
              </w:rPr>
              <w:t>0.25</w:t>
            </w:r>
            <w:r>
              <w:rPr>
                <w:rFonts w:hint="eastAsia" w:ascii="宋体" w:hAnsi="宋体" w:eastAsia="宋体" w:cs="宋体"/>
                <w:b w:val="0"/>
                <w:bCs w:val="0"/>
                <w:color w:val="auto"/>
                <w:sz w:val="24"/>
                <w:szCs w:val="24"/>
                <w:highlight w:val="none"/>
                <w:lang w:val="zh-CN"/>
              </w:rPr>
              <w:t>分</w:t>
            </w:r>
            <w:r>
              <w:rPr>
                <w:rFonts w:hint="eastAsia" w:ascii="宋体" w:hAnsi="宋体" w:eastAsia="宋体" w:cs="宋体"/>
                <w:b w:val="0"/>
                <w:bCs w:val="0"/>
                <w:color w:val="auto"/>
                <w:sz w:val="24"/>
                <w:szCs w:val="24"/>
                <w:highlight w:val="none"/>
                <w:lang w:val="zh-CN" w:eastAsia="zh-CN"/>
              </w:rPr>
              <w:t>，扣完为止</w:t>
            </w:r>
            <w:r>
              <w:rPr>
                <w:rFonts w:hint="eastAsia" w:ascii="宋体" w:hAnsi="宋体" w:eastAsia="宋体" w:cs="宋体"/>
                <w:b w:val="0"/>
                <w:bCs w:val="0"/>
                <w:color w:val="auto"/>
                <w:sz w:val="24"/>
                <w:szCs w:val="24"/>
                <w:highlight w:val="none"/>
                <w:lang w:val="zh-CN"/>
              </w:rPr>
              <w:t>。</w:t>
            </w:r>
          </w:p>
        </w:tc>
        <w:tc>
          <w:tcPr>
            <w:tcW w:w="1083" w:type="dxa"/>
            <w:noWrap w:val="0"/>
            <w:tcMar>
              <w:top w:w="0" w:type="dxa"/>
              <w:left w:w="108" w:type="dxa"/>
              <w:bottom w:w="0" w:type="dxa"/>
              <w:right w:w="108" w:type="dxa"/>
            </w:tcMar>
            <w:vAlign w:val="center"/>
          </w:tcPr>
          <w:p w14:paraId="6A877655">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9A5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49" w:type="dxa"/>
            <w:noWrap w:val="0"/>
            <w:tcMar>
              <w:top w:w="0" w:type="dxa"/>
              <w:left w:w="108" w:type="dxa"/>
              <w:bottom w:w="0" w:type="dxa"/>
              <w:right w:w="108" w:type="dxa"/>
            </w:tcMar>
            <w:vAlign w:val="center"/>
          </w:tcPr>
          <w:p w14:paraId="0B76049C">
            <w:pPr>
              <w:shd w:val="clear" w:color="auto" w:fill="auto"/>
              <w:bidi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2248" w:type="dxa"/>
            <w:vMerge w:val="restart"/>
            <w:noWrap w:val="0"/>
            <w:tcMar>
              <w:top w:w="0" w:type="dxa"/>
              <w:left w:w="108" w:type="dxa"/>
              <w:bottom w:w="0" w:type="dxa"/>
              <w:right w:w="108" w:type="dxa"/>
            </w:tcMar>
            <w:vAlign w:val="center"/>
          </w:tcPr>
          <w:p w14:paraId="594FBD89">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受托银行扩面工作考核指标（</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rPr>
              <w:t>0分）当期竞争性存放招标公告发出之月的前</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个月</w:t>
            </w:r>
            <w:r>
              <w:rPr>
                <w:rFonts w:hint="eastAsia" w:ascii="宋体" w:hAnsi="宋体" w:cs="宋体"/>
                <w:b w:val="0"/>
                <w:bCs w:val="0"/>
                <w:color w:val="auto"/>
                <w:sz w:val="24"/>
                <w:szCs w:val="24"/>
                <w:highlight w:val="none"/>
                <w:lang w:val="zh-CN"/>
              </w:rPr>
              <w:t>（</w:t>
            </w:r>
            <w:r>
              <w:rPr>
                <w:rFonts w:hint="eastAsia" w:ascii="宋体" w:hAnsi="宋体" w:cs="宋体"/>
                <w:b w:val="0"/>
                <w:bCs w:val="0"/>
                <w:color w:val="auto"/>
                <w:sz w:val="24"/>
                <w:szCs w:val="24"/>
                <w:highlight w:val="none"/>
                <w:lang w:val="en-US" w:eastAsia="zh-CN"/>
              </w:rPr>
              <w:t>1月-3月）</w:t>
            </w:r>
            <w:r>
              <w:rPr>
                <w:rFonts w:hint="eastAsia" w:ascii="宋体" w:hAnsi="宋体" w:eastAsia="宋体" w:cs="宋体"/>
                <w:b w:val="0"/>
                <w:bCs w:val="0"/>
                <w:color w:val="auto"/>
                <w:sz w:val="24"/>
                <w:szCs w:val="24"/>
                <w:highlight w:val="none"/>
                <w:lang w:val="zh-CN"/>
              </w:rPr>
              <w:t>，建缴扩面单位数和实际扩面人数须经分中心认可。</w:t>
            </w:r>
          </w:p>
        </w:tc>
        <w:tc>
          <w:tcPr>
            <w:tcW w:w="5379" w:type="dxa"/>
            <w:noWrap w:val="0"/>
            <w:tcMar>
              <w:top w:w="0" w:type="dxa"/>
              <w:left w:w="108" w:type="dxa"/>
              <w:bottom w:w="0" w:type="dxa"/>
              <w:right w:w="108" w:type="dxa"/>
            </w:tcMar>
            <w:vAlign w:val="center"/>
          </w:tcPr>
          <w:p w14:paraId="558361FC">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建缴扩面单位数得分计算公式：建缴扩面单位数最高的银行得</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zh-CN"/>
              </w:rPr>
              <w:t>分，其他各银行得分=（建缴扩面单位数/最高建缴扩面单位数）×</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zh-CN"/>
              </w:rPr>
              <w:t>分。</w:t>
            </w:r>
          </w:p>
        </w:tc>
        <w:tc>
          <w:tcPr>
            <w:tcW w:w="1083" w:type="dxa"/>
            <w:noWrap w:val="0"/>
            <w:tcMar>
              <w:top w:w="0" w:type="dxa"/>
              <w:left w:w="108" w:type="dxa"/>
              <w:bottom w:w="0" w:type="dxa"/>
              <w:right w:w="108" w:type="dxa"/>
            </w:tcMar>
            <w:vAlign w:val="center"/>
          </w:tcPr>
          <w:p w14:paraId="2A17BEFB">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r>
      <w:tr w14:paraId="39A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9" w:type="dxa"/>
            <w:noWrap w:val="0"/>
            <w:tcMar>
              <w:top w:w="0" w:type="dxa"/>
              <w:left w:w="108" w:type="dxa"/>
              <w:bottom w:w="0" w:type="dxa"/>
              <w:right w:w="108" w:type="dxa"/>
            </w:tcMar>
            <w:vAlign w:val="center"/>
          </w:tcPr>
          <w:p w14:paraId="60E64B21">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p>
        </w:tc>
        <w:tc>
          <w:tcPr>
            <w:tcW w:w="2248" w:type="dxa"/>
            <w:vMerge w:val="continue"/>
            <w:noWrap w:val="0"/>
            <w:tcMar>
              <w:top w:w="0" w:type="dxa"/>
              <w:left w:w="108" w:type="dxa"/>
              <w:bottom w:w="0" w:type="dxa"/>
              <w:right w:w="108" w:type="dxa"/>
            </w:tcMar>
            <w:vAlign w:val="center"/>
          </w:tcPr>
          <w:p w14:paraId="635C03DE">
            <w:pPr>
              <w:shd w:val="clear" w:color="auto" w:fill="auto"/>
              <w:bidi w:val="0"/>
              <w:spacing w:line="360" w:lineRule="auto"/>
              <w:jc w:val="center"/>
              <w:rPr>
                <w:rFonts w:hint="eastAsia" w:ascii="宋体" w:hAnsi="宋体" w:eastAsia="宋体" w:cs="宋体"/>
                <w:b w:val="0"/>
                <w:bCs w:val="0"/>
                <w:color w:val="auto"/>
                <w:sz w:val="24"/>
                <w:szCs w:val="24"/>
                <w:highlight w:val="none"/>
                <w:lang w:eastAsia="zh-CN"/>
              </w:rPr>
            </w:pPr>
          </w:p>
        </w:tc>
        <w:tc>
          <w:tcPr>
            <w:tcW w:w="5379" w:type="dxa"/>
            <w:noWrap w:val="0"/>
            <w:tcMar>
              <w:top w:w="0" w:type="dxa"/>
              <w:left w:w="108" w:type="dxa"/>
              <w:bottom w:w="0" w:type="dxa"/>
              <w:right w:w="108" w:type="dxa"/>
            </w:tcMar>
            <w:vAlign w:val="center"/>
          </w:tcPr>
          <w:p w14:paraId="1DC5F878">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rPr>
              <w:t>实际扩面人数考核分值为</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zh-CN"/>
              </w:rPr>
              <w:t>分。实际扩面人数得分计算公式：实际扩面人数最高的银行得</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zh-CN"/>
              </w:rPr>
              <w:t>分，其他各银行得分=（实际扩面人数/最高扩面人数）×</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zh-CN"/>
              </w:rPr>
              <w:t>分。</w:t>
            </w:r>
          </w:p>
        </w:tc>
        <w:tc>
          <w:tcPr>
            <w:tcW w:w="1083" w:type="dxa"/>
            <w:noWrap w:val="0"/>
            <w:tcMar>
              <w:top w:w="0" w:type="dxa"/>
              <w:left w:w="108" w:type="dxa"/>
              <w:bottom w:w="0" w:type="dxa"/>
              <w:right w:w="108" w:type="dxa"/>
            </w:tcMar>
            <w:vAlign w:val="center"/>
          </w:tcPr>
          <w:p w14:paraId="0F509344">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r>
    </w:tbl>
    <w:p w14:paraId="5F9EDE1F">
      <w:pPr>
        <w:rPr>
          <w:rFonts w:hint="eastAsia" w:asciiTheme="majorEastAsia" w:hAnsiTheme="majorEastAsia" w:eastAsiaTheme="majorEastAsia" w:cstheme="majorEastAsia"/>
          <w:b w:val="0"/>
          <w:bCs w:val="0"/>
          <w:color w:val="auto"/>
          <w:sz w:val="24"/>
          <w:szCs w:val="24"/>
          <w:lang w:eastAsia="zh-CN"/>
        </w:rPr>
      </w:pPr>
    </w:p>
    <w:p w14:paraId="2B430FAC">
      <w:pPr>
        <w:rPr>
          <w:rFonts w:hint="eastAsia" w:asciiTheme="majorEastAsia" w:hAnsiTheme="majorEastAsia" w:eastAsiaTheme="majorEastAsia" w:cstheme="majorEastAsia"/>
          <w:b w:val="0"/>
          <w:bCs w:val="0"/>
          <w:color w:val="auto"/>
          <w:sz w:val="24"/>
          <w:szCs w:val="24"/>
          <w:lang w:val="en-US" w:eastAsia="zh-CN"/>
        </w:rPr>
      </w:pPr>
    </w:p>
    <w:p w14:paraId="0E930217">
      <w:pPr>
        <w:rPr>
          <w:rFonts w:hint="eastAsia" w:asciiTheme="majorEastAsia" w:hAnsiTheme="majorEastAsia" w:eastAsiaTheme="majorEastAsia" w:cstheme="majorEastAsia"/>
          <w:b w:val="0"/>
          <w:bCs w:val="0"/>
          <w:color w:val="auto"/>
          <w:sz w:val="24"/>
          <w:szCs w:val="24"/>
          <w:lang w:val="en-US" w:eastAsia="zh-CN"/>
        </w:rPr>
      </w:pPr>
    </w:p>
    <w:p w14:paraId="48269327">
      <w:pPr>
        <w:rPr>
          <w:rFonts w:hint="eastAsia" w:asciiTheme="majorEastAsia" w:hAnsiTheme="majorEastAsia" w:eastAsiaTheme="majorEastAsia" w:cstheme="majorEastAsia"/>
          <w:b w:val="0"/>
          <w:bCs w:val="0"/>
          <w:color w:val="auto"/>
          <w:sz w:val="24"/>
          <w:szCs w:val="24"/>
          <w:lang w:val="en-US" w:eastAsia="zh-CN"/>
        </w:rPr>
      </w:pPr>
    </w:p>
    <w:p w14:paraId="2033BA11">
      <w:pPr>
        <w:rPr>
          <w:rFonts w:hint="eastAsia" w:asciiTheme="majorEastAsia" w:hAnsiTheme="majorEastAsia" w:eastAsiaTheme="majorEastAsia" w:cstheme="majorEastAsia"/>
          <w:b w:val="0"/>
          <w:bCs w:val="0"/>
          <w:color w:val="auto"/>
          <w:sz w:val="24"/>
          <w:szCs w:val="24"/>
          <w:lang w:val="en-US" w:eastAsia="zh-CN"/>
        </w:rPr>
      </w:pPr>
    </w:p>
    <w:p w14:paraId="47F76E73">
      <w:pPr>
        <w:rPr>
          <w:rFonts w:hint="eastAsia" w:asciiTheme="majorEastAsia" w:hAnsiTheme="majorEastAsia" w:eastAsiaTheme="majorEastAsia" w:cstheme="majorEastAsia"/>
          <w:b w:val="0"/>
          <w:bCs w:val="0"/>
          <w:color w:val="auto"/>
          <w:sz w:val="24"/>
          <w:szCs w:val="24"/>
          <w:lang w:val="en-US" w:eastAsia="zh-CN"/>
        </w:rPr>
      </w:pPr>
    </w:p>
    <w:p w14:paraId="1F2C017E">
      <w:pPr>
        <w:rPr>
          <w:rFonts w:hint="eastAsia" w:asciiTheme="majorEastAsia" w:hAnsiTheme="majorEastAsia" w:eastAsiaTheme="majorEastAsia" w:cstheme="majorEastAsia"/>
          <w:b w:val="0"/>
          <w:bCs w:val="0"/>
          <w:color w:val="auto"/>
          <w:sz w:val="24"/>
          <w:szCs w:val="24"/>
          <w:lang w:val="en-US" w:eastAsia="zh-CN"/>
        </w:rPr>
      </w:pPr>
    </w:p>
    <w:p w14:paraId="393DB273">
      <w:pPr>
        <w:rPr>
          <w:rFonts w:hint="eastAsia" w:asciiTheme="majorEastAsia" w:hAnsiTheme="majorEastAsia" w:eastAsiaTheme="majorEastAsia" w:cstheme="majorEastAsia"/>
          <w:b w:val="0"/>
          <w:bCs w:val="0"/>
          <w:color w:val="auto"/>
          <w:sz w:val="24"/>
          <w:szCs w:val="24"/>
          <w:lang w:val="en-US" w:eastAsia="zh-CN"/>
        </w:rPr>
      </w:pPr>
    </w:p>
    <w:p w14:paraId="2FFFEBF4">
      <w:pPr>
        <w:rPr>
          <w:rFonts w:hint="eastAsia" w:asciiTheme="majorEastAsia" w:hAnsiTheme="majorEastAsia" w:eastAsiaTheme="majorEastAsia" w:cstheme="majorEastAsia"/>
          <w:b w:val="0"/>
          <w:bCs w:val="0"/>
          <w:color w:val="auto"/>
          <w:sz w:val="24"/>
          <w:szCs w:val="24"/>
          <w:lang w:val="en-US" w:eastAsia="zh-CN"/>
        </w:rPr>
      </w:pPr>
    </w:p>
    <w:p w14:paraId="5C55B1B5">
      <w:pPr>
        <w:rPr>
          <w:rFonts w:hint="eastAsia" w:asciiTheme="majorEastAsia" w:hAnsiTheme="majorEastAsia" w:eastAsiaTheme="majorEastAsia" w:cstheme="majorEastAsia"/>
          <w:b w:val="0"/>
          <w:bCs w:val="0"/>
          <w:color w:val="auto"/>
          <w:sz w:val="24"/>
          <w:szCs w:val="24"/>
          <w:lang w:val="en-US" w:eastAsia="zh-CN"/>
        </w:rPr>
      </w:pPr>
    </w:p>
    <w:p w14:paraId="7A29E494">
      <w:pPr>
        <w:rPr>
          <w:rFonts w:hint="eastAsia" w:asciiTheme="majorEastAsia" w:hAnsiTheme="majorEastAsia" w:eastAsiaTheme="majorEastAsia" w:cstheme="majorEastAsia"/>
          <w:b w:val="0"/>
          <w:bCs w:val="0"/>
          <w:color w:val="auto"/>
          <w:sz w:val="24"/>
          <w:szCs w:val="24"/>
          <w:lang w:val="en-US" w:eastAsia="zh-CN"/>
        </w:rPr>
      </w:pPr>
    </w:p>
    <w:p w14:paraId="6390510C">
      <w:pPr>
        <w:rPr>
          <w:rFonts w:hint="eastAsia" w:asciiTheme="majorEastAsia" w:hAnsiTheme="majorEastAsia" w:eastAsiaTheme="majorEastAsia" w:cstheme="majorEastAsia"/>
          <w:b w:val="0"/>
          <w:bCs w:val="0"/>
          <w:color w:val="auto"/>
          <w:sz w:val="24"/>
          <w:szCs w:val="24"/>
          <w:lang w:val="en-US" w:eastAsia="zh-CN"/>
        </w:rPr>
      </w:pPr>
    </w:p>
    <w:p w14:paraId="2051E1C3">
      <w:pPr>
        <w:rPr>
          <w:rFonts w:hint="eastAsia" w:asciiTheme="majorEastAsia" w:hAnsiTheme="majorEastAsia" w:eastAsiaTheme="majorEastAsia" w:cstheme="majorEastAsia"/>
          <w:b w:val="0"/>
          <w:bCs w:val="0"/>
          <w:color w:val="auto"/>
          <w:sz w:val="24"/>
          <w:szCs w:val="24"/>
          <w:lang w:val="en-US" w:eastAsia="zh-CN"/>
        </w:rPr>
      </w:pPr>
    </w:p>
    <w:p w14:paraId="038230DE">
      <w:pPr>
        <w:rPr>
          <w:rFonts w:hint="eastAsia" w:asciiTheme="majorEastAsia" w:hAnsiTheme="majorEastAsia" w:eastAsiaTheme="majorEastAsia" w:cstheme="majorEastAsia"/>
          <w:b w:val="0"/>
          <w:bCs w:val="0"/>
          <w:color w:val="auto"/>
          <w:sz w:val="24"/>
          <w:szCs w:val="24"/>
          <w:lang w:val="en-US" w:eastAsia="zh-CN"/>
        </w:rPr>
      </w:pPr>
    </w:p>
    <w:p w14:paraId="27D2F614">
      <w:pPr>
        <w:rPr>
          <w:rFonts w:hint="eastAsia" w:asciiTheme="majorEastAsia" w:hAnsiTheme="majorEastAsia" w:eastAsiaTheme="majorEastAsia" w:cstheme="majorEastAsia"/>
          <w:b w:val="0"/>
          <w:bCs w:val="0"/>
          <w:color w:val="auto"/>
          <w:sz w:val="24"/>
          <w:szCs w:val="24"/>
          <w:lang w:val="en-US" w:eastAsia="zh-CN"/>
        </w:rPr>
      </w:pPr>
    </w:p>
    <w:p w14:paraId="7E6D4E2B">
      <w:pPr>
        <w:rPr>
          <w:rFonts w:hint="eastAsia" w:asciiTheme="majorEastAsia" w:hAnsiTheme="majorEastAsia" w:eastAsiaTheme="majorEastAsia" w:cstheme="majorEastAsia"/>
          <w:b w:val="0"/>
          <w:bCs w:val="0"/>
          <w:color w:val="auto"/>
          <w:sz w:val="24"/>
          <w:szCs w:val="24"/>
          <w:lang w:val="en-US" w:eastAsia="zh-CN"/>
        </w:rPr>
      </w:pPr>
    </w:p>
    <w:p w14:paraId="3FB7FB0F">
      <w:pPr>
        <w:rPr>
          <w:rFonts w:hint="eastAsia" w:asciiTheme="majorEastAsia" w:hAnsiTheme="majorEastAsia" w:eastAsiaTheme="majorEastAsia" w:cstheme="majorEastAsia"/>
          <w:b w:val="0"/>
          <w:bCs w:val="0"/>
          <w:color w:val="auto"/>
          <w:sz w:val="24"/>
          <w:szCs w:val="24"/>
          <w:lang w:val="en-US" w:eastAsia="zh-CN"/>
        </w:rPr>
      </w:pPr>
    </w:p>
    <w:p w14:paraId="32A4985D">
      <w:pPr>
        <w:rPr>
          <w:rFonts w:hint="eastAsia" w:asciiTheme="majorEastAsia" w:hAnsiTheme="majorEastAsia" w:eastAsiaTheme="majorEastAsia" w:cstheme="majorEastAsia"/>
          <w:b w:val="0"/>
          <w:bCs w:val="0"/>
          <w:color w:val="auto"/>
          <w:sz w:val="24"/>
          <w:szCs w:val="24"/>
          <w:lang w:val="en-US" w:eastAsia="zh-CN"/>
        </w:rPr>
      </w:pPr>
    </w:p>
    <w:p w14:paraId="67D90426">
      <w:pPr>
        <w:rPr>
          <w:rFonts w:hint="eastAsia" w:asciiTheme="majorEastAsia" w:hAnsiTheme="majorEastAsia" w:eastAsiaTheme="majorEastAsia" w:cstheme="majorEastAsia"/>
          <w:b w:val="0"/>
          <w:bCs w:val="0"/>
          <w:color w:val="auto"/>
          <w:sz w:val="24"/>
          <w:szCs w:val="24"/>
          <w:lang w:val="en-US" w:eastAsia="zh-CN"/>
        </w:rPr>
      </w:pPr>
    </w:p>
    <w:p w14:paraId="16EDFE66">
      <w:pPr>
        <w:rPr>
          <w:rFonts w:hint="eastAsia" w:asciiTheme="majorEastAsia" w:hAnsiTheme="majorEastAsia" w:eastAsiaTheme="majorEastAsia" w:cstheme="majorEastAsia"/>
          <w:b w:val="0"/>
          <w:bCs w:val="0"/>
          <w:color w:val="auto"/>
          <w:sz w:val="24"/>
          <w:szCs w:val="24"/>
          <w:lang w:val="en-US" w:eastAsia="zh-CN"/>
        </w:rPr>
      </w:pPr>
    </w:p>
    <w:p w14:paraId="338E63DF">
      <w:pPr>
        <w:rPr>
          <w:rFonts w:hint="eastAsia" w:asciiTheme="majorEastAsia" w:hAnsiTheme="majorEastAsia" w:eastAsiaTheme="majorEastAsia" w:cstheme="majorEastAsia"/>
          <w:b w:val="0"/>
          <w:bCs w:val="0"/>
          <w:color w:val="auto"/>
          <w:sz w:val="24"/>
          <w:szCs w:val="24"/>
          <w:lang w:val="en-US" w:eastAsia="zh-CN"/>
        </w:rPr>
      </w:pPr>
    </w:p>
    <w:p w14:paraId="272E81EB">
      <w:pPr>
        <w:rPr>
          <w:rFonts w:hint="eastAsia" w:asciiTheme="majorEastAsia" w:hAnsiTheme="majorEastAsia" w:eastAsiaTheme="majorEastAsia" w:cstheme="majorEastAsia"/>
          <w:b w:val="0"/>
          <w:bCs w:val="0"/>
          <w:color w:val="auto"/>
          <w:sz w:val="24"/>
          <w:szCs w:val="24"/>
          <w:lang w:val="en-US" w:eastAsia="zh-CN"/>
        </w:rPr>
      </w:pPr>
    </w:p>
    <w:p w14:paraId="1195DA71">
      <w:pPr>
        <w:rPr>
          <w:rFonts w:hint="eastAsia" w:asciiTheme="majorEastAsia" w:hAnsiTheme="majorEastAsia" w:eastAsiaTheme="majorEastAsia" w:cstheme="majorEastAsia"/>
          <w:b w:val="0"/>
          <w:bCs w:val="0"/>
          <w:color w:val="auto"/>
          <w:sz w:val="24"/>
          <w:szCs w:val="24"/>
          <w:lang w:val="en-US" w:eastAsia="zh-CN"/>
        </w:rPr>
      </w:pPr>
    </w:p>
    <w:p w14:paraId="02E99D69">
      <w:pPr>
        <w:rPr>
          <w:rFonts w:hint="eastAsia" w:asciiTheme="majorEastAsia" w:hAnsiTheme="majorEastAsia" w:eastAsiaTheme="majorEastAsia" w:cstheme="majorEastAsia"/>
          <w:b w:val="0"/>
          <w:bCs w:val="0"/>
          <w:color w:val="auto"/>
          <w:sz w:val="24"/>
          <w:szCs w:val="24"/>
          <w:lang w:val="en-US" w:eastAsia="zh-CN"/>
        </w:rPr>
      </w:pPr>
    </w:p>
    <w:p w14:paraId="782353D7">
      <w:pPr>
        <w:rPr>
          <w:rFonts w:hint="default"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附表2</w:t>
      </w:r>
    </w:p>
    <w:tbl>
      <w:tblPr>
        <w:tblStyle w:val="4"/>
        <w:tblW w:w="9100"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1"/>
        <w:gridCol w:w="1050"/>
        <w:gridCol w:w="983"/>
        <w:gridCol w:w="4933"/>
        <w:gridCol w:w="663"/>
      </w:tblGrid>
      <w:tr w14:paraId="62C9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04821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 xml:space="preserve"> 指标分值</w:t>
            </w:r>
          </w:p>
        </w:tc>
        <w:tc>
          <w:tcPr>
            <w:tcW w:w="4933" w:type="dxa"/>
            <w:tcBorders>
              <w:top w:val="single" w:color="auto" w:sz="4" w:space="0"/>
              <w:left w:val="nil"/>
              <w:bottom w:val="single" w:color="auto" w:sz="4" w:space="0"/>
              <w:right w:val="single" w:color="auto" w:sz="4" w:space="0"/>
            </w:tcBorders>
            <w:shd w:val="clear" w:color="auto" w:fill="auto"/>
            <w:vAlign w:val="center"/>
          </w:tcPr>
          <w:p w14:paraId="059A702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评分规则</w:t>
            </w:r>
          </w:p>
        </w:tc>
        <w:tc>
          <w:tcPr>
            <w:tcW w:w="663" w:type="dxa"/>
            <w:tcBorders>
              <w:top w:val="single" w:color="auto" w:sz="4" w:space="0"/>
              <w:left w:val="nil"/>
              <w:bottom w:val="single" w:color="auto" w:sz="4" w:space="0"/>
              <w:right w:val="single" w:color="auto" w:sz="4" w:space="0"/>
            </w:tcBorders>
            <w:shd w:val="clear" w:color="auto" w:fill="auto"/>
            <w:vAlign w:val="center"/>
          </w:tcPr>
          <w:p w14:paraId="4ED3969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得分</w:t>
            </w:r>
          </w:p>
        </w:tc>
      </w:tr>
      <w:tr w14:paraId="32B1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04C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（一）资金收益率指标</w:t>
            </w:r>
          </w:p>
          <w:p w14:paraId="2678E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10分</w:t>
            </w:r>
          </w:p>
        </w:tc>
        <w:tc>
          <w:tcPr>
            <w:tcW w:w="4933" w:type="dxa"/>
            <w:tcBorders>
              <w:top w:val="single" w:color="auto" w:sz="4" w:space="0"/>
              <w:left w:val="nil"/>
              <w:bottom w:val="single" w:color="auto" w:sz="4" w:space="0"/>
              <w:right w:val="single" w:color="auto" w:sz="4" w:space="0"/>
            </w:tcBorders>
            <w:shd w:val="clear" w:color="auto" w:fill="auto"/>
            <w:vAlign w:val="top"/>
          </w:tcPr>
          <w:p w14:paraId="6CCC60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竞标银行所投的定期存款年利率达到银行业自律机制规定上限的得10分，未达到上限的，每下降1个基点数（BP值）扣0.5分，扣完为止。</w:t>
            </w:r>
          </w:p>
        </w:tc>
        <w:tc>
          <w:tcPr>
            <w:tcW w:w="663" w:type="dxa"/>
            <w:tcBorders>
              <w:top w:val="single" w:color="auto" w:sz="4" w:space="0"/>
              <w:left w:val="nil"/>
              <w:bottom w:val="single" w:color="auto" w:sz="4" w:space="0"/>
              <w:right w:val="single" w:color="auto" w:sz="4" w:space="0"/>
            </w:tcBorders>
            <w:shd w:val="clear" w:color="auto" w:fill="auto"/>
            <w:vAlign w:val="top"/>
          </w:tcPr>
          <w:p w14:paraId="51AFA8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val="0"/>
                <w:bCs w:val="0"/>
                <w:color w:val="auto"/>
                <w:kern w:val="2"/>
                <w:sz w:val="24"/>
                <w:szCs w:val="24"/>
                <w:lang w:val="en-US" w:eastAsia="zh-CN"/>
                <w:woUserID w:val="1"/>
              </w:rPr>
            </w:pPr>
            <w:r>
              <w:rPr>
                <w:rFonts w:hint="eastAsia" w:ascii="宋体" w:hAnsi="宋体" w:cs="宋体"/>
                <w:b w:val="0"/>
                <w:bCs w:val="0"/>
                <w:color w:val="auto"/>
                <w:kern w:val="2"/>
                <w:sz w:val="24"/>
                <w:szCs w:val="24"/>
                <w:lang w:val="en-US" w:eastAsia="zh-CN"/>
                <w:woUserID w:val="1"/>
              </w:rPr>
              <w:t>10</w:t>
            </w:r>
          </w:p>
        </w:tc>
      </w:tr>
      <w:tr w14:paraId="0985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restart"/>
            <w:tcBorders>
              <w:top w:val="nil"/>
              <w:left w:val="single" w:color="auto" w:sz="4" w:space="0"/>
              <w:bottom w:val="single" w:color="auto" w:sz="4" w:space="0"/>
              <w:right w:val="single" w:color="auto" w:sz="4" w:space="0"/>
            </w:tcBorders>
            <w:shd w:val="clear" w:color="auto" w:fill="auto"/>
            <w:vAlign w:val="center"/>
          </w:tcPr>
          <w:p w14:paraId="6476200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（二）</w:t>
            </w:r>
          </w:p>
          <w:p w14:paraId="4820BD1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经济贡献度指标</w:t>
            </w:r>
          </w:p>
          <w:p w14:paraId="1C8B61C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35分</w:t>
            </w: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66A8C57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1.商业转公积金</w:t>
            </w:r>
          </w:p>
          <w:p w14:paraId="3070C3D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贷款</w:t>
            </w:r>
          </w:p>
          <w:p w14:paraId="2268E6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（30分）</w:t>
            </w:r>
          </w:p>
        </w:tc>
        <w:tc>
          <w:tcPr>
            <w:tcW w:w="4933" w:type="dxa"/>
            <w:tcBorders>
              <w:top w:val="single" w:color="auto" w:sz="4" w:space="0"/>
              <w:left w:val="nil"/>
              <w:bottom w:val="single" w:color="auto" w:sz="4" w:space="0"/>
              <w:right w:val="single" w:color="auto" w:sz="4" w:space="0"/>
            </w:tcBorders>
            <w:shd w:val="clear" w:color="auto" w:fill="auto"/>
            <w:vAlign w:val="top"/>
          </w:tcPr>
          <w:p w14:paraId="502126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以招投标前3个月</w:t>
            </w:r>
            <w:r>
              <w:rPr>
                <w:rFonts w:hint="eastAsia" w:ascii="宋体" w:hAnsi="宋体" w:cs="宋体"/>
                <w:b w:val="0"/>
                <w:bCs w:val="0"/>
                <w:color w:val="auto"/>
                <w:kern w:val="2"/>
                <w:sz w:val="24"/>
                <w:szCs w:val="24"/>
                <w:lang w:val="en-US" w:eastAsia="zh-CN" w:bidi="ar"/>
                <w:woUserID w:val="1"/>
              </w:rPr>
              <w:t>（4月-6月）</w:t>
            </w:r>
            <w:r>
              <w:rPr>
                <w:rFonts w:hint="eastAsia" w:ascii="宋体" w:hAnsi="宋体" w:eastAsia="宋体" w:cs="宋体"/>
                <w:b w:val="0"/>
                <w:bCs w:val="0"/>
                <w:color w:val="auto"/>
                <w:kern w:val="2"/>
                <w:sz w:val="24"/>
                <w:szCs w:val="24"/>
                <w:lang w:val="en-US" w:eastAsia="zh-CN" w:bidi="ar"/>
                <w:woUserID w:val="1"/>
              </w:rPr>
              <w:t>投标银行办理商转公金额为评分依据。招投标前3个月</w:t>
            </w:r>
            <w:r>
              <w:rPr>
                <w:rFonts w:hint="eastAsia" w:ascii="宋体" w:hAnsi="宋体" w:cs="宋体"/>
                <w:b w:val="0"/>
                <w:bCs w:val="0"/>
                <w:color w:val="auto"/>
                <w:kern w:val="2"/>
                <w:sz w:val="24"/>
                <w:szCs w:val="24"/>
                <w:lang w:val="en-US" w:eastAsia="zh-CN" w:bidi="ar"/>
                <w:woUserID w:val="1"/>
              </w:rPr>
              <w:t>（4月-6月）</w:t>
            </w:r>
            <w:r>
              <w:rPr>
                <w:rFonts w:hint="eastAsia" w:ascii="宋体" w:hAnsi="宋体" w:eastAsia="宋体" w:cs="宋体"/>
                <w:b w:val="0"/>
                <w:bCs w:val="0"/>
                <w:color w:val="auto"/>
                <w:kern w:val="2"/>
                <w:sz w:val="24"/>
                <w:szCs w:val="24"/>
                <w:lang w:val="en-US" w:eastAsia="zh-CN" w:bidi="ar"/>
                <w:woUserID w:val="1"/>
              </w:rPr>
              <w:t>商转公金额最多的投标银行得30分，其他投标银行按比例得分，即按：投标银行实际商转公金额/商转公金额最多的投标银行商转公金额×30分计算得分。</w:t>
            </w:r>
          </w:p>
        </w:tc>
        <w:tc>
          <w:tcPr>
            <w:tcW w:w="663" w:type="dxa"/>
            <w:tcBorders>
              <w:top w:val="single" w:color="auto" w:sz="4" w:space="0"/>
              <w:left w:val="nil"/>
              <w:bottom w:val="single" w:color="auto" w:sz="4" w:space="0"/>
              <w:right w:val="single" w:color="auto" w:sz="4" w:space="0"/>
            </w:tcBorders>
            <w:shd w:val="clear" w:color="auto" w:fill="auto"/>
            <w:vAlign w:val="top"/>
          </w:tcPr>
          <w:p w14:paraId="6472F2E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val="0"/>
                <w:bCs w:val="0"/>
                <w:color w:val="auto"/>
                <w:kern w:val="2"/>
                <w:sz w:val="24"/>
                <w:szCs w:val="24"/>
                <w:lang w:val="en-US" w:eastAsia="zh-CN"/>
                <w:woUserID w:val="1"/>
              </w:rPr>
            </w:pPr>
            <w:r>
              <w:rPr>
                <w:rFonts w:hint="eastAsia" w:ascii="宋体" w:hAnsi="宋体" w:cs="宋体"/>
                <w:b w:val="0"/>
                <w:bCs w:val="0"/>
                <w:color w:val="auto"/>
                <w:kern w:val="2"/>
                <w:sz w:val="24"/>
                <w:szCs w:val="24"/>
                <w:lang w:val="en-US" w:eastAsia="zh-CN"/>
                <w:woUserID w:val="1"/>
              </w:rPr>
              <w:t>30</w:t>
            </w:r>
          </w:p>
        </w:tc>
      </w:tr>
      <w:tr w14:paraId="1F1E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471" w:type="dxa"/>
            <w:vMerge w:val="continue"/>
            <w:tcBorders>
              <w:top w:val="nil"/>
              <w:left w:val="single" w:color="auto" w:sz="4" w:space="0"/>
              <w:bottom w:val="single" w:color="auto" w:sz="4" w:space="0"/>
              <w:right w:val="single" w:color="auto" w:sz="4" w:space="0"/>
            </w:tcBorders>
            <w:shd w:val="clear" w:color="auto" w:fill="auto"/>
            <w:vAlign w:val="center"/>
          </w:tcPr>
          <w:p w14:paraId="58FB5E0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woUserID w:val="1"/>
              </w:rPr>
            </w:pP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43E165F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2.地方税收贡献度（5分）</w:t>
            </w:r>
          </w:p>
        </w:tc>
        <w:tc>
          <w:tcPr>
            <w:tcW w:w="4933" w:type="dxa"/>
            <w:tcBorders>
              <w:top w:val="single" w:color="auto" w:sz="4" w:space="0"/>
              <w:left w:val="nil"/>
              <w:bottom w:val="single" w:color="auto" w:sz="4" w:space="0"/>
              <w:right w:val="single" w:color="auto" w:sz="4" w:space="0"/>
            </w:tcBorders>
            <w:shd w:val="clear" w:color="auto" w:fill="auto"/>
            <w:vAlign w:val="top"/>
          </w:tcPr>
          <w:p w14:paraId="355E15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上年度地方税收贡献度，按照市税务部门提供的各竞标银行纳税金额计分。纳税金额最高的银行得5分，其他各银行依据</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排名依次递减0.25分。（均须提供相关证明资料复印件加盖投标人公章）。</w:t>
            </w:r>
          </w:p>
        </w:tc>
        <w:tc>
          <w:tcPr>
            <w:tcW w:w="663" w:type="dxa"/>
            <w:tcBorders>
              <w:top w:val="single" w:color="auto" w:sz="4" w:space="0"/>
              <w:left w:val="nil"/>
              <w:bottom w:val="single" w:color="auto" w:sz="4" w:space="0"/>
              <w:right w:val="single" w:color="auto" w:sz="4" w:space="0"/>
            </w:tcBorders>
            <w:shd w:val="clear" w:color="auto" w:fill="auto"/>
            <w:vAlign w:val="top"/>
          </w:tcPr>
          <w:p w14:paraId="25E067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cs="宋体"/>
                <w:b w:val="0"/>
                <w:bCs w:val="0"/>
                <w:color w:val="auto"/>
                <w:kern w:val="2"/>
                <w:sz w:val="24"/>
                <w:szCs w:val="24"/>
                <w:lang w:val="en-US" w:eastAsia="zh-CN"/>
                <w:woUserID w:val="1"/>
              </w:rPr>
              <w:t>5</w:t>
            </w:r>
          </w:p>
        </w:tc>
      </w:tr>
      <w:tr w14:paraId="16B2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restart"/>
            <w:tcBorders>
              <w:top w:val="nil"/>
              <w:left w:val="single" w:color="auto" w:sz="4" w:space="0"/>
              <w:right w:val="single" w:color="auto" w:sz="4" w:space="0"/>
            </w:tcBorders>
            <w:shd w:val="clear" w:color="auto" w:fill="auto"/>
            <w:vAlign w:val="center"/>
          </w:tcPr>
          <w:p w14:paraId="0248FAD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（三）</w:t>
            </w:r>
          </w:p>
          <w:p w14:paraId="5C355F8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扩面工作</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指标</w:t>
            </w:r>
          </w:p>
          <w:p w14:paraId="749303E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45分</w:t>
            </w:r>
          </w:p>
        </w:tc>
        <w:tc>
          <w:tcPr>
            <w:tcW w:w="1050" w:type="dxa"/>
            <w:vMerge w:val="restart"/>
            <w:tcBorders>
              <w:top w:val="nil"/>
              <w:left w:val="nil"/>
              <w:bottom w:val="single" w:color="auto" w:sz="4" w:space="0"/>
              <w:right w:val="single" w:color="auto" w:sz="4" w:space="0"/>
            </w:tcBorders>
            <w:shd w:val="clear" w:color="auto" w:fill="auto"/>
            <w:vAlign w:val="center"/>
          </w:tcPr>
          <w:p w14:paraId="5028C6F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1.公积</w:t>
            </w:r>
          </w:p>
          <w:p w14:paraId="2B5507C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金企业扩面</w:t>
            </w:r>
          </w:p>
          <w:p w14:paraId="3A9A251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（5分）</w:t>
            </w:r>
          </w:p>
        </w:tc>
        <w:tc>
          <w:tcPr>
            <w:tcW w:w="6579" w:type="dxa"/>
            <w:gridSpan w:val="3"/>
            <w:tcBorders>
              <w:top w:val="single" w:color="auto" w:sz="4" w:space="0"/>
              <w:left w:val="nil"/>
              <w:bottom w:val="single" w:color="auto" w:sz="4" w:space="0"/>
              <w:right w:val="single" w:color="auto" w:sz="4" w:space="0"/>
            </w:tcBorders>
            <w:shd w:val="clear" w:color="auto" w:fill="auto"/>
            <w:vAlign w:val="center"/>
          </w:tcPr>
          <w:p w14:paraId="194390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以招投标前3个月</w:t>
            </w:r>
            <w:r>
              <w:rPr>
                <w:rFonts w:hint="eastAsia" w:ascii="宋体" w:hAnsi="宋体" w:cs="宋体"/>
                <w:b w:val="0"/>
                <w:bCs w:val="0"/>
                <w:color w:val="auto"/>
                <w:kern w:val="2"/>
                <w:sz w:val="24"/>
                <w:szCs w:val="24"/>
                <w:lang w:val="en-US" w:eastAsia="zh-CN" w:bidi="ar"/>
                <w:woUserID w:val="1"/>
              </w:rPr>
              <w:t>（4月-6月）</w:t>
            </w:r>
            <w:r>
              <w:rPr>
                <w:rFonts w:hint="eastAsia" w:ascii="宋体" w:hAnsi="宋体" w:eastAsia="宋体" w:cs="宋体"/>
                <w:b w:val="0"/>
                <w:bCs w:val="0"/>
                <w:color w:val="auto"/>
                <w:kern w:val="2"/>
                <w:sz w:val="24"/>
                <w:szCs w:val="24"/>
                <w:lang w:val="en-US" w:eastAsia="zh-CN" w:bidi="ar"/>
                <w:woUserID w:val="1"/>
              </w:rPr>
              <w:t>投标银行实际参与的全市住房公积金企业扩面家数情况为评分依据。</w:t>
            </w:r>
          </w:p>
        </w:tc>
      </w:tr>
      <w:tr w14:paraId="6FB9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trPr>
        <w:tc>
          <w:tcPr>
            <w:tcW w:w="1471" w:type="dxa"/>
            <w:vMerge w:val="continue"/>
            <w:tcBorders>
              <w:left w:val="single" w:color="auto" w:sz="4" w:space="0"/>
              <w:right w:val="single" w:color="auto" w:sz="4" w:space="0"/>
            </w:tcBorders>
            <w:shd w:val="clear" w:color="auto" w:fill="auto"/>
            <w:vAlign w:val="center"/>
          </w:tcPr>
          <w:p w14:paraId="1FD93EA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1050" w:type="dxa"/>
            <w:vMerge w:val="continue"/>
            <w:tcBorders>
              <w:top w:val="nil"/>
              <w:left w:val="nil"/>
              <w:bottom w:val="single" w:color="auto" w:sz="4" w:space="0"/>
              <w:right w:val="single" w:color="auto" w:sz="4" w:space="0"/>
            </w:tcBorders>
            <w:shd w:val="clear" w:color="auto" w:fill="auto"/>
            <w:vAlign w:val="center"/>
          </w:tcPr>
          <w:p w14:paraId="334B595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woUserID w:val="1"/>
              </w:rPr>
            </w:pPr>
          </w:p>
        </w:tc>
        <w:tc>
          <w:tcPr>
            <w:tcW w:w="983" w:type="dxa"/>
            <w:tcBorders>
              <w:top w:val="single" w:color="auto" w:sz="4" w:space="0"/>
              <w:left w:val="nil"/>
              <w:bottom w:val="single" w:color="auto" w:sz="4" w:space="0"/>
              <w:right w:val="single" w:color="auto" w:sz="4" w:space="0"/>
            </w:tcBorders>
            <w:shd w:val="clear" w:color="auto" w:fill="auto"/>
            <w:vAlign w:val="center"/>
          </w:tcPr>
          <w:p w14:paraId="3A4695F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企业扩面数量</w:t>
            </w:r>
          </w:p>
          <w:p w14:paraId="33D68D6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（3分）</w:t>
            </w:r>
          </w:p>
        </w:tc>
        <w:tc>
          <w:tcPr>
            <w:tcW w:w="4933" w:type="dxa"/>
            <w:tcBorders>
              <w:top w:val="single" w:color="auto" w:sz="4" w:space="0"/>
              <w:left w:val="nil"/>
              <w:bottom w:val="single" w:color="auto" w:sz="4" w:space="0"/>
              <w:right w:val="single" w:color="auto" w:sz="4" w:space="0"/>
            </w:tcBorders>
            <w:shd w:val="clear" w:color="auto" w:fill="auto"/>
            <w:vAlign w:val="center"/>
          </w:tcPr>
          <w:p w14:paraId="54DCA2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以企业扩面家数为评分指标，投标银行完成企业扩面家数≥企业扩面</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基数的，即得3分，否则不得分。</w:t>
            </w:r>
          </w:p>
        </w:tc>
        <w:tc>
          <w:tcPr>
            <w:tcW w:w="663" w:type="dxa"/>
            <w:tcBorders>
              <w:top w:val="nil"/>
              <w:left w:val="nil"/>
              <w:bottom w:val="single" w:color="auto" w:sz="4" w:space="0"/>
              <w:right w:val="single" w:color="auto" w:sz="4" w:space="0"/>
            </w:tcBorders>
            <w:shd w:val="clear" w:color="auto" w:fill="auto"/>
            <w:vAlign w:val="top"/>
          </w:tcPr>
          <w:p w14:paraId="028BA48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3</w:t>
            </w:r>
          </w:p>
        </w:tc>
      </w:tr>
      <w:tr w14:paraId="3DA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409BC1A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1050" w:type="dxa"/>
            <w:vMerge w:val="continue"/>
            <w:tcBorders>
              <w:top w:val="nil"/>
              <w:left w:val="nil"/>
              <w:bottom w:val="single" w:color="auto" w:sz="4" w:space="0"/>
              <w:right w:val="single" w:color="auto" w:sz="4" w:space="0"/>
            </w:tcBorders>
            <w:shd w:val="clear" w:color="auto" w:fill="auto"/>
            <w:vAlign w:val="center"/>
          </w:tcPr>
          <w:p w14:paraId="0BFEE85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woUserID w:val="1"/>
              </w:rPr>
            </w:pPr>
          </w:p>
        </w:tc>
        <w:tc>
          <w:tcPr>
            <w:tcW w:w="983" w:type="dxa"/>
            <w:tcBorders>
              <w:top w:val="single" w:color="auto" w:sz="4" w:space="0"/>
              <w:left w:val="nil"/>
              <w:bottom w:val="single" w:color="auto" w:sz="4" w:space="0"/>
              <w:right w:val="single" w:color="auto" w:sz="4" w:space="0"/>
            </w:tcBorders>
            <w:shd w:val="clear" w:color="auto" w:fill="auto"/>
            <w:vAlign w:val="center"/>
          </w:tcPr>
          <w:p w14:paraId="1655D41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企业扩面排名</w:t>
            </w:r>
          </w:p>
          <w:p w14:paraId="251C732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（2分）</w:t>
            </w:r>
          </w:p>
        </w:tc>
        <w:tc>
          <w:tcPr>
            <w:tcW w:w="4933" w:type="dxa"/>
            <w:tcBorders>
              <w:top w:val="single" w:color="auto" w:sz="4" w:space="0"/>
              <w:left w:val="nil"/>
              <w:bottom w:val="single" w:color="auto" w:sz="4" w:space="0"/>
              <w:right w:val="single" w:color="auto" w:sz="4" w:space="0"/>
            </w:tcBorders>
            <w:shd w:val="clear" w:color="auto" w:fill="auto"/>
            <w:vAlign w:val="center"/>
          </w:tcPr>
          <w:p w14:paraId="4FC558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投标银行完成企业扩面家数排名为评分依据。排名第一名的得2分，第二名得1.5分，第三名得1分，其他名次的不得分。</w:t>
            </w:r>
          </w:p>
        </w:tc>
        <w:tc>
          <w:tcPr>
            <w:tcW w:w="663" w:type="dxa"/>
            <w:tcBorders>
              <w:top w:val="single" w:color="auto" w:sz="4" w:space="0"/>
              <w:left w:val="nil"/>
              <w:bottom w:val="single" w:color="auto" w:sz="4" w:space="0"/>
              <w:right w:val="single" w:color="auto" w:sz="4" w:space="0"/>
            </w:tcBorders>
            <w:shd w:val="clear" w:color="auto" w:fill="auto"/>
            <w:vAlign w:val="top"/>
          </w:tcPr>
          <w:p w14:paraId="159540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cs="宋体"/>
                <w:b w:val="0"/>
                <w:bCs w:val="0"/>
                <w:color w:val="auto"/>
                <w:kern w:val="2"/>
                <w:sz w:val="24"/>
                <w:szCs w:val="24"/>
                <w:lang w:val="en-US" w:eastAsia="zh-CN"/>
                <w:woUserID w:val="1"/>
              </w:rPr>
              <w:t>2</w:t>
            </w:r>
          </w:p>
        </w:tc>
      </w:tr>
      <w:tr w14:paraId="5A9A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5EC6375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1050" w:type="dxa"/>
            <w:vMerge w:val="restart"/>
            <w:tcBorders>
              <w:top w:val="nil"/>
              <w:left w:val="nil"/>
              <w:right w:val="single" w:color="auto" w:sz="4" w:space="0"/>
            </w:tcBorders>
            <w:shd w:val="clear" w:color="auto" w:fill="auto"/>
            <w:vAlign w:val="center"/>
          </w:tcPr>
          <w:p w14:paraId="2FE0B78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2.公积</w:t>
            </w:r>
          </w:p>
          <w:p w14:paraId="6131767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金职工扩面</w:t>
            </w:r>
          </w:p>
          <w:p w14:paraId="48D32D0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（30分）</w:t>
            </w:r>
          </w:p>
        </w:tc>
        <w:tc>
          <w:tcPr>
            <w:tcW w:w="6579" w:type="dxa"/>
            <w:gridSpan w:val="3"/>
            <w:tcBorders>
              <w:top w:val="single" w:color="auto" w:sz="4" w:space="0"/>
              <w:left w:val="nil"/>
              <w:bottom w:val="single" w:color="auto" w:sz="4" w:space="0"/>
              <w:right w:val="single" w:color="auto" w:sz="4" w:space="0"/>
            </w:tcBorders>
            <w:shd w:val="clear" w:color="auto" w:fill="auto"/>
            <w:vAlign w:val="center"/>
          </w:tcPr>
          <w:p w14:paraId="23BF6C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以招投标前3个月</w:t>
            </w:r>
            <w:r>
              <w:rPr>
                <w:rFonts w:hint="eastAsia" w:ascii="宋体" w:hAnsi="宋体" w:cs="宋体"/>
                <w:b w:val="0"/>
                <w:bCs w:val="0"/>
                <w:color w:val="auto"/>
                <w:kern w:val="2"/>
                <w:sz w:val="24"/>
                <w:szCs w:val="24"/>
                <w:lang w:val="en-US" w:eastAsia="zh-CN" w:bidi="ar"/>
                <w:woUserID w:val="1"/>
              </w:rPr>
              <w:t>（4月-6月）</w:t>
            </w:r>
            <w:r>
              <w:rPr>
                <w:rFonts w:hint="eastAsia" w:ascii="宋体" w:hAnsi="宋体" w:eastAsia="宋体" w:cs="宋体"/>
                <w:b w:val="0"/>
                <w:bCs w:val="0"/>
                <w:color w:val="auto"/>
                <w:kern w:val="2"/>
                <w:sz w:val="24"/>
                <w:szCs w:val="24"/>
                <w:lang w:val="en-US" w:eastAsia="zh-CN" w:bidi="ar"/>
                <w:woUserID w:val="1"/>
              </w:rPr>
              <w:t>投标银行实际参与的全市住房公积金职工扩面人数情况为评分依据。</w:t>
            </w:r>
          </w:p>
        </w:tc>
      </w:tr>
      <w:tr w14:paraId="6A59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69A2CB0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1050" w:type="dxa"/>
            <w:vMerge w:val="continue"/>
            <w:tcBorders>
              <w:left w:val="nil"/>
              <w:right w:val="single" w:color="auto" w:sz="4" w:space="0"/>
            </w:tcBorders>
            <w:shd w:val="clear" w:color="auto" w:fill="auto"/>
            <w:vAlign w:val="center"/>
          </w:tcPr>
          <w:p w14:paraId="0370A74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983" w:type="dxa"/>
            <w:tcBorders>
              <w:top w:val="single" w:color="auto" w:sz="4" w:space="0"/>
              <w:left w:val="nil"/>
              <w:bottom w:val="single" w:color="auto" w:sz="4" w:space="0"/>
              <w:right w:val="single" w:color="auto" w:sz="4" w:space="0"/>
            </w:tcBorders>
            <w:shd w:val="clear" w:color="auto" w:fill="auto"/>
            <w:vAlign w:val="center"/>
          </w:tcPr>
          <w:p w14:paraId="4E161A4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职工扩面数量</w:t>
            </w:r>
          </w:p>
          <w:p w14:paraId="68EB7E0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（20分）</w:t>
            </w:r>
          </w:p>
        </w:tc>
        <w:tc>
          <w:tcPr>
            <w:tcW w:w="4933" w:type="dxa"/>
            <w:tcBorders>
              <w:top w:val="single" w:color="auto" w:sz="4" w:space="0"/>
              <w:left w:val="nil"/>
              <w:bottom w:val="single" w:color="auto" w:sz="4" w:space="0"/>
              <w:right w:val="single" w:color="auto" w:sz="4" w:space="0"/>
            </w:tcBorders>
            <w:shd w:val="clear" w:color="auto" w:fill="auto"/>
            <w:vAlign w:val="center"/>
          </w:tcPr>
          <w:p w14:paraId="232090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以职工扩面人数为评分指标，投标银行的扩面人数≥职工扩面</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基数的，即得20分，否则不得分。</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1B99BF9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20</w:t>
            </w:r>
          </w:p>
        </w:tc>
      </w:tr>
      <w:tr w14:paraId="3A3F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1B18A30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1050" w:type="dxa"/>
            <w:vMerge w:val="continue"/>
            <w:tcBorders>
              <w:left w:val="nil"/>
              <w:right w:val="single" w:color="auto" w:sz="4" w:space="0"/>
            </w:tcBorders>
            <w:shd w:val="clear" w:color="auto" w:fill="auto"/>
            <w:vAlign w:val="center"/>
          </w:tcPr>
          <w:p w14:paraId="59B72DE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983" w:type="dxa"/>
            <w:tcBorders>
              <w:top w:val="single" w:color="auto" w:sz="4" w:space="0"/>
              <w:left w:val="nil"/>
              <w:bottom w:val="single" w:color="auto" w:sz="4" w:space="0"/>
              <w:right w:val="single" w:color="auto" w:sz="4" w:space="0"/>
            </w:tcBorders>
            <w:shd w:val="clear" w:color="auto" w:fill="auto"/>
            <w:vAlign w:val="center"/>
          </w:tcPr>
          <w:p w14:paraId="528AD25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职工扩面排名</w:t>
            </w:r>
          </w:p>
          <w:p w14:paraId="080150A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（10分）</w:t>
            </w:r>
          </w:p>
        </w:tc>
        <w:tc>
          <w:tcPr>
            <w:tcW w:w="4933" w:type="dxa"/>
            <w:tcBorders>
              <w:top w:val="single" w:color="auto" w:sz="4" w:space="0"/>
              <w:left w:val="nil"/>
              <w:bottom w:val="single" w:color="auto" w:sz="4" w:space="0"/>
              <w:right w:val="single" w:color="auto" w:sz="4" w:space="0"/>
            </w:tcBorders>
            <w:shd w:val="clear" w:color="auto" w:fill="auto"/>
            <w:vAlign w:val="center"/>
          </w:tcPr>
          <w:p w14:paraId="660E3C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扩面人数最多的投标银行得10分，其他投标银行按比例得分，即按：（投标银行实际扩面人数/扩面最多的投标银行扩面人数）×10分计算得分。</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285DEF1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10</w:t>
            </w:r>
          </w:p>
        </w:tc>
      </w:tr>
      <w:tr w14:paraId="67BA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13BE8D5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2033" w:type="dxa"/>
            <w:gridSpan w:val="2"/>
            <w:tcBorders>
              <w:left w:val="nil"/>
              <w:right w:val="single" w:color="auto" w:sz="4" w:space="0"/>
            </w:tcBorders>
            <w:shd w:val="clear" w:color="auto" w:fill="auto"/>
            <w:vAlign w:val="center"/>
          </w:tcPr>
          <w:p w14:paraId="4EA7084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3.公积金扩面质量（8分）</w:t>
            </w:r>
          </w:p>
        </w:tc>
        <w:tc>
          <w:tcPr>
            <w:tcW w:w="4933" w:type="dxa"/>
            <w:tcBorders>
              <w:top w:val="single" w:color="auto" w:sz="4" w:space="0"/>
              <w:left w:val="nil"/>
              <w:bottom w:val="single" w:color="auto" w:sz="4" w:space="0"/>
              <w:right w:val="single" w:color="auto" w:sz="4" w:space="0"/>
            </w:tcBorders>
            <w:shd w:val="clear" w:color="auto" w:fill="auto"/>
            <w:vAlign w:val="top"/>
          </w:tcPr>
          <w:p w14:paraId="3A95E9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扩面人数中参加职工基本养老保险占比为评分指标，占比以50%为基准，大于等于50%的，即得8分。每增加10个百分点加1分；每少10个百分点扣1分，扣完为止。</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5BEC882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8</w:t>
            </w:r>
          </w:p>
        </w:tc>
      </w:tr>
      <w:tr w14:paraId="2B6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right w:val="single" w:color="auto" w:sz="4" w:space="0"/>
            </w:tcBorders>
            <w:shd w:val="clear" w:color="auto" w:fill="auto"/>
            <w:vAlign w:val="center"/>
          </w:tcPr>
          <w:p w14:paraId="0439530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sz w:val="24"/>
                <w:szCs w:val="24"/>
                <w:woUserID w:val="1"/>
              </w:rPr>
            </w:pPr>
          </w:p>
        </w:tc>
        <w:tc>
          <w:tcPr>
            <w:tcW w:w="2033" w:type="dxa"/>
            <w:gridSpan w:val="2"/>
            <w:tcBorders>
              <w:left w:val="nil"/>
              <w:right w:val="single" w:color="auto" w:sz="4" w:space="0"/>
            </w:tcBorders>
            <w:shd w:val="clear" w:color="auto" w:fill="auto"/>
            <w:vAlign w:val="center"/>
          </w:tcPr>
          <w:p w14:paraId="5DFB89B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4.扩面配套政策</w:t>
            </w:r>
          </w:p>
          <w:p w14:paraId="3A67074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（2分）</w:t>
            </w:r>
          </w:p>
        </w:tc>
        <w:tc>
          <w:tcPr>
            <w:tcW w:w="4933" w:type="dxa"/>
            <w:tcBorders>
              <w:top w:val="single" w:color="auto" w:sz="4" w:space="0"/>
              <w:left w:val="nil"/>
              <w:bottom w:val="single" w:color="auto" w:sz="4" w:space="0"/>
              <w:right w:val="single" w:color="auto" w:sz="4" w:space="0"/>
            </w:tcBorders>
            <w:shd w:val="clear" w:color="auto" w:fill="auto"/>
            <w:vAlign w:val="center"/>
          </w:tcPr>
          <w:p w14:paraId="395F08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各投标银行制定完善的公积金制度扩面政策，包括扩面领导体系、目标、</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、奖惩等相关内容。具有完善的扩面政策且能提供政策执行佐证材料的各投标银行得满分，没有扩面政策或虽有政策但未执行的不得分。</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5798A6A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2</w:t>
            </w:r>
          </w:p>
        </w:tc>
      </w:tr>
      <w:tr w14:paraId="0C52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71" w:type="dxa"/>
            <w:vMerge w:val="restart"/>
            <w:tcBorders>
              <w:left w:val="single" w:color="auto" w:sz="4" w:space="0"/>
              <w:right w:val="single" w:color="auto" w:sz="4" w:space="0"/>
            </w:tcBorders>
            <w:shd w:val="clear" w:color="auto" w:fill="auto"/>
            <w:vAlign w:val="center"/>
          </w:tcPr>
          <w:p w14:paraId="7438405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（四）</w:t>
            </w:r>
          </w:p>
          <w:p w14:paraId="488F9B5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lang w:val="en-US" w:eastAsia="zh-CN" w:bidi="ar"/>
                <w:woUserID w:val="1"/>
              </w:rPr>
            </w:pPr>
            <w:r>
              <w:rPr>
                <w:rFonts w:hint="eastAsia" w:ascii="宋体" w:hAnsi="宋体" w:eastAsia="宋体" w:cs="宋体"/>
                <w:b w:val="0"/>
                <w:bCs w:val="0"/>
                <w:color w:val="auto"/>
                <w:kern w:val="2"/>
                <w:sz w:val="24"/>
                <w:szCs w:val="24"/>
                <w:lang w:val="en-US" w:eastAsia="zh-CN" w:bidi="ar"/>
                <w:woUserID w:val="1"/>
              </w:rPr>
              <w:t>业务工作指标</w:t>
            </w:r>
          </w:p>
          <w:p w14:paraId="34A7B9E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10分</w:t>
            </w:r>
          </w:p>
        </w:tc>
        <w:tc>
          <w:tcPr>
            <w:tcW w:w="2033" w:type="dxa"/>
            <w:gridSpan w:val="2"/>
            <w:tcBorders>
              <w:left w:val="nil"/>
              <w:right w:val="single" w:color="auto" w:sz="4" w:space="0"/>
            </w:tcBorders>
            <w:shd w:val="clear" w:color="auto" w:fill="auto"/>
            <w:vAlign w:val="center"/>
          </w:tcPr>
          <w:p w14:paraId="355051E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1.业务工作</w:t>
            </w:r>
            <w:r>
              <w:rPr>
                <w:rFonts w:hint="eastAsia" w:ascii="宋体" w:hAnsi="宋体" w:eastAsia="宋体" w:cs="宋体"/>
                <w:b w:val="0"/>
                <w:bCs w:val="0"/>
                <w:color w:val="auto"/>
                <w:sz w:val="24"/>
                <w:szCs w:val="24"/>
                <w:lang w:val="en-US" w:eastAsia="zh-CN"/>
              </w:rPr>
              <w:t>评价</w:t>
            </w:r>
          </w:p>
          <w:p w14:paraId="4CCFC8B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（7分）</w:t>
            </w:r>
          </w:p>
        </w:tc>
        <w:tc>
          <w:tcPr>
            <w:tcW w:w="4933" w:type="dxa"/>
            <w:tcBorders>
              <w:top w:val="single" w:color="auto" w:sz="4" w:space="0"/>
              <w:left w:val="nil"/>
              <w:bottom w:val="single" w:color="auto" w:sz="4" w:space="0"/>
              <w:right w:val="single" w:color="auto" w:sz="4" w:space="0"/>
            </w:tcBorders>
            <w:shd w:val="clear" w:color="auto" w:fill="auto"/>
            <w:vAlign w:val="top"/>
          </w:tcPr>
          <w:p w14:paraId="719853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分中心按照受托银行业务工作</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办法（细则），对受托银行承办业务工作开展情况进行</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，开标前3个月</w:t>
            </w:r>
            <w:r>
              <w:rPr>
                <w:rFonts w:hint="eastAsia" w:ascii="宋体" w:hAnsi="宋体" w:cs="宋体"/>
                <w:b w:val="0"/>
                <w:bCs w:val="0"/>
                <w:color w:val="auto"/>
                <w:kern w:val="2"/>
                <w:sz w:val="24"/>
                <w:szCs w:val="24"/>
                <w:lang w:val="en-US" w:eastAsia="zh-CN" w:bidi="ar"/>
                <w:woUserID w:val="1"/>
              </w:rPr>
              <w:t>（4月-6月）</w:t>
            </w:r>
            <w:r>
              <w:rPr>
                <w:rFonts w:hint="eastAsia" w:ascii="宋体" w:hAnsi="宋体" w:eastAsia="宋体" w:cs="宋体"/>
                <w:b w:val="0"/>
                <w:bCs w:val="0"/>
                <w:color w:val="auto"/>
                <w:kern w:val="2"/>
                <w:sz w:val="24"/>
                <w:szCs w:val="24"/>
                <w:lang w:val="en-US" w:eastAsia="zh-CN" w:bidi="ar"/>
                <w:woUserID w:val="1"/>
              </w:rPr>
              <w:t>得分合计作为计分依据。以业务</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排名第一名的投标银行得7分，其他投标银行按比例得分，即按：投标银行业务</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得分／业务</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得分最高的投标银行业务</w:t>
            </w:r>
            <w:r>
              <w:rPr>
                <w:rFonts w:hint="eastAsia" w:ascii="宋体" w:hAnsi="宋体" w:eastAsia="宋体" w:cs="宋体"/>
                <w:b w:val="0"/>
                <w:bCs w:val="0"/>
                <w:color w:val="auto"/>
                <w:sz w:val="24"/>
                <w:szCs w:val="24"/>
                <w:lang w:val="en-US" w:eastAsia="zh-CN"/>
              </w:rPr>
              <w:t>评价</w:t>
            </w:r>
            <w:r>
              <w:rPr>
                <w:rFonts w:hint="eastAsia" w:ascii="宋体" w:hAnsi="宋体" w:eastAsia="宋体" w:cs="宋体"/>
                <w:b w:val="0"/>
                <w:bCs w:val="0"/>
                <w:color w:val="auto"/>
                <w:kern w:val="2"/>
                <w:sz w:val="24"/>
                <w:szCs w:val="24"/>
                <w:lang w:val="en-US" w:eastAsia="zh-CN" w:bidi="ar"/>
                <w:woUserID w:val="1"/>
              </w:rPr>
              <w:t>得分×7分计算得分。</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640F6C4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7</w:t>
            </w:r>
          </w:p>
        </w:tc>
      </w:tr>
      <w:tr w14:paraId="2238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71" w:type="dxa"/>
            <w:vMerge w:val="continue"/>
            <w:tcBorders>
              <w:left w:val="single" w:color="auto" w:sz="4" w:space="0"/>
              <w:bottom w:val="single" w:color="auto" w:sz="4" w:space="0"/>
              <w:right w:val="single" w:color="auto" w:sz="4" w:space="0"/>
            </w:tcBorders>
            <w:shd w:val="clear" w:color="auto" w:fill="auto"/>
            <w:vAlign w:val="center"/>
          </w:tcPr>
          <w:p w14:paraId="123778B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val="0"/>
                <w:bCs w:val="0"/>
                <w:color w:val="auto"/>
                <w:kern w:val="2"/>
                <w:sz w:val="24"/>
                <w:szCs w:val="24"/>
                <w:lang w:val="en-US" w:eastAsia="zh-CN" w:bidi="ar"/>
                <w:woUserID w:val="1"/>
              </w:rPr>
            </w:pPr>
          </w:p>
        </w:tc>
        <w:tc>
          <w:tcPr>
            <w:tcW w:w="2033" w:type="dxa"/>
            <w:gridSpan w:val="2"/>
            <w:tcBorders>
              <w:left w:val="nil"/>
              <w:bottom w:val="single" w:color="auto" w:sz="4" w:space="0"/>
              <w:right w:val="single" w:color="auto" w:sz="4" w:space="0"/>
            </w:tcBorders>
            <w:shd w:val="clear" w:color="auto" w:fill="auto"/>
            <w:vAlign w:val="center"/>
          </w:tcPr>
          <w:p w14:paraId="614C257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kern w:val="2"/>
                <w:sz w:val="24"/>
                <w:szCs w:val="24"/>
                <w:woUserID w:val="1"/>
              </w:rPr>
            </w:pPr>
            <w:r>
              <w:rPr>
                <w:rFonts w:hint="eastAsia" w:ascii="宋体" w:hAnsi="宋体" w:eastAsia="宋体" w:cs="宋体"/>
                <w:b w:val="0"/>
                <w:bCs w:val="0"/>
                <w:color w:val="auto"/>
                <w:kern w:val="2"/>
                <w:sz w:val="24"/>
                <w:szCs w:val="24"/>
                <w:lang w:val="en-US" w:eastAsia="zh-CN" w:bidi="ar"/>
                <w:woUserID w:val="1"/>
              </w:rPr>
              <w:t>2.业务工作配合</w:t>
            </w:r>
          </w:p>
          <w:p w14:paraId="5C3E38C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（3分）</w:t>
            </w:r>
            <w:r>
              <w:rPr>
                <w:rFonts w:hint="eastAsia" w:ascii="宋体" w:hAnsi="宋体" w:cs="宋体"/>
                <w:b w:val="0"/>
                <w:bCs w:val="0"/>
                <w:color w:val="auto"/>
                <w:kern w:val="2"/>
                <w:sz w:val="24"/>
                <w:szCs w:val="24"/>
                <w:lang w:val="en-US" w:eastAsia="zh-CN" w:bidi="ar"/>
                <w:woUserID w:val="1"/>
              </w:rPr>
              <w:t xml:space="preserve">  </w:t>
            </w:r>
          </w:p>
        </w:tc>
        <w:tc>
          <w:tcPr>
            <w:tcW w:w="4933" w:type="dxa"/>
            <w:tcBorders>
              <w:top w:val="single" w:color="auto" w:sz="4" w:space="0"/>
              <w:left w:val="nil"/>
              <w:bottom w:val="single" w:color="auto" w:sz="4" w:space="0"/>
              <w:right w:val="single" w:color="auto" w:sz="4" w:space="0"/>
            </w:tcBorders>
            <w:shd w:val="clear" w:color="auto" w:fill="auto"/>
            <w:vAlign w:val="top"/>
          </w:tcPr>
          <w:p w14:paraId="6AD475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b w:val="0"/>
                <w:bCs w:val="0"/>
                <w:color w:val="auto"/>
                <w:kern w:val="2"/>
                <w:sz w:val="24"/>
                <w:szCs w:val="24"/>
                <w:lang w:val="en-US" w:eastAsia="zh-CN"/>
                <w:woUserID w:val="1"/>
              </w:rPr>
            </w:pPr>
            <w:r>
              <w:rPr>
                <w:rFonts w:hint="eastAsia" w:ascii="宋体" w:hAnsi="宋体" w:eastAsia="宋体" w:cs="宋体"/>
                <w:b w:val="0"/>
                <w:bCs w:val="0"/>
                <w:color w:val="auto"/>
                <w:kern w:val="2"/>
                <w:sz w:val="24"/>
                <w:szCs w:val="24"/>
                <w:lang w:val="en-US" w:eastAsia="zh-CN" w:bidi="ar"/>
                <w:woUserID w:val="1"/>
              </w:rPr>
              <w:t>受托银行派遣工作人员入驻分中心行政服务中心窗口并接受统一管理的得3分，未派遣的不得分。受托银行派遣人员缺岗的，每缺一个月扣减0.25分，扣完为止。</w:t>
            </w:r>
          </w:p>
        </w:tc>
        <w:tc>
          <w:tcPr>
            <w:tcW w:w="663" w:type="dxa"/>
            <w:tcBorders>
              <w:top w:val="single" w:color="auto" w:sz="4" w:space="0"/>
              <w:left w:val="single" w:color="auto" w:sz="4" w:space="0"/>
              <w:bottom w:val="single" w:color="auto" w:sz="4" w:space="0"/>
              <w:right w:val="single" w:color="auto" w:sz="4" w:space="0"/>
            </w:tcBorders>
            <w:shd w:val="clear" w:color="auto" w:fill="auto"/>
            <w:vAlign w:val="top"/>
          </w:tcPr>
          <w:p w14:paraId="5DF46CA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val="0"/>
                <w:color w:val="auto"/>
                <w:sz w:val="24"/>
                <w:szCs w:val="24"/>
                <w:lang w:val="en-US" w:eastAsia="zh-CN"/>
                <w:woUserID w:val="1"/>
              </w:rPr>
            </w:pPr>
            <w:r>
              <w:rPr>
                <w:rFonts w:hint="eastAsia" w:ascii="宋体" w:hAnsi="宋体" w:cs="宋体"/>
                <w:b w:val="0"/>
                <w:bCs w:val="0"/>
                <w:color w:val="auto"/>
                <w:sz w:val="24"/>
                <w:szCs w:val="24"/>
                <w:lang w:val="en-US" w:eastAsia="zh-CN"/>
                <w:woUserID w:val="1"/>
              </w:rPr>
              <w:t>3</w:t>
            </w:r>
          </w:p>
        </w:tc>
      </w:tr>
    </w:tbl>
    <w:p w14:paraId="2AD26324">
      <w:pPr>
        <w:spacing w:line="360" w:lineRule="auto"/>
        <w:ind w:firstLine="480" w:firstLineChars="200"/>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sz w:val="24"/>
          <w:szCs w:val="24"/>
          <w:highlight w:val="none"/>
          <w:lang w:eastAsia="zh-CN"/>
        </w:rPr>
        <w:t>根据</w:t>
      </w:r>
      <w:r>
        <w:rPr>
          <w:rFonts w:hint="eastAsia" w:ascii="宋体" w:hAnsi="宋体" w:eastAsia="宋体" w:cs="宋体"/>
          <w:b w:val="0"/>
          <w:bCs w:val="0"/>
          <w:color w:val="auto"/>
          <w:sz w:val="24"/>
          <w:szCs w:val="24"/>
          <w:highlight w:val="none"/>
          <w:lang w:val="en-US" w:eastAsia="zh-CN"/>
        </w:rPr>
        <w:t>标段一</w:t>
      </w:r>
      <w:r>
        <w:rPr>
          <w:rFonts w:hint="eastAsia" w:ascii="宋体" w:hAnsi="宋体" w:eastAsia="宋体" w:cs="宋体"/>
          <w:b w:val="0"/>
          <w:bCs w:val="0"/>
          <w:color w:val="auto"/>
          <w:sz w:val="24"/>
          <w:szCs w:val="24"/>
          <w:highlight w:val="none"/>
          <w:lang w:eastAsia="zh-CN"/>
        </w:rPr>
        <w:t>投标银行得分确定分数</w:t>
      </w:r>
      <w:r>
        <w:rPr>
          <w:rFonts w:hint="eastAsia" w:ascii="宋体" w:hAnsi="宋体" w:eastAsia="宋体" w:cs="宋体"/>
          <w:b w:val="0"/>
          <w:bCs w:val="0"/>
          <w:color w:val="auto"/>
          <w:sz w:val="24"/>
          <w:szCs w:val="24"/>
          <w:highlight w:val="none"/>
          <w:lang w:val="en-US" w:eastAsia="zh-CN"/>
        </w:rPr>
        <w:t>前四名</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该标段</w:t>
      </w:r>
      <w:r>
        <w:rPr>
          <w:rFonts w:hint="eastAsia" w:ascii="宋体" w:hAnsi="宋体" w:eastAsia="宋体" w:cs="宋体"/>
          <w:b w:val="0"/>
          <w:bCs w:val="0"/>
          <w:color w:val="auto"/>
          <w:sz w:val="24"/>
          <w:szCs w:val="24"/>
          <w:highlight w:val="none"/>
          <w:lang w:eastAsia="zh-CN"/>
        </w:rPr>
        <w:t>中标银行，</w:t>
      </w:r>
      <w:r>
        <w:rPr>
          <w:rFonts w:hint="eastAsia" w:ascii="宋体" w:hAnsi="宋体" w:eastAsia="宋体" w:cs="宋体"/>
          <w:b w:val="0"/>
          <w:bCs w:val="0"/>
          <w:color w:val="auto"/>
          <w:sz w:val="24"/>
          <w:szCs w:val="24"/>
          <w:highlight w:val="none"/>
          <w:lang w:val="en-US" w:eastAsia="zh-CN"/>
        </w:rPr>
        <w:t>得分最高银行分配金额17280万元、次高者12960万元、分数第三者8640万元、分数第四者4320万元。标段二</w:t>
      </w:r>
      <w:r>
        <w:rPr>
          <w:rFonts w:hint="eastAsia" w:ascii="宋体" w:hAnsi="宋体" w:eastAsia="宋体" w:cs="宋体"/>
          <w:b w:val="0"/>
          <w:bCs w:val="0"/>
          <w:color w:val="auto"/>
          <w:sz w:val="24"/>
          <w:szCs w:val="24"/>
          <w:highlight w:val="none"/>
          <w:lang w:eastAsia="zh-CN"/>
        </w:rPr>
        <w:t>投标银行得分确定分数</w:t>
      </w:r>
      <w:r>
        <w:rPr>
          <w:rFonts w:hint="eastAsia" w:ascii="宋体" w:hAnsi="宋体" w:eastAsia="宋体" w:cs="宋体"/>
          <w:b w:val="0"/>
          <w:bCs w:val="0"/>
          <w:color w:val="auto"/>
          <w:sz w:val="24"/>
          <w:szCs w:val="24"/>
          <w:highlight w:val="none"/>
          <w:lang w:val="en-US" w:eastAsia="zh-CN"/>
        </w:rPr>
        <w:t>前二名</w:t>
      </w:r>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该标段</w:t>
      </w:r>
      <w:r>
        <w:rPr>
          <w:rFonts w:hint="eastAsia" w:ascii="宋体" w:hAnsi="宋体" w:eastAsia="宋体" w:cs="宋体"/>
          <w:b w:val="0"/>
          <w:bCs w:val="0"/>
          <w:color w:val="auto"/>
          <w:sz w:val="24"/>
          <w:szCs w:val="24"/>
          <w:highlight w:val="none"/>
          <w:lang w:eastAsia="zh-CN"/>
        </w:rPr>
        <w:t>中标银行，</w:t>
      </w:r>
      <w:r>
        <w:rPr>
          <w:rFonts w:hint="eastAsia" w:ascii="宋体" w:hAnsi="宋体" w:eastAsia="宋体" w:cs="宋体"/>
          <w:b w:val="0"/>
          <w:bCs w:val="0"/>
          <w:color w:val="auto"/>
          <w:sz w:val="24"/>
          <w:szCs w:val="24"/>
          <w:highlight w:val="none"/>
          <w:lang w:val="en-US" w:eastAsia="zh-CN"/>
        </w:rPr>
        <w:t>得分最高银行分配金额5340万元、次高者3560万元。</w:t>
      </w:r>
      <w:r>
        <w:rPr>
          <w:rFonts w:hint="eastAsia" w:ascii="宋体" w:hAnsi="宋体" w:eastAsia="宋体" w:cs="宋体"/>
          <w:b w:val="0"/>
          <w:bCs w:val="0"/>
          <w:color w:val="auto"/>
          <w:sz w:val="24"/>
          <w:szCs w:val="24"/>
          <w:highlight w:val="none"/>
          <w:lang w:eastAsia="zh-CN"/>
        </w:rPr>
        <w:t>若出现分数相同情况，则采用随机抽签的形式确定中标银行。（抽签时先抽</w:t>
      </w:r>
      <w:r>
        <w:rPr>
          <w:rFonts w:hint="eastAsia" w:ascii="宋体" w:hAnsi="宋体" w:eastAsia="宋体" w:cs="宋体"/>
          <w:b w:val="0"/>
          <w:bCs w:val="0"/>
          <w:color w:val="auto"/>
          <w:sz w:val="24"/>
          <w:szCs w:val="24"/>
          <w:highlight w:val="none"/>
          <w:lang w:val="en-US" w:eastAsia="zh-CN"/>
        </w:rPr>
        <w:t>抽</w:t>
      </w:r>
      <w:r>
        <w:rPr>
          <w:rFonts w:hint="eastAsia" w:ascii="宋体" w:hAnsi="宋体" w:eastAsia="宋体" w:cs="宋体"/>
          <w:b w:val="0"/>
          <w:bCs w:val="0"/>
          <w:color w:val="auto"/>
          <w:sz w:val="24"/>
          <w:szCs w:val="24"/>
          <w:highlight w:val="none"/>
          <w:lang w:eastAsia="zh-CN"/>
        </w:rPr>
        <w:t>签的顺序，再抽中标结果）</w:t>
      </w:r>
    </w:p>
    <w:p w14:paraId="7060830B">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w w:val="100"/>
          <w:sz w:val="24"/>
          <w:szCs w:val="24"/>
          <w:highlight w:val="none"/>
          <w:lang w:eastAsia="zh-CN"/>
        </w:rPr>
        <w:t>当确定的中标人放弃中标时，取消该银行2年内的投标资格。重新按评标综合得分从高到低排序，顺延给其他投标银行。</w:t>
      </w:r>
    </w:p>
    <w:p w14:paraId="019EA354">
      <w:pPr>
        <w:rPr>
          <w:rFonts w:hint="eastAsia"/>
          <w:b w:val="0"/>
          <w:bCs w:val="0"/>
          <w:color w:val="auto"/>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GNjYjliZDExMGMyOWU4YmI1Njk2NDY2ZTFlMDIifQ=="/>
  </w:docVars>
  <w:rsids>
    <w:rsidRoot w:val="13E367D5"/>
    <w:rsid w:val="03AE4275"/>
    <w:rsid w:val="05D235E7"/>
    <w:rsid w:val="06C14FFB"/>
    <w:rsid w:val="138715EB"/>
    <w:rsid w:val="13E367D5"/>
    <w:rsid w:val="16523686"/>
    <w:rsid w:val="179E7583"/>
    <w:rsid w:val="17D80739"/>
    <w:rsid w:val="27786B57"/>
    <w:rsid w:val="29495F04"/>
    <w:rsid w:val="2C8B1554"/>
    <w:rsid w:val="2CB05936"/>
    <w:rsid w:val="2F231455"/>
    <w:rsid w:val="3E1E32F5"/>
    <w:rsid w:val="409E12C1"/>
    <w:rsid w:val="496B398E"/>
    <w:rsid w:val="5CAE3D3B"/>
    <w:rsid w:val="6A927E4E"/>
    <w:rsid w:val="6E617B92"/>
    <w:rsid w:val="70F52EE5"/>
    <w:rsid w:val="72E80BCD"/>
    <w:rsid w:val="7E9E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pacing w:before="0" w:after="0" w:line="240" w:lineRule="auto"/>
      <w:ind w:left="0" w:firstLine="0"/>
      <w:jc w:val="both"/>
    </w:pPr>
    <w:rPr>
      <w:rFonts w:ascii="Times New Roman" w:hAnsi="Times New Roman" w:eastAsia="宋体" w:cs="Times New Roman"/>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szCs w:val="20"/>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2110</Words>
  <Characters>2214</Characters>
  <Lines>0</Lines>
  <Paragraphs>0</Paragraphs>
  <TotalTime>0</TotalTime>
  <ScaleCrop>false</ScaleCrop>
  <LinksUpToDate>false</LinksUpToDate>
  <CharactersWithSpaces>2217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2024-10-21T07:39:00Z</dcterms:created>
  <dc:creator>陆喵了个白。</dc:creator>
  <cp:lastModifiedBy>陆喵了个白。</cp:lastModifiedBy>
  <dcterms:modified xsi:type="dcterms:W3CDTF">2025-07-11T07:31:32Z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476FCE57DA0346EE8DE54BC8B38DFC8E_13</vt:lpwstr>
  </property>
  <property fmtid="{D5CDD505-2E9C-101B-9397-08002B2CF9AE}" pid="4" name="KSOTemplateDocerSaveRecord">
    <vt:lpwstr>eyJoZGlkIjoiMjJiMjRlMDI0ZDhjNDg5YjhmNTdlNjI5ZTE2NjIxNjMiLCJ1c2VySWQiOiIzMzg4NDkwNTkifQ==</vt:lpwstr>
  </property>
</Properties>
</file>