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Arial"/>
          <w:b/>
          <w:bCs/>
          <w:color w:val="000000" w:themeColor="text1"/>
          <w:sz w:val="72"/>
          <w:szCs w:val="72"/>
          <w14:textFill>
            <w14:solidFill>
              <w14:schemeClr w14:val="tx1"/>
            </w14:solidFill>
          </w14:textFill>
        </w:rPr>
      </w:pPr>
    </w:p>
    <w:p>
      <w:pPr>
        <w:jc w:val="center"/>
        <w:rPr>
          <w:rFonts w:ascii="宋体" w:hAnsi="宋体" w:cs="Arial"/>
          <w:b/>
          <w:bCs/>
          <w:color w:val="000000" w:themeColor="text1"/>
          <w:sz w:val="72"/>
          <w:szCs w:val="72"/>
          <w14:textFill>
            <w14:solidFill>
              <w14:schemeClr w14:val="tx1"/>
            </w14:solidFill>
          </w14:textFill>
        </w:rPr>
      </w:pPr>
    </w:p>
    <w:p>
      <w:pPr>
        <w:jc w:val="center"/>
        <w:rPr>
          <w:rFonts w:ascii="宋体" w:hAnsi="宋体" w:cs="Arial"/>
          <w:b/>
          <w:bCs/>
          <w:color w:val="000000" w:themeColor="text1"/>
          <w:sz w:val="72"/>
          <w:szCs w:val="72"/>
          <w14:textFill>
            <w14:solidFill>
              <w14:schemeClr w14:val="tx1"/>
            </w14:solidFill>
          </w14:textFill>
        </w:rPr>
      </w:pPr>
      <w:r>
        <w:rPr>
          <w:rFonts w:hint="eastAsia" w:ascii="宋体" w:hAnsi="宋体" w:cs="Arial"/>
          <w:b/>
          <w:bCs/>
          <w:color w:val="000000" w:themeColor="text1"/>
          <w:sz w:val="72"/>
          <w:szCs w:val="72"/>
          <w14:textFill>
            <w14:solidFill>
              <w14:schemeClr w14:val="tx1"/>
            </w14:solidFill>
          </w14:textFill>
        </w:rPr>
        <w:t>公开招标</w:t>
      </w:r>
      <w:r>
        <w:rPr>
          <w:rFonts w:ascii="宋体" w:hAnsi="宋体" w:cs="Arial"/>
          <w:b/>
          <w:bCs/>
          <w:color w:val="000000" w:themeColor="text1"/>
          <w:sz w:val="72"/>
          <w:szCs w:val="72"/>
          <w14:textFill>
            <w14:solidFill>
              <w14:schemeClr w14:val="tx1"/>
            </w14:solidFill>
          </w14:textFill>
        </w:rPr>
        <w:t>文件</w:t>
      </w:r>
    </w:p>
    <w:p>
      <w:pPr>
        <w:spacing w:beforeLines="50"/>
        <w:jc w:val="center"/>
        <w:rPr>
          <w:rFonts w:ascii="宋体" w:hAnsi="宋体" w:cs="Arial"/>
          <w:b/>
          <w:bCs/>
          <w:color w:val="000000" w:themeColor="text1"/>
          <w:sz w:val="36"/>
          <w:szCs w:val="36"/>
          <w14:textFill>
            <w14:solidFill>
              <w14:schemeClr w14:val="tx1"/>
            </w14:solidFill>
          </w14:textFill>
        </w:rPr>
      </w:pPr>
    </w:p>
    <w:p>
      <w:pPr>
        <w:widowControl/>
        <w:spacing w:line="780" w:lineRule="exact"/>
        <w:ind w:right="62"/>
        <w:jc w:val="left"/>
        <w:rPr>
          <w:rFonts w:ascii="宋体" w:hAnsi="宋体" w:cs="Arial"/>
          <w:b/>
          <w:bCs/>
          <w:color w:val="000000" w:themeColor="text1"/>
          <w:sz w:val="100"/>
          <w14:textFill>
            <w14:solidFill>
              <w14:schemeClr w14:val="tx1"/>
            </w14:solidFill>
          </w14:textFill>
        </w:rPr>
      </w:pPr>
    </w:p>
    <w:p>
      <w:pPr>
        <w:widowControl/>
        <w:spacing w:line="780" w:lineRule="exact"/>
        <w:ind w:right="62"/>
        <w:jc w:val="left"/>
        <w:rPr>
          <w:rFonts w:ascii="宋体" w:hAnsi="宋体" w:cs="Arial"/>
          <w:b/>
          <w:bCs/>
          <w:color w:val="000000" w:themeColor="text1"/>
          <w:sz w:val="100"/>
          <w14:textFill>
            <w14:solidFill>
              <w14:schemeClr w14:val="tx1"/>
            </w14:solidFill>
          </w14:textFill>
        </w:rPr>
      </w:pPr>
    </w:p>
    <w:p>
      <w:pPr>
        <w:widowControl/>
        <w:spacing w:line="780" w:lineRule="exact"/>
        <w:ind w:right="62"/>
        <w:jc w:val="left"/>
        <w:rPr>
          <w:rFonts w:ascii="宋体" w:hAnsi="宋体" w:cs="Arial"/>
          <w:b/>
          <w:bCs/>
          <w:color w:val="000000" w:themeColor="text1"/>
          <w:sz w:val="100"/>
          <w14:textFill>
            <w14:solidFill>
              <w14:schemeClr w14:val="tx1"/>
            </w14:solidFill>
          </w14:textFill>
        </w:rPr>
      </w:pPr>
    </w:p>
    <w:p>
      <w:pPr>
        <w:widowControl/>
        <w:spacing w:line="780" w:lineRule="exact"/>
        <w:ind w:left="1988" w:right="276" w:hanging="1988" w:hangingChars="550"/>
        <w:jc w:val="left"/>
        <w:rPr>
          <w:rFonts w:hint="eastAsia" w:ascii="宋体" w:hAnsi="宋体" w:cs="Times New Roman"/>
          <w:b/>
          <w:color w:val="000000" w:themeColor="text1"/>
          <w:sz w:val="36"/>
          <w:szCs w:val="36"/>
          <w:u w:val="single"/>
          <w:lang w:val="en-US" w:eastAsia="zh-CN"/>
          <w14:textFill>
            <w14:solidFill>
              <w14:schemeClr w14:val="tx1"/>
            </w14:solidFill>
          </w14:textFill>
        </w:rPr>
      </w:pPr>
      <w:r>
        <w:rPr>
          <w:rFonts w:ascii="宋体" w:hAnsi="宋体"/>
          <w:b/>
          <w:bCs/>
          <w:color w:val="000000" w:themeColor="text1"/>
          <w:sz w:val="36"/>
          <w:szCs w:val="36"/>
          <w14:textFill>
            <w14:solidFill>
              <w14:schemeClr w14:val="tx1"/>
            </w14:solidFill>
          </w14:textFill>
        </w:rPr>
        <w:t>招标项目：</w:t>
      </w:r>
      <w:r>
        <w:rPr>
          <w:rFonts w:hint="eastAsia" w:ascii="宋体" w:hAnsi="宋体" w:cs="Times New Roman"/>
          <w:b/>
          <w:color w:val="000000" w:themeColor="text1"/>
          <w:sz w:val="36"/>
          <w:szCs w:val="36"/>
          <w:u w:val="single"/>
          <w:lang w:val="en-US" w:eastAsia="zh-CN"/>
          <w14:textFill>
            <w14:solidFill>
              <w14:schemeClr w14:val="tx1"/>
            </w14:solidFill>
          </w14:textFill>
        </w:rPr>
        <w:t>建德市医共体基本结算账户开户招标项目</w:t>
      </w:r>
    </w:p>
    <w:p>
      <w:pPr>
        <w:widowControl/>
        <w:spacing w:line="780" w:lineRule="exact"/>
        <w:ind w:right="62"/>
        <w:jc w:val="left"/>
        <w:rPr>
          <w:rFonts w:hint="eastAsia" w:ascii="宋体" w:hAnsi="宋体"/>
          <w:b/>
          <w:color w:val="000000" w:themeColor="text1"/>
          <w:sz w:val="36"/>
          <w:szCs w:val="36"/>
          <w:u w:val="single"/>
          <w:lang w:val="en-US" w:eastAsia="zh-CN"/>
          <w14:textFill>
            <w14:solidFill>
              <w14:schemeClr w14:val="tx1"/>
            </w14:solidFill>
          </w14:textFill>
        </w:rPr>
      </w:pPr>
      <w:r>
        <w:rPr>
          <w:rFonts w:ascii="宋体" w:hAnsi="宋体"/>
          <w:b/>
          <w:bCs/>
          <w:color w:val="000000" w:themeColor="text1"/>
          <w:sz w:val="36"/>
          <w:szCs w:val="36"/>
          <w14:textFill>
            <w14:solidFill>
              <w14:schemeClr w14:val="tx1"/>
            </w14:solidFill>
          </w14:textFill>
        </w:rPr>
        <w:t>项目编号：</w:t>
      </w:r>
      <w:r>
        <w:rPr>
          <w:rFonts w:hint="eastAsia" w:ascii="宋体" w:hAnsi="宋体"/>
          <w:b/>
          <w:color w:val="000000" w:themeColor="text1"/>
          <w:sz w:val="36"/>
          <w:szCs w:val="36"/>
          <w:u w:val="single"/>
          <w:lang w:val="en-US" w:eastAsia="zh-CN"/>
          <w14:textFill>
            <w14:solidFill>
              <w14:schemeClr w14:val="tx1"/>
            </w14:solidFill>
          </w14:textFill>
        </w:rPr>
        <w:t>JDJJ2024-024</w:t>
      </w:r>
    </w:p>
    <w:p>
      <w:pPr>
        <w:widowControl/>
        <w:spacing w:line="780" w:lineRule="exact"/>
        <w:ind w:right="62"/>
        <w:jc w:val="left"/>
        <w:rPr>
          <w:rFonts w:hint="eastAsia" w:ascii="宋体" w:hAnsi="宋体" w:eastAsia="宋体"/>
          <w:b/>
          <w:bCs/>
          <w:color w:val="000000" w:themeColor="text1"/>
          <w:sz w:val="36"/>
          <w:szCs w:val="36"/>
          <w:u w:val="single"/>
          <w:lang w:val="en-US" w:eastAsia="zh-CN"/>
          <w14:textFill>
            <w14:solidFill>
              <w14:schemeClr w14:val="tx1"/>
            </w14:solidFill>
          </w14:textFill>
        </w:rPr>
      </w:pPr>
      <w:r>
        <w:rPr>
          <w:rFonts w:ascii="宋体" w:hAnsi="宋体"/>
          <w:b/>
          <w:bCs/>
          <w:color w:val="000000" w:themeColor="text1"/>
          <w:sz w:val="36"/>
          <w:szCs w:val="36"/>
          <w14:textFill>
            <w14:solidFill>
              <w14:schemeClr w14:val="tx1"/>
            </w14:solidFill>
          </w14:textFill>
        </w:rPr>
        <w:t>招标单位：</w:t>
      </w:r>
      <w:r>
        <w:rPr>
          <w:rFonts w:hint="eastAsia" w:ascii="宋体" w:hAnsi="宋体"/>
          <w:b/>
          <w:color w:val="000000" w:themeColor="text1"/>
          <w:sz w:val="36"/>
          <w:szCs w:val="36"/>
          <w:u w:val="single"/>
          <w:lang w:eastAsia="zh-CN"/>
          <w14:textFill>
            <w14:solidFill>
              <w14:schemeClr w14:val="tx1"/>
            </w14:solidFill>
          </w14:textFill>
        </w:rPr>
        <w:t xml:space="preserve">建德市卫生健康局 </w:t>
      </w:r>
    </w:p>
    <w:p>
      <w:pPr>
        <w:ind w:left="60" w:firstLine="640" w:firstLineChars="145"/>
        <w:rPr>
          <w:rFonts w:ascii="宋体" w:hAnsi="宋体" w:cs="Arial"/>
          <w:b/>
          <w:bCs/>
          <w:color w:val="000000" w:themeColor="text1"/>
          <w:sz w:val="44"/>
          <w14:textFill>
            <w14:solidFill>
              <w14:schemeClr w14:val="tx1"/>
            </w14:solidFill>
          </w14:textFill>
        </w:rPr>
      </w:pPr>
    </w:p>
    <w:p>
      <w:pPr>
        <w:rPr>
          <w:rFonts w:ascii="宋体" w:hAnsi="宋体" w:cs="Arial"/>
          <w:b/>
          <w:bCs/>
          <w:color w:val="000000" w:themeColor="text1"/>
          <w:sz w:val="44"/>
          <w:u w:val="single"/>
          <w14:textFill>
            <w14:solidFill>
              <w14:schemeClr w14:val="tx1"/>
            </w14:solidFill>
          </w14:textFill>
        </w:rPr>
      </w:pPr>
    </w:p>
    <w:p>
      <w:pPr>
        <w:jc w:val="center"/>
        <w:rPr>
          <w:rFonts w:ascii="宋体" w:hAnsi="宋体" w:cs="Arial"/>
          <w:b/>
          <w:bCs/>
          <w:color w:val="000000" w:themeColor="text1"/>
          <w:sz w:val="44"/>
          <w:u w:val="single"/>
          <w14:textFill>
            <w14:solidFill>
              <w14:schemeClr w14:val="tx1"/>
            </w14:solidFill>
          </w14:textFill>
        </w:rPr>
      </w:pPr>
    </w:p>
    <w:p>
      <w:pPr>
        <w:jc w:val="center"/>
        <w:rPr>
          <w:rFonts w:ascii="宋体" w:hAnsi="宋体" w:cs="Arial"/>
          <w:b/>
          <w:bCs/>
          <w:color w:val="000000" w:themeColor="text1"/>
          <w:sz w:val="44"/>
          <w:u w:val="single"/>
          <w14:textFill>
            <w14:solidFill>
              <w14:schemeClr w14:val="tx1"/>
            </w14:solidFill>
          </w14:textFill>
        </w:rPr>
      </w:pPr>
    </w:p>
    <w:p>
      <w:pPr>
        <w:jc w:val="center"/>
        <w:rPr>
          <w:rFonts w:ascii="宋体" w:hAnsi="宋体" w:cs="Arial"/>
          <w:b/>
          <w:bCs/>
          <w:color w:val="000000" w:themeColor="text1"/>
          <w:sz w:val="44"/>
          <w:u w:val="single"/>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lang w:val="en-US" w:eastAsia="zh-CN"/>
          <w14:textFill>
            <w14:solidFill>
              <w14:schemeClr w14:val="tx1"/>
            </w14:solidFill>
          </w14:textFill>
        </w:rPr>
        <w:t>建经</w:t>
      </w:r>
      <w:r>
        <w:rPr>
          <w:rFonts w:hint="eastAsia" w:ascii="宋体" w:hAnsi="宋体" w:cs="Arial"/>
          <w:b/>
          <w:bCs/>
          <w:color w:val="000000" w:themeColor="text1"/>
          <w:sz w:val="36"/>
          <w:szCs w:val="36"/>
          <w14:textFill>
            <w14:solidFill>
              <w14:schemeClr w14:val="tx1"/>
            </w14:solidFill>
          </w14:textFill>
        </w:rPr>
        <w:t>投资咨询有限公司</w:t>
      </w:r>
    </w:p>
    <w:p>
      <w:pPr>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二〇二</w:t>
      </w:r>
      <w:r>
        <w:rPr>
          <w:rFonts w:hint="eastAsia" w:ascii="宋体" w:hAnsi="宋体" w:cs="Arial"/>
          <w:b/>
          <w:bCs/>
          <w:color w:val="000000" w:themeColor="text1"/>
          <w:sz w:val="36"/>
          <w:szCs w:val="36"/>
          <w:lang w:val="en-US" w:eastAsia="zh-CN"/>
          <w14:textFill>
            <w14:solidFill>
              <w14:schemeClr w14:val="tx1"/>
            </w14:solidFill>
          </w14:textFill>
        </w:rPr>
        <w:t>四</w:t>
      </w:r>
      <w:r>
        <w:rPr>
          <w:rFonts w:hint="eastAsia" w:ascii="宋体" w:hAnsi="宋体" w:cs="Arial"/>
          <w:b/>
          <w:bCs/>
          <w:color w:val="000000" w:themeColor="text1"/>
          <w:sz w:val="36"/>
          <w:szCs w:val="36"/>
          <w14:textFill>
            <w14:solidFill>
              <w14:schemeClr w14:val="tx1"/>
            </w14:solidFill>
          </w14:textFill>
        </w:rPr>
        <w:t>年</w:t>
      </w:r>
      <w:r>
        <w:rPr>
          <w:rFonts w:hint="eastAsia" w:ascii="宋体" w:hAnsi="宋体" w:cs="Arial"/>
          <w:b/>
          <w:bCs/>
          <w:color w:val="000000" w:themeColor="text1"/>
          <w:sz w:val="36"/>
          <w:szCs w:val="36"/>
          <w:lang w:val="en-US" w:eastAsia="zh-CN"/>
          <w14:textFill>
            <w14:solidFill>
              <w14:schemeClr w14:val="tx1"/>
            </w14:solidFill>
          </w14:textFill>
        </w:rPr>
        <w:t>十二</w:t>
      </w:r>
      <w:r>
        <w:rPr>
          <w:rFonts w:hint="eastAsia" w:ascii="宋体" w:hAnsi="宋体" w:cs="Arial"/>
          <w:b/>
          <w:bCs/>
          <w:color w:val="000000" w:themeColor="text1"/>
          <w:sz w:val="36"/>
          <w:szCs w:val="36"/>
          <w14:textFill>
            <w14:solidFill>
              <w14:schemeClr w14:val="tx1"/>
            </w14:solidFill>
          </w14:textFill>
        </w:rPr>
        <w:t>月</w:t>
      </w:r>
    </w:p>
    <w:p>
      <w:pPr>
        <w:jc w:val="center"/>
        <w:rPr>
          <w:rFonts w:ascii="宋体" w:hAnsi="宋体" w:cs="Arial"/>
          <w:b/>
          <w:bCs/>
          <w:color w:val="000000" w:themeColor="text1"/>
          <w:sz w:val="36"/>
          <w:szCs w:val="36"/>
          <w14:textFill>
            <w14:solidFill>
              <w14:schemeClr w14:val="tx1"/>
            </w14:solidFill>
          </w14:textFill>
        </w:rPr>
        <w:sectPr>
          <w:footerReference r:id="rId5" w:type="first"/>
          <w:headerReference r:id="rId3" w:type="default"/>
          <w:footerReference r:id="rId4" w:type="even"/>
          <w:pgSz w:w="11906" w:h="16838"/>
          <w:pgMar w:top="1440" w:right="1469" w:bottom="1440" w:left="1797" w:header="851" w:footer="992" w:gutter="0"/>
          <w:pgBorders>
            <w:top w:val="none" w:sz="0" w:space="0"/>
            <w:left w:val="none" w:sz="0" w:space="0"/>
            <w:bottom w:val="none" w:sz="0" w:space="0"/>
            <w:right w:val="none" w:sz="0" w:space="0"/>
          </w:pgBorders>
          <w:cols w:space="720" w:num="1"/>
          <w:docGrid w:linePitch="312" w:charSpace="0"/>
        </w:sectPr>
      </w:pPr>
    </w:p>
    <w:p>
      <w:pPr>
        <w:jc w:val="center"/>
        <w:rPr>
          <w:rFonts w:ascii="宋体" w:hAnsi="宋体"/>
          <w:color w:val="000000" w:themeColor="text1"/>
          <w14:textFill>
            <w14:solidFill>
              <w14:schemeClr w14:val="tx1"/>
            </w14:solidFill>
          </w14:textFill>
        </w:rPr>
      </w:pPr>
    </w:p>
    <w:p>
      <w:pPr>
        <w:pStyle w:val="20"/>
        <w:spacing w:beforeLines="0" w:afterLines="0" w:line="240" w:lineRule="auto"/>
        <w:jc w:val="center"/>
        <w:rPr>
          <w:rFonts w:hAnsi="宋体"/>
          <w:b/>
          <w:color w:val="000000" w:themeColor="text1"/>
          <w:sz w:val="44"/>
          <w:szCs w:val="44"/>
          <w14:textFill>
            <w14:solidFill>
              <w14:schemeClr w14:val="tx1"/>
            </w14:solidFill>
          </w14:textFill>
        </w:rPr>
      </w:pPr>
      <w:r>
        <w:rPr>
          <w:rFonts w:hint="eastAsia" w:hAnsi="宋体"/>
          <w:b/>
          <w:color w:val="000000" w:themeColor="text1"/>
          <w:sz w:val="44"/>
          <w:szCs w:val="44"/>
          <w14:textFill>
            <w14:solidFill>
              <w14:schemeClr w14:val="tx1"/>
            </w14:solidFill>
          </w14:textFill>
        </w:rPr>
        <w:t>目    录</w:t>
      </w:r>
    </w:p>
    <w:p>
      <w:pPr>
        <w:pStyle w:val="20"/>
        <w:spacing w:beforeLines="0" w:afterLines="0" w:line="240" w:lineRule="auto"/>
        <w:jc w:val="center"/>
        <w:rPr>
          <w:rFonts w:hAnsi="宋体"/>
          <w:color w:val="000000" w:themeColor="text1"/>
          <w:sz w:val="44"/>
          <w:szCs w:val="44"/>
          <w14:textFill>
            <w14:solidFill>
              <w14:schemeClr w14:val="tx1"/>
            </w14:solidFill>
          </w14:textFill>
        </w:rPr>
      </w:pPr>
    </w:p>
    <w:p>
      <w:pPr>
        <w:pStyle w:val="26"/>
        <w:rPr>
          <w:rFonts w:ascii="宋体" w:hAnsi="宋体"/>
          <w:b/>
          <w:color w:val="000000" w:themeColor="text1"/>
          <w:sz w:val="28"/>
          <w:szCs w:val="28"/>
          <w14:textFill>
            <w14:solidFill>
              <w14:schemeClr w14:val="tx1"/>
            </w14:solidFill>
          </w14:textFill>
        </w:rPr>
      </w:pPr>
      <w:r>
        <w:rPr>
          <w:rFonts w:ascii="宋体" w:hAnsi="宋体" w:cs="Arial"/>
          <w:b/>
          <w:i/>
          <w:iCs/>
          <w:color w:val="000000" w:themeColor="text1"/>
          <w:sz w:val="28"/>
          <w:szCs w:val="28"/>
          <w14:textFill>
            <w14:solidFill>
              <w14:schemeClr w14:val="tx1"/>
            </w14:solidFill>
          </w14:textFill>
        </w:rPr>
        <w:fldChar w:fldCharType="begin"/>
      </w:r>
      <w:r>
        <w:rPr>
          <w:rFonts w:ascii="宋体" w:hAnsi="宋体" w:cs="Arial"/>
          <w:b/>
          <w:i/>
          <w:iCs/>
          <w:color w:val="000000" w:themeColor="text1"/>
          <w:sz w:val="28"/>
          <w:szCs w:val="28"/>
          <w14:textFill>
            <w14:solidFill>
              <w14:schemeClr w14:val="tx1"/>
            </w14:solidFill>
          </w14:textFill>
        </w:rPr>
        <w:instrText xml:space="preserve"> TOC \o "1-3" \h \z \u </w:instrText>
      </w:r>
      <w:r>
        <w:rPr>
          <w:rFonts w:ascii="宋体" w:hAnsi="宋体" w:cs="Arial"/>
          <w:b/>
          <w:i/>
          <w:iCs/>
          <w:color w:val="000000" w:themeColor="text1"/>
          <w:sz w:val="28"/>
          <w:szCs w:val="28"/>
          <w14:textFill>
            <w14:solidFill>
              <w14:schemeClr w14:val="tx1"/>
            </w14:solidFill>
          </w14:textFill>
        </w:rPr>
        <w:fldChar w:fldCharType="separate"/>
      </w:r>
      <w:r>
        <w:fldChar w:fldCharType="begin"/>
      </w:r>
      <w:r>
        <w:instrText xml:space="preserve"> HYPERLINK \l "_Toc454551063" </w:instrText>
      </w:r>
      <w:r>
        <w:fldChar w:fldCharType="separate"/>
      </w:r>
      <w:r>
        <w:rPr>
          <w:rStyle w:val="37"/>
          <w:rFonts w:hint="eastAsia" w:ascii="宋体" w:hAnsi="宋体"/>
          <w:b/>
          <w:color w:val="000000" w:themeColor="text1"/>
          <w:sz w:val="28"/>
          <w:szCs w:val="28"/>
          <w14:textFill>
            <w14:solidFill>
              <w14:schemeClr w14:val="tx1"/>
            </w14:solidFill>
          </w14:textFill>
        </w:rPr>
        <w:t>第一章 招标公告</w:t>
      </w:r>
      <w:r>
        <w:rPr>
          <w:rFonts w:ascii="宋体" w:hAnsi="宋体"/>
          <w:b/>
          <w:color w:val="000000" w:themeColor="text1"/>
          <w:sz w:val="28"/>
          <w:szCs w:val="28"/>
          <w14:textFill>
            <w14:solidFill>
              <w14:schemeClr w14:val="tx1"/>
            </w14:solidFill>
          </w14:textFill>
        </w:rPr>
        <w:tab/>
      </w:r>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 PAGEREF _Toc454551063 \h </w:instrText>
      </w:r>
      <w:r>
        <w:rPr>
          <w:rFonts w:ascii="宋体" w:hAnsi="宋体"/>
          <w:b/>
          <w:color w:val="000000" w:themeColor="text1"/>
          <w:sz w:val="28"/>
          <w:szCs w:val="28"/>
          <w14:textFill>
            <w14:solidFill>
              <w14:schemeClr w14:val="tx1"/>
            </w14:solidFill>
          </w14:textFill>
        </w:rPr>
        <w:fldChar w:fldCharType="separate"/>
      </w:r>
      <w:r>
        <w:rPr>
          <w:rFonts w:ascii="宋体" w:hAnsi="宋体"/>
          <w:b/>
          <w:color w:val="000000" w:themeColor="text1"/>
          <w:sz w:val="28"/>
          <w:szCs w:val="28"/>
          <w14:textFill>
            <w14:solidFill>
              <w14:schemeClr w14:val="tx1"/>
            </w14:solidFill>
          </w14:textFill>
        </w:rPr>
        <w:t>1</w:t>
      </w:r>
      <w:r>
        <w:rPr>
          <w:rFonts w:ascii="宋体" w:hAnsi="宋体"/>
          <w:b/>
          <w:color w:val="000000" w:themeColor="text1"/>
          <w:sz w:val="28"/>
          <w:szCs w:val="28"/>
          <w14:textFill>
            <w14:solidFill>
              <w14:schemeClr w14:val="tx1"/>
            </w14:solidFill>
          </w14:textFill>
        </w:rPr>
        <w:fldChar w:fldCharType="end"/>
      </w:r>
      <w:r>
        <w:rPr>
          <w:rFonts w:ascii="宋体" w:hAnsi="宋体"/>
          <w:b/>
          <w:color w:val="000000" w:themeColor="text1"/>
          <w:sz w:val="28"/>
          <w:szCs w:val="28"/>
          <w14:textFill>
            <w14:solidFill>
              <w14:schemeClr w14:val="tx1"/>
            </w14:solidFill>
          </w14:textFill>
        </w:rPr>
        <w:fldChar w:fldCharType="end"/>
      </w:r>
    </w:p>
    <w:p>
      <w:pPr>
        <w:pStyle w:val="26"/>
        <w:rPr>
          <w:rFonts w:ascii="宋体" w:hAnsi="宋体"/>
          <w:b/>
          <w:color w:val="000000" w:themeColor="text1"/>
          <w:sz w:val="28"/>
          <w:szCs w:val="28"/>
          <w14:textFill>
            <w14:solidFill>
              <w14:schemeClr w14:val="tx1"/>
            </w14:solidFill>
          </w14:textFill>
        </w:rPr>
      </w:pPr>
      <w:r>
        <w:fldChar w:fldCharType="begin"/>
      </w:r>
      <w:r>
        <w:instrText xml:space="preserve"> HYPERLINK \l "_Toc454551064" </w:instrText>
      </w:r>
      <w:r>
        <w:fldChar w:fldCharType="separate"/>
      </w:r>
      <w:r>
        <w:rPr>
          <w:rStyle w:val="37"/>
          <w:rFonts w:hint="eastAsia" w:ascii="宋体" w:hAnsi="宋体"/>
          <w:b/>
          <w:color w:val="000000" w:themeColor="text1"/>
          <w:sz w:val="28"/>
          <w:szCs w:val="28"/>
          <w14:textFill>
            <w14:solidFill>
              <w14:schemeClr w14:val="tx1"/>
            </w14:solidFill>
          </w14:textFill>
        </w:rPr>
        <w:t>第二章 招标项目需求</w:t>
      </w:r>
      <w:r>
        <w:rPr>
          <w:rFonts w:ascii="宋体" w:hAnsi="宋体"/>
          <w:b/>
          <w:color w:val="000000" w:themeColor="text1"/>
          <w:sz w:val="28"/>
          <w:szCs w:val="28"/>
          <w14:textFill>
            <w14:solidFill>
              <w14:schemeClr w14:val="tx1"/>
            </w14:solidFill>
          </w14:textFill>
        </w:rPr>
        <w:tab/>
      </w:r>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 PAGEREF _Toc454551064 \h </w:instrText>
      </w:r>
      <w:r>
        <w:rPr>
          <w:rFonts w:ascii="宋体" w:hAnsi="宋体"/>
          <w:b/>
          <w:color w:val="000000" w:themeColor="text1"/>
          <w:sz w:val="28"/>
          <w:szCs w:val="28"/>
          <w14:textFill>
            <w14:solidFill>
              <w14:schemeClr w14:val="tx1"/>
            </w14:solidFill>
          </w14:textFill>
        </w:rPr>
        <w:fldChar w:fldCharType="separate"/>
      </w:r>
      <w:r>
        <w:rPr>
          <w:rFonts w:ascii="宋体" w:hAnsi="宋体"/>
          <w:b/>
          <w:color w:val="000000" w:themeColor="text1"/>
          <w:sz w:val="28"/>
          <w:szCs w:val="28"/>
          <w14:textFill>
            <w14:solidFill>
              <w14:schemeClr w14:val="tx1"/>
            </w14:solidFill>
          </w14:textFill>
        </w:rPr>
        <w:t>4</w:t>
      </w:r>
      <w:r>
        <w:rPr>
          <w:rFonts w:ascii="宋体" w:hAnsi="宋体"/>
          <w:b/>
          <w:color w:val="000000" w:themeColor="text1"/>
          <w:sz w:val="28"/>
          <w:szCs w:val="28"/>
          <w14:textFill>
            <w14:solidFill>
              <w14:schemeClr w14:val="tx1"/>
            </w14:solidFill>
          </w14:textFill>
        </w:rPr>
        <w:fldChar w:fldCharType="end"/>
      </w:r>
      <w:r>
        <w:rPr>
          <w:rFonts w:ascii="宋体" w:hAnsi="宋体"/>
          <w:b/>
          <w:color w:val="000000" w:themeColor="text1"/>
          <w:sz w:val="28"/>
          <w:szCs w:val="28"/>
          <w14:textFill>
            <w14:solidFill>
              <w14:schemeClr w14:val="tx1"/>
            </w14:solidFill>
          </w14:textFill>
        </w:rPr>
        <w:fldChar w:fldCharType="end"/>
      </w:r>
    </w:p>
    <w:p>
      <w:pPr>
        <w:pStyle w:val="26"/>
        <w:rPr>
          <w:rFonts w:ascii="宋体" w:hAnsi="宋体"/>
          <w:b/>
          <w:color w:val="000000" w:themeColor="text1"/>
          <w:sz w:val="28"/>
          <w:szCs w:val="28"/>
          <w14:textFill>
            <w14:solidFill>
              <w14:schemeClr w14:val="tx1"/>
            </w14:solidFill>
          </w14:textFill>
        </w:rPr>
      </w:pPr>
      <w:r>
        <w:fldChar w:fldCharType="begin"/>
      </w:r>
      <w:r>
        <w:instrText xml:space="preserve"> HYPERLINK \l "_Toc454551065" </w:instrText>
      </w:r>
      <w:r>
        <w:fldChar w:fldCharType="separate"/>
      </w:r>
      <w:r>
        <w:rPr>
          <w:rStyle w:val="37"/>
          <w:rFonts w:hint="eastAsia" w:ascii="宋体" w:hAnsi="宋体"/>
          <w:b/>
          <w:color w:val="000000" w:themeColor="text1"/>
          <w:sz w:val="28"/>
          <w:szCs w:val="28"/>
          <w14:textFill>
            <w14:solidFill>
              <w14:schemeClr w14:val="tx1"/>
            </w14:solidFill>
          </w14:textFill>
        </w:rPr>
        <w:t>第三章 投标人资料表</w:t>
      </w:r>
      <w:r>
        <w:rPr>
          <w:rFonts w:ascii="宋体" w:hAnsi="宋体"/>
          <w:b/>
          <w:color w:val="000000" w:themeColor="text1"/>
          <w:sz w:val="28"/>
          <w:szCs w:val="28"/>
          <w14:textFill>
            <w14:solidFill>
              <w14:schemeClr w14:val="tx1"/>
            </w14:solidFill>
          </w14:textFill>
        </w:rPr>
        <w:tab/>
      </w:r>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 PAGEREF _Toc454551065 \h </w:instrText>
      </w:r>
      <w:r>
        <w:rPr>
          <w:rFonts w:ascii="宋体" w:hAnsi="宋体"/>
          <w:b/>
          <w:color w:val="000000" w:themeColor="text1"/>
          <w:sz w:val="28"/>
          <w:szCs w:val="28"/>
          <w14:textFill>
            <w14:solidFill>
              <w14:schemeClr w14:val="tx1"/>
            </w14:solidFill>
          </w14:textFill>
        </w:rPr>
        <w:fldChar w:fldCharType="separate"/>
      </w:r>
      <w:r>
        <w:rPr>
          <w:rFonts w:ascii="宋体" w:hAnsi="宋体"/>
          <w:b/>
          <w:color w:val="000000" w:themeColor="text1"/>
          <w:sz w:val="28"/>
          <w:szCs w:val="28"/>
          <w14:textFill>
            <w14:solidFill>
              <w14:schemeClr w14:val="tx1"/>
            </w14:solidFill>
          </w14:textFill>
        </w:rPr>
        <w:t>6</w:t>
      </w:r>
      <w:r>
        <w:rPr>
          <w:rFonts w:ascii="宋体" w:hAnsi="宋体"/>
          <w:b/>
          <w:color w:val="000000" w:themeColor="text1"/>
          <w:sz w:val="28"/>
          <w:szCs w:val="28"/>
          <w14:textFill>
            <w14:solidFill>
              <w14:schemeClr w14:val="tx1"/>
            </w14:solidFill>
          </w14:textFill>
        </w:rPr>
        <w:fldChar w:fldCharType="end"/>
      </w:r>
      <w:r>
        <w:rPr>
          <w:rFonts w:ascii="宋体" w:hAnsi="宋体"/>
          <w:b/>
          <w:color w:val="000000" w:themeColor="text1"/>
          <w:sz w:val="28"/>
          <w:szCs w:val="28"/>
          <w14:textFill>
            <w14:solidFill>
              <w14:schemeClr w14:val="tx1"/>
            </w14:solidFill>
          </w14:textFill>
        </w:rPr>
        <w:fldChar w:fldCharType="end"/>
      </w:r>
    </w:p>
    <w:p>
      <w:pPr>
        <w:pStyle w:val="26"/>
        <w:rPr>
          <w:rFonts w:ascii="宋体" w:hAnsi="宋体"/>
          <w:b/>
          <w:color w:val="000000" w:themeColor="text1"/>
          <w:sz w:val="28"/>
          <w:szCs w:val="28"/>
          <w14:textFill>
            <w14:solidFill>
              <w14:schemeClr w14:val="tx1"/>
            </w14:solidFill>
          </w14:textFill>
        </w:rPr>
      </w:pPr>
      <w:r>
        <w:fldChar w:fldCharType="begin"/>
      </w:r>
      <w:r>
        <w:instrText xml:space="preserve"> HYPERLINK \l "_Toc454551081" </w:instrText>
      </w:r>
      <w:r>
        <w:fldChar w:fldCharType="separate"/>
      </w:r>
      <w:r>
        <w:rPr>
          <w:rStyle w:val="37"/>
          <w:rFonts w:hint="eastAsia" w:ascii="宋体" w:hAnsi="宋体"/>
          <w:b/>
          <w:color w:val="000000" w:themeColor="text1"/>
          <w:sz w:val="28"/>
          <w:szCs w:val="28"/>
          <w14:textFill>
            <w14:solidFill>
              <w14:schemeClr w14:val="tx1"/>
            </w14:solidFill>
          </w14:textFill>
        </w:rPr>
        <w:t>第四章 开标及评标办法</w:t>
      </w:r>
      <w:r>
        <w:rPr>
          <w:rFonts w:ascii="宋体" w:hAnsi="宋体"/>
          <w:b/>
          <w:color w:val="000000" w:themeColor="text1"/>
          <w:sz w:val="28"/>
          <w:szCs w:val="28"/>
          <w14:textFill>
            <w14:solidFill>
              <w14:schemeClr w14:val="tx1"/>
            </w14:solidFill>
          </w14:textFill>
        </w:rPr>
        <w:tab/>
      </w:r>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 PAGEREF _Toc454551081 \h </w:instrText>
      </w:r>
      <w:r>
        <w:rPr>
          <w:rFonts w:ascii="宋体" w:hAnsi="宋体"/>
          <w:b/>
          <w:color w:val="000000" w:themeColor="text1"/>
          <w:sz w:val="28"/>
          <w:szCs w:val="28"/>
          <w14:textFill>
            <w14:solidFill>
              <w14:schemeClr w14:val="tx1"/>
            </w14:solidFill>
          </w14:textFill>
        </w:rPr>
        <w:fldChar w:fldCharType="separate"/>
      </w:r>
      <w:r>
        <w:rPr>
          <w:rFonts w:ascii="宋体" w:hAnsi="宋体"/>
          <w:b/>
          <w:color w:val="000000" w:themeColor="text1"/>
          <w:sz w:val="28"/>
          <w:szCs w:val="28"/>
          <w14:textFill>
            <w14:solidFill>
              <w14:schemeClr w14:val="tx1"/>
            </w14:solidFill>
          </w14:textFill>
        </w:rPr>
        <w:t>16</w:t>
      </w:r>
      <w:r>
        <w:rPr>
          <w:rFonts w:ascii="宋体" w:hAnsi="宋体"/>
          <w:b/>
          <w:color w:val="000000" w:themeColor="text1"/>
          <w:sz w:val="28"/>
          <w:szCs w:val="28"/>
          <w14:textFill>
            <w14:solidFill>
              <w14:schemeClr w14:val="tx1"/>
            </w14:solidFill>
          </w14:textFill>
        </w:rPr>
        <w:fldChar w:fldCharType="end"/>
      </w:r>
      <w:r>
        <w:rPr>
          <w:rFonts w:ascii="宋体" w:hAnsi="宋体"/>
          <w:b/>
          <w:color w:val="000000" w:themeColor="text1"/>
          <w:sz w:val="28"/>
          <w:szCs w:val="28"/>
          <w14:textFill>
            <w14:solidFill>
              <w14:schemeClr w14:val="tx1"/>
            </w14:solidFill>
          </w14:textFill>
        </w:rPr>
        <w:fldChar w:fldCharType="end"/>
      </w:r>
    </w:p>
    <w:p>
      <w:pPr>
        <w:pStyle w:val="26"/>
        <w:rPr>
          <w:rFonts w:ascii="宋体" w:hAnsi="宋体"/>
          <w:b/>
          <w:color w:val="000000" w:themeColor="text1"/>
          <w:sz w:val="28"/>
          <w:szCs w:val="28"/>
          <w14:textFill>
            <w14:solidFill>
              <w14:schemeClr w14:val="tx1"/>
            </w14:solidFill>
          </w14:textFill>
        </w:rPr>
      </w:pPr>
      <w:r>
        <w:fldChar w:fldCharType="begin"/>
      </w:r>
      <w:r>
        <w:instrText xml:space="preserve"> HYPERLINK \l "_Toc454551084" </w:instrText>
      </w:r>
      <w:r>
        <w:fldChar w:fldCharType="separate"/>
      </w:r>
      <w:r>
        <w:rPr>
          <w:rStyle w:val="37"/>
          <w:rFonts w:hint="eastAsia" w:ascii="宋体" w:hAnsi="宋体"/>
          <w:b/>
          <w:color w:val="000000" w:themeColor="text1"/>
          <w:sz w:val="28"/>
          <w:szCs w:val="28"/>
          <w14:textFill>
            <w14:solidFill>
              <w14:schemeClr w14:val="tx1"/>
            </w14:solidFill>
          </w14:textFill>
        </w:rPr>
        <w:t>第五章 定期存款存放协议</w:t>
      </w:r>
      <w:r>
        <w:rPr>
          <w:rFonts w:ascii="宋体" w:hAnsi="宋体"/>
          <w:b/>
          <w:color w:val="000000" w:themeColor="text1"/>
          <w:sz w:val="28"/>
          <w:szCs w:val="28"/>
          <w14:textFill>
            <w14:solidFill>
              <w14:schemeClr w14:val="tx1"/>
            </w14:solidFill>
          </w14:textFill>
        </w:rPr>
        <w:tab/>
      </w:r>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 PAGEREF _Toc454551084 \h </w:instrText>
      </w:r>
      <w:r>
        <w:rPr>
          <w:rFonts w:ascii="宋体" w:hAnsi="宋体"/>
          <w:b/>
          <w:color w:val="000000" w:themeColor="text1"/>
          <w:sz w:val="28"/>
          <w:szCs w:val="28"/>
          <w14:textFill>
            <w14:solidFill>
              <w14:schemeClr w14:val="tx1"/>
            </w14:solidFill>
          </w14:textFill>
        </w:rPr>
        <w:fldChar w:fldCharType="separate"/>
      </w:r>
      <w:r>
        <w:rPr>
          <w:rFonts w:ascii="宋体" w:hAnsi="宋体"/>
          <w:b/>
          <w:color w:val="000000" w:themeColor="text1"/>
          <w:sz w:val="28"/>
          <w:szCs w:val="28"/>
          <w14:textFill>
            <w14:solidFill>
              <w14:schemeClr w14:val="tx1"/>
            </w14:solidFill>
          </w14:textFill>
        </w:rPr>
        <w:t>21</w:t>
      </w:r>
      <w:r>
        <w:rPr>
          <w:rFonts w:ascii="宋体" w:hAnsi="宋体"/>
          <w:b/>
          <w:color w:val="000000" w:themeColor="text1"/>
          <w:sz w:val="28"/>
          <w:szCs w:val="28"/>
          <w14:textFill>
            <w14:solidFill>
              <w14:schemeClr w14:val="tx1"/>
            </w14:solidFill>
          </w14:textFill>
        </w:rPr>
        <w:fldChar w:fldCharType="end"/>
      </w:r>
      <w:r>
        <w:rPr>
          <w:rFonts w:ascii="宋体" w:hAnsi="宋体"/>
          <w:b/>
          <w:color w:val="000000" w:themeColor="text1"/>
          <w:sz w:val="28"/>
          <w:szCs w:val="28"/>
          <w14:textFill>
            <w14:solidFill>
              <w14:schemeClr w14:val="tx1"/>
            </w14:solidFill>
          </w14:textFill>
        </w:rPr>
        <w:fldChar w:fldCharType="end"/>
      </w:r>
    </w:p>
    <w:p>
      <w:pPr>
        <w:pStyle w:val="26"/>
        <w:rPr>
          <w:color w:val="000000" w:themeColor="text1"/>
          <w14:textFill>
            <w14:solidFill>
              <w14:schemeClr w14:val="tx1"/>
            </w14:solidFill>
          </w14:textFill>
        </w:rPr>
      </w:pPr>
      <w:r>
        <w:fldChar w:fldCharType="begin"/>
      </w:r>
      <w:r>
        <w:instrText xml:space="preserve"> HYPERLINK \l "_Toc454551086" </w:instrText>
      </w:r>
      <w:r>
        <w:fldChar w:fldCharType="separate"/>
      </w:r>
      <w:r>
        <w:rPr>
          <w:rStyle w:val="37"/>
          <w:rFonts w:hint="eastAsia" w:ascii="宋体" w:hAnsi="宋体"/>
          <w:b/>
          <w:color w:val="000000" w:themeColor="text1"/>
          <w:sz w:val="28"/>
          <w:szCs w:val="28"/>
          <w14:textFill>
            <w14:solidFill>
              <w14:schemeClr w14:val="tx1"/>
            </w14:solidFill>
          </w14:textFill>
        </w:rPr>
        <w:t>第六章 投标文件格式</w:t>
      </w:r>
      <w:r>
        <w:rPr>
          <w:rFonts w:ascii="宋体" w:hAnsi="宋体"/>
          <w:b/>
          <w:color w:val="000000" w:themeColor="text1"/>
          <w:sz w:val="28"/>
          <w:szCs w:val="28"/>
          <w14:textFill>
            <w14:solidFill>
              <w14:schemeClr w14:val="tx1"/>
            </w14:solidFill>
          </w14:textFill>
        </w:rPr>
        <w:tab/>
      </w:r>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 PAGEREF _Toc454551086 \h </w:instrText>
      </w:r>
      <w:r>
        <w:rPr>
          <w:rFonts w:ascii="宋体" w:hAnsi="宋体"/>
          <w:b/>
          <w:color w:val="000000" w:themeColor="text1"/>
          <w:sz w:val="28"/>
          <w:szCs w:val="28"/>
          <w14:textFill>
            <w14:solidFill>
              <w14:schemeClr w14:val="tx1"/>
            </w14:solidFill>
          </w14:textFill>
        </w:rPr>
        <w:fldChar w:fldCharType="separate"/>
      </w:r>
      <w:r>
        <w:rPr>
          <w:rFonts w:ascii="宋体" w:hAnsi="宋体"/>
          <w:b/>
          <w:color w:val="000000" w:themeColor="text1"/>
          <w:sz w:val="28"/>
          <w:szCs w:val="28"/>
          <w14:textFill>
            <w14:solidFill>
              <w14:schemeClr w14:val="tx1"/>
            </w14:solidFill>
          </w14:textFill>
        </w:rPr>
        <w:t>22</w:t>
      </w:r>
      <w:r>
        <w:rPr>
          <w:rFonts w:ascii="宋体" w:hAnsi="宋体"/>
          <w:b/>
          <w:color w:val="000000" w:themeColor="text1"/>
          <w:sz w:val="28"/>
          <w:szCs w:val="28"/>
          <w14:textFill>
            <w14:solidFill>
              <w14:schemeClr w14:val="tx1"/>
            </w14:solidFill>
          </w14:textFill>
        </w:rPr>
        <w:fldChar w:fldCharType="end"/>
      </w:r>
      <w:r>
        <w:rPr>
          <w:rFonts w:ascii="宋体" w:hAnsi="宋体"/>
          <w:b/>
          <w:color w:val="000000" w:themeColor="text1"/>
          <w:sz w:val="28"/>
          <w:szCs w:val="28"/>
          <w14:textFill>
            <w14:solidFill>
              <w14:schemeClr w14:val="tx1"/>
            </w14:solidFill>
          </w14:textFill>
        </w:rPr>
        <w:fldChar w:fldCharType="end"/>
      </w:r>
    </w:p>
    <w:p>
      <w:pPr>
        <w:rPr>
          <w:color w:val="000000" w:themeColor="text1"/>
          <w14:textFill>
            <w14:solidFill>
              <w14:schemeClr w14:val="tx1"/>
            </w14:solidFill>
          </w14:textFill>
        </w:rPr>
      </w:pPr>
    </w:p>
    <w:p>
      <w:pPr>
        <w:rPr>
          <w:rFonts w:ascii="宋体" w:hAnsi="宋体" w:cs="Arial"/>
          <w:b/>
          <w:i/>
          <w:iCs/>
          <w:color w:val="000000" w:themeColor="text1"/>
          <w:sz w:val="28"/>
          <w:szCs w:val="28"/>
          <w14:textFill>
            <w14:solidFill>
              <w14:schemeClr w14:val="tx1"/>
            </w14:solidFill>
          </w14:textFill>
        </w:rPr>
      </w:pPr>
      <w:r>
        <w:rPr>
          <w:rFonts w:ascii="宋体" w:hAnsi="宋体" w:cs="Arial"/>
          <w:b/>
          <w:i/>
          <w:iCs/>
          <w:color w:val="000000" w:themeColor="text1"/>
          <w:sz w:val="28"/>
          <w:szCs w:val="28"/>
          <w14:textFill>
            <w14:solidFill>
              <w14:schemeClr w14:val="tx1"/>
            </w14:solidFill>
          </w14:textFill>
        </w:rPr>
        <w:fldChar w:fldCharType="end"/>
      </w:r>
    </w:p>
    <w:p>
      <w:pPr>
        <w:pStyle w:val="3"/>
        <w:ind w:firstLine="0"/>
        <w:jc w:val="center"/>
        <w:rPr>
          <w:rFonts w:ascii="宋体" w:hAnsi="宋体" w:cs="Arial"/>
          <w:b w:val="0"/>
          <w:i w:val="0"/>
          <w:iCs w:val="0"/>
          <w:color w:val="000000" w:themeColor="text1"/>
          <w:sz w:val="28"/>
          <w:szCs w:val="28"/>
          <w14:textFill>
            <w14:solidFill>
              <w14:schemeClr w14:val="tx1"/>
            </w14:solidFill>
          </w14:textFill>
        </w:rPr>
        <w:sectPr>
          <w:footerReference r:id="rId6" w:type="default"/>
          <w:pgSz w:w="11906" w:h="16838"/>
          <w:pgMar w:top="1440" w:right="1469"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3"/>
        <w:ind w:firstLine="0"/>
        <w:jc w:val="center"/>
        <w:rPr>
          <w:rFonts w:ascii="宋体" w:hAnsi="宋体"/>
          <w:i w:val="0"/>
          <w:color w:val="000000" w:themeColor="text1"/>
          <w:sz w:val="32"/>
          <w:szCs w:val="32"/>
          <w14:textFill>
            <w14:solidFill>
              <w14:schemeClr w14:val="tx1"/>
            </w14:solidFill>
          </w14:textFill>
        </w:rPr>
      </w:pPr>
      <w:bookmarkStart w:id="0" w:name="_Toc454551063"/>
      <w:r>
        <w:rPr>
          <w:rFonts w:hint="eastAsia" w:ascii="宋体" w:hAnsi="宋体"/>
          <w:bCs w:val="0"/>
          <w:i w:val="0"/>
          <w:iCs w:val="0"/>
          <w:color w:val="000000" w:themeColor="text1"/>
          <w:sz w:val="32"/>
          <w:szCs w:val="32"/>
          <w14:textFill>
            <w14:solidFill>
              <w14:schemeClr w14:val="tx1"/>
            </w14:solidFill>
          </w14:textFill>
        </w:rPr>
        <w:t xml:space="preserve">第一章 </w:t>
      </w:r>
      <w:r>
        <w:rPr>
          <w:rFonts w:hint="eastAsia" w:ascii="宋体" w:hAnsi="宋体"/>
          <w:i w:val="0"/>
          <w:color w:val="000000" w:themeColor="text1"/>
          <w:sz w:val="32"/>
          <w:szCs w:val="32"/>
          <w14:textFill>
            <w14:solidFill>
              <w14:schemeClr w14:val="tx1"/>
            </w14:solidFill>
          </w14:textFill>
        </w:rPr>
        <w:t>招标公告</w:t>
      </w:r>
      <w:bookmarkEnd w:id="0"/>
    </w:p>
    <w:p>
      <w:pPr>
        <w:spacing w:line="340" w:lineRule="exact"/>
        <w:ind w:firstLine="420" w:firstLineChars="200"/>
        <w:jc w:val="center"/>
        <w:rPr>
          <w:rFonts w:ascii="宋体" w:hAnsi="宋体"/>
          <w:color w:val="000000" w:themeColor="text1"/>
          <w14:textFill>
            <w14:solidFill>
              <w14:schemeClr w14:val="tx1"/>
            </w14:solidFill>
          </w14:textFill>
        </w:rPr>
      </w:pPr>
    </w:p>
    <w:p>
      <w:pPr>
        <w:spacing w:line="360" w:lineRule="auto"/>
        <w:rPr>
          <w:rFonts w:hint="default" w:ascii="宋体" w:hAnsi="宋体" w:eastAsia="宋体"/>
          <w:color w:val="000000" w:themeColor="text1"/>
          <w:sz w:val="24"/>
          <w:u w:val="single"/>
          <w:lang w:val="en-US"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项目编号：</w:t>
      </w:r>
      <w:r>
        <w:rPr>
          <w:rFonts w:hint="eastAsia" w:ascii="宋体" w:hAnsi="宋体"/>
          <w:color w:val="000000" w:themeColor="text1"/>
          <w:sz w:val="24"/>
          <w:u w:val="single"/>
          <w:lang w:val="en-US" w:eastAsia="zh-CN"/>
          <w14:textFill>
            <w14:solidFill>
              <w14:schemeClr w14:val="tx1"/>
            </w14:solidFill>
          </w14:textFill>
        </w:rPr>
        <w:t xml:space="preserve"> JDJJ2024-024  </w:t>
      </w: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发布日期</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202</w:t>
      </w:r>
      <w:r>
        <w:rPr>
          <w:rFonts w:hint="eastAsia" w:ascii="宋体" w:hAnsi="宋体"/>
          <w:color w:val="000000" w:themeColor="text1"/>
          <w:sz w:val="24"/>
          <w:u w:val="single"/>
          <w:lang w:val="en-US" w:eastAsia="zh-CN"/>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12</w:t>
      </w:r>
      <w:r>
        <w:rPr>
          <w:rFonts w:hint="eastAsia" w:ascii="宋体" w:hAnsi="宋体"/>
          <w:color w:val="000000" w:themeColor="text1"/>
          <w:sz w:val="24"/>
          <w:u w:val="single"/>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23</w:t>
      </w:r>
      <w:r>
        <w:rPr>
          <w:rFonts w:hint="eastAsia" w:ascii="宋体" w:hAnsi="宋体"/>
          <w:color w:val="000000" w:themeColor="text1"/>
          <w:sz w:val="24"/>
          <w:u w:val="single"/>
          <w14:textFill>
            <w14:solidFill>
              <w14:schemeClr w14:val="tx1"/>
            </w14:solidFill>
          </w14:textFill>
        </w:rPr>
        <w:t>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s="宋体"/>
          <w:bCs/>
          <w:sz w:val="24"/>
          <w:szCs w:val="24"/>
        </w:rPr>
        <w:t>根据《中华人民共和国</w:t>
      </w:r>
      <w:r>
        <w:rPr>
          <w:rFonts w:hint="eastAsia" w:ascii="宋体" w:hAnsi="宋体" w:eastAsia="宋体" w:cs="宋体"/>
          <w:bCs/>
          <w:sz w:val="24"/>
          <w:szCs w:val="24"/>
          <w:lang w:val="en-US" w:eastAsia="zh-CN"/>
        </w:rPr>
        <w:t>民法典</w:t>
      </w:r>
      <w:r>
        <w:rPr>
          <w:rFonts w:hint="eastAsia" w:ascii="宋体" w:hAnsi="宋体" w:eastAsia="宋体" w:cs="宋体"/>
          <w:bCs/>
          <w:sz w:val="24"/>
          <w:szCs w:val="24"/>
        </w:rPr>
        <w:t>》、《中共浙江省委办公厅、浙江省人民政府办公厅印发&lt;关于防止领导干部在公款存放方面发生利益冲突和利益输送的办法&gt;的通知》(浙委办发[2015]8 号)</w:t>
      </w:r>
      <w:r>
        <w:rPr>
          <w:rFonts w:hint="eastAsia" w:ascii="宋体" w:hAnsi="宋体" w:eastAsia="宋体" w:cs="宋体"/>
          <w:bCs/>
          <w:sz w:val="24"/>
          <w:szCs w:val="24"/>
          <w:lang w:eastAsia="zh-CN"/>
        </w:rPr>
        <w:t>，</w:t>
      </w:r>
      <w:r>
        <w:rPr>
          <w:rFonts w:hint="eastAsia" w:ascii="宋体" w:hAnsi="宋体" w:eastAsia="宋体" w:cs="宋体"/>
          <w:bCs/>
          <w:color w:val="auto"/>
          <w:sz w:val="24"/>
          <w:szCs w:val="24"/>
        </w:rPr>
        <w:t>《建德市财政局关于印发建德市市级行政事业单位公款竞争性存放管理办法的通知》有</w:t>
      </w:r>
      <w:r>
        <w:rPr>
          <w:rFonts w:hint="eastAsia" w:ascii="宋体" w:hAnsi="宋体" w:eastAsia="宋体" w:cs="宋体"/>
          <w:bCs/>
          <w:sz w:val="24"/>
          <w:szCs w:val="24"/>
        </w:rPr>
        <w:t>关规定</w:t>
      </w:r>
      <w:r>
        <w:rPr>
          <w:rFonts w:hint="eastAsia" w:ascii="宋体" w:hAnsi="宋体"/>
          <w:color w:val="000000" w:themeColor="text1"/>
          <w:sz w:val="24"/>
          <w14:textFill>
            <w14:solidFill>
              <w14:schemeClr w14:val="tx1"/>
            </w14:solidFill>
          </w14:textFill>
        </w:rPr>
        <w:t>，受</w:t>
      </w:r>
      <w:r>
        <w:rPr>
          <w:rFonts w:hint="eastAsia" w:ascii="宋体" w:hAnsi="宋体" w:cs="Times New Roman"/>
          <w:color w:val="000000" w:themeColor="text1"/>
          <w:sz w:val="24"/>
          <w:u w:val="single"/>
          <w:lang w:eastAsia="zh-CN"/>
          <w14:textFill>
            <w14:solidFill>
              <w14:schemeClr w14:val="tx1"/>
            </w14:solidFill>
          </w14:textFill>
        </w:rPr>
        <w:t xml:space="preserve">建德市卫生健康局 </w:t>
      </w:r>
      <w:r>
        <w:rPr>
          <w:rFonts w:hint="eastAsia" w:ascii="宋体" w:hAnsi="宋体"/>
          <w:color w:val="000000" w:themeColor="text1"/>
          <w:sz w:val="24"/>
          <w14:textFill>
            <w14:solidFill>
              <w14:schemeClr w14:val="tx1"/>
            </w14:solidFill>
          </w14:textFill>
        </w:rPr>
        <w:t>的委托，</w:t>
      </w:r>
      <w:r>
        <w:rPr>
          <w:rFonts w:hint="eastAsia" w:ascii="宋体" w:hAnsi="宋体"/>
          <w:color w:val="000000" w:themeColor="text1"/>
          <w:sz w:val="24"/>
          <w:lang w:val="en-US" w:eastAsia="zh-CN"/>
          <w14:textFill>
            <w14:solidFill>
              <w14:schemeClr w14:val="tx1"/>
            </w14:solidFill>
          </w14:textFill>
        </w:rPr>
        <w:t>建经</w:t>
      </w:r>
      <w:r>
        <w:rPr>
          <w:rFonts w:hint="eastAsia" w:ascii="宋体" w:hAnsi="宋体"/>
          <w:color w:val="000000" w:themeColor="text1"/>
          <w:sz w:val="24"/>
          <w14:textFill>
            <w14:solidFill>
              <w14:schemeClr w14:val="tx1"/>
            </w14:solidFill>
          </w14:textFill>
        </w:rPr>
        <w:t>投资咨询有限公司对</w:t>
      </w:r>
      <w:r>
        <w:rPr>
          <w:rFonts w:hint="eastAsia" w:ascii="宋体" w:hAnsi="宋体"/>
          <w:color w:val="000000" w:themeColor="text1"/>
          <w:sz w:val="24"/>
          <w:u w:val="single"/>
          <w:lang w:eastAsia="zh-CN"/>
          <w14:textFill>
            <w14:solidFill>
              <w14:schemeClr w14:val="tx1"/>
            </w14:solidFill>
          </w14:textFill>
        </w:rPr>
        <w:t>建德市医共体基本结算账户开户招标项目</w:t>
      </w:r>
      <w:r>
        <w:rPr>
          <w:rFonts w:hint="eastAsia" w:ascii="宋体" w:hAnsi="宋体"/>
          <w:color w:val="000000" w:themeColor="text1"/>
          <w:sz w:val="24"/>
          <w14:textFill>
            <w14:solidFill>
              <w14:schemeClr w14:val="tx1"/>
            </w14:solidFill>
          </w14:textFill>
        </w:rPr>
        <w:t>进行公开招标，现邀请合格的投标人参加投标。</w:t>
      </w:r>
    </w:p>
    <w:p>
      <w:pPr>
        <w:spacing w:line="360" w:lineRule="auto"/>
        <w:rPr>
          <w:rFonts w:hint="eastAsia" w:ascii="宋体" w:hAnsi="宋体" w:eastAsia="宋体" w:cs="Times New Roman"/>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1、招标项目名称：</w:t>
      </w:r>
      <w:r>
        <w:rPr>
          <w:rFonts w:hint="eastAsia" w:ascii="宋体" w:hAnsi="宋体" w:cs="Times New Roman"/>
          <w:color w:val="000000" w:themeColor="text1"/>
          <w:sz w:val="24"/>
          <w:u w:val="single"/>
          <w:lang w:eastAsia="zh-CN"/>
          <w14:textFill>
            <w14:solidFill>
              <w14:schemeClr w14:val="tx1"/>
            </w14:solidFill>
          </w14:textFill>
        </w:rPr>
        <w:t>建德市医共体基本结算账户开户招标项目</w:t>
      </w:r>
      <w:r>
        <w:rPr>
          <w:rFonts w:hint="eastAsia" w:ascii="宋体" w:hAnsi="宋体" w:eastAsia="宋体" w:cs="Times New Roman"/>
          <w:color w:val="000000" w:themeColor="text1"/>
          <w:sz w:val="24"/>
          <w:u w:val="single"/>
          <w14:textFill>
            <w14:solidFill>
              <w14:schemeClr w14:val="tx1"/>
            </w14:solidFill>
          </w14:textFill>
        </w:rPr>
        <w:t>。</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14:textFill>
            <w14:solidFill>
              <w14:schemeClr w14:val="tx1"/>
            </w14:solidFill>
          </w14:textFill>
        </w:rPr>
        <w:t>2、招标范围</w:t>
      </w:r>
      <w:r>
        <w:rPr>
          <w:rFonts w:hint="eastAsia" w:ascii="宋体" w:hAnsi="宋体"/>
          <w:b/>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u w:val="single"/>
          <w:lang w:eastAsia="zh-CN"/>
          <w14:textFill>
            <w14:solidFill>
              <w14:schemeClr w14:val="tx1"/>
            </w14:solidFill>
          </w14:textFill>
        </w:rPr>
        <w:t>建德市医共体基本结算账户开户</w:t>
      </w:r>
      <w:r>
        <w:rPr>
          <w:rFonts w:hint="eastAsia" w:ascii="宋体" w:hAnsi="宋体" w:cs="Times New Roman"/>
          <w:color w:val="000000" w:themeColor="text1"/>
          <w:sz w:val="24"/>
          <w:highlight w:val="none"/>
          <w:u w:val="single"/>
          <w:lang w:val="en-US" w:eastAsia="zh-CN"/>
          <w14:textFill>
            <w14:solidFill>
              <w14:schemeClr w14:val="tx1"/>
            </w14:solidFill>
          </w14:textFill>
        </w:rPr>
        <w:t>包括：</w:t>
      </w:r>
      <w:r>
        <w:rPr>
          <w:rFonts w:hint="eastAsia" w:ascii="宋体" w:hAnsi="宋体"/>
          <w:color w:val="000000" w:themeColor="text1"/>
          <w:sz w:val="24"/>
          <w:highlight w:val="none"/>
          <w:lang w:val="en-US" w:eastAsia="zh-CN"/>
          <w14:textFill>
            <w14:solidFill>
              <w14:schemeClr w14:val="tx1"/>
            </w14:solidFill>
          </w14:textFill>
        </w:rPr>
        <w:t>建德市第一民医院医共体基本结算</w:t>
      </w:r>
      <w:r>
        <w:rPr>
          <w:rFonts w:hint="eastAsia" w:ascii="宋体" w:hAnsi="宋体"/>
          <w:color w:val="000000" w:themeColor="text1"/>
          <w:sz w:val="24"/>
          <w:highlight w:val="none"/>
          <w14:textFill>
            <w14:solidFill>
              <w14:schemeClr w14:val="tx1"/>
            </w14:solidFill>
          </w14:textFill>
        </w:rPr>
        <w:t>账户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建德市第二民医院医共体基本结算</w:t>
      </w:r>
      <w:r>
        <w:rPr>
          <w:rFonts w:hint="eastAsia" w:ascii="宋体" w:hAnsi="宋体"/>
          <w:color w:val="000000" w:themeColor="text1"/>
          <w:sz w:val="24"/>
          <w:highlight w:val="none"/>
          <w14:textFill>
            <w14:solidFill>
              <w14:schemeClr w14:val="tx1"/>
            </w14:solidFill>
          </w14:textFill>
        </w:rPr>
        <w:t>账户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建德市中西医结合医院医共体基本结算</w:t>
      </w:r>
      <w:r>
        <w:rPr>
          <w:rFonts w:hint="eastAsia" w:ascii="宋体" w:hAnsi="宋体"/>
          <w:color w:val="000000" w:themeColor="text1"/>
          <w:sz w:val="24"/>
          <w:highlight w:val="none"/>
          <w14:textFill>
            <w14:solidFill>
              <w14:schemeClr w14:val="tx1"/>
            </w14:solidFill>
          </w14:textFill>
        </w:rPr>
        <w:t>账户</w:t>
      </w:r>
      <w:r>
        <w:rPr>
          <w:rFonts w:hint="eastAsia" w:ascii="宋体" w:hAnsi="宋体"/>
          <w:color w:val="000000" w:themeColor="text1"/>
          <w:sz w:val="24"/>
          <w:highlight w:val="none"/>
          <w:lang w:val="en-US" w:eastAsia="zh-CN"/>
          <w14:textFill>
            <w14:solidFill>
              <w14:schemeClr w14:val="tx1"/>
            </w14:solidFill>
          </w14:textFill>
        </w:rPr>
        <w:t>开户</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通过公开招标方式，从合格的投标人中择优选取</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家银</w:t>
      </w:r>
      <w:r>
        <w:rPr>
          <w:rFonts w:hint="eastAsia" w:ascii="宋体" w:hAnsi="宋体"/>
          <w:color w:val="000000" w:themeColor="text1"/>
          <w:sz w:val="24"/>
          <w:highlight w:val="none"/>
          <w:lang w:val="en-US" w:eastAsia="zh-CN"/>
          <w14:textFill>
            <w14:solidFill>
              <w14:schemeClr w14:val="tx1"/>
            </w14:solidFill>
          </w14:textFill>
        </w:rPr>
        <w:t>行开立基本结算账户，详情</w:t>
      </w:r>
      <w:r>
        <w:rPr>
          <w:rFonts w:hint="eastAsia" w:ascii="宋体" w:hAnsi="宋体" w:cs="宋体"/>
          <w:color w:val="000000" w:themeColor="text1"/>
          <w:sz w:val="24"/>
          <w:highlight w:val="none"/>
          <w14:textFill>
            <w14:solidFill>
              <w14:schemeClr w14:val="tx1"/>
            </w14:solidFill>
          </w14:textFill>
        </w:rPr>
        <w:t>详见第二章“招标项目需求”</w:t>
      </w:r>
      <w:r>
        <w:rPr>
          <w:rFonts w:hint="eastAsia" w:ascii="宋体" w:hAnsi="宋体"/>
          <w:color w:val="000000" w:themeColor="text1"/>
          <w:sz w:val="24"/>
          <w:highlight w:val="none"/>
          <w14:textFill>
            <w14:solidFill>
              <w14:schemeClr w14:val="tx1"/>
            </w14:solidFill>
          </w14:textFill>
        </w:rPr>
        <w:t>。</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3、投标人资格条件：</w:t>
      </w:r>
    </w:p>
    <w:p>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1.本次投标人的资格条件应符合我市公款存放相关文件规定。</w:t>
      </w:r>
    </w:p>
    <w:p>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2.在建德市内设有分支机构；</w:t>
      </w:r>
    </w:p>
    <w:p>
      <w:pPr>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本项目不接受联合体竞标，参与投标的银行不得隶属于同一法人；</w:t>
      </w:r>
    </w:p>
    <w:p>
      <w:pPr>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依法开展经营活动，近3年内在经营活动中无重大违法违规记录；</w:t>
      </w:r>
    </w:p>
    <w:p>
      <w:pPr>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eastAsia="zh-CN"/>
        </w:rPr>
        <w:t>监管评级达到一定标准，人民银行上年度综合评价B级及以上。不纳入人民银行综合评价范围的银行不受此限制。</w:t>
      </w:r>
    </w:p>
    <w:p>
      <w:pPr>
        <w:spacing w:line="360" w:lineRule="auto"/>
        <w:ind w:left="15" w:leftChars="7"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6</w:t>
      </w:r>
      <w:r>
        <w:rPr>
          <w:rFonts w:hint="default" w:ascii="宋体" w:hAnsi="宋体" w:eastAsia="宋体" w:cs="宋体"/>
          <w:bCs/>
          <w:sz w:val="24"/>
          <w:szCs w:val="24"/>
          <w:lang w:eastAsia="zh-CN"/>
        </w:rPr>
        <w:t>、</w:t>
      </w:r>
      <w:r>
        <w:rPr>
          <w:rFonts w:hint="eastAsia" w:ascii="宋体" w:hAnsi="宋体" w:eastAsia="宋体" w:cs="宋体"/>
          <w:bCs/>
          <w:sz w:val="24"/>
          <w:szCs w:val="24"/>
          <w:lang w:eastAsia="zh-CN"/>
        </w:rPr>
        <w:t>投标人须提供总行或</w:t>
      </w:r>
      <w:r>
        <w:rPr>
          <w:rFonts w:hint="eastAsia" w:ascii="宋体" w:hAnsi="宋体" w:cs="宋体"/>
          <w:bCs/>
          <w:sz w:val="24"/>
          <w:szCs w:val="24"/>
          <w:lang w:val="en-US" w:eastAsia="zh-CN"/>
        </w:rPr>
        <w:t>上级支</w:t>
      </w:r>
      <w:r>
        <w:rPr>
          <w:rFonts w:hint="eastAsia" w:ascii="宋体" w:hAnsi="宋体" w:eastAsia="宋体" w:cs="宋体"/>
          <w:bCs/>
          <w:sz w:val="24"/>
          <w:szCs w:val="24"/>
          <w:lang w:eastAsia="zh-CN"/>
        </w:rPr>
        <w:t>行针对本项目唯一授权书。</w:t>
      </w:r>
    </w:p>
    <w:p>
      <w:pPr>
        <w:spacing w:line="360" w:lineRule="auto"/>
        <w:ind w:left="15" w:leftChars="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4、获取招标文件</w:t>
      </w:r>
    </w:p>
    <w:p>
      <w:pPr>
        <w:spacing w:line="360" w:lineRule="auto"/>
        <w:ind w:left="15" w:leftChars="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时间：202</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12</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23</w:t>
      </w:r>
      <w:r>
        <w:rPr>
          <w:rFonts w:hint="eastAsia" w:ascii="宋体" w:hAnsi="宋体"/>
          <w:color w:val="000000" w:themeColor="text1"/>
          <w:sz w:val="24"/>
          <w14:textFill>
            <w14:solidFill>
              <w14:schemeClr w14:val="tx1"/>
            </w14:solidFill>
          </w14:textFill>
        </w:rPr>
        <w:t>日至202</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13</w:t>
      </w:r>
      <w:r>
        <w:rPr>
          <w:rFonts w:hint="eastAsia" w:ascii="宋体" w:hAnsi="宋体"/>
          <w:color w:val="000000" w:themeColor="text1"/>
          <w:sz w:val="24"/>
          <w14:textFill>
            <w14:solidFill>
              <w14:schemeClr w14:val="tx1"/>
            </w14:solidFill>
          </w14:textFill>
        </w:rPr>
        <w:t>日，每天上午00:00至12:00，下午12:00至23:59（北京时间）</w:t>
      </w:r>
    </w:p>
    <w:p>
      <w:pPr>
        <w:spacing w:line="360" w:lineRule="auto"/>
        <w:ind w:left="15" w:leftChars="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地点（网址）：政府采购云平台（http://www.zcygov.cn/）。</w:t>
      </w:r>
    </w:p>
    <w:p>
      <w:pPr>
        <w:spacing w:line="360" w:lineRule="auto"/>
        <w:ind w:left="15" w:leftChars="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（1）本项目招标文件实行“政府采购云平台”在线获取，不提供招标文件纸质版。投标人获取招标文件前应先完成“政府采购云平台”的账号注册； </w:t>
      </w:r>
    </w:p>
    <w:p>
      <w:pPr>
        <w:spacing w:line="360" w:lineRule="auto"/>
        <w:ind w:left="15" w:leftChars="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潜在投标人登陆政采云平台，在线申请获取招标文件（进入“公款竞争性存放”应用，在获取招标文件菜单中选择项目，申请获取招标文件；仅需浏览招标文件的投标人可点击“游客，浏览招标文件”直接下载招标文件浏览）； </w:t>
      </w:r>
    </w:p>
    <w:p>
      <w:pPr>
        <w:spacing w:line="360" w:lineRule="auto"/>
        <w:ind w:left="15" w:leftChars="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招标公告附件内的招标文件仅供阅览使用，投标人只有在“政府采购云平台”完成获取招标文件申请并下载了招标文件且通过审核后才视作依法获取招标文件（法律法规所指的投标人获取招标文件时间以投标人完成获取招标文件申请后下载招标文件且通过审核后的时间为准）。未按照招标文件规定程序依法获取招标文件的潜在投标人，对招标文件提起质疑的，按照无效质疑处理。采购代理机构拒绝接收未依法获取本项目招标文件的投标人提交的投标文件。</w:t>
      </w:r>
    </w:p>
    <w:p>
      <w:pPr>
        <w:spacing w:line="360" w:lineRule="auto"/>
        <w:ind w:left="15" w:leftChars="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注：请投标人按上述要求获取招标文件，如未在“政采云”系统内完成相关流程，引起的投标无效责任自负。  </w:t>
      </w:r>
    </w:p>
    <w:p>
      <w:pPr>
        <w:spacing w:line="360" w:lineRule="auto"/>
        <w:rPr>
          <w:rFonts w:ascii="宋体" w:hAnsi="宋体"/>
          <w:b/>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5、提交投标文件截止时间、开标时间和地点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提交投标文件截止时间：202</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1</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14</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点00分（北京时间）。</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投标地点（网址）：政府采购云平台（www.zcygov.cn）（线上）</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开标时间：202</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14</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:00 （北京时间）</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开标地点（网址）：政府采购云平台（www.zcygov.cn）（线上），本项目通过“政府采购云平台”实行在线电子评标，投标人可在线参加开标。</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6、其他注意事项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（2）本次采购活动有关信息在“浙江政府采购网（http://zfcg.czt.zj.gov.cn/）”网站上公布，公布信息视同送达所有潜在投标人。</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7、联系方式</w:t>
      </w:r>
    </w:p>
    <w:p>
      <w:pPr>
        <w:spacing w:line="360" w:lineRule="auto"/>
        <w:ind w:firstLine="241" w:firstLineChars="100"/>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b/>
          <w:kern w:val="0"/>
          <w:sz w:val="24"/>
          <w:szCs w:val="24"/>
          <w:lang w:val="en-US" w:eastAsia="zh-CN"/>
        </w:rPr>
        <w:t>（一）</w:t>
      </w:r>
      <w:r>
        <w:rPr>
          <w:rFonts w:hint="eastAsia" w:ascii="宋体" w:hAnsi="宋体"/>
          <w:color w:val="000000" w:themeColor="text1"/>
          <w:sz w:val="24"/>
          <w14:textFill>
            <w14:solidFill>
              <w14:schemeClr w14:val="tx1"/>
            </w14:solidFill>
          </w14:textFill>
        </w:rPr>
        <w:t>招标人名称：</w:t>
      </w:r>
      <w:r>
        <w:rPr>
          <w:rFonts w:hint="eastAsia" w:ascii="宋体" w:hAnsi="宋体"/>
          <w:color w:val="000000" w:themeColor="text1"/>
          <w:sz w:val="24"/>
          <w:lang w:eastAsia="zh-CN"/>
          <w14:textFill>
            <w14:solidFill>
              <w14:schemeClr w14:val="tx1"/>
            </w14:solidFill>
          </w14:textFill>
        </w:rPr>
        <w:t xml:space="preserve">建德市卫生健康局 </w:t>
      </w:r>
    </w:p>
    <w:p>
      <w:pPr>
        <w:topLinePunct/>
        <w:spacing w:line="460" w:lineRule="exact"/>
        <w:ind w:firstLine="720" w:firstLineChars="300"/>
        <w:rPr>
          <w:rFonts w:hint="eastAsia" w:ascii="宋体" w:hAnsi="宋体" w:eastAsia="宋体" w:cs="宋体"/>
          <w:sz w:val="24"/>
          <w:szCs w:val="24"/>
          <w:lang w:val="en-US" w:eastAsia="zh-CN"/>
        </w:rPr>
      </w:pPr>
      <w:r>
        <w:rPr>
          <w:rFonts w:hint="eastAsia" w:ascii="宋体" w:hAnsi="宋体"/>
          <w:color w:val="auto"/>
          <w:sz w:val="24"/>
          <w:highlight w:val="none"/>
        </w:rPr>
        <w:t>电    话：</w:t>
      </w:r>
      <w:r>
        <w:rPr>
          <w:rFonts w:hint="eastAsia" w:ascii="宋体" w:hAnsi="宋体"/>
          <w:color w:val="auto"/>
          <w:sz w:val="24"/>
          <w:highlight w:val="none"/>
          <w:lang w:eastAsia="zh-CN"/>
        </w:rPr>
        <w:t>董莉娅</w:t>
      </w:r>
    </w:p>
    <w:p>
      <w:pPr>
        <w:spacing w:line="360" w:lineRule="auto"/>
        <w:ind w:firstLine="720" w:firstLineChars="300"/>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 系 人：</w:t>
      </w:r>
      <w:r>
        <w:rPr>
          <w:rFonts w:hint="eastAsia" w:ascii="宋体" w:hAnsi="宋体"/>
          <w:color w:val="000000" w:themeColor="text1"/>
          <w:sz w:val="24"/>
          <w:lang w:val="en-US" w:eastAsia="zh-CN"/>
          <w14:textFill>
            <w14:solidFill>
              <w14:schemeClr w14:val="tx1"/>
            </w14:solidFill>
          </w14:textFill>
        </w:rPr>
        <w:t>13868118061</w:t>
      </w:r>
    </w:p>
    <w:p>
      <w:pPr>
        <w:spacing w:line="360" w:lineRule="auto"/>
        <w:ind w:firstLine="482" w:firstLineChars="200"/>
        <w:rPr>
          <w:rFonts w:hint="eastAsia" w:ascii="宋体" w:hAnsi="宋体" w:eastAsia="宋体" w:cs="宋体"/>
          <w:bCs/>
          <w:kern w:val="0"/>
          <w:sz w:val="24"/>
          <w:szCs w:val="24"/>
          <w:lang w:eastAsia="zh-CN"/>
        </w:rPr>
      </w:pPr>
      <w:r>
        <w:rPr>
          <w:rFonts w:hint="eastAsia" w:ascii="宋体" w:hAnsi="宋体" w:eastAsia="宋体" w:cs="宋体"/>
          <w:b/>
          <w:kern w:val="0"/>
          <w:sz w:val="24"/>
          <w:szCs w:val="24"/>
          <w:lang w:val="en-US" w:eastAsia="zh-CN"/>
        </w:rPr>
        <w:t>（二）</w:t>
      </w:r>
      <w:r>
        <w:rPr>
          <w:rFonts w:hint="eastAsia" w:ascii="宋体" w:hAnsi="宋体" w:eastAsia="宋体" w:cs="宋体"/>
          <w:b/>
          <w:kern w:val="0"/>
          <w:sz w:val="24"/>
          <w:szCs w:val="24"/>
          <w:lang w:eastAsia="zh-CN"/>
        </w:rPr>
        <w:t>招标代理</w:t>
      </w:r>
      <w:r>
        <w:rPr>
          <w:rFonts w:hint="eastAsia" w:ascii="宋体" w:hAnsi="宋体" w:eastAsia="宋体" w:cs="宋体"/>
          <w:b/>
          <w:kern w:val="0"/>
          <w:sz w:val="24"/>
          <w:szCs w:val="24"/>
          <w:lang w:val="en-US" w:eastAsia="zh-CN"/>
        </w:rPr>
        <w:t>机构</w:t>
      </w:r>
      <w:r>
        <w:rPr>
          <w:rFonts w:hint="eastAsia" w:ascii="宋体" w:hAnsi="宋体" w:eastAsia="宋体" w:cs="宋体"/>
          <w:b w:val="0"/>
          <w:bCs w:val="0"/>
          <w:color w:val="auto"/>
          <w:kern w:val="0"/>
          <w:sz w:val="28"/>
          <w:szCs w:val="28"/>
          <w:highlight w:val="none"/>
          <w:lang w:eastAsia="zh-CN"/>
        </w:rPr>
        <w:t>：</w:t>
      </w:r>
      <w:r>
        <w:rPr>
          <w:rFonts w:hint="eastAsia" w:ascii="宋体" w:hAnsi="宋体" w:eastAsia="宋体" w:cs="宋体"/>
          <w:bCs/>
          <w:kern w:val="0"/>
          <w:sz w:val="24"/>
          <w:szCs w:val="24"/>
          <w:lang w:eastAsia="zh-CN"/>
        </w:rPr>
        <w:t xml:space="preserve">  </w:t>
      </w:r>
      <w:r>
        <w:rPr>
          <w:rFonts w:hint="eastAsia" w:ascii="宋体" w:hAnsi="宋体" w:eastAsia="宋体" w:cs="宋体"/>
          <w:bCs/>
          <w:kern w:val="0"/>
          <w:sz w:val="24"/>
          <w:szCs w:val="24"/>
          <w:lang w:val="en-US" w:eastAsia="zh-CN"/>
        </w:rPr>
        <w:t xml:space="preserve">建经投资咨询有限公司 </w:t>
      </w:r>
    </w:p>
    <w:p>
      <w:pPr>
        <w:spacing w:line="360" w:lineRule="auto"/>
        <w:ind w:firstLine="480" w:firstLineChars="200"/>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招标代理公司地址：</w:t>
      </w:r>
      <w:r>
        <w:rPr>
          <w:rFonts w:hint="eastAsia" w:ascii="宋体" w:hAnsi="宋体" w:eastAsia="宋体" w:cs="宋体"/>
          <w:bCs/>
          <w:kern w:val="0"/>
          <w:sz w:val="24"/>
          <w:szCs w:val="24"/>
          <w:lang w:val="en-US" w:eastAsia="zh-CN"/>
        </w:rPr>
        <w:t>建德市新安江街道半岛国际大厦221</w:t>
      </w:r>
      <w:r>
        <w:rPr>
          <w:rFonts w:hint="eastAsia" w:ascii="宋体" w:hAnsi="宋体" w:cs="宋体"/>
          <w:bCs/>
          <w:kern w:val="0"/>
          <w:sz w:val="24"/>
          <w:szCs w:val="24"/>
          <w:lang w:val="en-US" w:eastAsia="zh-CN"/>
        </w:rPr>
        <w:t>2</w:t>
      </w:r>
      <w:r>
        <w:rPr>
          <w:rFonts w:hint="eastAsia" w:ascii="宋体" w:hAnsi="宋体" w:eastAsia="宋体" w:cs="宋体"/>
          <w:bCs/>
          <w:kern w:val="0"/>
          <w:sz w:val="24"/>
          <w:szCs w:val="24"/>
          <w:lang w:val="en-US" w:eastAsia="zh-CN"/>
        </w:rPr>
        <w:t>室</w:t>
      </w:r>
    </w:p>
    <w:p>
      <w:pPr>
        <w:spacing w:line="360" w:lineRule="auto"/>
        <w:ind w:firstLine="480" w:firstLineChars="200"/>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招标代理公司联系</w:t>
      </w:r>
      <w:r>
        <w:rPr>
          <w:rFonts w:hint="eastAsia" w:ascii="宋体" w:hAnsi="宋体" w:eastAsia="宋体" w:cs="宋体"/>
          <w:bCs/>
          <w:kern w:val="0"/>
          <w:sz w:val="24"/>
          <w:szCs w:val="24"/>
          <w:lang w:val="en-US" w:eastAsia="zh-CN"/>
        </w:rPr>
        <w:t xml:space="preserve">人及电话： </w:t>
      </w:r>
      <w:r>
        <w:rPr>
          <w:rFonts w:hint="eastAsia" w:ascii="宋体" w:hAnsi="宋体" w:cs="宋体"/>
          <w:bCs/>
          <w:kern w:val="0"/>
          <w:sz w:val="24"/>
          <w:szCs w:val="24"/>
          <w:lang w:val="en-US" w:eastAsia="zh-CN"/>
        </w:rPr>
        <w:t>应坚</w:t>
      </w:r>
      <w:r>
        <w:rPr>
          <w:rFonts w:hint="eastAsia" w:ascii="宋体" w:hAnsi="宋体" w:eastAsia="宋体" w:cs="宋体"/>
          <w:bCs/>
          <w:kern w:val="0"/>
          <w:sz w:val="24"/>
          <w:szCs w:val="24"/>
          <w:lang w:val="en-US" w:eastAsia="zh-CN"/>
        </w:rPr>
        <w:t xml:space="preserve">       电话：15990080063 </w:t>
      </w:r>
    </w:p>
    <w:p>
      <w:pPr>
        <w:spacing w:line="360" w:lineRule="auto"/>
        <w:ind w:firstLine="480" w:firstLineChars="200"/>
        <w:rPr>
          <w:rFonts w:hint="default"/>
          <w:lang w:val="en-US" w:eastAsia="zh-CN"/>
        </w:rPr>
      </w:pPr>
      <w:r>
        <w:rPr>
          <w:rFonts w:hint="eastAsia" w:ascii="宋体" w:hAnsi="宋体" w:eastAsia="宋体" w:cs="宋体"/>
          <w:bCs/>
          <w:kern w:val="0"/>
          <w:sz w:val="24"/>
          <w:szCs w:val="24"/>
          <w:lang w:val="en-US" w:eastAsia="zh-CN"/>
        </w:rPr>
        <w:t>招标代理公司质疑接受人：</w:t>
      </w:r>
      <w:r>
        <w:rPr>
          <w:rFonts w:hint="eastAsia" w:ascii="宋体" w:hAnsi="宋体" w:cs="宋体"/>
          <w:bCs/>
          <w:kern w:val="0"/>
          <w:sz w:val="24"/>
          <w:szCs w:val="24"/>
          <w:lang w:val="en-US" w:eastAsia="zh-CN"/>
        </w:rPr>
        <w:t>胡洋</w:t>
      </w:r>
      <w:r>
        <w:rPr>
          <w:rFonts w:hint="eastAsia" w:ascii="宋体" w:hAnsi="宋体" w:eastAsia="宋体" w:cs="宋体"/>
          <w:bCs/>
          <w:kern w:val="0"/>
          <w:sz w:val="24"/>
          <w:szCs w:val="24"/>
          <w:lang w:val="en-US" w:eastAsia="zh-CN"/>
        </w:rPr>
        <w:t xml:space="preserve">      电话：15967176160  0571-64597738 </w:t>
      </w:r>
    </w:p>
    <w:p>
      <w:pPr>
        <w:spacing w:line="360" w:lineRule="auto"/>
        <w:ind w:firstLine="422" w:firstLineChars="175"/>
        <w:rPr>
          <w:rFonts w:hint="eastAsia"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三</w:t>
      </w:r>
      <w:r>
        <w:rPr>
          <w:rFonts w:hint="eastAsia" w:ascii="宋体" w:hAnsi="宋体" w:cs="宋体"/>
          <w:b/>
          <w:bCs/>
          <w:sz w:val="24"/>
          <w:szCs w:val="24"/>
          <w:lang w:eastAsia="zh-CN"/>
        </w:rPr>
        <w:t>）</w:t>
      </w:r>
      <w:r>
        <w:rPr>
          <w:rFonts w:hint="eastAsia" w:ascii="宋体" w:hAnsi="宋体" w:cs="宋体"/>
          <w:b/>
          <w:bCs/>
          <w:sz w:val="24"/>
          <w:szCs w:val="24"/>
        </w:rPr>
        <w:t>监督部门联系方式</w:t>
      </w:r>
    </w:p>
    <w:p>
      <w:pPr>
        <w:spacing w:line="360" w:lineRule="auto"/>
        <w:ind w:firstLine="420" w:firstLineChars="175"/>
        <w:rPr>
          <w:rFonts w:hint="eastAsia" w:ascii="宋体" w:hAnsi="宋体" w:cs="宋体"/>
          <w:bCs/>
          <w:kern w:val="0"/>
          <w:sz w:val="24"/>
          <w:szCs w:val="24"/>
          <w:lang w:eastAsia="zh-CN"/>
        </w:rPr>
      </w:pPr>
      <w:r>
        <w:rPr>
          <w:rFonts w:hint="eastAsia" w:ascii="宋体" w:hAnsi="宋体" w:cs="宋体"/>
          <w:bCs/>
          <w:kern w:val="0"/>
          <w:sz w:val="24"/>
          <w:szCs w:val="24"/>
        </w:rPr>
        <w:t>监管部门：</w:t>
      </w:r>
      <w:r>
        <w:rPr>
          <w:rFonts w:hint="eastAsia" w:ascii="宋体" w:hAnsi="宋体" w:cs="宋体"/>
          <w:bCs/>
          <w:kern w:val="0"/>
          <w:sz w:val="24"/>
          <w:szCs w:val="24"/>
          <w:lang w:eastAsia="zh-CN"/>
        </w:rPr>
        <w:t>中共建德市卫生健康局直属机关纪律检查委员会</w:t>
      </w:r>
    </w:p>
    <w:p>
      <w:pPr>
        <w:spacing w:line="360" w:lineRule="auto"/>
        <w:ind w:firstLine="420" w:firstLineChars="175"/>
        <w:rPr>
          <w:rFonts w:hint="eastAsia" w:ascii="宋体" w:hAnsi="宋体" w:eastAsia="宋体" w:cs="宋体"/>
          <w:bCs/>
          <w:kern w:val="0"/>
          <w:sz w:val="24"/>
          <w:szCs w:val="24"/>
          <w:lang w:val="en-US" w:eastAsia="zh-CN"/>
        </w:rPr>
      </w:pPr>
      <w:r>
        <w:rPr>
          <w:rFonts w:hint="eastAsia" w:ascii="宋体" w:hAnsi="宋体" w:cs="宋体"/>
          <w:bCs/>
          <w:kern w:val="0"/>
          <w:sz w:val="24"/>
          <w:szCs w:val="24"/>
        </w:rPr>
        <w:t>联系人</w:t>
      </w:r>
      <w:r>
        <w:rPr>
          <w:rFonts w:hint="eastAsia" w:ascii="宋体" w:hAnsi="宋体" w:cs="宋体"/>
          <w:bCs/>
          <w:kern w:val="0"/>
          <w:sz w:val="24"/>
          <w:szCs w:val="24"/>
          <w:lang w:eastAsia="zh-CN"/>
        </w:rPr>
        <w:t>：郑培威</w:t>
      </w:r>
    </w:p>
    <w:p>
      <w:pPr>
        <w:spacing w:line="360" w:lineRule="auto"/>
        <w:ind w:firstLine="420" w:firstLineChars="175"/>
        <w:rPr>
          <w:rFonts w:hint="default" w:ascii="宋体" w:hAnsi="宋体" w:eastAsia="宋体" w:cs="宋体"/>
          <w:bCs/>
          <w:kern w:val="0"/>
          <w:sz w:val="24"/>
          <w:szCs w:val="24"/>
          <w:lang w:val="en-US" w:eastAsia="zh-CN"/>
        </w:rPr>
      </w:pPr>
      <w:r>
        <w:rPr>
          <w:rFonts w:hint="eastAsia" w:ascii="宋体" w:hAnsi="宋体" w:cs="宋体"/>
          <w:bCs/>
          <w:kern w:val="0"/>
          <w:sz w:val="24"/>
          <w:szCs w:val="24"/>
        </w:rPr>
        <w:t>联系电话：</w:t>
      </w:r>
      <w:r>
        <w:rPr>
          <w:rFonts w:hint="eastAsia" w:ascii="宋体" w:hAnsi="宋体" w:cs="宋体"/>
          <w:bCs/>
          <w:kern w:val="0"/>
          <w:sz w:val="24"/>
          <w:szCs w:val="24"/>
          <w:lang w:val="en-US" w:eastAsia="zh-CN"/>
        </w:rPr>
        <w:t xml:space="preserve"> 15869141810</w:t>
      </w:r>
    </w:p>
    <w:p>
      <w:pPr>
        <w:spacing w:line="360" w:lineRule="auto"/>
        <w:ind w:firstLine="422" w:firstLineChars="175"/>
        <w:rPr>
          <w:rFonts w:hint="eastAsia" w:ascii="宋体" w:hAnsi="宋体" w:cs="宋体"/>
          <w:b/>
          <w:bCs/>
          <w:sz w:val="24"/>
          <w:szCs w:val="24"/>
          <w:lang w:eastAsia="zh-CN"/>
        </w:rPr>
      </w:pPr>
      <w:r>
        <w:rPr>
          <w:rFonts w:hint="eastAsia" w:ascii="宋体" w:hAnsi="宋体" w:cs="宋体"/>
          <w:b/>
          <w:bCs/>
          <w:sz w:val="24"/>
          <w:szCs w:val="24"/>
          <w:lang w:val="en-US" w:eastAsia="zh-CN"/>
        </w:rPr>
        <w:t>（四）</w:t>
      </w:r>
      <w:r>
        <w:rPr>
          <w:rFonts w:hint="eastAsia" w:ascii="宋体" w:hAnsi="宋体" w:cs="宋体"/>
          <w:b/>
          <w:bCs/>
          <w:sz w:val="24"/>
          <w:szCs w:val="24"/>
          <w:lang w:eastAsia="zh-CN"/>
        </w:rPr>
        <w:t>“政采云”平台操作咨询</w:t>
      </w:r>
    </w:p>
    <w:p>
      <w:pPr>
        <w:spacing w:line="360" w:lineRule="auto"/>
        <w:ind w:firstLine="420" w:firstLineChars="175"/>
        <w:rPr>
          <w:rFonts w:hint="eastAsia" w:ascii="宋体" w:hAnsi="宋体" w:cs="宋体"/>
          <w:bCs/>
          <w:kern w:val="0"/>
          <w:sz w:val="24"/>
          <w:szCs w:val="24"/>
        </w:rPr>
      </w:pPr>
      <w:r>
        <w:rPr>
          <w:rFonts w:hint="eastAsia" w:ascii="宋体" w:hAnsi="宋体" w:cs="宋体"/>
          <w:bCs/>
          <w:kern w:val="0"/>
          <w:sz w:val="24"/>
          <w:szCs w:val="24"/>
        </w:rPr>
        <w:t>政采云咨询电话：400-881-7190；</w:t>
      </w:r>
    </w:p>
    <w:p>
      <w:pPr>
        <w:spacing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s="宋体"/>
          <w:bCs/>
          <w:kern w:val="0"/>
          <w:sz w:val="24"/>
          <w:szCs w:val="24"/>
        </w:rPr>
        <w:t>政采云平台服务中心：https://service.zcygov.cn</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p>
    <w:p>
      <w:pPr>
        <w:pStyle w:val="3"/>
        <w:ind w:firstLine="0"/>
        <w:jc w:val="center"/>
        <w:rPr>
          <w:rFonts w:ascii="宋体" w:hAnsi="宋体"/>
          <w:bCs w:val="0"/>
          <w:i w:val="0"/>
          <w:iCs w:val="0"/>
          <w:color w:val="000000" w:themeColor="text1"/>
          <w:sz w:val="32"/>
          <w:szCs w:val="32"/>
          <w14:textFill>
            <w14:solidFill>
              <w14:schemeClr w14:val="tx1"/>
            </w14:solidFill>
          </w14:textFill>
        </w:rPr>
      </w:pPr>
      <w:r>
        <w:rPr>
          <w:rFonts w:ascii="宋体" w:hAnsi="宋体"/>
          <w:i w:val="0"/>
          <w:color w:val="000000" w:themeColor="text1"/>
          <w:sz w:val="32"/>
          <w:szCs w:val="32"/>
          <w14:textFill>
            <w14:solidFill>
              <w14:schemeClr w14:val="tx1"/>
            </w14:solidFill>
          </w14:textFill>
        </w:rPr>
        <w:br w:type="column"/>
      </w:r>
      <w:bookmarkStart w:id="1" w:name="_Toc454551064"/>
      <w:bookmarkStart w:id="2" w:name="_Toc427442450"/>
      <w:bookmarkStart w:id="3" w:name="_Hlk150171822"/>
      <w:r>
        <w:rPr>
          <w:rFonts w:hint="eastAsia" w:ascii="宋体" w:hAnsi="宋体"/>
          <w:bCs w:val="0"/>
          <w:i w:val="0"/>
          <w:iCs w:val="0"/>
          <w:color w:val="000000" w:themeColor="text1"/>
          <w:sz w:val="32"/>
          <w:szCs w:val="32"/>
          <w14:textFill>
            <w14:solidFill>
              <w14:schemeClr w14:val="tx1"/>
            </w14:solidFill>
          </w14:textFill>
        </w:rPr>
        <w:t>第二章 招标项目需求</w:t>
      </w:r>
      <w:bookmarkEnd w:id="1"/>
      <w:bookmarkEnd w:id="2"/>
    </w:p>
    <w:p>
      <w:pPr>
        <w:spacing w:line="360" w:lineRule="auto"/>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一、项目背景</w:t>
      </w:r>
    </w:p>
    <w:p>
      <w:pPr>
        <w:widowControl/>
        <w:spacing w:line="360" w:lineRule="auto"/>
        <w:ind w:left="61" w:leftChars="29" w:right="-540" w:rightChars="-257" w:firstLine="480" w:firstLineChars="200"/>
        <w:jc w:val="left"/>
        <w:rPr>
          <w:rFonts w:ascii="宋体"/>
          <w:color w:val="000000" w:themeColor="text1"/>
          <w:sz w:val="24"/>
          <w14:textFill>
            <w14:solidFill>
              <w14:schemeClr w14:val="tx1"/>
            </w14:solidFill>
          </w14:textFill>
        </w:rPr>
      </w:pPr>
      <w:r>
        <w:rPr>
          <w:rFonts w:hint="eastAsia" w:ascii="宋体" w:hAnsi="宋体" w:eastAsia="宋体" w:cs="宋体"/>
          <w:bCs/>
          <w:sz w:val="24"/>
          <w:szCs w:val="24"/>
        </w:rPr>
        <w:t>根据《中华人民共和国</w:t>
      </w:r>
      <w:r>
        <w:rPr>
          <w:rFonts w:hint="eastAsia" w:ascii="宋体" w:hAnsi="宋体" w:eastAsia="宋体" w:cs="宋体"/>
          <w:bCs/>
          <w:sz w:val="24"/>
          <w:szCs w:val="24"/>
          <w:lang w:val="en-US" w:eastAsia="zh-CN"/>
        </w:rPr>
        <w:t>民法典</w:t>
      </w:r>
      <w:r>
        <w:rPr>
          <w:rFonts w:hint="eastAsia" w:ascii="宋体" w:hAnsi="宋体" w:eastAsia="宋体" w:cs="宋体"/>
          <w:bCs/>
          <w:sz w:val="24"/>
          <w:szCs w:val="24"/>
        </w:rPr>
        <w:t>》、《中共浙江省委办公厅、浙江省人民政府办公厅印发&lt;关于防止领导干部在公款存放方面发生利益冲突和利益输送的办法&gt;的通知》(浙委办发[2015]8 号)</w:t>
      </w:r>
      <w:r>
        <w:rPr>
          <w:rFonts w:hint="eastAsia" w:ascii="宋体" w:hAnsi="宋体" w:eastAsia="宋体" w:cs="宋体"/>
          <w:bCs/>
          <w:sz w:val="24"/>
          <w:szCs w:val="24"/>
          <w:lang w:eastAsia="zh-CN"/>
        </w:rPr>
        <w:t>，</w:t>
      </w:r>
      <w:r>
        <w:rPr>
          <w:rFonts w:hint="eastAsia" w:ascii="宋体" w:hAnsi="宋体" w:eastAsia="宋体" w:cs="宋体"/>
          <w:bCs/>
          <w:color w:val="auto"/>
          <w:sz w:val="24"/>
          <w:szCs w:val="24"/>
        </w:rPr>
        <w:t>《建德市财政局关于印发建德市市级行政事业单位公款竞争性存放管理办法的通知》有</w:t>
      </w:r>
      <w:r>
        <w:rPr>
          <w:rFonts w:hint="eastAsia" w:ascii="宋体" w:hAnsi="宋体" w:eastAsia="宋体" w:cs="宋体"/>
          <w:bCs/>
          <w:sz w:val="24"/>
          <w:szCs w:val="24"/>
        </w:rPr>
        <w:t>关规定</w:t>
      </w:r>
      <w:r>
        <w:rPr>
          <w:rFonts w:hint="eastAsia" w:ascii="宋体" w:hAnsi="宋体" w:cs="宋体"/>
          <w:color w:val="000000" w:themeColor="text1"/>
          <w:sz w:val="24"/>
          <w14:textFill>
            <w14:solidFill>
              <w14:schemeClr w14:val="tx1"/>
            </w14:solidFill>
          </w14:textFill>
        </w:rPr>
        <w:t>，特对</w:t>
      </w:r>
      <w:r>
        <w:rPr>
          <w:rFonts w:hint="eastAsia" w:ascii="宋体" w:hAnsi="宋体" w:cs="宋体"/>
          <w:color w:val="000000" w:themeColor="text1"/>
          <w:sz w:val="24"/>
          <w:u w:val="single"/>
          <w:lang w:eastAsia="zh-CN"/>
          <w14:textFill>
            <w14:solidFill>
              <w14:schemeClr w14:val="tx1"/>
            </w14:solidFill>
          </w14:textFill>
        </w:rPr>
        <w:t>建德市医共体基本结算账户开户招标项目</w:t>
      </w:r>
      <w:r>
        <w:rPr>
          <w:rFonts w:hint="eastAsia" w:ascii="宋体" w:hAnsi="宋体" w:cs="宋体"/>
          <w:color w:val="000000" w:themeColor="text1"/>
          <w:sz w:val="24"/>
          <w14:textFill>
            <w14:solidFill>
              <w14:schemeClr w14:val="tx1"/>
            </w14:solidFill>
          </w14:textFill>
        </w:rPr>
        <w:t>进行公开招标。</w:t>
      </w:r>
    </w:p>
    <w:p>
      <w:pPr>
        <w:widowControl/>
        <w:spacing w:line="360" w:lineRule="auto"/>
        <w:ind w:right="-540" w:rightChars="-257"/>
        <w:jc w:val="left"/>
        <w:rPr>
          <w:rFonts w:asci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二、招标需求</w:t>
      </w:r>
    </w:p>
    <w:p>
      <w:pPr>
        <w:spacing w:line="360" w:lineRule="auto"/>
        <w:ind w:firstLine="480" w:firstLineChars="20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建德市</w:t>
      </w:r>
      <w:r>
        <w:rPr>
          <w:rFonts w:hint="eastAsia" w:ascii="宋体" w:hAnsi="宋体"/>
          <w:color w:val="000000" w:themeColor="text1"/>
          <w:sz w:val="24"/>
          <w:lang w:val="en-US" w:eastAsia="zh-CN"/>
          <w14:textFill>
            <w14:solidFill>
              <w14:schemeClr w14:val="tx1"/>
            </w14:solidFill>
          </w14:textFill>
        </w:rPr>
        <w:t>医共体基本结算</w:t>
      </w:r>
      <w:r>
        <w:rPr>
          <w:rFonts w:hint="eastAsia" w:ascii="宋体" w:hAnsi="宋体"/>
          <w:color w:val="000000" w:themeColor="text1"/>
          <w:sz w:val="24"/>
          <w14:textFill>
            <w14:solidFill>
              <w14:schemeClr w14:val="tx1"/>
            </w14:solidFill>
          </w14:textFill>
        </w:rPr>
        <w:t>账户</w:t>
      </w:r>
      <w:r>
        <w:rPr>
          <w:rFonts w:hint="eastAsia" w:ascii="宋体" w:hAnsi="宋体"/>
          <w:color w:val="000000" w:themeColor="text1"/>
          <w:sz w:val="24"/>
          <w:lang w:val="en-US" w:eastAsia="zh-CN"/>
          <w14:textFill>
            <w14:solidFill>
              <w14:schemeClr w14:val="tx1"/>
            </w14:solidFill>
          </w14:textFill>
        </w:rPr>
        <w:t>开户</w:t>
      </w:r>
      <w:r>
        <w:rPr>
          <w:rFonts w:hint="eastAsia" w:ascii="宋体" w:hAnsi="宋体" w:cs="宋体"/>
          <w:color w:val="000000" w:themeColor="text1"/>
          <w:sz w:val="24"/>
          <w14:textFill>
            <w14:solidFill>
              <w14:schemeClr w14:val="tx1"/>
            </w14:solidFill>
          </w14:textFill>
        </w:rPr>
        <w:t>。通过公开招标方式，从合格的投标人中择优选取</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家</w:t>
      </w:r>
      <w:r>
        <w:rPr>
          <w:rFonts w:hint="eastAsia" w:ascii="宋体" w:hAnsi="宋体"/>
          <w:color w:val="000000" w:themeColor="text1"/>
          <w:sz w:val="24"/>
          <w:lang w:val="en-US" w:eastAsia="zh-CN"/>
          <w14:textFill>
            <w14:solidFill>
              <w14:schemeClr w14:val="tx1"/>
            </w14:solidFill>
          </w14:textFill>
        </w:rPr>
        <w:t>银行开立基本结算账户</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服务要求：</w:t>
      </w:r>
    </w:p>
    <w:p>
      <w:pPr>
        <w:widowControl/>
        <w:spacing w:line="360" w:lineRule="auto"/>
        <w:ind w:left="61" w:leftChars="29" w:right="-540" w:rightChars="-257" w:firstLine="480" w:firstLineChars="200"/>
        <w:jc w:val="lef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（一）招标人单位资金收付结算服务、网银操作、安全保障等在内的一切配套基本服务。</w:t>
      </w:r>
    </w:p>
    <w:p>
      <w:pPr>
        <w:widowControl/>
        <w:spacing w:line="360" w:lineRule="auto"/>
        <w:ind w:left="61" w:leftChars="29" w:right="-540" w:rightChars="-257" w:firstLine="480" w:firstLineChars="200"/>
        <w:jc w:val="lef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（二）包含服务期间招标人提出的一切有关资金存放管理的服务。</w:t>
      </w:r>
    </w:p>
    <w:p>
      <w:pPr>
        <w:widowControl/>
        <w:spacing w:line="360" w:lineRule="auto"/>
        <w:ind w:left="61" w:leftChars="29" w:right="-540" w:rightChars="-257" w:firstLine="480" w:firstLineChars="200"/>
        <w:jc w:val="lef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（三）其他服务要求：</w:t>
      </w:r>
    </w:p>
    <w:p>
      <w:pPr>
        <w:widowControl/>
        <w:spacing w:line="360" w:lineRule="auto"/>
        <w:ind w:left="61" w:leftChars="29" w:right="-540" w:rightChars="-257" w:firstLine="480" w:firstLineChars="200"/>
        <w:jc w:val="lef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1、银行故障或招标人工作遇到疑问时，投标人应该能够</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分钟内及时响应招标人疑问或维修要求，并在</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小时内提出解决方案，</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小时内解决问题；</w:t>
      </w:r>
    </w:p>
    <w:p>
      <w:pPr>
        <w:widowControl/>
        <w:spacing w:line="360" w:lineRule="auto"/>
        <w:ind w:left="61" w:leftChars="29" w:right="-540" w:rightChars="-257" w:firstLine="480"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2、有关费用减免、利率加点等承诺应有总行或</w:t>
      </w:r>
      <w:r>
        <w:rPr>
          <w:rFonts w:hint="eastAsia" w:ascii="宋体" w:hAnsi="宋体" w:cs="宋体"/>
          <w:b/>
          <w:bCs/>
          <w:color w:val="000000" w:themeColor="text1"/>
          <w:sz w:val="24"/>
          <w:lang w:val="en-US" w:eastAsia="zh-CN"/>
          <w14:textFill>
            <w14:solidFill>
              <w14:schemeClr w14:val="tx1"/>
            </w14:solidFill>
          </w14:textFill>
        </w:rPr>
        <w:t>建德市</w:t>
      </w:r>
      <w:r>
        <w:rPr>
          <w:rFonts w:hint="eastAsia" w:ascii="宋体" w:hAnsi="宋体" w:cs="宋体"/>
          <w:b/>
          <w:bCs/>
          <w:color w:val="000000" w:themeColor="text1"/>
          <w:sz w:val="24"/>
          <w14:textFill>
            <w14:solidFill>
              <w14:schemeClr w14:val="tx1"/>
            </w14:solidFill>
          </w14:textFill>
        </w:rPr>
        <w:t>分行及以上具有该权限的机构出具承诺。</w:t>
      </w:r>
    </w:p>
    <w:p>
      <w:pPr>
        <w:spacing w:line="360" w:lineRule="auto"/>
        <w:ind w:firstLine="480" w:firstLineChars="200"/>
        <w:rPr>
          <w:rFonts w:ascii="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3、投标人在投标方案中应明确具体</w:t>
      </w:r>
      <w:r>
        <w:rPr>
          <w:rFonts w:hint="eastAsia" w:ascii="宋体" w:hAnsi="宋体" w:cs="宋体"/>
          <w:b/>
          <w:bCs/>
          <w:color w:val="000000" w:themeColor="text1"/>
          <w:sz w:val="24"/>
          <w:highlight w:val="none"/>
          <w:lang w:val="en-US" w:eastAsia="zh-CN"/>
          <w14:textFill>
            <w14:solidFill>
              <w14:schemeClr w14:val="tx1"/>
            </w14:solidFill>
          </w14:textFill>
        </w:rPr>
        <w:t>账户开立</w:t>
      </w:r>
      <w:r>
        <w:rPr>
          <w:rFonts w:hint="eastAsia" w:ascii="宋体" w:hAnsi="宋体" w:cs="宋体"/>
          <w:b/>
          <w:bCs/>
          <w:color w:val="000000" w:themeColor="text1"/>
          <w:sz w:val="24"/>
          <w:highlight w:val="none"/>
          <w14:textFill>
            <w14:solidFill>
              <w14:schemeClr w14:val="tx1"/>
            </w14:solidFill>
          </w14:textFill>
        </w:rPr>
        <w:t>服务网点。</w:t>
      </w:r>
    </w:p>
    <w:p>
      <w:pPr>
        <w:widowControl/>
        <w:spacing w:line="360" w:lineRule="auto"/>
        <w:ind w:left="61" w:leftChars="29" w:right="-540" w:rightChars="-257"/>
        <w:jc w:val="left"/>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三、服务期限：</w:t>
      </w:r>
    </w:p>
    <w:p>
      <w:pPr>
        <w:spacing w:line="360" w:lineRule="auto"/>
        <w:ind w:firstLine="480" w:firstLineChars="200"/>
        <w:jc w:val="lef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w:t>
      </w:r>
      <w:r>
        <w:rPr>
          <w:rFonts w:hint="eastAsia" w:ascii="宋体" w:hAnsi="宋体" w:cs="宋体"/>
          <w:color w:val="000000" w:themeColor="text1"/>
          <w:sz w:val="24"/>
          <w:lang w:val="en-US" w:eastAsia="zh-CN"/>
          <w14:textFill>
            <w14:solidFill>
              <w14:schemeClr w14:val="tx1"/>
            </w14:solidFill>
          </w14:textFill>
        </w:rPr>
        <w:t>开户</w:t>
      </w:r>
      <w:r>
        <w:rPr>
          <w:rFonts w:hint="eastAsia" w:ascii="宋体" w:hAnsi="宋体" w:cs="宋体"/>
          <w:color w:val="000000" w:themeColor="text1"/>
          <w:sz w:val="24"/>
          <w14:textFill>
            <w14:solidFill>
              <w14:schemeClr w14:val="tx1"/>
            </w14:solidFill>
          </w14:textFill>
        </w:rPr>
        <w:t>期为</w:t>
      </w:r>
      <w:r>
        <w:rPr>
          <w:rFonts w:hint="eastAsia" w:ascii="宋体" w:hAnsi="宋体" w:cs="宋体"/>
          <w:color w:val="000000" w:themeColor="text1"/>
          <w:sz w:val="24"/>
          <w:highlight w:val="none"/>
          <w:lang w:val="en-US" w:eastAsia="zh-CN"/>
          <w14:textFill>
            <w14:solidFill>
              <w14:schemeClr w14:val="tx1"/>
            </w14:solidFill>
          </w14:textFill>
        </w:rPr>
        <w:t>五年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开户协议</w:t>
      </w:r>
      <w:r>
        <w:rPr>
          <w:rFonts w:hint="eastAsia" w:ascii="宋体" w:hAnsi="宋体" w:cs="宋体"/>
          <w:color w:val="000000" w:themeColor="text1"/>
          <w:sz w:val="24"/>
          <w:highlight w:val="none"/>
          <w14:textFill>
            <w14:solidFill>
              <w14:schemeClr w14:val="tx1"/>
            </w14:solidFill>
          </w14:textFill>
        </w:rPr>
        <w:t>到期后，招标人可根据开户协议对原中标银行进行考核，考核合格可续签开户协议，但续签协议期限不超过</w:t>
      </w:r>
      <w:r>
        <w:rPr>
          <w:rFonts w:hint="eastAsia" w:ascii="宋体" w:hAnsi="宋体" w:cs="宋体"/>
          <w:color w:val="000000" w:themeColor="text1"/>
          <w:sz w:val="24"/>
          <w:highlight w:val="none"/>
          <w:lang w:eastAsia="zh-CN"/>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14:textFill>
            <w14:solidFill>
              <w14:schemeClr w14:val="tx1"/>
            </w14:solidFill>
          </w14:textFill>
        </w:rPr>
        <w:t>如果服务不能达到招标要求和投标承诺的，或国家另有规定的，以及招标人</w:t>
      </w:r>
      <w:r>
        <w:rPr>
          <w:rFonts w:hint="eastAsia" w:ascii="宋体" w:hAnsi="宋体" w:cs="宋体"/>
          <w:color w:val="000000" w:themeColor="text1"/>
          <w:kern w:val="0"/>
          <w:sz w:val="24"/>
          <w14:textFill>
            <w14:solidFill>
              <w14:schemeClr w14:val="tx1"/>
            </w14:solidFill>
          </w14:textFill>
        </w:rPr>
        <w:t>因机构改革、上级政策规定等原因，</w:t>
      </w:r>
      <w:r>
        <w:rPr>
          <w:rFonts w:hint="eastAsia" w:ascii="宋体" w:hAnsi="宋体" w:cs="宋体"/>
          <w:color w:val="000000" w:themeColor="text1"/>
          <w:sz w:val="24"/>
          <w14:textFill>
            <w14:solidFill>
              <w14:schemeClr w14:val="tx1"/>
            </w14:solidFill>
          </w14:textFill>
        </w:rPr>
        <w:t>招标人有权终止协议。</w:t>
      </w:r>
    </w:p>
    <w:p>
      <w:pPr>
        <w:numPr>
          <w:ilvl w:val="0"/>
          <w:numId w:val="2"/>
        </w:numPr>
        <w:autoSpaceDE w:val="0"/>
        <w:autoSpaceDN w:val="0"/>
        <w:snapToGrid w:val="0"/>
        <w:spacing w:line="360" w:lineRule="auto"/>
        <w:jc w:val="left"/>
        <w:textAlignment w:val="bottom"/>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单位</w:t>
      </w:r>
      <w:r>
        <w:rPr>
          <w:rFonts w:hint="eastAsia" w:ascii="宋体" w:hAnsi="宋体" w:cs="宋体"/>
          <w:b/>
          <w:bCs/>
          <w:color w:val="000000" w:themeColor="text1"/>
          <w:sz w:val="24"/>
          <w:lang w:val="en-US" w:eastAsia="zh-CN"/>
          <w14:textFill>
            <w14:solidFill>
              <w14:schemeClr w14:val="tx1"/>
            </w14:solidFill>
          </w14:textFill>
        </w:rPr>
        <w:t>账户开户</w:t>
      </w:r>
      <w:r>
        <w:rPr>
          <w:rFonts w:hint="eastAsia" w:ascii="宋体" w:hAnsi="宋体" w:cs="宋体"/>
          <w:b/>
          <w:bCs/>
          <w:color w:val="000000" w:themeColor="text1"/>
          <w:sz w:val="24"/>
          <w14:textFill>
            <w14:solidFill>
              <w14:schemeClr w14:val="tx1"/>
            </w14:solidFill>
          </w14:textFill>
        </w:rPr>
        <w:t>原则</w:t>
      </w:r>
    </w:p>
    <w:p>
      <w:pPr>
        <w:numPr>
          <w:ilvl w:val="0"/>
          <w:numId w:val="0"/>
        </w:numPr>
        <w:autoSpaceDE w:val="0"/>
        <w:autoSpaceDN w:val="0"/>
        <w:snapToGrid w:val="0"/>
        <w:spacing w:line="360" w:lineRule="auto"/>
        <w:ind w:firstLine="482" w:firstLineChars="200"/>
        <w:jc w:val="left"/>
        <w:textAlignment w:val="bottom"/>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本次招标为账户招标，中标账户存款具体金额并不固定，投标人须接受采购人资金额度的变化。</w:t>
      </w:r>
    </w:p>
    <w:p>
      <w:pPr>
        <w:widowControl/>
        <w:spacing w:line="360" w:lineRule="auto"/>
        <w:ind w:right="-540" w:rightChars="-257"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账户开户</w:t>
      </w:r>
      <w:r>
        <w:rPr>
          <w:rFonts w:hint="eastAsia" w:ascii="宋体" w:hAnsi="宋体" w:cs="宋体"/>
          <w:color w:val="000000" w:themeColor="text1"/>
          <w:sz w:val="24"/>
          <w14:textFill>
            <w14:solidFill>
              <w14:schemeClr w14:val="tx1"/>
            </w14:solidFill>
          </w14:textFill>
        </w:rPr>
        <w:t>应按以下原则进行：</w:t>
      </w:r>
    </w:p>
    <w:p>
      <w:pPr>
        <w:widowControl/>
        <w:spacing w:line="360" w:lineRule="auto"/>
        <w:ind w:right="-540" w:rightChars="-257"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账户开户</w:t>
      </w:r>
      <w:r>
        <w:rPr>
          <w:rFonts w:hint="eastAsia" w:ascii="宋体" w:hAnsi="宋体" w:cs="宋体"/>
          <w:color w:val="000000" w:themeColor="text1"/>
          <w:sz w:val="24"/>
          <w14:textFill>
            <w14:solidFill>
              <w14:schemeClr w14:val="tx1"/>
            </w14:solidFill>
          </w14:textFill>
        </w:rPr>
        <w:t>坚持公开、公平、公正原则，防范廉政风险；</w:t>
      </w:r>
    </w:p>
    <w:p>
      <w:pPr>
        <w:widowControl/>
        <w:spacing w:line="360" w:lineRule="auto"/>
        <w:ind w:right="-540" w:rightChars="-257"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（2）坚持安全性、流动性、收益性相统一。在确保资金安全和资金支付流动性需求基础上，实现资金保值增值；</w:t>
      </w:r>
    </w:p>
    <w:p>
      <w:pPr>
        <w:widowControl/>
        <w:spacing w:line="360" w:lineRule="auto"/>
        <w:ind w:right="-540" w:rightChars="-257"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（3）坚持突出重点、兼顾效率原则；</w:t>
      </w:r>
    </w:p>
    <w:p>
      <w:pPr>
        <w:widowControl/>
        <w:spacing w:line="360" w:lineRule="auto"/>
        <w:ind w:right="-540" w:rightChars="-257"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（4）利率加点应符合国家有关利率管理规定，同时参考当地金融机构市场利率定价自律机制。</w:t>
      </w:r>
      <w:r>
        <w:rPr>
          <w:rFonts w:hint="eastAsia" w:ascii="宋体" w:hAnsi="宋体" w:cs="宋体"/>
          <w:color w:val="000000" w:themeColor="text1"/>
          <w:sz w:val="24"/>
          <w:lang w:val="en-US" w:eastAsia="zh-CN"/>
          <w14:textFill>
            <w14:solidFill>
              <w14:schemeClr w14:val="tx1"/>
            </w14:solidFill>
          </w14:textFill>
        </w:rPr>
        <w:t>账户开户</w:t>
      </w:r>
      <w:r>
        <w:rPr>
          <w:rFonts w:hint="eastAsia" w:ascii="宋体" w:hAnsi="宋体" w:cs="宋体"/>
          <w:color w:val="000000" w:themeColor="text1"/>
          <w:sz w:val="24"/>
          <w14:textFill>
            <w14:solidFill>
              <w14:schemeClr w14:val="tx1"/>
            </w14:solidFill>
          </w14:textFill>
        </w:rPr>
        <w:t>按照银行有关规定执行。</w:t>
      </w:r>
    </w:p>
    <w:p>
      <w:pPr>
        <w:widowControl/>
        <w:spacing w:line="360" w:lineRule="auto"/>
        <w:ind w:right="-540" w:rightChars="-257"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有以下情形之一的，招标人有权取消该银行本次</w:t>
      </w:r>
      <w:r>
        <w:rPr>
          <w:rFonts w:hint="eastAsia" w:ascii="宋体" w:hAnsi="宋体" w:cs="宋体"/>
          <w:color w:val="000000" w:themeColor="text1"/>
          <w:sz w:val="24"/>
          <w:lang w:val="en-US" w:eastAsia="zh-CN"/>
          <w14:textFill>
            <w14:solidFill>
              <w14:schemeClr w14:val="tx1"/>
            </w14:solidFill>
          </w14:textFill>
        </w:rPr>
        <w:t>账户开户</w:t>
      </w:r>
      <w:r>
        <w:rPr>
          <w:rFonts w:hint="eastAsia" w:ascii="宋体" w:hAnsi="宋体" w:cs="宋体"/>
          <w:color w:val="000000" w:themeColor="text1"/>
          <w:sz w:val="24"/>
          <w14:textFill>
            <w14:solidFill>
              <w14:schemeClr w14:val="tx1"/>
            </w14:solidFill>
          </w14:textFill>
        </w:rPr>
        <w:t>资格，视情形提前收回银行</w:t>
      </w:r>
      <w:r>
        <w:rPr>
          <w:rFonts w:hint="eastAsia" w:ascii="宋体" w:hAnsi="宋体" w:cs="宋体"/>
          <w:color w:val="000000" w:themeColor="text1"/>
          <w:sz w:val="24"/>
          <w:lang w:val="en-US" w:eastAsia="zh-CN"/>
          <w14:textFill>
            <w14:solidFill>
              <w14:schemeClr w14:val="tx1"/>
            </w14:solidFill>
          </w14:textFill>
        </w:rPr>
        <w:t>账户</w:t>
      </w:r>
      <w:r>
        <w:rPr>
          <w:rFonts w:hint="eastAsia" w:ascii="宋体" w:hAnsi="宋体" w:cs="宋体"/>
          <w:color w:val="000000" w:themeColor="text1"/>
          <w:sz w:val="24"/>
          <w14:textFill>
            <w14:solidFill>
              <w14:schemeClr w14:val="tx1"/>
            </w14:solidFill>
          </w14:textFill>
        </w:rPr>
        <w:t>:</w:t>
      </w:r>
    </w:p>
    <w:p>
      <w:pPr>
        <w:widowControl/>
        <w:spacing w:line="360" w:lineRule="auto"/>
        <w:ind w:right="-540" w:rightChars="-257"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（1）银行在招标或资金存放期间出现资金安全事故和重大违规违约行为的；</w:t>
      </w:r>
    </w:p>
    <w:p>
      <w:pPr>
        <w:widowControl/>
        <w:spacing w:line="360" w:lineRule="auto"/>
        <w:ind w:right="-540" w:rightChars="-257"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（2）人行、银监等金融监管部门认为该银行存在较大运营风险的；</w:t>
      </w:r>
    </w:p>
    <w:p>
      <w:pPr>
        <w:widowControl/>
        <w:spacing w:line="360" w:lineRule="auto"/>
        <w:ind w:right="-540" w:rightChars="-257"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（3）未在定期存款到期日结算本息并划转至指定账户的。</w:t>
      </w:r>
    </w:p>
    <w:p>
      <w:pPr>
        <w:widowControl/>
        <w:spacing w:line="360" w:lineRule="auto"/>
        <w:ind w:left="61" w:leftChars="29" w:right="-540" w:rightChars="-257" w:firstLine="560" w:firstLineChars="200"/>
        <w:jc w:val="left"/>
        <w:rPr>
          <w:rFonts w:ascii="宋体" w:hAnsi="宋体"/>
          <w:color w:val="000000" w:themeColor="text1"/>
          <w:sz w:val="28"/>
          <w:szCs w:val="28"/>
          <w14:textFill>
            <w14:solidFill>
              <w14:schemeClr w14:val="tx1"/>
            </w14:solidFill>
          </w14:textFill>
        </w:rPr>
      </w:pPr>
    </w:p>
    <w:bookmarkEnd w:id="3"/>
    <w:p>
      <w:pPr>
        <w:widowControl/>
        <w:spacing w:line="360" w:lineRule="auto"/>
        <w:ind w:left="61" w:leftChars="29" w:right="-540" w:rightChars="-257" w:firstLine="560" w:firstLineChars="200"/>
        <w:jc w:val="left"/>
        <w:rPr>
          <w:rFonts w:ascii="宋体" w:hAnsi="宋体"/>
          <w:color w:val="000000" w:themeColor="text1"/>
          <w:sz w:val="28"/>
          <w:szCs w:val="28"/>
          <w14:textFill>
            <w14:solidFill>
              <w14:schemeClr w14:val="tx1"/>
            </w14:solidFill>
          </w14:textFill>
        </w:rPr>
      </w:pPr>
    </w:p>
    <w:p>
      <w:pPr>
        <w:widowControl/>
        <w:spacing w:line="360" w:lineRule="auto"/>
        <w:ind w:left="61" w:leftChars="29" w:right="-540" w:rightChars="-257" w:firstLine="480" w:firstLineChars="200"/>
        <w:jc w:val="left"/>
        <w:rPr>
          <w:rFonts w:ascii="宋体" w:hAnsi="宋体"/>
          <w:color w:val="000000" w:themeColor="text1"/>
          <w:sz w:val="24"/>
          <w14:textFill>
            <w14:solidFill>
              <w14:schemeClr w14:val="tx1"/>
            </w14:solidFill>
          </w14:textFill>
        </w:rPr>
        <w:sectPr>
          <w:footerReference r:id="rId7" w:type="default"/>
          <w:pgSz w:w="11906" w:h="16838"/>
          <w:pgMar w:top="1440" w:right="1469"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p>
    <w:p>
      <w:pPr>
        <w:widowControl/>
        <w:spacing w:line="360" w:lineRule="auto"/>
        <w:ind w:right="-540" w:rightChars="-257"/>
        <w:jc w:val="center"/>
        <w:rPr>
          <w:rFonts w:ascii="宋体" w:hAnsi="宋体" w:cs="宋体"/>
          <w:b/>
          <w:bCs/>
          <w:color w:val="000000" w:themeColor="text1"/>
          <w:sz w:val="32"/>
          <w:szCs w:val="32"/>
          <w14:textFill>
            <w14:solidFill>
              <w14:schemeClr w14:val="tx1"/>
            </w14:solidFill>
          </w14:textFill>
        </w:rPr>
      </w:pPr>
      <w:bookmarkStart w:id="4" w:name="_Toc454551065"/>
      <w:bookmarkStart w:id="5" w:name="_Toc429406698"/>
      <w:r>
        <w:rPr>
          <w:rFonts w:hint="eastAsia" w:ascii="宋体" w:hAnsi="宋体" w:cs="宋体"/>
          <w:b/>
          <w:bCs/>
          <w:color w:val="000000" w:themeColor="text1"/>
          <w:sz w:val="32"/>
          <w:szCs w:val="32"/>
          <w14:textFill>
            <w14:solidFill>
              <w14:schemeClr w14:val="tx1"/>
            </w14:solidFill>
          </w14:textFill>
        </w:rPr>
        <w:t>第三章  投标人资料表</w:t>
      </w:r>
      <w:bookmarkEnd w:id="4"/>
      <w:bookmarkEnd w:id="5"/>
    </w:p>
    <w:p>
      <w:pPr>
        <w:widowControl/>
        <w:spacing w:line="360" w:lineRule="auto"/>
        <w:ind w:right="-540" w:rightChars="-257"/>
        <w:jc w:val="center"/>
        <w:rPr>
          <w:rFonts w:ascii="宋体" w:hAnsi="宋体" w:cs="宋体"/>
          <w:b/>
          <w:bCs/>
          <w:color w:val="000000" w:themeColor="text1"/>
          <w:sz w:val="32"/>
          <w:szCs w:val="32"/>
          <w14:textFill>
            <w14:solidFill>
              <w14:schemeClr w14:val="tx1"/>
            </w14:solidFill>
          </w14:textFill>
        </w:rPr>
      </w:pPr>
      <w:bookmarkStart w:id="6" w:name="_Toc427442449"/>
      <w:bookmarkStart w:id="7" w:name="_Toc454551066"/>
      <w:bookmarkStart w:id="8" w:name="_Toc429406700"/>
      <w:bookmarkStart w:id="9" w:name="_Toc436314537"/>
      <w:bookmarkStart w:id="10" w:name="_Toc444597088"/>
      <w:r>
        <w:rPr>
          <w:rFonts w:hint="eastAsia" w:ascii="宋体" w:hAnsi="宋体" w:cs="宋体"/>
          <w:b/>
          <w:bCs/>
          <w:color w:val="000000" w:themeColor="text1"/>
          <w:sz w:val="32"/>
          <w:szCs w:val="32"/>
          <w14:textFill>
            <w14:solidFill>
              <w14:schemeClr w14:val="tx1"/>
            </w14:solidFill>
          </w14:textFill>
        </w:rPr>
        <w:t>第一部分</w:t>
      </w:r>
      <w:bookmarkStart w:id="11" w:name="_Toc249866750"/>
      <w:bookmarkStart w:id="12" w:name="_Toc259108308"/>
      <w:bookmarkStart w:id="13" w:name="_Toc355117095"/>
      <w:r>
        <w:rPr>
          <w:rFonts w:hint="eastAsia" w:ascii="宋体" w:hAnsi="宋体" w:cs="宋体"/>
          <w:b/>
          <w:bCs/>
          <w:color w:val="000000" w:themeColor="text1"/>
          <w:sz w:val="32"/>
          <w:szCs w:val="32"/>
          <w14:textFill>
            <w14:solidFill>
              <w14:schemeClr w14:val="tx1"/>
            </w14:solidFill>
          </w14:textFill>
        </w:rPr>
        <w:t xml:space="preserve">  前附表</w:t>
      </w:r>
      <w:bookmarkEnd w:id="6"/>
      <w:bookmarkEnd w:id="7"/>
      <w:bookmarkEnd w:id="8"/>
      <w:bookmarkEnd w:id="9"/>
      <w:bookmarkEnd w:id="10"/>
      <w:bookmarkEnd w:id="11"/>
      <w:bookmarkEnd w:id="12"/>
      <w:bookmarkEnd w:id="13"/>
    </w:p>
    <w:tbl>
      <w:tblPr>
        <w:tblStyle w:val="34"/>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8599"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599" w:type="dxa"/>
            <w:tcBorders>
              <w:top w:val="single" w:color="auto" w:sz="4" w:space="0"/>
              <w:left w:val="single" w:color="auto" w:sz="4" w:space="0"/>
              <w:bottom w:val="single" w:color="auto" w:sz="4" w:space="0"/>
            </w:tcBorders>
            <w:vAlign w:val="center"/>
          </w:tcPr>
          <w:p>
            <w:pPr>
              <w:widowControl/>
              <w:spacing w:line="360" w:lineRule="auto"/>
              <w:ind w:right="62"/>
              <w:jc w:val="left"/>
              <w:rPr>
                <w:rFonts w:hint="eastAsia" w:ascii="宋体" w:eastAsia="宋体"/>
                <w:b/>
                <w:bCs/>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建德市医共体基本结算账户开户招标项目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59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招标内容：</w:t>
            </w:r>
            <w:r>
              <w:rPr>
                <w:rFonts w:hint="eastAsia" w:ascii="宋体" w:hAnsi="宋体"/>
                <w:color w:val="000000" w:themeColor="text1"/>
                <w:sz w:val="24"/>
                <w:lang w:eastAsia="zh-CN"/>
                <w14:textFill>
                  <w14:solidFill>
                    <w14:schemeClr w14:val="tx1"/>
                  </w14:solidFill>
                </w14:textFill>
              </w:rPr>
              <w:t>建德市卫生健康局</w:t>
            </w:r>
            <w:r>
              <w:rPr>
                <w:rFonts w:hint="eastAsia" w:ascii="宋体" w:hAnsi="宋体"/>
                <w:color w:val="000000" w:themeColor="text1"/>
                <w:sz w:val="24"/>
                <w:lang w:val="en-US" w:eastAsia="zh-CN"/>
                <w14:textFill>
                  <w14:solidFill>
                    <w14:schemeClr w14:val="tx1"/>
                  </w14:solidFill>
                </w14:textFill>
              </w:rPr>
              <w:t>基本结算</w:t>
            </w:r>
            <w:r>
              <w:rPr>
                <w:rFonts w:hint="eastAsia" w:ascii="宋体" w:hAnsi="宋体"/>
                <w:color w:val="000000" w:themeColor="text1"/>
                <w:sz w:val="24"/>
                <w14:textFill>
                  <w14:solidFill>
                    <w14:schemeClr w14:val="tx1"/>
                  </w14:solidFill>
                </w14:textFill>
              </w:rPr>
              <w:t>账户</w:t>
            </w:r>
            <w:r>
              <w:rPr>
                <w:rFonts w:hint="eastAsia" w:ascii="宋体" w:hAnsi="宋体"/>
                <w:color w:val="000000" w:themeColor="text1"/>
                <w:sz w:val="24"/>
                <w:lang w:val="en-US" w:eastAsia="zh-CN"/>
                <w14:textFill>
                  <w14:solidFill>
                    <w14:schemeClr w14:val="tx1"/>
                  </w14:solidFill>
                </w14:textFill>
              </w:rPr>
              <w:t>开户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599"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中标数量：</w:t>
            </w:r>
            <w:r>
              <w:rPr>
                <w:rFonts w:hint="eastAsia" w:ascii="宋体" w:hAnsi="宋体" w:cs="宋体"/>
                <w:b/>
                <w:bCs/>
                <w:color w:val="000000" w:themeColor="text1"/>
                <w:sz w:val="24"/>
                <w:lang w:val="en-US"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599" w:type="dxa"/>
            <w:tcBorders>
              <w:top w:val="single" w:color="auto" w:sz="4" w:space="0"/>
              <w:left w:val="single" w:color="auto" w:sz="4" w:space="0"/>
              <w:bottom w:val="single" w:color="auto" w:sz="4" w:space="0"/>
            </w:tcBorders>
            <w:vAlign w:val="center"/>
          </w:tcPr>
          <w:p>
            <w:pPr>
              <w:snapToGrid w:val="0"/>
              <w:spacing w:line="360" w:lineRule="auto"/>
              <w:rPr>
                <w:rFonts w:asci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答疑与澄清：</w:t>
            </w:r>
            <w:r>
              <w:rPr>
                <w:rFonts w:hint="eastAsia" w:ascii="宋体" w:hAnsi="宋体" w:cs="宋体"/>
                <w:color w:val="000000" w:themeColor="text1"/>
                <w:sz w:val="24"/>
                <w14:textFill>
                  <w14:solidFill>
                    <w14:schemeClr w14:val="tx1"/>
                  </w14:solidFill>
                </w14:textFill>
              </w:rPr>
              <w:t>投标人如认为招标文件表述不清晰、存在歧视性或者其他违法内容的，应当在投标截止时间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日前，以书面形式要求招标单位做出书面解释、澄清或者向招标单位提出书面质疑。招标单位将不专门组织答疑；如有答疑，答疑内容是招标文件的组成部分，并将以书面形式通知所有已报名的投标人；如有澄清，澄清内容是招标文件的组成部分，并将以书面形式或在规定的信息发布网站上通知所有已报名的投标人；因其他紧急情况影响本项目正常招标活动的，招标单位将于投标截止日期</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599" w:type="dxa"/>
            <w:tcBorders>
              <w:top w:val="single" w:color="auto" w:sz="4" w:space="0"/>
              <w:left w:val="single" w:color="auto" w:sz="4" w:space="0"/>
              <w:bottom w:val="single" w:color="auto" w:sz="4" w:space="0"/>
            </w:tcBorders>
            <w:vAlign w:val="center"/>
          </w:tcPr>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投标文件组成：</w:t>
            </w:r>
            <w:r>
              <w:rPr>
                <w:rFonts w:hint="eastAsia" w:ascii="宋体" w:hAnsi="宋体" w:cs="宋体"/>
                <w:color w:val="000000" w:themeColor="text1"/>
                <w:sz w:val="24"/>
                <w14:textFill>
                  <w14:solidFill>
                    <w14:schemeClr w14:val="tx1"/>
                  </w14:solidFill>
                </w14:textFill>
              </w:rPr>
              <w:t>本项目实行网上投标，投标人应准备以下投标文件：</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（1）投标声明书；</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（2）投标报价一览表；</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（3）法定代表人身份证明书或法定代表人/分行负责人授权委托书；</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（4）投标人声明</w:t>
            </w:r>
            <w:r>
              <w:rPr>
                <w:rFonts w:hint="eastAsia" w:ascii="宋体" w:hAnsi="宋体" w:cs="宋体"/>
                <w:color w:val="000000" w:themeColor="text1"/>
                <w:sz w:val="24"/>
                <w:lang w:val="en-US" w:eastAsia="zh-CN"/>
                <w14:textFill>
                  <w14:solidFill>
                    <w14:schemeClr w14:val="tx1"/>
                  </w14:solidFill>
                </w14:textFill>
              </w:rPr>
              <w:t>书、</w:t>
            </w:r>
            <w:r>
              <w:rPr>
                <w:rFonts w:hint="eastAsia" w:ascii="宋体" w:hAnsi="宋体" w:cs="宋体"/>
                <w:color w:val="000000" w:themeColor="text1"/>
                <w:sz w:val="24"/>
                <w14:textFill>
                  <w14:solidFill>
                    <w14:schemeClr w14:val="tx1"/>
                  </w14:solidFill>
                </w14:textFill>
              </w:rPr>
              <w:t>投标人近三年在经营活动中没有重大违法记录的书面声明</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声明函；</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（5）投标人资格证明文件；</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）根据第四章评分标准中的内容提供相应的资料；</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）投标人认为需提供的其他资料。</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注意事项 </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（1）电子投标文件中所须加盖公章部分均采用 CA 签章。 </w:t>
            </w:r>
          </w:p>
          <w:p>
            <w:pPr>
              <w:autoSpaceDE w:val="0"/>
              <w:autoSpaceDN w:val="0"/>
              <w:snapToGrid w:val="0"/>
              <w:spacing w:line="360" w:lineRule="auto"/>
              <w:textAlignment w:val="bottom"/>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（2）上述组成投标文件的各项资料中本招标文件的有规定格式的，应统一按本招标文件的规定格式填写。未有规定格式的资料，投标人应自行编制，但至少要包含以上要求的内容。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599" w:type="dxa"/>
            <w:tcBorders>
              <w:top w:val="single" w:color="auto" w:sz="4" w:space="0"/>
              <w:left w:val="single" w:color="auto" w:sz="4" w:space="0"/>
              <w:bottom w:val="single" w:color="auto" w:sz="4" w:space="0"/>
            </w:tcBorders>
            <w:vAlign w:val="center"/>
          </w:tcPr>
          <w:p>
            <w:pPr>
              <w:snapToGrid w:val="0"/>
              <w:spacing w:line="360" w:lineRule="auto"/>
              <w:rPr>
                <w:rFonts w:asci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投标截止时间及地点：</w:t>
            </w:r>
            <w:r>
              <w:rPr>
                <w:rFonts w:hint="eastAsia" w:ascii="宋体" w:hAnsi="宋体" w:cs="宋体"/>
                <w:color w:val="000000" w:themeColor="text1"/>
                <w:sz w:val="24"/>
                <w:u w:val="single"/>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599" w:type="dxa"/>
            <w:tcBorders>
              <w:top w:val="single" w:color="auto" w:sz="4" w:space="0"/>
              <w:left w:val="single" w:color="auto" w:sz="4" w:space="0"/>
              <w:bottom w:val="single" w:color="auto" w:sz="4" w:space="0"/>
            </w:tcBorders>
            <w:vAlign w:val="center"/>
          </w:tcPr>
          <w:p>
            <w:pPr>
              <w:snapToGrid w:val="0"/>
              <w:spacing w:line="360" w:lineRule="auto"/>
              <w:rPr>
                <w:rFonts w:asci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开标时间及地点：</w:t>
            </w:r>
            <w:r>
              <w:rPr>
                <w:rFonts w:hint="eastAsia" w:ascii="宋体" w:hAnsi="宋体" w:cs="宋体"/>
                <w:color w:val="000000" w:themeColor="text1"/>
                <w:sz w:val="24"/>
                <w:u w:val="single"/>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599" w:type="dxa"/>
            <w:tcBorders>
              <w:top w:val="single" w:color="auto" w:sz="4" w:space="0"/>
              <w:left w:val="single" w:color="auto" w:sz="4" w:space="0"/>
              <w:bottom w:val="single" w:color="auto" w:sz="4" w:space="0"/>
            </w:tcBorders>
            <w:vAlign w:val="center"/>
          </w:tcPr>
          <w:p>
            <w:pPr>
              <w:autoSpaceDE w:val="0"/>
              <w:autoSpaceDN w:val="0"/>
              <w:snapToGrid w:val="0"/>
              <w:spacing w:line="360" w:lineRule="auto"/>
              <w:textAlignment w:val="bottom"/>
              <w:rPr>
                <w:rFonts w:asci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评标办法：</w:t>
            </w:r>
            <w:r>
              <w:rPr>
                <w:rFonts w:hint="eastAsia" w:ascii="宋体" w:hAnsi="宋体" w:cs="宋体"/>
                <w:color w:val="000000" w:themeColor="text1"/>
                <w:sz w:val="24"/>
                <w:u w:val="singl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8599" w:type="dxa"/>
            <w:tcBorders>
              <w:top w:val="single" w:color="auto" w:sz="4" w:space="0"/>
              <w:left w:val="single" w:color="auto" w:sz="4" w:space="0"/>
              <w:bottom w:val="single" w:color="auto" w:sz="4" w:space="0"/>
            </w:tcBorders>
            <w:vAlign w:val="center"/>
          </w:tcPr>
          <w:p>
            <w:pPr>
              <w:autoSpaceDE w:val="0"/>
              <w:autoSpaceDN w:val="0"/>
              <w:snapToGrid w:val="0"/>
              <w:spacing w:line="360" w:lineRule="auto"/>
              <w:textAlignment w:val="bottom"/>
              <w:rPr>
                <w:rFonts w:asci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信息公示：</w:t>
            </w:r>
            <w:r>
              <w:rPr>
                <w:rFonts w:hint="eastAsia" w:ascii="宋体" w:hAnsi="宋体" w:cs="宋体"/>
                <w:color w:val="000000" w:themeColor="text1"/>
                <w:sz w:val="24"/>
                <w14:textFill>
                  <w14:solidFill>
                    <w14:schemeClr w14:val="tx1"/>
                  </w14:solidFill>
                </w14:textFill>
              </w:rPr>
              <w:t>招标公告和中标结果将在浙江政府采购网予以公示。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8599" w:type="dxa"/>
            <w:tcBorders>
              <w:top w:val="single" w:color="auto" w:sz="4" w:space="0"/>
              <w:left w:val="single" w:color="auto" w:sz="4" w:space="0"/>
              <w:bottom w:val="single" w:color="auto" w:sz="4" w:space="0"/>
            </w:tcBorders>
            <w:vAlign w:val="center"/>
          </w:tcPr>
          <w:p>
            <w:pPr>
              <w:autoSpaceDE w:val="0"/>
              <w:autoSpaceDN w:val="0"/>
              <w:snapToGrid w:val="0"/>
              <w:spacing w:line="360" w:lineRule="auto"/>
              <w:textAlignment w:val="bottom"/>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投标文件数量要求：</w:t>
            </w:r>
          </w:p>
          <w:p>
            <w:pPr>
              <w:autoSpaceDE w:val="0"/>
              <w:autoSpaceDN w:val="0"/>
              <w:snapToGrid w:val="0"/>
              <w:spacing w:line="360" w:lineRule="auto"/>
              <w:textAlignment w:val="bottom"/>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1、上传到政府采购云平台的电子投标文件。</w:t>
            </w:r>
          </w:p>
          <w:p>
            <w:pPr>
              <w:autoSpaceDE w:val="0"/>
              <w:autoSpaceDN w:val="0"/>
              <w:snapToGrid w:val="0"/>
              <w:spacing w:line="360" w:lineRule="auto"/>
              <w:textAlignment w:val="bottom"/>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2、以 U 盘形式存储的电子备份投标文件。</w:t>
            </w:r>
          </w:p>
          <w:p>
            <w:pPr>
              <w:autoSpaceDE w:val="0"/>
              <w:autoSpaceDN w:val="0"/>
              <w:snapToGrid w:val="0"/>
              <w:spacing w:line="360" w:lineRule="auto"/>
              <w:textAlignment w:val="bottom"/>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注：（1）电子备份投标文件不作实质性要求，是否提交由投标人自行决定。</w:t>
            </w:r>
          </w:p>
          <w:p>
            <w:pPr>
              <w:autoSpaceDE w:val="0"/>
              <w:autoSpaceDN w:val="0"/>
              <w:snapToGrid w:val="0"/>
              <w:spacing w:line="360" w:lineRule="auto"/>
              <w:textAlignment w:val="bottom"/>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（2）投标人需在202</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14</w:t>
            </w:r>
            <w:r>
              <w:rPr>
                <w:rFonts w:hint="eastAsia" w:ascii="宋体" w:hAnsi="宋体" w:cs="宋体"/>
                <w:bCs/>
                <w:color w:val="000000" w:themeColor="text1"/>
                <w:sz w:val="24"/>
                <w14:textFill>
                  <w14:solidFill>
                    <w14:schemeClr w14:val="tx1"/>
                  </w14:solidFill>
                </w14:textFill>
              </w:rPr>
              <w:t>日</w:t>
            </w:r>
            <w:r>
              <w:rPr>
                <w:rFonts w:hint="eastAsia" w:ascii="宋体" w:hAnsi="宋体" w:cs="宋体"/>
                <w:bCs/>
                <w:color w:val="000000" w:themeColor="text1"/>
                <w:sz w:val="24"/>
                <w:lang w:val="en-US" w:eastAsia="zh-CN"/>
                <w14:textFill>
                  <w14:solidFill>
                    <w14:schemeClr w14:val="tx1"/>
                  </w14:solidFill>
                </w14:textFill>
              </w:rPr>
              <w:t>9</w:t>
            </w:r>
            <w:bookmarkStart w:id="147" w:name="_GoBack"/>
            <w:bookmarkEnd w:id="147"/>
            <w:r>
              <w:rPr>
                <w:rFonts w:hint="eastAsia" w:ascii="宋体" w:hAnsi="宋体" w:cs="宋体"/>
                <w:bCs/>
                <w:color w:val="000000" w:themeColor="text1"/>
                <w:sz w:val="24"/>
                <w14:textFill>
                  <w14:solidFill>
                    <w14:schemeClr w14:val="tx1"/>
                  </w14:solidFill>
                </w14:textFill>
              </w:rPr>
              <w:t>:00前向采购代理机构提供上传的电子投标文件装订成册的纸质</w:t>
            </w:r>
            <w:r>
              <w:rPr>
                <w:rFonts w:hint="eastAsia" w:ascii="宋体" w:hAnsi="宋体" w:cs="宋体"/>
                <w:sz w:val="24"/>
              </w:rPr>
              <w:t>投标文件正本</w:t>
            </w:r>
            <w:r>
              <w:rPr>
                <w:rFonts w:hint="eastAsia" w:ascii="宋体" w:hAnsi="宋体" w:cs="宋体"/>
                <w:sz w:val="24"/>
                <w:u w:val="single"/>
              </w:rPr>
              <w:t>1</w:t>
            </w:r>
            <w:r>
              <w:rPr>
                <w:rFonts w:hint="eastAsia" w:ascii="宋体" w:hAnsi="宋体" w:cs="宋体"/>
                <w:sz w:val="24"/>
              </w:rPr>
              <w:t>份；副本</w:t>
            </w:r>
            <w:r>
              <w:rPr>
                <w:rFonts w:hint="eastAsia" w:ascii="宋体" w:hAnsi="宋体" w:cs="宋体"/>
                <w:sz w:val="24"/>
                <w:u w:val="single"/>
                <w:lang w:val="en-US" w:eastAsia="zh-CN"/>
              </w:rPr>
              <w:t>5</w:t>
            </w:r>
            <w:r>
              <w:rPr>
                <w:rFonts w:hint="eastAsia" w:ascii="宋体" w:hAnsi="宋体" w:cs="宋体"/>
                <w:sz w:val="24"/>
              </w:rPr>
              <w:t>份</w:t>
            </w:r>
            <w:r>
              <w:rPr>
                <w:rFonts w:hint="eastAsia" w:ascii="宋体" w:hAnsi="宋体" w:cs="宋体"/>
                <w:snapToGrid w:val="0"/>
                <w:kern w:val="0"/>
                <w:sz w:val="24"/>
              </w:rPr>
              <w:t>（投标文件的封面应注明“正本”、“副本”字样，不得活页装订</w:t>
            </w:r>
            <w:r>
              <w:rPr>
                <w:rFonts w:hint="eastAsia" w:ascii="宋体" w:hAnsi="宋体" w:cs="宋体"/>
                <w:snapToGrid w:val="0"/>
                <w:kern w:val="0"/>
                <w:sz w:val="24"/>
                <w:lang w:eastAsia="zh-CN"/>
              </w:rPr>
              <w:t>；副本可为正本的复印件</w:t>
            </w:r>
            <w:r>
              <w:rPr>
                <w:rFonts w:hint="eastAsia" w:ascii="宋体" w:hAnsi="宋体" w:cs="宋体"/>
                <w:snapToGrid w:val="0"/>
                <w:kern w:val="0"/>
                <w:sz w:val="24"/>
              </w:rPr>
              <w:t>）</w:t>
            </w:r>
            <w:r>
              <w:rPr>
                <w:rFonts w:hint="eastAsia" w:ascii="宋体" w:hAnsi="宋体" w:cs="宋体"/>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1</w:t>
            </w:r>
          </w:p>
        </w:tc>
        <w:tc>
          <w:tcPr>
            <w:tcW w:w="8599" w:type="dxa"/>
            <w:tcBorders>
              <w:top w:val="single" w:color="auto" w:sz="4" w:space="0"/>
              <w:left w:val="single" w:color="auto" w:sz="4" w:space="0"/>
              <w:bottom w:val="single" w:color="auto" w:sz="4" w:space="0"/>
            </w:tcBorders>
            <w:vAlign w:val="center"/>
          </w:tcPr>
          <w:p>
            <w:pPr>
              <w:autoSpaceDE w:val="0"/>
              <w:autoSpaceDN w:val="0"/>
              <w:snapToGrid w:val="0"/>
              <w:spacing w:line="360" w:lineRule="auto"/>
              <w:textAlignment w:val="bottom"/>
              <w:rPr>
                <w:rFonts w:asci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签订协议时间：</w:t>
            </w:r>
            <w:r>
              <w:rPr>
                <w:rFonts w:hint="eastAsia" w:ascii="宋体" w:hAnsi="宋体" w:cs="宋体"/>
                <w:color w:val="000000" w:themeColor="text1"/>
                <w:sz w:val="24"/>
                <w:u w:val="single"/>
                <w14:textFill>
                  <w14:solidFill>
                    <w14:schemeClr w14:val="tx1"/>
                  </w14:solidFill>
                </w14:textFill>
              </w:rPr>
              <w:t>中标通知书发出后</w:t>
            </w:r>
            <w:r>
              <w:rPr>
                <w:rFonts w:ascii="宋体" w:hAnsi="宋体" w:cs="宋体"/>
                <w:color w:val="000000" w:themeColor="text1"/>
                <w:sz w:val="24"/>
                <w:u w:val="single"/>
                <w14:textFill>
                  <w14:solidFill>
                    <w14:schemeClr w14:val="tx1"/>
                  </w14:solidFill>
                </w14:textFill>
              </w:rPr>
              <w:t xml:space="preserve"> 30 </w:t>
            </w:r>
            <w:r>
              <w:rPr>
                <w:rFonts w:hint="eastAsia" w:ascii="宋体" w:hAnsi="宋体" w:cs="宋体"/>
                <w:color w:val="000000" w:themeColor="text1"/>
                <w:sz w:val="24"/>
                <w:u w:val="single"/>
                <w14:textFill>
                  <w14:solidFill>
                    <w14:schemeClr w14:val="tx1"/>
                  </w14:solidFill>
                </w14:textFill>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2</w:t>
            </w:r>
          </w:p>
        </w:tc>
        <w:tc>
          <w:tcPr>
            <w:tcW w:w="8599" w:type="dxa"/>
            <w:tcBorders>
              <w:top w:val="single" w:color="auto" w:sz="4" w:space="0"/>
              <w:left w:val="single" w:color="auto" w:sz="4" w:space="0"/>
              <w:bottom w:val="single" w:color="auto" w:sz="4" w:space="0"/>
            </w:tcBorders>
            <w:vAlign w:val="center"/>
          </w:tcPr>
          <w:p>
            <w:pPr>
              <w:spacing w:line="360" w:lineRule="auto"/>
              <w:ind w:firstLine="482" w:firstLineChars="200"/>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服务期限：</w:t>
            </w:r>
            <w:r>
              <w:rPr>
                <w:rFonts w:hint="eastAsia" w:ascii="宋体" w:hAnsi="宋体" w:cs="宋体"/>
                <w:color w:val="000000" w:themeColor="text1"/>
                <w:sz w:val="24"/>
                <w14:textFill>
                  <w14:solidFill>
                    <w14:schemeClr w14:val="tx1"/>
                  </w14:solidFill>
                </w14:textFill>
              </w:rPr>
              <w:t>本项目</w:t>
            </w:r>
            <w:r>
              <w:rPr>
                <w:rFonts w:hint="eastAsia" w:ascii="宋体" w:hAnsi="宋体" w:cs="宋体"/>
                <w:color w:val="000000" w:themeColor="text1"/>
                <w:sz w:val="24"/>
                <w:lang w:val="en-US" w:eastAsia="zh-CN"/>
                <w14:textFill>
                  <w14:solidFill>
                    <w14:schemeClr w14:val="tx1"/>
                  </w14:solidFill>
                </w14:textFill>
              </w:rPr>
              <w:t>开户</w:t>
            </w:r>
            <w:r>
              <w:rPr>
                <w:rFonts w:hint="eastAsia" w:ascii="宋体" w:hAnsi="宋体" w:cs="宋体"/>
                <w:color w:val="000000" w:themeColor="text1"/>
                <w:sz w:val="24"/>
                <w14:textFill>
                  <w14:solidFill>
                    <w14:schemeClr w14:val="tx1"/>
                  </w14:solidFill>
                </w14:textFill>
              </w:rPr>
              <w:t>期为</w:t>
            </w:r>
            <w:r>
              <w:rPr>
                <w:rFonts w:hint="eastAsia" w:ascii="宋体" w:hAnsi="宋体" w:cs="宋体"/>
                <w:color w:val="000000" w:themeColor="text1"/>
                <w:sz w:val="24"/>
                <w:lang w:val="en-US" w:eastAsia="zh-CN"/>
                <w14:textFill>
                  <w14:solidFill>
                    <w14:schemeClr w14:val="tx1"/>
                  </w14:solidFill>
                </w14:textFill>
              </w:rPr>
              <w:t>五年</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开户协议</w:t>
            </w:r>
            <w:r>
              <w:rPr>
                <w:rFonts w:hint="eastAsia" w:ascii="宋体" w:hAnsi="宋体" w:cs="宋体"/>
                <w:color w:val="000000" w:themeColor="text1"/>
                <w:sz w:val="24"/>
                <w14:textFill>
                  <w14:solidFill>
                    <w14:schemeClr w14:val="tx1"/>
                  </w14:solidFill>
                </w14:textFill>
              </w:rPr>
              <w:t>到期后，招标人可根据开户协议对原中标银行进行考核，考核合格可续签开户协议，但续签协议期限不超过</w:t>
            </w:r>
            <w:r>
              <w:rPr>
                <w:rFonts w:hint="eastAsia" w:ascii="宋体" w:hAnsi="宋体" w:cs="宋体"/>
                <w:color w:val="000000" w:themeColor="text1"/>
                <w:sz w:val="24"/>
                <w:lang w:eastAsia="zh-CN"/>
                <w14:textFill>
                  <w14:solidFill>
                    <w14:schemeClr w14:val="tx1"/>
                  </w14:solidFill>
                </w14:textFill>
              </w:rPr>
              <w:t>五</w:t>
            </w:r>
            <w:r>
              <w:rPr>
                <w:rFonts w:hint="eastAsia" w:ascii="宋体" w:hAnsi="宋体" w:cs="宋体"/>
                <w:color w:val="000000" w:themeColor="text1"/>
                <w:sz w:val="24"/>
                <w14:textFill>
                  <w14:solidFill>
                    <w14:schemeClr w14:val="tx1"/>
                  </w14:solidFill>
                </w14:textFill>
              </w:rPr>
              <w:t>年。如果服务不能达到招标要求和投标承诺的，或国家另有规定的，以及招标人</w:t>
            </w:r>
            <w:r>
              <w:rPr>
                <w:rFonts w:hint="eastAsia" w:ascii="宋体" w:hAnsi="宋体" w:cs="宋体"/>
                <w:color w:val="000000" w:themeColor="text1"/>
                <w:kern w:val="0"/>
                <w:sz w:val="24"/>
                <w14:textFill>
                  <w14:solidFill>
                    <w14:schemeClr w14:val="tx1"/>
                  </w14:solidFill>
                </w14:textFill>
              </w:rPr>
              <w:t>因机构改革、上级政策规定等原因，</w:t>
            </w:r>
            <w:r>
              <w:rPr>
                <w:rFonts w:hint="eastAsia" w:ascii="宋体" w:hAnsi="宋体" w:cs="宋体"/>
                <w:color w:val="000000" w:themeColor="text1"/>
                <w:sz w:val="24"/>
                <w14:textFill>
                  <w14:solidFill>
                    <w14:schemeClr w14:val="tx1"/>
                  </w14:solidFill>
                </w14:textFill>
              </w:rPr>
              <w:t>招标人有权终止协议。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w:t>
            </w:r>
          </w:p>
        </w:tc>
        <w:tc>
          <w:tcPr>
            <w:tcW w:w="8599" w:type="dxa"/>
            <w:tcBorders>
              <w:top w:val="single" w:color="auto" w:sz="4" w:space="0"/>
              <w:left w:val="single" w:color="auto" w:sz="4" w:space="0"/>
              <w:bottom w:val="single" w:color="auto" w:sz="4" w:space="0"/>
            </w:tcBorders>
            <w:vAlign w:val="center"/>
          </w:tcPr>
          <w:p>
            <w:pPr>
              <w:spacing w:line="360" w:lineRule="auto"/>
              <w:jc w:val="left"/>
              <w:rPr>
                <w:rFonts w:asci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协议终止：</w:t>
            </w:r>
            <w:r>
              <w:rPr>
                <w:rFonts w:hint="eastAsia" w:ascii="宋体" w:hAnsi="宋体" w:cs="宋体"/>
                <w:color w:val="000000" w:themeColor="text1"/>
                <w:sz w:val="24"/>
                <w14:textFill>
                  <w14:solidFill>
                    <w14:schemeClr w14:val="tx1"/>
                  </w14:solidFill>
                </w14:textFill>
              </w:rPr>
              <w:t>中标单位在合同有效期内，不得以任何理由终止合同，确有特殊情况的，须提前两个月向招标人提出书面申请，经招标人同意后，方可终止合同。因中标单位出现资金安全事故、重大违法违规情况或财务恶化；监管评级降低，监管部门认为存在较大运营风险；没有按照中标协议承诺履行相应的责任和义务；擅自降低服务条件和服务内容的；出现银行挤兑、存款被盗或其他可能妨害资金安全的情形等上述情况，招标人可有权终止协议，中标单位承担全部责任。因招标人机构调整等政策原因，需提前终止履行合同的，招标人不承担任何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4</w:t>
            </w:r>
          </w:p>
        </w:tc>
        <w:tc>
          <w:tcPr>
            <w:tcW w:w="8599" w:type="dxa"/>
            <w:tcBorders>
              <w:top w:val="single" w:color="auto" w:sz="4" w:space="0"/>
              <w:left w:val="single" w:color="auto" w:sz="4" w:space="0"/>
              <w:bottom w:val="single" w:color="auto" w:sz="4" w:space="0"/>
            </w:tcBorders>
            <w:vAlign w:val="center"/>
          </w:tcPr>
          <w:p>
            <w:pPr>
              <w:spacing w:line="360" w:lineRule="auto"/>
              <w:rPr>
                <w:rFonts w:asci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投标有效期：</w:t>
            </w:r>
            <w:r>
              <w:rPr>
                <w:rFonts w:hint="eastAsia" w:ascii="宋体" w:hAnsi="宋体" w:cs="宋体"/>
                <w:color w:val="000000" w:themeColor="text1"/>
                <w:sz w:val="24"/>
                <w14:textFill>
                  <w14:solidFill>
                    <w14:schemeClr w14:val="tx1"/>
                  </w14:solidFill>
                </w14:textFill>
              </w:rPr>
              <w:t>自开标之日起</w:t>
            </w:r>
            <w:r>
              <w:rPr>
                <w:rFonts w:ascii="宋体" w:hAnsi="宋体" w:cs="宋体"/>
                <w:color w:val="000000" w:themeColor="text1"/>
                <w:sz w:val="24"/>
                <w:u w:val="single"/>
                <w14:textFill>
                  <w14:solidFill>
                    <w14:schemeClr w14:val="tx1"/>
                  </w14:solidFill>
                </w14:textFill>
              </w:rPr>
              <w:t xml:space="preserve"> 90 </w:t>
            </w:r>
            <w:r>
              <w:rPr>
                <w:rFonts w:hint="eastAsia" w:ascii="宋体" w:hAnsi="宋体" w:cs="宋体"/>
                <w:color w:val="000000" w:themeColor="text1"/>
                <w:sz w:val="24"/>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w:t>
            </w:r>
          </w:p>
        </w:tc>
        <w:tc>
          <w:tcPr>
            <w:tcW w:w="8599" w:type="dxa"/>
            <w:tcBorders>
              <w:top w:val="single" w:color="auto" w:sz="4" w:space="0"/>
              <w:left w:val="single" w:color="auto" w:sz="4" w:space="0"/>
              <w:bottom w:val="single" w:color="auto" w:sz="4" w:space="0"/>
            </w:tcBorders>
            <w:vAlign w:val="center"/>
          </w:tcPr>
          <w:p>
            <w:pPr>
              <w:spacing w:line="360" w:lineRule="auto"/>
              <w:rPr>
                <w:rFonts w:hint="eastAsia" w:ascii="宋体" w:eastAsia="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服务费：</w:t>
            </w:r>
            <w:r>
              <w:rPr>
                <w:rFonts w:hint="eastAsia" w:ascii="宋体" w:hAnsi="宋体" w:cs="宋体"/>
                <w:b/>
                <w:color w:val="000000" w:themeColor="text1"/>
                <w:sz w:val="24"/>
                <w:highlight w:val="none"/>
                <w14:textFill>
                  <w14:solidFill>
                    <w14:schemeClr w14:val="tx1"/>
                  </w14:solidFill>
                </w14:textFill>
              </w:rPr>
              <w:t>本项目的招标代理服务费向中标单位收取，</w:t>
            </w:r>
            <w:r>
              <w:rPr>
                <w:rFonts w:hint="eastAsia" w:ascii="宋体" w:hAnsi="宋体" w:cs="宋体"/>
                <w:b/>
                <w:color w:val="000000" w:themeColor="text1"/>
                <w:sz w:val="24"/>
                <w:highlight w:val="none"/>
                <w:lang w:eastAsia="zh-CN"/>
                <w14:textFill>
                  <w14:solidFill>
                    <w14:schemeClr w14:val="tx1"/>
                  </w14:solidFill>
                </w14:textFill>
              </w:rPr>
              <w:t>中标代理服务费</w:t>
            </w:r>
            <w:r>
              <w:rPr>
                <w:rFonts w:hint="eastAsia" w:ascii="宋体" w:hAnsi="宋体" w:cs="宋体"/>
                <w:b/>
                <w:color w:val="000000" w:themeColor="text1"/>
                <w:sz w:val="24"/>
                <w:highlight w:val="none"/>
                <w:lang w:val="en-US" w:eastAsia="zh-CN"/>
                <w14:textFill>
                  <w14:solidFill>
                    <w14:schemeClr w14:val="tx1"/>
                  </w14:solidFill>
                </w14:textFill>
              </w:rPr>
              <w:t>人民币：陆仟伍佰元整（</w:t>
            </w:r>
            <w:r>
              <w:rPr>
                <w:rFonts w:hint="eastAsia" w:ascii="宋体" w:hAnsi="宋体" w:eastAsia="宋体" w:cs="宋体"/>
                <w:b/>
                <w:color w:val="000000" w:themeColor="text1"/>
                <w:sz w:val="24"/>
                <w:highlight w:val="none"/>
                <w:lang w:val="en-US"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：6500元），</w:t>
            </w:r>
            <w:r>
              <w:rPr>
                <w:rFonts w:hint="eastAsia" w:ascii="宋体" w:hAnsi="宋体" w:cs="宋体"/>
                <w:b/>
                <w:color w:val="000000" w:themeColor="text1"/>
                <w:sz w:val="24"/>
                <w:highlight w:val="none"/>
                <w14:textFill>
                  <w14:solidFill>
                    <w14:schemeClr w14:val="tx1"/>
                  </w14:solidFill>
                </w14:textFill>
              </w:rPr>
              <w:t>由中标银行在领取中标通知书前向代理公司交纳该费用，投标人在报价时应考虑包含上述费用。</w:t>
            </w:r>
          </w:p>
        </w:tc>
      </w:tr>
    </w:tbl>
    <w:p>
      <w:pPr>
        <w:snapToGrid w:val="0"/>
        <w:ind w:left="238"/>
        <w:jc w:val="center"/>
        <w:outlineLvl w:val="1"/>
        <w:rPr>
          <w:rFonts w:ascii="宋体" w:hAnsi="宋体"/>
          <w:b/>
          <w:bCs/>
          <w:iCs/>
          <w:color w:val="000000" w:themeColor="text1"/>
          <w:sz w:val="32"/>
          <w:szCs w:val="32"/>
          <w14:textFill>
            <w14:solidFill>
              <w14:schemeClr w14:val="tx1"/>
            </w14:solidFill>
          </w14:textFill>
        </w:rPr>
      </w:pPr>
      <w:r>
        <w:rPr>
          <w:rFonts w:ascii="宋体" w:hAnsi="宋体"/>
          <w:color w:val="000000" w:themeColor="text1"/>
          <w14:textFill>
            <w14:solidFill>
              <w14:schemeClr w14:val="tx1"/>
            </w14:solidFill>
          </w14:textFill>
        </w:rPr>
        <w:br w:type="page"/>
      </w:r>
      <w:bookmarkStart w:id="14" w:name="_Toc454551067"/>
      <w:bookmarkStart w:id="15" w:name="_Toc355117096"/>
      <w:bookmarkStart w:id="16" w:name="_Toc444597089"/>
      <w:bookmarkStart w:id="17" w:name="_Toc436314538"/>
      <w:bookmarkStart w:id="18" w:name="_Toc429406701"/>
      <w:r>
        <w:rPr>
          <w:rFonts w:hint="eastAsia" w:ascii="宋体" w:hAnsi="宋体"/>
          <w:b/>
          <w:bCs/>
          <w:iCs/>
          <w:color w:val="000000" w:themeColor="text1"/>
          <w:sz w:val="32"/>
          <w:szCs w:val="32"/>
          <w14:textFill>
            <w14:solidFill>
              <w14:schemeClr w14:val="tx1"/>
            </w14:solidFill>
          </w14:textFill>
        </w:rPr>
        <w:t>第二部分 投标人须知</w:t>
      </w:r>
      <w:bookmarkEnd w:id="14"/>
      <w:bookmarkEnd w:id="15"/>
      <w:bookmarkEnd w:id="16"/>
      <w:bookmarkEnd w:id="17"/>
      <w:bookmarkEnd w:id="18"/>
    </w:p>
    <w:p>
      <w:pPr>
        <w:pStyle w:val="20"/>
        <w:snapToGrid w:val="0"/>
        <w:spacing w:beforeLines="0" w:afterLines="0"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一、总  则</w:t>
      </w:r>
    </w:p>
    <w:p>
      <w:pPr>
        <w:snapToGrid w:val="0"/>
        <w:spacing w:line="360" w:lineRule="auto"/>
        <w:jc w:val="left"/>
        <w:outlineLvl w:val="1"/>
        <w:rPr>
          <w:rFonts w:ascii="宋体" w:hAnsi="宋体"/>
          <w:b/>
          <w:color w:val="000000" w:themeColor="text1"/>
          <w:sz w:val="24"/>
          <w14:textFill>
            <w14:solidFill>
              <w14:schemeClr w14:val="tx1"/>
            </w14:solidFill>
          </w14:textFill>
        </w:rPr>
      </w:pPr>
      <w:bookmarkStart w:id="19" w:name="_Toc444597090"/>
      <w:bookmarkStart w:id="20" w:name="_Toc259108309"/>
      <w:bookmarkStart w:id="21" w:name="_Toc454551068"/>
      <w:bookmarkStart w:id="22" w:name="_Toc436314539"/>
      <w:bookmarkStart w:id="23" w:name="_Toc355117097"/>
      <w:bookmarkStart w:id="24" w:name="_Toc249866751"/>
      <w:bookmarkStart w:id="25" w:name="_Toc427442452"/>
      <w:bookmarkStart w:id="26" w:name="_Toc429406702"/>
      <w:r>
        <w:rPr>
          <w:rFonts w:hint="eastAsia" w:ascii="宋体" w:hAnsi="宋体"/>
          <w:b/>
          <w:color w:val="000000" w:themeColor="text1"/>
          <w:sz w:val="24"/>
          <w14:textFill>
            <w14:solidFill>
              <w14:schemeClr w14:val="tx1"/>
            </w14:solidFill>
          </w14:textFill>
        </w:rPr>
        <w:t>（一）</w:t>
      </w:r>
      <w:r>
        <w:rPr>
          <w:rFonts w:ascii="宋体" w:hAnsi="宋体"/>
          <w:b/>
          <w:color w:val="000000" w:themeColor="text1"/>
          <w:sz w:val="24"/>
          <w14:textFill>
            <w14:solidFill>
              <w14:schemeClr w14:val="tx1"/>
            </w14:solidFill>
          </w14:textFill>
        </w:rPr>
        <w:t xml:space="preserve"> 适用范围</w:t>
      </w:r>
      <w:bookmarkEnd w:id="19"/>
      <w:bookmarkEnd w:id="20"/>
      <w:bookmarkEnd w:id="21"/>
      <w:bookmarkEnd w:id="22"/>
      <w:bookmarkEnd w:id="23"/>
      <w:bookmarkEnd w:id="24"/>
      <w:bookmarkEnd w:id="25"/>
      <w:bookmarkEnd w:id="26"/>
    </w:p>
    <w:p>
      <w:pPr>
        <w:widowControl/>
        <w:spacing w:line="360" w:lineRule="auto"/>
        <w:ind w:left="60" w:firstLine="540"/>
        <w:jc w:val="left"/>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本招标文件适用于本项目的招标、投标、评标、定标、合同履约、付款等行为（法律、法规另有规定的，从其规定）。</w:t>
      </w:r>
    </w:p>
    <w:p>
      <w:pPr>
        <w:snapToGrid w:val="0"/>
        <w:spacing w:line="360" w:lineRule="auto"/>
        <w:jc w:val="left"/>
        <w:outlineLvl w:val="1"/>
        <w:rPr>
          <w:rFonts w:ascii="宋体" w:hAnsi="宋体"/>
          <w:b/>
          <w:color w:val="000000" w:themeColor="text1"/>
          <w:sz w:val="24"/>
          <w14:textFill>
            <w14:solidFill>
              <w14:schemeClr w14:val="tx1"/>
            </w14:solidFill>
          </w14:textFill>
        </w:rPr>
      </w:pPr>
      <w:bookmarkStart w:id="27" w:name="_Toc444597091"/>
      <w:bookmarkStart w:id="28" w:name="_Toc436314540"/>
      <w:bookmarkStart w:id="29" w:name="_Toc355117098"/>
      <w:bookmarkStart w:id="30" w:name="_Toc259108310"/>
      <w:bookmarkStart w:id="31" w:name="_Toc454551069"/>
      <w:bookmarkStart w:id="32" w:name="_Toc427442453"/>
      <w:bookmarkStart w:id="33" w:name="_Toc429406703"/>
      <w:bookmarkStart w:id="34" w:name="_Toc249866752"/>
      <w:r>
        <w:rPr>
          <w:rFonts w:hint="eastAsia" w:ascii="宋体" w:hAnsi="宋体"/>
          <w:b/>
          <w:color w:val="000000" w:themeColor="text1"/>
          <w:sz w:val="24"/>
          <w14:textFill>
            <w14:solidFill>
              <w14:schemeClr w14:val="tx1"/>
            </w14:solidFill>
          </w14:textFill>
        </w:rPr>
        <w:t>（二）定义</w:t>
      </w:r>
      <w:bookmarkEnd w:id="27"/>
      <w:bookmarkEnd w:id="28"/>
      <w:bookmarkEnd w:id="29"/>
      <w:bookmarkEnd w:id="30"/>
      <w:bookmarkEnd w:id="31"/>
      <w:bookmarkEnd w:id="32"/>
      <w:bookmarkEnd w:id="33"/>
      <w:bookmarkEnd w:id="34"/>
    </w:p>
    <w:p>
      <w:pPr>
        <w:widowControl/>
        <w:spacing w:line="360" w:lineRule="auto"/>
        <w:ind w:left="60" w:firstLine="54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.“招标人”</w:t>
      </w:r>
      <w:r>
        <w:rPr>
          <w:rFonts w:ascii="宋体" w:hAnsi="宋体"/>
          <w:color w:val="000000" w:themeColor="text1"/>
          <w:sz w:val="24"/>
          <w14:textFill>
            <w14:solidFill>
              <w14:schemeClr w14:val="tx1"/>
            </w14:solidFill>
          </w14:textFill>
        </w:rPr>
        <w:t>系指组织本次招标的代理机构和招标单位。</w:t>
      </w:r>
    </w:p>
    <w:p>
      <w:pPr>
        <w:widowControl/>
        <w:spacing w:line="360" w:lineRule="auto"/>
        <w:ind w:left="60" w:firstLine="54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投标人”系指向</w:t>
      </w:r>
      <w:r>
        <w:rPr>
          <w:rFonts w:hint="eastAsia" w:ascii="宋体" w:hAnsi="宋体"/>
          <w:color w:val="000000" w:themeColor="text1"/>
          <w:sz w:val="24"/>
          <w14:textFill>
            <w14:solidFill>
              <w14:schemeClr w14:val="tx1"/>
            </w14:solidFill>
          </w14:textFill>
        </w:rPr>
        <w:t>招标人</w:t>
      </w:r>
      <w:r>
        <w:rPr>
          <w:rFonts w:ascii="宋体" w:hAnsi="宋体"/>
          <w:color w:val="000000" w:themeColor="text1"/>
          <w:sz w:val="24"/>
          <w14:textFill>
            <w14:solidFill>
              <w14:schemeClr w14:val="tx1"/>
            </w14:solidFill>
          </w14:textFill>
        </w:rPr>
        <w:t>提交投标文件的单位。</w:t>
      </w:r>
    </w:p>
    <w:p>
      <w:pPr>
        <w:widowControl/>
        <w:spacing w:line="360" w:lineRule="auto"/>
        <w:ind w:left="60" w:firstLine="54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“服务”系指招标文件规定投标人须承担</w:t>
      </w:r>
      <w:r>
        <w:rPr>
          <w:rFonts w:hint="eastAsia" w:ascii="宋体" w:hAnsi="宋体"/>
          <w:color w:val="000000" w:themeColor="text1"/>
          <w:sz w:val="24"/>
          <w14:textFill>
            <w14:solidFill>
              <w14:schemeClr w14:val="tx1"/>
            </w14:solidFill>
          </w14:textFill>
        </w:rPr>
        <w:t>本项目的资金存放定点服务。</w:t>
      </w:r>
    </w:p>
    <w:p>
      <w:pPr>
        <w:widowControl/>
        <w:spacing w:line="360" w:lineRule="auto"/>
        <w:ind w:left="60" w:firstLine="54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“项目”系指投标人按招标文件规定向招标</w:t>
      </w:r>
      <w:r>
        <w:rPr>
          <w:rFonts w:hint="eastAsia" w:ascii="宋体" w:hAnsi="宋体"/>
          <w:color w:val="000000" w:themeColor="text1"/>
          <w:sz w:val="24"/>
          <w14:textFill>
            <w14:solidFill>
              <w14:schemeClr w14:val="tx1"/>
            </w14:solidFill>
          </w14:textFill>
        </w:rPr>
        <w:t>人</w:t>
      </w:r>
      <w:r>
        <w:rPr>
          <w:rFonts w:ascii="宋体" w:hAnsi="宋体"/>
          <w:color w:val="000000" w:themeColor="text1"/>
          <w:sz w:val="24"/>
          <w14:textFill>
            <w14:solidFill>
              <w14:schemeClr w14:val="tx1"/>
            </w14:solidFill>
          </w14:textFill>
        </w:rPr>
        <w:t>提供的服务。</w:t>
      </w:r>
    </w:p>
    <w:p>
      <w:pPr>
        <w:widowControl/>
        <w:spacing w:line="360" w:lineRule="auto"/>
        <w:ind w:left="60" w:firstLine="54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“书面形式”包括信函、传真、</w:t>
      </w:r>
      <w:r>
        <w:rPr>
          <w:rFonts w:hint="eastAsia" w:ascii="宋体" w:hAnsi="宋体"/>
          <w:color w:val="000000" w:themeColor="text1"/>
          <w:sz w:val="24"/>
          <w14:textFill>
            <w14:solidFill>
              <w14:schemeClr w14:val="tx1"/>
            </w14:solidFill>
          </w14:textFill>
        </w:rPr>
        <w:t>电子邮件</w:t>
      </w:r>
      <w:r>
        <w:rPr>
          <w:rFonts w:ascii="宋体" w:hAnsi="宋体"/>
          <w:color w:val="000000" w:themeColor="text1"/>
          <w:sz w:val="24"/>
          <w14:textFill>
            <w14:solidFill>
              <w14:schemeClr w14:val="tx1"/>
            </w14:solidFill>
          </w14:textFill>
        </w:rPr>
        <w:t>等。</w:t>
      </w:r>
    </w:p>
    <w:p>
      <w:pPr>
        <w:widowControl/>
        <w:spacing w:line="360" w:lineRule="auto"/>
        <w:ind w:left="60" w:firstLine="54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“▲”系指实质性要求条款</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条款的偏离将导致投标无效)</w:t>
      </w:r>
      <w:r>
        <w:rPr>
          <w:rFonts w:ascii="宋体" w:hAnsi="宋体"/>
          <w:color w:val="000000" w:themeColor="text1"/>
          <w:sz w:val="24"/>
          <w14:textFill>
            <w14:solidFill>
              <w14:schemeClr w14:val="tx1"/>
            </w14:solidFill>
          </w14:textFill>
        </w:rPr>
        <w:t>。</w:t>
      </w:r>
    </w:p>
    <w:p>
      <w:pPr>
        <w:snapToGrid w:val="0"/>
        <w:spacing w:line="360" w:lineRule="auto"/>
        <w:jc w:val="left"/>
        <w:outlineLvl w:val="1"/>
        <w:rPr>
          <w:rFonts w:ascii="宋体" w:hAnsi="宋体"/>
          <w:b/>
          <w:color w:val="000000" w:themeColor="text1"/>
          <w:sz w:val="24"/>
          <w14:textFill>
            <w14:solidFill>
              <w14:schemeClr w14:val="tx1"/>
            </w14:solidFill>
          </w14:textFill>
        </w:rPr>
      </w:pPr>
      <w:bookmarkStart w:id="35" w:name="_Toc454551070"/>
      <w:bookmarkStart w:id="36" w:name="_Toc436314541"/>
      <w:bookmarkStart w:id="37" w:name="_Toc427442454"/>
      <w:bookmarkStart w:id="38" w:name="_Toc429406704"/>
      <w:bookmarkStart w:id="39" w:name="_Toc259108311"/>
      <w:bookmarkStart w:id="40" w:name="_Toc355117099"/>
      <w:bookmarkStart w:id="41" w:name="_Toc249866753"/>
      <w:bookmarkStart w:id="42" w:name="_Toc444597092"/>
      <w:r>
        <w:rPr>
          <w:rFonts w:hint="eastAsia" w:ascii="宋体" w:hAnsi="宋体"/>
          <w:b/>
          <w:color w:val="000000" w:themeColor="text1"/>
          <w:sz w:val="24"/>
          <w14:textFill>
            <w14:solidFill>
              <w14:schemeClr w14:val="tx1"/>
            </w14:solidFill>
          </w14:textFill>
        </w:rPr>
        <w:t>（三）招标方式</w:t>
      </w:r>
      <w:bookmarkEnd w:id="35"/>
      <w:bookmarkEnd w:id="36"/>
      <w:bookmarkEnd w:id="37"/>
      <w:bookmarkEnd w:id="38"/>
      <w:bookmarkEnd w:id="39"/>
      <w:bookmarkEnd w:id="40"/>
      <w:bookmarkEnd w:id="41"/>
      <w:bookmarkEnd w:id="42"/>
    </w:p>
    <w:p>
      <w:pPr>
        <w:snapToGrid w:val="0"/>
        <w:spacing w:line="360" w:lineRule="auto"/>
        <w:ind w:firstLine="468" w:firstLineChars="195"/>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采用</w:t>
      </w:r>
      <w:r>
        <w:rPr>
          <w:rFonts w:hint="eastAsia" w:ascii="宋体" w:hAnsi="宋体"/>
          <w:color w:val="000000" w:themeColor="text1"/>
          <w:sz w:val="24"/>
          <w14:textFill>
            <w14:solidFill>
              <w14:schemeClr w14:val="tx1"/>
            </w14:solidFill>
          </w14:textFill>
        </w:rPr>
        <w:t>公开</w:t>
      </w:r>
      <w:r>
        <w:rPr>
          <w:rFonts w:ascii="宋体" w:hAnsi="宋体"/>
          <w:color w:val="000000" w:themeColor="text1"/>
          <w:sz w:val="24"/>
          <w14:textFill>
            <w14:solidFill>
              <w14:schemeClr w14:val="tx1"/>
            </w14:solidFill>
          </w14:textFill>
        </w:rPr>
        <w:t>招标方式进行。</w:t>
      </w:r>
    </w:p>
    <w:p>
      <w:pPr>
        <w:snapToGrid w:val="0"/>
        <w:spacing w:line="360" w:lineRule="auto"/>
        <w:jc w:val="left"/>
        <w:outlineLvl w:val="1"/>
        <w:rPr>
          <w:rFonts w:ascii="宋体" w:hAnsi="宋体"/>
          <w:b/>
          <w:color w:val="000000" w:themeColor="text1"/>
          <w:sz w:val="24"/>
          <w14:textFill>
            <w14:solidFill>
              <w14:schemeClr w14:val="tx1"/>
            </w14:solidFill>
          </w14:textFill>
        </w:rPr>
      </w:pPr>
      <w:bookmarkStart w:id="43" w:name="_Toc429406705"/>
      <w:bookmarkStart w:id="44" w:name="_Toc427442455"/>
      <w:bookmarkStart w:id="45" w:name="_Toc259108312"/>
      <w:bookmarkStart w:id="46" w:name="_Toc444597093"/>
      <w:bookmarkStart w:id="47" w:name="_Toc436314542"/>
      <w:bookmarkStart w:id="48" w:name="_Toc355117100"/>
      <w:bookmarkStart w:id="49" w:name="_Toc249866754"/>
      <w:bookmarkStart w:id="50" w:name="_Toc454551071"/>
      <w:r>
        <w:rPr>
          <w:rFonts w:hint="eastAsia" w:ascii="宋体" w:hAnsi="宋体"/>
          <w:b/>
          <w:color w:val="000000" w:themeColor="text1"/>
          <w:sz w:val="24"/>
          <w14:textFill>
            <w14:solidFill>
              <w14:schemeClr w14:val="tx1"/>
            </w14:solidFill>
          </w14:textFill>
        </w:rPr>
        <w:t>（四）投标委托</w:t>
      </w:r>
      <w:bookmarkEnd w:id="43"/>
      <w:bookmarkEnd w:id="44"/>
      <w:bookmarkEnd w:id="45"/>
      <w:bookmarkEnd w:id="46"/>
      <w:bookmarkEnd w:id="47"/>
      <w:bookmarkEnd w:id="48"/>
      <w:bookmarkEnd w:id="49"/>
      <w:bookmarkEnd w:id="50"/>
    </w:p>
    <w:p>
      <w:pPr>
        <w:pStyle w:val="16"/>
        <w:snapToGrid w:val="0"/>
        <w:ind w:firstLine="468" w:firstLineChars="195"/>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如投标人代表不是法定代表人，须有法定代表人出具的授权委托书（正本用原件，副本用复印件，格式见第六章）。</w:t>
      </w:r>
    </w:p>
    <w:p>
      <w:pPr>
        <w:snapToGrid w:val="0"/>
        <w:spacing w:line="360" w:lineRule="auto"/>
        <w:jc w:val="left"/>
        <w:outlineLvl w:val="1"/>
        <w:rPr>
          <w:rFonts w:ascii="宋体" w:hAnsi="宋体"/>
          <w:b/>
          <w:color w:val="000000" w:themeColor="text1"/>
          <w:sz w:val="24"/>
          <w14:textFill>
            <w14:solidFill>
              <w14:schemeClr w14:val="tx1"/>
            </w14:solidFill>
          </w14:textFill>
        </w:rPr>
      </w:pPr>
      <w:bookmarkStart w:id="51" w:name="_Toc454551072"/>
      <w:bookmarkStart w:id="52" w:name="_Toc436314543"/>
      <w:bookmarkStart w:id="53" w:name="_Toc249866755"/>
      <w:bookmarkStart w:id="54" w:name="_Toc427442456"/>
      <w:bookmarkStart w:id="55" w:name="_Toc444597094"/>
      <w:bookmarkStart w:id="56" w:name="_Toc259108313"/>
      <w:bookmarkStart w:id="57" w:name="_Toc429406706"/>
      <w:bookmarkStart w:id="58" w:name="_Toc355117101"/>
      <w:r>
        <w:rPr>
          <w:rFonts w:hint="eastAsia" w:ascii="宋体" w:hAnsi="宋体"/>
          <w:b/>
          <w:color w:val="000000" w:themeColor="text1"/>
          <w:sz w:val="24"/>
          <w14:textFill>
            <w14:solidFill>
              <w14:schemeClr w14:val="tx1"/>
            </w14:solidFill>
          </w14:textFill>
        </w:rPr>
        <w:t>（五）投标费用</w:t>
      </w:r>
      <w:bookmarkEnd w:id="51"/>
      <w:bookmarkEnd w:id="52"/>
      <w:bookmarkEnd w:id="53"/>
      <w:bookmarkEnd w:id="54"/>
      <w:bookmarkEnd w:id="55"/>
      <w:bookmarkEnd w:id="56"/>
      <w:bookmarkEnd w:id="57"/>
      <w:bookmarkEnd w:id="58"/>
    </w:p>
    <w:p>
      <w:pPr>
        <w:snapToGrid w:val="0"/>
        <w:spacing w:line="360" w:lineRule="auto"/>
        <w:ind w:firstLine="468" w:firstLineChars="19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不论投标结果如何，投标人均应自行承担所有与投标有关的全部费用。</w:t>
      </w:r>
    </w:p>
    <w:p>
      <w:pPr>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（六）联合体投标</w:t>
      </w:r>
    </w:p>
    <w:p>
      <w:pPr>
        <w:snapToGrid w:val="0"/>
        <w:spacing w:line="360" w:lineRule="auto"/>
        <w:ind w:firstLine="468" w:firstLineChars="195"/>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本项目不接受联合体投标。</w:t>
      </w:r>
    </w:p>
    <w:p>
      <w:pPr>
        <w:snapToGrid w:val="0"/>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w:t>
      </w:r>
      <w:r>
        <w:rPr>
          <w:rFonts w:hint="eastAsia" w:ascii="宋体" w:hAnsi="宋体" w:cs="宋体"/>
          <w:b/>
          <w:color w:val="000000" w:themeColor="text1"/>
          <w:kern w:val="0"/>
          <w:sz w:val="24"/>
          <w14:textFill>
            <w14:solidFill>
              <w14:schemeClr w14:val="tx1"/>
            </w14:solidFill>
          </w14:textFill>
        </w:rPr>
        <w:t>转包与分包</w:t>
      </w:r>
    </w:p>
    <w:p>
      <w:pPr>
        <w:snapToGrid w:val="0"/>
        <w:spacing w:line="360" w:lineRule="auto"/>
        <w:ind w:firstLine="468" w:firstLineChars="195"/>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1.本项目不允许转包。</w:t>
      </w:r>
    </w:p>
    <w:p>
      <w:pPr>
        <w:snapToGrid w:val="0"/>
        <w:spacing w:line="360" w:lineRule="auto"/>
        <w:ind w:firstLine="468" w:firstLineChars="195"/>
        <w:jc w:val="left"/>
        <w:rPr>
          <w:rFonts w:ascii="宋体" w:hAnsi="宋体"/>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2.本项目不可以分包。</w:t>
      </w:r>
    </w:p>
    <w:p>
      <w:pPr>
        <w:snapToGrid w:val="0"/>
        <w:spacing w:line="360" w:lineRule="auto"/>
        <w:jc w:val="left"/>
        <w:outlineLvl w:val="1"/>
        <w:rPr>
          <w:rFonts w:ascii="宋体" w:hAnsi="宋体"/>
          <w:b/>
          <w:color w:val="000000" w:themeColor="text1"/>
          <w:sz w:val="24"/>
          <w14:textFill>
            <w14:solidFill>
              <w14:schemeClr w14:val="tx1"/>
            </w14:solidFill>
          </w14:textFill>
        </w:rPr>
      </w:pPr>
      <w:bookmarkStart w:id="59" w:name="_Toc444597095"/>
      <w:bookmarkStart w:id="60" w:name="_Toc249866756"/>
      <w:bookmarkStart w:id="61" w:name="_Toc355117102"/>
      <w:bookmarkStart w:id="62" w:name="_Toc429406707"/>
      <w:bookmarkStart w:id="63" w:name="_Toc436314544"/>
      <w:bookmarkStart w:id="64" w:name="_Toc427442457"/>
      <w:bookmarkStart w:id="65" w:name="_Toc454551073"/>
      <w:bookmarkStart w:id="66" w:name="_Toc259108314"/>
      <w:r>
        <w:rPr>
          <w:rFonts w:ascii="宋体" w:hAnsi="宋体"/>
          <w:b/>
          <w:color w:val="000000" w:themeColor="text1"/>
          <w:sz w:val="24"/>
          <w14:textFill>
            <w14:solidFill>
              <w14:schemeClr w14:val="tx1"/>
            </w14:solidFill>
          </w14:textFill>
        </w:rPr>
        <w:t>（八）特别说明：</w:t>
      </w:r>
      <w:bookmarkEnd w:id="59"/>
      <w:bookmarkEnd w:id="60"/>
      <w:bookmarkEnd w:id="61"/>
      <w:bookmarkEnd w:id="62"/>
      <w:bookmarkEnd w:id="63"/>
      <w:bookmarkEnd w:id="64"/>
      <w:bookmarkEnd w:id="65"/>
      <w:bookmarkEnd w:id="66"/>
    </w:p>
    <w:p>
      <w:pPr>
        <w:pStyle w:val="20"/>
        <w:snapToGrid w:val="0"/>
        <w:spacing w:beforeLines="0" w:afterLines="0" w:line="360" w:lineRule="auto"/>
        <w:ind w:left="2" w:leftChars="1" w:firstLine="480" w:firstLineChars="200"/>
        <w:rPr>
          <w:rFonts w:hAnsi="宋体"/>
          <w:color w:val="000000" w:themeColor="text1"/>
          <w14:textFill>
            <w14:solidFill>
              <w14:schemeClr w14:val="tx1"/>
            </w14:solidFill>
          </w14:textFill>
        </w:rPr>
      </w:pPr>
      <w:bookmarkStart w:id="67" w:name="_Toc259108315"/>
      <w:bookmarkStart w:id="68" w:name="_Toc249866757"/>
      <w:r>
        <w:rPr>
          <w:rFonts w:hAnsi="宋体"/>
          <w:color w:val="000000" w:themeColor="text1"/>
          <w14:textFill>
            <w14:solidFill>
              <w14:schemeClr w14:val="tx1"/>
            </w14:solidFill>
          </w14:textFill>
        </w:rPr>
        <w:t>1.投标人投标所使用的资格、信誉、荣誉、业绩与企业认证必须为本法人所拥有。投标人投标所使用的招标项目实施人员必须为本法人员工（或必须为本法人或控股公司正式员工）。</w:t>
      </w:r>
    </w:p>
    <w:p>
      <w:pPr>
        <w:pStyle w:val="20"/>
        <w:snapToGrid w:val="0"/>
        <w:spacing w:beforeLines="0" w:afterLines="0" w:line="360" w:lineRule="auto"/>
        <w:ind w:left="2" w:leftChars="1" w:firstLine="360" w:firstLineChars="15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2.投标人应仔细阅读招标文件的所有内容，按照招标文件的要求提交投标文件，并对所提供的全部资料的真实性承担法律责任。</w:t>
      </w:r>
    </w:p>
    <w:p>
      <w:pPr>
        <w:pStyle w:val="20"/>
        <w:snapToGrid w:val="0"/>
        <w:spacing w:beforeLines="0" w:afterLines="0" w:line="360" w:lineRule="auto"/>
        <w:ind w:firstLine="470" w:firstLineChars="195"/>
        <w:rPr>
          <w:rFonts w:hAnsi="宋体"/>
          <w:bCs/>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如认为招标文件存在含糊不清、相互矛盾、多种含义、歧视性不公正条款或违法违规等内容时，请最迟在投标截止日</w:t>
      </w:r>
      <w:r>
        <w:rPr>
          <w:rFonts w:hint="eastAsia" w:hAnsi="宋体"/>
          <w:b/>
          <w:color w:val="000000" w:themeColor="text1"/>
          <w:lang w:val="en-US" w:eastAsia="zh-CN"/>
          <w14:textFill>
            <w14:solidFill>
              <w14:schemeClr w14:val="tx1"/>
            </w14:solidFill>
          </w14:textFill>
        </w:rPr>
        <w:t>七</w:t>
      </w:r>
      <w:r>
        <w:rPr>
          <w:rFonts w:hint="eastAsia" w:hAnsi="宋体"/>
          <w:b/>
          <w:color w:val="000000" w:themeColor="text1"/>
          <w14:textFill>
            <w14:solidFill>
              <w14:schemeClr w14:val="tx1"/>
            </w14:solidFill>
          </w14:textFill>
        </w:rPr>
        <w:t>天前向招标代理机构书面反映，逾期不得再对招标文件的条款或内容提出质疑。对招标文件的异议应有法定代表人或其委托代理人签字，并盖投标人公章和注明日期。没有提出异议且又参与了该项目投标的投标人将被视为完全认同招标文件。</w:t>
      </w:r>
    </w:p>
    <w:p>
      <w:pPr>
        <w:pStyle w:val="20"/>
        <w:snapToGrid w:val="0"/>
        <w:spacing w:beforeLines="0" w:afterLines="0" w:line="360" w:lineRule="auto"/>
        <w:ind w:left="2" w:leftChars="1" w:firstLine="360" w:firstLineChars="150"/>
        <w:rPr>
          <w:rFonts w:hAnsi="宋体"/>
          <w:b/>
          <w:color w:val="000000" w:themeColor="text1"/>
          <w14:textFill>
            <w14:solidFill>
              <w14:schemeClr w14:val="tx1"/>
            </w14:solidFill>
          </w14:textFill>
        </w:rPr>
      </w:pP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 xml:space="preserve"> 经查询，投标人及法人代表或单位负责人，若有行贿犯罪的记录，将取消中标资格。</w:t>
      </w:r>
    </w:p>
    <w:p>
      <w:pPr>
        <w:pStyle w:val="20"/>
        <w:snapToGrid w:val="0"/>
        <w:spacing w:beforeLines="0" w:afterLines="0" w:line="360" w:lineRule="auto"/>
        <w:outlineLvl w:val="1"/>
        <w:rPr>
          <w:rFonts w:hAnsi="宋体"/>
          <w:b/>
          <w:bCs/>
          <w:color w:val="000000" w:themeColor="text1"/>
          <w14:textFill>
            <w14:solidFill>
              <w14:schemeClr w14:val="tx1"/>
            </w14:solidFill>
          </w14:textFill>
        </w:rPr>
      </w:pPr>
      <w:bookmarkStart w:id="69" w:name="_Toc444597096"/>
      <w:bookmarkStart w:id="70" w:name="_Toc436314545"/>
      <w:bookmarkStart w:id="71" w:name="_Toc429406708"/>
      <w:bookmarkStart w:id="72" w:name="_Toc355117103"/>
      <w:bookmarkStart w:id="73" w:name="_Toc427442458"/>
      <w:bookmarkStart w:id="74" w:name="_Toc454551074"/>
      <w:r>
        <w:rPr>
          <w:rFonts w:hAnsi="宋体"/>
          <w:b/>
          <w:bCs/>
          <w:color w:val="000000" w:themeColor="text1"/>
          <w14:textFill>
            <w14:solidFill>
              <w14:schemeClr w14:val="tx1"/>
            </w14:solidFill>
          </w14:textFill>
        </w:rPr>
        <w:t>（九）质疑和投诉</w:t>
      </w:r>
      <w:bookmarkEnd w:id="67"/>
      <w:bookmarkEnd w:id="68"/>
      <w:bookmarkEnd w:id="69"/>
      <w:bookmarkEnd w:id="70"/>
      <w:bookmarkEnd w:id="71"/>
      <w:bookmarkEnd w:id="72"/>
      <w:bookmarkEnd w:id="73"/>
      <w:bookmarkEnd w:id="74"/>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1.投标人认为招标文件、招标过程或中标结果使自己的合法权益受到损害的，应当在知道或者应知其权益受到损害之日起</w:t>
      </w:r>
      <w:r>
        <w:rPr>
          <w:rFonts w:hint="eastAsia" w:hAnsi="宋体"/>
          <w:bCs/>
          <w:color w:val="000000" w:themeColor="text1"/>
          <w14:textFill>
            <w14:solidFill>
              <w14:schemeClr w14:val="tx1"/>
            </w14:solidFill>
          </w14:textFill>
        </w:rPr>
        <w:t>3</w:t>
      </w:r>
      <w:r>
        <w:rPr>
          <w:rFonts w:hAnsi="宋体"/>
          <w:bCs/>
          <w:color w:val="000000" w:themeColor="text1"/>
          <w14:textFill>
            <w14:solidFill>
              <w14:schemeClr w14:val="tx1"/>
            </w14:solidFill>
          </w14:textFill>
        </w:rPr>
        <w:t>个工作日内，以书面形式向招标人、招标代理机构提出质疑。</w:t>
      </w:r>
      <w:r>
        <w:rPr>
          <w:rFonts w:hint="eastAsia" w:hAnsi="宋体"/>
          <w:bCs/>
          <w:color w:val="000000" w:themeColor="text1"/>
          <w14:textFill>
            <w14:solidFill>
              <w14:schemeClr w14:val="tx1"/>
            </w14:solidFill>
          </w14:textFill>
        </w:rPr>
        <w:t>书面质疑文件应该有质疑单位的名称、公章、联系人姓名、联系电话、传真，否则视为无效质疑。</w:t>
      </w:r>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2.质疑、投诉应当采用书面形式，质疑书、投诉书均应明确阐述招标文件、招标过程或中标结果中使自己合法权益受到损害的实质性内容，提供相关事实、依据和证据及其来源或线索，便于有关单位调查、答复和处理。</w:t>
      </w:r>
      <w:bookmarkStart w:id="75" w:name="_Toc249866758"/>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p>
    <w:p>
      <w:pPr>
        <w:pStyle w:val="20"/>
        <w:snapToGrid w:val="0"/>
        <w:spacing w:beforeLines="0" w:afterLines="0" w:line="360" w:lineRule="auto"/>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二</w:t>
      </w:r>
      <w:r>
        <w:rPr>
          <w:rFonts w:hint="eastAsia" w:hAnsi="宋体"/>
          <w:b/>
          <w:color w:val="000000" w:themeColor="text1"/>
          <w14:textFill>
            <w14:solidFill>
              <w14:schemeClr w14:val="tx1"/>
            </w14:solidFill>
          </w14:textFill>
        </w:rPr>
        <w:t>、招标</w:t>
      </w:r>
      <w:r>
        <w:rPr>
          <w:rFonts w:hAnsi="宋体"/>
          <w:b/>
          <w:color w:val="000000" w:themeColor="text1"/>
          <w14:textFill>
            <w14:solidFill>
              <w14:schemeClr w14:val="tx1"/>
            </w14:solidFill>
          </w14:textFill>
        </w:rPr>
        <w:t>文件</w:t>
      </w:r>
      <w:bookmarkEnd w:id="75"/>
    </w:p>
    <w:p>
      <w:pPr>
        <w:snapToGrid w:val="0"/>
        <w:spacing w:line="360" w:lineRule="auto"/>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（一）招标文件的构成。本招标文件由以下部份组成：</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第一章 招标公告</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第二章 招标项目要求</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第三章 投标人资料表</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第四章 </w:t>
      </w:r>
      <w:r>
        <w:rPr>
          <w:rFonts w:ascii="宋体" w:hAnsi="宋体"/>
          <w:color w:val="000000" w:themeColor="text1"/>
          <w:sz w:val="24"/>
          <w14:textFill>
            <w14:solidFill>
              <w14:schemeClr w14:val="tx1"/>
            </w14:solidFill>
          </w14:textFill>
        </w:rPr>
        <w:t>开标及评标办法</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第五章 </w:t>
      </w:r>
      <w:r>
        <w:rPr>
          <w:rFonts w:hint="eastAsia" w:ascii="宋体" w:hAnsi="宋体"/>
          <w:color w:val="000000" w:themeColor="text1"/>
          <w:sz w:val="24"/>
          <w:lang w:val="en-US" w:eastAsia="zh-CN"/>
          <w14:textFill>
            <w14:solidFill>
              <w14:schemeClr w14:val="tx1"/>
            </w14:solidFill>
          </w14:textFill>
        </w:rPr>
        <w:t>账户开户</w:t>
      </w:r>
      <w:r>
        <w:rPr>
          <w:rFonts w:hint="eastAsia" w:ascii="宋体" w:hAnsi="宋体"/>
          <w:color w:val="000000" w:themeColor="text1"/>
          <w:sz w:val="24"/>
          <w14:textFill>
            <w14:solidFill>
              <w14:schemeClr w14:val="tx1"/>
            </w14:solidFill>
          </w14:textFill>
        </w:rPr>
        <w:t>协议</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第六章 </w:t>
      </w:r>
      <w:r>
        <w:rPr>
          <w:rFonts w:ascii="宋体" w:hAnsi="宋体"/>
          <w:color w:val="000000" w:themeColor="text1"/>
          <w:sz w:val="24"/>
          <w14:textFill>
            <w14:solidFill>
              <w14:schemeClr w14:val="tx1"/>
            </w14:solidFill>
          </w14:textFill>
        </w:rPr>
        <w:t>投标文件格式</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第七章 其他补充资料（</w:t>
      </w:r>
      <w:r>
        <w:rPr>
          <w:rFonts w:ascii="宋体" w:hAnsi="宋体"/>
          <w:color w:val="000000" w:themeColor="text1"/>
          <w:sz w:val="24"/>
          <w14:textFill>
            <w14:solidFill>
              <w14:schemeClr w14:val="tx1"/>
            </w14:solidFill>
          </w14:textFill>
        </w:rPr>
        <w:t>与本项目招标相关的澄清、答复、修改或补充招标文件</w:t>
      </w:r>
      <w:r>
        <w:rPr>
          <w:rFonts w:hint="eastAsia" w:ascii="宋体" w:hAnsi="宋体"/>
          <w:color w:val="000000" w:themeColor="text1"/>
          <w:sz w:val="24"/>
          <w14:textFill>
            <w14:solidFill>
              <w14:schemeClr w14:val="tx1"/>
            </w14:solidFill>
          </w14:textFill>
        </w:rPr>
        <w:t>）</w:t>
      </w:r>
    </w:p>
    <w:p>
      <w:pPr>
        <w:snapToGrid w:val="0"/>
        <w:spacing w:line="360" w:lineRule="auto"/>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（二）投标人的风险</w:t>
      </w:r>
    </w:p>
    <w:p>
      <w:pPr>
        <w:pStyle w:val="20"/>
        <w:snapToGrid w:val="0"/>
        <w:spacing w:beforeLines="0" w:afterLines="0" w:line="360" w:lineRule="auto"/>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投标人没有按照招标文件要求提供全部资料，或者投标人没有对招标文件在各方面做出实质性响应是投标人的风险，并可能导致其投标被拒绝。</w:t>
      </w:r>
    </w:p>
    <w:p>
      <w:pPr>
        <w:snapToGrid w:val="0"/>
        <w:spacing w:line="360" w:lineRule="auto"/>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（三）招标文件的澄清与修改 </w:t>
      </w:r>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1.投标人应认真阅读本招标文件，发现其中有误或有不合理要求的，投标人</w:t>
      </w:r>
      <w:r>
        <w:rPr>
          <w:rFonts w:hint="eastAsia" w:hAnsi="宋体"/>
          <w:bCs/>
          <w:color w:val="000000" w:themeColor="text1"/>
          <w14:textFill>
            <w14:solidFill>
              <w14:schemeClr w14:val="tx1"/>
            </w14:solidFill>
          </w14:textFill>
        </w:rPr>
        <w:t>应在投标截止时间</w:t>
      </w:r>
      <w:r>
        <w:rPr>
          <w:rFonts w:hint="eastAsia" w:hAnsi="宋体"/>
          <w:bCs/>
          <w:color w:val="000000" w:themeColor="text1"/>
          <w:lang w:val="en-US" w:eastAsia="zh-CN"/>
          <w14:textFill>
            <w14:solidFill>
              <w14:schemeClr w14:val="tx1"/>
            </w14:solidFill>
          </w14:textFill>
        </w:rPr>
        <w:t>7</w:t>
      </w:r>
      <w:r>
        <w:rPr>
          <w:rFonts w:hint="eastAsia" w:hAnsi="宋体"/>
          <w:bCs/>
          <w:color w:val="000000" w:themeColor="text1"/>
          <w14:textFill>
            <w14:solidFill>
              <w14:schemeClr w14:val="tx1"/>
            </w14:solidFill>
          </w14:textFill>
        </w:rPr>
        <w:t>日前</w:t>
      </w:r>
      <w:r>
        <w:rPr>
          <w:rFonts w:hAnsi="宋体"/>
          <w:bCs/>
          <w:color w:val="000000" w:themeColor="text1"/>
          <w14:textFill>
            <w14:solidFill>
              <w14:schemeClr w14:val="tx1"/>
            </w14:solidFill>
          </w14:textFill>
        </w:rPr>
        <w:t>以书面形式要求招标单位澄清。招标代理机构对已发出的招标文件进行必要澄清、答复、修改或补充的，应当在招标文件要求提交投标文件截止时间</w:t>
      </w:r>
      <w:r>
        <w:rPr>
          <w:rFonts w:hint="eastAsia" w:hAnsi="宋体"/>
          <w:bCs/>
          <w:color w:val="000000" w:themeColor="text1"/>
          <w14:textFill>
            <w14:solidFill>
              <w14:schemeClr w14:val="tx1"/>
            </w14:solidFill>
          </w14:textFill>
        </w:rPr>
        <w:t>15</w:t>
      </w:r>
      <w:r>
        <w:rPr>
          <w:rFonts w:hAnsi="宋体"/>
          <w:bCs/>
          <w:color w:val="000000" w:themeColor="text1"/>
          <w14:textFill>
            <w14:solidFill>
              <w14:schemeClr w14:val="tx1"/>
            </w14:solidFill>
          </w14:textFill>
        </w:rPr>
        <w:t>日前，以书面形式通知所有招标文件收受人。</w:t>
      </w:r>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2.招标代理机构必须以书面形式答复投标人要求澄清的问题，并将不包含问题来源的答复书面通知所有购买招标文件的投标人；除书面答复以外的其他澄清方式及澄清内容均无效。</w:t>
      </w:r>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4.招标文件的澄清、答复、修改或补充都应该通过本代理机构以法定形式发布，招标人非通过本机构，不得擅自澄清、答复、修改或补充招标文件。</w:t>
      </w:r>
    </w:p>
    <w:p>
      <w:pPr>
        <w:pStyle w:val="20"/>
        <w:snapToGrid w:val="0"/>
        <w:spacing w:beforeLines="0" w:afterLines="0" w:line="360" w:lineRule="auto"/>
        <w:rPr>
          <w:rFonts w:hAnsi="宋体"/>
          <w:b/>
          <w:color w:val="000000" w:themeColor="text1"/>
          <w14:textFill>
            <w14:solidFill>
              <w14:schemeClr w14:val="tx1"/>
            </w14:solidFill>
          </w14:textFill>
        </w:rPr>
      </w:pPr>
      <w:bookmarkStart w:id="76" w:name="_Toc249866759"/>
    </w:p>
    <w:p>
      <w:pPr>
        <w:pStyle w:val="20"/>
        <w:snapToGrid w:val="0"/>
        <w:spacing w:beforeLines="0" w:afterLines="0" w:line="360" w:lineRule="auto"/>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三</w:t>
      </w:r>
      <w:r>
        <w:rPr>
          <w:rFonts w:hint="eastAsia" w:hAnsi="宋体"/>
          <w:b/>
          <w:color w:val="000000" w:themeColor="text1"/>
          <w14:textFill>
            <w14:solidFill>
              <w14:schemeClr w14:val="tx1"/>
            </w14:solidFill>
          </w14:textFill>
        </w:rPr>
        <w:t>、</w:t>
      </w:r>
      <w:r>
        <w:rPr>
          <w:rFonts w:hAnsi="宋体"/>
          <w:b/>
          <w:color w:val="000000" w:themeColor="text1"/>
          <w14:textFill>
            <w14:solidFill>
              <w14:schemeClr w14:val="tx1"/>
            </w14:solidFill>
          </w14:textFill>
        </w:rPr>
        <w:t>投标文件的编制</w:t>
      </w:r>
      <w:bookmarkEnd w:id="76"/>
    </w:p>
    <w:p>
      <w:pPr>
        <w:snapToGrid w:val="0"/>
        <w:spacing w:line="360" w:lineRule="auto"/>
        <w:ind w:firstLine="472" w:firstLineChars="196"/>
        <w:jc w:val="left"/>
        <w:outlineLvl w:val="0"/>
        <w:rPr>
          <w:rFonts w:ascii="宋体" w:hAnsi="宋体"/>
          <w:b/>
          <w:color w:val="000000" w:themeColor="text1"/>
          <w:sz w:val="24"/>
          <w14:textFill>
            <w14:solidFill>
              <w14:schemeClr w14:val="tx1"/>
            </w14:solidFill>
          </w14:textFill>
        </w:rPr>
      </w:pPr>
      <w:bookmarkStart w:id="77" w:name="_Toc454551075"/>
      <w:bookmarkStart w:id="78" w:name="_Toc436314546"/>
      <w:bookmarkStart w:id="79" w:name="_Toc249866760"/>
      <w:bookmarkStart w:id="80" w:name="_Toc444597097"/>
      <w:bookmarkStart w:id="81" w:name="_Toc427442459"/>
      <w:bookmarkStart w:id="82" w:name="_Toc429406709"/>
      <w:bookmarkStart w:id="83" w:name="_Toc355117104"/>
      <w:bookmarkStart w:id="84" w:name="_Toc259108316"/>
      <w:r>
        <w:rPr>
          <w:rFonts w:ascii="宋体" w:hAnsi="宋体"/>
          <w:b/>
          <w:color w:val="000000" w:themeColor="text1"/>
          <w:sz w:val="24"/>
          <w14:textFill>
            <w14:solidFill>
              <w14:schemeClr w14:val="tx1"/>
            </w14:solidFill>
          </w14:textFill>
        </w:rPr>
        <w:t>（一）投标文件的组成</w:t>
      </w:r>
      <w:bookmarkEnd w:id="77"/>
      <w:bookmarkEnd w:id="78"/>
      <w:bookmarkEnd w:id="79"/>
      <w:bookmarkEnd w:id="80"/>
      <w:bookmarkEnd w:id="81"/>
      <w:bookmarkEnd w:id="82"/>
      <w:bookmarkEnd w:id="83"/>
      <w:bookmarkEnd w:id="84"/>
    </w:p>
    <w:p>
      <w:pPr>
        <w:snapToGrid w:val="0"/>
        <w:spacing w:line="360" w:lineRule="auto"/>
        <w:ind w:firstLine="472" w:firstLineChars="196"/>
        <w:jc w:val="left"/>
        <w:outlineLvl w:val="0"/>
        <w:rPr>
          <w:rFonts w:ascii="宋体" w:hAnsi="宋体"/>
          <w:b/>
          <w:color w:val="000000" w:themeColor="text1"/>
          <w:sz w:val="24"/>
          <w14:textFill>
            <w14:solidFill>
              <w14:schemeClr w14:val="tx1"/>
            </w14:solidFill>
          </w14:textFill>
        </w:rPr>
      </w:pPr>
      <w:bookmarkStart w:id="85" w:name="_Toc436314547"/>
      <w:bookmarkStart w:id="86" w:name="_Toc454551076"/>
      <w:bookmarkStart w:id="87" w:name="_Toc444597098"/>
      <w:bookmarkStart w:id="88" w:name="_Toc429406710"/>
      <w:bookmarkStart w:id="89" w:name="_Toc427442460"/>
      <w:r>
        <w:rPr>
          <w:rFonts w:hint="eastAsia" w:ascii="宋体" w:hAnsi="宋体"/>
          <w:b/>
          <w:color w:val="000000" w:themeColor="text1"/>
          <w:sz w:val="24"/>
          <w14:textFill>
            <w14:solidFill>
              <w14:schemeClr w14:val="tx1"/>
            </w14:solidFill>
          </w14:textFill>
        </w:rPr>
        <w:t>1、投标文件包括以下内容：</w:t>
      </w:r>
      <w:bookmarkEnd w:id="85"/>
      <w:bookmarkEnd w:id="86"/>
      <w:bookmarkEnd w:id="87"/>
      <w:bookmarkEnd w:id="88"/>
      <w:bookmarkEnd w:id="89"/>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（1）投标声明书；</w:t>
      </w:r>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（2）投标报价一览表；</w:t>
      </w:r>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（3）法定代表人身份证明书或法定代表人/分行负责人授权委托书；</w:t>
      </w:r>
    </w:p>
    <w:p>
      <w:pPr>
        <w:autoSpaceDE w:val="0"/>
        <w:autoSpaceDN w:val="0"/>
        <w:snapToGrid w:val="0"/>
        <w:spacing w:line="360" w:lineRule="auto"/>
        <w:ind w:firstLine="420" w:firstLineChars="200"/>
        <w:textAlignment w:val="bottom"/>
        <w:rPr>
          <w:rFonts w:hint="eastAsia" w:ascii="宋体" w:hAnsi="宋体" w:cs="宋体"/>
          <w:color w:val="000000" w:themeColor="text1"/>
          <w:sz w:val="24"/>
          <w14:textFill>
            <w14:solidFill>
              <w14:schemeClr w14:val="tx1"/>
            </w14:solidFill>
          </w14:textFill>
        </w:rPr>
      </w:pPr>
      <w:r>
        <w:rPr>
          <w:rFonts w:hint="eastAsia" w:hAnsi="宋体"/>
          <w:bCs/>
          <w:color w:val="000000" w:themeColor="text1"/>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投标人声明</w:t>
      </w:r>
      <w:r>
        <w:rPr>
          <w:rFonts w:hint="eastAsia" w:ascii="宋体" w:hAnsi="宋体" w:cs="宋体"/>
          <w:color w:val="000000" w:themeColor="text1"/>
          <w:sz w:val="24"/>
          <w:lang w:val="en-US" w:eastAsia="zh-CN"/>
          <w14:textFill>
            <w14:solidFill>
              <w14:schemeClr w14:val="tx1"/>
            </w14:solidFill>
          </w14:textFill>
        </w:rPr>
        <w:t>书、</w:t>
      </w:r>
      <w:r>
        <w:rPr>
          <w:rFonts w:hint="eastAsia" w:ascii="宋体" w:hAnsi="宋体" w:cs="宋体"/>
          <w:color w:val="000000" w:themeColor="text1"/>
          <w:sz w:val="24"/>
          <w14:textFill>
            <w14:solidFill>
              <w14:schemeClr w14:val="tx1"/>
            </w14:solidFill>
          </w14:textFill>
        </w:rPr>
        <w:t>投标人近三年在经营活动中没有重大违法记录的书面声明</w:t>
      </w:r>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声明函；</w:t>
      </w:r>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（5）投标人资格证明文件；</w:t>
      </w:r>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int="eastAsia" w:hAnsi="宋体"/>
          <w:bCs/>
          <w:color w:val="000000" w:themeColor="text1"/>
          <w:lang w:val="en-US" w:eastAsia="zh-CN"/>
          <w14:textFill>
            <w14:solidFill>
              <w14:schemeClr w14:val="tx1"/>
            </w14:solidFill>
          </w14:textFill>
        </w:rPr>
        <w:t>6</w:t>
      </w:r>
      <w:r>
        <w:rPr>
          <w:rFonts w:hint="eastAsia" w:hAnsi="宋体"/>
          <w:bCs/>
          <w:color w:val="000000" w:themeColor="text1"/>
          <w14:textFill>
            <w14:solidFill>
              <w14:schemeClr w14:val="tx1"/>
            </w14:solidFill>
          </w14:textFill>
        </w:rPr>
        <w:t>）根据第四章评分标准中的内容提供相应的资料；</w:t>
      </w:r>
    </w:p>
    <w:p>
      <w:pPr>
        <w:pStyle w:val="20"/>
        <w:snapToGrid w:val="0"/>
        <w:spacing w:beforeLines="0" w:afterLines="0" w:line="360" w:lineRule="auto"/>
        <w:ind w:firstLine="468" w:firstLineChars="195"/>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int="eastAsia" w:hAnsi="宋体"/>
          <w:bCs/>
          <w:color w:val="000000" w:themeColor="text1"/>
          <w:lang w:val="en-US" w:eastAsia="zh-CN"/>
          <w14:textFill>
            <w14:solidFill>
              <w14:schemeClr w14:val="tx1"/>
            </w14:solidFill>
          </w14:textFill>
        </w:rPr>
        <w:t>7</w:t>
      </w:r>
      <w:r>
        <w:rPr>
          <w:rFonts w:hint="eastAsia" w:hAnsi="宋体"/>
          <w:bCs/>
          <w:color w:val="000000" w:themeColor="text1"/>
          <w14:textFill>
            <w14:solidFill>
              <w14:schemeClr w14:val="tx1"/>
            </w14:solidFill>
          </w14:textFill>
        </w:rPr>
        <w:t>）投标人认为需提供的其他资料。</w:t>
      </w:r>
    </w:p>
    <w:p>
      <w:pPr>
        <w:adjustRightInd w:val="0"/>
        <w:snapToGrid w:val="0"/>
        <w:spacing w:line="360" w:lineRule="auto"/>
        <w:ind w:firstLine="600" w:firstLineChars="249"/>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2</w:t>
      </w:r>
      <w:r>
        <w:rPr>
          <w:rFonts w:hint="eastAsia" w:ascii="宋体" w:hAnsi="宋体"/>
          <w:b/>
          <w:bCs/>
          <w:color w:val="000000" w:themeColor="text1"/>
          <w:sz w:val="24"/>
          <w14:textFill>
            <w14:solidFill>
              <w14:schemeClr w14:val="tx1"/>
            </w14:solidFill>
          </w14:textFill>
        </w:rPr>
        <w:t>、投标文件的形式和效力</w:t>
      </w:r>
    </w:p>
    <w:p>
      <w:pPr>
        <w:adjustRightInd w:val="0"/>
        <w:snapToGrid w:val="0"/>
        <w:spacing w:line="360" w:lineRule="auto"/>
        <w:ind w:firstLine="597" w:firstLineChars="249"/>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（1）投标文件分为电子投标文件</w:t>
      </w:r>
      <w:r>
        <w:rPr>
          <w:rFonts w:hint="eastAsia" w:ascii="宋体" w:hAnsi="宋体"/>
          <w:bCs/>
          <w:color w:val="000000" w:themeColor="text1"/>
          <w:sz w:val="24"/>
          <w:lang w:eastAsia="zh-CN"/>
          <w14:textFill>
            <w14:solidFill>
              <w14:schemeClr w14:val="tx1"/>
            </w14:solidFill>
          </w14:textFill>
        </w:rPr>
        <w:t>、</w:t>
      </w:r>
      <w:r>
        <w:rPr>
          <w:rFonts w:hint="eastAsia" w:ascii="宋体" w:hAnsi="宋体"/>
          <w:bCs/>
          <w:color w:val="000000" w:themeColor="text1"/>
          <w:sz w:val="24"/>
          <w14:textFill>
            <w14:solidFill>
              <w14:schemeClr w14:val="tx1"/>
            </w14:solidFill>
          </w14:textFill>
        </w:rPr>
        <w:t>备份投标文件</w:t>
      </w:r>
      <w:r>
        <w:rPr>
          <w:rFonts w:hint="eastAsia" w:ascii="宋体" w:hAnsi="宋体"/>
          <w:bCs/>
          <w:color w:val="000000" w:themeColor="text1"/>
          <w:sz w:val="24"/>
          <w:lang w:val="en-US" w:eastAsia="zh-CN"/>
          <w14:textFill>
            <w14:solidFill>
              <w14:schemeClr w14:val="tx1"/>
            </w14:solidFill>
          </w14:textFill>
        </w:rPr>
        <w:t>以及纸质投标文件</w:t>
      </w:r>
      <w:r>
        <w:rPr>
          <w:rFonts w:hint="eastAsia" w:ascii="宋体" w:hAnsi="宋体"/>
          <w:bCs/>
          <w:color w:val="000000" w:themeColor="text1"/>
          <w:sz w:val="24"/>
          <w14:textFill>
            <w14:solidFill>
              <w14:schemeClr w14:val="tx1"/>
            </w14:solidFill>
          </w14:textFill>
        </w:rPr>
        <w:t>，备份投标文件为以 U 盘存储的电子备份投标文件。</w:t>
      </w:r>
    </w:p>
    <w:p>
      <w:pPr>
        <w:adjustRightInd w:val="0"/>
        <w:snapToGrid w:val="0"/>
        <w:spacing w:line="360" w:lineRule="auto"/>
        <w:ind w:firstLine="597" w:firstLineChars="249"/>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（2）电子投标文件，按“政采云供应商项目采购-电子招投标操作指南”及本招标文件要求制作并递交。 </w:t>
      </w:r>
    </w:p>
    <w:p>
      <w:pPr>
        <w:adjustRightInd w:val="0"/>
        <w:snapToGrid w:val="0"/>
        <w:spacing w:line="360" w:lineRule="auto"/>
        <w:ind w:firstLine="597" w:firstLineChars="249"/>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（3）以 U 盘存储的电子备份投标文件，须按“政采云供应商项目采购-电子招投标操作指南”制作的备份文件。因 U 盘损坏无法正常获取电子备份文件或 U 盘存储的电子备份投标文件格式原因未能成功读取，一切责任由投标人自行负责。</w:t>
      </w:r>
    </w:p>
    <w:p>
      <w:pPr>
        <w:pStyle w:val="30"/>
        <w:spacing w:after="0" w:line="360" w:lineRule="auto"/>
        <w:ind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ascii="宋体" w:hAnsi="宋体"/>
          <w:b/>
          <w:bCs/>
          <w:color w:val="000000" w:themeColor="text1"/>
          <w:sz w:val="24"/>
          <w14:textFill>
            <w14:solidFill>
              <w14:schemeClr w14:val="tx1"/>
            </w14:solidFill>
          </w14:textFill>
        </w:rPr>
        <w:t>注：</w:t>
      </w:r>
      <w:r>
        <w:rPr>
          <w:rFonts w:hint="eastAsia" w:ascii="宋体" w:hAnsi="宋体"/>
          <w:b/>
          <w:bCs/>
          <w:color w:val="000000" w:themeColor="text1"/>
          <w:sz w:val="24"/>
          <w14:textFill>
            <w14:solidFill>
              <w14:schemeClr w14:val="tx1"/>
            </w14:solidFill>
          </w14:textFill>
        </w:rPr>
        <w:t>电子投标文件中所须加盖公章部分均采用 CA 签章。</w:t>
      </w:r>
    </w:p>
    <w:p>
      <w:pPr>
        <w:snapToGrid w:val="0"/>
        <w:spacing w:line="360" w:lineRule="auto"/>
        <w:ind w:firstLine="472" w:firstLineChars="196"/>
        <w:jc w:val="left"/>
        <w:outlineLvl w:val="0"/>
        <w:rPr>
          <w:rFonts w:ascii="宋体" w:hAnsi="宋体"/>
          <w:b/>
          <w:color w:val="000000" w:themeColor="text1"/>
          <w:sz w:val="24"/>
          <w14:textFill>
            <w14:solidFill>
              <w14:schemeClr w14:val="tx1"/>
            </w14:solidFill>
          </w14:textFill>
        </w:rPr>
      </w:pPr>
      <w:bookmarkStart w:id="90" w:name="_Toc454551077"/>
      <w:bookmarkStart w:id="91" w:name="_Toc249866761"/>
      <w:bookmarkStart w:id="92" w:name="_Toc427442461"/>
      <w:bookmarkStart w:id="93" w:name="_Toc436314548"/>
      <w:bookmarkStart w:id="94" w:name="_Toc259108317"/>
      <w:bookmarkStart w:id="95" w:name="_Toc444597099"/>
      <w:bookmarkStart w:id="96" w:name="_Toc429406711"/>
      <w:bookmarkStart w:id="97" w:name="_Toc355117105"/>
      <w:r>
        <w:rPr>
          <w:rFonts w:hint="eastAsia" w:ascii="宋体" w:hAnsi="宋体"/>
          <w:b/>
          <w:color w:val="000000" w:themeColor="text1"/>
          <w:sz w:val="24"/>
          <w14:textFill>
            <w14:solidFill>
              <w14:schemeClr w14:val="tx1"/>
            </w14:solidFill>
          </w14:textFill>
        </w:rPr>
        <w:t>（二）投标文件的语言及计量</w:t>
      </w:r>
      <w:bookmarkEnd w:id="90"/>
      <w:bookmarkEnd w:id="91"/>
      <w:bookmarkEnd w:id="92"/>
      <w:bookmarkEnd w:id="93"/>
      <w:bookmarkEnd w:id="94"/>
      <w:bookmarkEnd w:id="95"/>
      <w:bookmarkEnd w:id="96"/>
      <w:bookmarkEnd w:id="97"/>
    </w:p>
    <w:p>
      <w:pPr>
        <w:snapToGrid w:val="0"/>
        <w:spacing w:line="360" w:lineRule="auto"/>
        <w:ind w:firstLine="240" w:firstLineChars="1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240" w:firstLineChars="1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▲2.投标计量单位，招标文件已有明确规定的，使用招标文件规定的计量单位；招标文件没有规定的，应采用中华人民共和国法定计量单位，否则视同未响应。</w:t>
      </w:r>
    </w:p>
    <w:p>
      <w:pPr>
        <w:snapToGrid w:val="0"/>
        <w:spacing w:line="360" w:lineRule="auto"/>
        <w:ind w:firstLine="472" w:firstLineChars="196"/>
        <w:jc w:val="left"/>
        <w:outlineLvl w:val="0"/>
        <w:rPr>
          <w:rFonts w:ascii="宋体" w:hAnsi="宋体"/>
          <w:b/>
          <w:color w:val="000000" w:themeColor="text1"/>
          <w:sz w:val="24"/>
          <w14:textFill>
            <w14:solidFill>
              <w14:schemeClr w14:val="tx1"/>
            </w14:solidFill>
          </w14:textFill>
        </w:rPr>
      </w:pPr>
      <w:bookmarkStart w:id="98" w:name="_Toc436314549"/>
      <w:bookmarkStart w:id="99" w:name="_Toc249866766"/>
      <w:bookmarkStart w:id="100" w:name="_Toc427442462"/>
      <w:bookmarkStart w:id="101" w:name="_Toc454551078"/>
      <w:bookmarkStart w:id="102" w:name="_Toc429406712"/>
      <w:bookmarkStart w:id="103" w:name="_Toc444597100"/>
      <w:bookmarkStart w:id="104" w:name="_Toc355117107"/>
      <w:bookmarkStart w:id="105" w:name="_Toc259108322"/>
      <w:r>
        <w:rPr>
          <w:rFonts w:hint="eastAsia" w:ascii="宋体" w:hAnsi="宋体"/>
          <w:b/>
          <w:color w:val="000000" w:themeColor="text1"/>
          <w:sz w:val="24"/>
          <w14:textFill>
            <w14:solidFill>
              <w14:schemeClr w14:val="tx1"/>
            </w14:solidFill>
          </w14:textFill>
        </w:rPr>
        <w:t>（三）投标文件的签署和份数</w:t>
      </w:r>
      <w:bookmarkEnd w:id="98"/>
      <w:bookmarkEnd w:id="99"/>
      <w:bookmarkEnd w:id="100"/>
      <w:bookmarkEnd w:id="101"/>
      <w:bookmarkEnd w:id="102"/>
      <w:bookmarkEnd w:id="103"/>
      <w:bookmarkEnd w:id="104"/>
      <w:bookmarkEnd w:id="105"/>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 xml:space="preserve"> 投标文件的形式</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（1）上传到政府采购云平台的电子投标文件。</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（2）以 U 盘形式存储的电子备份投标文件。</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注：（1）电子备份投标文件不作实质性要求，是否提交由投标人自行决定。</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（2）投标人需在</w:t>
      </w:r>
      <w:r>
        <w:rPr>
          <w:rFonts w:hint="eastAsia" w:ascii="宋体" w:hAnsi="宋体" w:cs="宋体"/>
          <w:bCs/>
          <w:color w:val="000000" w:themeColor="text1"/>
          <w:sz w:val="24"/>
          <w:highlight w:val="none"/>
          <w14:textFill>
            <w14:solidFill>
              <w14:schemeClr w14:val="tx1"/>
            </w14:solidFill>
          </w14:textFill>
        </w:rPr>
        <w:t>202</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日1</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:00前向采</w:t>
      </w:r>
      <w:r>
        <w:rPr>
          <w:rFonts w:hint="eastAsia" w:ascii="宋体" w:hAnsi="宋体" w:cs="宋体"/>
          <w:bCs/>
          <w:color w:val="000000" w:themeColor="text1"/>
          <w:sz w:val="24"/>
          <w14:textFill>
            <w14:solidFill>
              <w14:schemeClr w14:val="tx1"/>
            </w14:solidFill>
          </w14:textFill>
        </w:rPr>
        <w:t>购代理机构提供上传的电子投标文件装订成册的纸质</w:t>
      </w:r>
      <w:r>
        <w:rPr>
          <w:rFonts w:hint="eastAsia" w:ascii="宋体" w:hAnsi="宋体" w:cs="宋体"/>
          <w:sz w:val="24"/>
        </w:rPr>
        <w:t>投标文件正本</w:t>
      </w:r>
      <w:r>
        <w:rPr>
          <w:rFonts w:hint="eastAsia" w:ascii="宋体" w:hAnsi="宋体" w:cs="宋体"/>
          <w:sz w:val="24"/>
          <w:u w:val="single"/>
        </w:rPr>
        <w:t>1</w:t>
      </w:r>
      <w:r>
        <w:rPr>
          <w:rFonts w:hint="eastAsia" w:ascii="宋体" w:hAnsi="宋体" w:cs="宋体"/>
          <w:sz w:val="24"/>
        </w:rPr>
        <w:t>份；副本</w:t>
      </w:r>
      <w:r>
        <w:rPr>
          <w:rFonts w:hint="eastAsia" w:ascii="宋体" w:hAnsi="宋体" w:cs="宋体"/>
          <w:sz w:val="24"/>
          <w:u w:val="single"/>
          <w:lang w:val="en-US" w:eastAsia="zh-CN"/>
        </w:rPr>
        <w:t>5</w:t>
      </w:r>
      <w:r>
        <w:rPr>
          <w:rFonts w:hint="eastAsia" w:ascii="宋体" w:hAnsi="宋体" w:cs="宋体"/>
          <w:sz w:val="24"/>
        </w:rPr>
        <w:t>份</w:t>
      </w:r>
      <w:r>
        <w:rPr>
          <w:rFonts w:hint="eastAsia" w:ascii="宋体" w:hAnsi="宋体" w:cs="宋体"/>
          <w:snapToGrid w:val="0"/>
          <w:kern w:val="0"/>
          <w:sz w:val="24"/>
        </w:rPr>
        <w:t>（投标文件的封面应注明“正本”、“副本”字样，不得活页装订</w:t>
      </w:r>
      <w:r>
        <w:rPr>
          <w:rFonts w:hint="eastAsia" w:ascii="宋体" w:hAnsi="宋体" w:cs="宋体"/>
          <w:snapToGrid w:val="0"/>
          <w:kern w:val="0"/>
          <w:sz w:val="24"/>
          <w:lang w:eastAsia="zh-CN"/>
        </w:rPr>
        <w:t>；副本可为正本的复印件</w:t>
      </w:r>
      <w:r>
        <w:rPr>
          <w:rFonts w:hint="eastAsia" w:ascii="宋体" w:hAnsi="宋体" w:cs="宋体"/>
          <w:snapToGrid w:val="0"/>
          <w:kern w:val="0"/>
          <w:sz w:val="24"/>
        </w:rPr>
        <w:t>）</w:t>
      </w:r>
      <w:r>
        <w:rPr>
          <w:rFonts w:hint="eastAsia" w:ascii="宋体" w:hAnsi="宋体" w:cs="宋体"/>
          <w:bCs/>
          <w:color w:val="000000" w:themeColor="text1"/>
          <w:sz w:val="24"/>
          <w14:textFill>
            <w14:solidFill>
              <w14:schemeClr w14:val="tx1"/>
            </w14:solidFill>
          </w14:textFill>
        </w:rPr>
        <w:t>。</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（3）电子投标文件部分：投标人应根据“政采云供应商项目采购-电子招投标操作指南”及本招标文件规定的格式和顺序编制电子投标文件并进行关联定位；电子投标文件中须加盖供应商公章部分均采用 CA 签章，签字部分可用 CA 锁法人章（如有），未申请法人章的将签名部分签好后以扫描件形式上传至投标文件（具体操作请咨询政采云 400-8817190）。 </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（4）以 U 盘存储的备份投标文件，单独密封递交。</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投标文件须按“投标文件格式”提供的统一格式填写、签署和加盖公章</w:t>
      </w:r>
      <w:r>
        <w:rPr>
          <w:rFonts w:ascii="宋体" w:hAnsi="宋体"/>
          <w:color w:val="000000" w:themeColor="text1"/>
          <w:sz w:val="24"/>
          <w14:textFill>
            <w14:solidFill>
              <w14:schemeClr w14:val="tx1"/>
            </w14:solidFill>
          </w14:textFill>
        </w:rPr>
        <w:t>。</w:t>
      </w:r>
    </w:p>
    <w:p>
      <w:pPr>
        <w:snapToGrid w:val="0"/>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pPr>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四、投标文件的包装、递交、修改和撤回</w:t>
      </w:r>
    </w:p>
    <w:p>
      <w:pPr>
        <w:snapToGrid w:val="0"/>
        <w:spacing w:line="360" w:lineRule="auto"/>
        <w:ind w:firstLine="4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投标文件的装订、密封、标记和递送</w:t>
      </w:r>
    </w:p>
    <w:p>
      <w:pPr>
        <w:snapToGrid w:val="0"/>
        <w:spacing w:line="360" w:lineRule="auto"/>
        <w:ind w:firstLine="4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（1）电子投标文件：投标人应根据“项目采购-电子招投标操作指南”及本招标文件规定的格式和顺序编制电子投标文件并进行关联定位。 </w:t>
      </w:r>
    </w:p>
    <w:p>
      <w:pPr>
        <w:snapToGrid w:val="0"/>
        <w:spacing w:line="360" w:lineRule="auto"/>
        <w:ind w:firstLine="4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（2）电子备份投标文件：单独包封，外包装封面上应注明投标人名称、投标人地址、投标文件名称（电子投标文件的备份文件）、投标项目名称、项目编号及“开标时启封”字样，并加盖投标人公章。 </w:t>
      </w:r>
    </w:p>
    <w:p>
      <w:pPr>
        <w:snapToGrid w:val="0"/>
        <w:spacing w:line="360" w:lineRule="auto"/>
        <w:ind w:firstLine="4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（3）未按规定密封或标记的投标文件，采购人有权拒绝接受其投标。 </w:t>
      </w:r>
    </w:p>
    <w:p>
      <w:pPr>
        <w:snapToGrid w:val="0"/>
        <w:spacing w:line="360" w:lineRule="auto"/>
        <w:ind w:firstLine="4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（4）如果投标人未按上述要求密封或标记而造成投标文件被误投或提前拆封的风险由投标人承担。</w:t>
      </w:r>
    </w:p>
    <w:p>
      <w:pPr>
        <w:snapToGrid w:val="0"/>
        <w:spacing w:line="360" w:lineRule="auto"/>
        <w:ind w:firstLine="4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2.投标截止时间</w:t>
      </w:r>
    </w:p>
    <w:p>
      <w:pPr>
        <w:snapToGrid w:val="0"/>
        <w:spacing w:line="360" w:lineRule="auto"/>
        <w:ind w:firstLine="4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（1）投标人应在招标文件要求提交（上传）投标文件的截止时间前，将投标文件上传至政府采购云平台。采购代理机构拒绝接收在投标截止时间以后提交（上传）的投标文件。</w:t>
      </w:r>
    </w:p>
    <w:p>
      <w:pPr>
        <w:snapToGrid w:val="0"/>
        <w:spacing w:line="360" w:lineRule="auto"/>
        <w:ind w:firstLine="4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pPr>
        <w:snapToGrid w:val="0"/>
        <w:spacing w:line="360" w:lineRule="auto"/>
        <w:ind w:firstLine="4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3.投标文件的修改和撤回</w:t>
      </w:r>
    </w:p>
    <w:p>
      <w:pPr>
        <w:snapToGrid w:val="0"/>
        <w:spacing w:line="360" w:lineRule="auto"/>
        <w:ind w:firstLine="4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（1）投标人在投标截止时间前，可以对已经提交的投标文件进行补充、修改或者撤回。</w:t>
      </w:r>
    </w:p>
    <w:p>
      <w:pPr>
        <w:snapToGrid w:val="0"/>
        <w:spacing w:line="360" w:lineRule="auto"/>
        <w:ind w:firstLine="4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已经完成传输递交的电子投标文件进行补充或者修改的，应当先行撤回原文件，补充、修改后重新传输递交。投标人在投标截止时间前未重新完成传输递交的，视为撤回投标文件。投标截止时间后递交的电子加标文件，电子交易平台将拒收。</w:t>
      </w:r>
    </w:p>
    <w:p>
      <w:pPr>
        <w:snapToGrid w:val="0"/>
        <w:spacing w:line="360" w:lineRule="auto"/>
        <w:ind w:firstLine="4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投标人在投标截止时间前递交了需要补充或修改的电子投标文件的备份投标文件，可以重新提交补充或修改后的备份投标文件。</w:t>
      </w:r>
    </w:p>
    <w:p>
      <w:pPr>
        <w:snapToGrid w:val="0"/>
        <w:spacing w:line="360" w:lineRule="auto"/>
        <w:ind w:firstLine="420"/>
        <w:jc w:val="left"/>
        <w:rPr>
          <w:rFonts w:ascii="宋体" w:hAnsi="宋体"/>
          <w:b/>
          <w:color w:val="000000" w:themeColor="text1"/>
          <w:szCs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（2）投标截止时间后，投标人不得对其投标文件进行补充、修改。</w:t>
      </w:r>
    </w:p>
    <w:p>
      <w:pPr>
        <w:pStyle w:val="8"/>
        <w:widowControl w:val="0"/>
        <w:tabs>
          <w:tab w:val="clear" w:pos="454"/>
        </w:tabs>
        <w:snapToGrid w:val="0"/>
        <w:spacing w:afterLines="0" w:line="360" w:lineRule="auto"/>
        <w:ind w:left="282" w:hanging="282" w:hangingChars="117"/>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五、投标文件的有效期</w:t>
      </w:r>
    </w:p>
    <w:p>
      <w:pPr>
        <w:pStyle w:val="8"/>
        <w:widowControl w:val="0"/>
        <w:tabs>
          <w:tab w:val="clear" w:pos="454"/>
        </w:tabs>
        <w:snapToGrid w:val="0"/>
        <w:spacing w:afterLines="0" w:line="360" w:lineRule="auto"/>
        <w:ind w:left="0" w:firstLine="240" w:firstLineChars="100"/>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▲1.自投标截止日起</w:t>
      </w:r>
      <w:r>
        <w:rPr>
          <w:rFonts w:ascii="宋体" w:hAnsi="宋体"/>
          <w:b/>
          <w:color w:val="000000" w:themeColor="text1"/>
          <w:szCs w:val="24"/>
          <w:u w:val="single"/>
          <w14:textFill>
            <w14:solidFill>
              <w14:schemeClr w14:val="tx1"/>
            </w14:solidFill>
          </w14:textFill>
        </w:rPr>
        <w:t xml:space="preserve"> 90</w:t>
      </w:r>
      <w:r>
        <w:rPr>
          <w:rFonts w:ascii="宋体" w:hAnsi="宋体"/>
          <w:color w:val="000000" w:themeColor="text1"/>
          <w:szCs w:val="24"/>
          <w14:textFill>
            <w14:solidFill>
              <w14:schemeClr w14:val="tx1"/>
            </w14:solidFill>
          </w14:textFill>
        </w:rPr>
        <w:t>天</w:t>
      </w:r>
      <w:r>
        <w:rPr>
          <w:rFonts w:hint="eastAsia" w:ascii="宋体" w:hAnsi="宋体"/>
          <w:color w:val="000000" w:themeColor="text1"/>
          <w:szCs w:val="24"/>
          <w14:textFill>
            <w14:solidFill>
              <w14:schemeClr w14:val="tx1"/>
            </w14:solidFill>
          </w14:textFill>
        </w:rPr>
        <w:t>内</w:t>
      </w:r>
      <w:r>
        <w:rPr>
          <w:rFonts w:ascii="宋体" w:hAnsi="宋体"/>
          <w:color w:val="000000" w:themeColor="text1"/>
          <w:szCs w:val="24"/>
          <w14:textFill>
            <w14:solidFill>
              <w14:schemeClr w14:val="tx1"/>
            </w14:solidFill>
          </w14:textFill>
        </w:rPr>
        <w:t>投标文件应保持有效。有效期不足的投标文件将被拒绝。</w:t>
      </w:r>
    </w:p>
    <w:p>
      <w:pPr>
        <w:pStyle w:val="8"/>
        <w:widowControl w:val="0"/>
        <w:tabs>
          <w:tab w:val="clear" w:pos="454"/>
        </w:tabs>
        <w:snapToGrid w:val="0"/>
        <w:spacing w:afterLines="0" w:line="360" w:lineRule="auto"/>
        <w:ind w:left="0" w:firstLine="480" w:firstLineChars="200"/>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2.在特殊情况下，招标人可与投标人协商延长投标书的有效期，这种要求和答复均以书面形式进行。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color w:val="000000" w:themeColor="text1"/>
          <w:sz w:val="24"/>
          <w14:textFill>
            <w14:solidFill>
              <w14:schemeClr w14:val="tx1"/>
            </w14:solidFill>
          </w14:textFill>
        </w:rPr>
      </w:pPr>
      <w:bookmarkStart w:id="106" w:name="_Toc427442464"/>
      <w:bookmarkStart w:id="107" w:name="_Toc259108320"/>
      <w:bookmarkStart w:id="108" w:name="_Toc429406713"/>
      <w:bookmarkStart w:id="109" w:name="_Toc454551079"/>
      <w:bookmarkStart w:id="110" w:name="_Toc355117109"/>
      <w:bookmarkStart w:id="111" w:name="_Toc249866764"/>
      <w:bookmarkStart w:id="112" w:name="_Toc436314550"/>
      <w:bookmarkStart w:id="113" w:name="_Toc444597101"/>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.中标人的投标文件自开标之日起至合同履行完毕止均应保持有效。</w:t>
      </w:r>
      <w:bookmarkEnd w:id="106"/>
      <w:bookmarkEnd w:id="107"/>
      <w:bookmarkEnd w:id="108"/>
      <w:bookmarkEnd w:id="109"/>
      <w:bookmarkEnd w:id="110"/>
      <w:bookmarkEnd w:id="111"/>
      <w:bookmarkEnd w:id="112"/>
      <w:bookmarkEnd w:id="113"/>
    </w:p>
    <w:p>
      <w:pPr>
        <w:pStyle w:val="8"/>
        <w:widowControl w:val="0"/>
        <w:tabs>
          <w:tab w:val="clear" w:pos="454"/>
        </w:tabs>
        <w:snapToGrid w:val="0"/>
        <w:spacing w:afterLines="0" w:line="360" w:lineRule="auto"/>
        <w:ind w:left="282" w:hanging="282" w:hangingChars="117"/>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六、</w:t>
      </w:r>
      <w:r>
        <w:rPr>
          <w:rFonts w:ascii="宋体" w:hAnsi="宋体"/>
          <w:b/>
          <w:color w:val="000000" w:themeColor="text1"/>
          <w:szCs w:val="24"/>
          <w14:textFill>
            <w14:solidFill>
              <w14:schemeClr w14:val="tx1"/>
            </w14:solidFill>
          </w14:textFill>
        </w:rPr>
        <w:t>开标</w:t>
      </w:r>
    </w:p>
    <w:p>
      <w:pPr>
        <w:pStyle w:val="8"/>
        <w:snapToGrid w:val="0"/>
        <w:spacing w:after="120" w:line="360" w:lineRule="auto"/>
        <w:ind w:left="279" w:leftChars="133" w:firstLine="120" w:firstLineChars="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1.采购代理机构按招标文件规定的时间、地点主持公开开标。</w:t>
      </w:r>
    </w:p>
    <w:p>
      <w:pPr>
        <w:pStyle w:val="8"/>
        <w:snapToGrid w:val="0"/>
        <w:spacing w:after="120" w:line="360" w:lineRule="auto"/>
        <w:ind w:left="279" w:leftChars="133" w:firstLine="120" w:firstLineChars="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2.投标文件开启步骤：同时开启所有文件。</w:t>
      </w:r>
    </w:p>
    <w:p>
      <w:pPr>
        <w:pStyle w:val="8"/>
        <w:snapToGrid w:val="0"/>
        <w:spacing w:after="120" w:line="360" w:lineRule="auto"/>
        <w:ind w:left="279" w:leftChars="133" w:firstLine="120" w:firstLineChars="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3.电子投标开标及评审程序</w:t>
      </w:r>
    </w:p>
    <w:p>
      <w:pPr>
        <w:pStyle w:val="8"/>
        <w:snapToGrid w:val="0"/>
        <w:spacing w:after="120" w:line="360" w:lineRule="auto"/>
        <w:ind w:left="0" w:firstLine="357" w:firstLineChars="14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（1）投标截止时间后，投标人登录政采云平台，用“公款竞争性存放-开标评标”功能对电子投标文件进行在线开启。</w:t>
      </w:r>
    </w:p>
    <w:p>
      <w:pPr>
        <w:pStyle w:val="8"/>
        <w:snapToGrid w:val="0"/>
        <w:spacing w:after="120" w:line="360" w:lineRule="auto"/>
        <w:ind w:left="279" w:leftChars="133" w:firstLine="120" w:firstLineChars="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（2）评标委员会对投标人的资格进行审查。 </w:t>
      </w:r>
    </w:p>
    <w:p>
      <w:pPr>
        <w:pStyle w:val="8"/>
        <w:snapToGrid w:val="0"/>
        <w:spacing w:after="120" w:line="360" w:lineRule="auto"/>
        <w:ind w:left="279" w:leftChars="133" w:firstLine="120" w:firstLineChars="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（3）在系统上公开报价开标情况。 </w:t>
      </w:r>
    </w:p>
    <w:p>
      <w:pPr>
        <w:pStyle w:val="8"/>
        <w:snapToGrid w:val="0"/>
        <w:spacing w:after="120" w:line="360" w:lineRule="auto"/>
        <w:ind w:left="279" w:leftChars="133" w:firstLine="120" w:firstLineChars="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（4）评标委员会对投标文件进行评审。 </w:t>
      </w:r>
    </w:p>
    <w:p>
      <w:pPr>
        <w:pStyle w:val="8"/>
        <w:snapToGrid w:val="0"/>
        <w:spacing w:after="120" w:line="360" w:lineRule="auto"/>
        <w:ind w:left="279" w:leftChars="133" w:firstLine="120" w:firstLineChars="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（5）在系统上公布评审结果。 </w:t>
      </w:r>
    </w:p>
    <w:p>
      <w:pPr>
        <w:pStyle w:val="8"/>
        <w:snapToGrid w:val="0"/>
        <w:spacing w:after="120" w:line="360" w:lineRule="auto"/>
        <w:ind w:left="0"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注：政采云公司如对电子化开标及评审程序有调整的，按调整后的程序操作。</w:t>
      </w:r>
    </w:p>
    <w:p>
      <w:pPr>
        <w:pStyle w:val="8"/>
        <w:snapToGrid w:val="0"/>
        <w:spacing w:after="120" w:line="360" w:lineRule="auto"/>
        <w:ind w:left="279" w:leftChars="133" w:firstLine="120" w:firstLineChars="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4.特别说明 </w:t>
      </w:r>
    </w:p>
    <w:p>
      <w:pPr>
        <w:pStyle w:val="8"/>
        <w:snapToGrid w:val="0"/>
        <w:spacing w:after="120" w:line="360" w:lineRule="auto"/>
        <w:ind w:left="0" w:firstLine="357" w:firstLineChars="14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本项目采用政采云电子投标开标及评审程序，但有下情形之一的，按以下情况处理： </w:t>
      </w:r>
    </w:p>
    <w:p>
      <w:pPr>
        <w:pStyle w:val="8"/>
        <w:snapToGrid w:val="0"/>
        <w:spacing w:after="120" w:line="360" w:lineRule="auto"/>
        <w:ind w:left="0" w:firstLine="357" w:firstLineChars="149"/>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（1）若投标人在规定时间内无法开启或开启失败，视作无效投标。 </w:t>
      </w:r>
    </w:p>
    <w:p>
      <w:pPr>
        <w:pStyle w:val="8"/>
        <w:snapToGrid w:val="0"/>
        <w:spacing w:after="120" w:line="360" w:lineRule="auto"/>
        <w:ind w:left="0" w:firstLine="360" w:firstLineChars="1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（2）采购过程中出现以下情形，导致电子交易平台无法正常运行，或者无法保证电子交易的公平、公正和安全时，采购人（或代理机构）可中止电子交易活动： </w:t>
      </w:r>
    </w:p>
    <w:p>
      <w:pPr>
        <w:pStyle w:val="8"/>
        <w:snapToGrid w:val="0"/>
        <w:spacing w:after="120" w:line="360" w:lineRule="auto"/>
        <w:ind w:left="279" w:leftChars="133" w:firstLine="244" w:firstLineChars="102"/>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1）电子交易平台发生故障而无法登录访问的； </w:t>
      </w:r>
    </w:p>
    <w:p>
      <w:pPr>
        <w:pStyle w:val="8"/>
        <w:snapToGrid w:val="0"/>
        <w:spacing w:after="120" w:line="360" w:lineRule="auto"/>
        <w:ind w:left="279" w:leftChars="133" w:firstLine="244" w:firstLineChars="102"/>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2）电子交易平台应用或数据库出现错误，不能进行正常操作的； </w:t>
      </w:r>
    </w:p>
    <w:p>
      <w:pPr>
        <w:pStyle w:val="8"/>
        <w:snapToGrid w:val="0"/>
        <w:spacing w:after="120" w:line="360" w:lineRule="auto"/>
        <w:ind w:left="279" w:leftChars="133" w:firstLine="244" w:firstLineChars="102"/>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3）电子交易平台发现严重安全漏洞，有潜在泄密危险的； </w:t>
      </w:r>
    </w:p>
    <w:p>
      <w:pPr>
        <w:pStyle w:val="8"/>
        <w:snapToGrid w:val="0"/>
        <w:spacing w:after="120" w:line="360" w:lineRule="auto"/>
        <w:ind w:left="279" w:leftChars="133" w:firstLine="244" w:firstLineChars="102"/>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4）病毒发作导致不能进行正常操作的； </w:t>
      </w:r>
    </w:p>
    <w:p>
      <w:pPr>
        <w:pStyle w:val="8"/>
        <w:snapToGrid w:val="0"/>
        <w:spacing w:after="120" w:line="360" w:lineRule="auto"/>
        <w:ind w:left="279" w:leftChars="133" w:firstLine="244" w:firstLineChars="102"/>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5）其他无法保证电子交易的公平、公正和安全的情况。 </w:t>
      </w:r>
    </w:p>
    <w:p>
      <w:pPr>
        <w:pStyle w:val="8"/>
        <w:snapToGrid w:val="0"/>
        <w:spacing w:after="120" w:line="360" w:lineRule="auto"/>
        <w:ind w:left="0" w:firstLine="120" w:firstLineChars="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出现前款规定情形，不影响采购公平、公正性的，采购人（或代理机构）可以待上述情形消除后继续组织电子交易活动。 </w:t>
      </w:r>
    </w:p>
    <w:p>
      <w:pPr>
        <w:pStyle w:val="8"/>
        <w:widowControl w:val="0"/>
        <w:tabs>
          <w:tab w:val="clear" w:pos="454"/>
        </w:tabs>
        <w:snapToGrid w:val="0"/>
        <w:spacing w:afterLines="0" w:line="360" w:lineRule="auto"/>
        <w:ind w:left="279" w:leftChars="133" w:firstLine="120" w:firstLineChars="50"/>
        <w:rPr>
          <w:rFonts w:ascii="宋体" w:hAnsi="宋体"/>
          <w:b/>
          <w:color w:val="000000" w:themeColor="text1"/>
          <w:sz w:val="24"/>
          <w14:textFill>
            <w14:solidFill>
              <w14:schemeClr w14:val="tx1"/>
            </w14:solidFill>
          </w14:textFill>
        </w:rPr>
      </w:pPr>
      <w:r>
        <w:rPr>
          <w:rFonts w:hint="eastAsia" w:ascii="宋体" w:hAnsi="宋体"/>
          <w:color w:val="000000" w:themeColor="text1"/>
          <w:szCs w:val="24"/>
          <w14:textFill>
            <w14:solidFill>
              <w14:schemeClr w14:val="tx1"/>
            </w14:solidFill>
          </w14:textFill>
        </w:rPr>
        <w:t>5.投标截止时间止，投标人不足</w:t>
      </w:r>
      <w:r>
        <w:rPr>
          <w:rFonts w:hint="eastAsia" w:ascii="宋体" w:hAnsi="宋体"/>
          <w:color w:val="000000" w:themeColor="text1"/>
          <w:szCs w:val="24"/>
          <w:lang w:val="en-US" w:eastAsia="zh-CN"/>
          <w14:textFill>
            <w14:solidFill>
              <w14:schemeClr w14:val="tx1"/>
            </w14:solidFill>
          </w14:textFill>
        </w:rPr>
        <w:t>3</w:t>
      </w:r>
      <w:r>
        <w:rPr>
          <w:rFonts w:hint="eastAsia" w:ascii="宋体" w:hAnsi="宋体"/>
          <w:color w:val="000000" w:themeColor="text1"/>
          <w:szCs w:val="24"/>
          <w14:textFill>
            <w14:solidFill>
              <w14:schemeClr w14:val="tx1"/>
            </w14:solidFill>
          </w14:textFill>
        </w:rPr>
        <w:t>家的，不得开标。</w:t>
      </w:r>
    </w:p>
    <w:p>
      <w:pPr>
        <w:snapToGrid w:val="0"/>
        <w:spacing w:line="360" w:lineRule="auto"/>
        <w:outlineLvl w:val="2"/>
        <w:rPr>
          <w:rFonts w:ascii="宋体" w:hAnsi="宋体"/>
          <w:b/>
          <w:color w:val="000000" w:themeColor="text1"/>
          <w:sz w:val="24"/>
          <w14:textFill>
            <w14:solidFill>
              <w14:schemeClr w14:val="tx1"/>
            </w14:solidFill>
          </w14:textFill>
        </w:rPr>
      </w:pPr>
      <w:bookmarkStart w:id="114" w:name="_Toc249866767"/>
      <w:bookmarkStart w:id="115" w:name="_Toc454551080"/>
      <w:bookmarkStart w:id="116" w:name="_Toc427442466"/>
      <w:bookmarkStart w:id="117" w:name="_Toc259108323"/>
      <w:bookmarkStart w:id="118" w:name="_Toc444597102"/>
      <w:bookmarkStart w:id="119" w:name="_Toc436314551"/>
      <w:bookmarkStart w:id="120" w:name="_Toc429406714"/>
      <w:bookmarkStart w:id="121" w:name="_Toc355117111"/>
      <w:r>
        <w:rPr>
          <w:rFonts w:hint="eastAsia" w:ascii="宋体" w:hAnsi="宋体"/>
          <w:b/>
          <w:color w:val="000000" w:themeColor="text1"/>
          <w:sz w:val="24"/>
          <w14:textFill>
            <w14:solidFill>
              <w14:schemeClr w14:val="tx1"/>
            </w14:solidFill>
          </w14:textFill>
        </w:rPr>
        <w:t>七、投标无效的情形</w:t>
      </w:r>
      <w:bookmarkEnd w:id="114"/>
      <w:bookmarkEnd w:id="115"/>
      <w:bookmarkEnd w:id="116"/>
      <w:bookmarkEnd w:id="117"/>
      <w:bookmarkEnd w:id="118"/>
      <w:bookmarkEnd w:id="119"/>
      <w:bookmarkEnd w:id="120"/>
      <w:bookmarkEnd w:id="121"/>
    </w:p>
    <w:p>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实质上没有响应招标文件要求的投标将被视为无效投标。投标人不得通过修正或撤销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w:t>
      </w:r>
      <w:r>
        <w:rPr>
          <w:rFonts w:ascii="宋体" w:hAnsi="宋体"/>
          <w:bCs/>
          <w:color w:val="000000" w:themeColor="text1"/>
          <w:sz w:val="24"/>
          <w14:textFill>
            <w14:solidFill>
              <w14:schemeClr w14:val="tx1"/>
            </w14:solidFill>
          </w14:textFill>
        </w:rPr>
        <w:t>对其投标文件所作的评价和评分结果。</w:t>
      </w:r>
    </w:p>
    <w:p>
      <w:pPr>
        <w:snapToGrid w:val="0"/>
        <w:spacing w:line="360" w:lineRule="auto"/>
        <w:ind w:firstLine="472" w:firstLineChars="196"/>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1.在符合性审查和商务评审时，如发现下列情形之一的，投标文件将被视为无效：</w:t>
      </w:r>
    </w:p>
    <w:p>
      <w:pPr>
        <w:snapToGrid w:val="0"/>
        <w:spacing w:line="360" w:lineRule="auto"/>
        <w:ind w:firstLine="470" w:firstLineChars="196"/>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）资格证明文件不全的，或者不符合招标文件标明的资格要求的；</w:t>
      </w:r>
    </w:p>
    <w:p>
      <w:pPr>
        <w:snapToGrid w:val="0"/>
        <w:spacing w:line="360" w:lineRule="auto"/>
        <w:ind w:firstLine="470" w:firstLineChars="196"/>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）投标文件无法定代表人</w:t>
      </w:r>
      <w:r>
        <w:rPr>
          <w:rFonts w:hint="eastAsia" w:ascii="宋体" w:hAnsi="宋体"/>
          <w:color w:val="000000" w:themeColor="text1"/>
          <w:sz w:val="24"/>
          <w14:textFill>
            <w14:solidFill>
              <w14:schemeClr w14:val="tx1"/>
            </w14:solidFill>
          </w14:textFill>
        </w:rPr>
        <w:t>/负责人</w:t>
      </w:r>
      <w:r>
        <w:rPr>
          <w:rFonts w:ascii="宋体" w:hAnsi="宋体"/>
          <w:color w:val="000000" w:themeColor="text1"/>
          <w:sz w:val="24"/>
          <w14:textFill>
            <w14:solidFill>
              <w14:schemeClr w14:val="tx1"/>
            </w14:solidFill>
          </w14:textFill>
        </w:rPr>
        <w:t>签字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或未提供法定代表人</w:t>
      </w:r>
      <w:r>
        <w:rPr>
          <w:rFonts w:hint="eastAsia" w:ascii="宋体" w:hAnsi="宋体"/>
          <w:color w:val="000000" w:themeColor="text1"/>
          <w:sz w:val="24"/>
          <w14:textFill>
            <w14:solidFill>
              <w14:schemeClr w14:val="tx1"/>
            </w14:solidFill>
          </w14:textFill>
        </w:rPr>
        <w:t>/负责人</w:t>
      </w:r>
      <w:r>
        <w:rPr>
          <w:rFonts w:ascii="宋体" w:hAnsi="宋体"/>
          <w:color w:val="000000" w:themeColor="text1"/>
          <w:sz w:val="24"/>
          <w14:textFill>
            <w14:solidFill>
              <w14:schemeClr w14:val="tx1"/>
            </w14:solidFill>
          </w14:textFill>
        </w:rPr>
        <w:t>授权委托书</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投标</w:t>
      </w:r>
      <w:r>
        <w:rPr>
          <w:rFonts w:hint="eastAsia" w:ascii="宋体" w:hAnsi="宋体"/>
          <w:color w:val="000000" w:themeColor="text1"/>
          <w:sz w:val="24"/>
          <w14:textFill>
            <w14:solidFill>
              <w14:schemeClr w14:val="tx1"/>
            </w14:solidFill>
          </w14:textFill>
        </w:rPr>
        <w:t>函</w:t>
      </w:r>
      <w:r>
        <w:rPr>
          <w:rFonts w:ascii="宋体" w:hAnsi="宋体"/>
          <w:color w:val="000000" w:themeColor="text1"/>
          <w:sz w:val="24"/>
          <w14:textFill>
            <w14:solidFill>
              <w14:schemeClr w14:val="tx1"/>
            </w14:solidFill>
          </w14:textFill>
        </w:rPr>
        <w:t>或者填写项目不齐全的；</w:t>
      </w:r>
    </w:p>
    <w:p>
      <w:pPr>
        <w:snapToGrid w:val="0"/>
        <w:spacing w:line="360" w:lineRule="auto"/>
        <w:ind w:firstLine="470" w:firstLineChars="196"/>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）投标代表人未能出具身份证明或与法定代表人</w:t>
      </w:r>
      <w:r>
        <w:rPr>
          <w:rFonts w:hint="eastAsia" w:ascii="宋体" w:hAnsi="宋体"/>
          <w:color w:val="000000" w:themeColor="text1"/>
          <w:sz w:val="24"/>
          <w14:textFill>
            <w14:solidFill>
              <w14:schemeClr w14:val="tx1"/>
            </w14:solidFill>
          </w14:textFill>
        </w:rPr>
        <w:t>/负责人</w:t>
      </w:r>
      <w:r>
        <w:rPr>
          <w:rFonts w:ascii="宋体" w:hAnsi="宋体"/>
          <w:color w:val="000000" w:themeColor="text1"/>
          <w:sz w:val="24"/>
          <w14:textFill>
            <w14:solidFill>
              <w14:schemeClr w14:val="tx1"/>
            </w14:solidFill>
          </w14:textFill>
        </w:rPr>
        <w:t>授权委托人身份不符的；</w:t>
      </w:r>
    </w:p>
    <w:p>
      <w:pPr>
        <w:pStyle w:val="16"/>
        <w:snapToGrid w:val="0"/>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）投标文件格式不规范、项目不齐全或者内容虚假的；</w:t>
      </w:r>
    </w:p>
    <w:p>
      <w:pPr>
        <w:pStyle w:val="16"/>
        <w:snapToGrid w:val="0"/>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）投标文件的实质性内容未使用中文表述、意思表述不明确、前后矛盾或者使用计量单位不符合招标文件要求的（经评标委员会认定并允许其当场更正的笔误除外）；</w:t>
      </w:r>
    </w:p>
    <w:p>
      <w:pPr>
        <w:pStyle w:val="16"/>
        <w:snapToGrid w:val="0"/>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）投标有效期、付款方式等商务条款不能满足招标文件要求的；</w:t>
      </w:r>
    </w:p>
    <w:p>
      <w:pPr>
        <w:pStyle w:val="16"/>
        <w:snapToGrid w:val="0"/>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）未实质性响应招标文件要求</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条款有任何偏离的）</w:t>
      </w:r>
      <w:r>
        <w:rPr>
          <w:rFonts w:ascii="宋体" w:hAnsi="宋体"/>
          <w:color w:val="000000" w:themeColor="text1"/>
          <w14:textFill>
            <w14:solidFill>
              <w14:schemeClr w14:val="tx1"/>
            </w14:solidFill>
          </w14:textFill>
        </w:rPr>
        <w:t>或者投标文件有招标方不能接受的附加条件的。</w:t>
      </w:r>
    </w:p>
    <w:p>
      <w:pPr>
        <w:pStyle w:val="16"/>
        <w:snapToGrid w:val="0"/>
        <w:ind w:firstLine="472" w:firstLineChars="196"/>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在技术评审时，如发现下列情形之一的，投标文件将被视为无效：</w:t>
      </w:r>
    </w:p>
    <w:p>
      <w:pPr>
        <w:pStyle w:val="16"/>
        <w:snapToGrid w:val="0"/>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（1）未提供或未如实提供投标</w:t>
      </w:r>
      <w:r>
        <w:rPr>
          <w:rFonts w:hint="eastAsia" w:ascii="宋体" w:hAnsi="宋体"/>
          <w:color w:val="000000" w:themeColor="text1"/>
          <w14:textFill>
            <w14:solidFill>
              <w14:schemeClr w14:val="tx1"/>
            </w14:solidFill>
          </w14:textFill>
        </w:rPr>
        <w:t>项目</w:t>
      </w:r>
      <w:r>
        <w:rPr>
          <w:rFonts w:ascii="宋体" w:hAnsi="宋体"/>
          <w:color w:val="000000" w:themeColor="text1"/>
          <w14:textFill>
            <w14:solidFill>
              <w14:schemeClr w14:val="tx1"/>
            </w14:solidFill>
          </w14:textFill>
        </w:rPr>
        <w:t>的技术</w:t>
      </w:r>
      <w:r>
        <w:rPr>
          <w:rFonts w:hint="eastAsia" w:ascii="宋体" w:hAnsi="宋体"/>
          <w:color w:val="000000" w:themeColor="text1"/>
          <w14:textFill>
            <w14:solidFill>
              <w14:schemeClr w14:val="tx1"/>
            </w14:solidFill>
          </w14:textFill>
        </w:rPr>
        <w:t>要求</w:t>
      </w:r>
      <w:r>
        <w:rPr>
          <w:rFonts w:ascii="宋体" w:hAnsi="宋体"/>
          <w:color w:val="000000" w:themeColor="text1"/>
          <w14:textFill>
            <w14:solidFill>
              <w14:schemeClr w14:val="tx1"/>
            </w14:solidFill>
          </w14:textFill>
        </w:rPr>
        <w:t>，或者投标文件标明的响应或偏离与事实不符或虚假投标的；</w:t>
      </w:r>
    </w:p>
    <w:p>
      <w:pPr>
        <w:pStyle w:val="16"/>
        <w:snapToGrid w:val="0"/>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（2）明显不符合招标文件</w:t>
      </w:r>
      <w:r>
        <w:rPr>
          <w:rFonts w:hint="eastAsia" w:ascii="宋体" w:hAnsi="宋体"/>
          <w:color w:val="000000" w:themeColor="text1"/>
          <w14:textFill>
            <w14:solidFill>
              <w14:schemeClr w14:val="tx1"/>
            </w14:solidFill>
          </w14:textFill>
        </w:rPr>
        <w:t>要求</w:t>
      </w:r>
      <w:r>
        <w:rPr>
          <w:rFonts w:ascii="宋体" w:hAnsi="宋体"/>
          <w:color w:val="000000" w:themeColor="text1"/>
          <w14:textFill>
            <w14:solidFill>
              <w14:schemeClr w14:val="tx1"/>
            </w14:solidFill>
          </w14:textFill>
        </w:rPr>
        <w:t>的质量标准，或者</w:t>
      </w:r>
      <w:r>
        <w:rPr>
          <w:rFonts w:hint="eastAsia" w:ascii="宋体" w:hAnsi="宋体"/>
          <w:color w:val="000000" w:themeColor="text1"/>
          <w14:textFill>
            <w14:solidFill>
              <w14:schemeClr w14:val="tx1"/>
            </w14:solidFill>
          </w14:textFill>
        </w:rPr>
        <w:t>与</w:t>
      </w:r>
      <w:r>
        <w:rPr>
          <w:rFonts w:ascii="宋体" w:hAnsi="宋体"/>
          <w:color w:val="000000" w:themeColor="text1"/>
          <w14:textFill>
            <w14:solidFill>
              <w14:schemeClr w14:val="tx1"/>
            </w14:solidFill>
          </w14:textFill>
        </w:rPr>
        <w:t>招标文件中标</w:t>
      </w:r>
      <w:r>
        <w:rPr>
          <w:rFonts w:hint="eastAsia" w:ascii="宋体" w:hAnsi="宋体"/>
          <w:color w:val="000000" w:themeColor="text1"/>
          <w14:textFill>
            <w14:solidFill>
              <w14:schemeClr w14:val="tx1"/>
            </w14:solidFill>
          </w14:textFill>
        </w:rPr>
        <w:t>有</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”的技术指标、主要功能项目发生实质性偏离的；</w:t>
      </w:r>
    </w:p>
    <w:p>
      <w:pPr>
        <w:pStyle w:val="16"/>
        <w:snapToGrid w:val="0"/>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）投标技术方案不明确，存在一个或一个以上备选（替代）投标方案的</w:t>
      </w:r>
      <w:r>
        <w:rPr>
          <w:rFonts w:hint="eastAsia" w:ascii="宋体" w:hAnsi="宋体"/>
          <w:color w:val="000000" w:themeColor="text1"/>
          <w14:textFill>
            <w14:solidFill>
              <w14:schemeClr w14:val="tx1"/>
            </w14:solidFill>
          </w14:textFill>
        </w:rPr>
        <w:t>，且未注明哪个是主投方案的；</w:t>
      </w:r>
    </w:p>
    <w:p>
      <w:pPr>
        <w:pStyle w:val="16"/>
        <w:snapToGrid w:val="0"/>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（4）与其他投标文件存在</w:t>
      </w:r>
      <w:r>
        <w:rPr>
          <w:rFonts w:hint="eastAsia" w:ascii="宋体" w:hAnsi="宋体"/>
          <w:b/>
          <w:color w:val="000000" w:themeColor="text1"/>
          <w:u w:val="single"/>
          <w14:textFill>
            <w14:solidFill>
              <w14:schemeClr w14:val="tx1"/>
            </w14:solidFill>
          </w14:textFill>
        </w:rPr>
        <w:t>3处（含）</w:t>
      </w:r>
      <w:r>
        <w:rPr>
          <w:rFonts w:hint="eastAsia" w:ascii="宋体" w:hAnsi="宋体"/>
          <w:color w:val="000000" w:themeColor="text1"/>
          <w14:textFill>
            <w14:solidFill>
              <w14:schemeClr w14:val="tx1"/>
            </w14:solidFill>
          </w14:textFill>
        </w:rPr>
        <w:t>以上相同差错的。</w:t>
      </w:r>
    </w:p>
    <w:p>
      <w:pPr>
        <w:pStyle w:val="16"/>
        <w:snapToGrid w:val="0"/>
        <w:ind w:firstLine="472" w:firstLineChars="196"/>
        <w:rPr>
          <w:rFonts w:ascii="宋体" w:hAnsi="宋体"/>
          <w:b/>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3．有</w:t>
      </w:r>
      <w:r>
        <w:rPr>
          <w:rFonts w:ascii="宋体" w:hAnsi="宋体"/>
          <w:b/>
          <w:bCs/>
          <w:color w:val="000000" w:themeColor="text1"/>
          <w14:textFill>
            <w14:solidFill>
              <w14:schemeClr w14:val="tx1"/>
            </w14:solidFill>
          </w14:textFill>
        </w:rPr>
        <w:t>下列情形之一的，投标文件将被视为无效：</w:t>
      </w:r>
    </w:p>
    <w:p>
      <w:pPr>
        <w:pStyle w:val="16"/>
        <w:snapToGrid w:val="0"/>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未按招标要求递交的</w:t>
      </w:r>
      <w:r>
        <w:rPr>
          <w:rFonts w:ascii="宋体" w:hAnsi="宋体"/>
          <w:color w:val="000000" w:themeColor="text1"/>
          <w14:textFill>
            <w14:solidFill>
              <w14:schemeClr w14:val="tx1"/>
            </w14:solidFill>
          </w14:textFill>
        </w:rPr>
        <w:t>；</w:t>
      </w:r>
    </w:p>
    <w:p>
      <w:pPr>
        <w:pStyle w:val="16"/>
        <w:snapToGrid w:val="0"/>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经招标人确认，不能满足招标人要求的；</w:t>
      </w:r>
    </w:p>
    <w:p>
      <w:pPr>
        <w:pStyle w:val="16"/>
        <w:snapToGrid w:val="0"/>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（3）不符合招标公告资格要求的。</w:t>
      </w:r>
    </w:p>
    <w:p>
      <w:pPr>
        <w:pStyle w:val="16"/>
        <w:snapToGrid w:val="0"/>
        <w:ind w:firstLine="472" w:firstLineChars="196"/>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4</w:t>
      </w:r>
      <w:r>
        <w:rPr>
          <w:rFonts w:hint="eastAsia" w:ascii="宋体" w:hAnsi="宋体"/>
          <w:b/>
          <w:color w:val="000000" w:themeColor="text1"/>
          <w14:textFill>
            <w14:solidFill>
              <w14:schemeClr w14:val="tx1"/>
            </w14:solidFill>
          </w14:textFill>
        </w:rPr>
        <w:t>.</w:t>
      </w:r>
      <w:r>
        <w:rPr>
          <w:rFonts w:ascii="宋体" w:hAnsi="宋体"/>
          <w:b/>
          <w:color w:val="000000" w:themeColor="text1"/>
          <w14:textFill>
            <w14:solidFill>
              <w14:schemeClr w14:val="tx1"/>
            </w14:solidFill>
          </w14:textFill>
        </w:rPr>
        <w:t>被拒绝的投标文件为无效。</w:t>
      </w:r>
    </w:p>
    <w:p>
      <w:pPr>
        <w:pStyle w:val="16"/>
        <w:snapToGrid w:val="0"/>
        <w:ind w:right="-874" w:rightChars="-416" w:firstLine="551" w:firstLineChars="196"/>
        <w:rPr>
          <w:rFonts w:ascii="宋体" w:hAnsi="宋体"/>
          <w:b/>
          <w:bCs/>
          <w:color w:val="000000" w:themeColor="text1"/>
          <w:sz w:val="28"/>
          <w:szCs w:val="28"/>
          <w14:textFill>
            <w14:solidFill>
              <w14:schemeClr w14:val="tx1"/>
            </w14:solidFill>
          </w14:textFill>
        </w:rPr>
      </w:pPr>
    </w:p>
    <w:p>
      <w:pPr>
        <w:pStyle w:val="16"/>
        <w:snapToGrid w:val="0"/>
        <w:ind w:firstLine="0"/>
        <w:outlineLvl w:val="1"/>
        <w:rPr>
          <w:rFonts w:ascii="宋体" w:hAnsi="宋体"/>
          <w:b/>
          <w:color w:val="000000" w:themeColor="text1"/>
          <w:sz w:val="28"/>
          <w:szCs w:val="28"/>
          <w14:textFill>
            <w14:solidFill>
              <w14:schemeClr w14:val="tx1"/>
            </w14:solidFill>
          </w14:textFill>
        </w:rPr>
      </w:pPr>
    </w:p>
    <w:p>
      <w:pPr>
        <w:pStyle w:val="3"/>
        <w:ind w:firstLine="0"/>
        <w:jc w:val="center"/>
        <w:rPr>
          <w:rFonts w:ascii="宋体" w:hAnsi="宋体"/>
          <w:b w:val="0"/>
          <w:color w:val="000000" w:themeColor="text1"/>
          <w:sz w:val="32"/>
          <w:szCs w:val="32"/>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bookmarkStart w:id="122" w:name="_Toc454551081"/>
      <w:r>
        <w:rPr>
          <w:rFonts w:hint="eastAsia" w:ascii="宋体" w:hAnsi="宋体"/>
          <w:i w:val="0"/>
          <w:color w:val="000000" w:themeColor="text1"/>
          <w:sz w:val="32"/>
          <w:szCs w:val="32"/>
          <w14:textFill>
            <w14:solidFill>
              <w14:schemeClr w14:val="tx1"/>
            </w14:solidFill>
          </w14:textFill>
        </w:rPr>
        <w:t>第四章  开标及评标办法</w:t>
      </w:r>
      <w:bookmarkEnd w:id="122"/>
    </w:p>
    <w:p>
      <w:pPr>
        <w:pStyle w:val="20"/>
        <w:snapToGrid w:val="0"/>
        <w:spacing w:beforeLines="0" w:afterLines="0" w:line="240" w:lineRule="auto"/>
        <w:rPr>
          <w:rFonts w:hAnsi="宋体"/>
          <w:b/>
          <w:color w:val="000000" w:themeColor="text1"/>
          <w14:textFill>
            <w14:solidFill>
              <w14:schemeClr w14:val="tx1"/>
            </w14:solidFill>
          </w14:textFill>
        </w:rPr>
      </w:pPr>
    </w:p>
    <w:p>
      <w:pPr>
        <w:pStyle w:val="20"/>
        <w:snapToGrid w:val="0"/>
        <w:spacing w:beforeLines="0" w:afterLines="0"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一、</w:t>
      </w:r>
      <w:r>
        <w:rPr>
          <w:rFonts w:hAnsi="宋体"/>
          <w:b/>
          <w:color w:val="000000" w:themeColor="text1"/>
          <w14:textFill>
            <w14:solidFill>
              <w14:schemeClr w14:val="tx1"/>
            </w14:solidFill>
          </w14:textFill>
        </w:rPr>
        <w:t>开标准备</w:t>
      </w:r>
    </w:p>
    <w:p>
      <w:pPr>
        <w:pStyle w:val="20"/>
        <w:snapToGrid w:val="0"/>
        <w:spacing w:beforeLines="0" w:afterLines="0" w:line="360" w:lineRule="auto"/>
        <w:ind w:firstLine="480" w:firstLineChars="200"/>
        <w:rPr>
          <w:rFonts w:hAnsi="宋体"/>
          <w:b/>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本招标项目</w:t>
      </w:r>
      <w:r>
        <w:rPr>
          <w:rFonts w:hAnsi="宋体"/>
          <w:bCs/>
          <w:color w:val="000000" w:themeColor="text1"/>
          <w14:textFill>
            <w14:solidFill>
              <w14:schemeClr w14:val="tx1"/>
            </w14:solidFill>
          </w14:textFill>
        </w:rPr>
        <w:t>将在规定的时间和地点进行开标，</w:t>
      </w:r>
      <w:r>
        <w:rPr>
          <w:rFonts w:hint="eastAsia" w:hAnsi="宋体"/>
          <w:bCs/>
          <w:color w:val="000000" w:themeColor="text1"/>
          <w14:textFill>
            <w14:solidFill>
              <w14:schemeClr w14:val="tx1"/>
            </w14:solidFill>
          </w14:textFill>
        </w:rPr>
        <w:t>本项目评标采用综合评分法。</w:t>
      </w:r>
      <w:bookmarkStart w:id="123" w:name="_Toc355117129"/>
      <w:bookmarkStart w:id="124" w:name="_Toc259108326"/>
      <w:bookmarkStart w:id="125" w:name="_Toc429406716"/>
      <w:bookmarkStart w:id="126" w:name="_Toc444597104"/>
      <w:bookmarkStart w:id="127" w:name="_Toc249866769"/>
      <w:bookmarkStart w:id="128" w:name="_Toc427442468"/>
      <w:bookmarkStart w:id="129" w:name="_Toc436314553"/>
    </w:p>
    <w:p>
      <w:pPr>
        <w:pStyle w:val="20"/>
        <w:snapToGrid w:val="0"/>
        <w:spacing w:beforeLines="0" w:afterLines="0" w:line="360" w:lineRule="auto"/>
        <w:outlineLvl w:val="1"/>
        <w:rPr>
          <w:rFonts w:hAnsi="宋体"/>
          <w:b/>
          <w:color w:val="000000" w:themeColor="text1"/>
          <w14:textFill>
            <w14:solidFill>
              <w14:schemeClr w14:val="tx1"/>
            </w14:solidFill>
          </w14:textFill>
        </w:rPr>
      </w:pPr>
      <w:bookmarkStart w:id="130" w:name="_Toc454551082"/>
      <w:r>
        <w:rPr>
          <w:rFonts w:hint="eastAsia" w:hAnsi="宋体"/>
          <w:b/>
          <w:color w:val="000000" w:themeColor="text1"/>
          <w14:textFill>
            <w14:solidFill>
              <w14:schemeClr w14:val="tx1"/>
            </w14:solidFill>
          </w14:textFill>
        </w:rPr>
        <w:t>二、评标</w:t>
      </w:r>
      <w:bookmarkEnd w:id="123"/>
      <w:bookmarkEnd w:id="124"/>
      <w:bookmarkEnd w:id="125"/>
      <w:bookmarkEnd w:id="126"/>
      <w:bookmarkEnd w:id="127"/>
      <w:bookmarkEnd w:id="128"/>
      <w:bookmarkEnd w:id="129"/>
      <w:bookmarkEnd w:id="130"/>
    </w:p>
    <w:p>
      <w:pPr>
        <w:pStyle w:val="20"/>
        <w:snapToGrid w:val="0"/>
        <w:spacing w:beforeLines="0" w:afterLines="0" w:line="360" w:lineRule="auto"/>
        <w:ind w:left="720" w:leftChars="228" w:hanging="241" w:hangingChars="100"/>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（一）组建评标委员会</w:t>
      </w:r>
    </w:p>
    <w:p>
      <w:pPr>
        <w:pStyle w:val="20"/>
        <w:snapToGrid w:val="0"/>
        <w:spacing w:beforeLines="0" w:afterLines="0" w:line="360" w:lineRule="auto"/>
        <w:ind w:firstLine="484" w:firstLineChars="202"/>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本项目评标委员会由</w:t>
      </w:r>
      <w:r>
        <w:rPr>
          <w:rFonts w:hint="eastAsia" w:hAnsi="宋体"/>
          <w:color w:val="000000" w:themeColor="text1"/>
          <w14:textFill>
            <w14:solidFill>
              <w14:schemeClr w14:val="tx1"/>
            </w14:solidFill>
          </w14:textFill>
        </w:rPr>
        <w:t>相关专业的</w:t>
      </w:r>
      <w:r>
        <w:rPr>
          <w:rFonts w:hAnsi="宋体"/>
          <w:color w:val="000000" w:themeColor="text1"/>
          <w14:textFill>
            <w14:solidFill>
              <w14:schemeClr w14:val="tx1"/>
            </w14:solidFill>
          </w14:textFill>
        </w:rPr>
        <w:t>评审专家</w:t>
      </w:r>
      <w:r>
        <w:rPr>
          <w:rFonts w:hint="eastAsia" w:hAnsi="宋体"/>
          <w:color w:val="000000" w:themeColor="text1"/>
          <w14:textFill>
            <w14:solidFill>
              <w14:schemeClr w14:val="tx1"/>
            </w14:solidFill>
          </w14:textFill>
        </w:rPr>
        <w:t>和招标单位代表按相关要求奇数组成</w:t>
      </w:r>
      <w:r>
        <w:rPr>
          <w:rFonts w:hAnsi="宋体"/>
          <w:color w:val="000000" w:themeColor="text1"/>
          <w14:textFill>
            <w14:solidFill>
              <w14:schemeClr w14:val="tx1"/>
            </w14:solidFill>
          </w14:textFill>
        </w:rPr>
        <w:t>。</w:t>
      </w:r>
    </w:p>
    <w:p>
      <w:pPr>
        <w:pStyle w:val="20"/>
        <w:snapToGrid w:val="0"/>
        <w:spacing w:beforeLines="0" w:afterLines="0" w:line="360" w:lineRule="auto"/>
        <w:ind w:left="720" w:leftChars="228" w:hanging="241" w:hangingChars="100"/>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（二）评标的方式</w:t>
      </w:r>
    </w:p>
    <w:p>
      <w:pPr>
        <w:pStyle w:val="20"/>
        <w:snapToGrid w:val="0"/>
        <w:spacing w:before="120" w:after="120" w:line="360" w:lineRule="auto"/>
        <w:ind w:left="317" w:leftChars="151" w:firstLine="213" w:firstLineChars="89"/>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本项目采用不公开方式评标，评标的依据为招标文件和投标文件。</w:t>
      </w:r>
    </w:p>
    <w:p>
      <w:pPr>
        <w:pStyle w:val="20"/>
        <w:snapToGrid w:val="0"/>
        <w:spacing w:beforeLines="0" w:afterLines="0" w:line="360" w:lineRule="auto"/>
        <w:ind w:left="720" w:leftChars="228" w:hanging="241" w:hangingChars="100"/>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三</w:t>
      </w:r>
      <w:r>
        <w:rPr>
          <w:rFonts w:hAnsi="宋体"/>
          <w:b/>
          <w:color w:val="000000" w:themeColor="text1"/>
          <w14:textFill>
            <w14:solidFill>
              <w14:schemeClr w14:val="tx1"/>
            </w14:solidFill>
          </w14:textFill>
        </w:rPr>
        <w:t>）评标程序</w:t>
      </w:r>
    </w:p>
    <w:p>
      <w:pPr>
        <w:snapToGrid w:val="0"/>
        <w:spacing w:beforeLines="50" w:line="360" w:lineRule="auto"/>
        <w:ind w:firstLine="472" w:firstLineChars="196"/>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1.</w:t>
      </w:r>
      <w:r>
        <w:rPr>
          <w:rFonts w:hint="eastAsia" w:ascii="宋体" w:hAnsi="宋体"/>
          <w:b/>
          <w:bCs/>
          <w:color w:val="000000" w:themeColor="text1"/>
          <w:sz w:val="24"/>
          <w14:textFill>
            <w14:solidFill>
              <w14:schemeClr w14:val="tx1"/>
            </w14:solidFill>
          </w14:textFill>
        </w:rPr>
        <w:t>资格</w:t>
      </w:r>
      <w:r>
        <w:rPr>
          <w:rFonts w:ascii="宋体" w:hAnsi="宋体"/>
          <w:b/>
          <w:bCs/>
          <w:color w:val="000000" w:themeColor="text1"/>
          <w:sz w:val="24"/>
          <w14:textFill>
            <w14:solidFill>
              <w14:schemeClr w14:val="tx1"/>
            </w14:solidFill>
          </w14:textFill>
        </w:rPr>
        <w:t>审查</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评标委员会对投标人的资格和投标文件的完整性、合法性等进行审查。</w:t>
      </w:r>
    </w:p>
    <w:p>
      <w:pPr>
        <w:snapToGrid w:val="0"/>
        <w:spacing w:beforeLines="50" w:line="360" w:lineRule="auto"/>
        <w:ind w:firstLine="472" w:firstLineChars="196"/>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2.实质审查与比较</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（1）评标委员会审查投标文件的实质性内容是否符合招标文件的实质性要求。</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（2）评标委员会将根据投标人的投标文件进行审查、核对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如有疑问</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将对投标人进行询标</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投标人要向评标委员会澄清有关问题</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并最终以书面形式进行答复。</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投标人代表未到场或者拒绝澄清或者澄清的内容改变了投标文件的实质性内容的，评标委员会有权对该投标文件</w:t>
      </w:r>
      <w:r>
        <w:rPr>
          <w:rFonts w:hint="eastAsia" w:ascii="宋体" w:hAnsi="宋体"/>
          <w:color w:val="000000" w:themeColor="text1"/>
          <w:sz w:val="24"/>
          <w14:textFill>
            <w14:solidFill>
              <w14:schemeClr w14:val="tx1"/>
            </w14:solidFill>
          </w14:textFill>
        </w:rPr>
        <w:t>做出</w:t>
      </w:r>
      <w:r>
        <w:rPr>
          <w:rFonts w:ascii="宋体" w:hAnsi="宋体"/>
          <w:color w:val="000000" w:themeColor="text1"/>
          <w:sz w:val="24"/>
          <w14:textFill>
            <w14:solidFill>
              <w14:schemeClr w14:val="tx1"/>
            </w14:solidFill>
          </w14:textFill>
        </w:rPr>
        <w:t>不利于投标人的评判。</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（3）各</w:t>
      </w:r>
      <w:r>
        <w:rPr>
          <w:rFonts w:hint="eastAsia" w:ascii="宋体" w:hAnsi="宋体"/>
          <w:color w:val="000000" w:themeColor="text1"/>
          <w:sz w:val="24"/>
          <w14:textFill>
            <w14:solidFill>
              <w14:schemeClr w14:val="tx1"/>
            </w14:solidFill>
          </w14:textFill>
        </w:rPr>
        <w:t>评委独立打分，</w:t>
      </w:r>
      <w:r>
        <w:rPr>
          <w:rFonts w:ascii="宋体" w:hAnsi="宋体"/>
          <w:color w:val="000000" w:themeColor="text1"/>
          <w:sz w:val="24"/>
          <w14:textFill>
            <w14:solidFill>
              <w14:schemeClr w14:val="tx1"/>
            </w14:solidFill>
          </w14:textFill>
        </w:rPr>
        <w:t>投标人的</w:t>
      </w:r>
      <w:r>
        <w:rPr>
          <w:rFonts w:hint="eastAsia" w:ascii="宋体" w:hAnsi="宋体"/>
          <w:color w:val="000000" w:themeColor="text1"/>
          <w:sz w:val="24"/>
          <w14:textFill>
            <w14:solidFill>
              <w14:schemeClr w14:val="tx1"/>
            </w14:solidFill>
          </w14:textFill>
        </w:rPr>
        <w:t>综合得分</w:t>
      </w:r>
      <w:r>
        <w:rPr>
          <w:rFonts w:ascii="宋体" w:hAnsi="宋体"/>
          <w:color w:val="000000" w:themeColor="text1"/>
          <w:sz w:val="24"/>
          <w14:textFill>
            <w14:solidFill>
              <w14:schemeClr w14:val="tx1"/>
            </w14:solidFill>
          </w14:textFill>
        </w:rPr>
        <w:t>为所有评委的有效评分的算术平均数，由指定专人进行计算复核。</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）评标委员会推荐</w:t>
      </w:r>
      <w:r>
        <w:rPr>
          <w:rFonts w:hint="eastAsia" w:ascii="宋体" w:hAnsi="宋体"/>
          <w:color w:val="000000" w:themeColor="text1"/>
          <w:sz w:val="24"/>
          <w14:textFill>
            <w14:solidFill>
              <w14:schemeClr w14:val="tx1"/>
            </w14:solidFill>
          </w14:textFill>
        </w:rPr>
        <w:t>综合得分</w:t>
      </w:r>
      <w:r>
        <w:rPr>
          <w:rFonts w:hint="eastAsia" w:ascii="宋体" w:hAnsi="宋体"/>
          <w:color w:val="000000" w:themeColor="text1"/>
          <w:sz w:val="24"/>
          <w:lang w:val="en-US" w:eastAsia="zh-CN"/>
          <w14:textFill>
            <w14:solidFill>
              <w14:schemeClr w14:val="tx1"/>
            </w14:solidFill>
          </w14:textFill>
        </w:rPr>
        <w:t>第一名</w:t>
      </w:r>
      <w:r>
        <w:rPr>
          <w:rFonts w:hint="eastAsia" w:ascii="宋体" w:hAnsi="宋体"/>
          <w:color w:val="000000" w:themeColor="text1"/>
          <w:sz w:val="24"/>
          <w14:textFill>
            <w14:solidFill>
              <w14:schemeClr w14:val="tx1"/>
            </w14:solidFill>
          </w14:textFill>
        </w:rPr>
        <w:t>的投标人成为本项目的</w:t>
      </w:r>
      <w:r>
        <w:rPr>
          <w:rFonts w:ascii="宋体" w:hAnsi="宋体"/>
          <w:color w:val="000000" w:themeColor="text1"/>
          <w:sz w:val="24"/>
          <w14:textFill>
            <w14:solidFill>
              <w14:schemeClr w14:val="tx1"/>
            </w14:solidFill>
          </w14:textFill>
        </w:rPr>
        <w:t>中标</w:t>
      </w:r>
      <w:r>
        <w:rPr>
          <w:rFonts w:hint="eastAsia" w:ascii="宋体" w:hAnsi="宋体"/>
          <w:color w:val="000000" w:themeColor="text1"/>
          <w:sz w:val="24"/>
          <w14:textFill>
            <w14:solidFill>
              <w14:schemeClr w14:val="tx1"/>
            </w14:solidFill>
          </w14:textFill>
        </w:rPr>
        <w:t>候选人</w:t>
      </w:r>
      <w:r>
        <w:rPr>
          <w:rFonts w:ascii="宋体" w:hAnsi="宋体"/>
          <w:color w:val="000000" w:themeColor="text1"/>
          <w:sz w:val="24"/>
          <w14:textFill>
            <w14:solidFill>
              <w14:schemeClr w14:val="tx1"/>
            </w14:solidFill>
          </w14:textFill>
        </w:rPr>
        <w:t>。</w:t>
      </w:r>
    </w:p>
    <w:p>
      <w:pPr>
        <w:pStyle w:val="20"/>
        <w:snapToGrid w:val="0"/>
        <w:spacing w:beforeLines="0" w:afterLines="0" w:line="360" w:lineRule="auto"/>
        <w:ind w:left="720" w:leftChars="228" w:hanging="241" w:hangingChars="1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（四）澄清问题的形式</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0"/>
        <w:snapToGrid w:val="0"/>
        <w:spacing w:beforeLines="0" w:afterLines="0" w:line="360" w:lineRule="auto"/>
        <w:ind w:left="720" w:leftChars="228" w:hanging="241" w:hangingChars="100"/>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五</w:t>
      </w:r>
      <w:r>
        <w:rPr>
          <w:rFonts w:hAnsi="宋体"/>
          <w:b/>
          <w:color w:val="000000" w:themeColor="text1"/>
          <w14:textFill>
            <w14:solidFill>
              <w14:schemeClr w14:val="tx1"/>
            </w14:solidFill>
          </w14:textFill>
        </w:rPr>
        <w:t>）错误修正</w:t>
      </w:r>
    </w:p>
    <w:p>
      <w:pPr>
        <w:pStyle w:val="20"/>
        <w:snapToGrid w:val="0"/>
        <w:spacing w:beforeLines="0" w:afterLines="0" w:line="360" w:lineRule="auto"/>
        <w:ind w:left="719" w:leftChars="228" w:hanging="240" w:hangingChars="1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投标文件如果出现计算或表达上的错误，修正错误的原则如下：</w:t>
      </w:r>
    </w:p>
    <w:p>
      <w:pPr>
        <w:pStyle w:val="20"/>
        <w:numPr>
          <w:ilvl w:val="0"/>
          <w:numId w:val="3"/>
        </w:numPr>
        <w:snapToGrid w:val="0"/>
        <w:spacing w:beforeLines="0" w:afterLines="0" w:line="360" w:lineRule="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对不同文字文本投标文件的解释发生异议的，以中文文本为准。</w:t>
      </w:r>
    </w:p>
    <w:p>
      <w:pPr>
        <w:pStyle w:val="20"/>
        <w:numPr>
          <w:ilvl w:val="0"/>
          <w:numId w:val="3"/>
        </w:numPr>
        <w:snapToGrid w:val="0"/>
        <w:spacing w:beforeLines="0" w:afterLines="0" w:line="360" w:lineRule="auto"/>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对于实质性的内容，不能修正。</w:t>
      </w:r>
    </w:p>
    <w:p>
      <w:pPr>
        <w:pStyle w:val="20"/>
        <w:tabs>
          <w:tab w:val="left" w:pos="630"/>
        </w:tabs>
        <w:snapToGrid w:val="0"/>
        <w:spacing w:beforeLines="0" w:afterLines="0"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四、</w:t>
      </w:r>
      <w:r>
        <w:rPr>
          <w:rFonts w:hAnsi="宋体"/>
          <w:b/>
          <w:color w:val="000000" w:themeColor="text1"/>
          <w14:textFill>
            <w14:solidFill>
              <w14:schemeClr w14:val="tx1"/>
            </w14:solidFill>
          </w14:textFill>
        </w:rPr>
        <w:t>评标原则和评标办法</w:t>
      </w:r>
    </w:p>
    <w:p>
      <w:pPr>
        <w:pStyle w:val="20"/>
        <w:snapToGrid w:val="0"/>
        <w:spacing w:beforeLines="0" w:afterLines="0" w:line="360" w:lineRule="auto"/>
        <w:ind w:firstLine="482" w:firstLineChars="200"/>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（一）</w:t>
      </w:r>
      <w:r>
        <w:rPr>
          <w:rFonts w:hAnsi="宋体"/>
          <w:b/>
          <w:color w:val="000000" w:themeColor="text1"/>
          <w14:textFill>
            <w14:solidFill>
              <w14:schemeClr w14:val="tx1"/>
            </w14:solidFill>
          </w14:textFill>
        </w:rPr>
        <w:t>评标原则。</w:t>
      </w:r>
      <w:r>
        <w:rPr>
          <w:rFonts w:hAnsi="宋体"/>
          <w:color w:val="000000" w:themeColor="text1"/>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评标委员会必须公平、公正、客观，不带任何倾向性和启发性；不得向外界透露任何与评标有关的内容；任何单位和个人不得干扰、影响评标的正常进行；评标委员会及有关工作人员不得私下与投标人接触。</w:t>
      </w:r>
    </w:p>
    <w:p>
      <w:pPr>
        <w:spacing w:beforeLines="50"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w:t>
      </w:r>
      <w:r>
        <w:rPr>
          <w:rFonts w:ascii="宋体" w:hAnsi="宋体"/>
          <w:b/>
          <w:color w:val="000000" w:themeColor="text1"/>
          <w:sz w:val="24"/>
          <w14:textFill>
            <w14:solidFill>
              <w14:schemeClr w14:val="tx1"/>
            </w14:solidFill>
          </w14:textFill>
        </w:rPr>
        <w:t>评标办法。</w:t>
      </w:r>
      <w:r>
        <w:rPr>
          <w:rFonts w:ascii="宋体" w:hAnsi="宋体"/>
          <w:color w:val="000000" w:themeColor="text1"/>
          <w:sz w:val="24"/>
          <w14:textFill>
            <w14:solidFill>
              <w14:schemeClr w14:val="tx1"/>
            </w14:solidFill>
          </w14:textFill>
        </w:rPr>
        <w:t>本项目评标办法</w:t>
      </w:r>
      <w:r>
        <w:rPr>
          <w:rFonts w:hint="eastAsia" w:ascii="宋体" w:hAnsi="宋体"/>
          <w:color w:val="000000" w:themeColor="text1"/>
          <w:sz w:val="24"/>
          <w14:textFill>
            <w14:solidFill>
              <w14:schemeClr w14:val="tx1"/>
            </w14:solidFill>
          </w14:textFill>
        </w:rPr>
        <w:t xml:space="preserve">为 </w:t>
      </w:r>
      <w:r>
        <w:rPr>
          <w:rFonts w:hint="eastAsia" w:ascii="宋体" w:hAnsi="宋体"/>
          <w:b/>
          <w:color w:val="000000" w:themeColor="text1"/>
          <w:sz w:val="24"/>
          <w:u w:val="single"/>
          <w14:textFill>
            <w14:solidFill>
              <w14:schemeClr w14:val="tx1"/>
            </w14:solidFill>
          </w14:textFill>
        </w:rPr>
        <w:t>综合评分法</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总分为100分</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合格投标人的评标得分为各项得分汇总，中标候选资格按评标总得分由高到低顺序排列；总得分相同的，按</w:t>
      </w:r>
      <w:r>
        <w:rPr>
          <w:rFonts w:hint="eastAsia" w:ascii="宋体" w:hAnsi="宋体" w:cs="宋体"/>
          <w:color w:val="000000" w:themeColor="text1"/>
          <w:sz w:val="24"/>
          <w14:textFill>
            <w14:solidFill>
              <w14:schemeClr w14:val="tx1"/>
            </w14:solidFill>
          </w14:textFill>
        </w:rPr>
        <w:t>服务水平得分由高到低排列；总得分和服务水平得分均相同的，</w:t>
      </w:r>
      <w:r>
        <w:rPr>
          <w:rFonts w:hint="eastAsia" w:ascii="宋体" w:hAnsi="宋体"/>
          <w:color w:val="000000" w:themeColor="text1"/>
          <w:sz w:val="24"/>
          <w14:textFill>
            <w14:solidFill>
              <w14:schemeClr w14:val="tx1"/>
            </w14:solidFill>
          </w14:textFill>
        </w:rPr>
        <w:t>则抽签决定。评分过程中采用四舍五入法，并保留小数点后1位。</w:t>
      </w:r>
    </w:p>
    <w:p>
      <w:pPr>
        <w:pStyle w:val="20"/>
        <w:snapToGrid w:val="0"/>
        <w:spacing w:before="120" w:after="120" w:line="360" w:lineRule="auto"/>
        <w:ind w:left="317" w:leftChars="151" w:firstLine="120" w:firstLineChars="5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（三）评标过程保密要求</w:t>
      </w:r>
    </w:p>
    <w:p>
      <w:pPr>
        <w:pStyle w:val="20"/>
        <w:snapToGrid w:val="0"/>
        <w:spacing w:before="120" w:after="120" w:line="360" w:lineRule="auto"/>
        <w:ind w:firstLine="48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开标之后，直到发出中标通知书之前，凡是涉及评标委员会名单、投标文件的澄清、评价、比较各投标的有关资料以及授标意向等，评标委员会成员、招标人和招标代理公司的有关人员均不得向投标人或其他无关的人员透露。</w:t>
      </w:r>
      <w:bookmarkStart w:id="131" w:name="_Toc259108327"/>
      <w:bookmarkStart w:id="132" w:name="_Toc249866770"/>
    </w:p>
    <w:p>
      <w:pPr>
        <w:pStyle w:val="20"/>
        <w:snapToGrid w:val="0"/>
        <w:spacing w:beforeLines="0" w:afterLines="0" w:line="360" w:lineRule="auto"/>
        <w:outlineLvl w:val="1"/>
        <w:rPr>
          <w:rFonts w:hAnsi="宋体"/>
          <w:b/>
          <w:color w:val="000000" w:themeColor="text1"/>
          <w14:textFill>
            <w14:solidFill>
              <w14:schemeClr w14:val="tx1"/>
            </w14:solidFill>
          </w14:textFill>
        </w:rPr>
      </w:pPr>
      <w:bookmarkStart w:id="133" w:name="_Toc444597105"/>
      <w:bookmarkStart w:id="134" w:name="_Toc436314554"/>
      <w:bookmarkStart w:id="135" w:name="_Toc429406717"/>
      <w:bookmarkStart w:id="136" w:name="_Toc355117130"/>
      <w:bookmarkStart w:id="137" w:name="_Toc454551083"/>
      <w:bookmarkStart w:id="138" w:name="_Toc427442469"/>
      <w:r>
        <w:rPr>
          <w:rFonts w:hint="eastAsia" w:hAnsi="宋体"/>
          <w:b/>
          <w:color w:val="000000" w:themeColor="text1"/>
          <w14:textFill>
            <w14:solidFill>
              <w14:schemeClr w14:val="tx1"/>
            </w14:solidFill>
          </w14:textFill>
        </w:rPr>
        <w:t>五、定标</w:t>
      </w:r>
      <w:bookmarkEnd w:id="131"/>
      <w:bookmarkEnd w:id="132"/>
      <w:bookmarkEnd w:id="133"/>
      <w:bookmarkEnd w:id="134"/>
      <w:bookmarkEnd w:id="135"/>
      <w:bookmarkEnd w:id="136"/>
      <w:bookmarkEnd w:id="137"/>
      <w:bookmarkEnd w:id="138"/>
    </w:p>
    <w:p>
      <w:pPr>
        <w:pStyle w:val="20"/>
        <w:snapToGrid w:val="0"/>
        <w:spacing w:beforeLines="0" w:afterLines="0" w:line="360" w:lineRule="auto"/>
        <w:ind w:firstLine="470" w:firstLineChars="196"/>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（一）确定中标单位。本项目由评标委员会推荐</w:t>
      </w:r>
      <w:r>
        <w:rPr>
          <w:rFonts w:hint="eastAsia" w:hAnsi="宋体"/>
          <w:color w:val="000000" w:themeColor="text1"/>
          <w14:textFill>
            <w14:solidFill>
              <w14:schemeClr w14:val="tx1"/>
            </w14:solidFill>
          </w14:textFill>
        </w:rPr>
        <w:t>综合得分</w:t>
      </w:r>
      <w:r>
        <w:rPr>
          <w:rFonts w:hint="eastAsia" w:hAnsi="宋体"/>
          <w:color w:val="000000" w:themeColor="text1"/>
          <w:lang w:val="en-US" w:eastAsia="zh-CN"/>
          <w14:textFill>
            <w14:solidFill>
              <w14:schemeClr w14:val="tx1"/>
            </w14:solidFill>
          </w14:textFill>
        </w:rPr>
        <w:t>第一名</w:t>
      </w:r>
      <w:r>
        <w:rPr>
          <w:rFonts w:hint="eastAsia" w:hAnsi="宋体"/>
          <w:color w:val="000000" w:themeColor="text1"/>
          <w14:textFill>
            <w14:solidFill>
              <w14:schemeClr w14:val="tx1"/>
            </w14:solidFill>
          </w14:textFill>
        </w:rPr>
        <w:t>的投标人成为本项目的中标候选人</w:t>
      </w:r>
      <w:r>
        <w:rPr>
          <w:rFonts w:hAnsi="宋体"/>
          <w:color w:val="000000" w:themeColor="text1"/>
          <w14:textFill>
            <w14:solidFill>
              <w14:schemeClr w14:val="tx1"/>
            </w14:solidFill>
          </w14:textFill>
        </w:rPr>
        <w:t>。</w:t>
      </w:r>
    </w:p>
    <w:p>
      <w:pPr>
        <w:snapToGrid w:val="0"/>
        <w:spacing w:line="360" w:lineRule="auto"/>
        <w:ind w:firstLine="480" w:firstLineChars="200"/>
        <w:rPr>
          <w:rFonts w:hAnsi="宋体"/>
          <w:b/>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（二）经招标人确认，中标公示结束后，签发书面</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中标</w:t>
      </w:r>
      <w:r>
        <w:rPr>
          <w:rFonts w:ascii="宋体" w:hAnsi="宋体"/>
          <w:color w:val="000000" w:themeColor="text1"/>
          <w:sz w:val="24"/>
          <w14:textFill>
            <w14:solidFill>
              <w14:schemeClr w14:val="tx1"/>
            </w14:solidFill>
          </w14:textFill>
        </w:rPr>
        <w:t>通知书》</w:t>
      </w:r>
      <w:r>
        <w:rPr>
          <w:rFonts w:hint="eastAsia" w:ascii="宋体" w:hAnsi="宋体"/>
          <w:color w:val="000000" w:themeColor="text1"/>
          <w:sz w:val="24"/>
          <w14:textFill>
            <w14:solidFill>
              <w14:schemeClr w14:val="tx1"/>
            </w14:solidFill>
          </w14:textFill>
        </w:rPr>
        <w:t>。</w:t>
      </w:r>
      <w:bookmarkStart w:id="139" w:name="_Toc259108328"/>
      <w:bookmarkStart w:id="140" w:name="_Toc249866771"/>
    </w:p>
    <w:p>
      <w:pPr>
        <w:spacing w:line="360" w:lineRule="auto"/>
        <w:rPr>
          <w:rFonts w:ascii="宋体" w:hAnsi="宋体" w:cs="Arial"/>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六、合同授予</w:t>
      </w:r>
      <w:bookmarkEnd w:id="139"/>
      <w:bookmarkEnd w:id="140"/>
    </w:p>
    <w:p>
      <w:pPr>
        <w:snapToGrid w:val="0"/>
        <w:spacing w:line="360" w:lineRule="auto"/>
        <w:ind w:firstLine="360" w:firstLineChars="15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1.招标人与中标人应当在《中标通知书》发出之日起按招标文件规定的时间内签订</w:t>
      </w:r>
      <w:r>
        <w:rPr>
          <w:rFonts w:hint="eastAsia" w:ascii="宋体" w:hAnsi="宋体"/>
          <w:color w:val="000000" w:themeColor="text1"/>
          <w:sz w:val="24"/>
          <w14:textFill>
            <w14:solidFill>
              <w14:schemeClr w14:val="tx1"/>
            </w14:solidFill>
          </w14:textFill>
        </w:rPr>
        <w:t>合同或协议</w:t>
      </w:r>
      <w:r>
        <w:rPr>
          <w:rFonts w:ascii="宋体" w:hAnsi="宋体"/>
          <w:color w:val="000000" w:themeColor="text1"/>
          <w:sz w:val="24"/>
          <w14:textFill>
            <w14:solidFill>
              <w14:schemeClr w14:val="tx1"/>
            </w14:solidFill>
          </w14:textFill>
        </w:rPr>
        <w:t>。如发现与招标结果和投标承诺内容不一致的，应予以纠正。</w:t>
      </w:r>
    </w:p>
    <w:p>
      <w:pPr>
        <w:snapToGrid w:val="0"/>
        <w:spacing w:line="360" w:lineRule="auto"/>
        <w:ind w:firstLine="360" w:firstLineChars="15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中标单位</w:t>
      </w:r>
      <w:r>
        <w:rPr>
          <w:rFonts w:ascii="宋体" w:hAnsi="宋体"/>
          <w:color w:val="000000" w:themeColor="text1"/>
          <w:sz w:val="24"/>
          <w14:textFill>
            <w14:solidFill>
              <w14:schemeClr w14:val="tx1"/>
            </w14:solidFill>
          </w14:textFill>
        </w:rPr>
        <w:t>拖延、拒签合同的</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将取消中标资格。</w:t>
      </w:r>
    </w:p>
    <w:p>
      <w:pPr>
        <w:pStyle w:val="14"/>
        <w:rPr>
          <w:rFonts w:ascii="宋体" w:hAnsi="宋体"/>
          <w:color w:val="000000" w:themeColor="text1"/>
          <w:sz w:val="24"/>
          <w14:textFill>
            <w14:solidFill>
              <w14:schemeClr w14:val="tx1"/>
            </w14:solidFill>
          </w14:textFill>
        </w:rPr>
      </w:pPr>
    </w:p>
    <w:p>
      <w:pPr>
        <w:pStyle w:val="15"/>
      </w:pPr>
    </w:p>
    <w:p/>
    <w:p/>
    <w:p/>
    <w:p/>
    <w:p/>
    <w:p/>
    <w:p/>
    <w:p>
      <w:pPr>
        <w:pStyle w:val="14"/>
        <w:rPr>
          <w:rFonts w:ascii="宋体" w:hAnsi="宋体"/>
          <w:color w:val="000000" w:themeColor="text1"/>
          <w:sz w:val="24"/>
          <w14:textFill>
            <w14:solidFill>
              <w14:schemeClr w14:val="tx1"/>
            </w14:solidFill>
          </w14:textFill>
        </w:rPr>
      </w:pPr>
    </w:p>
    <w:p>
      <w:pPr>
        <w:pStyle w:val="1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评 标 细 则</w:t>
      </w:r>
    </w:p>
    <w:p>
      <w:pPr>
        <w:snapToGrid w:val="0"/>
        <w:spacing w:line="360" w:lineRule="auto"/>
        <w:rPr>
          <w:rFonts w:ascii="宋体" w:hAnsi="宋体"/>
          <w:color w:val="000000" w:themeColor="text1"/>
          <w:sz w:val="24"/>
          <w14:textFill>
            <w14:solidFill>
              <w14:schemeClr w14:val="tx1"/>
            </w14:solidFill>
          </w14:textFill>
        </w:rPr>
      </w:pPr>
    </w:p>
    <w:tbl>
      <w:tblPr>
        <w:tblStyle w:val="3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0"/>
        <w:gridCol w:w="780"/>
        <w:gridCol w:w="1788"/>
        <w:gridCol w:w="3808"/>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3"/>
                <w:lang w:val="en-US" w:eastAsia="zh-CN" w:bidi="ar"/>
              </w:rPr>
              <w:t>评分项目</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3"/>
                <w:lang w:val="en-US" w:eastAsia="zh-CN" w:bidi="ar"/>
              </w:rPr>
              <w:t>评分</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3"/>
                <w:lang w:val="en-US" w:eastAsia="zh-CN" w:bidi="ar"/>
              </w:rPr>
              <w:t>分值</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3"/>
                <w:lang w:val="en-US" w:eastAsia="zh-CN" w:bidi="ar"/>
              </w:rPr>
              <w:t>明细指标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3"/>
                <w:lang w:val="en-US" w:eastAsia="zh-CN" w:bidi="ar"/>
              </w:rPr>
              <w:t>计分办法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2" w:hRule="atLeast"/>
        </w:trPr>
        <w:tc>
          <w:tcPr>
            <w:tcW w:w="8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经营状况（</w:t>
            </w:r>
            <w:r>
              <w:rPr>
                <w:rStyle w:val="63"/>
                <w:rFonts w:hint="eastAsia"/>
                <w:highlight w:val="none"/>
                <w:lang w:val="en-US" w:eastAsia="zh-CN" w:bidi="ar"/>
              </w:rPr>
              <w:t>33</w:t>
            </w:r>
            <w:r>
              <w:rPr>
                <w:rStyle w:val="63"/>
                <w:highlight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8</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贷款总量指标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2023年12月底统计数据，反映投标银行对我市的信贷投放总体规模。指标计分办法：参与本次投标的银行按照人行信贷规模监测表（本外币）“本期余额(各项贷款)”，贷款余额最大的投标银行为第1名，得满分，按名次每递减1名减0.</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该指标取数金融监管局报表表内余额表。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8</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贷款增量指标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2023年12月底数据，反映投标银行对我市的信贷投放当年度的净增加值。指标计分办法：参与本次投标的银行按照“期末人行信贷规模监测表（本外币）”，本期贷款增加额最大的投标银行为第1名，得满分，按名次每递减1名减0.</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 。</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该指标取数金融监管局报表表内余额表。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6</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贷款增幅指标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按2023年12月底数据。指标计分办法：参与本次投标的银行按照“人行信贷规模监测表（本外币）”，本期贷款增幅最大的投标银行为第1名，得满分，按名次每递减1名减0.</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该指标取数金融监管局报表表内余额表。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存贷比贡献度指标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2023年12月底数据，反映投标银行以自身存款规模为基础对我市的信贷贡献力度。该指标取数金融监管局报表。指标计分办法：参与本次投标的银行按照“人行信贷规模监测表（本外币）”排序，本期余额存贷比最大的投标银行为第1名，得满分，按名次每递减1名减0.</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该指标取数金融监管局报表表内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4" w:hRule="atLeast"/>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3"/>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不良贷款率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参照金融监管局2023年12月报表，0.5%（含）以下得3分，0.5%-1%（含）得2.5分，1-2%（含）得2分，2-3%（含）得1.5分，3-5%（含）得1分，5%以上不得分。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3"/>
                <w:highlight w:val="none"/>
                <w:lang w:val="en-US" w:eastAsia="zh-CN" w:bidi="ar"/>
              </w:rPr>
            </w:pPr>
            <w:r>
              <w:rPr>
                <w:rStyle w:val="63"/>
                <w:highlight w:val="none"/>
                <w:lang w:val="en-US" w:eastAsia="zh-CN" w:bidi="ar"/>
              </w:rPr>
              <w:t>该指标取数</w:t>
            </w:r>
            <w:r>
              <w:rPr>
                <w:rStyle w:val="63"/>
                <w:rFonts w:hint="eastAsia"/>
                <w:highlight w:val="none"/>
                <w:lang w:val="en-US" w:eastAsia="zh-CN" w:bidi="ar"/>
              </w:rPr>
              <w:t>金融监管局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风险及内部控制</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投标人近两年内未发生风险案件，按安全保障方案、财务稳健保障与风险控制方案、银行内部控制方案、对账核算服务及分账核算服务的水平及方案是否完善进行综合评价：优3分，良2分，一般1分，未进行说明及提供证明材料的不得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819"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服务水平（</w:t>
            </w:r>
            <w:r>
              <w:rPr>
                <w:rStyle w:val="63"/>
                <w:rFonts w:hint="eastAsia"/>
                <w:highlight w:val="none"/>
                <w:lang w:val="en-US" w:eastAsia="zh-CN" w:bidi="ar"/>
              </w:rPr>
              <w:t>16</w:t>
            </w:r>
            <w:r>
              <w:rPr>
                <w:rStyle w:val="63"/>
                <w:highlight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服务建设考评指标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投标银行上年度（202</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年度）获得杭州市级同业服务考核奖励每项可加1分、获得省级及以上同业服务考核奖励每项可加2分（需提供获奖证明等证明材料，并获得评委会一致认可，例如中国银行业协会的文明规范服务“百佳”、“千佳”网点,中央文明办的全国精神文明单位，等），指标已得满分或加分后已满分的则不再加分，最高得</w:t>
            </w: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以获得时间为准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81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3"/>
                <w:rFonts w:hint="default"/>
                <w:highlight w:val="none"/>
                <w:lang w:val="en-US" w:eastAsia="zh-CN" w:bidi="ar"/>
              </w:rPr>
            </w:pPr>
            <w:r>
              <w:rPr>
                <w:rStyle w:val="63"/>
                <w:rFonts w:hint="eastAsia"/>
                <w:highlight w:val="none"/>
                <w:lang w:val="en-US" w:eastAsia="zh-CN" w:bidi="ar"/>
              </w:rPr>
              <w:t>人员配置方案</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rFonts w:hint="default"/>
                <w:highlight w:val="none"/>
                <w:lang w:val="en-US" w:eastAsia="zh-CN" w:bidi="ar"/>
              </w:rPr>
            </w:pPr>
            <w:r>
              <w:rPr>
                <w:rStyle w:val="63"/>
                <w:rFonts w:hint="eastAsia"/>
                <w:highlight w:val="none"/>
                <w:lang w:val="en-US" w:eastAsia="zh-CN" w:bidi="ar"/>
              </w:rPr>
              <w:t>提供二人驻场服务，得3分，增加1人得1分，最高得4分。提供人员配置表。（人员配置详见备注）</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81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3"/>
                <w:rFonts w:hint="eastAsia"/>
                <w:highlight w:val="none"/>
                <w:lang w:val="en-US" w:eastAsia="zh-CN" w:bidi="ar"/>
              </w:rPr>
            </w:pPr>
            <w:r>
              <w:rPr>
                <w:rStyle w:val="63"/>
                <w:highlight w:val="none"/>
                <w:lang w:val="en-US" w:eastAsia="zh-CN" w:bidi="ar"/>
              </w:rPr>
              <w:t>业务收费优惠承诺情况</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rFonts w:hint="eastAsia"/>
                <w:highlight w:val="none"/>
                <w:lang w:val="en-US" w:eastAsia="zh-CN" w:bidi="ar"/>
              </w:rPr>
            </w:pPr>
            <w:r>
              <w:rPr>
                <w:rStyle w:val="63"/>
                <w:highlight w:val="none"/>
                <w:lang w:val="en-US" w:eastAsia="zh-CN" w:bidi="ar"/>
              </w:rPr>
              <w:t>根据提供的服务费用情况及优惠措施进行综合评分1-</w:t>
            </w:r>
            <w:r>
              <w:rPr>
                <w:rStyle w:val="63"/>
                <w:rFonts w:hint="eastAsia"/>
                <w:highlight w:val="none"/>
                <w:lang w:val="en-US" w:eastAsia="zh-CN" w:bidi="ar"/>
              </w:rPr>
              <w:t>4</w:t>
            </w:r>
            <w:r>
              <w:rPr>
                <w:rStyle w:val="63"/>
                <w:highlight w:val="none"/>
                <w:lang w:val="en-US" w:eastAsia="zh-CN" w:bidi="ar"/>
              </w:rPr>
              <w:t>分（提供一般业务服务费用清单及优惠措施，包括但不限于账户管理费、网银转账、电汇转账、通存通兑、存款证明、保函、账户维护、回单卡、结算卡等手续费及工本费）。其中，银行自收的各项服务费用全免得满分，优惠措施不明显的酌情扣分。不提供清单及优惠措施的不得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1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3"/>
                <w:rFonts w:hint="eastAsia"/>
                <w:highlight w:val="none"/>
                <w:lang w:val="en-US" w:eastAsia="zh-CN" w:bidi="ar"/>
              </w:rPr>
            </w:pPr>
            <w:r>
              <w:rPr>
                <w:rStyle w:val="63"/>
                <w:highlight w:val="none"/>
                <w:lang w:val="en-US" w:eastAsia="zh-CN" w:bidi="ar"/>
              </w:rPr>
              <w:t>个性化服务</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rFonts w:hint="eastAsia"/>
                <w:highlight w:val="none"/>
                <w:lang w:val="en-US" w:eastAsia="zh-CN" w:bidi="ar"/>
              </w:rPr>
            </w:pPr>
            <w:r>
              <w:rPr>
                <w:rStyle w:val="63"/>
                <w:highlight w:val="none"/>
                <w:lang w:val="en-US" w:eastAsia="zh-CN" w:bidi="ar"/>
              </w:rPr>
              <w:t>承诺未预约情况下，保障大额资金按时支付的得2分；承诺确定客户经理，并提供一对一上门服务的，得2分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19"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63"/>
                <w:highlight w:val="none"/>
                <w:lang w:val="en-US" w:eastAsia="zh-CN" w:bidi="ar"/>
              </w:rPr>
            </w:pPr>
            <w:r>
              <w:rPr>
                <w:rStyle w:val="63"/>
                <w:highlight w:val="none"/>
                <w:lang w:val="en-US" w:eastAsia="zh-CN" w:bidi="ar"/>
              </w:rPr>
              <w:t>经济发展贡献（</w:t>
            </w:r>
            <w:r>
              <w:rPr>
                <w:rStyle w:val="63"/>
                <w:rFonts w:hint="eastAsia"/>
                <w:highlight w:val="none"/>
                <w:lang w:val="en-US" w:eastAsia="zh-CN" w:bidi="ar"/>
              </w:rPr>
              <w:t>30</w:t>
            </w:r>
            <w:r>
              <w:rPr>
                <w:rStyle w:val="63"/>
                <w:highlight w:val="none"/>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3"/>
                <w:highlight w:val="none"/>
                <w:lang w:val="en-US" w:eastAsia="zh-CN" w:bidi="ar"/>
              </w:rPr>
              <w:t>（</w:t>
            </w:r>
            <w:r>
              <w:rPr>
                <w:rFonts w:hint="eastAsia" w:ascii="宋体" w:hAnsi="宋体" w:eastAsia="宋体" w:cs="宋体"/>
                <w:sz w:val="24"/>
                <w:szCs w:val="24"/>
                <w:highlight w:val="none"/>
                <w:u w:val="none"/>
              </w:rPr>
              <w:t>支持地方经济及社会发展</w:t>
            </w:r>
            <w:r>
              <w:rPr>
                <w:rStyle w:val="63"/>
                <w:highlight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3"/>
                <w:rFonts w:hint="eastAsia"/>
                <w:highlight w:val="none"/>
                <w:lang w:val="en-US" w:eastAsia="zh-CN" w:bidi="ar"/>
              </w:rPr>
            </w:pPr>
            <w:r>
              <w:rPr>
                <w:rStyle w:val="63"/>
                <w:highlight w:val="none"/>
                <w:lang w:val="en-US" w:eastAsia="zh-CN" w:bidi="ar"/>
              </w:rPr>
              <w:t>开展政策性融资担保贷款业务</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rFonts w:hint="eastAsia"/>
                <w:highlight w:val="none"/>
                <w:lang w:val="en-US" w:eastAsia="zh-CN" w:bidi="ar"/>
              </w:rPr>
            </w:pPr>
            <w:r>
              <w:rPr>
                <w:rStyle w:val="63"/>
                <w:highlight w:val="none"/>
                <w:lang w:val="en-US" w:eastAsia="zh-CN" w:bidi="ar"/>
              </w:rPr>
              <w:t>与担保机构签订政策性融资担保贷款业务协议且实际已经开展政策性担保业务的的得5分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1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63"/>
                <w:highlight w:val="none"/>
                <w:lang w:val="en-US" w:eastAsia="zh-CN" w:bidi="ar"/>
              </w:rPr>
            </w:pP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10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highlight w:val="none"/>
                <w:lang w:val="en-US" w:eastAsia="zh-CN" w:bidi="ar"/>
              </w:rPr>
            </w:pPr>
            <w:r>
              <w:rPr>
                <w:rStyle w:val="63"/>
                <w:rFonts w:hint="eastAsia"/>
                <w:highlight w:val="none"/>
                <w:lang w:val="en-US" w:eastAsia="zh-CN" w:bidi="ar"/>
              </w:rPr>
              <w:t>推进国有企业转型升级</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highlight w:val="none"/>
                <w:lang w:val="en-US" w:eastAsia="zh-CN" w:bidi="ar"/>
              </w:rPr>
            </w:pPr>
            <w:r>
              <w:rPr>
                <w:rStyle w:val="63"/>
                <w:rFonts w:hint="eastAsia"/>
                <w:highlight w:val="none"/>
                <w:lang w:val="en-US" w:eastAsia="zh-CN" w:bidi="ar"/>
              </w:rPr>
              <w:t>按国有企业2023年12月底数据，对全市国有企业贷款额排名（2分）计算得分。第1名得满分，按名次每递减1名减0.1分,无贷款余额不得分。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1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63"/>
                <w:highlight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highlight w:val="none"/>
                <w:lang w:val="en-US" w:eastAsia="zh-CN" w:bidi="ar"/>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highlight w:val="none"/>
                <w:lang w:val="en-US" w:eastAsia="zh-CN" w:bidi="ar"/>
              </w:rPr>
            </w:pPr>
            <w:r>
              <w:rPr>
                <w:rStyle w:val="63"/>
                <w:rFonts w:hint="eastAsia"/>
                <w:highlight w:val="none"/>
                <w:lang w:val="en-US" w:eastAsia="zh-CN" w:bidi="ar"/>
              </w:rPr>
              <w:t>按国有企业2023年12月底数据，全市国有企业贷款增量排名（2分）计算得分。第1名得满分，按名次每递减1名减0.1分，无贷款余额不得分。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1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63"/>
                <w:highlight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3"/>
                <w:highlight w:val="none"/>
                <w:lang w:val="en-US" w:eastAsia="zh-CN" w:bidi="ar"/>
              </w:rPr>
            </w:pPr>
            <w:r>
              <w:rPr>
                <w:rFonts w:hint="eastAsia" w:ascii="宋体" w:hAnsi="宋体" w:cs="宋体"/>
                <w:color w:val="auto"/>
                <w:kern w:val="0"/>
                <w:sz w:val="21"/>
                <w:szCs w:val="21"/>
                <w:highlight w:val="none"/>
                <w:lang w:eastAsia="zh-CN" w:bidi="ar"/>
              </w:rPr>
              <w:t>信息化</w:t>
            </w:r>
            <w:r>
              <w:rPr>
                <w:rFonts w:hint="eastAsia" w:ascii="宋体" w:hAnsi="宋体" w:cs="宋体"/>
                <w:color w:val="auto"/>
                <w:kern w:val="0"/>
                <w:sz w:val="21"/>
                <w:szCs w:val="21"/>
                <w:highlight w:val="none"/>
                <w:lang w:bidi="ar"/>
              </w:rPr>
              <w:t>建设支持情况</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rFonts w:hint="eastAsia"/>
                <w:highlight w:val="none"/>
                <w:lang w:val="en-US" w:eastAsia="zh-CN" w:bidi="ar"/>
              </w:rPr>
            </w:pPr>
            <w:r>
              <w:rPr>
                <w:rFonts w:hint="eastAsia" w:ascii="宋体" w:hAnsi="宋体" w:cs="宋体"/>
                <w:color w:val="auto"/>
                <w:sz w:val="21"/>
                <w:szCs w:val="21"/>
                <w:highlight w:val="none"/>
                <w:lang w:eastAsia="zh-CN"/>
              </w:rPr>
              <w:t>近五年对医院信息化</w:t>
            </w:r>
            <w:r>
              <w:rPr>
                <w:rFonts w:hint="eastAsia" w:ascii="宋体" w:hAnsi="宋体" w:cs="宋体"/>
                <w:color w:val="auto"/>
                <w:sz w:val="21"/>
                <w:szCs w:val="21"/>
                <w:highlight w:val="none"/>
              </w:rPr>
              <w:t>建设项目</w:t>
            </w:r>
            <w:r>
              <w:rPr>
                <w:rFonts w:hint="eastAsia" w:ascii="宋体" w:hAnsi="宋体" w:cs="宋体"/>
                <w:color w:val="auto"/>
                <w:sz w:val="21"/>
                <w:szCs w:val="21"/>
                <w:highlight w:val="none"/>
                <w:lang w:eastAsia="zh-CN"/>
              </w:rPr>
              <w:t>提供支持</w:t>
            </w:r>
            <w:r>
              <w:rPr>
                <w:rFonts w:hint="eastAsia" w:ascii="宋体" w:hAnsi="宋体" w:cs="宋体"/>
                <w:color w:val="auto"/>
                <w:sz w:val="21"/>
                <w:szCs w:val="21"/>
                <w:highlight w:val="none"/>
              </w:rPr>
              <w:t>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分，无</w:t>
            </w:r>
            <w:r>
              <w:rPr>
                <w:rFonts w:hint="eastAsia" w:ascii="宋体" w:hAnsi="宋体" w:cs="宋体"/>
                <w:color w:val="auto"/>
                <w:sz w:val="21"/>
                <w:szCs w:val="21"/>
                <w:highlight w:val="none"/>
                <w:lang w:eastAsia="zh-CN"/>
              </w:rPr>
              <w:t>支持</w:t>
            </w:r>
            <w:r>
              <w:rPr>
                <w:rFonts w:hint="eastAsia" w:ascii="宋体" w:hAnsi="宋体" w:cs="宋体"/>
                <w:color w:val="auto"/>
                <w:sz w:val="21"/>
                <w:szCs w:val="21"/>
                <w:highlight w:val="none"/>
              </w:rPr>
              <w:t>的不得分。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1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w:t>
            </w:r>
          </w:p>
        </w:tc>
        <w:tc>
          <w:tcPr>
            <w:tcW w:w="101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63"/>
                <w:rFonts w:hint="eastAsia"/>
                <w:highlight w:val="none"/>
                <w:lang w:val="en-US" w:eastAsia="zh-CN" w:bidi="ar"/>
              </w:rPr>
            </w:pPr>
            <w:r>
              <w:rPr>
                <w:rFonts w:hint="eastAsia" w:ascii="宋体" w:hAnsi="宋体" w:eastAsia="宋体" w:cs="宋体"/>
                <w:b w:val="0"/>
                <w:bCs w:val="0"/>
                <w:i w:val="0"/>
                <w:iCs w:val="0"/>
                <w:color w:val="000000"/>
                <w:sz w:val="21"/>
                <w:szCs w:val="21"/>
                <w:highlight w:val="none"/>
                <w:u w:val="none"/>
                <w:lang w:val="en-US" w:eastAsia="zh-CN"/>
              </w:rPr>
              <w:t>对医疗工作的支持</w:t>
            </w:r>
          </w:p>
        </w:tc>
        <w:tc>
          <w:tcPr>
            <w:tcW w:w="215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63"/>
                <w:rFonts w:hint="eastAsia"/>
                <w:highlight w:val="none"/>
                <w:lang w:val="en-US" w:eastAsia="zh-CN" w:bidi="ar"/>
              </w:rPr>
            </w:pPr>
            <w:r>
              <w:rPr>
                <w:rFonts w:hint="eastAsia" w:ascii="宋体" w:hAnsi="宋体" w:eastAsia="宋体" w:cs="宋体"/>
                <w:i w:val="0"/>
                <w:iCs w:val="0"/>
                <w:color w:val="000000"/>
                <w:sz w:val="21"/>
                <w:szCs w:val="21"/>
                <w:highlight w:val="none"/>
                <w:u w:val="none"/>
                <w:lang w:eastAsia="zh-CN"/>
              </w:rPr>
              <w:t>提供在</w:t>
            </w:r>
            <w:r>
              <w:rPr>
                <w:rFonts w:hint="eastAsia" w:ascii="宋体" w:hAnsi="宋体" w:cs="宋体"/>
                <w:i w:val="0"/>
                <w:iCs w:val="0"/>
                <w:color w:val="000000"/>
                <w:sz w:val="21"/>
                <w:szCs w:val="21"/>
                <w:highlight w:val="none"/>
                <w:u w:val="none"/>
                <w:lang w:val="en-US" w:eastAsia="zh-CN"/>
              </w:rPr>
              <w:t>账户开设</w:t>
            </w:r>
            <w:r>
              <w:rPr>
                <w:rFonts w:hint="eastAsia" w:ascii="宋体" w:hAnsi="宋体" w:eastAsia="宋体" w:cs="宋体"/>
                <w:i w:val="0"/>
                <w:iCs w:val="0"/>
                <w:color w:val="000000"/>
                <w:sz w:val="21"/>
                <w:szCs w:val="21"/>
                <w:highlight w:val="none"/>
                <w:u w:val="none"/>
                <w:lang w:eastAsia="zh-CN"/>
              </w:rPr>
              <w:t>期间</w:t>
            </w:r>
            <w:r>
              <w:rPr>
                <w:rFonts w:hint="eastAsia" w:ascii="宋体" w:hAnsi="宋体" w:cs="宋体"/>
                <w:i w:val="0"/>
                <w:iCs w:val="0"/>
                <w:color w:val="000000"/>
                <w:sz w:val="21"/>
                <w:szCs w:val="21"/>
                <w:highlight w:val="none"/>
                <w:u w:val="none"/>
                <w:lang w:eastAsia="zh-CN"/>
              </w:rPr>
              <w:t>“</w:t>
            </w:r>
            <w:r>
              <w:rPr>
                <w:rFonts w:hint="eastAsia" w:ascii="宋体" w:hAnsi="宋体" w:cs="宋体"/>
                <w:i w:val="0"/>
                <w:iCs w:val="0"/>
                <w:color w:val="000000"/>
                <w:sz w:val="21"/>
                <w:szCs w:val="21"/>
                <w:highlight w:val="none"/>
                <w:u w:val="none"/>
                <w:lang w:val="en-US" w:eastAsia="zh-CN"/>
              </w:rPr>
              <w:t>智慧医疗信息化</w:t>
            </w:r>
            <w:r>
              <w:rPr>
                <w:rFonts w:hint="eastAsia" w:ascii="宋体" w:hAnsi="宋体" w:eastAsia="宋体" w:cs="宋体"/>
                <w:i w:val="0"/>
                <w:iCs w:val="0"/>
                <w:color w:val="000000"/>
                <w:sz w:val="21"/>
                <w:szCs w:val="21"/>
                <w:highlight w:val="none"/>
                <w:u w:val="none"/>
                <w:lang w:eastAsia="zh-CN"/>
              </w:rPr>
              <w:t>工作</w:t>
            </w:r>
            <w:r>
              <w:rPr>
                <w:rFonts w:hint="eastAsia" w:ascii="宋体" w:hAnsi="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lang w:eastAsia="zh-CN"/>
              </w:rPr>
              <w:t>支持方案并积极落实。</w:t>
            </w:r>
            <w:r>
              <w:rPr>
                <w:rFonts w:hint="eastAsia" w:ascii="宋体" w:hAnsi="宋体" w:cs="宋体"/>
                <w:i w:val="0"/>
                <w:iCs w:val="0"/>
                <w:color w:val="000000"/>
                <w:sz w:val="21"/>
                <w:szCs w:val="21"/>
                <w:highlight w:val="none"/>
                <w:u w:val="none"/>
                <w:lang w:val="en-US" w:eastAsia="zh-CN"/>
              </w:rPr>
              <w:t>评标委员会</w:t>
            </w:r>
            <w:r>
              <w:rPr>
                <w:rFonts w:hint="eastAsia" w:ascii="宋体" w:hAnsi="宋体" w:eastAsia="宋体" w:cs="宋体"/>
                <w:i w:val="0"/>
                <w:iCs w:val="0"/>
                <w:color w:val="000000"/>
                <w:sz w:val="21"/>
                <w:szCs w:val="21"/>
                <w:highlight w:val="none"/>
                <w:u w:val="none"/>
                <w:lang w:eastAsia="zh-CN"/>
              </w:rPr>
              <w:t>根据投标人作出的个性化、有针</w:t>
            </w:r>
            <w:r>
              <w:rPr>
                <w:rFonts w:hint="eastAsia" w:ascii="宋体" w:hAnsi="宋体" w:eastAsia="宋体" w:cs="宋体"/>
                <w:b w:val="0"/>
                <w:bCs w:val="0"/>
                <w:i w:val="0"/>
                <w:iCs w:val="0"/>
                <w:color w:val="000000"/>
                <w:sz w:val="21"/>
                <w:szCs w:val="21"/>
                <w:highlight w:val="none"/>
                <w:u w:val="none"/>
                <w:lang w:eastAsia="zh-CN"/>
              </w:rPr>
              <w:t>对性的</w:t>
            </w:r>
            <w:r>
              <w:rPr>
                <w:rFonts w:hint="eastAsia" w:ascii="宋体" w:hAnsi="宋体" w:cs="宋体"/>
                <w:b w:val="0"/>
                <w:bCs w:val="0"/>
                <w:i w:val="0"/>
                <w:iCs w:val="0"/>
                <w:color w:val="000000"/>
                <w:sz w:val="21"/>
                <w:szCs w:val="21"/>
                <w:highlight w:val="none"/>
                <w:u w:val="none"/>
                <w:lang w:val="en-US" w:eastAsia="zh-CN"/>
              </w:rPr>
              <w:t>支持方案</w:t>
            </w:r>
            <w:r>
              <w:rPr>
                <w:rFonts w:hint="eastAsia" w:ascii="宋体" w:hAnsi="宋体" w:eastAsia="宋体" w:cs="宋体"/>
                <w:i w:val="0"/>
                <w:iCs w:val="0"/>
                <w:color w:val="000000"/>
                <w:sz w:val="21"/>
                <w:szCs w:val="21"/>
                <w:highlight w:val="none"/>
                <w:u w:val="none"/>
                <w:lang w:val="en-US" w:eastAsia="zh-CN"/>
              </w:rPr>
              <w:t>进行</w:t>
            </w:r>
            <w:r>
              <w:rPr>
                <w:rFonts w:hint="eastAsia" w:ascii="宋体" w:hAnsi="宋体" w:cs="宋体"/>
                <w:i w:val="0"/>
                <w:iCs w:val="0"/>
                <w:color w:val="000000"/>
                <w:sz w:val="21"/>
                <w:szCs w:val="21"/>
                <w:highlight w:val="none"/>
                <w:u w:val="none"/>
                <w:lang w:val="en-US" w:eastAsia="zh-CN"/>
              </w:rPr>
              <w:t>横向比较</w:t>
            </w:r>
            <w:r>
              <w:rPr>
                <w:rFonts w:hint="eastAsia" w:ascii="宋体" w:hAnsi="宋体" w:eastAsia="宋体" w:cs="宋体"/>
                <w:i w:val="0"/>
                <w:iCs w:val="0"/>
                <w:color w:val="000000"/>
                <w:sz w:val="21"/>
                <w:szCs w:val="21"/>
                <w:highlight w:val="none"/>
                <w:u w:val="none"/>
                <w:lang w:val="en-US" w:eastAsia="zh-CN"/>
              </w:rPr>
              <w:t>，未</w:t>
            </w:r>
            <w:r>
              <w:rPr>
                <w:rFonts w:hint="eastAsia" w:ascii="宋体" w:hAnsi="宋体" w:cs="宋体"/>
                <w:i w:val="0"/>
                <w:iCs w:val="0"/>
                <w:color w:val="000000"/>
                <w:sz w:val="21"/>
                <w:szCs w:val="21"/>
                <w:highlight w:val="none"/>
                <w:u w:val="none"/>
                <w:lang w:val="en-US" w:eastAsia="zh-CN"/>
              </w:rPr>
              <w:t>提供支持方案</w:t>
            </w:r>
            <w:r>
              <w:rPr>
                <w:rFonts w:hint="eastAsia" w:ascii="宋体" w:hAnsi="宋体" w:eastAsia="宋体" w:cs="宋体"/>
                <w:i w:val="0"/>
                <w:iCs w:val="0"/>
                <w:color w:val="000000"/>
                <w:sz w:val="21"/>
                <w:szCs w:val="21"/>
                <w:highlight w:val="none"/>
                <w:u w:val="none"/>
                <w:lang w:val="en-US" w:eastAsia="zh-CN"/>
              </w:rPr>
              <w:t>的不得分。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sz w:val="21"/>
                <w:szCs w:val="21"/>
                <w:highlight w:val="none"/>
                <w:u w:val="none"/>
                <w:lang w:eastAsia="zh-CN"/>
              </w:rPr>
              <w:t>“</w:t>
            </w:r>
            <w:r>
              <w:rPr>
                <w:rFonts w:hint="eastAsia" w:ascii="宋体" w:hAnsi="宋体" w:cs="宋体"/>
                <w:i w:val="0"/>
                <w:iCs w:val="0"/>
                <w:color w:val="000000"/>
                <w:sz w:val="21"/>
                <w:szCs w:val="21"/>
                <w:highlight w:val="none"/>
                <w:u w:val="none"/>
                <w:lang w:val="en-US" w:eastAsia="zh-CN"/>
              </w:rPr>
              <w:t>智慧医疗信息化</w:t>
            </w:r>
            <w:r>
              <w:rPr>
                <w:rFonts w:hint="eastAsia" w:ascii="宋体" w:hAnsi="宋体" w:eastAsia="宋体" w:cs="宋体"/>
                <w:i w:val="0"/>
                <w:iCs w:val="0"/>
                <w:color w:val="000000"/>
                <w:sz w:val="21"/>
                <w:szCs w:val="21"/>
                <w:highlight w:val="none"/>
                <w:u w:val="none"/>
                <w:lang w:eastAsia="zh-CN"/>
              </w:rPr>
              <w:t>工作</w:t>
            </w:r>
            <w:r>
              <w:rPr>
                <w:rFonts w:hint="eastAsia" w:ascii="宋体" w:hAnsi="宋体" w:cs="宋体"/>
                <w:i w:val="0"/>
                <w:iCs w:val="0"/>
                <w:color w:val="000000"/>
                <w:sz w:val="21"/>
                <w:szCs w:val="21"/>
                <w:highlight w:val="none"/>
                <w:u w:val="none"/>
                <w:lang w:eastAsia="zh-CN"/>
              </w:rPr>
              <w:t>”</w:t>
            </w:r>
            <w:r>
              <w:rPr>
                <w:rFonts w:hint="eastAsia" w:ascii="宋体" w:hAnsi="宋体" w:cs="宋体"/>
                <w:i w:val="0"/>
                <w:iCs w:val="0"/>
                <w:color w:val="000000"/>
                <w:sz w:val="21"/>
                <w:szCs w:val="21"/>
                <w:highlight w:val="none"/>
                <w:u w:val="none"/>
                <w:lang w:val="en-US" w:eastAsia="zh-CN"/>
              </w:rPr>
              <w:t>实施周期为五年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81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Style w:val="63"/>
                <w:rFonts w:hint="eastAsia"/>
                <w:highlight w:val="none"/>
                <w:lang w:val="en-US" w:eastAsia="zh-CN" w:bidi="ar"/>
              </w:rPr>
            </w:pPr>
            <w:r>
              <w:rPr>
                <w:rStyle w:val="63"/>
                <w:rFonts w:hint="eastAsia"/>
                <w:highlight w:val="none"/>
                <w:lang w:val="en-US" w:eastAsia="zh-CN" w:bidi="ar"/>
              </w:rPr>
              <w:t>5</w:t>
            </w:r>
          </w:p>
        </w:tc>
        <w:tc>
          <w:tcPr>
            <w:tcW w:w="10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63"/>
                <w:rFonts w:hint="eastAsia"/>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网点建设</w:t>
            </w:r>
          </w:p>
        </w:tc>
        <w:tc>
          <w:tcPr>
            <w:tcW w:w="21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Style w:val="63"/>
                <w:rFonts w:hint="eastAsia"/>
                <w:highlight w:val="none"/>
                <w:lang w:val="en-US" w:eastAsia="zh-CN" w:bidi="ar"/>
              </w:rPr>
            </w:pPr>
            <w:r>
              <w:rPr>
                <w:rFonts w:hint="eastAsia" w:ascii="宋体" w:hAnsi="宋体" w:eastAsia="宋体" w:cs="宋体"/>
                <w:i w:val="0"/>
                <w:iCs w:val="0"/>
                <w:color w:val="000000"/>
                <w:sz w:val="21"/>
                <w:szCs w:val="21"/>
                <w:highlight w:val="none"/>
                <w:u w:val="none"/>
                <w:lang w:eastAsia="zh-CN"/>
              </w:rPr>
              <w:t>根据投标银行在建德市范围内的网点分布情况及数量排名进行打分，数量</w:t>
            </w:r>
            <w:r>
              <w:rPr>
                <w:rFonts w:hint="eastAsia" w:ascii="宋体" w:hAnsi="宋体" w:eastAsia="宋体" w:cs="宋体"/>
                <w:i w:val="0"/>
                <w:iCs w:val="0"/>
                <w:color w:val="000000"/>
                <w:sz w:val="21"/>
                <w:szCs w:val="21"/>
                <w:highlight w:val="none"/>
                <w:u w:val="none"/>
                <w:lang w:val="en-US" w:eastAsia="zh-CN"/>
              </w:rPr>
              <w:t>5个及以上得满分5分，每减少1个减1分，扣完为止。</w:t>
            </w:r>
          </w:p>
        </w:tc>
        <w:tc>
          <w:tcPr>
            <w:tcW w:w="57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81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3"/>
                <w:rFonts w:hint="eastAsia"/>
                <w:highlight w:val="none"/>
                <w:lang w:val="en-US" w:eastAsia="zh-CN" w:bidi="ar"/>
              </w:rPr>
            </w:pPr>
            <w:r>
              <w:rPr>
                <w:rStyle w:val="63"/>
                <w:rFonts w:hint="eastAsia"/>
                <w:highlight w:val="none"/>
                <w:lang w:val="en-US" w:eastAsia="zh-CN" w:bidi="ar"/>
              </w:rPr>
              <w:t>5</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rFonts w:hint="eastAsia"/>
                <w:highlight w:val="none"/>
                <w:lang w:val="en-US" w:eastAsia="zh-CN" w:bidi="ar"/>
              </w:rPr>
            </w:pPr>
            <w:r>
              <w:rPr>
                <w:rStyle w:val="63"/>
                <w:rFonts w:hint="eastAsia"/>
                <w:highlight w:val="none"/>
                <w:lang w:val="en-US" w:eastAsia="zh-CN" w:bidi="ar"/>
              </w:rPr>
              <w:t>优化金融服务</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rFonts w:hint="eastAsia"/>
                <w:highlight w:val="none"/>
                <w:lang w:val="en-US" w:eastAsia="zh-CN" w:bidi="ar"/>
              </w:rPr>
            </w:pPr>
            <w:r>
              <w:rPr>
                <w:rStyle w:val="63"/>
                <w:rFonts w:hint="eastAsia"/>
                <w:highlight w:val="none"/>
                <w:lang w:val="en-US" w:eastAsia="zh-CN" w:bidi="ar"/>
              </w:rPr>
              <w:t>按2023年度数据，反映投标银行对我市小微企业无还本续贷等相关金融服务。按上年度服务户数排名，开展户数最多的投标银行为第1名，得满分，按名次每递减1名减相应0.2分，最低减至0.5分。未开展工作不得分。</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19" w:type="pct"/>
            <w:vMerge w:val="continue"/>
            <w:tcBorders>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3"/>
                <w:rFonts w:hint="eastAsia"/>
                <w:highlight w:val="none"/>
                <w:lang w:val="en-US" w:eastAsia="zh-CN" w:bidi="ar"/>
              </w:rPr>
            </w:pPr>
            <w:r>
              <w:rPr>
                <w:rStyle w:val="63"/>
                <w:highlight w:val="none"/>
                <w:lang w:val="en-US" w:eastAsia="zh-CN" w:bidi="ar"/>
              </w:rPr>
              <w:t>税收贡献</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rFonts w:hint="eastAsia"/>
                <w:highlight w:val="none"/>
                <w:lang w:val="en-US" w:eastAsia="zh-CN" w:bidi="ar"/>
              </w:rPr>
            </w:pPr>
            <w:r>
              <w:rPr>
                <w:rStyle w:val="63"/>
                <w:rFonts w:hint="eastAsia"/>
                <w:highlight w:val="none"/>
                <w:lang w:val="en-US" w:eastAsia="zh-CN" w:bidi="ar"/>
              </w:rPr>
              <w:t>上年缴纳税收500万以上的加1分，500万元以下的加0.5分。（以税务证明为准）（注：不含社保缴费）</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8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综合利益水平（</w:t>
            </w:r>
            <w:r>
              <w:rPr>
                <w:rFonts w:hint="eastAsia" w:ascii="宋体" w:hAnsi="宋体" w:cs="宋体"/>
                <w:i w:val="0"/>
                <w:iCs w:val="0"/>
                <w:color w:val="000000"/>
                <w:kern w:val="0"/>
                <w:sz w:val="21"/>
                <w:szCs w:val="21"/>
                <w:highlight w:val="none"/>
                <w:u w:val="none"/>
                <w:lang w:val="en-US" w:eastAsia="zh-CN" w:bidi="ar"/>
              </w:rPr>
              <w:t>21</w:t>
            </w:r>
            <w:r>
              <w:rPr>
                <w:rFonts w:hint="eastAsia" w:ascii="宋体" w:hAnsi="宋体" w:eastAsia="宋体" w:cs="宋体"/>
                <w:i w:val="0"/>
                <w:iCs w:val="0"/>
                <w:color w:val="000000"/>
                <w:kern w:val="0"/>
                <w:sz w:val="21"/>
                <w:szCs w:val="21"/>
                <w:highlight w:val="none"/>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7</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3"/>
                <w:rFonts w:hint="eastAsia"/>
                <w:highlight w:val="none"/>
                <w:lang w:val="en-US" w:eastAsia="zh-CN" w:bidi="ar"/>
              </w:rPr>
            </w:pPr>
            <w:r>
              <w:rPr>
                <w:rStyle w:val="63"/>
                <w:highlight w:val="none"/>
                <w:lang w:val="en-US" w:eastAsia="zh-CN" w:bidi="ar"/>
              </w:rPr>
              <w:t>活期利率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rFonts w:hint="eastAsia"/>
                <w:highlight w:val="none"/>
                <w:lang w:val="en-US" w:eastAsia="zh-CN" w:bidi="ar"/>
              </w:rPr>
            </w:pPr>
            <w:r>
              <w:rPr>
                <w:rStyle w:val="63"/>
                <w:highlight w:val="none"/>
                <w:lang w:val="en-US" w:eastAsia="zh-CN" w:bidi="ar"/>
              </w:rPr>
              <w:t>活期账户利率：投标银行活期存款利率最高者得满分，其他投标银行按与最高利率占比得分，计算公式为：投标银行存款利率/最高利率*分值。</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7</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3"/>
                <w:rFonts w:hint="eastAsia"/>
                <w:highlight w:val="none"/>
                <w:lang w:val="en-US" w:eastAsia="zh-CN" w:bidi="ar"/>
              </w:rPr>
            </w:pPr>
            <w:r>
              <w:rPr>
                <w:rStyle w:val="63"/>
                <w:highlight w:val="none"/>
                <w:lang w:val="en-US" w:eastAsia="zh-CN" w:bidi="ar"/>
              </w:rPr>
              <w:t>协定利率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rFonts w:hint="eastAsia"/>
                <w:highlight w:val="none"/>
                <w:lang w:val="en-US" w:eastAsia="zh-CN" w:bidi="ar"/>
              </w:rPr>
            </w:pPr>
            <w:r>
              <w:rPr>
                <w:rStyle w:val="63"/>
                <w:highlight w:val="none"/>
                <w:lang w:val="en-US" w:eastAsia="zh-CN" w:bidi="ar"/>
              </w:rPr>
              <w:t>协定存款利率：投标银行协定存款利率最高者得满分，其他投标银行按与最高利率占比得分，计算公式为：投标银行存款利率/最高利率*分值。</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7</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3"/>
                <w:rFonts w:hint="eastAsia"/>
                <w:highlight w:val="none"/>
                <w:lang w:val="en-US" w:eastAsia="zh-CN" w:bidi="ar"/>
              </w:rPr>
            </w:pPr>
            <w:r>
              <w:rPr>
                <w:rStyle w:val="63"/>
                <w:highlight w:val="none"/>
                <w:lang w:val="en-US" w:eastAsia="zh-CN" w:bidi="ar"/>
              </w:rPr>
              <w:t>定期利率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3"/>
                <w:rFonts w:hint="eastAsia"/>
                <w:highlight w:val="none"/>
                <w:lang w:val="en-US" w:eastAsia="zh-CN" w:bidi="ar"/>
              </w:rPr>
            </w:pPr>
            <w:r>
              <w:rPr>
                <w:rStyle w:val="63"/>
                <w:highlight w:val="none"/>
                <w:lang w:val="en-US" w:eastAsia="zh-CN" w:bidi="ar"/>
              </w:rPr>
              <w:t>定期利率：投标银行一年期定期存款利率最高者得满分，其他投标银行按与最高利率占比得分，计算公式为：投标银行存款利率/最高利率*分值。</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bl>
    <w:p>
      <w:pPr>
        <w:snapToGrid w:val="0"/>
        <w:spacing w:line="360" w:lineRule="auto"/>
        <w:rPr>
          <w:rFonts w:hint="eastAsia"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备注：</w:t>
      </w:r>
    </w:p>
    <w:p>
      <w:pPr>
        <w:widowControl/>
        <w:numPr>
          <w:ilvl w:val="0"/>
          <w:numId w:val="4"/>
        </w:numPr>
        <w:spacing w:line="360" w:lineRule="auto"/>
        <w:ind w:firstLine="480" w:firstLineChars="200"/>
        <w:jc w:val="left"/>
        <w:rPr>
          <w:rFonts w:hint="eastAsia" w:ascii="宋体" w:hAnsi="宋体" w:cs="宋体"/>
          <w:b/>
          <w:bCs/>
          <w:sz w:val="24"/>
          <w:u w:val="single"/>
        </w:rPr>
      </w:pPr>
      <w:r>
        <w:rPr>
          <w:rFonts w:hint="eastAsia" w:ascii="宋体" w:hAnsi="宋体" w:eastAsia="宋体" w:cs="宋体"/>
          <w:sz w:val="24"/>
          <w:szCs w:val="24"/>
          <w:highlight w:val="none"/>
          <w:u w:val="none"/>
          <w:lang w:eastAsia="zh-CN"/>
        </w:rPr>
        <w:t>驻场人员须大专及以上学历，</w:t>
      </w:r>
      <w:r>
        <w:rPr>
          <w:rFonts w:hint="eastAsia" w:ascii="宋体" w:hAnsi="宋体" w:eastAsia="宋体" w:cs="宋体"/>
          <w:sz w:val="24"/>
          <w:szCs w:val="24"/>
          <w:highlight w:val="none"/>
          <w:u w:val="none"/>
          <w:lang w:val="en-US" w:eastAsia="zh-CN"/>
        </w:rPr>
        <w:t>35周岁以下，建议财务及相关专业，也可由采购人按需要临时确定</w:t>
      </w:r>
      <w:r>
        <w:rPr>
          <w:rFonts w:hint="eastAsia" w:ascii="宋体" w:hAnsi="宋体" w:eastAsia="宋体" w:cs="宋体"/>
          <w:sz w:val="24"/>
          <w:szCs w:val="24"/>
          <w:highlight w:val="none"/>
          <w:u w:val="none"/>
        </w:rPr>
        <w:t>；</w:t>
      </w:r>
      <w:r>
        <w:rPr>
          <w:rFonts w:hint="eastAsia" w:hAnsi="宋体" w:cs="宋体"/>
          <w:sz w:val="24"/>
          <w:szCs w:val="24"/>
          <w:highlight w:val="none"/>
          <w:u w:val="none"/>
          <w:lang w:val="en-US" w:eastAsia="zh-CN"/>
        </w:rPr>
        <w:t>投</w:t>
      </w:r>
      <w:r>
        <w:rPr>
          <w:rFonts w:hint="eastAsia" w:ascii="宋体" w:hAnsi="宋体" w:eastAsia="宋体" w:cs="宋体"/>
          <w:sz w:val="24"/>
          <w:szCs w:val="24"/>
          <w:highlight w:val="none"/>
          <w:u w:val="none"/>
        </w:rPr>
        <w:t>标人按招标文件要求及时配备足够和胜任的</w:t>
      </w:r>
      <w:r>
        <w:rPr>
          <w:rFonts w:hint="eastAsia" w:ascii="宋体" w:hAnsi="宋体" w:eastAsia="宋体" w:cs="宋体"/>
          <w:sz w:val="24"/>
          <w:szCs w:val="24"/>
          <w:highlight w:val="none"/>
          <w:u w:val="none"/>
          <w:lang w:eastAsia="zh-CN"/>
        </w:rPr>
        <w:t>岗位</w:t>
      </w:r>
      <w:r>
        <w:rPr>
          <w:rFonts w:hint="eastAsia" w:ascii="宋体" w:hAnsi="宋体" w:eastAsia="宋体" w:cs="宋体"/>
          <w:sz w:val="24"/>
          <w:szCs w:val="24"/>
          <w:highlight w:val="none"/>
          <w:u w:val="none"/>
        </w:rPr>
        <w:t>服</w:t>
      </w:r>
      <w:r>
        <w:rPr>
          <w:rFonts w:hint="eastAsia" w:ascii="宋体" w:hAnsi="宋体" w:eastAsia="宋体" w:cs="宋体"/>
          <w:sz w:val="24"/>
          <w:szCs w:val="24"/>
          <w:u w:val="none"/>
        </w:rPr>
        <w:t>务人员，并保持人员的稳定。</w:t>
      </w:r>
      <w:r>
        <w:rPr>
          <w:rFonts w:hint="eastAsia" w:hAnsi="宋体" w:cs="宋体"/>
          <w:sz w:val="24"/>
          <w:szCs w:val="24"/>
          <w:u w:val="none"/>
          <w:lang w:val="en-US" w:eastAsia="zh-CN"/>
        </w:rPr>
        <w:t>投</w:t>
      </w:r>
      <w:r>
        <w:rPr>
          <w:rFonts w:hint="eastAsia" w:ascii="宋体" w:hAnsi="宋体" w:eastAsia="宋体" w:cs="宋体"/>
          <w:sz w:val="24"/>
          <w:szCs w:val="24"/>
          <w:u w:val="none"/>
        </w:rPr>
        <w:t>标人派驻服务人员遇调动或辞职时，需提前</w:t>
      </w:r>
      <w:r>
        <w:rPr>
          <w:rFonts w:hint="eastAsia" w:ascii="宋体" w:hAnsi="宋体" w:eastAsia="宋体" w:cs="宋体"/>
          <w:sz w:val="24"/>
          <w:szCs w:val="24"/>
          <w:u w:val="none"/>
          <w:lang w:val="en-US" w:eastAsia="zh-CN"/>
        </w:rPr>
        <w:t>30</w:t>
      </w:r>
      <w:r>
        <w:rPr>
          <w:rFonts w:hint="eastAsia" w:ascii="宋体" w:hAnsi="宋体" w:eastAsia="宋体" w:cs="宋体"/>
          <w:sz w:val="24"/>
          <w:szCs w:val="24"/>
          <w:u w:val="none"/>
        </w:rPr>
        <w:t>天告知采购人管理部门，征得同意后才能更换，并按岗位要求及时补充相应人员，提前做好交接班，人员到位相互对接时间不少于一周，新到人员档案信息及时备案到采购人管理部门。对采购人管理部门认为无能力、工作失职或不合适人员</w:t>
      </w:r>
      <w:r>
        <w:rPr>
          <w:rFonts w:hint="eastAsia" w:ascii="宋体" w:hAnsi="宋体" w:eastAsia="宋体" w:cs="宋体"/>
          <w:sz w:val="24"/>
          <w:szCs w:val="24"/>
          <w:u w:val="none"/>
          <w:lang w:eastAsia="zh-CN"/>
        </w:rPr>
        <w:t>及</w:t>
      </w:r>
      <w:r>
        <w:rPr>
          <w:rFonts w:hint="eastAsia" w:ascii="宋体" w:hAnsi="宋体" w:eastAsia="宋体" w:cs="宋体"/>
          <w:sz w:val="24"/>
          <w:szCs w:val="24"/>
          <w:u w:val="none"/>
        </w:rPr>
        <w:t>岗位人数不足时</w:t>
      </w:r>
      <w:r>
        <w:rPr>
          <w:rFonts w:hint="eastAsia" w:ascii="宋体" w:hAnsi="宋体" w:eastAsia="宋体" w:cs="宋体"/>
          <w:sz w:val="24"/>
          <w:szCs w:val="24"/>
          <w:u w:val="none"/>
          <w:lang w:eastAsia="zh-CN"/>
        </w:rPr>
        <w:t>，</w:t>
      </w:r>
      <w:r>
        <w:rPr>
          <w:rFonts w:hint="eastAsia" w:hAnsi="宋体" w:cs="宋体"/>
          <w:sz w:val="24"/>
          <w:szCs w:val="24"/>
          <w:u w:val="none"/>
          <w:lang w:val="en-US" w:eastAsia="zh-CN"/>
        </w:rPr>
        <w:t>投</w:t>
      </w:r>
      <w:r>
        <w:rPr>
          <w:rFonts w:hint="eastAsia" w:ascii="宋体" w:hAnsi="宋体" w:eastAsia="宋体" w:cs="宋体"/>
          <w:sz w:val="24"/>
          <w:szCs w:val="24"/>
          <w:u w:val="none"/>
        </w:rPr>
        <w:t>标人应在15天内更换完成</w:t>
      </w:r>
      <w:r>
        <w:rPr>
          <w:rFonts w:hint="eastAsia" w:ascii="宋体" w:hAnsi="宋体" w:eastAsia="宋体" w:cs="宋体"/>
          <w:sz w:val="24"/>
          <w:szCs w:val="24"/>
          <w:u w:val="none"/>
          <w:lang w:eastAsia="zh-CN"/>
        </w:rPr>
        <w:t>或补充到位，否则采购人有权终止合同</w:t>
      </w:r>
      <w:r>
        <w:rPr>
          <w:rFonts w:hint="eastAsia" w:ascii="宋体" w:hAnsi="宋体" w:eastAsia="宋体" w:cs="宋体"/>
          <w:sz w:val="24"/>
          <w:szCs w:val="24"/>
          <w:u w:val="none"/>
        </w:rPr>
        <w:t>。中标人派驻服务人员</w:t>
      </w:r>
      <w:r>
        <w:rPr>
          <w:rFonts w:hint="eastAsia" w:ascii="宋体" w:hAnsi="宋体" w:eastAsia="宋体" w:cs="宋体"/>
          <w:sz w:val="24"/>
          <w:szCs w:val="24"/>
          <w:u w:val="none"/>
          <w:lang w:eastAsia="zh-CN"/>
        </w:rPr>
        <w:t>须严格遵守采购人各项规章制度，人员到位后需与采购人签订保密协议。</w:t>
      </w:r>
      <w:r>
        <w:rPr>
          <w:rFonts w:hint="eastAsia" w:hAnsi="宋体" w:cs="宋体"/>
          <w:sz w:val="24"/>
          <w:szCs w:val="24"/>
          <w:u w:val="none"/>
          <w:lang w:val="en-US" w:eastAsia="zh-CN"/>
        </w:rPr>
        <w:t>投</w:t>
      </w:r>
      <w:r>
        <w:rPr>
          <w:rFonts w:hint="eastAsia" w:ascii="宋体" w:hAnsi="宋体" w:eastAsia="宋体" w:cs="宋体"/>
          <w:sz w:val="24"/>
          <w:szCs w:val="24"/>
          <w:u w:val="none"/>
        </w:rPr>
        <w:t>标人</w:t>
      </w:r>
      <w:r>
        <w:rPr>
          <w:rFonts w:hint="eastAsia" w:ascii="宋体" w:hAnsi="宋体" w:eastAsia="宋体" w:cs="宋体"/>
          <w:sz w:val="24"/>
          <w:szCs w:val="24"/>
          <w:u w:val="none"/>
          <w:lang w:eastAsia="zh-CN"/>
        </w:rPr>
        <w:t>应为派驻服务人员购买意外保险,服务人员在派驻期间所发生的任何意外，采购人不承担任何责任。派驻服务人员在上班期间须严格执行银行从业人员着装要求及卫健工作人员管理制度。派驻服务人员可在卫健食堂就餐，相关费用由</w:t>
      </w:r>
      <w:r>
        <w:rPr>
          <w:rFonts w:hint="eastAsia" w:hAnsi="宋体" w:cs="宋体"/>
          <w:sz w:val="24"/>
          <w:szCs w:val="24"/>
          <w:u w:val="none"/>
          <w:lang w:val="en-US" w:eastAsia="zh-CN"/>
        </w:rPr>
        <w:t>投</w:t>
      </w:r>
      <w:r>
        <w:rPr>
          <w:rFonts w:hint="eastAsia" w:ascii="宋体" w:hAnsi="宋体" w:eastAsia="宋体" w:cs="宋体"/>
          <w:sz w:val="24"/>
          <w:szCs w:val="24"/>
          <w:u w:val="none"/>
        </w:rPr>
        <w:t>标人</w:t>
      </w:r>
      <w:r>
        <w:rPr>
          <w:rFonts w:hint="eastAsia" w:ascii="宋体" w:hAnsi="宋体" w:eastAsia="宋体" w:cs="宋体"/>
          <w:sz w:val="24"/>
          <w:szCs w:val="24"/>
          <w:u w:val="none"/>
          <w:lang w:eastAsia="zh-CN"/>
        </w:rPr>
        <w:t>承担。</w:t>
      </w:r>
    </w:p>
    <w:p>
      <w:pPr>
        <w:widowControl/>
        <w:numPr>
          <w:ilvl w:val="0"/>
          <w:numId w:val="4"/>
        </w:numPr>
        <w:spacing w:line="360" w:lineRule="auto"/>
        <w:ind w:firstLine="482" w:firstLineChars="200"/>
        <w:jc w:val="left"/>
        <w:rPr>
          <w:rFonts w:hint="eastAsia" w:ascii="宋体" w:hAnsi="宋体" w:cs="宋体"/>
          <w:b/>
          <w:bCs/>
          <w:sz w:val="24"/>
          <w:u w:val="single"/>
        </w:rPr>
      </w:pPr>
      <w:r>
        <w:rPr>
          <w:rFonts w:hint="eastAsia" w:ascii="宋体" w:hAnsi="宋体" w:cs="宋体"/>
          <w:b/>
          <w:bCs/>
          <w:sz w:val="24"/>
          <w:u w:val="single"/>
        </w:rPr>
        <w:t>除招标文件中明确由相关部门提供数据的情形外，其他相关数据及证明材料均须由投标人提供，如投标人未能提供真实有效数据的，则该项评分不得分。</w:t>
      </w: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bookmarkStart w:id="141" w:name="_Toc454551084"/>
      <w:bookmarkStart w:id="142" w:name="_Toc444069281"/>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p>
    <w:p>
      <w:pPr>
        <w:pStyle w:val="2"/>
        <w:rPr>
          <w:rFonts w:hint="eastAsia" w:ascii="宋体" w:hAnsi="宋体" w:cs="宋体"/>
          <w:b/>
          <w:color w:val="000000" w:themeColor="text1"/>
          <w:kern w:val="0"/>
          <w:sz w:val="28"/>
          <w:szCs w:val="28"/>
          <w14:textFill>
            <w14:solidFill>
              <w14:schemeClr w14:val="tx1"/>
            </w14:solidFill>
          </w14:textFill>
        </w:rPr>
      </w:pPr>
    </w:p>
    <w:p>
      <w:pPr>
        <w:rPr>
          <w:rFonts w:hint="eastAsia" w:ascii="宋体" w:hAnsi="宋体" w:cs="宋体"/>
          <w:b/>
          <w:color w:val="000000" w:themeColor="text1"/>
          <w:kern w:val="0"/>
          <w:sz w:val="28"/>
          <w:szCs w:val="28"/>
          <w14:textFill>
            <w14:solidFill>
              <w14:schemeClr w14:val="tx1"/>
            </w14:solidFill>
          </w14:textFill>
        </w:rPr>
      </w:pPr>
    </w:p>
    <w:p>
      <w:pPr>
        <w:pStyle w:val="2"/>
        <w:rPr>
          <w:rFonts w:hint="eastAsia"/>
        </w:rPr>
      </w:pPr>
    </w:p>
    <w:p>
      <w:pPr>
        <w:spacing w:line="600" w:lineRule="exact"/>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第五章</w:t>
      </w:r>
    </w:p>
    <w:p>
      <w:pPr>
        <w:spacing w:line="600" w:lineRule="exact"/>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建德市卫生</w:t>
      </w:r>
      <w:r>
        <w:rPr>
          <w:rFonts w:hint="eastAsia" w:ascii="宋体" w:hAnsi="宋体" w:cs="宋体"/>
          <w:color w:val="000000" w:themeColor="text1"/>
          <w:kern w:val="0"/>
          <w:sz w:val="28"/>
          <w:szCs w:val="28"/>
          <w:lang w:val="en-US" w:eastAsia="zh-CN"/>
          <w14:textFill>
            <w14:solidFill>
              <w14:schemeClr w14:val="tx1"/>
            </w14:solidFill>
          </w14:textFill>
        </w:rPr>
        <w:t>健康</w:t>
      </w:r>
      <w:r>
        <w:rPr>
          <w:rFonts w:hint="eastAsia" w:ascii="宋体" w:hAnsi="宋体" w:cs="宋体"/>
          <w:color w:val="000000" w:themeColor="text1"/>
          <w:kern w:val="0"/>
          <w:sz w:val="28"/>
          <w:szCs w:val="28"/>
          <w:lang w:eastAsia="zh-CN"/>
          <w14:textFill>
            <w14:solidFill>
              <w14:schemeClr w14:val="tx1"/>
            </w14:solidFill>
          </w14:textFill>
        </w:rPr>
        <w:t>局基本结算账户开户</w:t>
      </w:r>
      <w:r>
        <w:rPr>
          <w:rFonts w:hint="eastAsia" w:ascii="宋体" w:hAnsi="宋体" w:cs="宋体"/>
          <w:color w:val="000000" w:themeColor="text1"/>
          <w:kern w:val="0"/>
          <w:sz w:val="28"/>
          <w:szCs w:val="28"/>
          <w14:textFill>
            <w14:solidFill>
              <w14:schemeClr w14:val="tx1"/>
            </w14:solidFill>
          </w14:textFill>
        </w:rPr>
        <w:t>协议</w:t>
      </w:r>
    </w:p>
    <w:bookmarkEnd w:id="141"/>
    <w:bookmarkEnd w:id="142"/>
    <w:p>
      <w:pPr>
        <w:pStyle w:val="3"/>
        <w:ind w:firstLine="0"/>
        <w:jc w:val="center"/>
        <w:rPr>
          <w:rFonts w:ascii="宋体" w:hAnsi="宋体"/>
          <w:b w:val="0"/>
          <w:bCs w:val="0"/>
          <w:i w:val="0"/>
          <w:iCs w:val="0"/>
          <w:color w:val="000000" w:themeColor="text1"/>
          <w:sz w:val="32"/>
          <w:szCs w:val="32"/>
          <w14:textFill>
            <w14:solidFill>
              <w14:schemeClr w14:val="tx1"/>
            </w14:solidFill>
          </w14:textFill>
        </w:rPr>
      </w:pPr>
      <w:bookmarkStart w:id="143" w:name="_Toc444597108"/>
      <w:bookmarkStart w:id="144" w:name="_Toc444069282"/>
      <w:bookmarkStart w:id="145" w:name="_Toc454551085"/>
      <w:r>
        <w:rPr>
          <w:rFonts w:hint="eastAsia" w:ascii="宋体" w:hAnsi="宋体"/>
          <w:b w:val="0"/>
          <w:bCs w:val="0"/>
          <w:i w:val="0"/>
          <w:iCs w:val="0"/>
          <w:color w:val="000000" w:themeColor="text1"/>
          <w:sz w:val="32"/>
          <w:szCs w:val="32"/>
          <w14:textFill>
            <w14:solidFill>
              <w14:schemeClr w14:val="tx1"/>
            </w14:solidFill>
          </w14:textFill>
        </w:rPr>
        <w:t>（供参考）</w:t>
      </w:r>
      <w:bookmarkEnd w:id="143"/>
      <w:bookmarkEnd w:id="144"/>
      <w:bookmarkEnd w:id="145"/>
    </w:p>
    <w:p>
      <w:pPr>
        <w:spacing w:line="360" w:lineRule="auto"/>
        <w:ind w:firstLine="480" w:firstLineChars="200"/>
        <w:rPr>
          <w:rFonts w:ascii="宋体" w:hAnsi="宋体" w:cs="宋体"/>
          <w:color w:val="000000" w:themeColor="text1"/>
          <w:kern w:val="0"/>
          <w:sz w:val="24"/>
          <w14:textFill>
            <w14:solidFill>
              <w14:schemeClr w14:val="tx1"/>
            </w14:solidFill>
          </w14:textFill>
        </w:rPr>
      </w:pPr>
    </w:p>
    <w:p>
      <w:pPr>
        <w:spacing w:line="360" w:lineRule="auto"/>
        <w:ind w:firstLine="480" w:firstLineChars="200"/>
        <w:rPr>
          <w:rFonts w:ascii="宋体"/>
          <w:color w:val="000000" w:themeColor="text1"/>
          <w:kern w:val="0"/>
          <w:sz w:val="24"/>
          <w14:textFill>
            <w14:solidFill>
              <w14:schemeClr w14:val="tx1"/>
            </w14:solidFill>
          </w14:textFill>
        </w:rPr>
      </w:pPr>
      <w:bookmarkStart w:id="146" w:name="_Toc454551086"/>
      <w:r>
        <w:rPr>
          <w:rFonts w:hint="eastAsia" w:ascii="宋体" w:hAnsi="宋体" w:cs="宋体"/>
          <w:color w:val="000000" w:themeColor="text1"/>
          <w:kern w:val="0"/>
          <w:sz w:val="24"/>
          <w14:textFill>
            <w14:solidFill>
              <w14:schemeClr w14:val="tx1"/>
            </w14:solidFill>
          </w14:textFill>
        </w:rPr>
        <w:t>委托方（甲方）：</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代理方（乙方）：</w:t>
      </w:r>
    </w:p>
    <w:p>
      <w:pPr>
        <w:spacing w:line="360" w:lineRule="auto"/>
        <w:ind w:firstLine="480" w:firstLineChars="200"/>
        <w:rPr>
          <w:rFonts w:ascii="宋体"/>
          <w:color w:val="000000" w:themeColor="text1"/>
          <w:kern w:val="0"/>
          <w:sz w:val="24"/>
          <w14:textFill>
            <w14:solidFill>
              <w14:schemeClr w14:val="tx1"/>
            </w14:solidFill>
          </w14:textFill>
        </w:rPr>
      </w:pP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eastAsia="宋体" w:cs="宋体"/>
          <w:bCs/>
          <w:sz w:val="24"/>
          <w:szCs w:val="24"/>
        </w:rPr>
        <w:t>根据《中华人民共和国</w:t>
      </w:r>
      <w:r>
        <w:rPr>
          <w:rFonts w:hint="eastAsia" w:ascii="宋体" w:hAnsi="宋体" w:eastAsia="宋体" w:cs="宋体"/>
          <w:bCs/>
          <w:sz w:val="24"/>
          <w:szCs w:val="24"/>
          <w:lang w:val="en-US" w:eastAsia="zh-CN"/>
        </w:rPr>
        <w:t>民法典</w:t>
      </w:r>
      <w:r>
        <w:rPr>
          <w:rFonts w:hint="eastAsia" w:ascii="宋体" w:hAnsi="宋体" w:eastAsia="宋体" w:cs="宋体"/>
          <w:bCs/>
          <w:sz w:val="24"/>
          <w:szCs w:val="24"/>
        </w:rPr>
        <w:t>》、《中共浙江省委办公厅、浙江省人民政府办公厅印发&lt;关于防止领导干部在公款存放方面发生利益冲突和利益输送的办法&gt;的通知》(浙委办发[2015]8 号)</w:t>
      </w:r>
      <w:r>
        <w:rPr>
          <w:rFonts w:hint="eastAsia" w:ascii="宋体" w:hAnsi="宋体" w:eastAsia="宋体" w:cs="宋体"/>
          <w:bCs/>
          <w:sz w:val="24"/>
          <w:szCs w:val="24"/>
          <w:lang w:eastAsia="zh-CN"/>
        </w:rPr>
        <w:t>，</w:t>
      </w:r>
      <w:r>
        <w:rPr>
          <w:rFonts w:hint="eastAsia" w:ascii="宋体" w:hAnsi="宋体" w:eastAsia="宋体" w:cs="宋体"/>
          <w:bCs/>
          <w:color w:val="FF0000"/>
          <w:sz w:val="24"/>
          <w:szCs w:val="24"/>
        </w:rPr>
        <w:t>《建德市财政局关于印发建德市市级行政事业单位公款竞争性存放管理办法的通知》</w:t>
      </w:r>
      <w:r>
        <w:rPr>
          <w:rFonts w:hint="eastAsia" w:ascii="宋体" w:hAnsi="宋体" w:eastAsia="宋体" w:cs="宋体"/>
          <w:bCs/>
          <w:sz w:val="24"/>
          <w:szCs w:val="24"/>
        </w:rPr>
        <w:t>有关规定</w:t>
      </w:r>
      <w:r>
        <w:rPr>
          <w:rFonts w:hint="eastAsia" w:ascii="宋体" w:hAnsi="宋体" w:cs="宋体"/>
          <w:color w:val="000000" w:themeColor="text1"/>
          <w:kern w:val="0"/>
          <w:sz w:val="24"/>
          <w14:textFill>
            <w14:solidFill>
              <w14:schemeClr w14:val="tx1"/>
            </w14:solidFill>
          </w14:textFill>
        </w:rPr>
        <w:t>，甲方按法定程序对</w:t>
      </w:r>
      <w:r>
        <w:rPr>
          <w:rFonts w:hint="eastAsia" w:ascii="宋体" w:hAnsi="宋体" w:cs="宋体"/>
          <w:color w:val="000000" w:themeColor="text1"/>
          <w:sz w:val="24"/>
          <w:u w:val="single"/>
          <w:lang w:eastAsia="zh-CN"/>
          <w14:textFill>
            <w14:solidFill>
              <w14:schemeClr w14:val="tx1"/>
            </w14:solidFill>
          </w14:textFill>
        </w:rPr>
        <w:t>建德市医共体基本结算账户开户招标项目</w:t>
      </w:r>
      <w:r>
        <w:rPr>
          <w:rFonts w:hint="eastAsia" w:ascii="宋体" w:hAnsi="宋体" w:cs="宋体"/>
          <w:color w:val="000000" w:themeColor="text1"/>
          <w:kern w:val="0"/>
          <w:sz w:val="24"/>
          <w14:textFill>
            <w14:solidFill>
              <w14:schemeClr w14:val="tx1"/>
            </w14:solidFill>
          </w14:textFill>
        </w:rPr>
        <w:t>进行了公开招标，确定乙方为</w:t>
      </w:r>
      <w:r>
        <w:rPr>
          <w:rFonts w:hint="eastAsia" w:ascii="宋体" w:hAnsi="宋体" w:cs="宋体"/>
          <w:color w:val="000000" w:themeColor="text1"/>
          <w:kern w:val="0"/>
          <w:sz w:val="24"/>
          <w:lang w:val="en-US" w:eastAsia="zh-CN"/>
          <w14:textFill>
            <w14:solidFill>
              <w14:schemeClr w14:val="tx1"/>
            </w14:solidFill>
          </w14:textFill>
        </w:rPr>
        <w:t>账户开立</w:t>
      </w:r>
      <w:r>
        <w:rPr>
          <w:rFonts w:hint="eastAsia" w:ascii="宋体" w:hAnsi="宋体" w:cs="宋体"/>
          <w:color w:val="000000" w:themeColor="text1"/>
          <w:kern w:val="0"/>
          <w:sz w:val="24"/>
          <w14:textFill>
            <w14:solidFill>
              <w14:schemeClr w14:val="tx1"/>
            </w14:solidFill>
          </w14:textFill>
        </w:rPr>
        <w:t>的中标银行，甲乙双方按照招标文件要求，签订如下协议：</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第一条委托代理事项</w:t>
      </w:r>
    </w:p>
    <w:p>
      <w:pPr>
        <w:numPr>
          <w:ilvl w:val="0"/>
          <w:numId w:val="5"/>
        </w:numPr>
        <w:spacing w:line="360" w:lineRule="auto"/>
        <w:ind w:left="0" w:firstLine="426"/>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甲方委托乙方为甲方的</w:t>
      </w:r>
      <w:r>
        <w:rPr>
          <w:rFonts w:hint="eastAsia" w:ascii="宋体" w:hAnsi="宋体" w:cs="宋体"/>
          <w:color w:val="000000" w:themeColor="text1"/>
          <w:kern w:val="0"/>
          <w:sz w:val="24"/>
          <w:lang w:val="en-US" w:eastAsia="zh-CN"/>
          <w14:textFill>
            <w14:solidFill>
              <w14:schemeClr w14:val="tx1"/>
            </w14:solidFill>
          </w14:textFill>
        </w:rPr>
        <w:t>账户开立</w:t>
      </w:r>
      <w:r>
        <w:rPr>
          <w:rFonts w:hint="eastAsia" w:ascii="宋体" w:hAnsi="宋体" w:cs="宋体"/>
          <w:color w:val="000000" w:themeColor="text1"/>
          <w:kern w:val="0"/>
          <w:sz w:val="24"/>
          <w14:textFill>
            <w14:solidFill>
              <w14:schemeClr w14:val="tx1"/>
            </w14:solidFill>
          </w14:textFill>
        </w:rPr>
        <w:t>银行</w:t>
      </w:r>
      <w:r>
        <w:rPr>
          <w:rFonts w:hint="eastAsia" w:ascii="宋体" w:hAnsi="宋体" w:cs="宋体"/>
          <w:color w:val="000000" w:themeColor="text1"/>
          <w:sz w:val="24"/>
          <w14:textFill>
            <w14:solidFill>
              <w14:schemeClr w14:val="tx1"/>
            </w14:solidFill>
          </w14:textFill>
        </w:rPr>
        <w:t>并根据相关法律法规为甲方提供结算、监管、财务顾问等综合金融服务。</w:t>
      </w:r>
    </w:p>
    <w:p>
      <w:pPr>
        <w:numPr>
          <w:ilvl w:val="0"/>
          <w:numId w:val="5"/>
        </w:numPr>
        <w:spacing w:line="360" w:lineRule="auto"/>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乙方向甲方反馈账户收付信息，并提供实时查询、回单送达服务。</w:t>
      </w:r>
    </w:p>
    <w:p>
      <w:pPr>
        <w:numPr>
          <w:ilvl w:val="0"/>
          <w:numId w:val="5"/>
        </w:numPr>
        <w:spacing w:line="360" w:lineRule="auto"/>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本协议未尽事宜，乙方应按照资金存放账户开设项目招标文件及乙方投标文件履行相应职责和义务。</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第二条甲方的职责和义务</w:t>
      </w:r>
    </w:p>
    <w:p>
      <w:pPr>
        <w:numPr>
          <w:ilvl w:val="0"/>
          <w:numId w:val="6"/>
        </w:numPr>
        <w:spacing w:line="360" w:lineRule="auto"/>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有权对乙方代理的账户的收付业务进行检查、指导，提出改进意见。</w:t>
      </w:r>
    </w:p>
    <w:p>
      <w:pPr>
        <w:numPr>
          <w:ilvl w:val="0"/>
          <w:numId w:val="6"/>
        </w:numPr>
        <w:spacing w:line="360" w:lineRule="auto"/>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妥善保管乙方提供的支付清单及相关文件。</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第三条乙方的职责和义务</w:t>
      </w:r>
    </w:p>
    <w:p>
      <w:pPr>
        <w:numPr>
          <w:ilvl w:val="0"/>
          <w:numId w:val="7"/>
        </w:numPr>
        <w:spacing w:line="360" w:lineRule="auto"/>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根据甲方要求及时办理账户的开立、变更和撤销事宜。</w:t>
      </w:r>
    </w:p>
    <w:p>
      <w:pPr>
        <w:numPr>
          <w:ilvl w:val="0"/>
          <w:numId w:val="7"/>
        </w:numPr>
        <w:spacing w:line="360" w:lineRule="auto"/>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严格按照甲方的支付要求，及时、安全、准确地办理财政支付业务，不压票。</w:t>
      </w:r>
    </w:p>
    <w:p>
      <w:pPr>
        <w:numPr>
          <w:ilvl w:val="0"/>
          <w:numId w:val="7"/>
        </w:numPr>
        <w:spacing w:line="360" w:lineRule="auto"/>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乙方向甲方支付的合同存款利率按以下标准执行：</w:t>
      </w:r>
    </w:p>
    <w:p>
      <w:pPr>
        <w:spacing w:line="360" w:lineRule="auto"/>
        <w:ind w:firstLine="480" w:firstLineChars="200"/>
        <w:rPr>
          <w:rFonts w:hint="default" w:ascii="宋体" w:eastAsia="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活期存款利率为：   。协定利率为：   。（一）</w:t>
      </w:r>
      <w:r>
        <w:rPr>
          <w:rFonts w:hint="eastAsia" w:ascii="宋体" w:hAnsi="宋体" w:cs="宋体"/>
          <w:color w:val="000000" w:themeColor="text1"/>
          <w:kern w:val="0"/>
          <w:sz w:val="24"/>
          <w14:textFill>
            <w14:solidFill>
              <w14:schemeClr w14:val="tx1"/>
            </w14:solidFill>
          </w14:textFill>
        </w:rPr>
        <w:t>年期</w:t>
      </w:r>
      <w:r>
        <w:rPr>
          <w:rFonts w:hint="eastAsia" w:ascii="宋体" w:hAnsi="宋体" w:cs="宋体"/>
          <w:color w:val="000000" w:themeColor="text1"/>
          <w:sz w:val="24"/>
          <w14:textFill>
            <w14:solidFill>
              <w14:schemeClr w14:val="tx1"/>
            </w14:solidFill>
          </w14:textFill>
        </w:rPr>
        <w:t>定期存款利率</w:t>
      </w:r>
      <w:r>
        <w:rPr>
          <w:rFonts w:hint="eastAsia" w:ascii="宋体" w:hAnsi="宋体" w:cs="宋体"/>
          <w:color w:val="000000" w:themeColor="text1"/>
          <w:kern w:val="0"/>
          <w:sz w:val="24"/>
          <w14:textFill>
            <w14:solidFill>
              <w14:schemeClr w14:val="tx1"/>
            </w14:solidFill>
          </w14:textFill>
        </w:rPr>
        <w:t>为</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 xml:space="preserve"> 。</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、利率加点应符合国家有关利率管理规定，同时参考当地金融机构市场利率定价自律机制。</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（四）具有先进资金汇划清算系统，适应银行系统实时清算要求。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（五）在中国人民银行有充足的备付金头寸，具有较强的风险控制能力，能够保证账户资金的支付。</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（六）为甲方及相关预算单位提供优质代理服务。</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（七）妥善保管甲方支付凭证及相关会计凭证，按时向甲方报送报表及对账，对甲方提供的各种信息、凭证等承担保密责任。</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（八）甲、乙双方其他约定：</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第四条其他约定</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乙方出现以下情形，甲方可变更开户银行或提前收回定期存款，提前收回定期存款的利率计算方式按照相关银行定期存款业务的常规规定办理。</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（一）出现资金安全事故和重大违法违规情况或财务恶化；</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（二）监管评级降低，甲方或监管部门认为存在较大运营风险；</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（三）乙方通过严重不正当投标行为取得中标资格；</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（四）没有按照本协议及招标文件承诺履行相应的责任和义务；</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（五）不能及时将到期存款本息足额缴入甲方；</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（六）其他妨害甲方资金安全的行为。</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第五条合同期限</w:t>
      </w:r>
    </w:p>
    <w:p>
      <w:pPr>
        <w:spacing w:line="360" w:lineRule="auto"/>
        <w:ind w:firstLine="480" w:firstLineChars="200"/>
        <w:jc w:val="left"/>
        <w:rPr>
          <w:rFonts w:ascii="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w:t>
      </w:r>
      <w:r>
        <w:rPr>
          <w:rFonts w:hint="eastAsia" w:ascii="宋体" w:hAnsi="宋体" w:cs="宋体"/>
          <w:color w:val="000000" w:themeColor="text1"/>
          <w:sz w:val="24"/>
          <w:lang w:val="en-US" w:eastAsia="zh-CN"/>
          <w14:textFill>
            <w14:solidFill>
              <w14:schemeClr w14:val="tx1"/>
            </w14:solidFill>
          </w14:textFill>
        </w:rPr>
        <w:t>开户</w:t>
      </w:r>
      <w:r>
        <w:rPr>
          <w:rFonts w:hint="eastAsia" w:ascii="宋体" w:hAnsi="宋体" w:cs="宋体"/>
          <w:color w:val="000000" w:themeColor="text1"/>
          <w:sz w:val="24"/>
          <w14:textFill>
            <w14:solidFill>
              <w14:schemeClr w14:val="tx1"/>
            </w14:solidFill>
          </w14:textFill>
        </w:rPr>
        <w:t>期为</w:t>
      </w:r>
      <w:r>
        <w:rPr>
          <w:rFonts w:hint="eastAsia" w:ascii="宋体" w:hAnsi="宋体" w:cs="宋体"/>
          <w:color w:val="000000" w:themeColor="text1"/>
          <w:sz w:val="24"/>
          <w:lang w:val="en-US" w:eastAsia="zh-CN"/>
          <w14:textFill>
            <w14:solidFill>
              <w14:schemeClr w14:val="tx1"/>
            </w14:solidFill>
          </w14:textFill>
        </w:rPr>
        <w:t>五年</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开户协议</w:t>
      </w:r>
      <w:r>
        <w:rPr>
          <w:rFonts w:hint="eastAsia" w:ascii="宋体" w:hAnsi="宋体" w:cs="宋体"/>
          <w:color w:val="000000" w:themeColor="text1"/>
          <w:sz w:val="24"/>
          <w14:textFill>
            <w14:solidFill>
              <w14:schemeClr w14:val="tx1"/>
            </w14:solidFill>
          </w14:textFill>
        </w:rPr>
        <w:t>到期后，招标人可根据开户协议对原中标银行进行考核，考核合格可续签开户协议，但续签协议期限不超过</w:t>
      </w:r>
      <w:r>
        <w:rPr>
          <w:rFonts w:hint="eastAsia" w:ascii="宋体" w:hAnsi="宋体" w:cs="宋体"/>
          <w:color w:val="000000" w:themeColor="text1"/>
          <w:sz w:val="24"/>
          <w:lang w:val="en-US" w:eastAsia="zh-CN"/>
          <w14:textFill>
            <w14:solidFill>
              <w14:schemeClr w14:val="tx1"/>
            </w14:solidFill>
          </w14:textFill>
        </w:rPr>
        <w:t>五</w:t>
      </w:r>
      <w:r>
        <w:rPr>
          <w:rFonts w:hint="eastAsia" w:ascii="宋体" w:hAnsi="宋体" w:cs="宋体"/>
          <w:color w:val="000000" w:themeColor="text1"/>
          <w:sz w:val="24"/>
          <w14:textFill>
            <w14:solidFill>
              <w14:schemeClr w14:val="tx1"/>
            </w14:solidFill>
          </w14:textFill>
        </w:rPr>
        <w:t>年。如果服务不能达到招标要求和投标承诺的，或国家另有规定的，以及招标人</w:t>
      </w:r>
      <w:r>
        <w:rPr>
          <w:rFonts w:hint="eastAsia" w:ascii="宋体" w:hAnsi="宋体" w:cs="宋体"/>
          <w:color w:val="000000" w:themeColor="text1"/>
          <w:kern w:val="0"/>
          <w:sz w:val="24"/>
          <w14:textFill>
            <w14:solidFill>
              <w14:schemeClr w14:val="tx1"/>
            </w14:solidFill>
          </w14:textFill>
        </w:rPr>
        <w:t>因机构改革、上级政策规定等原因，</w:t>
      </w:r>
      <w:r>
        <w:rPr>
          <w:rFonts w:hint="eastAsia" w:ascii="宋体" w:hAnsi="宋体" w:cs="宋体"/>
          <w:color w:val="000000" w:themeColor="text1"/>
          <w:sz w:val="24"/>
          <w14:textFill>
            <w14:solidFill>
              <w14:schemeClr w14:val="tx1"/>
            </w14:solidFill>
          </w14:textFill>
        </w:rPr>
        <w:t>招标人有权终止协议。</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第六条违约责任</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因甲方过错给乙方造成损失的，由甲方承担在过错范围内的相应责任。甲方工作人员如违反国家有关规定，由有关机关依法进行处理。</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因乙方原因导致财政资金错划、漏划、误划、或故意不执行、迟延执行甲方委托事项，给甲方造成损失的，由乙方承担甲方直接损失、间接损失等一切法律责任和赔偿责任。乙方工作人员如违反国家有关规定，由有关机关依法进行处理。</w:t>
      </w:r>
      <w:r>
        <w:rPr>
          <w:rFonts w:ascii="宋体" w:hAnsi="宋体" w:cs="宋体"/>
          <w:color w:val="000000" w:themeColor="text1"/>
          <w:kern w:val="0"/>
          <w:sz w:val="24"/>
          <w14:textFill>
            <w14:solidFill>
              <w14:schemeClr w14:val="tx1"/>
            </w14:solidFill>
          </w14:textFill>
        </w:rPr>
        <w:t>乙方应按本合同约定的利率水平及时、足额向甲方付清利息，杜绝出现错漏或少付情形，否则，除应向甲方补足差额部分利息外，每逾期一日还应按欠款金额的万分之五向甲方支付违约金。本合同有效期内，出现前述违约情形，经甲方催告之日起15个工作日内未予纠正，或者一年期内累计出现3次以上（含三次）违约情形，</w:t>
      </w:r>
      <w:r>
        <w:rPr>
          <w:rFonts w:hint="eastAsia" w:ascii="宋体" w:hAnsi="宋体" w:cs="宋体"/>
          <w:color w:val="000000" w:themeColor="text1"/>
          <w:kern w:val="0"/>
          <w:sz w:val="24"/>
          <w14:textFill>
            <w14:solidFill>
              <w14:schemeClr w14:val="tx1"/>
            </w14:solidFill>
          </w14:textFill>
        </w:rPr>
        <w:t>除按本协议约定乙方支付违约金之外，甲</w:t>
      </w:r>
      <w:r>
        <w:rPr>
          <w:rFonts w:ascii="宋体" w:hAnsi="宋体" w:cs="宋体"/>
          <w:color w:val="000000" w:themeColor="text1"/>
          <w:kern w:val="0"/>
          <w:sz w:val="24"/>
          <w14:textFill>
            <w14:solidFill>
              <w14:schemeClr w14:val="tx1"/>
            </w14:solidFill>
          </w14:textFill>
        </w:rPr>
        <w:t>方有权</w:t>
      </w:r>
      <w:r>
        <w:rPr>
          <w:rFonts w:hint="eastAsia" w:ascii="宋体" w:hAnsi="宋体" w:cs="宋体"/>
          <w:color w:val="000000" w:themeColor="text1"/>
          <w:kern w:val="0"/>
          <w:sz w:val="24"/>
          <w14:textFill>
            <w14:solidFill>
              <w14:schemeClr w14:val="tx1"/>
            </w14:solidFill>
          </w14:textFill>
        </w:rPr>
        <w:t>单方面</w:t>
      </w:r>
      <w:r>
        <w:rPr>
          <w:rFonts w:ascii="宋体" w:hAnsi="宋体" w:cs="宋体"/>
          <w:color w:val="000000" w:themeColor="text1"/>
          <w:kern w:val="0"/>
          <w:sz w:val="24"/>
          <w14:textFill>
            <w14:solidFill>
              <w14:schemeClr w14:val="tx1"/>
            </w14:solidFill>
          </w14:textFill>
        </w:rPr>
        <w:t>解除本合同并追究乙方全部违约责任</w:t>
      </w:r>
      <w:r>
        <w:rPr>
          <w:rFonts w:hint="eastAsia" w:ascii="宋体" w:hAnsi="宋体" w:cs="宋体"/>
          <w:color w:val="000000" w:themeColor="text1"/>
          <w:kern w:val="0"/>
          <w:sz w:val="24"/>
          <w14:textFill>
            <w14:solidFill>
              <w14:schemeClr w14:val="tx1"/>
            </w14:solidFill>
          </w14:textFill>
        </w:rPr>
        <w:t>和赔偿责任</w:t>
      </w:r>
      <w:r>
        <w:rPr>
          <w:rFonts w:ascii="宋体" w:hAnsi="宋体" w:cs="宋体"/>
          <w:color w:val="000000" w:themeColor="text1"/>
          <w:kern w:val="0"/>
          <w:sz w:val="24"/>
          <w14:textFill>
            <w14:solidFill>
              <w14:schemeClr w14:val="tx1"/>
            </w14:solidFill>
          </w14:textFill>
        </w:rPr>
        <w:t>。</w:t>
      </w:r>
    </w:p>
    <w:p>
      <w:pPr>
        <w:numPr>
          <w:ilvl w:val="0"/>
          <w:numId w:val="8"/>
        </w:numPr>
        <w:spacing w:line="400" w:lineRule="exact"/>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执行期间当一方没有按照投标及协议承诺履行相应的责任和义务的，达到上述本协议约定的解除条件，另一方有权按本协议之约定终止协议。</w:t>
      </w:r>
    </w:p>
    <w:p>
      <w:pPr>
        <w:numPr>
          <w:ilvl w:val="0"/>
          <w:numId w:val="8"/>
        </w:numPr>
        <w:spacing w:line="400" w:lineRule="exact"/>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甲、乙双方因不可抗力无法履行协议的，根据不可抗力的影响，甲乙双方可以部分或者全部免除责任，互不负违约责任，但法律另有规定的除外，如因当事一方迟延履行协议后发生不可抗力的，不能免除责任。</w:t>
      </w:r>
    </w:p>
    <w:p>
      <w:pPr>
        <w:numPr>
          <w:ilvl w:val="0"/>
          <w:numId w:val="8"/>
        </w:numPr>
        <w:spacing w:line="400" w:lineRule="exact"/>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本协议所称不可抗力，是指不能预见、不能避免并不能克服的客观情况。</w:t>
      </w:r>
    </w:p>
    <w:p>
      <w:pPr>
        <w:spacing w:line="400" w:lineRule="exact"/>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第七条协议生效与终止</w:t>
      </w:r>
    </w:p>
    <w:p>
      <w:pPr>
        <w:numPr>
          <w:ilvl w:val="0"/>
          <w:numId w:val="9"/>
        </w:numPr>
        <w:spacing w:line="400" w:lineRule="exact"/>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本协议自甲乙双方法定代表人（负责人）或授权代表人签字并加盖公章之日起生效。</w:t>
      </w:r>
    </w:p>
    <w:p>
      <w:pPr>
        <w:numPr>
          <w:ilvl w:val="0"/>
          <w:numId w:val="9"/>
        </w:numPr>
        <w:spacing w:line="400" w:lineRule="exact"/>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协议履行期间，如出现协议与颁布的有关法律、法规、政策规定不符的情况，甲乙双方应按新的法律、法规、政策规定执行。</w:t>
      </w:r>
    </w:p>
    <w:p>
      <w:pPr>
        <w:numPr>
          <w:ilvl w:val="0"/>
          <w:numId w:val="9"/>
        </w:numPr>
        <w:spacing w:line="400" w:lineRule="exact"/>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本协议终止后，甲乙双方应对委托代理期间发生的应尽未尽委托代理事项负责结清，有关承担保密义务的条款对双方仍然继续有效。</w:t>
      </w:r>
    </w:p>
    <w:p>
      <w:pPr>
        <w:numPr>
          <w:ilvl w:val="0"/>
          <w:numId w:val="9"/>
        </w:numPr>
        <w:spacing w:line="400" w:lineRule="exact"/>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甲乙双方如遇纠纷，应本着互相信任与合作的原则，共同协商解决。如无法协商解决，则由甲方所在地人民法院诉讼解决。</w:t>
      </w:r>
    </w:p>
    <w:p>
      <w:pPr>
        <w:spacing w:line="400" w:lineRule="exact"/>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第八条下列文件属于本协议的依据和附件，具有同等法律效力：</w:t>
      </w:r>
    </w:p>
    <w:p>
      <w:pPr>
        <w:numPr>
          <w:ilvl w:val="0"/>
          <w:numId w:val="10"/>
        </w:numPr>
        <w:spacing w:line="400" w:lineRule="exact"/>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甲方的招标文件；</w:t>
      </w:r>
    </w:p>
    <w:p>
      <w:pPr>
        <w:numPr>
          <w:ilvl w:val="0"/>
          <w:numId w:val="10"/>
        </w:numPr>
        <w:spacing w:line="400" w:lineRule="exact"/>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乙方的投标文件；</w:t>
      </w:r>
    </w:p>
    <w:p>
      <w:pPr>
        <w:numPr>
          <w:ilvl w:val="0"/>
          <w:numId w:val="10"/>
        </w:numPr>
        <w:spacing w:line="400" w:lineRule="exact"/>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入围</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中标通知书；</w:t>
      </w:r>
    </w:p>
    <w:p>
      <w:pPr>
        <w:numPr>
          <w:ilvl w:val="0"/>
          <w:numId w:val="10"/>
        </w:numPr>
        <w:spacing w:line="400" w:lineRule="exact"/>
        <w:ind w:left="0"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甲乙双方授权代表签字并指明的其他书面文件。</w:t>
      </w:r>
    </w:p>
    <w:p>
      <w:pPr>
        <w:spacing w:line="400" w:lineRule="exact"/>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第九条本协议一式陆份，其中甲方、乙方各执贰份，送财政局和主管部门备案各壹份。</w:t>
      </w:r>
    </w:p>
    <w:p>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（以下无正文）</w:t>
      </w:r>
    </w:p>
    <w:p>
      <w:pPr>
        <w:spacing w:line="400" w:lineRule="exact"/>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甲方：（公章）</w:t>
      </w:r>
    </w:p>
    <w:p>
      <w:pPr>
        <w:spacing w:line="400" w:lineRule="exact"/>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法定代表人或授权代表人签字：</w:t>
      </w:r>
    </w:p>
    <w:p>
      <w:pPr>
        <w:spacing w:line="400" w:lineRule="exact"/>
        <w:ind w:firstLine="480" w:firstLineChars="200"/>
        <w:rPr>
          <w:rFonts w:ascii="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 xml:space="preserve">20  </w:t>
      </w:r>
      <w:r>
        <w:rPr>
          <w:rFonts w:hint="eastAsia" w:ascii="宋体" w:hAnsi="宋体" w:cs="宋体"/>
          <w:color w:val="000000" w:themeColor="text1"/>
          <w:kern w:val="0"/>
          <w:sz w:val="24"/>
          <w14:textFill>
            <w14:solidFill>
              <w14:schemeClr w14:val="tx1"/>
            </w14:solidFill>
          </w14:textFill>
        </w:rPr>
        <w:t>年月日</w:t>
      </w:r>
    </w:p>
    <w:p>
      <w:pPr>
        <w:spacing w:line="400" w:lineRule="exact"/>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乙方：（公章）</w:t>
      </w:r>
    </w:p>
    <w:p>
      <w:pPr>
        <w:spacing w:line="400" w:lineRule="exact"/>
        <w:ind w:firstLine="480" w:firstLineChars="200"/>
        <w:rPr>
          <w:rFonts w:asci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法定代表人或授权代表人签字：</w:t>
      </w:r>
    </w:p>
    <w:p>
      <w:pPr>
        <w:spacing w:line="400" w:lineRule="exact"/>
        <w:ind w:firstLine="480" w:firstLineChars="200"/>
        <w:rPr>
          <w:rFonts w:ascii="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 xml:space="preserve">20  </w:t>
      </w:r>
      <w:r>
        <w:rPr>
          <w:rFonts w:hint="eastAsia" w:ascii="宋体" w:hAnsi="宋体" w:cs="宋体"/>
          <w:color w:val="000000" w:themeColor="text1"/>
          <w:kern w:val="0"/>
          <w:sz w:val="24"/>
          <w14:textFill>
            <w14:solidFill>
              <w14:schemeClr w14:val="tx1"/>
            </w14:solidFill>
          </w14:textFill>
        </w:rPr>
        <w:t>年月日</w:t>
      </w:r>
    </w:p>
    <w:p>
      <w:pPr>
        <w:pStyle w:val="3"/>
        <w:ind w:firstLine="0"/>
        <w:jc w:val="center"/>
        <w:rPr>
          <w:rFonts w:ascii="宋体" w:hAnsi="宋体"/>
          <w:i w:val="0"/>
          <w:color w:val="000000" w:themeColor="text1"/>
          <w:sz w:val="32"/>
          <w:szCs w:val="32"/>
          <w14:textFill>
            <w14:solidFill>
              <w14:schemeClr w14:val="tx1"/>
            </w14:solidFill>
          </w14:textFill>
        </w:rPr>
        <w:sectPr>
          <w:pgSz w:w="11906" w:h="16838"/>
          <w:pgMar w:top="1440" w:right="1469" w:bottom="1440" w:left="1797" w:header="851" w:footer="992" w:gutter="0"/>
          <w:pgBorders>
            <w:top w:val="none" w:sz="0" w:space="0"/>
            <w:left w:val="none" w:sz="0" w:space="0"/>
            <w:bottom w:val="none" w:sz="0" w:space="0"/>
            <w:right w:val="none" w:sz="0" w:space="0"/>
          </w:pgBorders>
          <w:cols w:space="720" w:num="1"/>
          <w:docGrid w:linePitch="312" w:charSpace="0"/>
        </w:sectPr>
      </w:pPr>
    </w:p>
    <w:p>
      <w:pPr>
        <w:pStyle w:val="3"/>
        <w:ind w:firstLine="0"/>
        <w:jc w:val="center"/>
        <w:rPr>
          <w:rFonts w:ascii="宋体" w:hAnsi="宋体"/>
          <w:i w:val="0"/>
          <w:color w:val="000000" w:themeColor="text1"/>
          <w:sz w:val="32"/>
          <w:szCs w:val="32"/>
          <w14:textFill>
            <w14:solidFill>
              <w14:schemeClr w14:val="tx1"/>
            </w14:solidFill>
          </w14:textFill>
        </w:rPr>
      </w:pPr>
      <w:r>
        <w:rPr>
          <w:rFonts w:hint="eastAsia" w:ascii="宋体" w:hAnsi="宋体"/>
          <w:i w:val="0"/>
          <w:color w:val="000000" w:themeColor="text1"/>
          <w:sz w:val="32"/>
          <w:szCs w:val="32"/>
          <w14:textFill>
            <w14:solidFill>
              <w14:schemeClr w14:val="tx1"/>
            </w14:solidFill>
          </w14:textFill>
        </w:rPr>
        <w:t>第六章  投标文件格式</w:t>
      </w:r>
      <w:bookmarkEnd w:id="146"/>
    </w:p>
    <w:p>
      <w:pPr>
        <w:snapToGrid w:val="0"/>
        <w:spacing w:line="280" w:lineRule="exact"/>
        <w:outlineLvl w:val="1"/>
        <w:rPr>
          <w:rFonts w:ascii="宋体" w:hAnsi="宋体"/>
          <w:color w:val="000000" w:themeColor="text1"/>
          <w:sz w:val="32"/>
          <w:szCs w:val="20"/>
          <w14:textFill>
            <w14:solidFill>
              <w14:schemeClr w14:val="tx1"/>
            </w14:solidFill>
          </w14:textFill>
        </w:rPr>
      </w:pPr>
    </w:p>
    <w:p>
      <w:pPr>
        <w:snapToGrid w:val="0"/>
        <w:spacing w:line="280" w:lineRule="exact"/>
        <w:outlineLvl w:val="1"/>
        <w:rPr>
          <w:rFonts w:ascii="宋体" w:hAnsi="宋体"/>
          <w:color w:val="000000" w:themeColor="text1"/>
          <w:sz w:val="32"/>
          <w:szCs w:val="20"/>
          <w14:textFill>
            <w14:solidFill>
              <w14:schemeClr w14:val="tx1"/>
            </w14:solidFill>
          </w14:textFill>
        </w:rPr>
      </w:pPr>
    </w:p>
    <w:p>
      <w:pPr>
        <w:snapToGrid w:val="0"/>
        <w:spacing w:line="280" w:lineRule="exact"/>
        <w:outlineLvl w:val="1"/>
        <w:rPr>
          <w:rFonts w:ascii="宋体" w:hAnsi="宋体"/>
          <w:color w:val="000000" w:themeColor="text1"/>
          <w:sz w:val="32"/>
          <w:szCs w:val="20"/>
          <w14:textFill>
            <w14:solidFill>
              <w14:schemeClr w14:val="tx1"/>
            </w14:solidFill>
          </w14:textFill>
        </w:rPr>
      </w:pPr>
    </w:p>
    <w:p>
      <w:pPr>
        <w:snapToGrid w:val="0"/>
        <w:spacing w:line="280" w:lineRule="exact"/>
        <w:outlineLvl w:val="1"/>
        <w:rPr>
          <w:rFonts w:ascii="宋体" w:hAnsi="宋体"/>
          <w:color w:val="000000" w:themeColor="text1"/>
          <w:sz w:val="32"/>
          <w:szCs w:val="20"/>
          <w14:textFill>
            <w14:solidFill>
              <w14:schemeClr w14:val="tx1"/>
            </w14:solidFill>
          </w14:textFill>
        </w:rPr>
      </w:pPr>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一、投标文件的外包装封面格式：</w:t>
      </w:r>
    </w:p>
    <w:p>
      <w:pPr>
        <w:snapToGrid w:val="0"/>
        <w:spacing w:line="240" w:lineRule="exact"/>
        <w:jc w:val="center"/>
        <w:rPr>
          <w:rFonts w:ascii="宋体" w:hAnsi="宋体"/>
          <w:bCs/>
          <w:color w:val="000000" w:themeColor="text1"/>
          <w:sz w:val="28"/>
          <w:szCs w:val="28"/>
          <w14:textFill>
            <w14:solidFill>
              <w14:schemeClr w14:val="tx1"/>
            </w14:solidFill>
          </w14:textFill>
        </w:rPr>
      </w:pPr>
    </w:p>
    <w:p>
      <w:pPr>
        <w:snapToGrid w:val="0"/>
        <w:spacing w:line="240" w:lineRule="exact"/>
        <w:jc w:val="center"/>
        <w:rPr>
          <w:rFonts w:ascii="宋体" w:hAnsi="宋体"/>
          <w:bCs/>
          <w:color w:val="000000" w:themeColor="text1"/>
          <w:sz w:val="28"/>
          <w:szCs w:val="28"/>
          <w14:textFill>
            <w14:solidFill>
              <w14:schemeClr w14:val="tx1"/>
            </w14:solidFill>
          </w14:textFill>
        </w:rPr>
      </w:pPr>
    </w:p>
    <w:p>
      <w:pPr>
        <w:snapToGrid w:val="0"/>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投标文件</w:t>
      </w:r>
    </w:p>
    <w:p>
      <w:pPr>
        <w:snapToGrid w:val="0"/>
        <w:rPr>
          <w:rFonts w:ascii="宋体" w:hAnsi="宋体"/>
          <w:bCs/>
          <w:color w:val="000000" w:themeColor="text1"/>
          <w:sz w:val="24"/>
          <w:szCs w:val="20"/>
          <w14:textFill>
            <w14:solidFill>
              <w14:schemeClr w14:val="tx1"/>
            </w14:solidFill>
          </w14:textFill>
        </w:rPr>
      </w:pPr>
    </w:p>
    <w:p>
      <w:pPr>
        <w:snapToGrid w:val="0"/>
        <w:spacing w:line="360" w:lineRule="auto"/>
        <w:rPr>
          <w:rFonts w:ascii="宋体" w:hAnsi="宋体"/>
          <w:bCs/>
          <w:color w:val="000000" w:themeColor="text1"/>
          <w:sz w:val="24"/>
          <w14:textFill>
            <w14:solidFill>
              <w14:schemeClr w14:val="tx1"/>
            </w14:solidFill>
          </w14:textFill>
        </w:rPr>
      </w:pPr>
    </w:p>
    <w:p>
      <w:pPr>
        <w:snapToGrid w:val="0"/>
        <w:spacing w:line="360" w:lineRule="auto"/>
        <w:rPr>
          <w:rFonts w:ascii="宋体" w:hAnsi="宋体"/>
          <w:bCs/>
          <w:color w:val="000000" w:themeColor="text1"/>
          <w:sz w:val="24"/>
          <w14:textFill>
            <w14:solidFill>
              <w14:schemeClr w14:val="tx1"/>
            </w14:solidFill>
          </w14:textFill>
        </w:rPr>
      </w:pPr>
    </w:p>
    <w:p>
      <w:pPr>
        <w:snapToGrid w:val="0"/>
        <w:spacing w:line="360" w:lineRule="auto"/>
        <w:rPr>
          <w:rFonts w:ascii="宋体" w:hAnsi="宋体"/>
          <w:bCs/>
          <w:color w:val="000000" w:themeColor="text1"/>
          <w:sz w:val="24"/>
          <w14:textFill>
            <w14:solidFill>
              <w14:schemeClr w14:val="tx1"/>
            </w14:solidFill>
          </w14:textFill>
        </w:rPr>
      </w:pPr>
    </w:p>
    <w:p>
      <w:pPr>
        <w:snapToGrid w:val="0"/>
        <w:spacing w:line="360" w:lineRule="auto"/>
        <w:rPr>
          <w:rFonts w:ascii="宋体" w:hAnsi="宋体"/>
          <w:bCs/>
          <w:color w:val="000000" w:themeColor="text1"/>
          <w:sz w:val="24"/>
          <w14:textFill>
            <w14:solidFill>
              <w14:schemeClr w14:val="tx1"/>
            </w14:solidFill>
          </w14:textFill>
        </w:rPr>
      </w:pPr>
    </w:p>
    <w:p>
      <w:pPr>
        <w:snapToGrid w:val="0"/>
        <w:spacing w:line="360" w:lineRule="auto"/>
        <w:rPr>
          <w:rFonts w:ascii="宋体" w:hAnsi="宋体"/>
          <w:bCs/>
          <w:color w:val="000000" w:themeColor="text1"/>
          <w:sz w:val="24"/>
          <w14:textFill>
            <w14:solidFill>
              <w14:schemeClr w14:val="tx1"/>
            </w14:solidFill>
          </w14:textFill>
        </w:rPr>
      </w:pPr>
    </w:p>
    <w:p>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项目名称： </w:t>
      </w:r>
    </w:p>
    <w:p>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项目编号：</w:t>
      </w:r>
    </w:p>
    <w:p>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投标人名称：</w:t>
      </w:r>
    </w:p>
    <w:p>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投标人地址：</w:t>
      </w:r>
    </w:p>
    <w:p>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在年月日时分之前不得启封</w:t>
      </w:r>
    </w:p>
    <w:p>
      <w:pPr>
        <w:snapToGrid w:val="0"/>
        <w:ind w:firstLine="4080" w:firstLineChars="1700"/>
        <w:rPr>
          <w:rFonts w:ascii="宋体" w:hAnsi="宋体"/>
          <w:bCs/>
          <w:color w:val="000000" w:themeColor="text1"/>
          <w:sz w:val="24"/>
          <w:szCs w:val="20"/>
          <w14:textFill>
            <w14:solidFill>
              <w14:schemeClr w14:val="tx1"/>
            </w14:solidFill>
          </w14:textFill>
        </w:rPr>
      </w:pPr>
    </w:p>
    <w:p>
      <w:pPr>
        <w:snapToGrid w:val="0"/>
        <w:ind w:firstLine="4080" w:firstLineChars="1700"/>
        <w:rPr>
          <w:rFonts w:ascii="宋体" w:hAnsi="宋体"/>
          <w:bCs/>
          <w:color w:val="000000" w:themeColor="text1"/>
          <w:sz w:val="24"/>
          <w:szCs w:val="20"/>
          <w14:textFill>
            <w14:solidFill>
              <w14:schemeClr w14:val="tx1"/>
            </w14:solidFill>
          </w14:textFill>
        </w:rPr>
      </w:pPr>
    </w:p>
    <w:p>
      <w:pPr>
        <w:snapToGrid w:val="0"/>
        <w:ind w:firstLine="4080" w:firstLineChars="1700"/>
        <w:rPr>
          <w:rFonts w:ascii="宋体" w:hAnsi="宋体"/>
          <w:bCs/>
          <w:color w:val="000000" w:themeColor="text1"/>
          <w:sz w:val="24"/>
          <w:szCs w:val="20"/>
          <w14:textFill>
            <w14:solidFill>
              <w14:schemeClr w14:val="tx1"/>
            </w14:solidFill>
          </w14:textFill>
        </w:rPr>
      </w:pPr>
    </w:p>
    <w:p>
      <w:pPr>
        <w:snapToGrid w:val="0"/>
        <w:ind w:firstLine="4080" w:firstLineChars="1700"/>
        <w:rPr>
          <w:rFonts w:ascii="宋体" w:hAnsi="宋体"/>
          <w:bCs/>
          <w:color w:val="000000" w:themeColor="text1"/>
          <w:sz w:val="24"/>
          <w:szCs w:val="20"/>
          <w14:textFill>
            <w14:solidFill>
              <w14:schemeClr w14:val="tx1"/>
            </w14:solidFill>
          </w14:textFill>
        </w:rPr>
      </w:pPr>
    </w:p>
    <w:p>
      <w:pPr>
        <w:snapToGrid w:val="0"/>
        <w:ind w:firstLine="4080" w:firstLineChars="1700"/>
        <w:rPr>
          <w:rFonts w:ascii="宋体" w:hAnsi="宋体"/>
          <w:bCs/>
          <w:color w:val="000000" w:themeColor="text1"/>
          <w:sz w:val="24"/>
          <w:szCs w:val="20"/>
          <w14:textFill>
            <w14:solidFill>
              <w14:schemeClr w14:val="tx1"/>
            </w14:solidFill>
          </w14:textFill>
        </w:rPr>
      </w:pPr>
    </w:p>
    <w:p>
      <w:pPr>
        <w:snapToGrid w:val="0"/>
        <w:ind w:firstLine="4080" w:firstLineChars="1700"/>
        <w:rPr>
          <w:rFonts w:ascii="宋体" w:hAnsi="宋体"/>
          <w:bCs/>
          <w:color w:val="000000" w:themeColor="text1"/>
          <w:sz w:val="24"/>
          <w:szCs w:val="20"/>
          <w14:textFill>
            <w14:solidFill>
              <w14:schemeClr w14:val="tx1"/>
            </w14:solidFill>
          </w14:textFill>
        </w:rPr>
      </w:pPr>
    </w:p>
    <w:p>
      <w:pPr>
        <w:snapToGrid w:val="0"/>
        <w:ind w:firstLine="4080" w:firstLineChars="1700"/>
        <w:rPr>
          <w:rFonts w:ascii="宋体" w:hAnsi="宋体"/>
          <w:bCs/>
          <w:color w:val="000000" w:themeColor="text1"/>
          <w:sz w:val="24"/>
          <w:szCs w:val="20"/>
          <w14:textFill>
            <w14:solidFill>
              <w14:schemeClr w14:val="tx1"/>
            </w14:solidFill>
          </w14:textFill>
        </w:rPr>
      </w:pPr>
    </w:p>
    <w:p>
      <w:pPr>
        <w:snapToGrid w:val="0"/>
        <w:ind w:firstLine="4080" w:firstLineChars="1700"/>
        <w:rPr>
          <w:rFonts w:ascii="宋体" w:hAnsi="宋体"/>
          <w:bCs/>
          <w:color w:val="000000" w:themeColor="text1"/>
          <w:sz w:val="24"/>
          <w:szCs w:val="20"/>
          <w14:textFill>
            <w14:solidFill>
              <w14:schemeClr w14:val="tx1"/>
            </w14:solidFill>
          </w14:textFill>
        </w:rPr>
      </w:pPr>
    </w:p>
    <w:p>
      <w:pPr>
        <w:snapToGrid w:val="0"/>
        <w:ind w:firstLine="4080" w:firstLineChars="1700"/>
        <w:rPr>
          <w:rFonts w:ascii="宋体" w:hAnsi="宋体"/>
          <w:bCs/>
          <w:color w:val="000000" w:themeColor="text1"/>
          <w:sz w:val="24"/>
          <w:szCs w:val="20"/>
          <w14:textFill>
            <w14:solidFill>
              <w14:schemeClr w14:val="tx1"/>
            </w14:solidFill>
          </w14:textFill>
        </w:rPr>
      </w:pPr>
      <w:r>
        <w:rPr>
          <w:rFonts w:hint="eastAsia" w:ascii="宋体" w:hAnsi="宋体"/>
          <w:bCs/>
          <w:color w:val="000000" w:themeColor="text1"/>
          <w:sz w:val="24"/>
          <w:szCs w:val="20"/>
          <w14:textFill>
            <w14:solidFill>
              <w14:schemeClr w14:val="tx1"/>
            </w14:solidFill>
          </w14:textFill>
        </w:rPr>
        <w:t xml:space="preserve">         投标人名称（投标人公章）</w:t>
      </w:r>
    </w:p>
    <w:p>
      <w:pPr>
        <w:snapToGrid w:val="0"/>
        <w:ind w:firstLine="645"/>
        <w:jc w:val="center"/>
        <w:rPr>
          <w:rFonts w:ascii="宋体" w:hAnsi="宋体"/>
          <w:bCs/>
          <w:color w:val="000000" w:themeColor="text1"/>
          <w:sz w:val="24"/>
          <w14:textFill>
            <w14:solidFill>
              <w14:schemeClr w14:val="tx1"/>
            </w14:solidFill>
          </w14:textFill>
        </w:rPr>
      </w:pPr>
    </w:p>
    <w:p>
      <w:pPr>
        <w:snapToGrid w:val="0"/>
        <w:ind w:firstLine="645"/>
        <w:jc w:val="center"/>
        <w:rPr>
          <w:rFonts w:ascii="宋体" w:hAnsi="宋体"/>
          <w:bCs/>
          <w:color w:val="000000" w:themeColor="text1"/>
          <w:sz w:val="24"/>
          <w:szCs w:val="20"/>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年   月    日</w:t>
      </w:r>
    </w:p>
    <w:p>
      <w:pPr>
        <w:snapToGrid w:val="0"/>
        <w:jc w:val="center"/>
        <w:outlineLvl w:val="1"/>
        <w:rPr>
          <w:rFonts w:ascii="宋体" w:hAnsi="宋体"/>
          <w:color w:val="000000" w:themeColor="text1"/>
          <w14:textFill>
            <w14:solidFill>
              <w14:schemeClr w14:val="tx1"/>
            </w14:solidFill>
          </w14:textFill>
        </w:rPr>
      </w:pPr>
    </w:p>
    <w:p>
      <w:pPr>
        <w:snapToGrid w:val="0"/>
        <w:jc w:val="center"/>
        <w:outlineLvl w:val="1"/>
        <w:rPr>
          <w:rFonts w:ascii="宋体" w:hAnsi="宋体"/>
          <w:color w:val="000000" w:themeColor="text1"/>
          <w14:textFill>
            <w14:solidFill>
              <w14:schemeClr w14:val="tx1"/>
            </w14:solidFill>
          </w14:textFill>
        </w:rPr>
      </w:pPr>
    </w:p>
    <w:p>
      <w:pPr>
        <w:snapToGrid w:val="0"/>
        <w:jc w:val="center"/>
        <w:outlineLvl w:val="1"/>
        <w:rPr>
          <w:rFonts w:ascii="宋体" w:hAnsi="宋体"/>
          <w:color w:val="000000" w:themeColor="text1"/>
          <w14:textFill>
            <w14:solidFill>
              <w14:schemeClr w14:val="tx1"/>
            </w14:solidFill>
          </w14:textFill>
        </w:rPr>
      </w:pPr>
    </w:p>
    <w:p>
      <w:pPr>
        <w:snapToGrid w:val="0"/>
        <w:jc w:val="center"/>
        <w:outlineLvl w:val="1"/>
        <w:rPr>
          <w:rFonts w:ascii="宋体" w:hAnsi="宋体"/>
          <w:color w:val="000000" w:themeColor="text1"/>
          <w14:textFill>
            <w14:solidFill>
              <w14:schemeClr w14:val="tx1"/>
            </w14:solidFill>
          </w14:textFill>
        </w:rPr>
      </w:pPr>
    </w:p>
    <w:p>
      <w:pPr>
        <w:snapToGrid w:val="0"/>
        <w:jc w:val="center"/>
        <w:outlineLvl w:val="1"/>
        <w:rPr>
          <w:rFonts w:ascii="宋体" w:hAnsi="宋体"/>
          <w:color w:val="000000" w:themeColor="text1"/>
          <w14:textFill>
            <w14:solidFill>
              <w14:schemeClr w14:val="tx1"/>
            </w14:solidFill>
          </w14:textFill>
        </w:rPr>
      </w:pPr>
    </w:p>
    <w:p>
      <w:pPr>
        <w:snapToGrid w:val="0"/>
        <w:jc w:val="center"/>
        <w:outlineLvl w:val="1"/>
        <w:rPr>
          <w:rFonts w:ascii="宋体" w:hAnsi="宋体"/>
          <w:color w:val="000000" w:themeColor="text1"/>
          <w14:textFill>
            <w14:solidFill>
              <w14:schemeClr w14:val="tx1"/>
            </w14:solidFill>
          </w14:textFill>
        </w:rPr>
      </w:pPr>
    </w:p>
    <w:p>
      <w:pPr>
        <w:snapToGrid w:val="0"/>
        <w:jc w:val="center"/>
        <w:outlineLvl w:val="1"/>
        <w:rPr>
          <w:rFonts w:ascii="宋体" w:hAnsi="宋体"/>
          <w:color w:val="000000" w:themeColor="text1"/>
          <w14:textFill>
            <w14:solidFill>
              <w14:schemeClr w14:val="tx1"/>
            </w14:solidFill>
          </w14:textFill>
        </w:rPr>
      </w:pPr>
    </w:p>
    <w:p>
      <w:pPr>
        <w:snapToGrid w:val="0"/>
        <w:jc w:val="center"/>
        <w:outlineLvl w:val="1"/>
        <w:rPr>
          <w:rFonts w:ascii="宋体" w:hAnsi="宋体"/>
          <w:color w:val="000000" w:themeColor="text1"/>
          <w14:textFill>
            <w14:solidFill>
              <w14:schemeClr w14:val="tx1"/>
            </w14:solidFill>
          </w14:textFill>
        </w:rPr>
      </w:pPr>
    </w:p>
    <w:p>
      <w:pPr>
        <w:snapToGrid w:val="0"/>
        <w:jc w:val="center"/>
        <w:outlineLvl w:val="1"/>
        <w:rPr>
          <w:rFonts w:ascii="宋体" w:hAnsi="宋体"/>
          <w:color w:val="000000" w:themeColor="text1"/>
          <w14:textFill>
            <w14:solidFill>
              <w14:schemeClr w14:val="tx1"/>
            </w14:solidFill>
          </w14:textFill>
        </w:rPr>
      </w:pPr>
    </w:p>
    <w:p>
      <w:pPr>
        <w:snapToGrid w:val="0"/>
        <w:jc w:val="center"/>
        <w:outlineLvl w:val="1"/>
        <w:rPr>
          <w:rFonts w:ascii="宋体" w:hAnsi="宋体"/>
          <w:color w:val="000000" w:themeColor="text1"/>
          <w14:textFill>
            <w14:solidFill>
              <w14:schemeClr w14:val="tx1"/>
            </w14:solidFill>
          </w14:textFill>
        </w:rPr>
      </w:pPr>
    </w:p>
    <w:p>
      <w:pPr>
        <w:snapToGrid w:val="0"/>
        <w:jc w:val="center"/>
        <w:outlineLvl w:val="1"/>
        <w:rPr>
          <w:rFonts w:ascii="宋体" w:hAnsi="宋体"/>
          <w:color w:val="000000" w:themeColor="text1"/>
          <w14:textFill>
            <w14:solidFill>
              <w14:schemeClr w14:val="tx1"/>
            </w14:solidFill>
          </w14:textFill>
        </w:rPr>
      </w:pPr>
    </w:p>
    <w:p>
      <w:pPr>
        <w:snapToGrid w:val="0"/>
        <w:jc w:val="center"/>
        <w:outlineLvl w:val="1"/>
        <w:rPr>
          <w:rFonts w:ascii="宋体" w:hAnsi="宋体"/>
          <w:color w:val="000000" w:themeColor="text1"/>
          <w14:textFill>
            <w14:solidFill>
              <w14:schemeClr w14:val="tx1"/>
            </w14:solidFill>
          </w14:textFill>
        </w:rPr>
      </w:pPr>
    </w:p>
    <w:p>
      <w:pPr>
        <w:snapToGrid w:val="0"/>
        <w:rPr>
          <w:rFonts w:ascii="宋体" w:hAnsi="宋体"/>
          <w:color w:val="000000" w:themeColor="text1"/>
          <w:sz w:val="24"/>
          <w14:textFill>
            <w14:solidFill>
              <w14:schemeClr w14:val="tx1"/>
            </w14:solidFill>
          </w14:textFill>
        </w:rPr>
      </w:pPr>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二、投标文件封面格式：</w:t>
      </w:r>
    </w:p>
    <w:p>
      <w:pPr>
        <w:snapToGrid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正本</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或副本</w:t>
      </w:r>
    </w:p>
    <w:p>
      <w:pPr>
        <w:snapToGrid w:val="0"/>
        <w:spacing w:line="240" w:lineRule="exact"/>
        <w:jc w:val="center"/>
        <w:rPr>
          <w:rFonts w:ascii="宋体" w:hAnsi="宋体"/>
          <w:bCs/>
          <w:color w:val="000000" w:themeColor="text1"/>
          <w:sz w:val="24"/>
          <w:szCs w:val="20"/>
          <w14:textFill>
            <w14:solidFill>
              <w14:schemeClr w14:val="tx1"/>
            </w14:solidFill>
          </w14:textFill>
        </w:rPr>
      </w:pPr>
    </w:p>
    <w:p>
      <w:pPr>
        <w:snapToGrid w:val="0"/>
        <w:spacing w:line="240" w:lineRule="exact"/>
        <w:jc w:val="center"/>
        <w:rPr>
          <w:rFonts w:ascii="宋体" w:hAnsi="宋体"/>
          <w:bCs/>
          <w:color w:val="000000" w:themeColor="text1"/>
          <w:sz w:val="24"/>
          <w:szCs w:val="20"/>
          <w14:textFill>
            <w14:solidFill>
              <w14:schemeClr w14:val="tx1"/>
            </w14:solidFill>
          </w14:textFill>
        </w:rPr>
      </w:pPr>
    </w:p>
    <w:p>
      <w:pPr>
        <w:snapToGrid w:val="0"/>
        <w:spacing w:line="240" w:lineRule="exact"/>
        <w:jc w:val="center"/>
        <w:rPr>
          <w:rFonts w:ascii="宋体" w:hAnsi="宋体"/>
          <w:bCs/>
          <w:color w:val="000000" w:themeColor="text1"/>
          <w:sz w:val="24"/>
          <w:szCs w:val="20"/>
          <w14:textFill>
            <w14:solidFill>
              <w14:schemeClr w14:val="tx1"/>
            </w14:solidFill>
          </w14:textFill>
        </w:rPr>
      </w:pPr>
    </w:p>
    <w:p>
      <w:pPr>
        <w:snapToGrid w:val="0"/>
        <w:spacing w:line="240" w:lineRule="exact"/>
        <w:jc w:val="center"/>
        <w:rPr>
          <w:rFonts w:ascii="宋体" w:hAnsi="宋体"/>
          <w:bCs/>
          <w:color w:val="000000" w:themeColor="text1"/>
          <w:sz w:val="24"/>
          <w:szCs w:val="20"/>
          <w14:textFill>
            <w14:solidFill>
              <w14:schemeClr w14:val="tx1"/>
            </w14:solidFill>
          </w14:textFill>
        </w:rPr>
      </w:pPr>
    </w:p>
    <w:p>
      <w:pPr>
        <w:snapToGrid w:val="0"/>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投标文件</w:t>
      </w:r>
    </w:p>
    <w:p>
      <w:pPr>
        <w:snapToGrid w:val="0"/>
        <w:rPr>
          <w:rFonts w:ascii="宋体" w:hAnsi="宋体"/>
          <w:bCs/>
          <w:color w:val="000000" w:themeColor="text1"/>
          <w:sz w:val="24"/>
          <w:szCs w:val="20"/>
          <w14:textFill>
            <w14:solidFill>
              <w14:schemeClr w14:val="tx1"/>
            </w14:solidFill>
          </w14:textFill>
        </w:rPr>
      </w:pPr>
    </w:p>
    <w:p>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项目名称：</w:t>
      </w:r>
    </w:p>
    <w:p>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项目编号：</w:t>
      </w:r>
    </w:p>
    <w:p>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投标人名称：</w:t>
      </w:r>
    </w:p>
    <w:p>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投标人地址：</w:t>
      </w:r>
    </w:p>
    <w:p>
      <w:pPr>
        <w:pStyle w:val="9"/>
        <w:snapToGrid w:val="0"/>
        <w:ind w:firstLine="1497" w:firstLineChars="416"/>
        <w:rPr>
          <w:rFonts w:ascii="宋体" w:hAnsi="宋体"/>
          <w:color w:val="000000" w:themeColor="text1"/>
          <w:sz w:val="36"/>
          <w14:textFill>
            <w14:solidFill>
              <w14:schemeClr w14:val="tx1"/>
            </w14:solidFill>
          </w14:textFill>
        </w:rPr>
      </w:pPr>
    </w:p>
    <w:p>
      <w:pPr>
        <w:pStyle w:val="9"/>
        <w:snapToGrid w:val="0"/>
        <w:ind w:firstLine="1497" w:firstLineChars="416"/>
        <w:rPr>
          <w:rFonts w:ascii="宋体" w:hAnsi="宋体"/>
          <w:color w:val="000000" w:themeColor="text1"/>
          <w:sz w:val="36"/>
          <w14:textFill>
            <w14:solidFill>
              <w14:schemeClr w14:val="tx1"/>
            </w14:solidFill>
          </w14:textFill>
        </w:rPr>
      </w:pPr>
    </w:p>
    <w:p>
      <w:pPr>
        <w:snapToGrid w:val="0"/>
        <w:ind w:firstLine="4920" w:firstLineChars="2050"/>
        <w:rPr>
          <w:rFonts w:ascii="宋体" w:hAnsi="宋体"/>
          <w:bCs/>
          <w:color w:val="000000" w:themeColor="text1"/>
          <w:sz w:val="24"/>
          <w:szCs w:val="20"/>
          <w14:textFill>
            <w14:solidFill>
              <w14:schemeClr w14:val="tx1"/>
            </w14:solidFill>
          </w14:textFill>
        </w:rPr>
      </w:pPr>
      <w:r>
        <w:rPr>
          <w:rFonts w:hint="eastAsia" w:ascii="宋体" w:hAnsi="宋体"/>
          <w:bCs/>
          <w:color w:val="000000" w:themeColor="text1"/>
          <w:sz w:val="24"/>
          <w:szCs w:val="20"/>
          <w14:textFill>
            <w14:solidFill>
              <w14:schemeClr w14:val="tx1"/>
            </w14:solidFill>
          </w14:textFill>
        </w:rPr>
        <w:t>投标人名称（投标人公章）</w:t>
      </w:r>
    </w:p>
    <w:p>
      <w:pPr>
        <w:snapToGrid w:val="0"/>
        <w:ind w:firstLine="645"/>
        <w:jc w:val="center"/>
        <w:rPr>
          <w:rFonts w:ascii="宋体" w:hAnsi="宋体"/>
          <w:color w:val="000000" w:themeColor="text1"/>
          <w:sz w:val="24"/>
          <w14:textFill>
            <w14:solidFill>
              <w14:schemeClr w14:val="tx1"/>
            </w14:solidFill>
          </w14:textFill>
        </w:rPr>
      </w:pPr>
    </w:p>
    <w:p>
      <w:pPr>
        <w:snapToGrid w:val="0"/>
        <w:ind w:firstLine="645"/>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pPr>
        <w:snapToGrid w:val="0"/>
        <w:rPr>
          <w:rFonts w:ascii="宋体" w:hAnsi="宋体"/>
          <w:color w:val="000000" w:themeColor="text1"/>
          <w:sz w:val="24"/>
          <w:szCs w:val="20"/>
          <w14:textFill>
            <w14:solidFill>
              <w14:schemeClr w14:val="tx1"/>
            </w14:solidFill>
          </w14:textFill>
        </w:rPr>
      </w:pPr>
    </w:p>
    <w:p>
      <w:pPr>
        <w:snapToGrid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column"/>
      </w: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1.投标声明书</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w:t>
      </w:r>
      <w:r>
        <w:rPr>
          <w:rFonts w:hint="eastAsia" w:ascii="宋体" w:hAnsi="宋体"/>
          <w:color w:val="000000" w:themeColor="text1"/>
          <w:sz w:val="24"/>
          <w:u w:val="single"/>
          <w:lang w:eastAsia="zh-CN"/>
          <w14:textFill>
            <w14:solidFill>
              <w14:schemeClr w14:val="tx1"/>
            </w14:solidFill>
          </w14:textFill>
        </w:rPr>
        <w:t>建德市医共体基本结算账户开户招标项目</w:t>
      </w:r>
      <w:r>
        <w:rPr>
          <w:rFonts w:hint="eastAsia" w:ascii="宋体" w:hAnsi="宋体"/>
          <w:color w:val="000000" w:themeColor="text1"/>
          <w:sz w:val="24"/>
          <w14:textFill>
            <w14:solidFill>
              <w14:schemeClr w14:val="tx1"/>
            </w14:solidFill>
          </w14:textFill>
        </w:rPr>
        <w:t>的招标公告，签字代表</w:t>
      </w:r>
      <w:r>
        <w:rPr>
          <w:rFonts w:hint="eastAsia" w:ascii="宋体" w:hAnsi="宋体"/>
          <w:color w:val="000000" w:themeColor="text1"/>
          <w:sz w:val="24"/>
          <w:u w:val="single"/>
          <w14:textFill>
            <w14:solidFill>
              <w14:schemeClr w14:val="tx1"/>
            </w14:solidFill>
          </w14:textFill>
        </w:rPr>
        <w:t>（姓名和职务）</w:t>
      </w:r>
      <w:r>
        <w:rPr>
          <w:rFonts w:hint="eastAsia" w:ascii="宋体" w:hAnsi="宋体"/>
          <w:color w:val="000000" w:themeColor="text1"/>
          <w:sz w:val="24"/>
          <w14:textFill>
            <w14:solidFill>
              <w14:schemeClr w14:val="tx1"/>
            </w14:solidFill>
          </w14:textFill>
        </w:rPr>
        <w:t>经正式授权并代表投标人</w:t>
      </w:r>
      <w:r>
        <w:rPr>
          <w:rFonts w:hint="eastAsia" w:ascii="宋体" w:hAnsi="宋体"/>
          <w:color w:val="000000" w:themeColor="text1"/>
          <w:sz w:val="24"/>
          <w:u w:val="single"/>
          <w14:textFill>
            <w14:solidFill>
              <w14:schemeClr w14:val="tx1"/>
            </w14:solidFill>
          </w14:textFill>
        </w:rPr>
        <w:t>（投标人名称、地址）</w:t>
      </w:r>
      <w:r>
        <w:rPr>
          <w:rFonts w:hint="eastAsia" w:ascii="宋体" w:hAnsi="宋体"/>
          <w:color w:val="000000" w:themeColor="text1"/>
          <w:sz w:val="24"/>
          <w14:textFill>
            <w14:solidFill>
              <w14:schemeClr w14:val="tx1"/>
            </w14:solidFill>
          </w14:textFill>
        </w:rPr>
        <w:t>提交下述文件电子</w:t>
      </w:r>
      <w:r>
        <w:rPr>
          <w:rFonts w:hint="eastAsia" w:ascii="宋体" w:hAnsi="宋体"/>
          <w:color w:val="000000" w:themeColor="text1"/>
          <w:sz w:val="24"/>
          <w:lang w:val="en-US" w:eastAsia="zh-CN"/>
          <w14:textFill>
            <w14:solidFill>
              <w14:schemeClr w14:val="tx1"/>
            </w14:solidFill>
          </w14:textFill>
        </w:rPr>
        <w:t>文档</w:t>
      </w:r>
      <w:r>
        <w:rPr>
          <w:rFonts w:hint="eastAsia" w:ascii="宋体" w:hAnsi="宋体"/>
          <w:color w:val="000000" w:themeColor="text1"/>
          <w:sz w:val="24"/>
          <w14:textFill>
            <w14:solidFill>
              <w14:schemeClr w14:val="tx1"/>
            </w14:solidFill>
          </w14:textFill>
        </w:rPr>
        <w:t>一份，纸质</w:t>
      </w:r>
      <w:r>
        <w:rPr>
          <w:rFonts w:hint="eastAsia" w:ascii="宋体" w:hAnsi="宋体"/>
          <w:color w:val="000000" w:themeColor="text1"/>
          <w:sz w:val="24"/>
          <w:lang w:val="en-US" w:eastAsia="zh-CN"/>
          <w14:textFill>
            <w14:solidFill>
              <w14:schemeClr w14:val="tx1"/>
            </w14:solidFill>
          </w14:textFill>
        </w:rPr>
        <w:t>投标文件一正五副</w:t>
      </w:r>
      <w:r>
        <w:rPr>
          <w:rFonts w:hint="eastAsia" w:ascii="宋体" w:hAnsi="宋体"/>
          <w:color w:val="000000" w:themeColor="text1"/>
          <w:sz w:val="24"/>
          <w14:textFill>
            <w14:solidFill>
              <w14:schemeClr w14:val="tx1"/>
            </w14:solidFill>
          </w14:textFill>
        </w:rPr>
        <w:t>。</w:t>
      </w:r>
    </w:p>
    <w:p>
      <w:pPr>
        <w:numPr>
          <w:ilvl w:val="0"/>
          <w:numId w:val="11"/>
        </w:numPr>
        <w:tabs>
          <w:tab w:val="left" w:pos="720"/>
          <w:tab w:val="clear" w:pos="360"/>
        </w:tabs>
        <w:spacing w:line="360" w:lineRule="auto"/>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投标人基本情况声明</w:t>
      </w:r>
    </w:p>
    <w:p>
      <w:pPr>
        <w:numPr>
          <w:ilvl w:val="0"/>
          <w:numId w:val="11"/>
        </w:numPr>
        <w:tabs>
          <w:tab w:val="left" w:pos="720"/>
          <w:tab w:val="clear" w:pos="360"/>
        </w:tabs>
        <w:spacing w:line="360" w:lineRule="auto"/>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投标人资格证明文件；</w:t>
      </w:r>
    </w:p>
    <w:p>
      <w:pPr>
        <w:numPr>
          <w:ilvl w:val="0"/>
          <w:numId w:val="11"/>
        </w:numPr>
        <w:tabs>
          <w:tab w:val="left" w:pos="720"/>
          <w:tab w:val="clear" w:pos="360"/>
        </w:tabs>
        <w:spacing w:line="360" w:lineRule="auto"/>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投标人的具体情况；</w:t>
      </w:r>
    </w:p>
    <w:p>
      <w:pPr>
        <w:numPr>
          <w:ilvl w:val="0"/>
          <w:numId w:val="11"/>
        </w:numPr>
        <w:tabs>
          <w:tab w:val="left" w:pos="720"/>
          <w:tab w:val="clear" w:pos="360"/>
        </w:tabs>
        <w:spacing w:line="360" w:lineRule="auto"/>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投标人为招标人提供优质服务的承诺书；</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据此函，签字代表宣布同意如下：</w:t>
      </w:r>
    </w:p>
    <w:p>
      <w:pPr>
        <w:numPr>
          <w:ilvl w:val="0"/>
          <w:numId w:val="12"/>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我方将按招标文件的规定履行协议责任和义务；</w:t>
      </w:r>
    </w:p>
    <w:p>
      <w:pPr>
        <w:numPr>
          <w:ilvl w:val="0"/>
          <w:numId w:val="12"/>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我方已详细审核全部招标文件，包括补充修改文件（如果有的话）。我们完全理解并同意放弃对这方面有不明及误解的权利；</w:t>
      </w:r>
    </w:p>
    <w:p>
      <w:pPr>
        <w:numPr>
          <w:ilvl w:val="0"/>
          <w:numId w:val="12"/>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本投标有效期为投标截止期结束后</w:t>
      </w:r>
      <w:r>
        <w:rPr>
          <w:rFonts w:hint="eastAsia" w:ascii="宋体" w:hAnsi="宋体"/>
          <w:color w:val="000000" w:themeColor="text1"/>
          <w:sz w:val="24"/>
          <w:u w:val="single"/>
          <w14:textFill>
            <w14:solidFill>
              <w14:schemeClr w14:val="tx1"/>
            </w14:solidFill>
          </w14:textFill>
        </w:rPr>
        <w:t>90</w:t>
      </w:r>
      <w:r>
        <w:rPr>
          <w:rFonts w:hint="eastAsia" w:ascii="宋体" w:hAnsi="宋体"/>
          <w:color w:val="000000" w:themeColor="text1"/>
          <w:sz w:val="24"/>
          <w14:textFill>
            <w14:solidFill>
              <w14:schemeClr w14:val="tx1"/>
            </w14:solidFill>
          </w14:textFill>
        </w:rPr>
        <w:t>天。</w:t>
      </w:r>
    </w:p>
    <w:p>
      <w:pPr>
        <w:numPr>
          <w:ilvl w:val="0"/>
          <w:numId w:val="12"/>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如果在规定的开标时间后，我方在投标有效期内撤回投标，可取消我行本次投标资格；</w:t>
      </w:r>
    </w:p>
    <w:p>
      <w:pPr>
        <w:numPr>
          <w:ilvl w:val="0"/>
          <w:numId w:val="12"/>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我方同意提供按照贵方要求的与其投标有关的一切证据或资料；</w:t>
      </w:r>
    </w:p>
    <w:p>
      <w:pPr>
        <w:numPr>
          <w:ilvl w:val="0"/>
          <w:numId w:val="12"/>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一旦我方中标，我们将根据招标文件的规定，严格按照《民法典》履行自己的责任和义务，并保证完全按照合同为</w:t>
      </w:r>
      <w:r>
        <w:rPr>
          <w:rFonts w:hint="eastAsia" w:ascii="宋体" w:hAnsi="宋体"/>
          <w:color w:val="000000" w:themeColor="text1"/>
          <w:sz w:val="24"/>
          <w:u w:val="single"/>
          <w:lang w:eastAsia="zh-CN"/>
          <w14:textFill>
            <w14:solidFill>
              <w14:schemeClr w14:val="tx1"/>
            </w14:solidFill>
          </w14:textFill>
        </w:rPr>
        <w:t>建德市医共体基本结算账户开户招标项目</w:t>
      </w:r>
      <w:r>
        <w:rPr>
          <w:rFonts w:hint="eastAsia" w:ascii="宋体" w:hAnsi="宋体"/>
          <w:color w:val="000000" w:themeColor="text1"/>
          <w:sz w:val="24"/>
          <w14:textFill>
            <w14:solidFill>
              <w14:schemeClr w14:val="tx1"/>
            </w14:solidFill>
          </w14:textFill>
        </w:rPr>
        <w:t>的相关业务提供服务；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与本投标有关的一切正式往来信函请寄：</w:t>
      </w:r>
    </w:p>
    <w:p>
      <w:pPr>
        <w:spacing w:line="360" w:lineRule="auto"/>
        <w:ind w:left="36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地址： 邮编：</w:t>
      </w:r>
    </w:p>
    <w:p>
      <w:pPr>
        <w:spacing w:line="360" w:lineRule="auto"/>
        <w:ind w:left="36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p>
    <w:p>
      <w:pPr>
        <w:spacing w:line="360" w:lineRule="auto"/>
        <w:ind w:left="36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授权代表签字：</w:t>
      </w:r>
    </w:p>
    <w:p>
      <w:pPr>
        <w:spacing w:line="360" w:lineRule="auto"/>
        <w:ind w:left="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投标人名称：  </w:t>
      </w:r>
    </w:p>
    <w:p>
      <w:pPr>
        <w:spacing w:line="360" w:lineRule="auto"/>
        <w:ind w:left="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公章：   </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2.投标报价一览表</w:t>
      </w:r>
    </w:p>
    <w:p>
      <w:pPr>
        <w:spacing w:line="360" w:lineRule="auto"/>
        <w:rPr>
          <w:rFonts w:ascii="宋体" w:hAnsi="宋体"/>
          <w:color w:val="000000" w:themeColor="text1"/>
          <w:sz w:val="28"/>
          <w:szCs w:val="28"/>
          <w14:textFill>
            <w14:solidFill>
              <w14:schemeClr w14:val="tx1"/>
            </w14:solidFill>
          </w14:textFill>
        </w:rPr>
      </w:pPr>
    </w:p>
    <w:p>
      <w:pPr>
        <w:spacing w:line="360" w:lineRule="auto"/>
        <w:ind w:firstLine="210" w:firstLineChars="75"/>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招标编号：</w:t>
      </w:r>
    </w:p>
    <w:p>
      <w:pPr>
        <w:spacing w:line="360" w:lineRule="auto"/>
        <w:ind w:firstLine="210" w:firstLineChars="75"/>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项目名称：</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4"/>
        <w:gridCol w:w="2930"/>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3894" w:type="dxa"/>
            <w:noWrap w:val="0"/>
            <w:vAlign w:val="center"/>
          </w:tcPr>
          <w:p>
            <w:pPr>
              <w:tabs>
                <w:tab w:val="left" w:pos="2670"/>
              </w:tabs>
              <w:adjustRightInd w:val="0"/>
              <w:spacing w:line="360" w:lineRule="auto"/>
              <w:jc w:val="center"/>
              <w:rPr>
                <w:rFonts w:ascii="宋体"/>
                <w:b/>
                <w:bCs/>
                <w:color w:val="000000"/>
                <w:sz w:val="24"/>
                <w:lang w:val="zh-CN"/>
              </w:rPr>
            </w:pPr>
            <w:r>
              <w:rPr>
                <w:rFonts w:hint="eastAsia" w:ascii="宋体" w:hAnsi="宋体" w:cs="宋体"/>
                <w:b/>
                <w:bCs/>
                <w:color w:val="000000"/>
                <w:sz w:val="24"/>
                <w:lang w:val="zh-CN"/>
              </w:rPr>
              <w:t>项目名称</w:t>
            </w:r>
          </w:p>
        </w:tc>
        <w:tc>
          <w:tcPr>
            <w:tcW w:w="2930" w:type="dxa"/>
            <w:noWrap w:val="0"/>
            <w:vAlign w:val="center"/>
          </w:tcPr>
          <w:p>
            <w:pPr>
              <w:tabs>
                <w:tab w:val="left" w:pos="2670"/>
              </w:tabs>
              <w:adjustRightInd w:val="0"/>
              <w:spacing w:line="360" w:lineRule="auto"/>
              <w:jc w:val="center"/>
              <w:rPr>
                <w:rFonts w:ascii="宋体"/>
                <w:b/>
                <w:bCs/>
                <w:color w:val="000000"/>
                <w:sz w:val="24"/>
                <w:lang w:val="zh-CN"/>
              </w:rPr>
            </w:pPr>
            <w:r>
              <w:rPr>
                <w:rFonts w:hint="eastAsia" w:ascii="宋体" w:hAnsi="宋体" w:cs="宋体"/>
                <w:b/>
                <w:bCs/>
                <w:color w:val="000000"/>
                <w:sz w:val="24"/>
              </w:rPr>
              <w:t>国家规定的</w:t>
            </w:r>
            <w:r>
              <w:rPr>
                <w:rFonts w:hint="eastAsia" w:ascii="宋体" w:hAnsi="宋体" w:cs="宋体"/>
                <w:b/>
                <w:bCs/>
                <w:color w:val="000000"/>
                <w:sz w:val="24"/>
                <w:lang w:val="zh-CN"/>
              </w:rPr>
              <w:t>存款基准利率</w:t>
            </w:r>
          </w:p>
        </w:tc>
        <w:tc>
          <w:tcPr>
            <w:tcW w:w="1948" w:type="dxa"/>
            <w:noWrap w:val="0"/>
            <w:vAlign w:val="center"/>
          </w:tcPr>
          <w:p>
            <w:pPr>
              <w:tabs>
                <w:tab w:val="left" w:pos="2670"/>
              </w:tabs>
              <w:adjustRightInd w:val="0"/>
              <w:spacing w:line="360" w:lineRule="auto"/>
              <w:jc w:val="center"/>
              <w:rPr>
                <w:rFonts w:ascii="宋体"/>
                <w:b/>
                <w:bCs/>
                <w:color w:val="000000"/>
                <w:sz w:val="24"/>
              </w:rPr>
            </w:pPr>
            <w:r>
              <w:rPr>
                <w:rFonts w:hint="eastAsia" w:ascii="宋体" w:hAnsi="宋体" w:cs="宋体"/>
                <w:b/>
                <w:bCs/>
                <w:color w:val="000000"/>
                <w:sz w:val="24"/>
              </w:rPr>
              <w:t>加点值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894" w:type="dxa"/>
            <w:vMerge w:val="restart"/>
            <w:noWrap w:val="0"/>
            <w:vAlign w:val="center"/>
          </w:tcPr>
          <w:p>
            <w:pPr>
              <w:tabs>
                <w:tab w:val="left" w:pos="2670"/>
              </w:tabs>
              <w:adjustRightInd w:val="0"/>
              <w:spacing w:line="360" w:lineRule="auto"/>
              <w:jc w:val="center"/>
              <w:rPr>
                <w:rFonts w:ascii="宋体"/>
                <w:color w:val="000000"/>
                <w:sz w:val="24"/>
                <w:lang w:val="zh-CN"/>
              </w:rPr>
            </w:pPr>
            <w:r>
              <w:rPr>
                <w:rFonts w:hint="eastAsia" w:ascii="宋体" w:hAnsi="宋体"/>
                <w:color w:val="000000" w:themeColor="text1"/>
                <w:sz w:val="24"/>
                <w:u w:val="single"/>
                <w:lang w:eastAsia="zh-CN"/>
                <w14:textFill>
                  <w14:solidFill>
                    <w14:schemeClr w14:val="tx1"/>
                  </w14:solidFill>
                </w14:textFill>
              </w:rPr>
              <w:t>建德市医共体基本结算账户开户招标项目</w:t>
            </w:r>
          </w:p>
        </w:tc>
        <w:tc>
          <w:tcPr>
            <w:tcW w:w="2930" w:type="dxa"/>
            <w:noWrap w:val="0"/>
            <w:vAlign w:val="center"/>
          </w:tcPr>
          <w:p>
            <w:pPr>
              <w:tabs>
                <w:tab w:val="left" w:pos="2670"/>
              </w:tabs>
              <w:adjustRightInd w:val="0"/>
              <w:spacing w:line="360" w:lineRule="auto"/>
              <w:jc w:val="center"/>
              <w:rPr>
                <w:rFonts w:ascii="宋体"/>
                <w:color w:val="000000"/>
                <w:sz w:val="24"/>
                <w:lang w:val="zh-CN"/>
              </w:rPr>
            </w:pPr>
            <w:r>
              <w:rPr>
                <w:rFonts w:hint="eastAsia" w:ascii="宋体" w:hAnsi="宋体" w:cs="宋体"/>
                <w:color w:val="000000"/>
                <w:sz w:val="24"/>
                <w:lang w:val="en-US" w:eastAsia="zh-CN"/>
              </w:rPr>
              <w:t>活期</w:t>
            </w:r>
            <w:r>
              <w:rPr>
                <w:rFonts w:hint="eastAsia" w:ascii="宋体" w:hAnsi="宋体" w:cs="宋体"/>
                <w:color w:val="000000"/>
                <w:sz w:val="24"/>
                <w:lang w:val="zh-CN"/>
              </w:rPr>
              <w:t>存款利率</w:t>
            </w:r>
          </w:p>
        </w:tc>
        <w:tc>
          <w:tcPr>
            <w:tcW w:w="1948" w:type="dxa"/>
            <w:noWrap w:val="0"/>
            <w:vAlign w:val="center"/>
          </w:tcPr>
          <w:p>
            <w:pPr>
              <w:tabs>
                <w:tab w:val="left" w:pos="2670"/>
              </w:tabs>
              <w:adjustRightInd w:val="0"/>
              <w:spacing w:line="360" w:lineRule="auto"/>
              <w:ind w:firstLine="240" w:firstLineChars="100"/>
              <w:jc w:val="both"/>
              <w:rPr>
                <w:rFonts w:ascii="宋体"/>
                <w:b/>
                <w:bCs/>
                <w:color w:val="000000"/>
                <w:sz w:val="24"/>
                <w:lang w:val="zh-CN"/>
              </w:rPr>
            </w:pPr>
            <w:r>
              <w:rPr>
                <w:rFonts w:hint="eastAsia" w:ascii="宋体" w:hAnsi="宋体" w:cs="宋体"/>
                <w:color w:val="000000"/>
                <w:sz w:val="24"/>
              </w:rPr>
              <w:t>加点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894" w:type="dxa"/>
            <w:vMerge w:val="continue"/>
            <w:noWrap w:val="0"/>
            <w:vAlign w:val="center"/>
          </w:tcPr>
          <w:p>
            <w:pPr>
              <w:tabs>
                <w:tab w:val="left" w:pos="2670"/>
              </w:tabs>
              <w:adjustRightInd w:val="0"/>
              <w:spacing w:line="360" w:lineRule="auto"/>
              <w:jc w:val="center"/>
            </w:pPr>
          </w:p>
        </w:tc>
        <w:tc>
          <w:tcPr>
            <w:tcW w:w="2930" w:type="dxa"/>
            <w:noWrap w:val="0"/>
            <w:vAlign w:val="center"/>
          </w:tcPr>
          <w:p>
            <w:pPr>
              <w:tabs>
                <w:tab w:val="left" w:pos="2670"/>
              </w:tabs>
              <w:adjustRightInd w:val="0"/>
              <w:spacing w:line="360" w:lineRule="auto"/>
              <w:jc w:val="center"/>
              <w:rPr>
                <w:rFonts w:hint="eastAsia" w:ascii="宋体" w:hAnsi="宋体" w:cs="宋体"/>
                <w:color w:val="000000"/>
                <w:sz w:val="24"/>
                <w:lang w:val="en-US" w:eastAsia="zh-CN"/>
              </w:rPr>
            </w:pPr>
            <w:r>
              <w:rPr>
                <w:rStyle w:val="63"/>
                <w:lang w:val="en-US" w:eastAsia="zh-CN" w:bidi="ar"/>
              </w:rPr>
              <w:t>协定存款利率</w:t>
            </w:r>
          </w:p>
        </w:tc>
        <w:tc>
          <w:tcPr>
            <w:tcW w:w="1948" w:type="dxa"/>
            <w:noWrap w:val="0"/>
            <w:vAlign w:val="center"/>
          </w:tcPr>
          <w:p>
            <w:pPr>
              <w:tabs>
                <w:tab w:val="left" w:pos="2670"/>
              </w:tabs>
              <w:adjustRightInd w:val="0"/>
              <w:spacing w:line="360" w:lineRule="auto"/>
              <w:jc w:val="center"/>
              <w:rPr>
                <w:rFonts w:hint="eastAsia" w:ascii="宋体" w:hAnsi="宋体" w:cs="宋体"/>
                <w:color w:val="000000"/>
                <w:sz w:val="24"/>
                <w:lang w:val="en-US" w:eastAsia="zh-CN"/>
              </w:rPr>
            </w:pPr>
            <w:r>
              <w:rPr>
                <w:rFonts w:hint="eastAsia" w:ascii="宋体" w:hAnsi="宋体" w:cs="宋体"/>
                <w:color w:val="000000"/>
                <w:sz w:val="24"/>
              </w:rPr>
              <w:t>加点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894" w:type="dxa"/>
            <w:vMerge w:val="continue"/>
            <w:noWrap w:val="0"/>
            <w:vAlign w:val="center"/>
          </w:tcPr>
          <w:p>
            <w:pPr>
              <w:tabs>
                <w:tab w:val="left" w:pos="2670"/>
              </w:tabs>
              <w:adjustRightInd w:val="0"/>
              <w:spacing w:line="360" w:lineRule="auto"/>
              <w:jc w:val="center"/>
              <w:rPr>
                <w:rFonts w:hint="eastAsia" w:ascii="宋体" w:hAnsi="宋体" w:cs="宋体"/>
                <w:color w:val="000000"/>
                <w:sz w:val="24"/>
                <w:lang w:val="en-US" w:eastAsia="zh-CN"/>
              </w:rPr>
            </w:pPr>
          </w:p>
        </w:tc>
        <w:tc>
          <w:tcPr>
            <w:tcW w:w="2930" w:type="dxa"/>
            <w:noWrap w:val="0"/>
            <w:vAlign w:val="center"/>
          </w:tcPr>
          <w:p>
            <w:pPr>
              <w:tabs>
                <w:tab w:val="left" w:pos="2670"/>
              </w:tabs>
              <w:adjustRightInd w:val="0"/>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一年期定期存款利率</w:t>
            </w:r>
          </w:p>
        </w:tc>
        <w:tc>
          <w:tcPr>
            <w:tcW w:w="1948" w:type="dxa"/>
            <w:noWrap w:val="0"/>
            <w:vAlign w:val="center"/>
          </w:tcPr>
          <w:p>
            <w:pPr>
              <w:tabs>
                <w:tab w:val="left" w:pos="2670"/>
              </w:tabs>
              <w:adjustRightInd w:val="0"/>
              <w:spacing w:line="360" w:lineRule="auto"/>
              <w:jc w:val="center"/>
              <w:rPr>
                <w:rFonts w:hint="eastAsia" w:ascii="宋体" w:hAnsi="宋体" w:cs="宋体"/>
                <w:color w:val="000000"/>
                <w:sz w:val="24"/>
                <w:lang w:val="en-US" w:eastAsia="zh-CN"/>
              </w:rPr>
            </w:pPr>
            <w:r>
              <w:rPr>
                <w:rFonts w:hint="eastAsia" w:ascii="宋体" w:hAnsi="宋体" w:cs="宋体"/>
                <w:color w:val="000000"/>
                <w:sz w:val="24"/>
              </w:rPr>
              <w:t>加点   BP</w:t>
            </w:r>
          </w:p>
        </w:tc>
      </w:tr>
    </w:tbl>
    <w:p>
      <w:pPr>
        <w:pStyle w:val="14"/>
      </w:pPr>
    </w:p>
    <w:p>
      <w:pPr>
        <w:spacing w:line="360" w:lineRule="auto"/>
        <w:rPr>
          <w:rFonts w:ascii="宋体" w:hAnsi="宋体"/>
          <w:b/>
          <w:bCs/>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投标人（盖章）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法定代表人</w:t>
      </w:r>
      <w:r>
        <w:rPr>
          <w:rFonts w:hint="eastAsia" w:ascii="宋体" w:hAnsi="宋体"/>
          <w:color w:val="000000" w:themeColor="text1"/>
          <w:sz w:val="24"/>
          <w14:textFill>
            <w14:solidFill>
              <w14:schemeClr w14:val="tx1"/>
            </w14:solidFill>
          </w14:textFill>
        </w:rPr>
        <w:t>（分行负责人）</w:t>
      </w:r>
      <w:r>
        <w:rPr>
          <w:rFonts w:ascii="宋体" w:hAnsi="宋体"/>
          <w:color w:val="000000" w:themeColor="text1"/>
          <w:sz w:val="24"/>
          <w14:textFill>
            <w14:solidFill>
              <w14:schemeClr w14:val="tx1"/>
            </w14:solidFill>
          </w14:textFill>
        </w:rPr>
        <w:t>或授权委托代理人（签字）</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日期：    年    月    日</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3.法定代表人授权书</w:t>
      </w:r>
    </w:p>
    <w:p>
      <w:pPr>
        <w:spacing w:line="360" w:lineRule="auto"/>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本授权书声明：我</w:t>
      </w:r>
      <w:r>
        <w:rPr>
          <w:rFonts w:hint="eastAsia" w:ascii="宋体" w:hAnsi="宋体"/>
          <w:color w:val="000000" w:themeColor="text1"/>
          <w:sz w:val="24"/>
          <w:u w:val="single"/>
          <w14:textFill>
            <w14:solidFill>
              <w14:schemeClr w14:val="tx1"/>
            </w14:solidFill>
          </w14:textFill>
        </w:rPr>
        <w:t>（姓名）</w:t>
      </w:r>
      <w:r>
        <w:rPr>
          <w:rFonts w:hint="eastAsia" w:ascii="宋体" w:hAnsi="宋体"/>
          <w:color w:val="000000" w:themeColor="text1"/>
          <w:sz w:val="24"/>
          <w14:textFill>
            <w14:solidFill>
              <w14:schemeClr w14:val="tx1"/>
            </w14:solidFill>
          </w14:textFill>
        </w:rPr>
        <w:t>系注册于</w:t>
      </w:r>
      <w:r>
        <w:rPr>
          <w:rFonts w:hint="eastAsia" w:ascii="宋体" w:hAnsi="宋体"/>
          <w:color w:val="000000" w:themeColor="text1"/>
          <w:sz w:val="24"/>
          <w:u w:val="single"/>
          <w14:textFill>
            <w14:solidFill>
              <w14:schemeClr w14:val="tx1"/>
            </w14:solidFill>
          </w14:textFill>
        </w:rPr>
        <w:t>（单位地址）</w:t>
      </w:r>
      <w:r>
        <w:rPr>
          <w:rFonts w:hint="eastAsia" w:ascii="宋体" w:hAnsi="宋体"/>
          <w:color w:val="000000" w:themeColor="text1"/>
          <w:sz w:val="24"/>
          <w14:textFill>
            <w14:solidFill>
              <w14:schemeClr w14:val="tx1"/>
            </w14:solidFill>
          </w14:textFill>
        </w:rPr>
        <w:t>的</w:t>
      </w:r>
      <w:r>
        <w:rPr>
          <w:rFonts w:hint="eastAsia" w:ascii="宋体" w:hAnsi="宋体"/>
          <w:color w:val="000000" w:themeColor="text1"/>
          <w:sz w:val="24"/>
          <w:u w:val="single"/>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的法定代表人（或负责人），现授权委托</w:t>
      </w:r>
      <w:r>
        <w:rPr>
          <w:rFonts w:hint="eastAsia" w:ascii="宋体" w:hAnsi="宋体"/>
          <w:color w:val="000000" w:themeColor="text1"/>
          <w:sz w:val="24"/>
          <w:u w:val="single"/>
          <w14:textFill>
            <w14:solidFill>
              <w14:schemeClr w14:val="tx1"/>
            </w14:solidFill>
          </w14:textFill>
        </w:rPr>
        <w:t>（被授权人姓名、职务）</w:t>
      </w:r>
      <w:r>
        <w:rPr>
          <w:rFonts w:hint="eastAsia" w:ascii="宋体" w:hAnsi="宋体"/>
          <w:color w:val="000000" w:themeColor="text1"/>
          <w:sz w:val="24"/>
          <w14:textFill>
            <w14:solidFill>
              <w14:schemeClr w14:val="tx1"/>
            </w14:solidFill>
          </w14:textFill>
        </w:rPr>
        <w:t>为我行的合法代理人，以本行的名义参加</w:t>
      </w:r>
      <w:r>
        <w:rPr>
          <w:rFonts w:hint="eastAsia" w:ascii="宋体" w:hAnsi="宋体"/>
          <w:color w:val="000000" w:themeColor="text1"/>
          <w:sz w:val="24"/>
          <w:u w:val="single"/>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的投标活动。代理人在参与投标过程中所签署的一切文件和处理与之有关的一切事务，我行均予以承认。</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本授权书于   年  月  日签字生效。特此声明。</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法定代表人（或分行负责人）签字或签字章：</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授权代表签字：</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napToGrid w:val="0"/>
        <w:spacing w:before="120" w:beforeLines="50" w:after="50"/>
        <w:jc w:val="center"/>
        <w:rPr>
          <w:b/>
          <w:bCs/>
          <w:sz w:val="28"/>
          <w:szCs w:val="28"/>
        </w:rPr>
      </w:pPr>
      <w:r>
        <w:rPr>
          <w:rFonts w:ascii="宋体" w:hAnsi="宋体"/>
          <w:b/>
          <w:color w:val="000000" w:themeColor="text1"/>
          <w:sz w:val="24"/>
          <w14:textFill>
            <w14:solidFill>
              <w14:schemeClr w14:val="tx1"/>
            </w14:solidFill>
          </w14:textFill>
        </w:rPr>
        <w:br w:type="column"/>
      </w:r>
      <w:r>
        <w:rPr>
          <w:rFonts w:hint="eastAsia" w:ascii="宋体" w:hAnsi="宋体"/>
          <w:b/>
          <w:color w:val="000000" w:themeColor="text1"/>
          <w:sz w:val="28"/>
          <w:szCs w:val="28"/>
          <w14:textFill>
            <w14:solidFill>
              <w14:schemeClr w14:val="tx1"/>
            </w14:solidFill>
          </w14:textFill>
        </w:rPr>
        <w:t>4.</w:t>
      </w:r>
      <w:r>
        <w:rPr>
          <w:b/>
          <w:bCs/>
          <w:sz w:val="28"/>
          <w:szCs w:val="28"/>
        </w:rPr>
        <w:t>投标人声明书</w:t>
      </w:r>
    </w:p>
    <w:p>
      <w:pPr>
        <w:snapToGrid w:val="0"/>
        <w:spacing w:line="400" w:lineRule="exact"/>
        <w:rPr>
          <w:sz w:val="24"/>
        </w:rPr>
      </w:pPr>
    </w:p>
    <w:p>
      <w:pPr>
        <w:widowControl/>
        <w:spacing w:line="400" w:lineRule="exact"/>
        <w:jc w:val="left"/>
        <w:rPr>
          <w:rFonts w:hint="eastAsia" w:ascii="宋体" w:hAnsi="宋体"/>
          <w:sz w:val="24"/>
        </w:rPr>
      </w:pPr>
      <w:r>
        <w:rPr>
          <w:rFonts w:hint="eastAsia" w:ascii="宋体" w:hAnsi="宋体" w:eastAsia="宋体" w:cs="Times New Roman"/>
          <w:b w:val="0"/>
          <w:w w:val="100"/>
          <w:sz w:val="28"/>
          <w:lang w:val="en-US" w:eastAsia="zh-CN"/>
        </w:rPr>
        <w:t>建经投资咨询有限公司</w:t>
      </w:r>
      <w:r>
        <w:rPr>
          <w:rFonts w:hint="eastAsia" w:ascii="宋体" w:hAnsi="宋体"/>
          <w:sz w:val="24"/>
        </w:rPr>
        <w:t>：</w:t>
      </w:r>
    </w:p>
    <w:p>
      <w:pPr>
        <w:widowControl/>
        <w:spacing w:line="400" w:lineRule="exact"/>
        <w:jc w:val="left"/>
      </w:pPr>
    </w:p>
    <w:p>
      <w:pPr>
        <w:snapToGrid w:val="0"/>
        <w:spacing w:line="400" w:lineRule="exact"/>
        <w:ind w:firstLine="720" w:firstLineChars="300"/>
        <w:rPr>
          <w:rFonts w:hint="eastAsia" w:ascii="宋体" w:hAnsi="宋体" w:cs="宋体"/>
          <w:sz w:val="24"/>
          <w:szCs w:val="20"/>
        </w:rPr>
      </w:pPr>
      <w:r>
        <w:rPr>
          <w:rFonts w:hint="eastAsia" w:ascii="宋体" w:hAnsi="宋体" w:cs="宋体"/>
          <w:sz w:val="24"/>
          <w:u w:val="single"/>
        </w:rPr>
        <w:t xml:space="preserve">                 </w:t>
      </w:r>
      <w:r>
        <w:rPr>
          <w:rFonts w:hint="eastAsia" w:ascii="宋体" w:hAnsi="宋体" w:cs="宋体"/>
          <w:sz w:val="24"/>
        </w:rPr>
        <w:t>（投标人名称）系中华人民共和国合法企业（单位），经营地址</w:t>
      </w:r>
      <w:r>
        <w:rPr>
          <w:rFonts w:hint="eastAsia" w:ascii="宋体" w:hAnsi="宋体" w:cs="宋体"/>
          <w:sz w:val="24"/>
          <w:u w:val="single"/>
        </w:rPr>
        <w:t xml:space="preserve">                               </w:t>
      </w:r>
      <w:r>
        <w:rPr>
          <w:rFonts w:hint="eastAsia" w:ascii="宋体" w:hAnsi="宋体" w:cs="宋体"/>
          <w:sz w:val="24"/>
        </w:rPr>
        <w:t>。</w:t>
      </w:r>
    </w:p>
    <w:p>
      <w:pPr>
        <w:snapToGrid w:val="0"/>
        <w:spacing w:line="400" w:lineRule="exact"/>
        <w:ind w:firstLine="645"/>
        <w:rPr>
          <w:rFonts w:hint="eastAsia" w:ascii="宋体" w:hAnsi="宋体" w:cs="宋体"/>
          <w:sz w:val="24"/>
          <w:szCs w:val="20"/>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（投标人名称）的法定代表人（或负责人），我方愿意参加贵方组织的</w:t>
      </w:r>
      <w:r>
        <w:rPr>
          <w:rFonts w:hint="eastAsia" w:ascii="宋体" w:hAnsi="宋体" w:cs="宋体"/>
          <w:sz w:val="24"/>
          <w:u w:val="single"/>
          <w:lang w:eastAsia="zh-CN"/>
        </w:rPr>
        <w:t>建德市医共体基本结算账户开户招标项目</w:t>
      </w:r>
      <w:r>
        <w:rPr>
          <w:rFonts w:hint="eastAsia" w:ascii="宋体" w:hAnsi="宋体" w:cs="宋体"/>
          <w:sz w:val="24"/>
        </w:rPr>
        <w:t>的投标，为便于贵方公正、择优地确定中标单位及其投标产品和服务，我方就本次投标有关事项郑重声明如下：</w:t>
      </w:r>
    </w:p>
    <w:p>
      <w:pPr>
        <w:snapToGrid w:val="0"/>
        <w:spacing w:line="360" w:lineRule="auto"/>
        <w:ind w:firstLine="480"/>
        <w:rPr>
          <w:rFonts w:hint="eastAsia" w:ascii="宋体" w:hAnsi="宋体" w:cs="宋体"/>
          <w:kern w:val="0"/>
          <w:sz w:val="24"/>
          <w:lang w:val="zh-CN"/>
        </w:rPr>
      </w:pPr>
      <w:r>
        <w:rPr>
          <w:rFonts w:hint="eastAsia" w:ascii="宋体" w:hAnsi="宋体" w:cs="宋体"/>
          <w:sz w:val="24"/>
        </w:rPr>
        <w:t>1.</w:t>
      </w:r>
      <w:r>
        <w:rPr>
          <w:rFonts w:hint="eastAsia" w:ascii="宋体" w:hAnsi="宋体" w:cs="宋体"/>
          <w:kern w:val="0"/>
          <w:sz w:val="24"/>
          <w:lang w:val="zh-CN"/>
        </w:rPr>
        <w:t>我公司</w:t>
      </w:r>
      <w:r>
        <w:rPr>
          <w:rFonts w:hint="eastAsia" w:ascii="宋体" w:hAnsi="宋体" w:cs="宋体"/>
          <w:sz w:val="24"/>
        </w:rPr>
        <w:t>声明截止投标时间近三年以来，在经营活动中无重大违法违纪记录，未发</w:t>
      </w:r>
      <w:r>
        <w:rPr>
          <w:rFonts w:hint="eastAsia" w:ascii="宋体" w:hAnsi="宋体" w:cs="宋体"/>
          <w:kern w:val="0"/>
          <w:sz w:val="24"/>
          <w:lang w:val="zh-CN"/>
        </w:rPr>
        <w:t>生金融风险及重大违约事件。</w:t>
      </w:r>
    </w:p>
    <w:p>
      <w:pPr>
        <w:snapToGri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2.我公司自愿参加本项目的投标，并保证投标文件中所列举的投标报价文件及相关资料和公司基本情况资料是真实的、合法的。</w:t>
      </w:r>
      <w:r>
        <w:rPr>
          <w:rFonts w:hint="eastAsia" w:ascii="宋体" w:hAnsi="宋体" w:cs="宋体"/>
          <w:sz w:val="24"/>
        </w:rPr>
        <w:t>以上事项如有虚假或隐瞒，我方愿意承担一切后果，并不再寻求任何旨在减轻或免除法律责任的辩解。</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3.</w:t>
      </w:r>
      <w:r>
        <w:rPr>
          <w:rFonts w:hint="eastAsia" w:ascii="宋体" w:hAnsi="宋体" w:cs="宋体"/>
          <w:kern w:val="0"/>
          <w:sz w:val="24"/>
        </w:rPr>
        <w:t>我方依法开展经营活动，财务稳健，资金充足率、不良贷款率、拨备覆盖率、流动性覆盖率、流动性比例等指标达到监管标准。</w:t>
      </w:r>
    </w:p>
    <w:p>
      <w:pPr>
        <w:snapToGrid w:val="0"/>
        <w:spacing w:line="360" w:lineRule="auto"/>
        <w:ind w:firstLine="480"/>
        <w:rPr>
          <w:rFonts w:hint="eastAsia" w:ascii="宋体" w:hAnsi="宋体" w:cs="宋体"/>
          <w:kern w:val="0"/>
          <w:sz w:val="24"/>
          <w:lang w:val="zh-CN"/>
        </w:rPr>
      </w:pPr>
      <w:r>
        <w:rPr>
          <w:rFonts w:hint="eastAsia" w:ascii="宋体" w:hAnsi="宋体" w:cs="宋体"/>
          <w:sz w:val="24"/>
          <w:szCs w:val="20"/>
        </w:rPr>
        <w:t>4.</w:t>
      </w:r>
      <w:r>
        <w:rPr>
          <w:rFonts w:hint="eastAsia" w:ascii="宋体" w:hAnsi="宋体" w:cs="宋体"/>
          <w:kern w:val="0"/>
          <w:sz w:val="24"/>
          <w:lang w:val="zh-CN"/>
        </w:rPr>
        <w:t>我公司已详细阅读全部“招标文件”，包括修改文件（如果有）以及全部招标资料和相关附件，并已了解我公司在招投标过程中的权利和义务。</w:t>
      </w:r>
    </w:p>
    <w:p>
      <w:pPr>
        <w:snapToGrid w:val="0"/>
        <w:spacing w:line="360" w:lineRule="auto"/>
        <w:ind w:firstLine="480"/>
        <w:rPr>
          <w:rFonts w:hint="eastAsia" w:ascii="宋体" w:hAnsi="宋体" w:cs="宋体"/>
          <w:kern w:val="0"/>
          <w:sz w:val="24"/>
        </w:rPr>
      </w:pPr>
      <w:r>
        <w:rPr>
          <w:rFonts w:hint="eastAsia" w:ascii="宋体" w:hAnsi="宋体" w:cs="宋体"/>
          <w:kern w:val="0"/>
          <w:sz w:val="24"/>
          <w:lang w:val="zh-CN"/>
        </w:rPr>
        <w:t>5.我公司理解并接受招标文件的各项规定和要求，同意此次招标文件中的各项内容，</w:t>
      </w:r>
      <w:r>
        <w:rPr>
          <w:rFonts w:hint="eastAsia" w:ascii="宋体" w:hAnsi="宋体" w:cs="宋体"/>
          <w:kern w:val="0"/>
          <w:sz w:val="24"/>
        </w:rPr>
        <w:t>并</w:t>
      </w:r>
      <w:r>
        <w:rPr>
          <w:rFonts w:hint="eastAsia" w:ascii="宋体" w:hAnsi="宋体" w:cs="宋体"/>
          <w:kern w:val="0"/>
          <w:sz w:val="24"/>
          <w:lang w:val="zh-CN"/>
        </w:rPr>
        <w:t>同意提供按照贵方可能要求的与投标有关的一切数据或资料等。</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szCs w:val="20"/>
        </w:rPr>
        <w:t>6.</w:t>
      </w:r>
      <w:r>
        <w:rPr>
          <w:rFonts w:hint="eastAsia" w:ascii="宋体" w:hAnsi="宋体" w:cs="宋体"/>
          <w:kern w:val="0"/>
          <w:sz w:val="24"/>
          <w:lang w:val="zh-CN"/>
        </w:rPr>
        <w:t>本公司如中标，保证按照投标文件的承诺与贵方签订合同，保证履行合同、合同条款。</w:t>
      </w:r>
    </w:p>
    <w:p>
      <w:pPr>
        <w:spacing w:line="360" w:lineRule="auto"/>
        <w:ind w:firstLine="2520" w:firstLineChars="1050"/>
        <w:rPr>
          <w:rFonts w:hint="eastAsia" w:ascii="宋体" w:hAnsi="宋体" w:cs="宋体"/>
          <w:sz w:val="24"/>
        </w:rPr>
      </w:pPr>
      <w:r>
        <w:rPr>
          <w:rFonts w:hint="eastAsia" w:ascii="宋体" w:hAnsi="宋体" w:cs="宋体"/>
          <w:sz w:val="24"/>
        </w:rPr>
        <w:t>投标人名称（盖公章）：</w:t>
      </w:r>
    </w:p>
    <w:p>
      <w:pPr>
        <w:spacing w:line="360" w:lineRule="auto"/>
        <w:ind w:firstLine="2520" w:firstLineChars="1050"/>
        <w:rPr>
          <w:rFonts w:hint="eastAsia" w:ascii="宋体" w:hAnsi="宋体" w:cs="宋体"/>
          <w:sz w:val="24"/>
        </w:rPr>
      </w:pPr>
      <w:r>
        <w:rPr>
          <w:rFonts w:hint="eastAsia" w:ascii="宋体" w:hAnsi="宋体" w:cs="宋体"/>
          <w:sz w:val="24"/>
        </w:rPr>
        <w:t>法定代表（或负责人）或授权代表（签字）：</w:t>
      </w:r>
    </w:p>
    <w:p>
      <w:pPr>
        <w:spacing w:line="360" w:lineRule="auto"/>
        <w:ind w:firstLine="2520" w:firstLineChars="1050"/>
        <w:rPr>
          <w:rFonts w:hint="eastAsia" w:ascii="宋体" w:hAnsi="宋体" w:cs="宋体"/>
          <w:sz w:val="24"/>
        </w:rPr>
      </w:pPr>
      <w:r>
        <w:rPr>
          <w:rFonts w:hint="eastAsia" w:ascii="宋体" w:hAnsi="宋体" w:cs="宋体"/>
          <w:sz w:val="24"/>
        </w:rPr>
        <w:t>日期：</w:t>
      </w:r>
    </w:p>
    <w:p>
      <w:pPr>
        <w:snapToGrid w:val="0"/>
        <w:spacing w:line="400" w:lineRule="exact"/>
        <w:ind w:firstLine="280" w:firstLineChars="100"/>
        <w:rPr>
          <w:rFonts w:hint="eastAsia"/>
          <w:kern w:val="0"/>
          <w:sz w:val="28"/>
          <w:szCs w:val="28"/>
        </w:rPr>
      </w:pPr>
    </w:p>
    <w:p>
      <w:pPr>
        <w:widowControl/>
        <w:spacing w:line="360" w:lineRule="auto"/>
        <w:jc w:val="left"/>
        <w:rPr>
          <w:rFonts w:hint="eastAsia"/>
          <w:kern w:val="0"/>
          <w:sz w:val="28"/>
          <w:szCs w:val="28"/>
        </w:rPr>
      </w:pPr>
      <w:r>
        <w:rPr>
          <w:rFonts w:hint="eastAsia"/>
          <w:sz w:val="28"/>
          <w:szCs w:val="28"/>
        </w:rPr>
        <w:br w:type="page"/>
      </w:r>
    </w:p>
    <w:p>
      <w:pPr>
        <w:spacing w:line="360" w:lineRule="auto"/>
        <w:jc w:val="center"/>
        <w:rPr>
          <w:rFonts w:ascii="宋体" w:hAnsi="宋体"/>
          <w:b/>
          <w:sz w:val="28"/>
          <w:szCs w:val="28"/>
        </w:rPr>
      </w:pPr>
      <w:r>
        <w:rPr>
          <w:rFonts w:ascii="宋体" w:hAnsi="宋体"/>
          <w:b/>
          <w:sz w:val="28"/>
          <w:szCs w:val="28"/>
        </w:rPr>
        <w:t>投标人近三年在经营活动中没有重大违法记录的书面声明</w:t>
      </w:r>
    </w:p>
    <w:p>
      <w:pPr>
        <w:snapToGrid w:val="0"/>
        <w:spacing w:line="400" w:lineRule="exact"/>
        <w:ind w:firstLine="240" w:firstLineChars="100"/>
        <w:rPr>
          <w:rFonts w:hint="eastAsia" w:ascii="宋体" w:hAnsi="宋体" w:cs="宋体"/>
          <w:sz w:val="24"/>
        </w:rPr>
      </w:pPr>
    </w:p>
    <w:p>
      <w:pPr>
        <w:snapToGrid w:val="0"/>
        <w:spacing w:line="360" w:lineRule="auto"/>
        <w:jc w:val="center"/>
        <w:rPr>
          <w:rFonts w:ascii="宋体" w:hAnsi="宋体"/>
          <w:b/>
          <w:bCs/>
          <w:sz w:val="32"/>
          <w:szCs w:val="32"/>
        </w:rPr>
      </w:pPr>
      <w:r>
        <w:rPr>
          <w:rFonts w:ascii="宋体" w:hAnsi="宋体"/>
          <w:b/>
          <w:bCs/>
          <w:sz w:val="32"/>
          <w:szCs w:val="32"/>
        </w:rPr>
        <w:t>声明函</w:t>
      </w:r>
    </w:p>
    <w:p>
      <w:pPr>
        <w:snapToGrid w:val="0"/>
        <w:spacing w:line="360" w:lineRule="auto"/>
        <w:rPr>
          <w:rFonts w:hint="eastAsia" w:ascii="宋体" w:hAnsi="宋体"/>
          <w:sz w:val="24"/>
        </w:rPr>
      </w:pPr>
    </w:p>
    <w:p>
      <w:pPr>
        <w:snapToGrid w:val="0"/>
        <w:spacing w:line="360" w:lineRule="auto"/>
        <w:rPr>
          <w:rFonts w:hint="eastAsia" w:ascii="宋体" w:hAnsi="宋体"/>
          <w:sz w:val="24"/>
        </w:rPr>
      </w:pPr>
      <w:r>
        <w:rPr>
          <w:rFonts w:hint="eastAsia" w:ascii="宋体" w:hAnsi="宋体" w:eastAsia="宋体" w:cs="Times New Roman"/>
          <w:b w:val="0"/>
          <w:w w:val="100"/>
          <w:sz w:val="28"/>
          <w:lang w:val="en-US" w:eastAsia="zh-CN"/>
        </w:rPr>
        <w:t>建经投资咨询有限公司</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我方</w:t>
      </w:r>
      <w:r>
        <w:rPr>
          <w:rFonts w:ascii="宋体" w:hAnsi="宋体"/>
          <w:sz w:val="24"/>
          <w:u w:val="single"/>
        </w:rPr>
        <w:t xml:space="preserve">（投标人 </w:t>
      </w:r>
      <w:r>
        <w:rPr>
          <w:rFonts w:hint="eastAsia" w:ascii="宋体" w:hAnsi="宋体"/>
          <w:sz w:val="24"/>
          <w:u w:val="single"/>
          <w:lang w:val="en-US" w:eastAsia="zh-CN"/>
        </w:rPr>
        <w:t xml:space="preserve">        </w:t>
      </w:r>
      <w:r>
        <w:rPr>
          <w:rFonts w:ascii="宋体" w:hAnsi="宋体"/>
          <w:sz w:val="24"/>
          <w:u w:val="single"/>
        </w:rPr>
        <w:t>）</w:t>
      </w:r>
      <w:r>
        <w:rPr>
          <w:rFonts w:ascii="宋体" w:hAnsi="宋体"/>
          <w:sz w:val="24"/>
        </w:rPr>
        <w:t>在近三年内，依法开展经营活动，具有良好的商业信誉，依法缴纳税收和社会保障资金，</w:t>
      </w:r>
      <w:r>
        <w:rPr>
          <w:rFonts w:ascii="宋体" w:hAnsi="宋体"/>
          <w:kern w:val="0"/>
          <w:sz w:val="24"/>
        </w:rPr>
        <w:t>未被列入失信被执行人名单、重大税收违法案件当事人名单、严重违法失信行为记录名单，</w:t>
      </w:r>
      <w:r>
        <w:rPr>
          <w:rFonts w:ascii="宋体" w:hAnsi="宋体"/>
          <w:sz w:val="24"/>
        </w:rPr>
        <w:t>在经营活动中没有重大违法记录（没有因违法经营受到刑事处罚，没有被责令停产停业、被吊销许可证或者执照、被处以较大数额罚款等行政处罚）。如有虚假，招标人可取消我方任何资格（投标/中标/签订合同），我方对此无任何异议。</w:t>
      </w:r>
    </w:p>
    <w:p>
      <w:pPr>
        <w:snapToGrid w:val="0"/>
        <w:spacing w:line="360" w:lineRule="auto"/>
        <w:ind w:firstLine="480" w:firstLineChars="200"/>
        <w:rPr>
          <w:rFonts w:ascii="宋体" w:hAnsi="宋体"/>
          <w:sz w:val="24"/>
        </w:rPr>
      </w:pPr>
      <w:r>
        <w:rPr>
          <w:rFonts w:ascii="宋体" w:hAnsi="宋体"/>
          <w:sz w:val="24"/>
        </w:rPr>
        <w:t>特此声明！</w:t>
      </w:r>
    </w:p>
    <w:p>
      <w:pPr>
        <w:snapToGrid w:val="0"/>
        <w:spacing w:line="360" w:lineRule="auto"/>
        <w:rPr>
          <w:rFonts w:ascii="宋体" w:hAnsi="宋体"/>
          <w:sz w:val="24"/>
        </w:rPr>
      </w:pPr>
    </w:p>
    <w:p>
      <w:pPr>
        <w:snapToGrid w:val="0"/>
        <w:spacing w:line="360" w:lineRule="auto"/>
        <w:rPr>
          <w:rFonts w:ascii="宋体" w:hAnsi="宋体"/>
          <w:sz w:val="24"/>
        </w:rPr>
      </w:pPr>
    </w:p>
    <w:p>
      <w:pPr>
        <w:spacing w:line="360" w:lineRule="auto"/>
        <w:ind w:firstLine="2520" w:firstLineChars="1050"/>
        <w:rPr>
          <w:rFonts w:hint="eastAsia" w:ascii="宋体" w:hAnsi="宋体" w:cs="宋体"/>
          <w:sz w:val="24"/>
        </w:rPr>
      </w:pPr>
      <w:r>
        <w:rPr>
          <w:rFonts w:hint="eastAsia" w:ascii="宋体" w:hAnsi="宋体" w:cs="宋体"/>
          <w:sz w:val="24"/>
        </w:rPr>
        <w:t>投标人名称（盖公章）：</w:t>
      </w:r>
    </w:p>
    <w:p>
      <w:pPr>
        <w:spacing w:line="360" w:lineRule="auto"/>
        <w:ind w:firstLine="2520" w:firstLineChars="1050"/>
        <w:rPr>
          <w:rFonts w:hint="eastAsia" w:ascii="宋体" w:hAnsi="宋体" w:cs="宋体"/>
          <w:sz w:val="24"/>
        </w:rPr>
      </w:pPr>
      <w:r>
        <w:rPr>
          <w:rFonts w:hint="eastAsia" w:ascii="宋体" w:hAnsi="宋体" w:cs="宋体"/>
          <w:sz w:val="24"/>
        </w:rPr>
        <w:t>法定代表（或负责人）或授权代表（签字）：</w:t>
      </w:r>
    </w:p>
    <w:p>
      <w:pPr>
        <w:spacing w:line="360" w:lineRule="auto"/>
        <w:ind w:firstLine="2520" w:firstLineChars="1050"/>
        <w:rPr>
          <w:rFonts w:hint="eastAsia" w:ascii="宋体" w:hAnsi="宋体" w:cs="宋体"/>
          <w:sz w:val="24"/>
        </w:rPr>
      </w:pPr>
      <w:r>
        <w:rPr>
          <w:rFonts w:hint="eastAsia" w:ascii="宋体" w:hAnsi="宋体" w:cs="宋体"/>
          <w:sz w:val="24"/>
        </w:rPr>
        <w:t>日期：</w:t>
      </w:r>
    </w:p>
    <w:p>
      <w:pPr>
        <w:spacing w:line="360" w:lineRule="auto"/>
        <w:rPr>
          <w:rFonts w:ascii="宋体" w:hAnsi="宋体"/>
          <w:color w:val="000000" w:themeColor="text1"/>
          <w:sz w:val="24"/>
          <w:u w:val="single"/>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column"/>
      </w:r>
      <w:r>
        <w:rPr>
          <w:rFonts w:hint="eastAsia" w:ascii="宋体" w:hAnsi="宋体"/>
          <w:b/>
          <w:color w:val="000000" w:themeColor="text1"/>
          <w:sz w:val="28"/>
          <w:szCs w:val="28"/>
          <w14:textFill>
            <w14:solidFill>
              <w14:schemeClr w14:val="tx1"/>
            </w14:solidFill>
          </w14:textFill>
        </w:rPr>
        <w:t>5.投标人资格证明文件</w:t>
      </w:r>
    </w:p>
    <w:p>
      <w:pPr>
        <w:spacing w:line="360" w:lineRule="auto"/>
        <w:rPr>
          <w:rFonts w:ascii="宋体" w:hAnsi="宋体"/>
          <w:b/>
          <w:color w:val="000000" w:themeColor="text1"/>
          <w:sz w:val="28"/>
          <w:szCs w:val="28"/>
          <w14:textFill>
            <w14:solidFill>
              <w14:schemeClr w14:val="tx1"/>
            </w14:solidFill>
          </w14:textFill>
        </w:rPr>
      </w:pP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投标人应提供下列文件或资料（复印件、加盖公章）：</w:t>
      </w:r>
    </w:p>
    <w:p>
      <w:pPr>
        <w:numPr>
          <w:ilvl w:val="0"/>
          <w:numId w:val="13"/>
        </w:numPr>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银监局核发的金融许可证；</w:t>
      </w:r>
    </w:p>
    <w:p>
      <w:pPr>
        <w:numPr>
          <w:ilvl w:val="0"/>
          <w:numId w:val="13"/>
        </w:numPr>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工商行政管理部门颁布的营业执照；</w:t>
      </w:r>
    </w:p>
    <w:p>
      <w:pPr>
        <w:spacing w:line="360" w:lineRule="auto"/>
        <w:ind w:left="360"/>
        <w:rPr>
          <w:rFonts w:ascii="宋体" w:hAnsi="宋体"/>
          <w:color w:val="000000" w:themeColor="text1"/>
          <w:sz w:val="28"/>
          <w:szCs w:val="28"/>
          <w14:textFill>
            <w14:solidFill>
              <w14:schemeClr w14:val="tx1"/>
            </w14:solidFill>
          </w14:textFill>
        </w:rPr>
      </w:pPr>
    </w:p>
    <w:p>
      <w:pPr>
        <w:spacing w:line="360" w:lineRule="auto"/>
        <w:ind w:left="360"/>
        <w:rPr>
          <w:rFonts w:ascii="宋体" w:hAnsi="宋体"/>
          <w:color w:val="000000" w:themeColor="text1"/>
          <w:sz w:val="28"/>
          <w:szCs w:val="28"/>
          <w14:textFill>
            <w14:solidFill>
              <w14:schemeClr w14:val="tx1"/>
            </w14:solidFill>
          </w14:textFill>
        </w:rPr>
      </w:pPr>
    </w:p>
    <w:p>
      <w:pPr>
        <w:spacing w:line="360" w:lineRule="auto"/>
        <w:ind w:left="360"/>
        <w:rPr>
          <w:rFonts w:ascii="宋体" w:hAnsi="宋体"/>
          <w:color w:val="000000" w:themeColor="text1"/>
          <w:sz w:val="28"/>
          <w:szCs w:val="28"/>
          <w14:textFill>
            <w14:solidFill>
              <w14:schemeClr w14:val="tx1"/>
            </w14:solidFill>
          </w14:textFill>
        </w:rPr>
      </w:pPr>
    </w:p>
    <w:p>
      <w:pPr>
        <w:spacing w:line="360" w:lineRule="auto"/>
        <w:ind w:left="360"/>
        <w:rPr>
          <w:rFonts w:ascii="宋体" w:hAnsi="宋体"/>
          <w:color w:val="000000" w:themeColor="text1"/>
          <w:sz w:val="28"/>
          <w:szCs w:val="28"/>
          <w14:textFill>
            <w14:solidFill>
              <w14:schemeClr w14:val="tx1"/>
            </w14:solidFill>
          </w14:textFill>
        </w:rPr>
      </w:pPr>
    </w:p>
    <w:p>
      <w:pPr>
        <w:spacing w:line="360" w:lineRule="auto"/>
        <w:ind w:left="1680" w:leftChars="800" w:firstLine="281" w:firstLineChars="100"/>
        <w:rPr>
          <w:rFonts w:ascii="宋体" w:hAnsi="宋体"/>
          <w:b/>
          <w:color w:val="000000" w:themeColor="text1"/>
          <w:sz w:val="28"/>
          <w:szCs w:val="28"/>
          <w14:textFill>
            <w14:solidFill>
              <w14:schemeClr w14:val="tx1"/>
            </w14:solidFill>
          </w14:textFill>
        </w:rPr>
      </w:pPr>
    </w:p>
    <w:p>
      <w:pPr>
        <w:spacing w:line="360" w:lineRule="auto"/>
        <w:ind w:left="1680" w:leftChars="800" w:firstLine="281" w:firstLineChars="100"/>
        <w:rPr>
          <w:rFonts w:ascii="宋体" w:hAnsi="宋体"/>
          <w:b/>
          <w:color w:val="000000" w:themeColor="text1"/>
          <w:sz w:val="28"/>
          <w:szCs w:val="28"/>
          <w14:textFill>
            <w14:solidFill>
              <w14:schemeClr w14:val="tx1"/>
            </w14:solidFill>
          </w14:textFill>
        </w:rPr>
      </w:pPr>
    </w:p>
    <w:p>
      <w:pPr>
        <w:spacing w:line="360" w:lineRule="auto"/>
        <w:ind w:left="1680" w:leftChars="800" w:firstLine="281" w:firstLineChars="100"/>
        <w:rPr>
          <w:rFonts w:ascii="宋体" w:hAnsi="宋体"/>
          <w:b/>
          <w:color w:val="000000" w:themeColor="text1"/>
          <w:sz w:val="28"/>
          <w:szCs w:val="28"/>
          <w14:textFill>
            <w14:solidFill>
              <w14:schemeClr w14:val="tx1"/>
            </w14:solidFill>
          </w14:textFill>
        </w:rPr>
      </w:pPr>
    </w:p>
    <w:p>
      <w:pPr>
        <w:spacing w:line="360" w:lineRule="auto"/>
        <w:ind w:left="1680" w:leftChars="800" w:firstLine="281" w:firstLineChars="100"/>
        <w:rPr>
          <w:rFonts w:ascii="宋体" w:hAnsi="宋体"/>
          <w:b/>
          <w:color w:val="000000" w:themeColor="text1"/>
          <w:sz w:val="28"/>
          <w:szCs w:val="28"/>
          <w14:textFill>
            <w14:solidFill>
              <w14:schemeClr w14:val="tx1"/>
            </w14:solidFill>
          </w14:textFill>
        </w:rPr>
      </w:pPr>
    </w:p>
    <w:p>
      <w:pPr>
        <w:spacing w:line="360" w:lineRule="auto"/>
        <w:ind w:left="1680" w:leftChars="800" w:firstLine="281" w:firstLineChars="100"/>
        <w:rPr>
          <w:rFonts w:ascii="宋体" w:hAnsi="宋体"/>
          <w:b/>
          <w:color w:val="000000" w:themeColor="text1"/>
          <w:sz w:val="28"/>
          <w:szCs w:val="28"/>
          <w14:textFill>
            <w14:solidFill>
              <w14:schemeClr w14:val="tx1"/>
            </w14:solidFill>
          </w14:textFill>
        </w:rPr>
      </w:pPr>
    </w:p>
    <w:p>
      <w:pPr>
        <w:spacing w:line="360" w:lineRule="auto"/>
        <w:ind w:left="1680" w:leftChars="800" w:firstLine="281" w:firstLineChars="100"/>
        <w:rPr>
          <w:rFonts w:ascii="宋体" w:hAnsi="宋体"/>
          <w:b/>
          <w:color w:val="000000" w:themeColor="text1"/>
          <w:sz w:val="28"/>
          <w:szCs w:val="28"/>
          <w14:textFill>
            <w14:solidFill>
              <w14:schemeClr w14:val="tx1"/>
            </w14:solidFill>
          </w14:textFill>
        </w:rPr>
      </w:pPr>
    </w:p>
    <w:p>
      <w:pPr>
        <w:spacing w:line="360" w:lineRule="auto"/>
        <w:ind w:left="1680" w:leftChars="800" w:firstLine="281" w:firstLineChars="100"/>
        <w:rPr>
          <w:rFonts w:ascii="宋体" w:hAnsi="宋体"/>
          <w:b/>
          <w:color w:val="000000" w:themeColor="text1"/>
          <w:sz w:val="28"/>
          <w:szCs w:val="28"/>
          <w14:textFill>
            <w14:solidFill>
              <w14:schemeClr w14:val="tx1"/>
            </w14:solidFill>
          </w14:textFill>
        </w:rPr>
      </w:pPr>
    </w:p>
    <w:p>
      <w:pPr>
        <w:spacing w:line="360" w:lineRule="auto"/>
        <w:ind w:left="1680" w:leftChars="800" w:firstLine="281" w:firstLineChars="100"/>
        <w:rPr>
          <w:rFonts w:ascii="宋体" w:hAnsi="宋体"/>
          <w:b/>
          <w:color w:val="000000" w:themeColor="text1"/>
          <w:sz w:val="28"/>
          <w:szCs w:val="28"/>
          <w14:textFill>
            <w14:solidFill>
              <w14:schemeClr w14:val="tx1"/>
            </w14:solidFill>
          </w14:textFill>
        </w:rPr>
      </w:pPr>
    </w:p>
    <w:p>
      <w:pPr>
        <w:spacing w:line="360" w:lineRule="auto"/>
        <w:ind w:left="1680" w:leftChars="800" w:firstLine="281" w:firstLineChars="100"/>
        <w:rPr>
          <w:rFonts w:ascii="宋体" w:hAnsi="宋体"/>
          <w:b/>
          <w:color w:val="000000" w:themeColor="text1"/>
          <w:sz w:val="28"/>
          <w:szCs w:val="28"/>
          <w14:textFill>
            <w14:solidFill>
              <w14:schemeClr w14:val="tx1"/>
            </w14:solidFill>
          </w14:textFill>
        </w:rPr>
      </w:pPr>
    </w:p>
    <w:p>
      <w:pPr>
        <w:spacing w:line="360" w:lineRule="auto"/>
        <w:ind w:left="1680" w:leftChars="800" w:firstLine="281" w:firstLineChars="100"/>
        <w:rPr>
          <w:rFonts w:ascii="宋体" w:hAnsi="宋体"/>
          <w:b/>
          <w:color w:val="000000" w:themeColor="text1"/>
          <w:sz w:val="28"/>
          <w:szCs w:val="28"/>
          <w14:textFill>
            <w14:solidFill>
              <w14:schemeClr w14:val="tx1"/>
            </w14:solidFill>
          </w14:textFill>
        </w:rPr>
      </w:pPr>
    </w:p>
    <w:p>
      <w:pPr>
        <w:spacing w:line="360" w:lineRule="auto"/>
        <w:ind w:left="1680" w:leftChars="800" w:firstLine="281" w:firstLineChars="100"/>
        <w:rPr>
          <w:rFonts w:ascii="宋体" w:hAnsi="宋体"/>
          <w:b/>
          <w:color w:val="000000" w:themeColor="text1"/>
          <w:sz w:val="28"/>
          <w:szCs w:val="28"/>
          <w14:textFill>
            <w14:solidFill>
              <w14:schemeClr w14:val="tx1"/>
            </w14:solidFill>
          </w14:textFill>
        </w:rPr>
      </w:pPr>
    </w:p>
    <w:p>
      <w:pPr>
        <w:spacing w:line="360" w:lineRule="auto"/>
        <w:jc w:val="both"/>
        <w:rPr>
          <w:rFonts w:ascii="宋体" w:hAnsi="宋体"/>
          <w:b/>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1200" w:firstLineChars="500"/>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b/>
          <w:color w:val="000000" w:themeColor="text1"/>
          <w:sz w:val="24"/>
          <w14:textFill>
            <w14:solidFill>
              <w14:schemeClr w14:val="tx1"/>
            </w14:solidFill>
          </w14:textFill>
        </w:rPr>
        <w:br w:type="column"/>
      </w:r>
      <w:r>
        <w:rPr>
          <w:rFonts w:hint="eastAsia" w:ascii="宋体" w:hAnsi="宋体"/>
          <w:b/>
          <w:color w:val="000000" w:themeColor="text1"/>
          <w:sz w:val="28"/>
          <w:szCs w:val="28"/>
          <w:lang w:val="en-US" w:eastAsia="zh-CN"/>
          <w14:textFill>
            <w14:solidFill>
              <w14:schemeClr w14:val="tx1"/>
            </w14:solidFill>
          </w14:textFill>
        </w:rPr>
        <w:t>6</w:t>
      </w:r>
      <w:r>
        <w:rPr>
          <w:rFonts w:hint="eastAsia" w:ascii="宋体" w:hAnsi="宋体"/>
          <w:b/>
          <w:color w:val="000000" w:themeColor="text1"/>
          <w:sz w:val="28"/>
          <w:szCs w:val="28"/>
          <w14:textFill>
            <w14:solidFill>
              <w14:schemeClr w14:val="tx1"/>
            </w14:solidFill>
          </w14:textFill>
        </w:rPr>
        <w:t>.根据第四章评分标准中的内容提供相应的资料</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1）指标响应数据列表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3216"/>
        <w:gridCol w:w="1332"/>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920" w:type="dxa"/>
            <w:noWrap w:val="0"/>
            <w:vAlign w:val="center"/>
          </w:tcPr>
          <w:p>
            <w:pPr>
              <w:tabs>
                <w:tab w:val="left" w:pos="2670"/>
              </w:tabs>
              <w:adjustRightInd w:val="0"/>
              <w:spacing w:line="360" w:lineRule="auto"/>
              <w:jc w:val="center"/>
              <w:rPr>
                <w:rFonts w:ascii="宋体"/>
                <w:b/>
                <w:bCs/>
                <w:color w:val="000000"/>
                <w:sz w:val="24"/>
                <w:lang w:val="zh-CN"/>
              </w:rPr>
            </w:pPr>
            <w:r>
              <w:rPr>
                <w:rFonts w:hint="eastAsia" w:ascii="宋体" w:hAnsi="宋体" w:cs="宋体"/>
                <w:b/>
                <w:bCs/>
                <w:color w:val="000000"/>
                <w:sz w:val="24"/>
                <w:lang w:val="zh-CN"/>
              </w:rPr>
              <w:t>项目名称</w:t>
            </w:r>
          </w:p>
        </w:tc>
        <w:tc>
          <w:tcPr>
            <w:tcW w:w="3216" w:type="dxa"/>
            <w:noWrap w:val="0"/>
            <w:vAlign w:val="center"/>
          </w:tcPr>
          <w:p>
            <w:pPr>
              <w:tabs>
                <w:tab w:val="left" w:pos="2670"/>
              </w:tabs>
              <w:adjustRightInd w:val="0"/>
              <w:spacing w:line="360" w:lineRule="auto"/>
              <w:jc w:val="center"/>
              <w:rPr>
                <w:rFonts w:ascii="宋体"/>
                <w:b/>
                <w:bCs/>
                <w:color w:val="000000"/>
                <w:sz w:val="24"/>
                <w:lang w:val="zh-CN"/>
              </w:rPr>
            </w:pPr>
            <w:r>
              <w:rPr>
                <w:rFonts w:hint="eastAsia" w:ascii="宋体" w:hAnsi="宋体" w:cs="宋体"/>
                <w:b/>
                <w:bCs/>
                <w:color w:val="000000"/>
                <w:sz w:val="24"/>
              </w:rPr>
              <w:t>国家规定的</w:t>
            </w:r>
            <w:r>
              <w:rPr>
                <w:rFonts w:hint="eastAsia" w:ascii="宋体" w:hAnsi="宋体" w:cs="宋体"/>
                <w:b/>
                <w:bCs/>
                <w:color w:val="000000"/>
                <w:sz w:val="24"/>
                <w:lang w:val="zh-CN"/>
              </w:rPr>
              <w:t>存款基准利率</w:t>
            </w:r>
          </w:p>
        </w:tc>
        <w:tc>
          <w:tcPr>
            <w:tcW w:w="1332" w:type="dxa"/>
            <w:noWrap w:val="0"/>
            <w:vAlign w:val="center"/>
          </w:tcPr>
          <w:p>
            <w:pPr>
              <w:tabs>
                <w:tab w:val="left" w:pos="2670"/>
              </w:tabs>
              <w:adjustRightInd w:val="0"/>
              <w:spacing w:line="360" w:lineRule="auto"/>
              <w:jc w:val="center"/>
              <w:rPr>
                <w:rFonts w:ascii="宋体"/>
                <w:b/>
                <w:bCs/>
                <w:color w:val="000000"/>
                <w:sz w:val="24"/>
              </w:rPr>
            </w:pPr>
            <w:r>
              <w:rPr>
                <w:rFonts w:hint="eastAsia" w:ascii="宋体" w:hAnsi="宋体" w:cs="宋体"/>
                <w:b/>
                <w:bCs/>
                <w:color w:val="000000"/>
                <w:sz w:val="24"/>
              </w:rPr>
              <w:t>加点值</w:t>
            </w:r>
          </w:p>
        </w:tc>
        <w:tc>
          <w:tcPr>
            <w:tcW w:w="1304" w:type="dxa"/>
            <w:noWrap w:val="0"/>
            <w:vAlign w:val="center"/>
          </w:tcPr>
          <w:p>
            <w:pPr>
              <w:tabs>
                <w:tab w:val="left" w:pos="2670"/>
              </w:tabs>
              <w:adjustRightInd w:val="0"/>
              <w:spacing w:line="360" w:lineRule="auto"/>
              <w:jc w:val="center"/>
              <w:rPr>
                <w:rFonts w:hint="eastAsia" w:ascii="宋体" w:hAnsi="宋体" w:eastAsia="宋体" w:cs="宋体"/>
                <w:b/>
                <w:bCs/>
                <w:color w:val="000000"/>
                <w:sz w:val="24"/>
                <w:lang w:val="en-US" w:eastAsia="zh-CN"/>
              </w:rPr>
            </w:pPr>
            <w:r>
              <w:rPr>
                <w:rFonts w:hint="eastAsia" w:ascii="宋体" w:hAnsi="宋体" w:cs="宋体"/>
                <w:b/>
                <w:bCs/>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920" w:type="dxa"/>
            <w:vMerge w:val="restart"/>
            <w:noWrap w:val="0"/>
            <w:vAlign w:val="center"/>
          </w:tcPr>
          <w:p>
            <w:pPr>
              <w:tabs>
                <w:tab w:val="left" w:pos="2670"/>
              </w:tabs>
              <w:adjustRightInd w:val="0"/>
              <w:spacing w:line="360" w:lineRule="auto"/>
              <w:jc w:val="center"/>
              <w:rPr>
                <w:rFonts w:ascii="宋体"/>
                <w:color w:val="000000"/>
                <w:sz w:val="24"/>
                <w:lang w:val="zh-CN"/>
              </w:rPr>
            </w:pPr>
            <w:r>
              <w:rPr>
                <w:rFonts w:hint="eastAsia" w:ascii="宋体" w:hAnsi="宋体"/>
                <w:color w:val="000000" w:themeColor="text1"/>
                <w:sz w:val="24"/>
                <w:u w:val="single"/>
                <w:lang w:eastAsia="zh-CN"/>
                <w14:textFill>
                  <w14:solidFill>
                    <w14:schemeClr w14:val="tx1"/>
                  </w14:solidFill>
                </w14:textFill>
              </w:rPr>
              <w:t>建德市医共体基本结算账户开户招标项目</w:t>
            </w:r>
          </w:p>
        </w:tc>
        <w:tc>
          <w:tcPr>
            <w:tcW w:w="3216" w:type="dxa"/>
            <w:noWrap w:val="0"/>
            <w:vAlign w:val="center"/>
          </w:tcPr>
          <w:p>
            <w:pPr>
              <w:tabs>
                <w:tab w:val="left" w:pos="2670"/>
              </w:tabs>
              <w:adjustRightInd w:val="0"/>
              <w:spacing w:line="360" w:lineRule="auto"/>
              <w:jc w:val="center"/>
              <w:rPr>
                <w:rFonts w:ascii="宋体"/>
                <w:color w:val="000000"/>
                <w:sz w:val="24"/>
                <w:lang w:val="zh-CN"/>
              </w:rPr>
            </w:pPr>
            <w:r>
              <w:rPr>
                <w:rFonts w:hint="eastAsia" w:ascii="宋体" w:hAnsi="宋体" w:cs="宋体"/>
                <w:color w:val="000000"/>
                <w:sz w:val="24"/>
                <w:lang w:val="en-US" w:eastAsia="zh-CN"/>
              </w:rPr>
              <w:t>活期</w:t>
            </w:r>
            <w:r>
              <w:rPr>
                <w:rFonts w:hint="eastAsia" w:ascii="宋体" w:hAnsi="宋体" w:cs="宋体"/>
                <w:color w:val="000000"/>
                <w:sz w:val="24"/>
                <w:lang w:val="zh-CN"/>
              </w:rPr>
              <w:t>存款利率</w:t>
            </w:r>
          </w:p>
        </w:tc>
        <w:tc>
          <w:tcPr>
            <w:tcW w:w="1332" w:type="dxa"/>
            <w:noWrap w:val="0"/>
            <w:vAlign w:val="center"/>
          </w:tcPr>
          <w:p>
            <w:pPr>
              <w:tabs>
                <w:tab w:val="left" w:pos="2670"/>
              </w:tabs>
              <w:adjustRightInd w:val="0"/>
              <w:spacing w:line="360" w:lineRule="auto"/>
              <w:jc w:val="both"/>
              <w:rPr>
                <w:rFonts w:ascii="宋体"/>
                <w:b/>
                <w:bCs/>
                <w:color w:val="000000"/>
                <w:sz w:val="24"/>
                <w:lang w:val="zh-CN"/>
              </w:rPr>
            </w:pPr>
            <w:r>
              <w:rPr>
                <w:rFonts w:hint="eastAsia" w:ascii="宋体" w:hAnsi="宋体" w:cs="宋体"/>
                <w:color w:val="000000"/>
                <w:sz w:val="24"/>
              </w:rPr>
              <w:t>加点   BP</w:t>
            </w:r>
          </w:p>
        </w:tc>
        <w:tc>
          <w:tcPr>
            <w:tcW w:w="1304" w:type="dxa"/>
            <w:vMerge w:val="restart"/>
            <w:noWrap w:val="0"/>
            <w:vAlign w:val="center"/>
          </w:tcPr>
          <w:p>
            <w:pPr>
              <w:tabs>
                <w:tab w:val="left" w:pos="2670"/>
              </w:tabs>
              <w:adjustRightInd w:val="0"/>
              <w:spacing w:line="360" w:lineRule="auto"/>
              <w:ind w:firstLine="470" w:firstLineChars="196"/>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920" w:type="dxa"/>
            <w:vMerge w:val="continue"/>
            <w:noWrap w:val="0"/>
            <w:vAlign w:val="center"/>
          </w:tcPr>
          <w:p>
            <w:pPr>
              <w:tabs>
                <w:tab w:val="left" w:pos="2670"/>
              </w:tabs>
              <w:adjustRightInd w:val="0"/>
              <w:spacing w:line="360" w:lineRule="auto"/>
              <w:jc w:val="center"/>
            </w:pPr>
          </w:p>
        </w:tc>
        <w:tc>
          <w:tcPr>
            <w:tcW w:w="3216" w:type="dxa"/>
            <w:noWrap w:val="0"/>
            <w:vAlign w:val="center"/>
          </w:tcPr>
          <w:p>
            <w:pPr>
              <w:tabs>
                <w:tab w:val="left" w:pos="2670"/>
              </w:tabs>
              <w:adjustRightInd w:val="0"/>
              <w:spacing w:line="360" w:lineRule="auto"/>
              <w:jc w:val="center"/>
              <w:rPr>
                <w:rFonts w:hint="eastAsia" w:ascii="宋体" w:hAnsi="宋体" w:cs="宋体"/>
                <w:color w:val="000000"/>
                <w:sz w:val="24"/>
                <w:lang w:val="en-US" w:eastAsia="zh-CN"/>
              </w:rPr>
            </w:pPr>
            <w:r>
              <w:rPr>
                <w:rStyle w:val="63"/>
                <w:lang w:val="en-US" w:eastAsia="zh-CN" w:bidi="ar"/>
              </w:rPr>
              <w:t>协定存款利率</w:t>
            </w:r>
          </w:p>
        </w:tc>
        <w:tc>
          <w:tcPr>
            <w:tcW w:w="1332" w:type="dxa"/>
            <w:noWrap w:val="0"/>
            <w:vAlign w:val="center"/>
          </w:tcPr>
          <w:p>
            <w:pPr>
              <w:tabs>
                <w:tab w:val="left" w:pos="2670"/>
              </w:tabs>
              <w:adjustRightInd w:val="0"/>
              <w:spacing w:line="360" w:lineRule="auto"/>
              <w:jc w:val="center"/>
              <w:rPr>
                <w:rFonts w:hint="eastAsia" w:ascii="宋体" w:hAnsi="宋体" w:cs="宋体"/>
                <w:color w:val="000000"/>
                <w:sz w:val="24"/>
                <w:lang w:val="en-US" w:eastAsia="zh-CN"/>
              </w:rPr>
            </w:pPr>
            <w:r>
              <w:rPr>
                <w:rFonts w:hint="eastAsia" w:ascii="宋体" w:hAnsi="宋体" w:cs="宋体"/>
                <w:color w:val="000000"/>
                <w:sz w:val="24"/>
              </w:rPr>
              <w:t>加点   BP</w:t>
            </w:r>
          </w:p>
        </w:tc>
        <w:tc>
          <w:tcPr>
            <w:tcW w:w="1304" w:type="dxa"/>
            <w:vMerge w:val="continue"/>
            <w:noWrap w:val="0"/>
            <w:vAlign w:val="center"/>
          </w:tcPr>
          <w:p>
            <w:pPr>
              <w:tabs>
                <w:tab w:val="left" w:pos="2670"/>
              </w:tabs>
              <w:adjustRightInd w:val="0"/>
              <w:spacing w:line="360" w:lineRule="auto"/>
              <w:jc w:val="center"/>
              <w:rPr>
                <w:rFonts w:hint="eastAsia" w:ascii="宋体" w:hAnsi="宋体"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920" w:type="dxa"/>
            <w:vMerge w:val="continue"/>
            <w:noWrap w:val="0"/>
            <w:vAlign w:val="center"/>
          </w:tcPr>
          <w:p>
            <w:pPr>
              <w:tabs>
                <w:tab w:val="left" w:pos="2670"/>
              </w:tabs>
              <w:adjustRightInd w:val="0"/>
              <w:spacing w:line="360" w:lineRule="auto"/>
              <w:jc w:val="center"/>
              <w:rPr>
                <w:rFonts w:hint="eastAsia" w:ascii="宋体" w:hAnsi="宋体" w:cs="宋体"/>
                <w:color w:val="000000"/>
                <w:sz w:val="24"/>
                <w:lang w:val="en-US" w:eastAsia="zh-CN"/>
              </w:rPr>
            </w:pPr>
          </w:p>
        </w:tc>
        <w:tc>
          <w:tcPr>
            <w:tcW w:w="3216" w:type="dxa"/>
            <w:noWrap w:val="0"/>
            <w:vAlign w:val="center"/>
          </w:tcPr>
          <w:p>
            <w:pPr>
              <w:tabs>
                <w:tab w:val="left" w:pos="2670"/>
              </w:tabs>
              <w:adjustRightInd w:val="0"/>
              <w:spacing w:line="360" w:lineRule="auto"/>
              <w:jc w:val="center"/>
              <w:rPr>
                <w:rFonts w:hint="eastAsia" w:ascii="宋体" w:hAnsi="宋体" w:cs="宋体"/>
                <w:color w:val="000000"/>
                <w:sz w:val="24"/>
                <w:lang w:val="en-US" w:eastAsia="zh-CN"/>
              </w:rPr>
            </w:pPr>
            <w:r>
              <w:rPr>
                <w:rFonts w:hint="eastAsia" w:ascii="宋体" w:hAnsi="宋体" w:cs="宋体"/>
                <w:color w:val="000000"/>
                <w:sz w:val="24"/>
                <w:lang w:val="en-US" w:eastAsia="zh-CN"/>
              </w:rPr>
              <w:t>一年期定期存款利率</w:t>
            </w:r>
          </w:p>
        </w:tc>
        <w:tc>
          <w:tcPr>
            <w:tcW w:w="1332" w:type="dxa"/>
            <w:noWrap w:val="0"/>
            <w:vAlign w:val="center"/>
          </w:tcPr>
          <w:p>
            <w:pPr>
              <w:tabs>
                <w:tab w:val="left" w:pos="2670"/>
              </w:tabs>
              <w:adjustRightInd w:val="0"/>
              <w:spacing w:line="360" w:lineRule="auto"/>
              <w:jc w:val="center"/>
              <w:rPr>
                <w:rFonts w:hint="eastAsia" w:ascii="宋体" w:hAnsi="宋体" w:cs="宋体"/>
                <w:color w:val="000000"/>
                <w:sz w:val="24"/>
                <w:lang w:val="en-US" w:eastAsia="zh-CN"/>
              </w:rPr>
            </w:pPr>
            <w:r>
              <w:rPr>
                <w:rFonts w:hint="eastAsia" w:ascii="宋体" w:hAnsi="宋体" w:cs="宋体"/>
                <w:color w:val="000000"/>
                <w:sz w:val="24"/>
              </w:rPr>
              <w:t>加点   BP</w:t>
            </w:r>
          </w:p>
        </w:tc>
        <w:tc>
          <w:tcPr>
            <w:tcW w:w="1304" w:type="dxa"/>
            <w:vMerge w:val="continue"/>
            <w:noWrap w:val="0"/>
            <w:vAlign w:val="center"/>
          </w:tcPr>
          <w:p>
            <w:pPr>
              <w:tabs>
                <w:tab w:val="left" w:pos="2670"/>
              </w:tabs>
              <w:adjustRightInd w:val="0"/>
              <w:spacing w:line="360" w:lineRule="auto"/>
              <w:jc w:val="center"/>
              <w:rPr>
                <w:rFonts w:hint="eastAsia" w:ascii="宋体" w:hAnsi="宋体" w:cs="宋体"/>
                <w:color w:val="000000"/>
                <w:sz w:val="24"/>
                <w:lang w:val="en-US" w:eastAsia="zh-CN"/>
              </w:rPr>
            </w:pPr>
          </w:p>
        </w:tc>
      </w:tr>
    </w:tbl>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numPr>
          <w:ilvl w:val="0"/>
          <w:numId w:val="1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以上数据保留小数点后2位。</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投标人（盖章）</w:t>
      </w:r>
    </w:p>
    <w:p>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法定代表人</w:t>
      </w:r>
      <w:r>
        <w:rPr>
          <w:rFonts w:hint="eastAsia" w:ascii="宋体" w:hAnsi="宋体"/>
          <w:color w:val="000000" w:themeColor="text1"/>
          <w:sz w:val="24"/>
          <w14:textFill>
            <w14:solidFill>
              <w14:schemeClr w14:val="tx1"/>
            </w14:solidFill>
          </w14:textFill>
        </w:rPr>
        <w:t>（分行负责人）</w:t>
      </w:r>
      <w:r>
        <w:rPr>
          <w:rFonts w:ascii="宋体" w:hAnsi="宋体"/>
          <w:color w:val="000000" w:themeColor="text1"/>
          <w:sz w:val="24"/>
          <w14:textFill>
            <w14:solidFill>
              <w14:schemeClr w14:val="tx1"/>
            </w14:solidFill>
          </w14:textFill>
        </w:rPr>
        <w:t>或授权委托代理人（签字）</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ascii="宋体" w:hAnsi="宋体"/>
          <w:color w:val="000000" w:themeColor="text1"/>
          <w:sz w:val="24"/>
          <w14:textFill>
            <w14:solidFill>
              <w14:schemeClr w14:val="tx1"/>
            </w14:solidFill>
          </w14:textFill>
        </w:rPr>
        <w:t>日期：    年    月    日</w:t>
      </w:r>
      <w:r>
        <w:rPr>
          <w:rFonts w:ascii="宋体" w:hAnsi="宋体"/>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2）服务水平（自拟）</w:t>
      </w:r>
    </w:p>
    <w:p>
      <w:pPr>
        <w:spacing w:line="360" w:lineRule="auto"/>
        <w:ind w:left="181" w:leftChars="86" w:firstLine="120" w:firstLineChars="5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（要求针对评委打分表的具体内容进行具体描述）</w:t>
      </w:r>
    </w:p>
    <w:p>
      <w:p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包含但不限于：</w:t>
      </w:r>
    </w:p>
    <w:p>
      <w:pPr>
        <w:numPr>
          <w:ilvl w:val="0"/>
          <w:numId w:val="15"/>
        </w:num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投标人的手续费用减免情况；</w:t>
      </w:r>
    </w:p>
    <w:p>
      <w:pPr>
        <w:numPr>
          <w:ilvl w:val="0"/>
          <w:numId w:val="15"/>
        </w:num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投标人的营业网点情况；</w:t>
      </w:r>
    </w:p>
    <w:p>
      <w:pPr>
        <w:numPr>
          <w:ilvl w:val="0"/>
          <w:numId w:val="15"/>
        </w:num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投标人对招标人的</w:t>
      </w:r>
      <w:r>
        <w:rPr>
          <w:rFonts w:hint="eastAsia" w:ascii="宋体"/>
          <w:color w:val="000000" w:themeColor="text1"/>
          <w:sz w:val="24"/>
          <w14:textFill>
            <w14:solidFill>
              <w14:schemeClr w14:val="tx1"/>
            </w14:solidFill>
          </w14:textFill>
        </w:rPr>
        <w:t>资金安全和保值增值方案；</w:t>
      </w:r>
    </w:p>
    <w:p>
      <w:pPr>
        <w:numPr>
          <w:ilvl w:val="0"/>
          <w:numId w:val="15"/>
        </w:num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投标人对招标人的</w:t>
      </w:r>
      <w:r>
        <w:rPr>
          <w:rFonts w:hint="eastAsia" w:ascii="宋体"/>
          <w:color w:val="000000" w:themeColor="text1"/>
          <w:sz w:val="24"/>
          <w14:textFill>
            <w14:solidFill>
              <w14:schemeClr w14:val="tx1"/>
            </w14:solidFill>
          </w14:textFill>
        </w:rPr>
        <w:t>信息化支持方案；</w:t>
      </w:r>
    </w:p>
    <w:p>
      <w:pPr>
        <w:numPr>
          <w:ilvl w:val="0"/>
          <w:numId w:val="15"/>
        </w:num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投标人对招标人的</w:t>
      </w:r>
      <w:r>
        <w:rPr>
          <w:rFonts w:hint="eastAsia" w:ascii="宋体"/>
          <w:color w:val="000000" w:themeColor="text1"/>
          <w:sz w:val="24"/>
          <w14:textFill>
            <w14:solidFill>
              <w14:schemeClr w14:val="tx1"/>
            </w14:solidFill>
          </w14:textFill>
        </w:rPr>
        <w:t>特色服务方案；</w:t>
      </w:r>
    </w:p>
    <w:p>
      <w:pPr>
        <w:numPr>
          <w:ilvl w:val="0"/>
          <w:numId w:val="15"/>
        </w:num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left="181" w:leftChars="86" w:firstLine="120" w:firstLineChars="50"/>
        <w:rPr>
          <w:rFonts w:ascii="宋体"/>
          <w:color w:val="000000" w:themeColor="text1"/>
          <w:sz w:val="24"/>
          <w14:textFill>
            <w14:solidFill>
              <w14:schemeClr w14:val="tx1"/>
            </w14:solidFill>
          </w14:textFill>
        </w:rPr>
      </w:pPr>
    </w:p>
    <w:p>
      <w:pPr>
        <w:spacing w:line="360" w:lineRule="auto"/>
        <w:ind w:left="181" w:leftChars="86" w:firstLine="120" w:firstLineChars="50"/>
        <w:rPr>
          <w:rFonts w:ascii="宋体"/>
          <w:color w:val="000000" w:themeColor="text1"/>
          <w:sz w:val="24"/>
          <w14:textFill>
            <w14:solidFill>
              <w14:schemeClr w14:val="tx1"/>
            </w14:solidFill>
          </w14:textFill>
        </w:rPr>
      </w:pPr>
    </w:p>
    <w:p>
      <w:pPr>
        <w:spacing w:line="360" w:lineRule="auto"/>
        <w:ind w:left="181" w:leftChars="86" w:firstLine="120" w:firstLineChars="50"/>
        <w:rPr>
          <w:rFonts w:ascii="宋体"/>
          <w:color w:val="000000" w:themeColor="text1"/>
          <w:sz w:val="24"/>
          <w14:textFill>
            <w14:solidFill>
              <w14:schemeClr w14:val="tx1"/>
            </w14:solidFill>
          </w14:textFill>
        </w:rPr>
      </w:pPr>
    </w:p>
    <w:p>
      <w:pPr>
        <w:spacing w:line="360" w:lineRule="auto"/>
        <w:ind w:left="181" w:leftChars="86" w:firstLine="120" w:firstLineChars="50"/>
        <w:rPr>
          <w:rFonts w:ascii="宋体"/>
          <w:color w:val="000000" w:themeColor="text1"/>
          <w:sz w:val="24"/>
          <w14:textFill>
            <w14:solidFill>
              <w14:schemeClr w14:val="tx1"/>
            </w14:solidFill>
          </w14:textFill>
        </w:rPr>
      </w:pPr>
    </w:p>
    <w:p>
      <w:pPr>
        <w:spacing w:line="360" w:lineRule="auto"/>
        <w:ind w:left="181" w:leftChars="86" w:firstLine="120" w:firstLineChars="50"/>
        <w:rPr>
          <w:rFonts w:ascii="宋体"/>
          <w:color w:val="000000" w:themeColor="text1"/>
          <w:sz w:val="24"/>
          <w14:textFill>
            <w14:solidFill>
              <w14:schemeClr w14:val="tx1"/>
            </w14:solidFill>
          </w14:textFill>
        </w:rPr>
      </w:pPr>
    </w:p>
    <w:p>
      <w:pPr>
        <w:spacing w:line="360" w:lineRule="auto"/>
        <w:ind w:left="181" w:leftChars="86" w:firstLine="120" w:firstLineChars="50"/>
        <w:rPr>
          <w:rFonts w:ascii="宋体"/>
          <w:color w:val="000000" w:themeColor="text1"/>
          <w:sz w:val="24"/>
          <w14:textFill>
            <w14:solidFill>
              <w14:schemeClr w14:val="tx1"/>
            </w14:solidFill>
          </w14:textFill>
        </w:rPr>
      </w:pPr>
    </w:p>
    <w:p>
      <w:pPr>
        <w:spacing w:line="360" w:lineRule="auto"/>
        <w:ind w:left="181" w:leftChars="86" w:firstLine="120" w:firstLineChars="50"/>
        <w:rPr>
          <w:rFonts w:ascii="宋体"/>
          <w:color w:val="000000" w:themeColor="text1"/>
          <w:sz w:val="24"/>
          <w14:textFill>
            <w14:solidFill>
              <w14:schemeClr w14:val="tx1"/>
            </w14:solidFill>
          </w14:textFill>
        </w:rPr>
      </w:pPr>
    </w:p>
    <w:p>
      <w:pPr>
        <w:spacing w:line="360" w:lineRule="auto"/>
        <w:ind w:left="420" w:leftChars="200" w:right="420" w:firstLine="240" w:firstLineChars="100"/>
        <w:rPr>
          <w:rFonts w:ascii="宋体"/>
          <w:color w:val="000000" w:themeColor="text1"/>
          <w:sz w:val="24"/>
          <w14:textFill>
            <w14:solidFill>
              <w14:schemeClr w14:val="tx1"/>
            </w14:solidFill>
          </w14:textFill>
        </w:rPr>
      </w:pPr>
    </w:p>
    <w:p>
      <w:pPr>
        <w:spacing w:line="360" w:lineRule="auto"/>
        <w:ind w:right="420" w:firstLine="360" w:firstLineChars="150"/>
        <w:rPr>
          <w:rFonts w:ascii="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投标银行（盖章）：</w:t>
      </w:r>
    </w:p>
    <w:p>
      <w:pPr>
        <w:spacing w:line="360" w:lineRule="auto"/>
        <w:ind w:right="420" w:firstLine="360" w:firstLineChars="150"/>
        <w:rPr>
          <w:rFonts w:ascii="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授权代表签字：</w:t>
      </w:r>
    </w:p>
    <w:p>
      <w:pPr>
        <w:spacing w:line="360" w:lineRule="auto"/>
        <w:ind w:firstLine="360" w:firstLineChars="15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pPr>
        <w:spacing w:line="360" w:lineRule="auto"/>
        <w:ind w:firstLine="420" w:firstLineChars="150"/>
        <w:rPr>
          <w:rFonts w:ascii="宋体" w:hAnsi="宋体"/>
          <w:color w:val="000000" w:themeColor="text1"/>
          <w:sz w:val="28"/>
          <w:szCs w:val="28"/>
          <w14:textFill>
            <w14:solidFill>
              <w14:schemeClr w14:val="tx1"/>
            </w14:solidFill>
          </w14:textFill>
        </w:rPr>
      </w:pPr>
    </w:p>
    <w:p>
      <w:pPr>
        <w:spacing w:line="360" w:lineRule="auto"/>
        <w:ind w:firstLine="420" w:firstLineChars="150"/>
        <w:rPr>
          <w:rFonts w:ascii="宋体" w:hAnsi="宋体"/>
          <w:color w:val="000000" w:themeColor="text1"/>
          <w:sz w:val="28"/>
          <w:szCs w:val="28"/>
          <w14:textFill>
            <w14:solidFill>
              <w14:schemeClr w14:val="tx1"/>
            </w14:solidFill>
          </w14:textFill>
        </w:rPr>
      </w:pPr>
    </w:p>
    <w:p>
      <w:pPr>
        <w:spacing w:line="360" w:lineRule="auto"/>
        <w:ind w:firstLine="420" w:firstLineChars="150"/>
        <w:rPr>
          <w:rFonts w:ascii="宋体" w:hAnsi="宋体"/>
          <w:color w:val="000000" w:themeColor="text1"/>
          <w:sz w:val="28"/>
          <w:szCs w:val="28"/>
          <w14:textFill>
            <w14:solidFill>
              <w14:schemeClr w14:val="tx1"/>
            </w14:solidFill>
          </w14:textFill>
        </w:rPr>
      </w:pPr>
    </w:p>
    <w:p>
      <w:pPr>
        <w:spacing w:line="360" w:lineRule="auto"/>
        <w:ind w:firstLine="420" w:firstLineChars="150"/>
        <w:rPr>
          <w:rFonts w:ascii="宋体" w:hAnsi="宋体"/>
          <w:color w:val="000000" w:themeColor="text1"/>
          <w:sz w:val="28"/>
          <w:szCs w:val="28"/>
          <w14:textFill>
            <w14:solidFill>
              <w14:schemeClr w14:val="tx1"/>
            </w14:solidFill>
          </w14:textFill>
        </w:rPr>
      </w:pPr>
    </w:p>
    <w:p>
      <w:pPr>
        <w:spacing w:line="360" w:lineRule="auto"/>
        <w:ind w:firstLine="420" w:firstLineChars="150"/>
        <w:rPr>
          <w:rFonts w:ascii="宋体" w:hAnsi="宋体"/>
          <w:color w:val="000000" w:themeColor="text1"/>
          <w:sz w:val="28"/>
          <w:szCs w:val="28"/>
          <w14:textFill>
            <w14:solidFill>
              <w14:schemeClr w14:val="tx1"/>
            </w14:solidFill>
          </w14:textFill>
        </w:rPr>
      </w:pPr>
    </w:p>
    <w:p>
      <w:pPr>
        <w:spacing w:line="360" w:lineRule="auto"/>
        <w:ind w:firstLine="420" w:firstLineChars="150"/>
        <w:rPr>
          <w:rFonts w:ascii="宋体" w:hAnsi="宋体"/>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500" w:lineRule="exact"/>
        <w:rPr>
          <w:rFonts w:ascii="仿宋_GB2312" w:hAnsi="仿宋" w:eastAsia="仿宋_GB2312"/>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7</w:t>
      </w:r>
      <w:r>
        <w:rPr>
          <w:rFonts w:hint="eastAsia" w:ascii="宋体" w:hAnsi="宋体"/>
          <w:b/>
          <w:color w:val="000000" w:themeColor="text1"/>
          <w:sz w:val="28"/>
          <w:szCs w:val="28"/>
          <w14:textFill>
            <w14:solidFill>
              <w14:schemeClr w14:val="tx1"/>
            </w14:solidFill>
          </w14:textFill>
        </w:rPr>
        <w:t>、廉政承诺书</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部门（单位）：</w:t>
      </w:r>
    </w:p>
    <w:p>
      <w:pPr>
        <w:spacing w:line="360" w:lineRule="auto"/>
        <w:ind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根据《中华人民共和国</w:t>
      </w:r>
      <w:r>
        <w:rPr>
          <w:rFonts w:hint="eastAsia" w:ascii="宋体" w:hAnsi="宋体" w:eastAsia="宋体" w:cs="Times New Roman"/>
          <w:color w:val="000000" w:themeColor="text1"/>
          <w:sz w:val="28"/>
          <w:szCs w:val="28"/>
          <w:lang w:val="en-US" w:eastAsia="zh-CN"/>
          <w14:textFill>
            <w14:solidFill>
              <w14:schemeClr w14:val="tx1"/>
            </w14:solidFill>
          </w14:textFill>
        </w:rPr>
        <w:t>民法典</w:t>
      </w:r>
      <w:r>
        <w:rPr>
          <w:rFonts w:hint="eastAsia" w:ascii="宋体" w:hAnsi="宋体" w:eastAsia="宋体" w:cs="Times New Roman"/>
          <w:color w:val="000000" w:themeColor="text1"/>
          <w:sz w:val="28"/>
          <w:szCs w:val="28"/>
          <w14:textFill>
            <w14:solidFill>
              <w14:schemeClr w14:val="tx1"/>
            </w14:solidFill>
          </w14:textFill>
        </w:rPr>
        <w:t>》、《中共浙江省委办公厅、浙江省人民政府办公厅印发&lt;关于防止领导干部在公款存放方面发生利益冲突和利益输送的办法&gt;的通知》(浙委办发[2015]8 号)</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《建德市财政局关于印发建德市市级行政事业单位公款竞争性存放管理办法的通知》有关规定，现就</w:t>
      </w:r>
      <w:r>
        <w:rPr>
          <w:rFonts w:hint="eastAsia" w:ascii="宋体" w:hAnsi="宋体"/>
          <w:color w:val="000000" w:themeColor="text1"/>
          <w:sz w:val="28"/>
          <w:szCs w:val="28"/>
          <w14:textFill>
            <w14:solidFill>
              <w14:schemeClr w14:val="tx1"/>
            </w14:solidFill>
          </w14:textFill>
        </w:rPr>
        <w:t>本行参加贵单</w:t>
      </w:r>
      <w:r>
        <w:rPr>
          <w:rFonts w:hint="eastAsia" w:ascii="宋体" w:hAnsi="宋体" w:eastAsia="宋体" w:cs="Times New Roman"/>
          <w:color w:val="000000" w:themeColor="text1"/>
          <w:sz w:val="28"/>
          <w:szCs w:val="28"/>
          <w14:textFill>
            <w14:solidFill>
              <w14:schemeClr w14:val="tx1"/>
            </w14:solidFill>
          </w14:textFill>
        </w:rPr>
        <w:t>位</w:t>
      </w:r>
      <w:r>
        <w:rPr>
          <w:rFonts w:hint="eastAsia" w:ascii="宋体" w:hAnsi="宋体" w:cs="Times New Roman"/>
          <w:color w:val="000000" w:themeColor="text1"/>
          <w:sz w:val="28"/>
          <w:szCs w:val="28"/>
          <w:lang w:val="zh-CN"/>
          <w14:textFill>
            <w14:solidFill>
              <w14:schemeClr w14:val="tx1"/>
            </w14:solidFill>
          </w14:textFill>
        </w:rPr>
        <w:t>建德市医共体基本结算账户开户招标项目</w:t>
      </w:r>
      <w:r>
        <w:rPr>
          <w:rFonts w:hint="eastAsia" w:ascii="宋体" w:hAnsi="宋体" w:eastAsia="宋体" w:cs="Times New Roman"/>
          <w:color w:val="000000" w:themeColor="text1"/>
          <w:sz w:val="28"/>
          <w:szCs w:val="28"/>
          <w14:textFill>
            <w14:solidFill>
              <w14:schemeClr w14:val="tx1"/>
            </w14:solidFill>
          </w14:textFill>
        </w:rPr>
        <w:t>招标作出如下承诺：</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1.不向贵单位负责公款存放管理的领导及相关人员进行利益输送；</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2.不将公款存放与贵单位负责公款存放管理的领导及相关人员在本行的配偶、子女及其配偶和其他直接利益相关人员的业绩、收入、晋升等利益挂钩；</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 严格执行利益回避制度，贵单位负责公款竞争性存放相关人员的配偶、子女及其配偶和其他直接利益相关人员为本行工作人员的，不参与公款竞争性存放工作；</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4.不发生除上述行为之外的其他任何利益输送行为。</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未遵守以上承诺的，本行自愿接受财政部门通报和处理，承担相应的一切后果。</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银行（公章）</w:t>
      </w:r>
    </w:p>
    <w:p>
      <w:pPr>
        <w:spacing w:line="360" w:lineRule="auto"/>
        <w:ind w:firstLine="420"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sectPr>
      <w:pgSz w:w="11906" w:h="16838"/>
      <w:pgMar w:top="1440" w:right="1469"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Pr>
    </w:pPr>
    <w:r>
      <w:fldChar w:fldCharType="begin"/>
    </w:r>
    <w:r>
      <w:rPr>
        <w:rStyle w:val="36"/>
      </w:rPr>
      <w:instrText xml:space="preserve">PAGE  </w:instrText>
    </w:r>
    <w:r>
      <w:fldChar w:fldCharType="end"/>
    </w: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Pr>
    </w:pPr>
    <w:r>
      <w:fldChar w:fldCharType="begin"/>
    </w:r>
    <w:r>
      <w:rPr>
        <w:rStyle w:val="36"/>
      </w:rPr>
      <w:instrText xml:space="preserve">PAGE  </w:instrText>
    </w:r>
    <w:r>
      <w:fldChar w:fldCharType="separate"/>
    </w:r>
    <w:r>
      <w:rPr>
        <w:rStyle w:val="36"/>
      </w:rPr>
      <w:t>14</w:t>
    </w:r>
    <w:r>
      <w:fldChar w:fldCharType="end"/>
    </w:r>
  </w:p>
  <w:p>
    <w:pPr>
      <w:pStyle w:val="24"/>
      <w:framePr w:wrap="around" w:vAnchor="text" w:hAnchor="margin" w:xAlign="right" w:y="1"/>
      <w:rPr>
        <w:rStyle w:val="36"/>
      </w:rPr>
    </w:pPr>
  </w:p>
  <w:p>
    <w:pPr>
      <w:pStyle w:val="2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36"/>
      </w:rPr>
      <w:instrText xml:space="preserve"> PAGE </w:instrText>
    </w:r>
    <w:r>
      <w:fldChar w:fldCharType="separate"/>
    </w:r>
    <w:r>
      <w:rPr>
        <w:rStyle w:val="36"/>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47"/>
      <w:lvlText w:val="%1."/>
      <w:lvlJc w:val="left"/>
      <w:pPr>
        <w:tabs>
          <w:tab w:val="left" w:pos="1200"/>
        </w:tabs>
        <w:ind w:left="1200" w:hanging="360"/>
      </w:pPr>
    </w:lvl>
  </w:abstractNum>
  <w:abstractNum w:abstractNumId="1">
    <w:nsid w:val="0000000D"/>
    <w:multiLevelType w:val="multilevel"/>
    <w:tmpl w:val="0000000D"/>
    <w:lvl w:ilvl="0" w:tentative="0">
      <w:start w:val="1"/>
      <w:numFmt w:val="decimal"/>
      <w:lvlText w:val="%1、"/>
      <w:lvlJc w:val="left"/>
      <w:pPr>
        <w:tabs>
          <w:tab w:val="left" w:pos="360"/>
        </w:tabs>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13"/>
    <w:multiLevelType w:val="multilevel"/>
    <w:tmpl w:val="00000013"/>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4"/>
    <w:multiLevelType w:val="multilevel"/>
    <w:tmpl w:val="00000014"/>
    <w:lvl w:ilvl="0" w:tentative="0">
      <w:start w:val="1"/>
      <w:numFmt w:val="decimal"/>
      <w:lvlText w:val="%1."/>
      <w:lvlJc w:val="left"/>
      <w:pPr>
        <w:tabs>
          <w:tab w:val="left" w:pos="840"/>
        </w:tabs>
        <w:ind w:left="840" w:hanging="360"/>
      </w:pPr>
      <w:rPr>
        <w:rFonts w:hint="default"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1A"/>
    <w:multiLevelType w:val="multilevel"/>
    <w:tmpl w:val="0000001A"/>
    <w:lvl w:ilvl="0" w:tentative="0">
      <w:start w:val="1"/>
      <w:numFmt w:val="decimal"/>
      <w:lvlText w:val="%1、"/>
      <w:lvlJc w:val="left"/>
      <w:pPr>
        <w:tabs>
          <w:tab w:val="left" w:pos="360"/>
        </w:tabs>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034D5883"/>
    <w:multiLevelType w:val="multilevel"/>
    <w:tmpl w:val="034D588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9E2B4E"/>
    <w:multiLevelType w:val="multilevel"/>
    <w:tmpl w:val="189E2B4E"/>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7">
    <w:nsid w:val="1C981A0F"/>
    <w:multiLevelType w:val="multilevel"/>
    <w:tmpl w:val="1C981A0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1A577E"/>
    <w:multiLevelType w:val="multilevel"/>
    <w:tmpl w:val="1F1A577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6B2A94"/>
    <w:multiLevelType w:val="multilevel"/>
    <w:tmpl w:val="226B2A9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42D58BE"/>
    <w:multiLevelType w:val="multilevel"/>
    <w:tmpl w:val="342D58B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D1DB158"/>
    <w:multiLevelType w:val="singleLevel"/>
    <w:tmpl w:val="4D1DB158"/>
    <w:lvl w:ilvl="0" w:tentative="0">
      <w:start w:val="4"/>
      <w:numFmt w:val="chineseCounting"/>
      <w:suff w:val="nothing"/>
      <w:lvlText w:val="%1、"/>
      <w:lvlJc w:val="left"/>
      <w:rPr>
        <w:rFonts w:hint="eastAsia"/>
      </w:rPr>
    </w:lvl>
  </w:abstractNum>
  <w:abstractNum w:abstractNumId="12">
    <w:nsid w:val="548113B8"/>
    <w:multiLevelType w:val="multilevel"/>
    <w:tmpl w:val="548113B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3607FDC"/>
    <w:multiLevelType w:val="singleLevel"/>
    <w:tmpl w:val="63607FDC"/>
    <w:lvl w:ilvl="0" w:tentative="0">
      <w:start w:val="1"/>
      <w:numFmt w:val="decimal"/>
      <w:suff w:val="nothing"/>
      <w:lvlText w:val="%1."/>
      <w:lvlJc w:val="left"/>
    </w:lvl>
  </w:abstractNum>
  <w:abstractNum w:abstractNumId="14">
    <w:nsid w:val="6F0B3898"/>
    <w:multiLevelType w:val="multilevel"/>
    <w:tmpl w:val="6F0B3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1"/>
  </w:num>
  <w:num w:numId="3">
    <w:abstractNumId w:val="3"/>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num>
  <w:num w:numId="13">
    <w:abstractNumId w:val="4"/>
    <w:lvlOverride w:ilvl="0">
      <w:startOverride w:val="1"/>
    </w:lvlOverride>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MWI3NjFkNjdiOTlhZjZmNDEwMmViMjI1MzE3N2IifQ=="/>
  </w:docVars>
  <w:rsids>
    <w:rsidRoot w:val="00172A27"/>
    <w:rsid w:val="000028C1"/>
    <w:rsid w:val="00002D9A"/>
    <w:rsid w:val="00003B70"/>
    <w:rsid w:val="0000596F"/>
    <w:rsid w:val="000060EF"/>
    <w:rsid w:val="000144AD"/>
    <w:rsid w:val="00014539"/>
    <w:rsid w:val="0002272E"/>
    <w:rsid w:val="00025CEE"/>
    <w:rsid w:val="00025EF3"/>
    <w:rsid w:val="0003701F"/>
    <w:rsid w:val="00037CF2"/>
    <w:rsid w:val="0004078A"/>
    <w:rsid w:val="00043C09"/>
    <w:rsid w:val="00044EEB"/>
    <w:rsid w:val="00045483"/>
    <w:rsid w:val="0004570C"/>
    <w:rsid w:val="0005016A"/>
    <w:rsid w:val="00056187"/>
    <w:rsid w:val="00060669"/>
    <w:rsid w:val="00063EA7"/>
    <w:rsid w:val="00072319"/>
    <w:rsid w:val="00076D92"/>
    <w:rsid w:val="00080289"/>
    <w:rsid w:val="00080657"/>
    <w:rsid w:val="00082613"/>
    <w:rsid w:val="00082915"/>
    <w:rsid w:val="00087B33"/>
    <w:rsid w:val="00090980"/>
    <w:rsid w:val="000924D9"/>
    <w:rsid w:val="00094772"/>
    <w:rsid w:val="000A0D3E"/>
    <w:rsid w:val="000A6872"/>
    <w:rsid w:val="000B0625"/>
    <w:rsid w:val="000B09D5"/>
    <w:rsid w:val="000B1B79"/>
    <w:rsid w:val="000B2543"/>
    <w:rsid w:val="000B2B44"/>
    <w:rsid w:val="000B7975"/>
    <w:rsid w:val="000C3711"/>
    <w:rsid w:val="000C3F59"/>
    <w:rsid w:val="000C469A"/>
    <w:rsid w:val="000C5338"/>
    <w:rsid w:val="000D4EFF"/>
    <w:rsid w:val="000D57DC"/>
    <w:rsid w:val="000D6A9E"/>
    <w:rsid w:val="000E0384"/>
    <w:rsid w:val="000E1E13"/>
    <w:rsid w:val="000E3854"/>
    <w:rsid w:val="00100374"/>
    <w:rsid w:val="00101D48"/>
    <w:rsid w:val="0010696E"/>
    <w:rsid w:val="00107465"/>
    <w:rsid w:val="00107862"/>
    <w:rsid w:val="00116952"/>
    <w:rsid w:val="00121C60"/>
    <w:rsid w:val="00125999"/>
    <w:rsid w:val="00125D0A"/>
    <w:rsid w:val="00127720"/>
    <w:rsid w:val="00131B39"/>
    <w:rsid w:val="001339D3"/>
    <w:rsid w:val="00134508"/>
    <w:rsid w:val="00136052"/>
    <w:rsid w:val="001408F2"/>
    <w:rsid w:val="00141516"/>
    <w:rsid w:val="00141766"/>
    <w:rsid w:val="00141C14"/>
    <w:rsid w:val="00143DD8"/>
    <w:rsid w:val="001470AE"/>
    <w:rsid w:val="00151DF1"/>
    <w:rsid w:val="001546C4"/>
    <w:rsid w:val="001565B6"/>
    <w:rsid w:val="00161337"/>
    <w:rsid w:val="0016223F"/>
    <w:rsid w:val="00164589"/>
    <w:rsid w:val="00166B3A"/>
    <w:rsid w:val="001677B0"/>
    <w:rsid w:val="001717C6"/>
    <w:rsid w:val="00172A27"/>
    <w:rsid w:val="00172A34"/>
    <w:rsid w:val="0017505F"/>
    <w:rsid w:val="001770C7"/>
    <w:rsid w:val="00177ADC"/>
    <w:rsid w:val="0018164B"/>
    <w:rsid w:val="001816D4"/>
    <w:rsid w:val="001833DA"/>
    <w:rsid w:val="00184475"/>
    <w:rsid w:val="00187816"/>
    <w:rsid w:val="0019088C"/>
    <w:rsid w:val="00190DF3"/>
    <w:rsid w:val="001954B8"/>
    <w:rsid w:val="001A0E9E"/>
    <w:rsid w:val="001A3BCF"/>
    <w:rsid w:val="001A6BBD"/>
    <w:rsid w:val="001B19F4"/>
    <w:rsid w:val="001B2760"/>
    <w:rsid w:val="001C0908"/>
    <w:rsid w:val="001C1323"/>
    <w:rsid w:val="001C43CC"/>
    <w:rsid w:val="001C56D9"/>
    <w:rsid w:val="001D0A92"/>
    <w:rsid w:val="001D12CF"/>
    <w:rsid w:val="001D132A"/>
    <w:rsid w:val="001D217A"/>
    <w:rsid w:val="001D36F5"/>
    <w:rsid w:val="001E38D8"/>
    <w:rsid w:val="001F2280"/>
    <w:rsid w:val="001F2321"/>
    <w:rsid w:val="001F24C2"/>
    <w:rsid w:val="001F42D4"/>
    <w:rsid w:val="001F55A8"/>
    <w:rsid w:val="00211C83"/>
    <w:rsid w:val="00212BE4"/>
    <w:rsid w:val="0021512D"/>
    <w:rsid w:val="00215EE4"/>
    <w:rsid w:val="00217326"/>
    <w:rsid w:val="002213CC"/>
    <w:rsid w:val="00226AAE"/>
    <w:rsid w:val="002270BC"/>
    <w:rsid w:val="002313FC"/>
    <w:rsid w:val="00231634"/>
    <w:rsid w:val="00231A15"/>
    <w:rsid w:val="00232C58"/>
    <w:rsid w:val="00236909"/>
    <w:rsid w:val="00241C08"/>
    <w:rsid w:val="0024496F"/>
    <w:rsid w:val="00244EE7"/>
    <w:rsid w:val="00245CEA"/>
    <w:rsid w:val="00246E22"/>
    <w:rsid w:val="002475BC"/>
    <w:rsid w:val="00247FDB"/>
    <w:rsid w:val="00250F7C"/>
    <w:rsid w:val="002567E7"/>
    <w:rsid w:val="00257D2A"/>
    <w:rsid w:val="00260486"/>
    <w:rsid w:val="002623F8"/>
    <w:rsid w:val="00264045"/>
    <w:rsid w:val="002707F0"/>
    <w:rsid w:val="0028453C"/>
    <w:rsid w:val="00287997"/>
    <w:rsid w:val="00291631"/>
    <w:rsid w:val="00293309"/>
    <w:rsid w:val="00294E6D"/>
    <w:rsid w:val="00295A55"/>
    <w:rsid w:val="00296FE2"/>
    <w:rsid w:val="0029767D"/>
    <w:rsid w:val="002A1556"/>
    <w:rsid w:val="002A4646"/>
    <w:rsid w:val="002B21F7"/>
    <w:rsid w:val="002B3B05"/>
    <w:rsid w:val="002B3E96"/>
    <w:rsid w:val="002C7889"/>
    <w:rsid w:val="002D04C9"/>
    <w:rsid w:val="002D690E"/>
    <w:rsid w:val="002D7D89"/>
    <w:rsid w:val="002E1625"/>
    <w:rsid w:val="002E2585"/>
    <w:rsid w:val="002E669F"/>
    <w:rsid w:val="002F26CF"/>
    <w:rsid w:val="002F2D3B"/>
    <w:rsid w:val="002F52D0"/>
    <w:rsid w:val="002F64E7"/>
    <w:rsid w:val="002F6E34"/>
    <w:rsid w:val="0030156C"/>
    <w:rsid w:val="00302E22"/>
    <w:rsid w:val="00303C85"/>
    <w:rsid w:val="003064B6"/>
    <w:rsid w:val="003153EA"/>
    <w:rsid w:val="00315BCE"/>
    <w:rsid w:val="00322DF1"/>
    <w:rsid w:val="003232E1"/>
    <w:rsid w:val="003345F0"/>
    <w:rsid w:val="003347BE"/>
    <w:rsid w:val="00336D0E"/>
    <w:rsid w:val="003370C5"/>
    <w:rsid w:val="00340040"/>
    <w:rsid w:val="00344137"/>
    <w:rsid w:val="003451DD"/>
    <w:rsid w:val="00350886"/>
    <w:rsid w:val="00351429"/>
    <w:rsid w:val="00352814"/>
    <w:rsid w:val="00355D48"/>
    <w:rsid w:val="0036765B"/>
    <w:rsid w:val="00373247"/>
    <w:rsid w:val="003741FB"/>
    <w:rsid w:val="00375567"/>
    <w:rsid w:val="003766F0"/>
    <w:rsid w:val="003774D0"/>
    <w:rsid w:val="003832D9"/>
    <w:rsid w:val="00385EFC"/>
    <w:rsid w:val="0039098A"/>
    <w:rsid w:val="00392A41"/>
    <w:rsid w:val="00394645"/>
    <w:rsid w:val="00395FB9"/>
    <w:rsid w:val="003A10E4"/>
    <w:rsid w:val="003A2B80"/>
    <w:rsid w:val="003A413A"/>
    <w:rsid w:val="003A623D"/>
    <w:rsid w:val="003A7FE3"/>
    <w:rsid w:val="003B0473"/>
    <w:rsid w:val="003B2204"/>
    <w:rsid w:val="003B312F"/>
    <w:rsid w:val="003B5E15"/>
    <w:rsid w:val="003B742F"/>
    <w:rsid w:val="003C1CDC"/>
    <w:rsid w:val="003C2D9F"/>
    <w:rsid w:val="003C3C32"/>
    <w:rsid w:val="003C3F50"/>
    <w:rsid w:val="003C674E"/>
    <w:rsid w:val="003C6BEF"/>
    <w:rsid w:val="003C7E7B"/>
    <w:rsid w:val="003D0116"/>
    <w:rsid w:val="003D0320"/>
    <w:rsid w:val="003D1F25"/>
    <w:rsid w:val="003D556E"/>
    <w:rsid w:val="003E0494"/>
    <w:rsid w:val="003E1468"/>
    <w:rsid w:val="003E50F6"/>
    <w:rsid w:val="003E6F24"/>
    <w:rsid w:val="003F1FEC"/>
    <w:rsid w:val="003F23FD"/>
    <w:rsid w:val="003F3CAA"/>
    <w:rsid w:val="004024CD"/>
    <w:rsid w:val="004031DD"/>
    <w:rsid w:val="004044CE"/>
    <w:rsid w:val="00413CEC"/>
    <w:rsid w:val="00417DCA"/>
    <w:rsid w:val="00424F3C"/>
    <w:rsid w:val="00424F78"/>
    <w:rsid w:val="00426F10"/>
    <w:rsid w:val="00430BA0"/>
    <w:rsid w:val="00431DD4"/>
    <w:rsid w:val="004339DA"/>
    <w:rsid w:val="00434BA4"/>
    <w:rsid w:val="00435869"/>
    <w:rsid w:val="00437063"/>
    <w:rsid w:val="00443245"/>
    <w:rsid w:val="00445A77"/>
    <w:rsid w:val="00446979"/>
    <w:rsid w:val="004471FC"/>
    <w:rsid w:val="004534BB"/>
    <w:rsid w:val="00453746"/>
    <w:rsid w:val="0045627B"/>
    <w:rsid w:val="00465E5E"/>
    <w:rsid w:val="00467EBB"/>
    <w:rsid w:val="00470B17"/>
    <w:rsid w:val="00471CAA"/>
    <w:rsid w:val="00475A1C"/>
    <w:rsid w:val="00475F97"/>
    <w:rsid w:val="00480859"/>
    <w:rsid w:val="00481697"/>
    <w:rsid w:val="00481DF4"/>
    <w:rsid w:val="00483C45"/>
    <w:rsid w:val="004846CD"/>
    <w:rsid w:val="00485580"/>
    <w:rsid w:val="004855D7"/>
    <w:rsid w:val="004905BC"/>
    <w:rsid w:val="00492680"/>
    <w:rsid w:val="00494747"/>
    <w:rsid w:val="00496257"/>
    <w:rsid w:val="004A3777"/>
    <w:rsid w:val="004A4100"/>
    <w:rsid w:val="004A78C9"/>
    <w:rsid w:val="004A7E16"/>
    <w:rsid w:val="004B043D"/>
    <w:rsid w:val="004B2342"/>
    <w:rsid w:val="004C2755"/>
    <w:rsid w:val="004C362C"/>
    <w:rsid w:val="004C5214"/>
    <w:rsid w:val="004C553D"/>
    <w:rsid w:val="004C707C"/>
    <w:rsid w:val="004F2A32"/>
    <w:rsid w:val="004F2EF6"/>
    <w:rsid w:val="004F3095"/>
    <w:rsid w:val="00501554"/>
    <w:rsid w:val="00507174"/>
    <w:rsid w:val="00515411"/>
    <w:rsid w:val="005172F0"/>
    <w:rsid w:val="00525A98"/>
    <w:rsid w:val="00525B38"/>
    <w:rsid w:val="00525F67"/>
    <w:rsid w:val="00535883"/>
    <w:rsid w:val="00535DAA"/>
    <w:rsid w:val="005375C2"/>
    <w:rsid w:val="00545AFC"/>
    <w:rsid w:val="00546567"/>
    <w:rsid w:val="005474AB"/>
    <w:rsid w:val="0055145F"/>
    <w:rsid w:val="00564B8B"/>
    <w:rsid w:val="005708B2"/>
    <w:rsid w:val="005710AC"/>
    <w:rsid w:val="00581404"/>
    <w:rsid w:val="00582013"/>
    <w:rsid w:val="00582CF4"/>
    <w:rsid w:val="00586E21"/>
    <w:rsid w:val="0059267B"/>
    <w:rsid w:val="005942DD"/>
    <w:rsid w:val="00594D3A"/>
    <w:rsid w:val="00594FCA"/>
    <w:rsid w:val="005951B8"/>
    <w:rsid w:val="00596841"/>
    <w:rsid w:val="005A0E40"/>
    <w:rsid w:val="005A1DB3"/>
    <w:rsid w:val="005A209E"/>
    <w:rsid w:val="005A41B5"/>
    <w:rsid w:val="005A684D"/>
    <w:rsid w:val="005A737B"/>
    <w:rsid w:val="005B3C68"/>
    <w:rsid w:val="005B5E0E"/>
    <w:rsid w:val="005B77DC"/>
    <w:rsid w:val="005B793A"/>
    <w:rsid w:val="005B7D6A"/>
    <w:rsid w:val="005C0026"/>
    <w:rsid w:val="005C43B9"/>
    <w:rsid w:val="005D3328"/>
    <w:rsid w:val="005D674A"/>
    <w:rsid w:val="005D6D99"/>
    <w:rsid w:val="005D7208"/>
    <w:rsid w:val="005D7422"/>
    <w:rsid w:val="005E7D62"/>
    <w:rsid w:val="005F4D5A"/>
    <w:rsid w:val="005F6013"/>
    <w:rsid w:val="005F63A6"/>
    <w:rsid w:val="005F7C3E"/>
    <w:rsid w:val="00600988"/>
    <w:rsid w:val="00600AD4"/>
    <w:rsid w:val="00603B60"/>
    <w:rsid w:val="00604BAA"/>
    <w:rsid w:val="006054DC"/>
    <w:rsid w:val="006067A9"/>
    <w:rsid w:val="00607897"/>
    <w:rsid w:val="006157CF"/>
    <w:rsid w:val="00616F36"/>
    <w:rsid w:val="00626626"/>
    <w:rsid w:val="00627DA3"/>
    <w:rsid w:val="0063527E"/>
    <w:rsid w:val="0063790C"/>
    <w:rsid w:val="006405C9"/>
    <w:rsid w:val="00642FC1"/>
    <w:rsid w:val="00643570"/>
    <w:rsid w:val="00644553"/>
    <w:rsid w:val="00645AEF"/>
    <w:rsid w:val="00653768"/>
    <w:rsid w:val="00657C1A"/>
    <w:rsid w:val="00657EE6"/>
    <w:rsid w:val="006666CE"/>
    <w:rsid w:val="00666708"/>
    <w:rsid w:val="00667AF3"/>
    <w:rsid w:val="00672D95"/>
    <w:rsid w:val="0067443B"/>
    <w:rsid w:val="0067470F"/>
    <w:rsid w:val="00681827"/>
    <w:rsid w:val="00682CAD"/>
    <w:rsid w:val="00683A0E"/>
    <w:rsid w:val="00693F6B"/>
    <w:rsid w:val="006971AC"/>
    <w:rsid w:val="006A0E3D"/>
    <w:rsid w:val="006A1960"/>
    <w:rsid w:val="006A5ED5"/>
    <w:rsid w:val="006B7A7A"/>
    <w:rsid w:val="006B7FA0"/>
    <w:rsid w:val="006C4D7A"/>
    <w:rsid w:val="006C5485"/>
    <w:rsid w:val="006C650F"/>
    <w:rsid w:val="006C7B27"/>
    <w:rsid w:val="006D121C"/>
    <w:rsid w:val="006D215F"/>
    <w:rsid w:val="006D2AC9"/>
    <w:rsid w:val="006D3C46"/>
    <w:rsid w:val="006D56E6"/>
    <w:rsid w:val="006D6982"/>
    <w:rsid w:val="006D7187"/>
    <w:rsid w:val="006E02C4"/>
    <w:rsid w:val="006E068A"/>
    <w:rsid w:val="006E2B17"/>
    <w:rsid w:val="006E2C39"/>
    <w:rsid w:val="006E3A78"/>
    <w:rsid w:val="006E4A93"/>
    <w:rsid w:val="006E4E55"/>
    <w:rsid w:val="007009F6"/>
    <w:rsid w:val="00702173"/>
    <w:rsid w:val="00703DD9"/>
    <w:rsid w:val="00704FB6"/>
    <w:rsid w:val="007056F4"/>
    <w:rsid w:val="00711F96"/>
    <w:rsid w:val="00712116"/>
    <w:rsid w:val="007167B4"/>
    <w:rsid w:val="0072052C"/>
    <w:rsid w:val="0072203C"/>
    <w:rsid w:val="0072313E"/>
    <w:rsid w:val="00723BFA"/>
    <w:rsid w:val="00733703"/>
    <w:rsid w:val="00741409"/>
    <w:rsid w:val="007436D0"/>
    <w:rsid w:val="00745F5B"/>
    <w:rsid w:val="00746DE3"/>
    <w:rsid w:val="00747C1B"/>
    <w:rsid w:val="0075556D"/>
    <w:rsid w:val="00760DB1"/>
    <w:rsid w:val="0076219B"/>
    <w:rsid w:val="00763BA0"/>
    <w:rsid w:val="00764763"/>
    <w:rsid w:val="00770561"/>
    <w:rsid w:val="0077169B"/>
    <w:rsid w:val="00775653"/>
    <w:rsid w:val="007826AF"/>
    <w:rsid w:val="00785840"/>
    <w:rsid w:val="007874B4"/>
    <w:rsid w:val="00790CAB"/>
    <w:rsid w:val="0079515E"/>
    <w:rsid w:val="00796EC6"/>
    <w:rsid w:val="0079705E"/>
    <w:rsid w:val="007A1488"/>
    <w:rsid w:val="007A149A"/>
    <w:rsid w:val="007A284A"/>
    <w:rsid w:val="007A3212"/>
    <w:rsid w:val="007A589E"/>
    <w:rsid w:val="007A67EC"/>
    <w:rsid w:val="007B299E"/>
    <w:rsid w:val="007B45DB"/>
    <w:rsid w:val="007B54E7"/>
    <w:rsid w:val="007B56A2"/>
    <w:rsid w:val="007B63A8"/>
    <w:rsid w:val="007C03A8"/>
    <w:rsid w:val="007C0619"/>
    <w:rsid w:val="007C1E3E"/>
    <w:rsid w:val="007C4173"/>
    <w:rsid w:val="007C5875"/>
    <w:rsid w:val="007C6812"/>
    <w:rsid w:val="007D2B3B"/>
    <w:rsid w:val="007E549C"/>
    <w:rsid w:val="007E7FE3"/>
    <w:rsid w:val="007F256C"/>
    <w:rsid w:val="007F3B93"/>
    <w:rsid w:val="007F3D77"/>
    <w:rsid w:val="007F3D7A"/>
    <w:rsid w:val="007F3DA7"/>
    <w:rsid w:val="007F46B8"/>
    <w:rsid w:val="00804DF2"/>
    <w:rsid w:val="00806569"/>
    <w:rsid w:val="00811C12"/>
    <w:rsid w:val="00811C9E"/>
    <w:rsid w:val="00813002"/>
    <w:rsid w:val="008143F8"/>
    <w:rsid w:val="008146B0"/>
    <w:rsid w:val="00815BCF"/>
    <w:rsid w:val="00815E90"/>
    <w:rsid w:val="008174E1"/>
    <w:rsid w:val="008265A6"/>
    <w:rsid w:val="00827862"/>
    <w:rsid w:val="008306C6"/>
    <w:rsid w:val="00830B3C"/>
    <w:rsid w:val="008324AD"/>
    <w:rsid w:val="0083374A"/>
    <w:rsid w:val="00837078"/>
    <w:rsid w:val="00837D99"/>
    <w:rsid w:val="00842719"/>
    <w:rsid w:val="00853E32"/>
    <w:rsid w:val="00854215"/>
    <w:rsid w:val="00854DCB"/>
    <w:rsid w:val="008605FF"/>
    <w:rsid w:val="0086101F"/>
    <w:rsid w:val="008636E9"/>
    <w:rsid w:val="00865AB8"/>
    <w:rsid w:val="00866EC1"/>
    <w:rsid w:val="00870917"/>
    <w:rsid w:val="0087710A"/>
    <w:rsid w:val="0088139B"/>
    <w:rsid w:val="00881BEC"/>
    <w:rsid w:val="00882AEC"/>
    <w:rsid w:val="00884C73"/>
    <w:rsid w:val="0088542F"/>
    <w:rsid w:val="00894A4C"/>
    <w:rsid w:val="00894D72"/>
    <w:rsid w:val="008A1DE7"/>
    <w:rsid w:val="008B0619"/>
    <w:rsid w:val="008C49EA"/>
    <w:rsid w:val="008C5684"/>
    <w:rsid w:val="008C7D5E"/>
    <w:rsid w:val="008D01CA"/>
    <w:rsid w:val="008D21A8"/>
    <w:rsid w:val="008D5787"/>
    <w:rsid w:val="008D60CC"/>
    <w:rsid w:val="008E4E8D"/>
    <w:rsid w:val="008F185A"/>
    <w:rsid w:val="008F641A"/>
    <w:rsid w:val="008F673D"/>
    <w:rsid w:val="008F68E4"/>
    <w:rsid w:val="009021BD"/>
    <w:rsid w:val="00902DB6"/>
    <w:rsid w:val="00903B7F"/>
    <w:rsid w:val="0091409F"/>
    <w:rsid w:val="0091718B"/>
    <w:rsid w:val="00921FBA"/>
    <w:rsid w:val="00921FCF"/>
    <w:rsid w:val="00935936"/>
    <w:rsid w:val="009473D7"/>
    <w:rsid w:val="009477C1"/>
    <w:rsid w:val="00947C2A"/>
    <w:rsid w:val="0095061A"/>
    <w:rsid w:val="0095189D"/>
    <w:rsid w:val="00952E74"/>
    <w:rsid w:val="0095530C"/>
    <w:rsid w:val="00960F6C"/>
    <w:rsid w:val="00962AC4"/>
    <w:rsid w:val="00962C24"/>
    <w:rsid w:val="00967062"/>
    <w:rsid w:val="00967397"/>
    <w:rsid w:val="0097168B"/>
    <w:rsid w:val="00975C76"/>
    <w:rsid w:val="009811F2"/>
    <w:rsid w:val="00981F76"/>
    <w:rsid w:val="00990698"/>
    <w:rsid w:val="00995E75"/>
    <w:rsid w:val="009975E6"/>
    <w:rsid w:val="009A0477"/>
    <w:rsid w:val="009A4070"/>
    <w:rsid w:val="009B0E64"/>
    <w:rsid w:val="009B200F"/>
    <w:rsid w:val="009B3076"/>
    <w:rsid w:val="009B6584"/>
    <w:rsid w:val="009C0049"/>
    <w:rsid w:val="009C1D89"/>
    <w:rsid w:val="009C4821"/>
    <w:rsid w:val="009D0471"/>
    <w:rsid w:val="009D7ADD"/>
    <w:rsid w:val="009E1F24"/>
    <w:rsid w:val="009E2257"/>
    <w:rsid w:val="009E6A8C"/>
    <w:rsid w:val="009F3D01"/>
    <w:rsid w:val="009F3EF8"/>
    <w:rsid w:val="009F474E"/>
    <w:rsid w:val="009F4F34"/>
    <w:rsid w:val="00A00702"/>
    <w:rsid w:val="00A0212B"/>
    <w:rsid w:val="00A03170"/>
    <w:rsid w:val="00A07419"/>
    <w:rsid w:val="00A11054"/>
    <w:rsid w:val="00A12D4E"/>
    <w:rsid w:val="00A157A2"/>
    <w:rsid w:val="00A15BE3"/>
    <w:rsid w:val="00A165CB"/>
    <w:rsid w:val="00A211B6"/>
    <w:rsid w:val="00A218F2"/>
    <w:rsid w:val="00A21D30"/>
    <w:rsid w:val="00A26C2F"/>
    <w:rsid w:val="00A4197A"/>
    <w:rsid w:val="00A42351"/>
    <w:rsid w:val="00A53642"/>
    <w:rsid w:val="00A559A1"/>
    <w:rsid w:val="00A56902"/>
    <w:rsid w:val="00A65124"/>
    <w:rsid w:val="00A666F1"/>
    <w:rsid w:val="00A74FF2"/>
    <w:rsid w:val="00A76386"/>
    <w:rsid w:val="00A7712C"/>
    <w:rsid w:val="00A77EFB"/>
    <w:rsid w:val="00A80F3E"/>
    <w:rsid w:val="00A84B9D"/>
    <w:rsid w:val="00A87E89"/>
    <w:rsid w:val="00A91196"/>
    <w:rsid w:val="00A91AE3"/>
    <w:rsid w:val="00A93A6B"/>
    <w:rsid w:val="00A95F72"/>
    <w:rsid w:val="00A962ED"/>
    <w:rsid w:val="00A97FE3"/>
    <w:rsid w:val="00AB5972"/>
    <w:rsid w:val="00AC3316"/>
    <w:rsid w:val="00AC58D1"/>
    <w:rsid w:val="00AC65AF"/>
    <w:rsid w:val="00AD1FB3"/>
    <w:rsid w:val="00AD22E2"/>
    <w:rsid w:val="00AD3CDB"/>
    <w:rsid w:val="00AD6D51"/>
    <w:rsid w:val="00AE1466"/>
    <w:rsid w:val="00AE36D3"/>
    <w:rsid w:val="00AE7609"/>
    <w:rsid w:val="00AF0147"/>
    <w:rsid w:val="00AF0502"/>
    <w:rsid w:val="00AF22C8"/>
    <w:rsid w:val="00AF24FC"/>
    <w:rsid w:val="00AF4C64"/>
    <w:rsid w:val="00AF68A8"/>
    <w:rsid w:val="00AF6C1D"/>
    <w:rsid w:val="00B00C05"/>
    <w:rsid w:val="00B01485"/>
    <w:rsid w:val="00B04CCF"/>
    <w:rsid w:val="00B156C7"/>
    <w:rsid w:val="00B1624A"/>
    <w:rsid w:val="00B24199"/>
    <w:rsid w:val="00B253AA"/>
    <w:rsid w:val="00B26108"/>
    <w:rsid w:val="00B268C5"/>
    <w:rsid w:val="00B34111"/>
    <w:rsid w:val="00B443A9"/>
    <w:rsid w:val="00B46C5B"/>
    <w:rsid w:val="00B46DF6"/>
    <w:rsid w:val="00B5059A"/>
    <w:rsid w:val="00B5442A"/>
    <w:rsid w:val="00B550BF"/>
    <w:rsid w:val="00B55BE7"/>
    <w:rsid w:val="00B5686C"/>
    <w:rsid w:val="00B573CE"/>
    <w:rsid w:val="00B63D15"/>
    <w:rsid w:val="00B66B3E"/>
    <w:rsid w:val="00B728B3"/>
    <w:rsid w:val="00B77AA8"/>
    <w:rsid w:val="00B804CB"/>
    <w:rsid w:val="00B809E1"/>
    <w:rsid w:val="00B81D87"/>
    <w:rsid w:val="00B82FAA"/>
    <w:rsid w:val="00B8347C"/>
    <w:rsid w:val="00B8635E"/>
    <w:rsid w:val="00B86489"/>
    <w:rsid w:val="00B8759A"/>
    <w:rsid w:val="00B908B5"/>
    <w:rsid w:val="00B915D7"/>
    <w:rsid w:val="00B920DD"/>
    <w:rsid w:val="00B92F04"/>
    <w:rsid w:val="00B93142"/>
    <w:rsid w:val="00B978CD"/>
    <w:rsid w:val="00BA106E"/>
    <w:rsid w:val="00BA1C55"/>
    <w:rsid w:val="00BA2636"/>
    <w:rsid w:val="00BA56E6"/>
    <w:rsid w:val="00BA6C35"/>
    <w:rsid w:val="00BB43D0"/>
    <w:rsid w:val="00BC275C"/>
    <w:rsid w:val="00BC623C"/>
    <w:rsid w:val="00BD09F8"/>
    <w:rsid w:val="00BD29F6"/>
    <w:rsid w:val="00BD3E98"/>
    <w:rsid w:val="00BD3EA8"/>
    <w:rsid w:val="00BE27A7"/>
    <w:rsid w:val="00BE47D4"/>
    <w:rsid w:val="00BF0784"/>
    <w:rsid w:val="00BF18AF"/>
    <w:rsid w:val="00BF3AED"/>
    <w:rsid w:val="00BF48E5"/>
    <w:rsid w:val="00BF51EB"/>
    <w:rsid w:val="00C006AB"/>
    <w:rsid w:val="00C03189"/>
    <w:rsid w:val="00C04FA0"/>
    <w:rsid w:val="00C0784F"/>
    <w:rsid w:val="00C10E43"/>
    <w:rsid w:val="00C118E3"/>
    <w:rsid w:val="00C124ED"/>
    <w:rsid w:val="00C1340F"/>
    <w:rsid w:val="00C15FBB"/>
    <w:rsid w:val="00C1750F"/>
    <w:rsid w:val="00C21C6E"/>
    <w:rsid w:val="00C2227C"/>
    <w:rsid w:val="00C23F04"/>
    <w:rsid w:val="00C24045"/>
    <w:rsid w:val="00C26164"/>
    <w:rsid w:val="00C344AB"/>
    <w:rsid w:val="00C36969"/>
    <w:rsid w:val="00C377D2"/>
    <w:rsid w:val="00C40E75"/>
    <w:rsid w:val="00C41777"/>
    <w:rsid w:val="00C41CAF"/>
    <w:rsid w:val="00C41FBE"/>
    <w:rsid w:val="00C43A70"/>
    <w:rsid w:val="00C50043"/>
    <w:rsid w:val="00C54F07"/>
    <w:rsid w:val="00C601B5"/>
    <w:rsid w:val="00C63205"/>
    <w:rsid w:val="00C63698"/>
    <w:rsid w:val="00C655AC"/>
    <w:rsid w:val="00C67184"/>
    <w:rsid w:val="00C755DD"/>
    <w:rsid w:val="00C82B7E"/>
    <w:rsid w:val="00C843F9"/>
    <w:rsid w:val="00C90844"/>
    <w:rsid w:val="00C90F06"/>
    <w:rsid w:val="00C910F9"/>
    <w:rsid w:val="00C91CF1"/>
    <w:rsid w:val="00C93EF8"/>
    <w:rsid w:val="00C944D6"/>
    <w:rsid w:val="00C96A54"/>
    <w:rsid w:val="00CA0241"/>
    <w:rsid w:val="00CA2454"/>
    <w:rsid w:val="00CA2EE5"/>
    <w:rsid w:val="00CA353D"/>
    <w:rsid w:val="00CA403C"/>
    <w:rsid w:val="00CA4E41"/>
    <w:rsid w:val="00CA6E37"/>
    <w:rsid w:val="00CA6F8C"/>
    <w:rsid w:val="00CA7641"/>
    <w:rsid w:val="00CB041E"/>
    <w:rsid w:val="00CB422D"/>
    <w:rsid w:val="00CB44DC"/>
    <w:rsid w:val="00CB47AF"/>
    <w:rsid w:val="00CB5E1D"/>
    <w:rsid w:val="00CB74D7"/>
    <w:rsid w:val="00CC1A58"/>
    <w:rsid w:val="00CC2A04"/>
    <w:rsid w:val="00CC5150"/>
    <w:rsid w:val="00CC7AB0"/>
    <w:rsid w:val="00CD01C4"/>
    <w:rsid w:val="00CD036E"/>
    <w:rsid w:val="00CD07DF"/>
    <w:rsid w:val="00CD7508"/>
    <w:rsid w:val="00CE119E"/>
    <w:rsid w:val="00CE49AC"/>
    <w:rsid w:val="00CE66BC"/>
    <w:rsid w:val="00CE68D6"/>
    <w:rsid w:val="00CF4C65"/>
    <w:rsid w:val="00CF4DAE"/>
    <w:rsid w:val="00CF69FE"/>
    <w:rsid w:val="00D001D7"/>
    <w:rsid w:val="00D027F8"/>
    <w:rsid w:val="00D11E65"/>
    <w:rsid w:val="00D17244"/>
    <w:rsid w:val="00D22BA4"/>
    <w:rsid w:val="00D260A8"/>
    <w:rsid w:val="00D34B4E"/>
    <w:rsid w:val="00D34DAF"/>
    <w:rsid w:val="00D370B1"/>
    <w:rsid w:val="00D375A6"/>
    <w:rsid w:val="00D40976"/>
    <w:rsid w:val="00D415A7"/>
    <w:rsid w:val="00D4573E"/>
    <w:rsid w:val="00D46C3F"/>
    <w:rsid w:val="00D472F1"/>
    <w:rsid w:val="00D51496"/>
    <w:rsid w:val="00D5526B"/>
    <w:rsid w:val="00D602CF"/>
    <w:rsid w:val="00D61802"/>
    <w:rsid w:val="00D62D13"/>
    <w:rsid w:val="00D6433A"/>
    <w:rsid w:val="00D664DE"/>
    <w:rsid w:val="00D66B1F"/>
    <w:rsid w:val="00D66E27"/>
    <w:rsid w:val="00D74BBA"/>
    <w:rsid w:val="00D808A3"/>
    <w:rsid w:val="00D82E73"/>
    <w:rsid w:val="00D82FF4"/>
    <w:rsid w:val="00D85B9F"/>
    <w:rsid w:val="00D93923"/>
    <w:rsid w:val="00D959EA"/>
    <w:rsid w:val="00D974EC"/>
    <w:rsid w:val="00DA0B4C"/>
    <w:rsid w:val="00DA159D"/>
    <w:rsid w:val="00DA700F"/>
    <w:rsid w:val="00DB01D1"/>
    <w:rsid w:val="00DB2B52"/>
    <w:rsid w:val="00DB2BCB"/>
    <w:rsid w:val="00DB3734"/>
    <w:rsid w:val="00DC1ED5"/>
    <w:rsid w:val="00DC27DE"/>
    <w:rsid w:val="00DC5CE4"/>
    <w:rsid w:val="00DC6233"/>
    <w:rsid w:val="00DC71A9"/>
    <w:rsid w:val="00DC76D4"/>
    <w:rsid w:val="00DD0EBC"/>
    <w:rsid w:val="00DD1235"/>
    <w:rsid w:val="00DD29DB"/>
    <w:rsid w:val="00DD5193"/>
    <w:rsid w:val="00DD72A7"/>
    <w:rsid w:val="00DD7E83"/>
    <w:rsid w:val="00DE5FEE"/>
    <w:rsid w:val="00DE612D"/>
    <w:rsid w:val="00DF5B17"/>
    <w:rsid w:val="00DF759C"/>
    <w:rsid w:val="00E00675"/>
    <w:rsid w:val="00E02B53"/>
    <w:rsid w:val="00E046F3"/>
    <w:rsid w:val="00E0709E"/>
    <w:rsid w:val="00E10C02"/>
    <w:rsid w:val="00E142B4"/>
    <w:rsid w:val="00E14401"/>
    <w:rsid w:val="00E15A88"/>
    <w:rsid w:val="00E208C0"/>
    <w:rsid w:val="00E20E5C"/>
    <w:rsid w:val="00E21124"/>
    <w:rsid w:val="00E211BC"/>
    <w:rsid w:val="00E21BDA"/>
    <w:rsid w:val="00E23EA6"/>
    <w:rsid w:val="00E25804"/>
    <w:rsid w:val="00E27C66"/>
    <w:rsid w:val="00E321AB"/>
    <w:rsid w:val="00E353EC"/>
    <w:rsid w:val="00E3699B"/>
    <w:rsid w:val="00E369F3"/>
    <w:rsid w:val="00E37108"/>
    <w:rsid w:val="00E37D4F"/>
    <w:rsid w:val="00E41B8C"/>
    <w:rsid w:val="00E42881"/>
    <w:rsid w:val="00E44D12"/>
    <w:rsid w:val="00E47E5A"/>
    <w:rsid w:val="00E51063"/>
    <w:rsid w:val="00E52B4E"/>
    <w:rsid w:val="00E5314A"/>
    <w:rsid w:val="00E555B9"/>
    <w:rsid w:val="00E57B0B"/>
    <w:rsid w:val="00E57EA1"/>
    <w:rsid w:val="00E6063F"/>
    <w:rsid w:val="00E63AC5"/>
    <w:rsid w:val="00E65A90"/>
    <w:rsid w:val="00E67050"/>
    <w:rsid w:val="00E7200C"/>
    <w:rsid w:val="00E81E03"/>
    <w:rsid w:val="00E86812"/>
    <w:rsid w:val="00E87A8E"/>
    <w:rsid w:val="00E940C6"/>
    <w:rsid w:val="00E9680C"/>
    <w:rsid w:val="00EA028F"/>
    <w:rsid w:val="00EA27BF"/>
    <w:rsid w:val="00EA7B9E"/>
    <w:rsid w:val="00EB1FE7"/>
    <w:rsid w:val="00EB2828"/>
    <w:rsid w:val="00EB6CB4"/>
    <w:rsid w:val="00EB789C"/>
    <w:rsid w:val="00EC56EA"/>
    <w:rsid w:val="00EC653F"/>
    <w:rsid w:val="00EC7372"/>
    <w:rsid w:val="00ED1545"/>
    <w:rsid w:val="00ED58BE"/>
    <w:rsid w:val="00EE338F"/>
    <w:rsid w:val="00EE6D4E"/>
    <w:rsid w:val="00EF005A"/>
    <w:rsid w:val="00EF1807"/>
    <w:rsid w:val="00EF4C51"/>
    <w:rsid w:val="00F02537"/>
    <w:rsid w:val="00F06D19"/>
    <w:rsid w:val="00F07968"/>
    <w:rsid w:val="00F10812"/>
    <w:rsid w:val="00F116E7"/>
    <w:rsid w:val="00F1186E"/>
    <w:rsid w:val="00F11B79"/>
    <w:rsid w:val="00F12504"/>
    <w:rsid w:val="00F157C0"/>
    <w:rsid w:val="00F1679C"/>
    <w:rsid w:val="00F25325"/>
    <w:rsid w:val="00F268EB"/>
    <w:rsid w:val="00F26BAC"/>
    <w:rsid w:val="00F304D9"/>
    <w:rsid w:val="00F332BD"/>
    <w:rsid w:val="00F332E4"/>
    <w:rsid w:val="00F41AA0"/>
    <w:rsid w:val="00F44028"/>
    <w:rsid w:val="00F52FA5"/>
    <w:rsid w:val="00F54F30"/>
    <w:rsid w:val="00F551A6"/>
    <w:rsid w:val="00F57565"/>
    <w:rsid w:val="00F57F51"/>
    <w:rsid w:val="00F62D77"/>
    <w:rsid w:val="00F63332"/>
    <w:rsid w:val="00F65213"/>
    <w:rsid w:val="00F71256"/>
    <w:rsid w:val="00F7502A"/>
    <w:rsid w:val="00F75736"/>
    <w:rsid w:val="00F7733B"/>
    <w:rsid w:val="00F829B8"/>
    <w:rsid w:val="00F84BB4"/>
    <w:rsid w:val="00F859BC"/>
    <w:rsid w:val="00F867DE"/>
    <w:rsid w:val="00F87209"/>
    <w:rsid w:val="00F92E43"/>
    <w:rsid w:val="00F93175"/>
    <w:rsid w:val="00F93648"/>
    <w:rsid w:val="00F96DB5"/>
    <w:rsid w:val="00FA00B1"/>
    <w:rsid w:val="00FA1A9C"/>
    <w:rsid w:val="00FA77DE"/>
    <w:rsid w:val="00FA7A3B"/>
    <w:rsid w:val="00FB0043"/>
    <w:rsid w:val="00FB023B"/>
    <w:rsid w:val="00FB05E6"/>
    <w:rsid w:val="00FB1517"/>
    <w:rsid w:val="00FB3F71"/>
    <w:rsid w:val="00FB6184"/>
    <w:rsid w:val="00FB67C5"/>
    <w:rsid w:val="00FB71BC"/>
    <w:rsid w:val="00FC26BB"/>
    <w:rsid w:val="00FC3724"/>
    <w:rsid w:val="00FC6FC0"/>
    <w:rsid w:val="00FD1D32"/>
    <w:rsid w:val="00FD7582"/>
    <w:rsid w:val="00FE0990"/>
    <w:rsid w:val="00FE30CD"/>
    <w:rsid w:val="00FE5633"/>
    <w:rsid w:val="00FE69FF"/>
    <w:rsid w:val="00FE7072"/>
    <w:rsid w:val="00FF0600"/>
    <w:rsid w:val="00FF697F"/>
    <w:rsid w:val="021235C4"/>
    <w:rsid w:val="03662069"/>
    <w:rsid w:val="03FF2654"/>
    <w:rsid w:val="04557E09"/>
    <w:rsid w:val="05E4610D"/>
    <w:rsid w:val="06863A8A"/>
    <w:rsid w:val="06D80E87"/>
    <w:rsid w:val="06DA0CCC"/>
    <w:rsid w:val="090D1A9C"/>
    <w:rsid w:val="094B71E2"/>
    <w:rsid w:val="09915BBF"/>
    <w:rsid w:val="0B242556"/>
    <w:rsid w:val="0E472591"/>
    <w:rsid w:val="0E69718A"/>
    <w:rsid w:val="0F5A6B3D"/>
    <w:rsid w:val="0FD7107B"/>
    <w:rsid w:val="0FE66FC4"/>
    <w:rsid w:val="10EB1CA3"/>
    <w:rsid w:val="11563273"/>
    <w:rsid w:val="13BD70CA"/>
    <w:rsid w:val="153656F6"/>
    <w:rsid w:val="17680005"/>
    <w:rsid w:val="1CC8408C"/>
    <w:rsid w:val="1D804E6D"/>
    <w:rsid w:val="20890F79"/>
    <w:rsid w:val="20E26741"/>
    <w:rsid w:val="22EE0EDD"/>
    <w:rsid w:val="26115084"/>
    <w:rsid w:val="292F5E35"/>
    <w:rsid w:val="29746ABE"/>
    <w:rsid w:val="2A9D2CB3"/>
    <w:rsid w:val="2B1B443B"/>
    <w:rsid w:val="2B42499D"/>
    <w:rsid w:val="2F78475E"/>
    <w:rsid w:val="30047E34"/>
    <w:rsid w:val="30D82C50"/>
    <w:rsid w:val="3269545D"/>
    <w:rsid w:val="33D15B84"/>
    <w:rsid w:val="341B3F01"/>
    <w:rsid w:val="36860CF1"/>
    <w:rsid w:val="372B09DB"/>
    <w:rsid w:val="38D85B4E"/>
    <w:rsid w:val="39EB0688"/>
    <w:rsid w:val="3A7A6F3C"/>
    <w:rsid w:val="3CC11855"/>
    <w:rsid w:val="3F161A5A"/>
    <w:rsid w:val="42D0610A"/>
    <w:rsid w:val="43AD0AE2"/>
    <w:rsid w:val="442B7202"/>
    <w:rsid w:val="443E2EFF"/>
    <w:rsid w:val="456D7AA6"/>
    <w:rsid w:val="47C20F82"/>
    <w:rsid w:val="484E338D"/>
    <w:rsid w:val="48584D24"/>
    <w:rsid w:val="4A4C4B8E"/>
    <w:rsid w:val="4D1524B5"/>
    <w:rsid w:val="4EE968EB"/>
    <w:rsid w:val="4F220599"/>
    <w:rsid w:val="4F6827FD"/>
    <w:rsid w:val="50900A9C"/>
    <w:rsid w:val="50E27073"/>
    <w:rsid w:val="51274ADA"/>
    <w:rsid w:val="52432E82"/>
    <w:rsid w:val="54C47921"/>
    <w:rsid w:val="55A90FF1"/>
    <w:rsid w:val="5A69662A"/>
    <w:rsid w:val="5B8D6CBF"/>
    <w:rsid w:val="5C9619FA"/>
    <w:rsid w:val="5F8578E9"/>
    <w:rsid w:val="605D3104"/>
    <w:rsid w:val="65116348"/>
    <w:rsid w:val="65692A4E"/>
    <w:rsid w:val="66FE2471"/>
    <w:rsid w:val="67A42DC9"/>
    <w:rsid w:val="6AD04510"/>
    <w:rsid w:val="6BEB1650"/>
    <w:rsid w:val="6C0356E5"/>
    <w:rsid w:val="6CAB3A1F"/>
    <w:rsid w:val="6EFCD273"/>
    <w:rsid w:val="71C70FEF"/>
    <w:rsid w:val="74187014"/>
    <w:rsid w:val="759E5953"/>
    <w:rsid w:val="75B54F3E"/>
    <w:rsid w:val="763F19A2"/>
    <w:rsid w:val="7764E7C4"/>
    <w:rsid w:val="77CB1867"/>
    <w:rsid w:val="77DFCB38"/>
    <w:rsid w:val="78FE5936"/>
    <w:rsid w:val="7A9A1DAA"/>
    <w:rsid w:val="7AA54FB0"/>
    <w:rsid w:val="7B92210A"/>
    <w:rsid w:val="7BE90AC1"/>
    <w:rsid w:val="7CB60DCA"/>
    <w:rsid w:val="7E360F26"/>
    <w:rsid w:val="7EB048EF"/>
    <w:rsid w:val="7F1A23D6"/>
    <w:rsid w:val="7FB17742"/>
    <w:rsid w:val="932F2D07"/>
    <w:rsid w:val="9FEF1288"/>
    <w:rsid w:val="B8EB75BA"/>
    <w:rsid w:val="CFF3B0F3"/>
    <w:rsid w:val="EFD7CC26"/>
    <w:rsid w:val="F7FD2EFE"/>
    <w:rsid w:val="FBDB6D67"/>
    <w:rsid w:val="FE3EBB74"/>
    <w:rsid w:val="FE7FB8CD"/>
    <w:rsid w:val="FFFB0527"/>
    <w:rsid w:val="FFFB9E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autoRedefine/>
    <w:qFormat/>
    <w:uiPriority w:val="0"/>
    <w:pPr>
      <w:keepNext/>
      <w:ind w:firstLine="425"/>
      <w:outlineLvl w:val="0"/>
    </w:pPr>
    <w:rPr>
      <w:b/>
      <w:bCs/>
      <w:i/>
      <w:iCs/>
      <w:sz w:val="52"/>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2">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35">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8">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9">
    <w:name w:val="Normal Indent"/>
    <w:basedOn w:val="1"/>
    <w:autoRedefine/>
    <w:qFormat/>
    <w:uiPriority w:val="0"/>
    <w:pPr>
      <w:ind w:firstLine="420"/>
    </w:pPr>
    <w:rPr>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Document Map"/>
    <w:basedOn w:val="1"/>
    <w:autoRedefine/>
    <w:qFormat/>
    <w:uiPriority w:val="0"/>
    <w:pPr>
      <w:shd w:val="clear" w:color="auto" w:fill="000080"/>
    </w:pPr>
  </w:style>
  <w:style w:type="paragraph" w:styleId="12">
    <w:name w:val="annotation text"/>
    <w:basedOn w:val="1"/>
    <w:link w:val="58"/>
    <w:autoRedefine/>
    <w:unhideWhenUsed/>
    <w:qFormat/>
    <w:uiPriority w:val="99"/>
    <w:pPr>
      <w:jc w:val="left"/>
    </w:pPr>
  </w:style>
  <w:style w:type="paragraph" w:styleId="13">
    <w:name w:val="Body Text 3"/>
    <w:basedOn w:val="1"/>
    <w:autoRedefine/>
    <w:qFormat/>
    <w:uiPriority w:val="0"/>
    <w:pPr>
      <w:spacing w:after="120"/>
    </w:pPr>
    <w:rPr>
      <w:sz w:val="16"/>
      <w:szCs w:val="16"/>
    </w:rPr>
  </w:style>
  <w:style w:type="paragraph" w:styleId="14">
    <w:name w:val="Body Text"/>
    <w:basedOn w:val="1"/>
    <w:next w:val="15"/>
    <w:autoRedefine/>
    <w:qFormat/>
    <w:uiPriority w:val="0"/>
    <w:pPr>
      <w:spacing w:after="120"/>
    </w:pPr>
  </w:style>
  <w:style w:type="paragraph" w:styleId="15">
    <w:name w:val="Body Text First Indent"/>
    <w:basedOn w:val="14"/>
    <w:next w:val="1"/>
    <w:autoRedefine/>
    <w:qFormat/>
    <w:uiPriority w:val="0"/>
    <w:pPr>
      <w:ind w:firstLine="420"/>
    </w:pPr>
  </w:style>
  <w:style w:type="paragraph" w:styleId="16">
    <w:name w:val="Body Text Indent"/>
    <w:basedOn w:val="1"/>
    <w:link w:val="44"/>
    <w:autoRedefine/>
    <w:qFormat/>
    <w:uiPriority w:val="0"/>
    <w:pPr>
      <w:spacing w:line="360" w:lineRule="auto"/>
      <w:ind w:firstLine="420"/>
    </w:pPr>
    <w:rPr>
      <w:sz w:val="24"/>
    </w:rPr>
  </w:style>
  <w:style w:type="paragraph" w:styleId="17">
    <w:name w:val="List Number 3"/>
    <w:basedOn w:val="1"/>
    <w:autoRedefine/>
    <w:qFormat/>
    <w:uiPriority w:val="0"/>
    <w:pPr>
      <w:tabs>
        <w:tab w:val="left" w:pos="1200"/>
      </w:tabs>
      <w:ind w:left="1200" w:leftChars="400" w:hanging="360" w:hangingChars="200"/>
    </w:pPr>
  </w:style>
  <w:style w:type="paragraph" w:styleId="18">
    <w:name w:val="List 2"/>
    <w:basedOn w:val="1"/>
    <w:autoRedefine/>
    <w:qFormat/>
    <w:uiPriority w:val="0"/>
    <w:pPr>
      <w:ind w:left="100" w:leftChars="200" w:hanging="200" w:hangingChars="200"/>
    </w:pPr>
  </w:style>
  <w:style w:type="paragraph" w:styleId="19">
    <w:name w:val="toc 3"/>
    <w:basedOn w:val="1"/>
    <w:next w:val="1"/>
    <w:autoRedefine/>
    <w:qFormat/>
    <w:uiPriority w:val="39"/>
    <w:pPr>
      <w:ind w:left="840" w:leftChars="400"/>
    </w:pPr>
  </w:style>
  <w:style w:type="paragraph" w:styleId="20">
    <w:name w:val="Plain Text"/>
    <w:basedOn w:val="1"/>
    <w:link w:val="40"/>
    <w:autoRedefine/>
    <w:qFormat/>
    <w:uiPriority w:val="0"/>
    <w:pPr>
      <w:spacing w:beforeLines="50" w:afterLines="50" w:line="400" w:lineRule="exact"/>
    </w:pPr>
    <w:rPr>
      <w:rFonts w:ascii="宋体" w:hAnsi="Courier New"/>
      <w:sz w:val="24"/>
    </w:rPr>
  </w:style>
  <w:style w:type="paragraph" w:styleId="21">
    <w:name w:val="Date"/>
    <w:basedOn w:val="1"/>
    <w:next w:val="1"/>
    <w:autoRedefine/>
    <w:qFormat/>
    <w:uiPriority w:val="0"/>
    <w:pPr>
      <w:ind w:left="100" w:leftChars="2500"/>
    </w:pPr>
  </w:style>
  <w:style w:type="paragraph" w:styleId="22">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3">
    <w:name w:val="Balloon Text"/>
    <w:basedOn w:val="1"/>
    <w:autoRedefine/>
    <w:qFormat/>
    <w:uiPriority w:val="0"/>
    <w:rPr>
      <w:sz w:val="18"/>
      <w:szCs w:val="18"/>
    </w:rPr>
  </w:style>
  <w:style w:type="paragraph" w:styleId="24">
    <w:name w:val="footer"/>
    <w:basedOn w:val="1"/>
    <w:link w:val="41"/>
    <w:autoRedefine/>
    <w:qFormat/>
    <w:uiPriority w:val="0"/>
    <w:pPr>
      <w:tabs>
        <w:tab w:val="center" w:pos="4153"/>
        <w:tab w:val="right" w:pos="8306"/>
      </w:tabs>
      <w:snapToGrid w:val="0"/>
      <w:jc w:val="left"/>
    </w:pPr>
    <w:rPr>
      <w:rFonts w:ascii="Calibri" w:hAnsi="Calibri"/>
      <w:sz w:val="18"/>
      <w:szCs w:val="18"/>
    </w:rPr>
  </w:style>
  <w:style w:type="paragraph" w:styleId="25">
    <w:name w:val="header"/>
    <w:basedOn w:val="1"/>
    <w:link w:val="45"/>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6">
    <w:name w:val="toc 1"/>
    <w:basedOn w:val="1"/>
    <w:next w:val="1"/>
    <w:autoRedefine/>
    <w:qFormat/>
    <w:uiPriority w:val="39"/>
    <w:pPr>
      <w:tabs>
        <w:tab w:val="right" w:leader="dot" w:pos="8630"/>
      </w:tabs>
      <w:spacing w:line="540" w:lineRule="exact"/>
    </w:pPr>
  </w:style>
  <w:style w:type="paragraph" w:styleId="27">
    <w:name w:val="List"/>
    <w:basedOn w:val="1"/>
    <w:autoRedefine/>
    <w:qFormat/>
    <w:uiPriority w:val="0"/>
    <w:pPr>
      <w:ind w:left="200" w:hanging="200" w:hangingChars="200"/>
    </w:pPr>
  </w:style>
  <w:style w:type="paragraph" w:styleId="28">
    <w:name w:val="Body Text Indent 3"/>
    <w:basedOn w:val="1"/>
    <w:autoRedefine/>
    <w:qFormat/>
    <w:uiPriority w:val="0"/>
    <w:pPr>
      <w:spacing w:after="120"/>
      <w:ind w:left="420" w:leftChars="200"/>
    </w:pPr>
    <w:rPr>
      <w:sz w:val="16"/>
      <w:szCs w:val="16"/>
    </w:rPr>
  </w:style>
  <w:style w:type="paragraph" w:styleId="29">
    <w:name w:val="toc 2"/>
    <w:basedOn w:val="1"/>
    <w:next w:val="1"/>
    <w:autoRedefine/>
    <w:qFormat/>
    <w:uiPriority w:val="39"/>
    <w:pPr>
      <w:ind w:left="420" w:leftChars="200"/>
    </w:pPr>
  </w:style>
  <w:style w:type="paragraph" w:styleId="30">
    <w:name w:val="Body Text 2"/>
    <w:basedOn w:val="1"/>
    <w:autoRedefine/>
    <w:qFormat/>
    <w:uiPriority w:val="0"/>
    <w:pPr>
      <w:spacing w:after="120" w:line="480" w:lineRule="auto"/>
    </w:pPr>
  </w:style>
  <w:style w:type="paragraph" w:styleId="3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3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3">
    <w:name w:val="annotation subject"/>
    <w:basedOn w:val="12"/>
    <w:next w:val="12"/>
    <w:link w:val="59"/>
    <w:autoRedefine/>
    <w:semiHidden/>
    <w:unhideWhenUsed/>
    <w:qFormat/>
    <w:uiPriority w:val="99"/>
    <w:rPr>
      <w:b/>
      <w:bCs/>
    </w:rPr>
  </w:style>
  <w:style w:type="character" w:styleId="36">
    <w:name w:val="page number"/>
    <w:basedOn w:val="35"/>
    <w:autoRedefine/>
    <w:qFormat/>
    <w:uiPriority w:val="0"/>
  </w:style>
  <w:style w:type="character" w:styleId="37">
    <w:name w:val="Hyperlink"/>
    <w:autoRedefine/>
    <w:qFormat/>
    <w:uiPriority w:val="99"/>
    <w:rPr>
      <w:color w:val="0000FF"/>
      <w:u w:val="single"/>
    </w:rPr>
  </w:style>
  <w:style w:type="character" w:styleId="38">
    <w:name w:val="annotation reference"/>
    <w:autoRedefine/>
    <w:qFormat/>
    <w:uiPriority w:val="0"/>
    <w:rPr>
      <w:sz w:val="21"/>
      <w:szCs w:val="21"/>
    </w:rPr>
  </w:style>
  <w:style w:type="paragraph" w:customStyle="1" w:styleId="39">
    <w:name w:val="段"/>
    <w:next w:val="1"/>
    <w:autoRedefine/>
    <w:qFormat/>
    <w:uiPriority w:val="0"/>
    <w:pPr>
      <w:autoSpaceDE w:val="0"/>
      <w:autoSpaceDN w:val="0"/>
      <w:ind w:left="200" w:firstLine="3784"/>
      <w:jc w:val="both"/>
    </w:pPr>
    <w:rPr>
      <w:rFonts w:ascii="Times New Roman" w:hAnsi="Times New Roman" w:eastAsia="宋体" w:cs="Times New Roman"/>
      <w:lang w:val="en-US" w:eastAsia="zh-CN" w:bidi="ar-SA"/>
    </w:rPr>
  </w:style>
  <w:style w:type="character" w:customStyle="1" w:styleId="40">
    <w:name w:val="纯文本 Char"/>
    <w:link w:val="20"/>
    <w:autoRedefine/>
    <w:qFormat/>
    <w:uiPriority w:val="0"/>
    <w:rPr>
      <w:rFonts w:ascii="宋体" w:hAnsi="Courier New" w:eastAsia="宋体"/>
      <w:kern w:val="2"/>
      <w:sz w:val="24"/>
      <w:szCs w:val="24"/>
      <w:lang w:val="en-US" w:eastAsia="zh-CN" w:bidi="ar-SA"/>
    </w:rPr>
  </w:style>
  <w:style w:type="character" w:customStyle="1" w:styleId="41">
    <w:name w:val="页脚 Char"/>
    <w:link w:val="24"/>
    <w:autoRedefine/>
    <w:qFormat/>
    <w:uiPriority w:val="0"/>
    <w:rPr>
      <w:rFonts w:ascii="Calibri" w:hAnsi="Calibri" w:eastAsia="宋体"/>
      <w:kern w:val="2"/>
      <w:sz w:val="18"/>
      <w:szCs w:val="18"/>
      <w:lang w:val="en-US" w:eastAsia="zh-CN" w:bidi="ar-SA"/>
    </w:rPr>
  </w:style>
  <w:style w:type="character" w:customStyle="1" w:styleId="42">
    <w:name w:val="标题 1 Char"/>
    <w:link w:val="3"/>
    <w:autoRedefine/>
    <w:qFormat/>
    <w:uiPriority w:val="0"/>
    <w:rPr>
      <w:b/>
      <w:bCs/>
      <w:i/>
      <w:iCs/>
      <w:kern w:val="2"/>
      <w:sz w:val="52"/>
    </w:rPr>
  </w:style>
  <w:style w:type="character" w:customStyle="1" w:styleId="43">
    <w:name w:val="Char Char8"/>
    <w:autoRedefine/>
    <w:qFormat/>
    <w:uiPriority w:val="0"/>
    <w:rPr>
      <w:rFonts w:ascii="宋体" w:hAnsi="Courier New" w:eastAsia="宋体"/>
      <w:kern w:val="2"/>
      <w:sz w:val="24"/>
      <w:szCs w:val="24"/>
      <w:lang w:val="en-US" w:eastAsia="zh-CN" w:bidi="ar-SA"/>
    </w:rPr>
  </w:style>
  <w:style w:type="character" w:customStyle="1" w:styleId="44">
    <w:name w:val="正文文本缩进 Char"/>
    <w:link w:val="16"/>
    <w:autoRedefine/>
    <w:qFormat/>
    <w:uiPriority w:val="0"/>
    <w:rPr>
      <w:kern w:val="2"/>
      <w:sz w:val="24"/>
      <w:szCs w:val="24"/>
    </w:rPr>
  </w:style>
  <w:style w:type="character" w:customStyle="1" w:styleId="45">
    <w:name w:val="页眉 Char"/>
    <w:link w:val="25"/>
    <w:autoRedefine/>
    <w:qFormat/>
    <w:uiPriority w:val="0"/>
    <w:rPr>
      <w:rFonts w:ascii="Calibri" w:hAnsi="Calibri" w:eastAsia="宋体"/>
      <w:kern w:val="2"/>
      <w:sz w:val="18"/>
      <w:szCs w:val="18"/>
      <w:lang w:val="en-US" w:eastAsia="zh-CN" w:bidi="ar-SA"/>
    </w:rPr>
  </w:style>
  <w:style w:type="paragraph" w:customStyle="1" w:styleId="4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7">
    <w:name w:val="正文段"/>
    <w:basedOn w:val="1"/>
    <w:autoRedefine/>
    <w:qFormat/>
    <w:uiPriority w:val="0"/>
    <w:pPr>
      <w:widowControl/>
      <w:numPr>
        <w:ilvl w:val="0"/>
        <w:numId w:val="1"/>
      </w:numPr>
      <w:tabs>
        <w:tab w:val="clear" w:pos="1200"/>
      </w:tabs>
      <w:snapToGrid w:val="0"/>
      <w:spacing w:afterLines="50"/>
      <w:ind w:left="0" w:firstLine="200" w:firstLineChars="200"/>
    </w:pPr>
    <w:rPr>
      <w:kern w:val="0"/>
      <w:sz w:val="24"/>
      <w:szCs w:val="20"/>
    </w:rPr>
  </w:style>
  <w:style w:type="paragraph" w:customStyle="1" w:styleId="4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49">
    <w:name w:val="默认段落字体 Para Char Char Char Char Char Char Char Char Char Char Char Char Char Char Char Char Char Char Char"/>
    <w:basedOn w:val="1"/>
    <w:autoRedefine/>
    <w:qFormat/>
    <w:uiPriority w:val="0"/>
    <w:rPr>
      <w:rFonts w:ascii="Tahoma" w:hAnsi="Tahoma"/>
      <w:sz w:val="24"/>
    </w:rPr>
  </w:style>
  <w:style w:type="paragraph" w:customStyle="1" w:styleId="50">
    <w:name w:val="Char Char Char Char Char Char Char Char Char Char Char Char1 Char"/>
    <w:basedOn w:val="11"/>
    <w:autoRedefine/>
    <w:qFormat/>
    <w:uiPriority w:val="0"/>
    <w:rPr>
      <w:rFonts w:ascii="Tahoma" w:hAnsi="Tahoma"/>
      <w:sz w:val="24"/>
    </w:rPr>
  </w:style>
  <w:style w:type="paragraph" w:customStyle="1" w:styleId="51">
    <w:name w:val="正文－恩普"/>
    <w:basedOn w:val="9"/>
    <w:autoRedefine/>
    <w:qFormat/>
    <w:uiPriority w:val="0"/>
    <w:pPr>
      <w:widowControl/>
      <w:spacing w:line="360" w:lineRule="auto"/>
      <w:ind w:firstLine="480" w:firstLineChars="200"/>
      <w:jc w:val="left"/>
    </w:pPr>
    <w:rPr>
      <w:kern w:val="0"/>
      <w:sz w:val="24"/>
    </w:rPr>
  </w:style>
  <w:style w:type="paragraph" w:customStyle="1" w:styleId="5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3">
    <w:name w:val="WPS Plain"/>
    <w:autoRedefine/>
    <w:qFormat/>
    <w:uiPriority w:val="0"/>
    <w:rPr>
      <w:rFonts w:ascii="Times New Roman" w:hAnsi="Times New Roman" w:eastAsia="宋体" w:cs="Times New Roman"/>
      <w:lang w:val="en-US" w:eastAsia="zh-CN" w:bidi="ar-SA"/>
    </w:rPr>
  </w:style>
  <w:style w:type="paragraph" w:customStyle="1" w:styleId="54">
    <w:name w:val="Char Char Char Char Char Char Char"/>
    <w:basedOn w:val="1"/>
    <w:autoRedefine/>
    <w:qFormat/>
    <w:uiPriority w:val="0"/>
    <w:rPr>
      <w:rFonts w:ascii="Tahoma" w:hAnsi="Tahoma"/>
      <w:sz w:val="24"/>
      <w:szCs w:val="20"/>
    </w:rPr>
  </w:style>
  <w:style w:type="paragraph" w:customStyle="1" w:styleId="55">
    <w:name w:val="默认段落字体 Para Char Char Char Char Char Char Char Char Char1 Char Char Char Char"/>
    <w:basedOn w:val="1"/>
    <w:autoRedefine/>
    <w:qFormat/>
    <w:uiPriority w:val="0"/>
    <w:rPr>
      <w:rFonts w:ascii="Tahoma" w:hAnsi="Tahoma"/>
      <w:sz w:val="24"/>
      <w:szCs w:val="20"/>
    </w:rPr>
  </w:style>
  <w:style w:type="paragraph" w:customStyle="1" w:styleId="56">
    <w:name w:val="Char"/>
    <w:basedOn w:val="1"/>
    <w:autoRedefine/>
    <w:qFormat/>
    <w:uiPriority w:val="0"/>
    <w:rPr>
      <w:rFonts w:ascii="仿宋_GB2312" w:eastAsia="仿宋_GB2312"/>
      <w:b/>
      <w:sz w:val="32"/>
      <w:szCs w:val="32"/>
    </w:rPr>
  </w:style>
  <w:style w:type="paragraph" w:customStyle="1" w:styleId="57">
    <w:name w:val="Char1"/>
    <w:basedOn w:val="1"/>
    <w:autoRedefine/>
    <w:qFormat/>
    <w:uiPriority w:val="0"/>
    <w:rPr>
      <w:rFonts w:ascii="仿宋_GB2312" w:eastAsia="仿宋_GB2312"/>
      <w:b/>
      <w:sz w:val="32"/>
      <w:szCs w:val="32"/>
    </w:rPr>
  </w:style>
  <w:style w:type="character" w:customStyle="1" w:styleId="58">
    <w:name w:val="批注文字 Char"/>
    <w:link w:val="12"/>
    <w:autoRedefine/>
    <w:qFormat/>
    <w:uiPriority w:val="99"/>
    <w:rPr>
      <w:kern w:val="2"/>
      <w:sz w:val="21"/>
      <w:szCs w:val="24"/>
    </w:rPr>
  </w:style>
  <w:style w:type="character" w:customStyle="1" w:styleId="59">
    <w:name w:val="批注主题 Char"/>
    <w:link w:val="33"/>
    <w:autoRedefine/>
    <w:semiHidden/>
    <w:qFormat/>
    <w:uiPriority w:val="99"/>
    <w:rPr>
      <w:b/>
      <w:bCs/>
      <w:kern w:val="2"/>
      <w:sz w:val="21"/>
      <w:szCs w:val="24"/>
    </w:rPr>
  </w:style>
  <w:style w:type="paragraph" w:styleId="60">
    <w:name w:val="List Paragraph"/>
    <w:basedOn w:val="1"/>
    <w:autoRedefine/>
    <w:qFormat/>
    <w:uiPriority w:val="34"/>
    <w:pPr>
      <w:ind w:firstLine="420" w:firstLineChars="200"/>
    </w:pPr>
  </w:style>
  <w:style w:type="paragraph" w:customStyle="1" w:styleId="61">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2">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3">
    <w:name w:val="font11"/>
    <w:basedOn w:val="35"/>
    <w:autoRedefine/>
    <w:qFormat/>
    <w:uiPriority w:val="0"/>
    <w:rPr>
      <w:rFonts w:hint="eastAsia" w:ascii="宋体" w:hAnsi="宋体" w:eastAsia="宋体" w:cs="宋体"/>
      <w:color w:val="000000"/>
      <w:sz w:val="21"/>
      <w:szCs w:val="21"/>
      <w:u w:val="none"/>
    </w:rPr>
  </w:style>
  <w:style w:type="paragraph" w:customStyle="1" w:styleId="64">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37</Pages>
  <Words>16945</Words>
  <Characters>17445</Characters>
  <Lines>20</Lines>
  <Paragraphs>39</Paragraphs>
  <TotalTime>6</TotalTime>
  <ScaleCrop>false</ScaleCrop>
  <LinksUpToDate>false</LinksUpToDate>
  <CharactersWithSpaces>17919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2022-06-14T15:39:00Z</dcterms:created>
  <dc:creator>Lenovo User</dc:creator>
  <cp:lastModifiedBy>守株待兔</cp:lastModifiedBy>
  <cp:lastPrinted>2024-12-11T03:23:00Z</cp:lastPrinted>
  <dcterms:modified xsi:type="dcterms:W3CDTF">2024-12-20T02:09:05Z</dcterms:modified>
  <dc:title>公开招标采购文件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4F4A65BE7C514DB28731FBAE884DEE89_13</vt:lpwstr>
  </property>
</Properties>
</file>