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629D2">
      <w:pPr>
        <w:pStyle w:val="10"/>
        <w:spacing w:line="780" w:lineRule="exact"/>
        <w:jc w:val="center"/>
        <w:rPr>
          <w:rFonts w:hint="eastAsia" w:hAnsi="宋体" w:eastAsia="宋体" w:cs="宋体"/>
          <w:b/>
          <w:color w:val="auto"/>
          <w:spacing w:val="-6"/>
          <w:sz w:val="40"/>
          <w:szCs w:val="40"/>
          <w:lang w:eastAsia="zh-CN"/>
        </w:rPr>
      </w:pPr>
      <w:r>
        <w:rPr>
          <w:rFonts w:hint="eastAsia" w:hAnsi="宋体" w:cs="宋体"/>
          <w:b/>
          <w:color w:val="auto"/>
          <w:spacing w:val="-6"/>
          <w:sz w:val="40"/>
          <w:szCs w:val="40"/>
          <w:lang w:eastAsia="zh-CN"/>
        </w:rPr>
        <w:t>天台县综合行政执法局物业两金公款竞争性存放2025年（第2期）</w:t>
      </w:r>
    </w:p>
    <w:p w14:paraId="0B513434">
      <w:pPr>
        <w:pStyle w:val="10"/>
        <w:rPr>
          <w:rFonts w:hAnsi="宋体" w:cs="宋体"/>
          <w:color w:val="auto"/>
          <w:sz w:val="44"/>
          <w:szCs w:val="44"/>
        </w:rPr>
      </w:pPr>
    </w:p>
    <w:p w14:paraId="2EAF1243">
      <w:pPr>
        <w:rPr>
          <w:color w:val="auto"/>
        </w:rPr>
      </w:pPr>
    </w:p>
    <w:p w14:paraId="7E9FA3AE">
      <w:pPr>
        <w:jc w:val="center"/>
        <w:rPr>
          <w:rFonts w:ascii="宋体" w:hAnsi="宋体" w:cs="宋体"/>
          <w:b/>
          <w:color w:val="auto"/>
          <w:sz w:val="72"/>
          <w:szCs w:val="72"/>
        </w:rPr>
      </w:pPr>
      <w:r>
        <w:rPr>
          <w:rFonts w:hint="eastAsia" w:ascii="宋体" w:hAnsi="宋体" w:cs="宋体"/>
          <w:b/>
          <w:color w:val="auto"/>
          <w:sz w:val="72"/>
          <w:szCs w:val="72"/>
        </w:rPr>
        <w:t>招标文件</w:t>
      </w:r>
    </w:p>
    <w:p w14:paraId="1AADC198">
      <w:pPr>
        <w:pStyle w:val="4"/>
        <w:rPr>
          <w:rFonts w:ascii="宋体" w:hAnsi="宋体" w:cs="宋体"/>
          <w:color w:val="auto"/>
          <w:sz w:val="44"/>
          <w:szCs w:val="44"/>
        </w:rPr>
      </w:pPr>
    </w:p>
    <w:p w14:paraId="42A4D794">
      <w:pPr>
        <w:jc w:val="center"/>
        <w:rPr>
          <w:rFonts w:hint="default" w:ascii="宋体" w:hAnsi="宋体" w:eastAsia="宋体" w:cs="宋体"/>
          <w:b/>
          <w:color w:val="auto"/>
          <w:sz w:val="32"/>
          <w:szCs w:val="32"/>
          <w:lang w:val="en-US" w:eastAsia="zh-CN"/>
        </w:rPr>
      </w:pPr>
      <w:r>
        <w:rPr>
          <w:rFonts w:hint="eastAsia" w:ascii="宋体" w:hAnsi="宋体" w:cs="宋体"/>
          <w:b/>
          <w:color w:val="auto"/>
          <w:sz w:val="32"/>
          <w:szCs w:val="32"/>
        </w:rPr>
        <w:t>项目编号：</w:t>
      </w:r>
      <w:r>
        <w:rPr>
          <w:rFonts w:hint="eastAsia" w:ascii="宋体" w:hAnsi="宋体" w:cs="宋体"/>
          <w:b/>
          <w:color w:val="auto"/>
          <w:sz w:val="32"/>
          <w:szCs w:val="32"/>
          <w:highlight w:val="none"/>
          <w:lang w:eastAsia="zh-CN"/>
        </w:rPr>
        <w:t>xzcg-2025-049(招)</w:t>
      </w:r>
    </w:p>
    <w:p w14:paraId="74DD7800">
      <w:pPr>
        <w:spacing w:line="240" w:lineRule="exact"/>
        <w:ind w:left="1145"/>
        <w:rPr>
          <w:rFonts w:ascii="宋体" w:hAnsi="宋体" w:cs="宋体"/>
          <w:b/>
          <w:bCs/>
          <w:color w:val="auto"/>
          <w:sz w:val="21"/>
          <w:szCs w:val="21"/>
        </w:rPr>
      </w:pPr>
    </w:p>
    <w:p w14:paraId="35B18786">
      <w:pPr>
        <w:pStyle w:val="7"/>
        <w:jc w:val="center"/>
        <w:rPr>
          <w:color w:val="auto"/>
        </w:rPr>
      </w:pPr>
    </w:p>
    <w:p w14:paraId="6A4CBC82">
      <w:pPr>
        <w:spacing w:line="800" w:lineRule="exact"/>
        <w:rPr>
          <w:rFonts w:ascii="宋体" w:hAnsi="宋体" w:cs="宋体"/>
          <w:color w:val="auto"/>
          <w:sz w:val="28"/>
          <w:szCs w:val="28"/>
          <w:u w:val="single"/>
        </w:rPr>
      </w:pPr>
      <w:r>
        <w:rPr>
          <w:rFonts w:hint="eastAsia" w:ascii="宋体" w:hAnsi="宋体" w:cs="宋体"/>
          <w:color w:val="auto"/>
          <w:sz w:val="28"/>
          <w:szCs w:val="28"/>
        </w:rPr>
        <w:t xml:space="preserve">  </w:t>
      </w:r>
      <w:r>
        <w:rPr>
          <w:rFonts w:hint="eastAsia" w:ascii="宋体" w:hAnsi="宋体" w:cs="宋体"/>
          <w:b/>
          <w:bCs/>
          <w:color w:val="auto"/>
          <w:sz w:val="28"/>
          <w:szCs w:val="28"/>
        </w:rPr>
        <w:t>采购单位（盖章）：</w:t>
      </w:r>
      <w:r>
        <w:rPr>
          <w:rFonts w:hint="eastAsia" w:ascii="宋体" w:hAnsi="宋体" w:cs="宋体"/>
          <w:color w:val="auto"/>
          <w:sz w:val="28"/>
          <w:szCs w:val="28"/>
          <w:u w:val="single"/>
        </w:rPr>
        <w:t>天台县综合行政执法局</w:t>
      </w:r>
    </w:p>
    <w:p w14:paraId="109F56BE">
      <w:pPr>
        <w:spacing w:line="800" w:lineRule="exact"/>
        <w:rPr>
          <w:rFonts w:ascii="宋体" w:hAnsi="宋体" w:cs="宋体"/>
          <w:color w:val="auto"/>
          <w:sz w:val="28"/>
          <w:szCs w:val="28"/>
          <w:u w:val="single"/>
        </w:rPr>
      </w:pPr>
      <w:r>
        <w:rPr>
          <w:rFonts w:hint="eastAsia" w:ascii="宋体" w:hAnsi="宋体" w:cs="宋体"/>
          <w:b/>
          <w:bCs/>
          <w:color w:val="auto"/>
          <w:sz w:val="28"/>
          <w:szCs w:val="28"/>
        </w:rPr>
        <w:t xml:space="preserve">  联 系 人：</w:t>
      </w:r>
      <w:r>
        <w:rPr>
          <w:rFonts w:hint="eastAsia" w:ascii="宋体" w:hAnsi="宋体" w:cs="宋体"/>
          <w:color w:val="auto"/>
          <w:sz w:val="28"/>
          <w:szCs w:val="28"/>
          <w:u w:val="single"/>
        </w:rPr>
        <w:t xml:space="preserve"> 陈丹丹 </w:t>
      </w:r>
      <w:r>
        <w:rPr>
          <w:rFonts w:hint="eastAsia" w:ascii="宋体" w:hAnsi="宋体" w:cs="宋体"/>
          <w:color w:val="auto"/>
          <w:sz w:val="28"/>
          <w:szCs w:val="28"/>
        </w:rPr>
        <w:t xml:space="preserve">       </w:t>
      </w:r>
      <w:r>
        <w:rPr>
          <w:rFonts w:hint="eastAsia" w:ascii="宋体" w:hAnsi="宋体" w:cs="宋体"/>
          <w:b/>
          <w:bCs/>
          <w:color w:val="auto"/>
          <w:sz w:val="28"/>
          <w:szCs w:val="28"/>
        </w:rPr>
        <w:t>联系电话：</w:t>
      </w:r>
      <w:r>
        <w:rPr>
          <w:rFonts w:hint="eastAsia" w:ascii="宋体" w:hAnsi="宋体" w:cs="宋体"/>
          <w:color w:val="auto"/>
          <w:sz w:val="28"/>
          <w:szCs w:val="28"/>
          <w:u w:val="single"/>
        </w:rPr>
        <w:t>0576-89356729</w:t>
      </w:r>
    </w:p>
    <w:p w14:paraId="43012ED5">
      <w:pPr>
        <w:spacing w:line="800" w:lineRule="exact"/>
        <w:rPr>
          <w:rFonts w:hint="eastAsia" w:ascii="宋体" w:hAnsi="宋体" w:eastAsia="宋体" w:cs="宋体"/>
          <w:color w:val="auto"/>
          <w:sz w:val="28"/>
          <w:szCs w:val="28"/>
          <w:u w:val="single"/>
          <w:lang w:eastAsia="zh-CN"/>
        </w:rPr>
      </w:pPr>
      <w:r>
        <w:rPr>
          <w:rFonts w:hint="eastAsia" w:ascii="宋体" w:hAnsi="宋体" w:cs="宋体"/>
          <w:color w:val="auto"/>
          <w:sz w:val="28"/>
          <w:szCs w:val="28"/>
        </w:rPr>
        <w:t xml:space="preserve">  </w:t>
      </w:r>
      <w:r>
        <w:rPr>
          <w:rFonts w:hint="eastAsia" w:ascii="宋体" w:hAnsi="宋体" w:cs="宋体"/>
          <w:b/>
          <w:bCs/>
          <w:color w:val="auto"/>
          <w:sz w:val="28"/>
          <w:szCs w:val="28"/>
        </w:rPr>
        <w:t>采购代理单位（盖章）：</w:t>
      </w:r>
      <w:r>
        <w:rPr>
          <w:rFonts w:hint="eastAsia" w:ascii="宋体" w:hAnsi="宋体" w:cs="宋体"/>
          <w:color w:val="auto"/>
          <w:sz w:val="28"/>
          <w:szCs w:val="28"/>
          <w:u w:val="single"/>
          <w:lang w:eastAsia="zh-CN"/>
        </w:rPr>
        <w:t>浙江祥泽招标代理有限公司</w:t>
      </w:r>
    </w:p>
    <w:p w14:paraId="77ECF77C">
      <w:pPr>
        <w:spacing w:line="800" w:lineRule="exact"/>
        <w:ind w:firstLine="281" w:firstLineChars="100"/>
        <w:rPr>
          <w:rFonts w:hint="eastAsia" w:ascii="宋体" w:hAnsi="宋体" w:eastAsia="宋体" w:cs="宋体"/>
          <w:color w:val="auto"/>
          <w:sz w:val="28"/>
          <w:szCs w:val="28"/>
          <w:lang w:eastAsia="zh-CN"/>
        </w:rPr>
      </w:pPr>
      <w:r>
        <w:rPr>
          <w:rFonts w:hint="eastAsia" w:ascii="宋体" w:hAnsi="宋体" w:cs="宋体"/>
          <w:b/>
          <w:bCs/>
          <w:color w:val="auto"/>
          <w:sz w:val="28"/>
          <w:szCs w:val="28"/>
        </w:rPr>
        <w:t>联 系 人：</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申建彬</w:t>
      </w:r>
      <w:r>
        <w:rPr>
          <w:rFonts w:hint="eastAsia" w:ascii="宋体" w:hAnsi="宋体" w:cs="宋体"/>
          <w:color w:val="auto"/>
          <w:sz w:val="28"/>
          <w:szCs w:val="28"/>
          <w:u w:val="single"/>
        </w:rPr>
        <w:t xml:space="preserve"> </w:t>
      </w:r>
      <w:r>
        <w:rPr>
          <w:rFonts w:hint="eastAsia" w:ascii="宋体" w:hAnsi="宋体" w:cs="宋体"/>
          <w:b/>
          <w:bCs/>
          <w:color w:val="auto"/>
          <w:sz w:val="28"/>
          <w:szCs w:val="28"/>
        </w:rPr>
        <w:t xml:space="preserve">       联系电话：</w:t>
      </w:r>
      <w:r>
        <w:rPr>
          <w:rFonts w:hint="eastAsia" w:ascii="宋体" w:hAnsi="宋体" w:cs="宋体"/>
          <w:color w:val="auto"/>
          <w:sz w:val="28"/>
          <w:szCs w:val="28"/>
          <w:u w:val="single"/>
          <w:lang w:eastAsia="zh-CN"/>
        </w:rPr>
        <w:t>15867079036</w:t>
      </w:r>
    </w:p>
    <w:p w14:paraId="70729F9D">
      <w:pPr>
        <w:spacing w:line="800" w:lineRule="exact"/>
        <w:ind w:firstLine="281" w:firstLineChars="100"/>
        <w:rPr>
          <w:rFonts w:ascii="宋体" w:hAnsi="宋体"/>
          <w:b/>
          <w:color w:val="auto"/>
          <w:sz w:val="30"/>
          <w:szCs w:val="28"/>
        </w:rPr>
      </w:pPr>
      <w:r>
        <w:rPr>
          <w:rFonts w:hint="eastAsia" w:ascii="宋体" w:hAnsi="宋体" w:cs="宋体"/>
          <w:b/>
          <w:bCs/>
          <w:color w:val="auto"/>
          <w:sz w:val="28"/>
          <w:szCs w:val="28"/>
        </w:rPr>
        <w:t>日    期：</w:t>
      </w:r>
      <w:r>
        <w:rPr>
          <w:rFonts w:hint="eastAsia" w:ascii="宋体" w:hAnsi="宋体" w:cs="宋体"/>
          <w:b/>
          <w:bCs/>
          <w:color w:val="auto"/>
          <w:sz w:val="28"/>
          <w:szCs w:val="28"/>
          <w:u w:val="single"/>
        </w:rPr>
        <w:t xml:space="preserve"> </w:t>
      </w:r>
      <w:r>
        <w:rPr>
          <w:rFonts w:hint="eastAsia" w:ascii="宋体" w:hAnsi="宋体" w:cs="宋体"/>
          <w:color w:val="auto"/>
          <w:sz w:val="28"/>
          <w:szCs w:val="28"/>
          <w:u w:val="single"/>
          <w:lang w:eastAsia="zh-CN"/>
        </w:rPr>
        <w:t>2025</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7</w:t>
      </w:r>
      <w:r>
        <w:rPr>
          <w:rFonts w:hint="eastAsia" w:ascii="宋体" w:hAnsi="宋体" w:cs="宋体"/>
          <w:color w:val="auto"/>
          <w:sz w:val="28"/>
          <w:szCs w:val="28"/>
          <w:u w:val="single"/>
        </w:rPr>
        <w:t>月</w:t>
      </w:r>
      <w:r>
        <w:rPr>
          <w:rFonts w:hint="eastAsia" w:ascii="宋体" w:hAnsi="宋体" w:cs="宋体"/>
          <w:b/>
          <w:bCs/>
          <w:color w:val="auto"/>
          <w:sz w:val="28"/>
          <w:szCs w:val="28"/>
          <w:u w:val="single"/>
        </w:rPr>
        <w:t xml:space="preserve"> </w:t>
      </w:r>
      <w:r>
        <w:rPr>
          <w:rFonts w:hint="eastAsia" w:ascii="宋体" w:hAnsi="宋体"/>
          <w:b/>
          <w:color w:val="auto"/>
          <w:sz w:val="30"/>
          <w:szCs w:val="28"/>
        </w:rPr>
        <w:t xml:space="preserve">   </w:t>
      </w:r>
    </w:p>
    <w:p w14:paraId="0FF89288">
      <w:pPr>
        <w:spacing w:line="240" w:lineRule="exact"/>
        <w:ind w:left="1145"/>
        <w:rPr>
          <w:rFonts w:ascii="宋体" w:hAnsi="宋体"/>
          <w:b/>
          <w:bCs/>
          <w:color w:val="auto"/>
          <w:sz w:val="30"/>
          <w:szCs w:val="28"/>
        </w:rPr>
      </w:pPr>
    </w:p>
    <w:p w14:paraId="422A3767">
      <w:pPr>
        <w:pStyle w:val="2"/>
        <w:rPr>
          <w:color w:val="auto"/>
        </w:rPr>
      </w:pPr>
    </w:p>
    <w:p w14:paraId="0D3C9A05">
      <w:pPr>
        <w:spacing w:line="240" w:lineRule="exact"/>
        <w:rPr>
          <w:rFonts w:ascii="宋体" w:hAnsi="宋体" w:cs="宋体"/>
          <w:b/>
          <w:color w:val="auto"/>
          <w:sz w:val="21"/>
          <w:szCs w:val="21"/>
        </w:rPr>
      </w:pPr>
    </w:p>
    <w:p w14:paraId="757DFC83">
      <w:pPr>
        <w:pStyle w:val="4"/>
        <w:rPr>
          <w:rFonts w:ascii="宋体" w:hAnsi="宋体" w:cs="宋体"/>
          <w:color w:val="auto"/>
          <w:sz w:val="21"/>
          <w:szCs w:val="21"/>
        </w:rPr>
      </w:pPr>
    </w:p>
    <w:p w14:paraId="0DCB23B8">
      <w:pPr>
        <w:rPr>
          <w:rFonts w:ascii="宋体" w:hAnsi="宋体" w:cs="宋体"/>
          <w:b/>
          <w:color w:val="auto"/>
          <w:sz w:val="21"/>
          <w:szCs w:val="21"/>
        </w:rPr>
      </w:pPr>
    </w:p>
    <w:p w14:paraId="1899B67B">
      <w:pPr>
        <w:pStyle w:val="4"/>
        <w:rPr>
          <w:rFonts w:ascii="宋体" w:hAnsi="宋体" w:cs="宋体"/>
          <w:color w:val="auto"/>
          <w:sz w:val="21"/>
          <w:szCs w:val="21"/>
        </w:rPr>
      </w:pPr>
    </w:p>
    <w:p w14:paraId="7FAF2CD1">
      <w:pPr>
        <w:rPr>
          <w:rFonts w:ascii="宋体" w:hAnsi="宋体" w:cs="宋体"/>
          <w:b/>
          <w:color w:val="auto"/>
          <w:sz w:val="21"/>
          <w:szCs w:val="21"/>
        </w:rPr>
      </w:pPr>
    </w:p>
    <w:p w14:paraId="4E77E74C">
      <w:pPr>
        <w:pStyle w:val="4"/>
        <w:rPr>
          <w:rFonts w:ascii="宋体" w:hAnsi="宋体" w:cs="宋体"/>
          <w:color w:val="auto"/>
          <w:sz w:val="21"/>
          <w:szCs w:val="21"/>
        </w:rPr>
      </w:pPr>
    </w:p>
    <w:p w14:paraId="104FC1F7">
      <w:pPr>
        <w:rPr>
          <w:rFonts w:ascii="宋体" w:hAnsi="宋体" w:cs="宋体"/>
          <w:b/>
          <w:color w:val="auto"/>
          <w:sz w:val="21"/>
          <w:szCs w:val="21"/>
        </w:rPr>
      </w:pPr>
    </w:p>
    <w:p w14:paraId="5CA50B16">
      <w:pPr>
        <w:pStyle w:val="4"/>
        <w:rPr>
          <w:rFonts w:ascii="宋体" w:hAnsi="宋体" w:cs="宋体"/>
          <w:color w:val="auto"/>
          <w:sz w:val="21"/>
          <w:szCs w:val="21"/>
        </w:rPr>
      </w:pPr>
    </w:p>
    <w:p w14:paraId="40751ADC">
      <w:pPr>
        <w:rPr>
          <w:rFonts w:ascii="宋体" w:hAnsi="宋体" w:cs="宋体"/>
          <w:b/>
          <w:color w:val="auto"/>
          <w:sz w:val="21"/>
          <w:szCs w:val="21"/>
        </w:rPr>
      </w:pPr>
    </w:p>
    <w:p w14:paraId="48F5D971">
      <w:pPr>
        <w:pStyle w:val="4"/>
        <w:rPr>
          <w:rFonts w:ascii="宋体" w:hAnsi="宋体" w:cs="宋体"/>
          <w:color w:val="auto"/>
          <w:sz w:val="21"/>
          <w:szCs w:val="21"/>
        </w:rPr>
        <w:sectPr>
          <w:footerReference r:id="rId5" w:type="first"/>
          <w:headerReference r:id="rId3" w:type="default"/>
          <w:footerReference r:id="rId4" w:type="default"/>
          <w:pgSz w:w="11905" w:h="16838"/>
          <w:pgMar w:top="1361" w:right="1587" w:bottom="1361" w:left="1587" w:header="510" w:footer="1020" w:gutter="0"/>
          <w:pgNumType w:start="1"/>
          <w:cols w:space="0" w:num="1"/>
          <w:titlePg/>
          <w:docGrid w:type="lines" w:linePitch="330" w:charSpace="0"/>
        </w:sectPr>
      </w:pPr>
    </w:p>
    <w:p w14:paraId="2F529097">
      <w:pPr>
        <w:rPr>
          <w:color w:val="auto"/>
        </w:rPr>
      </w:pPr>
    </w:p>
    <w:p w14:paraId="42A110AA">
      <w:pPr>
        <w:rPr>
          <w:color w:val="auto"/>
        </w:rPr>
      </w:pPr>
    </w:p>
    <w:p w14:paraId="3014D583">
      <w:pPr>
        <w:spacing w:line="240" w:lineRule="exact"/>
        <w:rPr>
          <w:rFonts w:ascii="宋体" w:hAnsi="宋体" w:cs="宋体"/>
          <w:b/>
          <w:color w:val="auto"/>
          <w:sz w:val="21"/>
          <w:szCs w:val="21"/>
        </w:rPr>
      </w:pPr>
    </w:p>
    <w:p w14:paraId="54475757">
      <w:pPr>
        <w:pStyle w:val="7"/>
        <w:jc w:val="center"/>
        <w:rPr>
          <w:rFonts w:ascii="宋体" w:hAnsi="宋体" w:cs="宋体"/>
          <w:b/>
          <w:bCs/>
          <w:color w:val="auto"/>
          <w:sz w:val="36"/>
          <w:szCs w:val="36"/>
        </w:rPr>
      </w:pPr>
      <w:r>
        <w:rPr>
          <w:rFonts w:hint="eastAsia" w:ascii="宋体" w:hAnsi="宋体" w:cs="宋体"/>
          <w:b/>
          <w:bCs/>
          <w:color w:val="auto"/>
          <w:sz w:val="36"/>
          <w:szCs w:val="36"/>
        </w:rPr>
        <w:t xml:space="preserve">目 </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录</w:t>
      </w:r>
    </w:p>
    <w:p w14:paraId="395384F6">
      <w:pPr>
        <w:pStyle w:val="23"/>
        <w:tabs>
          <w:tab w:val="right" w:leader="dot" w:pos="9072"/>
        </w:tabs>
        <w:spacing w:line="900" w:lineRule="exact"/>
        <w:rPr>
          <w:rFonts w:ascii="宋体" w:hAnsi="宋体" w:cs="宋体"/>
          <w:bCs/>
          <w:color w:val="auto"/>
          <w:sz w:val="28"/>
          <w:szCs w:val="28"/>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TOC \o "1-1" \h \u </w:instrText>
      </w:r>
      <w:r>
        <w:rPr>
          <w:rFonts w:hint="eastAsia" w:ascii="宋体" w:hAnsi="宋体" w:cs="宋体"/>
          <w:bCs/>
          <w:color w:val="auto"/>
          <w:sz w:val="24"/>
          <w:szCs w:val="24"/>
        </w:rPr>
        <w:fldChar w:fldCharType="separate"/>
      </w:r>
      <w:r>
        <w:rPr>
          <w:color w:val="auto"/>
        </w:rPr>
        <w:fldChar w:fldCharType="begin"/>
      </w:r>
      <w:r>
        <w:rPr>
          <w:color w:val="auto"/>
        </w:rPr>
        <w:instrText xml:space="preserve"> HYPERLINK \l "_Toc27548" </w:instrText>
      </w:r>
      <w:r>
        <w:rPr>
          <w:color w:val="auto"/>
        </w:rPr>
        <w:fldChar w:fldCharType="separate"/>
      </w:r>
      <w:r>
        <w:rPr>
          <w:rFonts w:hint="eastAsia" w:ascii="宋体" w:hAnsi="宋体" w:cs="宋体"/>
          <w:bCs/>
          <w:color w:val="auto"/>
          <w:sz w:val="28"/>
          <w:szCs w:val="28"/>
        </w:rPr>
        <w:t>第一章  招标公告</w:t>
      </w:r>
      <w:r>
        <w:rPr>
          <w:rFonts w:hint="eastAsia" w:ascii="宋体" w:hAnsi="宋体" w:cs="宋体"/>
          <w:bCs/>
          <w:color w:val="auto"/>
          <w:sz w:val="28"/>
          <w:szCs w:val="28"/>
        </w:rPr>
        <w:tab/>
      </w:r>
      <w:r>
        <w:rPr>
          <w:rFonts w:hint="eastAsia" w:ascii="宋体" w:hAnsi="宋体" w:cs="宋体"/>
          <w:bCs/>
          <w:color w:val="auto"/>
          <w:sz w:val="28"/>
          <w:szCs w:val="28"/>
          <w:lang w:val="en-US" w:eastAsia="zh-CN"/>
        </w:rPr>
        <w:t>2</w:t>
      </w:r>
      <w:r>
        <w:rPr>
          <w:rFonts w:hint="eastAsia" w:ascii="宋体" w:hAnsi="宋体" w:cs="宋体"/>
          <w:bCs/>
          <w:color w:val="auto"/>
          <w:sz w:val="28"/>
          <w:szCs w:val="28"/>
        </w:rPr>
        <w:fldChar w:fldCharType="end"/>
      </w:r>
    </w:p>
    <w:p w14:paraId="760C9775">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"_Toc32450" </w:instrText>
      </w:r>
      <w:r>
        <w:rPr>
          <w:color w:val="auto"/>
        </w:rPr>
        <w:fldChar w:fldCharType="separate"/>
      </w:r>
      <w:r>
        <w:rPr>
          <w:rFonts w:hint="eastAsia" w:ascii="宋体" w:hAnsi="宋体" w:cs="宋体"/>
          <w:bCs/>
          <w:color w:val="auto"/>
          <w:sz w:val="28"/>
          <w:szCs w:val="28"/>
        </w:rPr>
        <w:t>第二章 投标人须知</w:t>
      </w:r>
      <w:r>
        <w:rPr>
          <w:rFonts w:hint="eastAsia" w:ascii="宋体" w:hAnsi="宋体" w:cs="宋体"/>
          <w:bCs/>
          <w:color w:val="auto"/>
          <w:sz w:val="28"/>
          <w:szCs w:val="28"/>
        </w:rPr>
        <w:tab/>
      </w:r>
      <w:r>
        <w:rPr>
          <w:rFonts w:hint="eastAsia" w:ascii="宋体" w:hAnsi="宋体" w:cs="宋体"/>
          <w:bCs/>
          <w:color w:val="auto"/>
          <w:sz w:val="28"/>
          <w:szCs w:val="28"/>
          <w:lang w:val="en-US" w:eastAsia="zh-CN"/>
        </w:rPr>
        <w:t>5</w:t>
      </w:r>
      <w:r>
        <w:rPr>
          <w:rFonts w:hint="eastAsia" w:ascii="宋体" w:hAnsi="宋体" w:cs="宋体"/>
          <w:bCs/>
          <w:color w:val="auto"/>
          <w:sz w:val="28"/>
          <w:szCs w:val="28"/>
        </w:rPr>
        <w:fldChar w:fldCharType="end"/>
      </w:r>
    </w:p>
    <w:p w14:paraId="0ACC42A7">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"_Toc17741" </w:instrText>
      </w:r>
      <w:r>
        <w:rPr>
          <w:color w:val="auto"/>
        </w:rPr>
        <w:fldChar w:fldCharType="separate"/>
      </w:r>
      <w:r>
        <w:rPr>
          <w:rFonts w:hint="eastAsia" w:ascii="宋体" w:hAnsi="宋体" w:cs="宋体"/>
          <w:bCs/>
          <w:color w:val="auto"/>
          <w:sz w:val="28"/>
          <w:szCs w:val="28"/>
        </w:rPr>
        <w:t>第三章 合同主要条款</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_Toc17741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16</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5E8A5DED">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"_Toc32418" </w:instrText>
      </w:r>
      <w:r>
        <w:rPr>
          <w:color w:val="auto"/>
        </w:rPr>
        <w:fldChar w:fldCharType="separate"/>
      </w:r>
      <w:r>
        <w:rPr>
          <w:rFonts w:hint="eastAsia" w:ascii="宋体" w:hAnsi="宋体" w:cs="宋体"/>
          <w:bCs/>
          <w:color w:val="auto"/>
          <w:sz w:val="28"/>
          <w:szCs w:val="28"/>
        </w:rPr>
        <w:t>第四章 招标内容及需求</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_Toc32418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16</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220279EB">
      <w:pPr>
        <w:pStyle w:val="23"/>
        <w:tabs>
          <w:tab w:val="right" w:leader="dot" w:pos="9072"/>
        </w:tabs>
        <w:spacing w:line="900" w:lineRule="exact"/>
        <w:rPr>
          <w:rFonts w:ascii="宋体" w:hAnsi="宋体" w:cs="宋体"/>
          <w:bCs/>
          <w:color w:val="auto"/>
          <w:sz w:val="28"/>
          <w:szCs w:val="28"/>
        </w:rPr>
      </w:pPr>
      <w:r>
        <w:rPr>
          <w:color w:val="auto"/>
        </w:rPr>
        <w:fldChar w:fldCharType="begin"/>
      </w:r>
      <w:r>
        <w:rPr>
          <w:color w:val="auto"/>
        </w:rPr>
        <w:instrText xml:space="preserve"> HYPERLINK \l "_Toc17655" </w:instrText>
      </w:r>
      <w:r>
        <w:rPr>
          <w:color w:val="auto"/>
        </w:rPr>
        <w:fldChar w:fldCharType="separate"/>
      </w:r>
      <w:r>
        <w:rPr>
          <w:rFonts w:hint="eastAsia" w:ascii="宋体" w:hAnsi="宋体" w:cs="宋体"/>
          <w:bCs/>
          <w:color w:val="auto"/>
          <w:sz w:val="28"/>
          <w:szCs w:val="28"/>
        </w:rPr>
        <w:t>第五章 评标办法及评分标准</w:t>
      </w:r>
      <w:r>
        <w:rPr>
          <w:rFonts w:hint="eastAsia" w:ascii="宋体" w:hAnsi="宋体" w:cs="宋体"/>
          <w:bCs/>
          <w:color w:val="auto"/>
          <w:sz w:val="28"/>
          <w:szCs w:val="28"/>
        </w:rPr>
        <w:tab/>
      </w:r>
      <w:r>
        <w:rPr>
          <w:rFonts w:hint="eastAsia" w:ascii="宋体" w:hAnsi="宋体" w:cs="宋体"/>
          <w:bCs/>
          <w:color w:val="auto"/>
          <w:sz w:val="28"/>
          <w:szCs w:val="28"/>
        </w:rPr>
        <w:fldChar w:fldCharType="begin"/>
      </w:r>
      <w:r>
        <w:rPr>
          <w:rFonts w:hint="eastAsia" w:ascii="宋体" w:hAnsi="宋体" w:cs="宋体"/>
          <w:bCs/>
          <w:color w:val="auto"/>
          <w:sz w:val="28"/>
          <w:szCs w:val="28"/>
        </w:rPr>
        <w:instrText xml:space="preserve"> PAGEREF _Toc17655 \h </w:instrText>
      </w:r>
      <w:r>
        <w:rPr>
          <w:rFonts w:hint="eastAsia" w:ascii="宋体" w:hAnsi="宋体" w:cs="宋体"/>
          <w:bCs/>
          <w:color w:val="auto"/>
          <w:sz w:val="28"/>
          <w:szCs w:val="28"/>
        </w:rPr>
        <w:fldChar w:fldCharType="separate"/>
      </w:r>
      <w:r>
        <w:rPr>
          <w:rFonts w:hint="eastAsia" w:ascii="宋体" w:hAnsi="宋体" w:cs="宋体"/>
          <w:bCs/>
          <w:color w:val="auto"/>
          <w:sz w:val="28"/>
          <w:szCs w:val="28"/>
        </w:rPr>
        <w:t>18</w:t>
      </w:r>
      <w:r>
        <w:rPr>
          <w:rFonts w:hint="eastAsia" w:ascii="宋体" w:hAnsi="宋体" w:cs="宋体"/>
          <w:bCs/>
          <w:color w:val="auto"/>
          <w:sz w:val="28"/>
          <w:szCs w:val="28"/>
        </w:rPr>
        <w:fldChar w:fldCharType="end"/>
      </w:r>
      <w:r>
        <w:rPr>
          <w:rFonts w:hint="eastAsia" w:ascii="宋体" w:hAnsi="宋体" w:cs="宋体"/>
          <w:bCs/>
          <w:color w:val="auto"/>
          <w:sz w:val="28"/>
          <w:szCs w:val="28"/>
        </w:rPr>
        <w:fldChar w:fldCharType="end"/>
      </w:r>
    </w:p>
    <w:p w14:paraId="7CAEF14C">
      <w:pPr>
        <w:pStyle w:val="23"/>
        <w:tabs>
          <w:tab w:val="right" w:leader="dot" w:pos="9072"/>
        </w:tabs>
        <w:spacing w:line="900" w:lineRule="exact"/>
        <w:rPr>
          <w:rFonts w:hint="eastAsia" w:ascii="宋体" w:hAnsi="宋体" w:eastAsia="宋体" w:cs="宋体"/>
          <w:bCs/>
          <w:color w:val="auto"/>
          <w:sz w:val="28"/>
          <w:szCs w:val="28"/>
          <w:lang w:val="en-US" w:eastAsia="zh-CN"/>
        </w:rPr>
      </w:pPr>
      <w:r>
        <w:rPr>
          <w:color w:val="auto"/>
        </w:rPr>
        <w:fldChar w:fldCharType="begin"/>
      </w:r>
      <w:r>
        <w:rPr>
          <w:color w:val="auto"/>
        </w:rPr>
        <w:instrText xml:space="preserve"> HYPERLINK \l "_Toc3952" </w:instrText>
      </w:r>
      <w:r>
        <w:rPr>
          <w:color w:val="auto"/>
        </w:rPr>
        <w:fldChar w:fldCharType="separate"/>
      </w:r>
      <w:r>
        <w:rPr>
          <w:rFonts w:hint="eastAsia" w:ascii="宋体" w:hAnsi="宋体" w:cs="宋体"/>
          <w:bCs/>
          <w:color w:val="auto"/>
          <w:sz w:val="28"/>
          <w:szCs w:val="28"/>
        </w:rPr>
        <w:t>第六章 投标文件格式</w:t>
      </w:r>
      <w:r>
        <w:rPr>
          <w:rFonts w:hint="eastAsia" w:ascii="宋体" w:hAnsi="宋体" w:cs="宋体"/>
          <w:bCs/>
          <w:color w:val="auto"/>
          <w:sz w:val="28"/>
          <w:szCs w:val="28"/>
        </w:rPr>
        <w:tab/>
      </w:r>
      <w:r>
        <w:rPr>
          <w:rFonts w:hint="eastAsia" w:ascii="宋体" w:hAnsi="宋体" w:cs="宋体"/>
          <w:bCs/>
          <w:color w:val="auto"/>
          <w:sz w:val="28"/>
          <w:szCs w:val="28"/>
          <w:lang w:val="en-US" w:eastAsia="zh-CN"/>
        </w:rPr>
        <w:t>2</w:t>
      </w:r>
      <w:r>
        <w:rPr>
          <w:rFonts w:hint="eastAsia" w:ascii="宋体" w:hAnsi="宋体" w:cs="宋体"/>
          <w:bCs/>
          <w:color w:val="auto"/>
          <w:sz w:val="28"/>
          <w:szCs w:val="28"/>
        </w:rPr>
        <w:fldChar w:fldCharType="end"/>
      </w:r>
      <w:r>
        <w:rPr>
          <w:rFonts w:hint="eastAsia" w:ascii="宋体" w:hAnsi="宋体" w:cs="宋体"/>
          <w:bCs/>
          <w:color w:val="auto"/>
          <w:sz w:val="28"/>
          <w:szCs w:val="28"/>
          <w:lang w:val="en-US" w:eastAsia="zh-CN"/>
        </w:rPr>
        <w:t>4</w:t>
      </w:r>
    </w:p>
    <w:p w14:paraId="722BEB6C">
      <w:pPr>
        <w:pStyle w:val="23"/>
        <w:tabs>
          <w:tab w:val="right" w:leader="dot" w:pos="9072"/>
        </w:tabs>
        <w:spacing w:line="900" w:lineRule="exact"/>
        <w:rPr>
          <w:rFonts w:ascii="宋体" w:hAnsi="宋体" w:cs="宋体"/>
          <w:bCs/>
          <w:color w:val="auto"/>
          <w:sz w:val="24"/>
          <w:szCs w:val="24"/>
        </w:rPr>
      </w:pPr>
    </w:p>
    <w:p w14:paraId="3E16D0B9">
      <w:pPr>
        <w:pStyle w:val="23"/>
        <w:tabs>
          <w:tab w:val="right" w:leader="dot" w:pos="9072"/>
        </w:tabs>
        <w:rPr>
          <w:rFonts w:ascii="宋体" w:hAnsi="宋体" w:cs="宋体"/>
          <w:bCs/>
          <w:color w:val="auto"/>
          <w:sz w:val="24"/>
          <w:szCs w:val="24"/>
        </w:rPr>
      </w:pPr>
      <w:r>
        <w:rPr>
          <w:rFonts w:hint="eastAsia" w:ascii="宋体" w:hAnsi="宋体" w:cs="宋体"/>
          <w:bCs/>
          <w:color w:val="auto"/>
          <w:sz w:val="24"/>
          <w:szCs w:val="24"/>
        </w:rPr>
        <w:fldChar w:fldCharType="end"/>
      </w:r>
    </w:p>
    <w:p w14:paraId="3089309D">
      <w:pPr>
        <w:spacing w:after="330" w:afterLines="100" w:line="440" w:lineRule="exact"/>
        <w:jc w:val="center"/>
        <w:outlineLvl w:val="0"/>
        <w:rPr>
          <w:rStyle w:val="24"/>
          <w:color w:val="auto"/>
        </w:rPr>
        <w:sectPr>
          <w:headerReference r:id="rId6" w:type="default"/>
          <w:footerReference r:id="rId7" w:type="default"/>
          <w:pgSz w:w="11905" w:h="16838"/>
          <w:pgMar w:top="1361" w:right="1587" w:bottom="1361" w:left="1587" w:header="510" w:footer="1020" w:gutter="0"/>
          <w:pgNumType w:fmt="decimal" w:start="1"/>
          <w:cols w:space="0" w:num="1"/>
          <w:docGrid w:type="lines" w:linePitch="330" w:charSpace="0"/>
        </w:sectPr>
      </w:pPr>
      <w:bookmarkStart w:id="0" w:name="_Toc13400"/>
      <w:bookmarkStart w:id="1" w:name="_Toc30104"/>
      <w:bookmarkStart w:id="2" w:name="_Toc27548"/>
    </w:p>
    <w:p w14:paraId="6C50657E">
      <w:pPr>
        <w:spacing w:after="318" w:afterLines="100" w:line="440" w:lineRule="exact"/>
        <w:jc w:val="center"/>
        <w:outlineLvl w:val="0"/>
        <w:rPr>
          <w:rFonts w:ascii="宋体" w:hAnsi="宋体" w:cs="宋体"/>
          <w:color w:val="auto"/>
          <w:sz w:val="21"/>
          <w:szCs w:val="21"/>
        </w:rPr>
      </w:pPr>
      <w:r>
        <w:rPr>
          <w:rStyle w:val="24"/>
          <w:rFonts w:hint="eastAsia"/>
          <w:color w:val="auto"/>
        </w:rPr>
        <w:t xml:space="preserve">第一章 </w:t>
      </w:r>
      <w:bookmarkEnd w:id="0"/>
      <w:r>
        <w:rPr>
          <w:rStyle w:val="24"/>
          <w:rFonts w:hint="eastAsia"/>
          <w:color w:val="auto"/>
        </w:rPr>
        <w:t>招标公告</w:t>
      </w:r>
      <w:bookmarkEnd w:id="1"/>
      <w:bookmarkEnd w:id="2"/>
    </w:p>
    <w:p w14:paraId="69DBC8B7">
      <w:pPr>
        <w:spacing w:line="440" w:lineRule="exact"/>
        <w:ind w:firstLine="440" w:firstLineChars="200"/>
        <w:jc w:val="left"/>
        <w:rPr>
          <w:rFonts w:ascii="宋体" w:hAnsi="宋体" w:cs="宋体"/>
          <w:color w:val="auto"/>
          <w:sz w:val="22"/>
          <w:szCs w:val="22"/>
        </w:rPr>
      </w:pPr>
      <w:bookmarkStart w:id="3" w:name="_Toc123628875"/>
      <w:r>
        <w:rPr>
          <w:rFonts w:hint="eastAsia" w:ascii="宋体" w:hAnsi="宋体" w:cs="宋体"/>
          <w:color w:val="auto"/>
          <w:sz w:val="22"/>
          <w:szCs w:val="22"/>
        </w:rPr>
        <w:t>为了提高资金效益，规范公款存放管理，切实防范公款存放方面的利益冲突和利益输送行为。根据《关于防止领导干部在公款存放方面发生利益冲突和利益输送的办法》《天台县人民政府办公室关于印发天台县行政事业单位公款竞争性存放管理办法的通知》（天政办发[2022]23号）、《</w:t>
      </w:r>
      <w:r>
        <w:rPr>
          <w:rFonts w:hint="eastAsia" w:ascii="宋体" w:hAnsi="宋体" w:cs="宋体"/>
          <w:color w:val="auto"/>
          <w:sz w:val="22"/>
          <w:szCs w:val="22"/>
          <w:lang w:eastAsia="zh-CN"/>
        </w:rPr>
        <w:t>天台县财</w:t>
      </w:r>
      <w:bookmarkStart w:id="38" w:name="_GoBack"/>
      <w:r>
        <w:rPr>
          <w:rFonts w:hint="eastAsia" w:ascii="宋体" w:hAnsi="宋体" w:cs="宋体"/>
          <w:color w:val="auto"/>
          <w:sz w:val="22"/>
          <w:szCs w:val="22"/>
          <w:lang w:eastAsia="zh-CN"/>
        </w:rPr>
        <w:t>政局关于印发天台</w:t>
      </w:r>
      <w:bookmarkEnd w:id="38"/>
      <w:r>
        <w:rPr>
          <w:rFonts w:hint="eastAsia" w:ascii="宋体" w:hAnsi="宋体" w:cs="宋体"/>
          <w:color w:val="auto"/>
          <w:sz w:val="22"/>
          <w:szCs w:val="22"/>
          <w:lang w:eastAsia="zh-CN"/>
        </w:rPr>
        <w:t>县县级财政专户资金竞争性存放商业银行定期存款业务操作规程的通知</w:t>
      </w:r>
      <w:r>
        <w:rPr>
          <w:rFonts w:hint="eastAsia" w:ascii="宋体" w:hAnsi="宋体" w:cs="宋体"/>
          <w:color w:val="auto"/>
          <w:sz w:val="22"/>
          <w:szCs w:val="22"/>
        </w:rPr>
        <w:t>》（天财预执[202</w:t>
      </w:r>
      <w:r>
        <w:rPr>
          <w:rFonts w:hint="eastAsia" w:ascii="宋体" w:hAnsi="宋体" w:cs="宋体"/>
          <w:color w:val="auto"/>
          <w:sz w:val="22"/>
          <w:szCs w:val="22"/>
          <w:lang w:val="en-US" w:eastAsia="zh-CN"/>
        </w:rPr>
        <w:t>5</w:t>
      </w:r>
      <w:r>
        <w:rPr>
          <w:rFonts w:hint="eastAsia" w:ascii="宋体" w:hAnsi="宋体" w:cs="宋体"/>
          <w:color w:val="auto"/>
          <w:sz w:val="22"/>
          <w:szCs w:val="22"/>
        </w:rPr>
        <w:t>]6号）等相关规定精神，本着公开、公平、公正、竞争、效益的原则，决定开展公款竞争性存放招标工作，欢迎符合条件的银行机构参加投标。</w:t>
      </w:r>
    </w:p>
    <w:p w14:paraId="4400AA6A">
      <w:pPr>
        <w:numPr>
          <w:ilvl w:val="0"/>
          <w:numId w:val="2"/>
        </w:numPr>
        <w:spacing w:line="440" w:lineRule="exact"/>
        <w:ind w:firstLine="442" w:firstLineChars="200"/>
        <w:outlineLvl w:val="1"/>
        <w:rPr>
          <w:rFonts w:ascii="宋体" w:hAnsi="宋体" w:cs="宋体"/>
          <w:b/>
          <w:color w:val="auto"/>
          <w:sz w:val="22"/>
          <w:szCs w:val="22"/>
        </w:rPr>
      </w:pPr>
      <w:r>
        <w:rPr>
          <w:rFonts w:hint="eastAsia" w:ascii="宋体" w:hAnsi="宋体" w:cs="宋体"/>
          <w:b/>
          <w:color w:val="auto"/>
          <w:sz w:val="22"/>
          <w:szCs w:val="22"/>
        </w:rPr>
        <w:t>采购人名称：</w:t>
      </w:r>
      <w:r>
        <w:rPr>
          <w:rFonts w:hint="eastAsia" w:ascii="宋体" w:hAnsi="宋体" w:cs="宋体"/>
          <w:bCs/>
          <w:color w:val="auto"/>
          <w:spacing w:val="-6"/>
          <w:sz w:val="22"/>
          <w:szCs w:val="22"/>
          <w:u w:val="single"/>
        </w:rPr>
        <w:t>天台县综合行政执法局</w:t>
      </w:r>
    </w:p>
    <w:p w14:paraId="7BAC489F">
      <w:pPr>
        <w:numPr>
          <w:ilvl w:val="0"/>
          <w:numId w:val="2"/>
        </w:numPr>
        <w:spacing w:line="440" w:lineRule="exact"/>
        <w:ind w:firstLine="442" w:firstLineChars="200"/>
        <w:outlineLvl w:val="1"/>
        <w:rPr>
          <w:rFonts w:ascii="宋体" w:hAnsi="宋体" w:cs="宋体"/>
          <w:b/>
          <w:color w:val="auto"/>
          <w:sz w:val="22"/>
          <w:szCs w:val="22"/>
        </w:rPr>
      </w:pPr>
      <w:r>
        <w:rPr>
          <w:rFonts w:hint="eastAsia" w:ascii="宋体" w:hAnsi="宋体" w:cs="宋体"/>
          <w:b/>
          <w:color w:val="auto"/>
          <w:sz w:val="22"/>
          <w:szCs w:val="22"/>
        </w:rPr>
        <w:t>项目名称：</w:t>
      </w:r>
      <w:r>
        <w:rPr>
          <w:rFonts w:hint="eastAsia" w:ascii="宋体" w:hAnsi="宋体" w:cs="宋体"/>
          <w:bCs/>
          <w:color w:val="auto"/>
          <w:spacing w:val="-6"/>
          <w:sz w:val="22"/>
          <w:szCs w:val="22"/>
          <w:u w:val="single"/>
          <w:lang w:eastAsia="zh-CN"/>
        </w:rPr>
        <w:t>天台县综合行政执法局物业两金公款竞争性存放2025年（第2期）</w:t>
      </w:r>
    </w:p>
    <w:p w14:paraId="6B6CB0AF">
      <w:pPr>
        <w:spacing w:line="440" w:lineRule="exact"/>
        <w:ind w:firstLine="442" w:firstLineChars="200"/>
        <w:outlineLvl w:val="1"/>
        <w:rPr>
          <w:rFonts w:ascii="宋体" w:hAnsi="宋体" w:cs="宋体"/>
          <w:bCs/>
          <w:color w:val="auto"/>
          <w:spacing w:val="-6"/>
          <w:sz w:val="22"/>
          <w:szCs w:val="22"/>
          <w:u w:val="single"/>
        </w:rPr>
      </w:pPr>
      <w:r>
        <w:rPr>
          <w:rFonts w:hint="eastAsia" w:ascii="宋体" w:hAnsi="宋体" w:cs="宋体"/>
          <w:b/>
          <w:color w:val="auto"/>
          <w:sz w:val="22"/>
          <w:szCs w:val="22"/>
        </w:rPr>
        <w:t>三、项目编号：</w:t>
      </w:r>
      <w:r>
        <w:rPr>
          <w:rFonts w:hint="eastAsia" w:ascii="宋体" w:hAnsi="宋体" w:cs="宋体"/>
          <w:bCs/>
          <w:color w:val="auto"/>
          <w:spacing w:val="-6"/>
          <w:sz w:val="22"/>
          <w:szCs w:val="22"/>
          <w:u w:val="single"/>
        </w:rPr>
        <w:t xml:space="preserve">  </w:t>
      </w:r>
      <w:r>
        <w:rPr>
          <w:rFonts w:hint="eastAsia" w:ascii="宋体" w:hAnsi="宋体" w:cs="宋体"/>
          <w:bCs/>
          <w:color w:val="auto"/>
          <w:spacing w:val="-6"/>
          <w:sz w:val="22"/>
          <w:szCs w:val="22"/>
          <w:u w:val="single"/>
          <w:lang w:eastAsia="zh-CN"/>
        </w:rPr>
        <w:t>xzcg-2025-049(招)</w:t>
      </w:r>
      <w:r>
        <w:rPr>
          <w:rFonts w:hint="eastAsia" w:ascii="宋体" w:hAnsi="宋体" w:cs="宋体"/>
          <w:bCs/>
          <w:color w:val="auto"/>
          <w:spacing w:val="-6"/>
          <w:sz w:val="22"/>
          <w:szCs w:val="22"/>
          <w:u w:val="single"/>
          <w:lang w:val="en-US" w:eastAsia="zh-CN"/>
        </w:rPr>
        <w:t xml:space="preserve"> </w:t>
      </w:r>
      <w:r>
        <w:rPr>
          <w:rFonts w:hint="eastAsia" w:ascii="宋体" w:hAnsi="宋体" w:cs="宋体"/>
          <w:bCs/>
          <w:color w:val="auto"/>
          <w:spacing w:val="-6"/>
          <w:sz w:val="22"/>
          <w:szCs w:val="22"/>
          <w:u w:val="single"/>
        </w:rPr>
        <w:t xml:space="preserve"> </w:t>
      </w:r>
    </w:p>
    <w:p w14:paraId="6367EF16">
      <w:pPr>
        <w:spacing w:line="440" w:lineRule="exact"/>
        <w:ind w:firstLine="442" w:firstLineChars="200"/>
        <w:outlineLvl w:val="1"/>
        <w:rPr>
          <w:rFonts w:hint="eastAsia" w:ascii="宋体" w:hAnsi="宋体" w:cs="宋体"/>
          <w:b/>
          <w:color w:val="auto"/>
          <w:sz w:val="22"/>
          <w:szCs w:val="22"/>
        </w:rPr>
      </w:pPr>
      <w:r>
        <w:rPr>
          <w:rFonts w:hint="eastAsia" w:ascii="宋体" w:hAnsi="宋体" w:cs="宋体"/>
          <w:b/>
          <w:color w:val="auto"/>
          <w:sz w:val="22"/>
          <w:szCs w:val="22"/>
        </w:rPr>
        <w:t>四、招标项目内容：</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216"/>
        <w:gridCol w:w="1610"/>
        <w:gridCol w:w="1325"/>
        <w:gridCol w:w="791"/>
        <w:gridCol w:w="3921"/>
      </w:tblGrid>
      <w:tr w14:paraId="637EF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6C9C58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6" w:type="dxa"/>
            <w:tcBorders>
              <w:tl2br w:val="nil"/>
              <w:tr2bl w:val="nil"/>
            </w:tcBorders>
            <w:vAlign w:val="center"/>
          </w:tcPr>
          <w:p w14:paraId="6AE983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610" w:type="dxa"/>
            <w:tcBorders>
              <w:tl2br w:val="nil"/>
              <w:tr2bl w:val="nil"/>
            </w:tcBorders>
            <w:vAlign w:val="center"/>
          </w:tcPr>
          <w:p w14:paraId="37C5E5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存放资金总额</w:t>
            </w:r>
          </w:p>
        </w:tc>
        <w:tc>
          <w:tcPr>
            <w:tcW w:w="1325" w:type="dxa"/>
            <w:tcBorders>
              <w:tl2br w:val="nil"/>
              <w:tr2bl w:val="nil"/>
            </w:tcBorders>
            <w:vAlign w:val="center"/>
          </w:tcPr>
          <w:p w14:paraId="7DAB8B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91" w:type="dxa"/>
            <w:tcBorders>
              <w:tl2br w:val="nil"/>
              <w:tr2bl w:val="nil"/>
            </w:tcBorders>
            <w:vAlign w:val="center"/>
          </w:tcPr>
          <w:p w14:paraId="6C5434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3921" w:type="dxa"/>
            <w:tcBorders>
              <w:tl2br w:val="nil"/>
              <w:tr2bl w:val="nil"/>
            </w:tcBorders>
            <w:vAlign w:val="center"/>
          </w:tcPr>
          <w:p w14:paraId="50B756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47430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3AB706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6" w:type="dxa"/>
            <w:tcBorders>
              <w:tl2br w:val="nil"/>
              <w:tr2bl w:val="nil"/>
            </w:tcBorders>
            <w:vAlign w:val="center"/>
          </w:tcPr>
          <w:p w14:paraId="6A4379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公款竞争性存放</w:t>
            </w:r>
          </w:p>
        </w:tc>
        <w:tc>
          <w:tcPr>
            <w:tcW w:w="1610" w:type="dxa"/>
            <w:tcBorders>
              <w:tl2br w:val="nil"/>
              <w:tr2bl w:val="nil"/>
            </w:tcBorders>
            <w:vAlign w:val="center"/>
          </w:tcPr>
          <w:p w14:paraId="6B49CD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1.44亿元</w:t>
            </w:r>
          </w:p>
        </w:tc>
        <w:tc>
          <w:tcPr>
            <w:tcW w:w="1325" w:type="dxa"/>
            <w:tcBorders>
              <w:tl2br w:val="nil"/>
              <w:tr2bl w:val="nil"/>
            </w:tcBorders>
            <w:vAlign w:val="center"/>
          </w:tcPr>
          <w:p w14:paraId="4F7E61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三十六个月</w:t>
            </w:r>
          </w:p>
        </w:tc>
        <w:tc>
          <w:tcPr>
            <w:tcW w:w="791" w:type="dxa"/>
            <w:tcBorders>
              <w:tl2br w:val="nil"/>
              <w:tr2bl w:val="nil"/>
            </w:tcBorders>
            <w:vAlign w:val="center"/>
          </w:tcPr>
          <w:p w14:paraId="709306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6家银行</w:t>
            </w:r>
          </w:p>
        </w:tc>
        <w:tc>
          <w:tcPr>
            <w:tcW w:w="3921" w:type="dxa"/>
            <w:tcBorders>
              <w:tl2br w:val="nil"/>
              <w:tr2bl w:val="nil"/>
            </w:tcBorders>
            <w:vAlign w:val="center"/>
          </w:tcPr>
          <w:p w14:paraId="1F42BF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较三年期定期存款基准利率上浮不低于-120BP，定期存款年利率不低于1.55%</w:t>
            </w:r>
          </w:p>
        </w:tc>
      </w:tr>
      <w:tr w14:paraId="688E7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23" w:type="dxa"/>
            <w:gridSpan w:val="6"/>
            <w:tcBorders>
              <w:tl2br w:val="nil"/>
              <w:tr2bl w:val="nil"/>
            </w:tcBorders>
            <w:vAlign w:val="center"/>
          </w:tcPr>
          <w:p w14:paraId="6F826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中标银</w:t>
            </w:r>
            <w:r>
              <w:rPr>
                <w:rFonts w:hint="eastAsia" w:ascii="宋体" w:hAnsi="宋体" w:eastAsia="宋体" w:cs="宋体"/>
                <w:b/>
                <w:bCs/>
                <w:color w:val="auto"/>
                <w:sz w:val="22"/>
                <w:szCs w:val="22"/>
                <w:highlight w:val="none"/>
                <w:lang w:val="en-US" w:eastAsia="zh-CN"/>
              </w:rPr>
              <w:t>行资金存放</w:t>
            </w:r>
          </w:p>
        </w:tc>
      </w:tr>
      <w:tr w14:paraId="738C2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23" w:type="dxa"/>
            <w:gridSpan w:val="6"/>
            <w:tcBorders>
              <w:tl2br w:val="nil"/>
              <w:tr2bl w:val="nil"/>
            </w:tcBorders>
            <w:vAlign w:val="center"/>
          </w:tcPr>
          <w:p w14:paraId="40CCE3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第一中标候选银行存放</w:t>
            </w:r>
            <w:r>
              <w:rPr>
                <w:rFonts w:hint="eastAsia" w:ascii="宋体" w:hAnsi="宋体" w:cs="宋体"/>
                <w:b w:val="0"/>
                <w:bCs w:val="0"/>
                <w:color w:val="auto"/>
                <w:sz w:val="22"/>
                <w:szCs w:val="22"/>
                <w:highlight w:val="none"/>
                <w:lang w:val="en-US" w:eastAsia="zh-CN"/>
              </w:rPr>
              <w:t>金额为7200万元；</w:t>
            </w:r>
          </w:p>
          <w:p w14:paraId="6A642E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第二中标候选银行存放金额为2150万元；</w:t>
            </w:r>
          </w:p>
          <w:p w14:paraId="506A049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第三中标候选银行存放金额为1900万元；</w:t>
            </w:r>
          </w:p>
          <w:p w14:paraId="447045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第四中标候选银行存放</w:t>
            </w:r>
            <w:r>
              <w:rPr>
                <w:rFonts w:hint="eastAsia" w:ascii="宋体" w:hAnsi="宋体" w:cs="宋体"/>
                <w:b w:val="0"/>
                <w:bCs w:val="0"/>
                <w:color w:val="auto"/>
                <w:sz w:val="22"/>
                <w:szCs w:val="22"/>
                <w:highlight w:val="none"/>
                <w:lang w:val="en-US" w:eastAsia="zh-CN"/>
              </w:rPr>
              <w:t>金额为1300万元；</w:t>
            </w:r>
          </w:p>
          <w:p w14:paraId="18469BE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第五中标候选银行存放金额为1000万元；</w:t>
            </w:r>
          </w:p>
          <w:p w14:paraId="48C0248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第六中标候选银行存放金额为850万元。</w:t>
            </w:r>
          </w:p>
        </w:tc>
      </w:tr>
    </w:tbl>
    <w:p w14:paraId="7CA8D3B8">
      <w:pPr>
        <w:spacing w:line="440" w:lineRule="exact"/>
        <w:ind w:firstLine="442" w:firstLineChars="200"/>
        <w:outlineLvl w:val="1"/>
        <w:rPr>
          <w:rFonts w:ascii="宋体" w:hAnsi="宋体" w:cs="宋体"/>
          <w:b/>
          <w:color w:val="auto"/>
          <w:sz w:val="22"/>
          <w:szCs w:val="22"/>
        </w:rPr>
      </w:pPr>
      <w:r>
        <w:rPr>
          <w:rFonts w:hint="eastAsia" w:ascii="宋体" w:hAnsi="宋体" w:cs="宋体"/>
          <w:b/>
          <w:color w:val="auto"/>
          <w:sz w:val="22"/>
          <w:szCs w:val="22"/>
        </w:rPr>
        <w:t>五、投标人资格要求</w:t>
      </w:r>
    </w:p>
    <w:p w14:paraId="2E58C7B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投标人应符合《天台县人</w:t>
      </w:r>
      <w:r>
        <w:rPr>
          <w:rFonts w:hint="eastAsia" w:ascii="宋体" w:hAnsi="宋体" w:cs="宋体"/>
          <w:color w:val="auto"/>
          <w:sz w:val="22"/>
          <w:szCs w:val="22"/>
          <w:u w:val="none"/>
        </w:rPr>
        <w:t>民政府办公室关于印发天台县行政事业单位公款竞争性存放管理办法的通知》（天政办发〔2022〕23号）第十五条</w:t>
      </w:r>
      <w:r>
        <w:rPr>
          <w:rFonts w:hint="eastAsia" w:ascii="宋体" w:hAnsi="宋体" w:cs="宋体"/>
          <w:color w:val="auto"/>
          <w:sz w:val="22"/>
          <w:szCs w:val="22"/>
          <w:u w:val="none"/>
          <w:lang w:eastAsia="zh-CN"/>
        </w:rPr>
        <w:t>规定，</w:t>
      </w:r>
      <w:r>
        <w:rPr>
          <w:rFonts w:hint="eastAsia" w:ascii="宋体" w:hAnsi="宋体" w:cs="宋体"/>
          <w:color w:val="auto"/>
          <w:sz w:val="22"/>
          <w:szCs w:val="22"/>
          <w:u w:val="none"/>
        </w:rPr>
        <w:t>在中华人民共和国境内依法设立的商业银行、农村信用合作联社等银行业金融机构。银行参与投标应符合以下条件</w:t>
      </w:r>
      <w:r>
        <w:rPr>
          <w:rFonts w:hint="eastAsia" w:ascii="宋体" w:hAnsi="宋体" w:cs="宋体"/>
          <w:color w:val="auto"/>
          <w:sz w:val="22"/>
          <w:szCs w:val="22"/>
        </w:rPr>
        <w:t>：</w:t>
      </w:r>
    </w:p>
    <w:p w14:paraId="046D189A">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1.在天台县内设有分支机构；</w:t>
      </w:r>
    </w:p>
    <w:p w14:paraId="5E0366DC">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2.依法开展经营活动，近3年内在经营活动中无重大违法违规记录及重大违约事件；</w:t>
      </w:r>
    </w:p>
    <w:p w14:paraId="085ABD16">
      <w:pPr>
        <w:spacing w:line="440" w:lineRule="exact"/>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3.</w:t>
      </w:r>
      <w:r>
        <w:rPr>
          <w:rFonts w:hint="eastAsia" w:ascii="宋体" w:hAnsi="宋体" w:cs="宋体"/>
          <w:color w:val="auto"/>
          <w:sz w:val="22"/>
          <w:szCs w:val="22"/>
          <w:highlight w:val="none"/>
        </w:rPr>
        <w:t>纳入人民银行台州市分行综合评价的银行，上年度综合评价应达到B级及以上，不纳入人民银行台州市分行综合评价范围的银行不受此限制（如人民银行台州市分行未对投标人的支行作出综合评价，投标人可采用上级分行的综合评价材料）</w:t>
      </w:r>
      <w:r>
        <w:rPr>
          <w:rFonts w:hint="eastAsia" w:ascii="宋体" w:hAnsi="宋体" w:cs="宋体"/>
          <w:color w:val="auto"/>
          <w:sz w:val="22"/>
          <w:szCs w:val="22"/>
          <w:highlight w:val="none"/>
          <w:lang w:eastAsia="zh-CN"/>
        </w:rPr>
        <w:t>。</w:t>
      </w:r>
    </w:p>
    <w:p w14:paraId="0FA52267">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4.本项目不接受联合体投标，且每家银行只能有一个主体参与投标。</w:t>
      </w:r>
    </w:p>
    <w:p w14:paraId="0A2AFCF2">
      <w:pPr>
        <w:spacing w:line="440" w:lineRule="exact"/>
        <w:ind w:left="989" w:leftChars="228" w:hanging="442" w:hangingChars="200"/>
        <w:outlineLvl w:val="1"/>
        <w:rPr>
          <w:rFonts w:ascii="宋体" w:hAnsi="宋体" w:cs="宋体"/>
          <w:b/>
          <w:color w:val="auto"/>
          <w:sz w:val="22"/>
          <w:szCs w:val="22"/>
        </w:rPr>
      </w:pPr>
      <w:r>
        <w:rPr>
          <w:rFonts w:hint="eastAsia" w:ascii="宋体" w:hAnsi="宋体" w:cs="宋体"/>
          <w:b/>
          <w:color w:val="auto"/>
          <w:sz w:val="22"/>
          <w:szCs w:val="22"/>
        </w:rPr>
        <w:t>六、采购文件获取及报名的时间、方式</w:t>
      </w:r>
    </w:p>
    <w:p w14:paraId="4D570891">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1、报名时间：</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日至</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16 </w:t>
      </w:r>
      <w:r>
        <w:rPr>
          <w:rFonts w:hint="eastAsia" w:ascii="宋体" w:hAnsi="宋体" w:cs="宋体"/>
          <w:color w:val="auto"/>
          <w:sz w:val="22"/>
          <w:szCs w:val="22"/>
        </w:rPr>
        <w:t>日每天上午00:00至12:00，下午12:00至23:59（北京时间，线上获取法定节假日均可，线下获取文件法定节假日除外）；</w:t>
      </w:r>
    </w:p>
    <w:p w14:paraId="240B4AB2">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2、报名方式：</w:t>
      </w:r>
      <w:r>
        <w:rPr>
          <w:rFonts w:hint="eastAsia" w:ascii="宋体" w:hAnsi="宋体" w:cs="宋体"/>
          <w:color w:val="auto"/>
          <w:sz w:val="22"/>
          <w:szCs w:val="22"/>
          <w:u w:val="single"/>
        </w:rPr>
        <w:t>本项目实行网上报名，不接受现场报名。报名银行须登录政府采购云平台（https://www.zcygov.cn），进入公款竞争性存放招标系统（以下简称“招标系统”），在“竞标项目－进行中”标签页下，选择状态为“未报名”的项目，点击操作栏【报名】按钮进行报名。报名成功后联系人会收到短信通知，逾期报名视为未报名。（公告规定的采购文件获取方式为依法获取采购文件的方式，未按照公告规定的方式获取采购文件的，不得对采购文件提起质疑、投诉。）</w:t>
      </w:r>
    </w:p>
    <w:p w14:paraId="41528AD1">
      <w:pPr>
        <w:spacing w:line="44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3、采购文件获取方式：</w:t>
      </w:r>
      <w:r>
        <w:rPr>
          <w:rFonts w:hint="eastAsia" w:ascii="宋体" w:hAnsi="宋体" w:cs="宋体"/>
          <w:color w:val="auto"/>
          <w:sz w:val="22"/>
          <w:szCs w:val="22"/>
          <w:u w:val="single"/>
        </w:rPr>
        <w:t>报名成功后可在线查阅采购文件。</w:t>
      </w:r>
    </w:p>
    <w:p w14:paraId="662C006F">
      <w:pPr>
        <w:spacing w:line="440" w:lineRule="exact"/>
        <w:ind w:left="989" w:leftChars="228" w:hanging="442" w:hangingChars="200"/>
        <w:outlineLvl w:val="1"/>
        <w:rPr>
          <w:rFonts w:ascii="宋体" w:hAnsi="宋体" w:cs="宋体"/>
          <w:b/>
          <w:color w:val="auto"/>
          <w:sz w:val="22"/>
          <w:szCs w:val="22"/>
        </w:rPr>
      </w:pPr>
      <w:r>
        <w:rPr>
          <w:rFonts w:hint="eastAsia" w:ascii="宋体" w:hAnsi="宋体" w:cs="宋体"/>
          <w:b/>
          <w:color w:val="auto"/>
          <w:sz w:val="22"/>
          <w:szCs w:val="22"/>
        </w:rPr>
        <w:t>七、投标须知</w:t>
      </w:r>
    </w:p>
    <w:p w14:paraId="58C26B50">
      <w:pPr>
        <w:spacing w:line="440" w:lineRule="exact"/>
        <w:ind w:firstLine="480"/>
        <w:rPr>
          <w:rFonts w:ascii="宋体" w:hAnsi="宋体" w:cs="宋体"/>
          <w:color w:val="auto"/>
          <w:sz w:val="22"/>
          <w:szCs w:val="22"/>
          <w:u w:val="single"/>
        </w:rPr>
      </w:pPr>
      <w:r>
        <w:rPr>
          <w:rFonts w:hint="eastAsia" w:ascii="宋体" w:hAnsi="宋体" w:cs="宋体"/>
          <w:color w:val="auto"/>
          <w:sz w:val="22"/>
          <w:szCs w:val="22"/>
        </w:rPr>
        <w:t>1、招标信息发布媒介：</w:t>
      </w:r>
      <w:r>
        <w:rPr>
          <w:rFonts w:hint="eastAsia" w:ascii="宋体" w:hAnsi="宋体" w:cs="宋体"/>
          <w:color w:val="auto"/>
          <w:sz w:val="22"/>
          <w:szCs w:val="22"/>
          <w:u w:val="single"/>
        </w:rPr>
        <w:t>浙江政府采购网（网址：https://zfcg.czt.zj.gov.cn）、天台县人民政府门户网站：（http://www.zjtt.gov.cn/col/col1229299509/index.html）。</w:t>
      </w:r>
    </w:p>
    <w:p w14:paraId="7D5E5142">
      <w:pPr>
        <w:spacing w:line="440" w:lineRule="exact"/>
        <w:ind w:firstLine="480"/>
        <w:rPr>
          <w:rFonts w:ascii="宋体" w:hAnsi="宋体" w:cs="宋体"/>
          <w:color w:val="auto"/>
          <w:sz w:val="22"/>
          <w:szCs w:val="22"/>
        </w:rPr>
      </w:pPr>
      <w:r>
        <w:rPr>
          <w:rFonts w:hint="eastAsia" w:ascii="宋体" w:hAnsi="宋体" w:cs="宋体"/>
          <w:color w:val="auto"/>
          <w:sz w:val="22"/>
          <w:szCs w:val="22"/>
        </w:rPr>
        <w:t>2、在线投标响应（电子投标）说明：</w:t>
      </w:r>
    </w:p>
    <w:p w14:paraId="19D018E7">
      <w:pPr>
        <w:spacing w:line="440" w:lineRule="exact"/>
        <w:ind w:firstLine="480"/>
        <w:rPr>
          <w:rFonts w:ascii="宋体" w:hAnsi="宋体" w:cs="宋体"/>
          <w:color w:val="auto"/>
          <w:sz w:val="22"/>
          <w:szCs w:val="22"/>
          <w:u w:val="single"/>
        </w:rPr>
      </w:pPr>
      <w:r>
        <w:rPr>
          <w:rFonts w:hint="eastAsia" w:ascii="宋体" w:hAnsi="宋体" w:cs="宋体"/>
          <w:color w:val="auto"/>
          <w:sz w:val="22"/>
          <w:szCs w:val="22"/>
          <w:u w:val="single"/>
        </w:rPr>
        <w:t>①本项目采用公款竞争性存放采用网上招标方式；</w:t>
      </w:r>
    </w:p>
    <w:p w14:paraId="1200B66F">
      <w:pPr>
        <w:spacing w:line="440" w:lineRule="exact"/>
        <w:ind w:firstLine="480"/>
        <w:rPr>
          <w:rFonts w:ascii="宋体" w:hAnsi="宋体" w:cs="宋体"/>
          <w:color w:val="auto"/>
          <w:spacing w:val="-11"/>
          <w:sz w:val="22"/>
          <w:szCs w:val="22"/>
          <w:u w:val="single"/>
        </w:rPr>
      </w:pPr>
      <w:r>
        <w:rPr>
          <w:rFonts w:hint="eastAsia" w:ascii="宋体" w:hAnsi="宋体" w:cs="宋体"/>
          <w:color w:val="auto"/>
          <w:spacing w:val="-11"/>
          <w:sz w:val="22"/>
          <w:szCs w:val="22"/>
          <w:u w:val="single"/>
        </w:rPr>
        <w:t>②投标人应在投标报名前提交政府采购云平台（https://www.zcygov.cn）银行入驻申请并成为公款存放正式供应商，否则无法参与线上公款竞争性存放业务。如未进行银行入驻，请登录以下网址 https://middle.zcygov.cn/v-settle-front/registry?settleCategory=1&amp;entranceType=50（银行入驻注册页面） 完成入驻；</w:t>
      </w:r>
    </w:p>
    <w:p w14:paraId="2DFEDAA6">
      <w:pPr>
        <w:spacing w:line="440" w:lineRule="exact"/>
        <w:ind w:firstLine="480"/>
        <w:rPr>
          <w:rFonts w:ascii="宋体" w:hAnsi="宋体" w:cs="宋体"/>
          <w:color w:val="auto"/>
          <w:sz w:val="22"/>
          <w:szCs w:val="22"/>
          <w:u w:val="single"/>
        </w:rPr>
      </w:pPr>
      <w:r>
        <w:rPr>
          <w:rFonts w:hint="eastAsia" w:ascii="宋体" w:hAnsi="宋体" w:cs="宋体"/>
          <w:color w:val="auto"/>
          <w:sz w:val="22"/>
          <w:szCs w:val="22"/>
          <w:u w:val="single"/>
        </w:rPr>
        <w:t>③</w:t>
      </w:r>
      <w:r>
        <w:rPr>
          <w:rFonts w:hint="eastAsia" w:ascii="宋体" w:hAnsi="宋体" w:cs="宋体"/>
          <w:color w:val="auto"/>
          <w:spacing w:val="-6"/>
          <w:sz w:val="22"/>
          <w:szCs w:val="22"/>
          <w:u w:val="single"/>
        </w:rPr>
        <w:t>网上电子投标具体流程详见操作指南：登录政府采购云平台（https://www.zcygov.cn/），从首页-服务中心-帮助文档-公款竞争性存放-操作流程，查看文档；</w:t>
      </w:r>
    </w:p>
    <w:p w14:paraId="29729C75">
      <w:pPr>
        <w:spacing w:line="440" w:lineRule="exact"/>
        <w:ind w:firstLine="480"/>
        <w:rPr>
          <w:rFonts w:ascii="宋体" w:hAnsi="宋体" w:cs="宋体"/>
          <w:color w:val="auto"/>
          <w:sz w:val="22"/>
          <w:szCs w:val="22"/>
          <w:u w:val="single"/>
        </w:rPr>
      </w:pPr>
      <w:r>
        <w:rPr>
          <w:rFonts w:hint="eastAsia" w:ascii="宋体" w:hAnsi="宋体" w:cs="宋体"/>
          <w:color w:val="auto"/>
          <w:sz w:val="22"/>
          <w:szCs w:val="22"/>
          <w:u w:val="single"/>
        </w:rPr>
        <w:t>④如有疑问，可致电政府采购云平台技术支持热线咨询，联系方式：400-881-7190。</w:t>
      </w:r>
    </w:p>
    <w:p w14:paraId="102A316A">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八、投标起止时间及方式</w:t>
      </w:r>
    </w:p>
    <w:p w14:paraId="608CFDFA">
      <w:pPr>
        <w:spacing w:line="440" w:lineRule="exact"/>
        <w:ind w:firstLine="480"/>
        <w:rPr>
          <w:rFonts w:ascii="宋体" w:hAnsi="宋体" w:cs="宋体"/>
          <w:color w:val="auto"/>
          <w:sz w:val="22"/>
          <w:szCs w:val="22"/>
        </w:rPr>
      </w:pPr>
      <w:r>
        <w:rPr>
          <w:rFonts w:hint="eastAsia" w:ascii="宋体" w:hAnsi="宋体" w:cs="宋体"/>
          <w:color w:val="auto"/>
          <w:sz w:val="22"/>
          <w:szCs w:val="22"/>
        </w:rPr>
        <w:t>1、投标截止时间：</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21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30 </w:t>
      </w:r>
      <w:r>
        <w:rPr>
          <w:rFonts w:hint="eastAsia" w:ascii="宋体" w:hAnsi="宋体" w:cs="宋体"/>
          <w:color w:val="auto"/>
          <w:sz w:val="22"/>
          <w:szCs w:val="22"/>
        </w:rPr>
        <w:t>分</w:t>
      </w:r>
    </w:p>
    <w:p w14:paraId="28E93FF5">
      <w:pPr>
        <w:spacing w:line="440" w:lineRule="exact"/>
        <w:ind w:firstLine="480"/>
        <w:rPr>
          <w:rFonts w:ascii="宋体" w:hAnsi="宋体" w:cs="宋体"/>
          <w:color w:val="auto"/>
          <w:sz w:val="22"/>
          <w:szCs w:val="22"/>
        </w:rPr>
      </w:pPr>
      <w:r>
        <w:rPr>
          <w:rFonts w:hint="eastAsia" w:ascii="宋体" w:hAnsi="宋体" w:cs="宋体"/>
          <w:color w:val="auto"/>
          <w:sz w:val="22"/>
          <w:szCs w:val="22"/>
        </w:rPr>
        <w:t>2、投标地点：</w:t>
      </w:r>
      <w:r>
        <w:rPr>
          <w:rFonts w:hint="eastAsia" w:ascii="宋体" w:hAnsi="宋体" w:cs="宋体"/>
          <w:color w:val="auto"/>
          <w:sz w:val="22"/>
          <w:szCs w:val="22"/>
          <w:u w:val="single"/>
        </w:rPr>
        <w:t>政府采购云平台（https://www.zcygov.cn），本项目实行网上电子投标，投标人于投标截止时间前按照电子投标要求将电子标书上传到“政采云”平台并确认，逾期或未上传成功的，将导致无法投标或投标无效</w:t>
      </w:r>
      <w:r>
        <w:rPr>
          <w:rFonts w:hint="eastAsia" w:ascii="宋体" w:hAnsi="宋体" w:cs="宋体"/>
          <w:color w:val="auto"/>
          <w:sz w:val="22"/>
          <w:szCs w:val="22"/>
        </w:rPr>
        <w:t xml:space="preserve">。   </w:t>
      </w:r>
    </w:p>
    <w:p w14:paraId="6DD11E9A">
      <w:pPr>
        <w:spacing w:line="440" w:lineRule="exact"/>
        <w:ind w:firstLine="480"/>
        <w:rPr>
          <w:rFonts w:ascii="宋体" w:hAnsi="宋体" w:cs="宋体"/>
          <w:color w:val="auto"/>
          <w:sz w:val="22"/>
          <w:szCs w:val="22"/>
        </w:rPr>
      </w:pPr>
      <w:r>
        <w:rPr>
          <w:rFonts w:hint="eastAsia" w:ascii="宋体" w:hAnsi="宋体" w:cs="宋体"/>
          <w:b/>
          <w:bCs/>
          <w:color w:val="auto"/>
          <w:sz w:val="22"/>
          <w:szCs w:val="22"/>
        </w:rPr>
        <w:t>九、开标起止时间及方式</w:t>
      </w:r>
    </w:p>
    <w:p w14:paraId="67C42A69">
      <w:pPr>
        <w:spacing w:line="440" w:lineRule="exact"/>
        <w:ind w:firstLine="480"/>
        <w:rPr>
          <w:rFonts w:ascii="宋体" w:hAnsi="宋体" w:cs="宋体"/>
          <w:color w:val="auto"/>
          <w:sz w:val="22"/>
          <w:szCs w:val="22"/>
        </w:rPr>
      </w:pPr>
      <w:r>
        <w:rPr>
          <w:rFonts w:hint="eastAsia" w:ascii="宋体" w:hAnsi="宋体" w:cs="宋体"/>
          <w:color w:val="auto"/>
          <w:sz w:val="22"/>
          <w:szCs w:val="22"/>
        </w:rPr>
        <w:t>1、开标时间：</w:t>
      </w:r>
      <w:r>
        <w:rPr>
          <w:rFonts w:hint="eastAsia" w:ascii="宋体"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7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21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30 </w:t>
      </w:r>
      <w:r>
        <w:rPr>
          <w:rFonts w:hint="eastAsia" w:ascii="宋体" w:hAnsi="宋体" w:cs="宋体"/>
          <w:color w:val="auto"/>
          <w:sz w:val="22"/>
          <w:szCs w:val="22"/>
        </w:rPr>
        <w:t>分</w:t>
      </w:r>
    </w:p>
    <w:p w14:paraId="42BEFADF">
      <w:pPr>
        <w:pStyle w:val="7"/>
        <w:spacing w:line="440" w:lineRule="exact"/>
        <w:ind w:firstLine="440" w:firstLineChars="200"/>
        <w:rPr>
          <w:rFonts w:ascii="宋体" w:hAnsi="宋体" w:cs="宋体"/>
          <w:color w:val="auto"/>
          <w:sz w:val="22"/>
          <w:szCs w:val="22"/>
          <w:u w:val="single"/>
        </w:rPr>
      </w:pPr>
      <w:r>
        <w:rPr>
          <w:rFonts w:hint="eastAsia" w:ascii="宋体" w:hAnsi="宋体" w:cs="宋体"/>
          <w:color w:val="auto"/>
          <w:sz w:val="22"/>
          <w:szCs w:val="22"/>
        </w:rPr>
        <w:t>2、开标地点：</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eastAsia="zh-CN"/>
        </w:rPr>
        <w:t>浙江祥泽招标代理有限公司</w:t>
      </w:r>
      <w:r>
        <w:rPr>
          <w:rFonts w:hint="eastAsia" w:ascii="宋体" w:hAnsi="宋体" w:cs="宋体"/>
          <w:color w:val="auto"/>
          <w:sz w:val="22"/>
          <w:szCs w:val="22"/>
          <w:u w:val="single"/>
        </w:rPr>
        <w:t xml:space="preserve">会议室（投标人无需到场参加，浙江省政府采购网上在线参加开标会议） </w:t>
      </w:r>
    </w:p>
    <w:p w14:paraId="0BAF91DC">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十、其他</w:t>
      </w:r>
    </w:p>
    <w:p w14:paraId="18540082">
      <w:pPr>
        <w:spacing w:line="240" w:lineRule="auto"/>
        <w:ind w:firstLine="48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采购人或招标代理机构可以对已发出的采购文件进行必要的澄清或者修改。澄清或者修改的内容可能影响投标文件编制的，采购人或招标代理机构应当在发布招标公告的网站上发布更正公告或以书面形式通知所有已获取采购文件的潜在投标人，并且应当顺延投标截止时间，发布更正公告或书面变更通知之日至投标截止之日不得少于5个工作日。</w:t>
      </w:r>
    </w:p>
    <w:p w14:paraId="7FCEAD55">
      <w:pPr>
        <w:spacing w:line="240" w:lineRule="auto"/>
        <w:ind w:firstLine="48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2、如中标银行在定期存款到期后无故阻挠采购人正常取款的，采购人有权取消该银行在本单位下一期公款竞争性存放的投标资格。</w:t>
      </w:r>
    </w:p>
    <w:p w14:paraId="5ED258DB">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十一、联系方式</w:t>
      </w:r>
    </w:p>
    <w:p w14:paraId="6BD854E6">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1、采购人</w:t>
      </w:r>
    </w:p>
    <w:p w14:paraId="7AB02584">
      <w:pPr>
        <w:spacing w:line="440" w:lineRule="exact"/>
        <w:ind w:firstLine="480"/>
        <w:rPr>
          <w:rFonts w:ascii="宋体" w:hAnsi="宋体" w:cs="宋体"/>
          <w:color w:val="auto"/>
          <w:sz w:val="22"/>
          <w:szCs w:val="22"/>
        </w:rPr>
      </w:pPr>
      <w:r>
        <w:rPr>
          <w:rFonts w:hint="eastAsia" w:ascii="宋体" w:hAnsi="宋体" w:cs="宋体"/>
          <w:color w:val="auto"/>
          <w:sz w:val="22"/>
          <w:szCs w:val="22"/>
        </w:rPr>
        <w:t>名    称：天台县综合行政执法局</w:t>
      </w:r>
    </w:p>
    <w:p w14:paraId="676BD2E3">
      <w:pPr>
        <w:spacing w:line="440" w:lineRule="exact"/>
        <w:ind w:firstLine="48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点：天台县工人东路151号</w:t>
      </w:r>
    </w:p>
    <w:p w14:paraId="580DE699">
      <w:pPr>
        <w:spacing w:line="440" w:lineRule="exact"/>
        <w:ind w:firstLine="480"/>
        <w:rPr>
          <w:rFonts w:ascii="宋体" w:hAnsi="宋体" w:cs="宋体"/>
          <w:color w:val="auto"/>
          <w:sz w:val="22"/>
          <w:szCs w:val="22"/>
        </w:rPr>
      </w:pPr>
      <w:r>
        <w:rPr>
          <w:rFonts w:hint="eastAsia" w:ascii="宋体" w:hAnsi="宋体" w:cs="宋体"/>
          <w:color w:val="auto"/>
          <w:sz w:val="22"/>
          <w:szCs w:val="22"/>
        </w:rPr>
        <w:t>联系人：陈丹丹   联系电话：0576-89356729</w:t>
      </w:r>
    </w:p>
    <w:p w14:paraId="01B9E855">
      <w:pPr>
        <w:spacing w:line="440" w:lineRule="exact"/>
        <w:ind w:firstLine="480"/>
        <w:rPr>
          <w:rFonts w:ascii="宋体" w:hAnsi="宋体" w:cs="宋体"/>
          <w:b/>
          <w:bCs/>
          <w:color w:val="auto"/>
          <w:sz w:val="22"/>
          <w:szCs w:val="22"/>
        </w:rPr>
      </w:pPr>
      <w:r>
        <w:rPr>
          <w:rFonts w:hint="eastAsia" w:ascii="宋体" w:hAnsi="宋体" w:cs="宋体"/>
          <w:b/>
          <w:bCs/>
          <w:color w:val="auto"/>
          <w:sz w:val="22"/>
          <w:szCs w:val="22"/>
        </w:rPr>
        <w:t>2、采购代理机构</w:t>
      </w:r>
    </w:p>
    <w:p w14:paraId="5235D741">
      <w:pPr>
        <w:spacing w:line="440" w:lineRule="exact"/>
        <w:ind w:firstLine="480"/>
        <w:rPr>
          <w:rFonts w:hint="eastAsia" w:ascii="宋体" w:hAnsi="宋体" w:eastAsia="宋体" w:cs="宋体"/>
          <w:color w:val="auto"/>
          <w:sz w:val="22"/>
          <w:szCs w:val="22"/>
          <w:lang w:eastAsia="zh-CN"/>
        </w:rPr>
      </w:pPr>
      <w:r>
        <w:rPr>
          <w:rFonts w:hint="eastAsia" w:ascii="宋体" w:hAnsi="宋体" w:cs="宋体"/>
          <w:color w:val="auto"/>
          <w:sz w:val="22"/>
          <w:szCs w:val="22"/>
        </w:rPr>
        <w:t>名    称：</w:t>
      </w:r>
      <w:r>
        <w:rPr>
          <w:rFonts w:hint="eastAsia" w:ascii="宋体" w:hAnsi="宋体" w:cs="宋体"/>
          <w:color w:val="auto"/>
          <w:sz w:val="22"/>
          <w:szCs w:val="22"/>
          <w:lang w:eastAsia="zh-CN"/>
        </w:rPr>
        <w:t>浙江祥泽招标代理有限公司</w:t>
      </w:r>
    </w:p>
    <w:p w14:paraId="283C22DC">
      <w:pPr>
        <w:spacing w:line="440" w:lineRule="exact"/>
        <w:ind w:firstLine="480"/>
        <w:rPr>
          <w:rFonts w:hint="eastAsia" w:ascii="宋体" w:hAnsi="宋体" w:eastAsia="宋体" w:cs="宋体"/>
          <w:color w:val="auto"/>
          <w:sz w:val="22"/>
          <w:szCs w:val="22"/>
          <w:lang w:eastAsia="zh-CN"/>
        </w:rPr>
      </w:pPr>
      <w:r>
        <w:rPr>
          <w:rFonts w:hint="eastAsia" w:ascii="宋体" w:hAnsi="宋体" w:cs="宋体"/>
          <w:color w:val="auto"/>
          <w:sz w:val="22"/>
          <w:szCs w:val="22"/>
        </w:rPr>
        <w:t>地    点：</w:t>
      </w:r>
      <w:r>
        <w:rPr>
          <w:rFonts w:hint="eastAsia" w:ascii="宋体" w:hAnsi="宋体" w:cs="宋体"/>
          <w:color w:val="auto"/>
          <w:sz w:val="22"/>
          <w:szCs w:val="22"/>
          <w:lang w:eastAsia="zh-CN"/>
        </w:rPr>
        <w:t>天台县始丰街道西演茅村14巷39号</w:t>
      </w:r>
    </w:p>
    <w:p w14:paraId="50DEB38C">
      <w:pPr>
        <w:spacing w:line="440" w:lineRule="exact"/>
        <w:ind w:firstLine="480"/>
        <w:rPr>
          <w:rFonts w:hint="eastAsia" w:ascii="宋体" w:hAnsi="宋体" w:eastAsia="宋体" w:cs="宋体"/>
          <w:color w:val="auto"/>
          <w:sz w:val="22"/>
          <w:szCs w:val="22"/>
          <w:lang w:eastAsia="zh-CN"/>
        </w:rPr>
      </w:pPr>
      <w:r>
        <w:rPr>
          <w:rFonts w:hint="eastAsia" w:ascii="宋体" w:hAnsi="宋体" w:cs="宋体"/>
          <w:color w:val="auto"/>
          <w:sz w:val="22"/>
          <w:szCs w:val="22"/>
        </w:rPr>
        <w:t>联 系 人：</w:t>
      </w:r>
      <w:r>
        <w:rPr>
          <w:rFonts w:hint="eastAsia" w:ascii="宋体" w:hAnsi="宋体" w:cs="宋体"/>
          <w:color w:val="auto"/>
          <w:sz w:val="22"/>
          <w:szCs w:val="22"/>
          <w:lang w:eastAsia="zh-CN"/>
        </w:rPr>
        <w:t>申建彬</w:t>
      </w:r>
      <w:r>
        <w:rPr>
          <w:rFonts w:hint="eastAsia" w:ascii="宋体" w:hAnsi="宋体" w:cs="宋体"/>
          <w:color w:val="auto"/>
          <w:sz w:val="22"/>
          <w:szCs w:val="22"/>
        </w:rPr>
        <w:t xml:space="preserve">   联系电话：</w:t>
      </w:r>
      <w:r>
        <w:rPr>
          <w:rFonts w:hint="eastAsia" w:ascii="宋体" w:hAnsi="宋体" w:cs="宋体"/>
          <w:color w:val="auto"/>
          <w:sz w:val="22"/>
          <w:szCs w:val="22"/>
          <w:lang w:eastAsia="zh-CN"/>
        </w:rPr>
        <w:t>15867079036</w:t>
      </w:r>
    </w:p>
    <w:p w14:paraId="1440FD9F">
      <w:pPr>
        <w:spacing w:line="440" w:lineRule="exact"/>
        <w:ind w:firstLine="331" w:firstLineChars="150"/>
        <w:rPr>
          <w:rFonts w:ascii="宋体" w:hAnsi="宋体" w:cs="宋体"/>
          <w:b/>
          <w:color w:val="auto"/>
          <w:sz w:val="22"/>
          <w:szCs w:val="22"/>
        </w:rPr>
      </w:pPr>
      <w:r>
        <w:rPr>
          <w:rFonts w:hint="eastAsia" w:ascii="宋体" w:hAnsi="宋体" w:cs="宋体"/>
          <w:b/>
          <w:bCs/>
          <w:color w:val="auto"/>
          <w:sz w:val="22"/>
          <w:szCs w:val="22"/>
        </w:rPr>
        <w:t>注：</w:t>
      </w:r>
      <w:r>
        <w:rPr>
          <w:rFonts w:hint="eastAsia" w:ascii="宋体" w:hAnsi="宋体" w:cs="宋体"/>
          <w:b/>
          <w:color w:val="auto"/>
          <w:sz w:val="22"/>
          <w:szCs w:val="22"/>
        </w:rPr>
        <w:t>1、本采购文件时间以北京时间为准，采用24小时制。</w:t>
      </w:r>
    </w:p>
    <w:p w14:paraId="070815E7">
      <w:pPr>
        <w:rPr>
          <w:rStyle w:val="24"/>
          <w:color w:val="auto"/>
        </w:rPr>
      </w:pPr>
      <w:bookmarkStart w:id="4" w:name="_Toc32450"/>
      <w:bookmarkStart w:id="5" w:name="_Toc22934"/>
      <w:bookmarkStart w:id="6" w:name="_Toc19570"/>
      <w:r>
        <w:rPr>
          <w:rStyle w:val="24"/>
          <w:rFonts w:hint="eastAsia"/>
          <w:color w:val="auto"/>
        </w:rPr>
        <w:br w:type="page"/>
      </w:r>
    </w:p>
    <w:p w14:paraId="4A3028A4">
      <w:pPr>
        <w:jc w:val="center"/>
        <w:rPr>
          <w:color w:val="auto"/>
        </w:rPr>
      </w:pPr>
      <w:r>
        <w:rPr>
          <w:rStyle w:val="24"/>
          <w:rFonts w:hint="eastAsia"/>
          <w:color w:val="auto"/>
        </w:rPr>
        <w:t>第二章投标人须知</w:t>
      </w:r>
      <w:bookmarkEnd w:id="3"/>
      <w:bookmarkEnd w:id="4"/>
      <w:bookmarkEnd w:id="5"/>
      <w:bookmarkEnd w:id="6"/>
      <w:bookmarkStart w:id="7" w:name="_Toc123628879"/>
    </w:p>
    <w:p w14:paraId="1DDA2351">
      <w:pPr>
        <w:jc w:val="center"/>
        <w:rPr>
          <w:color w:val="auto"/>
        </w:rPr>
      </w:pPr>
      <w:r>
        <w:rPr>
          <w:rFonts w:hint="eastAsia"/>
          <w:color w:val="auto"/>
        </w:rPr>
        <w:t>投标人须知前附表</w:t>
      </w:r>
    </w:p>
    <w:tbl>
      <w:tblPr>
        <w:tblStyle w:val="20"/>
        <w:tblW w:w="102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55"/>
        <w:gridCol w:w="7780"/>
      </w:tblGrid>
      <w:tr w14:paraId="7C0BB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1" w:type="dxa"/>
            <w:tcBorders>
              <w:tl2br w:val="nil"/>
              <w:tr2bl w:val="nil"/>
            </w:tcBorders>
            <w:vAlign w:val="center"/>
          </w:tcPr>
          <w:p w14:paraId="162CD07B">
            <w:pPr>
              <w:jc w:val="center"/>
              <w:rPr>
                <w:b/>
                <w:bCs/>
                <w:color w:val="auto"/>
                <w:sz w:val="22"/>
                <w:szCs w:val="22"/>
              </w:rPr>
            </w:pPr>
            <w:r>
              <w:rPr>
                <w:rFonts w:hint="eastAsia"/>
                <w:b/>
                <w:bCs/>
                <w:color w:val="auto"/>
                <w:sz w:val="22"/>
                <w:szCs w:val="22"/>
              </w:rPr>
              <w:t>序号</w:t>
            </w:r>
          </w:p>
        </w:tc>
        <w:tc>
          <w:tcPr>
            <w:tcW w:w="1755" w:type="dxa"/>
            <w:tcBorders>
              <w:tl2br w:val="nil"/>
              <w:tr2bl w:val="nil"/>
            </w:tcBorders>
            <w:vAlign w:val="center"/>
          </w:tcPr>
          <w:p w14:paraId="11A8BDE3">
            <w:pPr>
              <w:jc w:val="center"/>
              <w:rPr>
                <w:b/>
                <w:bCs/>
                <w:color w:val="auto"/>
                <w:sz w:val="22"/>
                <w:szCs w:val="22"/>
              </w:rPr>
            </w:pPr>
            <w:r>
              <w:rPr>
                <w:rFonts w:hint="eastAsia"/>
                <w:b/>
                <w:bCs/>
                <w:color w:val="auto"/>
                <w:sz w:val="22"/>
                <w:szCs w:val="22"/>
              </w:rPr>
              <w:t>条 款 名 称</w:t>
            </w:r>
          </w:p>
        </w:tc>
        <w:tc>
          <w:tcPr>
            <w:tcW w:w="7780" w:type="dxa"/>
            <w:tcBorders>
              <w:tl2br w:val="nil"/>
              <w:tr2bl w:val="nil"/>
            </w:tcBorders>
            <w:vAlign w:val="center"/>
          </w:tcPr>
          <w:p w14:paraId="66CDFB0D">
            <w:pPr>
              <w:jc w:val="center"/>
              <w:rPr>
                <w:b/>
                <w:bCs/>
                <w:color w:val="auto"/>
                <w:sz w:val="22"/>
                <w:szCs w:val="22"/>
              </w:rPr>
            </w:pPr>
            <w:r>
              <w:rPr>
                <w:rFonts w:hint="eastAsia"/>
                <w:b/>
                <w:bCs/>
                <w:color w:val="auto"/>
                <w:sz w:val="22"/>
                <w:szCs w:val="22"/>
              </w:rPr>
              <w:t>内       容</w:t>
            </w:r>
          </w:p>
        </w:tc>
      </w:tr>
      <w:tr w14:paraId="7B5B7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A830D78">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1755" w:type="dxa"/>
            <w:tcBorders>
              <w:tl2br w:val="nil"/>
              <w:tr2bl w:val="nil"/>
            </w:tcBorders>
            <w:vAlign w:val="center"/>
          </w:tcPr>
          <w:p w14:paraId="0922F5A2">
            <w:pPr>
              <w:pStyle w:val="10"/>
              <w:spacing w:line="500" w:lineRule="exact"/>
              <w:rPr>
                <w:color w:val="auto"/>
                <w:sz w:val="22"/>
                <w:szCs w:val="22"/>
              </w:rPr>
            </w:pPr>
            <w:r>
              <w:rPr>
                <w:rFonts w:hint="eastAsia" w:hAnsi="宋体" w:cs="宋体"/>
                <w:color w:val="auto"/>
                <w:sz w:val="22"/>
                <w:szCs w:val="22"/>
              </w:rPr>
              <w:t>采购人</w:t>
            </w:r>
          </w:p>
        </w:tc>
        <w:tc>
          <w:tcPr>
            <w:tcW w:w="7780" w:type="dxa"/>
            <w:tcBorders>
              <w:tl2br w:val="nil"/>
              <w:tr2bl w:val="nil"/>
            </w:tcBorders>
            <w:vAlign w:val="center"/>
          </w:tcPr>
          <w:p w14:paraId="7E6ACEE5">
            <w:pPr>
              <w:pStyle w:val="10"/>
              <w:spacing w:line="500" w:lineRule="exact"/>
              <w:rPr>
                <w:rFonts w:hAnsi="宋体" w:cs="宋体"/>
                <w:color w:val="auto"/>
                <w:sz w:val="22"/>
                <w:szCs w:val="22"/>
              </w:rPr>
            </w:pPr>
            <w:r>
              <w:rPr>
                <w:rFonts w:hint="eastAsia" w:hAnsi="宋体" w:cs="宋体"/>
                <w:color w:val="auto"/>
                <w:sz w:val="22"/>
                <w:szCs w:val="22"/>
              </w:rPr>
              <w:t>天台县综合行政执法局</w:t>
            </w:r>
          </w:p>
        </w:tc>
      </w:tr>
      <w:tr w14:paraId="5D548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A09225A">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w:t>
            </w:r>
          </w:p>
        </w:tc>
        <w:tc>
          <w:tcPr>
            <w:tcW w:w="1755" w:type="dxa"/>
            <w:tcBorders>
              <w:tl2br w:val="nil"/>
              <w:tr2bl w:val="nil"/>
            </w:tcBorders>
            <w:vAlign w:val="center"/>
          </w:tcPr>
          <w:p w14:paraId="3BD60A3E">
            <w:pPr>
              <w:pStyle w:val="10"/>
              <w:spacing w:line="500" w:lineRule="exact"/>
              <w:rPr>
                <w:color w:val="auto"/>
                <w:sz w:val="22"/>
                <w:szCs w:val="22"/>
              </w:rPr>
            </w:pPr>
            <w:r>
              <w:rPr>
                <w:rFonts w:hint="eastAsia" w:hAnsi="宋体" w:cs="宋体"/>
                <w:color w:val="auto"/>
                <w:sz w:val="22"/>
                <w:szCs w:val="22"/>
              </w:rPr>
              <w:t>项目名称</w:t>
            </w:r>
          </w:p>
        </w:tc>
        <w:tc>
          <w:tcPr>
            <w:tcW w:w="7780" w:type="dxa"/>
            <w:tcBorders>
              <w:tl2br w:val="nil"/>
              <w:tr2bl w:val="nil"/>
            </w:tcBorders>
            <w:vAlign w:val="center"/>
          </w:tcPr>
          <w:p w14:paraId="7E87D169">
            <w:pPr>
              <w:pStyle w:val="10"/>
              <w:spacing w:line="500" w:lineRule="exact"/>
              <w:rPr>
                <w:rFonts w:hint="eastAsia" w:eastAsia="宋体"/>
                <w:color w:val="auto"/>
                <w:sz w:val="22"/>
                <w:szCs w:val="22"/>
                <w:lang w:eastAsia="zh-CN"/>
              </w:rPr>
            </w:pPr>
            <w:r>
              <w:rPr>
                <w:rFonts w:hint="eastAsia" w:hAnsi="宋体" w:cs="宋体"/>
                <w:color w:val="auto"/>
                <w:sz w:val="22"/>
                <w:szCs w:val="22"/>
                <w:lang w:eastAsia="zh-CN"/>
              </w:rPr>
              <w:t>天台县综合行政执法局物业两金公款竞争性存放2025年（第2期）</w:t>
            </w:r>
          </w:p>
        </w:tc>
      </w:tr>
      <w:tr w14:paraId="21509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42EC71CE">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w:t>
            </w:r>
          </w:p>
        </w:tc>
        <w:tc>
          <w:tcPr>
            <w:tcW w:w="1755" w:type="dxa"/>
            <w:tcBorders>
              <w:tl2br w:val="nil"/>
              <w:tr2bl w:val="nil"/>
            </w:tcBorders>
            <w:vAlign w:val="center"/>
          </w:tcPr>
          <w:p w14:paraId="5575229B">
            <w:pPr>
              <w:pStyle w:val="10"/>
              <w:spacing w:line="500" w:lineRule="exact"/>
              <w:rPr>
                <w:rFonts w:hAnsi="宋体" w:cs="宋体"/>
                <w:color w:val="auto"/>
                <w:sz w:val="22"/>
                <w:szCs w:val="22"/>
              </w:rPr>
            </w:pPr>
            <w:r>
              <w:rPr>
                <w:rFonts w:hint="eastAsia" w:hAnsi="宋体" w:cs="宋体"/>
                <w:color w:val="auto"/>
                <w:sz w:val="22"/>
                <w:szCs w:val="22"/>
              </w:rPr>
              <w:t>采购方式</w:t>
            </w:r>
          </w:p>
        </w:tc>
        <w:tc>
          <w:tcPr>
            <w:tcW w:w="7780" w:type="dxa"/>
            <w:tcBorders>
              <w:tl2br w:val="nil"/>
              <w:tr2bl w:val="nil"/>
            </w:tcBorders>
            <w:vAlign w:val="center"/>
          </w:tcPr>
          <w:p w14:paraId="0A6D8FC8">
            <w:pPr>
              <w:pStyle w:val="10"/>
              <w:spacing w:line="500" w:lineRule="exact"/>
              <w:rPr>
                <w:rFonts w:hAnsi="宋体" w:cs="宋体"/>
                <w:color w:val="auto"/>
                <w:sz w:val="22"/>
                <w:szCs w:val="22"/>
              </w:rPr>
            </w:pPr>
            <w:r>
              <w:rPr>
                <w:rFonts w:hint="eastAsia" w:hAnsi="宋体" w:cs="宋体"/>
                <w:color w:val="auto"/>
                <w:sz w:val="22"/>
                <w:szCs w:val="22"/>
              </w:rPr>
              <w:t>公开招标</w:t>
            </w:r>
          </w:p>
        </w:tc>
      </w:tr>
      <w:tr w14:paraId="03936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0F6A1BB0">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w:t>
            </w:r>
          </w:p>
        </w:tc>
        <w:tc>
          <w:tcPr>
            <w:tcW w:w="1755" w:type="dxa"/>
            <w:tcBorders>
              <w:tl2br w:val="nil"/>
              <w:tr2bl w:val="nil"/>
            </w:tcBorders>
            <w:vAlign w:val="center"/>
          </w:tcPr>
          <w:p w14:paraId="32D6413B">
            <w:pPr>
              <w:pStyle w:val="10"/>
              <w:spacing w:line="500" w:lineRule="exact"/>
              <w:rPr>
                <w:rFonts w:hAnsi="宋体" w:cs="宋体"/>
                <w:color w:val="auto"/>
                <w:sz w:val="22"/>
                <w:szCs w:val="22"/>
              </w:rPr>
            </w:pPr>
            <w:r>
              <w:rPr>
                <w:rFonts w:hint="eastAsia" w:hAnsi="宋体" w:cs="宋体"/>
                <w:color w:val="auto"/>
                <w:sz w:val="22"/>
                <w:szCs w:val="22"/>
              </w:rPr>
              <w:t>服务期限</w:t>
            </w:r>
          </w:p>
        </w:tc>
        <w:tc>
          <w:tcPr>
            <w:tcW w:w="7780" w:type="dxa"/>
            <w:tcBorders>
              <w:tl2br w:val="nil"/>
              <w:tr2bl w:val="nil"/>
            </w:tcBorders>
            <w:vAlign w:val="center"/>
          </w:tcPr>
          <w:p w14:paraId="237A11D9">
            <w:pPr>
              <w:pStyle w:val="10"/>
              <w:spacing w:line="500" w:lineRule="exact"/>
              <w:rPr>
                <w:rFonts w:hint="eastAsia" w:hAnsi="宋体" w:eastAsia="宋体" w:cs="宋体"/>
                <w:color w:val="auto"/>
                <w:sz w:val="22"/>
                <w:szCs w:val="22"/>
                <w:lang w:eastAsia="zh-CN"/>
              </w:rPr>
            </w:pPr>
            <w:r>
              <w:rPr>
                <w:rFonts w:hint="eastAsia" w:hAnsi="宋体" w:cs="宋体"/>
                <w:color w:val="auto"/>
                <w:sz w:val="22"/>
                <w:szCs w:val="22"/>
                <w:lang w:eastAsia="zh-CN"/>
              </w:rPr>
              <w:t>协议书签订之日起36个月</w:t>
            </w:r>
          </w:p>
        </w:tc>
      </w:tr>
      <w:tr w14:paraId="5D45A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6758A44">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5</w:t>
            </w:r>
          </w:p>
        </w:tc>
        <w:tc>
          <w:tcPr>
            <w:tcW w:w="1755" w:type="dxa"/>
            <w:tcBorders>
              <w:tl2br w:val="nil"/>
              <w:tr2bl w:val="nil"/>
            </w:tcBorders>
            <w:vAlign w:val="center"/>
          </w:tcPr>
          <w:p w14:paraId="282DAB37">
            <w:pPr>
              <w:pStyle w:val="10"/>
              <w:spacing w:line="500" w:lineRule="exact"/>
              <w:rPr>
                <w:rFonts w:hAnsi="宋体" w:cs="宋体"/>
                <w:color w:val="auto"/>
                <w:sz w:val="22"/>
                <w:szCs w:val="22"/>
              </w:rPr>
            </w:pPr>
            <w:r>
              <w:rPr>
                <w:rFonts w:hint="eastAsia" w:hAnsi="宋体" w:cs="宋体"/>
                <w:color w:val="auto"/>
                <w:sz w:val="22"/>
                <w:szCs w:val="22"/>
              </w:rPr>
              <w:t>采购内容</w:t>
            </w:r>
          </w:p>
        </w:tc>
        <w:tc>
          <w:tcPr>
            <w:tcW w:w="7780" w:type="dxa"/>
            <w:tcBorders>
              <w:tl2br w:val="nil"/>
              <w:tr2bl w:val="nil"/>
            </w:tcBorders>
            <w:vAlign w:val="center"/>
          </w:tcPr>
          <w:p w14:paraId="20A93C22">
            <w:pPr>
              <w:spacing w:line="440" w:lineRule="exact"/>
              <w:outlineLvl w:val="1"/>
              <w:rPr>
                <w:rFonts w:ascii="宋体" w:hAnsi="宋体" w:cs="宋体"/>
                <w:bCs/>
                <w:color w:val="auto"/>
                <w:kern w:val="44"/>
              </w:rPr>
            </w:pPr>
            <w:r>
              <w:rPr>
                <w:rFonts w:hint="eastAsia" w:ascii="宋体" w:hAnsi="宋体" w:cs="宋体"/>
                <w:color w:val="auto"/>
                <w:sz w:val="22"/>
                <w:szCs w:val="22"/>
              </w:rPr>
              <w:t>具体内容和相关要求详见第四章招标内容及需求。</w:t>
            </w:r>
          </w:p>
        </w:tc>
      </w:tr>
      <w:tr w14:paraId="4359B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81" w:type="dxa"/>
            <w:tcBorders>
              <w:tl2br w:val="nil"/>
              <w:tr2bl w:val="nil"/>
            </w:tcBorders>
            <w:vAlign w:val="center"/>
          </w:tcPr>
          <w:p w14:paraId="4565D2CF">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6</w:t>
            </w:r>
          </w:p>
        </w:tc>
        <w:tc>
          <w:tcPr>
            <w:tcW w:w="1755" w:type="dxa"/>
            <w:tcBorders>
              <w:tl2br w:val="nil"/>
              <w:tr2bl w:val="nil"/>
            </w:tcBorders>
            <w:vAlign w:val="center"/>
          </w:tcPr>
          <w:p w14:paraId="081B63D1">
            <w:pPr>
              <w:pStyle w:val="10"/>
              <w:spacing w:line="500" w:lineRule="exact"/>
              <w:rPr>
                <w:rFonts w:hAnsi="宋体" w:cs="宋体"/>
                <w:color w:val="auto"/>
                <w:sz w:val="22"/>
                <w:szCs w:val="22"/>
              </w:rPr>
            </w:pPr>
            <w:r>
              <w:rPr>
                <w:rFonts w:hint="eastAsia" w:hAnsi="宋体" w:cs="宋体"/>
                <w:color w:val="auto"/>
                <w:sz w:val="22"/>
                <w:szCs w:val="22"/>
              </w:rPr>
              <w:t>招标底价</w:t>
            </w:r>
          </w:p>
        </w:tc>
        <w:tc>
          <w:tcPr>
            <w:tcW w:w="7780" w:type="dxa"/>
            <w:tcBorders>
              <w:tl2br w:val="nil"/>
              <w:tr2bl w:val="nil"/>
            </w:tcBorders>
            <w:vAlign w:val="center"/>
          </w:tcPr>
          <w:p w14:paraId="1922B919">
            <w:pPr>
              <w:pStyle w:val="10"/>
              <w:spacing w:line="500" w:lineRule="exact"/>
              <w:rPr>
                <w:rFonts w:hint="eastAsia" w:ascii="宋体" w:hAnsi="宋体" w:eastAsia="宋体" w:cs="宋体"/>
                <w:color w:val="auto"/>
                <w:sz w:val="22"/>
                <w:szCs w:val="22"/>
                <w:u w:val="none"/>
                <w:lang w:eastAsia="zh-CN"/>
              </w:rPr>
            </w:pPr>
            <w:r>
              <w:rPr>
                <w:rFonts w:hint="eastAsia" w:hAnsi="宋体" w:cs="宋体"/>
                <w:color w:val="auto"/>
                <w:sz w:val="22"/>
                <w:szCs w:val="22"/>
                <w:highlight w:val="none"/>
                <w:u w:val="none"/>
                <w:lang w:eastAsia="zh-CN"/>
              </w:rPr>
              <w:t>较三年期定期存款基准利率上浮不低于-</w:t>
            </w:r>
            <w:r>
              <w:rPr>
                <w:rFonts w:hint="eastAsia" w:hAnsi="宋体" w:cs="宋体"/>
                <w:color w:val="auto"/>
                <w:sz w:val="22"/>
                <w:szCs w:val="22"/>
                <w:highlight w:val="none"/>
                <w:u w:val="none"/>
                <w:lang w:val="en-US" w:eastAsia="zh-CN"/>
              </w:rPr>
              <w:t>120</w:t>
            </w:r>
            <w:r>
              <w:rPr>
                <w:rFonts w:hint="eastAsia" w:hAnsi="宋体" w:cs="宋体"/>
                <w:color w:val="auto"/>
                <w:sz w:val="22"/>
                <w:szCs w:val="22"/>
                <w:highlight w:val="none"/>
                <w:u w:val="none"/>
                <w:lang w:eastAsia="zh-CN"/>
              </w:rPr>
              <w:t>BP；定期存款年利率不低于</w:t>
            </w:r>
            <w:r>
              <w:rPr>
                <w:rFonts w:hint="eastAsia" w:hAnsi="宋体" w:cs="宋体"/>
                <w:color w:val="auto"/>
                <w:sz w:val="22"/>
                <w:szCs w:val="22"/>
                <w:highlight w:val="none"/>
                <w:u w:val="none"/>
                <w:lang w:val="en-US" w:eastAsia="zh-CN"/>
              </w:rPr>
              <w:t>1</w:t>
            </w:r>
            <w:r>
              <w:rPr>
                <w:rFonts w:hint="eastAsia" w:hAnsi="宋体" w:cs="宋体"/>
                <w:color w:val="auto"/>
                <w:sz w:val="22"/>
                <w:szCs w:val="22"/>
                <w:highlight w:val="none"/>
                <w:u w:val="none"/>
                <w:lang w:eastAsia="zh-CN"/>
              </w:rPr>
              <w:t>.</w:t>
            </w:r>
            <w:r>
              <w:rPr>
                <w:rFonts w:hint="eastAsia" w:hAnsi="宋体" w:cs="宋体"/>
                <w:color w:val="auto"/>
                <w:sz w:val="22"/>
                <w:szCs w:val="22"/>
                <w:highlight w:val="none"/>
                <w:u w:val="none"/>
                <w:lang w:val="en-US" w:eastAsia="zh-CN"/>
              </w:rPr>
              <w:t>55</w:t>
            </w:r>
            <w:r>
              <w:rPr>
                <w:rFonts w:hint="eastAsia"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eastAsia="zh-CN"/>
              </w:rPr>
              <w:t>。</w:t>
            </w:r>
          </w:p>
        </w:tc>
      </w:tr>
      <w:tr w14:paraId="77ED4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6577A50">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7</w:t>
            </w:r>
          </w:p>
        </w:tc>
        <w:tc>
          <w:tcPr>
            <w:tcW w:w="1755" w:type="dxa"/>
            <w:tcBorders>
              <w:tl2br w:val="nil"/>
              <w:tr2bl w:val="nil"/>
            </w:tcBorders>
            <w:vAlign w:val="center"/>
          </w:tcPr>
          <w:p w14:paraId="00794ECA">
            <w:pPr>
              <w:pStyle w:val="10"/>
              <w:spacing w:line="500" w:lineRule="exact"/>
              <w:rPr>
                <w:color w:val="auto"/>
                <w:sz w:val="22"/>
                <w:szCs w:val="22"/>
              </w:rPr>
            </w:pPr>
            <w:r>
              <w:rPr>
                <w:rFonts w:hint="eastAsia"/>
                <w:color w:val="auto"/>
                <w:sz w:val="22"/>
                <w:szCs w:val="22"/>
              </w:rPr>
              <w:t>答疑与澄清</w:t>
            </w:r>
          </w:p>
        </w:tc>
        <w:tc>
          <w:tcPr>
            <w:tcW w:w="7780" w:type="dxa"/>
            <w:tcBorders>
              <w:tl2br w:val="nil"/>
              <w:tr2bl w:val="nil"/>
            </w:tcBorders>
            <w:vAlign w:val="center"/>
          </w:tcPr>
          <w:p w14:paraId="36D15141">
            <w:pPr>
              <w:pStyle w:val="10"/>
              <w:spacing w:line="500" w:lineRule="exact"/>
              <w:rPr>
                <w:rFonts w:hint="eastAsia" w:ascii="宋体" w:hAnsi="宋体" w:eastAsia="宋体" w:cs="宋体"/>
                <w:color w:val="auto"/>
                <w:sz w:val="22"/>
                <w:szCs w:val="22"/>
                <w:u w:val="none"/>
                <w:lang w:eastAsia="zh-CN"/>
              </w:rPr>
            </w:pPr>
            <w:r>
              <w:rPr>
                <w:rFonts w:hint="eastAsia" w:ascii="宋体" w:hAnsi="宋体" w:eastAsia="宋体" w:cs="宋体"/>
                <w:color w:val="auto"/>
                <w:sz w:val="22"/>
                <w:szCs w:val="22"/>
                <w:u w:val="none"/>
                <w:lang w:eastAsia="zh-CN"/>
              </w:rPr>
              <w:t>投标人如对采购文件有异议，应当于采购文件要求提交投标文件截止时间五日前，以书面形式向采购单位提出，逾期不予受理。</w:t>
            </w:r>
          </w:p>
        </w:tc>
      </w:tr>
      <w:tr w14:paraId="36BE5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9D6A30B">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8</w:t>
            </w:r>
          </w:p>
        </w:tc>
        <w:tc>
          <w:tcPr>
            <w:tcW w:w="1755" w:type="dxa"/>
            <w:tcBorders>
              <w:tl2br w:val="nil"/>
              <w:tr2bl w:val="nil"/>
            </w:tcBorders>
            <w:vAlign w:val="center"/>
          </w:tcPr>
          <w:p w14:paraId="7C0C8111">
            <w:pPr>
              <w:pStyle w:val="10"/>
              <w:spacing w:line="500" w:lineRule="exact"/>
              <w:rPr>
                <w:color w:val="auto"/>
                <w:sz w:val="22"/>
                <w:szCs w:val="22"/>
              </w:rPr>
            </w:pPr>
            <w:r>
              <w:rPr>
                <w:rFonts w:hint="eastAsia"/>
                <w:color w:val="auto"/>
                <w:sz w:val="22"/>
                <w:szCs w:val="22"/>
              </w:rPr>
              <w:t>投标截止时间</w:t>
            </w:r>
          </w:p>
        </w:tc>
        <w:tc>
          <w:tcPr>
            <w:tcW w:w="7780" w:type="dxa"/>
            <w:tcBorders>
              <w:tl2br w:val="nil"/>
              <w:tr2bl w:val="nil"/>
            </w:tcBorders>
            <w:vAlign w:val="center"/>
          </w:tcPr>
          <w:p w14:paraId="121E7812">
            <w:pPr>
              <w:pStyle w:val="10"/>
              <w:spacing w:line="500" w:lineRule="exact"/>
              <w:rPr>
                <w:color w:val="auto"/>
                <w:sz w:val="22"/>
                <w:szCs w:val="22"/>
              </w:rPr>
            </w:pPr>
            <w:r>
              <w:rPr>
                <w:rFonts w:hint="eastAsia"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 xml:space="preserve"> 7</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21</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3</w:t>
            </w:r>
            <w:r>
              <w:rPr>
                <w:rFonts w:hint="eastAsia" w:ascii="宋体" w:hAnsi="宋体" w:cs="宋体"/>
                <w:color w:val="auto"/>
                <w:sz w:val="22"/>
                <w:szCs w:val="22"/>
                <w:u w:val="single"/>
                <w:lang w:val="en-US" w:eastAsia="zh-CN"/>
              </w:rPr>
              <w:t xml:space="preserve">0 </w:t>
            </w:r>
            <w:r>
              <w:rPr>
                <w:rFonts w:hint="eastAsia" w:ascii="宋体" w:hAnsi="宋体" w:cs="宋体"/>
                <w:color w:val="auto"/>
                <w:sz w:val="22"/>
                <w:szCs w:val="22"/>
              </w:rPr>
              <w:t>分</w:t>
            </w:r>
          </w:p>
        </w:tc>
      </w:tr>
      <w:tr w14:paraId="60278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3D55AE1">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9</w:t>
            </w:r>
          </w:p>
        </w:tc>
        <w:tc>
          <w:tcPr>
            <w:tcW w:w="1755" w:type="dxa"/>
            <w:tcBorders>
              <w:tl2br w:val="nil"/>
              <w:tr2bl w:val="nil"/>
            </w:tcBorders>
            <w:vAlign w:val="center"/>
          </w:tcPr>
          <w:p w14:paraId="52E22538">
            <w:pPr>
              <w:pStyle w:val="10"/>
              <w:spacing w:line="500" w:lineRule="exact"/>
              <w:rPr>
                <w:color w:val="auto"/>
                <w:sz w:val="22"/>
                <w:szCs w:val="22"/>
              </w:rPr>
            </w:pPr>
            <w:r>
              <w:rPr>
                <w:rFonts w:hint="eastAsia" w:hAnsi="宋体" w:cs="宋体"/>
                <w:color w:val="auto"/>
                <w:sz w:val="22"/>
                <w:szCs w:val="22"/>
              </w:rPr>
              <w:t>投标有效期</w:t>
            </w:r>
          </w:p>
        </w:tc>
        <w:tc>
          <w:tcPr>
            <w:tcW w:w="7780" w:type="dxa"/>
            <w:tcBorders>
              <w:tl2br w:val="nil"/>
              <w:tr2bl w:val="nil"/>
            </w:tcBorders>
            <w:vAlign w:val="center"/>
          </w:tcPr>
          <w:p w14:paraId="646C8DDB">
            <w:pPr>
              <w:pStyle w:val="10"/>
              <w:spacing w:line="500" w:lineRule="exact"/>
              <w:rPr>
                <w:color w:val="auto"/>
                <w:sz w:val="22"/>
                <w:szCs w:val="22"/>
              </w:rPr>
            </w:pPr>
            <w:r>
              <w:rPr>
                <w:rFonts w:hint="eastAsia" w:hAnsi="宋体" w:cs="宋体"/>
                <w:color w:val="auto"/>
                <w:sz w:val="22"/>
                <w:szCs w:val="22"/>
              </w:rPr>
              <w:t>90日历天</w:t>
            </w:r>
          </w:p>
        </w:tc>
      </w:tr>
      <w:tr w14:paraId="03757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7EA744C">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10</w:t>
            </w:r>
          </w:p>
        </w:tc>
        <w:tc>
          <w:tcPr>
            <w:tcW w:w="1755" w:type="dxa"/>
            <w:tcBorders>
              <w:tl2br w:val="nil"/>
              <w:tr2bl w:val="nil"/>
            </w:tcBorders>
            <w:vAlign w:val="center"/>
          </w:tcPr>
          <w:p w14:paraId="3FF19D1B">
            <w:pPr>
              <w:pStyle w:val="10"/>
              <w:spacing w:line="500" w:lineRule="exact"/>
              <w:rPr>
                <w:color w:val="auto"/>
                <w:sz w:val="22"/>
                <w:szCs w:val="22"/>
              </w:rPr>
            </w:pPr>
            <w:r>
              <w:rPr>
                <w:rFonts w:hint="eastAsia" w:hAnsi="宋体" w:cs="宋体"/>
                <w:color w:val="auto"/>
                <w:sz w:val="22"/>
                <w:szCs w:val="22"/>
              </w:rPr>
              <w:t>开标时间</w:t>
            </w:r>
          </w:p>
        </w:tc>
        <w:tc>
          <w:tcPr>
            <w:tcW w:w="7780" w:type="dxa"/>
            <w:tcBorders>
              <w:tl2br w:val="nil"/>
              <w:tr2bl w:val="nil"/>
            </w:tcBorders>
            <w:vAlign w:val="center"/>
          </w:tcPr>
          <w:p w14:paraId="42B31E04">
            <w:pPr>
              <w:pStyle w:val="10"/>
              <w:spacing w:line="500" w:lineRule="exact"/>
              <w:rPr>
                <w:rFonts w:ascii="宋体" w:hAnsi="Courier New" w:eastAsia="宋体" w:cs="Times New Roman"/>
                <w:color w:val="auto"/>
                <w:kern w:val="2"/>
                <w:sz w:val="22"/>
                <w:szCs w:val="22"/>
                <w:lang w:val="en-US" w:eastAsia="zh-CN" w:bidi="ar-SA"/>
              </w:rPr>
            </w:pPr>
            <w:r>
              <w:rPr>
                <w:rFonts w:hint="eastAsia" w:hAnsi="宋体" w:cs="宋体"/>
                <w:color w:val="auto"/>
                <w:sz w:val="22"/>
                <w:szCs w:val="22"/>
                <w:u w:val="single"/>
                <w:lang w:eastAsia="zh-CN"/>
              </w:rPr>
              <w:t>2025</w:t>
            </w:r>
            <w:r>
              <w:rPr>
                <w:rFonts w:hint="eastAsia" w:ascii="宋体" w:hAnsi="宋体" w:cs="宋体"/>
                <w:color w:val="auto"/>
                <w:sz w:val="22"/>
                <w:szCs w:val="22"/>
              </w:rPr>
              <w:t>年</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7</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月</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21</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rPr>
              <w:t>日</w:t>
            </w:r>
            <w:r>
              <w:rPr>
                <w:rFonts w:hint="eastAsia" w:ascii="宋体" w:hAnsi="宋体" w:cs="宋体"/>
                <w:color w:val="auto"/>
                <w:sz w:val="22"/>
                <w:szCs w:val="22"/>
                <w:u w:val="single"/>
                <w:lang w:val="en-US" w:eastAsia="zh-CN"/>
              </w:rPr>
              <w:t xml:space="preserve"> 9 </w:t>
            </w:r>
            <w:r>
              <w:rPr>
                <w:rFonts w:hint="eastAsia" w:ascii="宋体" w:hAnsi="宋体" w:cs="宋体"/>
                <w:color w:val="auto"/>
                <w:sz w:val="22"/>
                <w:szCs w:val="22"/>
              </w:rPr>
              <w:t>时</w:t>
            </w:r>
            <w:r>
              <w:rPr>
                <w:rFonts w:hint="eastAsia" w:ascii="宋体" w:hAnsi="宋体" w:cs="宋体"/>
                <w:color w:val="auto"/>
                <w:sz w:val="22"/>
                <w:szCs w:val="22"/>
                <w:u w:val="single"/>
                <w:lang w:val="en-US" w:eastAsia="zh-CN"/>
              </w:rPr>
              <w:t xml:space="preserve"> </w:t>
            </w:r>
            <w:r>
              <w:rPr>
                <w:rFonts w:hint="eastAsia" w:hAnsi="宋体" w:cs="宋体"/>
                <w:color w:val="auto"/>
                <w:sz w:val="22"/>
                <w:szCs w:val="22"/>
                <w:u w:val="single"/>
                <w:lang w:val="en-US" w:eastAsia="zh-CN"/>
              </w:rPr>
              <w:t>3</w:t>
            </w:r>
            <w:r>
              <w:rPr>
                <w:rFonts w:hint="eastAsia" w:ascii="宋体" w:hAnsi="宋体" w:cs="宋体"/>
                <w:color w:val="auto"/>
                <w:sz w:val="22"/>
                <w:szCs w:val="22"/>
                <w:u w:val="single"/>
                <w:lang w:val="en-US" w:eastAsia="zh-CN"/>
              </w:rPr>
              <w:t xml:space="preserve">0 </w:t>
            </w:r>
            <w:r>
              <w:rPr>
                <w:rFonts w:hint="eastAsia" w:ascii="宋体" w:hAnsi="宋体" w:cs="宋体"/>
                <w:color w:val="auto"/>
                <w:sz w:val="22"/>
                <w:szCs w:val="22"/>
              </w:rPr>
              <w:t>分</w:t>
            </w:r>
          </w:p>
        </w:tc>
      </w:tr>
      <w:tr w14:paraId="2EC8A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ACBFC2E">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11</w:t>
            </w:r>
          </w:p>
        </w:tc>
        <w:tc>
          <w:tcPr>
            <w:tcW w:w="1755" w:type="dxa"/>
            <w:tcBorders>
              <w:tl2br w:val="nil"/>
              <w:tr2bl w:val="nil"/>
            </w:tcBorders>
            <w:vAlign w:val="center"/>
          </w:tcPr>
          <w:p w14:paraId="3EE7DFCF">
            <w:pPr>
              <w:pStyle w:val="10"/>
              <w:spacing w:line="500" w:lineRule="exact"/>
              <w:rPr>
                <w:rFonts w:hAnsi="宋体" w:cs="宋体"/>
                <w:color w:val="auto"/>
                <w:sz w:val="22"/>
                <w:szCs w:val="22"/>
              </w:rPr>
            </w:pPr>
            <w:r>
              <w:rPr>
                <w:rFonts w:hint="eastAsia" w:hAnsi="宋体" w:cs="宋体"/>
                <w:color w:val="auto"/>
                <w:sz w:val="22"/>
                <w:szCs w:val="22"/>
              </w:rPr>
              <w:t>开标地点</w:t>
            </w:r>
          </w:p>
        </w:tc>
        <w:tc>
          <w:tcPr>
            <w:tcW w:w="7780" w:type="dxa"/>
            <w:tcBorders>
              <w:tl2br w:val="nil"/>
              <w:tr2bl w:val="nil"/>
            </w:tcBorders>
            <w:vAlign w:val="center"/>
          </w:tcPr>
          <w:p w14:paraId="6295519C">
            <w:pPr>
              <w:pStyle w:val="10"/>
              <w:spacing w:line="440" w:lineRule="exact"/>
              <w:rPr>
                <w:rFonts w:hAnsi="宋体" w:cs="宋体"/>
                <w:color w:val="auto"/>
                <w:sz w:val="22"/>
                <w:szCs w:val="22"/>
              </w:rPr>
            </w:pPr>
            <w:r>
              <w:rPr>
                <w:rFonts w:hint="eastAsia" w:hAnsi="宋体" w:cs="宋体"/>
                <w:color w:val="auto"/>
                <w:sz w:val="22"/>
                <w:szCs w:val="22"/>
                <w:lang w:eastAsia="zh-CN"/>
              </w:rPr>
              <w:t>浙江祥泽招标代理有限公司</w:t>
            </w:r>
            <w:r>
              <w:rPr>
                <w:rFonts w:hint="eastAsia" w:hAnsi="宋体" w:cs="宋体"/>
                <w:color w:val="auto"/>
                <w:sz w:val="22"/>
                <w:szCs w:val="22"/>
              </w:rPr>
              <w:t xml:space="preserve">会议室（投标人无需到场参加，浙江省政府采购网上在线参加开标会议） </w:t>
            </w:r>
          </w:p>
        </w:tc>
      </w:tr>
      <w:tr w14:paraId="7569E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0BAC575">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12</w:t>
            </w:r>
          </w:p>
        </w:tc>
        <w:tc>
          <w:tcPr>
            <w:tcW w:w="1755" w:type="dxa"/>
            <w:tcBorders>
              <w:tl2br w:val="nil"/>
              <w:tr2bl w:val="nil"/>
            </w:tcBorders>
            <w:vAlign w:val="center"/>
          </w:tcPr>
          <w:p w14:paraId="2916AED8">
            <w:pPr>
              <w:pStyle w:val="10"/>
              <w:spacing w:line="500" w:lineRule="exact"/>
              <w:rPr>
                <w:rFonts w:hAnsi="宋体" w:cs="宋体"/>
                <w:color w:val="auto"/>
                <w:sz w:val="22"/>
                <w:szCs w:val="22"/>
              </w:rPr>
            </w:pPr>
            <w:r>
              <w:rPr>
                <w:rFonts w:hint="eastAsia" w:hAnsi="宋体" w:cs="宋体"/>
                <w:color w:val="auto"/>
                <w:sz w:val="22"/>
                <w:szCs w:val="22"/>
              </w:rPr>
              <w:t>是否接受联合体投标</w:t>
            </w:r>
          </w:p>
        </w:tc>
        <w:tc>
          <w:tcPr>
            <w:tcW w:w="7780" w:type="dxa"/>
            <w:tcBorders>
              <w:tl2br w:val="nil"/>
              <w:tr2bl w:val="nil"/>
            </w:tcBorders>
            <w:vAlign w:val="center"/>
          </w:tcPr>
          <w:p w14:paraId="738DDEE8">
            <w:pPr>
              <w:pStyle w:val="10"/>
              <w:spacing w:line="440" w:lineRule="exact"/>
              <w:rPr>
                <w:rFonts w:hAnsi="宋体" w:cs="宋体"/>
                <w:color w:val="auto"/>
                <w:sz w:val="22"/>
                <w:szCs w:val="22"/>
              </w:rPr>
            </w:pPr>
            <w:r>
              <w:rPr>
                <w:rFonts w:hint="eastAsia" w:hAnsi="宋体" w:cs="宋体"/>
                <w:color w:val="auto"/>
                <w:sz w:val="22"/>
                <w:szCs w:val="22"/>
              </w:rPr>
              <w:t>否</w:t>
            </w:r>
          </w:p>
        </w:tc>
      </w:tr>
      <w:tr w14:paraId="56382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1C0F4A67">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13</w:t>
            </w:r>
          </w:p>
        </w:tc>
        <w:tc>
          <w:tcPr>
            <w:tcW w:w="1755" w:type="dxa"/>
            <w:tcBorders>
              <w:tl2br w:val="nil"/>
              <w:tr2bl w:val="nil"/>
            </w:tcBorders>
            <w:vAlign w:val="center"/>
          </w:tcPr>
          <w:p w14:paraId="747E992B">
            <w:pPr>
              <w:pStyle w:val="10"/>
              <w:spacing w:line="500" w:lineRule="exact"/>
              <w:rPr>
                <w:rFonts w:hAnsi="宋体" w:cs="宋体"/>
                <w:color w:val="auto"/>
                <w:sz w:val="22"/>
                <w:szCs w:val="22"/>
              </w:rPr>
            </w:pPr>
            <w:r>
              <w:rPr>
                <w:rFonts w:hint="eastAsia" w:hAnsi="宋体" w:cs="宋体"/>
                <w:color w:val="auto"/>
                <w:sz w:val="22"/>
                <w:szCs w:val="22"/>
              </w:rPr>
              <w:t>是否接受转包与分包</w:t>
            </w:r>
          </w:p>
        </w:tc>
        <w:tc>
          <w:tcPr>
            <w:tcW w:w="7780" w:type="dxa"/>
            <w:tcBorders>
              <w:tl2br w:val="nil"/>
              <w:tr2bl w:val="nil"/>
            </w:tcBorders>
            <w:vAlign w:val="center"/>
          </w:tcPr>
          <w:p w14:paraId="1EAE423D">
            <w:pPr>
              <w:pStyle w:val="10"/>
              <w:spacing w:line="440" w:lineRule="exact"/>
              <w:rPr>
                <w:rFonts w:hAnsi="宋体" w:cs="宋体"/>
                <w:color w:val="auto"/>
                <w:sz w:val="22"/>
                <w:szCs w:val="22"/>
              </w:rPr>
            </w:pPr>
            <w:r>
              <w:rPr>
                <w:rFonts w:hint="eastAsia" w:hAnsi="宋体" w:cs="宋体"/>
                <w:color w:val="auto"/>
                <w:sz w:val="22"/>
                <w:szCs w:val="22"/>
              </w:rPr>
              <w:t>否</w:t>
            </w:r>
          </w:p>
        </w:tc>
      </w:tr>
      <w:tr w14:paraId="516F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A266F08">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w:t>
            </w:r>
          </w:p>
        </w:tc>
        <w:tc>
          <w:tcPr>
            <w:tcW w:w="1755" w:type="dxa"/>
            <w:tcBorders>
              <w:tl2br w:val="nil"/>
              <w:tr2bl w:val="nil"/>
            </w:tcBorders>
            <w:vAlign w:val="center"/>
          </w:tcPr>
          <w:p w14:paraId="7A2F165C">
            <w:pPr>
              <w:pStyle w:val="10"/>
              <w:spacing w:line="500" w:lineRule="exact"/>
              <w:rPr>
                <w:color w:val="auto"/>
                <w:sz w:val="22"/>
                <w:szCs w:val="22"/>
              </w:rPr>
            </w:pPr>
            <w:r>
              <w:rPr>
                <w:rFonts w:hint="eastAsia" w:hAnsi="宋体" w:cs="宋体"/>
                <w:color w:val="auto"/>
                <w:sz w:val="22"/>
                <w:szCs w:val="22"/>
              </w:rPr>
              <w:t>评标办法</w:t>
            </w:r>
          </w:p>
        </w:tc>
        <w:tc>
          <w:tcPr>
            <w:tcW w:w="7780" w:type="dxa"/>
            <w:tcBorders>
              <w:tl2br w:val="nil"/>
              <w:tr2bl w:val="nil"/>
            </w:tcBorders>
            <w:vAlign w:val="center"/>
          </w:tcPr>
          <w:p w14:paraId="3A911B8B">
            <w:pPr>
              <w:pStyle w:val="10"/>
              <w:spacing w:line="440" w:lineRule="exact"/>
              <w:rPr>
                <w:rFonts w:hAnsi="宋体" w:cs="宋体"/>
                <w:color w:val="auto"/>
                <w:sz w:val="22"/>
                <w:szCs w:val="22"/>
              </w:rPr>
            </w:pPr>
            <w:r>
              <w:rPr>
                <w:rFonts w:hint="eastAsia" w:hAnsi="宋体" w:cs="宋体"/>
                <w:color w:val="auto"/>
                <w:sz w:val="22"/>
                <w:szCs w:val="22"/>
              </w:rPr>
              <w:t>综合评分法</w:t>
            </w:r>
          </w:p>
        </w:tc>
      </w:tr>
      <w:tr w14:paraId="37831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34F39956">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15</w:t>
            </w:r>
          </w:p>
        </w:tc>
        <w:tc>
          <w:tcPr>
            <w:tcW w:w="1755" w:type="dxa"/>
            <w:tcBorders>
              <w:tl2br w:val="nil"/>
              <w:tr2bl w:val="nil"/>
            </w:tcBorders>
            <w:vAlign w:val="center"/>
          </w:tcPr>
          <w:p w14:paraId="1672142A">
            <w:pPr>
              <w:pStyle w:val="10"/>
              <w:spacing w:line="440" w:lineRule="exact"/>
              <w:rPr>
                <w:rFonts w:hAnsi="宋体" w:cs="宋体"/>
                <w:color w:val="auto"/>
                <w:sz w:val="22"/>
                <w:szCs w:val="22"/>
              </w:rPr>
            </w:pPr>
            <w:r>
              <w:rPr>
                <w:rFonts w:hint="eastAsia" w:hAnsi="宋体" w:cs="宋体"/>
                <w:color w:val="auto"/>
                <w:sz w:val="22"/>
                <w:szCs w:val="22"/>
              </w:rPr>
              <w:t>中标候选人确定</w:t>
            </w:r>
          </w:p>
        </w:tc>
        <w:tc>
          <w:tcPr>
            <w:tcW w:w="7780" w:type="dxa"/>
            <w:tcBorders>
              <w:tl2br w:val="nil"/>
              <w:tr2bl w:val="nil"/>
            </w:tcBorders>
            <w:vAlign w:val="center"/>
          </w:tcPr>
          <w:p w14:paraId="20B1FCC1">
            <w:pPr>
              <w:spacing w:line="440" w:lineRule="exact"/>
              <w:ind w:firstLine="440" w:firstLineChars="200"/>
              <w:outlineLvl w:val="1"/>
              <w:rPr>
                <w:rFonts w:ascii="宋体" w:hAnsi="宋体" w:cs="宋体"/>
                <w:color w:val="auto"/>
                <w:sz w:val="22"/>
                <w:szCs w:val="22"/>
              </w:rPr>
            </w:pPr>
            <w:r>
              <w:rPr>
                <w:rFonts w:hint="eastAsia" w:ascii="宋体" w:hAnsi="宋体" w:cs="宋体"/>
                <w:color w:val="auto"/>
                <w:sz w:val="22"/>
                <w:szCs w:val="22"/>
              </w:rPr>
              <w:t>依据评标综合得分由高到低确定</w:t>
            </w:r>
            <w:r>
              <w:rPr>
                <w:rFonts w:hint="eastAsia" w:ascii="宋体" w:hAnsi="宋体" w:cs="宋体"/>
                <w:color w:val="auto"/>
                <w:sz w:val="22"/>
                <w:szCs w:val="22"/>
                <w:u w:val="single"/>
              </w:rPr>
              <w:t>36</w:t>
            </w:r>
            <w:r>
              <w:rPr>
                <w:rFonts w:hint="eastAsia" w:ascii="宋体" w:hAnsi="宋体" w:cs="宋体"/>
                <w:color w:val="auto"/>
                <w:sz w:val="22"/>
                <w:szCs w:val="22"/>
              </w:rPr>
              <w:t>个月定期公款存放服务银行</w:t>
            </w:r>
            <w:r>
              <w:rPr>
                <w:rFonts w:hint="eastAsia" w:ascii="宋体" w:hAnsi="宋体" w:cs="宋体"/>
                <w:color w:val="auto"/>
                <w:sz w:val="22"/>
                <w:szCs w:val="22"/>
                <w:lang w:val="en-US" w:eastAsia="zh-CN"/>
              </w:rPr>
              <w:t>6</w:t>
            </w:r>
            <w:r>
              <w:rPr>
                <w:rFonts w:hint="eastAsia" w:ascii="宋体" w:hAnsi="宋体" w:cs="宋体"/>
                <w:color w:val="auto"/>
                <w:sz w:val="22"/>
                <w:szCs w:val="22"/>
              </w:rPr>
              <w:t>家，第一名中标银行公款存放金额人民币</w:t>
            </w:r>
            <w:r>
              <w:rPr>
                <w:rFonts w:hint="eastAsia" w:ascii="宋体" w:hAnsi="宋体" w:cs="宋体"/>
                <w:color w:val="auto"/>
                <w:sz w:val="22"/>
                <w:szCs w:val="22"/>
                <w:u w:val="single"/>
                <w:lang w:val="en-US" w:eastAsia="zh-CN"/>
              </w:rPr>
              <w:t>7200</w:t>
            </w:r>
            <w:r>
              <w:rPr>
                <w:rFonts w:hint="eastAsia" w:ascii="宋体" w:hAnsi="宋体" w:cs="宋体"/>
                <w:color w:val="auto"/>
                <w:sz w:val="22"/>
                <w:szCs w:val="22"/>
              </w:rPr>
              <w:t>万元，</w:t>
            </w:r>
            <w:r>
              <w:rPr>
                <w:rFonts w:hint="eastAsia" w:ascii="宋体" w:hAnsi="宋体" w:cs="宋体"/>
                <w:color w:val="auto"/>
                <w:sz w:val="22"/>
                <w:szCs w:val="22"/>
                <w:lang w:eastAsia="zh-CN"/>
              </w:rPr>
              <w:t>第二名中标银行公款存放金额人民币</w:t>
            </w:r>
            <w:r>
              <w:rPr>
                <w:rFonts w:hint="eastAsia" w:ascii="宋体" w:hAnsi="宋体" w:cs="宋体"/>
                <w:color w:val="auto"/>
                <w:sz w:val="22"/>
                <w:szCs w:val="22"/>
                <w:u w:val="single"/>
                <w:lang w:val="en-US" w:eastAsia="zh-CN"/>
              </w:rPr>
              <w:t>215</w:t>
            </w:r>
            <w:r>
              <w:rPr>
                <w:rFonts w:hint="eastAsia" w:ascii="宋体" w:hAnsi="宋体" w:cs="宋体"/>
                <w:color w:val="auto"/>
                <w:sz w:val="22"/>
                <w:szCs w:val="22"/>
                <w:u w:val="single"/>
                <w:lang w:eastAsia="zh-CN"/>
              </w:rPr>
              <w:t>0</w:t>
            </w:r>
            <w:r>
              <w:rPr>
                <w:rFonts w:hint="eastAsia" w:ascii="宋体" w:hAnsi="宋体" w:cs="宋体"/>
                <w:color w:val="auto"/>
                <w:sz w:val="22"/>
                <w:szCs w:val="22"/>
                <w:lang w:eastAsia="zh-CN"/>
              </w:rPr>
              <w:t>万元</w:t>
            </w:r>
            <w:r>
              <w:rPr>
                <w:rFonts w:hint="eastAsia" w:ascii="宋体" w:hAnsi="宋体" w:cs="宋体"/>
                <w:color w:val="auto"/>
                <w:sz w:val="22"/>
                <w:szCs w:val="22"/>
              </w:rPr>
              <w:t>，第三名中标银行公款存放金额人民币</w:t>
            </w:r>
            <w:r>
              <w:rPr>
                <w:rFonts w:hint="eastAsia" w:ascii="宋体" w:hAnsi="宋体" w:cs="宋体"/>
                <w:color w:val="auto"/>
                <w:sz w:val="22"/>
                <w:szCs w:val="22"/>
                <w:u w:val="single"/>
              </w:rPr>
              <w:t>1</w:t>
            </w:r>
            <w:r>
              <w:rPr>
                <w:rFonts w:hint="eastAsia" w:ascii="宋体" w:hAnsi="宋体" w:cs="宋体"/>
                <w:color w:val="auto"/>
                <w:sz w:val="22"/>
                <w:szCs w:val="22"/>
                <w:u w:val="single"/>
                <w:lang w:val="en-US" w:eastAsia="zh-CN"/>
              </w:rPr>
              <w:t>9</w:t>
            </w:r>
            <w:r>
              <w:rPr>
                <w:rFonts w:hint="eastAsia" w:ascii="宋体" w:hAnsi="宋体" w:cs="宋体"/>
                <w:color w:val="auto"/>
                <w:sz w:val="22"/>
                <w:szCs w:val="22"/>
                <w:u w:val="single"/>
              </w:rPr>
              <w:t>00</w:t>
            </w:r>
            <w:r>
              <w:rPr>
                <w:rFonts w:hint="eastAsia" w:ascii="宋体" w:hAnsi="宋体" w:cs="宋体"/>
                <w:color w:val="auto"/>
                <w:sz w:val="22"/>
                <w:szCs w:val="22"/>
              </w:rPr>
              <w:t>万元，第四名中标银行公款存放金额人民币</w:t>
            </w:r>
            <w:r>
              <w:rPr>
                <w:rFonts w:hint="eastAsia" w:ascii="宋体" w:hAnsi="宋体" w:cs="宋体"/>
                <w:color w:val="auto"/>
                <w:sz w:val="22"/>
                <w:szCs w:val="22"/>
                <w:u w:val="single"/>
              </w:rPr>
              <w:t>1</w:t>
            </w:r>
            <w:r>
              <w:rPr>
                <w:rFonts w:hint="eastAsia" w:ascii="宋体" w:hAnsi="宋体" w:cs="宋体"/>
                <w:color w:val="auto"/>
                <w:sz w:val="22"/>
                <w:szCs w:val="22"/>
                <w:u w:val="single"/>
                <w:lang w:val="en-US" w:eastAsia="zh-CN"/>
              </w:rPr>
              <w:t>3</w:t>
            </w:r>
            <w:r>
              <w:rPr>
                <w:rFonts w:hint="eastAsia" w:ascii="宋体" w:hAnsi="宋体" w:cs="宋体"/>
                <w:color w:val="auto"/>
                <w:sz w:val="22"/>
                <w:szCs w:val="22"/>
                <w:u w:val="single"/>
              </w:rPr>
              <w:t>00</w:t>
            </w:r>
            <w:r>
              <w:rPr>
                <w:rFonts w:hint="eastAsia" w:ascii="宋体" w:hAnsi="宋体" w:cs="宋体"/>
                <w:color w:val="auto"/>
                <w:sz w:val="22"/>
                <w:szCs w:val="22"/>
              </w:rPr>
              <w:t>万元</w:t>
            </w:r>
            <w:r>
              <w:rPr>
                <w:rFonts w:hint="eastAsia" w:ascii="宋体" w:hAnsi="宋体" w:cs="宋体"/>
                <w:color w:val="auto"/>
                <w:sz w:val="22"/>
                <w:szCs w:val="22"/>
                <w:lang w:eastAsia="zh-CN"/>
              </w:rPr>
              <w:t>，</w:t>
            </w:r>
            <w:r>
              <w:rPr>
                <w:rFonts w:hint="eastAsia" w:ascii="宋体" w:hAnsi="宋体" w:cs="宋体"/>
                <w:color w:val="auto"/>
                <w:sz w:val="22"/>
                <w:szCs w:val="22"/>
              </w:rPr>
              <w:t>第</w:t>
            </w:r>
            <w:r>
              <w:rPr>
                <w:rFonts w:hint="eastAsia" w:ascii="宋体" w:hAnsi="宋体" w:cs="宋体"/>
                <w:color w:val="auto"/>
                <w:sz w:val="22"/>
                <w:szCs w:val="22"/>
                <w:lang w:val="en-US" w:eastAsia="zh-CN"/>
              </w:rPr>
              <w:t>五</w:t>
            </w:r>
            <w:r>
              <w:rPr>
                <w:rFonts w:hint="eastAsia" w:ascii="宋体" w:hAnsi="宋体" w:cs="宋体"/>
                <w:color w:val="auto"/>
                <w:sz w:val="22"/>
                <w:szCs w:val="22"/>
              </w:rPr>
              <w:t>名中标银行公款存放金额人民币</w:t>
            </w:r>
            <w:r>
              <w:rPr>
                <w:rFonts w:hint="eastAsia" w:ascii="宋体" w:hAnsi="宋体" w:cs="宋体"/>
                <w:color w:val="auto"/>
                <w:sz w:val="22"/>
                <w:szCs w:val="22"/>
                <w:u w:val="single"/>
                <w:lang w:val="en-US" w:eastAsia="zh-CN"/>
              </w:rPr>
              <w:t>1000</w:t>
            </w:r>
            <w:r>
              <w:rPr>
                <w:rFonts w:hint="eastAsia" w:ascii="宋体" w:hAnsi="宋体" w:cs="宋体"/>
                <w:color w:val="auto"/>
                <w:sz w:val="22"/>
                <w:szCs w:val="22"/>
              </w:rPr>
              <w:t>万元</w:t>
            </w:r>
            <w:r>
              <w:rPr>
                <w:rFonts w:hint="eastAsia" w:ascii="宋体" w:hAnsi="宋体" w:cs="宋体"/>
                <w:color w:val="auto"/>
                <w:sz w:val="22"/>
                <w:szCs w:val="22"/>
                <w:lang w:eastAsia="zh-CN"/>
              </w:rPr>
              <w:t>，</w:t>
            </w:r>
            <w:r>
              <w:rPr>
                <w:rFonts w:hint="eastAsia" w:ascii="宋体" w:hAnsi="宋体" w:cs="宋体"/>
                <w:color w:val="auto"/>
                <w:sz w:val="22"/>
                <w:szCs w:val="22"/>
              </w:rPr>
              <w:t>第</w:t>
            </w:r>
            <w:r>
              <w:rPr>
                <w:rFonts w:hint="eastAsia" w:ascii="宋体" w:hAnsi="宋体" w:cs="宋体"/>
                <w:color w:val="auto"/>
                <w:sz w:val="22"/>
                <w:szCs w:val="22"/>
                <w:lang w:val="en-US" w:eastAsia="zh-CN"/>
              </w:rPr>
              <w:t>六</w:t>
            </w:r>
            <w:r>
              <w:rPr>
                <w:rFonts w:hint="eastAsia" w:ascii="宋体" w:hAnsi="宋体" w:cs="宋体"/>
                <w:color w:val="auto"/>
                <w:sz w:val="22"/>
                <w:szCs w:val="22"/>
              </w:rPr>
              <w:t>名中标银行公款存放金额人民币</w:t>
            </w:r>
            <w:r>
              <w:rPr>
                <w:rFonts w:hint="eastAsia" w:ascii="宋体" w:hAnsi="宋体" w:cs="宋体"/>
                <w:color w:val="auto"/>
                <w:sz w:val="22"/>
                <w:szCs w:val="22"/>
                <w:u w:val="single"/>
                <w:lang w:val="en-US" w:eastAsia="zh-CN"/>
              </w:rPr>
              <w:t>850</w:t>
            </w:r>
            <w:r>
              <w:rPr>
                <w:rFonts w:hint="eastAsia" w:ascii="宋体" w:hAnsi="宋体" w:cs="宋体"/>
                <w:color w:val="auto"/>
                <w:sz w:val="22"/>
                <w:szCs w:val="22"/>
              </w:rPr>
              <w:t>万元。</w:t>
            </w:r>
          </w:p>
        </w:tc>
      </w:tr>
      <w:tr w14:paraId="09F1F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F2A64E6">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16</w:t>
            </w:r>
          </w:p>
        </w:tc>
        <w:tc>
          <w:tcPr>
            <w:tcW w:w="1755" w:type="dxa"/>
            <w:tcBorders>
              <w:tl2br w:val="nil"/>
              <w:tr2bl w:val="nil"/>
            </w:tcBorders>
            <w:vAlign w:val="center"/>
          </w:tcPr>
          <w:p w14:paraId="2269F41A">
            <w:pPr>
              <w:pStyle w:val="10"/>
              <w:spacing w:line="440" w:lineRule="exact"/>
              <w:jc w:val="left"/>
              <w:rPr>
                <w:color w:val="auto"/>
                <w:sz w:val="22"/>
                <w:szCs w:val="22"/>
              </w:rPr>
            </w:pPr>
            <w:r>
              <w:rPr>
                <w:rFonts w:hint="eastAsia" w:hAnsi="宋体" w:cs="宋体"/>
                <w:color w:val="auto"/>
                <w:sz w:val="22"/>
                <w:szCs w:val="22"/>
              </w:rPr>
              <w:t>评标结果公示</w:t>
            </w:r>
          </w:p>
        </w:tc>
        <w:tc>
          <w:tcPr>
            <w:tcW w:w="7780" w:type="dxa"/>
            <w:tcBorders>
              <w:tl2br w:val="nil"/>
              <w:tr2bl w:val="nil"/>
            </w:tcBorders>
            <w:vAlign w:val="center"/>
          </w:tcPr>
          <w:p w14:paraId="08E3A896">
            <w:pPr>
              <w:pStyle w:val="10"/>
              <w:spacing w:line="440" w:lineRule="exact"/>
              <w:rPr>
                <w:rFonts w:hAnsi="宋体" w:cs="宋体"/>
                <w:color w:val="auto"/>
                <w:sz w:val="22"/>
                <w:szCs w:val="22"/>
              </w:rPr>
            </w:pPr>
            <w:r>
              <w:rPr>
                <w:rFonts w:hint="eastAsia" w:hAnsi="宋体" w:cs="宋体"/>
                <w:color w:val="auto"/>
                <w:sz w:val="22"/>
                <w:szCs w:val="22"/>
              </w:rPr>
              <w:t>浙江省政府采购网（网址：</w:t>
            </w:r>
            <w:r>
              <w:rPr>
                <w:color w:val="auto"/>
              </w:rPr>
              <w:fldChar w:fldCharType="begin"/>
            </w:r>
            <w:r>
              <w:rPr>
                <w:color w:val="auto"/>
              </w:rPr>
              <w:instrText xml:space="preserve"> HYPERLINK "https://zfcg.czt.zj.gov.cn/）" </w:instrText>
            </w:r>
            <w:r>
              <w:rPr>
                <w:color w:val="auto"/>
              </w:rPr>
              <w:fldChar w:fldCharType="separate"/>
            </w:r>
            <w:r>
              <w:rPr>
                <w:rFonts w:hint="eastAsia" w:hAnsi="宋体" w:cs="宋体"/>
                <w:color w:val="auto"/>
                <w:sz w:val="22"/>
                <w:szCs w:val="22"/>
              </w:rPr>
              <w:t>https://zfcg.czt.zj.gov.cn）</w:t>
            </w:r>
            <w:r>
              <w:rPr>
                <w:rFonts w:hint="eastAsia" w:hAnsi="宋体" w:cs="宋体"/>
                <w:color w:val="auto"/>
                <w:sz w:val="22"/>
                <w:szCs w:val="22"/>
              </w:rPr>
              <w:fldChar w:fldCharType="end"/>
            </w:r>
            <w:r>
              <w:rPr>
                <w:rFonts w:hint="eastAsia" w:hAnsi="宋体" w:cs="宋体"/>
                <w:color w:val="auto"/>
                <w:sz w:val="22"/>
                <w:szCs w:val="22"/>
              </w:rPr>
              <w:t>、天台县人民政府门户网站：（http://www.zjtt.gov.cn/col/col1229299509/index.html）</w:t>
            </w:r>
          </w:p>
        </w:tc>
      </w:tr>
      <w:tr w14:paraId="566D2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21142051">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17</w:t>
            </w:r>
          </w:p>
        </w:tc>
        <w:tc>
          <w:tcPr>
            <w:tcW w:w="1755" w:type="dxa"/>
            <w:tcBorders>
              <w:tl2br w:val="nil"/>
              <w:tr2bl w:val="nil"/>
            </w:tcBorders>
            <w:vAlign w:val="center"/>
          </w:tcPr>
          <w:p w14:paraId="6E930C13">
            <w:pPr>
              <w:pStyle w:val="10"/>
              <w:spacing w:line="440" w:lineRule="exact"/>
              <w:jc w:val="left"/>
              <w:rPr>
                <w:color w:val="auto"/>
                <w:sz w:val="22"/>
                <w:szCs w:val="22"/>
              </w:rPr>
            </w:pPr>
            <w:r>
              <w:rPr>
                <w:rFonts w:hint="eastAsia" w:hAnsi="宋体" w:cs="宋体"/>
                <w:color w:val="auto"/>
                <w:sz w:val="22"/>
                <w:szCs w:val="22"/>
              </w:rPr>
              <w:t>签订合同</w:t>
            </w:r>
          </w:p>
        </w:tc>
        <w:tc>
          <w:tcPr>
            <w:tcW w:w="7780" w:type="dxa"/>
            <w:tcBorders>
              <w:tl2br w:val="nil"/>
              <w:tr2bl w:val="nil"/>
            </w:tcBorders>
            <w:vAlign w:val="center"/>
          </w:tcPr>
          <w:p w14:paraId="78544DA3">
            <w:pPr>
              <w:pStyle w:val="10"/>
              <w:spacing w:line="440" w:lineRule="exact"/>
              <w:rPr>
                <w:rFonts w:hAnsi="宋体" w:cs="宋体"/>
                <w:color w:val="auto"/>
                <w:sz w:val="22"/>
                <w:szCs w:val="22"/>
              </w:rPr>
            </w:pPr>
            <w:r>
              <w:rPr>
                <w:rFonts w:hint="eastAsia" w:hAnsi="宋体" w:cs="宋体"/>
                <w:color w:val="auto"/>
                <w:sz w:val="22"/>
                <w:szCs w:val="22"/>
              </w:rPr>
              <w:t>在收到中标通知书后15天内，与采购人签订合同</w:t>
            </w:r>
          </w:p>
        </w:tc>
      </w:tr>
      <w:tr w14:paraId="644F5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1" w:type="dxa"/>
            <w:tcBorders>
              <w:tl2br w:val="nil"/>
              <w:tr2bl w:val="nil"/>
            </w:tcBorders>
            <w:vAlign w:val="center"/>
          </w:tcPr>
          <w:p w14:paraId="0E6BA1EF">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18</w:t>
            </w:r>
          </w:p>
        </w:tc>
        <w:tc>
          <w:tcPr>
            <w:tcW w:w="1755" w:type="dxa"/>
            <w:tcBorders>
              <w:tl2br w:val="nil"/>
              <w:tr2bl w:val="nil"/>
            </w:tcBorders>
            <w:vAlign w:val="center"/>
          </w:tcPr>
          <w:p w14:paraId="50F7A913">
            <w:pPr>
              <w:pStyle w:val="10"/>
              <w:spacing w:line="440" w:lineRule="exact"/>
              <w:jc w:val="left"/>
              <w:rPr>
                <w:rFonts w:hAnsi="宋体" w:cs="宋体"/>
                <w:color w:val="auto"/>
                <w:sz w:val="22"/>
                <w:szCs w:val="22"/>
              </w:rPr>
            </w:pPr>
            <w:r>
              <w:rPr>
                <w:rFonts w:hint="eastAsia" w:hAnsi="宋体" w:cs="宋体"/>
                <w:color w:val="auto"/>
                <w:sz w:val="22"/>
                <w:szCs w:val="22"/>
              </w:rPr>
              <w:t>采购代理费</w:t>
            </w:r>
          </w:p>
        </w:tc>
        <w:tc>
          <w:tcPr>
            <w:tcW w:w="7780" w:type="dxa"/>
            <w:tcBorders>
              <w:tl2br w:val="nil"/>
              <w:tr2bl w:val="nil"/>
            </w:tcBorders>
            <w:vAlign w:val="center"/>
          </w:tcPr>
          <w:p w14:paraId="50FDCBAA">
            <w:pPr>
              <w:pStyle w:val="10"/>
              <w:spacing w:line="440" w:lineRule="exact"/>
              <w:rPr>
                <w:rFonts w:hAnsi="宋体" w:cs="宋体"/>
                <w:color w:val="auto"/>
                <w:sz w:val="22"/>
                <w:szCs w:val="22"/>
              </w:rPr>
            </w:pPr>
            <w:r>
              <w:rPr>
                <w:rFonts w:hint="eastAsia" w:hAnsi="宋体" w:cs="宋体"/>
                <w:color w:val="auto"/>
                <w:sz w:val="22"/>
                <w:szCs w:val="22"/>
              </w:rPr>
              <w:t>本项目采购代理费由中标银行支付，每家中标银行在领取《中标通知书》前一次性支付</w:t>
            </w:r>
            <w:r>
              <w:rPr>
                <w:rFonts w:hint="eastAsia" w:hAnsi="宋体" w:cs="宋体"/>
                <w:color w:val="auto"/>
                <w:sz w:val="22"/>
                <w:szCs w:val="22"/>
                <w:lang w:val="en-US" w:eastAsia="zh-CN"/>
              </w:rPr>
              <w:t>15</w:t>
            </w:r>
            <w:r>
              <w:rPr>
                <w:rFonts w:hint="eastAsia" w:hAnsi="宋体" w:cs="宋体"/>
                <w:color w:val="auto"/>
                <w:sz w:val="22"/>
                <w:szCs w:val="22"/>
              </w:rPr>
              <w:t>00元给</w:t>
            </w:r>
            <w:r>
              <w:rPr>
                <w:rFonts w:hint="eastAsia" w:hAnsi="宋体" w:cs="宋体"/>
                <w:color w:val="auto"/>
                <w:sz w:val="22"/>
                <w:szCs w:val="22"/>
                <w:lang w:eastAsia="zh-CN"/>
              </w:rPr>
              <w:t>浙江祥泽招标代理有限公司</w:t>
            </w:r>
            <w:r>
              <w:rPr>
                <w:rFonts w:hint="eastAsia" w:hAnsi="宋体" w:cs="宋体"/>
                <w:color w:val="auto"/>
                <w:sz w:val="22"/>
                <w:szCs w:val="22"/>
              </w:rPr>
              <w:t>。</w:t>
            </w:r>
          </w:p>
        </w:tc>
      </w:tr>
      <w:tr w14:paraId="103DA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6D4CB34F">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19</w:t>
            </w:r>
          </w:p>
        </w:tc>
        <w:tc>
          <w:tcPr>
            <w:tcW w:w="1755" w:type="dxa"/>
            <w:tcBorders>
              <w:tl2br w:val="nil"/>
              <w:tr2bl w:val="nil"/>
            </w:tcBorders>
            <w:vAlign w:val="center"/>
          </w:tcPr>
          <w:p w14:paraId="302BD951">
            <w:pPr>
              <w:pStyle w:val="10"/>
              <w:spacing w:line="440" w:lineRule="exact"/>
              <w:rPr>
                <w:rFonts w:hAnsi="宋体" w:cs="宋体"/>
                <w:color w:val="auto"/>
                <w:sz w:val="22"/>
                <w:szCs w:val="22"/>
              </w:rPr>
            </w:pPr>
            <w:r>
              <w:rPr>
                <w:rFonts w:hint="eastAsia" w:hAnsi="宋体" w:cs="宋体"/>
                <w:color w:val="auto"/>
                <w:sz w:val="22"/>
                <w:szCs w:val="22"/>
              </w:rPr>
              <w:t>监督部门</w:t>
            </w:r>
          </w:p>
        </w:tc>
        <w:tc>
          <w:tcPr>
            <w:tcW w:w="7780" w:type="dxa"/>
            <w:tcBorders>
              <w:tl2br w:val="nil"/>
              <w:tr2bl w:val="nil"/>
            </w:tcBorders>
            <w:vAlign w:val="center"/>
          </w:tcPr>
          <w:p w14:paraId="7E7F027F">
            <w:pPr>
              <w:spacing w:before="159" w:beforeLines="50"/>
              <w:jc w:val="left"/>
              <w:rPr>
                <w:rFonts w:ascii="宋体" w:hAnsi="宋体" w:cs="宋体"/>
                <w:color w:val="auto"/>
                <w:sz w:val="22"/>
                <w:szCs w:val="22"/>
              </w:rPr>
            </w:pPr>
            <w:r>
              <w:rPr>
                <w:rFonts w:hint="eastAsia" w:ascii="宋体" w:hAnsi="宋体" w:cs="宋体"/>
                <w:color w:val="auto"/>
                <w:sz w:val="22"/>
                <w:szCs w:val="22"/>
              </w:rPr>
              <w:t>监督部门：天台县综合行政执法局督查科（信访科） </w:t>
            </w:r>
          </w:p>
          <w:p w14:paraId="1E6CC365">
            <w:pPr>
              <w:pStyle w:val="10"/>
              <w:spacing w:line="440" w:lineRule="exact"/>
              <w:rPr>
                <w:rFonts w:hAnsi="宋体" w:cs="宋体"/>
                <w:color w:val="auto"/>
                <w:sz w:val="22"/>
                <w:szCs w:val="22"/>
              </w:rPr>
            </w:pPr>
            <w:r>
              <w:rPr>
                <w:rFonts w:hint="eastAsia" w:hAnsi="宋体" w:cs="宋体"/>
                <w:color w:val="auto"/>
                <w:sz w:val="22"/>
                <w:szCs w:val="22"/>
              </w:rPr>
              <w:t>联系电话：0576-83999399</w:t>
            </w:r>
          </w:p>
        </w:tc>
      </w:tr>
      <w:tr w14:paraId="50CF9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72D885BA">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20</w:t>
            </w:r>
          </w:p>
        </w:tc>
        <w:tc>
          <w:tcPr>
            <w:tcW w:w="1755" w:type="dxa"/>
            <w:tcBorders>
              <w:tl2br w:val="nil"/>
              <w:tr2bl w:val="nil"/>
            </w:tcBorders>
            <w:vAlign w:val="center"/>
          </w:tcPr>
          <w:p w14:paraId="02D54D92">
            <w:pPr>
              <w:pStyle w:val="10"/>
              <w:spacing w:line="440" w:lineRule="exact"/>
              <w:jc w:val="left"/>
              <w:rPr>
                <w:color w:val="auto"/>
                <w:sz w:val="22"/>
                <w:szCs w:val="22"/>
              </w:rPr>
            </w:pPr>
            <w:r>
              <w:rPr>
                <w:rFonts w:hint="eastAsia" w:hAnsi="宋体" w:cs="宋体"/>
                <w:color w:val="auto"/>
                <w:sz w:val="22"/>
                <w:szCs w:val="22"/>
              </w:rPr>
              <w:t>解释</w:t>
            </w:r>
          </w:p>
        </w:tc>
        <w:tc>
          <w:tcPr>
            <w:tcW w:w="7780" w:type="dxa"/>
            <w:tcBorders>
              <w:tl2br w:val="nil"/>
              <w:tr2bl w:val="nil"/>
            </w:tcBorders>
            <w:vAlign w:val="center"/>
          </w:tcPr>
          <w:p w14:paraId="66587103">
            <w:pPr>
              <w:pStyle w:val="10"/>
              <w:spacing w:line="440" w:lineRule="exact"/>
              <w:rPr>
                <w:rFonts w:hAnsi="宋体" w:cs="宋体"/>
                <w:color w:val="auto"/>
                <w:sz w:val="22"/>
                <w:szCs w:val="22"/>
              </w:rPr>
            </w:pPr>
            <w:r>
              <w:rPr>
                <w:rFonts w:hint="eastAsia" w:hAnsi="宋体" w:cs="宋体"/>
                <w:color w:val="auto"/>
                <w:sz w:val="22"/>
                <w:szCs w:val="22"/>
              </w:rPr>
              <w:t>本采购文件的解释权属于采购人和采购代理机构</w:t>
            </w:r>
          </w:p>
        </w:tc>
      </w:tr>
      <w:tr w14:paraId="0F9A8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tcBorders>
              <w:tl2br w:val="nil"/>
              <w:tr2bl w:val="nil"/>
            </w:tcBorders>
            <w:vAlign w:val="center"/>
          </w:tcPr>
          <w:p w14:paraId="5D91797B">
            <w:pPr>
              <w:jc w:val="cente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21</w:t>
            </w:r>
          </w:p>
        </w:tc>
        <w:tc>
          <w:tcPr>
            <w:tcW w:w="1755" w:type="dxa"/>
            <w:tcBorders>
              <w:tl2br w:val="nil"/>
              <w:tr2bl w:val="nil"/>
            </w:tcBorders>
            <w:vAlign w:val="center"/>
          </w:tcPr>
          <w:p w14:paraId="6862765B">
            <w:pPr>
              <w:pStyle w:val="10"/>
              <w:spacing w:line="440" w:lineRule="exact"/>
              <w:jc w:val="left"/>
              <w:rPr>
                <w:rFonts w:hAnsi="宋体" w:cs="宋体"/>
                <w:color w:val="auto"/>
                <w:sz w:val="22"/>
                <w:szCs w:val="22"/>
              </w:rPr>
            </w:pPr>
            <w:r>
              <w:rPr>
                <w:rFonts w:hint="eastAsia" w:hAnsi="宋体" w:cs="宋体"/>
                <w:color w:val="auto"/>
                <w:sz w:val="22"/>
                <w:szCs w:val="22"/>
              </w:rPr>
              <w:t>其它</w:t>
            </w:r>
          </w:p>
        </w:tc>
        <w:tc>
          <w:tcPr>
            <w:tcW w:w="7780" w:type="dxa"/>
            <w:tcBorders>
              <w:tl2br w:val="nil"/>
              <w:tr2bl w:val="nil"/>
            </w:tcBorders>
            <w:vAlign w:val="center"/>
          </w:tcPr>
          <w:p w14:paraId="72FEC12B">
            <w:pPr>
              <w:pStyle w:val="10"/>
              <w:spacing w:line="440" w:lineRule="exact"/>
              <w:rPr>
                <w:rFonts w:hint="eastAsia" w:hAnsi="宋体" w:eastAsia="宋体" w:cs="宋体"/>
                <w:color w:val="auto"/>
                <w:sz w:val="22"/>
                <w:szCs w:val="22"/>
                <w:lang w:eastAsia="zh-CN"/>
              </w:rPr>
            </w:pPr>
            <w:r>
              <w:rPr>
                <w:rFonts w:hint="eastAsia" w:hAnsi="宋体" w:cs="宋体"/>
                <w:color w:val="auto"/>
                <w:sz w:val="22"/>
                <w:szCs w:val="22"/>
                <w:lang w:val="en-US" w:eastAsia="zh-CN"/>
              </w:rPr>
              <w:t>1、</w:t>
            </w:r>
            <w:r>
              <w:rPr>
                <w:rFonts w:hint="eastAsia" w:hAnsi="宋体" w:cs="宋体"/>
                <w:color w:val="auto"/>
                <w:sz w:val="22"/>
                <w:szCs w:val="22"/>
              </w:rPr>
              <w:t>本项目无需缴纳投标保证金和履约保证金</w:t>
            </w:r>
            <w:r>
              <w:rPr>
                <w:rFonts w:hint="eastAsia" w:hAnsi="宋体" w:cs="宋体"/>
                <w:color w:val="auto"/>
                <w:sz w:val="22"/>
                <w:szCs w:val="22"/>
                <w:lang w:eastAsia="zh-CN"/>
              </w:rPr>
              <w:t>；</w:t>
            </w:r>
          </w:p>
          <w:p w14:paraId="638BC665">
            <w:pPr>
              <w:pStyle w:val="11"/>
              <w:ind w:left="0" w:leftChars="0" w:firstLine="0" w:firstLineChars="0"/>
              <w:rPr>
                <w:color w:val="auto"/>
              </w:rPr>
            </w:pPr>
            <w:r>
              <w:rPr>
                <w:rFonts w:hint="eastAsia" w:hAnsi="宋体" w:cs="宋体"/>
                <w:b/>
                <w:bCs/>
                <w:color w:val="auto"/>
                <w:kern w:val="2"/>
                <w:sz w:val="22"/>
                <w:szCs w:val="22"/>
                <w:highlight w:val="none"/>
                <w:u w:val="single"/>
                <w:lang w:val="en-US" w:eastAsia="zh-CN"/>
              </w:rPr>
              <w:t>2、如中标银行在定期存款到期后无故阻挠采购人正常取款的，采购人有权取消该银行在本单位下一期公款竞争性存放的投标资格。</w:t>
            </w:r>
          </w:p>
        </w:tc>
      </w:tr>
    </w:tbl>
    <w:p w14:paraId="4953D147">
      <w:pPr>
        <w:rPr>
          <w:color w:val="auto"/>
        </w:rPr>
      </w:pPr>
    </w:p>
    <w:bookmarkEnd w:id="7"/>
    <w:p w14:paraId="44F1C06A">
      <w:pPr>
        <w:rPr>
          <w:color w:val="auto"/>
        </w:rPr>
      </w:pPr>
      <w:bookmarkStart w:id="8" w:name="_Toc18190"/>
      <w:r>
        <w:rPr>
          <w:rFonts w:hint="eastAsia"/>
          <w:color w:val="auto"/>
        </w:rPr>
        <w:br w:type="page"/>
      </w:r>
    </w:p>
    <w:p w14:paraId="28E77E1A">
      <w:pPr>
        <w:pStyle w:val="4"/>
        <w:rPr>
          <w:color w:val="auto"/>
        </w:rPr>
      </w:pPr>
      <w:r>
        <w:rPr>
          <w:rFonts w:hint="eastAsia"/>
          <w:color w:val="auto"/>
        </w:rPr>
        <w:t>一、总则</w:t>
      </w:r>
    </w:p>
    <w:p w14:paraId="6830526F">
      <w:pPr>
        <w:pStyle w:val="2"/>
        <w:spacing w:line="400" w:lineRule="exact"/>
        <w:ind w:firstLine="0"/>
        <w:rPr>
          <w:rFonts w:hAnsi="宋体" w:cs="宋体"/>
          <w:b/>
          <w:bCs/>
          <w:color w:val="auto"/>
          <w:sz w:val="22"/>
          <w:szCs w:val="22"/>
        </w:rPr>
      </w:pPr>
      <w:r>
        <w:rPr>
          <w:rFonts w:hint="eastAsia" w:hAnsi="宋体" w:cs="宋体"/>
          <w:b/>
          <w:bCs/>
          <w:color w:val="auto"/>
          <w:sz w:val="22"/>
          <w:szCs w:val="22"/>
        </w:rPr>
        <w:t>1.适用范围</w:t>
      </w:r>
    </w:p>
    <w:p w14:paraId="1E928F3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本次采购文件中招标项目的招标、投标、评标、定标、合同履约等行为（法律、法规另有规定的，从其规定）。</w:t>
      </w:r>
    </w:p>
    <w:p w14:paraId="4B766F7D">
      <w:pPr>
        <w:pStyle w:val="2"/>
        <w:spacing w:line="400" w:lineRule="exact"/>
        <w:ind w:firstLine="0"/>
        <w:rPr>
          <w:rFonts w:hAnsi="宋体" w:cs="宋体"/>
          <w:b/>
          <w:bCs/>
          <w:color w:val="auto"/>
          <w:sz w:val="22"/>
          <w:szCs w:val="22"/>
        </w:rPr>
      </w:pPr>
      <w:bookmarkStart w:id="9" w:name="_Toc434586579"/>
      <w:bookmarkStart w:id="10" w:name="_Toc433710228"/>
      <w:r>
        <w:rPr>
          <w:rFonts w:hint="eastAsia" w:hAnsi="宋体" w:cs="宋体"/>
          <w:b/>
          <w:bCs/>
          <w:color w:val="auto"/>
          <w:sz w:val="22"/>
          <w:szCs w:val="22"/>
        </w:rPr>
        <w:t>2.定义</w:t>
      </w:r>
      <w:bookmarkEnd w:id="9"/>
      <w:bookmarkEnd w:id="10"/>
    </w:p>
    <w:p w14:paraId="404470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2.1“采购组织机构”指采购人委托组织招标的采购代理机构。</w:t>
      </w:r>
    </w:p>
    <w:p w14:paraId="0CC91FD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2.2采购人：是指委托采购代理机构采购本次项目的国家机关、事业单位和团体组织。</w:t>
      </w:r>
    </w:p>
    <w:p w14:paraId="0D6F9D8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2.3投标人：是指向采购组织机构提交投标文件的单位或个人。</w:t>
      </w:r>
    </w:p>
    <w:p w14:paraId="3CC3163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2.4货物：是指各种形态和种类的物品，包括原材料、燃料、设备、产品等。</w:t>
      </w:r>
    </w:p>
    <w:p w14:paraId="16AE4CD2">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2.5服务：是指除货物和工程以外的政府采购对象，包括各类专业服务、信息网络开发服务、金融保险服务、运输服务，以及维修与维护服务等。</w:t>
      </w:r>
    </w:p>
    <w:p w14:paraId="64AE42C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2.6“书面形式”包括信函、传真等。</w:t>
      </w:r>
    </w:p>
    <w:p w14:paraId="0CA6C79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2.7“▲”系指实质性要求条款，投标人应当做出实质性响应。</w:t>
      </w:r>
    </w:p>
    <w:p w14:paraId="051EEBB8">
      <w:pPr>
        <w:pStyle w:val="2"/>
        <w:spacing w:line="400" w:lineRule="exact"/>
        <w:ind w:firstLine="0"/>
        <w:rPr>
          <w:rFonts w:hAnsi="宋体" w:cs="宋体"/>
          <w:b/>
          <w:bCs/>
          <w:color w:val="auto"/>
          <w:sz w:val="22"/>
          <w:szCs w:val="22"/>
        </w:rPr>
      </w:pPr>
      <w:r>
        <w:rPr>
          <w:rFonts w:hint="eastAsia" w:hAnsi="宋体" w:cs="宋体"/>
          <w:b/>
          <w:bCs/>
          <w:color w:val="auto"/>
          <w:sz w:val="22"/>
          <w:szCs w:val="22"/>
        </w:rPr>
        <w:t>3.特别说明</w:t>
      </w:r>
    </w:p>
    <w:p w14:paraId="44F4A2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投标人应仔细阅读采购文件的所有内容，按照采购文件的要求提交投标文件，并对所提供的全部资料的真实性承担法律责任。</w:t>
      </w:r>
    </w:p>
    <w:p w14:paraId="3BB62338">
      <w:pPr>
        <w:pStyle w:val="2"/>
        <w:spacing w:line="400" w:lineRule="exact"/>
        <w:ind w:firstLine="0"/>
        <w:rPr>
          <w:rFonts w:hAnsi="宋体" w:cs="宋体"/>
          <w:b/>
          <w:bCs/>
          <w:color w:val="auto"/>
          <w:sz w:val="22"/>
          <w:szCs w:val="22"/>
        </w:rPr>
      </w:pPr>
      <w:r>
        <w:rPr>
          <w:rFonts w:hint="eastAsia" w:hAnsi="宋体" w:cs="宋体"/>
          <w:b/>
          <w:bCs/>
          <w:color w:val="auto"/>
          <w:sz w:val="22"/>
          <w:szCs w:val="22"/>
        </w:rPr>
        <w:t>4.质疑</w:t>
      </w:r>
    </w:p>
    <w:p w14:paraId="48037CC5">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4.1投标人认为采购文件、招标过程和中标结果使自己的权益受到损害的，可以在知道或者应知其权益受到损害之日起七个工作日内，以书面形式向代理机构提出质疑（在法定质疑期内一次性提出针对同一采购程序环节的质疑）。</w:t>
      </w:r>
    </w:p>
    <w:p w14:paraId="7B3C143B">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4.2质疑投标人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53F8C6C3">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4.3质疑函格式见《政府采购质疑和投诉办法》（财政部令第94号）附件范本，下载网址：浙江政府采购网(www.zjzfcg.gov.cn)。投标人提出质疑应当提交质疑函和必要的证明材料。质疑函应当包括下列内容：</w:t>
      </w:r>
    </w:p>
    <w:p w14:paraId="0BBCCC2F">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a.投标人的姓名或者名称、地址、邮编、联系人及联系电话；</w:t>
      </w:r>
    </w:p>
    <w:p w14:paraId="3D0B4A1C">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b.质疑项目的名称、编号；</w:t>
      </w:r>
    </w:p>
    <w:p w14:paraId="54BEA44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c.具体、明确的质疑事项和与质疑事项相关的请求；</w:t>
      </w:r>
    </w:p>
    <w:p w14:paraId="3049904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d.事实依据；</w:t>
      </w:r>
    </w:p>
    <w:p w14:paraId="1AB7D577">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e.必要的法律依据；</w:t>
      </w:r>
    </w:p>
    <w:p w14:paraId="26E09FB2">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f.提出质疑的日期。</w:t>
      </w:r>
    </w:p>
    <w:p w14:paraId="7A067982">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投标人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26459B9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4.4采购代理机构在收到质疑投标人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14:paraId="756FD8AA">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4.5质疑投标人捏造事实、提供虚假材料进行质疑的，采购代理机构报告同级财政部门。情况属实的，列入不良行为记录并在指定的媒体上公告。</w:t>
      </w:r>
    </w:p>
    <w:p w14:paraId="19A3F567">
      <w:pPr>
        <w:pStyle w:val="4"/>
        <w:rPr>
          <w:color w:val="auto"/>
        </w:rPr>
      </w:pPr>
      <w:r>
        <w:rPr>
          <w:rFonts w:hint="eastAsia"/>
          <w:color w:val="auto"/>
        </w:rPr>
        <w:t>二、采购文件</w:t>
      </w:r>
    </w:p>
    <w:p w14:paraId="1B4A732B">
      <w:pPr>
        <w:pStyle w:val="2"/>
        <w:spacing w:line="400" w:lineRule="exact"/>
        <w:ind w:firstLine="0"/>
        <w:rPr>
          <w:rFonts w:hAnsi="宋体" w:cs="宋体"/>
          <w:b/>
          <w:bCs/>
          <w:color w:val="auto"/>
          <w:sz w:val="22"/>
          <w:szCs w:val="22"/>
        </w:rPr>
      </w:pPr>
      <w:r>
        <w:rPr>
          <w:rFonts w:hint="eastAsia" w:hAnsi="宋体" w:cs="宋体"/>
          <w:b/>
          <w:bCs/>
          <w:color w:val="auto"/>
          <w:sz w:val="22"/>
          <w:szCs w:val="22"/>
        </w:rPr>
        <w:t>1.采购文件由以下部分组成：</w:t>
      </w:r>
    </w:p>
    <w:p w14:paraId="022379A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第一章 招标公告</w:t>
      </w:r>
    </w:p>
    <w:p w14:paraId="3AB625A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第二章 投标人须知</w:t>
      </w:r>
    </w:p>
    <w:p w14:paraId="5580FF7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第三章 合同主要条款</w:t>
      </w:r>
    </w:p>
    <w:p w14:paraId="0028259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第四章 招标内容及需求</w:t>
      </w:r>
    </w:p>
    <w:p w14:paraId="2E2D15E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第五章 评标办法及评标标准</w:t>
      </w:r>
    </w:p>
    <w:p w14:paraId="1FC6C335">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第六章 附件：投标文件格式</w:t>
      </w:r>
    </w:p>
    <w:p w14:paraId="6F7E3AEE">
      <w:pPr>
        <w:pStyle w:val="2"/>
        <w:spacing w:line="400" w:lineRule="exact"/>
        <w:ind w:firstLine="0"/>
        <w:rPr>
          <w:rFonts w:hAnsi="宋体" w:cs="宋体"/>
          <w:b/>
          <w:bCs/>
          <w:color w:val="auto"/>
          <w:sz w:val="22"/>
          <w:szCs w:val="22"/>
        </w:rPr>
      </w:pPr>
      <w:r>
        <w:rPr>
          <w:rFonts w:hint="eastAsia" w:hAnsi="宋体" w:cs="宋体"/>
          <w:b/>
          <w:bCs/>
          <w:color w:val="auto"/>
          <w:sz w:val="22"/>
          <w:szCs w:val="22"/>
        </w:rPr>
        <w:t>2.本采购文件的解释权属采购人和采购代理机构。</w:t>
      </w:r>
    </w:p>
    <w:p w14:paraId="3DCAAAE2">
      <w:pPr>
        <w:pStyle w:val="2"/>
        <w:spacing w:line="400" w:lineRule="exact"/>
        <w:ind w:firstLine="0"/>
        <w:rPr>
          <w:rFonts w:hAnsi="宋体" w:cs="宋体"/>
          <w:b/>
          <w:bCs/>
          <w:color w:val="auto"/>
          <w:sz w:val="22"/>
          <w:szCs w:val="22"/>
        </w:rPr>
      </w:pPr>
      <w:r>
        <w:rPr>
          <w:rFonts w:hint="eastAsia" w:hAnsi="宋体" w:cs="宋体"/>
          <w:b/>
          <w:bCs/>
          <w:color w:val="auto"/>
          <w:sz w:val="22"/>
          <w:szCs w:val="22"/>
        </w:rPr>
        <w:t xml:space="preserve">3.采购文件的澄清与修改 </w:t>
      </w:r>
    </w:p>
    <w:p w14:paraId="41AE80B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3.1采购人或招标代理机构可以对已发出的采购文件进行必要的澄清或者修改。澄清或者修改的内容可能影响投标文件编制的，采购人或招标代理机构应当在发布招标公告的网站上发布更正公告或以书面形式通知所有已获取采购文件的潜在投标人，并且应当顺延投标截止时间，发布更正公告或书面变更通知之日至投标截止之日不得少于5个工作日。</w:t>
      </w:r>
    </w:p>
    <w:p w14:paraId="46173E09">
      <w:pPr>
        <w:pStyle w:val="4"/>
        <w:rPr>
          <w:color w:val="auto"/>
        </w:rPr>
      </w:pPr>
      <w:r>
        <w:rPr>
          <w:rFonts w:hint="eastAsia"/>
          <w:color w:val="auto"/>
        </w:rPr>
        <w:t>三、投标文件的编制</w:t>
      </w:r>
    </w:p>
    <w:p w14:paraId="13229890">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1.投标人应认真阅读采购文件中所有事项、格式、条款和技术规范等。投标人没有按照采购文件要求提交全部资料，或者没有对采购文件各个方面作出实质性响应，导致投标被拒绝的风险由投标人自行承担。</w:t>
      </w:r>
    </w:p>
    <w:p w14:paraId="50940FB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2.投标人应保证所提供文件资料的真实性，所有文件资料必须是针对本次投标的，否则其投标将被拒绝。如发现投标人提供了虚假文件资料，其投标将被拒绝，并自行承担相应的法律责任。</w:t>
      </w:r>
    </w:p>
    <w:p w14:paraId="6CC716E7">
      <w:pPr>
        <w:pStyle w:val="2"/>
        <w:spacing w:line="400" w:lineRule="exact"/>
        <w:ind w:firstLine="0"/>
        <w:rPr>
          <w:rFonts w:hAnsi="宋体" w:cs="宋体"/>
          <w:b/>
          <w:bCs/>
          <w:color w:val="auto"/>
          <w:sz w:val="22"/>
          <w:szCs w:val="22"/>
        </w:rPr>
      </w:pPr>
      <w:r>
        <w:rPr>
          <w:rFonts w:hint="eastAsia" w:hAnsi="宋体" w:cs="宋体"/>
          <w:b/>
          <w:bCs/>
          <w:color w:val="auto"/>
          <w:sz w:val="22"/>
          <w:szCs w:val="22"/>
        </w:rPr>
        <w:t>3.投标文件的构成：</w:t>
      </w:r>
    </w:p>
    <w:p w14:paraId="69C3F5BD">
      <w:p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3.1投标文件由下列部分构成（以下内容需在</w:t>
      </w:r>
      <w:r>
        <w:rPr>
          <w:rFonts w:hint="eastAsia" w:ascii="宋体" w:hAnsi="宋体" w:cs="宋体"/>
          <w:b/>
          <w:bCs/>
          <w:color w:val="auto"/>
          <w:sz w:val="22"/>
          <w:szCs w:val="22"/>
          <w:u w:val="single"/>
        </w:rPr>
        <w:t>投标时</w:t>
      </w:r>
      <w:r>
        <w:rPr>
          <w:rFonts w:hint="eastAsia" w:ascii="宋体" w:hAnsi="宋体" w:cs="宋体"/>
          <w:b/>
          <w:bCs/>
          <w:color w:val="auto"/>
          <w:sz w:val="22"/>
          <w:szCs w:val="22"/>
        </w:rPr>
        <w:t>上传政采云系统）：</w:t>
      </w:r>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397"/>
      </w:tblGrid>
      <w:tr w14:paraId="32428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l2br w:val="nil"/>
              <w:tr2bl w:val="nil"/>
            </w:tcBorders>
          </w:tcPr>
          <w:p w14:paraId="45D989A4">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序号</w:t>
            </w:r>
          </w:p>
        </w:tc>
        <w:tc>
          <w:tcPr>
            <w:tcW w:w="7350" w:type="dxa"/>
            <w:tcBorders>
              <w:tl2br w:val="nil"/>
              <w:tr2bl w:val="nil"/>
            </w:tcBorders>
          </w:tcPr>
          <w:p w14:paraId="307F0038">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内容</w:t>
            </w:r>
          </w:p>
        </w:tc>
        <w:tc>
          <w:tcPr>
            <w:tcW w:w="1397" w:type="dxa"/>
            <w:tcBorders>
              <w:tl2br w:val="nil"/>
              <w:tr2bl w:val="nil"/>
            </w:tcBorders>
          </w:tcPr>
          <w:p w14:paraId="6460D9BD">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说明</w:t>
            </w:r>
          </w:p>
        </w:tc>
      </w:tr>
      <w:tr w14:paraId="5EA78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5F25A86B">
            <w:pPr>
              <w:spacing w:line="360" w:lineRule="auto"/>
              <w:jc w:val="center"/>
              <w:rPr>
                <w:rFonts w:ascii="宋体" w:hAnsi="宋体" w:cs="宋体"/>
                <w:color w:val="auto"/>
                <w:sz w:val="22"/>
                <w:szCs w:val="22"/>
              </w:rPr>
            </w:pPr>
            <w:r>
              <w:rPr>
                <w:rFonts w:hint="eastAsia" w:ascii="宋体" w:hAnsi="宋体" w:cs="宋体"/>
                <w:color w:val="auto"/>
                <w:sz w:val="22"/>
                <w:szCs w:val="22"/>
              </w:rPr>
              <w:t>1</w:t>
            </w:r>
          </w:p>
        </w:tc>
        <w:tc>
          <w:tcPr>
            <w:tcW w:w="7350" w:type="dxa"/>
            <w:tcBorders>
              <w:tl2br w:val="nil"/>
              <w:tr2bl w:val="nil"/>
            </w:tcBorders>
          </w:tcPr>
          <w:p w14:paraId="22358B3F">
            <w:pPr>
              <w:spacing w:line="360" w:lineRule="auto"/>
              <w:jc w:val="left"/>
              <w:rPr>
                <w:rFonts w:ascii="宋体" w:hAnsi="宋体" w:cs="宋体"/>
                <w:color w:val="auto"/>
                <w:sz w:val="22"/>
                <w:szCs w:val="22"/>
              </w:rPr>
            </w:pPr>
            <w:r>
              <w:rPr>
                <w:rFonts w:hint="eastAsia" w:ascii="宋体" w:hAnsi="宋体" w:cs="宋体"/>
                <w:color w:val="auto"/>
                <w:sz w:val="22"/>
                <w:szCs w:val="22"/>
              </w:rPr>
              <w:t>封面</w:t>
            </w:r>
          </w:p>
        </w:tc>
        <w:tc>
          <w:tcPr>
            <w:tcW w:w="1397" w:type="dxa"/>
            <w:tcBorders>
              <w:tl2br w:val="nil"/>
              <w:tr2bl w:val="nil"/>
            </w:tcBorders>
            <w:vAlign w:val="center"/>
          </w:tcPr>
          <w:p w14:paraId="138D0D93">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附件</w:t>
            </w:r>
            <w:r>
              <w:rPr>
                <w:rFonts w:hint="eastAsia" w:ascii="宋体" w:hAnsi="宋体" w:cs="宋体"/>
                <w:color w:val="auto"/>
                <w:sz w:val="22"/>
                <w:szCs w:val="22"/>
              </w:rPr>
              <w:t>一</w:t>
            </w:r>
          </w:p>
        </w:tc>
      </w:tr>
      <w:tr w14:paraId="3938A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tcBorders>
              <w:tl2br w:val="nil"/>
              <w:tr2bl w:val="nil"/>
            </w:tcBorders>
            <w:vAlign w:val="center"/>
          </w:tcPr>
          <w:p w14:paraId="435D671E">
            <w:pPr>
              <w:spacing w:line="360" w:lineRule="auto"/>
              <w:jc w:val="center"/>
              <w:rPr>
                <w:rFonts w:hint="eastAsia" w:ascii="宋体" w:hAnsi="宋体" w:eastAsia="宋体" w:cs="宋体"/>
                <w:color w:val="auto"/>
                <w:sz w:val="22"/>
                <w:szCs w:val="22"/>
                <w:lang w:val="zh-CN" w:eastAsia="zh-CN"/>
              </w:rPr>
            </w:pPr>
            <w:r>
              <w:rPr>
                <w:rFonts w:hint="eastAsia" w:ascii="宋体" w:hAnsi="宋体" w:cs="宋体"/>
                <w:color w:val="auto"/>
                <w:sz w:val="22"/>
                <w:szCs w:val="22"/>
                <w:lang w:val="en-US" w:eastAsia="zh-CN"/>
              </w:rPr>
              <w:t>2</w:t>
            </w:r>
          </w:p>
        </w:tc>
        <w:tc>
          <w:tcPr>
            <w:tcW w:w="7350" w:type="dxa"/>
            <w:tcBorders>
              <w:tl2br w:val="nil"/>
              <w:tr2bl w:val="nil"/>
            </w:tcBorders>
          </w:tcPr>
          <w:p w14:paraId="3B14BEF2">
            <w:pPr>
              <w:spacing w:line="360" w:lineRule="auto"/>
              <w:jc w:val="left"/>
              <w:rPr>
                <w:rFonts w:ascii="宋体" w:hAnsi="宋体" w:cs="宋体"/>
                <w:color w:val="auto"/>
                <w:sz w:val="22"/>
                <w:szCs w:val="22"/>
              </w:rPr>
            </w:pPr>
            <w:r>
              <w:rPr>
                <w:rFonts w:hint="eastAsia" w:ascii="宋体" w:hAnsi="宋体" w:cs="宋体"/>
                <w:color w:val="auto"/>
                <w:sz w:val="22"/>
                <w:szCs w:val="22"/>
              </w:rPr>
              <w:t>投标声明函</w:t>
            </w:r>
          </w:p>
        </w:tc>
        <w:tc>
          <w:tcPr>
            <w:tcW w:w="1397" w:type="dxa"/>
            <w:tcBorders>
              <w:tl2br w:val="nil"/>
              <w:tr2bl w:val="nil"/>
            </w:tcBorders>
            <w:vAlign w:val="center"/>
          </w:tcPr>
          <w:p w14:paraId="5A8F08B9">
            <w:pPr>
              <w:spacing w:line="360" w:lineRule="auto"/>
              <w:jc w:val="center"/>
              <w:rPr>
                <w:rFonts w:ascii="宋体" w:hAnsi="宋体" w:cs="宋体"/>
                <w:color w:val="auto"/>
                <w:sz w:val="22"/>
                <w:szCs w:val="22"/>
                <w:lang w:val="zh-CN"/>
              </w:rPr>
            </w:pPr>
            <w:r>
              <w:rPr>
                <w:rFonts w:hint="eastAsia" w:ascii="宋体" w:hAnsi="宋体" w:cs="宋体"/>
                <w:color w:val="auto"/>
                <w:sz w:val="22"/>
                <w:szCs w:val="22"/>
                <w:lang w:val="zh-CN"/>
              </w:rPr>
              <w:t>附件</w:t>
            </w:r>
            <w:r>
              <w:rPr>
                <w:rFonts w:hint="eastAsia" w:ascii="宋体" w:hAnsi="宋体" w:cs="宋体"/>
                <w:color w:val="auto"/>
                <w:sz w:val="22"/>
                <w:szCs w:val="22"/>
              </w:rPr>
              <w:t>二</w:t>
            </w:r>
          </w:p>
        </w:tc>
      </w:tr>
      <w:tr w14:paraId="17277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EF3CB53">
            <w:pPr>
              <w:spacing w:line="360" w:lineRule="auto"/>
              <w:jc w:val="center"/>
              <w:rPr>
                <w:rFonts w:ascii="宋体" w:hAnsi="宋体" w:cs="宋体"/>
                <w:color w:val="auto"/>
                <w:sz w:val="22"/>
                <w:szCs w:val="22"/>
              </w:rPr>
            </w:pPr>
            <w:r>
              <w:rPr>
                <w:rFonts w:hint="eastAsia" w:ascii="宋体" w:hAnsi="宋体" w:cs="宋体"/>
                <w:color w:val="auto"/>
                <w:sz w:val="22"/>
                <w:szCs w:val="22"/>
              </w:rPr>
              <w:t>3</w:t>
            </w:r>
          </w:p>
        </w:tc>
        <w:tc>
          <w:tcPr>
            <w:tcW w:w="7350" w:type="dxa"/>
            <w:tcBorders>
              <w:tl2br w:val="nil"/>
              <w:tr2bl w:val="nil"/>
            </w:tcBorders>
          </w:tcPr>
          <w:p w14:paraId="5E9F3B71">
            <w:pPr>
              <w:spacing w:line="360" w:lineRule="auto"/>
              <w:jc w:val="left"/>
              <w:rPr>
                <w:rFonts w:ascii="宋体" w:hAnsi="宋体" w:cs="宋体"/>
                <w:color w:val="auto"/>
                <w:sz w:val="22"/>
                <w:szCs w:val="22"/>
              </w:rPr>
            </w:pPr>
            <w:r>
              <w:rPr>
                <w:rFonts w:hint="eastAsia" w:ascii="宋体" w:hAnsi="宋体" w:cs="宋体"/>
                <w:color w:val="auto"/>
                <w:sz w:val="22"/>
                <w:szCs w:val="22"/>
              </w:rPr>
              <w:t>营业执照扫描件</w:t>
            </w:r>
          </w:p>
        </w:tc>
        <w:tc>
          <w:tcPr>
            <w:tcW w:w="1397" w:type="dxa"/>
            <w:tcBorders>
              <w:tl2br w:val="nil"/>
              <w:tr2bl w:val="nil"/>
            </w:tcBorders>
            <w:vAlign w:val="center"/>
          </w:tcPr>
          <w:p w14:paraId="70FC536B">
            <w:pPr>
              <w:spacing w:line="360" w:lineRule="auto"/>
              <w:jc w:val="center"/>
              <w:rPr>
                <w:rFonts w:ascii="宋体" w:hAnsi="宋体" w:cs="宋体"/>
                <w:color w:val="auto"/>
                <w:sz w:val="22"/>
                <w:szCs w:val="22"/>
              </w:rPr>
            </w:pPr>
            <w:r>
              <w:rPr>
                <w:rFonts w:hint="eastAsia" w:ascii="宋体" w:hAnsi="宋体" w:cs="宋体"/>
                <w:color w:val="auto"/>
                <w:sz w:val="22"/>
                <w:szCs w:val="22"/>
              </w:rPr>
              <w:t>自行提供</w:t>
            </w:r>
          </w:p>
        </w:tc>
      </w:tr>
      <w:tr w14:paraId="3BA7F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5535CF9">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4</w:t>
            </w:r>
          </w:p>
        </w:tc>
        <w:tc>
          <w:tcPr>
            <w:tcW w:w="7350" w:type="dxa"/>
            <w:tcBorders>
              <w:tl2br w:val="nil"/>
              <w:tr2bl w:val="nil"/>
            </w:tcBorders>
          </w:tcPr>
          <w:p w14:paraId="5C8A724F">
            <w:pPr>
              <w:spacing w:line="360" w:lineRule="auto"/>
              <w:jc w:val="left"/>
              <w:rPr>
                <w:rFonts w:ascii="宋体" w:hAnsi="宋体" w:cs="宋体"/>
                <w:color w:val="auto"/>
                <w:sz w:val="22"/>
                <w:szCs w:val="22"/>
              </w:rPr>
            </w:pPr>
            <w:r>
              <w:rPr>
                <w:rFonts w:hint="eastAsia" w:ascii="宋体" w:hAnsi="宋体" w:cs="宋体"/>
                <w:color w:val="auto"/>
                <w:sz w:val="22"/>
                <w:szCs w:val="22"/>
              </w:rPr>
              <w:t>《中华人民共和国金融许可证》扫描件</w:t>
            </w:r>
          </w:p>
        </w:tc>
        <w:tc>
          <w:tcPr>
            <w:tcW w:w="1397" w:type="dxa"/>
            <w:tcBorders>
              <w:tl2br w:val="nil"/>
              <w:tr2bl w:val="nil"/>
            </w:tcBorders>
          </w:tcPr>
          <w:p w14:paraId="36556FCA">
            <w:pPr>
              <w:spacing w:line="360" w:lineRule="auto"/>
              <w:jc w:val="center"/>
              <w:rPr>
                <w:rFonts w:ascii="宋体" w:hAnsi="宋体" w:cs="宋体"/>
                <w:color w:val="auto"/>
                <w:sz w:val="22"/>
                <w:szCs w:val="22"/>
              </w:rPr>
            </w:pPr>
            <w:r>
              <w:rPr>
                <w:rFonts w:hint="eastAsia" w:ascii="宋体" w:hAnsi="宋体" w:cs="宋体"/>
                <w:color w:val="auto"/>
                <w:sz w:val="22"/>
                <w:szCs w:val="22"/>
              </w:rPr>
              <w:t>自行提供</w:t>
            </w:r>
          </w:p>
        </w:tc>
      </w:tr>
      <w:tr w14:paraId="6DD43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50595F6F">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5</w:t>
            </w:r>
          </w:p>
        </w:tc>
        <w:tc>
          <w:tcPr>
            <w:tcW w:w="7350" w:type="dxa"/>
            <w:tcBorders>
              <w:tl2br w:val="nil"/>
              <w:tr2bl w:val="nil"/>
            </w:tcBorders>
          </w:tcPr>
          <w:p w14:paraId="037BC407">
            <w:pPr>
              <w:spacing w:line="360" w:lineRule="auto"/>
              <w:jc w:val="left"/>
              <w:rPr>
                <w:rFonts w:ascii="宋体" w:hAnsi="宋体" w:cs="宋体"/>
                <w:color w:val="auto"/>
                <w:sz w:val="22"/>
                <w:szCs w:val="22"/>
              </w:rPr>
            </w:pPr>
            <w:r>
              <w:rPr>
                <w:rFonts w:hint="eastAsia" w:ascii="宋体" w:hAnsi="宋体" w:cs="宋体"/>
                <w:color w:val="auto"/>
                <w:sz w:val="22"/>
                <w:szCs w:val="22"/>
              </w:rPr>
              <w:t>近三年内在经营活动中无重大违法违规记录及重大违约事件的承诺函</w:t>
            </w:r>
          </w:p>
        </w:tc>
        <w:tc>
          <w:tcPr>
            <w:tcW w:w="1397" w:type="dxa"/>
            <w:tcBorders>
              <w:tl2br w:val="nil"/>
              <w:tr2bl w:val="nil"/>
            </w:tcBorders>
            <w:vAlign w:val="center"/>
          </w:tcPr>
          <w:p w14:paraId="33BA33F3">
            <w:pPr>
              <w:spacing w:line="360" w:lineRule="auto"/>
              <w:jc w:val="center"/>
              <w:rPr>
                <w:rFonts w:ascii="宋体" w:hAnsi="宋体" w:cs="宋体"/>
                <w:color w:val="auto"/>
                <w:sz w:val="22"/>
                <w:szCs w:val="22"/>
              </w:rPr>
            </w:pPr>
            <w:r>
              <w:rPr>
                <w:rFonts w:hint="eastAsia" w:ascii="宋体" w:hAnsi="宋体" w:cs="宋体"/>
                <w:color w:val="auto"/>
                <w:sz w:val="22"/>
                <w:szCs w:val="22"/>
              </w:rPr>
              <w:t>附件三</w:t>
            </w:r>
          </w:p>
        </w:tc>
      </w:tr>
      <w:tr w14:paraId="75609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A5D2C03">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6</w:t>
            </w:r>
          </w:p>
        </w:tc>
        <w:tc>
          <w:tcPr>
            <w:tcW w:w="7350" w:type="dxa"/>
            <w:tcBorders>
              <w:tl2br w:val="nil"/>
              <w:tr2bl w:val="nil"/>
            </w:tcBorders>
          </w:tcPr>
          <w:p w14:paraId="0F6FCDD8">
            <w:pPr>
              <w:spacing w:line="360" w:lineRule="auto"/>
              <w:jc w:val="left"/>
              <w:rPr>
                <w:rFonts w:ascii="宋体" w:hAnsi="宋体" w:cs="宋体"/>
                <w:color w:val="auto"/>
                <w:sz w:val="22"/>
                <w:szCs w:val="22"/>
              </w:rPr>
            </w:pPr>
            <w:r>
              <w:rPr>
                <w:rFonts w:hint="eastAsia" w:ascii="宋体" w:hAnsi="宋体" w:cs="宋体"/>
                <w:color w:val="auto"/>
                <w:sz w:val="22"/>
                <w:szCs w:val="22"/>
              </w:rPr>
              <w:t>法定代表人（主要负责人）资格证明书</w:t>
            </w:r>
          </w:p>
        </w:tc>
        <w:tc>
          <w:tcPr>
            <w:tcW w:w="1397" w:type="dxa"/>
            <w:tcBorders>
              <w:tl2br w:val="nil"/>
              <w:tr2bl w:val="nil"/>
            </w:tcBorders>
          </w:tcPr>
          <w:p w14:paraId="6D55E9FF">
            <w:pPr>
              <w:spacing w:line="360" w:lineRule="auto"/>
              <w:jc w:val="center"/>
              <w:rPr>
                <w:rFonts w:ascii="宋体" w:hAnsi="宋体" w:cs="宋体"/>
                <w:color w:val="auto"/>
                <w:sz w:val="22"/>
                <w:szCs w:val="22"/>
              </w:rPr>
            </w:pPr>
            <w:r>
              <w:rPr>
                <w:rFonts w:hint="eastAsia" w:ascii="宋体" w:hAnsi="宋体" w:cs="宋体"/>
                <w:color w:val="auto"/>
                <w:sz w:val="22"/>
                <w:szCs w:val="22"/>
              </w:rPr>
              <w:t>附件四</w:t>
            </w:r>
          </w:p>
        </w:tc>
      </w:tr>
      <w:tr w14:paraId="709DB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3" w:type="dxa"/>
            <w:tcBorders>
              <w:tl2br w:val="nil"/>
              <w:tr2bl w:val="nil"/>
            </w:tcBorders>
            <w:vAlign w:val="center"/>
          </w:tcPr>
          <w:p w14:paraId="5F7EB4D1">
            <w:pPr>
              <w:spacing w:line="360" w:lineRule="auto"/>
              <w:jc w:val="center"/>
              <w:rPr>
                <w:rFonts w:ascii="宋体" w:hAnsi="宋体" w:cs="宋体"/>
                <w:color w:val="auto"/>
                <w:sz w:val="22"/>
                <w:szCs w:val="22"/>
              </w:rPr>
            </w:pPr>
            <w:r>
              <w:rPr>
                <w:rFonts w:hint="eastAsia" w:ascii="宋体" w:hAnsi="宋体" w:cs="宋体"/>
                <w:color w:val="auto"/>
                <w:sz w:val="22"/>
                <w:szCs w:val="22"/>
              </w:rPr>
              <w:t>7</w:t>
            </w:r>
          </w:p>
        </w:tc>
        <w:tc>
          <w:tcPr>
            <w:tcW w:w="7350" w:type="dxa"/>
            <w:tcBorders>
              <w:tl2br w:val="nil"/>
              <w:tr2bl w:val="nil"/>
            </w:tcBorders>
          </w:tcPr>
          <w:p w14:paraId="5894B348">
            <w:pPr>
              <w:spacing w:line="360" w:lineRule="exact"/>
              <w:jc w:val="left"/>
              <w:rPr>
                <w:rFonts w:ascii="宋体" w:hAnsi="宋体" w:cs="宋体"/>
                <w:color w:val="auto"/>
                <w:sz w:val="22"/>
                <w:szCs w:val="22"/>
              </w:rPr>
            </w:pPr>
            <w:r>
              <w:rPr>
                <w:rFonts w:hint="eastAsia" w:ascii="宋体" w:hAnsi="宋体" w:cs="宋体"/>
                <w:color w:val="auto"/>
                <w:sz w:val="22"/>
                <w:szCs w:val="22"/>
              </w:rPr>
              <w:t>法定代表人（主要负责人）授权书（法定代表人（主要负责人）亲自办理投标事宜的，则无需提交)</w:t>
            </w:r>
          </w:p>
        </w:tc>
        <w:tc>
          <w:tcPr>
            <w:tcW w:w="1397" w:type="dxa"/>
            <w:tcBorders>
              <w:tl2br w:val="nil"/>
              <w:tr2bl w:val="nil"/>
            </w:tcBorders>
            <w:vAlign w:val="center"/>
          </w:tcPr>
          <w:p w14:paraId="4AE4339C">
            <w:pPr>
              <w:spacing w:line="360" w:lineRule="auto"/>
              <w:jc w:val="center"/>
              <w:rPr>
                <w:rFonts w:ascii="宋体" w:hAnsi="宋体" w:cs="宋体"/>
                <w:color w:val="auto"/>
                <w:sz w:val="22"/>
                <w:szCs w:val="22"/>
              </w:rPr>
            </w:pPr>
            <w:r>
              <w:rPr>
                <w:rFonts w:hint="eastAsia" w:ascii="宋体" w:hAnsi="宋体" w:cs="宋体"/>
                <w:color w:val="auto"/>
                <w:sz w:val="22"/>
                <w:szCs w:val="22"/>
              </w:rPr>
              <w:t>附件五</w:t>
            </w:r>
          </w:p>
        </w:tc>
      </w:tr>
      <w:tr w14:paraId="4DB08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73" w:type="dxa"/>
            <w:tcBorders>
              <w:tl2br w:val="nil"/>
              <w:tr2bl w:val="nil"/>
            </w:tcBorders>
            <w:vAlign w:val="center"/>
          </w:tcPr>
          <w:p w14:paraId="32B4DE18">
            <w:pPr>
              <w:spacing w:line="360" w:lineRule="auto"/>
              <w:jc w:val="center"/>
              <w:rPr>
                <w:rFonts w:ascii="宋体" w:hAnsi="宋体" w:cs="宋体"/>
                <w:color w:val="auto"/>
                <w:sz w:val="22"/>
                <w:szCs w:val="22"/>
                <w:lang w:val="zh-CN"/>
              </w:rPr>
            </w:pPr>
            <w:r>
              <w:rPr>
                <w:rFonts w:hint="eastAsia" w:ascii="宋体" w:hAnsi="宋体" w:cs="宋体"/>
                <w:color w:val="auto"/>
                <w:sz w:val="22"/>
                <w:szCs w:val="22"/>
              </w:rPr>
              <w:t>8</w:t>
            </w:r>
          </w:p>
        </w:tc>
        <w:tc>
          <w:tcPr>
            <w:tcW w:w="7350" w:type="dxa"/>
            <w:tcBorders>
              <w:tl2br w:val="nil"/>
              <w:tr2bl w:val="nil"/>
            </w:tcBorders>
          </w:tcPr>
          <w:p w14:paraId="2AAB9B88">
            <w:pPr>
              <w:spacing w:line="360" w:lineRule="exact"/>
              <w:jc w:val="left"/>
              <w:rPr>
                <w:rFonts w:ascii="宋体" w:hAnsi="宋体" w:cs="宋体"/>
                <w:color w:val="auto"/>
                <w:sz w:val="22"/>
                <w:szCs w:val="22"/>
              </w:rPr>
            </w:pPr>
            <w:r>
              <w:rPr>
                <w:rFonts w:hint="eastAsia" w:ascii="宋体" w:hAnsi="宋体" w:eastAsia="宋体" w:cs="宋体"/>
                <w:color w:val="auto"/>
                <w:kern w:val="2"/>
                <w:sz w:val="22"/>
                <w:szCs w:val="22"/>
                <w:highlight w:val="none"/>
                <w:lang w:val="zh-CN" w:eastAsia="zh-CN" w:bidi="ar-SA"/>
              </w:rPr>
              <w:t>人民银行台州市分行上年度综合评价B级及以上证明材料，不纳入人民银行台州市分行综合评价范围的银行请提供相关证明材料</w:t>
            </w:r>
            <w:r>
              <w:rPr>
                <w:rFonts w:hint="eastAsia" w:hAnsi="宋体" w:cs="宋体"/>
                <w:color w:val="auto"/>
                <w:sz w:val="22"/>
                <w:szCs w:val="22"/>
                <w:highlight w:val="none"/>
                <w:lang w:val="en-US" w:eastAsia="zh-CN"/>
              </w:rPr>
              <w:t>（如</w:t>
            </w:r>
            <w:r>
              <w:rPr>
                <w:rFonts w:hint="eastAsia" w:ascii="宋体" w:hAnsi="宋体" w:eastAsia="宋体" w:cs="宋体"/>
                <w:color w:val="auto"/>
                <w:sz w:val="22"/>
                <w:szCs w:val="22"/>
                <w:highlight w:val="none"/>
                <w:lang w:val="en-US" w:eastAsia="zh-CN"/>
              </w:rPr>
              <w:t>人民银行</w:t>
            </w:r>
            <w:r>
              <w:rPr>
                <w:rFonts w:hint="eastAsia" w:hAnsi="宋体" w:cs="宋体"/>
                <w:color w:val="auto"/>
                <w:sz w:val="22"/>
                <w:szCs w:val="22"/>
                <w:highlight w:val="none"/>
                <w:lang w:val="en-US" w:eastAsia="zh-CN"/>
              </w:rPr>
              <w:t>台州市分行未对投标人的支行作出综合评价，投标人可采用上级分行的综合评价材料），如2024年度未出，可提供2023年度综合评价。</w:t>
            </w:r>
          </w:p>
        </w:tc>
        <w:tc>
          <w:tcPr>
            <w:tcW w:w="1397" w:type="dxa"/>
            <w:tcBorders>
              <w:tl2br w:val="nil"/>
              <w:tr2bl w:val="nil"/>
            </w:tcBorders>
            <w:vAlign w:val="center"/>
          </w:tcPr>
          <w:p w14:paraId="35ABB086">
            <w:pPr>
              <w:spacing w:line="360" w:lineRule="auto"/>
              <w:jc w:val="center"/>
              <w:rPr>
                <w:rFonts w:ascii="宋体" w:hAnsi="宋体" w:cs="宋体"/>
                <w:color w:val="auto"/>
                <w:sz w:val="22"/>
                <w:szCs w:val="22"/>
              </w:rPr>
            </w:pPr>
            <w:r>
              <w:rPr>
                <w:rFonts w:hint="eastAsia" w:ascii="宋体" w:hAnsi="宋体" w:cs="宋体"/>
                <w:color w:val="auto"/>
                <w:sz w:val="22"/>
                <w:szCs w:val="22"/>
              </w:rPr>
              <w:t>自行提供</w:t>
            </w:r>
          </w:p>
        </w:tc>
      </w:tr>
      <w:tr w14:paraId="06F0D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3" w:type="dxa"/>
            <w:tcBorders>
              <w:tl2br w:val="nil"/>
              <w:tr2bl w:val="nil"/>
            </w:tcBorders>
            <w:vAlign w:val="center"/>
          </w:tcPr>
          <w:p w14:paraId="1F53443C">
            <w:pPr>
              <w:spacing w:line="360" w:lineRule="auto"/>
              <w:jc w:val="center"/>
              <w:rPr>
                <w:rFonts w:ascii="宋体" w:hAnsi="宋体" w:cs="宋体"/>
                <w:color w:val="auto"/>
                <w:sz w:val="22"/>
                <w:szCs w:val="22"/>
              </w:rPr>
            </w:pPr>
            <w:r>
              <w:rPr>
                <w:rFonts w:hint="eastAsia" w:ascii="宋体" w:hAnsi="宋体" w:cs="宋体"/>
                <w:color w:val="auto"/>
                <w:sz w:val="22"/>
                <w:szCs w:val="22"/>
              </w:rPr>
              <w:t>9</w:t>
            </w:r>
          </w:p>
        </w:tc>
        <w:tc>
          <w:tcPr>
            <w:tcW w:w="7350" w:type="dxa"/>
            <w:tcBorders>
              <w:tl2br w:val="nil"/>
              <w:tr2bl w:val="nil"/>
            </w:tcBorders>
          </w:tcPr>
          <w:p w14:paraId="0D8D0D57">
            <w:pPr>
              <w:spacing w:line="360" w:lineRule="auto"/>
              <w:jc w:val="left"/>
              <w:rPr>
                <w:rFonts w:ascii="宋体" w:hAnsi="宋体" w:cs="宋体"/>
                <w:color w:val="auto"/>
                <w:sz w:val="22"/>
                <w:szCs w:val="22"/>
              </w:rPr>
            </w:pPr>
            <w:r>
              <w:rPr>
                <w:rFonts w:hint="eastAsia" w:ascii="宋体" w:hAnsi="宋体" w:cs="宋体"/>
                <w:color w:val="auto"/>
                <w:sz w:val="22"/>
                <w:szCs w:val="22"/>
              </w:rPr>
              <w:t>廉政承诺书</w:t>
            </w:r>
          </w:p>
        </w:tc>
        <w:tc>
          <w:tcPr>
            <w:tcW w:w="1397" w:type="dxa"/>
            <w:tcBorders>
              <w:tl2br w:val="nil"/>
              <w:tr2bl w:val="nil"/>
            </w:tcBorders>
          </w:tcPr>
          <w:p w14:paraId="2026561B">
            <w:pPr>
              <w:spacing w:line="360" w:lineRule="auto"/>
              <w:jc w:val="center"/>
              <w:rPr>
                <w:rFonts w:ascii="宋体" w:hAnsi="宋体" w:cs="宋体"/>
                <w:color w:val="auto"/>
                <w:sz w:val="22"/>
                <w:szCs w:val="22"/>
              </w:rPr>
            </w:pPr>
            <w:r>
              <w:rPr>
                <w:rFonts w:hint="eastAsia" w:ascii="宋体" w:hAnsi="宋体" w:cs="宋体"/>
                <w:color w:val="auto"/>
                <w:sz w:val="22"/>
                <w:szCs w:val="22"/>
              </w:rPr>
              <w:t>附件六</w:t>
            </w:r>
          </w:p>
        </w:tc>
      </w:tr>
      <w:tr w14:paraId="680F1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3" w:type="dxa"/>
            <w:tcBorders>
              <w:tl2br w:val="nil"/>
              <w:tr2bl w:val="nil"/>
            </w:tcBorders>
            <w:vAlign w:val="center"/>
          </w:tcPr>
          <w:p w14:paraId="0936F918">
            <w:pPr>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7350" w:type="dxa"/>
            <w:tcBorders>
              <w:tl2br w:val="nil"/>
              <w:tr2bl w:val="nil"/>
            </w:tcBorders>
          </w:tcPr>
          <w:p w14:paraId="2927A60A">
            <w:pPr>
              <w:spacing w:line="360" w:lineRule="auto"/>
              <w:jc w:val="left"/>
              <w:rPr>
                <w:rFonts w:hint="eastAsia" w:ascii="宋体" w:hAnsi="宋体" w:cs="宋体"/>
                <w:color w:val="auto"/>
                <w:sz w:val="22"/>
                <w:szCs w:val="22"/>
              </w:rPr>
            </w:pPr>
            <w:r>
              <w:rPr>
                <w:rFonts w:hint="eastAsia" w:ascii="宋体" w:hAnsi="宋体" w:cs="宋体"/>
                <w:color w:val="auto"/>
                <w:kern w:val="2"/>
                <w:sz w:val="22"/>
                <w:szCs w:val="22"/>
                <w:highlight w:val="none"/>
                <w:lang w:val="en-US" w:eastAsia="zh-CN" w:bidi="ar-SA"/>
              </w:rPr>
              <w:t>根据第五章评标办法编制的内容，如服务方案</w:t>
            </w:r>
          </w:p>
        </w:tc>
        <w:tc>
          <w:tcPr>
            <w:tcW w:w="1397" w:type="dxa"/>
            <w:tcBorders>
              <w:tl2br w:val="nil"/>
              <w:tr2bl w:val="nil"/>
            </w:tcBorders>
          </w:tcPr>
          <w:p w14:paraId="3FDF822E">
            <w:pPr>
              <w:spacing w:line="360" w:lineRule="auto"/>
              <w:jc w:val="center"/>
              <w:rPr>
                <w:rFonts w:hint="eastAsia" w:ascii="宋体" w:hAnsi="宋体" w:cs="宋体"/>
                <w:color w:val="auto"/>
                <w:sz w:val="22"/>
                <w:szCs w:val="22"/>
              </w:rPr>
            </w:pPr>
          </w:p>
        </w:tc>
      </w:tr>
      <w:tr w14:paraId="10599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201ECC15">
            <w:pPr>
              <w:spacing w:line="360" w:lineRule="auto"/>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1</w:t>
            </w:r>
          </w:p>
        </w:tc>
        <w:tc>
          <w:tcPr>
            <w:tcW w:w="7350" w:type="dxa"/>
            <w:tcBorders>
              <w:tl2br w:val="nil"/>
              <w:tr2bl w:val="nil"/>
            </w:tcBorders>
          </w:tcPr>
          <w:p w14:paraId="78D7A505">
            <w:pPr>
              <w:spacing w:line="360" w:lineRule="auto"/>
              <w:jc w:val="left"/>
              <w:rPr>
                <w:rFonts w:ascii="宋体" w:hAnsi="宋体" w:cs="宋体"/>
                <w:color w:val="auto"/>
                <w:sz w:val="22"/>
                <w:szCs w:val="22"/>
              </w:rPr>
            </w:pPr>
            <w:r>
              <w:rPr>
                <w:rFonts w:hint="eastAsia" w:ascii="宋体" w:hAnsi="宋体" w:cs="宋体"/>
                <w:color w:val="auto"/>
                <w:sz w:val="22"/>
                <w:szCs w:val="22"/>
              </w:rPr>
              <w:t>投标人认为需要提供的其他资料</w:t>
            </w:r>
          </w:p>
        </w:tc>
        <w:tc>
          <w:tcPr>
            <w:tcW w:w="1397" w:type="dxa"/>
            <w:tcBorders>
              <w:tl2br w:val="nil"/>
              <w:tr2bl w:val="nil"/>
            </w:tcBorders>
          </w:tcPr>
          <w:p w14:paraId="47C7DFE0">
            <w:pPr>
              <w:spacing w:line="360" w:lineRule="auto"/>
              <w:jc w:val="center"/>
              <w:rPr>
                <w:rFonts w:ascii="宋体" w:hAnsi="宋体" w:cs="宋体"/>
                <w:color w:val="auto"/>
                <w:sz w:val="22"/>
                <w:szCs w:val="22"/>
              </w:rPr>
            </w:pPr>
            <w:r>
              <w:rPr>
                <w:rFonts w:hint="eastAsia" w:ascii="宋体" w:hAnsi="宋体" w:cs="宋体"/>
                <w:color w:val="auto"/>
                <w:sz w:val="22"/>
                <w:szCs w:val="22"/>
              </w:rPr>
              <w:t>如有</w:t>
            </w:r>
          </w:p>
        </w:tc>
      </w:tr>
      <w:tr w14:paraId="4C3B0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tcBorders>
              <w:tl2br w:val="nil"/>
              <w:tr2bl w:val="nil"/>
            </w:tcBorders>
            <w:vAlign w:val="center"/>
          </w:tcPr>
          <w:p w14:paraId="6B1D7AFD">
            <w:pPr>
              <w:spacing w:line="440" w:lineRule="exact"/>
              <w:ind w:firstLine="440" w:firstLineChars="200"/>
              <w:rPr>
                <w:color w:val="auto"/>
              </w:rPr>
            </w:pPr>
            <w:r>
              <w:rPr>
                <w:rFonts w:hint="eastAsia" w:ascii="宋体" w:hAnsi="宋体" w:cs="宋体"/>
                <w:color w:val="auto"/>
                <w:sz w:val="22"/>
                <w:szCs w:val="22"/>
              </w:rPr>
              <w:t>说明：</w:t>
            </w:r>
            <w:r>
              <w:rPr>
                <w:rFonts w:hint="eastAsia" w:ascii="宋体" w:hAnsi="宋体" w:cs="宋体"/>
                <w:b/>
                <w:bCs/>
                <w:color w:val="auto"/>
                <w:sz w:val="22"/>
                <w:szCs w:val="22"/>
                <w:u w:val="single"/>
              </w:rPr>
              <w:t>以上所需的各种证书、证件、证明、执照若系复印件的，须在复印件上加盖投标人有效的单位公章；所有附件格式均为模板，投标人须根据项目实际要求进行填写。</w:t>
            </w:r>
          </w:p>
        </w:tc>
      </w:tr>
    </w:tbl>
    <w:p w14:paraId="2B878721">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3.2投标文件编制</w:t>
      </w:r>
    </w:p>
    <w:p w14:paraId="373F31D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（1）内容编制</w:t>
      </w:r>
    </w:p>
    <w:p w14:paraId="6928E4D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①投标文件应按照本章 3.1款中规定的顺序及采用“投标文件格式”中提供的格式进行编制，并通过政采云平台进行投标。投标文件编制具体流程详见操作指南：登录政府采购云平台（https://www.zcygov.cn/），从首页-服务中心-帮助文档-公款竞争性存放-操作流程，查看文档。</w:t>
      </w:r>
    </w:p>
    <w:p w14:paraId="27F67D7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②投标文件应当对采购文件规定的内容进行对应明确说明，对采购文件规定的实质性内容应当作出响应。</w:t>
      </w:r>
    </w:p>
    <w:p w14:paraId="2ED5B3E0">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③采购人如对采购文件有澄清或修改，投标人应按澄清或修改内容对投标信息进行补充或者修改，补充和修改时如投标成功的，应当先行撤回原文件，补充、修改后重新上传并对投标信息进行确认。</w:t>
      </w:r>
    </w:p>
    <w:p w14:paraId="7BC39E50">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④由于字迹模糊或表达不清引起的后果由投标人负责。</w:t>
      </w:r>
    </w:p>
    <w:p w14:paraId="0BEEE3A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⑤为了避免页面存在兼容性问题，建议使用谷歌 Chrome或360浏览器操作。</w:t>
      </w:r>
    </w:p>
    <w:p w14:paraId="59DDD53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⑥投标文件可以线下完成盖章后上传政府采购云平台。</w:t>
      </w:r>
    </w:p>
    <w:p w14:paraId="009FA4D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（2）格式要求</w:t>
      </w:r>
    </w:p>
    <w:p w14:paraId="0486B826">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①投标文件应编制目录。</w:t>
      </w:r>
    </w:p>
    <w:p w14:paraId="37AE6E9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②投标文件格式为PDF。</w:t>
      </w:r>
    </w:p>
    <w:p w14:paraId="29FD92D4">
      <w:pPr>
        <w:spacing w:line="470" w:lineRule="exact"/>
        <w:ind w:firstLine="442" w:firstLineChars="200"/>
        <w:rPr>
          <w:rFonts w:ascii="宋体" w:hAnsi="宋体" w:cs="宋体"/>
          <w:color w:val="auto"/>
          <w:sz w:val="22"/>
          <w:szCs w:val="22"/>
        </w:rPr>
      </w:pPr>
      <w:r>
        <w:rPr>
          <w:rFonts w:hint="eastAsia" w:ascii="宋体" w:hAnsi="宋体" w:cs="宋体"/>
          <w:b/>
          <w:bCs/>
          <w:color w:val="auto"/>
          <w:sz w:val="22"/>
          <w:szCs w:val="22"/>
        </w:rPr>
        <w:t>③单个文件上传大小上限为300M</w:t>
      </w:r>
      <w:r>
        <w:rPr>
          <w:rFonts w:hint="eastAsia" w:ascii="宋体" w:hAnsi="宋体" w:cs="宋体"/>
          <w:color w:val="auto"/>
          <w:sz w:val="22"/>
          <w:szCs w:val="22"/>
        </w:rPr>
        <w:t>。</w:t>
      </w:r>
    </w:p>
    <w:p w14:paraId="3215E4EB">
      <w:pPr>
        <w:pStyle w:val="2"/>
        <w:spacing w:line="470" w:lineRule="exact"/>
        <w:ind w:firstLine="0"/>
        <w:rPr>
          <w:rFonts w:hAnsi="宋体" w:cs="宋体"/>
          <w:b/>
          <w:bCs/>
          <w:color w:val="auto"/>
          <w:sz w:val="22"/>
          <w:szCs w:val="22"/>
        </w:rPr>
      </w:pPr>
      <w:r>
        <w:rPr>
          <w:rFonts w:hint="eastAsia" w:hAnsi="宋体" w:cs="宋体"/>
          <w:b/>
          <w:bCs/>
          <w:color w:val="auto"/>
          <w:sz w:val="22"/>
          <w:szCs w:val="22"/>
        </w:rPr>
        <w:t>4.投标报价</w:t>
      </w:r>
    </w:p>
    <w:p w14:paraId="50A7272B">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4.1 投标报价是指投标人针对本项目的存款资金综合收益指标，以存款利率形式报价。</w:t>
      </w:r>
    </w:p>
    <w:p w14:paraId="3377731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4.2</w:t>
      </w:r>
      <w:r>
        <w:rPr>
          <w:rFonts w:hint="eastAsia" w:ascii="宋体" w:hAnsi="宋体" w:cs="宋体"/>
          <w:color w:val="auto"/>
          <w:sz w:val="22"/>
          <w:szCs w:val="22"/>
          <w:u w:val="single"/>
        </w:rPr>
        <w:t>▲所投标项只允许有一个报价，不接受有选择报价的投标文件</w:t>
      </w:r>
      <w:r>
        <w:rPr>
          <w:rFonts w:hint="eastAsia" w:ascii="宋体" w:hAnsi="宋体" w:cs="宋体"/>
          <w:color w:val="auto"/>
          <w:sz w:val="22"/>
          <w:szCs w:val="22"/>
        </w:rPr>
        <w:t>。</w:t>
      </w:r>
    </w:p>
    <w:p w14:paraId="6B70CC1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4.3投标人应在“政府采购云平台”中填写报价，报价应与上传的投标文件内容一致，如有不一致，以上传的投标文件中报价为准。</w:t>
      </w:r>
    </w:p>
    <w:p w14:paraId="2FF527B3">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4.4</w:t>
      </w:r>
      <w:r>
        <w:rPr>
          <w:rFonts w:hint="eastAsia" w:ascii="宋体" w:hAnsi="宋体" w:cs="宋体"/>
          <w:b/>
          <w:bCs/>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b/>
          <w:bCs/>
          <w:color w:val="auto"/>
          <w:sz w:val="22"/>
          <w:szCs w:val="22"/>
        </w:rPr>
        <w:t>。</w:t>
      </w:r>
    </w:p>
    <w:p w14:paraId="299C9D06">
      <w:pPr>
        <w:pStyle w:val="2"/>
        <w:spacing w:line="470" w:lineRule="exact"/>
        <w:ind w:firstLine="0"/>
        <w:rPr>
          <w:rFonts w:hAnsi="宋体" w:cs="宋体"/>
          <w:b/>
          <w:bCs/>
          <w:color w:val="auto"/>
          <w:sz w:val="22"/>
          <w:szCs w:val="22"/>
        </w:rPr>
      </w:pPr>
      <w:r>
        <w:rPr>
          <w:rFonts w:hint="eastAsia" w:hAnsi="宋体" w:cs="宋体"/>
          <w:b/>
          <w:bCs/>
          <w:color w:val="auto"/>
          <w:sz w:val="22"/>
          <w:szCs w:val="22"/>
        </w:rPr>
        <w:t>5.投标保证金：</w:t>
      </w:r>
      <w:r>
        <w:rPr>
          <w:rFonts w:hint="eastAsia" w:hAnsi="宋体" w:cs="宋体"/>
          <w:color w:val="auto"/>
          <w:sz w:val="22"/>
          <w:szCs w:val="22"/>
          <w:u w:val="single"/>
        </w:rPr>
        <w:t>本项目不收取投标保证金</w:t>
      </w:r>
      <w:r>
        <w:rPr>
          <w:rFonts w:hint="eastAsia" w:hAnsi="宋体" w:cs="宋体"/>
          <w:color w:val="auto"/>
          <w:sz w:val="22"/>
          <w:szCs w:val="22"/>
        </w:rPr>
        <w:t>。</w:t>
      </w:r>
    </w:p>
    <w:p w14:paraId="7C8780F2">
      <w:pPr>
        <w:pStyle w:val="2"/>
        <w:spacing w:line="470" w:lineRule="exact"/>
        <w:ind w:firstLine="0"/>
        <w:rPr>
          <w:rFonts w:hAnsi="宋体" w:cs="宋体"/>
          <w:b/>
          <w:bCs/>
          <w:color w:val="auto"/>
          <w:sz w:val="22"/>
          <w:szCs w:val="22"/>
        </w:rPr>
      </w:pPr>
      <w:r>
        <w:rPr>
          <w:rFonts w:hint="eastAsia" w:hAnsi="宋体" w:cs="宋体"/>
          <w:b/>
          <w:bCs/>
          <w:color w:val="auto"/>
          <w:sz w:val="22"/>
          <w:szCs w:val="22"/>
        </w:rPr>
        <w:t>6.投标有效期</w:t>
      </w:r>
    </w:p>
    <w:p w14:paraId="59CF752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6.1</w:t>
      </w:r>
      <w:r>
        <w:rPr>
          <w:rFonts w:hint="eastAsia" w:ascii="宋体" w:hAnsi="宋体" w:cs="宋体"/>
          <w:b/>
          <w:bCs/>
          <w:color w:val="auto"/>
          <w:sz w:val="22"/>
          <w:szCs w:val="22"/>
          <w:u w:val="single"/>
        </w:rPr>
        <w:t>▲自开标之日起90天内投标应保持投标有效</w:t>
      </w:r>
      <w:r>
        <w:rPr>
          <w:rFonts w:hint="eastAsia" w:ascii="宋体" w:hAnsi="宋体" w:cs="宋体"/>
          <w:color w:val="auto"/>
          <w:sz w:val="22"/>
          <w:szCs w:val="22"/>
        </w:rPr>
        <w:t>。</w:t>
      </w:r>
    </w:p>
    <w:p w14:paraId="2247FD6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6.2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06D12628">
      <w:pPr>
        <w:pStyle w:val="2"/>
        <w:spacing w:line="470" w:lineRule="exact"/>
        <w:ind w:firstLine="0"/>
        <w:rPr>
          <w:rFonts w:hAnsi="宋体" w:cs="宋体"/>
          <w:b/>
          <w:bCs/>
          <w:color w:val="auto"/>
          <w:sz w:val="22"/>
          <w:szCs w:val="22"/>
        </w:rPr>
      </w:pPr>
      <w:r>
        <w:rPr>
          <w:rFonts w:hint="eastAsia" w:hAnsi="宋体" w:cs="宋体"/>
          <w:b/>
          <w:bCs/>
          <w:color w:val="auto"/>
          <w:sz w:val="22"/>
          <w:szCs w:val="22"/>
        </w:rPr>
        <w:t>7.投标文件的签署和规定</w:t>
      </w:r>
    </w:p>
    <w:p w14:paraId="04AADE4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7.1投标人应按本采购文件规定的格式和顺序编制投标文件并标注页码，投标文件内容不完整、编排混乱导致投标文件被误读、漏读或者查找不到相关内容的，是投标人的责任。</w:t>
      </w:r>
    </w:p>
    <w:p w14:paraId="4C5AD59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7.2投标文件须由投标人在规定位置盖章并由法定负责人或授权委托人签署，投标人应写全称。</w:t>
      </w:r>
    </w:p>
    <w:p w14:paraId="6CBFA58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7.3投标文件不得涂改，若有修改错漏处，须加盖投标人公章或者法定负责人或授权委托人签名或盖章。投标文件因字迹潦草或表达不清所引起的后果由投标人负责。</w:t>
      </w:r>
      <w:bookmarkStart w:id="11" w:name="_Toc103948071"/>
      <w:bookmarkStart w:id="12" w:name="_Toc230773778"/>
    </w:p>
    <w:p w14:paraId="6F612F8D">
      <w:pPr>
        <w:pStyle w:val="4"/>
        <w:spacing w:line="470" w:lineRule="exact"/>
        <w:rPr>
          <w:color w:val="auto"/>
        </w:rPr>
      </w:pPr>
      <w:r>
        <w:rPr>
          <w:rFonts w:hint="eastAsia"/>
          <w:color w:val="auto"/>
        </w:rPr>
        <w:t>四、 投标文件的递交</w:t>
      </w:r>
      <w:bookmarkEnd w:id="11"/>
      <w:bookmarkEnd w:id="12"/>
    </w:p>
    <w:p w14:paraId="74AA0014">
      <w:pPr>
        <w:pStyle w:val="2"/>
        <w:spacing w:line="470" w:lineRule="exact"/>
        <w:ind w:firstLine="0"/>
        <w:rPr>
          <w:rFonts w:hAnsi="宋体" w:cs="宋体"/>
          <w:b/>
          <w:bCs/>
          <w:color w:val="auto"/>
          <w:sz w:val="22"/>
          <w:szCs w:val="22"/>
        </w:rPr>
      </w:pPr>
      <w:r>
        <w:rPr>
          <w:rFonts w:hint="eastAsia" w:hAnsi="宋体" w:cs="宋体"/>
          <w:b/>
          <w:bCs/>
          <w:color w:val="auto"/>
          <w:sz w:val="22"/>
          <w:szCs w:val="22"/>
        </w:rPr>
        <w:t>1.投标文件的递交</w:t>
      </w:r>
    </w:p>
    <w:p w14:paraId="748EBB5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到达投标时间后，投标人可通过政采云平台进行投标。</w:t>
      </w:r>
    </w:p>
    <w:p w14:paraId="7BB6F06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【提示】投标和投标信息确认两个步骤操作，投标人务必在规定时间内完成，否则视为投标逾期。</w:t>
      </w:r>
    </w:p>
    <w:p w14:paraId="2EF2265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菜单路径：用户中心—公款竞争性存放—竞标项目。</w:t>
      </w:r>
    </w:p>
    <w:p w14:paraId="052A5B2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（1）在“竞标项目-进行中”标签页下，选择状态为“待投标”的项目，点击操作栏【投标】按钮，进行投标。</w:t>
      </w:r>
    </w:p>
    <w:p w14:paraId="27C59D3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为避免投标人在规定时间内无法完成项目投标与投标信息确认，投标人报名审核通过后，可先将投标信息维护好，并点击【保存】，暂存投标信息，项目到达投标时间后，只需提交投标信息以及确认投标信息。</w:t>
      </w:r>
    </w:p>
    <w:p w14:paraId="1708A2B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（3）到达投标时间后，投标人进入投标信息页面。</w:t>
      </w:r>
    </w:p>
    <w:p w14:paraId="4BF9528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【填写注意事项】</w:t>
      </w:r>
    </w:p>
    <w:p w14:paraId="6DD9376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注意投标结束时间。</w:t>
      </w:r>
    </w:p>
    <w:p w14:paraId="303AE793">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选择对应的标项填写投标信息。</w:t>
      </w:r>
    </w:p>
    <w:p w14:paraId="55378DA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对各审查项进行响应，响应文件必须以 PDF 格式上传，上传后如投标人需要使用 CA（申领 CA，请参考《CA 申领操作指南》，）对上传文件进行签章。</w:t>
      </w:r>
    </w:p>
    <w:p w14:paraId="71A26A8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“评分规则”一栏，展示的是完整的评分指标体系。</w:t>
      </w:r>
    </w:p>
    <w:p w14:paraId="3EE78D4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指标来源分为：财政部门提供、采购人提供和投标人投标三种。财政部门提供的指标由省厅录入，采购人提供的指标由招标代理机构录入；投标人投标的指标需在线进行响应。</w:t>
      </w:r>
    </w:p>
    <w:p w14:paraId="42A8D80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主观分的响应内容，投标人需以 PDF 文件形式进行响应。</w:t>
      </w:r>
    </w:p>
    <w:p w14:paraId="77A5B08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客观分的响应内容投标人可直接填写。</w:t>
      </w:r>
    </w:p>
    <w:p w14:paraId="1C04FBF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（4）确认投标信息无误，点击右上角【提交】。</w:t>
      </w:r>
    </w:p>
    <w:p w14:paraId="6B46650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（5）在弹框里选择内部审核人员，点击【确定】。</w:t>
      </w:r>
    </w:p>
    <w:p w14:paraId="2E465B9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【提示】在投标截止时间前需完成投标确认，通过后才视为投标成功。</w:t>
      </w:r>
    </w:p>
    <w:p w14:paraId="61468A06">
      <w:pPr>
        <w:pStyle w:val="2"/>
        <w:spacing w:line="470" w:lineRule="exact"/>
        <w:ind w:firstLine="0"/>
        <w:rPr>
          <w:rFonts w:hAnsi="宋体" w:cs="宋体"/>
          <w:b/>
          <w:bCs/>
          <w:color w:val="auto"/>
          <w:sz w:val="22"/>
          <w:szCs w:val="22"/>
        </w:rPr>
      </w:pPr>
      <w:r>
        <w:rPr>
          <w:rFonts w:hint="eastAsia" w:hAnsi="宋体" w:cs="宋体"/>
          <w:b/>
          <w:bCs/>
          <w:color w:val="auto"/>
          <w:sz w:val="22"/>
          <w:szCs w:val="22"/>
        </w:rPr>
        <w:t>2.投标信息确认</w:t>
      </w:r>
    </w:p>
    <w:p w14:paraId="68DE1EF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投标人投标完成，需确认投标信息后才视为投标成功。</w:t>
      </w:r>
    </w:p>
    <w:p w14:paraId="7AE770B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【提示】投标和投标信息确认两步操作，投标人务必在规定的时间内完成，否则视为投标逾期。菜单路径：用户中心—公款竞争性存放—竞标项目</w:t>
      </w:r>
    </w:p>
    <w:p w14:paraId="742EDBEB">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（1）在“竞标项目-进行中”标签页下，选择状态为“待确认”的项目，点击操作栏【确认】。</w:t>
      </w:r>
    </w:p>
    <w:p w14:paraId="4647461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（2）系统跳转至投标信息确认页面，查看对应标项投标信息。</w:t>
      </w:r>
    </w:p>
    <w:p w14:paraId="768C01AC">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（3）如确认投标信息无误后，点击右上角【确认】。</w:t>
      </w:r>
    </w:p>
    <w:p w14:paraId="3FCF689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（4）在弹框里确认结果选择【同意】，投标成功。</w:t>
      </w:r>
    </w:p>
    <w:p w14:paraId="2EC4028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（5）如对投标信息有异议，确认结果选择【不同意】并填写确认意见，回退至投标环节，修改信息。</w:t>
      </w:r>
    </w:p>
    <w:p w14:paraId="0F04173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完成状态：投标人投标成功后，在“竞标项目-进行中”标签页下显示状态为“待开标”。</w:t>
      </w:r>
    </w:p>
    <w:p w14:paraId="594847A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【提示】在投标截止时间之前，投标人可“撤回”投标，项目到达开标时间后，投标人可点击“查看”，查看开标情况。</w:t>
      </w:r>
    </w:p>
    <w:p w14:paraId="239AEC2C">
      <w:pPr>
        <w:pStyle w:val="2"/>
        <w:spacing w:line="470" w:lineRule="exact"/>
        <w:ind w:firstLine="0"/>
        <w:rPr>
          <w:rFonts w:hAnsi="宋体" w:cs="宋体"/>
          <w:b/>
          <w:bCs/>
          <w:color w:val="auto"/>
          <w:sz w:val="22"/>
          <w:szCs w:val="22"/>
        </w:rPr>
      </w:pPr>
      <w:r>
        <w:rPr>
          <w:rFonts w:hint="eastAsia" w:hAnsi="宋体" w:cs="宋体"/>
          <w:b/>
          <w:bCs/>
          <w:color w:val="auto"/>
          <w:sz w:val="22"/>
          <w:szCs w:val="22"/>
        </w:rPr>
        <w:t>3.投标文件的修改和撤回</w:t>
      </w:r>
    </w:p>
    <w:p w14:paraId="278FD3D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投标人在投标以后如必须补充、修改或撤回投标文件，必须在投标截止时间以前在“政府采购云平台”上补充、修改或撤回投标文件。补充、修改电子投标文件的，应当先行撤回原文件，补充、修改后重新上传并对投标信息进行确认。投标截止时间前未完成投标信息确认的，视为撤回投标文件。</w:t>
      </w:r>
    </w:p>
    <w:p w14:paraId="0A570648">
      <w:pPr>
        <w:pStyle w:val="2"/>
        <w:spacing w:line="470" w:lineRule="exact"/>
        <w:ind w:firstLine="0"/>
        <w:rPr>
          <w:rFonts w:hAnsi="宋体" w:cs="宋体"/>
          <w:b/>
          <w:bCs/>
          <w:color w:val="auto"/>
          <w:sz w:val="22"/>
          <w:szCs w:val="22"/>
        </w:rPr>
      </w:pPr>
      <w:r>
        <w:rPr>
          <w:rFonts w:hint="eastAsia" w:hAnsi="宋体" w:cs="宋体"/>
          <w:b/>
          <w:bCs/>
          <w:color w:val="auto"/>
          <w:sz w:val="22"/>
          <w:szCs w:val="22"/>
        </w:rPr>
        <w:t>4.备选投标方案</w:t>
      </w:r>
    </w:p>
    <w:p w14:paraId="0B3C741D">
      <w:pPr>
        <w:spacing w:line="470" w:lineRule="exact"/>
        <w:ind w:firstLine="440" w:firstLineChars="200"/>
        <w:rPr>
          <w:rFonts w:hAnsi="宋体" w:cs="宋体"/>
          <w:b/>
          <w:color w:val="auto"/>
        </w:rPr>
      </w:pPr>
      <w:r>
        <w:rPr>
          <w:rFonts w:hint="eastAsia" w:ascii="宋体" w:hAnsi="宋体" w:cs="宋体"/>
          <w:color w:val="auto"/>
          <w:sz w:val="22"/>
          <w:szCs w:val="22"/>
        </w:rPr>
        <w:t>投标人不得提交备选投标方案，否则，投标文件将被判定为无效标</w:t>
      </w:r>
      <w:r>
        <w:rPr>
          <w:rFonts w:hint="eastAsia" w:ascii="宋体" w:hAnsi="宋体" w:cs="宋体"/>
          <w:color w:val="auto"/>
        </w:rPr>
        <w:t>。</w:t>
      </w:r>
    </w:p>
    <w:p w14:paraId="0AFA5F3A">
      <w:pPr>
        <w:pStyle w:val="4"/>
        <w:spacing w:line="470" w:lineRule="exact"/>
        <w:rPr>
          <w:color w:val="auto"/>
        </w:rPr>
      </w:pPr>
      <w:r>
        <w:rPr>
          <w:rFonts w:hint="eastAsia"/>
          <w:color w:val="auto"/>
        </w:rPr>
        <w:t>五、开标、评标及定标</w:t>
      </w:r>
    </w:p>
    <w:p w14:paraId="324825E9">
      <w:pPr>
        <w:pStyle w:val="2"/>
        <w:spacing w:line="470" w:lineRule="exact"/>
        <w:ind w:firstLine="0"/>
        <w:rPr>
          <w:rFonts w:hAnsi="宋体" w:cs="宋体"/>
          <w:b/>
          <w:bCs/>
          <w:color w:val="auto"/>
          <w:sz w:val="22"/>
          <w:szCs w:val="22"/>
        </w:rPr>
      </w:pPr>
      <w:r>
        <w:rPr>
          <w:rFonts w:hint="eastAsia" w:hAnsi="宋体" w:cs="宋体"/>
          <w:b/>
          <w:bCs/>
          <w:color w:val="auto"/>
          <w:sz w:val="22"/>
          <w:szCs w:val="22"/>
        </w:rPr>
        <w:t>1.评标委员会</w:t>
      </w:r>
    </w:p>
    <w:p w14:paraId="3209E6B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采购人依法组建评标委员会。</w:t>
      </w:r>
    </w:p>
    <w:p w14:paraId="2DDBDDF5">
      <w:pPr>
        <w:pStyle w:val="2"/>
        <w:spacing w:line="470" w:lineRule="exact"/>
        <w:ind w:firstLine="0"/>
        <w:rPr>
          <w:rFonts w:hAnsi="宋体" w:cs="宋体"/>
          <w:b/>
          <w:bCs/>
          <w:color w:val="auto"/>
          <w:sz w:val="22"/>
          <w:szCs w:val="22"/>
        </w:rPr>
      </w:pPr>
      <w:r>
        <w:rPr>
          <w:rFonts w:hint="eastAsia" w:hAnsi="宋体" w:cs="宋体"/>
          <w:b/>
          <w:bCs/>
          <w:color w:val="auto"/>
          <w:sz w:val="22"/>
          <w:szCs w:val="22"/>
        </w:rPr>
        <w:t>2.评标过程的保密性</w:t>
      </w:r>
    </w:p>
    <w:p w14:paraId="570AFC4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开标后直至向中标银行授予合同时止，凡与评审有关的资料均不得向投标人及与评标无关人员透露。如果投标人在评标过程中试图向采购人施加影响，其投标将被拒绝。</w:t>
      </w:r>
    </w:p>
    <w:p w14:paraId="5C814C22">
      <w:pPr>
        <w:pStyle w:val="2"/>
        <w:spacing w:line="470" w:lineRule="exact"/>
        <w:ind w:firstLine="0"/>
        <w:rPr>
          <w:rFonts w:hAnsi="宋体" w:cs="宋体"/>
          <w:b/>
          <w:bCs/>
          <w:color w:val="auto"/>
          <w:sz w:val="22"/>
          <w:szCs w:val="22"/>
        </w:rPr>
      </w:pPr>
      <w:r>
        <w:rPr>
          <w:rFonts w:hint="eastAsia" w:hAnsi="宋体" w:cs="宋体"/>
          <w:b/>
          <w:bCs/>
          <w:color w:val="auto"/>
          <w:sz w:val="22"/>
          <w:szCs w:val="22"/>
        </w:rPr>
        <w:t>3. 开标</w:t>
      </w:r>
    </w:p>
    <w:p w14:paraId="237B11E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3.1采购人</w:t>
      </w:r>
      <w:r>
        <w:rPr>
          <w:rFonts w:ascii="宋体" w:hAnsi="宋体" w:cs="宋体"/>
          <w:color w:val="auto"/>
          <w:sz w:val="22"/>
          <w:szCs w:val="22"/>
        </w:rPr>
        <w:t>按</w:t>
      </w:r>
      <w:r>
        <w:rPr>
          <w:rFonts w:hint="eastAsia" w:ascii="宋体" w:hAnsi="宋体" w:cs="宋体"/>
          <w:color w:val="auto"/>
          <w:sz w:val="22"/>
          <w:szCs w:val="22"/>
        </w:rPr>
        <w:t>“</w:t>
      </w:r>
      <w:r>
        <w:rPr>
          <w:rFonts w:ascii="宋体" w:hAnsi="宋体" w:cs="宋体"/>
          <w:color w:val="auto"/>
          <w:sz w:val="22"/>
          <w:szCs w:val="22"/>
        </w:rPr>
        <w:t>投标人须知前附表</w:t>
      </w:r>
      <w:r>
        <w:rPr>
          <w:rFonts w:hint="eastAsia" w:ascii="宋体" w:hAnsi="宋体" w:cs="宋体"/>
          <w:color w:val="auto"/>
          <w:sz w:val="22"/>
          <w:szCs w:val="22"/>
        </w:rPr>
        <w:t>”</w:t>
      </w:r>
      <w:r>
        <w:rPr>
          <w:rFonts w:ascii="宋体" w:hAnsi="宋体" w:cs="宋体"/>
          <w:color w:val="auto"/>
          <w:sz w:val="22"/>
          <w:szCs w:val="22"/>
        </w:rPr>
        <w:t>规定的时间、地点公开开标</w:t>
      </w:r>
      <w:r>
        <w:rPr>
          <w:rFonts w:hint="eastAsia" w:ascii="宋体" w:hAnsi="宋体" w:cs="宋体"/>
          <w:color w:val="auto"/>
          <w:sz w:val="22"/>
          <w:szCs w:val="22"/>
        </w:rPr>
        <w:t>。</w:t>
      </w:r>
    </w:p>
    <w:p w14:paraId="2A927A8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3.2</w:t>
      </w:r>
      <w:r>
        <w:rPr>
          <w:rFonts w:ascii="宋体" w:hAnsi="宋体" w:cs="宋体"/>
          <w:color w:val="auto"/>
          <w:sz w:val="22"/>
          <w:szCs w:val="22"/>
        </w:rPr>
        <w:t>投标人代表可在线参加开标活动，查看开标情况</w:t>
      </w:r>
      <w:r>
        <w:rPr>
          <w:rFonts w:hint="eastAsia" w:ascii="宋体" w:hAnsi="宋体" w:cs="宋体"/>
          <w:color w:val="auto"/>
          <w:sz w:val="22"/>
          <w:szCs w:val="22"/>
        </w:rPr>
        <w:t>。</w:t>
      </w:r>
    </w:p>
    <w:p w14:paraId="6074FD8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3.3采购代理机构根据政采云规定的流程进行开标、记录等流程。</w:t>
      </w:r>
    </w:p>
    <w:p w14:paraId="1F88DA1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3.4</w:t>
      </w:r>
      <w:r>
        <w:rPr>
          <w:rFonts w:ascii="宋体" w:hAnsi="宋体" w:cs="宋体"/>
          <w:color w:val="auto"/>
          <w:sz w:val="22"/>
          <w:szCs w:val="22"/>
        </w:rPr>
        <w:t>开标结束后，如发现开标结果与投标文件不一致者，以投标文件内容为准</w:t>
      </w:r>
      <w:r>
        <w:rPr>
          <w:rFonts w:hint="eastAsia" w:ascii="宋体" w:hAnsi="宋体" w:cs="宋体"/>
          <w:color w:val="auto"/>
          <w:sz w:val="22"/>
          <w:szCs w:val="22"/>
        </w:rPr>
        <w:t>。</w:t>
      </w:r>
    </w:p>
    <w:p w14:paraId="3613431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3.5</w:t>
      </w:r>
      <w:r>
        <w:rPr>
          <w:rFonts w:ascii="宋体" w:hAnsi="宋体" w:cs="宋体"/>
          <w:color w:val="auto"/>
          <w:sz w:val="22"/>
          <w:szCs w:val="22"/>
        </w:rPr>
        <w:t>评选结果出来后，投标人可通过政采云平台查看评选结果</w:t>
      </w:r>
      <w:r>
        <w:rPr>
          <w:rFonts w:hint="eastAsia" w:ascii="宋体" w:hAnsi="宋体" w:cs="宋体"/>
          <w:color w:val="auto"/>
          <w:sz w:val="22"/>
          <w:szCs w:val="22"/>
        </w:rPr>
        <w:t>。</w:t>
      </w:r>
    </w:p>
    <w:p w14:paraId="7791B7D7">
      <w:pPr>
        <w:spacing w:line="470" w:lineRule="exact"/>
        <w:ind w:firstLine="442" w:firstLineChars="200"/>
        <w:rPr>
          <w:rFonts w:ascii="宋体" w:hAnsi="宋体" w:cs="宋体"/>
          <w:b/>
          <w:bCs/>
          <w:color w:val="auto"/>
          <w:sz w:val="22"/>
          <w:szCs w:val="22"/>
          <w:u w:val="single"/>
        </w:rPr>
      </w:pPr>
      <w:r>
        <w:rPr>
          <w:rFonts w:ascii="宋体" w:hAnsi="宋体" w:cs="宋体"/>
          <w:b/>
          <w:bCs/>
          <w:color w:val="auto"/>
          <w:sz w:val="22"/>
          <w:szCs w:val="22"/>
          <w:u w:val="single"/>
        </w:rPr>
        <w:t>特别说明：投标人代表</w:t>
      </w:r>
      <w:r>
        <w:rPr>
          <w:rFonts w:hint="eastAsia" w:ascii="宋体" w:hAnsi="宋体" w:cs="宋体"/>
          <w:b/>
          <w:bCs/>
          <w:color w:val="auto"/>
          <w:sz w:val="22"/>
          <w:szCs w:val="22"/>
          <w:u w:val="single"/>
        </w:rPr>
        <w:t>无需</w:t>
      </w:r>
      <w:r>
        <w:rPr>
          <w:rFonts w:ascii="宋体" w:hAnsi="宋体" w:cs="宋体"/>
          <w:b/>
          <w:bCs/>
          <w:color w:val="auto"/>
          <w:sz w:val="22"/>
          <w:szCs w:val="22"/>
          <w:u w:val="single"/>
        </w:rPr>
        <w:t>亲临现场，投标人代表可自行登录政府采购云平台（https://www.zcygov.cn/）查看开标结果情况。</w:t>
      </w:r>
    </w:p>
    <w:p w14:paraId="0B68F168">
      <w:pPr>
        <w:pStyle w:val="2"/>
        <w:spacing w:line="470" w:lineRule="exact"/>
        <w:ind w:firstLine="0"/>
        <w:rPr>
          <w:rFonts w:hAnsi="宋体" w:cs="宋体"/>
          <w:b/>
          <w:bCs/>
          <w:color w:val="auto"/>
          <w:sz w:val="22"/>
          <w:szCs w:val="22"/>
        </w:rPr>
      </w:pPr>
      <w:r>
        <w:rPr>
          <w:rFonts w:hAnsi="宋体" w:cs="宋体"/>
          <w:b/>
          <w:bCs/>
          <w:color w:val="auto"/>
          <w:sz w:val="22"/>
          <w:szCs w:val="22"/>
        </w:rPr>
        <w:t>3.6开标异议</w:t>
      </w:r>
    </w:p>
    <w:p w14:paraId="5E7F288A">
      <w:pPr>
        <w:spacing w:line="470" w:lineRule="exact"/>
        <w:ind w:firstLine="440" w:firstLineChars="200"/>
        <w:rPr>
          <w:rFonts w:ascii="宋体" w:hAnsi="宋体" w:cs="宋体"/>
          <w:color w:val="auto"/>
          <w:sz w:val="22"/>
          <w:szCs w:val="22"/>
        </w:rPr>
      </w:pPr>
      <w:r>
        <w:rPr>
          <w:rFonts w:ascii="宋体" w:hAnsi="宋体" w:cs="宋体"/>
          <w:color w:val="auto"/>
          <w:sz w:val="22"/>
          <w:szCs w:val="22"/>
        </w:rPr>
        <w:t>投标人如对开标有异议，应当在开标结束前致电代理机构联系人，代理机构工作人员将当场作出答复，并制作记录。</w:t>
      </w:r>
    </w:p>
    <w:p w14:paraId="7188971B">
      <w:pPr>
        <w:pStyle w:val="2"/>
        <w:spacing w:line="470" w:lineRule="exact"/>
        <w:ind w:firstLine="0"/>
        <w:rPr>
          <w:rFonts w:hAnsi="宋体" w:cs="宋体"/>
          <w:b/>
          <w:bCs/>
          <w:color w:val="auto"/>
          <w:sz w:val="22"/>
          <w:szCs w:val="22"/>
        </w:rPr>
      </w:pPr>
      <w:r>
        <w:rPr>
          <w:rFonts w:hint="eastAsia" w:hAnsi="宋体" w:cs="宋体"/>
          <w:b/>
          <w:bCs/>
          <w:color w:val="auto"/>
          <w:sz w:val="22"/>
          <w:szCs w:val="22"/>
        </w:rPr>
        <w:t>4.投标文件初步评审</w:t>
      </w:r>
    </w:p>
    <w:p w14:paraId="7B46E5C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4.1</w:t>
      </w:r>
      <w:r>
        <w:rPr>
          <w:rFonts w:ascii="宋体" w:hAnsi="宋体" w:cs="宋体"/>
          <w:color w:val="auto"/>
          <w:sz w:val="22"/>
          <w:szCs w:val="22"/>
        </w:rPr>
        <w:t>评选委员会将首先审查每份投标文件是否实质上响应了</w:t>
      </w:r>
      <w:r>
        <w:rPr>
          <w:rFonts w:hint="eastAsia" w:ascii="宋体" w:hAnsi="宋体" w:cs="宋体"/>
          <w:color w:val="auto"/>
          <w:sz w:val="22"/>
          <w:szCs w:val="22"/>
        </w:rPr>
        <w:t>采购文件</w:t>
      </w:r>
      <w:r>
        <w:rPr>
          <w:rFonts w:ascii="宋体" w:hAnsi="宋体" w:cs="宋体"/>
          <w:color w:val="auto"/>
          <w:sz w:val="22"/>
          <w:szCs w:val="22"/>
        </w:rPr>
        <w:t>的要求，实质性响应的投标文件是指投标文件符合</w:t>
      </w:r>
      <w:r>
        <w:rPr>
          <w:rFonts w:hint="eastAsia" w:ascii="宋体" w:hAnsi="宋体" w:cs="宋体"/>
          <w:color w:val="auto"/>
          <w:sz w:val="22"/>
          <w:szCs w:val="22"/>
        </w:rPr>
        <w:t>采购文件</w:t>
      </w:r>
      <w:r>
        <w:rPr>
          <w:rFonts w:ascii="宋体" w:hAnsi="宋体" w:cs="宋体"/>
          <w:color w:val="auto"/>
          <w:sz w:val="22"/>
          <w:szCs w:val="22"/>
        </w:rPr>
        <w:t>规定的实质性内容、条件和规定</w:t>
      </w:r>
      <w:r>
        <w:rPr>
          <w:rFonts w:hint="eastAsia" w:ascii="宋体" w:hAnsi="宋体" w:cs="宋体"/>
          <w:color w:val="auto"/>
          <w:sz w:val="22"/>
          <w:szCs w:val="22"/>
        </w:rPr>
        <w:t>。</w:t>
      </w:r>
    </w:p>
    <w:p w14:paraId="4D376D56">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4.2</w:t>
      </w:r>
      <w:r>
        <w:rPr>
          <w:rFonts w:ascii="宋体" w:hAnsi="宋体" w:cs="宋体"/>
          <w:color w:val="auto"/>
          <w:sz w:val="22"/>
          <w:szCs w:val="22"/>
        </w:rPr>
        <w:t>初步评审工作内容</w:t>
      </w:r>
    </w:p>
    <w:p w14:paraId="5349CB3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资格性审查。依据法律、法规和采购文件的规定，评标委员会对各投标文件中的法定代表人（主要负责人）资格证明书扫描件、法定代表人（主要负责人）授权书扫描件、投标人代表有效身份证件扫描件和企业营业执照扫描件（加盖单位公章）等资格证明进行审查，以确定是否具备投标资格。</w:t>
      </w:r>
      <w:r>
        <w:rPr>
          <w:rFonts w:hint="eastAsia" w:ascii="宋体" w:hAnsi="宋体" w:cs="宋体"/>
          <w:b/>
          <w:bCs/>
          <w:color w:val="auto"/>
          <w:sz w:val="22"/>
          <w:szCs w:val="22"/>
          <w:u w:val="single"/>
        </w:rPr>
        <w:t>▲只要有一项审查不合格，则该投标人的资格审查不合格，审查不合格的投标文件将不予评审。</w:t>
      </w:r>
    </w:p>
    <w:p w14:paraId="7954E5F2">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（2）符合性审查。依据采购文件的规定，对投标文件的有效性、完整性和对采购文件的响应程度进行审查，以确定是否对采购文件的实质性要求做出响应。</w:t>
      </w:r>
    </w:p>
    <w:p w14:paraId="309ABBF1">
      <w:pPr>
        <w:spacing w:line="470" w:lineRule="exact"/>
        <w:ind w:firstLine="440" w:firstLineChars="200"/>
        <w:rPr>
          <w:rFonts w:ascii="宋体" w:hAnsi="宋体" w:cs="宋体"/>
          <w:b/>
          <w:bCs/>
          <w:color w:val="auto"/>
          <w:sz w:val="22"/>
          <w:szCs w:val="22"/>
          <w:u w:val="single"/>
        </w:rPr>
      </w:pPr>
      <w:r>
        <w:rPr>
          <w:rFonts w:hint="eastAsia" w:ascii="宋体" w:hAnsi="宋体" w:cs="宋体"/>
          <w:color w:val="auto"/>
          <w:sz w:val="22"/>
          <w:szCs w:val="22"/>
        </w:rPr>
        <w:t>4.3在详细评标之前，评标委员会要审查每份投标文件是否实质上响应了采购文件的要求。实质上响应的投标应该是与采购文件要求的全部条款、条件和规格基本相符，没有重大偏离。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cs="宋体"/>
          <w:b/>
          <w:bCs/>
          <w:color w:val="auto"/>
          <w:sz w:val="22"/>
          <w:szCs w:val="22"/>
          <w:u w:val="single"/>
        </w:rPr>
        <w:t>▲评标委员会决定投标的响应性只根据投标文件本身的内容，而不寻求外部的证据。</w:t>
      </w:r>
    </w:p>
    <w:p w14:paraId="1A95ED53">
      <w:pPr>
        <w:spacing w:line="470" w:lineRule="exact"/>
        <w:ind w:firstLine="442" w:firstLineChars="200"/>
        <w:rPr>
          <w:rFonts w:ascii="宋体" w:hAnsi="宋体" w:cs="宋体"/>
          <w:b/>
          <w:bCs/>
          <w:color w:val="auto"/>
          <w:sz w:val="22"/>
          <w:szCs w:val="22"/>
          <w:u w:val="single"/>
        </w:rPr>
      </w:pPr>
      <w:r>
        <w:rPr>
          <w:rFonts w:hint="eastAsia" w:ascii="宋体" w:hAnsi="宋体" w:cs="宋体"/>
          <w:b/>
          <w:bCs/>
          <w:color w:val="auto"/>
          <w:sz w:val="22"/>
          <w:szCs w:val="22"/>
          <w:u w:val="single"/>
        </w:rPr>
        <w:t>4.4▲实质上没有响应采购文件要求的投标将被拒绝，投标人不得通过修正或撤销不合要求的偏离或保留从而使其投标成为实质上响应的投标。</w:t>
      </w:r>
    </w:p>
    <w:p w14:paraId="0F21B02F">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4.5▲在对各投标人的投标文件进行综合评审时有下列情况之一的，经评标委员会认定后按无效标处理：</w:t>
      </w:r>
    </w:p>
    <w:p w14:paraId="232EFA4D">
      <w:pPr>
        <w:spacing w:line="470" w:lineRule="exact"/>
        <w:ind w:firstLine="440" w:firstLineChars="200"/>
        <w:rPr>
          <w:rFonts w:ascii="宋体" w:hAnsi="宋体" w:cs="宋体"/>
          <w:b/>
          <w:bCs/>
          <w:color w:val="auto"/>
          <w:sz w:val="22"/>
          <w:szCs w:val="22"/>
          <w:u w:val="single"/>
        </w:rPr>
      </w:pPr>
      <w:r>
        <w:rPr>
          <w:rFonts w:hint="eastAsia" w:ascii="宋体" w:hAnsi="宋体" w:cs="宋体"/>
          <w:color w:val="auto"/>
          <w:sz w:val="22"/>
          <w:szCs w:val="22"/>
          <w:u w:val="single"/>
        </w:rPr>
        <w:t>（1）</w:t>
      </w:r>
      <w:r>
        <w:rPr>
          <w:rFonts w:hint="eastAsia" w:ascii="宋体" w:hAnsi="宋体" w:cs="宋体"/>
          <w:b/>
          <w:bCs/>
          <w:color w:val="auto"/>
          <w:sz w:val="22"/>
          <w:szCs w:val="22"/>
          <w:u w:val="single"/>
        </w:rPr>
        <w:t>投标文件未按采购文件要求加盖投标人单位公章、无法定代表人（主要负责人）或其授权代表签字的；</w:t>
      </w:r>
    </w:p>
    <w:p w14:paraId="3E214DAB">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（2）投标人不符合投标资格条件的；</w:t>
      </w:r>
    </w:p>
    <w:p w14:paraId="23CC6E17">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（3）报名的投标人与参加投标的投标人发生实质性变更的且未提供有效证明的；</w:t>
      </w:r>
    </w:p>
    <w:p w14:paraId="62D6090F">
      <w:pPr>
        <w:spacing w:line="470" w:lineRule="exact"/>
        <w:ind w:firstLine="442" w:firstLineChars="200"/>
        <w:rPr>
          <w:rFonts w:ascii="宋体" w:hAnsi="宋体" w:cs="宋体"/>
          <w:b/>
          <w:bCs/>
          <w:color w:val="auto"/>
          <w:sz w:val="22"/>
          <w:szCs w:val="22"/>
          <w:u w:val="single"/>
        </w:rPr>
      </w:pPr>
      <w:r>
        <w:rPr>
          <w:rFonts w:hint="eastAsia" w:ascii="宋体" w:hAnsi="宋体" w:cs="宋体"/>
          <w:b/>
          <w:bCs/>
          <w:color w:val="auto"/>
          <w:sz w:val="22"/>
          <w:szCs w:val="22"/>
          <w:u w:val="single"/>
        </w:rPr>
        <w:t>（4）投标人代表未提交有效身份证件或授权代表无法定代表人（主要负责人）或企业合法有效授权委托书的；</w:t>
      </w:r>
    </w:p>
    <w:p w14:paraId="55685281">
      <w:pPr>
        <w:spacing w:line="470" w:lineRule="exact"/>
        <w:ind w:firstLine="442" w:firstLineChars="200"/>
        <w:rPr>
          <w:rFonts w:ascii="宋体" w:hAnsi="宋体" w:cs="宋体"/>
          <w:b/>
          <w:bCs/>
          <w:color w:val="auto"/>
          <w:sz w:val="22"/>
          <w:szCs w:val="22"/>
          <w:u w:val="single"/>
        </w:rPr>
      </w:pPr>
      <w:r>
        <w:rPr>
          <w:rFonts w:hint="eastAsia" w:ascii="宋体" w:hAnsi="宋体" w:cs="宋体"/>
          <w:b/>
          <w:bCs/>
          <w:color w:val="auto"/>
          <w:sz w:val="22"/>
          <w:szCs w:val="22"/>
          <w:u w:val="single"/>
        </w:rPr>
        <w:t>（5）投标文件内容未按采购文件规定盖章的；</w:t>
      </w:r>
    </w:p>
    <w:p w14:paraId="05F95645">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（6）</w:t>
      </w:r>
      <w:r>
        <w:rPr>
          <w:rFonts w:ascii="宋体" w:hAnsi="宋体" w:cs="宋体"/>
          <w:color w:val="auto"/>
          <w:sz w:val="22"/>
          <w:szCs w:val="22"/>
          <w:u w:val="single"/>
        </w:rPr>
        <w:t>投标人未按</w:t>
      </w:r>
      <w:r>
        <w:rPr>
          <w:rFonts w:hint="eastAsia" w:ascii="宋体" w:hAnsi="宋体" w:cs="宋体"/>
          <w:color w:val="auto"/>
          <w:sz w:val="22"/>
          <w:szCs w:val="22"/>
          <w:u w:val="single"/>
        </w:rPr>
        <w:t>采购文件</w:t>
      </w:r>
      <w:r>
        <w:rPr>
          <w:rFonts w:ascii="宋体" w:hAnsi="宋体" w:cs="宋体"/>
          <w:color w:val="auto"/>
          <w:sz w:val="22"/>
          <w:szCs w:val="22"/>
          <w:u w:val="single"/>
        </w:rPr>
        <w:t>变更通知更改投标文件的；</w:t>
      </w:r>
    </w:p>
    <w:p w14:paraId="07E55E5C">
      <w:pPr>
        <w:spacing w:line="470" w:lineRule="exact"/>
        <w:ind w:firstLine="440" w:firstLineChars="200"/>
        <w:rPr>
          <w:rFonts w:ascii="宋体" w:hAnsi="宋体" w:cs="宋体"/>
          <w:color w:val="auto"/>
          <w:sz w:val="22"/>
          <w:szCs w:val="22"/>
          <w:u w:val="single"/>
        </w:rPr>
      </w:pPr>
      <w:r>
        <w:rPr>
          <w:rFonts w:ascii="宋体" w:hAnsi="宋体" w:cs="宋体"/>
          <w:color w:val="auto"/>
          <w:sz w:val="22"/>
          <w:szCs w:val="22"/>
          <w:u w:val="single"/>
        </w:rPr>
        <w:t>（7）电子投标逾期的；</w:t>
      </w:r>
    </w:p>
    <w:p w14:paraId="04DA94E6">
      <w:pPr>
        <w:spacing w:line="470" w:lineRule="exact"/>
        <w:ind w:firstLine="440" w:firstLineChars="200"/>
        <w:rPr>
          <w:rFonts w:ascii="宋体" w:hAnsi="宋体" w:cs="宋体"/>
          <w:color w:val="auto"/>
          <w:sz w:val="22"/>
          <w:szCs w:val="22"/>
          <w:u w:val="single"/>
        </w:rPr>
      </w:pPr>
      <w:r>
        <w:rPr>
          <w:rFonts w:hint="eastAsia" w:ascii="宋体" w:hAnsi="宋体" w:cs="宋体"/>
          <w:color w:val="auto"/>
          <w:sz w:val="22"/>
          <w:szCs w:val="22"/>
          <w:u w:val="single"/>
        </w:rPr>
        <w:t>（8）不符合法律、法规和采购文件中规定的其它实质性要求的。</w:t>
      </w:r>
    </w:p>
    <w:p w14:paraId="0E8FC72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4.6评标委员会对审查合格的投标文件，按照采购文件中制订的评标方法进行综合评定打分。</w:t>
      </w:r>
    </w:p>
    <w:p w14:paraId="6D256CC1">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4.7评标过程中遇到特殊情况，由评标委员会遵循公开、公正原则，采取投票方式按照少数服从多数原则决定。</w:t>
      </w:r>
    </w:p>
    <w:p w14:paraId="54EAF186">
      <w:pPr>
        <w:pStyle w:val="2"/>
        <w:spacing w:line="470" w:lineRule="exact"/>
        <w:ind w:firstLine="0"/>
        <w:rPr>
          <w:rFonts w:hAnsi="宋体" w:cs="宋体"/>
          <w:b/>
          <w:bCs/>
          <w:color w:val="auto"/>
          <w:sz w:val="22"/>
          <w:szCs w:val="22"/>
        </w:rPr>
      </w:pPr>
      <w:r>
        <w:rPr>
          <w:rFonts w:hint="eastAsia" w:hAnsi="宋体" w:cs="宋体"/>
          <w:b/>
          <w:bCs/>
          <w:color w:val="auto"/>
          <w:sz w:val="22"/>
          <w:szCs w:val="22"/>
        </w:rPr>
        <w:t>5.投标文件的澄清</w:t>
      </w:r>
    </w:p>
    <w:p w14:paraId="0A698A1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5.1在评标期间，评标委员会可以书面方式要求投标人对投标文件中含义不明确、对同类问题表述不一致或者有明显文字和计算错误的内容作必要的澄清、说明或补正。澄清、说明或补正应以书面形式并由投标人代表签署，但澄清内容不得超出投标文件的范围或者改变投标文件的实质性内容。拒不按要求对其投标文件进行澄清，说明或补正的投标人，评标委员会可以否决其投标。</w:t>
      </w:r>
    </w:p>
    <w:p w14:paraId="57E601A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5.2</w:t>
      </w:r>
      <w:r>
        <w:rPr>
          <w:rFonts w:hint="eastAsia" w:ascii="宋体" w:hAnsi="宋体" w:cs="宋体"/>
          <w:b/>
          <w:bCs/>
          <w:color w:val="auto"/>
          <w:sz w:val="22"/>
          <w:szCs w:val="22"/>
          <w:u w:val="single"/>
        </w:rPr>
        <w:t>▲经澄清后，若偏差仍存在，且不可接受，投标文件则被认为是“没有实质性响应采购文件要求”，不进入下一步评审。</w:t>
      </w:r>
    </w:p>
    <w:p w14:paraId="22EE7BF3">
      <w:pPr>
        <w:pStyle w:val="2"/>
        <w:spacing w:line="470" w:lineRule="exact"/>
        <w:ind w:firstLine="0"/>
        <w:rPr>
          <w:rFonts w:hAnsi="宋体" w:cs="宋体"/>
          <w:b/>
          <w:bCs/>
          <w:color w:val="auto"/>
          <w:sz w:val="22"/>
          <w:szCs w:val="22"/>
        </w:rPr>
      </w:pPr>
      <w:r>
        <w:rPr>
          <w:rFonts w:hint="eastAsia" w:hAnsi="宋体" w:cs="宋体"/>
          <w:b/>
          <w:bCs/>
          <w:color w:val="auto"/>
          <w:sz w:val="22"/>
          <w:szCs w:val="22"/>
        </w:rPr>
        <w:t>6．定标</w:t>
      </w:r>
    </w:p>
    <w:p w14:paraId="22B43556">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6.1本次招标由评标委员会确定中标候选银行。</w:t>
      </w:r>
    </w:p>
    <w:p w14:paraId="126D2832">
      <w:pPr>
        <w:spacing w:line="360" w:lineRule="auto"/>
        <w:ind w:firstLine="442" w:firstLineChars="200"/>
        <w:rPr>
          <w:rFonts w:hint="eastAsia" w:ascii="宋体" w:hAnsi="宋体" w:cs="宋体"/>
          <w:b/>
          <w:bCs/>
          <w:color w:val="auto"/>
          <w:sz w:val="22"/>
          <w:szCs w:val="22"/>
        </w:rPr>
      </w:pPr>
      <w:r>
        <w:rPr>
          <w:rFonts w:hint="eastAsia" w:ascii="宋体" w:hAnsi="宋体" w:cs="宋体"/>
          <w:b/>
          <w:bCs/>
          <w:color w:val="auto"/>
          <w:sz w:val="22"/>
          <w:szCs w:val="22"/>
        </w:rPr>
        <w:t>评标委员会按评标综合得分由高到低顺序排列，推荐综合得分前</w:t>
      </w:r>
      <w:r>
        <w:rPr>
          <w:rFonts w:hint="eastAsia" w:ascii="宋体" w:hAnsi="宋体" w:cs="宋体"/>
          <w:b/>
          <w:bCs/>
          <w:color w:val="auto"/>
          <w:sz w:val="22"/>
          <w:szCs w:val="22"/>
          <w:lang w:val="en-US" w:eastAsia="zh-CN"/>
        </w:rPr>
        <w:t>6</w:t>
      </w:r>
      <w:r>
        <w:rPr>
          <w:rFonts w:hint="eastAsia" w:ascii="宋体" w:hAnsi="宋体" w:cs="宋体"/>
          <w:b/>
          <w:bCs/>
          <w:color w:val="auto"/>
          <w:sz w:val="22"/>
          <w:szCs w:val="22"/>
        </w:rPr>
        <w:t>名的投标人为中标候选人；若综合得分相同，以定期存款年利率由高到低确定排名先后，若综合得分及定期存款年利率均相同，则由招标人以抽签的方式确定排名。第一名中标银行公款存放金额人民币</w:t>
      </w:r>
      <w:r>
        <w:rPr>
          <w:rFonts w:hint="eastAsia" w:ascii="宋体" w:hAnsi="宋体" w:cs="宋体"/>
          <w:b/>
          <w:bCs/>
          <w:color w:val="auto"/>
          <w:sz w:val="22"/>
          <w:szCs w:val="22"/>
          <w:lang w:val="en-US" w:eastAsia="zh-CN"/>
        </w:rPr>
        <w:t>7200</w:t>
      </w:r>
      <w:r>
        <w:rPr>
          <w:rFonts w:hint="eastAsia" w:ascii="宋体" w:hAnsi="宋体" w:cs="宋体"/>
          <w:b/>
          <w:bCs/>
          <w:color w:val="auto"/>
          <w:sz w:val="22"/>
          <w:szCs w:val="22"/>
        </w:rPr>
        <w:t>万元，</w:t>
      </w:r>
      <w:r>
        <w:rPr>
          <w:rFonts w:hint="eastAsia" w:ascii="宋体" w:hAnsi="宋体" w:cs="宋体"/>
          <w:b/>
          <w:bCs/>
          <w:color w:val="auto"/>
          <w:sz w:val="22"/>
          <w:szCs w:val="22"/>
          <w:lang w:eastAsia="zh-CN"/>
        </w:rPr>
        <w:t>第二名中标银行公款存放金额人民币</w:t>
      </w:r>
      <w:r>
        <w:rPr>
          <w:rFonts w:hint="eastAsia" w:ascii="宋体" w:hAnsi="宋体" w:cs="宋体"/>
          <w:b/>
          <w:bCs/>
          <w:color w:val="auto"/>
          <w:sz w:val="22"/>
          <w:szCs w:val="22"/>
          <w:lang w:val="en-US" w:eastAsia="zh-CN"/>
        </w:rPr>
        <w:t>215</w:t>
      </w:r>
      <w:r>
        <w:rPr>
          <w:rFonts w:hint="eastAsia" w:ascii="宋体" w:hAnsi="宋体" w:cs="宋体"/>
          <w:b/>
          <w:bCs/>
          <w:color w:val="auto"/>
          <w:sz w:val="22"/>
          <w:szCs w:val="22"/>
          <w:lang w:eastAsia="zh-CN"/>
        </w:rPr>
        <w:t>0万元</w:t>
      </w:r>
      <w:r>
        <w:rPr>
          <w:rFonts w:hint="eastAsia" w:ascii="宋体" w:hAnsi="宋体" w:cs="宋体"/>
          <w:b/>
          <w:bCs/>
          <w:color w:val="auto"/>
          <w:sz w:val="22"/>
          <w:szCs w:val="22"/>
        </w:rPr>
        <w:t>，第三名中标银行公款存放金额人民币1</w:t>
      </w:r>
      <w:r>
        <w:rPr>
          <w:rFonts w:hint="eastAsia" w:ascii="宋体" w:hAnsi="宋体" w:cs="宋体"/>
          <w:b/>
          <w:bCs/>
          <w:color w:val="auto"/>
          <w:sz w:val="22"/>
          <w:szCs w:val="22"/>
          <w:lang w:val="en-US" w:eastAsia="zh-CN"/>
        </w:rPr>
        <w:t>9</w:t>
      </w:r>
      <w:r>
        <w:rPr>
          <w:rFonts w:hint="eastAsia" w:ascii="宋体" w:hAnsi="宋体" w:cs="宋体"/>
          <w:b/>
          <w:bCs/>
          <w:color w:val="auto"/>
          <w:sz w:val="22"/>
          <w:szCs w:val="22"/>
        </w:rPr>
        <w:t>00万元，第四名中标银行公款存放金额人民币1</w:t>
      </w:r>
      <w:r>
        <w:rPr>
          <w:rFonts w:hint="eastAsia" w:ascii="宋体" w:hAnsi="宋体" w:cs="宋体"/>
          <w:b/>
          <w:bCs/>
          <w:color w:val="auto"/>
          <w:sz w:val="22"/>
          <w:szCs w:val="22"/>
          <w:lang w:val="en-US" w:eastAsia="zh-CN"/>
        </w:rPr>
        <w:t>3</w:t>
      </w:r>
      <w:r>
        <w:rPr>
          <w:rFonts w:hint="eastAsia" w:ascii="宋体" w:hAnsi="宋体" w:cs="宋体"/>
          <w:b/>
          <w:bCs/>
          <w:color w:val="auto"/>
          <w:sz w:val="22"/>
          <w:szCs w:val="22"/>
        </w:rPr>
        <w:t>00万元</w:t>
      </w:r>
      <w:r>
        <w:rPr>
          <w:rFonts w:hint="eastAsia" w:ascii="宋体" w:hAnsi="宋体" w:cs="宋体"/>
          <w:b/>
          <w:bCs/>
          <w:color w:val="auto"/>
          <w:sz w:val="22"/>
          <w:szCs w:val="22"/>
          <w:lang w:eastAsia="zh-CN"/>
        </w:rPr>
        <w:t>，</w:t>
      </w:r>
      <w:r>
        <w:rPr>
          <w:rFonts w:hint="eastAsia" w:ascii="宋体" w:hAnsi="宋体" w:cs="宋体"/>
          <w:b/>
          <w:bCs/>
          <w:color w:val="auto"/>
          <w:sz w:val="22"/>
          <w:szCs w:val="22"/>
        </w:rPr>
        <w:t>第</w:t>
      </w:r>
      <w:r>
        <w:rPr>
          <w:rFonts w:hint="eastAsia" w:ascii="宋体" w:hAnsi="宋体" w:cs="宋体"/>
          <w:b/>
          <w:bCs/>
          <w:color w:val="auto"/>
          <w:sz w:val="22"/>
          <w:szCs w:val="22"/>
          <w:lang w:val="en-US" w:eastAsia="zh-CN"/>
        </w:rPr>
        <w:t>五</w:t>
      </w:r>
      <w:r>
        <w:rPr>
          <w:rFonts w:hint="eastAsia" w:ascii="宋体" w:hAnsi="宋体" w:cs="宋体"/>
          <w:b/>
          <w:bCs/>
          <w:color w:val="auto"/>
          <w:sz w:val="22"/>
          <w:szCs w:val="22"/>
        </w:rPr>
        <w:t>名中标银行公款存放金额人民币</w:t>
      </w:r>
      <w:r>
        <w:rPr>
          <w:rFonts w:hint="eastAsia" w:ascii="宋体" w:hAnsi="宋体" w:cs="宋体"/>
          <w:b/>
          <w:bCs/>
          <w:color w:val="auto"/>
          <w:sz w:val="22"/>
          <w:szCs w:val="22"/>
          <w:lang w:val="en-US" w:eastAsia="zh-CN"/>
        </w:rPr>
        <w:t>1000</w:t>
      </w:r>
      <w:r>
        <w:rPr>
          <w:rFonts w:hint="eastAsia" w:ascii="宋体" w:hAnsi="宋体" w:cs="宋体"/>
          <w:b/>
          <w:bCs/>
          <w:color w:val="auto"/>
          <w:sz w:val="22"/>
          <w:szCs w:val="22"/>
        </w:rPr>
        <w:t>万元</w:t>
      </w:r>
      <w:r>
        <w:rPr>
          <w:rFonts w:hint="eastAsia" w:ascii="宋体" w:hAnsi="宋体" w:cs="宋体"/>
          <w:b/>
          <w:bCs/>
          <w:color w:val="auto"/>
          <w:sz w:val="22"/>
          <w:szCs w:val="22"/>
          <w:lang w:eastAsia="zh-CN"/>
        </w:rPr>
        <w:t>，</w:t>
      </w:r>
      <w:r>
        <w:rPr>
          <w:rFonts w:hint="eastAsia" w:ascii="宋体" w:hAnsi="宋体" w:cs="宋体"/>
          <w:b/>
          <w:bCs/>
          <w:color w:val="auto"/>
          <w:sz w:val="22"/>
          <w:szCs w:val="22"/>
        </w:rPr>
        <w:t>第</w:t>
      </w:r>
      <w:r>
        <w:rPr>
          <w:rFonts w:hint="eastAsia" w:ascii="宋体" w:hAnsi="宋体" w:cs="宋体"/>
          <w:b/>
          <w:bCs/>
          <w:color w:val="auto"/>
          <w:sz w:val="22"/>
          <w:szCs w:val="22"/>
          <w:lang w:val="en-US" w:eastAsia="zh-CN"/>
        </w:rPr>
        <w:t>六</w:t>
      </w:r>
      <w:r>
        <w:rPr>
          <w:rFonts w:hint="eastAsia" w:ascii="宋体" w:hAnsi="宋体" w:cs="宋体"/>
          <w:b/>
          <w:bCs/>
          <w:color w:val="auto"/>
          <w:sz w:val="22"/>
          <w:szCs w:val="22"/>
        </w:rPr>
        <w:t>名中标银行公款存放金额人民币</w:t>
      </w:r>
      <w:r>
        <w:rPr>
          <w:rFonts w:hint="eastAsia" w:ascii="宋体" w:hAnsi="宋体" w:cs="宋体"/>
          <w:b/>
          <w:bCs/>
          <w:color w:val="auto"/>
          <w:sz w:val="22"/>
          <w:szCs w:val="22"/>
          <w:lang w:val="en-US" w:eastAsia="zh-CN"/>
        </w:rPr>
        <w:t>850</w:t>
      </w:r>
      <w:r>
        <w:rPr>
          <w:rFonts w:hint="eastAsia" w:ascii="宋体" w:hAnsi="宋体" w:cs="宋体"/>
          <w:b/>
          <w:bCs/>
          <w:color w:val="auto"/>
          <w:sz w:val="22"/>
          <w:szCs w:val="22"/>
        </w:rPr>
        <w:t>万元。</w:t>
      </w:r>
    </w:p>
    <w:p w14:paraId="1CEF449B">
      <w:pPr>
        <w:pStyle w:val="2"/>
        <w:spacing w:line="470" w:lineRule="exact"/>
        <w:ind w:firstLine="0"/>
        <w:rPr>
          <w:rFonts w:hAnsi="宋体" w:cs="宋体"/>
          <w:b/>
          <w:bCs/>
          <w:color w:val="auto"/>
          <w:sz w:val="22"/>
          <w:szCs w:val="22"/>
        </w:rPr>
      </w:pPr>
      <w:r>
        <w:rPr>
          <w:rFonts w:hint="eastAsia" w:hAnsi="宋体" w:cs="宋体"/>
          <w:b/>
          <w:bCs/>
          <w:color w:val="auto"/>
          <w:sz w:val="22"/>
          <w:szCs w:val="22"/>
        </w:rPr>
        <w:t>7.确定中标银行</w:t>
      </w:r>
    </w:p>
    <w:p w14:paraId="0DA79C44">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7.1采购人根据评标委员会推荐的结果进行最终确认中标银行。</w:t>
      </w:r>
    </w:p>
    <w:p w14:paraId="4FF58AFA">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7.2如中标银行放弃中标或未能在规定时间内与采购人签订合同的；或者经质疑，采购人审查后，确因中标候选银行在本次采购活动中存在违法违规行为或其他原因使质疑成立的，采购人可以直接确定排名靠后的候选人为中标银行，以此类推至最后名。如最后名中标候选银行因前款规定的同样原因不能签订合同的，本次招标失败，重新组织招标。</w:t>
      </w:r>
    </w:p>
    <w:p w14:paraId="3C7BD778">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7.3评标结束后，采购人将在浙江政府采购网公示中标结果，采购人向中标银行发出中标通知书。</w:t>
      </w:r>
    </w:p>
    <w:p w14:paraId="28922AD4">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8.评标细则详见第五章《评分办法和评分标准》。</w:t>
      </w:r>
    </w:p>
    <w:p w14:paraId="4378188B">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9.开评标程序以政采云平台实际操作流程为准，政采云公司如对电子化开标及评审程序有调整的，按调整后的程序操作。</w:t>
      </w:r>
    </w:p>
    <w:p w14:paraId="5BBE7795">
      <w:pPr>
        <w:spacing w:line="47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10.未尽事宜遵循相关法律法规及规范性文件执行。</w:t>
      </w:r>
    </w:p>
    <w:p w14:paraId="377D603E">
      <w:pPr>
        <w:pStyle w:val="4"/>
        <w:spacing w:line="470" w:lineRule="exact"/>
        <w:rPr>
          <w:color w:val="auto"/>
        </w:rPr>
      </w:pPr>
      <w:bookmarkStart w:id="13" w:name="_Toc103948073"/>
      <w:r>
        <w:rPr>
          <w:rFonts w:hint="eastAsia"/>
          <w:color w:val="auto"/>
        </w:rPr>
        <w:t>六、授予合同</w:t>
      </w:r>
      <w:bookmarkEnd w:id="13"/>
    </w:p>
    <w:p w14:paraId="0F23C2A9">
      <w:pPr>
        <w:pStyle w:val="2"/>
        <w:spacing w:line="470" w:lineRule="exact"/>
        <w:ind w:firstLine="0"/>
        <w:rPr>
          <w:rFonts w:hAnsi="宋体" w:cs="宋体"/>
          <w:b/>
          <w:bCs/>
          <w:color w:val="auto"/>
          <w:sz w:val="22"/>
          <w:szCs w:val="22"/>
        </w:rPr>
      </w:pPr>
      <w:r>
        <w:rPr>
          <w:rFonts w:hint="eastAsia" w:hAnsi="宋体" w:cs="宋体"/>
          <w:b/>
          <w:bCs/>
          <w:color w:val="auto"/>
          <w:sz w:val="22"/>
          <w:szCs w:val="22"/>
        </w:rPr>
        <w:t>1.中标通知书</w:t>
      </w:r>
    </w:p>
    <w:p w14:paraId="4670E43E">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1.1中标银行确定后，采购人将向中标银行发出中标通知书。</w:t>
      </w:r>
    </w:p>
    <w:p w14:paraId="43A4F879">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1.2中标通知书是合同的一个组成部分,对采购人和中标银行均具有同等法律效力。</w:t>
      </w:r>
    </w:p>
    <w:p w14:paraId="61212B24">
      <w:pPr>
        <w:pStyle w:val="2"/>
        <w:spacing w:line="470" w:lineRule="exact"/>
        <w:ind w:firstLine="0"/>
        <w:rPr>
          <w:rFonts w:hAnsi="宋体" w:cs="宋体"/>
          <w:b/>
          <w:bCs/>
          <w:color w:val="auto"/>
          <w:sz w:val="22"/>
          <w:szCs w:val="22"/>
        </w:rPr>
      </w:pPr>
      <w:r>
        <w:rPr>
          <w:rFonts w:hint="eastAsia" w:hAnsi="宋体" w:cs="宋体"/>
          <w:b/>
          <w:bCs/>
          <w:color w:val="auto"/>
          <w:sz w:val="22"/>
          <w:szCs w:val="22"/>
        </w:rPr>
        <w:t>2.签订合同</w:t>
      </w:r>
    </w:p>
    <w:p w14:paraId="2C14510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2.1</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应</w:t>
      </w:r>
      <w:r>
        <w:rPr>
          <w:rFonts w:hint="eastAsia" w:ascii="宋体" w:hAnsi="宋体" w:cs="宋体"/>
          <w:color w:val="auto"/>
          <w:kern w:val="2"/>
          <w:sz w:val="22"/>
          <w:szCs w:val="22"/>
          <w:highlight w:val="none"/>
          <w:lang w:val="en-US" w:eastAsia="zh-CN" w:bidi="ar-SA"/>
        </w:rPr>
        <w:t>在中标通知书发出之日起15日内，</w:t>
      </w:r>
      <w:r>
        <w:rPr>
          <w:rFonts w:hint="eastAsia" w:ascii="宋体" w:hAnsi="宋体" w:eastAsia="宋体" w:cs="宋体"/>
          <w:color w:val="auto"/>
          <w:kern w:val="2"/>
          <w:sz w:val="22"/>
          <w:szCs w:val="22"/>
          <w:highlight w:val="none"/>
          <w:lang w:val="en-US" w:eastAsia="zh-CN" w:bidi="ar-SA"/>
        </w:rPr>
        <w:t>与采购人签订</w:t>
      </w:r>
      <w:r>
        <w:rPr>
          <w:rFonts w:hint="eastAsia" w:ascii="宋体" w:hAnsi="宋体" w:cs="宋体"/>
          <w:color w:val="auto"/>
          <w:kern w:val="2"/>
          <w:sz w:val="22"/>
          <w:szCs w:val="22"/>
          <w:highlight w:val="none"/>
          <w:lang w:val="en-US" w:eastAsia="zh-CN" w:bidi="ar-SA"/>
        </w:rPr>
        <w:t>协议书</w:t>
      </w:r>
      <w:r>
        <w:rPr>
          <w:rFonts w:hint="eastAsia" w:ascii="宋体" w:hAnsi="宋体" w:cs="宋体"/>
          <w:color w:val="auto"/>
          <w:sz w:val="22"/>
          <w:szCs w:val="22"/>
        </w:rPr>
        <w:t>。</w:t>
      </w:r>
    </w:p>
    <w:p w14:paraId="308CC787">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2.2采购文件、中标银行的投标文件、投标修改文件、评标过程中有关澄清文件及经投标人和评委双方签字的询标纪要和中标通知书均作为合同附件。</w:t>
      </w:r>
    </w:p>
    <w:p w14:paraId="1D94201D">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2.3拒签合同的违约责任</w:t>
      </w:r>
    </w:p>
    <w:p w14:paraId="3ADC977F">
      <w:pPr>
        <w:spacing w:line="470" w:lineRule="exact"/>
        <w:ind w:firstLine="440" w:firstLineChars="200"/>
        <w:rPr>
          <w:rFonts w:ascii="宋体" w:hAnsi="宋体" w:cs="宋体"/>
          <w:color w:val="auto"/>
          <w:sz w:val="22"/>
          <w:szCs w:val="22"/>
        </w:rPr>
      </w:pPr>
      <w:r>
        <w:rPr>
          <w:rFonts w:hint="eastAsia" w:ascii="宋体" w:hAnsi="宋体" w:cs="宋体"/>
          <w:color w:val="auto"/>
          <w:sz w:val="22"/>
          <w:szCs w:val="22"/>
        </w:rPr>
        <w:t>中标银行接到中标通知书后，在规定时间内借故否认已经承诺的条件而拒签合同的，以违约处理。</w:t>
      </w:r>
    </w:p>
    <w:bookmarkEnd w:id="8"/>
    <w:p w14:paraId="55C237D7">
      <w:pPr>
        <w:rPr>
          <w:rStyle w:val="24"/>
          <w:color w:val="auto"/>
        </w:rPr>
      </w:pPr>
      <w:bookmarkStart w:id="14" w:name="_Toc6600"/>
      <w:bookmarkStart w:id="15" w:name="_Toc17741"/>
      <w:bookmarkStart w:id="16" w:name="_Toc26614"/>
      <w:bookmarkStart w:id="17" w:name="_Toc172"/>
      <w:r>
        <w:rPr>
          <w:rStyle w:val="24"/>
          <w:rFonts w:hint="eastAsia"/>
          <w:color w:val="auto"/>
        </w:rPr>
        <w:br w:type="page"/>
      </w:r>
    </w:p>
    <w:p w14:paraId="7CEEF818">
      <w:pPr>
        <w:snapToGrid w:val="0"/>
        <w:spacing w:before="318" w:beforeLines="100" w:after="159" w:afterLines="50" w:line="380" w:lineRule="exact"/>
        <w:jc w:val="center"/>
        <w:outlineLvl w:val="0"/>
        <w:rPr>
          <w:rStyle w:val="24"/>
          <w:color w:val="auto"/>
        </w:rPr>
      </w:pPr>
      <w:r>
        <w:rPr>
          <w:rStyle w:val="24"/>
          <w:rFonts w:hint="eastAsia"/>
          <w:color w:val="auto"/>
        </w:rPr>
        <w:t>第三章  合同主要条款</w:t>
      </w:r>
      <w:bookmarkEnd w:id="14"/>
      <w:bookmarkEnd w:id="15"/>
      <w:bookmarkEnd w:id="16"/>
    </w:p>
    <w:p w14:paraId="4F71A084">
      <w:pPr>
        <w:widowControl/>
        <w:spacing w:line="360" w:lineRule="auto"/>
        <w:rPr>
          <w:rFonts w:ascii="宋体" w:hAnsi="宋体" w:cs="宋体"/>
          <w:color w:val="auto"/>
          <w:kern w:val="0"/>
          <w:sz w:val="22"/>
          <w:szCs w:val="22"/>
        </w:rPr>
      </w:pPr>
      <w:bookmarkStart w:id="18" w:name="_Toc32418"/>
      <w:bookmarkStart w:id="19" w:name="_Toc1955"/>
      <w:r>
        <w:rPr>
          <w:rFonts w:hint="eastAsia" w:ascii="宋体" w:hAnsi="宋体" w:cs="宋体"/>
          <w:color w:val="auto"/>
          <w:kern w:val="0"/>
          <w:sz w:val="22"/>
          <w:szCs w:val="22"/>
        </w:rPr>
        <w:t>编号：</w:t>
      </w:r>
      <w:r>
        <w:rPr>
          <w:rFonts w:hint="eastAsia" w:ascii="宋体" w:hAnsi="宋体" w:cs="宋体"/>
          <w:color w:val="auto"/>
          <w:kern w:val="0"/>
          <w:sz w:val="22"/>
          <w:szCs w:val="22"/>
          <w:u w:val="single"/>
        </w:rPr>
        <w:t xml:space="preserve">                          </w:t>
      </w:r>
    </w:p>
    <w:p w14:paraId="2E166C79">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甲方：</w:t>
      </w:r>
      <w:r>
        <w:rPr>
          <w:rFonts w:hint="eastAsia" w:ascii="宋体" w:hAnsi="宋体" w:cs="宋体"/>
          <w:color w:val="auto"/>
          <w:kern w:val="0"/>
          <w:sz w:val="22"/>
          <w:szCs w:val="22"/>
          <w:u w:val="single"/>
        </w:rPr>
        <w:t xml:space="preserve">                          </w:t>
      </w:r>
    </w:p>
    <w:p w14:paraId="6342433B">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乙方：</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银行（或分行）</w:t>
      </w:r>
    </w:p>
    <w:p w14:paraId="0CB24665">
      <w:pPr>
        <w:widowControl/>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为明确双方在</w:t>
      </w:r>
      <w:r>
        <w:rPr>
          <w:rFonts w:hint="eastAsia" w:ascii="宋体" w:hAnsi="宋体" w:cs="宋体"/>
          <w:color w:val="auto"/>
          <w:kern w:val="0"/>
          <w:sz w:val="22"/>
          <w:szCs w:val="22"/>
          <w:lang w:eastAsia="zh-CN"/>
        </w:rPr>
        <w:t>天台县综合行政执法局物业两金公款竞争性存放2025年（第2期）</w:t>
      </w:r>
      <w:r>
        <w:rPr>
          <w:rFonts w:hint="eastAsia" w:ascii="宋体" w:hAnsi="宋体" w:cs="宋体"/>
          <w:color w:val="auto"/>
          <w:kern w:val="0"/>
          <w:sz w:val="22"/>
          <w:szCs w:val="22"/>
        </w:rPr>
        <w:t>业务活动中的权利与义务，甲、乙双方达成本协议。</w:t>
      </w:r>
    </w:p>
    <w:p w14:paraId="0B958EE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一、总则</w:t>
      </w:r>
    </w:p>
    <w:p w14:paraId="4C49B80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第一条  根据《中华人民共和国民法典》《天台县行政事业单位公款竞争性存放管理办法》等相关规定，经甲、乙双方平等协商，签订本协议。</w:t>
      </w:r>
    </w:p>
    <w:p w14:paraId="2D005E4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第二条</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 xml:space="preserve"> 甲方通过招投标方式择优确定竞争性存放的定期存款银行，其定期存款有关的资金管理、本息收回等活动适用本协议。</w:t>
      </w:r>
    </w:p>
    <w:p w14:paraId="1A646E8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第三条</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经招投标确定，甲方在乙方开立定期存款账户，存入</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个月定期存款</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万元，按人民银行同期限基准利率上浮</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BP</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年利率</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rPr>
        <w:t>，到期计付利息。</w:t>
      </w:r>
    </w:p>
    <w:p w14:paraId="6E1274DC">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二、甲方权利与义务</w:t>
      </w:r>
    </w:p>
    <w:p w14:paraId="00BB396D">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（一）监督乙方履行本协议；</w:t>
      </w:r>
    </w:p>
    <w:p w14:paraId="05B719B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（二）要求乙方提供存款证明；</w:t>
      </w:r>
    </w:p>
    <w:p w14:paraId="6EF08AD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（三）对乙方定期存款业务实施监督管理；</w:t>
      </w:r>
    </w:p>
    <w:p w14:paraId="7E57991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（四）按规定在乙方办理定期存款存放；</w:t>
      </w:r>
    </w:p>
    <w:p w14:paraId="0FA25C8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（五）及时与乙方核对账务。</w:t>
      </w:r>
    </w:p>
    <w:p w14:paraId="67D6453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三、乙方权利与义务</w:t>
      </w:r>
    </w:p>
    <w:p w14:paraId="0605ED49">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（一）按中标金额取得甲方定期存款；</w:t>
      </w:r>
    </w:p>
    <w:p w14:paraId="0F5770C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（二）及时办理定期存款并向甲方提供存款证明；</w:t>
      </w:r>
    </w:p>
    <w:p w14:paraId="52E82C55">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（三）存款到期及时足额缴清甲方存款本息；</w:t>
      </w:r>
    </w:p>
    <w:p w14:paraId="0E2FA10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（四）确保甲方定期存款在乙方存续期间的资金安全；</w:t>
      </w:r>
    </w:p>
    <w:p w14:paraId="57643BFD">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（五）接受甲方对定期存款业务的监督管理；</w:t>
      </w:r>
    </w:p>
    <w:p w14:paraId="6388D8BC">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（六）及时与甲方核对账务。</w:t>
      </w:r>
    </w:p>
    <w:p w14:paraId="31B530B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 xml:space="preserve">四、违约责任 </w:t>
      </w:r>
    </w:p>
    <w:p w14:paraId="094386A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除发生不可抗力外，违约责任按以下条款执行：</w:t>
      </w:r>
    </w:p>
    <w:p w14:paraId="19D0B969">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（一）甲方未及时办理资金存放，应按未划拨资金额，以当期存款协议中定期存款利率的两倍折成日利率，按日向乙方支付违约金。</w:t>
      </w:r>
    </w:p>
    <w:p w14:paraId="6C561DD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（二）乙方对通过投标取得的定期存款在存续期间不得提前终止。若提前终止，存期利息按其中标的定期存款利率按日折算。并处以已计利息的一倍罚息。</w:t>
      </w:r>
    </w:p>
    <w:p w14:paraId="63DEADEE">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 xml:space="preserve">（三）乙方未及时向甲方缴清到期存款本息的，应以当期定期存款利率的两倍折成日利率，按日向甲方支付违约金。 </w:t>
      </w:r>
    </w:p>
    <w:p w14:paraId="0FBEBA5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（四）乙方有下列情形之一的，甲方应当提前收回定期存款：</w:t>
      </w:r>
    </w:p>
    <w:p w14:paraId="232244CF">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1.出现资金安全事故、重大违法违规情况或财务状况恶化；</w:t>
      </w:r>
    </w:p>
    <w:p w14:paraId="0A24003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2.监管评级降低，人民银行天台支行评级降至B级及以下；</w:t>
      </w:r>
    </w:p>
    <w:p w14:paraId="3BF115F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3.有严重不正当投标行为；</w:t>
      </w:r>
    </w:p>
    <w:p w14:paraId="2E6C9EC1">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4.没有按照中标协议承诺履行相应的责任和义务；</w:t>
      </w:r>
    </w:p>
    <w:p w14:paraId="30C34EC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5.不能在规定期限内将存款本息足额缴入相关账户；</w:t>
      </w:r>
    </w:p>
    <w:p w14:paraId="178E2FE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6.其它妨害财政资金安全的行为。</w:t>
      </w:r>
    </w:p>
    <w:p w14:paraId="69B3348A">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五、提前支取。</w:t>
      </w:r>
    </w:p>
    <w:p w14:paraId="1190A8E7">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经与乙方协商，甲方有权在到期日前提前支取定期存款，甲方至少应在5个工作日前通知乙方，提前支取金额按支取时国家有关利率政策计付利息，存续金额仍按原起息日、期限及存款利率计付利息。</w:t>
      </w:r>
    </w:p>
    <w:p w14:paraId="272AEFE7">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六、特殊事项</w:t>
      </w:r>
    </w:p>
    <w:p w14:paraId="603439B8">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七、协议期限</w:t>
      </w:r>
    </w:p>
    <w:p w14:paraId="56BC2F88">
      <w:pPr>
        <w:widowControl/>
        <w:spacing w:line="360" w:lineRule="auto"/>
        <w:ind w:firstLine="638"/>
        <w:rPr>
          <w:rFonts w:ascii="宋体" w:hAnsi="宋体" w:cs="宋体"/>
          <w:color w:val="auto"/>
          <w:kern w:val="0"/>
          <w:sz w:val="22"/>
          <w:szCs w:val="22"/>
        </w:rPr>
      </w:pPr>
      <w:r>
        <w:rPr>
          <w:rFonts w:hint="eastAsia" w:ascii="宋体" w:hAnsi="宋体" w:cs="宋体"/>
          <w:color w:val="auto"/>
          <w:kern w:val="0"/>
          <w:sz w:val="22"/>
          <w:szCs w:val="22"/>
        </w:rPr>
        <w:t>本协议期限自</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日起至</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日止。</w:t>
      </w:r>
    </w:p>
    <w:p w14:paraId="2C1081DB">
      <w:pPr>
        <w:widowControl/>
        <w:spacing w:line="360" w:lineRule="auto"/>
        <w:ind w:firstLine="640"/>
        <w:rPr>
          <w:rFonts w:ascii="宋体" w:hAnsi="宋体" w:cs="宋体"/>
          <w:color w:val="auto"/>
          <w:kern w:val="0"/>
          <w:sz w:val="22"/>
          <w:szCs w:val="22"/>
        </w:rPr>
      </w:pPr>
      <w:r>
        <w:rPr>
          <w:rFonts w:hint="eastAsia" w:ascii="宋体" w:hAnsi="宋体" w:cs="宋体"/>
          <w:color w:val="auto"/>
          <w:kern w:val="0"/>
          <w:sz w:val="22"/>
          <w:szCs w:val="22"/>
        </w:rPr>
        <w:t>八、本协议自甲、乙双方签字盖章之日起生效。</w:t>
      </w:r>
    </w:p>
    <w:p w14:paraId="45E46F30">
      <w:pPr>
        <w:widowControl/>
        <w:spacing w:line="360" w:lineRule="auto"/>
        <w:ind w:firstLine="640"/>
        <w:rPr>
          <w:rFonts w:ascii="仿宋_GB2312" w:hAnsi="微软雅黑" w:eastAsia="仿宋_GB2312" w:cs="宋体"/>
          <w:color w:val="auto"/>
          <w:kern w:val="0"/>
          <w:sz w:val="22"/>
          <w:szCs w:val="22"/>
        </w:rPr>
      </w:pPr>
      <w:r>
        <w:rPr>
          <w:rFonts w:hint="eastAsia" w:ascii="宋体" w:hAnsi="宋体" w:cs="宋体"/>
          <w:color w:val="auto"/>
          <w:kern w:val="0"/>
          <w:sz w:val="22"/>
          <w:szCs w:val="22"/>
        </w:rPr>
        <w:t>九、本协议一式二份，甲乙双方各执一份，具有同等法律效力。执行中如对本协议产生争议，通过协商解决。双方不能协商解决的，向天台县人民法院起诉。</w:t>
      </w:r>
    </w:p>
    <w:p w14:paraId="2AC9DC6F">
      <w:pPr>
        <w:widowControl/>
        <w:spacing w:line="600" w:lineRule="atLeast"/>
        <w:ind w:firstLine="640"/>
        <w:rPr>
          <w:rFonts w:ascii="宋体" w:hAnsi="宋体" w:cs="宋体"/>
          <w:color w:val="auto"/>
          <w:sz w:val="22"/>
          <w:szCs w:val="22"/>
        </w:rPr>
      </w:pPr>
      <w:r>
        <w:rPr>
          <w:rFonts w:hint="eastAsia" w:ascii="宋体" w:hAnsi="宋体" w:cs="宋体"/>
          <w:color w:val="auto"/>
          <w:kern w:val="0"/>
          <w:sz w:val="22"/>
          <w:szCs w:val="22"/>
        </w:rPr>
        <w:t>甲方（盖章）                   乙方（盖章）</w:t>
      </w:r>
    </w:p>
    <w:p w14:paraId="349BA40E">
      <w:pPr>
        <w:widowControl/>
        <w:spacing w:line="600" w:lineRule="atLeast"/>
        <w:ind w:firstLine="640"/>
        <w:rPr>
          <w:rFonts w:ascii="宋体" w:hAnsi="宋体" w:cs="宋体"/>
          <w:color w:val="auto"/>
          <w:sz w:val="22"/>
          <w:szCs w:val="22"/>
        </w:rPr>
      </w:pPr>
      <w:r>
        <w:rPr>
          <w:rFonts w:hint="eastAsia" w:ascii="宋体" w:hAnsi="宋体" w:cs="宋体"/>
          <w:color w:val="auto"/>
          <w:kern w:val="0"/>
          <w:sz w:val="22"/>
          <w:szCs w:val="22"/>
        </w:rPr>
        <w:t>甲方代表（签字）：</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     乙方代表（签字）：</w:t>
      </w:r>
      <w:r>
        <w:rPr>
          <w:rFonts w:hint="eastAsia" w:ascii="宋体" w:hAnsi="宋体" w:cs="宋体"/>
          <w:color w:val="auto"/>
          <w:kern w:val="0"/>
          <w:sz w:val="22"/>
          <w:szCs w:val="22"/>
          <w:u w:val="single"/>
        </w:rPr>
        <w:t xml:space="preserve">          </w:t>
      </w:r>
    </w:p>
    <w:p w14:paraId="3A7C77B6">
      <w:pPr>
        <w:ind w:firstLine="1320" w:firstLineChars="600"/>
        <w:rPr>
          <w:rFonts w:ascii="宋体" w:hAnsi="宋体" w:cs="宋体"/>
          <w:color w:val="auto"/>
          <w:kern w:val="0"/>
          <w:sz w:val="22"/>
          <w:szCs w:val="22"/>
          <w:u w:val="single"/>
        </w:rPr>
      </w:pPr>
    </w:p>
    <w:p w14:paraId="4B8EF27C">
      <w:pPr>
        <w:ind w:firstLine="1320" w:firstLineChars="600"/>
        <w:rPr>
          <w:rStyle w:val="24"/>
          <w:color w:val="auto"/>
        </w:rPr>
      </w:pP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日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w:t>
      </w:r>
      <w:r>
        <w:rPr>
          <w:rStyle w:val="24"/>
          <w:rFonts w:hint="eastAsia"/>
          <w:color w:val="auto"/>
        </w:rPr>
        <w:br w:type="page"/>
      </w:r>
    </w:p>
    <w:p w14:paraId="5D42865E">
      <w:pPr>
        <w:snapToGrid w:val="0"/>
        <w:spacing w:before="318" w:beforeLines="100" w:after="159" w:afterLines="50"/>
        <w:jc w:val="center"/>
        <w:outlineLvl w:val="0"/>
        <w:rPr>
          <w:rFonts w:ascii="宋体" w:hAnsi="宋体" w:cs="宋体"/>
          <w:b/>
          <w:color w:val="auto"/>
          <w:kern w:val="0"/>
          <w:sz w:val="21"/>
          <w:szCs w:val="21"/>
        </w:rPr>
      </w:pPr>
      <w:r>
        <w:rPr>
          <w:rStyle w:val="24"/>
          <w:rFonts w:hint="eastAsia"/>
          <w:color w:val="auto"/>
        </w:rPr>
        <w:t>第四章  招标内容及需求</w:t>
      </w:r>
      <w:bookmarkEnd w:id="17"/>
      <w:bookmarkEnd w:id="18"/>
      <w:bookmarkEnd w:id="19"/>
    </w:p>
    <w:p w14:paraId="17D5FCD5">
      <w:pPr>
        <w:pStyle w:val="4"/>
        <w:jc w:val="left"/>
        <w:rPr>
          <w:color w:val="auto"/>
        </w:rPr>
      </w:pPr>
      <w:bookmarkStart w:id="20" w:name="_Toc27459"/>
      <w:bookmarkStart w:id="21" w:name="_Toc6814"/>
      <w:bookmarkStart w:id="22" w:name="_Toc17655"/>
      <w:r>
        <w:rPr>
          <w:rFonts w:hint="eastAsia"/>
          <w:color w:val="auto"/>
        </w:rPr>
        <w:t>一、项目概况</w:t>
      </w:r>
    </w:p>
    <w:p w14:paraId="258B56FB">
      <w:pPr>
        <w:spacing w:line="440" w:lineRule="exact"/>
        <w:ind w:firstLine="440" w:firstLineChars="200"/>
        <w:outlineLvl w:val="1"/>
        <w:rPr>
          <w:rFonts w:ascii="宋体" w:hAnsi="宋体" w:cs="宋体"/>
          <w:color w:val="auto"/>
          <w:sz w:val="22"/>
          <w:szCs w:val="22"/>
        </w:rPr>
      </w:pPr>
      <w:r>
        <w:rPr>
          <w:rFonts w:hint="eastAsia" w:ascii="宋体" w:hAnsi="宋体" w:cs="宋体"/>
          <w:color w:val="auto"/>
          <w:sz w:val="22"/>
          <w:szCs w:val="22"/>
        </w:rPr>
        <w:t>为了提高资金效益，规范公款存放管理，切实防范公款存放方面的利益冲突和利益输送行为。根据《关于防止领导干部在公款存放方面发生利益冲突和利益输送的办法》《天台县人民政府办公室关于印发天台县行政事业单位公款竞争性存放管理办法的通知》（天政办发[2022]23号）、《</w:t>
      </w:r>
      <w:r>
        <w:rPr>
          <w:rFonts w:hint="eastAsia" w:ascii="宋体" w:hAnsi="宋体" w:cs="宋体"/>
          <w:color w:val="auto"/>
          <w:sz w:val="22"/>
          <w:szCs w:val="22"/>
          <w:lang w:eastAsia="zh-CN"/>
        </w:rPr>
        <w:t>天台县财政局关于印发天台县县级财政专户资金竞争性存放商业银行定期存款业务操作规程的通知</w:t>
      </w:r>
      <w:r>
        <w:rPr>
          <w:rFonts w:hint="eastAsia" w:ascii="宋体" w:hAnsi="宋体" w:cs="宋体"/>
          <w:color w:val="auto"/>
          <w:sz w:val="22"/>
          <w:szCs w:val="22"/>
        </w:rPr>
        <w:t>》（天财预执[202</w:t>
      </w:r>
      <w:r>
        <w:rPr>
          <w:rFonts w:hint="eastAsia" w:ascii="宋体" w:hAnsi="宋体" w:cs="宋体"/>
          <w:color w:val="auto"/>
          <w:sz w:val="22"/>
          <w:szCs w:val="22"/>
          <w:lang w:val="en-US" w:eastAsia="zh-CN"/>
        </w:rPr>
        <w:t>5</w:t>
      </w:r>
      <w:r>
        <w:rPr>
          <w:rFonts w:hint="eastAsia" w:ascii="宋体" w:hAnsi="宋体" w:cs="宋体"/>
          <w:color w:val="auto"/>
          <w:sz w:val="22"/>
          <w:szCs w:val="22"/>
        </w:rPr>
        <w:t>]6号）等相关规定精神，本着公开、公平、公正、竞争、效益的原则，决定开展公款竞争性存放招标工作，欢迎符合条件的银行机构参加投标。</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216"/>
        <w:gridCol w:w="1610"/>
        <w:gridCol w:w="1325"/>
        <w:gridCol w:w="791"/>
        <w:gridCol w:w="3921"/>
      </w:tblGrid>
      <w:tr w14:paraId="21AC0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219C72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6" w:type="dxa"/>
            <w:tcBorders>
              <w:tl2br w:val="nil"/>
              <w:tr2bl w:val="nil"/>
            </w:tcBorders>
            <w:vAlign w:val="center"/>
          </w:tcPr>
          <w:p w14:paraId="5BAF59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610" w:type="dxa"/>
            <w:tcBorders>
              <w:tl2br w:val="nil"/>
              <w:tr2bl w:val="nil"/>
            </w:tcBorders>
            <w:vAlign w:val="center"/>
          </w:tcPr>
          <w:p w14:paraId="467F7F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存放资金总额</w:t>
            </w:r>
          </w:p>
        </w:tc>
        <w:tc>
          <w:tcPr>
            <w:tcW w:w="1325" w:type="dxa"/>
            <w:tcBorders>
              <w:tl2br w:val="nil"/>
              <w:tr2bl w:val="nil"/>
            </w:tcBorders>
            <w:vAlign w:val="center"/>
          </w:tcPr>
          <w:p w14:paraId="57B660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91" w:type="dxa"/>
            <w:tcBorders>
              <w:tl2br w:val="nil"/>
              <w:tr2bl w:val="nil"/>
            </w:tcBorders>
            <w:vAlign w:val="center"/>
          </w:tcPr>
          <w:p w14:paraId="7E7897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3921" w:type="dxa"/>
            <w:tcBorders>
              <w:tl2br w:val="nil"/>
              <w:tr2bl w:val="nil"/>
            </w:tcBorders>
            <w:vAlign w:val="center"/>
          </w:tcPr>
          <w:p w14:paraId="2CD2DE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2A961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0" w:type="dxa"/>
            <w:tcBorders>
              <w:tl2br w:val="nil"/>
              <w:tr2bl w:val="nil"/>
            </w:tcBorders>
            <w:vAlign w:val="center"/>
          </w:tcPr>
          <w:p w14:paraId="6C11DC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6" w:type="dxa"/>
            <w:tcBorders>
              <w:tl2br w:val="nil"/>
              <w:tr2bl w:val="nil"/>
            </w:tcBorders>
            <w:vAlign w:val="center"/>
          </w:tcPr>
          <w:p w14:paraId="18F2B4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公款竞争性存放</w:t>
            </w:r>
          </w:p>
        </w:tc>
        <w:tc>
          <w:tcPr>
            <w:tcW w:w="1610" w:type="dxa"/>
            <w:tcBorders>
              <w:tl2br w:val="nil"/>
              <w:tr2bl w:val="nil"/>
            </w:tcBorders>
            <w:vAlign w:val="center"/>
          </w:tcPr>
          <w:p w14:paraId="710652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1.44亿元</w:t>
            </w:r>
          </w:p>
        </w:tc>
        <w:tc>
          <w:tcPr>
            <w:tcW w:w="1325" w:type="dxa"/>
            <w:tcBorders>
              <w:tl2br w:val="nil"/>
              <w:tr2bl w:val="nil"/>
            </w:tcBorders>
            <w:vAlign w:val="center"/>
          </w:tcPr>
          <w:p w14:paraId="2FA70F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三十六个月</w:t>
            </w:r>
          </w:p>
        </w:tc>
        <w:tc>
          <w:tcPr>
            <w:tcW w:w="791" w:type="dxa"/>
            <w:tcBorders>
              <w:tl2br w:val="nil"/>
              <w:tr2bl w:val="nil"/>
            </w:tcBorders>
            <w:vAlign w:val="center"/>
          </w:tcPr>
          <w:p w14:paraId="6AC9D4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6家银行</w:t>
            </w:r>
          </w:p>
        </w:tc>
        <w:tc>
          <w:tcPr>
            <w:tcW w:w="3921" w:type="dxa"/>
            <w:tcBorders>
              <w:tl2br w:val="nil"/>
              <w:tr2bl w:val="nil"/>
            </w:tcBorders>
            <w:vAlign w:val="center"/>
          </w:tcPr>
          <w:p w14:paraId="0C0A83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较三年期定期存款基准利率上浮不低于-120BP，定期存款年利率不低于1.55%</w:t>
            </w:r>
          </w:p>
        </w:tc>
      </w:tr>
      <w:tr w14:paraId="39B7C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23" w:type="dxa"/>
            <w:gridSpan w:val="6"/>
            <w:tcBorders>
              <w:tl2br w:val="nil"/>
              <w:tr2bl w:val="nil"/>
            </w:tcBorders>
            <w:vAlign w:val="center"/>
          </w:tcPr>
          <w:p w14:paraId="7FCDA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中标银</w:t>
            </w:r>
            <w:r>
              <w:rPr>
                <w:rFonts w:hint="eastAsia" w:ascii="宋体" w:hAnsi="宋体" w:eastAsia="宋体" w:cs="宋体"/>
                <w:b/>
                <w:bCs/>
                <w:color w:val="auto"/>
                <w:sz w:val="22"/>
                <w:szCs w:val="22"/>
                <w:highlight w:val="none"/>
                <w:lang w:val="en-US" w:eastAsia="zh-CN"/>
              </w:rPr>
              <w:t>行资金存放</w:t>
            </w:r>
          </w:p>
        </w:tc>
      </w:tr>
      <w:tr w14:paraId="08A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23" w:type="dxa"/>
            <w:gridSpan w:val="6"/>
            <w:tcBorders>
              <w:tl2br w:val="nil"/>
              <w:tr2bl w:val="nil"/>
            </w:tcBorders>
            <w:vAlign w:val="center"/>
          </w:tcPr>
          <w:p w14:paraId="01331D0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第一中标候选银行存放</w:t>
            </w:r>
            <w:r>
              <w:rPr>
                <w:rFonts w:hint="eastAsia" w:ascii="宋体" w:hAnsi="宋体" w:cs="宋体"/>
                <w:b w:val="0"/>
                <w:bCs w:val="0"/>
                <w:color w:val="auto"/>
                <w:sz w:val="22"/>
                <w:szCs w:val="22"/>
                <w:highlight w:val="none"/>
                <w:lang w:val="en-US" w:eastAsia="zh-CN"/>
              </w:rPr>
              <w:t>金额为7200万元；</w:t>
            </w:r>
          </w:p>
          <w:p w14:paraId="49E9D1F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第二中标候选银行存放金额为2150万元；</w:t>
            </w:r>
          </w:p>
          <w:p w14:paraId="05EFF0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第三中标候选银行存放金额为1900万元；</w:t>
            </w:r>
          </w:p>
          <w:p w14:paraId="48CA48F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lang w:val="en-US" w:eastAsia="zh-CN"/>
              </w:rPr>
              <w:t>第四中标候选银行存放</w:t>
            </w:r>
            <w:r>
              <w:rPr>
                <w:rFonts w:hint="eastAsia" w:ascii="宋体" w:hAnsi="宋体" w:cs="宋体"/>
                <w:b w:val="0"/>
                <w:bCs w:val="0"/>
                <w:color w:val="auto"/>
                <w:sz w:val="22"/>
                <w:szCs w:val="22"/>
                <w:highlight w:val="none"/>
                <w:lang w:val="en-US" w:eastAsia="zh-CN"/>
              </w:rPr>
              <w:t>金额为1300万元；</w:t>
            </w:r>
          </w:p>
          <w:p w14:paraId="3722D4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第五中标候选银行存放金额为1000万元；</w:t>
            </w:r>
          </w:p>
          <w:p w14:paraId="455145A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第六中标候选银行存放金额为850万元。</w:t>
            </w:r>
          </w:p>
        </w:tc>
      </w:tr>
    </w:tbl>
    <w:p w14:paraId="44DBC027">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rPr>
        <w:t>二、合同的签订</w:t>
      </w:r>
    </w:p>
    <w:p w14:paraId="5DB69903">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中标银行（以下简称“中标人”）确定后，釆购结果同时在浙江政府采购网、天台县人民政府门户网站公告。</w:t>
      </w:r>
      <w:r>
        <w:rPr>
          <w:rFonts w:hint="eastAsia" w:ascii="宋体" w:hAnsi="宋体" w:eastAsia="宋体" w:cs="宋体"/>
          <w:color w:val="auto"/>
          <w:sz w:val="22"/>
          <w:szCs w:val="22"/>
          <w:highlight w:val="none"/>
        </w:rPr>
        <w:t>中标人必须在《中标通知书》发出之日起</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与釆购人</w:t>
      </w:r>
      <w:r>
        <w:rPr>
          <w:rFonts w:hint="eastAsia" w:ascii="宋体" w:hAnsi="宋体" w:eastAsia="宋体" w:cs="宋体"/>
          <w:color w:val="auto"/>
          <w:sz w:val="22"/>
          <w:szCs w:val="22"/>
          <w:highlight w:val="none"/>
          <w:lang w:eastAsia="zh-CN"/>
        </w:rPr>
        <w:t>签订</w:t>
      </w:r>
      <w:r>
        <w:rPr>
          <w:rFonts w:hint="eastAsia" w:ascii="宋体" w:hAnsi="宋体" w:eastAsia="宋体" w:cs="宋体"/>
          <w:color w:val="auto"/>
          <w:sz w:val="22"/>
          <w:szCs w:val="22"/>
          <w:highlight w:val="none"/>
        </w:rPr>
        <w:t>合同，中标人逾期不签合同的视为自动放弃中标结果，采购人有权另行确定资金存放银行</w:t>
      </w:r>
      <w:r>
        <w:rPr>
          <w:rFonts w:hint="eastAsia" w:ascii="宋体" w:hAnsi="宋体" w:cs="宋体"/>
          <w:color w:val="auto"/>
          <w:kern w:val="0"/>
          <w:sz w:val="22"/>
          <w:szCs w:val="22"/>
        </w:rPr>
        <w:t>。</w:t>
      </w:r>
    </w:p>
    <w:p w14:paraId="3F831793">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三</w:t>
      </w:r>
      <w:r>
        <w:rPr>
          <w:rFonts w:hint="eastAsia" w:ascii="仿宋_GB2312" w:hAnsi="仿宋_GB2312"/>
          <w:b/>
          <w:color w:val="auto"/>
          <w:kern w:val="0"/>
          <w:szCs w:val="20"/>
        </w:rPr>
        <w:t>、支付本金和利息方式</w:t>
      </w:r>
    </w:p>
    <w:p w14:paraId="2C587E7E">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eastAsia="宋体" w:cs="宋体"/>
          <w:color w:val="auto"/>
          <w:sz w:val="22"/>
          <w:szCs w:val="22"/>
          <w:highlight w:val="none"/>
        </w:rPr>
        <w:t>定期存款未到期前，釆购人原则上不得提前支取。定期存款到期后凭存款凭证一次性支取本金和利息</w:t>
      </w:r>
      <w:r>
        <w:rPr>
          <w:rFonts w:hint="eastAsia" w:ascii="宋体" w:hAnsi="宋体" w:cs="宋体"/>
          <w:color w:val="auto"/>
          <w:kern w:val="0"/>
          <w:sz w:val="22"/>
          <w:szCs w:val="22"/>
        </w:rPr>
        <w:t>。</w:t>
      </w:r>
    </w:p>
    <w:p w14:paraId="193F99FB">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四</w:t>
      </w:r>
      <w:r>
        <w:rPr>
          <w:rFonts w:hint="eastAsia" w:ascii="仿宋_GB2312" w:hAnsi="仿宋_GB2312"/>
          <w:b/>
          <w:color w:val="auto"/>
          <w:kern w:val="0"/>
          <w:szCs w:val="20"/>
        </w:rPr>
        <w:t>、采购人权利和义务</w:t>
      </w:r>
    </w:p>
    <w:p w14:paraId="4FE79B6D">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1.对中标资金的存放和收回，按照财政资金管理有关规定进行管理；</w:t>
      </w:r>
    </w:p>
    <w:p w14:paraId="160826FA">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2.监督中标人履行本协议；</w:t>
      </w:r>
    </w:p>
    <w:p w14:paraId="4FC82C5A">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3.根据确认的中标结果，在规定时间内及时办理资金的定期存放手续；</w:t>
      </w:r>
    </w:p>
    <w:p w14:paraId="1B852FF2">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4.及时与中标人核对账务。</w:t>
      </w:r>
    </w:p>
    <w:p w14:paraId="0B6F5F25">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五</w:t>
      </w:r>
      <w:r>
        <w:rPr>
          <w:rFonts w:hint="eastAsia" w:ascii="仿宋_GB2312" w:hAnsi="仿宋_GB2312"/>
          <w:b/>
          <w:color w:val="auto"/>
          <w:kern w:val="0"/>
          <w:szCs w:val="20"/>
        </w:rPr>
        <w:t>、中标人的权利和义务</w:t>
      </w:r>
    </w:p>
    <w:p w14:paraId="005AF1D9">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1.按合同所确定的定期存放期限、本金额度和定期存款年利率及利息，及时办理定期存放手续；</w:t>
      </w:r>
    </w:p>
    <w:p w14:paraId="7ED4C676">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2.及时与采购人核对账务；</w:t>
      </w:r>
    </w:p>
    <w:p w14:paraId="3CF07EA9">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3.依法保障釆购人的资金安全，依法为釆购人保守资金秘密，但法律法规规定的除外；</w:t>
      </w:r>
    </w:p>
    <w:p w14:paraId="28CCFB35">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4.定期存款到期时，应及时将资金划回采购人指定账户，并按中标及本合同所确定的定期存款年利率及利息向采购人支付定期存款利息。</w:t>
      </w:r>
    </w:p>
    <w:p w14:paraId="79C6200B">
      <w:pPr>
        <w:widowControl/>
        <w:snapToGrid w:val="0"/>
        <w:spacing w:line="360" w:lineRule="auto"/>
        <w:jc w:val="left"/>
        <w:rPr>
          <w:rFonts w:ascii="仿宋_GB2312" w:hAnsi="仿宋_GB2312"/>
          <w:b/>
          <w:color w:val="auto"/>
          <w:kern w:val="0"/>
          <w:szCs w:val="20"/>
        </w:rPr>
      </w:pPr>
      <w:r>
        <w:rPr>
          <w:rFonts w:hint="eastAsia" w:ascii="仿宋_GB2312" w:hAnsi="仿宋_GB2312"/>
          <w:b/>
          <w:color w:val="auto"/>
          <w:kern w:val="0"/>
          <w:szCs w:val="20"/>
          <w:lang w:val="en-US" w:eastAsia="zh-CN"/>
        </w:rPr>
        <w:t>六</w:t>
      </w:r>
      <w:r>
        <w:rPr>
          <w:rFonts w:hint="eastAsia" w:ascii="仿宋_GB2312" w:hAnsi="仿宋_GB2312"/>
          <w:b/>
          <w:color w:val="auto"/>
          <w:kern w:val="0"/>
          <w:szCs w:val="20"/>
        </w:rPr>
        <w:t>、违约责任</w:t>
      </w:r>
    </w:p>
    <w:p w14:paraId="3B450BDB">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除发生不可抗拒因素外，违约责任按以下各项执行：</w:t>
      </w:r>
    </w:p>
    <w:p w14:paraId="7F694F79">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1.中标人有下列情形之一的，采购人有权提前收回存放资金，并按存放天数同比例计算定期存款利息，同时取消中标人3年内的投标资格。</w:t>
      </w:r>
    </w:p>
    <w:p w14:paraId="32C0EAAC">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（1）中标人在资金存放期间出现资金安全事故和重大违规违法行为的；</w:t>
      </w:r>
    </w:p>
    <w:p w14:paraId="7EFB87D4">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（2）中标人未按本协议规定及时履行职责的；</w:t>
      </w:r>
    </w:p>
    <w:p w14:paraId="4892823E">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（3）中标人有串通投标、弄虚作假及其他影响招投标公平、公正的违法行为。</w:t>
      </w:r>
    </w:p>
    <w:p w14:paraId="586DB4B5">
      <w:pPr>
        <w:widowControl/>
        <w:snapToGrid w:val="0"/>
        <w:spacing w:line="360" w:lineRule="auto"/>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2.中标人如未在资金存放到期日结清本金和利息并未将本金和利息划转至采购人指定账户的，中标人应赔偿采购人的所有损失，采购人并有权取消中标人之后3年的投标资格。</w:t>
      </w:r>
    </w:p>
    <w:p w14:paraId="66B99998">
      <w:pPr>
        <w:widowControl/>
        <w:snapToGrid w:val="0"/>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3.除不可抗力或遇国家政策重大调整外，一般情况下定期存款不得提前支取。 采购人如需要提前支取，中标人对不满中标存期的存款至少按取款日中国人民银行挂牌公告的同期活期存款利率计付利息，中标人对在此之前已支付的利息不作调整，不得追溯，采购人提前支取不认为是违约行为。</w:t>
      </w:r>
    </w:p>
    <w:p w14:paraId="76F9AE0F">
      <w:pPr>
        <w:pStyle w:val="4"/>
        <w:bidi w:val="0"/>
        <w:jc w:val="left"/>
        <w:rPr>
          <w:rFonts w:hint="eastAsia" w:eastAsia="宋体" w:cs="Times New Roman"/>
          <w:color w:val="auto"/>
          <w:highlight w:val="none"/>
          <w:lang w:val="en-US" w:eastAsia="zh-CN"/>
        </w:rPr>
      </w:pPr>
      <w:r>
        <w:rPr>
          <w:rFonts w:hint="eastAsia" w:eastAsia="宋体" w:cs="Times New Roman"/>
          <w:color w:val="auto"/>
          <w:highlight w:val="none"/>
          <w:lang w:val="en-US" w:eastAsia="zh-CN"/>
        </w:rPr>
        <w:t>七、其他</w:t>
      </w:r>
    </w:p>
    <w:p w14:paraId="07B92A1B">
      <w:pPr>
        <w:pStyle w:val="2"/>
        <w:rPr>
          <w:color w:val="auto"/>
        </w:rPr>
      </w:pPr>
      <w:r>
        <w:rPr>
          <w:rFonts w:hint="eastAsia" w:ascii="宋体" w:hAnsi="宋体" w:eastAsia="宋体" w:cs="宋体"/>
          <w:b/>
          <w:bCs/>
          <w:color w:val="auto"/>
          <w:sz w:val="22"/>
          <w:szCs w:val="22"/>
          <w:highlight w:val="none"/>
          <w:u w:val="single"/>
        </w:rPr>
        <w:t>如中标银行在定期存款到期后无故阻挠采购人正常取款的，采购人有权取消该银行在本单位下一期公款竞争性存放的投标资格。</w:t>
      </w:r>
    </w:p>
    <w:p w14:paraId="41D39A7A">
      <w:pPr>
        <w:rPr>
          <w:rFonts w:ascii="宋体" w:hAnsi="宋体"/>
          <w:bCs/>
          <w:color w:val="auto"/>
          <w:kern w:val="44"/>
          <w:sz w:val="26"/>
          <w:szCs w:val="28"/>
        </w:rPr>
      </w:pPr>
      <w:r>
        <w:rPr>
          <w:rFonts w:hint="eastAsia" w:ascii="宋体" w:hAnsi="宋体"/>
          <w:bCs/>
          <w:color w:val="auto"/>
          <w:kern w:val="44"/>
          <w:sz w:val="26"/>
          <w:szCs w:val="28"/>
        </w:rPr>
        <w:t xml:space="preserve">  </w:t>
      </w:r>
    </w:p>
    <w:p w14:paraId="3EBA9839">
      <w:pPr>
        <w:widowControl/>
        <w:snapToGrid w:val="0"/>
        <w:spacing w:line="360" w:lineRule="auto"/>
        <w:jc w:val="left"/>
        <w:rPr>
          <w:rStyle w:val="24"/>
          <w:color w:val="auto"/>
        </w:rPr>
      </w:pPr>
      <w:r>
        <w:rPr>
          <w:rStyle w:val="24"/>
          <w:rFonts w:hint="eastAsia"/>
          <w:color w:val="auto"/>
        </w:rPr>
        <w:br w:type="page"/>
      </w:r>
    </w:p>
    <w:p w14:paraId="008982BA">
      <w:pPr>
        <w:snapToGrid w:val="0"/>
        <w:spacing w:before="318" w:beforeLines="100" w:after="159" w:afterLines="50"/>
        <w:jc w:val="center"/>
        <w:outlineLvl w:val="0"/>
        <w:rPr>
          <w:rStyle w:val="24"/>
          <w:color w:val="auto"/>
        </w:rPr>
      </w:pPr>
      <w:r>
        <w:rPr>
          <w:rStyle w:val="24"/>
          <w:rFonts w:hint="eastAsia"/>
          <w:color w:val="auto"/>
        </w:rPr>
        <w:t>第五章 评标办法及评分标准</w:t>
      </w:r>
      <w:bookmarkEnd w:id="20"/>
      <w:bookmarkEnd w:id="21"/>
      <w:bookmarkEnd w:id="22"/>
    </w:p>
    <w:p w14:paraId="6370D49E">
      <w:pPr>
        <w:spacing w:line="4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一 、评审原则</w:t>
      </w:r>
    </w:p>
    <w:p w14:paraId="50B73F49">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评标委员会必须公平、公正、客观，不带任何倾向性和启发性，不得向外界透露任何与评标有关的内容；任何单位和个人不得干扰、影响评标的正常进行；评标委员会及有关工作人员不得私下与投标人接触。</w:t>
      </w:r>
    </w:p>
    <w:p w14:paraId="456671F2">
      <w:pPr>
        <w:numPr>
          <w:ilvl w:val="0"/>
          <w:numId w:val="3"/>
        </w:numPr>
        <w:spacing w:line="4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评标办法</w:t>
      </w:r>
    </w:p>
    <w:p w14:paraId="50A1E128">
      <w:pPr>
        <w:spacing w:line="460" w:lineRule="exact"/>
        <w:ind w:firstLine="442" w:firstLineChars="200"/>
        <w:rPr>
          <w:rFonts w:ascii="宋体" w:hAnsi="宋体" w:cs="宋体"/>
          <w:b/>
          <w:bCs/>
          <w:color w:val="auto"/>
          <w:sz w:val="22"/>
          <w:szCs w:val="22"/>
          <w:lang w:val="zh-CN"/>
        </w:rPr>
      </w:pPr>
      <w:r>
        <w:rPr>
          <w:rFonts w:hint="eastAsia" w:ascii="宋体" w:hAnsi="宋体" w:cs="宋体"/>
          <w:b/>
          <w:bCs/>
          <w:color w:val="auto"/>
          <w:sz w:val="22"/>
          <w:szCs w:val="22"/>
        </w:rPr>
        <w:t>1.</w:t>
      </w:r>
      <w:r>
        <w:rPr>
          <w:rFonts w:hint="eastAsia" w:ascii="宋体" w:hAnsi="宋体" w:cs="宋体"/>
          <w:b/>
          <w:bCs/>
          <w:color w:val="auto"/>
          <w:sz w:val="22"/>
          <w:szCs w:val="22"/>
          <w:lang w:val="zh-CN"/>
        </w:rPr>
        <w:t>评标要求</w:t>
      </w:r>
    </w:p>
    <w:p w14:paraId="65B18287">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1.1评标委员将对投标文件的内容进行评审，凡投标文件实质性内容不响应采购文件要求和关键格式不符合采购文件规定的，经评标委员认定作为无效标处理。评标委员经过审标、询标，在对各投标人及其投标文件进行充分分析、评议的基础上进行打分。</w:t>
      </w:r>
    </w:p>
    <w:p w14:paraId="0FCFA661">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1.2总得分为100分。在规定的分值范围内由评委自行评定打分，如某个单项的打分超过所规定的分值范围，则该项打分无效。</w:t>
      </w:r>
    </w:p>
    <w:p w14:paraId="51D5D706">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1.3根据评委打分累计后再取平均分作为投标人的最终得分。</w:t>
      </w:r>
    </w:p>
    <w:p w14:paraId="16CFC30C">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1.4所有计算结果小数点后保留2位，第3位四舍五入。</w:t>
      </w:r>
    </w:p>
    <w:p w14:paraId="5324D896">
      <w:pPr>
        <w:spacing w:line="4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2、评标</w:t>
      </w:r>
    </w:p>
    <w:p w14:paraId="69CEB626">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2.1合格投标人的评标得分为各项目汇总得分。</w:t>
      </w:r>
    </w:p>
    <w:p w14:paraId="2B0DBF18">
      <w:pPr>
        <w:spacing w:line="460" w:lineRule="exact"/>
        <w:ind w:firstLine="440" w:firstLineChars="200"/>
        <w:rPr>
          <w:rFonts w:ascii="宋体" w:hAnsi="宋体" w:cs="宋体"/>
          <w:b/>
          <w:bCs/>
          <w:color w:val="auto"/>
          <w:sz w:val="22"/>
          <w:szCs w:val="22"/>
        </w:rPr>
      </w:pPr>
      <w:r>
        <w:rPr>
          <w:rFonts w:hint="eastAsia" w:ascii="宋体" w:hAnsi="宋体" w:cs="宋体"/>
          <w:color w:val="auto"/>
          <w:sz w:val="22"/>
          <w:szCs w:val="22"/>
        </w:rPr>
        <w:t>2.2每个标段投标人总得分=该标段利率水平指标得分+该标段经营状况指标得分+该标段经济贡献度指标得分+该标段服务水平指标得分；投标人评标综合得分按照评标委员会成员的独立评分结果汇总后的算术平均分计算。</w:t>
      </w:r>
    </w:p>
    <w:p w14:paraId="4064F09E">
      <w:pPr>
        <w:numPr>
          <w:ilvl w:val="0"/>
          <w:numId w:val="4"/>
        </w:numPr>
        <w:spacing w:line="360" w:lineRule="auto"/>
        <w:ind w:firstLine="442" w:firstLineChars="200"/>
        <w:rPr>
          <w:rFonts w:ascii="宋体" w:hAnsi="宋体" w:cs="宋体"/>
          <w:b/>
          <w:bCs/>
          <w:color w:val="auto"/>
          <w:sz w:val="22"/>
          <w:szCs w:val="22"/>
        </w:rPr>
      </w:pPr>
      <w:r>
        <w:rPr>
          <w:rFonts w:hint="eastAsia" w:ascii="宋体" w:hAnsi="宋体" w:eastAsia="宋体" w:cs="宋体"/>
          <w:b/>
          <w:bCs/>
          <w:color w:val="auto"/>
          <w:sz w:val="22"/>
          <w:szCs w:val="22"/>
          <w:highlight w:val="none"/>
          <w:lang w:val="en-US" w:eastAsia="zh-CN"/>
        </w:rPr>
        <w:t>评审细则</w:t>
      </w:r>
    </w:p>
    <w:tbl>
      <w:tblPr>
        <w:tblStyle w:val="19"/>
        <w:tblW w:w="56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155"/>
        <w:gridCol w:w="7753"/>
      </w:tblGrid>
      <w:tr w14:paraId="36B742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37" w:type="pct"/>
            <w:tcBorders>
              <w:tl2br w:val="nil"/>
              <w:tr2bl w:val="nil"/>
            </w:tcBorders>
            <w:noWrap/>
            <w:tcMar>
              <w:top w:w="15" w:type="dxa"/>
              <w:left w:w="15" w:type="dxa"/>
              <w:right w:w="15" w:type="dxa"/>
            </w:tcMar>
            <w:vAlign w:val="center"/>
          </w:tcPr>
          <w:p w14:paraId="73323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类型</w:t>
            </w:r>
          </w:p>
        </w:tc>
        <w:tc>
          <w:tcPr>
            <w:tcW w:w="578" w:type="pct"/>
            <w:tcBorders>
              <w:tl2br w:val="nil"/>
              <w:tr2bl w:val="nil"/>
            </w:tcBorders>
            <w:noWrap/>
            <w:tcMar>
              <w:top w:w="15" w:type="dxa"/>
              <w:left w:w="15" w:type="dxa"/>
              <w:right w:w="15" w:type="dxa"/>
            </w:tcMar>
            <w:vAlign w:val="center"/>
          </w:tcPr>
          <w:p w14:paraId="6DD7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具体指标</w:t>
            </w:r>
          </w:p>
        </w:tc>
        <w:tc>
          <w:tcPr>
            <w:tcW w:w="3883" w:type="pct"/>
            <w:tcBorders>
              <w:tl2br w:val="nil"/>
              <w:tr2bl w:val="nil"/>
            </w:tcBorders>
            <w:noWrap/>
            <w:tcMar>
              <w:top w:w="15" w:type="dxa"/>
              <w:left w:w="15" w:type="dxa"/>
              <w:right w:w="15" w:type="dxa"/>
            </w:tcMar>
            <w:vAlign w:val="center"/>
          </w:tcPr>
          <w:p w14:paraId="7325B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计分标准</w:t>
            </w:r>
          </w:p>
        </w:tc>
      </w:tr>
      <w:tr w14:paraId="43CF47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537" w:type="pct"/>
            <w:tcBorders>
              <w:tl2br w:val="nil"/>
              <w:tr2bl w:val="nil"/>
            </w:tcBorders>
            <w:noWrap/>
            <w:tcMar>
              <w:top w:w="15" w:type="dxa"/>
              <w:left w:w="15" w:type="dxa"/>
              <w:right w:w="15" w:type="dxa"/>
            </w:tcMar>
            <w:vAlign w:val="center"/>
          </w:tcPr>
          <w:p w14:paraId="1363B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利率水平</w:t>
            </w:r>
          </w:p>
          <w:p w14:paraId="1253B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578" w:type="pct"/>
            <w:tcBorders>
              <w:tl2br w:val="nil"/>
              <w:tr2bl w:val="nil"/>
            </w:tcBorders>
            <w:noWrap/>
            <w:tcMar>
              <w:top w:w="15" w:type="dxa"/>
              <w:left w:w="15" w:type="dxa"/>
              <w:right w:w="15" w:type="dxa"/>
            </w:tcMar>
            <w:vAlign w:val="center"/>
          </w:tcPr>
          <w:p w14:paraId="4C9C1D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定期存款</w:t>
            </w:r>
          </w:p>
          <w:p w14:paraId="50E10F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年利率</w:t>
            </w:r>
          </w:p>
          <w:p w14:paraId="18A85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（10</w:t>
            </w:r>
            <w:r>
              <w:rPr>
                <w:rFonts w:hint="eastAsia" w:ascii="宋体" w:hAnsi="宋体" w:eastAsia="宋体" w:cs="宋体"/>
                <w:i w:val="0"/>
                <w:color w:val="auto"/>
                <w:kern w:val="0"/>
                <w:sz w:val="22"/>
                <w:szCs w:val="22"/>
                <w:highlight w:val="none"/>
                <w:u w:val="none"/>
                <w:lang w:val="en-US" w:eastAsia="zh-CN" w:bidi="ar"/>
              </w:rPr>
              <w:t>分</w:t>
            </w:r>
            <w:r>
              <w:rPr>
                <w:rFonts w:hint="eastAsia" w:ascii="宋体" w:hAnsi="宋体" w:cs="宋体"/>
                <w:i w:val="0"/>
                <w:color w:val="auto"/>
                <w:kern w:val="0"/>
                <w:sz w:val="22"/>
                <w:szCs w:val="22"/>
                <w:highlight w:val="none"/>
                <w:u w:val="none"/>
                <w:lang w:val="en-US" w:eastAsia="zh-CN" w:bidi="ar"/>
              </w:rPr>
              <w:t>）</w:t>
            </w:r>
          </w:p>
        </w:tc>
        <w:tc>
          <w:tcPr>
            <w:tcW w:w="3883" w:type="pct"/>
            <w:tcBorders>
              <w:tl2br w:val="nil"/>
              <w:tr2bl w:val="nil"/>
            </w:tcBorders>
            <w:noWrap w:val="0"/>
            <w:tcMar>
              <w:top w:w="15" w:type="dxa"/>
              <w:left w:w="15" w:type="dxa"/>
              <w:right w:w="15" w:type="dxa"/>
            </w:tcMar>
            <w:vAlign w:val="center"/>
          </w:tcPr>
          <w:p w14:paraId="096B3F6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rPr>
              <w:t>根据有效银行投标利率（含大额存单）为评分依据。有效竞标银行与同期人民银行定期存款基准利率相比的上浮基点数(BP 值)最高的得满分，上浮 BP 值每下降 1 个 BP 扣 0.05 分，扣完</w:t>
            </w:r>
            <w:r>
              <w:rPr>
                <w:rFonts w:hint="eastAsia" w:ascii="宋体" w:hAnsi="宋体" w:eastAsia="宋体" w:cs="宋体"/>
                <w:color w:val="auto"/>
                <w:sz w:val="22"/>
                <w:szCs w:val="22"/>
                <w:lang w:val="en-US" w:eastAsia="zh-CN"/>
              </w:rPr>
              <w:t>10分</w:t>
            </w:r>
            <w:r>
              <w:rPr>
                <w:rFonts w:hint="eastAsia" w:ascii="宋体" w:hAnsi="宋体" w:eastAsia="宋体" w:cs="宋体"/>
                <w:color w:val="auto"/>
                <w:sz w:val="22"/>
                <w:szCs w:val="22"/>
              </w:rPr>
              <w:t>为止</w:t>
            </w:r>
            <w:r>
              <w:rPr>
                <w:rFonts w:hint="eastAsia" w:ascii="宋体" w:hAnsi="宋体" w:eastAsia="宋体" w:cs="宋体"/>
                <w:i w:val="0"/>
                <w:color w:val="auto"/>
                <w:kern w:val="0"/>
                <w:sz w:val="22"/>
                <w:szCs w:val="22"/>
                <w:highlight w:val="none"/>
                <w:u w:val="none"/>
                <w:lang w:val="en-US" w:eastAsia="zh-CN" w:bidi="ar"/>
              </w:rPr>
              <w:t>。</w:t>
            </w:r>
          </w:p>
          <w:p w14:paraId="62BA16A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color w:val="auto"/>
                <w:highlight w:val="none"/>
              </w:rPr>
            </w:pPr>
            <w:r>
              <w:rPr>
                <w:rFonts w:hint="eastAsia" w:ascii="宋体" w:hAnsi="宋体" w:eastAsia="宋体" w:cs="宋体"/>
                <w:b/>
                <w:bCs/>
                <w:i w:val="0"/>
                <w:color w:val="auto"/>
                <w:kern w:val="0"/>
                <w:sz w:val="22"/>
                <w:szCs w:val="22"/>
                <w:highlight w:val="none"/>
                <w:u w:val="none"/>
                <w:lang w:val="en-US" w:eastAsia="zh-CN" w:bidi="ar"/>
              </w:rPr>
              <w:t>注：</w:t>
            </w:r>
            <w:r>
              <w:rPr>
                <w:rFonts w:hint="eastAsia" w:ascii="宋体" w:hAnsi="宋体" w:cs="宋体"/>
                <w:b/>
                <w:bCs/>
                <w:i w:val="0"/>
                <w:color w:val="auto"/>
                <w:kern w:val="0"/>
                <w:sz w:val="22"/>
                <w:szCs w:val="22"/>
                <w:highlight w:val="none"/>
                <w:u w:val="none"/>
                <w:lang w:val="en-US" w:eastAsia="zh-CN" w:bidi="ar"/>
              </w:rPr>
              <w:t>开标一览表</w:t>
            </w:r>
            <w:r>
              <w:rPr>
                <w:rFonts w:hint="eastAsia" w:ascii="宋体" w:hAnsi="宋体" w:eastAsia="宋体" w:cs="宋体"/>
                <w:b/>
                <w:bCs/>
                <w:i w:val="0"/>
                <w:color w:val="auto"/>
                <w:kern w:val="0"/>
                <w:sz w:val="22"/>
                <w:szCs w:val="22"/>
                <w:highlight w:val="none"/>
                <w:u w:val="none"/>
                <w:lang w:val="en-US" w:eastAsia="zh-CN" w:bidi="ar"/>
              </w:rPr>
              <w:t>中的报价数据。</w:t>
            </w:r>
          </w:p>
        </w:tc>
      </w:tr>
      <w:tr w14:paraId="49A45A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restart"/>
            <w:tcBorders>
              <w:tl2br w:val="nil"/>
              <w:tr2bl w:val="nil"/>
            </w:tcBorders>
            <w:noWrap/>
            <w:tcMar>
              <w:top w:w="15" w:type="dxa"/>
              <w:left w:w="15" w:type="dxa"/>
              <w:right w:w="15" w:type="dxa"/>
            </w:tcMar>
            <w:vAlign w:val="center"/>
          </w:tcPr>
          <w:p w14:paraId="4781C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经营状况（</w:t>
            </w:r>
            <w:r>
              <w:rPr>
                <w:rFonts w:hint="eastAsia" w:ascii="宋体" w:hAnsi="宋体" w:cs="宋体"/>
                <w:color w:val="auto"/>
                <w:sz w:val="21"/>
                <w:szCs w:val="21"/>
                <w:lang w:val="en-US" w:eastAsia="zh-CN"/>
              </w:rPr>
              <w:t>52</w:t>
            </w:r>
            <w:r>
              <w:rPr>
                <w:rFonts w:hint="eastAsia" w:ascii="宋体" w:hAnsi="宋体" w:eastAsia="宋体" w:cs="宋体"/>
                <w:color w:val="auto"/>
                <w:sz w:val="21"/>
                <w:szCs w:val="21"/>
                <w:lang w:val="en-US" w:eastAsia="zh-CN"/>
              </w:rPr>
              <w:t>分）</w:t>
            </w:r>
          </w:p>
        </w:tc>
        <w:tc>
          <w:tcPr>
            <w:tcW w:w="578" w:type="pct"/>
            <w:tcBorders>
              <w:tl2br w:val="nil"/>
              <w:tr2bl w:val="nil"/>
            </w:tcBorders>
            <w:noWrap w:val="0"/>
            <w:tcMar>
              <w:top w:w="15" w:type="dxa"/>
              <w:left w:w="15" w:type="dxa"/>
              <w:right w:w="15" w:type="dxa"/>
            </w:tcMar>
            <w:vAlign w:val="center"/>
          </w:tcPr>
          <w:p w14:paraId="2CBFCDC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color w:val="auto"/>
                <w:sz w:val="22"/>
                <w:szCs w:val="22"/>
                <w:lang w:eastAsia="zh-CN"/>
              </w:rPr>
              <w:t>月平均本外币贷款余额</w:t>
            </w:r>
            <w:r>
              <w:rPr>
                <w:rFonts w:hint="eastAsia" w:ascii="宋体" w:hAnsi="宋体" w:eastAsia="宋体" w:cs="宋体"/>
                <w:i w:val="0"/>
                <w:color w:val="auto"/>
                <w:kern w:val="0"/>
                <w:sz w:val="22"/>
                <w:szCs w:val="22"/>
                <w:highlight w:val="none"/>
                <w:u w:val="none"/>
                <w:lang w:val="en-US" w:eastAsia="zh-CN" w:bidi="ar"/>
              </w:rPr>
              <w:t>（8分）</w:t>
            </w:r>
          </w:p>
        </w:tc>
        <w:tc>
          <w:tcPr>
            <w:tcW w:w="3883" w:type="pct"/>
            <w:tcBorders>
              <w:tl2br w:val="nil"/>
              <w:tr2bl w:val="nil"/>
            </w:tcBorders>
            <w:noWrap w:val="0"/>
            <w:tcMar>
              <w:top w:w="15" w:type="dxa"/>
              <w:left w:w="15" w:type="dxa"/>
              <w:right w:w="15" w:type="dxa"/>
            </w:tcMar>
            <w:vAlign w:val="center"/>
          </w:tcPr>
          <w:p w14:paraId="158C3DC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eastAsia="zh-CN"/>
              </w:rPr>
              <w:t>按照各投标银行投标月份前12个月在我县的月平均本外币贷款余额。第1名的得满分，其他投标银行按与第1名的占比计分。计算公式：（投标银行月平均贷款余额/第1名投标银行的月平均贷款余额）×8</w:t>
            </w:r>
            <w:r>
              <w:rPr>
                <w:rFonts w:hint="eastAsia" w:ascii="宋体" w:hAnsi="宋体" w:eastAsia="宋体" w:cs="宋体"/>
                <w:i w:val="0"/>
                <w:color w:val="auto"/>
                <w:spacing w:val="-6"/>
                <w:kern w:val="0"/>
                <w:sz w:val="22"/>
                <w:szCs w:val="22"/>
                <w:highlight w:val="none"/>
                <w:u w:val="none"/>
                <w:lang w:val="en-US" w:eastAsia="zh-CN" w:bidi="ar"/>
              </w:rPr>
              <w:t>。</w:t>
            </w:r>
          </w:p>
          <w:p w14:paraId="6C6E061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5515E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537" w:type="pct"/>
            <w:vMerge w:val="continue"/>
            <w:tcBorders>
              <w:tl2br w:val="nil"/>
              <w:tr2bl w:val="nil"/>
            </w:tcBorders>
            <w:noWrap/>
            <w:tcMar>
              <w:top w:w="15" w:type="dxa"/>
              <w:left w:w="15" w:type="dxa"/>
              <w:right w:w="15" w:type="dxa"/>
            </w:tcMar>
            <w:vAlign w:val="center"/>
          </w:tcPr>
          <w:p w14:paraId="2B725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56B49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w:t>
            </w:r>
            <w:r>
              <w:rPr>
                <w:rFonts w:hint="eastAsia" w:ascii="宋体" w:hAnsi="宋体" w:eastAsia="宋体" w:cs="宋体"/>
                <w:color w:val="auto"/>
                <w:sz w:val="22"/>
                <w:szCs w:val="22"/>
                <w:lang w:val="en-US" w:eastAsia="zh-CN"/>
              </w:rPr>
              <w:t>不良贷款率</w:t>
            </w:r>
          </w:p>
          <w:p w14:paraId="208EEA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26D538A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按照各投标银行上一年末不良贷款率排名。最低的为第1名，第1名的得满分，每递增1档扣0.25分，扣完4分为止</w:t>
            </w:r>
            <w:r>
              <w:rPr>
                <w:rFonts w:hint="eastAsia" w:ascii="宋体" w:hAnsi="宋体" w:eastAsia="宋体" w:cs="宋体"/>
                <w:i w:val="0"/>
                <w:color w:val="auto"/>
                <w:kern w:val="0"/>
                <w:sz w:val="22"/>
                <w:szCs w:val="22"/>
                <w:highlight w:val="none"/>
                <w:u w:val="none"/>
                <w:lang w:val="en-US" w:eastAsia="zh-CN" w:bidi="ar"/>
              </w:rPr>
              <w:t>。</w:t>
            </w:r>
          </w:p>
          <w:p w14:paraId="1D411AF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6C5BD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537" w:type="pct"/>
            <w:vMerge w:val="continue"/>
            <w:tcBorders>
              <w:tl2br w:val="nil"/>
              <w:tr2bl w:val="nil"/>
            </w:tcBorders>
            <w:noWrap/>
            <w:tcMar>
              <w:top w:w="15" w:type="dxa"/>
              <w:left w:w="15" w:type="dxa"/>
              <w:right w:w="15" w:type="dxa"/>
            </w:tcMar>
            <w:vAlign w:val="center"/>
          </w:tcPr>
          <w:p w14:paraId="5EE09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62EC9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color w:val="auto"/>
                <w:sz w:val="22"/>
                <w:szCs w:val="22"/>
                <w:lang w:val="en-US" w:eastAsia="zh-CN"/>
              </w:rPr>
              <w:t>资产利润率</w:t>
            </w:r>
          </w:p>
          <w:p w14:paraId="6BBB9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3</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3F3A24C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按照各投标银行上年度资产利润率排名，最高的为第1名，第1名的得满分，每递减1档扣0.25分，扣完3分为止</w:t>
            </w:r>
            <w:r>
              <w:rPr>
                <w:rFonts w:hint="eastAsia" w:ascii="宋体" w:hAnsi="宋体" w:eastAsia="宋体" w:cs="宋体"/>
                <w:i w:val="0"/>
                <w:color w:val="auto"/>
                <w:kern w:val="0"/>
                <w:sz w:val="22"/>
                <w:szCs w:val="22"/>
                <w:highlight w:val="none"/>
                <w:u w:val="none"/>
                <w:lang w:val="en-US" w:eastAsia="zh-CN" w:bidi="ar"/>
              </w:rPr>
              <w:t>。</w:t>
            </w:r>
          </w:p>
          <w:p w14:paraId="5CF003E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447A63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25F3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20B102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w:t>
            </w:r>
            <w:r>
              <w:rPr>
                <w:rFonts w:hint="eastAsia" w:ascii="宋体" w:hAnsi="宋体" w:eastAsia="宋体" w:cs="宋体"/>
                <w:color w:val="auto"/>
                <w:sz w:val="22"/>
                <w:szCs w:val="22"/>
                <w:lang w:val="en-US" w:eastAsia="zh-CN"/>
              </w:rPr>
              <w:t>本外币贷款余额增量</w:t>
            </w:r>
          </w:p>
          <w:p w14:paraId="0C7BE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109816D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按照各投标银行投标月份前1个月本外币贷款余额比该银行年初数的增量，第1名的得满分，其他投标银行按与第1名的占比计分。计算公式：（投标银行本外币贷款增量/第1名投标银行的本外币贷款增量）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6；增量为负数的，该项不得分</w:t>
            </w:r>
            <w:r>
              <w:rPr>
                <w:rFonts w:hint="eastAsia" w:ascii="宋体" w:hAnsi="宋体" w:eastAsia="宋体" w:cs="宋体"/>
                <w:i w:val="0"/>
                <w:color w:val="auto"/>
                <w:kern w:val="0"/>
                <w:sz w:val="22"/>
                <w:szCs w:val="22"/>
                <w:highlight w:val="none"/>
                <w:u w:val="none"/>
                <w:lang w:val="en-US" w:eastAsia="zh-CN" w:bidi="ar"/>
              </w:rPr>
              <w:t>。</w:t>
            </w:r>
          </w:p>
          <w:p w14:paraId="3548BBE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112F8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50B67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val="0"/>
            <w:tcMar>
              <w:top w:w="15" w:type="dxa"/>
              <w:left w:w="15" w:type="dxa"/>
              <w:right w:w="15" w:type="dxa"/>
            </w:tcMar>
            <w:vAlign w:val="center"/>
          </w:tcPr>
          <w:p w14:paraId="1A354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w:t>
            </w:r>
            <w:r>
              <w:rPr>
                <w:rFonts w:hint="eastAsia" w:ascii="宋体" w:hAnsi="宋体" w:eastAsia="宋体" w:cs="宋体"/>
                <w:color w:val="auto"/>
                <w:sz w:val="22"/>
                <w:szCs w:val="22"/>
                <w:lang w:val="en-US" w:eastAsia="zh-CN"/>
              </w:rPr>
              <w:t>本外币贷款余额同比增速</w:t>
            </w:r>
          </w:p>
          <w:p w14:paraId="7C6C7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（6分）</w:t>
            </w:r>
          </w:p>
        </w:tc>
        <w:tc>
          <w:tcPr>
            <w:tcW w:w="3883" w:type="pct"/>
            <w:tcBorders>
              <w:tl2br w:val="nil"/>
              <w:tr2bl w:val="nil"/>
            </w:tcBorders>
            <w:noWrap w:val="0"/>
            <w:tcMar>
              <w:top w:w="15" w:type="dxa"/>
              <w:left w:w="15" w:type="dxa"/>
              <w:right w:w="15" w:type="dxa"/>
            </w:tcMar>
            <w:vAlign w:val="center"/>
          </w:tcPr>
          <w:p w14:paraId="291D02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按照各投标银行投标月份前1个月本外币贷款余额较去年同期增速，第1名得满分，每递减一名扣减0.4分，扣完6分为止。增速为负的不得分</w:t>
            </w:r>
            <w:r>
              <w:rPr>
                <w:rFonts w:hint="eastAsia" w:ascii="宋体" w:hAnsi="宋体" w:cs="宋体"/>
                <w:i w:val="0"/>
                <w:color w:val="auto"/>
                <w:spacing w:val="-6"/>
                <w:kern w:val="0"/>
                <w:sz w:val="22"/>
                <w:szCs w:val="22"/>
                <w:highlight w:val="none"/>
                <w:u w:val="none"/>
                <w:lang w:val="en-US" w:eastAsia="zh-CN" w:bidi="ar"/>
              </w:rPr>
              <w:t>。</w:t>
            </w:r>
          </w:p>
          <w:p w14:paraId="1C4CB93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6DC5E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2AB15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44E83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color w:val="auto"/>
                <w:sz w:val="22"/>
                <w:szCs w:val="22"/>
                <w:lang w:val="en-US" w:eastAsia="zh-CN"/>
              </w:rPr>
              <w:t>本外币存贷款余额</w:t>
            </w:r>
          </w:p>
          <w:p w14:paraId="3DCA3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（10分）</w:t>
            </w:r>
          </w:p>
        </w:tc>
        <w:tc>
          <w:tcPr>
            <w:tcW w:w="3883" w:type="pct"/>
            <w:tcBorders>
              <w:tl2br w:val="nil"/>
              <w:tr2bl w:val="nil"/>
            </w:tcBorders>
            <w:noWrap w:val="0"/>
            <w:tcMar>
              <w:top w:w="15" w:type="dxa"/>
              <w:left w:w="15" w:type="dxa"/>
              <w:right w:w="15" w:type="dxa"/>
            </w:tcMar>
            <w:vAlign w:val="center"/>
          </w:tcPr>
          <w:p w14:paraId="4618E72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月份前1个月在我县的本外币贷款和本外币存款余额之和。第1名的得满分，其他投标银行按与第1名的占比计分。计算公式：（投标银行本外币存贷款余额/第1名投标银行的本外币本外币存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10</w:t>
            </w:r>
            <w:r>
              <w:rPr>
                <w:rFonts w:hint="eastAsia" w:ascii="宋体" w:hAnsi="宋体" w:cs="宋体"/>
                <w:i w:val="0"/>
                <w:color w:val="auto"/>
                <w:kern w:val="0"/>
                <w:sz w:val="22"/>
                <w:szCs w:val="22"/>
                <w:highlight w:val="none"/>
                <w:u w:val="none"/>
                <w:lang w:val="en-US" w:eastAsia="zh-CN" w:bidi="ar"/>
              </w:rPr>
              <w:t>。</w:t>
            </w:r>
          </w:p>
          <w:p w14:paraId="34C77B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03B586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0C308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shd w:val="clear" w:color="auto" w:fill="auto"/>
            <w:noWrap/>
            <w:tcMar>
              <w:top w:w="15" w:type="dxa"/>
              <w:left w:w="15" w:type="dxa"/>
              <w:right w:w="15" w:type="dxa"/>
            </w:tcMar>
            <w:vAlign w:val="center"/>
          </w:tcPr>
          <w:p w14:paraId="5CBB7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bidi="ar"/>
              </w:rPr>
              <w:t>8.</w:t>
            </w:r>
            <w:r>
              <w:rPr>
                <w:rFonts w:hint="eastAsia" w:ascii="宋体" w:hAnsi="宋体" w:eastAsia="宋体" w:cs="宋体"/>
                <w:color w:val="auto"/>
                <w:sz w:val="22"/>
                <w:szCs w:val="22"/>
                <w:lang w:val="en-US" w:eastAsia="zh-CN"/>
              </w:rPr>
              <w:t>利息净收入同比增速</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shd w:val="clear" w:color="auto" w:fill="auto"/>
            <w:noWrap w:val="0"/>
            <w:tcMar>
              <w:top w:w="15" w:type="dxa"/>
              <w:left w:w="15" w:type="dxa"/>
              <w:right w:w="15" w:type="dxa"/>
            </w:tcMar>
            <w:vAlign w:val="center"/>
          </w:tcPr>
          <w:p w14:paraId="4593BC1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按照各竞标银行投标前最新季度末利息净收入同比增速排名。最高的为第1名，第1名的得2分，每递减1名扣0.1分（扣完为止），负增长不得分</w:t>
            </w:r>
            <w:r>
              <w:rPr>
                <w:rFonts w:hint="eastAsia" w:ascii="宋体" w:hAnsi="宋体" w:eastAsia="宋体" w:cs="宋体"/>
                <w:i w:val="0"/>
                <w:color w:val="auto"/>
                <w:kern w:val="0"/>
                <w:sz w:val="22"/>
                <w:szCs w:val="22"/>
                <w:highlight w:val="none"/>
                <w:u w:val="none"/>
                <w:lang w:val="en-US" w:eastAsia="zh-CN" w:bidi="ar"/>
              </w:rPr>
              <w:t>。</w:t>
            </w:r>
          </w:p>
          <w:p w14:paraId="28796C1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国家金融监督管理总局天台监管支局</w:t>
            </w:r>
            <w:r>
              <w:rPr>
                <w:rFonts w:hint="eastAsia" w:ascii="宋体" w:hAnsi="宋体" w:eastAsia="宋体" w:cs="宋体"/>
                <w:b/>
                <w:bCs/>
                <w:i w:val="0"/>
                <w:color w:val="auto"/>
                <w:kern w:val="0"/>
                <w:sz w:val="22"/>
                <w:szCs w:val="22"/>
                <w:highlight w:val="none"/>
                <w:u w:val="none"/>
                <w:lang w:val="en-US" w:eastAsia="zh-CN" w:bidi="ar"/>
              </w:rPr>
              <w:t>提供。</w:t>
            </w:r>
          </w:p>
        </w:tc>
      </w:tr>
      <w:tr w14:paraId="61D364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07D3D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07637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9.手续费及佣金净收入增量</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52A1353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第1名的得满分，其他投标银行按与第1名的占比计分。计算公式：（投标银行最新季度末银行手续费及佣金净收入同比增量/第1名投标银行的最新季度末银行手续费及佣金净收入同比增量）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2；增量为负数的，该项不得分。</w:t>
            </w:r>
          </w:p>
          <w:p w14:paraId="41BC8560">
            <w:pPr>
              <w:pStyle w:val="2"/>
              <w:ind w:left="0" w:leftChars="0" w:firstLine="0" w:firstLineChars="0"/>
              <w:rPr>
                <w:rFonts w:hint="eastAsia"/>
                <w:color w:val="auto"/>
                <w:lang w:val="en-US" w:eastAsia="zh-CN"/>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国家金融监督管理总局天台监管支局</w:t>
            </w:r>
            <w:r>
              <w:rPr>
                <w:rFonts w:hint="eastAsia" w:ascii="宋体" w:hAnsi="宋体" w:eastAsia="宋体" w:cs="宋体"/>
                <w:b/>
                <w:bCs/>
                <w:i w:val="0"/>
                <w:color w:val="auto"/>
                <w:kern w:val="0"/>
                <w:sz w:val="22"/>
                <w:szCs w:val="22"/>
                <w:highlight w:val="none"/>
                <w:u w:val="none"/>
                <w:lang w:val="en-US" w:eastAsia="zh-CN" w:bidi="ar"/>
              </w:rPr>
              <w:t>提供。</w:t>
            </w:r>
          </w:p>
        </w:tc>
      </w:tr>
      <w:tr w14:paraId="7DE8B8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B54B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69BEF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10.存贷比差值（4分）</w:t>
            </w:r>
          </w:p>
        </w:tc>
        <w:tc>
          <w:tcPr>
            <w:tcW w:w="3883" w:type="pct"/>
            <w:tcBorders>
              <w:tl2br w:val="nil"/>
              <w:tr2bl w:val="nil"/>
            </w:tcBorders>
            <w:noWrap w:val="0"/>
            <w:tcMar>
              <w:top w:w="15" w:type="dxa"/>
              <w:left w:w="15" w:type="dxa"/>
              <w:right w:w="15" w:type="dxa"/>
            </w:tcMar>
            <w:vAlign w:val="center"/>
          </w:tcPr>
          <w:p w14:paraId="7B1132E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按照各投标银行投标前1个月的余额存贷比与同期我县银行业平均余额存贷比差值计分。基准分为2分，差值为正数的，予以加分，每5个百分点，加0.2分，最多加2分；差值为负数的，予以扣分，每5个百分点，扣0.2分，扣完基准分为止。</w:t>
            </w:r>
          </w:p>
          <w:p w14:paraId="491E689A">
            <w:pPr>
              <w:pStyle w:val="2"/>
              <w:ind w:left="0" w:leftChars="0" w:firstLine="0" w:firstLineChars="0"/>
              <w:rPr>
                <w:rFonts w:hint="eastAsia"/>
                <w:color w:val="auto"/>
                <w:lang w:val="en-US" w:eastAsia="zh-CN"/>
              </w:rPr>
            </w:pPr>
            <w:r>
              <w:rPr>
                <w:rFonts w:hint="eastAsia" w:ascii="宋体" w:hAnsi="宋体" w:eastAsia="宋体" w:cs="宋体"/>
                <w:b/>
                <w:bCs/>
                <w:i w:val="0"/>
                <w:color w:val="auto"/>
                <w:kern w:val="0"/>
                <w:sz w:val="22"/>
                <w:szCs w:val="22"/>
                <w:highlight w:val="none"/>
                <w:u w:val="none"/>
                <w:lang w:val="en-US" w:eastAsia="zh-CN" w:bidi="ar"/>
              </w:rPr>
              <w:t>注：此项数据由</w:t>
            </w:r>
            <w:r>
              <w:rPr>
                <w:rFonts w:hint="eastAsia" w:ascii="宋体" w:hAnsi="宋体" w:cs="宋体"/>
                <w:b/>
                <w:bCs/>
                <w:i w:val="0"/>
                <w:color w:val="auto"/>
                <w:kern w:val="0"/>
                <w:sz w:val="22"/>
                <w:szCs w:val="22"/>
                <w:highlight w:val="none"/>
                <w:u w:val="none"/>
                <w:lang w:val="en-US" w:eastAsia="zh-CN" w:bidi="ar"/>
              </w:rPr>
              <w:t>国家金融监督管理总局天台监管支局</w:t>
            </w:r>
            <w:r>
              <w:rPr>
                <w:rFonts w:hint="eastAsia" w:ascii="宋体" w:hAnsi="宋体" w:eastAsia="宋体" w:cs="宋体"/>
                <w:b/>
                <w:bCs/>
                <w:i w:val="0"/>
                <w:color w:val="auto"/>
                <w:kern w:val="0"/>
                <w:sz w:val="22"/>
                <w:szCs w:val="22"/>
                <w:highlight w:val="none"/>
                <w:u w:val="none"/>
                <w:lang w:val="en-US" w:eastAsia="zh-CN" w:bidi="ar"/>
              </w:rPr>
              <w:t>提供。</w:t>
            </w:r>
          </w:p>
        </w:tc>
      </w:tr>
      <w:tr w14:paraId="50FCB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03519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578" w:type="pct"/>
            <w:tcBorders>
              <w:tl2br w:val="nil"/>
              <w:tr2bl w:val="nil"/>
            </w:tcBorders>
            <w:noWrap/>
            <w:tcMar>
              <w:top w:w="15" w:type="dxa"/>
              <w:left w:w="15" w:type="dxa"/>
              <w:right w:w="15" w:type="dxa"/>
            </w:tcMar>
            <w:vAlign w:val="center"/>
          </w:tcPr>
          <w:p w14:paraId="39BBC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color w:val="auto"/>
                <w:sz w:val="22"/>
                <w:szCs w:val="22"/>
                <w:lang w:val="en-US" w:eastAsia="zh-CN"/>
              </w:rPr>
              <w:t>11.金融机构综合考核（7分）</w:t>
            </w:r>
          </w:p>
        </w:tc>
        <w:tc>
          <w:tcPr>
            <w:tcW w:w="3883" w:type="pct"/>
            <w:tcBorders>
              <w:tl2br w:val="nil"/>
              <w:tr2bl w:val="nil"/>
            </w:tcBorders>
            <w:noWrap w:val="0"/>
            <w:tcMar>
              <w:top w:w="15" w:type="dxa"/>
              <w:left w:w="15" w:type="dxa"/>
              <w:right w:w="15" w:type="dxa"/>
            </w:tcMar>
            <w:vAlign w:val="center"/>
          </w:tcPr>
          <w:p w14:paraId="1730059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第1名得满分，每递减1名扣0.4分，扣完7分为止。</w:t>
            </w:r>
          </w:p>
          <w:p w14:paraId="27A54AAF">
            <w:pPr>
              <w:pStyle w:val="2"/>
              <w:ind w:left="0" w:leftChars="0" w:firstLine="0" w:firstLineChars="0"/>
              <w:rPr>
                <w:rFonts w:hint="eastAsia"/>
                <w:color w:val="auto"/>
              </w:rPr>
            </w:pPr>
            <w:r>
              <w:rPr>
                <w:rFonts w:hint="eastAsia" w:ascii="宋体" w:hAnsi="宋体" w:eastAsia="宋体" w:cs="宋体"/>
                <w:b/>
                <w:bCs/>
                <w:i w:val="0"/>
                <w:color w:val="auto"/>
                <w:kern w:val="0"/>
                <w:sz w:val="22"/>
                <w:szCs w:val="22"/>
                <w:highlight w:val="none"/>
                <w:u w:val="none"/>
                <w:lang w:val="en-US" w:eastAsia="zh-CN" w:bidi="ar"/>
              </w:rPr>
              <w:t>注：此项数据由县金融工作中心提供。</w:t>
            </w:r>
          </w:p>
        </w:tc>
      </w:tr>
      <w:tr w14:paraId="1AFF17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537" w:type="pct"/>
            <w:vMerge w:val="restart"/>
            <w:tcBorders>
              <w:tl2br w:val="nil"/>
              <w:tr2bl w:val="nil"/>
            </w:tcBorders>
            <w:noWrap/>
            <w:tcMar>
              <w:top w:w="15" w:type="dxa"/>
              <w:left w:w="15" w:type="dxa"/>
              <w:right w:w="15" w:type="dxa"/>
            </w:tcMar>
            <w:vAlign w:val="center"/>
          </w:tcPr>
          <w:p w14:paraId="42A2A2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贡献度指标</w:t>
            </w:r>
          </w:p>
          <w:p w14:paraId="15923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c>
          <w:tcPr>
            <w:tcW w:w="578" w:type="pct"/>
            <w:tcBorders>
              <w:tl2br w:val="nil"/>
              <w:tr2bl w:val="nil"/>
            </w:tcBorders>
            <w:noWrap/>
            <w:tcMar>
              <w:top w:w="15" w:type="dxa"/>
              <w:left w:w="15" w:type="dxa"/>
              <w:right w:w="15" w:type="dxa"/>
            </w:tcMar>
            <w:vAlign w:val="center"/>
          </w:tcPr>
          <w:p w14:paraId="6CB3B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color w:val="auto"/>
                <w:sz w:val="22"/>
                <w:szCs w:val="22"/>
                <w:lang w:val="en-US" w:eastAsia="zh-CN"/>
              </w:rPr>
              <w:t>地方税费总额(6分</w:t>
            </w:r>
            <w:r>
              <w:rPr>
                <w:rFonts w:hint="eastAsia" w:ascii="宋体" w:hAnsi="宋体" w:eastAsia="宋体" w:cs="宋体"/>
                <w:i w:val="0"/>
                <w:color w:val="auto"/>
                <w:kern w:val="0"/>
                <w:sz w:val="22"/>
                <w:szCs w:val="22"/>
                <w:highlight w:val="none"/>
                <w:u w:val="none"/>
                <w:lang w:val="en-US" w:eastAsia="zh-CN" w:bidi="ar"/>
              </w:rPr>
              <w:t>）</w:t>
            </w:r>
          </w:p>
        </w:tc>
        <w:tc>
          <w:tcPr>
            <w:tcW w:w="3883" w:type="pct"/>
            <w:tcBorders>
              <w:tl2br w:val="nil"/>
              <w:tr2bl w:val="nil"/>
            </w:tcBorders>
            <w:noWrap w:val="0"/>
            <w:tcMar>
              <w:top w:w="15" w:type="dxa"/>
              <w:left w:w="15" w:type="dxa"/>
              <w:right w:w="15" w:type="dxa"/>
            </w:tcMar>
            <w:vAlign w:val="center"/>
          </w:tcPr>
          <w:p w14:paraId="0208533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按照各投标银行上年度在天台县缴纳的纳入一般公共预算收入计算口径的税费为依据。第1名的得满分，其他投标银行按与第1名的占比计分。计算公式：（投标银行地方税费额/第1名投标银行的地方税费额）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w:t>
            </w:r>
            <w:r>
              <w:rPr>
                <w:rFonts w:hint="eastAsia" w:ascii="宋体" w:hAnsi="宋体" w:eastAsia="宋体" w:cs="宋体"/>
                <w:i w:val="0"/>
                <w:color w:val="auto"/>
                <w:kern w:val="0"/>
                <w:sz w:val="22"/>
                <w:szCs w:val="22"/>
                <w:highlight w:val="none"/>
                <w:u w:val="none"/>
                <w:lang w:val="en-US" w:eastAsia="zh-CN" w:bidi="ar"/>
              </w:rPr>
              <w:t>。</w:t>
            </w:r>
          </w:p>
          <w:p w14:paraId="62D4535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注：此项数据由天台县税务局提供。</w:t>
            </w:r>
          </w:p>
        </w:tc>
      </w:tr>
      <w:tr w14:paraId="64811D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537" w:type="pct"/>
            <w:vMerge w:val="continue"/>
            <w:tcBorders>
              <w:tl2br w:val="nil"/>
              <w:tr2bl w:val="nil"/>
            </w:tcBorders>
            <w:noWrap/>
            <w:tcMar>
              <w:top w:w="15" w:type="dxa"/>
              <w:left w:w="15" w:type="dxa"/>
              <w:right w:w="15" w:type="dxa"/>
            </w:tcMar>
            <w:vAlign w:val="center"/>
          </w:tcPr>
          <w:p w14:paraId="30920D57">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655B7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13.</w:t>
            </w:r>
            <w:r>
              <w:rPr>
                <w:rFonts w:hint="eastAsia" w:ascii="宋体" w:hAnsi="宋体" w:eastAsia="宋体" w:cs="宋体"/>
                <w:color w:val="auto"/>
                <w:sz w:val="22"/>
                <w:szCs w:val="22"/>
                <w:lang w:val="en-US" w:eastAsia="zh-CN"/>
              </w:rPr>
              <w:t>制造业中长期贷款余额（8分）</w:t>
            </w:r>
          </w:p>
        </w:tc>
        <w:tc>
          <w:tcPr>
            <w:tcW w:w="3883" w:type="pct"/>
            <w:tcBorders>
              <w:tl2br w:val="nil"/>
              <w:tr2bl w:val="nil"/>
            </w:tcBorders>
            <w:noWrap w:val="0"/>
            <w:tcMar>
              <w:top w:w="15" w:type="dxa"/>
              <w:left w:w="15" w:type="dxa"/>
              <w:right w:w="15" w:type="dxa"/>
            </w:tcMar>
            <w:vAlign w:val="center"/>
          </w:tcPr>
          <w:p w14:paraId="0FF69B5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按照各投标银行上季度末该项贷款余额计分。第1名的得满分，其他投标银行按与第1名的占比计分。计算公式：（投标银行制造业中长期贷款余额/第1名投标银行制造业中长期贷款余额）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cs="宋体"/>
                <w:i w:val="0"/>
                <w:color w:val="auto"/>
                <w:spacing w:val="-6"/>
                <w:kern w:val="0"/>
                <w:sz w:val="22"/>
                <w:szCs w:val="22"/>
                <w:highlight w:val="none"/>
                <w:u w:val="none"/>
                <w:lang w:val="en-US" w:eastAsia="zh-CN" w:bidi="ar"/>
              </w:rPr>
              <w:t>。</w:t>
            </w:r>
          </w:p>
          <w:p w14:paraId="3291029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257C5B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150DE776">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4E46D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pacing w:val="-6"/>
                <w:kern w:val="0"/>
                <w:sz w:val="22"/>
                <w:szCs w:val="22"/>
                <w:highlight w:val="none"/>
                <w:u w:val="none"/>
                <w:lang w:val="en-US" w:eastAsia="zh-CN" w:bidi="ar"/>
              </w:rPr>
              <w:t>1</w:t>
            </w:r>
            <w:r>
              <w:rPr>
                <w:rFonts w:hint="eastAsia" w:ascii="宋体" w:hAnsi="宋体" w:cs="宋体"/>
                <w:i w:val="0"/>
                <w:color w:val="auto"/>
                <w:spacing w:val="-6"/>
                <w:kern w:val="0"/>
                <w:sz w:val="22"/>
                <w:szCs w:val="22"/>
                <w:highlight w:val="none"/>
                <w:u w:val="none"/>
                <w:lang w:val="en-US" w:eastAsia="zh-CN" w:bidi="ar"/>
              </w:rPr>
              <w:t>4</w:t>
            </w:r>
            <w:r>
              <w:rPr>
                <w:rFonts w:hint="eastAsia" w:ascii="宋体" w:hAnsi="宋体" w:eastAsia="宋体" w:cs="宋体"/>
                <w:i w:val="0"/>
                <w:color w:val="auto"/>
                <w:spacing w:val="-6"/>
                <w:kern w:val="0"/>
                <w:sz w:val="22"/>
                <w:szCs w:val="22"/>
                <w:highlight w:val="none"/>
                <w:u w:val="none"/>
                <w:lang w:val="en-US" w:eastAsia="zh-CN" w:bidi="ar"/>
              </w:rPr>
              <w:t>.</w:t>
            </w:r>
            <w:r>
              <w:rPr>
                <w:rFonts w:hint="eastAsia" w:ascii="宋体" w:hAnsi="宋体" w:eastAsia="宋体" w:cs="宋体"/>
                <w:color w:val="auto"/>
                <w:sz w:val="22"/>
                <w:szCs w:val="22"/>
                <w:lang w:val="en-US" w:eastAsia="zh-CN"/>
              </w:rPr>
              <w:t>国有企业贷款余额（3分）</w:t>
            </w:r>
          </w:p>
        </w:tc>
        <w:tc>
          <w:tcPr>
            <w:tcW w:w="3883" w:type="pct"/>
            <w:tcBorders>
              <w:tl2br w:val="nil"/>
              <w:tr2bl w:val="nil"/>
            </w:tcBorders>
            <w:noWrap w:val="0"/>
            <w:tcMar>
              <w:top w:w="15" w:type="dxa"/>
              <w:left w:w="15" w:type="dxa"/>
              <w:right w:w="15" w:type="dxa"/>
            </w:tcMar>
            <w:vAlign w:val="center"/>
          </w:tcPr>
          <w:p w14:paraId="2C8DDF33">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按照各投标银行投标前最近考核月月末在我县的国有企业贷款余额计分。第1名的得满分，其他投标银行按与第1名的占比计分。计算公式：（投标银行国有企业贷款余额/第1名投标银行国有企业贷款余额）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i w:val="0"/>
                <w:color w:val="auto"/>
                <w:kern w:val="0"/>
                <w:sz w:val="22"/>
                <w:szCs w:val="22"/>
                <w:highlight w:val="none"/>
                <w:u w:val="none"/>
                <w:lang w:val="en-US" w:eastAsia="zh-CN" w:bidi="ar"/>
              </w:rPr>
              <w:t>。</w:t>
            </w:r>
          </w:p>
          <w:p w14:paraId="0F3AC9E1">
            <w:pPr>
              <w:keepNext w:val="0"/>
              <w:keepLines w:val="0"/>
              <w:pageBreakBefore w:val="0"/>
              <w:widowControl/>
              <w:suppressLineNumbers w:val="0"/>
              <w:shd w:val="clear"/>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cs="宋体"/>
                <w:b/>
                <w:bCs/>
                <w:i w:val="0"/>
                <w:color w:val="auto"/>
                <w:kern w:val="0"/>
                <w:sz w:val="22"/>
                <w:szCs w:val="22"/>
                <w:highlight w:val="none"/>
                <w:u w:val="none"/>
                <w:lang w:val="en-US" w:eastAsia="zh-CN" w:bidi="ar"/>
              </w:rPr>
              <w:t>评分依</w:t>
            </w:r>
            <w:r>
              <w:rPr>
                <w:rFonts w:hint="eastAsia" w:ascii="宋体" w:hAnsi="宋体" w:eastAsia="宋体" w:cs="宋体"/>
                <w:b/>
                <w:bCs/>
                <w:i w:val="0"/>
                <w:color w:val="auto"/>
                <w:kern w:val="0"/>
                <w:sz w:val="22"/>
                <w:szCs w:val="22"/>
                <w:highlight w:val="none"/>
                <w:u w:val="none"/>
                <w:lang w:val="en-US" w:eastAsia="zh-CN" w:bidi="ar"/>
              </w:rPr>
              <w:t>据：此项数据由天台县国有资产事务中心提供。</w:t>
            </w:r>
          </w:p>
        </w:tc>
      </w:tr>
      <w:tr w14:paraId="63CB28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37" w:type="pct"/>
            <w:vMerge w:val="continue"/>
            <w:tcBorders>
              <w:tl2br w:val="nil"/>
              <w:tr2bl w:val="nil"/>
            </w:tcBorders>
            <w:noWrap/>
            <w:tcMar>
              <w:top w:w="15" w:type="dxa"/>
              <w:left w:w="15" w:type="dxa"/>
              <w:right w:w="15" w:type="dxa"/>
            </w:tcMar>
            <w:vAlign w:val="center"/>
          </w:tcPr>
          <w:p w14:paraId="519F4162">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647D04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15.</w:t>
            </w:r>
            <w:r>
              <w:rPr>
                <w:rFonts w:hint="eastAsia" w:ascii="宋体" w:hAnsi="宋体" w:eastAsia="宋体" w:cs="宋体"/>
                <w:color w:val="auto"/>
                <w:sz w:val="22"/>
                <w:szCs w:val="22"/>
                <w:lang w:val="en-US" w:eastAsia="zh-CN"/>
              </w:rPr>
              <w:t>国有企业贷款增量(2分)</w:t>
            </w:r>
          </w:p>
        </w:tc>
        <w:tc>
          <w:tcPr>
            <w:tcW w:w="3883" w:type="pct"/>
            <w:tcBorders>
              <w:tl2br w:val="nil"/>
              <w:tr2bl w:val="nil"/>
            </w:tcBorders>
            <w:noWrap w:val="0"/>
            <w:tcMar>
              <w:top w:w="15" w:type="dxa"/>
              <w:left w:w="15" w:type="dxa"/>
              <w:right w:w="15" w:type="dxa"/>
            </w:tcMar>
            <w:vAlign w:val="center"/>
          </w:tcPr>
          <w:p w14:paraId="3C20B22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按照各银行投标前最近考核月月末对比上一年度末实际新增放款额计分。第1名得满分，其他投标银行按与第1名的占比计分。计算公式：（投标银行国有企业贷款增量/第1名投标银行国有企业贷款增量）</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2</w:t>
            </w:r>
            <w:r>
              <w:rPr>
                <w:rFonts w:hint="eastAsia" w:ascii="宋体" w:hAnsi="宋体" w:cs="宋体"/>
                <w:i w:val="0"/>
                <w:color w:val="auto"/>
                <w:spacing w:val="-6"/>
                <w:kern w:val="0"/>
                <w:sz w:val="22"/>
                <w:szCs w:val="22"/>
                <w:highlight w:val="none"/>
                <w:u w:val="none"/>
                <w:lang w:val="en-US" w:eastAsia="zh-CN" w:bidi="ar"/>
              </w:rPr>
              <w:t>。</w:t>
            </w:r>
          </w:p>
          <w:p w14:paraId="5F8DF86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注：此项数据由天台县国有资产事务中心提供。</w:t>
            </w:r>
          </w:p>
        </w:tc>
      </w:tr>
      <w:tr w14:paraId="49DA17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537" w:type="pct"/>
            <w:vMerge w:val="continue"/>
            <w:tcBorders>
              <w:tl2br w:val="nil"/>
              <w:tr2bl w:val="nil"/>
            </w:tcBorders>
            <w:noWrap/>
            <w:tcMar>
              <w:top w:w="15" w:type="dxa"/>
              <w:left w:w="15" w:type="dxa"/>
              <w:right w:w="15" w:type="dxa"/>
            </w:tcMar>
            <w:vAlign w:val="center"/>
          </w:tcPr>
          <w:p w14:paraId="2EF55C70">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1F24C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16.涉农贷款余额（6分）</w:t>
            </w:r>
          </w:p>
        </w:tc>
        <w:tc>
          <w:tcPr>
            <w:tcW w:w="3883" w:type="pct"/>
            <w:tcBorders>
              <w:tl2br w:val="nil"/>
              <w:tr2bl w:val="nil"/>
            </w:tcBorders>
            <w:noWrap w:val="0"/>
            <w:tcMar>
              <w:top w:w="15" w:type="dxa"/>
              <w:left w:w="15" w:type="dxa"/>
              <w:right w:w="15" w:type="dxa"/>
            </w:tcMar>
            <w:vAlign w:val="center"/>
          </w:tcPr>
          <w:p w14:paraId="74A1048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按照各投标银行上年度末对农、林、牧、渔业等的贷款余额计分。第1名的得满分，其他投标银行按与第1名的占比计分。计算公式：（投标银行支持涉农贷款额/第1名投标银行支持涉农贷款额）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w:t>
            </w:r>
          </w:p>
          <w:p w14:paraId="0850B401">
            <w:pPr>
              <w:pStyle w:val="2"/>
              <w:ind w:left="0" w:leftChars="0" w:firstLine="0" w:firstLineChars="0"/>
              <w:rPr>
                <w:rFonts w:hint="eastAsia"/>
                <w:color w:val="auto"/>
                <w:lang w:val="en-US" w:eastAsia="zh-CN"/>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1F42D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pct"/>
            <w:vMerge w:val="continue"/>
            <w:tcBorders>
              <w:tl2br w:val="nil"/>
              <w:tr2bl w:val="nil"/>
            </w:tcBorders>
            <w:noWrap/>
            <w:tcMar>
              <w:top w:w="15" w:type="dxa"/>
              <w:left w:w="15" w:type="dxa"/>
              <w:right w:w="15" w:type="dxa"/>
            </w:tcMar>
            <w:vAlign w:val="center"/>
          </w:tcPr>
          <w:p w14:paraId="42DA9EB7">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12BE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17.</w:t>
            </w:r>
            <w:r>
              <w:rPr>
                <w:rFonts w:hint="eastAsia" w:ascii="宋体" w:hAnsi="宋体" w:eastAsia="宋体" w:cs="宋体"/>
                <w:color w:val="auto"/>
                <w:sz w:val="22"/>
                <w:szCs w:val="22"/>
                <w:lang w:val="en-US" w:eastAsia="zh-CN"/>
              </w:rPr>
              <w:t>信保基金在保余额（4分）</w:t>
            </w:r>
          </w:p>
        </w:tc>
        <w:tc>
          <w:tcPr>
            <w:tcW w:w="3883" w:type="pct"/>
            <w:tcBorders>
              <w:tl2br w:val="nil"/>
              <w:tr2bl w:val="nil"/>
            </w:tcBorders>
            <w:noWrap w:val="0"/>
            <w:tcMar>
              <w:top w:w="15" w:type="dxa"/>
              <w:left w:w="15" w:type="dxa"/>
              <w:right w:w="15" w:type="dxa"/>
            </w:tcMar>
            <w:vAlign w:val="center"/>
          </w:tcPr>
          <w:p w14:paraId="0C2E163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按照各投标银行最新季度末在保余额计分。第1名的得满分，其他投标银行按与第1名的占比计分。计算公式：（投标银行信保基金在保余额/第1名投标银行信保基金在保余额）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cs="宋体"/>
                <w:i w:val="0"/>
                <w:color w:val="auto"/>
                <w:kern w:val="0"/>
                <w:sz w:val="22"/>
                <w:szCs w:val="22"/>
                <w:highlight w:val="none"/>
                <w:u w:val="none"/>
                <w:lang w:val="en-US" w:eastAsia="zh-CN" w:bidi="ar"/>
              </w:rPr>
              <w:t>。</w:t>
            </w:r>
          </w:p>
          <w:p w14:paraId="2455377D">
            <w:pPr>
              <w:pStyle w:val="2"/>
              <w:ind w:left="0" w:leftChars="0" w:firstLine="0" w:firstLineChars="0"/>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注：此项数据由县金融工作中心提供。</w:t>
            </w:r>
          </w:p>
        </w:tc>
      </w:tr>
      <w:tr w14:paraId="1A354A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537" w:type="pct"/>
            <w:vMerge w:val="continue"/>
            <w:tcBorders>
              <w:tl2br w:val="nil"/>
              <w:tr2bl w:val="nil"/>
            </w:tcBorders>
            <w:noWrap/>
            <w:tcMar>
              <w:top w:w="15" w:type="dxa"/>
              <w:left w:w="15" w:type="dxa"/>
              <w:right w:w="15" w:type="dxa"/>
            </w:tcMar>
            <w:vAlign w:val="center"/>
          </w:tcPr>
          <w:p w14:paraId="3273820F">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616A2E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18.</w:t>
            </w:r>
            <w:r>
              <w:rPr>
                <w:rFonts w:hint="eastAsia" w:ascii="宋体" w:hAnsi="宋体" w:eastAsia="宋体" w:cs="宋体"/>
                <w:color w:val="auto"/>
                <w:sz w:val="22"/>
                <w:szCs w:val="22"/>
                <w:lang w:val="en-US" w:eastAsia="zh-CN"/>
              </w:rPr>
              <w:t>普惠型小微企业贷款（4分）</w:t>
            </w:r>
          </w:p>
        </w:tc>
        <w:tc>
          <w:tcPr>
            <w:tcW w:w="3883" w:type="pct"/>
            <w:tcBorders>
              <w:tl2br w:val="nil"/>
              <w:tr2bl w:val="nil"/>
            </w:tcBorders>
            <w:noWrap w:val="0"/>
            <w:tcMar>
              <w:top w:w="15" w:type="dxa"/>
              <w:left w:w="15" w:type="dxa"/>
              <w:right w:w="15" w:type="dxa"/>
            </w:tcMar>
            <w:vAlign w:val="center"/>
          </w:tcPr>
          <w:p w14:paraId="22D0707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按照各投标银行上季度末该项贷款余额计分。第1名的得满分，其他投标银行按与第1名的占比计分。计算公式：（投标银行普惠型小微企业贷款余额/第1名投标银行普惠型小微企业贷款余额）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4</w:t>
            </w:r>
            <w:r>
              <w:rPr>
                <w:rFonts w:hint="eastAsia" w:ascii="宋体" w:hAnsi="宋体" w:cs="宋体"/>
                <w:i w:val="0"/>
                <w:color w:val="auto"/>
                <w:kern w:val="0"/>
                <w:sz w:val="22"/>
                <w:szCs w:val="22"/>
                <w:highlight w:val="none"/>
                <w:u w:val="none"/>
                <w:lang w:val="en-US" w:eastAsia="zh-CN" w:bidi="ar"/>
              </w:rPr>
              <w:t>。</w:t>
            </w:r>
          </w:p>
          <w:p w14:paraId="47D0DD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71FA8E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537" w:type="pct"/>
            <w:vMerge w:val="continue"/>
            <w:tcBorders>
              <w:tl2br w:val="nil"/>
              <w:tr2bl w:val="nil"/>
            </w:tcBorders>
            <w:noWrap/>
            <w:tcMar>
              <w:top w:w="15" w:type="dxa"/>
              <w:left w:w="15" w:type="dxa"/>
              <w:right w:w="15" w:type="dxa"/>
            </w:tcMar>
            <w:vAlign w:val="center"/>
          </w:tcPr>
          <w:p w14:paraId="1746F1F2">
            <w:pPr>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1"/>
                <w:szCs w:val="21"/>
                <w:highlight w:val="none"/>
                <w:u w:val="none"/>
              </w:rPr>
            </w:pPr>
          </w:p>
        </w:tc>
        <w:tc>
          <w:tcPr>
            <w:tcW w:w="578" w:type="pct"/>
            <w:tcBorders>
              <w:tl2br w:val="nil"/>
              <w:tr2bl w:val="nil"/>
            </w:tcBorders>
            <w:noWrap/>
            <w:tcMar>
              <w:top w:w="15" w:type="dxa"/>
              <w:left w:w="15" w:type="dxa"/>
              <w:right w:w="15" w:type="dxa"/>
            </w:tcMar>
            <w:vAlign w:val="center"/>
          </w:tcPr>
          <w:p w14:paraId="2982C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19.</w:t>
            </w:r>
            <w:r>
              <w:rPr>
                <w:rFonts w:hint="eastAsia" w:ascii="宋体" w:hAnsi="宋体" w:eastAsia="宋体" w:cs="宋体"/>
                <w:color w:val="auto"/>
                <w:sz w:val="22"/>
                <w:szCs w:val="22"/>
                <w:lang w:val="en-US" w:eastAsia="zh-CN"/>
              </w:rPr>
              <w:t>绿色贷款余额（3分）</w:t>
            </w:r>
          </w:p>
        </w:tc>
        <w:tc>
          <w:tcPr>
            <w:tcW w:w="3883" w:type="pct"/>
            <w:tcBorders>
              <w:tl2br w:val="nil"/>
              <w:tr2bl w:val="nil"/>
            </w:tcBorders>
            <w:noWrap w:val="0"/>
            <w:tcMar>
              <w:top w:w="15" w:type="dxa"/>
              <w:left w:w="15" w:type="dxa"/>
              <w:right w:w="15" w:type="dxa"/>
            </w:tcMar>
            <w:vAlign w:val="center"/>
          </w:tcPr>
          <w:p w14:paraId="47270B5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lang w:val="en-US" w:eastAsia="zh-CN"/>
              </w:rPr>
              <w:t>按照各投标银行上年度末该项贷款余额计分。第1名的得满分，其他投标银行按与第1名的占比计分。计算公式：（投标银行绿色贷款余额/第1名投标银行绿色贷款余额）</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i w:val="0"/>
                <w:color w:val="auto"/>
                <w:kern w:val="0"/>
                <w:sz w:val="22"/>
                <w:szCs w:val="22"/>
                <w:highlight w:val="none"/>
                <w:u w:val="none"/>
                <w:lang w:val="en-US" w:eastAsia="zh-CN" w:bidi="ar"/>
              </w:rPr>
              <w:t>。</w:t>
            </w:r>
          </w:p>
          <w:p w14:paraId="66B0F1A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注：此项数据由国家金融监督管理总局天台监管支局提供。</w:t>
            </w:r>
          </w:p>
        </w:tc>
      </w:tr>
      <w:tr w14:paraId="38F6D0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537" w:type="pct"/>
            <w:tcBorders>
              <w:tl2br w:val="nil"/>
              <w:tr2bl w:val="nil"/>
            </w:tcBorders>
            <w:noWrap/>
            <w:tcMar>
              <w:top w:w="15" w:type="dxa"/>
              <w:left w:w="15" w:type="dxa"/>
              <w:right w:w="15" w:type="dxa"/>
            </w:tcMar>
            <w:vAlign w:val="center"/>
          </w:tcPr>
          <w:p w14:paraId="10018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w:t>
            </w:r>
          </w:p>
          <w:p w14:paraId="603DD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水平</w:t>
            </w:r>
          </w:p>
          <w:p w14:paraId="63CFB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分）</w:t>
            </w:r>
          </w:p>
        </w:tc>
        <w:tc>
          <w:tcPr>
            <w:tcW w:w="578" w:type="pct"/>
            <w:tcBorders>
              <w:tl2br w:val="nil"/>
              <w:tr2bl w:val="nil"/>
            </w:tcBorders>
            <w:noWrap/>
            <w:tcMar>
              <w:top w:w="15" w:type="dxa"/>
              <w:left w:w="15" w:type="dxa"/>
              <w:right w:w="15" w:type="dxa"/>
            </w:tcMar>
            <w:vAlign w:val="center"/>
          </w:tcPr>
          <w:p w14:paraId="4A90F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20.</w:t>
            </w:r>
            <w:r>
              <w:rPr>
                <w:rFonts w:hint="eastAsia" w:ascii="宋体" w:hAnsi="宋体" w:eastAsia="宋体" w:cs="宋体"/>
                <w:i w:val="0"/>
                <w:color w:val="auto"/>
                <w:kern w:val="0"/>
                <w:sz w:val="22"/>
                <w:szCs w:val="22"/>
                <w:highlight w:val="none"/>
                <w:u w:val="none"/>
                <w:lang w:val="en-US" w:eastAsia="zh-CN" w:bidi="ar"/>
              </w:rPr>
              <w:t>服务方案</w:t>
            </w:r>
          </w:p>
          <w:p w14:paraId="69940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2</w:t>
            </w:r>
            <w:r>
              <w:rPr>
                <w:rFonts w:hint="eastAsia" w:ascii="宋体" w:hAnsi="宋体" w:eastAsia="宋体" w:cs="宋体"/>
                <w:i w:val="0"/>
                <w:color w:val="auto"/>
                <w:kern w:val="0"/>
                <w:sz w:val="22"/>
                <w:szCs w:val="22"/>
                <w:highlight w:val="none"/>
                <w:u w:val="none"/>
                <w:lang w:val="en-US" w:eastAsia="zh-CN" w:bidi="ar"/>
              </w:rPr>
              <w:t>分）</w:t>
            </w:r>
          </w:p>
        </w:tc>
        <w:tc>
          <w:tcPr>
            <w:tcW w:w="3883" w:type="pct"/>
            <w:tcBorders>
              <w:tl2br w:val="nil"/>
              <w:tr2bl w:val="nil"/>
            </w:tcBorders>
            <w:noWrap w:val="0"/>
            <w:tcMar>
              <w:top w:w="15" w:type="dxa"/>
              <w:left w:w="15" w:type="dxa"/>
              <w:right w:w="15" w:type="dxa"/>
            </w:tcMar>
            <w:vAlign w:val="center"/>
          </w:tcPr>
          <w:p w14:paraId="454B5F9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sz w:val="22"/>
                <w:szCs w:val="22"/>
              </w:rPr>
              <w:t>反映各投标银行包括但不限于提供支付结算、对账、分账核算等服务的能力和水平以及在信息系统</w:t>
            </w:r>
            <w:r>
              <w:rPr>
                <w:rFonts w:hint="eastAsia" w:ascii="宋体" w:hAnsi="宋体" w:eastAsia="宋体" w:cs="宋体"/>
                <w:color w:val="auto"/>
                <w:spacing w:val="-10"/>
                <w:sz w:val="22"/>
                <w:szCs w:val="22"/>
              </w:rPr>
              <w:t>建设、以往服务履约等方面情况</w:t>
            </w:r>
            <w:r>
              <w:rPr>
                <w:rFonts w:hint="eastAsia" w:ascii="宋体" w:hAnsi="宋体" w:cs="宋体"/>
                <w:i w:val="0"/>
                <w:color w:val="auto"/>
                <w:kern w:val="0"/>
                <w:sz w:val="22"/>
                <w:szCs w:val="22"/>
                <w:highlight w:val="none"/>
                <w:u w:val="none"/>
                <w:lang w:val="en-US" w:eastAsia="zh-CN" w:bidi="ar"/>
              </w:rPr>
              <w:t>。</w:t>
            </w:r>
          </w:p>
          <w:p w14:paraId="48E0414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注：此项数据根据评委现场打分确定。</w:t>
            </w:r>
          </w:p>
        </w:tc>
      </w:tr>
    </w:tbl>
    <w:p w14:paraId="3B10D621">
      <w:pPr>
        <w:numPr>
          <w:ilvl w:val="0"/>
          <w:numId w:val="0"/>
        </w:numPr>
        <w:spacing w:line="360" w:lineRule="auto"/>
        <w:ind w:firstLine="442" w:firstLineChars="200"/>
        <w:rPr>
          <w:rFonts w:hint="eastAsia" w:ascii="宋体" w:hAnsi="宋体" w:eastAsia="宋体" w:cs="宋体"/>
          <w:b/>
          <w:bCs/>
          <w:color w:val="auto"/>
          <w:sz w:val="22"/>
          <w:szCs w:val="22"/>
          <w:highlight w:val="none"/>
          <w:lang w:val="en-US" w:eastAsia="zh-CN"/>
        </w:rPr>
      </w:pPr>
    </w:p>
    <w:p w14:paraId="74621B1E">
      <w:pPr>
        <w:numPr>
          <w:ilvl w:val="0"/>
          <w:numId w:val="0"/>
        </w:numPr>
        <w:spacing w:line="360" w:lineRule="auto"/>
        <w:ind w:firstLine="442" w:firstLineChars="200"/>
        <w:rPr>
          <w:rFonts w:ascii="宋体" w:hAnsi="宋体" w:cs="宋体"/>
          <w:b/>
          <w:bCs/>
          <w:color w:val="auto"/>
          <w:sz w:val="22"/>
          <w:szCs w:val="22"/>
        </w:rPr>
      </w:pPr>
      <w:r>
        <w:rPr>
          <w:rFonts w:hint="eastAsia" w:ascii="宋体" w:hAnsi="宋体" w:eastAsia="宋体" w:cs="宋体"/>
          <w:b/>
          <w:bCs/>
          <w:color w:val="auto"/>
          <w:sz w:val="22"/>
          <w:szCs w:val="22"/>
          <w:lang w:val="en-US" w:eastAsia="zh-CN"/>
        </w:rPr>
        <w:t>4</w:t>
      </w:r>
      <w:r>
        <w:rPr>
          <w:rFonts w:hint="eastAsia" w:ascii="宋体" w:hAnsi="宋体" w:cs="宋体"/>
          <w:b/>
          <w:bCs/>
          <w:color w:val="auto"/>
          <w:sz w:val="22"/>
          <w:szCs w:val="22"/>
        </w:rPr>
        <w:t>、中标候选银行的确定：</w:t>
      </w:r>
    </w:p>
    <w:p w14:paraId="5B39878C">
      <w:pPr>
        <w:spacing w:line="440" w:lineRule="exact"/>
        <w:ind w:firstLine="440" w:firstLineChars="200"/>
        <w:outlineLvl w:val="1"/>
        <w:rPr>
          <w:rFonts w:hint="eastAsia" w:ascii="宋体" w:hAnsi="宋体" w:cs="宋体"/>
          <w:color w:val="auto"/>
          <w:sz w:val="22"/>
          <w:szCs w:val="22"/>
          <w:u w:val="single"/>
        </w:rPr>
      </w:pPr>
      <w:r>
        <w:rPr>
          <w:rFonts w:hint="eastAsia" w:ascii="宋体" w:hAnsi="宋体" w:cs="宋体"/>
          <w:b w:val="0"/>
          <w:bCs w:val="0"/>
          <w:color w:val="auto"/>
          <w:sz w:val="22"/>
          <w:szCs w:val="22"/>
          <w:highlight w:val="none"/>
          <w:u w:val="none"/>
          <w:lang w:val="en-US" w:eastAsia="zh-CN"/>
        </w:rPr>
        <w:t>评标委员会按各投标人的总得分由高到低顺序排序，推荐排序第一名者为第一中标候选银行，排序第二名者为第二中标候选银行，排序第三名者为第三中标候选银行，排序第四名者为第四中标候选银行，排序第五名者为第五中标候选银行，排序第六名者为第六中标候选银行。如出现总得分相同的，按报价利率由高到低顺序排列；得分且报价利率报价相同的，依次按（1）经营状况指标得分；（2）经济贡献度指标得分；（3）服务水平指标得分的顺序由高到低排名。若依然相同，中标候选银行资格抽签确定</w:t>
      </w:r>
      <w:r>
        <w:rPr>
          <w:rFonts w:hint="eastAsia" w:ascii="宋体" w:hAnsi="宋体" w:cs="宋体"/>
          <w:color w:val="auto"/>
          <w:sz w:val="22"/>
          <w:szCs w:val="22"/>
        </w:rPr>
        <w:t>。</w:t>
      </w:r>
    </w:p>
    <w:p w14:paraId="67C2049D">
      <w:pPr>
        <w:spacing w:line="360" w:lineRule="auto"/>
        <w:ind w:firstLine="440" w:firstLineChars="200"/>
        <w:rPr>
          <w:rFonts w:ascii="宋体" w:hAnsi="宋体" w:cs="宋体"/>
          <w:color w:val="auto"/>
          <w:sz w:val="22"/>
          <w:szCs w:val="22"/>
          <w:u w:val="single"/>
        </w:rPr>
      </w:pPr>
    </w:p>
    <w:p w14:paraId="2EC7889E">
      <w:pPr>
        <w:ind w:firstLine="600" w:firstLineChars="200"/>
        <w:rPr>
          <w:rFonts w:ascii="宋体" w:hAnsi="宋体" w:cs="宋体"/>
          <w:color w:val="auto"/>
        </w:rPr>
      </w:pPr>
      <w:bookmarkStart w:id="23" w:name="_Toc3952"/>
      <w:r>
        <w:rPr>
          <w:rFonts w:hint="eastAsia"/>
          <w:color w:val="auto"/>
          <w:sz w:val="30"/>
          <w:szCs w:val="30"/>
        </w:rPr>
        <w:br w:type="page"/>
      </w:r>
    </w:p>
    <w:p w14:paraId="2F1CABCB">
      <w:pPr>
        <w:pStyle w:val="3"/>
        <w:rPr>
          <w:color w:val="auto"/>
          <w:sz w:val="30"/>
          <w:szCs w:val="30"/>
        </w:rPr>
      </w:pPr>
      <w:r>
        <w:rPr>
          <w:rFonts w:hint="eastAsia"/>
          <w:color w:val="auto"/>
          <w:sz w:val="30"/>
          <w:szCs w:val="30"/>
        </w:rPr>
        <w:t>第六章  投标文件格式</w:t>
      </w:r>
      <w:bookmarkEnd w:id="23"/>
    </w:p>
    <w:p w14:paraId="517B8A0B">
      <w:pPr>
        <w:tabs>
          <w:tab w:val="left" w:pos="7530"/>
        </w:tabs>
        <w:spacing w:line="520" w:lineRule="exact"/>
        <w:outlineLvl w:val="0"/>
        <w:rPr>
          <w:rFonts w:ascii="宋体" w:hAnsi="宋体" w:cs="宋体"/>
          <w:bCs/>
          <w:color w:val="auto"/>
        </w:rPr>
      </w:pPr>
      <w:bookmarkStart w:id="24" w:name="_Toc14922"/>
      <w:bookmarkStart w:id="25" w:name="_Toc29083"/>
      <w:r>
        <w:rPr>
          <w:rFonts w:hint="eastAsia" w:ascii="宋体" w:hAnsi="宋体" w:cs="宋体"/>
          <w:bCs/>
          <w:color w:val="auto"/>
        </w:rPr>
        <w:t>附件一：</w:t>
      </w:r>
      <w:bookmarkEnd w:id="24"/>
      <w:bookmarkEnd w:id="25"/>
    </w:p>
    <w:p w14:paraId="5747DB36">
      <w:pPr>
        <w:spacing w:line="64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0"/>
          <w:szCs w:val="30"/>
          <w:lang w:eastAsia="zh-CN"/>
        </w:rPr>
        <w:t>天台县综合行政执法局物业两金公款竞争性存放2025年（第2期）</w:t>
      </w:r>
    </w:p>
    <w:p w14:paraId="3B7B3478">
      <w:pPr>
        <w:pStyle w:val="18"/>
        <w:spacing w:line="360" w:lineRule="auto"/>
        <w:ind w:left="0" w:leftChars="0" w:firstLine="0" w:firstLineChars="0"/>
        <w:rPr>
          <w:rFonts w:ascii="宋体" w:hAnsi="宋体" w:cs="宋体"/>
          <w:b/>
          <w:bCs/>
          <w:color w:val="auto"/>
          <w:sz w:val="24"/>
          <w:szCs w:val="24"/>
        </w:rPr>
      </w:pPr>
    </w:p>
    <w:p w14:paraId="5BAA4BE0">
      <w:pPr>
        <w:spacing w:before="165" w:beforeLines="50" w:after="165" w:afterLines="50" w:line="640" w:lineRule="exact"/>
        <w:jc w:val="center"/>
        <w:rPr>
          <w:rFonts w:ascii="宋体" w:hAnsi="宋体" w:cs="宋体"/>
          <w:color w:val="auto"/>
          <w:sz w:val="28"/>
          <w:szCs w:val="28"/>
        </w:rPr>
      </w:pPr>
    </w:p>
    <w:p w14:paraId="38D39424">
      <w:pPr>
        <w:spacing w:line="640" w:lineRule="exact"/>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xzcg-2025-049(招)</w:t>
      </w:r>
    </w:p>
    <w:p w14:paraId="30182AAA">
      <w:pPr>
        <w:rPr>
          <w:color w:val="auto"/>
        </w:rPr>
      </w:pPr>
    </w:p>
    <w:p w14:paraId="19BD7D38">
      <w:pPr>
        <w:pStyle w:val="17"/>
        <w:ind w:firstLine="480"/>
        <w:rPr>
          <w:color w:val="auto"/>
        </w:rPr>
      </w:pPr>
    </w:p>
    <w:p w14:paraId="7F3A424A">
      <w:pPr>
        <w:pStyle w:val="2"/>
        <w:rPr>
          <w:color w:val="auto"/>
        </w:rPr>
      </w:pPr>
    </w:p>
    <w:p w14:paraId="4E3AB00A">
      <w:pPr>
        <w:spacing w:line="900" w:lineRule="exact"/>
        <w:jc w:val="center"/>
        <w:rPr>
          <w:rFonts w:ascii="宋体" w:hAnsi="宋体" w:cs="宋体"/>
          <w:color w:val="auto"/>
          <w:sz w:val="84"/>
        </w:rPr>
      </w:pPr>
      <w:r>
        <w:rPr>
          <w:rFonts w:hint="eastAsia" w:ascii="宋体" w:hAnsi="宋体" w:cs="宋体"/>
          <w:color w:val="auto"/>
          <w:sz w:val="84"/>
        </w:rPr>
        <w:t>投</w:t>
      </w:r>
    </w:p>
    <w:p w14:paraId="2164F809">
      <w:pPr>
        <w:spacing w:line="900" w:lineRule="exact"/>
        <w:jc w:val="center"/>
        <w:rPr>
          <w:rFonts w:ascii="宋体" w:hAnsi="宋体" w:cs="宋体"/>
          <w:color w:val="auto"/>
          <w:sz w:val="84"/>
        </w:rPr>
      </w:pPr>
      <w:r>
        <w:rPr>
          <w:rFonts w:hint="eastAsia" w:ascii="宋体" w:hAnsi="宋体" w:cs="宋体"/>
          <w:color w:val="auto"/>
          <w:sz w:val="84"/>
        </w:rPr>
        <w:t>标</w:t>
      </w:r>
    </w:p>
    <w:p w14:paraId="698C28C1">
      <w:pPr>
        <w:spacing w:line="900" w:lineRule="exact"/>
        <w:jc w:val="center"/>
        <w:rPr>
          <w:rFonts w:ascii="宋体" w:hAnsi="宋体" w:cs="宋体"/>
          <w:color w:val="auto"/>
          <w:sz w:val="84"/>
        </w:rPr>
      </w:pPr>
      <w:r>
        <w:rPr>
          <w:rFonts w:hint="eastAsia" w:ascii="宋体" w:hAnsi="宋体" w:cs="宋体"/>
          <w:color w:val="auto"/>
          <w:sz w:val="84"/>
        </w:rPr>
        <w:t>文</w:t>
      </w:r>
    </w:p>
    <w:p w14:paraId="0FD9C227">
      <w:pPr>
        <w:spacing w:line="900" w:lineRule="exact"/>
        <w:jc w:val="center"/>
        <w:rPr>
          <w:rFonts w:ascii="宋体" w:hAnsi="宋体" w:cs="宋体"/>
          <w:color w:val="auto"/>
          <w:sz w:val="84"/>
        </w:rPr>
      </w:pPr>
      <w:r>
        <w:rPr>
          <w:rFonts w:hint="eastAsia" w:ascii="宋体" w:hAnsi="宋体" w:cs="宋体"/>
          <w:color w:val="auto"/>
          <w:sz w:val="84"/>
        </w:rPr>
        <w:t>件</w:t>
      </w:r>
    </w:p>
    <w:p w14:paraId="53B6BC1F">
      <w:pPr>
        <w:pStyle w:val="2"/>
        <w:rPr>
          <w:color w:val="auto"/>
        </w:rPr>
      </w:pPr>
    </w:p>
    <w:p w14:paraId="5EF634F2">
      <w:pPr>
        <w:rPr>
          <w:color w:val="auto"/>
        </w:rPr>
      </w:pPr>
    </w:p>
    <w:p w14:paraId="02D38496">
      <w:pPr>
        <w:spacing w:after="165" w:afterLines="50" w:line="900" w:lineRule="exact"/>
        <w:jc w:val="center"/>
        <w:rPr>
          <w:rFonts w:ascii="宋体" w:hAnsi="宋体" w:cs="宋体"/>
          <w:color w:val="auto"/>
          <w:sz w:val="32"/>
          <w:szCs w:val="32"/>
          <w:u w:val="single"/>
        </w:rPr>
      </w:pPr>
      <w:r>
        <w:rPr>
          <w:rFonts w:hint="eastAsia" w:ascii="宋体" w:hAnsi="宋体" w:cs="宋体"/>
          <w:color w:val="auto"/>
          <w:sz w:val="32"/>
          <w:szCs w:val="32"/>
        </w:rPr>
        <w:t>投标人全称</w:t>
      </w:r>
      <w:r>
        <w:rPr>
          <w:rFonts w:hint="eastAsia" w:ascii="宋体" w:hAnsi="宋体" w:cs="宋体"/>
          <w:color w:val="auto"/>
          <w:sz w:val="32"/>
          <w:szCs w:val="32"/>
          <w:u w:val="single"/>
        </w:rPr>
        <w:t xml:space="preserve">                                 </w:t>
      </w:r>
      <w:r>
        <w:rPr>
          <w:rFonts w:hint="eastAsia" w:ascii="宋体" w:hAnsi="宋体" w:cs="宋体"/>
          <w:color w:val="auto"/>
          <w:sz w:val="32"/>
          <w:szCs w:val="32"/>
        </w:rPr>
        <w:t>（盖公章）</w:t>
      </w:r>
    </w:p>
    <w:p w14:paraId="17BBB3D3">
      <w:pPr>
        <w:spacing w:after="165" w:afterLines="50" w:line="900" w:lineRule="exact"/>
        <w:ind w:firstLine="3600" w:firstLineChars="1000"/>
        <w:rPr>
          <w:rFonts w:ascii="宋体" w:hAnsi="宋体" w:cs="宋体"/>
          <w:color w:val="auto"/>
          <w:sz w:val="28"/>
          <w:szCs w:val="28"/>
        </w:rPr>
      </w:pPr>
      <w:r>
        <w:rPr>
          <w:rFonts w:hint="eastAsia" w:ascii="宋体" w:hAnsi="宋体" w:cs="宋体"/>
          <w:color w:val="auto"/>
          <w:sz w:val="36"/>
          <w:szCs w:val="36"/>
        </w:rPr>
        <w:t>年  月  日</w:t>
      </w:r>
      <w:r>
        <w:rPr>
          <w:rFonts w:hint="eastAsia" w:ascii="宋体" w:hAnsi="宋体" w:cs="宋体"/>
          <w:color w:val="auto"/>
          <w:sz w:val="28"/>
          <w:szCs w:val="28"/>
        </w:rPr>
        <w:t xml:space="preserve"> </w:t>
      </w:r>
    </w:p>
    <w:p w14:paraId="0DF569BA">
      <w:pPr>
        <w:tabs>
          <w:tab w:val="left" w:pos="7530"/>
        </w:tabs>
        <w:spacing w:line="520" w:lineRule="exact"/>
        <w:jc w:val="center"/>
        <w:rPr>
          <w:rFonts w:hint="eastAsia" w:ascii="宋体" w:hAnsi="宋体" w:cs="宋体"/>
          <w:color w:val="auto"/>
          <w:sz w:val="36"/>
          <w:szCs w:val="36"/>
        </w:rPr>
      </w:pPr>
      <w:r>
        <w:rPr>
          <w:rFonts w:hint="eastAsia" w:ascii="宋体" w:hAnsi="宋体" w:cs="宋体"/>
          <w:color w:val="auto"/>
          <w:sz w:val="36"/>
          <w:szCs w:val="36"/>
        </w:rPr>
        <w:t>开标时开启</w:t>
      </w:r>
    </w:p>
    <w:p w14:paraId="327E8571">
      <w:pPr>
        <w:rPr>
          <w:rFonts w:ascii="宋体" w:hAnsi="宋体" w:cs="宋体"/>
          <w:bCs/>
          <w:color w:val="auto"/>
        </w:rPr>
      </w:pPr>
      <w:bookmarkStart w:id="26" w:name="_Toc19209"/>
      <w:bookmarkStart w:id="27" w:name="_Toc13019"/>
    </w:p>
    <w:p w14:paraId="48696B6F">
      <w:pPr>
        <w:rPr>
          <w:rFonts w:hint="eastAsia" w:ascii="宋体" w:hAnsi="宋体" w:cs="宋体"/>
          <w:bCs/>
          <w:color w:val="auto"/>
        </w:rPr>
      </w:pPr>
    </w:p>
    <w:p w14:paraId="332EB36F">
      <w:pPr>
        <w:rPr>
          <w:rFonts w:hint="eastAsia" w:ascii="宋体" w:hAnsi="宋体" w:cs="宋体"/>
          <w:bCs/>
          <w:color w:val="auto"/>
        </w:rPr>
      </w:pPr>
      <w:r>
        <w:rPr>
          <w:rFonts w:hint="eastAsia" w:ascii="宋体" w:hAnsi="宋体" w:cs="宋体"/>
          <w:bCs/>
          <w:color w:val="auto"/>
        </w:rPr>
        <w:br w:type="textWrapping"/>
      </w:r>
    </w:p>
    <w:p w14:paraId="57EF0FEE">
      <w:pPr>
        <w:rPr>
          <w:rFonts w:hint="eastAsia" w:ascii="宋体" w:hAnsi="宋体" w:cs="宋体"/>
          <w:bCs/>
          <w:color w:val="auto"/>
        </w:rPr>
      </w:pPr>
      <w:r>
        <w:rPr>
          <w:rFonts w:hint="eastAsia" w:ascii="宋体" w:hAnsi="宋体" w:cs="宋体"/>
          <w:bCs/>
          <w:color w:val="auto"/>
        </w:rPr>
        <w:br w:type="page"/>
      </w:r>
    </w:p>
    <w:p w14:paraId="7D82195A">
      <w:pPr>
        <w:rPr>
          <w:rFonts w:ascii="宋体" w:hAnsi="宋体" w:cs="宋体"/>
          <w:bCs/>
          <w:color w:val="auto"/>
        </w:rPr>
      </w:pPr>
      <w:r>
        <w:rPr>
          <w:rFonts w:hint="eastAsia" w:ascii="宋体" w:hAnsi="宋体" w:cs="宋体"/>
          <w:bCs/>
          <w:color w:val="auto"/>
        </w:rPr>
        <w:t>附件二：</w:t>
      </w:r>
    </w:p>
    <w:bookmarkEnd w:id="26"/>
    <w:bookmarkEnd w:id="27"/>
    <w:p w14:paraId="79F3B5E6">
      <w:pPr>
        <w:jc w:val="center"/>
        <w:rPr>
          <w:rFonts w:ascii="宋体" w:hAnsi="宋体" w:cs="宋体"/>
          <w:b/>
          <w:color w:val="auto"/>
          <w:sz w:val="32"/>
          <w:szCs w:val="32"/>
        </w:rPr>
      </w:pPr>
      <w:r>
        <w:rPr>
          <w:rFonts w:hint="eastAsia" w:ascii="宋体" w:hAnsi="宋体" w:cs="宋体"/>
          <w:b/>
          <w:color w:val="auto"/>
          <w:sz w:val="32"/>
          <w:szCs w:val="32"/>
        </w:rPr>
        <w:t>投标声明函</w:t>
      </w:r>
    </w:p>
    <w:p w14:paraId="763C732D">
      <w:pPr>
        <w:spacing w:line="360" w:lineRule="auto"/>
        <w:rPr>
          <w:rFonts w:ascii="宋体" w:hAnsi="宋体" w:cs="宋体"/>
          <w:b/>
          <w:color w:val="auto"/>
          <w:w w:val="90"/>
          <w:kern w:val="0"/>
          <w:u w:val="single"/>
        </w:rPr>
      </w:pPr>
    </w:p>
    <w:p w14:paraId="30DD691D">
      <w:pPr>
        <w:spacing w:line="480" w:lineRule="auto"/>
        <w:rPr>
          <w:rFonts w:ascii="宋体" w:hAnsi="宋体" w:cs="宋体"/>
          <w:color w:val="auto"/>
          <w:kern w:val="0"/>
        </w:rPr>
      </w:pPr>
      <w:r>
        <w:rPr>
          <w:rFonts w:hint="eastAsia" w:ascii="宋体" w:hAnsi="宋体" w:cs="宋体"/>
          <w:color w:val="auto"/>
          <w:u w:val="single"/>
        </w:rPr>
        <w:t>致</w:t>
      </w:r>
      <w:r>
        <w:rPr>
          <w:rFonts w:hint="eastAsia"/>
          <w:color w:val="auto"/>
          <w:u w:val="single"/>
        </w:rPr>
        <w:t>天台县综合行政执法局</w:t>
      </w:r>
      <w:r>
        <w:rPr>
          <w:rFonts w:hint="eastAsia" w:ascii="宋体" w:hAnsi="宋体" w:cs="宋体"/>
          <w:color w:val="auto"/>
          <w:u w:val="single"/>
        </w:rPr>
        <w:t>（采购人）：</w:t>
      </w:r>
    </w:p>
    <w:p w14:paraId="42D42438">
      <w:pPr>
        <w:spacing w:line="480" w:lineRule="auto"/>
        <w:ind w:firstLine="480" w:firstLineChars="200"/>
        <w:rPr>
          <w:color w:val="auto"/>
        </w:rPr>
      </w:pPr>
      <w:r>
        <w:rPr>
          <w:rFonts w:hint="eastAsia"/>
          <w:color w:val="auto"/>
        </w:rPr>
        <w:t>我</w:t>
      </w:r>
      <w:r>
        <w:rPr>
          <w:rFonts w:hint="eastAsia"/>
          <w:color w:val="auto"/>
          <w:u w:val="single"/>
        </w:rPr>
        <w:t xml:space="preserve">   （法人姓名）  </w:t>
      </w:r>
      <w:r>
        <w:rPr>
          <w:rFonts w:hint="eastAsia"/>
          <w:color w:val="auto"/>
        </w:rPr>
        <w:t>系</w:t>
      </w:r>
      <w:r>
        <w:rPr>
          <w:rFonts w:hint="eastAsia"/>
          <w:color w:val="auto"/>
          <w:u w:val="single"/>
        </w:rPr>
        <w:t xml:space="preserve">    （投标人名称）    </w:t>
      </w:r>
      <w:r>
        <w:rPr>
          <w:rFonts w:hint="eastAsia"/>
          <w:color w:val="auto"/>
        </w:rPr>
        <w:t>的法定代表人（或主要负责人），我方自愿参加</w:t>
      </w:r>
      <w:r>
        <w:rPr>
          <w:rFonts w:hint="eastAsia"/>
          <w:color w:val="auto"/>
          <w:u w:val="single"/>
        </w:rPr>
        <w:t xml:space="preserve"> </w:t>
      </w:r>
      <w:r>
        <w:rPr>
          <w:rFonts w:hint="eastAsia"/>
          <w:color w:val="auto"/>
          <w:u w:val="single"/>
          <w:lang w:eastAsia="zh-CN"/>
        </w:rPr>
        <w:t>天台县综合行政执法局物业两金公款竞争性存放2025年（第2期）</w:t>
      </w:r>
      <w:r>
        <w:rPr>
          <w:rFonts w:hint="eastAsia"/>
          <w:color w:val="auto"/>
          <w:u w:val="single"/>
        </w:rPr>
        <w:t xml:space="preserve"> </w:t>
      </w:r>
      <w:r>
        <w:rPr>
          <w:rFonts w:hint="eastAsia"/>
          <w:color w:val="auto"/>
        </w:rPr>
        <w:t>的投标，为此，我方就本次投标有关事项郑重声明如下：</w:t>
      </w:r>
    </w:p>
    <w:p w14:paraId="4F3D697E">
      <w:pPr>
        <w:spacing w:line="540" w:lineRule="exact"/>
        <w:ind w:firstLine="480" w:firstLineChars="200"/>
        <w:rPr>
          <w:color w:val="auto"/>
        </w:rPr>
      </w:pPr>
      <w:r>
        <w:rPr>
          <w:rFonts w:hint="eastAsia"/>
          <w:color w:val="auto"/>
        </w:rPr>
        <w:t>1、我方已详细阅读全部采购文件，同意采购文件的各项要求；</w:t>
      </w:r>
    </w:p>
    <w:p w14:paraId="6378D69E">
      <w:pPr>
        <w:spacing w:line="540" w:lineRule="exact"/>
        <w:ind w:firstLine="480" w:firstLineChars="200"/>
        <w:rPr>
          <w:color w:val="auto"/>
        </w:rPr>
      </w:pPr>
      <w:r>
        <w:rPr>
          <w:rFonts w:hint="eastAsia"/>
          <w:color w:val="auto"/>
        </w:rPr>
        <w:t>2、我方向贵方提交的所有投标文件资料都是准确的和真实的；</w:t>
      </w:r>
    </w:p>
    <w:p w14:paraId="1FF06333">
      <w:pPr>
        <w:spacing w:line="540" w:lineRule="exact"/>
        <w:ind w:firstLine="480" w:firstLineChars="200"/>
        <w:rPr>
          <w:color w:val="auto"/>
        </w:rPr>
      </w:pPr>
      <w:r>
        <w:rPr>
          <w:rFonts w:hint="eastAsia"/>
          <w:color w:val="auto"/>
        </w:rPr>
        <w:t>3、我方此次向贵方提供的服务，我方有能力提供；</w:t>
      </w:r>
    </w:p>
    <w:p w14:paraId="1912145A">
      <w:pPr>
        <w:spacing w:line="540" w:lineRule="exact"/>
        <w:ind w:firstLine="480" w:firstLineChars="200"/>
        <w:rPr>
          <w:color w:val="auto"/>
        </w:rPr>
      </w:pPr>
      <w:r>
        <w:rPr>
          <w:rFonts w:hint="eastAsia"/>
          <w:color w:val="auto"/>
        </w:rPr>
        <w:t>4、若我方中标，我方将按采购文件规定履行合同责任和义务。</w:t>
      </w:r>
    </w:p>
    <w:p w14:paraId="288813FB">
      <w:pPr>
        <w:spacing w:line="540" w:lineRule="exact"/>
        <w:ind w:firstLine="480" w:firstLineChars="200"/>
        <w:rPr>
          <w:color w:val="auto"/>
        </w:rPr>
      </w:pPr>
      <w:r>
        <w:rPr>
          <w:rFonts w:hint="eastAsia"/>
          <w:color w:val="auto"/>
          <w:lang w:val="en-US" w:eastAsia="zh-CN"/>
        </w:rPr>
        <w:t>5</w:t>
      </w:r>
      <w:r>
        <w:rPr>
          <w:rFonts w:hint="eastAsia"/>
          <w:color w:val="auto"/>
        </w:rPr>
        <w:t>、我方不是采购人的附属机构；在获知本项目招标信息后，与采购人聘请的为此项目提供咨询服务的公司及其附属机构没有任何利害关系。</w:t>
      </w:r>
    </w:p>
    <w:p w14:paraId="42F56404">
      <w:pPr>
        <w:spacing w:line="540" w:lineRule="exact"/>
        <w:ind w:firstLine="480" w:firstLineChars="200"/>
        <w:rPr>
          <w:color w:val="auto"/>
        </w:rPr>
      </w:pPr>
      <w:r>
        <w:rPr>
          <w:rFonts w:hint="eastAsia"/>
          <w:color w:val="auto"/>
          <w:lang w:val="en-US" w:eastAsia="zh-CN"/>
        </w:rPr>
        <w:t>6</w:t>
      </w:r>
      <w:r>
        <w:rPr>
          <w:rFonts w:hint="eastAsia"/>
          <w:color w:val="auto"/>
        </w:rPr>
        <w:t>、投标文件自提交投标文件截止日起有效期为90天。</w:t>
      </w:r>
    </w:p>
    <w:p w14:paraId="580C6E71">
      <w:pPr>
        <w:spacing w:line="540" w:lineRule="exact"/>
        <w:ind w:firstLine="480" w:firstLineChars="200"/>
        <w:rPr>
          <w:color w:val="auto"/>
        </w:rPr>
      </w:pPr>
      <w:r>
        <w:rPr>
          <w:rFonts w:hint="eastAsia"/>
          <w:color w:val="auto"/>
          <w:lang w:val="en-US" w:eastAsia="zh-CN"/>
        </w:rPr>
        <w:t>7</w:t>
      </w:r>
      <w:r>
        <w:rPr>
          <w:rFonts w:hint="eastAsia"/>
          <w:color w:val="auto"/>
        </w:rPr>
        <w:t>、以上事项如有虚假或隐瞒，我方愿意承担一切后果，并不再寻求任何旨在减轻或免除法律责任的辩解。</w:t>
      </w:r>
    </w:p>
    <w:p w14:paraId="042639DA">
      <w:pPr>
        <w:snapToGrid w:val="0"/>
        <w:spacing w:before="165" w:beforeLines="50" w:after="50" w:line="540" w:lineRule="exact"/>
        <w:ind w:firstLine="480" w:firstLineChars="200"/>
        <w:rPr>
          <w:rFonts w:ascii="宋体" w:hAnsi="宋体" w:cs="宋体"/>
          <w:color w:val="auto"/>
        </w:rPr>
      </w:pPr>
      <w:r>
        <w:rPr>
          <w:rFonts w:hint="eastAsia" w:ascii="宋体" w:hAnsi="宋体" w:cs="宋体"/>
          <w:color w:val="auto"/>
        </w:rPr>
        <w:t>特此声明！</w:t>
      </w:r>
    </w:p>
    <w:p w14:paraId="247353E1">
      <w:pPr>
        <w:spacing w:line="460" w:lineRule="exact"/>
        <w:ind w:firstLine="3000" w:firstLineChars="1250"/>
        <w:rPr>
          <w:rFonts w:ascii="宋体" w:hAnsi="宋体" w:cs="宋体"/>
          <w:color w:val="auto"/>
        </w:rPr>
      </w:pPr>
      <w:r>
        <w:rPr>
          <w:rFonts w:hint="eastAsia" w:ascii="宋体" w:hAnsi="宋体" w:cs="宋体"/>
          <w:color w:val="auto"/>
        </w:rPr>
        <w:t>投标人全称：</w:t>
      </w:r>
      <w:r>
        <w:rPr>
          <w:rFonts w:hint="eastAsia" w:ascii="宋体" w:hAnsi="宋体" w:cs="宋体"/>
          <w:color w:val="auto"/>
          <w:u w:val="single"/>
        </w:rPr>
        <w:t xml:space="preserve">                   </w:t>
      </w:r>
      <w:r>
        <w:rPr>
          <w:rFonts w:hint="eastAsia" w:ascii="宋体" w:hAnsi="宋体" w:cs="宋体"/>
          <w:color w:val="auto"/>
        </w:rPr>
        <w:t>（盖公章）</w:t>
      </w:r>
    </w:p>
    <w:p w14:paraId="32DE6CAE">
      <w:pPr>
        <w:spacing w:line="460" w:lineRule="exact"/>
        <w:ind w:firstLine="1980" w:firstLineChars="825"/>
        <w:rPr>
          <w:rFonts w:ascii="宋体" w:hAnsi="宋体" w:cs="宋体"/>
          <w:color w:val="auto"/>
          <w:u w:val="single"/>
        </w:rPr>
      </w:pPr>
    </w:p>
    <w:p w14:paraId="09F88129">
      <w:pPr>
        <w:spacing w:line="460" w:lineRule="exact"/>
        <w:ind w:firstLine="1320" w:firstLineChars="550"/>
        <w:rPr>
          <w:rFonts w:ascii="宋体" w:hAnsi="宋体" w:cs="宋体"/>
          <w:color w:val="auto"/>
        </w:rPr>
      </w:pPr>
      <w:r>
        <w:rPr>
          <w:rFonts w:hint="eastAsia" w:ascii="宋体" w:hAnsi="宋体" w:cs="宋体"/>
          <w:color w:val="auto"/>
        </w:rPr>
        <w:t>法定代表人</w:t>
      </w:r>
      <w:r>
        <w:rPr>
          <w:rFonts w:hint="eastAsia" w:ascii="宋体" w:hAnsi="宋体" w:cs="宋体"/>
          <w:i/>
          <w:color w:val="auto"/>
        </w:rPr>
        <w:t>（负责人）</w:t>
      </w:r>
      <w:r>
        <w:rPr>
          <w:rFonts w:hint="eastAsia" w:ascii="宋体" w:hAnsi="宋体" w:cs="宋体"/>
          <w:color w:val="auto"/>
        </w:rPr>
        <w:t>或委托代理人：</w:t>
      </w:r>
      <w:r>
        <w:rPr>
          <w:rFonts w:hint="eastAsia" w:ascii="宋体" w:hAnsi="宋体" w:cs="宋体"/>
          <w:color w:val="auto"/>
          <w:u w:val="single"/>
        </w:rPr>
        <w:t xml:space="preserve">         </w:t>
      </w:r>
      <w:r>
        <w:rPr>
          <w:rFonts w:hint="eastAsia" w:ascii="宋体" w:hAnsi="宋体" w:cs="宋体"/>
          <w:color w:val="auto"/>
        </w:rPr>
        <w:t>（签字或盖章）</w:t>
      </w:r>
    </w:p>
    <w:p w14:paraId="0E0C4252">
      <w:pPr>
        <w:spacing w:line="460" w:lineRule="exact"/>
        <w:ind w:firstLine="1980" w:firstLineChars="825"/>
        <w:rPr>
          <w:rFonts w:ascii="宋体" w:hAnsi="宋体" w:cs="宋体"/>
          <w:color w:val="auto"/>
        </w:rPr>
      </w:pPr>
    </w:p>
    <w:p w14:paraId="0BD35C27">
      <w:pPr>
        <w:adjustRightInd w:val="0"/>
        <w:snapToGrid w:val="0"/>
        <w:spacing w:line="360" w:lineRule="auto"/>
        <w:ind w:right="480"/>
        <w:jc w:val="center"/>
        <w:rPr>
          <w:rFonts w:ascii="宋体" w:hAnsi="宋体" w:cs="宋体"/>
          <w:color w:val="auto"/>
        </w:rPr>
        <w:sectPr>
          <w:footerReference r:id="rId8" w:type="default"/>
          <w:pgSz w:w="11905" w:h="16838"/>
          <w:pgMar w:top="1361" w:right="1587" w:bottom="1361" w:left="1587" w:header="510" w:footer="1020" w:gutter="0"/>
          <w:pgNumType w:fmt="decimal"/>
          <w:cols w:space="0" w:num="1"/>
          <w:docGrid w:type="lines" w:linePitch="330" w:charSpace="0"/>
        </w:sectPr>
      </w:pPr>
      <w:r>
        <w:rPr>
          <w:rFonts w:hint="eastAsia" w:ascii="宋体" w:hAnsi="宋体" w:cs="宋体"/>
          <w:color w:val="auto"/>
        </w:rPr>
        <w:t xml:space="preserve">                                            年    月    日</w:t>
      </w:r>
    </w:p>
    <w:p w14:paraId="1726818E">
      <w:pPr>
        <w:spacing w:line="520" w:lineRule="exact"/>
        <w:jc w:val="left"/>
        <w:outlineLvl w:val="0"/>
        <w:rPr>
          <w:rFonts w:ascii="宋体" w:hAnsi="宋体" w:cs="宋体"/>
          <w:bCs/>
          <w:color w:val="auto"/>
        </w:rPr>
      </w:pPr>
      <w:bookmarkStart w:id="28" w:name="_Toc23756"/>
      <w:bookmarkStart w:id="29" w:name="_Toc14589"/>
      <w:bookmarkStart w:id="30" w:name="_Toc22007"/>
      <w:r>
        <w:rPr>
          <w:rFonts w:hint="eastAsia" w:ascii="宋体" w:hAnsi="宋体" w:cs="宋体"/>
          <w:bCs/>
          <w:color w:val="auto"/>
        </w:rPr>
        <w:t>附件三：</w:t>
      </w:r>
      <w:bookmarkEnd w:id="28"/>
      <w:bookmarkEnd w:id="29"/>
      <w:bookmarkEnd w:id="30"/>
    </w:p>
    <w:p w14:paraId="0AABCE14">
      <w:pPr>
        <w:spacing w:line="520" w:lineRule="exact"/>
        <w:jc w:val="center"/>
        <w:rPr>
          <w:rFonts w:ascii="宋体" w:hAnsi="宋体" w:cs="宋体"/>
          <w:bCs/>
          <w:color w:val="auto"/>
          <w:sz w:val="44"/>
          <w:szCs w:val="44"/>
        </w:rPr>
      </w:pPr>
    </w:p>
    <w:p w14:paraId="1E917B7F">
      <w:pPr>
        <w:spacing w:line="520" w:lineRule="exact"/>
        <w:jc w:val="center"/>
        <w:rPr>
          <w:rFonts w:ascii="宋体" w:hAnsi="宋体" w:cs="宋体"/>
          <w:b/>
          <w:color w:val="auto"/>
          <w:sz w:val="32"/>
          <w:szCs w:val="32"/>
        </w:rPr>
      </w:pPr>
      <w:r>
        <w:rPr>
          <w:rFonts w:hint="eastAsia" w:ascii="宋体" w:hAnsi="宋体" w:cs="宋体"/>
          <w:b/>
          <w:color w:val="auto"/>
          <w:sz w:val="32"/>
          <w:szCs w:val="32"/>
        </w:rPr>
        <w:t>近三年内在经营活动中无重大违法违规记录</w:t>
      </w:r>
    </w:p>
    <w:p w14:paraId="13A396FE">
      <w:pPr>
        <w:spacing w:line="520" w:lineRule="exact"/>
        <w:jc w:val="center"/>
        <w:rPr>
          <w:rFonts w:ascii="宋体" w:hAnsi="宋体" w:cs="宋体"/>
          <w:b/>
          <w:color w:val="auto"/>
          <w:sz w:val="32"/>
          <w:szCs w:val="32"/>
        </w:rPr>
      </w:pPr>
      <w:r>
        <w:rPr>
          <w:rFonts w:hint="eastAsia" w:ascii="宋体" w:hAnsi="宋体" w:cs="宋体"/>
          <w:b/>
          <w:color w:val="auto"/>
          <w:sz w:val="32"/>
          <w:szCs w:val="32"/>
        </w:rPr>
        <w:t>及重大违约事件的承诺函</w:t>
      </w:r>
    </w:p>
    <w:p w14:paraId="6999B823">
      <w:pPr>
        <w:pStyle w:val="7"/>
        <w:rPr>
          <w:color w:val="auto"/>
        </w:rPr>
      </w:pPr>
    </w:p>
    <w:p w14:paraId="6A62B91D">
      <w:pPr>
        <w:spacing w:line="520" w:lineRule="exact"/>
        <w:jc w:val="center"/>
        <w:rPr>
          <w:rFonts w:ascii="宋体" w:hAnsi="宋体" w:cs="宋体"/>
          <w:bCs/>
          <w:color w:val="auto"/>
          <w:sz w:val="44"/>
          <w:szCs w:val="44"/>
        </w:rPr>
      </w:pPr>
    </w:p>
    <w:p w14:paraId="393C613D">
      <w:pPr>
        <w:spacing w:line="480" w:lineRule="auto"/>
        <w:rPr>
          <w:rFonts w:ascii="宋体" w:hAnsi="宋体" w:cs="宋体"/>
          <w:color w:val="auto"/>
          <w:kern w:val="0"/>
        </w:rPr>
      </w:pPr>
      <w:r>
        <w:rPr>
          <w:rFonts w:hint="eastAsia" w:ascii="宋体" w:hAnsi="宋体" w:cs="宋体"/>
          <w:color w:val="auto"/>
          <w:u w:val="single"/>
        </w:rPr>
        <w:t>致</w:t>
      </w:r>
      <w:r>
        <w:rPr>
          <w:rFonts w:hint="eastAsia"/>
          <w:color w:val="auto"/>
          <w:u w:val="single"/>
        </w:rPr>
        <w:t>天台县综合行政执法局</w:t>
      </w:r>
      <w:r>
        <w:rPr>
          <w:rFonts w:hint="eastAsia" w:ascii="宋体" w:hAnsi="宋体" w:cs="宋体"/>
          <w:color w:val="auto"/>
          <w:u w:val="single"/>
        </w:rPr>
        <w:t>：</w:t>
      </w:r>
    </w:p>
    <w:p w14:paraId="0804B956">
      <w:pPr>
        <w:snapToGrid w:val="0"/>
        <w:spacing w:before="165" w:beforeLines="50" w:after="50" w:line="480" w:lineRule="auto"/>
        <w:ind w:firstLine="480" w:firstLineChars="200"/>
        <w:rPr>
          <w:rFonts w:ascii="宋体" w:hAnsi="宋体" w:cs="宋体"/>
          <w:color w:val="auto"/>
        </w:rPr>
      </w:pPr>
      <w:r>
        <w:rPr>
          <w:rFonts w:hint="eastAsia" w:ascii="宋体" w:hAnsi="宋体" w:cs="宋体"/>
          <w:color w:val="auto"/>
        </w:rPr>
        <w:t>我方郑重承诺，我方依法开展经营活动，内部管理机制健全，具有较强的风险控制能力，近三年内在经营活动中无重大违法违规记录及重大违约事件。如有虚假或隐瞒，采购人可取消我方任何资格（投标/谈判/中标（成交）/签订合同），我方对此无任何异议，并愿意承担一切后果和责任。</w:t>
      </w:r>
    </w:p>
    <w:p w14:paraId="7AE43AA2">
      <w:pPr>
        <w:snapToGrid w:val="0"/>
        <w:spacing w:before="165" w:beforeLines="50" w:after="50" w:line="480" w:lineRule="auto"/>
        <w:ind w:firstLine="480" w:firstLineChars="200"/>
        <w:rPr>
          <w:rFonts w:ascii="宋体" w:hAnsi="宋体" w:cs="宋体"/>
          <w:color w:val="auto"/>
        </w:rPr>
      </w:pPr>
      <w:r>
        <w:rPr>
          <w:rFonts w:hint="eastAsia" w:ascii="宋体" w:hAnsi="宋体" w:cs="宋体"/>
          <w:color w:val="auto"/>
        </w:rPr>
        <w:t>特此</w:t>
      </w:r>
      <w:r>
        <w:rPr>
          <w:rFonts w:hint="eastAsia" w:ascii="宋体" w:hAnsi="宋体" w:cs="宋体"/>
          <w:color w:val="auto"/>
          <w:kern w:val="0"/>
        </w:rPr>
        <w:t>承诺</w:t>
      </w:r>
      <w:r>
        <w:rPr>
          <w:rFonts w:hint="eastAsia" w:ascii="宋体" w:hAnsi="宋体" w:cs="宋体"/>
          <w:color w:val="auto"/>
        </w:rPr>
        <w:t>！</w:t>
      </w:r>
    </w:p>
    <w:p w14:paraId="64C005DF">
      <w:pPr>
        <w:spacing w:line="460" w:lineRule="exact"/>
        <w:ind w:firstLine="3000" w:firstLineChars="1250"/>
        <w:rPr>
          <w:rFonts w:ascii="宋体" w:hAnsi="宋体" w:cs="宋体"/>
          <w:color w:val="auto"/>
        </w:rPr>
      </w:pPr>
      <w:r>
        <w:rPr>
          <w:rFonts w:hint="eastAsia" w:ascii="宋体" w:hAnsi="宋体" w:cs="宋体"/>
          <w:color w:val="auto"/>
        </w:rPr>
        <w:t>投标人全称：</w:t>
      </w:r>
      <w:r>
        <w:rPr>
          <w:rFonts w:hint="eastAsia" w:ascii="宋体" w:hAnsi="宋体" w:cs="宋体"/>
          <w:color w:val="auto"/>
          <w:u w:val="single"/>
        </w:rPr>
        <w:t xml:space="preserve">                   </w:t>
      </w:r>
      <w:r>
        <w:rPr>
          <w:rFonts w:hint="eastAsia" w:ascii="宋体" w:hAnsi="宋体" w:cs="宋体"/>
          <w:color w:val="auto"/>
        </w:rPr>
        <w:t>（盖公章）</w:t>
      </w:r>
    </w:p>
    <w:p w14:paraId="34C8C914">
      <w:pPr>
        <w:spacing w:line="460" w:lineRule="exact"/>
        <w:ind w:firstLine="1980" w:firstLineChars="825"/>
        <w:rPr>
          <w:rFonts w:ascii="宋体" w:hAnsi="宋体" w:cs="宋体"/>
          <w:color w:val="auto"/>
          <w:u w:val="single"/>
        </w:rPr>
      </w:pPr>
    </w:p>
    <w:p w14:paraId="2D530D51">
      <w:pPr>
        <w:spacing w:line="460" w:lineRule="exact"/>
        <w:ind w:firstLine="1320" w:firstLineChars="550"/>
        <w:rPr>
          <w:rFonts w:ascii="宋体" w:hAnsi="宋体" w:cs="宋体"/>
          <w:color w:val="auto"/>
        </w:rPr>
      </w:pPr>
      <w:r>
        <w:rPr>
          <w:rFonts w:hint="eastAsia" w:ascii="宋体" w:hAnsi="宋体" w:cs="宋体"/>
          <w:color w:val="auto"/>
        </w:rPr>
        <w:t>法定代表人</w:t>
      </w:r>
      <w:r>
        <w:rPr>
          <w:rFonts w:hint="eastAsia" w:ascii="宋体" w:hAnsi="宋体" w:cs="宋体"/>
          <w:i/>
          <w:color w:val="auto"/>
        </w:rPr>
        <w:t>（负责人）</w:t>
      </w:r>
      <w:r>
        <w:rPr>
          <w:rFonts w:hint="eastAsia" w:ascii="宋体" w:hAnsi="宋体" w:cs="宋体"/>
          <w:color w:val="auto"/>
        </w:rPr>
        <w:t>或委托代理人：</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sz w:val="22"/>
          <w:szCs w:val="22"/>
        </w:rPr>
        <w:t>签字或盖章</w:t>
      </w:r>
      <w:r>
        <w:rPr>
          <w:rFonts w:hint="eastAsia" w:ascii="宋体" w:hAnsi="宋体" w:cs="宋体"/>
          <w:color w:val="auto"/>
        </w:rPr>
        <w:t>）</w:t>
      </w:r>
    </w:p>
    <w:p w14:paraId="2174DE07">
      <w:pPr>
        <w:spacing w:line="460" w:lineRule="exact"/>
        <w:ind w:firstLine="1980" w:firstLineChars="825"/>
        <w:rPr>
          <w:rFonts w:ascii="宋体" w:hAnsi="宋体" w:cs="宋体"/>
          <w:color w:val="auto"/>
        </w:rPr>
      </w:pPr>
    </w:p>
    <w:p w14:paraId="59388703">
      <w:pPr>
        <w:spacing w:line="520" w:lineRule="exact"/>
        <w:jc w:val="left"/>
        <w:rPr>
          <w:rFonts w:ascii="宋体" w:hAnsi="宋体" w:cs="宋体"/>
          <w:color w:val="auto"/>
        </w:rPr>
      </w:pPr>
      <w:r>
        <w:rPr>
          <w:rFonts w:hint="eastAsia" w:ascii="宋体" w:hAnsi="宋体" w:cs="宋体"/>
          <w:color w:val="auto"/>
        </w:rPr>
        <w:t xml:space="preserve">                                            年    月    日</w:t>
      </w:r>
    </w:p>
    <w:p w14:paraId="7484DD96">
      <w:pPr>
        <w:spacing w:line="520" w:lineRule="exact"/>
        <w:jc w:val="left"/>
        <w:outlineLvl w:val="0"/>
        <w:rPr>
          <w:rFonts w:ascii="宋体" w:hAnsi="宋体" w:cs="宋体"/>
          <w:bCs/>
          <w:color w:val="auto"/>
        </w:rPr>
      </w:pPr>
      <w:r>
        <w:rPr>
          <w:rFonts w:hint="eastAsia" w:ascii="宋体" w:hAnsi="宋体" w:cs="宋体"/>
          <w:bCs/>
          <w:color w:val="auto"/>
        </w:rPr>
        <w:br w:type="page"/>
      </w:r>
      <w:bookmarkStart w:id="31" w:name="_Toc7543"/>
      <w:bookmarkStart w:id="32" w:name="_Toc25095"/>
      <w:bookmarkStart w:id="33" w:name="_Toc17602"/>
      <w:r>
        <w:rPr>
          <w:rFonts w:hint="eastAsia" w:ascii="宋体" w:hAnsi="宋体" w:cs="宋体"/>
          <w:bCs/>
          <w:color w:val="auto"/>
        </w:rPr>
        <w:t>附件四：</w:t>
      </w:r>
      <w:bookmarkEnd w:id="31"/>
      <w:bookmarkEnd w:id="32"/>
      <w:bookmarkEnd w:id="33"/>
    </w:p>
    <w:p w14:paraId="1AE87634">
      <w:pPr>
        <w:tabs>
          <w:tab w:val="left" w:pos="7530"/>
        </w:tabs>
        <w:spacing w:line="520" w:lineRule="exact"/>
        <w:outlineLvl w:val="0"/>
        <w:rPr>
          <w:rFonts w:ascii="宋体" w:hAnsi="宋体" w:cs="宋体"/>
          <w:bCs/>
          <w:color w:val="auto"/>
        </w:rPr>
      </w:pPr>
    </w:p>
    <w:p w14:paraId="1C6C08D1">
      <w:pPr>
        <w:spacing w:line="520" w:lineRule="exact"/>
        <w:jc w:val="center"/>
        <w:rPr>
          <w:rFonts w:ascii="宋体" w:hAnsi="宋体" w:cs="宋体"/>
          <w:b/>
          <w:color w:val="auto"/>
          <w:sz w:val="44"/>
          <w:szCs w:val="44"/>
        </w:rPr>
      </w:pPr>
    </w:p>
    <w:p w14:paraId="7E470943">
      <w:pPr>
        <w:spacing w:line="520" w:lineRule="exact"/>
        <w:jc w:val="center"/>
        <w:rPr>
          <w:rFonts w:ascii="宋体" w:hAnsi="宋体" w:cs="宋体"/>
          <w:b/>
          <w:color w:val="auto"/>
          <w:sz w:val="44"/>
          <w:szCs w:val="44"/>
        </w:rPr>
      </w:pPr>
      <w:r>
        <w:rPr>
          <w:rFonts w:hint="eastAsia" w:ascii="宋体" w:hAnsi="宋体" w:cs="宋体"/>
          <w:b/>
          <w:color w:val="auto"/>
          <w:sz w:val="44"/>
          <w:szCs w:val="44"/>
        </w:rPr>
        <w:t>法定代表人（主要负责人）资格证明书</w:t>
      </w:r>
    </w:p>
    <w:p w14:paraId="263D7E9A">
      <w:pPr>
        <w:spacing w:line="520" w:lineRule="exact"/>
        <w:jc w:val="center"/>
        <w:rPr>
          <w:rFonts w:ascii="宋体" w:hAnsi="宋体" w:cs="宋体"/>
          <w:bCs/>
          <w:color w:val="auto"/>
          <w:sz w:val="44"/>
          <w:szCs w:val="44"/>
        </w:rPr>
      </w:pPr>
    </w:p>
    <w:p w14:paraId="12899F77">
      <w:pPr>
        <w:spacing w:line="700" w:lineRule="exact"/>
        <w:rPr>
          <w:rFonts w:ascii="宋体" w:hAnsi="宋体" w:cs="宋体"/>
          <w:bCs/>
          <w:color w:val="auto"/>
          <w:sz w:val="28"/>
          <w:szCs w:val="28"/>
        </w:rPr>
      </w:pPr>
      <w:r>
        <w:rPr>
          <w:rFonts w:hint="eastAsia" w:ascii="宋体" w:hAnsi="宋体" w:cs="宋体"/>
          <w:bCs/>
          <w:color w:val="auto"/>
          <w:sz w:val="28"/>
          <w:szCs w:val="28"/>
        </w:rPr>
        <w:t>投标人名称：</w:t>
      </w:r>
      <w:r>
        <w:rPr>
          <w:rFonts w:hint="eastAsia" w:ascii="宋体" w:hAnsi="宋体" w:cs="宋体"/>
          <w:color w:val="auto"/>
          <w:sz w:val="28"/>
          <w:szCs w:val="28"/>
          <w:u w:val="single"/>
        </w:rPr>
        <w:t xml:space="preserve">                                               </w:t>
      </w:r>
    </w:p>
    <w:p w14:paraId="6A6EF488">
      <w:pPr>
        <w:spacing w:line="700" w:lineRule="exact"/>
        <w:rPr>
          <w:rFonts w:ascii="宋体" w:hAnsi="宋体" w:cs="宋体"/>
          <w:bCs/>
          <w:color w:val="auto"/>
          <w:sz w:val="28"/>
          <w:szCs w:val="28"/>
        </w:rPr>
      </w:pPr>
      <w:r>
        <w:rPr>
          <w:rFonts w:hint="eastAsia" w:ascii="宋体" w:hAnsi="宋体" w:cs="宋体"/>
          <w:bCs/>
          <w:color w:val="auto"/>
          <w:sz w:val="28"/>
          <w:szCs w:val="28"/>
        </w:rPr>
        <w:t>地址：</w:t>
      </w:r>
      <w:r>
        <w:rPr>
          <w:rFonts w:hint="eastAsia" w:ascii="宋体" w:hAnsi="宋体" w:cs="宋体"/>
          <w:color w:val="auto"/>
          <w:sz w:val="28"/>
          <w:szCs w:val="28"/>
          <w:u w:val="single"/>
        </w:rPr>
        <w:t xml:space="preserve">                                                     </w:t>
      </w:r>
    </w:p>
    <w:p w14:paraId="0D4A8E05">
      <w:pPr>
        <w:spacing w:line="700" w:lineRule="exact"/>
        <w:rPr>
          <w:rFonts w:ascii="宋体" w:hAnsi="宋体" w:cs="宋体"/>
          <w:bCs/>
          <w:color w:val="auto"/>
          <w:sz w:val="28"/>
          <w:szCs w:val="28"/>
        </w:rPr>
      </w:pPr>
      <w:r>
        <w:rPr>
          <w:rFonts w:hint="eastAsia" w:ascii="宋体" w:hAnsi="宋体" w:cs="宋体"/>
          <w:bCs/>
          <w:color w:val="auto"/>
          <w:sz w:val="28"/>
          <w:szCs w:val="28"/>
        </w:rPr>
        <w:t>成立时间：</w:t>
      </w:r>
      <w:r>
        <w:rPr>
          <w:rFonts w:hint="eastAsia" w:ascii="宋体" w:hAnsi="宋体" w:cs="宋体"/>
          <w:color w:val="auto"/>
          <w:sz w:val="28"/>
          <w:szCs w:val="28"/>
          <w:u w:val="single"/>
        </w:rPr>
        <w:t xml:space="preserve">            </w:t>
      </w:r>
      <w:r>
        <w:rPr>
          <w:rFonts w:hint="eastAsia" w:ascii="宋体" w:hAnsi="宋体" w:cs="宋体"/>
          <w:bCs/>
          <w:color w:val="auto"/>
          <w:sz w:val="28"/>
          <w:szCs w:val="28"/>
        </w:rPr>
        <w:t xml:space="preserve"> 年</w:t>
      </w:r>
      <w:r>
        <w:rPr>
          <w:rFonts w:hint="eastAsia" w:ascii="宋体" w:hAnsi="宋体" w:cs="宋体"/>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color w:val="auto"/>
          <w:sz w:val="28"/>
          <w:szCs w:val="28"/>
          <w:u w:val="single"/>
        </w:rPr>
        <w:t xml:space="preserve">      </w:t>
      </w:r>
      <w:r>
        <w:rPr>
          <w:rFonts w:hint="eastAsia" w:ascii="宋体" w:hAnsi="宋体" w:cs="宋体"/>
          <w:bCs/>
          <w:color w:val="auto"/>
          <w:sz w:val="28"/>
          <w:szCs w:val="28"/>
        </w:rPr>
        <w:t>日</w:t>
      </w:r>
    </w:p>
    <w:p w14:paraId="68B05D89">
      <w:pPr>
        <w:spacing w:line="700" w:lineRule="exact"/>
        <w:rPr>
          <w:rFonts w:ascii="宋体" w:hAnsi="宋体" w:cs="宋体"/>
          <w:color w:val="auto"/>
          <w:sz w:val="28"/>
          <w:szCs w:val="28"/>
          <w:u w:val="single"/>
        </w:rPr>
      </w:pPr>
      <w:r>
        <w:rPr>
          <w:rFonts w:hint="eastAsia" w:ascii="宋体" w:hAnsi="宋体" w:cs="宋体"/>
          <w:bCs/>
          <w:color w:val="auto"/>
          <w:sz w:val="28"/>
          <w:szCs w:val="28"/>
        </w:rPr>
        <w:t>经营期限：</w:t>
      </w:r>
      <w:r>
        <w:rPr>
          <w:rFonts w:hint="eastAsia" w:ascii="宋体" w:hAnsi="宋体" w:cs="宋体"/>
          <w:color w:val="auto"/>
          <w:sz w:val="28"/>
          <w:szCs w:val="28"/>
          <w:u w:val="single"/>
        </w:rPr>
        <w:t xml:space="preserve">                                                  </w:t>
      </w:r>
    </w:p>
    <w:p w14:paraId="6DA3EE2F">
      <w:pPr>
        <w:spacing w:line="700" w:lineRule="exact"/>
        <w:rPr>
          <w:rFonts w:ascii="宋体" w:hAnsi="宋体" w:cs="宋体"/>
          <w:bCs/>
          <w:color w:val="auto"/>
          <w:sz w:val="28"/>
          <w:szCs w:val="28"/>
        </w:rPr>
      </w:pPr>
      <w:r>
        <w:rPr>
          <w:rFonts w:hint="eastAsia" w:ascii="宋体" w:hAnsi="宋体" w:cs="宋体"/>
          <w:bCs/>
          <w:color w:val="auto"/>
          <w:sz w:val="28"/>
          <w:szCs w:val="28"/>
        </w:rPr>
        <w:t>姓名：</w:t>
      </w:r>
      <w:r>
        <w:rPr>
          <w:rFonts w:hint="eastAsia" w:ascii="宋体" w:hAnsi="宋体" w:cs="宋体"/>
          <w:color w:val="auto"/>
          <w:sz w:val="28"/>
          <w:szCs w:val="28"/>
          <w:u w:val="single"/>
        </w:rPr>
        <w:t xml:space="preserve">                  </w:t>
      </w:r>
      <w:r>
        <w:rPr>
          <w:rFonts w:hint="eastAsia" w:ascii="宋体" w:hAnsi="宋体" w:cs="宋体"/>
          <w:bCs/>
          <w:color w:val="auto"/>
          <w:sz w:val="28"/>
          <w:szCs w:val="28"/>
        </w:rPr>
        <w:t>性别：</w:t>
      </w:r>
      <w:r>
        <w:rPr>
          <w:rFonts w:hint="eastAsia" w:ascii="宋体" w:hAnsi="宋体" w:cs="宋体"/>
          <w:color w:val="auto"/>
          <w:sz w:val="28"/>
          <w:szCs w:val="28"/>
          <w:u w:val="single"/>
        </w:rPr>
        <w:t xml:space="preserve">           </w:t>
      </w:r>
      <w:r>
        <w:rPr>
          <w:rFonts w:hint="eastAsia" w:ascii="宋体" w:hAnsi="宋体" w:cs="宋体"/>
          <w:bCs/>
          <w:color w:val="auto"/>
          <w:sz w:val="28"/>
          <w:szCs w:val="28"/>
        </w:rPr>
        <w:t>年龄：</w:t>
      </w:r>
      <w:r>
        <w:rPr>
          <w:rFonts w:hint="eastAsia" w:ascii="宋体" w:hAnsi="宋体" w:cs="宋体"/>
          <w:color w:val="auto"/>
          <w:sz w:val="28"/>
          <w:szCs w:val="28"/>
          <w:u w:val="single"/>
        </w:rPr>
        <w:t xml:space="preserve">              </w:t>
      </w:r>
      <w:r>
        <w:rPr>
          <w:rFonts w:hint="eastAsia" w:ascii="宋体" w:hAnsi="宋体" w:cs="宋体"/>
          <w:bCs/>
          <w:color w:val="auto"/>
          <w:sz w:val="28"/>
          <w:szCs w:val="28"/>
        </w:rPr>
        <w:t xml:space="preserve">            </w:t>
      </w:r>
    </w:p>
    <w:p w14:paraId="1749492D">
      <w:pPr>
        <w:spacing w:line="700" w:lineRule="exact"/>
        <w:ind w:left="140" w:hanging="140" w:hangingChars="50"/>
        <w:rPr>
          <w:rFonts w:ascii="宋体" w:hAnsi="宋体" w:cs="宋体"/>
          <w:bCs/>
          <w:color w:val="auto"/>
          <w:sz w:val="28"/>
          <w:szCs w:val="28"/>
        </w:rPr>
      </w:pPr>
      <w:r>
        <w:rPr>
          <w:rFonts w:hint="eastAsia" w:ascii="宋体" w:hAnsi="宋体" w:cs="宋体"/>
          <w:bCs/>
          <w:color w:val="auto"/>
          <w:sz w:val="28"/>
          <w:szCs w:val="28"/>
        </w:rPr>
        <w:t xml:space="preserve">身份证号码： </w:t>
      </w:r>
      <w:r>
        <w:rPr>
          <w:rFonts w:hint="eastAsia" w:ascii="宋体" w:hAnsi="宋体" w:cs="宋体"/>
          <w:color w:val="auto"/>
          <w:sz w:val="28"/>
          <w:szCs w:val="28"/>
          <w:u w:val="single"/>
        </w:rPr>
        <w:t xml:space="preserve">                           </w:t>
      </w:r>
      <w:r>
        <w:rPr>
          <w:rFonts w:hint="eastAsia" w:ascii="宋体" w:hAnsi="宋体" w:cs="宋体"/>
          <w:bCs/>
          <w:color w:val="auto"/>
          <w:sz w:val="28"/>
          <w:szCs w:val="28"/>
        </w:rPr>
        <w:t>职务：</w:t>
      </w:r>
      <w:r>
        <w:rPr>
          <w:rFonts w:hint="eastAsia" w:ascii="宋体" w:hAnsi="宋体" w:cs="宋体"/>
          <w:color w:val="auto"/>
          <w:sz w:val="28"/>
          <w:szCs w:val="28"/>
          <w:u w:val="single"/>
        </w:rPr>
        <w:t xml:space="preserve">               </w:t>
      </w:r>
      <w:r>
        <w:rPr>
          <w:rFonts w:hint="eastAsia" w:ascii="宋体" w:hAnsi="宋体" w:cs="宋体"/>
          <w:bCs/>
          <w:color w:val="auto"/>
          <w:sz w:val="28"/>
          <w:szCs w:val="28"/>
        </w:rPr>
        <w:t xml:space="preserve">               </w:t>
      </w:r>
    </w:p>
    <w:p w14:paraId="155BCF22">
      <w:pPr>
        <w:spacing w:line="700" w:lineRule="exact"/>
        <w:ind w:left="140" w:hanging="140" w:hangingChars="50"/>
        <w:rPr>
          <w:rFonts w:ascii="宋体" w:hAnsi="宋体" w:cs="宋体"/>
          <w:bCs/>
          <w:color w:val="auto"/>
          <w:sz w:val="28"/>
          <w:szCs w:val="28"/>
        </w:rPr>
      </w:pPr>
      <w:r>
        <w:rPr>
          <w:rFonts w:hint="eastAsia" w:ascii="宋体" w:hAnsi="宋体" w:cs="宋体"/>
          <w:bCs/>
          <w:color w:val="auto"/>
          <w:sz w:val="28"/>
          <w:szCs w:val="28"/>
        </w:rPr>
        <w:t xml:space="preserve">系  </w:t>
      </w:r>
      <w:r>
        <w:rPr>
          <w:rFonts w:hint="eastAsia" w:ascii="宋体" w:hAnsi="宋体" w:cs="宋体"/>
          <w:color w:val="auto"/>
          <w:sz w:val="28"/>
          <w:szCs w:val="28"/>
          <w:u w:val="single"/>
        </w:rPr>
        <w:t xml:space="preserve">                         </w:t>
      </w:r>
      <w:r>
        <w:rPr>
          <w:rFonts w:hint="eastAsia" w:ascii="宋体" w:hAnsi="宋体" w:cs="宋体"/>
          <w:bCs/>
          <w:color w:val="auto"/>
          <w:sz w:val="28"/>
          <w:szCs w:val="28"/>
        </w:rPr>
        <w:t>（投标人名称）的法定代表人（负责人）。</w:t>
      </w:r>
    </w:p>
    <w:p w14:paraId="76B44D8E">
      <w:pPr>
        <w:spacing w:line="520" w:lineRule="exact"/>
        <w:rPr>
          <w:rFonts w:ascii="宋体" w:hAnsi="宋体" w:cs="宋体"/>
          <w:bCs/>
          <w:color w:val="auto"/>
          <w:sz w:val="28"/>
          <w:szCs w:val="28"/>
        </w:rPr>
      </w:pPr>
    </w:p>
    <w:p w14:paraId="1B72DC3E">
      <w:pPr>
        <w:spacing w:line="520" w:lineRule="exact"/>
        <w:rPr>
          <w:rFonts w:ascii="宋体" w:hAnsi="宋体" w:cs="宋体"/>
          <w:bCs/>
          <w:color w:val="auto"/>
          <w:sz w:val="28"/>
          <w:szCs w:val="28"/>
        </w:rPr>
      </w:pPr>
      <w:r>
        <w:rPr>
          <w:rFonts w:hint="eastAsia" w:ascii="宋体" w:hAnsi="宋体" w:cs="宋体"/>
          <w:bCs/>
          <w:color w:val="auto"/>
          <w:sz w:val="28"/>
          <w:szCs w:val="28"/>
        </w:rPr>
        <w:t>特此证明。</w:t>
      </w:r>
    </w:p>
    <w:p w14:paraId="489F1DF1">
      <w:pPr>
        <w:spacing w:line="520" w:lineRule="exact"/>
        <w:jc w:val="right"/>
        <w:rPr>
          <w:rFonts w:ascii="宋体" w:hAnsi="宋体" w:cs="宋体"/>
          <w:bCs/>
          <w:color w:val="auto"/>
          <w:sz w:val="28"/>
          <w:szCs w:val="28"/>
        </w:rPr>
      </w:pPr>
    </w:p>
    <w:p w14:paraId="67E97593">
      <w:pPr>
        <w:wordWrap w:val="0"/>
        <w:spacing w:line="520" w:lineRule="exact"/>
        <w:jc w:val="right"/>
        <w:rPr>
          <w:rFonts w:ascii="宋体" w:hAnsi="宋体" w:cs="宋体"/>
          <w:bCs/>
          <w:color w:val="auto"/>
          <w:sz w:val="28"/>
          <w:szCs w:val="28"/>
        </w:rPr>
      </w:pPr>
      <w:r>
        <w:rPr>
          <w:rFonts w:hint="eastAsia" w:ascii="宋体" w:hAnsi="宋体" w:cs="宋体"/>
          <w:bCs/>
          <w:color w:val="auto"/>
          <w:sz w:val="28"/>
          <w:szCs w:val="28"/>
        </w:rPr>
        <w:t xml:space="preserve">投标人全称： </w:t>
      </w:r>
      <w:r>
        <w:rPr>
          <w:rFonts w:hint="eastAsia" w:ascii="宋体" w:hAnsi="宋体" w:cs="宋体"/>
          <w:color w:val="auto"/>
          <w:sz w:val="28"/>
          <w:szCs w:val="28"/>
          <w:u w:val="single"/>
        </w:rPr>
        <w:t xml:space="preserve">                     </w:t>
      </w:r>
      <w:r>
        <w:rPr>
          <w:rFonts w:hint="eastAsia" w:ascii="宋体" w:hAnsi="宋体" w:cs="宋体"/>
          <w:bCs/>
          <w:color w:val="auto"/>
          <w:sz w:val="28"/>
          <w:szCs w:val="28"/>
        </w:rPr>
        <w:t>（盖公章）</w:t>
      </w:r>
    </w:p>
    <w:p w14:paraId="70CF23AB">
      <w:pPr>
        <w:spacing w:line="520" w:lineRule="exact"/>
        <w:ind w:firstLine="4900" w:firstLineChars="1750"/>
        <w:rPr>
          <w:rFonts w:ascii="宋体" w:hAnsi="宋体" w:cs="宋体"/>
          <w:bCs/>
          <w:color w:val="auto"/>
          <w:sz w:val="28"/>
          <w:szCs w:val="28"/>
        </w:rPr>
      </w:pPr>
    </w:p>
    <w:p w14:paraId="339D3D79">
      <w:pPr>
        <w:spacing w:line="520" w:lineRule="exact"/>
        <w:ind w:firstLine="4900" w:firstLineChars="1750"/>
        <w:rPr>
          <w:rFonts w:ascii="宋体" w:hAnsi="宋体" w:cs="宋体"/>
          <w:bCs/>
          <w:color w:val="auto"/>
          <w:sz w:val="28"/>
          <w:szCs w:val="28"/>
        </w:rPr>
      </w:pPr>
      <w:r>
        <w:rPr>
          <w:rFonts w:hint="eastAsia" w:ascii="宋体" w:hAnsi="宋体" w:cs="宋体"/>
          <w:bCs/>
          <w:color w:val="auto"/>
          <w:sz w:val="28"/>
          <w:szCs w:val="28"/>
        </w:rPr>
        <w:t xml:space="preserve">      年    月    日</w:t>
      </w:r>
    </w:p>
    <w:tbl>
      <w:tblPr>
        <w:tblStyle w:val="19"/>
        <w:tblpPr w:leftFromText="180" w:rightFromText="180" w:vertAnchor="text" w:horzAnchor="page" w:tblpXSpec="center" w:tblpY="714"/>
        <w:tblOverlap w:val="never"/>
        <w:tblW w:w="58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02A2F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6" w:type="dxa"/>
            <w:tcBorders>
              <w:tl2br w:val="nil"/>
              <w:tr2bl w:val="nil"/>
            </w:tcBorders>
          </w:tcPr>
          <w:p w14:paraId="08310B2B">
            <w:pPr>
              <w:pStyle w:val="29"/>
              <w:adjustRightInd w:val="0"/>
              <w:snapToGrid w:val="0"/>
              <w:ind w:left="5250" w:firstLine="420" w:firstLineChars="200"/>
              <w:rPr>
                <w:rFonts w:ascii="宋体" w:hAnsi="宋体" w:cs="宋体"/>
                <w:color w:val="auto"/>
                <w:szCs w:val="21"/>
              </w:rPr>
            </w:pPr>
            <w:r>
              <w:rPr>
                <w:rFonts w:hint="eastAsia" w:ascii="宋体" w:hAnsi="宋体" w:cs="宋体"/>
                <w:color w:val="auto"/>
                <w:szCs w:val="21"/>
              </w:rPr>
              <w:t xml:space="preserve">            </w:t>
            </w:r>
          </w:p>
          <w:p w14:paraId="3A4485E9">
            <w:pPr>
              <w:pStyle w:val="29"/>
              <w:adjustRightInd w:val="0"/>
              <w:snapToGrid w:val="0"/>
              <w:ind w:firstLine="210"/>
              <w:jc w:val="center"/>
              <w:rPr>
                <w:rFonts w:ascii="宋体" w:hAnsi="宋体" w:cs="宋体"/>
                <w:color w:val="auto"/>
                <w:szCs w:val="21"/>
              </w:rPr>
            </w:pPr>
            <w:r>
              <w:rPr>
                <w:rFonts w:hint="eastAsia" w:ascii="宋体" w:hAnsi="宋体" w:cs="宋体"/>
                <w:color w:val="auto"/>
                <w:szCs w:val="21"/>
              </w:rPr>
              <w:t>附：法定代表人（主要负责人）有效身份证正、反面复印件</w:t>
            </w:r>
          </w:p>
          <w:p w14:paraId="68E6E4BE">
            <w:pPr>
              <w:pStyle w:val="29"/>
              <w:adjustRightInd w:val="0"/>
              <w:snapToGrid w:val="0"/>
              <w:ind w:left="5250" w:firstLine="420" w:firstLineChars="200"/>
              <w:rPr>
                <w:rFonts w:ascii="宋体" w:hAnsi="宋体" w:cs="宋体"/>
                <w:color w:val="auto"/>
                <w:szCs w:val="21"/>
              </w:rPr>
            </w:pPr>
          </w:p>
          <w:p w14:paraId="7957C152">
            <w:pPr>
              <w:pStyle w:val="29"/>
              <w:adjustRightInd w:val="0"/>
              <w:snapToGrid w:val="0"/>
              <w:ind w:left="5250" w:firstLine="420" w:firstLineChars="200"/>
              <w:rPr>
                <w:rFonts w:ascii="宋体" w:hAnsi="宋体" w:cs="宋体"/>
                <w:color w:val="auto"/>
                <w:szCs w:val="21"/>
              </w:rPr>
            </w:pPr>
          </w:p>
          <w:p w14:paraId="1AD1CF94">
            <w:pPr>
              <w:pStyle w:val="29"/>
              <w:adjustRightInd w:val="0"/>
              <w:snapToGrid w:val="0"/>
              <w:ind w:left="5250" w:firstLine="420" w:firstLineChars="200"/>
              <w:rPr>
                <w:rFonts w:ascii="宋体" w:hAnsi="宋体" w:cs="宋体"/>
                <w:color w:val="auto"/>
                <w:szCs w:val="21"/>
              </w:rPr>
            </w:pPr>
          </w:p>
          <w:p w14:paraId="2F9AA095">
            <w:pPr>
              <w:pStyle w:val="29"/>
              <w:adjustRightInd w:val="0"/>
              <w:snapToGrid w:val="0"/>
              <w:ind w:left="5250" w:firstLine="420" w:firstLineChars="200"/>
              <w:rPr>
                <w:rFonts w:ascii="宋体" w:hAnsi="宋体" w:cs="宋体"/>
                <w:color w:val="auto"/>
                <w:szCs w:val="21"/>
              </w:rPr>
            </w:pPr>
          </w:p>
          <w:p w14:paraId="1F8EF714">
            <w:pPr>
              <w:pStyle w:val="29"/>
              <w:adjustRightInd w:val="0"/>
              <w:snapToGrid w:val="0"/>
              <w:ind w:left="5250" w:firstLine="420" w:firstLineChars="200"/>
              <w:rPr>
                <w:rFonts w:ascii="宋体" w:hAnsi="宋体" w:cs="宋体"/>
                <w:color w:val="auto"/>
                <w:szCs w:val="21"/>
              </w:rPr>
            </w:pPr>
          </w:p>
          <w:p w14:paraId="0EBA24E8">
            <w:pPr>
              <w:pStyle w:val="29"/>
              <w:adjustRightInd w:val="0"/>
              <w:snapToGrid w:val="0"/>
              <w:ind w:left="5250" w:firstLine="420" w:firstLineChars="200"/>
              <w:rPr>
                <w:rFonts w:ascii="宋体" w:hAnsi="宋体" w:cs="宋体"/>
                <w:color w:val="auto"/>
                <w:szCs w:val="21"/>
              </w:rPr>
            </w:pPr>
          </w:p>
        </w:tc>
      </w:tr>
    </w:tbl>
    <w:p w14:paraId="3B2C2D00">
      <w:pPr>
        <w:spacing w:line="520" w:lineRule="exact"/>
        <w:rPr>
          <w:rFonts w:ascii="宋体" w:hAnsi="宋体" w:cs="宋体"/>
          <w:bCs/>
          <w:color w:val="auto"/>
          <w:sz w:val="28"/>
          <w:szCs w:val="28"/>
        </w:rPr>
      </w:pPr>
    </w:p>
    <w:p w14:paraId="015FC3FA">
      <w:pPr>
        <w:spacing w:line="500" w:lineRule="exact"/>
        <w:jc w:val="center"/>
        <w:rPr>
          <w:rFonts w:ascii="宋体" w:hAnsi="宋体" w:cs="宋体"/>
          <w:color w:val="auto"/>
          <w:sz w:val="44"/>
          <w:szCs w:val="44"/>
        </w:rPr>
      </w:pPr>
    </w:p>
    <w:p w14:paraId="15283DFC">
      <w:pPr>
        <w:spacing w:line="500" w:lineRule="exact"/>
        <w:jc w:val="center"/>
        <w:rPr>
          <w:rFonts w:ascii="宋体" w:hAnsi="宋体" w:cs="宋体"/>
          <w:color w:val="auto"/>
          <w:sz w:val="44"/>
          <w:szCs w:val="44"/>
        </w:rPr>
      </w:pPr>
    </w:p>
    <w:p w14:paraId="2724A4D6">
      <w:pPr>
        <w:spacing w:line="500" w:lineRule="exact"/>
        <w:rPr>
          <w:rFonts w:ascii="宋体" w:hAnsi="宋体" w:cs="宋体"/>
          <w:color w:val="auto"/>
          <w:sz w:val="44"/>
          <w:szCs w:val="44"/>
        </w:rPr>
      </w:pPr>
    </w:p>
    <w:p w14:paraId="2DE02A20">
      <w:pPr>
        <w:spacing w:line="500" w:lineRule="exact"/>
        <w:rPr>
          <w:rFonts w:ascii="宋体" w:hAnsi="宋体" w:cs="宋体"/>
          <w:color w:val="auto"/>
          <w:sz w:val="44"/>
          <w:szCs w:val="44"/>
        </w:rPr>
      </w:pPr>
    </w:p>
    <w:p w14:paraId="57F883ED">
      <w:pPr>
        <w:rPr>
          <w:rFonts w:ascii="宋体" w:hAnsi="宋体" w:cs="宋体"/>
          <w:bCs/>
          <w:color w:val="auto"/>
        </w:rPr>
      </w:pPr>
      <w:bookmarkStart w:id="34" w:name="_Toc19089"/>
      <w:bookmarkStart w:id="35" w:name="_Toc5950"/>
      <w:r>
        <w:rPr>
          <w:rFonts w:hint="eastAsia" w:ascii="宋体" w:hAnsi="宋体" w:cs="宋体"/>
          <w:bCs/>
          <w:color w:val="auto"/>
        </w:rPr>
        <w:br w:type="page"/>
      </w:r>
    </w:p>
    <w:p w14:paraId="404DE658">
      <w:pPr>
        <w:spacing w:line="520" w:lineRule="exact"/>
        <w:outlineLvl w:val="0"/>
        <w:rPr>
          <w:rFonts w:ascii="宋体" w:hAnsi="宋体" w:cs="宋体"/>
          <w:bCs/>
          <w:color w:val="auto"/>
        </w:rPr>
      </w:pPr>
      <w:r>
        <w:rPr>
          <w:rFonts w:hint="eastAsia" w:ascii="宋体" w:hAnsi="宋体" w:cs="宋体"/>
          <w:bCs/>
          <w:color w:val="auto"/>
        </w:rPr>
        <w:t>附件五：</w:t>
      </w:r>
      <w:bookmarkEnd w:id="34"/>
      <w:bookmarkEnd w:id="35"/>
    </w:p>
    <w:p w14:paraId="7BBA13F5">
      <w:pPr>
        <w:rPr>
          <w:color w:val="auto"/>
        </w:rPr>
      </w:pPr>
    </w:p>
    <w:p w14:paraId="6A1457C4">
      <w:pPr>
        <w:spacing w:line="500" w:lineRule="exact"/>
        <w:jc w:val="center"/>
        <w:rPr>
          <w:rFonts w:ascii="宋体" w:hAnsi="宋体" w:cs="宋体"/>
          <w:b/>
          <w:bCs/>
          <w:color w:val="auto"/>
          <w:sz w:val="44"/>
          <w:szCs w:val="44"/>
        </w:rPr>
      </w:pPr>
      <w:r>
        <w:rPr>
          <w:rFonts w:hint="eastAsia" w:ascii="宋体" w:hAnsi="宋体" w:cs="宋体"/>
          <w:b/>
          <w:bCs/>
          <w:color w:val="auto"/>
          <w:sz w:val="44"/>
          <w:szCs w:val="44"/>
        </w:rPr>
        <w:t>授权委托书</w:t>
      </w:r>
    </w:p>
    <w:p w14:paraId="6B07AC06">
      <w:pPr>
        <w:pStyle w:val="2"/>
        <w:rPr>
          <w:rFonts w:hAnsi="宋体" w:cs="宋体"/>
          <w:color w:val="auto"/>
        </w:rPr>
      </w:pPr>
    </w:p>
    <w:p w14:paraId="57F18F1E">
      <w:pPr>
        <w:spacing w:line="360" w:lineRule="auto"/>
        <w:rPr>
          <w:rFonts w:ascii="宋体" w:hAnsi="宋体" w:cs="宋体"/>
          <w:color w:val="auto"/>
        </w:rPr>
      </w:pPr>
      <w:r>
        <w:rPr>
          <w:rFonts w:hint="eastAsia" w:ascii="宋体" w:hAnsi="宋体" w:cs="宋体"/>
          <w:color w:val="auto"/>
        </w:rPr>
        <w:t>致</w:t>
      </w:r>
      <w:r>
        <w:rPr>
          <w:rFonts w:hint="eastAsia"/>
          <w:color w:val="auto"/>
          <w:u w:val="single"/>
        </w:rPr>
        <w:t>天台县综合行政执法局</w:t>
      </w:r>
      <w:r>
        <w:rPr>
          <w:rFonts w:hint="eastAsia" w:ascii="宋体" w:hAnsi="宋体" w:cs="宋体"/>
          <w:color w:val="auto"/>
        </w:rPr>
        <w:t>：</w:t>
      </w:r>
    </w:p>
    <w:p w14:paraId="720B7A85">
      <w:pPr>
        <w:snapToGrid w:val="0"/>
        <w:spacing w:before="165" w:beforeLines="50" w:after="50" w:line="360" w:lineRule="auto"/>
        <w:ind w:firstLine="480" w:firstLineChars="200"/>
        <w:rPr>
          <w:rFonts w:ascii="宋体" w:hAnsi="宋体" w:cs="宋体"/>
          <w:color w:val="auto"/>
        </w:rPr>
      </w:pPr>
      <w:r>
        <w:rPr>
          <w:rFonts w:hint="eastAsia" w:ascii="宋体" w:hAnsi="宋体" w:cs="宋体"/>
          <w:color w:val="auto"/>
        </w:rPr>
        <w:t>我</w:t>
      </w:r>
      <w:r>
        <w:rPr>
          <w:rFonts w:hint="eastAsia" w:ascii="宋体" w:hAnsi="宋体" w:cs="宋体"/>
          <w:color w:val="auto"/>
          <w:u w:val="single"/>
        </w:rPr>
        <w:t xml:space="preserve">           </w:t>
      </w:r>
      <w:r>
        <w:rPr>
          <w:rFonts w:hint="eastAsia" w:ascii="宋体" w:hAnsi="宋体" w:cs="宋体"/>
          <w:color w:val="auto"/>
        </w:rPr>
        <w:t>（姓名）系</w:t>
      </w:r>
      <w:r>
        <w:rPr>
          <w:rFonts w:hint="eastAsia" w:ascii="宋体" w:hAnsi="宋体" w:cs="宋体"/>
          <w:color w:val="auto"/>
          <w:u w:val="single"/>
        </w:rPr>
        <w:t xml:space="preserve">              </w:t>
      </w:r>
      <w:r>
        <w:rPr>
          <w:rFonts w:hint="eastAsia" w:ascii="宋体" w:hAnsi="宋体" w:cs="宋体"/>
          <w:color w:val="auto"/>
        </w:rPr>
        <w:t>（投标人名称）的法定代表人（负责人），现授权委托本单位在职职工</w:t>
      </w:r>
      <w:r>
        <w:rPr>
          <w:rFonts w:hint="eastAsia" w:ascii="宋体" w:hAnsi="宋体" w:cs="宋体"/>
          <w:color w:val="auto"/>
          <w:u w:val="single"/>
        </w:rPr>
        <w:t xml:space="preserve">        </w:t>
      </w:r>
      <w:r>
        <w:rPr>
          <w:rFonts w:hint="eastAsia" w:ascii="宋体" w:hAnsi="宋体" w:cs="宋体"/>
          <w:color w:val="auto"/>
        </w:rPr>
        <w:t>（姓名）以我方的名义参加</w:t>
      </w:r>
      <w:r>
        <w:rPr>
          <w:rFonts w:hint="eastAsia" w:ascii="宋体" w:hAnsi="宋体" w:cs="宋体"/>
          <w:color w:val="auto"/>
          <w:u w:val="single"/>
          <w:lang w:eastAsia="zh-CN"/>
        </w:rPr>
        <w:t>天台县综合行政执法局物业两金公款竞争性存放2025年（第2期）</w:t>
      </w:r>
      <w:r>
        <w:rPr>
          <w:rFonts w:hint="eastAsia" w:ascii="宋体" w:hAnsi="宋体" w:cs="宋体"/>
          <w:color w:val="auto"/>
          <w:u w:val="single"/>
        </w:rPr>
        <w:t xml:space="preserve"> </w:t>
      </w:r>
      <w:r>
        <w:rPr>
          <w:rFonts w:hint="eastAsia" w:ascii="宋体" w:hAnsi="宋体" w:cs="宋体"/>
          <w:color w:val="auto"/>
        </w:rPr>
        <w:t>的投标活动，并代表我方全权办理针对上述项目的投标、开标、评标、签约等具体事务和签署相关文件。</w:t>
      </w:r>
    </w:p>
    <w:p w14:paraId="00A19CA4">
      <w:pPr>
        <w:snapToGrid w:val="0"/>
        <w:spacing w:before="165" w:beforeLines="50" w:after="50" w:line="360" w:lineRule="auto"/>
        <w:ind w:firstLine="480" w:firstLineChars="200"/>
        <w:rPr>
          <w:rFonts w:ascii="宋体" w:hAnsi="宋体" w:cs="宋体"/>
          <w:color w:val="auto"/>
        </w:rPr>
      </w:pPr>
      <w:r>
        <w:rPr>
          <w:rFonts w:hint="eastAsia" w:ascii="宋体" w:hAnsi="宋体" w:cs="宋体"/>
          <w:color w:val="auto"/>
        </w:rPr>
        <w:t>我方对委托代理人的签名负全部责任。</w:t>
      </w:r>
    </w:p>
    <w:p w14:paraId="574DCC54">
      <w:pPr>
        <w:spacing w:line="360" w:lineRule="auto"/>
        <w:ind w:firstLine="480" w:firstLineChars="200"/>
        <w:rPr>
          <w:rFonts w:ascii="宋体" w:hAnsi="宋体" w:cs="宋体"/>
          <w:color w:val="auto"/>
        </w:rPr>
      </w:pPr>
      <w:r>
        <w:rPr>
          <w:rFonts w:hint="eastAsia" w:ascii="宋体" w:hAnsi="宋体" w:cs="宋体"/>
          <w:color w:val="auto"/>
        </w:rPr>
        <w:t>委托期限：</w:t>
      </w:r>
      <w:r>
        <w:rPr>
          <w:rFonts w:hint="eastAsia" w:ascii="宋体" w:hAnsi="宋体" w:cs="宋体"/>
          <w:color w:val="auto"/>
          <w:u w:val="single"/>
        </w:rPr>
        <w:t xml:space="preserve">                      </w:t>
      </w:r>
      <w:r>
        <w:rPr>
          <w:rFonts w:hint="eastAsia" w:ascii="宋体" w:hAnsi="宋体" w:cs="宋体"/>
          <w:color w:val="auto"/>
        </w:rPr>
        <w:t>。委托代理人在授权书有效期内签署的所有文件不因授权的撤销而失效。</w:t>
      </w:r>
    </w:p>
    <w:p w14:paraId="05EA8549">
      <w:pPr>
        <w:snapToGrid w:val="0"/>
        <w:spacing w:before="165" w:beforeLines="50" w:after="50" w:line="360" w:lineRule="auto"/>
        <w:ind w:firstLine="480" w:firstLineChars="200"/>
        <w:rPr>
          <w:rFonts w:ascii="宋体" w:hAnsi="宋体" w:cs="宋体"/>
          <w:color w:val="auto"/>
        </w:rPr>
      </w:pPr>
      <w:r>
        <w:rPr>
          <w:rFonts w:hint="eastAsia" w:ascii="宋体" w:hAnsi="宋体" w:cs="宋体"/>
          <w:color w:val="auto"/>
        </w:rPr>
        <w:t>委托代理人无转委托权，特此委托。</w:t>
      </w:r>
    </w:p>
    <w:p w14:paraId="2A05FF59">
      <w:pPr>
        <w:spacing w:line="500" w:lineRule="exact"/>
        <w:ind w:firstLine="2640" w:firstLineChars="1100"/>
        <w:rPr>
          <w:rFonts w:ascii="宋体" w:hAnsi="宋体" w:cs="宋体"/>
          <w:color w:val="auto"/>
        </w:rPr>
      </w:pPr>
      <w:r>
        <w:rPr>
          <w:rFonts w:hint="eastAsia" w:ascii="宋体" w:hAnsi="宋体" w:cs="宋体"/>
          <w:color w:val="auto"/>
        </w:rPr>
        <w:t xml:space="preserve">投标人全称： </w:t>
      </w:r>
      <w:r>
        <w:rPr>
          <w:rFonts w:hint="eastAsia" w:ascii="宋体" w:hAnsi="宋体" w:cs="宋体"/>
          <w:color w:val="auto"/>
          <w:u w:val="single"/>
        </w:rPr>
        <w:t xml:space="preserve">                         </w:t>
      </w:r>
      <w:r>
        <w:rPr>
          <w:rFonts w:hint="eastAsia" w:ascii="宋体" w:hAnsi="宋体" w:cs="宋体"/>
          <w:color w:val="auto"/>
        </w:rPr>
        <w:t>（盖公章）</w:t>
      </w:r>
    </w:p>
    <w:p w14:paraId="4AF2BBD5">
      <w:pPr>
        <w:spacing w:line="500" w:lineRule="exact"/>
        <w:rPr>
          <w:rFonts w:ascii="宋体" w:hAnsi="宋体" w:cs="宋体"/>
          <w:color w:val="auto"/>
        </w:rPr>
      </w:pPr>
      <w:r>
        <w:rPr>
          <w:rFonts w:hint="eastAsia" w:ascii="宋体" w:hAnsi="宋体" w:cs="宋体"/>
          <w:color w:val="auto"/>
        </w:rPr>
        <w:t xml:space="preserve">                      法定代表人（负责人）：</w:t>
      </w:r>
      <w:r>
        <w:rPr>
          <w:rFonts w:hint="eastAsia" w:ascii="宋体" w:hAnsi="宋体" w:cs="宋体"/>
          <w:color w:val="auto"/>
          <w:u w:val="single"/>
        </w:rPr>
        <w:t xml:space="preserve">                 </w:t>
      </w:r>
      <w:r>
        <w:rPr>
          <w:rFonts w:hint="eastAsia" w:ascii="宋体" w:hAnsi="宋体" w:cs="宋体"/>
          <w:color w:val="auto"/>
        </w:rPr>
        <w:t>（签字或盖章）</w:t>
      </w:r>
    </w:p>
    <w:p w14:paraId="30F0D43B">
      <w:pPr>
        <w:spacing w:line="500" w:lineRule="exact"/>
        <w:ind w:firstLine="2640" w:firstLineChars="1100"/>
        <w:rPr>
          <w:rFonts w:ascii="宋体" w:hAnsi="宋体" w:cs="宋体"/>
          <w:color w:val="auto"/>
        </w:rPr>
      </w:pPr>
      <w:r>
        <w:rPr>
          <w:rFonts w:hint="eastAsia" w:ascii="宋体" w:hAnsi="宋体" w:cs="宋体"/>
          <w:color w:val="auto"/>
        </w:rPr>
        <w:t>身份证号码：</w:t>
      </w:r>
      <w:r>
        <w:rPr>
          <w:rFonts w:hint="eastAsia" w:ascii="宋体" w:hAnsi="宋体" w:cs="宋体"/>
          <w:color w:val="auto"/>
          <w:u w:val="single"/>
        </w:rPr>
        <w:t xml:space="preserve">                                     </w:t>
      </w:r>
    </w:p>
    <w:p w14:paraId="164B5528">
      <w:pPr>
        <w:spacing w:line="520" w:lineRule="exact"/>
        <w:rPr>
          <w:rFonts w:ascii="宋体" w:hAnsi="宋体" w:cs="宋体"/>
          <w:color w:val="auto"/>
        </w:rPr>
      </w:pPr>
      <w:r>
        <w:rPr>
          <w:rFonts w:hint="eastAsia" w:ascii="宋体" w:hAnsi="宋体" w:cs="宋体"/>
          <w:color w:val="auto"/>
        </w:rPr>
        <w:t>附：</w:t>
      </w:r>
    </w:p>
    <w:p w14:paraId="709BBB86">
      <w:pPr>
        <w:spacing w:line="420" w:lineRule="exact"/>
        <w:ind w:firstLine="560"/>
        <w:rPr>
          <w:rFonts w:ascii="宋体" w:hAnsi="宋体" w:cs="宋体"/>
          <w:color w:val="auto"/>
        </w:rPr>
      </w:pPr>
      <w:r>
        <w:rPr>
          <w:rFonts w:hint="eastAsia" w:ascii="宋体" w:hAnsi="宋体" w:cs="宋体"/>
          <w:color w:val="auto"/>
        </w:rPr>
        <w:t xml:space="preserve">委托代理人姓名：  </w:t>
      </w:r>
      <w:r>
        <w:rPr>
          <w:rFonts w:hint="eastAsia" w:ascii="宋体" w:hAnsi="宋体" w:cs="宋体"/>
          <w:color w:val="auto"/>
          <w:u w:val="single"/>
        </w:rPr>
        <w:t xml:space="preserve">                           </w:t>
      </w:r>
      <w:r>
        <w:rPr>
          <w:rFonts w:hint="eastAsia" w:ascii="宋体" w:hAnsi="宋体" w:cs="宋体"/>
          <w:color w:val="auto"/>
        </w:rPr>
        <w:t xml:space="preserve">           </w:t>
      </w:r>
    </w:p>
    <w:p w14:paraId="50C55B13">
      <w:pPr>
        <w:spacing w:line="420" w:lineRule="exact"/>
        <w:ind w:firstLine="560"/>
        <w:rPr>
          <w:rFonts w:ascii="宋体" w:hAnsi="宋体" w:cs="宋体"/>
          <w:color w:val="auto"/>
        </w:rPr>
      </w:pPr>
      <w:r>
        <w:rPr>
          <w:rFonts w:hint="eastAsia" w:ascii="宋体" w:hAnsi="宋体" w:cs="宋体"/>
          <w:color w:val="auto"/>
        </w:rPr>
        <w:t xml:space="preserve">身份证号码：  </w:t>
      </w:r>
      <w:r>
        <w:rPr>
          <w:rFonts w:hint="eastAsia" w:ascii="宋体" w:hAnsi="宋体" w:cs="宋体"/>
          <w:color w:val="auto"/>
          <w:u w:val="single"/>
        </w:rPr>
        <w:t xml:space="preserve">                               </w:t>
      </w:r>
      <w:r>
        <w:rPr>
          <w:rFonts w:hint="eastAsia" w:ascii="宋体" w:hAnsi="宋体" w:cs="宋体"/>
          <w:color w:val="auto"/>
        </w:rPr>
        <w:t xml:space="preserve">                    </w:t>
      </w:r>
    </w:p>
    <w:p w14:paraId="4BB3DE26">
      <w:pPr>
        <w:spacing w:line="420" w:lineRule="exact"/>
        <w:ind w:firstLine="560"/>
        <w:rPr>
          <w:rFonts w:ascii="宋体" w:hAnsi="宋体" w:cs="宋体"/>
          <w:color w:val="auto"/>
        </w:rPr>
      </w:pPr>
      <w:r>
        <w:rPr>
          <w:rFonts w:hint="eastAsia" w:ascii="宋体" w:hAnsi="宋体" w:cs="宋体"/>
          <w:color w:val="auto"/>
        </w:rPr>
        <w:t xml:space="preserve">联系电话： </w:t>
      </w:r>
      <w:r>
        <w:rPr>
          <w:rFonts w:hint="eastAsia" w:ascii="宋体" w:hAnsi="宋体" w:cs="宋体"/>
          <w:color w:val="auto"/>
          <w:u w:val="single"/>
        </w:rPr>
        <w:t xml:space="preserve">                                  </w:t>
      </w:r>
      <w:r>
        <w:rPr>
          <w:rFonts w:hint="eastAsia" w:ascii="宋体" w:hAnsi="宋体" w:cs="宋体"/>
          <w:color w:val="auto"/>
        </w:rPr>
        <w:t xml:space="preserve">                  </w:t>
      </w:r>
    </w:p>
    <w:p w14:paraId="51484C45">
      <w:pPr>
        <w:spacing w:line="460" w:lineRule="exact"/>
        <w:rPr>
          <w:rFonts w:ascii="宋体" w:hAnsi="宋体" w:cs="宋体"/>
          <w:color w:val="auto"/>
        </w:rPr>
      </w:pPr>
      <w:r>
        <w:rPr>
          <w:rFonts w:hint="eastAsia" w:ascii="宋体" w:hAnsi="宋体" w:cs="宋体"/>
          <w:color w:val="auto"/>
        </w:rPr>
        <w:t xml:space="preserve">                                                   年     月    日</w:t>
      </w:r>
    </w:p>
    <w:tbl>
      <w:tblPr>
        <w:tblStyle w:val="19"/>
        <w:tblpPr w:leftFromText="180" w:rightFromText="180" w:vertAnchor="text" w:horzAnchor="page" w:tblpXSpec="center" w:tblpY="714"/>
        <w:tblOverlap w:val="never"/>
        <w:tblW w:w="58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297E8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6" w:type="dxa"/>
            <w:tcBorders>
              <w:tl2br w:val="nil"/>
              <w:tr2bl w:val="nil"/>
            </w:tcBorders>
          </w:tcPr>
          <w:p w14:paraId="40CCB0EA">
            <w:pPr>
              <w:pStyle w:val="29"/>
              <w:adjustRightInd w:val="0"/>
              <w:snapToGrid w:val="0"/>
              <w:ind w:left="5250" w:firstLine="420" w:firstLineChars="200"/>
              <w:rPr>
                <w:rFonts w:ascii="宋体" w:hAnsi="宋体" w:cs="宋体"/>
                <w:color w:val="auto"/>
                <w:szCs w:val="21"/>
              </w:rPr>
            </w:pPr>
            <w:r>
              <w:rPr>
                <w:rFonts w:hint="eastAsia" w:ascii="宋体" w:hAnsi="宋体" w:cs="宋体"/>
                <w:color w:val="auto"/>
                <w:szCs w:val="21"/>
              </w:rPr>
              <w:t xml:space="preserve">            </w:t>
            </w:r>
          </w:p>
          <w:p w14:paraId="199B673E">
            <w:pPr>
              <w:pStyle w:val="29"/>
              <w:adjustRightInd w:val="0"/>
              <w:snapToGrid w:val="0"/>
              <w:ind w:firstLine="210"/>
              <w:jc w:val="center"/>
              <w:rPr>
                <w:rFonts w:ascii="宋体" w:hAnsi="宋体" w:cs="宋体"/>
                <w:color w:val="auto"/>
                <w:szCs w:val="21"/>
              </w:rPr>
            </w:pPr>
            <w:r>
              <w:rPr>
                <w:rFonts w:hint="eastAsia" w:ascii="宋体" w:hAnsi="宋体" w:cs="宋体"/>
                <w:color w:val="auto"/>
                <w:szCs w:val="21"/>
              </w:rPr>
              <w:t>附：委托代理人有效身份证正、反面复印件</w:t>
            </w:r>
          </w:p>
          <w:p w14:paraId="412BC90B">
            <w:pPr>
              <w:pStyle w:val="29"/>
              <w:adjustRightInd w:val="0"/>
              <w:snapToGrid w:val="0"/>
              <w:ind w:left="5250" w:firstLine="420" w:firstLineChars="200"/>
              <w:rPr>
                <w:rFonts w:ascii="宋体" w:hAnsi="宋体" w:cs="宋体"/>
                <w:color w:val="auto"/>
                <w:szCs w:val="21"/>
              </w:rPr>
            </w:pPr>
          </w:p>
          <w:p w14:paraId="569E93EB">
            <w:pPr>
              <w:pStyle w:val="29"/>
              <w:adjustRightInd w:val="0"/>
              <w:snapToGrid w:val="0"/>
              <w:ind w:left="5250" w:firstLine="420" w:firstLineChars="200"/>
              <w:rPr>
                <w:rFonts w:ascii="宋体" w:hAnsi="宋体" w:cs="宋体"/>
                <w:color w:val="auto"/>
                <w:szCs w:val="21"/>
              </w:rPr>
            </w:pPr>
          </w:p>
          <w:p w14:paraId="7AB0EE12">
            <w:pPr>
              <w:pStyle w:val="29"/>
              <w:adjustRightInd w:val="0"/>
              <w:snapToGrid w:val="0"/>
              <w:ind w:left="5250" w:firstLine="420" w:firstLineChars="200"/>
              <w:rPr>
                <w:rFonts w:ascii="宋体" w:hAnsi="宋体" w:cs="宋体"/>
                <w:color w:val="auto"/>
                <w:szCs w:val="21"/>
              </w:rPr>
            </w:pPr>
          </w:p>
          <w:p w14:paraId="00350D75">
            <w:pPr>
              <w:pStyle w:val="29"/>
              <w:adjustRightInd w:val="0"/>
              <w:snapToGrid w:val="0"/>
              <w:ind w:left="5250" w:firstLine="420" w:firstLineChars="200"/>
              <w:rPr>
                <w:rFonts w:ascii="宋体" w:hAnsi="宋体" w:cs="宋体"/>
                <w:color w:val="auto"/>
                <w:szCs w:val="21"/>
              </w:rPr>
            </w:pPr>
          </w:p>
          <w:p w14:paraId="79E31C42">
            <w:pPr>
              <w:pStyle w:val="29"/>
              <w:adjustRightInd w:val="0"/>
              <w:snapToGrid w:val="0"/>
              <w:ind w:left="5250" w:firstLine="420" w:firstLineChars="200"/>
              <w:rPr>
                <w:rFonts w:ascii="宋体" w:hAnsi="宋体" w:cs="宋体"/>
                <w:color w:val="auto"/>
                <w:szCs w:val="21"/>
              </w:rPr>
            </w:pPr>
          </w:p>
          <w:p w14:paraId="773FC82F">
            <w:pPr>
              <w:pStyle w:val="29"/>
              <w:adjustRightInd w:val="0"/>
              <w:snapToGrid w:val="0"/>
              <w:ind w:left="5250" w:firstLine="420" w:firstLineChars="200"/>
              <w:rPr>
                <w:rFonts w:ascii="宋体" w:hAnsi="宋体" w:cs="宋体"/>
                <w:color w:val="auto"/>
                <w:szCs w:val="21"/>
              </w:rPr>
            </w:pPr>
          </w:p>
        </w:tc>
      </w:tr>
    </w:tbl>
    <w:p w14:paraId="0C8B0CB9">
      <w:pPr>
        <w:pStyle w:val="29"/>
        <w:ind w:firstLine="210"/>
        <w:rPr>
          <w:rFonts w:ascii="宋体" w:hAnsi="宋体" w:cs="宋体"/>
          <w:color w:val="auto"/>
          <w:szCs w:val="21"/>
        </w:rPr>
      </w:pPr>
    </w:p>
    <w:p w14:paraId="53733016">
      <w:pPr>
        <w:rPr>
          <w:color w:val="auto"/>
        </w:rPr>
        <w:sectPr>
          <w:headerReference r:id="rId9" w:type="default"/>
          <w:footerReference r:id="rId10" w:type="default"/>
          <w:pgSz w:w="11905" w:h="16838"/>
          <w:pgMar w:top="1361" w:right="1587" w:bottom="1361" w:left="1587" w:header="510" w:footer="1020" w:gutter="0"/>
          <w:pgNumType w:fmt="decimal"/>
          <w:cols w:space="0" w:num="1"/>
          <w:docGrid w:type="lines" w:linePitch="330" w:charSpace="0"/>
        </w:sectPr>
      </w:pPr>
    </w:p>
    <w:p w14:paraId="3DB29FE9">
      <w:pPr>
        <w:rPr>
          <w:rFonts w:ascii="宋体" w:hAnsi="宋体" w:cs="宋体"/>
          <w:bCs/>
          <w:color w:val="auto"/>
        </w:rPr>
      </w:pPr>
      <w:bookmarkStart w:id="36" w:name="_Toc27912"/>
      <w:bookmarkStart w:id="37" w:name="_Toc17798"/>
      <w:r>
        <w:rPr>
          <w:rFonts w:hint="eastAsia" w:ascii="宋体" w:hAnsi="宋体" w:cs="宋体"/>
          <w:bCs/>
          <w:color w:val="auto"/>
        </w:rPr>
        <w:t>附件</w:t>
      </w:r>
      <w:bookmarkEnd w:id="36"/>
      <w:bookmarkEnd w:id="37"/>
      <w:r>
        <w:rPr>
          <w:rFonts w:hint="eastAsia" w:ascii="宋体" w:hAnsi="宋体" w:cs="宋体"/>
          <w:bCs/>
          <w:color w:val="auto"/>
        </w:rPr>
        <w:t>六：</w:t>
      </w:r>
    </w:p>
    <w:p w14:paraId="7F05D8E0">
      <w:pPr>
        <w:jc w:val="center"/>
        <w:rPr>
          <w:rStyle w:val="24"/>
          <w:color w:val="auto"/>
        </w:rPr>
      </w:pPr>
    </w:p>
    <w:p w14:paraId="6A21E7F7">
      <w:pPr>
        <w:jc w:val="center"/>
        <w:rPr>
          <w:rStyle w:val="24"/>
          <w:color w:val="auto"/>
        </w:rPr>
      </w:pPr>
      <w:r>
        <w:rPr>
          <w:rStyle w:val="24"/>
          <w:rFonts w:hint="eastAsia"/>
          <w:color w:val="auto"/>
        </w:rPr>
        <w:t>廉政承诺书</w:t>
      </w:r>
    </w:p>
    <w:p w14:paraId="207B55D4">
      <w:pPr>
        <w:pStyle w:val="7"/>
        <w:rPr>
          <w:color w:val="auto"/>
        </w:rPr>
      </w:pPr>
    </w:p>
    <w:p w14:paraId="6086E581">
      <w:pPr>
        <w:spacing w:line="480" w:lineRule="auto"/>
        <w:rPr>
          <w:rStyle w:val="24"/>
          <w:rFonts w:ascii="宋体" w:hAnsi="宋体" w:cs="宋体"/>
          <w:b w:val="0"/>
          <w:bCs w:val="0"/>
          <w:color w:val="auto"/>
          <w:sz w:val="24"/>
          <w:szCs w:val="24"/>
        </w:rPr>
      </w:pPr>
      <w:r>
        <w:rPr>
          <w:rFonts w:hint="eastAsia"/>
          <w:color w:val="auto"/>
          <w:u w:val="single"/>
        </w:rPr>
        <w:t>天台县综合行政执法局</w:t>
      </w:r>
      <w:r>
        <w:rPr>
          <w:rStyle w:val="24"/>
          <w:rFonts w:hint="eastAsia" w:ascii="宋体" w:hAnsi="宋体" w:cs="宋体"/>
          <w:b w:val="0"/>
          <w:bCs w:val="0"/>
          <w:color w:val="auto"/>
          <w:sz w:val="24"/>
          <w:szCs w:val="24"/>
          <w:u w:val="single"/>
        </w:rPr>
        <w:t xml:space="preserve"> </w:t>
      </w:r>
      <w:r>
        <w:rPr>
          <w:rStyle w:val="24"/>
          <w:rFonts w:hint="eastAsia" w:ascii="宋体" w:hAnsi="宋体" w:cs="宋体"/>
          <w:b w:val="0"/>
          <w:bCs w:val="0"/>
          <w:color w:val="auto"/>
          <w:sz w:val="24"/>
          <w:szCs w:val="24"/>
        </w:rPr>
        <w:t>：</w:t>
      </w:r>
    </w:p>
    <w:p w14:paraId="384E1EA2">
      <w:pPr>
        <w:spacing w:line="480" w:lineRule="auto"/>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 xml:space="preserve">    根据《财政部关于进一步加强财政部门和预算单位资金存放管理的指导意见》（财库〔2017〕76号）、《天台县人民政府办公室关于印发天台县行政事业单位公款竞争性存放管理办法的通知》（天政办发〔2022〕23号）相关规定，现就本行参加贵单位的</w:t>
      </w:r>
      <w:r>
        <w:rPr>
          <w:rFonts w:hint="eastAsia" w:ascii="宋体" w:hAnsi="宋体" w:cs="宋体"/>
          <w:color w:val="auto"/>
          <w:u w:val="single"/>
          <w:lang w:eastAsia="zh-CN"/>
        </w:rPr>
        <w:t>天台县综合行政执法局物业两金公款竞争性存放2025年（第2期）</w:t>
      </w:r>
      <w:r>
        <w:rPr>
          <w:rStyle w:val="24"/>
          <w:rFonts w:hint="eastAsia" w:ascii="宋体" w:hAnsi="宋体" w:cs="宋体"/>
          <w:b w:val="0"/>
          <w:bCs w:val="0"/>
          <w:color w:val="auto"/>
          <w:sz w:val="24"/>
          <w:szCs w:val="24"/>
        </w:rPr>
        <w:t>作出如下承诺：</w:t>
      </w:r>
    </w:p>
    <w:p w14:paraId="0D556547">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1、不向贵单位负责公款存放管理的领导及相关人员进行利益输送；</w:t>
      </w:r>
    </w:p>
    <w:p w14:paraId="3F0EDD2C">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2、不将公款存放与贵单位负责公款存放管理的领导及相关人员在本行的配偶、子女及其配偶和其他直接利益相关人员的业绩、收入、晋升等利益挂钩；</w:t>
      </w:r>
    </w:p>
    <w:p w14:paraId="41D5C1D6">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3、严格执行利益回避制度，贵单位负责公款竞争性存放相关人员的配偶、子女及其配偶和其他直接利益相关人员为本行工作人员的，不参与公款竞争性存放工作；</w:t>
      </w:r>
    </w:p>
    <w:p w14:paraId="46377EB9">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4、不发生除上述行为之外的其他任何利益输送行为。</w:t>
      </w:r>
    </w:p>
    <w:p w14:paraId="1C3340A1">
      <w:pPr>
        <w:spacing w:line="480" w:lineRule="auto"/>
        <w:ind w:firstLine="480" w:firstLineChars="200"/>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未遵守以上承诺的，本行自愿接受财政部门通报和处理，承担相应的一切后果。</w:t>
      </w:r>
    </w:p>
    <w:p w14:paraId="6BDC2A82">
      <w:pPr>
        <w:pStyle w:val="7"/>
        <w:rPr>
          <w:rStyle w:val="24"/>
          <w:rFonts w:ascii="宋体" w:hAnsi="宋体" w:cs="宋体"/>
          <w:b w:val="0"/>
          <w:bCs w:val="0"/>
          <w:color w:val="auto"/>
          <w:sz w:val="24"/>
          <w:szCs w:val="24"/>
        </w:rPr>
      </w:pPr>
    </w:p>
    <w:p w14:paraId="490B68BC">
      <w:pPr>
        <w:pStyle w:val="8"/>
        <w:ind w:firstLine="720"/>
        <w:rPr>
          <w:color w:val="auto"/>
          <w:sz w:val="36"/>
          <w:szCs w:val="28"/>
        </w:rPr>
      </w:pPr>
    </w:p>
    <w:p w14:paraId="04604351">
      <w:pPr>
        <w:spacing w:line="480" w:lineRule="auto"/>
        <w:ind w:firstLine="420"/>
        <w:jc w:val="right"/>
        <w:rPr>
          <w:rStyle w:val="24"/>
          <w:rFonts w:ascii="宋体" w:hAnsi="宋体" w:cs="宋体"/>
          <w:b w:val="0"/>
          <w:bCs w:val="0"/>
          <w:color w:val="auto"/>
          <w:sz w:val="24"/>
          <w:szCs w:val="24"/>
        </w:rPr>
      </w:pPr>
      <w:r>
        <w:rPr>
          <w:rStyle w:val="24"/>
          <w:rFonts w:hint="eastAsia" w:ascii="宋体" w:hAnsi="宋体" w:cs="宋体"/>
          <w:b w:val="0"/>
          <w:bCs w:val="0"/>
          <w:color w:val="auto"/>
          <w:sz w:val="24"/>
          <w:szCs w:val="24"/>
          <w:u w:val="single"/>
        </w:rPr>
        <w:t xml:space="preserve">           </w:t>
      </w:r>
      <w:r>
        <w:rPr>
          <w:rStyle w:val="24"/>
          <w:rFonts w:hint="eastAsia" w:ascii="宋体" w:hAnsi="宋体" w:cs="宋体"/>
          <w:b w:val="0"/>
          <w:bCs w:val="0"/>
          <w:color w:val="auto"/>
          <w:sz w:val="24"/>
          <w:szCs w:val="24"/>
        </w:rPr>
        <w:t>银行（公章）</w:t>
      </w:r>
    </w:p>
    <w:p w14:paraId="068734AD">
      <w:pPr>
        <w:spacing w:line="480" w:lineRule="auto"/>
        <w:ind w:firstLine="1680" w:firstLineChars="700"/>
        <w:jc w:val="right"/>
        <w:rPr>
          <w:rStyle w:val="24"/>
          <w:rFonts w:ascii="宋体" w:hAnsi="宋体" w:cs="宋体"/>
          <w:b w:val="0"/>
          <w:bCs w:val="0"/>
          <w:color w:val="auto"/>
          <w:sz w:val="24"/>
          <w:szCs w:val="24"/>
        </w:rPr>
      </w:pPr>
      <w:r>
        <w:rPr>
          <w:rStyle w:val="24"/>
          <w:rFonts w:hint="eastAsia" w:ascii="宋体" w:hAnsi="宋体" w:cs="宋体"/>
          <w:b w:val="0"/>
          <w:bCs w:val="0"/>
          <w:color w:val="auto"/>
          <w:sz w:val="24"/>
          <w:szCs w:val="24"/>
        </w:rPr>
        <w:t>年     月     日</w:t>
      </w:r>
    </w:p>
    <w:p w14:paraId="76E7B733">
      <w:pPr>
        <w:rPr>
          <w:color w:val="auto"/>
        </w:rPr>
      </w:pPr>
    </w:p>
    <w:sectPr>
      <w:pgSz w:w="11905" w:h="16838"/>
      <w:pgMar w:top="1361" w:right="1587" w:bottom="1361" w:left="1587" w:header="510" w:footer="1020" w:gutter="0"/>
      <w:pgNumType w:fmt="decimal"/>
      <w:cols w:space="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21B6">
    <w:pPr>
      <w:pStyle w:val="12"/>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559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AB67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EAAB67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CAC47">
    <w:pPr>
      <w:pStyle w:val="12"/>
      <w:spacing w:after="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E36D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BE36D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E33E">
    <w:pPr>
      <w:pStyle w:val="12"/>
      <w:spacing w:after="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7558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47558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D11D">
    <w:pPr>
      <w:pStyle w:val="12"/>
      <w:spacing w:after="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2A260">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C2A260">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4880">
    <w:pPr>
      <w:pStyle w:val="13"/>
      <w:pBdr>
        <w:bottom w:val="single" w:color="auto" w:sz="4" w:space="1"/>
      </w:pBdr>
      <w:tabs>
        <w:tab w:val="left" w:pos="7079"/>
      </w:tabs>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A68ED">
    <w:pPr>
      <w:pStyle w:val="13"/>
      <w:pBdr>
        <w:bottom w:val="single" w:color="auto" w:sz="4" w:space="1"/>
      </w:pBdr>
      <w:tabs>
        <w:tab w:val="left" w:pos="7079"/>
      </w:tabs>
      <w:jc w:val="lef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0D74">
    <w:pPr>
      <w:pStyle w:val="13"/>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08C75"/>
    <w:multiLevelType w:val="singleLevel"/>
    <w:tmpl w:val="D1E08C75"/>
    <w:lvl w:ilvl="0" w:tentative="0">
      <w:start w:val="3"/>
      <w:numFmt w:val="decimal"/>
      <w:suff w:val="nothing"/>
      <w:lvlText w:val="%1、"/>
      <w:lvlJc w:val="left"/>
    </w:lvl>
  </w:abstractNum>
  <w:abstractNum w:abstractNumId="1">
    <w:nsid w:val="49DF38BF"/>
    <w:multiLevelType w:val="singleLevel"/>
    <w:tmpl w:val="49DF38BF"/>
    <w:lvl w:ilvl="0" w:tentative="0">
      <w:start w:val="1"/>
      <w:numFmt w:val="decimal"/>
      <w:pStyle w:val="6"/>
      <w:lvlText w:val="%1."/>
      <w:lvlJc w:val="left"/>
      <w:pPr>
        <w:tabs>
          <w:tab w:val="left" w:pos="360"/>
        </w:tabs>
        <w:ind w:left="128" w:hanging="360"/>
      </w:pPr>
    </w:lvl>
  </w:abstractNum>
  <w:abstractNum w:abstractNumId="2">
    <w:nsid w:val="4A9ED1A8"/>
    <w:multiLevelType w:val="singleLevel"/>
    <w:tmpl w:val="4A9ED1A8"/>
    <w:lvl w:ilvl="0" w:tentative="0">
      <w:start w:val="1"/>
      <w:numFmt w:val="chineseCounting"/>
      <w:suff w:val="nothing"/>
      <w:lvlText w:val="%1、"/>
      <w:lvlJc w:val="left"/>
      <w:rPr>
        <w:rFonts w:hint="eastAsia"/>
      </w:rPr>
    </w:lvl>
  </w:abstractNum>
  <w:abstractNum w:abstractNumId="3">
    <w:nsid w:val="4CF43CF6"/>
    <w:multiLevelType w:val="singleLevel"/>
    <w:tmpl w:val="4CF43CF6"/>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OWE3MjQ0ZDdmMjVjNWQxMGRiYTZmY2I2NTAyMzcifQ=="/>
  </w:docVars>
  <w:rsids>
    <w:rsidRoot w:val="47C55573"/>
    <w:rsid w:val="00146077"/>
    <w:rsid w:val="002C1F03"/>
    <w:rsid w:val="00461A56"/>
    <w:rsid w:val="007A7C48"/>
    <w:rsid w:val="00BE248F"/>
    <w:rsid w:val="00C74126"/>
    <w:rsid w:val="00CF6C8B"/>
    <w:rsid w:val="00D1402C"/>
    <w:rsid w:val="00D84253"/>
    <w:rsid w:val="00EC1344"/>
    <w:rsid w:val="00EF7DC8"/>
    <w:rsid w:val="011C44BE"/>
    <w:rsid w:val="012D12A0"/>
    <w:rsid w:val="01640873"/>
    <w:rsid w:val="016753CB"/>
    <w:rsid w:val="01B65E21"/>
    <w:rsid w:val="01C64398"/>
    <w:rsid w:val="01E90BA7"/>
    <w:rsid w:val="02557C87"/>
    <w:rsid w:val="025A704C"/>
    <w:rsid w:val="02B71FE1"/>
    <w:rsid w:val="02E15ECB"/>
    <w:rsid w:val="02E44052"/>
    <w:rsid w:val="02F0575A"/>
    <w:rsid w:val="03267C01"/>
    <w:rsid w:val="03412A41"/>
    <w:rsid w:val="0396003B"/>
    <w:rsid w:val="03F460DD"/>
    <w:rsid w:val="04064989"/>
    <w:rsid w:val="041F3C8F"/>
    <w:rsid w:val="0422003D"/>
    <w:rsid w:val="04710E24"/>
    <w:rsid w:val="0487048E"/>
    <w:rsid w:val="058813DB"/>
    <w:rsid w:val="058B12F1"/>
    <w:rsid w:val="066A6E19"/>
    <w:rsid w:val="0685660C"/>
    <w:rsid w:val="068E4A65"/>
    <w:rsid w:val="06981F62"/>
    <w:rsid w:val="06D27FA8"/>
    <w:rsid w:val="075E3F1D"/>
    <w:rsid w:val="08F71A98"/>
    <w:rsid w:val="095B196D"/>
    <w:rsid w:val="095F3142"/>
    <w:rsid w:val="09ED4C49"/>
    <w:rsid w:val="0A5E7C4F"/>
    <w:rsid w:val="0AA7304A"/>
    <w:rsid w:val="0AB2510E"/>
    <w:rsid w:val="0AEF659D"/>
    <w:rsid w:val="0AF15CB5"/>
    <w:rsid w:val="0B705B32"/>
    <w:rsid w:val="0BAF67BE"/>
    <w:rsid w:val="0C147FFB"/>
    <w:rsid w:val="0C860B1B"/>
    <w:rsid w:val="0C915D60"/>
    <w:rsid w:val="0C970F7A"/>
    <w:rsid w:val="0CEC10A4"/>
    <w:rsid w:val="0CED32DA"/>
    <w:rsid w:val="0D6E7E4F"/>
    <w:rsid w:val="0D802226"/>
    <w:rsid w:val="0D9752D5"/>
    <w:rsid w:val="0DDE3227"/>
    <w:rsid w:val="0F24110D"/>
    <w:rsid w:val="0F59068B"/>
    <w:rsid w:val="0F87344A"/>
    <w:rsid w:val="0FC30A68"/>
    <w:rsid w:val="1006019F"/>
    <w:rsid w:val="10632B65"/>
    <w:rsid w:val="10BD6418"/>
    <w:rsid w:val="10F468BD"/>
    <w:rsid w:val="10FE598E"/>
    <w:rsid w:val="111149D9"/>
    <w:rsid w:val="1128484D"/>
    <w:rsid w:val="128164D8"/>
    <w:rsid w:val="12E668F5"/>
    <w:rsid w:val="13525B1D"/>
    <w:rsid w:val="13CE2BE4"/>
    <w:rsid w:val="13D766D8"/>
    <w:rsid w:val="13EE0E35"/>
    <w:rsid w:val="14DC1B42"/>
    <w:rsid w:val="14F37C05"/>
    <w:rsid w:val="150D6AD0"/>
    <w:rsid w:val="15712BD2"/>
    <w:rsid w:val="15804BC3"/>
    <w:rsid w:val="15ED13B3"/>
    <w:rsid w:val="16112CAF"/>
    <w:rsid w:val="169836C0"/>
    <w:rsid w:val="174F0CF1"/>
    <w:rsid w:val="1840688C"/>
    <w:rsid w:val="185E7A80"/>
    <w:rsid w:val="186260B3"/>
    <w:rsid w:val="186F113A"/>
    <w:rsid w:val="18E37943"/>
    <w:rsid w:val="19E472FA"/>
    <w:rsid w:val="1A2C1EB5"/>
    <w:rsid w:val="1A5D3725"/>
    <w:rsid w:val="1B6C0BB0"/>
    <w:rsid w:val="1B945E69"/>
    <w:rsid w:val="1C616D15"/>
    <w:rsid w:val="1C6F732C"/>
    <w:rsid w:val="1D067FD0"/>
    <w:rsid w:val="1D126D8F"/>
    <w:rsid w:val="1D9350B4"/>
    <w:rsid w:val="1DB5331B"/>
    <w:rsid w:val="1DB55A2B"/>
    <w:rsid w:val="1DCA5D4A"/>
    <w:rsid w:val="1E1137B5"/>
    <w:rsid w:val="1E4F3D8F"/>
    <w:rsid w:val="1E94348E"/>
    <w:rsid w:val="1EBE5A64"/>
    <w:rsid w:val="1ECC70CB"/>
    <w:rsid w:val="1EF07E7F"/>
    <w:rsid w:val="1EF503D0"/>
    <w:rsid w:val="1F557A15"/>
    <w:rsid w:val="1F5E49BB"/>
    <w:rsid w:val="1F737547"/>
    <w:rsid w:val="20246291"/>
    <w:rsid w:val="203200E2"/>
    <w:rsid w:val="20C52024"/>
    <w:rsid w:val="2194620A"/>
    <w:rsid w:val="22327245"/>
    <w:rsid w:val="22B70B00"/>
    <w:rsid w:val="2321171E"/>
    <w:rsid w:val="23256DAA"/>
    <w:rsid w:val="23416F25"/>
    <w:rsid w:val="234175C1"/>
    <w:rsid w:val="23461A2D"/>
    <w:rsid w:val="236B046C"/>
    <w:rsid w:val="23BD6DB1"/>
    <w:rsid w:val="240303CE"/>
    <w:rsid w:val="24256BA9"/>
    <w:rsid w:val="254B4563"/>
    <w:rsid w:val="25A203CD"/>
    <w:rsid w:val="25C575F9"/>
    <w:rsid w:val="25CB3C39"/>
    <w:rsid w:val="266058CE"/>
    <w:rsid w:val="267442D0"/>
    <w:rsid w:val="26D86121"/>
    <w:rsid w:val="26FD42C6"/>
    <w:rsid w:val="2727473A"/>
    <w:rsid w:val="27C400B7"/>
    <w:rsid w:val="27D70F00"/>
    <w:rsid w:val="27D75AD2"/>
    <w:rsid w:val="27FE0CC0"/>
    <w:rsid w:val="287D5C2F"/>
    <w:rsid w:val="287E31E4"/>
    <w:rsid w:val="288325A9"/>
    <w:rsid w:val="28C83E93"/>
    <w:rsid w:val="293E4362"/>
    <w:rsid w:val="29FE511E"/>
    <w:rsid w:val="2A756869"/>
    <w:rsid w:val="2AB4248F"/>
    <w:rsid w:val="2B5F4020"/>
    <w:rsid w:val="2BEF5860"/>
    <w:rsid w:val="2C086B47"/>
    <w:rsid w:val="2C49437B"/>
    <w:rsid w:val="2C740DED"/>
    <w:rsid w:val="2D5704A8"/>
    <w:rsid w:val="2DC638B3"/>
    <w:rsid w:val="2DCF1E03"/>
    <w:rsid w:val="2E7F4CA1"/>
    <w:rsid w:val="2EB3094A"/>
    <w:rsid w:val="2EBF6729"/>
    <w:rsid w:val="2F035385"/>
    <w:rsid w:val="2FC968DD"/>
    <w:rsid w:val="3144398C"/>
    <w:rsid w:val="314923C7"/>
    <w:rsid w:val="31832FF6"/>
    <w:rsid w:val="31C205E6"/>
    <w:rsid w:val="31D86B38"/>
    <w:rsid w:val="31D97D2B"/>
    <w:rsid w:val="320E6206"/>
    <w:rsid w:val="322C0E01"/>
    <w:rsid w:val="323112C7"/>
    <w:rsid w:val="32650772"/>
    <w:rsid w:val="33555826"/>
    <w:rsid w:val="33AB4698"/>
    <w:rsid w:val="33AD02F5"/>
    <w:rsid w:val="347E7446"/>
    <w:rsid w:val="34992CAB"/>
    <w:rsid w:val="34EC7728"/>
    <w:rsid w:val="35531555"/>
    <w:rsid w:val="361B0235"/>
    <w:rsid w:val="362B7746"/>
    <w:rsid w:val="364921AF"/>
    <w:rsid w:val="364C4922"/>
    <w:rsid w:val="36897924"/>
    <w:rsid w:val="36EE1A8A"/>
    <w:rsid w:val="373D2FEC"/>
    <w:rsid w:val="37610547"/>
    <w:rsid w:val="3772660A"/>
    <w:rsid w:val="37C156A9"/>
    <w:rsid w:val="37F30DCD"/>
    <w:rsid w:val="387E4DB3"/>
    <w:rsid w:val="38C66B1E"/>
    <w:rsid w:val="38F442DB"/>
    <w:rsid w:val="39745BCE"/>
    <w:rsid w:val="39EF3F42"/>
    <w:rsid w:val="3A995420"/>
    <w:rsid w:val="3ADB2718"/>
    <w:rsid w:val="3B895D1B"/>
    <w:rsid w:val="3BDF5CF7"/>
    <w:rsid w:val="3C1D2299"/>
    <w:rsid w:val="3C723A45"/>
    <w:rsid w:val="3C7D2665"/>
    <w:rsid w:val="3C9716C1"/>
    <w:rsid w:val="3CA1529C"/>
    <w:rsid w:val="3CAC57C7"/>
    <w:rsid w:val="3D1268BF"/>
    <w:rsid w:val="3D6267D9"/>
    <w:rsid w:val="3D9B618F"/>
    <w:rsid w:val="3E0657F9"/>
    <w:rsid w:val="3E4405D4"/>
    <w:rsid w:val="3EE04BED"/>
    <w:rsid w:val="3EED2A1A"/>
    <w:rsid w:val="3EED6576"/>
    <w:rsid w:val="3F495E3A"/>
    <w:rsid w:val="40645A16"/>
    <w:rsid w:val="406B009A"/>
    <w:rsid w:val="40BD599C"/>
    <w:rsid w:val="40D0614F"/>
    <w:rsid w:val="414416C1"/>
    <w:rsid w:val="42A925A3"/>
    <w:rsid w:val="43967816"/>
    <w:rsid w:val="43A7629C"/>
    <w:rsid w:val="44216F05"/>
    <w:rsid w:val="446472DA"/>
    <w:rsid w:val="44F47B76"/>
    <w:rsid w:val="454E475C"/>
    <w:rsid w:val="45766F3C"/>
    <w:rsid w:val="45A712AE"/>
    <w:rsid w:val="4642189D"/>
    <w:rsid w:val="468C0D6B"/>
    <w:rsid w:val="46943FBE"/>
    <w:rsid w:val="46B04A59"/>
    <w:rsid w:val="475F7935"/>
    <w:rsid w:val="47C55573"/>
    <w:rsid w:val="47D227AD"/>
    <w:rsid w:val="481C0C2E"/>
    <w:rsid w:val="48377D67"/>
    <w:rsid w:val="48622031"/>
    <w:rsid w:val="48DD000E"/>
    <w:rsid w:val="48F3759B"/>
    <w:rsid w:val="494006B2"/>
    <w:rsid w:val="495A247E"/>
    <w:rsid w:val="497E4235"/>
    <w:rsid w:val="49A5461D"/>
    <w:rsid w:val="49BE2D40"/>
    <w:rsid w:val="4AAA7A11"/>
    <w:rsid w:val="4B5D2CD5"/>
    <w:rsid w:val="4BB761D8"/>
    <w:rsid w:val="4C010ED2"/>
    <w:rsid w:val="4C3C35C0"/>
    <w:rsid w:val="4C4C6FD2"/>
    <w:rsid w:val="4C7C718B"/>
    <w:rsid w:val="4C8D6D7B"/>
    <w:rsid w:val="4D2B4E39"/>
    <w:rsid w:val="4D4F2754"/>
    <w:rsid w:val="4DA8700C"/>
    <w:rsid w:val="4DD3102D"/>
    <w:rsid w:val="4DF80A94"/>
    <w:rsid w:val="4E4A5646"/>
    <w:rsid w:val="4EC36999"/>
    <w:rsid w:val="4F5C7A3A"/>
    <w:rsid w:val="4F7D74A2"/>
    <w:rsid w:val="4FAB6039"/>
    <w:rsid w:val="4FAD3616"/>
    <w:rsid w:val="4FF968D4"/>
    <w:rsid w:val="502F3874"/>
    <w:rsid w:val="50827466"/>
    <w:rsid w:val="50C53035"/>
    <w:rsid w:val="50C57353"/>
    <w:rsid w:val="5167665C"/>
    <w:rsid w:val="51D33CF1"/>
    <w:rsid w:val="523F1995"/>
    <w:rsid w:val="52DD28F2"/>
    <w:rsid w:val="53D25D99"/>
    <w:rsid w:val="54570924"/>
    <w:rsid w:val="54745318"/>
    <w:rsid w:val="548412D3"/>
    <w:rsid w:val="54E3323A"/>
    <w:rsid w:val="55604997"/>
    <w:rsid w:val="55894DF3"/>
    <w:rsid w:val="55986DE4"/>
    <w:rsid w:val="561072C2"/>
    <w:rsid w:val="562618F2"/>
    <w:rsid w:val="564A5002"/>
    <w:rsid w:val="566E70FD"/>
    <w:rsid w:val="56914EDB"/>
    <w:rsid w:val="56AD2382"/>
    <w:rsid w:val="56D50837"/>
    <w:rsid w:val="5735214E"/>
    <w:rsid w:val="58175FEC"/>
    <w:rsid w:val="583F3E8F"/>
    <w:rsid w:val="58ED1008"/>
    <w:rsid w:val="591B687F"/>
    <w:rsid w:val="59251C55"/>
    <w:rsid w:val="596F60AE"/>
    <w:rsid w:val="59C17F31"/>
    <w:rsid w:val="5A175497"/>
    <w:rsid w:val="5A982EA3"/>
    <w:rsid w:val="5B845655"/>
    <w:rsid w:val="5BBF4E6E"/>
    <w:rsid w:val="5BCC5C18"/>
    <w:rsid w:val="5C067A0D"/>
    <w:rsid w:val="5D153410"/>
    <w:rsid w:val="5D9A56C3"/>
    <w:rsid w:val="5E291D6F"/>
    <w:rsid w:val="5EA8227D"/>
    <w:rsid w:val="5EB241BB"/>
    <w:rsid w:val="5FD21144"/>
    <w:rsid w:val="609931D4"/>
    <w:rsid w:val="609B54BF"/>
    <w:rsid w:val="60A9459B"/>
    <w:rsid w:val="60AF76D8"/>
    <w:rsid w:val="61475CD4"/>
    <w:rsid w:val="615A03EA"/>
    <w:rsid w:val="616F1713"/>
    <w:rsid w:val="619F4369"/>
    <w:rsid w:val="620624BB"/>
    <w:rsid w:val="620677CB"/>
    <w:rsid w:val="624327CD"/>
    <w:rsid w:val="624D53FA"/>
    <w:rsid w:val="626A0541"/>
    <w:rsid w:val="62B31C0A"/>
    <w:rsid w:val="62D65795"/>
    <w:rsid w:val="62DE02FB"/>
    <w:rsid w:val="63141B26"/>
    <w:rsid w:val="63520F1A"/>
    <w:rsid w:val="635F3E2B"/>
    <w:rsid w:val="636E30CA"/>
    <w:rsid w:val="63EA602F"/>
    <w:rsid w:val="64267752"/>
    <w:rsid w:val="651F307E"/>
    <w:rsid w:val="65295CAB"/>
    <w:rsid w:val="656E6185"/>
    <w:rsid w:val="659B7BB4"/>
    <w:rsid w:val="65E676F8"/>
    <w:rsid w:val="65F82F58"/>
    <w:rsid w:val="66A751CE"/>
    <w:rsid w:val="66AF2085"/>
    <w:rsid w:val="66CC0FE3"/>
    <w:rsid w:val="66E166C9"/>
    <w:rsid w:val="67BA7545"/>
    <w:rsid w:val="67F52149"/>
    <w:rsid w:val="685118EC"/>
    <w:rsid w:val="69022673"/>
    <w:rsid w:val="690D723C"/>
    <w:rsid w:val="6935662F"/>
    <w:rsid w:val="69766FE4"/>
    <w:rsid w:val="69E7503C"/>
    <w:rsid w:val="6A8E37D9"/>
    <w:rsid w:val="6AD2649C"/>
    <w:rsid w:val="6B366E12"/>
    <w:rsid w:val="6B393858"/>
    <w:rsid w:val="6BDD77EF"/>
    <w:rsid w:val="6C3E7336"/>
    <w:rsid w:val="6C4F77F7"/>
    <w:rsid w:val="6CFF6197"/>
    <w:rsid w:val="6D7A1288"/>
    <w:rsid w:val="6D7D3037"/>
    <w:rsid w:val="6DB77BCC"/>
    <w:rsid w:val="6EBE56B6"/>
    <w:rsid w:val="6EDA0016"/>
    <w:rsid w:val="6EF40CD2"/>
    <w:rsid w:val="6F2D3023"/>
    <w:rsid w:val="6F60051B"/>
    <w:rsid w:val="6F974A6B"/>
    <w:rsid w:val="6FA9364C"/>
    <w:rsid w:val="6FAA79E8"/>
    <w:rsid w:val="7020600D"/>
    <w:rsid w:val="703A5210"/>
    <w:rsid w:val="70AB7EBB"/>
    <w:rsid w:val="70B433AE"/>
    <w:rsid w:val="70D86CE6"/>
    <w:rsid w:val="70FB3CB8"/>
    <w:rsid w:val="71712A70"/>
    <w:rsid w:val="72B868C0"/>
    <w:rsid w:val="72BD4C53"/>
    <w:rsid w:val="72C47013"/>
    <w:rsid w:val="72F9674F"/>
    <w:rsid w:val="735D7539"/>
    <w:rsid w:val="73712D68"/>
    <w:rsid w:val="73C53042"/>
    <w:rsid w:val="73D9633B"/>
    <w:rsid w:val="73F16DDB"/>
    <w:rsid w:val="74036B40"/>
    <w:rsid w:val="744D516C"/>
    <w:rsid w:val="74650381"/>
    <w:rsid w:val="746804BA"/>
    <w:rsid w:val="74A30A54"/>
    <w:rsid w:val="755B08FC"/>
    <w:rsid w:val="758D7E0E"/>
    <w:rsid w:val="75E43D9E"/>
    <w:rsid w:val="75E76D44"/>
    <w:rsid w:val="75EF25F8"/>
    <w:rsid w:val="762373BD"/>
    <w:rsid w:val="76302700"/>
    <w:rsid w:val="76A07D97"/>
    <w:rsid w:val="76C07AF1"/>
    <w:rsid w:val="76CA6BC2"/>
    <w:rsid w:val="76FC6A13"/>
    <w:rsid w:val="773D2740"/>
    <w:rsid w:val="776D54AB"/>
    <w:rsid w:val="779A2A38"/>
    <w:rsid w:val="77CE4490"/>
    <w:rsid w:val="77E912C9"/>
    <w:rsid w:val="77F72664"/>
    <w:rsid w:val="78D855C6"/>
    <w:rsid w:val="78E23904"/>
    <w:rsid w:val="78F85C68"/>
    <w:rsid w:val="790B43E4"/>
    <w:rsid w:val="798E3BE4"/>
    <w:rsid w:val="798E4F33"/>
    <w:rsid w:val="7A296D70"/>
    <w:rsid w:val="7A9B1D55"/>
    <w:rsid w:val="7AB3118F"/>
    <w:rsid w:val="7B3F45F0"/>
    <w:rsid w:val="7BDA0B8C"/>
    <w:rsid w:val="7BF155AC"/>
    <w:rsid w:val="7C074744"/>
    <w:rsid w:val="7C381F80"/>
    <w:rsid w:val="7CD42548"/>
    <w:rsid w:val="7CE17D24"/>
    <w:rsid w:val="7D081AB7"/>
    <w:rsid w:val="7DAD5816"/>
    <w:rsid w:val="7E005E46"/>
    <w:rsid w:val="7E2D3106"/>
    <w:rsid w:val="7E973746"/>
    <w:rsid w:val="7E9863A2"/>
    <w:rsid w:val="7ECB15D4"/>
    <w:rsid w:val="7EFF396F"/>
    <w:rsid w:val="7F046698"/>
    <w:rsid w:val="7F451ACC"/>
    <w:rsid w:val="7FF5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4"/>
    <w:qFormat/>
    <w:uiPriority w:val="9"/>
    <w:pPr>
      <w:keepNext/>
      <w:keepLines/>
      <w:spacing w:before="340" w:after="330" w:line="360" w:lineRule="auto"/>
      <w:jc w:val="center"/>
      <w:outlineLvl w:val="0"/>
    </w:pPr>
    <w:rPr>
      <w:b/>
      <w:bCs/>
      <w:kern w:val="44"/>
      <w:sz w:val="32"/>
      <w:szCs w:val="44"/>
    </w:rPr>
  </w:style>
  <w:style w:type="paragraph" w:styleId="4">
    <w:name w:val="heading 2"/>
    <w:basedOn w:val="1"/>
    <w:next w:val="1"/>
    <w:qFormat/>
    <w:uiPriority w:val="0"/>
    <w:pPr>
      <w:keepNext/>
      <w:adjustRightInd w:val="0"/>
      <w:spacing w:line="360" w:lineRule="auto"/>
      <w:jc w:val="center"/>
      <w:outlineLvl w:val="1"/>
    </w:pPr>
    <w:rPr>
      <w:rFonts w:ascii="仿宋_GB2312" w:hAnsi="仿宋_GB2312"/>
      <w:b/>
      <w:kern w:val="0"/>
      <w:szCs w:val="20"/>
    </w:rPr>
  </w:style>
  <w:style w:type="paragraph" w:styleId="5">
    <w:name w:val="heading 3"/>
    <w:basedOn w:val="1"/>
    <w:next w:val="1"/>
    <w:qFormat/>
    <w:uiPriority w:val="0"/>
    <w:pPr>
      <w:tabs>
        <w:tab w:val="left" w:pos="709"/>
      </w:tabs>
      <w:autoSpaceDE w:val="0"/>
      <w:autoSpaceDN w:val="0"/>
      <w:adjustRightInd w:val="0"/>
      <w:spacing w:line="360" w:lineRule="auto"/>
      <w:jc w:val="center"/>
      <w:textAlignment w:val="baseline"/>
      <w:outlineLvl w:val="2"/>
    </w:pPr>
    <w:rPr>
      <w:rFonts w:ascii="黑体" w:hAnsi="黑体"/>
      <w:b/>
      <w:color w:val="000000"/>
      <w:kern w:val="0"/>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 w:val="21"/>
    </w:rPr>
  </w:style>
  <w:style w:type="paragraph" w:styleId="6">
    <w:name w:val="List Number"/>
    <w:basedOn w:val="1"/>
    <w:qFormat/>
    <w:uiPriority w:val="0"/>
    <w:pPr>
      <w:numPr>
        <w:ilvl w:val="0"/>
        <w:numId w:val="1"/>
      </w:numPr>
    </w:pPr>
  </w:style>
  <w:style w:type="paragraph" w:styleId="7">
    <w:name w:val="Body Text"/>
    <w:basedOn w:val="1"/>
    <w:next w:val="8"/>
    <w:qFormat/>
    <w:uiPriority w:val="99"/>
    <w:pPr>
      <w:spacing w:after="120"/>
    </w:pPr>
    <w:rPr>
      <w:szCs w:val="20"/>
    </w:rPr>
  </w:style>
  <w:style w:type="paragraph" w:customStyle="1" w:styleId="8">
    <w:name w:val="_Style 2"/>
    <w:basedOn w:val="1"/>
    <w:qFormat/>
    <w:uiPriority w:val="0"/>
    <w:pPr>
      <w:ind w:firstLine="200" w:firstLineChars="200"/>
    </w:pPr>
    <w:rPr>
      <w:rFonts w:ascii="Calibri" w:hAnsi="Calibri"/>
      <w:sz w:val="28"/>
      <w:szCs w:val="22"/>
    </w:rPr>
  </w:style>
  <w:style w:type="paragraph" w:styleId="9">
    <w:name w:val="Body Text Indent"/>
    <w:basedOn w:val="1"/>
    <w:next w:val="1"/>
    <w:qFormat/>
    <w:uiPriority w:val="0"/>
    <w:pPr>
      <w:spacing w:line="400" w:lineRule="atLeast"/>
      <w:ind w:left="210" w:firstLine="210"/>
    </w:pPr>
    <w:rPr>
      <w:rFonts w:hint="eastAsia" w:ascii="宋体" w:hAnsi="宋体"/>
      <w:szCs w:val="20"/>
    </w:rPr>
  </w:style>
  <w:style w:type="paragraph" w:styleId="10">
    <w:name w:val="Plain Text"/>
    <w:basedOn w:val="1"/>
    <w:next w:val="11"/>
    <w:qFormat/>
    <w:uiPriority w:val="0"/>
    <w:rPr>
      <w:rFonts w:ascii="宋体" w:hAnsi="Courier New"/>
      <w:sz w:val="21"/>
    </w:rPr>
  </w:style>
  <w:style w:type="paragraph" w:styleId="11">
    <w:name w:val="index 7"/>
    <w:basedOn w:val="1"/>
    <w:next w:val="1"/>
    <w:qFormat/>
    <w:uiPriority w:val="0"/>
    <w:pPr>
      <w:ind w:left="1200" w:leftChars="1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6"/>
    <w:basedOn w:val="1"/>
    <w:next w:val="1"/>
    <w:qFormat/>
    <w:uiPriority w:val="39"/>
    <w:pPr>
      <w:widowControl/>
      <w:ind w:left="1000"/>
      <w:jc w:val="left"/>
    </w:pPr>
    <w:rPr>
      <w:kern w:val="0"/>
      <w:sz w:val="18"/>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rPr>
  </w:style>
  <w:style w:type="paragraph" w:styleId="17">
    <w:name w:val="Body Text First Indent"/>
    <w:basedOn w:val="7"/>
    <w:next w:val="15"/>
    <w:qFormat/>
    <w:uiPriority w:val="99"/>
    <w:pPr>
      <w:spacing w:line="360" w:lineRule="auto"/>
      <w:ind w:firstLine="200" w:firstLineChars="200"/>
      <w:jc w:val="left"/>
    </w:pPr>
    <w:rPr>
      <w:bCs/>
      <w:szCs w:val="24"/>
    </w:rPr>
  </w:style>
  <w:style w:type="paragraph" w:styleId="18">
    <w:name w:val="Body Text First Indent 2"/>
    <w:basedOn w:val="9"/>
    <w:next w:val="17"/>
    <w:qFormat/>
    <w:uiPriority w:val="99"/>
    <w:pPr>
      <w:autoSpaceDE w:val="0"/>
      <w:autoSpaceDN w:val="0"/>
      <w:adjustRightInd w:val="0"/>
      <w:spacing w:after="120" w:line="240" w:lineRule="auto"/>
      <w:ind w:left="420" w:leftChars="200" w:firstLine="420" w:firstLineChars="200"/>
      <w:textAlignment w:val="baseline"/>
    </w:pPr>
    <w:rPr>
      <w:rFonts w:hint="default" w:ascii="Times New Roman" w:hAnsi="Times New Roman"/>
      <w:spacing w:val="-4"/>
      <w:kern w:val="0"/>
      <w:sz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paragraph" w:customStyle="1" w:styleId="23">
    <w:name w:val="WPSOffice手动目录 1"/>
    <w:qFormat/>
    <w:uiPriority w:val="0"/>
    <w:rPr>
      <w:rFonts w:ascii="Times New Roman" w:hAnsi="Times New Roman" w:eastAsia="宋体" w:cs="Times New Roman"/>
      <w:lang w:val="en-US" w:eastAsia="zh-CN" w:bidi="ar-SA"/>
    </w:rPr>
  </w:style>
  <w:style w:type="character" w:customStyle="1" w:styleId="24">
    <w:name w:val="标题 1 字符"/>
    <w:link w:val="3"/>
    <w:qFormat/>
    <w:locked/>
    <w:uiPriority w:val="9"/>
    <w:rPr>
      <w:b/>
      <w:bCs/>
      <w:kern w:val="44"/>
      <w:sz w:val="32"/>
      <w:szCs w:val="44"/>
    </w:rPr>
  </w:style>
  <w:style w:type="character" w:customStyle="1" w:styleId="25">
    <w:name w:val="font01"/>
    <w:qFormat/>
    <w:uiPriority w:val="0"/>
    <w:rPr>
      <w:rFonts w:hint="default" w:ascii="Times New Roman" w:hAnsi="Times New Roman" w:cs="Times New Roman"/>
      <w:color w:val="000000"/>
      <w:sz w:val="22"/>
      <w:szCs w:val="22"/>
      <w:u w:val="none"/>
    </w:rPr>
  </w:style>
  <w:style w:type="character" w:customStyle="1" w:styleId="26">
    <w:name w:val="font31"/>
    <w:qFormat/>
    <w:uiPriority w:val="0"/>
    <w:rPr>
      <w:rFonts w:hint="eastAsia" w:ascii="宋体" w:hAnsi="宋体" w:eastAsia="宋体" w:cs="宋体"/>
      <w:color w:val="000000"/>
      <w:sz w:val="22"/>
      <w:szCs w:val="22"/>
      <w:u w:val="none"/>
    </w:rPr>
  </w:style>
  <w:style w:type="character" w:customStyle="1" w:styleId="27">
    <w:name w:val="fontstyle01"/>
    <w:qFormat/>
    <w:uiPriority w:val="0"/>
    <w:rPr>
      <w:rFonts w:hint="eastAsia" w:ascii="宋体" w:hAnsi="宋体" w:eastAsia="宋体"/>
      <w:color w:val="000000"/>
      <w:sz w:val="22"/>
      <w:szCs w:val="22"/>
    </w:rPr>
  </w:style>
  <w:style w:type="character" w:customStyle="1" w:styleId="28">
    <w:name w:val="fontstyle11"/>
    <w:qFormat/>
    <w:uiPriority w:val="0"/>
    <w:rPr>
      <w:rFonts w:hint="default" w:ascii="Calibri" w:hAnsi="Calibri" w:cs="Calibri"/>
      <w:color w:val="000000"/>
      <w:sz w:val="22"/>
      <w:szCs w:val="22"/>
    </w:rPr>
  </w:style>
  <w:style w:type="paragraph" w:customStyle="1" w:styleId="29">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Body text|1"/>
    <w:basedOn w:val="1"/>
    <w:qFormat/>
    <w:uiPriority w:val="0"/>
    <w:pPr>
      <w:spacing w:line="420" w:lineRule="auto"/>
      <w:ind w:firstLine="400"/>
      <w:jc w:val="left"/>
    </w:pPr>
    <w:rPr>
      <w:rFonts w:ascii="MingLiU" w:hAnsi="MingLiU" w:eastAsia="MingLiU" w:cs="MingLiU"/>
      <w:kern w:val="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8174</Words>
  <Characters>8930</Characters>
  <Lines>142</Lines>
  <Paragraphs>39</Paragraphs>
  <TotalTime>33</TotalTime>
  <ScaleCrop>false</ScaleCrop>
  <LinksUpToDate>false</LinksUpToDate>
  <CharactersWithSpaces>9091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2021-08-13T02:21:00Z</dcterms:created>
  <dc:creator>叶意莉</dc:creator>
  <cp:lastModifiedBy>Charles</cp:lastModifiedBy>
  <cp:lastPrinted>2023-12-29T09:25:00Z</cp:lastPrinted>
  <dcterms:modified xsi:type="dcterms:W3CDTF">2025-07-09T03:15:55Z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C324C4E032004DF6B239552B0A22D4E4</vt:lpwstr>
  </property>
  <property fmtid="{D5CDD505-2E9C-101B-9397-08002B2CF9AE}" pid="4" name="KSOTemplateDocerSaveRecord">
    <vt:lpwstr>eyJoZGlkIjoiODIwOTNhYjJkMWE3NDRiMjg4Njc0M2FhMTYzNjM3OTMiLCJ1c2VySWQiOiIxMjM0MTg0MDc0In0=</vt:lpwstr>
  </property>
</Properties>
</file>