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56"/>
          <w:szCs w:val="56"/>
          <w:highlight w:val="none"/>
        </w:rPr>
      </w:pPr>
      <w:r>
        <w:rPr>
          <w:rFonts w:hint="eastAsia" w:ascii="方正小标宋简体" w:hAnsi="方正小标宋简体" w:eastAsia="方正小标宋简体" w:cs="方正小标宋简体"/>
          <w:b w:val="0"/>
          <w:bCs w:val="0"/>
          <w:sz w:val="56"/>
          <w:szCs w:val="56"/>
          <w:highlight w:val="none"/>
          <w:lang w:val="en-US" w:eastAsia="zh-CN"/>
        </w:rPr>
        <w:t xml:space="preserve"> </w:t>
      </w:r>
      <w:r>
        <w:rPr>
          <w:rFonts w:hint="eastAsia" w:ascii="方正小标宋简体" w:hAnsi="方正小标宋简体" w:eastAsia="方正小标宋简体" w:cs="方正小标宋简体"/>
          <w:b w:val="0"/>
          <w:bCs w:val="0"/>
          <w:sz w:val="56"/>
          <w:szCs w:val="56"/>
          <w:highlight w:val="none"/>
        </w:rPr>
        <w:t>江山市财政</w:t>
      </w:r>
      <w:r>
        <w:rPr>
          <w:rFonts w:hint="eastAsia" w:ascii="方正小标宋简体" w:hAnsi="方正小标宋简体" w:eastAsia="方正小标宋简体" w:cs="方正小标宋简体"/>
          <w:b w:val="0"/>
          <w:bCs w:val="0"/>
          <w:sz w:val="56"/>
          <w:szCs w:val="56"/>
          <w:highlight w:val="none"/>
          <w:lang w:eastAsia="zh-CN"/>
        </w:rPr>
        <w:t>国库支付中心</w:t>
      </w:r>
      <w:r>
        <w:rPr>
          <w:rFonts w:hint="eastAsia" w:ascii="方正小标宋简体" w:hAnsi="方正小标宋简体" w:eastAsia="方正小标宋简体" w:cs="方正小标宋简体"/>
          <w:b w:val="0"/>
          <w:bCs w:val="0"/>
          <w:sz w:val="56"/>
          <w:szCs w:val="56"/>
          <w:highlight w:val="none"/>
        </w:rPr>
        <w:t>202</w:t>
      </w:r>
      <w:r>
        <w:rPr>
          <w:rFonts w:hint="eastAsia" w:ascii="方正小标宋简体" w:hAnsi="方正小标宋简体" w:eastAsia="方正小标宋简体" w:cs="方正小标宋简体"/>
          <w:b w:val="0"/>
          <w:bCs w:val="0"/>
          <w:sz w:val="56"/>
          <w:szCs w:val="56"/>
          <w:highlight w:val="none"/>
          <w:lang w:val="en-US" w:eastAsia="zh-CN"/>
        </w:rPr>
        <w:t>5</w:t>
      </w:r>
      <w:r>
        <w:rPr>
          <w:rFonts w:hint="eastAsia" w:ascii="方正小标宋简体" w:hAnsi="方正小标宋简体" w:eastAsia="方正小标宋简体" w:cs="方正小标宋简体"/>
          <w:b w:val="0"/>
          <w:bCs w:val="0"/>
          <w:sz w:val="56"/>
          <w:szCs w:val="56"/>
          <w:highlight w:val="none"/>
        </w:rPr>
        <w:t>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56"/>
          <w:szCs w:val="56"/>
          <w:highlight w:val="none"/>
        </w:rPr>
      </w:pPr>
      <w:r>
        <w:rPr>
          <w:rFonts w:hint="eastAsia" w:ascii="方正小标宋简体" w:hAnsi="方正小标宋简体" w:eastAsia="方正小标宋简体" w:cs="方正小标宋简体"/>
          <w:b w:val="0"/>
          <w:bCs w:val="0"/>
          <w:sz w:val="56"/>
          <w:szCs w:val="56"/>
          <w:highlight w:val="none"/>
        </w:rPr>
        <w:t>第</w:t>
      </w:r>
      <w:r>
        <w:rPr>
          <w:rFonts w:hint="eastAsia" w:ascii="方正小标宋简体" w:hAnsi="方正小标宋简体" w:eastAsia="方正小标宋简体" w:cs="方正小标宋简体"/>
          <w:b w:val="0"/>
          <w:bCs w:val="0"/>
          <w:sz w:val="56"/>
          <w:szCs w:val="56"/>
          <w:highlight w:val="none"/>
          <w:lang w:val="en-US" w:eastAsia="zh-CN"/>
        </w:rPr>
        <w:t>1</w:t>
      </w:r>
      <w:r>
        <w:rPr>
          <w:rFonts w:hint="eastAsia" w:ascii="方正小标宋简体" w:hAnsi="方正小标宋简体" w:eastAsia="方正小标宋简体" w:cs="方正小标宋简体"/>
          <w:b w:val="0"/>
          <w:bCs w:val="0"/>
          <w:sz w:val="56"/>
          <w:szCs w:val="56"/>
          <w:highlight w:val="none"/>
        </w:rPr>
        <w:t>期</w:t>
      </w:r>
      <w:r>
        <w:rPr>
          <w:rFonts w:hint="eastAsia" w:ascii="方正小标宋简体" w:hAnsi="方正小标宋简体" w:eastAsia="方正小标宋简体" w:cs="方正小标宋简体"/>
          <w:b w:val="0"/>
          <w:bCs w:val="0"/>
          <w:sz w:val="56"/>
          <w:szCs w:val="56"/>
          <w:highlight w:val="none"/>
          <w:lang w:eastAsia="zh-CN"/>
        </w:rPr>
        <w:t>公款</w:t>
      </w:r>
      <w:r>
        <w:rPr>
          <w:rFonts w:hint="eastAsia" w:ascii="方正小标宋简体" w:hAnsi="方正小标宋简体" w:eastAsia="方正小标宋简体" w:cs="方正小标宋简体"/>
          <w:b w:val="0"/>
          <w:bCs w:val="0"/>
          <w:sz w:val="56"/>
          <w:szCs w:val="56"/>
          <w:highlight w:val="none"/>
        </w:rPr>
        <w:t>竞争性存放</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sz w:val="56"/>
          <w:szCs w:val="56"/>
          <w:highlight w:val="none"/>
        </w:rPr>
      </w:pPr>
    </w:p>
    <w:p>
      <w:pPr>
        <w:pStyle w:val="2"/>
        <w:rPr>
          <w:rFonts w:hint="eastAsia" w:ascii="仿宋" w:hAnsi="仿宋" w:eastAsia="仿宋" w:cs="仿宋"/>
          <w:b/>
          <w:bCs/>
          <w:sz w:val="56"/>
          <w:szCs w:val="56"/>
          <w:highlight w:val="none"/>
        </w:rPr>
      </w:pPr>
    </w:p>
    <w:p>
      <w:pPr>
        <w:rPr>
          <w:rFonts w:hint="eastAsia" w:ascii="隶书" w:hAnsi="隶书" w:eastAsia="隶书" w:cs="隶书"/>
          <w:highlight w:val="none"/>
        </w:rPr>
      </w:pPr>
    </w:p>
    <w:p>
      <w:pPr>
        <w:spacing w:beforeLines="250" w:line="540" w:lineRule="exact"/>
        <w:jc w:val="center"/>
        <w:rPr>
          <w:rFonts w:hint="eastAsia" w:ascii="隶书" w:hAnsi="隶书" w:eastAsia="隶书" w:cs="隶书"/>
          <w:b w:val="0"/>
          <w:bCs w:val="0"/>
          <w:sz w:val="100"/>
          <w:szCs w:val="100"/>
          <w:highlight w:val="none"/>
        </w:rPr>
      </w:pPr>
      <w:r>
        <w:rPr>
          <w:rFonts w:hint="eastAsia" w:ascii="隶书" w:hAnsi="隶书" w:eastAsia="隶书" w:cs="隶书"/>
          <w:b w:val="0"/>
          <w:bCs w:val="0"/>
          <w:sz w:val="100"/>
          <w:szCs w:val="100"/>
          <w:highlight w:val="none"/>
        </w:rPr>
        <w:t>招</w:t>
      </w:r>
    </w:p>
    <w:p>
      <w:pPr>
        <w:spacing w:beforeLines="250" w:line="540" w:lineRule="exact"/>
        <w:jc w:val="center"/>
        <w:rPr>
          <w:rFonts w:hint="eastAsia" w:ascii="隶书" w:hAnsi="隶书" w:eastAsia="隶书" w:cs="隶书"/>
          <w:b w:val="0"/>
          <w:bCs w:val="0"/>
          <w:sz w:val="100"/>
          <w:szCs w:val="100"/>
          <w:highlight w:val="none"/>
        </w:rPr>
      </w:pPr>
      <w:r>
        <w:rPr>
          <w:rFonts w:hint="eastAsia" w:ascii="隶书" w:hAnsi="隶书" w:eastAsia="隶书" w:cs="隶书"/>
          <w:b w:val="0"/>
          <w:bCs w:val="0"/>
          <w:sz w:val="100"/>
          <w:szCs w:val="100"/>
          <w:highlight w:val="none"/>
        </w:rPr>
        <w:t>标</w:t>
      </w:r>
    </w:p>
    <w:p>
      <w:pPr>
        <w:spacing w:beforeLines="250" w:line="540" w:lineRule="exact"/>
        <w:jc w:val="center"/>
        <w:rPr>
          <w:rFonts w:hint="eastAsia" w:ascii="隶书" w:hAnsi="隶书" w:eastAsia="隶书" w:cs="隶书"/>
          <w:b w:val="0"/>
          <w:bCs w:val="0"/>
          <w:sz w:val="100"/>
          <w:szCs w:val="100"/>
          <w:highlight w:val="none"/>
        </w:rPr>
      </w:pPr>
      <w:r>
        <w:rPr>
          <w:rFonts w:hint="eastAsia" w:ascii="隶书" w:hAnsi="隶书" w:eastAsia="隶书" w:cs="隶书"/>
          <w:b w:val="0"/>
          <w:bCs w:val="0"/>
          <w:sz w:val="100"/>
          <w:szCs w:val="100"/>
          <w:highlight w:val="none"/>
        </w:rPr>
        <w:t>文</w:t>
      </w:r>
    </w:p>
    <w:p>
      <w:pPr>
        <w:spacing w:beforeLines="250" w:line="540" w:lineRule="exact"/>
        <w:jc w:val="center"/>
        <w:rPr>
          <w:rFonts w:hint="eastAsia" w:ascii="隶书" w:hAnsi="隶书" w:eastAsia="隶书" w:cs="隶书"/>
          <w:b w:val="0"/>
          <w:bCs w:val="0"/>
          <w:sz w:val="100"/>
          <w:szCs w:val="100"/>
          <w:highlight w:val="none"/>
        </w:rPr>
      </w:pPr>
      <w:r>
        <w:rPr>
          <w:rFonts w:hint="eastAsia" w:ascii="隶书" w:hAnsi="隶书" w:eastAsia="隶书" w:cs="隶书"/>
          <w:b w:val="0"/>
          <w:bCs w:val="0"/>
          <w:sz w:val="100"/>
          <w:szCs w:val="100"/>
          <w:highlight w:val="none"/>
        </w:rPr>
        <w:t>件</w:t>
      </w:r>
    </w:p>
    <w:p>
      <w:pPr>
        <w:spacing w:line="540" w:lineRule="exact"/>
        <w:jc w:val="center"/>
        <w:rPr>
          <w:rFonts w:hint="eastAsia" w:ascii="隶书" w:hAnsi="隶书" w:eastAsia="隶书" w:cs="隶书"/>
          <w:sz w:val="28"/>
          <w:szCs w:val="28"/>
          <w:highlight w:val="none"/>
        </w:rPr>
      </w:pPr>
      <w:r>
        <w:rPr>
          <w:rFonts w:hint="eastAsia" w:ascii="隶书" w:hAnsi="隶书" w:eastAsia="隶书" w:cs="隶书"/>
          <w:sz w:val="28"/>
          <w:szCs w:val="28"/>
          <w:highlight w:val="none"/>
        </w:rPr>
        <w:t xml:space="preserve"> </w:t>
      </w:r>
      <w:r>
        <w:rPr>
          <w:rFonts w:hint="eastAsia" w:ascii="隶书" w:hAnsi="隶书" w:eastAsia="隶书" w:cs="隶书"/>
          <w:sz w:val="28"/>
          <w:szCs w:val="28"/>
          <w:highlight w:val="none"/>
        </w:rPr>
        <w:tab/>
      </w: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36"/>
          <w:szCs w:val="36"/>
          <w:highlight w:val="none"/>
        </w:rPr>
      </w:pPr>
    </w:p>
    <w:p>
      <w:pPr>
        <w:spacing w:line="560" w:lineRule="exact"/>
        <w:rPr>
          <w:rFonts w:hint="eastAsia" w:ascii="仿宋" w:hAnsi="仿宋" w:eastAsia="仿宋" w:cs="仿宋"/>
          <w:sz w:val="36"/>
          <w:szCs w:val="36"/>
          <w:highlight w:val="none"/>
        </w:rPr>
      </w:pPr>
      <w:bookmarkStart w:id="0" w:name="_Toc24708461"/>
      <w:r>
        <w:rPr>
          <w:rFonts w:hint="eastAsia" w:ascii="仿宋" w:hAnsi="仿宋" w:eastAsia="仿宋" w:cs="仿宋"/>
          <w:b/>
          <w:bCs/>
          <w:sz w:val="36"/>
          <w:szCs w:val="36"/>
          <w:highlight w:val="none"/>
        </w:rPr>
        <w:t>项目名称：</w:t>
      </w:r>
      <w:bookmarkEnd w:id="0"/>
      <w:bookmarkStart w:id="1" w:name="_Toc24708462"/>
      <w:r>
        <w:rPr>
          <w:rFonts w:hint="eastAsia" w:ascii="仿宋" w:hAnsi="仿宋" w:eastAsia="仿宋" w:cs="仿宋"/>
          <w:sz w:val="36"/>
          <w:szCs w:val="36"/>
          <w:highlight w:val="none"/>
        </w:rPr>
        <w:t>江山市财政</w:t>
      </w:r>
      <w:r>
        <w:rPr>
          <w:rFonts w:hint="eastAsia" w:ascii="仿宋" w:hAnsi="仿宋" w:eastAsia="仿宋" w:cs="仿宋"/>
          <w:sz w:val="36"/>
          <w:szCs w:val="36"/>
          <w:highlight w:val="none"/>
          <w:lang w:eastAsia="zh-CN"/>
        </w:rPr>
        <w:t>国库支</w:t>
      </w:r>
      <w:r>
        <w:rPr>
          <w:rFonts w:hint="eastAsia" w:ascii="仿宋" w:hAnsi="仿宋" w:eastAsia="仿宋" w:cs="仿宋"/>
          <w:sz w:val="36"/>
          <w:szCs w:val="36"/>
          <w:highlight w:val="none"/>
          <w:lang w:val="en-US" w:eastAsia="zh-CN"/>
        </w:rPr>
        <w:t>付中心</w:t>
      </w:r>
      <w:r>
        <w:rPr>
          <w:rFonts w:hint="eastAsia" w:ascii="仿宋" w:hAnsi="仿宋" w:eastAsia="仿宋" w:cs="仿宋"/>
          <w:sz w:val="36"/>
          <w:szCs w:val="36"/>
          <w:highlight w:val="none"/>
        </w:rPr>
        <w:t>202</w:t>
      </w:r>
      <w:r>
        <w:rPr>
          <w:rFonts w:hint="eastAsia" w:ascii="仿宋" w:hAnsi="仿宋" w:eastAsia="仿宋" w:cs="仿宋"/>
          <w:sz w:val="36"/>
          <w:szCs w:val="36"/>
          <w:highlight w:val="none"/>
          <w:lang w:val="en-US" w:eastAsia="zh-CN"/>
        </w:rPr>
        <w:t>5</w:t>
      </w:r>
      <w:r>
        <w:rPr>
          <w:rFonts w:hint="eastAsia" w:ascii="仿宋" w:hAnsi="仿宋" w:eastAsia="仿宋" w:cs="仿宋"/>
          <w:sz w:val="36"/>
          <w:szCs w:val="36"/>
          <w:highlight w:val="none"/>
        </w:rPr>
        <w:t>年第</w:t>
      </w:r>
      <w:r>
        <w:rPr>
          <w:rFonts w:hint="eastAsia" w:ascii="仿宋" w:hAnsi="仿宋" w:eastAsia="仿宋" w:cs="仿宋"/>
          <w:sz w:val="36"/>
          <w:szCs w:val="36"/>
          <w:highlight w:val="none"/>
          <w:lang w:val="en-US" w:eastAsia="zh-CN"/>
        </w:rPr>
        <w:t>1</w:t>
      </w:r>
      <w:r>
        <w:rPr>
          <w:rFonts w:hint="eastAsia" w:ascii="仿宋" w:hAnsi="仿宋" w:eastAsia="仿宋" w:cs="仿宋"/>
          <w:sz w:val="36"/>
          <w:szCs w:val="36"/>
          <w:highlight w:val="none"/>
        </w:rPr>
        <w:t>期</w:t>
      </w:r>
      <w:r>
        <w:rPr>
          <w:rFonts w:hint="eastAsia" w:ascii="仿宋" w:hAnsi="仿宋" w:eastAsia="仿宋" w:cs="仿宋"/>
          <w:sz w:val="36"/>
          <w:szCs w:val="36"/>
          <w:highlight w:val="none"/>
          <w:lang w:eastAsia="zh-CN"/>
        </w:rPr>
        <w:t>公款</w:t>
      </w:r>
      <w:r>
        <w:rPr>
          <w:rFonts w:hint="eastAsia" w:ascii="仿宋" w:hAnsi="仿宋" w:eastAsia="仿宋" w:cs="仿宋"/>
          <w:sz w:val="36"/>
          <w:szCs w:val="36"/>
          <w:highlight w:val="none"/>
        </w:rPr>
        <w:t>竞争性存放</w:t>
      </w:r>
    </w:p>
    <w:p>
      <w:pPr>
        <w:spacing w:line="560" w:lineRule="exact"/>
        <w:rPr>
          <w:rFonts w:hint="default" w:ascii="仿宋" w:hAnsi="仿宋" w:eastAsia="仿宋" w:cs="仿宋"/>
          <w:sz w:val="36"/>
          <w:szCs w:val="36"/>
          <w:highlight w:val="none"/>
          <w:lang w:val="en-US"/>
        </w:rPr>
      </w:pPr>
      <w:r>
        <w:rPr>
          <w:rFonts w:hint="eastAsia" w:ascii="仿宋" w:hAnsi="仿宋" w:eastAsia="仿宋" w:cs="仿宋"/>
          <w:b/>
          <w:bCs/>
          <w:sz w:val="36"/>
          <w:szCs w:val="36"/>
          <w:highlight w:val="none"/>
        </w:rPr>
        <w:t>项目编号：</w:t>
      </w:r>
      <w:bookmarkEnd w:id="1"/>
      <w:r>
        <w:rPr>
          <w:rFonts w:hint="eastAsia" w:ascii="仿宋" w:hAnsi="仿宋" w:eastAsia="仿宋" w:cs="仿宋"/>
          <w:b w:val="0"/>
          <w:bCs w:val="0"/>
          <w:sz w:val="36"/>
          <w:szCs w:val="36"/>
          <w:highlight w:val="none"/>
        </w:rPr>
        <w:t>JSS2025D006Q</w:t>
      </w:r>
    </w:p>
    <w:p>
      <w:pPr>
        <w:spacing w:line="560" w:lineRule="exact"/>
        <w:rPr>
          <w:rFonts w:hint="eastAsia" w:ascii="仿宋" w:hAnsi="仿宋" w:eastAsia="仿宋" w:cs="仿宋"/>
          <w:sz w:val="36"/>
          <w:szCs w:val="36"/>
          <w:highlight w:val="none"/>
        </w:rPr>
      </w:pPr>
      <w:r>
        <w:rPr>
          <w:rFonts w:hint="eastAsia" w:ascii="仿宋" w:hAnsi="仿宋" w:eastAsia="仿宋" w:cs="仿宋"/>
          <w:b/>
          <w:bCs/>
          <w:sz w:val="36"/>
          <w:szCs w:val="36"/>
          <w:highlight w:val="none"/>
        </w:rPr>
        <w:t>委托单位：</w:t>
      </w:r>
      <w:r>
        <w:rPr>
          <w:rFonts w:hint="eastAsia" w:ascii="仿宋" w:hAnsi="仿宋" w:eastAsia="仿宋" w:cs="仿宋"/>
          <w:sz w:val="36"/>
          <w:szCs w:val="36"/>
          <w:highlight w:val="none"/>
        </w:rPr>
        <w:t>江山市财政</w:t>
      </w:r>
      <w:r>
        <w:rPr>
          <w:rFonts w:hint="eastAsia" w:ascii="仿宋" w:hAnsi="仿宋" w:eastAsia="仿宋" w:cs="仿宋"/>
          <w:sz w:val="36"/>
          <w:szCs w:val="36"/>
          <w:highlight w:val="none"/>
          <w:lang w:eastAsia="zh-CN"/>
        </w:rPr>
        <w:t>国库支付中心</w:t>
      </w:r>
    </w:p>
    <w:p>
      <w:pPr>
        <w:spacing w:line="560" w:lineRule="exact"/>
        <w:rPr>
          <w:rFonts w:hint="eastAsia" w:ascii="仿宋" w:hAnsi="仿宋" w:eastAsia="仿宋" w:cs="仿宋"/>
          <w:sz w:val="36"/>
          <w:szCs w:val="36"/>
          <w:highlight w:val="none"/>
        </w:rPr>
      </w:pPr>
      <w:r>
        <w:rPr>
          <w:rFonts w:hint="eastAsia" w:ascii="仿宋" w:hAnsi="仿宋" w:eastAsia="仿宋" w:cs="仿宋"/>
          <w:b/>
          <w:bCs/>
          <w:sz w:val="36"/>
          <w:szCs w:val="36"/>
          <w:highlight w:val="none"/>
        </w:rPr>
        <w:t>招标机构：</w:t>
      </w:r>
      <w:r>
        <w:rPr>
          <w:rFonts w:hint="eastAsia" w:ascii="仿宋" w:hAnsi="仿宋" w:eastAsia="仿宋" w:cs="仿宋"/>
          <w:sz w:val="36"/>
          <w:szCs w:val="36"/>
          <w:highlight w:val="none"/>
        </w:rPr>
        <w:t>江山市政府采购中心</w:t>
      </w:r>
    </w:p>
    <w:p>
      <w:pPr>
        <w:spacing w:line="540" w:lineRule="exact"/>
        <w:rPr>
          <w:rFonts w:hint="eastAsia" w:ascii="仿宋" w:hAnsi="仿宋" w:eastAsia="仿宋" w:cs="仿宋"/>
          <w:sz w:val="36"/>
          <w:szCs w:val="36"/>
          <w:highlight w:val="none"/>
        </w:rPr>
      </w:pPr>
    </w:p>
    <w:p>
      <w:pPr>
        <w:spacing w:line="540" w:lineRule="exact"/>
        <w:jc w:val="center"/>
        <w:rPr>
          <w:rFonts w:hint="eastAsia" w:ascii="黑体" w:hAnsi="黑体" w:eastAsia="黑体" w:cs="黑体"/>
          <w:sz w:val="36"/>
          <w:szCs w:val="36"/>
          <w:highlight w:val="none"/>
        </w:rPr>
        <w:sectPr>
          <w:headerReference r:id="rId3" w:type="default"/>
          <w:footerReference r:id="rId4" w:type="default"/>
          <w:pgSz w:w="11906" w:h="16838"/>
          <w:pgMar w:top="1389" w:right="1247" w:bottom="1389" w:left="1247" w:header="851" w:footer="992" w:gutter="397"/>
          <w:cols w:space="720" w:num="1"/>
          <w:docGrid w:linePitch="312" w:charSpace="0"/>
        </w:sectPr>
      </w:pPr>
      <w:r>
        <w:rPr>
          <w:rFonts w:hint="eastAsia" w:ascii="黑体" w:hAnsi="黑体" w:eastAsia="黑体" w:cs="黑体"/>
          <w:sz w:val="36"/>
          <w:szCs w:val="36"/>
          <w:highlight w:val="none"/>
        </w:rPr>
        <w:t>二〇二</w:t>
      </w:r>
      <w:r>
        <w:rPr>
          <w:rFonts w:hint="eastAsia" w:ascii="黑体" w:hAnsi="黑体" w:eastAsia="黑体" w:cs="黑体"/>
          <w:sz w:val="36"/>
          <w:szCs w:val="36"/>
          <w:highlight w:val="none"/>
          <w:lang w:eastAsia="zh-CN"/>
        </w:rPr>
        <w:t>五年</w:t>
      </w:r>
      <w:r>
        <w:rPr>
          <w:rFonts w:hint="eastAsia" w:ascii="黑体" w:hAnsi="黑体" w:eastAsia="黑体" w:cs="黑体"/>
          <w:sz w:val="36"/>
          <w:szCs w:val="36"/>
          <w:highlight w:val="none"/>
          <w:lang w:val="en-US" w:eastAsia="zh-CN"/>
        </w:rPr>
        <w:t>三</w:t>
      </w:r>
      <w:r>
        <w:rPr>
          <w:rFonts w:hint="eastAsia" w:ascii="黑体" w:hAnsi="黑体" w:eastAsia="黑体" w:cs="黑体"/>
          <w:sz w:val="36"/>
          <w:szCs w:val="36"/>
          <w:highlight w:val="none"/>
        </w:rPr>
        <w:t>月</w:t>
      </w:r>
    </w:p>
    <w:p>
      <w:pPr>
        <w:snapToGrid w:val="0"/>
        <w:spacing w:line="540" w:lineRule="exact"/>
        <w:jc w:val="center"/>
        <w:rPr>
          <w:rFonts w:hint="eastAsia" w:ascii="仿宋" w:hAnsi="仿宋" w:eastAsia="仿宋" w:cs="仿宋"/>
          <w:b/>
          <w:bCs/>
          <w:sz w:val="40"/>
          <w:szCs w:val="40"/>
          <w:highlight w:val="none"/>
        </w:rPr>
      </w:pPr>
      <w:bookmarkStart w:id="2" w:name="_Toc322352981"/>
      <w:bookmarkStart w:id="3" w:name="_Toc354401488"/>
      <w:bookmarkStart w:id="4" w:name="_Toc350256312"/>
      <w:r>
        <w:rPr>
          <w:rFonts w:hint="eastAsia" w:ascii="仿宋" w:hAnsi="仿宋" w:eastAsia="仿宋" w:cs="仿宋"/>
          <w:b/>
          <w:bCs/>
          <w:sz w:val="40"/>
          <w:szCs w:val="40"/>
          <w:highlight w:val="none"/>
        </w:rPr>
        <w:t xml:space="preserve"> 目 录</w:t>
      </w:r>
    </w:p>
    <w:p>
      <w:pPr>
        <w:pStyle w:val="2"/>
        <w:rPr>
          <w:rFonts w:hint="eastAsia" w:ascii="仿宋" w:hAnsi="仿宋" w:eastAsia="仿宋" w:cs="仿宋"/>
          <w:sz w:val="40"/>
          <w:szCs w:val="40"/>
          <w:highlight w:val="none"/>
        </w:rPr>
      </w:pPr>
    </w:p>
    <w:p>
      <w:pPr>
        <w:pStyle w:val="40"/>
        <w:tabs>
          <w:tab w:val="right" w:leader="dot" w:pos="9128"/>
        </w:tabs>
        <w:spacing w:line="560" w:lineRule="exact"/>
        <w:rPr>
          <w:rFonts w:hint="eastAsia" w:ascii="仿宋" w:hAnsi="仿宋" w:eastAsia="仿宋" w:cs="仿宋"/>
          <w:b/>
          <w:bCs/>
          <w:highlight w:val="none"/>
        </w:rPr>
      </w:pPr>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TOC \o "1-3" \h \u </w:instrText>
      </w:r>
      <w:r>
        <w:rPr>
          <w:rFonts w:hint="eastAsia" w:ascii="仿宋" w:hAnsi="仿宋" w:eastAsia="仿宋" w:cs="仿宋"/>
          <w:b/>
          <w:bCs/>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"_Toc3347" </w:instrText>
      </w:r>
      <w:r>
        <w:rPr>
          <w:rFonts w:hint="eastAsia" w:ascii="仿宋" w:hAnsi="仿宋" w:eastAsia="仿宋" w:cs="仿宋"/>
          <w:highlight w:val="none"/>
        </w:rPr>
        <w:fldChar w:fldCharType="separate"/>
      </w:r>
      <w:r>
        <w:rPr>
          <w:rFonts w:hint="eastAsia" w:ascii="仿宋" w:hAnsi="仿宋" w:eastAsia="仿宋" w:cs="仿宋"/>
          <w:b/>
          <w:bCs/>
          <w:highlight w:val="none"/>
        </w:rPr>
        <w:t>第一章  招标公告</w:t>
      </w:r>
      <w:r>
        <w:rPr>
          <w:rFonts w:hint="eastAsia" w:ascii="仿宋" w:hAnsi="仿宋" w:eastAsia="仿宋" w:cs="仿宋"/>
          <w:b/>
          <w:bCs/>
          <w:highlight w:val="none"/>
        </w:rPr>
        <w:tab/>
      </w:r>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 PAGEREF _Toc3347 </w:instrText>
      </w:r>
      <w:r>
        <w:rPr>
          <w:rFonts w:hint="eastAsia" w:ascii="仿宋" w:hAnsi="仿宋" w:eastAsia="仿宋" w:cs="仿宋"/>
          <w:b/>
          <w:bCs/>
          <w:highlight w:val="none"/>
        </w:rPr>
        <w:fldChar w:fldCharType="separate"/>
      </w:r>
      <w:r>
        <w:rPr>
          <w:rFonts w:hint="eastAsia" w:ascii="仿宋" w:hAnsi="仿宋" w:eastAsia="仿宋" w:cs="仿宋"/>
          <w:b/>
          <w:bCs/>
          <w:highlight w:val="none"/>
        </w:rPr>
        <w:t>3</w:t>
      </w:r>
      <w:r>
        <w:rPr>
          <w:rFonts w:hint="eastAsia" w:ascii="仿宋" w:hAnsi="仿宋" w:eastAsia="仿宋" w:cs="仿宋"/>
          <w:b/>
          <w:bCs/>
          <w:highlight w:val="none"/>
        </w:rPr>
        <w:fldChar w:fldCharType="end"/>
      </w:r>
      <w:r>
        <w:rPr>
          <w:rFonts w:hint="eastAsia" w:ascii="仿宋" w:hAnsi="仿宋" w:eastAsia="仿宋" w:cs="仿宋"/>
          <w:b/>
          <w:bCs/>
          <w:highlight w:val="none"/>
        </w:rPr>
        <w:fldChar w:fldCharType="end"/>
      </w:r>
    </w:p>
    <w:p>
      <w:pPr>
        <w:pStyle w:val="40"/>
        <w:tabs>
          <w:tab w:val="right" w:leader="dot" w:pos="9128"/>
        </w:tabs>
        <w:spacing w:line="560" w:lineRule="exact"/>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"_Toc14256" </w:instrText>
      </w:r>
      <w:r>
        <w:rPr>
          <w:rFonts w:hint="eastAsia" w:ascii="仿宋" w:hAnsi="仿宋" w:eastAsia="仿宋" w:cs="仿宋"/>
          <w:highlight w:val="none"/>
        </w:rPr>
        <w:fldChar w:fldCharType="separate"/>
      </w:r>
      <w:r>
        <w:rPr>
          <w:rFonts w:hint="eastAsia" w:ascii="仿宋" w:hAnsi="仿宋" w:eastAsia="仿宋" w:cs="仿宋"/>
          <w:b/>
          <w:bCs/>
          <w:highlight w:val="none"/>
        </w:rPr>
        <w:t>第二章  投标须知前附表及投标须知</w:t>
      </w:r>
      <w:r>
        <w:rPr>
          <w:rFonts w:hint="eastAsia" w:ascii="仿宋" w:hAnsi="仿宋" w:eastAsia="仿宋" w:cs="仿宋"/>
          <w:b/>
          <w:bCs/>
          <w:highlight w:val="none"/>
        </w:rPr>
        <w:tab/>
      </w:r>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 PAGEREF _Toc14256 </w:instrText>
      </w:r>
      <w:r>
        <w:rPr>
          <w:rFonts w:hint="eastAsia" w:ascii="仿宋" w:hAnsi="仿宋" w:eastAsia="仿宋" w:cs="仿宋"/>
          <w:b/>
          <w:bCs/>
          <w:highlight w:val="none"/>
        </w:rPr>
        <w:fldChar w:fldCharType="separate"/>
      </w:r>
      <w:r>
        <w:rPr>
          <w:rFonts w:hint="eastAsia" w:ascii="仿宋" w:hAnsi="仿宋" w:eastAsia="仿宋" w:cs="仿宋"/>
          <w:b/>
          <w:bCs/>
          <w:highlight w:val="none"/>
        </w:rPr>
        <w:t>6</w:t>
      </w:r>
      <w:r>
        <w:rPr>
          <w:rFonts w:hint="eastAsia" w:ascii="仿宋" w:hAnsi="仿宋" w:eastAsia="仿宋" w:cs="仿宋"/>
          <w:b/>
          <w:bCs/>
          <w:highlight w:val="none"/>
        </w:rPr>
        <w:fldChar w:fldCharType="end"/>
      </w:r>
      <w:r>
        <w:rPr>
          <w:rFonts w:hint="eastAsia" w:ascii="仿宋" w:hAnsi="仿宋" w:eastAsia="仿宋" w:cs="仿宋"/>
          <w:b/>
          <w:bCs/>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"_Toc24767"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一、投标须知前附表</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_Toc24767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6</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"_Toc23331"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二、投标须知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_Toc23331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6</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"_Toc22413"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三、招标文件说明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_Toc22413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"_Toc20287"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四、投标文件的编制</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_Toc20287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"_Toc17546"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五、投标保证金</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_Toc17546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9</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"_Toc31383"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六、投标文件的签署及规定</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_Toc31383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9</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"_Toc7176"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七、投标文件的递交</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_Toc7176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10</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"_Toc31677"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八、投标无效的情形</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_Toc31677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10</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"_Toc27126"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九、串通投标的情形</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_Toc27126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10</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"_Toc10991"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十、废标的情形</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_Toc10991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"_Toc27143"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十一、开标和评标</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_Toc27143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51"/>
        <w:tabs>
          <w:tab w:val="right" w:leader="dot" w:pos="9128"/>
        </w:tabs>
        <w:spacing w:line="560" w:lineRule="exact"/>
        <w:ind w:left="0" w:firstLine="400" w:firstLineChars="200"/>
        <w:rPr>
          <w:rFonts w:hint="eastAsia" w:ascii="仿宋" w:hAnsi="仿宋" w:eastAsia="仿宋" w:cs="仿宋"/>
          <w:sz w:val="32"/>
          <w:szCs w:val="32"/>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"_Toc30694"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十二、授予合同</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lang w:val="en-US" w:eastAsia="zh-CN"/>
        </w:rPr>
        <w:t>3</w:t>
      </w:r>
    </w:p>
    <w:p>
      <w:pPr>
        <w:pStyle w:val="51"/>
        <w:tabs>
          <w:tab w:val="right" w:leader="dot" w:pos="9128"/>
        </w:tabs>
        <w:spacing w:line="560" w:lineRule="exact"/>
        <w:ind w:left="0" w:firstLine="400" w:firstLineChars="200"/>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"_Toc14657" </w:instrText>
      </w:r>
      <w:r>
        <w:rPr>
          <w:rFonts w:hint="eastAsia" w:ascii="仿宋" w:hAnsi="仿宋" w:eastAsia="仿宋" w:cs="仿宋"/>
          <w:highlight w:val="none"/>
        </w:rPr>
        <w:fldChar w:fldCharType="separate"/>
      </w:r>
      <w:r>
        <w:rPr>
          <w:rFonts w:hint="eastAsia" w:ascii="仿宋" w:hAnsi="仿宋" w:eastAsia="仿宋" w:cs="仿宋"/>
          <w:sz w:val="32"/>
          <w:szCs w:val="32"/>
          <w:highlight w:val="none"/>
        </w:rPr>
        <w:t>十三、其他</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_Toc14657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14</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40"/>
        <w:tabs>
          <w:tab w:val="right" w:leader="dot" w:pos="9128"/>
        </w:tabs>
        <w:spacing w:line="560" w:lineRule="exact"/>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"_Toc3835" </w:instrText>
      </w:r>
      <w:r>
        <w:rPr>
          <w:rFonts w:hint="eastAsia" w:ascii="仿宋" w:hAnsi="仿宋" w:eastAsia="仿宋" w:cs="仿宋"/>
          <w:highlight w:val="none"/>
        </w:rPr>
        <w:fldChar w:fldCharType="separate"/>
      </w:r>
      <w:r>
        <w:rPr>
          <w:rFonts w:hint="eastAsia" w:ascii="仿宋" w:hAnsi="仿宋" w:eastAsia="仿宋" w:cs="仿宋"/>
          <w:b/>
          <w:bCs/>
          <w:highlight w:val="none"/>
        </w:rPr>
        <w:t>第三章  招标内容及要求</w:t>
      </w:r>
      <w:r>
        <w:rPr>
          <w:rFonts w:hint="eastAsia" w:ascii="仿宋" w:hAnsi="仿宋" w:eastAsia="仿宋" w:cs="仿宋"/>
          <w:b/>
          <w:bCs/>
          <w:highlight w:val="none"/>
        </w:rPr>
        <w:tab/>
      </w:r>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 PAGEREF _Toc3835 </w:instrText>
      </w:r>
      <w:r>
        <w:rPr>
          <w:rFonts w:hint="eastAsia" w:ascii="仿宋" w:hAnsi="仿宋" w:eastAsia="仿宋" w:cs="仿宋"/>
          <w:b/>
          <w:bCs/>
          <w:highlight w:val="none"/>
        </w:rPr>
        <w:fldChar w:fldCharType="separate"/>
      </w:r>
      <w:r>
        <w:rPr>
          <w:rFonts w:hint="eastAsia" w:ascii="仿宋" w:hAnsi="仿宋" w:eastAsia="仿宋" w:cs="仿宋"/>
          <w:b/>
          <w:bCs/>
          <w:highlight w:val="none"/>
        </w:rPr>
        <w:t>15</w:t>
      </w:r>
      <w:r>
        <w:rPr>
          <w:rFonts w:hint="eastAsia" w:ascii="仿宋" w:hAnsi="仿宋" w:eastAsia="仿宋" w:cs="仿宋"/>
          <w:b/>
          <w:bCs/>
          <w:highlight w:val="none"/>
        </w:rPr>
        <w:fldChar w:fldCharType="end"/>
      </w:r>
      <w:r>
        <w:rPr>
          <w:rFonts w:hint="eastAsia" w:ascii="仿宋" w:hAnsi="仿宋" w:eastAsia="仿宋" w:cs="仿宋"/>
          <w:b/>
          <w:bCs/>
          <w:highlight w:val="none"/>
        </w:rPr>
        <w:fldChar w:fldCharType="end"/>
      </w:r>
    </w:p>
    <w:p>
      <w:pPr>
        <w:pStyle w:val="40"/>
        <w:tabs>
          <w:tab w:val="right" w:leader="dot" w:pos="9128"/>
        </w:tabs>
        <w:spacing w:line="560" w:lineRule="exact"/>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"_Toc28764" </w:instrText>
      </w:r>
      <w:r>
        <w:rPr>
          <w:rFonts w:hint="eastAsia" w:ascii="仿宋" w:hAnsi="仿宋" w:eastAsia="仿宋" w:cs="仿宋"/>
          <w:highlight w:val="none"/>
        </w:rPr>
        <w:fldChar w:fldCharType="separate"/>
      </w:r>
      <w:r>
        <w:rPr>
          <w:rFonts w:hint="eastAsia" w:ascii="仿宋" w:hAnsi="仿宋" w:eastAsia="仿宋" w:cs="仿宋"/>
          <w:b/>
          <w:bCs/>
          <w:highlight w:val="none"/>
        </w:rPr>
        <w:t>第四章  合同文本</w:t>
      </w:r>
      <w:r>
        <w:rPr>
          <w:rFonts w:hint="eastAsia" w:ascii="仿宋" w:hAnsi="仿宋" w:eastAsia="仿宋" w:cs="仿宋"/>
          <w:b/>
          <w:bCs/>
          <w:highlight w:val="none"/>
        </w:rPr>
        <w:tab/>
      </w:r>
      <w:r>
        <w:rPr>
          <w:rFonts w:hint="eastAsia" w:ascii="仿宋" w:hAnsi="仿宋" w:eastAsia="仿宋" w:cs="仿宋"/>
          <w:b/>
          <w:bCs/>
          <w:highlight w:val="none"/>
          <w:lang w:val="en-US" w:eastAsia="zh-CN"/>
        </w:rPr>
        <w:t>1</w:t>
      </w:r>
      <w:r>
        <w:rPr>
          <w:rFonts w:hint="eastAsia" w:ascii="仿宋" w:hAnsi="仿宋" w:eastAsia="仿宋" w:cs="仿宋"/>
          <w:b/>
          <w:bCs/>
          <w:highlight w:val="none"/>
        </w:rPr>
        <w:fldChar w:fldCharType="end"/>
      </w:r>
      <w:r>
        <w:rPr>
          <w:rFonts w:hint="eastAsia" w:ascii="仿宋" w:hAnsi="仿宋" w:eastAsia="仿宋" w:cs="仿宋"/>
          <w:b/>
          <w:bCs/>
          <w:highlight w:val="none"/>
          <w:lang w:val="en-US" w:eastAsia="zh-CN"/>
        </w:rPr>
        <w:t>7</w:t>
      </w:r>
    </w:p>
    <w:p>
      <w:pPr>
        <w:pStyle w:val="40"/>
        <w:tabs>
          <w:tab w:val="right" w:leader="dot" w:pos="9128"/>
        </w:tabs>
        <w:spacing w:line="560" w:lineRule="exact"/>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"_Toc12300" </w:instrText>
      </w:r>
      <w:r>
        <w:rPr>
          <w:rFonts w:hint="eastAsia" w:ascii="仿宋" w:hAnsi="仿宋" w:eastAsia="仿宋" w:cs="仿宋"/>
          <w:highlight w:val="none"/>
        </w:rPr>
        <w:fldChar w:fldCharType="separate"/>
      </w:r>
      <w:r>
        <w:rPr>
          <w:rFonts w:hint="eastAsia" w:ascii="仿宋" w:hAnsi="仿宋" w:eastAsia="仿宋" w:cs="仿宋"/>
          <w:b/>
          <w:bCs/>
          <w:highlight w:val="none"/>
        </w:rPr>
        <w:t>第五章  应提交的有关格式范例</w:t>
      </w:r>
      <w:r>
        <w:rPr>
          <w:rFonts w:hint="eastAsia" w:ascii="仿宋" w:hAnsi="仿宋" w:eastAsia="仿宋" w:cs="仿宋"/>
          <w:b/>
          <w:bCs/>
          <w:highlight w:val="none"/>
        </w:rPr>
        <w:tab/>
      </w:r>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 PAGEREF _Toc12300 </w:instrText>
      </w:r>
      <w:r>
        <w:rPr>
          <w:rFonts w:hint="eastAsia" w:ascii="仿宋" w:hAnsi="仿宋" w:eastAsia="仿宋" w:cs="仿宋"/>
          <w:b/>
          <w:bCs/>
          <w:highlight w:val="none"/>
        </w:rPr>
        <w:fldChar w:fldCharType="separate"/>
      </w:r>
      <w:r>
        <w:rPr>
          <w:rFonts w:hint="eastAsia" w:ascii="仿宋" w:hAnsi="仿宋" w:eastAsia="仿宋" w:cs="仿宋"/>
          <w:b/>
          <w:bCs/>
          <w:highlight w:val="none"/>
        </w:rPr>
        <w:t>20</w:t>
      </w:r>
      <w:r>
        <w:rPr>
          <w:rFonts w:hint="eastAsia" w:ascii="仿宋" w:hAnsi="仿宋" w:eastAsia="仿宋" w:cs="仿宋"/>
          <w:b/>
          <w:bCs/>
          <w:highlight w:val="none"/>
        </w:rPr>
        <w:fldChar w:fldCharType="end"/>
      </w:r>
      <w:r>
        <w:rPr>
          <w:rFonts w:hint="eastAsia" w:ascii="仿宋" w:hAnsi="仿宋" w:eastAsia="仿宋" w:cs="仿宋"/>
          <w:b/>
          <w:bCs/>
          <w:highlight w:val="none"/>
        </w:rPr>
        <w:fldChar w:fldCharType="end"/>
      </w:r>
    </w:p>
    <w:p>
      <w:pPr>
        <w:pStyle w:val="40"/>
        <w:tabs>
          <w:tab w:val="right" w:leader="dot" w:pos="9128"/>
        </w:tabs>
        <w:spacing w:line="560" w:lineRule="exact"/>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"_Toc17465" </w:instrText>
      </w:r>
      <w:r>
        <w:rPr>
          <w:rFonts w:hint="eastAsia" w:ascii="仿宋" w:hAnsi="仿宋" w:eastAsia="仿宋" w:cs="仿宋"/>
          <w:highlight w:val="none"/>
        </w:rPr>
        <w:fldChar w:fldCharType="separate"/>
      </w:r>
      <w:r>
        <w:rPr>
          <w:rFonts w:hint="eastAsia" w:ascii="仿宋" w:hAnsi="仿宋" w:eastAsia="仿宋" w:cs="仿宋"/>
          <w:b/>
          <w:bCs/>
          <w:highlight w:val="none"/>
        </w:rPr>
        <w:t xml:space="preserve">第六章 </w:t>
      </w:r>
      <w:r>
        <w:rPr>
          <w:rFonts w:hint="eastAsia" w:ascii="仿宋" w:hAnsi="仿宋" w:eastAsia="仿宋" w:cs="仿宋"/>
          <w:b/>
          <w:bCs/>
          <w:highlight w:val="none"/>
          <w:lang w:val="zh-CN"/>
        </w:rPr>
        <w:t>评标办法及开标程序</w:t>
      </w:r>
      <w:r>
        <w:rPr>
          <w:rFonts w:hint="eastAsia" w:ascii="仿宋" w:hAnsi="仿宋" w:eastAsia="仿宋" w:cs="仿宋"/>
          <w:b/>
          <w:bCs/>
          <w:highlight w:val="none"/>
        </w:rPr>
        <w:tab/>
      </w:r>
      <w:r>
        <w:rPr>
          <w:rFonts w:hint="eastAsia" w:ascii="仿宋" w:hAnsi="仿宋" w:eastAsia="仿宋" w:cs="仿宋"/>
          <w:b/>
          <w:bCs/>
          <w:highlight w:val="none"/>
          <w:lang w:val="en-US" w:eastAsia="zh-CN"/>
        </w:rPr>
        <w:t>2</w:t>
      </w:r>
      <w:r>
        <w:rPr>
          <w:rFonts w:hint="eastAsia" w:ascii="仿宋" w:hAnsi="仿宋" w:eastAsia="仿宋" w:cs="仿宋"/>
          <w:b/>
          <w:bCs/>
          <w:highlight w:val="none"/>
        </w:rPr>
        <w:fldChar w:fldCharType="end"/>
      </w:r>
      <w:r>
        <w:rPr>
          <w:rFonts w:hint="eastAsia" w:ascii="仿宋" w:hAnsi="仿宋" w:eastAsia="仿宋" w:cs="仿宋"/>
          <w:b/>
          <w:bCs/>
          <w:highlight w:val="none"/>
          <w:lang w:val="en-US" w:eastAsia="zh-CN"/>
        </w:rPr>
        <w:t>7</w:t>
      </w:r>
    </w:p>
    <w:p>
      <w:pPr>
        <w:spacing w:line="560" w:lineRule="exact"/>
        <w:rPr>
          <w:rFonts w:hint="eastAsia" w:ascii="仿宋" w:hAnsi="仿宋" w:eastAsia="仿宋" w:cs="仿宋"/>
          <w:b/>
          <w:bCs/>
          <w:sz w:val="40"/>
          <w:szCs w:val="40"/>
          <w:highlight w:val="none"/>
        </w:rPr>
      </w:pPr>
      <w:r>
        <w:rPr>
          <w:rFonts w:hint="eastAsia" w:ascii="仿宋" w:hAnsi="仿宋" w:eastAsia="仿宋" w:cs="仿宋"/>
          <w:b/>
          <w:bCs/>
          <w:highlight w:val="none"/>
        </w:rPr>
        <w:fldChar w:fldCharType="end"/>
      </w:r>
    </w:p>
    <w:p>
      <w:pPr>
        <w:pStyle w:val="2"/>
        <w:rPr>
          <w:rFonts w:hint="eastAsia" w:ascii="仿宋" w:hAnsi="仿宋" w:eastAsia="仿宋" w:cs="仿宋"/>
          <w:sz w:val="40"/>
          <w:szCs w:val="40"/>
          <w:highlight w:val="none"/>
        </w:rPr>
      </w:pPr>
    </w:p>
    <w:p>
      <w:pPr>
        <w:rPr>
          <w:rFonts w:hint="eastAsia" w:ascii="仿宋" w:hAnsi="仿宋" w:eastAsia="仿宋" w:cs="仿宋"/>
          <w:b/>
          <w:bCs/>
          <w:sz w:val="40"/>
          <w:szCs w:val="40"/>
          <w:highlight w:val="none"/>
        </w:rPr>
      </w:pPr>
    </w:p>
    <w:p>
      <w:pPr>
        <w:pStyle w:val="2"/>
        <w:rPr>
          <w:rFonts w:hint="eastAsia" w:ascii="仿宋" w:hAnsi="仿宋" w:eastAsia="仿宋" w:cs="仿宋"/>
          <w:sz w:val="40"/>
          <w:szCs w:val="40"/>
          <w:highlight w:val="none"/>
        </w:rPr>
      </w:pPr>
    </w:p>
    <w:bookmarkEnd w:id="2"/>
    <w:bookmarkEnd w:id="3"/>
    <w:bookmarkEnd w:id="4"/>
    <w:p>
      <w:pPr>
        <w:snapToGrid w:val="0"/>
        <w:spacing w:line="540" w:lineRule="exact"/>
        <w:jc w:val="center"/>
        <w:outlineLvl w:val="0"/>
        <w:rPr>
          <w:rFonts w:hint="eastAsia" w:ascii="仿宋" w:hAnsi="仿宋" w:eastAsia="仿宋" w:cs="仿宋"/>
          <w:b/>
          <w:bCs/>
          <w:sz w:val="28"/>
          <w:szCs w:val="28"/>
          <w:highlight w:val="none"/>
        </w:rPr>
      </w:pPr>
      <w:bookmarkStart w:id="5" w:name="_Toc354491895"/>
      <w:bookmarkStart w:id="6" w:name="_Toc24708463"/>
      <w:bookmarkStart w:id="7" w:name="_Toc3347"/>
      <w:bookmarkStart w:id="8" w:name="_Toc356371429"/>
      <w:r>
        <w:rPr>
          <w:rFonts w:hint="eastAsia" w:ascii="仿宋" w:hAnsi="仿宋" w:eastAsia="仿宋" w:cs="仿宋"/>
          <w:b/>
          <w:bCs/>
          <w:sz w:val="28"/>
          <w:szCs w:val="28"/>
          <w:highlight w:val="none"/>
        </w:rPr>
        <w:t xml:space="preserve">第一章  </w:t>
      </w:r>
      <w:bookmarkEnd w:id="5"/>
      <w:r>
        <w:rPr>
          <w:rFonts w:hint="eastAsia" w:ascii="仿宋" w:hAnsi="仿宋" w:eastAsia="仿宋" w:cs="仿宋"/>
          <w:b/>
          <w:bCs/>
          <w:sz w:val="28"/>
          <w:szCs w:val="28"/>
          <w:highlight w:val="none"/>
        </w:rPr>
        <w:t>招标公告</w:t>
      </w:r>
      <w:bookmarkEnd w:id="6"/>
      <w:bookmarkEnd w:id="7"/>
      <w:bookmarkEnd w:id="8"/>
    </w:p>
    <w:p>
      <w:pPr>
        <w:snapToGrid w:val="0"/>
        <w:spacing w:line="54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关于进一步加强财政部门和预算单位资金存放管理的指导意见》（财库〔2017〕76号）、《关于防止领导干部在公款存放方面发生利益冲突和利益输送的办法》(浙委办发〔2015〕8号》、《江山市行政事业单位公款竞争性存放管理暂行办法》（江政办发【2016】4号）、《江山</w:t>
      </w:r>
      <w:r>
        <w:rPr>
          <w:rFonts w:hint="eastAsia" w:ascii="仿宋" w:hAnsi="仿宋" w:eastAsia="仿宋" w:cs="仿宋"/>
          <w:sz w:val="28"/>
          <w:szCs w:val="28"/>
          <w:highlight w:val="none"/>
          <w:lang w:eastAsia="zh-CN"/>
        </w:rPr>
        <w:t>市</w:t>
      </w:r>
      <w:r>
        <w:rPr>
          <w:rFonts w:hint="eastAsia" w:ascii="仿宋" w:hAnsi="仿宋" w:eastAsia="仿宋" w:cs="仿宋"/>
          <w:sz w:val="28"/>
          <w:szCs w:val="28"/>
          <w:highlight w:val="none"/>
        </w:rPr>
        <w:t>行政事业单位公款竞争性存放管理</w:t>
      </w:r>
      <w:r>
        <w:rPr>
          <w:rFonts w:hint="eastAsia" w:ascii="仿宋" w:hAnsi="仿宋" w:eastAsia="仿宋" w:cs="仿宋"/>
          <w:sz w:val="28"/>
          <w:szCs w:val="28"/>
          <w:highlight w:val="none"/>
          <w:lang w:eastAsia="zh-CN"/>
        </w:rPr>
        <w:t>办法</w:t>
      </w:r>
      <w:r>
        <w:rPr>
          <w:rFonts w:hint="eastAsia" w:ascii="仿宋" w:hAnsi="仿宋" w:eastAsia="仿宋" w:cs="仿宋"/>
          <w:sz w:val="28"/>
          <w:szCs w:val="28"/>
          <w:highlight w:val="none"/>
        </w:rPr>
        <w:t>》（江财预执【20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153</w:t>
      </w:r>
      <w:r>
        <w:rPr>
          <w:rFonts w:hint="eastAsia" w:ascii="仿宋" w:hAnsi="仿宋" w:eastAsia="仿宋" w:cs="仿宋"/>
          <w:sz w:val="28"/>
          <w:szCs w:val="28"/>
          <w:highlight w:val="none"/>
        </w:rPr>
        <w:t>号）等规定，江山市政府采购中心受江山市财政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委托，就江山市财政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年第</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eastAsia="zh-CN"/>
        </w:rPr>
        <w:t>公款竞争性</w:t>
      </w:r>
      <w:r>
        <w:rPr>
          <w:rFonts w:hint="eastAsia" w:ascii="仿宋" w:hAnsi="仿宋" w:eastAsia="仿宋" w:cs="仿宋"/>
          <w:sz w:val="28"/>
          <w:szCs w:val="28"/>
          <w:highlight w:val="none"/>
        </w:rPr>
        <w:t>存放</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rPr>
        <w:t>进行公开招标，欢迎符合条件的银行机构前来投标。</w:t>
      </w:r>
    </w:p>
    <w:p>
      <w:pPr>
        <w:numPr>
          <w:ilvl w:val="0"/>
          <w:numId w:val="12"/>
        </w:numPr>
        <w:snapToGrid w:val="0"/>
        <w:spacing w:line="540" w:lineRule="exact"/>
        <w:rPr>
          <w:rFonts w:hint="eastAsia" w:ascii="仿宋" w:hAnsi="仿宋" w:eastAsia="仿宋" w:cs="仿宋"/>
          <w:b w:val="0"/>
          <w:bCs w:val="0"/>
          <w:sz w:val="28"/>
          <w:szCs w:val="28"/>
          <w:highlight w:val="none"/>
        </w:rPr>
      </w:pPr>
      <w:r>
        <w:rPr>
          <w:rFonts w:hint="eastAsia" w:ascii="仿宋" w:hAnsi="仿宋" w:eastAsia="仿宋" w:cs="仿宋"/>
          <w:b/>
          <w:bCs/>
          <w:sz w:val="28"/>
          <w:szCs w:val="28"/>
          <w:highlight w:val="none"/>
        </w:rPr>
        <w:t>、项目编号：</w:t>
      </w:r>
      <w:r>
        <w:rPr>
          <w:rFonts w:hint="eastAsia" w:ascii="仿宋" w:hAnsi="仿宋" w:eastAsia="仿宋" w:cs="仿宋"/>
          <w:b w:val="0"/>
          <w:bCs w:val="0"/>
          <w:sz w:val="28"/>
          <w:szCs w:val="28"/>
          <w:highlight w:val="none"/>
          <w:lang w:eastAsia="zh-CN"/>
        </w:rPr>
        <w:t>JSS2025D006Q</w:t>
      </w:r>
    </w:p>
    <w:p>
      <w:pPr>
        <w:spacing w:line="560" w:lineRule="exact"/>
        <w:ind w:firstLine="843" w:firstLineChars="300"/>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项目名称：</w:t>
      </w:r>
      <w:r>
        <w:rPr>
          <w:rFonts w:hint="eastAsia" w:ascii="仿宋" w:hAnsi="仿宋" w:eastAsia="仿宋" w:cs="仿宋"/>
          <w:sz w:val="28"/>
          <w:szCs w:val="28"/>
          <w:highlight w:val="none"/>
        </w:rPr>
        <w:t>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年第</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eastAsia="zh-CN"/>
        </w:rPr>
        <w:t>公款</w:t>
      </w:r>
      <w:r>
        <w:rPr>
          <w:rFonts w:hint="eastAsia" w:ascii="仿宋" w:hAnsi="仿宋" w:eastAsia="仿宋" w:cs="仿宋"/>
          <w:sz w:val="28"/>
          <w:szCs w:val="28"/>
          <w:highlight w:val="none"/>
        </w:rPr>
        <w:t>竞争性存放</w:t>
      </w:r>
    </w:p>
    <w:tbl>
      <w:tblPr>
        <w:tblStyle w:val="5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78"/>
        <w:gridCol w:w="1997"/>
        <w:gridCol w:w="1996"/>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19" w:type="dxa"/>
            <w:vAlign w:val="center"/>
          </w:tcPr>
          <w:p>
            <w:pPr>
              <w:widowControl/>
              <w:snapToGrid w:val="0"/>
              <w:spacing w:line="54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序号</w:t>
            </w:r>
          </w:p>
        </w:tc>
        <w:tc>
          <w:tcPr>
            <w:tcW w:w="1978" w:type="dxa"/>
            <w:vAlign w:val="center"/>
          </w:tcPr>
          <w:p>
            <w:pPr>
              <w:widowControl/>
              <w:snapToGrid w:val="0"/>
              <w:spacing w:line="54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内容</w:t>
            </w:r>
          </w:p>
        </w:tc>
        <w:tc>
          <w:tcPr>
            <w:tcW w:w="1997" w:type="dxa"/>
            <w:vAlign w:val="center"/>
          </w:tcPr>
          <w:p>
            <w:pPr>
              <w:widowControl/>
              <w:snapToGrid w:val="0"/>
              <w:spacing w:line="54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资金(万元)</w:t>
            </w:r>
          </w:p>
        </w:tc>
        <w:tc>
          <w:tcPr>
            <w:tcW w:w="1996" w:type="dxa"/>
            <w:vAlign w:val="center"/>
          </w:tcPr>
          <w:p>
            <w:pPr>
              <w:widowControl/>
              <w:snapToGrid w:val="0"/>
              <w:spacing w:line="54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招标人</w:t>
            </w:r>
          </w:p>
        </w:tc>
        <w:tc>
          <w:tcPr>
            <w:tcW w:w="2967" w:type="dxa"/>
            <w:vAlign w:val="center"/>
          </w:tcPr>
          <w:p>
            <w:pPr>
              <w:snapToGrid w:val="0"/>
              <w:spacing w:line="54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19" w:type="dxa"/>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978" w:type="dxa"/>
            <w:vAlign w:val="center"/>
          </w:tcPr>
          <w:p>
            <w:pPr>
              <w:spacing w:line="56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年第</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eastAsia="zh-CN"/>
              </w:rPr>
              <w:t>公款</w:t>
            </w:r>
            <w:r>
              <w:rPr>
                <w:rFonts w:hint="eastAsia" w:ascii="仿宋" w:hAnsi="仿宋" w:eastAsia="仿宋" w:cs="仿宋"/>
                <w:sz w:val="24"/>
                <w:szCs w:val="24"/>
                <w:highlight w:val="none"/>
              </w:rPr>
              <w:t>竞争性存放</w:t>
            </w:r>
            <w:r>
              <w:rPr>
                <w:rFonts w:hint="eastAsia" w:ascii="仿宋" w:hAnsi="仿宋" w:eastAsia="仿宋" w:cs="仿宋"/>
                <w:sz w:val="24"/>
                <w:szCs w:val="24"/>
                <w:highlight w:val="none"/>
                <w:lang w:eastAsia="zh-CN"/>
              </w:rPr>
              <w:t>（半年</w:t>
            </w:r>
            <w:r>
              <w:rPr>
                <w:rFonts w:hint="eastAsia" w:ascii="仿宋" w:hAnsi="仿宋" w:eastAsia="仿宋" w:cs="仿宋"/>
                <w:sz w:val="24"/>
                <w:szCs w:val="24"/>
                <w:highlight w:val="none"/>
                <w:lang w:val="en-US" w:eastAsia="zh-CN"/>
              </w:rPr>
              <w:t>期、壹年期</w:t>
            </w:r>
            <w:r>
              <w:rPr>
                <w:rFonts w:hint="eastAsia" w:ascii="仿宋" w:hAnsi="仿宋" w:eastAsia="仿宋" w:cs="仿宋"/>
                <w:sz w:val="24"/>
                <w:szCs w:val="24"/>
                <w:highlight w:val="none"/>
                <w:lang w:eastAsia="zh-CN"/>
              </w:rPr>
              <w:t>）</w:t>
            </w:r>
          </w:p>
        </w:tc>
        <w:tc>
          <w:tcPr>
            <w:tcW w:w="1997" w:type="dxa"/>
            <w:vAlign w:val="center"/>
          </w:tcPr>
          <w:p>
            <w:pPr>
              <w:spacing w:line="560" w:lineRule="exact"/>
              <w:jc w:val="center"/>
              <w:rPr>
                <w:rFonts w:hint="eastAsia" w:ascii="仿宋" w:hAnsi="仿宋" w:eastAsia="仿宋" w:cs="仿宋"/>
                <w:kern w:val="0"/>
                <w:sz w:val="24"/>
                <w:szCs w:val="24"/>
                <w:highlight w:val="none"/>
                <w:lang w:val="en-US"/>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30000</w:t>
            </w:r>
          </w:p>
        </w:tc>
        <w:tc>
          <w:tcPr>
            <w:tcW w:w="1996" w:type="dxa"/>
            <w:vAlign w:val="center"/>
          </w:tcPr>
          <w:p>
            <w:pPr>
              <w:spacing w:line="560" w:lineRule="exact"/>
              <w:jc w:val="center"/>
              <w:rPr>
                <w:rFonts w:hint="eastAsia" w:ascii="仿宋" w:hAnsi="仿宋" w:eastAsia="仿宋" w:cs="仿宋"/>
                <w:kern w:val="0"/>
                <w:sz w:val="28"/>
                <w:szCs w:val="28"/>
                <w:highlight w:val="none"/>
              </w:rPr>
            </w:pPr>
            <w:r>
              <w:rPr>
                <w:rFonts w:hint="eastAsia" w:ascii="仿宋" w:hAnsi="仿宋" w:eastAsia="仿宋" w:cs="仿宋"/>
                <w:sz w:val="24"/>
                <w:szCs w:val="24"/>
                <w:highlight w:val="none"/>
              </w:rPr>
              <w:t>江山市财政</w:t>
            </w:r>
            <w:r>
              <w:rPr>
                <w:rFonts w:hint="eastAsia" w:ascii="仿宋" w:hAnsi="仿宋" w:eastAsia="仿宋" w:cs="仿宋"/>
                <w:sz w:val="24"/>
                <w:szCs w:val="24"/>
                <w:highlight w:val="none"/>
                <w:lang w:eastAsia="zh-CN"/>
              </w:rPr>
              <w:t>国库支付中心</w:t>
            </w:r>
          </w:p>
        </w:tc>
        <w:tc>
          <w:tcPr>
            <w:tcW w:w="2967" w:type="dxa"/>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半年期</w:t>
            </w:r>
            <w:r>
              <w:rPr>
                <w:rFonts w:hint="eastAsia" w:ascii="仿宋" w:hAnsi="仿宋" w:eastAsia="仿宋" w:cs="仿宋"/>
                <w:sz w:val="24"/>
                <w:szCs w:val="24"/>
                <w:highlight w:val="none"/>
              </w:rPr>
              <w:t>定期存款</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亿元、</w:t>
            </w:r>
            <w:r>
              <w:rPr>
                <w:rFonts w:hint="eastAsia" w:ascii="仿宋" w:hAnsi="仿宋" w:eastAsia="仿宋" w:cs="仿宋"/>
                <w:sz w:val="24"/>
                <w:szCs w:val="24"/>
                <w:highlight w:val="none"/>
                <w:lang w:eastAsia="zh-CN"/>
              </w:rPr>
              <w:t>一年期定期存款</w:t>
            </w:r>
            <w:r>
              <w:rPr>
                <w:rFonts w:hint="eastAsia" w:ascii="仿宋" w:hAnsi="仿宋" w:eastAsia="仿宋" w:cs="仿宋"/>
                <w:sz w:val="24"/>
                <w:szCs w:val="24"/>
                <w:highlight w:val="none"/>
                <w:lang w:val="en-US" w:eastAsia="zh-CN"/>
              </w:rPr>
              <w:t>1.5亿元。</w:t>
            </w:r>
          </w:p>
        </w:tc>
      </w:tr>
    </w:tbl>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GB"/>
        </w:rPr>
        <w:t xml:space="preserve"> </w:t>
      </w:r>
      <w:r>
        <w:rPr>
          <w:rFonts w:hint="eastAsia" w:ascii="仿宋" w:hAnsi="仿宋" w:eastAsia="仿宋" w:cs="仿宋"/>
          <w:b/>
          <w:bCs/>
          <w:sz w:val="28"/>
          <w:szCs w:val="28"/>
          <w:highlight w:val="none"/>
        </w:rPr>
        <w:t>、投标人资格要求:</w:t>
      </w:r>
    </w:p>
    <w:p>
      <w:pPr>
        <w:numPr>
          <w:ilvl w:val="0"/>
          <w:numId w:val="13"/>
        </w:numPr>
        <w:snapToGrid w:val="0"/>
        <w:spacing w:line="5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在江山市</w:t>
      </w:r>
      <w:r>
        <w:rPr>
          <w:rFonts w:hint="eastAsia" w:ascii="仿宋" w:hAnsi="仿宋" w:eastAsia="仿宋" w:cs="仿宋"/>
          <w:color w:val="auto"/>
          <w:sz w:val="28"/>
          <w:szCs w:val="28"/>
          <w:highlight w:val="none"/>
          <w:lang w:eastAsia="zh-CN"/>
        </w:rPr>
        <w:t>区</w:t>
      </w:r>
      <w:r>
        <w:rPr>
          <w:rFonts w:hint="eastAsia" w:ascii="仿宋" w:hAnsi="仿宋" w:eastAsia="仿宋" w:cs="仿宋"/>
          <w:color w:val="auto"/>
          <w:sz w:val="28"/>
          <w:szCs w:val="28"/>
          <w:highlight w:val="none"/>
        </w:rPr>
        <w:t>设立</w:t>
      </w:r>
      <w:r>
        <w:rPr>
          <w:rFonts w:hint="eastAsia" w:ascii="仿宋" w:hAnsi="仿宋" w:eastAsia="仿宋" w:cs="仿宋"/>
          <w:color w:val="auto"/>
          <w:sz w:val="28"/>
          <w:szCs w:val="28"/>
          <w:highlight w:val="none"/>
          <w:lang w:eastAsia="zh-CN"/>
        </w:rPr>
        <w:t>机构（或</w:t>
      </w:r>
      <w:r>
        <w:rPr>
          <w:rFonts w:hint="eastAsia" w:ascii="仿宋" w:hAnsi="仿宋" w:eastAsia="仿宋" w:cs="仿宋"/>
          <w:color w:val="auto"/>
          <w:sz w:val="28"/>
          <w:szCs w:val="28"/>
          <w:highlight w:val="none"/>
        </w:rPr>
        <w:t>分支机构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的国有商业银行、</w:t>
      </w:r>
      <w:r>
        <w:rPr>
          <w:rFonts w:hint="eastAsia" w:ascii="仿宋" w:hAnsi="仿宋" w:eastAsia="仿宋" w:cs="仿宋"/>
          <w:color w:val="auto"/>
          <w:sz w:val="28"/>
          <w:szCs w:val="28"/>
          <w:highlight w:val="none"/>
          <w:lang w:eastAsia="zh-CN"/>
        </w:rPr>
        <w:t>政策性银行、</w:t>
      </w:r>
      <w:r>
        <w:rPr>
          <w:rFonts w:hint="eastAsia" w:ascii="仿宋" w:hAnsi="仿宋" w:eastAsia="仿宋" w:cs="仿宋"/>
          <w:sz w:val="28"/>
          <w:szCs w:val="28"/>
          <w:highlight w:val="none"/>
        </w:rPr>
        <w:t>股份制商业银行、城市商业银行、农村商业银行等金融机构</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lang w:eastAsia="zh-CN"/>
        </w:rPr>
        <w:t>每家银行有且只能有一个主体参与投标，且须为江山市内级别最高机构（或分支机构）。</w:t>
      </w:r>
    </w:p>
    <w:p>
      <w:pPr>
        <w:numPr>
          <w:ilvl w:val="0"/>
          <w:numId w:val="0"/>
        </w:num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（二）依法开展经营活动，内部管理机制健全，具有较强的风险控制能力，近3年内在经营活动中无重大违法违规记录、未发生金融风险及重大违约事件</w:t>
      </w:r>
      <w:r>
        <w:rPr>
          <w:rFonts w:hint="eastAsia" w:ascii="仿宋" w:hAnsi="仿宋" w:eastAsia="仿宋" w:cs="仿宋"/>
          <w:sz w:val="28"/>
          <w:szCs w:val="28"/>
          <w:highlight w:val="none"/>
          <w:lang w:eastAsia="zh-CN"/>
        </w:rPr>
        <w:t>。</w:t>
      </w:r>
    </w:p>
    <w:p>
      <w:pPr>
        <w:snapToGrid w:val="0"/>
        <w:spacing w:line="5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三、网上报名时间及获取招标文件方式</w:t>
      </w:r>
    </w:p>
    <w:p>
      <w:pPr>
        <w:snapToGrid w:val="0"/>
        <w:spacing w:line="540" w:lineRule="exact"/>
        <w:ind w:firstLine="560" w:firstLineChars="20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GB"/>
        </w:rPr>
        <w:t>1.</w:t>
      </w:r>
      <w:r>
        <w:rPr>
          <w:rFonts w:hint="eastAsia" w:ascii="仿宋" w:hAnsi="仿宋" w:eastAsia="仿宋" w:cs="仿宋"/>
          <w:sz w:val="28"/>
          <w:szCs w:val="28"/>
          <w:highlight w:val="none"/>
          <w:shd w:val="clear" w:color="auto" w:fill="FFFFFF"/>
        </w:rPr>
        <w:t>报名时间：公告发布之日起至202</w:t>
      </w:r>
      <w:r>
        <w:rPr>
          <w:rFonts w:hint="eastAsia" w:ascii="仿宋" w:hAnsi="仿宋" w:eastAsia="仿宋" w:cs="仿宋"/>
          <w:sz w:val="28"/>
          <w:szCs w:val="28"/>
          <w:highlight w:val="none"/>
          <w:shd w:val="clear" w:color="auto" w:fill="FFFFFF"/>
          <w:lang w:val="en-US" w:eastAsia="zh-CN"/>
        </w:rPr>
        <w:t>5</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13</w:t>
      </w:r>
      <w:bookmarkStart w:id="118" w:name="_GoBack"/>
      <w:bookmarkEnd w:id="118"/>
      <w:r>
        <w:rPr>
          <w:rFonts w:hint="eastAsia" w:ascii="仿宋" w:hAnsi="仿宋" w:eastAsia="仿宋" w:cs="仿宋"/>
          <w:sz w:val="28"/>
          <w:szCs w:val="28"/>
          <w:highlight w:val="none"/>
          <w:shd w:val="clear" w:color="auto" w:fill="FFFFFF"/>
        </w:rPr>
        <w:t>日</w:t>
      </w:r>
      <w:r>
        <w:rPr>
          <w:rFonts w:hint="eastAsia" w:ascii="仿宋" w:hAnsi="仿宋" w:eastAsia="仿宋" w:cs="仿宋"/>
          <w:sz w:val="28"/>
          <w:szCs w:val="28"/>
          <w:highlight w:val="none"/>
          <w:shd w:val="clear" w:color="auto" w:fill="FFFFFF"/>
          <w:lang w:val="en-US" w:eastAsia="zh-CN"/>
        </w:rPr>
        <w:t>9</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00</w:t>
      </w:r>
      <w:r>
        <w:rPr>
          <w:rFonts w:hint="eastAsia" w:ascii="仿宋" w:hAnsi="仿宋" w:eastAsia="仿宋" w:cs="仿宋"/>
          <w:sz w:val="28"/>
          <w:szCs w:val="28"/>
          <w:highlight w:val="none"/>
          <w:shd w:val="clear" w:color="auto" w:fill="FFFFFF"/>
        </w:rPr>
        <w:t>:00。每天上午00:00至12:00 ，下午12:00至23:59（北京时间，线上报名法定节假日均可）</w:t>
      </w:r>
    </w:p>
    <w:p>
      <w:pPr>
        <w:snapToGrid w:val="0"/>
        <w:spacing w:line="540" w:lineRule="exact"/>
        <w:ind w:firstLine="560"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GB"/>
        </w:rPr>
        <w:t>2.</w:t>
      </w:r>
      <w:r>
        <w:rPr>
          <w:rFonts w:hint="eastAsia" w:ascii="仿宋" w:hAnsi="仿宋" w:eastAsia="仿宋" w:cs="仿宋"/>
          <w:sz w:val="28"/>
          <w:szCs w:val="28"/>
          <w:highlight w:val="none"/>
          <w:shd w:val="clear" w:color="auto" w:fill="FFFFFF"/>
        </w:rPr>
        <w:t>报名方式：本项目实行网上报名，报名银行在有效报名时间内登录政府采购云平台（http://login.zcygov.cn）,进入公款竞争性存放招标系统（以下简称“招标系统”），在竞标项目内按规定进行报名</w:t>
      </w:r>
      <w:r>
        <w:rPr>
          <w:rFonts w:hint="eastAsia" w:ascii="仿宋" w:hAnsi="仿宋" w:eastAsia="仿宋" w:cs="仿宋"/>
          <w:sz w:val="28"/>
          <w:szCs w:val="28"/>
          <w:highlight w:val="none"/>
          <w:shd w:val="clear" w:color="auto" w:fill="FFFFFF"/>
          <w:lang w:val="en-GB"/>
        </w:rPr>
        <w:t>,获取招标文件</w:t>
      </w:r>
      <w:r>
        <w:rPr>
          <w:rFonts w:hint="eastAsia" w:ascii="仿宋" w:hAnsi="仿宋" w:eastAsia="仿宋" w:cs="仿宋"/>
          <w:sz w:val="28"/>
          <w:szCs w:val="28"/>
          <w:highlight w:val="none"/>
          <w:shd w:val="clear" w:color="auto" w:fill="FFFFFF"/>
        </w:rPr>
        <w:t>。报名成功后联系人会收到短信通知，逾期报名视为未报名。</w:t>
      </w:r>
    </w:p>
    <w:p>
      <w:pPr>
        <w:snapToGrid w:val="0"/>
        <w:spacing w:line="540" w:lineRule="exact"/>
        <w:ind w:firstLine="562"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b/>
          <w:bCs/>
          <w:sz w:val="28"/>
          <w:szCs w:val="28"/>
          <w:highlight w:val="none"/>
        </w:rPr>
        <w:t>四、投标文件递交截止时间：</w:t>
      </w:r>
      <w:r>
        <w:rPr>
          <w:rFonts w:hint="eastAsia" w:ascii="仿宋" w:hAnsi="仿宋" w:eastAsia="仿宋" w:cs="仿宋"/>
          <w:sz w:val="28"/>
          <w:szCs w:val="28"/>
          <w:highlight w:val="none"/>
          <w:shd w:val="clear" w:color="auto" w:fill="FFFFFF"/>
        </w:rPr>
        <w:t>202</w:t>
      </w:r>
      <w:r>
        <w:rPr>
          <w:rFonts w:hint="eastAsia" w:ascii="仿宋" w:hAnsi="仿宋" w:eastAsia="仿宋" w:cs="仿宋"/>
          <w:sz w:val="28"/>
          <w:szCs w:val="28"/>
          <w:highlight w:val="none"/>
          <w:shd w:val="clear" w:color="auto" w:fill="FFFFFF"/>
          <w:lang w:val="en-US" w:eastAsia="zh-CN"/>
        </w:rPr>
        <w:t>5</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rPr>
        <w:t>月</w:t>
      </w:r>
      <w:r>
        <w:rPr>
          <w:rFonts w:hint="eastAsia" w:ascii="仿宋" w:hAnsi="仿宋" w:eastAsia="仿宋" w:cs="仿宋"/>
          <w:sz w:val="28"/>
          <w:szCs w:val="28"/>
          <w:highlight w:val="none"/>
          <w:shd w:val="clear" w:color="auto" w:fill="FFFFFF"/>
          <w:lang w:val="en-US" w:eastAsia="zh-CN"/>
        </w:rPr>
        <w:t>13</w:t>
      </w:r>
      <w:r>
        <w:rPr>
          <w:rFonts w:hint="eastAsia" w:ascii="仿宋" w:hAnsi="仿宋" w:eastAsia="仿宋" w:cs="仿宋"/>
          <w:sz w:val="28"/>
          <w:szCs w:val="28"/>
          <w:highlight w:val="none"/>
          <w:shd w:val="clear" w:color="auto" w:fill="FFFFFF"/>
        </w:rPr>
        <w:t>日</w:t>
      </w:r>
      <w:r>
        <w:rPr>
          <w:rFonts w:hint="eastAsia" w:ascii="仿宋" w:hAnsi="仿宋" w:eastAsia="仿宋" w:cs="仿宋"/>
          <w:sz w:val="28"/>
          <w:szCs w:val="28"/>
          <w:highlight w:val="none"/>
          <w:shd w:val="clear" w:color="auto" w:fill="FFFFFF"/>
          <w:lang w:val="en-US" w:eastAsia="zh-CN"/>
        </w:rPr>
        <w:t>9</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0</w:t>
      </w:r>
      <w:r>
        <w:rPr>
          <w:rFonts w:hint="eastAsia" w:ascii="仿宋" w:hAnsi="仿宋" w:eastAsia="仿宋" w:cs="仿宋"/>
          <w:sz w:val="28"/>
          <w:szCs w:val="28"/>
          <w:highlight w:val="none"/>
          <w:shd w:val="clear" w:color="auto" w:fill="FFFFFF"/>
        </w:rPr>
        <w:t>0:00（北京时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pStyle w:val="2"/>
        <w:ind w:firstLine="560" w:firstLineChars="200"/>
        <w:rPr>
          <w:rFonts w:hint="eastAsia" w:ascii="仿宋" w:hAnsi="仿宋" w:eastAsia="仿宋" w:cs="仿宋"/>
          <w:highlight w:val="none"/>
        </w:rPr>
      </w:pPr>
      <w:r>
        <w:rPr>
          <w:rFonts w:hint="eastAsia" w:ascii="仿宋" w:hAnsi="仿宋" w:eastAsia="仿宋" w:cs="仿宋"/>
          <w:b w:val="0"/>
          <w:bCs w:val="0"/>
          <w:spacing w:val="0"/>
          <w:kern w:val="2"/>
          <w:sz w:val="28"/>
          <w:szCs w:val="28"/>
          <w:highlight w:val="none"/>
        </w:rPr>
        <w:t>本项目不接受线下投标方式。</w:t>
      </w:r>
    </w:p>
    <w:p>
      <w:pPr>
        <w:snapToGrid w:val="0"/>
        <w:spacing w:line="540" w:lineRule="exact"/>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五、开标时间：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:00。</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开标地点：</w:t>
      </w:r>
      <w:r>
        <w:rPr>
          <w:rFonts w:hint="eastAsia" w:ascii="仿宋" w:hAnsi="仿宋" w:eastAsia="仿宋" w:cs="仿宋"/>
          <w:sz w:val="28"/>
          <w:szCs w:val="28"/>
          <w:highlight w:val="none"/>
          <w:lang w:eastAsia="zh-CN"/>
        </w:rPr>
        <w:t>政采云平台（</w:t>
      </w:r>
      <w:r>
        <w:rPr>
          <w:rFonts w:hint="eastAsia" w:ascii="仿宋" w:hAnsi="仿宋" w:eastAsia="仿宋" w:cs="仿宋"/>
          <w:sz w:val="28"/>
          <w:szCs w:val="28"/>
          <w:highlight w:val="none"/>
          <w:lang w:val="en-US" w:eastAsia="zh-CN"/>
        </w:rPr>
        <w:t>https://zfcg.czt.zj.gov.cn/</w:t>
      </w:r>
      <w:r>
        <w:rPr>
          <w:rFonts w:hint="eastAsia" w:ascii="仿宋" w:hAnsi="仿宋" w:eastAsia="仿宋" w:cs="仿宋"/>
          <w:sz w:val="28"/>
          <w:szCs w:val="28"/>
          <w:highlight w:val="none"/>
          <w:lang w:eastAsia="zh-CN"/>
        </w:rPr>
        <w:t>）。</w:t>
      </w:r>
    </w:p>
    <w:p>
      <w:pPr>
        <w:pStyle w:val="2"/>
        <w:ind w:firstLine="562" w:firstLineChars="200"/>
        <w:rPr>
          <w:rFonts w:hint="eastAsia" w:ascii="仿宋" w:hAnsi="仿宋" w:eastAsia="仿宋" w:cs="仿宋"/>
          <w:spacing w:val="0"/>
          <w:kern w:val="2"/>
          <w:sz w:val="28"/>
          <w:szCs w:val="28"/>
          <w:highlight w:val="none"/>
        </w:rPr>
      </w:pPr>
      <w:r>
        <w:rPr>
          <w:rFonts w:hint="eastAsia" w:ascii="仿宋" w:hAnsi="仿宋" w:eastAsia="仿宋" w:cs="仿宋"/>
          <w:spacing w:val="0"/>
          <w:kern w:val="2"/>
          <w:sz w:val="28"/>
          <w:szCs w:val="28"/>
          <w:highlight w:val="none"/>
        </w:rPr>
        <w:t>本项目实行电子开评标，投标人无需派代表出席。</w:t>
      </w:r>
    </w:p>
    <w:p>
      <w:pPr>
        <w:pStyle w:val="2"/>
        <w:ind w:firstLine="562" w:firstLineChars="200"/>
        <w:rPr>
          <w:rFonts w:hint="eastAsia" w:ascii="仿宋" w:hAnsi="仿宋" w:eastAsia="仿宋" w:cs="仿宋"/>
          <w:spacing w:val="0"/>
          <w:kern w:val="2"/>
          <w:sz w:val="28"/>
          <w:szCs w:val="28"/>
          <w:highlight w:val="none"/>
        </w:rPr>
      </w:pPr>
      <w:r>
        <w:rPr>
          <w:rFonts w:hint="eastAsia" w:ascii="仿宋" w:hAnsi="仿宋" w:eastAsia="仿宋" w:cs="仿宋"/>
          <w:spacing w:val="0"/>
          <w:kern w:val="2"/>
          <w:sz w:val="28"/>
          <w:szCs w:val="28"/>
          <w:highlight w:val="none"/>
        </w:rPr>
        <w:t>六、其他</w:t>
      </w:r>
    </w:p>
    <w:p>
      <w:pPr>
        <w:pStyle w:val="2"/>
        <w:ind w:firstLine="560" w:firstLineChars="200"/>
        <w:rPr>
          <w:rFonts w:hint="eastAsia" w:ascii="仿宋" w:hAnsi="仿宋" w:eastAsia="仿宋" w:cs="仿宋"/>
          <w:b w:val="0"/>
          <w:bCs w:val="0"/>
          <w:spacing w:val="0"/>
          <w:kern w:val="2"/>
          <w:sz w:val="28"/>
          <w:szCs w:val="28"/>
          <w:highlight w:val="none"/>
        </w:rPr>
      </w:pPr>
      <w:r>
        <w:rPr>
          <w:rFonts w:hint="eastAsia" w:ascii="仿宋" w:hAnsi="仿宋" w:eastAsia="仿宋" w:cs="仿宋"/>
          <w:b w:val="0"/>
          <w:bCs w:val="0"/>
          <w:spacing w:val="0"/>
          <w:kern w:val="2"/>
          <w:sz w:val="28"/>
          <w:szCs w:val="28"/>
          <w:highlight w:val="none"/>
        </w:rPr>
        <w:t>1.未经报名登记并获取采购文件的供应商参与本项目投标，将被拒绝。</w:t>
      </w:r>
    </w:p>
    <w:p>
      <w:pPr>
        <w:pStyle w:val="2"/>
        <w:ind w:firstLine="560" w:firstLineChars="200"/>
        <w:rPr>
          <w:rFonts w:hint="eastAsia" w:ascii="仿宋" w:hAnsi="仿宋" w:eastAsia="仿宋" w:cs="仿宋"/>
          <w:b w:val="0"/>
          <w:bCs w:val="0"/>
          <w:spacing w:val="0"/>
          <w:kern w:val="2"/>
          <w:sz w:val="28"/>
          <w:szCs w:val="28"/>
          <w:highlight w:val="none"/>
        </w:rPr>
      </w:pPr>
      <w:r>
        <w:rPr>
          <w:rFonts w:hint="eastAsia" w:ascii="仿宋" w:hAnsi="仿宋" w:eastAsia="仿宋" w:cs="仿宋"/>
          <w:b w:val="0"/>
          <w:bCs w:val="0"/>
          <w:spacing w:val="0"/>
          <w:kern w:val="2"/>
          <w:sz w:val="28"/>
          <w:szCs w:val="28"/>
          <w:highlight w:val="none"/>
        </w:rPr>
        <w:t>2.在线投标响应（电子投标）说明：</w:t>
      </w:r>
    </w:p>
    <w:p>
      <w:pPr>
        <w:pStyle w:val="2"/>
        <w:ind w:firstLine="560" w:firstLineChars="200"/>
        <w:rPr>
          <w:rFonts w:hint="eastAsia" w:ascii="仿宋" w:hAnsi="仿宋" w:eastAsia="仿宋" w:cs="仿宋"/>
          <w:b w:val="0"/>
          <w:bCs w:val="0"/>
          <w:spacing w:val="0"/>
          <w:kern w:val="2"/>
          <w:sz w:val="28"/>
          <w:szCs w:val="28"/>
          <w:highlight w:val="none"/>
        </w:rPr>
      </w:pPr>
      <w:r>
        <w:rPr>
          <w:rFonts w:hint="eastAsia" w:ascii="仿宋" w:hAnsi="仿宋" w:eastAsia="仿宋" w:cs="仿宋"/>
          <w:b w:val="0"/>
          <w:bCs w:val="0"/>
          <w:spacing w:val="0"/>
          <w:kern w:val="2"/>
          <w:sz w:val="28"/>
          <w:szCs w:val="28"/>
          <w:highlight w:val="none"/>
        </w:rPr>
        <w:t>(1).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pPr>
        <w:pStyle w:val="2"/>
        <w:ind w:firstLine="560" w:firstLineChars="200"/>
        <w:rPr>
          <w:rFonts w:hint="eastAsia" w:ascii="仿宋" w:hAnsi="仿宋" w:eastAsia="仿宋" w:cs="仿宋"/>
          <w:b w:val="0"/>
          <w:bCs w:val="0"/>
          <w:spacing w:val="0"/>
          <w:kern w:val="2"/>
          <w:sz w:val="28"/>
          <w:szCs w:val="28"/>
          <w:highlight w:val="none"/>
        </w:rPr>
      </w:pPr>
      <w:r>
        <w:rPr>
          <w:rFonts w:hint="eastAsia" w:ascii="仿宋" w:hAnsi="仿宋" w:eastAsia="仿宋" w:cs="仿宋"/>
          <w:b w:val="0"/>
          <w:bCs w:val="0"/>
          <w:spacing w:val="0"/>
          <w:kern w:val="2"/>
          <w:sz w:val="28"/>
          <w:szCs w:val="28"/>
          <w:highlight w:val="none"/>
        </w:rPr>
        <w:t>(2).网上电子投标具体流程详见操作指南：登录政府采购云平台（https://www.zcygov.cn/），从首页-服务中心-帮助文档-公款竞争性存放-操作流程，查看文档。</w:t>
      </w:r>
    </w:p>
    <w:p>
      <w:pPr>
        <w:pStyle w:val="2"/>
        <w:ind w:firstLine="560" w:firstLineChars="200"/>
        <w:rPr>
          <w:rFonts w:hint="eastAsia" w:ascii="仿宋" w:hAnsi="仿宋" w:eastAsia="仿宋" w:cs="仿宋"/>
          <w:highlight w:val="none"/>
        </w:rPr>
      </w:pPr>
      <w:r>
        <w:rPr>
          <w:rFonts w:hint="eastAsia" w:ascii="仿宋" w:hAnsi="仿宋" w:eastAsia="仿宋" w:cs="仿宋"/>
          <w:b w:val="0"/>
          <w:bCs w:val="0"/>
          <w:spacing w:val="0"/>
          <w:kern w:val="2"/>
          <w:sz w:val="28"/>
          <w:szCs w:val="28"/>
          <w:highlight w:val="none"/>
        </w:rPr>
        <w:t>(3).若对项目采购电子交易系统操作有疑问，可登录政采云（https://www.zcygov.cn/），点击右侧咨询小采，获取采小蜜智能服务管家帮助，或拨打政采云服务热线95763获取热线服务帮助。</w:t>
      </w:r>
    </w:p>
    <w:p>
      <w:pPr>
        <w:snapToGrid w:val="0"/>
        <w:spacing w:line="5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七、投标保证金</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本项目不收取投标保证金</w:t>
      </w:r>
      <w:r>
        <w:rPr>
          <w:rFonts w:hint="eastAsia" w:ascii="仿宋" w:hAnsi="仿宋" w:eastAsia="仿宋" w:cs="仿宋"/>
          <w:b/>
          <w:bCs/>
          <w:sz w:val="28"/>
          <w:szCs w:val="28"/>
          <w:highlight w:val="none"/>
        </w:rPr>
        <w:t>。</w:t>
      </w:r>
    </w:p>
    <w:p>
      <w:pPr>
        <w:snapToGrid w:val="0"/>
        <w:spacing w:line="5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八、联系方式</w:t>
      </w:r>
    </w:p>
    <w:p>
      <w:pPr>
        <w:pStyle w:val="293"/>
        <w:snapToGrid w:val="0"/>
        <w:spacing w:line="54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招标人：江山市财政</w:t>
      </w:r>
      <w:r>
        <w:rPr>
          <w:rFonts w:hint="eastAsia" w:ascii="仿宋" w:hAnsi="仿宋" w:eastAsia="仿宋" w:cs="仿宋"/>
          <w:sz w:val="28"/>
          <w:szCs w:val="28"/>
          <w:highlight w:val="none"/>
          <w:lang w:eastAsia="zh-CN"/>
        </w:rPr>
        <w:t>国库支付中心</w:t>
      </w:r>
    </w:p>
    <w:p>
      <w:pPr>
        <w:pStyle w:val="293"/>
        <w:snapToGrid w:val="0"/>
        <w:spacing w:line="54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刘</w:t>
      </w:r>
      <w:r>
        <w:rPr>
          <w:rFonts w:hint="eastAsia" w:ascii="仿宋" w:hAnsi="仿宋" w:eastAsia="仿宋" w:cs="仿宋"/>
          <w:sz w:val="28"/>
          <w:szCs w:val="28"/>
          <w:highlight w:val="none"/>
        </w:rPr>
        <w:t xml:space="preserve">先生    </w:t>
      </w:r>
    </w:p>
    <w:p>
      <w:pPr>
        <w:pStyle w:val="293"/>
        <w:snapToGrid w:val="0"/>
        <w:spacing w:line="54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联系电话：0570-40</w:t>
      </w:r>
      <w:r>
        <w:rPr>
          <w:rFonts w:hint="eastAsia" w:ascii="仿宋" w:hAnsi="仿宋" w:eastAsia="仿宋" w:cs="仿宋"/>
          <w:sz w:val="28"/>
          <w:szCs w:val="28"/>
          <w:highlight w:val="none"/>
          <w:lang w:val="en-US" w:eastAsia="zh-CN"/>
        </w:rPr>
        <w:t>15783</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招标代理机构名称：江山市政府采购中心</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项目联系人：王先生</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联系电话：0570-4031937</w:t>
      </w:r>
    </w:p>
    <w:p>
      <w:pPr>
        <w:tabs>
          <w:tab w:val="left" w:pos="0"/>
        </w:tabs>
        <w:autoSpaceDE w:val="0"/>
        <w:autoSpaceDN w:val="0"/>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地点：江山市公共资源交易中心</w:t>
      </w:r>
      <w:r>
        <w:rPr>
          <w:rFonts w:hint="eastAsia" w:ascii="仿宋" w:hAnsi="仿宋" w:eastAsia="仿宋" w:cs="仿宋"/>
          <w:sz w:val="28"/>
          <w:szCs w:val="28"/>
          <w:highlight w:val="none"/>
          <w:lang w:val="en-US" w:eastAsia="zh-CN"/>
        </w:rPr>
        <w:t>419</w:t>
      </w:r>
      <w:r>
        <w:rPr>
          <w:rFonts w:hint="eastAsia" w:ascii="仿宋" w:hAnsi="仿宋" w:eastAsia="仿宋" w:cs="仿宋"/>
          <w:sz w:val="28"/>
          <w:szCs w:val="28"/>
          <w:highlight w:val="none"/>
        </w:rPr>
        <w:t>室（江山市虎山街道景星西路万商城</w:t>
      </w:r>
      <w:r>
        <w:rPr>
          <w:rFonts w:hint="eastAsia" w:ascii="仿宋" w:hAnsi="仿宋" w:eastAsia="仿宋" w:cs="仿宋"/>
          <w:sz w:val="28"/>
          <w:szCs w:val="28"/>
          <w:highlight w:val="none"/>
          <w:lang w:val="en-US" w:eastAsia="zh-CN"/>
        </w:rPr>
        <w:t>12号楼四楼</w:t>
      </w:r>
      <w:r>
        <w:rPr>
          <w:rFonts w:hint="eastAsia" w:ascii="仿宋" w:hAnsi="仿宋" w:eastAsia="仿宋" w:cs="仿宋"/>
          <w:sz w:val="28"/>
          <w:szCs w:val="28"/>
          <w:highlight w:val="none"/>
        </w:rPr>
        <w:t>）。</w:t>
      </w: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江山市政府采购中心</w:t>
      </w: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w:t>
      </w:r>
    </w:p>
    <w:p>
      <w:pPr>
        <w:snapToGrid w:val="0"/>
        <w:spacing w:beforeLines="50" w:afterLines="50" w:line="540" w:lineRule="exact"/>
        <w:ind w:firstLine="1760"/>
        <w:outlineLvl w:val="0"/>
        <w:rPr>
          <w:rFonts w:hint="eastAsia" w:ascii="仿宋" w:hAnsi="仿宋" w:eastAsia="仿宋" w:cs="仿宋"/>
          <w:b/>
          <w:bCs/>
          <w:sz w:val="28"/>
          <w:szCs w:val="28"/>
          <w:highlight w:val="none"/>
        </w:rPr>
      </w:pPr>
      <w:bookmarkStart w:id="9" w:name="_Toc322352982"/>
      <w:bookmarkStart w:id="10" w:name="_Toc354491896"/>
      <w:bookmarkStart w:id="11" w:name="_Toc356371430"/>
      <w:r>
        <w:rPr>
          <w:rFonts w:hint="eastAsia" w:ascii="仿宋" w:hAnsi="仿宋" w:eastAsia="仿宋" w:cs="仿宋"/>
          <w:b/>
          <w:bCs/>
          <w:sz w:val="28"/>
          <w:szCs w:val="28"/>
          <w:highlight w:val="none"/>
        </w:rPr>
        <w:br w:type="page"/>
      </w:r>
      <w:bookmarkStart w:id="12" w:name="_Toc14256"/>
      <w:bookmarkStart w:id="13" w:name="_Toc24708464"/>
      <w:r>
        <w:rPr>
          <w:rFonts w:hint="eastAsia" w:ascii="仿宋" w:hAnsi="仿宋" w:eastAsia="仿宋" w:cs="仿宋"/>
          <w:b/>
          <w:bCs/>
          <w:sz w:val="28"/>
          <w:szCs w:val="28"/>
          <w:highlight w:val="none"/>
        </w:rPr>
        <w:t>第二章  投标</w:t>
      </w:r>
      <w:bookmarkEnd w:id="9"/>
      <w:bookmarkEnd w:id="10"/>
      <w:r>
        <w:rPr>
          <w:rFonts w:hint="eastAsia" w:ascii="仿宋" w:hAnsi="仿宋" w:eastAsia="仿宋" w:cs="仿宋"/>
          <w:b/>
          <w:bCs/>
          <w:sz w:val="28"/>
          <w:szCs w:val="28"/>
          <w:highlight w:val="none"/>
        </w:rPr>
        <w:t>须知前附表及投标须知</w:t>
      </w:r>
      <w:bookmarkEnd w:id="11"/>
      <w:bookmarkEnd w:id="12"/>
      <w:bookmarkEnd w:id="13"/>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14" w:name="_Toc24767"/>
      <w:bookmarkStart w:id="15" w:name="_Toc24708465"/>
      <w:bookmarkStart w:id="16" w:name="_Toc356371431"/>
      <w:r>
        <w:rPr>
          <w:rFonts w:hint="eastAsia" w:ascii="仿宋" w:hAnsi="仿宋" w:eastAsia="仿宋" w:cs="仿宋"/>
          <w:b/>
          <w:bCs/>
          <w:sz w:val="28"/>
          <w:szCs w:val="28"/>
          <w:highlight w:val="none"/>
        </w:rPr>
        <w:t>一、投标须知前附表</w:t>
      </w:r>
      <w:bookmarkEnd w:id="14"/>
      <w:bookmarkEnd w:id="15"/>
      <w:bookmarkEnd w:id="16"/>
    </w:p>
    <w:tbl>
      <w:tblPr>
        <w:tblStyle w:val="5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内  容</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招标人</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江山市财政</w:t>
            </w:r>
            <w:r>
              <w:rPr>
                <w:rFonts w:hint="eastAsia" w:ascii="仿宋" w:hAnsi="仿宋" w:eastAsia="仿宋" w:cs="仿宋"/>
                <w:sz w:val="28"/>
                <w:szCs w:val="28"/>
                <w:highlight w:val="none"/>
                <w:lang w:eastAsia="zh-CN"/>
              </w:rPr>
              <w:t>国库支付中心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880" w:type="dxa"/>
            <w:vAlign w:val="center"/>
          </w:tcPr>
          <w:p>
            <w:pPr>
              <w:spacing w:line="56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年第</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eastAsia="zh-CN"/>
              </w:rPr>
              <w:t>公款</w:t>
            </w:r>
            <w:r>
              <w:rPr>
                <w:rFonts w:hint="eastAsia" w:ascii="仿宋" w:hAnsi="仿宋" w:eastAsia="仿宋" w:cs="仿宋"/>
                <w:sz w:val="28"/>
                <w:szCs w:val="28"/>
                <w:highlight w:val="none"/>
              </w:rPr>
              <w:t>竞争性存放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资金总额</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r>
              <w:rPr>
                <w:rFonts w:hint="eastAsia" w:ascii="仿宋" w:hAnsi="仿宋" w:eastAsia="仿宋" w:cs="仿宋"/>
                <w:sz w:val="28"/>
                <w:szCs w:val="28"/>
                <w:highlight w:val="none"/>
                <w:lang w:val="en-US" w:eastAsia="zh-CN"/>
              </w:rPr>
              <w:t>30000</w:t>
            </w:r>
            <w:r>
              <w:rPr>
                <w:rFonts w:hint="eastAsia" w:ascii="仿宋" w:hAnsi="仿宋" w:eastAsia="仿宋" w:cs="仿宋"/>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2629" w:type="dxa"/>
            <w:vAlign w:val="center"/>
          </w:tcPr>
          <w:p>
            <w:pPr>
              <w:pStyle w:val="31"/>
              <w:snapToGrid w:val="0"/>
              <w:spacing w:line="540" w:lineRule="exac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投标文件递交截止时间及开标时间</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7</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江山市虎山街道景星西路万商城</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楼</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楼公共资源交易中心</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8</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联合体投标</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9</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王</w:t>
            </w:r>
            <w:r>
              <w:rPr>
                <w:rFonts w:hint="eastAsia" w:ascii="仿宋" w:hAnsi="仿宋" w:eastAsia="仿宋" w:cs="仿宋"/>
                <w:sz w:val="28"/>
                <w:szCs w:val="28"/>
                <w:highlight w:val="none"/>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10</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5880" w:type="dxa"/>
            <w:vAlign w:val="center"/>
          </w:tcPr>
          <w:p>
            <w:pPr>
              <w:pStyle w:val="31"/>
              <w:snapToGrid w:val="0"/>
              <w:spacing w:line="540" w:lineRule="exact"/>
              <w:ind w:firstLine="2240" w:firstLineChars="8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 xml:space="preserve">0570-4031937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11</w:t>
            </w:r>
          </w:p>
        </w:tc>
        <w:tc>
          <w:tcPr>
            <w:tcW w:w="2629" w:type="dxa"/>
            <w:vAlign w:val="center"/>
          </w:tcPr>
          <w:p>
            <w:pPr>
              <w:pStyle w:val="31"/>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招标公告，更正公告，中标公示发布网址</w:t>
            </w:r>
          </w:p>
        </w:tc>
        <w:tc>
          <w:tcPr>
            <w:tcW w:w="5880" w:type="dxa"/>
            <w:vAlign w:val="center"/>
          </w:tcPr>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"http://www.zjzfcg.gov.cn" </w:instrText>
            </w:r>
            <w:r>
              <w:rPr>
                <w:rFonts w:hint="eastAsia" w:ascii="仿宋" w:hAnsi="仿宋" w:eastAsia="仿宋" w:cs="仿宋"/>
                <w:highlight w:val="none"/>
              </w:rPr>
              <w:fldChar w:fldCharType="separate"/>
            </w:r>
            <w:r>
              <w:rPr>
                <w:rStyle w:val="69"/>
                <w:rFonts w:hint="eastAsia" w:ascii="仿宋" w:hAnsi="仿宋" w:eastAsia="仿宋" w:cs="仿宋"/>
                <w:color w:val="auto"/>
                <w:sz w:val="28"/>
                <w:szCs w:val="28"/>
                <w:highlight w:val="none"/>
              </w:rPr>
              <w:t>www.zjzfcg.gov.cn</w:t>
            </w:r>
            <w:r>
              <w:rPr>
                <w:rStyle w:val="69"/>
                <w:rFonts w:hint="eastAsia" w:ascii="仿宋" w:hAnsi="仿宋" w:eastAsia="仿宋" w:cs="仿宋"/>
                <w:color w:val="auto"/>
                <w:sz w:val="28"/>
                <w:szCs w:val="28"/>
                <w:highlight w:val="none"/>
              </w:rPr>
              <w:fldChar w:fldCharType="end"/>
            </w:r>
            <w:r>
              <w:rPr>
                <w:rStyle w:val="166"/>
                <w:rFonts w:hint="eastAsia" w:ascii="仿宋" w:hAnsi="仿宋" w:eastAsia="仿宋" w:cs="仿宋"/>
                <w:sz w:val="28"/>
                <w:szCs w:val="28"/>
                <w:highlight w:val="none"/>
              </w:rPr>
              <w:t>（浙江省政府采购网）</w:t>
            </w:r>
          </w:p>
          <w:p>
            <w:pPr>
              <w:pStyle w:val="31"/>
              <w:snapToGrid w:val="0"/>
              <w:spacing w:line="5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ggzy.qz.gov.cn</w:t>
            </w:r>
            <w:r>
              <w:rPr>
                <w:rFonts w:hint="eastAsia" w:ascii="仿宋" w:hAnsi="仿宋" w:eastAsia="仿宋" w:cs="仿宋"/>
                <w:sz w:val="28"/>
                <w:szCs w:val="28"/>
                <w:highlight w:val="none"/>
              </w:rPr>
              <w:t>（衢州市公共资源交易网）</w:t>
            </w:r>
            <w:r>
              <w:rPr>
                <w:rFonts w:hint="eastAsia" w:ascii="仿宋" w:hAnsi="仿宋" w:eastAsia="仿宋" w:cs="仿宋"/>
                <w:sz w:val="28"/>
                <w:szCs w:val="28"/>
                <w:highlight w:val="none"/>
                <w:u w:val="single"/>
              </w:rPr>
              <w:t>http://www.jiangshan.gov.cn/col/col1229080392/index.html</w:t>
            </w:r>
            <w:r>
              <w:rPr>
                <w:rFonts w:hint="eastAsia" w:ascii="仿宋" w:hAnsi="仿宋" w:eastAsia="仿宋" w:cs="仿宋"/>
                <w:sz w:val="28"/>
                <w:szCs w:val="28"/>
                <w:highlight w:val="none"/>
              </w:rPr>
              <w:t>（江山市财政局门户网站）</w:t>
            </w:r>
          </w:p>
        </w:tc>
      </w:tr>
    </w:tbl>
    <w:p>
      <w:pPr>
        <w:spacing w:line="540" w:lineRule="exact"/>
        <w:ind w:firstLine="420" w:firstLineChars="200"/>
        <w:outlineLvl w:val="0"/>
        <w:rPr>
          <w:rFonts w:hint="eastAsia" w:ascii="仿宋" w:hAnsi="仿宋" w:eastAsia="仿宋" w:cs="仿宋"/>
          <w:highlight w:val="none"/>
        </w:rPr>
      </w:pPr>
      <w:bookmarkStart w:id="17" w:name="_Toc16141"/>
      <w:r>
        <w:rPr>
          <w:rFonts w:hint="eastAsia" w:ascii="仿宋" w:hAnsi="仿宋" w:eastAsia="仿宋" w:cs="仿宋"/>
          <w:highlight w:val="none"/>
        </w:rPr>
        <w:t>注：本采购文件未尽事项按法律法规及行业主管部门文件执行</w:t>
      </w:r>
      <w:bookmarkEnd w:id="17"/>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18" w:name="_Toc356371433"/>
      <w:bookmarkStart w:id="19" w:name="_Toc24708466"/>
      <w:bookmarkStart w:id="20" w:name="_Toc23331"/>
      <w:r>
        <w:rPr>
          <w:rFonts w:hint="eastAsia" w:ascii="仿宋" w:hAnsi="仿宋" w:eastAsia="仿宋" w:cs="仿宋"/>
          <w:b/>
          <w:bCs/>
          <w:sz w:val="28"/>
          <w:szCs w:val="28"/>
          <w:highlight w:val="none"/>
        </w:rPr>
        <w:t>二、投标须知</w:t>
      </w:r>
      <w:bookmarkEnd w:id="18"/>
      <w:bookmarkEnd w:id="19"/>
      <w:bookmarkEnd w:id="20"/>
    </w:p>
    <w:p>
      <w:pPr>
        <w:snapToGrid w:val="0"/>
        <w:spacing w:line="54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1. 适用范围</w:t>
      </w:r>
    </w:p>
    <w:p>
      <w:pPr>
        <w:tabs>
          <w:tab w:val="left" w:pos="0"/>
          <w:tab w:val="left" w:pos="900"/>
          <w:tab w:val="left" w:pos="7020"/>
          <w:tab w:val="left" w:pos="8460"/>
        </w:tabs>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本招标文件仅适用于本次招标项目的招标、投标、评标、定标、验收、合同履约、付款等行为。</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定义</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2.1“招标代理机构”系指组织本次招标的江山市政府采购中心。</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2.2“招标人”系指提出本次招标的委托单位：江山市财政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2.3“投标人”系指向招标代理机构提交投标文件的银行。</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2.4“▲”系指实质性要求条款。</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投标费用</w:t>
      </w:r>
    </w:p>
    <w:p>
      <w:pPr>
        <w:tabs>
          <w:tab w:val="left" w:pos="0"/>
          <w:tab w:val="left" w:pos="900"/>
          <w:tab w:val="left" w:pos="7020"/>
          <w:tab w:val="left" w:pos="8460"/>
        </w:tabs>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不论投标结果如何，投标人均应自行承担所有与投标有关的全部费用。</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 招标方式</w:t>
      </w:r>
    </w:p>
    <w:p>
      <w:pPr>
        <w:snapToGrid w:val="0"/>
        <w:spacing w:line="54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本次招标采用公开招标方式进行。</w:t>
      </w:r>
    </w:p>
    <w:p>
      <w:pPr>
        <w:snapToGrid w:val="0"/>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5.</w:t>
      </w:r>
      <w:r>
        <w:rPr>
          <w:rFonts w:hint="eastAsia" w:ascii="仿宋" w:hAnsi="仿宋" w:eastAsia="仿宋" w:cs="仿宋"/>
          <w:kern w:val="0"/>
          <w:sz w:val="28"/>
          <w:szCs w:val="28"/>
          <w:highlight w:val="none"/>
        </w:rPr>
        <w:t>转包与分包</w:t>
      </w:r>
    </w:p>
    <w:p>
      <w:pPr>
        <w:snapToGrid w:val="0"/>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本项目不允许转包。分包须经招标人书面同意后方可实施。</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21" w:name="_Toc24708467"/>
      <w:bookmarkStart w:id="22" w:name="_Toc356371434"/>
      <w:bookmarkStart w:id="23" w:name="_Toc22413"/>
      <w:r>
        <w:rPr>
          <w:rFonts w:hint="eastAsia" w:ascii="仿宋" w:hAnsi="仿宋" w:eastAsia="仿宋" w:cs="仿宋"/>
          <w:b/>
          <w:bCs/>
          <w:sz w:val="28"/>
          <w:szCs w:val="28"/>
          <w:highlight w:val="none"/>
        </w:rPr>
        <w:t>三、招标文件说明</w:t>
      </w:r>
      <w:bookmarkEnd w:id="21"/>
      <w:bookmarkEnd w:id="22"/>
      <w:bookmarkEnd w:id="23"/>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 招标文件的组成</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6.1招标公告；</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6.2投标须知前附表及投标须知；</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6.3招标内容及要求；</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6.4合同文本；</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6.5应提交的有关格式范例；</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6.6评标办法及开标程序。</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24" w:name="_Toc356371435"/>
      <w:bookmarkStart w:id="25" w:name="_Toc24708468"/>
      <w:bookmarkStart w:id="26" w:name="_Toc20287"/>
      <w:r>
        <w:rPr>
          <w:rFonts w:hint="eastAsia" w:ascii="仿宋" w:hAnsi="仿宋" w:eastAsia="仿宋" w:cs="仿宋"/>
          <w:b/>
          <w:bCs/>
          <w:sz w:val="28"/>
          <w:szCs w:val="28"/>
          <w:highlight w:val="none"/>
        </w:rPr>
        <w:t>四、投标文件的编制</w:t>
      </w:r>
      <w:bookmarkEnd w:id="24"/>
      <w:bookmarkEnd w:id="25"/>
      <w:bookmarkEnd w:id="26"/>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 总体要求</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7.1投标人应仔细阅读招标文件的所有内容，按本文件的要求提供投标文件，并保证所提供的全部资料的真实性，以使其投标文件对招标文件作出实质性响应</w:t>
      </w:r>
      <w:r>
        <w:rPr>
          <w:rFonts w:hint="eastAsia" w:ascii="仿宋" w:hAnsi="仿宋" w:eastAsia="仿宋" w:cs="仿宋"/>
          <w:kern w:val="0"/>
          <w:sz w:val="28"/>
          <w:szCs w:val="28"/>
          <w:highlight w:val="none"/>
        </w:rPr>
        <w:t>，否则，投标文件可能视为无效投标文件。</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7.2投标文件及投标人与招标有关的来往通知，函件和文件均应使用中文。</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7.3投标人应按本文件中提供的文件格式、内容和要求制作投标文件。</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8.投标文件的组成</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8.1投标文件封面</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8.2▲投标函；</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8.3▲报价一览表；</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8.4▲中标承诺书；</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8.5▲廉政承诺书；</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8.6▲资格承诺书；</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8.7法定代表人（负责人）身份证复印件，或法定代表人（负责人）授权委托书与授权代表身份证复印件；</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8.8有效的投标人《企业法人营业执照》复印件；</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8.9金融许可证复印件。  </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9.投标文件内容填写说明 </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9.1投标人应在认真阅读招标文件所有内容的基础上，按照招标文件的要求编制完整的投标文件。投标文件应按照招标文件中规定的统一格式填写、签字、盖章，按顺序扫描上传到招投标系统。投标人必须保证投标文件所提供的全部资料真实可靠。</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9.2《报价一览表》，要求按格式填写、统一规范，不得自行增减内容。</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9.3投标文件须对招标文件中的内容做出实质性的和完整的响应，否则其投标将被拒绝。如果投标文件填报的内容资料不详，或没有提供招标文件中所要求的全部资料及数据，将会导致投标被拒绝。</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9.4投标文件不得涂改和增删，如有错漏必须修改，修改处须由授权代表签字或盖章。</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9.5由于字迹模糊或表达不清引起的后果由投标人负责。</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10.投标报价</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10.1投标报价应按招标文件中相关附表格式填写。</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10.2投标文件只允许有一个报价，有选择的或有条件的报价将不予接受。</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 投标有效期</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11.1▲投标文件从投标文件递交截止之日起，有效期为90天；</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27" w:name="_Toc24708469"/>
      <w:bookmarkStart w:id="28" w:name="_Toc17546"/>
      <w:bookmarkStart w:id="29" w:name="_Toc356371436"/>
      <w:r>
        <w:rPr>
          <w:rFonts w:hint="eastAsia" w:ascii="仿宋" w:hAnsi="仿宋" w:eastAsia="仿宋" w:cs="仿宋"/>
          <w:b/>
          <w:bCs/>
          <w:sz w:val="28"/>
          <w:szCs w:val="28"/>
          <w:highlight w:val="none"/>
        </w:rPr>
        <w:t>五、投标保证金</w:t>
      </w:r>
      <w:bookmarkEnd w:id="27"/>
      <w:bookmarkEnd w:id="28"/>
      <w:bookmarkEnd w:id="29"/>
    </w:p>
    <w:p>
      <w:pPr>
        <w:snapToGrid w:val="0"/>
        <w:spacing w:beforeLines="50" w:afterLines="50" w:line="540" w:lineRule="exact"/>
        <w:ind w:firstLine="560" w:firstLineChars="200"/>
        <w:outlineLvl w:val="1"/>
        <w:rPr>
          <w:rFonts w:hint="eastAsia" w:ascii="仿宋" w:hAnsi="仿宋" w:eastAsia="仿宋" w:cs="仿宋"/>
          <w:sz w:val="28"/>
          <w:szCs w:val="28"/>
          <w:highlight w:val="none"/>
        </w:rPr>
      </w:pPr>
      <w:bookmarkStart w:id="30" w:name="_Toc9713"/>
      <w:bookmarkStart w:id="31" w:name="_Toc24708470"/>
      <w:r>
        <w:rPr>
          <w:rFonts w:hint="eastAsia" w:ascii="仿宋" w:hAnsi="仿宋" w:eastAsia="仿宋" w:cs="仿宋"/>
          <w:sz w:val="28"/>
          <w:szCs w:val="28"/>
          <w:highlight w:val="none"/>
        </w:rPr>
        <w:t>12.本项目不收取投标保证金。</w:t>
      </w:r>
      <w:bookmarkEnd w:id="30"/>
      <w:bookmarkEnd w:id="31"/>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32" w:name="_Toc24708471"/>
      <w:bookmarkStart w:id="33" w:name="_Toc31383"/>
      <w:r>
        <w:rPr>
          <w:rFonts w:hint="eastAsia" w:ascii="仿宋" w:hAnsi="仿宋" w:eastAsia="仿宋" w:cs="仿宋"/>
          <w:b/>
          <w:bCs/>
          <w:sz w:val="28"/>
          <w:szCs w:val="28"/>
          <w:highlight w:val="none"/>
        </w:rPr>
        <w:t>六、投标文件的签署及规定</w:t>
      </w:r>
      <w:bookmarkEnd w:id="32"/>
      <w:bookmarkEnd w:id="33"/>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13.投标人应按本须知的相关要求制作投标文件。</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14.投标文件需打印或用不褪色墨水书写，并由投标人或经正式授权的代表在投标文件上签字或盖章。授权代表须以书面形式出具的“法定代表人（负责人）授权委托书”附在投标文件中。</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15.▲投标文件封面须加盖投标人单位公章。</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16.任何行间插字、涂改和增删，必须由投标文件签字人在旁边签字才有效。</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17.电报、电话、传真形式的投标文件概不接受。</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34" w:name="_Toc7176"/>
      <w:bookmarkStart w:id="35" w:name="_Toc356371437"/>
      <w:bookmarkStart w:id="36" w:name="_Toc24708472"/>
      <w:r>
        <w:rPr>
          <w:rFonts w:hint="eastAsia" w:ascii="仿宋" w:hAnsi="仿宋" w:eastAsia="仿宋" w:cs="仿宋"/>
          <w:b/>
          <w:bCs/>
          <w:sz w:val="28"/>
          <w:szCs w:val="28"/>
          <w:highlight w:val="none"/>
        </w:rPr>
        <w:t>七、投标文件的递交</w:t>
      </w:r>
      <w:bookmarkEnd w:id="34"/>
      <w:bookmarkEnd w:id="35"/>
      <w:bookmarkEnd w:id="36"/>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18.投标文件扫描上传到招投标系统后，在递交投标文件截止时间前可撤回，修改后重新上传。在递交投标文件截止期之后，投标人不得再对其投标文件做任何修改，也不得撤回其投标文件。实质上没有响应本文件要求的投标文件将被拒绝。投标人不得通过修正或撤销不合要求的偏离或保留从而使其投标文件成为实质上响应的文件。</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37" w:name="_Toc24708473"/>
      <w:bookmarkStart w:id="38" w:name="_Toc356371438"/>
      <w:bookmarkStart w:id="39" w:name="_Toc31677"/>
      <w:r>
        <w:rPr>
          <w:rFonts w:hint="eastAsia" w:ascii="仿宋" w:hAnsi="仿宋" w:eastAsia="仿宋" w:cs="仿宋"/>
          <w:b/>
          <w:bCs/>
          <w:sz w:val="28"/>
          <w:szCs w:val="28"/>
          <w:highlight w:val="none"/>
        </w:rPr>
        <w:t>八、投标无效的情形</w:t>
      </w:r>
      <w:bookmarkEnd w:id="37"/>
      <w:bookmarkEnd w:id="38"/>
      <w:bookmarkEnd w:id="39"/>
    </w:p>
    <w:p>
      <w:pPr>
        <w:snapToGrid w:val="0"/>
        <w:spacing w:line="540" w:lineRule="exact"/>
        <w:ind w:firstLine="560" w:firstLineChars="200"/>
        <w:rPr>
          <w:rFonts w:hint="eastAsia" w:ascii="仿宋" w:hAnsi="仿宋" w:eastAsia="仿宋" w:cs="仿宋"/>
          <w:sz w:val="28"/>
          <w:szCs w:val="28"/>
          <w:highlight w:val="none"/>
        </w:rPr>
      </w:pPr>
      <w:bookmarkStart w:id="40" w:name="_Toc356371439"/>
      <w:r>
        <w:rPr>
          <w:rFonts w:hint="eastAsia" w:ascii="仿宋" w:hAnsi="仿宋" w:eastAsia="仿宋" w:cs="仿宋"/>
          <w:sz w:val="28"/>
          <w:szCs w:val="28"/>
          <w:highlight w:val="none"/>
        </w:rPr>
        <w:t>19.实质上没有响应招标文件要求的投标将被视为无效投标。投标人不得通过修正或撤消不合要求的偏离或保留从而使其投标成为实质上响应的投标。如发生下列情况之一的，其投标视为无效：</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19.1不具备招标文件规定资格要求；</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19.2投标文件未按招标文件要求签署、盖章的，未有效授权的;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19.3招标文件中有▲处条款投标人未作实质性响应的；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19.4报价一览表的年利率报价，低于基准利率的；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19.5投标文件关键内容字迹模糊、无法辨认的；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19.6投标文件含有招标人不能接受的附件条件的；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19.7提供虚假材料谋取中标的；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19.8投标人串通投标的；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19.9不符合法律、法规和招标文件规定的其他实质性要求的。</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41" w:name="_Toc24708474"/>
      <w:bookmarkStart w:id="42" w:name="_Toc27126"/>
      <w:bookmarkStart w:id="43" w:name="_Toc359592368"/>
      <w:r>
        <w:rPr>
          <w:rFonts w:hint="eastAsia" w:ascii="仿宋" w:hAnsi="仿宋" w:eastAsia="仿宋" w:cs="仿宋"/>
          <w:b/>
          <w:bCs/>
          <w:sz w:val="28"/>
          <w:szCs w:val="28"/>
          <w:highlight w:val="none"/>
        </w:rPr>
        <w:t>九、串通投标的情形</w:t>
      </w:r>
      <w:bookmarkEnd w:id="41"/>
      <w:bookmarkEnd w:id="42"/>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20.1不同投标人的投标文件由同一单位或者个人编制；</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20.2不同投标人委托同一单位或者个人办理投标事宜；</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20.3不同投标人的投标文件载明的项目管理成员或者联系人员为同一人；</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20.4不同投标人的投标文件异常一致或者投标报价呈规律性差异；</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20.5不同投标人的投标文件相互混装；</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44" w:name="_Toc10991"/>
      <w:bookmarkStart w:id="45" w:name="_Toc24708475"/>
      <w:r>
        <w:rPr>
          <w:rFonts w:hint="eastAsia" w:ascii="仿宋" w:hAnsi="仿宋" w:eastAsia="仿宋" w:cs="仿宋"/>
          <w:b/>
          <w:bCs/>
          <w:sz w:val="28"/>
          <w:szCs w:val="28"/>
          <w:highlight w:val="none"/>
        </w:rPr>
        <w:t>十、废标的情形</w:t>
      </w:r>
      <w:bookmarkEnd w:id="43"/>
      <w:bookmarkEnd w:id="44"/>
      <w:bookmarkEnd w:id="45"/>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21.招标中，出现下列情形之一的，应予废标，废标后，招标人将废标理由通知所有投标人：</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21.1符合专业条件的投标人或对招标文件作实质性响应的投标人不足三家的；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21.2出现影响招标公正的违法、违规行为的；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21.3因重大变故，招标任务取消的。</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46" w:name="_Toc27143"/>
      <w:bookmarkStart w:id="47" w:name="_Toc24708476"/>
      <w:r>
        <w:rPr>
          <w:rFonts w:hint="eastAsia" w:ascii="仿宋" w:hAnsi="仿宋" w:eastAsia="仿宋" w:cs="仿宋"/>
          <w:b/>
          <w:bCs/>
          <w:sz w:val="28"/>
          <w:szCs w:val="28"/>
          <w:highlight w:val="none"/>
        </w:rPr>
        <w:t>十一、开标</w:t>
      </w:r>
      <w:bookmarkEnd w:id="40"/>
      <w:r>
        <w:rPr>
          <w:rFonts w:hint="eastAsia" w:ascii="仿宋" w:hAnsi="仿宋" w:eastAsia="仿宋" w:cs="仿宋"/>
          <w:b/>
          <w:bCs/>
          <w:sz w:val="28"/>
          <w:szCs w:val="28"/>
          <w:highlight w:val="none"/>
        </w:rPr>
        <w:t>和评标</w:t>
      </w:r>
      <w:bookmarkEnd w:id="46"/>
      <w:bookmarkEnd w:id="47"/>
    </w:p>
    <w:p>
      <w:pPr>
        <w:pStyle w:val="31"/>
        <w:snapToGrid w:val="0"/>
        <w:spacing w:line="440" w:lineRule="exact"/>
        <w:ind w:firstLine="562" w:firstLineChars="200"/>
        <w:outlineLvl w:val="1"/>
        <w:rPr>
          <w:rFonts w:hint="eastAsia" w:ascii="仿宋" w:hAnsi="仿宋" w:eastAsia="仿宋" w:cs="仿宋"/>
          <w:b/>
          <w:bCs/>
          <w:sz w:val="28"/>
          <w:szCs w:val="28"/>
          <w:highlight w:val="none"/>
        </w:rPr>
      </w:pPr>
      <w:bookmarkStart w:id="48" w:name="_Toc24708477"/>
      <w:bookmarkStart w:id="49" w:name="_Toc356371440"/>
      <w:bookmarkStart w:id="50" w:name="_Toc30694"/>
      <w:r>
        <w:rPr>
          <w:rFonts w:hint="eastAsia" w:ascii="仿宋" w:hAnsi="仿宋" w:eastAsia="仿宋" w:cs="仿宋"/>
          <w:b/>
          <w:bCs/>
          <w:sz w:val="28"/>
          <w:szCs w:val="28"/>
          <w:highlight w:val="none"/>
        </w:rPr>
        <w:t>22.开标</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22.1招标代理机构将按照招标文件规定的时间通过“政府采购云平台”组织开标、开启投标文件，所有投标人均应当准时在线参加（不需到开标现场）。</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22.3开标程序：</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1）开标大会由招标代理机构主持，主持人宣布开标纪律，介绍参加开标会的人员名单及项目概况；</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2）投标人代表可在线参加开标活动，查看开标情况；</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3）开启投标文件，进入资格审查；</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4）开启资格审查通过的投标人商务技术文件进入符合性审查、商务技术评审；</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备注：招标人或招标代理机构将依法对投标人的资格进行审查，资格审查结束后进入符合性审查和商务技术的评审工作，具体见“评标办法”章节相关规定。</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22.4特别说明：如遇“政府采购云平台”电子化开标或评审程序调整的，按调整后程序执行。</w:t>
      </w:r>
    </w:p>
    <w:p>
      <w:pPr>
        <w:pStyle w:val="31"/>
        <w:snapToGrid w:val="0"/>
        <w:spacing w:line="440" w:lineRule="exact"/>
        <w:ind w:firstLine="562" w:firstLineChars="200"/>
        <w:outlineLvl w:val="1"/>
        <w:rPr>
          <w:rFonts w:hint="eastAsia" w:ascii="仿宋" w:hAnsi="仿宋" w:eastAsia="仿宋" w:cs="仿宋"/>
          <w:b/>
          <w:bCs/>
          <w:sz w:val="28"/>
          <w:szCs w:val="28"/>
          <w:highlight w:val="none"/>
        </w:rPr>
      </w:pPr>
      <w:bookmarkStart w:id="51" w:name="_Toc81474340"/>
      <w:bookmarkStart w:id="52" w:name="_Toc8457174"/>
      <w:bookmarkStart w:id="53" w:name="_Toc8385232"/>
      <w:r>
        <w:rPr>
          <w:rFonts w:hint="eastAsia" w:ascii="仿宋" w:hAnsi="仿宋" w:eastAsia="仿宋" w:cs="仿宋"/>
          <w:b/>
          <w:bCs/>
          <w:sz w:val="28"/>
          <w:szCs w:val="28"/>
          <w:highlight w:val="none"/>
        </w:rPr>
        <w:t>23.评标</w:t>
      </w:r>
      <w:bookmarkEnd w:id="51"/>
      <w:bookmarkEnd w:id="52"/>
      <w:bookmarkEnd w:id="53"/>
    </w:p>
    <w:p>
      <w:pPr>
        <w:snapToGrid w:val="0"/>
        <w:spacing w:line="440" w:lineRule="exact"/>
        <w:ind w:firstLine="560" w:firstLineChars="200"/>
        <w:rPr>
          <w:rFonts w:hint="eastAsia" w:ascii="仿宋" w:hAnsi="仿宋" w:eastAsia="仿宋" w:cs="仿宋"/>
          <w:sz w:val="28"/>
          <w:szCs w:val="28"/>
          <w:highlight w:val="none"/>
        </w:rPr>
      </w:pPr>
      <w:bookmarkStart w:id="54" w:name="_Toc8385233"/>
      <w:bookmarkStart w:id="55" w:name="_Toc8457175"/>
      <w:r>
        <w:rPr>
          <w:rFonts w:hint="eastAsia" w:ascii="仿宋" w:hAnsi="仿宋" w:eastAsia="仿宋" w:cs="仿宋"/>
          <w:sz w:val="28"/>
          <w:szCs w:val="28"/>
          <w:highlight w:val="none"/>
        </w:rPr>
        <w:t>23.1组建评选委员会</w:t>
      </w:r>
      <w:bookmarkEnd w:id="54"/>
      <w:bookmarkEnd w:id="55"/>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评选委员会由招标单位内部成员和外部专家共同组成，人数为5人，其中外部专家比例不低于60%。专家从江山市公款竞争性存放评审专家库中随机抽取</w:t>
      </w:r>
      <w:bookmarkStart w:id="56" w:name="_Toc8385234"/>
      <w:bookmarkStart w:id="57" w:name="_Toc8457176"/>
      <w:r>
        <w:rPr>
          <w:rFonts w:hint="eastAsia" w:ascii="仿宋" w:hAnsi="仿宋" w:eastAsia="仿宋" w:cs="仿宋"/>
          <w:sz w:val="28"/>
          <w:szCs w:val="28"/>
          <w:highlight w:val="none"/>
        </w:rPr>
        <w:t>。</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23.2评标程序</w:t>
      </w:r>
      <w:bookmarkEnd w:id="56"/>
      <w:bookmarkEnd w:id="57"/>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1）招标代理机构协助评标委员会对投标人的资格和投标文件的完整性、合法性等进行审查。</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2）评标委员会将对投标人的投标文件进行审查、核对,如有疑问,将对投标人进行单独询标,投标人要向评标委员会澄清有关问题,并最终以书面形式进行答复。</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3）评标委员会完成评标后,评标委员会按评标原则推荐中标候选人同时起草评标报告。</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4）全权代表未在线或者拒绝澄清或者澄清的内容改变了投标文件的实质性内容的，评标委员会有权对该投标文件做出不利于投标人的评判。</w:t>
      </w:r>
    </w:p>
    <w:p>
      <w:pPr>
        <w:snapToGrid w:val="0"/>
        <w:spacing w:line="440" w:lineRule="exact"/>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23.3评标原则</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23.4评标过程的监督</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本项目评标过程实行全程录音、录像监控，投标人在评标过程中所进行的力图影响评标结果的不公正活动，可能导致其投标被拒绝。</w:t>
      </w:r>
    </w:p>
    <w:p>
      <w:pPr>
        <w:pStyle w:val="31"/>
        <w:snapToGrid w:val="0"/>
        <w:spacing w:line="440" w:lineRule="exact"/>
        <w:ind w:firstLine="562" w:firstLineChars="200"/>
        <w:outlineLvl w:val="1"/>
        <w:rPr>
          <w:rFonts w:hint="eastAsia" w:ascii="仿宋" w:hAnsi="仿宋" w:eastAsia="仿宋" w:cs="仿宋"/>
          <w:b/>
          <w:bCs/>
          <w:sz w:val="28"/>
          <w:szCs w:val="28"/>
          <w:highlight w:val="none"/>
        </w:rPr>
      </w:pPr>
      <w:bookmarkStart w:id="58" w:name="_Toc8457177"/>
      <w:bookmarkStart w:id="59" w:name="_Toc81474341"/>
      <w:bookmarkStart w:id="60" w:name="_Toc8385235"/>
      <w:r>
        <w:rPr>
          <w:rFonts w:hint="eastAsia" w:ascii="仿宋" w:hAnsi="仿宋" w:eastAsia="仿宋" w:cs="仿宋"/>
          <w:b/>
          <w:bCs/>
          <w:sz w:val="28"/>
          <w:szCs w:val="28"/>
          <w:highlight w:val="none"/>
        </w:rPr>
        <w:t>24.定标</w:t>
      </w:r>
      <w:bookmarkEnd w:id="58"/>
      <w:bookmarkEnd w:id="59"/>
      <w:bookmarkEnd w:id="60"/>
    </w:p>
    <w:p>
      <w:pPr>
        <w:snapToGrid w:val="0"/>
        <w:spacing w:line="440" w:lineRule="exact"/>
        <w:ind w:firstLine="560" w:firstLineChars="200"/>
        <w:rPr>
          <w:rFonts w:hint="eastAsia" w:ascii="仿宋" w:hAnsi="仿宋" w:eastAsia="仿宋" w:cs="仿宋"/>
          <w:sz w:val="28"/>
          <w:szCs w:val="28"/>
          <w:highlight w:val="none"/>
        </w:rPr>
      </w:pPr>
      <w:bookmarkStart w:id="61" w:name="_Toc8461795"/>
      <w:bookmarkStart w:id="62" w:name="_Toc8457178"/>
      <w:bookmarkStart w:id="63" w:name="_Toc8385236"/>
      <w:bookmarkStart w:id="64" w:name="_Toc81474250"/>
      <w:r>
        <w:rPr>
          <w:rFonts w:hint="eastAsia" w:ascii="仿宋" w:hAnsi="仿宋" w:eastAsia="仿宋" w:cs="仿宋"/>
          <w:sz w:val="28"/>
          <w:szCs w:val="28"/>
          <w:highlight w:val="none"/>
        </w:rPr>
        <w:t>24.1定标原则</w:t>
      </w:r>
      <w:bookmarkEnd w:id="61"/>
      <w:bookmarkEnd w:id="62"/>
      <w:bookmarkEnd w:id="63"/>
      <w:bookmarkEnd w:id="64"/>
    </w:p>
    <w:p>
      <w:pPr>
        <w:snapToGrid w:val="0"/>
        <w:spacing w:line="440" w:lineRule="exact"/>
        <w:ind w:firstLine="560" w:firstLineChars="200"/>
        <w:rPr>
          <w:rFonts w:hint="eastAsia" w:ascii="仿宋" w:hAnsi="仿宋" w:eastAsia="仿宋" w:cs="仿宋"/>
          <w:color w:val="FF0000"/>
          <w:kern w:val="0"/>
          <w:sz w:val="28"/>
          <w:szCs w:val="28"/>
          <w:highlight w:val="none"/>
        </w:rPr>
      </w:pPr>
      <w:r>
        <w:rPr>
          <w:rFonts w:hint="eastAsia" w:ascii="仿宋" w:hAnsi="仿宋" w:eastAsia="仿宋" w:cs="仿宋"/>
          <w:kern w:val="0"/>
          <w:sz w:val="28"/>
          <w:szCs w:val="28"/>
          <w:highlight w:val="none"/>
        </w:rPr>
        <w:t>本次评标采用综合评分法进行评分，根据综合得分由高到低确定中标银行。如竞标银行综合得分相同时，依次按竞标银行</w:t>
      </w:r>
      <w:r>
        <w:rPr>
          <w:rFonts w:hint="eastAsia" w:ascii="仿宋" w:hAnsi="仿宋" w:eastAsia="仿宋" w:cs="仿宋"/>
          <w:kern w:val="0"/>
          <w:sz w:val="28"/>
          <w:szCs w:val="28"/>
          <w:highlight w:val="none"/>
          <w:lang w:eastAsia="zh-CN"/>
        </w:rPr>
        <w:t>经</w:t>
      </w:r>
      <w:r>
        <w:rPr>
          <w:rFonts w:hint="eastAsia" w:ascii="仿宋" w:hAnsi="仿宋" w:eastAsia="仿宋" w:cs="仿宋"/>
          <w:kern w:val="0"/>
          <w:sz w:val="28"/>
          <w:szCs w:val="28"/>
          <w:highlight w:val="none"/>
        </w:rPr>
        <w:t>营状况</w:t>
      </w:r>
      <w:r>
        <w:rPr>
          <w:rFonts w:hint="eastAsia" w:ascii="仿宋" w:hAnsi="仿宋" w:eastAsia="仿宋" w:cs="仿宋"/>
          <w:kern w:val="0"/>
          <w:sz w:val="28"/>
          <w:szCs w:val="28"/>
          <w:highlight w:val="none"/>
          <w:lang w:eastAsia="zh-CN"/>
        </w:rPr>
        <w:t>指标</w:t>
      </w:r>
      <w:r>
        <w:rPr>
          <w:rFonts w:hint="eastAsia" w:ascii="仿宋" w:hAnsi="仿宋" w:eastAsia="仿宋" w:cs="仿宋"/>
          <w:kern w:val="0"/>
          <w:sz w:val="28"/>
          <w:szCs w:val="28"/>
          <w:highlight w:val="none"/>
        </w:rPr>
        <w:t>得分</w:t>
      </w:r>
      <w:r>
        <w:rPr>
          <w:rFonts w:hint="eastAsia" w:ascii="仿宋" w:hAnsi="仿宋" w:eastAsia="仿宋" w:cs="仿宋"/>
          <w:kern w:val="0"/>
          <w:sz w:val="28"/>
          <w:szCs w:val="28"/>
          <w:highlight w:val="none"/>
          <w:lang w:eastAsia="zh-CN"/>
        </w:rPr>
        <w:t>、收益率指标</w:t>
      </w:r>
      <w:r>
        <w:rPr>
          <w:rFonts w:hint="eastAsia" w:ascii="仿宋" w:hAnsi="仿宋" w:eastAsia="仿宋" w:cs="仿宋"/>
          <w:kern w:val="0"/>
          <w:sz w:val="28"/>
          <w:szCs w:val="28"/>
          <w:highlight w:val="none"/>
        </w:rPr>
        <w:t>得分、经济贡献</w:t>
      </w:r>
      <w:r>
        <w:rPr>
          <w:rFonts w:hint="eastAsia" w:ascii="仿宋" w:hAnsi="仿宋" w:eastAsia="仿宋" w:cs="仿宋"/>
          <w:kern w:val="0"/>
          <w:sz w:val="28"/>
          <w:szCs w:val="28"/>
          <w:highlight w:val="none"/>
          <w:lang w:eastAsia="zh-CN"/>
        </w:rPr>
        <w:t>指标</w:t>
      </w:r>
      <w:r>
        <w:rPr>
          <w:rFonts w:hint="eastAsia" w:ascii="仿宋" w:hAnsi="仿宋" w:eastAsia="仿宋" w:cs="仿宋"/>
          <w:kern w:val="0"/>
          <w:sz w:val="28"/>
          <w:szCs w:val="28"/>
          <w:highlight w:val="none"/>
        </w:rPr>
        <w:t>得分、服务水平指标得分的高低确定排名顺序。</w:t>
      </w:r>
    </w:p>
    <w:p>
      <w:pPr>
        <w:snapToGrid w:val="0"/>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24.2本项目由评审委员会推荐中标候选人。</w:t>
      </w:r>
    </w:p>
    <w:p>
      <w:pPr>
        <w:pStyle w:val="31"/>
        <w:spacing w:line="44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24.3招标结果将于2个工作日内在浙江省政府采购网（http://www.zjzfcg.gov.cn/）、衢州市公共资源交易中心网（http://ggzy.qz.gov.cn/）、江山市财政局门户网站(http://www.jiangshan.gov.cn/col/col1229080392/index.html)上发布中标公告。</w:t>
      </w:r>
    </w:p>
    <w:p>
      <w:pPr>
        <w:keepNext w:val="0"/>
        <w:keepLines w:val="0"/>
        <w:pageBreakBefore w:val="0"/>
        <w:widowControl w:val="0"/>
        <w:kinsoku/>
        <w:wordWrap/>
        <w:overflowPunct/>
        <w:topLinePunct w:val="0"/>
        <w:autoSpaceDE/>
        <w:autoSpaceDN/>
        <w:bidi w:val="0"/>
        <w:adjustRightInd/>
        <w:snapToGrid w:val="0"/>
        <w:spacing w:beforeLines="50" w:afterLines="50" w:line="540" w:lineRule="exact"/>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十二、授予合同</w:t>
      </w:r>
      <w:bookmarkEnd w:id="48"/>
      <w:bookmarkEnd w:id="49"/>
      <w:bookmarkEnd w:id="50"/>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25.中标通知和合同授予</w:t>
      </w:r>
    </w:p>
    <w:p>
      <w:pPr>
        <w:spacing w:line="570" w:lineRule="exact"/>
        <w:ind w:firstLine="560" w:firstLineChars="200"/>
        <w:rPr>
          <w:rFonts w:hint="eastAsia" w:ascii="仿宋" w:hAnsi="仿宋" w:eastAsia="仿宋" w:cs="仿宋"/>
          <w:spacing w:val="10"/>
          <w:sz w:val="28"/>
          <w:szCs w:val="28"/>
          <w:highlight w:val="none"/>
        </w:rPr>
      </w:pPr>
      <w:r>
        <w:rPr>
          <w:rFonts w:hint="eastAsia" w:ascii="仿宋" w:hAnsi="仿宋" w:eastAsia="仿宋" w:cs="仿宋"/>
          <w:sz w:val="28"/>
          <w:szCs w:val="28"/>
          <w:highlight w:val="none"/>
        </w:rPr>
        <w:t>评定结果经招标人确定后，江山市政府采购中心在中标人确定之日起2个工作日内将以书面形式发出《中标通知书》。中标通知书于中标公告发布之日签发，中标人应于本公告发布之日起两个工作日内，凭法定代表人（负责人）授权书及被授权人身份证原件至江山市公共资源交易中心</w:t>
      </w:r>
      <w:r>
        <w:rPr>
          <w:rFonts w:hint="eastAsia" w:ascii="仿宋" w:hAnsi="仿宋" w:eastAsia="仿宋" w:cs="仿宋"/>
          <w:sz w:val="28"/>
          <w:szCs w:val="28"/>
          <w:highlight w:val="none"/>
          <w:lang w:val="en-US" w:eastAsia="zh-CN"/>
        </w:rPr>
        <w:t>419</w:t>
      </w:r>
      <w:r>
        <w:rPr>
          <w:rFonts w:hint="eastAsia" w:ascii="仿宋" w:hAnsi="仿宋" w:eastAsia="仿宋" w:cs="仿宋"/>
          <w:sz w:val="28"/>
          <w:szCs w:val="28"/>
          <w:highlight w:val="none"/>
        </w:rPr>
        <w:t>室政府采购科领取中标通知书，逾期领取的后果自负。</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25.1《中标通知书》一经发出即发生法律效力。招标人无义务向未中标人解释落选原因，不退回投标文件。《中标通知书》将作为签订合同的依据。</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25.2签订合同：中标人按《中标通知书》指定的时间、地点与招标人直接签订合同。在有合理证据证明中标人在投标过程中承诺的内容不能实质响应的，招标人有权拒签合同。</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25.3招标文件、澄清文件、投标文件等，均为签订合同的依据。中标人接到中标通知书后在规定的时间内与招标人签订合同，并交江山市政府采购中心一份。</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25.4中标人不遵守投标文件的要约、承诺，擅自修改投标文件的内容或在接到中标通知书规定的时间内，借故拖延、拒签合同者，招标人将取消该投标人的中标资格。</w:t>
      </w:r>
    </w:p>
    <w:p>
      <w:pPr>
        <w:snapToGrid w:val="0"/>
        <w:spacing w:beforeLines="50" w:afterLines="50" w:line="540" w:lineRule="exact"/>
        <w:ind w:firstLine="562" w:firstLineChars="200"/>
        <w:outlineLvl w:val="1"/>
        <w:rPr>
          <w:rFonts w:hint="eastAsia" w:ascii="仿宋" w:hAnsi="仿宋" w:eastAsia="仿宋" w:cs="仿宋"/>
          <w:b/>
          <w:bCs/>
          <w:sz w:val="28"/>
          <w:szCs w:val="28"/>
          <w:highlight w:val="none"/>
        </w:rPr>
      </w:pPr>
      <w:bookmarkStart w:id="65" w:name="_Toc14657"/>
      <w:bookmarkStart w:id="66" w:name="_Toc24708478"/>
      <w:bookmarkStart w:id="67" w:name="_Toc356371442"/>
      <w:r>
        <w:rPr>
          <w:rFonts w:hint="eastAsia" w:ascii="仿宋" w:hAnsi="仿宋" w:eastAsia="仿宋" w:cs="仿宋"/>
          <w:b/>
          <w:bCs/>
          <w:sz w:val="28"/>
          <w:szCs w:val="28"/>
          <w:highlight w:val="none"/>
        </w:rPr>
        <w:t>十三、其他</w:t>
      </w:r>
      <w:bookmarkEnd w:id="65"/>
      <w:bookmarkEnd w:id="66"/>
      <w:bookmarkEnd w:id="67"/>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26.联系方式：所有与招标有关的函电请按下面联系。</w:t>
      </w:r>
    </w:p>
    <w:p>
      <w:pPr>
        <w:snapToGrid w:val="0"/>
        <w:spacing w:line="5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通讯地址：江山市虎山街道景星西路万商城</w:t>
      </w:r>
      <w:r>
        <w:rPr>
          <w:rFonts w:hint="eastAsia" w:ascii="仿宋" w:hAnsi="仿宋" w:eastAsia="仿宋" w:cs="仿宋"/>
          <w:sz w:val="28"/>
          <w:szCs w:val="28"/>
          <w:highlight w:val="none"/>
          <w:lang w:val="en-US" w:eastAsia="zh-CN"/>
        </w:rPr>
        <w:t>12号</w:t>
      </w:r>
      <w:r>
        <w:rPr>
          <w:rFonts w:hint="eastAsia" w:ascii="仿宋" w:hAnsi="仿宋" w:eastAsia="仿宋" w:cs="仿宋"/>
          <w:sz w:val="28"/>
          <w:szCs w:val="28"/>
          <w:highlight w:val="none"/>
        </w:rPr>
        <w:t>楼</w:t>
      </w:r>
      <w:r>
        <w:rPr>
          <w:rFonts w:hint="eastAsia" w:ascii="仿宋" w:hAnsi="仿宋" w:eastAsia="仿宋" w:cs="仿宋"/>
          <w:sz w:val="28"/>
          <w:szCs w:val="28"/>
          <w:highlight w:val="none"/>
          <w:lang w:val="en-US" w:eastAsia="zh-CN"/>
        </w:rPr>
        <w:t>四楼</w:t>
      </w:r>
      <w:r>
        <w:rPr>
          <w:rFonts w:hint="eastAsia" w:ascii="仿宋" w:hAnsi="仿宋" w:eastAsia="仿宋" w:cs="仿宋"/>
          <w:sz w:val="28"/>
          <w:szCs w:val="28"/>
          <w:highlight w:val="none"/>
          <w:lang w:eastAsia="zh-CN"/>
        </w:rPr>
        <w:t>江山市公共资源交易中心</w:t>
      </w:r>
      <w:r>
        <w:rPr>
          <w:rFonts w:hint="eastAsia" w:ascii="仿宋" w:hAnsi="仿宋" w:eastAsia="仿宋" w:cs="仿宋"/>
          <w:sz w:val="28"/>
          <w:szCs w:val="28"/>
          <w:highlight w:val="none"/>
          <w:lang w:val="en-US" w:eastAsia="zh-CN"/>
        </w:rPr>
        <w:t>419室</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邮编：324100</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项目联系人：王先生</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答疑咨询电话：0570-4031937</w:t>
      </w:r>
    </w:p>
    <w:p>
      <w:pPr>
        <w:spacing w:line="540" w:lineRule="exact"/>
        <w:ind w:firstLine="560" w:firstLineChars="200"/>
        <w:jc w:val="center"/>
        <w:outlineLvl w:val="0"/>
        <w:rPr>
          <w:rFonts w:hint="eastAsia" w:ascii="仿宋" w:hAnsi="仿宋" w:eastAsia="仿宋" w:cs="仿宋"/>
          <w:sz w:val="28"/>
          <w:szCs w:val="28"/>
          <w:highlight w:val="none"/>
        </w:rPr>
        <w:sectPr>
          <w:headerReference r:id="rId5" w:type="default"/>
          <w:footerReference r:id="rId6" w:type="default"/>
          <w:pgSz w:w="11906" w:h="16838"/>
          <w:pgMar w:top="1389" w:right="1247" w:bottom="1389" w:left="1247" w:header="851" w:footer="992" w:gutter="284"/>
          <w:cols w:space="720" w:num="1"/>
          <w:docGrid w:linePitch="312" w:charSpace="0"/>
        </w:sectPr>
      </w:pPr>
    </w:p>
    <w:p>
      <w:pPr>
        <w:snapToGrid w:val="0"/>
        <w:spacing w:line="540" w:lineRule="exact"/>
        <w:jc w:val="center"/>
        <w:outlineLvl w:val="0"/>
        <w:rPr>
          <w:rFonts w:hint="eastAsia" w:ascii="仿宋" w:hAnsi="仿宋" w:eastAsia="仿宋" w:cs="仿宋"/>
          <w:b/>
          <w:bCs/>
          <w:sz w:val="28"/>
          <w:szCs w:val="28"/>
          <w:highlight w:val="none"/>
        </w:rPr>
      </w:pPr>
      <w:bookmarkStart w:id="68" w:name="_Toc354401531"/>
      <w:bookmarkStart w:id="69" w:name="_Toc3835"/>
      <w:bookmarkStart w:id="70" w:name="_Toc322352983"/>
      <w:bookmarkStart w:id="71" w:name="_Toc24708479"/>
      <w:bookmarkStart w:id="72" w:name="_Toc350256314"/>
      <w:r>
        <w:rPr>
          <w:rFonts w:hint="eastAsia" w:ascii="仿宋" w:hAnsi="仿宋" w:eastAsia="仿宋" w:cs="仿宋"/>
          <w:b/>
          <w:bCs/>
          <w:sz w:val="28"/>
          <w:szCs w:val="28"/>
          <w:highlight w:val="none"/>
        </w:rPr>
        <w:t>第三章  招标内容及要求</w:t>
      </w:r>
      <w:bookmarkEnd w:id="68"/>
      <w:bookmarkEnd w:id="69"/>
      <w:bookmarkEnd w:id="70"/>
      <w:bookmarkEnd w:id="71"/>
      <w:bookmarkEnd w:id="72"/>
    </w:p>
    <w:p>
      <w:pPr>
        <w:spacing w:line="540" w:lineRule="exact"/>
        <w:jc w:val="center"/>
        <w:outlineLvl w:val="0"/>
        <w:rPr>
          <w:rFonts w:hint="eastAsia" w:ascii="仿宋" w:hAnsi="仿宋" w:eastAsia="仿宋" w:cs="仿宋"/>
          <w:b/>
          <w:bCs/>
          <w:sz w:val="28"/>
          <w:szCs w:val="28"/>
          <w:highlight w:val="none"/>
        </w:rPr>
      </w:pPr>
    </w:p>
    <w:p>
      <w:pPr>
        <w:spacing w:line="540" w:lineRule="exact"/>
        <w:ind w:firstLine="420" w:firstLineChars="150"/>
        <w:rPr>
          <w:rFonts w:hint="eastAsia" w:ascii="仿宋" w:hAnsi="仿宋" w:eastAsia="仿宋" w:cs="仿宋"/>
          <w:sz w:val="28"/>
          <w:szCs w:val="28"/>
          <w:highlight w:val="none"/>
        </w:rPr>
      </w:pPr>
      <w:bookmarkStart w:id="73" w:name="_Toc322352984"/>
      <w:bookmarkStart w:id="74" w:name="_Toc350256315"/>
      <w:bookmarkStart w:id="75" w:name="_Toc354401534"/>
      <w:r>
        <w:rPr>
          <w:rFonts w:hint="eastAsia" w:ascii="仿宋" w:hAnsi="仿宋" w:eastAsia="仿宋" w:cs="仿宋"/>
          <w:sz w:val="28"/>
          <w:szCs w:val="28"/>
          <w:highlight w:val="none"/>
        </w:rPr>
        <w:t>一、规则适用范围</w:t>
      </w:r>
    </w:p>
    <w:p>
      <w:pPr>
        <w:spacing w:line="54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本规则仅适用于江山市财政国库支付中心（以下简称“市国库支付中心”）本项目招标。</w:t>
      </w:r>
    </w:p>
    <w:p>
      <w:pPr>
        <w:spacing w:line="54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二、</w:t>
      </w:r>
      <w:r>
        <w:rPr>
          <w:rFonts w:hint="eastAsia" w:ascii="仿宋" w:hAnsi="仿宋" w:eastAsia="仿宋" w:cs="仿宋"/>
          <w:sz w:val="28"/>
          <w:szCs w:val="28"/>
          <w:highlight w:val="none"/>
          <w:lang w:eastAsia="zh-CN"/>
        </w:rPr>
        <w:t>本次招标内容</w:t>
      </w:r>
    </w:p>
    <w:p>
      <w:pPr>
        <w:spacing w:line="54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半年期定期存款</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亿元</w:t>
      </w: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年期定期存款</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亿元。</w:t>
      </w:r>
    </w:p>
    <w:p>
      <w:pPr>
        <w:pStyle w:val="2"/>
        <w:rPr>
          <w:rFonts w:hint="eastAsia" w:ascii="仿宋" w:hAnsi="仿宋" w:eastAsia="仿宋" w:cs="仿宋"/>
          <w:highlight w:val="none"/>
          <w:lang w:val="en-US" w:eastAsia="zh-CN"/>
        </w:rPr>
      </w:pPr>
    </w:p>
    <w:p>
      <w:pPr>
        <w:spacing w:line="54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三、招标对象</w:t>
      </w:r>
    </w:p>
    <w:p>
      <w:pPr>
        <w:spacing w:line="54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在招标公告规定的报名截止日期前，符合下列条件的商业银行，均可参与投标：</w:t>
      </w:r>
    </w:p>
    <w:p>
      <w:pPr>
        <w:spacing w:line="54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(一)在江山市设立</w:t>
      </w:r>
      <w:r>
        <w:rPr>
          <w:rFonts w:hint="eastAsia" w:ascii="仿宋" w:hAnsi="仿宋" w:eastAsia="仿宋" w:cs="仿宋"/>
          <w:sz w:val="28"/>
          <w:szCs w:val="28"/>
          <w:highlight w:val="none"/>
          <w:lang w:eastAsia="zh-CN"/>
        </w:rPr>
        <w:t>机构（或</w:t>
      </w:r>
      <w:r>
        <w:rPr>
          <w:rFonts w:hint="eastAsia" w:ascii="仿宋" w:hAnsi="仿宋" w:eastAsia="仿宋" w:cs="仿宋"/>
          <w:sz w:val="28"/>
          <w:szCs w:val="28"/>
          <w:highlight w:val="none"/>
        </w:rPr>
        <w:t>分支机构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的国有商业银行、</w:t>
      </w:r>
      <w:r>
        <w:rPr>
          <w:rFonts w:hint="eastAsia" w:ascii="仿宋" w:hAnsi="仿宋" w:eastAsia="仿宋" w:cs="仿宋"/>
          <w:sz w:val="28"/>
          <w:szCs w:val="28"/>
          <w:highlight w:val="none"/>
          <w:lang w:eastAsia="zh-CN"/>
        </w:rPr>
        <w:t>政策性银行、</w:t>
      </w:r>
      <w:r>
        <w:rPr>
          <w:rFonts w:hint="eastAsia" w:ascii="仿宋" w:hAnsi="仿宋" w:eastAsia="仿宋" w:cs="仿宋"/>
          <w:sz w:val="28"/>
          <w:szCs w:val="28"/>
          <w:highlight w:val="none"/>
        </w:rPr>
        <w:t>股份制商业银行、城市商业银行、农村商业银行等金融机构；</w:t>
      </w:r>
    </w:p>
    <w:p>
      <w:pPr>
        <w:spacing w:line="54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（二）依法开展经营活动，内部管理机制健全，具有较强的风险控制能力，近3年内在经营活动中无重大违法违规记录、未发生金融风险及重大违约事件;</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、其他</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有下列情形之一的，招标人有权提前收回中标银行的存放资金：</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（一）中标银行在资金存放期间出现资金安全事故、重大违法违规行为或财务状况恶化的；</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（二）监管评级降低且监管部门认为存在较大运营风险的；</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（三）进行不正当投标的；</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（四）中标银行解散或其机构（分支机构）撤离江山市区的；</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（五）没有按照中标协议承诺履行相应的责任和义务的；</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）存在其他妨害资金安全行为的。</w:t>
      </w:r>
    </w:p>
    <w:p>
      <w:pPr>
        <w:spacing w:line="57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四、特别提示</w:t>
      </w:r>
    </w:p>
    <w:p>
      <w:pPr>
        <w:spacing w:line="570" w:lineRule="exact"/>
        <w:ind w:firstLine="560" w:firstLineChars="200"/>
        <w:rPr>
          <w:rFonts w:hint="eastAsia" w:ascii="仿宋" w:hAnsi="仿宋" w:eastAsia="仿宋" w:cs="仿宋"/>
          <w:color w:val="FF0000"/>
          <w:spacing w:val="10"/>
          <w:sz w:val="32"/>
          <w:szCs w:val="32"/>
          <w:highlight w:val="none"/>
        </w:rPr>
      </w:pPr>
      <w:r>
        <w:rPr>
          <w:rFonts w:hint="eastAsia" w:ascii="仿宋" w:hAnsi="仿宋" w:eastAsia="仿宋" w:cs="仿宋"/>
          <w:sz w:val="28"/>
          <w:szCs w:val="28"/>
          <w:highlight w:val="none"/>
        </w:rPr>
        <w:t>（一）定期存款</w:t>
      </w:r>
      <w:r>
        <w:rPr>
          <w:rFonts w:hint="eastAsia" w:ascii="仿宋" w:hAnsi="仿宋" w:eastAsia="仿宋" w:cs="仿宋"/>
          <w:kern w:val="0"/>
          <w:sz w:val="28"/>
          <w:szCs w:val="28"/>
          <w:highlight w:val="none"/>
        </w:rPr>
        <w:t>综合收益于存款到期日结算，</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综合收益以</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协议书载明的年利率计算。</w:t>
      </w:r>
      <w:r>
        <w:rPr>
          <w:rFonts w:hint="eastAsia" w:ascii="仿宋" w:hAnsi="仿宋" w:eastAsia="仿宋" w:cs="仿宋"/>
          <w:sz w:val="28"/>
          <w:szCs w:val="28"/>
          <w:highlight w:val="none"/>
        </w:rPr>
        <w:t>招标人可提前支取全部或部分定期存款，中标银行应积极配合办理。提前支取部分，</w:t>
      </w:r>
      <w:r>
        <w:rPr>
          <w:rFonts w:hint="eastAsia" w:ascii="仿宋" w:hAnsi="仿宋" w:eastAsia="仿宋" w:cs="仿宋"/>
          <w:kern w:val="0"/>
          <w:sz w:val="28"/>
          <w:szCs w:val="28"/>
          <w:highlight w:val="none"/>
        </w:rPr>
        <w:t>按《人民币单位存款管理办法》相关规定计息</w:t>
      </w:r>
      <w:r>
        <w:rPr>
          <w:rFonts w:hint="eastAsia" w:ascii="仿宋" w:hAnsi="仿宋" w:eastAsia="仿宋" w:cs="仿宋"/>
          <w:sz w:val="28"/>
          <w:szCs w:val="28"/>
          <w:highlight w:val="none"/>
        </w:rPr>
        <w:t>。未支取部分仍需按合同约定计算收益。</w:t>
      </w:r>
    </w:p>
    <w:p>
      <w:pPr>
        <w:spacing w:line="57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要求提前支取全部或部分定期存款的，若银行不配合按期办理相关定期存款支取手续，或未按协议约定利率结清相应的存款利息的，取消其</w:t>
      </w:r>
      <w:r>
        <w:rPr>
          <w:rFonts w:hint="eastAsia" w:ascii="仿宋" w:hAnsi="仿宋" w:eastAsia="仿宋" w:cs="仿宋"/>
          <w:sz w:val="28"/>
          <w:szCs w:val="28"/>
          <w:highlight w:val="none"/>
          <w:lang w:eastAsia="zh-CN"/>
        </w:rPr>
        <w:t>公款</w:t>
      </w:r>
      <w:r>
        <w:rPr>
          <w:rFonts w:hint="eastAsia" w:ascii="仿宋" w:hAnsi="仿宋" w:eastAsia="仿宋" w:cs="仿宋"/>
          <w:sz w:val="28"/>
          <w:szCs w:val="28"/>
          <w:highlight w:val="none"/>
        </w:rPr>
        <w:t>竞争性存放投标资格，直至结清利息。</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本方案由江山市财政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负责解释。</w:t>
      </w: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pacing w:line="540" w:lineRule="exact"/>
        <w:jc w:val="center"/>
        <w:outlineLvl w:val="0"/>
        <w:rPr>
          <w:rFonts w:hint="eastAsia" w:ascii="仿宋" w:hAnsi="仿宋" w:eastAsia="仿宋" w:cs="仿宋"/>
          <w:b/>
          <w:bCs/>
          <w:sz w:val="28"/>
          <w:szCs w:val="28"/>
          <w:highlight w:val="none"/>
        </w:rPr>
      </w:pPr>
    </w:p>
    <w:p>
      <w:pPr>
        <w:snapToGrid w:val="0"/>
        <w:spacing w:line="540" w:lineRule="exact"/>
        <w:jc w:val="center"/>
        <w:outlineLvl w:val="0"/>
        <w:rPr>
          <w:rFonts w:hint="eastAsia" w:ascii="仿宋" w:hAnsi="仿宋" w:eastAsia="仿宋" w:cs="仿宋"/>
          <w:b/>
          <w:bCs/>
          <w:sz w:val="28"/>
          <w:szCs w:val="28"/>
          <w:highlight w:val="none"/>
        </w:rPr>
      </w:pPr>
      <w:bookmarkStart w:id="76" w:name="_Toc24708480"/>
      <w:bookmarkStart w:id="77" w:name="_Toc28764"/>
    </w:p>
    <w:p>
      <w:pPr>
        <w:snapToGrid w:val="0"/>
        <w:spacing w:line="540" w:lineRule="exact"/>
        <w:jc w:val="center"/>
        <w:outlineLvl w:val="0"/>
        <w:rPr>
          <w:rFonts w:hint="eastAsia" w:ascii="仿宋" w:hAnsi="仿宋" w:eastAsia="仿宋" w:cs="仿宋"/>
          <w:b/>
          <w:bCs/>
          <w:sz w:val="28"/>
          <w:szCs w:val="28"/>
          <w:highlight w:val="none"/>
        </w:rPr>
      </w:pPr>
    </w:p>
    <w:p>
      <w:pPr>
        <w:snapToGrid w:val="0"/>
        <w:spacing w:line="540" w:lineRule="exact"/>
        <w:jc w:val="center"/>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第四章  合同</w:t>
      </w:r>
      <w:bookmarkEnd w:id="73"/>
      <w:bookmarkEnd w:id="74"/>
      <w:bookmarkEnd w:id="75"/>
      <w:r>
        <w:rPr>
          <w:rFonts w:hint="eastAsia" w:ascii="仿宋" w:hAnsi="仿宋" w:eastAsia="仿宋" w:cs="仿宋"/>
          <w:b/>
          <w:bCs/>
          <w:sz w:val="28"/>
          <w:szCs w:val="28"/>
          <w:highlight w:val="none"/>
        </w:rPr>
        <w:t>文本</w:t>
      </w:r>
      <w:bookmarkEnd w:id="76"/>
      <w:bookmarkEnd w:id="77"/>
    </w:p>
    <w:p>
      <w:pPr>
        <w:spacing w:line="540" w:lineRule="exact"/>
        <w:jc w:val="center"/>
        <w:rPr>
          <w:rFonts w:hint="eastAsia" w:ascii="仿宋" w:hAnsi="仿宋" w:eastAsia="仿宋" w:cs="仿宋"/>
          <w:b/>
          <w:bCs/>
          <w:sz w:val="28"/>
          <w:szCs w:val="28"/>
          <w:highlight w:val="none"/>
        </w:rPr>
      </w:pPr>
    </w:p>
    <w:p>
      <w:pPr>
        <w:spacing w:line="56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年第</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eastAsia="zh-CN"/>
        </w:rPr>
        <w:t>公款</w:t>
      </w:r>
      <w:r>
        <w:rPr>
          <w:rFonts w:hint="eastAsia" w:ascii="仿宋" w:hAnsi="仿宋" w:eastAsia="仿宋" w:cs="仿宋"/>
          <w:sz w:val="28"/>
          <w:szCs w:val="28"/>
          <w:highlight w:val="none"/>
        </w:rPr>
        <w:t>竞争性存放）</w:t>
      </w:r>
    </w:p>
    <w:p>
      <w:pPr>
        <w:spacing w:line="54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项目定期存款协议书</w:t>
      </w:r>
    </w:p>
    <w:p>
      <w:pPr>
        <w:spacing w:line="540" w:lineRule="exact"/>
        <w:rPr>
          <w:rFonts w:hint="eastAsia" w:ascii="仿宋" w:hAnsi="仿宋" w:eastAsia="仿宋" w:cs="仿宋"/>
          <w:kern w:val="0"/>
          <w:sz w:val="28"/>
          <w:szCs w:val="28"/>
          <w:highlight w:val="none"/>
        </w:rPr>
      </w:pPr>
    </w:p>
    <w:p>
      <w:pPr>
        <w:spacing w:line="54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甲方：江山市财政</w:t>
      </w:r>
      <w:r>
        <w:rPr>
          <w:rFonts w:hint="eastAsia" w:ascii="仿宋" w:hAnsi="仿宋" w:eastAsia="仿宋" w:cs="仿宋"/>
          <w:kern w:val="0"/>
          <w:sz w:val="28"/>
          <w:szCs w:val="28"/>
          <w:highlight w:val="none"/>
          <w:lang w:eastAsia="zh-CN"/>
        </w:rPr>
        <w:t>国库支付中心</w:t>
      </w:r>
    </w:p>
    <w:p>
      <w:pPr>
        <w:spacing w:line="54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为切实保护甲乙双方合法权益，根据《</w:t>
      </w:r>
      <w:r>
        <w:rPr>
          <w:rFonts w:hint="eastAsia" w:ascii="仿宋" w:hAnsi="仿宋" w:eastAsia="仿宋" w:cs="仿宋"/>
          <w:kern w:val="0"/>
          <w:sz w:val="28"/>
          <w:szCs w:val="28"/>
          <w:highlight w:val="none"/>
          <w:lang w:eastAsia="zh-CN"/>
        </w:rPr>
        <w:t>中华人民共和国招标投标法</w:t>
      </w:r>
      <w:r>
        <w:rPr>
          <w:rFonts w:hint="eastAsia" w:ascii="仿宋" w:hAnsi="仿宋" w:eastAsia="仿宋" w:cs="仿宋"/>
          <w:kern w:val="0"/>
          <w:sz w:val="28"/>
          <w:szCs w:val="28"/>
          <w:highlight w:val="none"/>
        </w:rPr>
        <w:t>》、《中华人民共和国民法典》等有关法律法规的规定和</w:t>
      </w:r>
      <w:r>
        <w:rPr>
          <w:rFonts w:hint="eastAsia" w:ascii="仿宋" w:hAnsi="仿宋" w:eastAsia="仿宋" w:cs="仿宋"/>
          <w:sz w:val="28"/>
          <w:szCs w:val="28"/>
          <w:highlight w:val="none"/>
        </w:rPr>
        <w:t>江山市政府采购中心于</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日出具的《中标通知书》，结合甲方招标文件、乙方投标文件等相关文件，特签订本协议：</w:t>
      </w:r>
    </w:p>
    <w:p>
      <w:pPr>
        <w:widowControl/>
        <w:spacing w:line="540" w:lineRule="exact"/>
        <w:ind w:firstLine="562" w:firstLineChars="200"/>
        <w:outlineLvl w:val="0"/>
        <w:rPr>
          <w:rFonts w:hint="eastAsia" w:ascii="仿宋" w:hAnsi="仿宋" w:eastAsia="仿宋" w:cs="仿宋"/>
          <w:b/>
          <w:bCs/>
          <w:kern w:val="0"/>
          <w:sz w:val="28"/>
          <w:szCs w:val="28"/>
          <w:highlight w:val="none"/>
        </w:rPr>
      </w:pPr>
      <w:bookmarkStart w:id="78" w:name="_Toc24708481"/>
      <w:bookmarkStart w:id="79" w:name="_Toc21694"/>
      <w:r>
        <w:rPr>
          <w:rFonts w:hint="eastAsia" w:ascii="仿宋" w:hAnsi="仿宋" w:eastAsia="仿宋" w:cs="仿宋"/>
          <w:b/>
          <w:bCs/>
          <w:kern w:val="0"/>
          <w:sz w:val="28"/>
          <w:szCs w:val="28"/>
          <w:highlight w:val="none"/>
        </w:rPr>
        <w:t>一、总则</w:t>
      </w:r>
      <w:bookmarkEnd w:id="78"/>
      <w:bookmarkEnd w:id="79"/>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（一）甲方通过招投标方式，择优确定将（                   ）项目</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存入乙方，其</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有关的资金管理、本息收回等活动适用本协议。</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（二）经招投标确定，甲方在乙方开立</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账户，存入</w:t>
      </w:r>
      <w:r>
        <w:rPr>
          <w:rFonts w:hint="eastAsia" w:ascii="仿宋" w:hAnsi="仿宋" w:eastAsia="仿宋" w:cs="仿宋"/>
          <w:sz w:val="28"/>
          <w:szCs w:val="28"/>
          <w:highlight w:val="none"/>
        </w:rPr>
        <w:t>定期存款人民币</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万元，存款期限</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sz w:val="28"/>
          <w:szCs w:val="28"/>
          <w:highlight w:val="none"/>
        </w:rPr>
        <w:t>存款</w:t>
      </w:r>
      <w:r>
        <w:rPr>
          <w:rFonts w:hint="eastAsia" w:ascii="仿宋" w:hAnsi="仿宋" w:eastAsia="仿宋" w:cs="仿宋"/>
          <w:kern w:val="0"/>
          <w:sz w:val="28"/>
          <w:szCs w:val="28"/>
          <w:highlight w:val="none"/>
        </w:rPr>
        <w:t>年利率</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存入</w:t>
      </w:r>
      <w:r>
        <w:rPr>
          <w:rFonts w:hint="eastAsia" w:ascii="仿宋" w:hAnsi="仿宋" w:eastAsia="仿宋" w:cs="仿宋"/>
          <w:sz w:val="28"/>
          <w:szCs w:val="28"/>
          <w:highlight w:val="none"/>
        </w:rPr>
        <w:t>定期存款人民币</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万元，存款期限</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sz w:val="28"/>
          <w:szCs w:val="28"/>
          <w:highlight w:val="none"/>
        </w:rPr>
        <w:t>存款</w:t>
      </w:r>
      <w:r>
        <w:rPr>
          <w:rFonts w:hint="eastAsia" w:ascii="仿宋" w:hAnsi="仿宋" w:eastAsia="仿宋" w:cs="仿宋"/>
          <w:kern w:val="0"/>
          <w:sz w:val="28"/>
          <w:szCs w:val="28"/>
          <w:highlight w:val="none"/>
        </w:rPr>
        <w:t>年利率</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w:t>
      </w:r>
    </w:p>
    <w:p>
      <w:pPr>
        <w:widowControl/>
        <w:spacing w:line="540" w:lineRule="exact"/>
        <w:ind w:firstLine="562" w:firstLineChars="200"/>
        <w:outlineLvl w:val="0"/>
        <w:rPr>
          <w:rFonts w:hint="eastAsia" w:ascii="仿宋" w:hAnsi="仿宋" w:eastAsia="仿宋" w:cs="仿宋"/>
          <w:b/>
          <w:bCs/>
          <w:kern w:val="0"/>
          <w:sz w:val="28"/>
          <w:szCs w:val="28"/>
          <w:highlight w:val="none"/>
        </w:rPr>
      </w:pPr>
      <w:bookmarkStart w:id="80" w:name="_Toc15735"/>
      <w:bookmarkStart w:id="81" w:name="_Toc24708482"/>
      <w:r>
        <w:rPr>
          <w:rFonts w:hint="eastAsia" w:ascii="仿宋" w:hAnsi="仿宋" w:eastAsia="仿宋" w:cs="仿宋"/>
          <w:b/>
          <w:bCs/>
          <w:kern w:val="0"/>
          <w:sz w:val="28"/>
          <w:szCs w:val="28"/>
          <w:highlight w:val="none"/>
        </w:rPr>
        <w:t>二、甲方权利与义务</w:t>
      </w:r>
      <w:bookmarkEnd w:id="80"/>
      <w:bookmarkEnd w:id="81"/>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（一）甲方权利主要包括：</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1.要求乙方提供</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证明（存单）；</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spacing w:val="-6"/>
          <w:kern w:val="0"/>
          <w:sz w:val="28"/>
          <w:szCs w:val="28"/>
          <w:highlight w:val="none"/>
        </w:rPr>
        <w:t>根据资金管理需要，可提前支取或收回</w:t>
      </w:r>
      <w:r>
        <w:rPr>
          <w:rFonts w:hint="eastAsia" w:ascii="仿宋" w:hAnsi="仿宋" w:eastAsia="仿宋" w:cs="仿宋"/>
          <w:spacing w:val="-6"/>
          <w:sz w:val="28"/>
          <w:szCs w:val="28"/>
          <w:highlight w:val="none"/>
        </w:rPr>
        <w:t>定期存款</w:t>
      </w:r>
      <w:r>
        <w:rPr>
          <w:rFonts w:hint="eastAsia" w:ascii="仿宋" w:hAnsi="仿宋" w:eastAsia="仿宋" w:cs="仿宋"/>
          <w:kern w:val="0"/>
          <w:sz w:val="28"/>
          <w:szCs w:val="28"/>
          <w:highlight w:val="none"/>
        </w:rPr>
        <w:t>；</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3.于</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到期日收回本息。</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（二）甲方义务主要包括：</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1.按本协议约定及时将存放资金划入乙方；</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2.因资金支付需要提前支取定期存款，应提前通知乙方。</w:t>
      </w:r>
    </w:p>
    <w:p>
      <w:pPr>
        <w:widowControl/>
        <w:spacing w:line="540" w:lineRule="exact"/>
        <w:ind w:firstLine="562" w:firstLineChars="200"/>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三、乙方权利与义务</w:t>
      </w:r>
    </w:p>
    <w:p>
      <w:pPr>
        <w:widowControl/>
        <w:spacing w:line="540" w:lineRule="exact"/>
        <w:ind w:firstLine="560" w:firstLineChars="200"/>
        <w:outlineLvl w:val="0"/>
        <w:rPr>
          <w:rFonts w:hint="eastAsia" w:ascii="仿宋" w:hAnsi="仿宋" w:eastAsia="仿宋" w:cs="仿宋"/>
          <w:kern w:val="0"/>
          <w:sz w:val="28"/>
          <w:szCs w:val="28"/>
          <w:highlight w:val="none"/>
        </w:rPr>
      </w:pPr>
      <w:bookmarkStart w:id="82" w:name="_Toc29532"/>
      <w:bookmarkStart w:id="83" w:name="_Toc24708483"/>
      <w:r>
        <w:rPr>
          <w:rFonts w:hint="eastAsia" w:ascii="仿宋" w:hAnsi="仿宋" w:eastAsia="仿宋" w:cs="仿宋"/>
          <w:kern w:val="0"/>
          <w:sz w:val="28"/>
          <w:szCs w:val="28"/>
          <w:highlight w:val="none"/>
        </w:rPr>
        <w:t>（一）乙方权利主要包括：</w:t>
      </w:r>
      <w:bookmarkEnd w:id="82"/>
      <w:bookmarkEnd w:id="83"/>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1.在规定时间内接受甲方的存放资金；</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2.足额缴清</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本息后，要求甲方及时解除质押或保证。</w:t>
      </w:r>
    </w:p>
    <w:p>
      <w:pPr>
        <w:widowControl/>
        <w:spacing w:line="540" w:lineRule="exact"/>
        <w:ind w:firstLine="560" w:firstLineChars="200"/>
        <w:outlineLvl w:val="0"/>
        <w:rPr>
          <w:rFonts w:hint="eastAsia" w:ascii="仿宋" w:hAnsi="仿宋" w:eastAsia="仿宋" w:cs="仿宋"/>
          <w:kern w:val="0"/>
          <w:sz w:val="28"/>
          <w:szCs w:val="28"/>
          <w:highlight w:val="none"/>
        </w:rPr>
      </w:pPr>
      <w:bookmarkStart w:id="84" w:name="_Toc24708484"/>
      <w:bookmarkStart w:id="85" w:name="_Toc11379"/>
      <w:r>
        <w:rPr>
          <w:rFonts w:hint="eastAsia" w:ascii="仿宋" w:hAnsi="仿宋" w:eastAsia="仿宋" w:cs="仿宋"/>
          <w:kern w:val="0"/>
          <w:sz w:val="28"/>
          <w:szCs w:val="28"/>
          <w:highlight w:val="none"/>
        </w:rPr>
        <w:t>（二）乙方义务主要包括：</w:t>
      </w:r>
      <w:bookmarkEnd w:id="84"/>
      <w:bookmarkEnd w:id="85"/>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1.在协议签订后及时按招标文件规定提供足额质押或保证；</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2.向甲方提供</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证明（存单）；</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3.配合甲方做好可能的资金提前支取工作； </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到期及时足额缴清甲方本息；</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5.确保甲方存放资金存续期间的资金安全。</w:t>
      </w:r>
    </w:p>
    <w:p>
      <w:pPr>
        <w:spacing w:line="540" w:lineRule="exact"/>
        <w:ind w:firstLine="562" w:firstLineChars="200"/>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四、违约责任</w:t>
      </w:r>
    </w:p>
    <w:p>
      <w:pPr>
        <w:widowControl/>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除发生不可抗力外，违约责任按以下条款执行：</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（一）乙方未按规定将存款本息足额划回甲方，应按欠还存款本息额，以协议中</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年利率的两倍折成日收益率，按日向甲方支付违约金；</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（二）甲方未按规定将资金划拨乙方，应按未划拨资金额，以协议中</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年利率的两倍折成日收益率，按日向乙方支付违约金。</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（三）有下列情形之一的，甲方有权提前收回在乙方的存放资金，并取消乙方今后参与甲方资金竞争性存放投标资格：</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1.乙方在资金存续期间出现资金安全事故或重大违规违法行为的；</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2.乙方综合考评等级降低、监管部门认为存在较大运营风险的；</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3.乙方没有按照本协议规定履行相应的责任和义务的；</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4.乙方解散或其机构（分支机构）撤离江山市区的；</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5.其他妨害甲方资金安全的情形。</w:t>
      </w:r>
    </w:p>
    <w:p>
      <w:pPr>
        <w:spacing w:line="540" w:lineRule="exact"/>
        <w:ind w:firstLine="562" w:firstLineChars="200"/>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五、提前支取（收回）</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甲方可提前支取全部或部分</w:t>
      </w:r>
      <w:r>
        <w:rPr>
          <w:rFonts w:hint="eastAsia" w:ascii="仿宋" w:hAnsi="仿宋" w:eastAsia="仿宋" w:cs="仿宋"/>
          <w:sz w:val="28"/>
          <w:szCs w:val="28"/>
          <w:highlight w:val="none"/>
        </w:rPr>
        <w:t>定期存款</w:t>
      </w:r>
      <w:r>
        <w:rPr>
          <w:rFonts w:hint="eastAsia" w:ascii="仿宋" w:hAnsi="仿宋" w:eastAsia="仿宋" w:cs="仿宋"/>
          <w:kern w:val="0"/>
          <w:sz w:val="28"/>
          <w:szCs w:val="28"/>
          <w:highlight w:val="none"/>
        </w:rPr>
        <w:t>，乙方应积极配合办理。提前支取部分，按《人民币单位存款管理办法》相关规定计息。未支取部分仍需按协议约定计算收益。</w:t>
      </w:r>
    </w:p>
    <w:p>
      <w:pPr>
        <w:spacing w:line="540" w:lineRule="exact"/>
        <w:ind w:firstLine="562" w:firstLineChars="200"/>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六、争议的解决</w:t>
      </w:r>
    </w:p>
    <w:p>
      <w:pPr>
        <w:pStyle w:val="31"/>
        <w:snapToGrid w:val="0"/>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在协议履行过程中出现问题或争议的，双方应开展友好协商，妥善解决。如协商不成，任何一方有权在本协议履行地通过诉讼的途径解决。</w:t>
      </w:r>
    </w:p>
    <w:p>
      <w:pPr>
        <w:spacing w:line="540" w:lineRule="exact"/>
        <w:ind w:firstLine="562" w:firstLineChars="200"/>
        <w:rPr>
          <w:rFonts w:hint="eastAsia" w:ascii="仿宋" w:hAnsi="仿宋" w:eastAsia="仿宋" w:cs="仿宋"/>
          <w:spacing w:val="-4"/>
          <w:kern w:val="0"/>
          <w:sz w:val="28"/>
          <w:szCs w:val="28"/>
          <w:highlight w:val="none"/>
        </w:rPr>
      </w:pPr>
      <w:r>
        <w:rPr>
          <w:rFonts w:hint="eastAsia" w:ascii="仿宋" w:hAnsi="仿宋" w:eastAsia="仿宋" w:cs="仿宋"/>
          <w:b/>
          <w:bCs/>
          <w:kern w:val="0"/>
          <w:sz w:val="28"/>
          <w:szCs w:val="28"/>
          <w:highlight w:val="none"/>
        </w:rPr>
        <w:t>七、</w:t>
      </w:r>
      <w:r>
        <w:rPr>
          <w:rFonts w:hint="eastAsia" w:ascii="仿宋" w:hAnsi="仿宋" w:eastAsia="仿宋" w:cs="仿宋"/>
          <w:spacing w:val="-4"/>
          <w:kern w:val="0"/>
          <w:sz w:val="28"/>
          <w:szCs w:val="28"/>
          <w:highlight w:val="none"/>
        </w:rPr>
        <w:t>本协议一式三份，甲、乙双方各执一份，江山市政府采购中心一份。</w:t>
      </w:r>
    </w:p>
    <w:p>
      <w:pPr>
        <w:spacing w:line="540" w:lineRule="exact"/>
        <w:ind w:firstLine="562" w:firstLineChars="200"/>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rPr>
        <w:t>八、</w:t>
      </w:r>
      <w:r>
        <w:rPr>
          <w:rFonts w:hint="eastAsia" w:ascii="仿宋" w:hAnsi="仿宋" w:eastAsia="仿宋" w:cs="仿宋"/>
          <w:kern w:val="0"/>
          <w:sz w:val="28"/>
          <w:szCs w:val="28"/>
          <w:highlight w:val="none"/>
        </w:rPr>
        <w:t>本协议自签订之日起生效。</w:t>
      </w:r>
    </w:p>
    <w:p>
      <w:pPr>
        <w:spacing w:line="540" w:lineRule="exact"/>
        <w:rPr>
          <w:rFonts w:hint="eastAsia" w:ascii="仿宋" w:hAnsi="仿宋" w:eastAsia="仿宋" w:cs="仿宋"/>
          <w:kern w:val="0"/>
          <w:sz w:val="28"/>
          <w:szCs w:val="28"/>
          <w:highlight w:val="none"/>
        </w:rPr>
      </w:pPr>
    </w:p>
    <w:p>
      <w:pPr>
        <w:ind w:firstLine="280" w:firstLineChars="1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甲方（盖章）：                     乙方（盖章）：</w:t>
      </w:r>
    </w:p>
    <w:p>
      <w:pPr>
        <w:ind w:firstLine="280" w:firstLineChars="1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                       法定代表人（</w:t>
      </w:r>
      <w:r>
        <w:rPr>
          <w:rFonts w:hint="eastAsia" w:ascii="仿宋" w:hAnsi="仿宋" w:eastAsia="仿宋" w:cs="仿宋"/>
          <w:sz w:val="28"/>
          <w:szCs w:val="28"/>
          <w:highlight w:val="none"/>
        </w:rPr>
        <w:t>或</w:t>
      </w:r>
    </w:p>
    <w:p>
      <w:pPr>
        <w:ind w:firstLine="280" w:firstLineChars="1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在江机构负</w:t>
      </w:r>
      <w:r>
        <w:rPr>
          <w:rFonts w:hint="eastAsia" w:ascii="仿宋" w:hAnsi="仿宋" w:eastAsia="仿宋" w:cs="仿宋"/>
          <w:sz w:val="28"/>
          <w:szCs w:val="28"/>
          <w:highlight w:val="none"/>
        </w:rPr>
        <w:t>责人</w:t>
      </w:r>
      <w:r>
        <w:rPr>
          <w:rFonts w:hint="eastAsia" w:ascii="仿宋" w:hAnsi="仿宋" w:eastAsia="仿宋" w:cs="仿宋"/>
          <w:kern w:val="0"/>
          <w:sz w:val="28"/>
          <w:szCs w:val="28"/>
          <w:highlight w:val="none"/>
        </w:rPr>
        <w:t>）：</w:t>
      </w:r>
    </w:p>
    <w:p>
      <w:pPr>
        <w:ind w:firstLine="280" w:firstLineChars="1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或授权委托人（签字）：             或授权委托人（签字）：</w:t>
      </w:r>
    </w:p>
    <w:p>
      <w:pPr>
        <w:ind w:firstLine="280" w:firstLineChars="100"/>
        <w:jc w:val="left"/>
        <w:rPr>
          <w:rFonts w:hint="eastAsia" w:ascii="仿宋" w:hAnsi="仿宋" w:eastAsia="仿宋" w:cs="仿宋"/>
          <w:kern w:val="0"/>
          <w:sz w:val="28"/>
          <w:szCs w:val="28"/>
          <w:highlight w:val="none"/>
        </w:rPr>
      </w:pPr>
    </w:p>
    <w:p>
      <w:pPr>
        <w:ind w:firstLine="280" w:firstLineChars="1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                             电话：</w:t>
      </w:r>
    </w:p>
    <w:p>
      <w:pPr>
        <w:ind w:firstLine="280" w:firstLineChars="100"/>
        <w:jc w:val="left"/>
        <w:rPr>
          <w:rFonts w:hint="eastAsia" w:ascii="仿宋" w:hAnsi="仿宋" w:eastAsia="仿宋" w:cs="仿宋"/>
          <w:kern w:val="0"/>
          <w:sz w:val="28"/>
          <w:szCs w:val="28"/>
          <w:highlight w:val="none"/>
        </w:rPr>
      </w:pPr>
    </w:p>
    <w:p>
      <w:pPr>
        <w:ind w:firstLine="280" w:firstLineChars="1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签约日期：    年   月   日         签约日期：    年   月   日</w:t>
      </w:r>
    </w:p>
    <w:p>
      <w:pPr>
        <w:ind w:firstLine="280" w:firstLineChars="100"/>
        <w:jc w:val="left"/>
        <w:rPr>
          <w:rFonts w:hint="eastAsia" w:ascii="仿宋" w:hAnsi="仿宋" w:eastAsia="仿宋" w:cs="仿宋"/>
          <w:kern w:val="0"/>
          <w:sz w:val="28"/>
          <w:szCs w:val="28"/>
          <w:highlight w:val="none"/>
        </w:rPr>
      </w:pPr>
    </w:p>
    <w:p>
      <w:pPr>
        <w:ind w:firstLine="280" w:firstLineChars="1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签约地点：        </w:t>
      </w:r>
    </w:p>
    <w:p>
      <w:pPr>
        <w:snapToGrid w:val="0"/>
        <w:spacing w:line="540" w:lineRule="exact"/>
        <w:rPr>
          <w:rFonts w:hint="eastAsia" w:ascii="仿宋" w:hAnsi="仿宋" w:eastAsia="仿宋" w:cs="仿宋"/>
          <w:sz w:val="28"/>
          <w:szCs w:val="28"/>
          <w:highlight w:val="none"/>
        </w:rPr>
        <w:sectPr>
          <w:pgSz w:w="11906" w:h="16838"/>
          <w:pgMar w:top="1389" w:right="1247" w:bottom="1389" w:left="1247" w:header="851" w:footer="992" w:gutter="284"/>
          <w:cols w:space="720" w:num="1"/>
        </w:sectPr>
      </w:pPr>
    </w:p>
    <w:p>
      <w:pPr>
        <w:snapToGrid w:val="0"/>
        <w:spacing w:line="540" w:lineRule="exact"/>
        <w:jc w:val="center"/>
        <w:outlineLvl w:val="0"/>
        <w:rPr>
          <w:rFonts w:hint="eastAsia" w:ascii="仿宋" w:hAnsi="仿宋" w:eastAsia="仿宋" w:cs="仿宋"/>
          <w:b/>
          <w:bCs/>
          <w:sz w:val="28"/>
          <w:szCs w:val="28"/>
          <w:highlight w:val="none"/>
        </w:rPr>
      </w:pPr>
      <w:bookmarkStart w:id="86" w:name="_Toc24708485"/>
      <w:bookmarkStart w:id="87" w:name="_Toc356371458"/>
      <w:bookmarkStart w:id="88" w:name="_Toc322352985"/>
      <w:bookmarkStart w:id="89" w:name="_Toc354491899"/>
      <w:bookmarkStart w:id="90" w:name="_Toc12300"/>
      <w:r>
        <w:rPr>
          <w:rFonts w:hint="eastAsia" w:ascii="仿宋" w:hAnsi="仿宋" w:eastAsia="仿宋" w:cs="仿宋"/>
          <w:b/>
          <w:bCs/>
          <w:sz w:val="28"/>
          <w:szCs w:val="28"/>
          <w:highlight w:val="none"/>
        </w:rPr>
        <w:t>第五章  应提交的有关格式范例</w:t>
      </w:r>
      <w:bookmarkEnd w:id="86"/>
      <w:bookmarkEnd w:id="87"/>
      <w:bookmarkEnd w:id="88"/>
      <w:bookmarkEnd w:id="89"/>
      <w:bookmarkEnd w:id="90"/>
    </w:p>
    <w:p>
      <w:pPr>
        <w:snapToGrid w:val="0"/>
        <w:spacing w:line="540" w:lineRule="exact"/>
        <w:ind w:firstLine="2783" w:firstLineChars="990"/>
        <w:outlineLvl w:val="0"/>
        <w:rPr>
          <w:rFonts w:hint="eastAsia" w:ascii="仿宋" w:hAnsi="仿宋" w:eastAsia="仿宋" w:cs="仿宋"/>
          <w:b/>
          <w:bCs/>
          <w:sz w:val="28"/>
          <w:szCs w:val="28"/>
          <w:highlight w:val="none"/>
        </w:rPr>
      </w:pPr>
      <w:bookmarkStart w:id="91" w:name="_Toc24708486"/>
      <w:bookmarkStart w:id="92" w:name="_Toc6936"/>
      <w:r>
        <w:rPr>
          <w:rStyle w:val="144"/>
          <w:rFonts w:hint="eastAsia" w:ascii="仿宋" w:hAnsi="仿宋" w:eastAsia="仿宋" w:cs="仿宋"/>
          <w:sz w:val="28"/>
          <w:szCs w:val="28"/>
          <w:highlight w:val="none"/>
        </w:rPr>
        <w:t>1   投标文件封面</w:t>
      </w:r>
      <w:bookmarkEnd w:id="91"/>
      <w:bookmarkEnd w:id="92"/>
    </w:p>
    <w:p>
      <w:pPr>
        <w:spacing w:line="540" w:lineRule="exact"/>
        <w:ind w:left="1800" w:leftChars="857"/>
        <w:jc w:val="righ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p>
    <w:p>
      <w:pPr>
        <w:snapToGrid w:val="0"/>
        <w:spacing w:line="540" w:lineRule="exact"/>
        <w:ind w:firstLine="1962" w:firstLineChars="698"/>
        <w:rPr>
          <w:rFonts w:hint="eastAsia" w:ascii="仿宋" w:hAnsi="仿宋" w:eastAsia="仿宋" w:cs="仿宋"/>
          <w:b/>
          <w:bCs/>
          <w:sz w:val="28"/>
          <w:szCs w:val="28"/>
          <w:highlight w:val="none"/>
        </w:rPr>
      </w:pPr>
    </w:p>
    <w:p>
      <w:pPr>
        <w:snapToGrid w:val="0"/>
        <w:spacing w:line="540" w:lineRule="exact"/>
        <w:ind w:firstLine="1680" w:firstLineChars="600"/>
        <w:rPr>
          <w:rFonts w:hint="eastAsia" w:ascii="仿宋" w:hAnsi="仿宋" w:eastAsia="仿宋" w:cs="仿宋"/>
          <w:sz w:val="28"/>
          <w:szCs w:val="28"/>
          <w:highlight w:val="none"/>
          <w:u w:val="single"/>
        </w:rPr>
      </w:pPr>
      <w:bookmarkStart w:id="93" w:name="_Toc357410802"/>
      <w:r>
        <w:rPr>
          <w:rFonts w:hint="eastAsia" w:ascii="仿宋" w:hAnsi="仿宋" w:eastAsia="仿宋" w:cs="仿宋"/>
          <w:sz w:val="28"/>
          <w:szCs w:val="28"/>
          <w:highlight w:val="none"/>
        </w:rPr>
        <w:t>项目名称：</w:t>
      </w:r>
      <w:bookmarkEnd w:id="93"/>
    </w:p>
    <w:p>
      <w:pPr>
        <w:snapToGrid w:val="0"/>
        <w:spacing w:line="540" w:lineRule="exact"/>
        <w:ind w:firstLine="1680" w:firstLineChars="600"/>
        <w:rPr>
          <w:rFonts w:hint="eastAsia" w:ascii="仿宋" w:hAnsi="仿宋" w:eastAsia="仿宋" w:cs="仿宋"/>
          <w:sz w:val="28"/>
          <w:szCs w:val="28"/>
          <w:highlight w:val="none"/>
          <w:u w:val="single"/>
        </w:rPr>
      </w:pPr>
      <w:bookmarkStart w:id="94" w:name="_Toc357410803"/>
      <w:r>
        <w:rPr>
          <w:rFonts w:hint="eastAsia" w:ascii="仿宋" w:hAnsi="仿宋" w:eastAsia="仿宋" w:cs="仿宋"/>
          <w:sz w:val="28"/>
          <w:szCs w:val="28"/>
          <w:highlight w:val="none"/>
        </w:rPr>
        <w:t>项目编号：</w:t>
      </w:r>
      <w:bookmarkEnd w:id="94"/>
    </w:p>
    <w:p>
      <w:pPr>
        <w:snapToGrid w:val="0"/>
        <w:spacing w:line="540" w:lineRule="exact"/>
        <w:jc w:val="center"/>
        <w:rPr>
          <w:rFonts w:hint="eastAsia" w:ascii="仿宋" w:hAnsi="仿宋" w:eastAsia="仿宋" w:cs="仿宋"/>
          <w:sz w:val="28"/>
          <w:szCs w:val="28"/>
          <w:highlight w:val="none"/>
        </w:rPr>
      </w:pPr>
      <w:bookmarkStart w:id="95" w:name="_Toc357410804"/>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（盖单位公章）</w:t>
      </w:r>
      <w:bookmarkEnd w:id="95"/>
    </w:p>
    <w:p>
      <w:pPr>
        <w:snapToGrid w:val="0"/>
        <w:spacing w:line="540" w:lineRule="exact"/>
        <w:jc w:val="center"/>
        <w:rPr>
          <w:rFonts w:hint="eastAsia" w:ascii="仿宋" w:hAnsi="仿宋" w:eastAsia="仿宋" w:cs="仿宋"/>
          <w:sz w:val="28"/>
          <w:szCs w:val="28"/>
          <w:highlight w:val="none"/>
        </w:rPr>
      </w:pPr>
      <w:bookmarkStart w:id="96" w:name="_Toc357410805"/>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月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End w:id="96"/>
    </w:p>
    <w:p>
      <w:pPr>
        <w:snapToGrid w:val="0"/>
        <w:spacing w:line="540" w:lineRule="exact"/>
        <w:jc w:val="center"/>
        <w:outlineLvl w:val="0"/>
        <w:rPr>
          <w:rStyle w:val="144"/>
          <w:rFonts w:hint="eastAsia" w:ascii="仿宋" w:hAnsi="仿宋" w:eastAsia="仿宋" w:cs="仿宋"/>
          <w:sz w:val="28"/>
          <w:szCs w:val="28"/>
          <w:highlight w:val="none"/>
        </w:rPr>
      </w:pPr>
      <w:r>
        <w:rPr>
          <w:rStyle w:val="144"/>
          <w:rFonts w:hint="eastAsia" w:ascii="仿宋" w:hAnsi="仿宋" w:eastAsia="仿宋" w:cs="仿宋"/>
          <w:sz w:val="28"/>
          <w:szCs w:val="28"/>
          <w:highlight w:val="none"/>
        </w:rPr>
        <w:br w:type="page"/>
      </w:r>
    </w:p>
    <w:p>
      <w:pPr>
        <w:spacing w:line="540" w:lineRule="exact"/>
        <w:jc w:val="center"/>
        <w:rPr>
          <w:rStyle w:val="144"/>
          <w:rFonts w:hint="eastAsia" w:ascii="仿宋" w:hAnsi="仿宋" w:eastAsia="仿宋" w:cs="仿宋"/>
          <w:sz w:val="28"/>
          <w:szCs w:val="28"/>
          <w:highlight w:val="none"/>
        </w:rPr>
      </w:pPr>
      <w:r>
        <w:rPr>
          <w:rStyle w:val="144"/>
          <w:rFonts w:hint="eastAsia" w:ascii="仿宋" w:hAnsi="仿宋" w:eastAsia="仿宋" w:cs="仿宋"/>
          <w:sz w:val="28"/>
          <w:szCs w:val="28"/>
          <w:highlight w:val="none"/>
        </w:rPr>
        <w:t>2   投标函</w:t>
      </w:r>
    </w:p>
    <w:p>
      <w:pPr>
        <w:spacing w:line="540" w:lineRule="exact"/>
        <w:ind w:firstLine="3920"/>
        <w:rPr>
          <w:rFonts w:hint="eastAsia" w:ascii="仿宋" w:hAnsi="仿宋" w:eastAsia="仿宋" w:cs="仿宋"/>
          <w:sz w:val="28"/>
          <w:szCs w:val="28"/>
          <w:highlight w:val="none"/>
        </w:rPr>
      </w:pP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 江山市政府采购中心</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根据贵方为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项目的招标公告（项目编号：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），被授权代表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（全名）经正式授权并代表投标人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（投标人名称）提交投标文件。</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据此函，被授权代表宣布同意如下：</w:t>
      </w:r>
    </w:p>
    <w:p>
      <w:pPr>
        <w:pStyle w:val="31"/>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1.我方向贵方提交的所有投标文件、资料都是准确的和真实的。</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2.我方已详细审查全部“招标文件”，包括修改文件（如有的话）以及全部参考资料和有关附件，已经了解我方对于招标文件、招标过程、招标结果有依法进行询问、质疑、投诉的权利及相关渠道和要求。</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3.我方在投标之前已经与贵方进行了充分的沟通，完全理解并接受招标文件的各项规定和要求，对招标文件的合理性、合法性不再有异议。</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4.本投标有效期自开标日起90日。</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5.如中标，本投标文件至本项目合同履行完毕止均保持有效，本投标人将按“招标文件”及政府招投标法律、法规的规定履行合同责任和义务。</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6.我方同意按照贵方要求提供与投标有关的一切数据或资料。</w:t>
      </w:r>
    </w:p>
    <w:p>
      <w:pPr>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7.与本投标有关的一切正式往来信函请寄：</w:t>
      </w: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邮编：</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电话：</w:t>
      </w:r>
      <w:r>
        <w:rPr>
          <w:rFonts w:hint="eastAsia" w:ascii="仿宋" w:hAnsi="仿宋" w:eastAsia="仿宋" w:cs="仿宋"/>
          <w:sz w:val="28"/>
          <w:szCs w:val="28"/>
          <w:highlight w:val="none"/>
          <w:u w:val="single"/>
        </w:rPr>
        <w:t xml:space="preserve">             </w:t>
      </w: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被授权代表姓名：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职务：</w:t>
      </w:r>
      <w:r>
        <w:rPr>
          <w:rFonts w:hint="eastAsia" w:ascii="仿宋" w:hAnsi="仿宋" w:eastAsia="仿宋" w:cs="仿宋"/>
          <w:sz w:val="28"/>
          <w:szCs w:val="28"/>
          <w:highlight w:val="none"/>
          <w:u w:val="single"/>
        </w:rPr>
        <w:t xml:space="preserve">             </w:t>
      </w: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被授权代表签字:</w:t>
      </w:r>
      <w:r>
        <w:rPr>
          <w:rFonts w:hint="eastAsia" w:ascii="仿宋" w:hAnsi="仿宋" w:eastAsia="仿宋" w:cs="仿宋"/>
          <w:sz w:val="28"/>
          <w:szCs w:val="28"/>
          <w:highlight w:val="none"/>
          <w:u w:val="single"/>
        </w:rPr>
        <w:t xml:space="preserve">           </w:t>
      </w:r>
    </w:p>
    <w:p>
      <w:pPr>
        <w:snapToGrid w:val="0"/>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540" w:lineRule="exact"/>
        <w:ind w:firstLine="560" w:firstLineChars="200"/>
        <w:rPr>
          <w:rFonts w:hint="eastAsia" w:ascii="仿宋" w:hAnsi="仿宋" w:eastAsia="仿宋" w:cs="仿宋"/>
          <w:sz w:val="28"/>
          <w:szCs w:val="28"/>
          <w:highlight w:val="none"/>
        </w:rPr>
        <w:sectPr>
          <w:pgSz w:w="11906" w:h="16838"/>
          <w:pgMar w:top="1389" w:right="1247" w:bottom="1389" w:left="1247" w:header="851" w:footer="992" w:gutter="284"/>
          <w:cols w:space="720" w:num="1"/>
          <w:docGrid w:linePitch="312" w:charSpace="0"/>
        </w:sectPr>
      </w:pPr>
    </w:p>
    <w:p>
      <w:pPr>
        <w:pStyle w:val="276"/>
        <w:spacing w:line="540" w:lineRule="exact"/>
        <w:jc w:val="center"/>
        <w:outlineLvl w:val="0"/>
        <w:rPr>
          <w:rFonts w:hint="eastAsia" w:ascii="仿宋" w:hAnsi="仿宋" w:eastAsia="仿宋" w:cs="仿宋"/>
          <w:b/>
          <w:bCs/>
          <w:sz w:val="28"/>
          <w:szCs w:val="28"/>
          <w:highlight w:val="none"/>
          <w:lang w:eastAsia="zh-CN"/>
        </w:rPr>
      </w:pPr>
      <w:bookmarkStart w:id="97" w:name="_Toc12576"/>
      <w:bookmarkStart w:id="98" w:name="_Toc24708487"/>
      <w:r>
        <w:rPr>
          <w:rFonts w:hint="eastAsia" w:ascii="仿宋" w:hAnsi="仿宋" w:eastAsia="仿宋" w:cs="仿宋"/>
          <w:b/>
          <w:bCs/>
          <w:sz w:val="28"/>
          <w:szCs w:val="28"/>
          <w:highlight w:val="none"/>
          <w:lang w:eastAsia="zh-CN"/>
        </w:rPr>
        <w:t>3  报价一览表</w:t>
      </w:r>
      <w:bookmarkEnd w:id="97"/>
      <w:bookmarkEnd w:id="98"/>
    </w:p>
    <w:p>
      <w:pPr>
        <w:pStyle w:val="276"/>
        <w:spacing w:line="540" w:lineRule="exact"/>
        <w:jc w:val="center"/>
        <w:outlineLvl w:val="0"/>
        <w:rPr>
          <w:rFonts w:hint="eastAsia" w:ascii="仿宋" w:hAnsi="仿宋" w:eastAsia="仿宋" w:cs="仿宋"/>
          <w:b/>
          <w:bCs/>
          <w:sz w:val="28"/>
          <w:szCs w:val="28"/>
          <w:highlight w:val="none"/>
          <w:lang w:eastAsia="zh-CN"/>
        </w:rPr>
      </w:pPr>
    </w:p>
    <w:tbl>
      <w:tblPr>
        <w:tblStyle w:val="60"/>
        <w:tblpPr w:leftFromText="180" w:rightFromText="180" w:vertAnchor="text" w:horzAnchor="page" w:tblpX="1568" w:tblpY="246"/>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1933"/>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3005" w:type="dxa"/>
            <w:vAlign w:val="center"/>
          </w:tcPr>
          <w:p>
            <w:pPr>
              <w:pStyle w:val="276"/>
              <w:spacing w:line="540" w:lineRule="exact"/>
              <w:jc w:val="center"/>
              <w:rPr>
                <w:rFonts w:hint="eastAsia" w:ascii="仿宋" w:hAnsi="仿宋" w:eastAsia="仿宋" w:cs="仿宋"/>
                <w:highlight w:val="none"/>
              </w:rPr>
            </w:pPr>
            <w:r>
              <w:rPr>
                <w:rFonts w:hint="eastAsia" w:ascii="仿宋" w:hAnsi="仿宋" w:eastAsia="仿宋" w:cs="仿宋"/>
                <w:bCs/>
                <w:sz w:val="28"/>
                <w:highlight w:val="none"/>
                <w:lang w:eastAsia="zh-CN"/>
              </w:rPr>
              <w:t>项目名称</w:t>
            </w:r>
          </w:p>
        </w:tc>
        <w:tc>
          <w:tcPr>
            <w:tcW w:w="1933" w:type="dxa"/>
            <w:vAlign w:val="center"/>
          </w:tcPr>
          <w:p>
            <w:pPr>
              <w:pStyle w:val="276"/>
              <w:spacing w:line="540" w:lineRule="exact"/>
              <w:jc w:val="center"/>
              <w:rPr>
                <w:rFonts w:hint="eastAsia" w:ascii="仿宋" w:hAnsi="仿宋" w:eastAsia="仿宋" w:cs="仿宋"/>
                <w:highlight w:val="none"/>
              </w:rPr>
            </w:pPr>
            <w:r>
              <w:rPr>
                <w:rFonts w:hint="eastAsia" w:ascii="仿宋" w:hAnsi="仿宋" w:eastAsia="仿宋" w:cs="仿宋"/>
                <w:bCs/>
                <w:sz w:val="28"/>
                <w:highlight w:val="none"/>
                <w:lang w:eastAsia="zh-CN"/>
              </w:rPr>
              <w:t>存款期限</w:t>
            </w:r>
          </w:p>
        </w:tc>
        <w:tc>
          <w:tcPr>
            <w:tcW w:w="4220" w:type="dxa"/>
            <w:vAlign w:val="center"/>
          </w:tcPr>
          <w:p>
            <w:pPr>
              <w:pStyle w:val="276"/>
              <w:spacing w:line="540" w:lineRule="exact"/>
              <w:jc w:val="center"/>
              <w:rPr>
                <w:rFonts w:hint="eastAsia" w:ascii="仿宋" w:hAnsi="仿宋" w:eastAsia="仿宋" w:cs="仿宋"/>
                <w:bCs/>
                <w:sz w:val="28"/>
                <w:highlight w:val="none"/>
                <w:lang w:eastAsia="zh-CN"/>
              </w:rPr>
            </w:pPr>
            <w:r>
              <w:rPr>
                <w:rFonts w:hint="eastAsia" w:ascii="仿宋" w:hAnsi="仿宋" w:eastAsia="仿宋" w:cs="仿宋"/>
                <w:bCs/>
                <w:sz w:val="28"/>
                <w:highlight w:val="none"/>
                <w:lang w:eastAsia="zh-CN"/>
              </w:rPr>
              <w:t>定期存款年利率报价（％）</w:t>
            </w:r>
          </w:p>
          <w:p>
            <w:pPr>
              <w:pStyle w:val="276"/>
              <w:spacing w:line="540" w:lineRule="exact"/>
              <w:jc w:val="center"/>
              <w:rPr>
                <w:rFonts w:hint="eastAsia" w:ascii="仿宋" w:hAnsi="仿宋" w:eastAsia="仿宋" w:cs="仿宋"/>
                <w:highlight w:val="none"/>
                <w:lang w:eastAsia="zh-CN"/>
              </w:rPr>
            </w:pPr>
            <w:r>
              <w:rPr>
                <w:rFonts w:hint="eastAsia" w:ascii="仿宋" w:hAnsi="仿宋" w:eastAsia="仿宋" w:cs="仿宋"/>
                <w:bCs/>
                <w:sz w:val="28"/>
                <w:highlight w:val="none"/>
                <w:lang w:eastAsia="zh-CN"/>
              </w:rPr>
              <w:t>（最多保留3位小数）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005" w:type="dxa"/>
            <w:vMerge w:val="restart"/>
            <w:vAlign w:val="center"/>
          </w:tcPr>
          <w:p>
            <w:pPr>
              <w:pStyle w:val="276"/>
              <w:spacing w:line="540" w:lineRule="exact"/>
              <w:jc w:val="center"/>
              <w:rPr>
                <w:rFonts w:hint="eastAsia" w:ascii="仿宋" w:hAnsi="仿宋" w:eastAsia="仿宋" w:cs="仿宋"/>
                <w:bCs/>
                <w:sz w:val="28"/>
                <w:highlight w:val="none"/>
                <w:lang w:eastAsia="zh-CN"/>
              </w:rPr>
            </w:pPr>
            <w:r>
              <w:rPr>
                <w:rFonts w:hint="eastAsia" w:ascii="仿宋" w:hAnsi="仿宋" w:eastAsia="仿宋" w:cs="仿宋"/>
                <w:sz w:val="28"/>
                <w:szCs w:val="28"/>
                <w:highlight w:val="none"/>
              </w:rPr>
              <w:t>江山市财政国库支付中心202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1期</w:t>
            </w:r>
            <w:r>
              <w:rPr>
                <w:rFonts w:hint="eastAsia" w:ascii="仿宋" w:hAnsi="仿宋" w:eastAsia="仿宋" w:cs="仿宋"/>
                <w:sz w:val="28"/>
                <w:szCs w:val="28"/>
                <w:highlight w:val="none"/>
              </w:rPr>
              <w:t>公款竞争性存放</w:t>
            </w:r>
          </w:p>
        </w:tc>
        <w:tc>
          <w:tcPr>
            <w:tcW w:w="1933" w:type="dxa"/>
            <w:vAlign w:val="center"/>
          </w:tcPr>
          <w:p>
            <w:pPr>
              <w:pStyle w:val="276"/>
              <w:spacing w:line="540" w:lineRule="exact"/>
              <w:jc w:val="center"/>
              <w:rPr>
                <w:rFonts w:hint="eastAsia" w:ascii="仿宋" w:hAnsi="仿宋" w:eastAsia="仿宋" w:cs="仿宋"/>
                <w:bCs/>
                <w:sz w:val="28"/>
                <w:highlight w:val="none"/>
                <w:lang w:eastAsia="zh-CN"/>
              </w:rPr>
            </w:pPr>
            <w:r>
              <w:rPr>
                <w:rFonts w:hint="eastAsia" w:ascii="仿宋" w:hAnsi="仿宋" w:eastAsia="仿宋" w:cs="仿宋"/>
                <w:bCs/>
                <w:sz w:val="28"/>
                <w:highlight w:val="none"/>
                <w:lang w:eastAsia="zh-CN"/>
              </w:rPr>
              <w:t>半年期</w:t>
            </w:r>
          </w:p>
        </w:tc>
        <w:tc>
          <w:tcPr>
            <w:tcW w:w="4220" w:type="dxa"/>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005" w:type="dxa"/>
            <w:vMerge w:val="continue"/>
            <w:vAlign w:val="center"/>
          </w:tcPr>
          <w:p>
            <w:pPr>
              <w:pStyle w:val="276"/>
              <w:spacing w:line="540" w:lineRule="exact"/>
              <w:jc w:val="center"/>
              <w:rPr>
                <w:rFonts w:hint="eastAsia" w:ascii="仿宋" w:hAnsi="仿宋" w:eastAsia="仿宋" w:cs="仿宋"/>
                <w:bCs/>
                <w:sz w:val="28"/>
                <w:highlight w:val="none"/>
                <w:lang w:eastAsia="zh-CN"/>
              </w:rPr>
            </w:pPr>
          </w:p>
        </w:tc>
        <w:tc>
          <w:tcPr>
            <w:tcW w:w="1933" w:type="dxa"/>
            <w:vAlign w:val="center"/>
          </w:tcPr>
          <w:p>
            <w:pPr>
              <w:pStyle w:val="276"/>
              <w:spacing w:line="540" w:lineRule="exact"/>
              <w:jc w:val="center"/>
              <w:rPr>
                <w:rFonts w:hint="eastAsia" w:ascii="仿宋" w:hAnsi="仿宋" w:eastAsia="仿宋" w:cs="仿宋"/>
                <w:bCs/>
                <w:sz w:val="28"/>
                <w:highlight w:val="none"/>
                <w:lang w:eastAsia="zh-CN"/>
              </w:rPr>
            </w:pPr>
            <w:r>
              <w:rPr>
                <w:rFonts w:hint="eastAsia" w:ascii="仿宋" w:hAnsi="仿宋" w:eastAsia="仿宋" w:cs="仿宋"/>
                <w:bCs/>
                <w:sz w:val="28"/>
                <w:highlight w:val="none"/>
                <w:lang w:eastAsia="zh-CN"/>
              </w:rPr>
              <w:t>一年期</w:t>
            </w:r>
          </w:p>
        </w:tc>
        <w:tc>
          <w:tcPr>
            <w:tcW w:w="4220" w:type="dxa"/>
            <w:vAlign w:val="center"/>
          </w:tcPr>
          <w:p>
            <w:pPr>
              <w:jc w:val="center"/>
              <w:rPr>
                <w:rFonts w:hint="eastAsia" w:ascii="仿宋" w:hAnsi="仿宋" w:eastAsia="仿宋" w:cs="仿宋"/>
                <w:highlight w:val="none"/>
              </w:rPr>
            </w:pPr>
          </w:p>
        </w:tc>
      </w:tr>
    </w:tbl>
    <w:p>
      <w:pPr>
        <w:pStyle w:val="276"/>
        <w:spacing w:line="540" w:lineRule="exact"/>
        <w:ind w:firstLine="4480" w:firstLineChars="1600"/>
        <w:outlineLvl w:val="0"/>
        <w:rPr>
          <w:rFonts w:hint="eastAsia" w:ascii="仿宋" w:hAnsi="仿宋" w:eastAsia="仿宋" w:cs="仿宋"/>
          <w:sz w:val="28"/>
          <w:highlight w:val="none"/>
          <w:u w:val="single"/>
          <w:lang w:eastAsia="zh-CN"/>
        </w:rPr>
      </w:pPr>
    </w:p>
    <w:p>
      <w:pPr>
        <w:pStyle w:val="276"/>
        <w:spacing w:line="540" w:lineRule="exact"/>
        <w:jc w:val="both"/>
        <w:rPr>
          <w:rFonts w:hint="eastAsia" w:ascii="仿宋" w:hAnsi="仿宋" w:eastAsia="仿宋" w:cs="仿宋"/>
          <w:sz w:val="28"/>
          <w:highlight w:val="none"/>
          <w:lang w:eastAsia="zh-CN"/>
        </w:rPr>
      </w:pPr>
    </w:p>
    <w:p>
      <w:pPr>
        <w:pStyle w:val="276"/>
        <w:spacing w:line="540" w:lineRule="exact"/>
        <w:jc w:val="both"/>
        <w:rPr>
          <w:rFonts w:hint="eastAsia" w:ascii="仿宋" w:hAnsi="仿宋" w:eastAsia="仿宋" w:cs="仿宋"/>
          <w:sz w:val="28"/>
          <w:highlight w:val="none"/>
          <w:lang w:eastAsia="zh-CN"/>
        </w:rPr>
      </w:pPr>
    </w:p>
    <w:p>
      <w:pPr>
        <w:pStyle w:val="276"/>
        <w:spacing w:line="540" w:lineRule="exact"/>
        <w:jc w:val="both"/>
        <w:rPr>
          <w:rFonts w:hint="eastAsia" w:ascii="仿宋" w:hAnsi="仿宋" w:eastAsia="仿宋" w:cs="仿宋"/>
          <w:sz w:val="28"/>
          <w:highlight w:val="none"/>
          <w:lang w:eastAsia="zh-CN"/>
        </w:rPr>
      </w:pPr>
    </w:p>
    <w:p>
      <w:pPr>
        <w:pStyle w:val="276"/>
        <w:spacing w:line="540" w:lineRule="exact"/>
        <w:jc w:val="both"/>
        <w:rPr>
          <w:rFonts w:hint="eastAsia" w:ascii="仿宋" w:hAnsi="仿宋" w:eastAsia="仿宋" w:cs="仿宋"/>
          <w:sz w:val="28"/>
          <w:highlight w:val="none"/>
          <w:lang w:eastAsia="zh-CN"/>
        </w:rPr>
      </w:pPr>
    </w:p>
    <w:p>
      <w:pPr>
        <w:pStyle w:val="276"/>
        <w:spacing w:line="540" w:lineRule="exact"/>
        <w:jc w:val="both"/>
        <w:rPr>
          <w:rFonts w:hint="eastAsia" w:ascii="仿宋" w:hAnsi="仿宋" w:eastAsia="仿宋" w:cs="仿宋"/>
          <w:sz w:val="28"/>
          <w:highlight w:val="none"/>
          <w:lang w:eastAsia="zh-CN"/>
        </w:rPr>
      </w:pPr>
    </w:p>
    <w:p>
      <w:pPr>
        <w:pStyle w:val="276"/>
        <w:spacing w:line="540" w:lineRule="exact"/>
        <w:jc w:val="both"/>
        <w:rPr>
          <w:rFonts w:hint="eastAsia" w:ascii="仿宋" w:hAnsi="仿宋" w:eastAsia="仿宋" w:cs="仿宋"/>
          <w:sz w:val="28"/>
          <w:highlight w:val="none"/>
          <w:lang w:eastAsia="zh-CN"/>
        </w:rPr>
      </w:pPr>
    </w:p>
    <w:p>
      <w:pPr>
        <w:pStyle w:val="276"/>
        <w:spacing w:line="540" w:lineRule="exact"/>
        <w:jc w:val="both"/>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 xml:space="preserve">单位名称：            </w:t>
      </w:r>
    </w:p>
    <w:p>
      <w:pPr>
        <w:pStyle w:val="276"/>
        <w:spacing w:line="540" w:lineRule="exact"/>
        <w:jc w:val="both"/>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法定代表人（或负责人）（签字）：</w:t>
      </w:r>
    </w:p>
    <w:p>
      <w:pPr>
        <w:spacing w:line="540" w:lineRule="exact"/>
        <w:rPr>
          <w:rFonts w:hint="eastAsia" w:ascii="仿宋" w:hAnsi="仿宋" w:eastAsia="仿宋" w:cs="仿宋"/>
          <w:kern w:val="0"/>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 xml:space="preserve"> 年    月    日</w:t>
      </w:r>
    </w:p>
    <w:p>
      <w:pPr>
        <w:pStyle w:val="276"/>
        <w:spacing w:line="540" w:lineRule="exact"/>
        <w:outlineLvl w:val="0"/>
        <w:rPr>
          <w:rFonts w:hint="eastAsia" w:ascii="仿宋" w:hAnsi="仿宋" w:eastAsia="仿宋" w:cs="仿宋"/>
          <w:sz w:val="28"/>
          <w:szCs w:val="28"/>
          <w:highlight w:val="none"/>
          <w:u w:val="single"/>
          <w:lang w:eastAsia="zh-CN"/>
        </w:rPr>
      </w:pPr>
    </w:p>
    <w:p>
      <w:pPr>
        <w:pStyle w:val="276"/>
        <w:spacing w:line="540" w:lineRule="exact"/>
        <w:outlineLvl w:val="0"/>
        <w:rPr>
          <w:rFonts w:hint="eastAsia" w:ascii="仿宋" w:hAnsi="仿宋" w:eastAsia="仿宋" w:cs="仿宋"/>
          <w:b/>
          <w:bCs/>
          <w:sz w:val="28"/>
          <w:szCs w:val="28"/>
          <w:highlight w:val="none"/>
          <w:lang w:eastAsia="zh-CN"/>
        </w:rPr>
        <w:sectPr>
          <w:pgSz w:w="11906" w:h="16838"/>
          <w:pgMar w:top="1389" w:right="1247" w:bottom="1389" w:left="1247" w:header="851" w:footer="992" w:gutter="284"/>
          <w:cols w:space="720" w:num="1"/>
          <w:docGrid w:linePitch="312" w:charSpace="0"/>
        </w:sectPr>
      </w:pPr>
    </w:p>
    <w:p>
      <w:pPr>
        <w:pStyle w:val="276"/>
        <w:spacing w:line="540" w:lineRule="exact"/>
        <w:jc w:val="center"/>
        <w:outlineLvl w:val="0"/>
        <w:rPr>
          <w:rFonts w:hint="eastAsia" w:ascii="仿宋" w:hAnsi="仿宋" w:eastAsia="仿宋" w:cs="仿宋"/>
          <w:b/>
          <w:bCs/>
          <w:sz w:val="28"/>
          <w:szCs w:val="28"/>
          <w:highlight w:val="none"/>
          <w:lang w:eastAsia="zh-CN"/>
        </w:rPr>
      </w:pPr>
      <w:bookmarkStart w:id="99" w:name="_Toc24708488"/>
      <w:bookmarkStart w:id="100" w:name="_Toc32624"/>
      <w:r>
        <w:rPr>
          <w:rFonts w:hint="eastAsia" w:ascii="仿宋" w:hAnsi="仿宋" w:eastAsia="仿宋" w:cs="仿宋"/>
          <w:b/>
          <w:bCs/>
          <w:sz w:val="28"/>
          <w:szCs w:val="28"/>
          <w:highlight w:val="none"/>
          <w:lang w:eastAsia="zh-CN"/>
        </w:rPr>
        <w:t>4  中标承诺书</w:t>
      </w:r>
      <w:bookmarkEnd w:id="99"/>
      <w:bookmarkEnd w:id="100"/>
    </w:p>
    <w:p>
      <w:pPr>
        <w:pStyle w:val="265"/>
        <w:spacing w:line="540" w:lineRule="exact"/>
        <w:rPr>
          <w:rFonts w:hint="eastAsia" w:ascii="仿宋" w:hAnsi="仿宋" w:eastAsia="仿宋" w:cs="仿宋"/>
          <w:b/>
          <w:bCs/>
          <w:sz w:val="28"/>
          <w:szCs w:val="28"/>
          <w:highlight w:val="none"/>
        </w:rPr>
      </w:pPr>
    </w:p>
    <w:p>
      <w:pPr>
        <w:spacing w:line="54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中 标 承 诺 书</w:t>
      </w:r>
    </w:p>
    <w:p>
      <w:pPr>
        <w:pStyle w:val="276"/>
        <w:spacing w:line="540" w:lineRule="exact"/>
        <w:jc w:val="both"/>
        <w:rPr>
          <w:rFonts w:hint="eastAsia" w:ascii="仿宋" w:hAnsi="仿宋" w:eastAsia="仿宋" w:cs="仿宋"/>
          <w:sz w:val="28"/>
          <w:szCs w:val="28"/>
          <w:highlight w:val="none"/>
          <w:lang w:eastAsia="zh-CN"/>
        </w:rPr>
      </w:pPr>
    </w:p>
    <w:p>
      <w:pPr>
        <w:pStyle w:val="276"/>
        <w:spacing w:line="540" w:lineRule="exact"/>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江山市财政国库支付中心： </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我单位若成为</w:t>
      </w:r>
      <w:r>
        <w:rPr>
          <w:rFonts w:hint="eastAsia" w:ascii="仿宋" w:hAnsi="仿宋" w:eastAsia="仿宋" w:cs="仿宋"/>
          <w:sz w:val="28"/>
          <w:szCs w:val="28"/>
          <w:highlight w:val="none"/>
        </w:rPr>
        <w:t>__________________________项目</w:t>
      </w:r>
      <w:r>
        <w:rPr>
          <w:rFonts w:hint="eastAsia" w:ascii="仿宋" w:hAnsi="仿宋" w:eastAsia="仿宋" w:cs="仿宋"/>
          <w:kern w:val="0"/>
          <w:sz w:val="28"/>
          <w:szCs w:val="28"/>
          <w:highlight w:val="none"/>
        </w:rPr>
        <w:t>存放中标人，承诺：</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 我单位将根据招标文件中相关规定，提供由上级机构或招标人认可的银行出具的担保函，否则放弃中标。</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2．我单位将根据招标文件中相关规定，签订定期存款协议、提供存款证明（存单），并按承诺协议支付利息，否则放弃中标。</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3．我单位将安排专人上门提供相关服务, 及时送达银行回单和银行对账单。</w:t>
      </w:r>
    </w:p>
    <w:p>
      <w:pPr>
        <w:pStyle w:val="276"/>
        <w:spacing w:line="540" w:lineRule="exact"/>
        <w:jc w:val="both"/>
        <w:rPr>
          <w:rFonts w:hint="eastAsia" w:ascii="仿宋" w:hAnsi="仿宋" w:eastAsia="仿宋" w:cs="仿宋"/>
          <w:sz w:val="28"/>
          <w:szCs w:val="28"/>
          <w:highlight w:val="none"/>
          <w:lang w:eastAsia="zh-CN"/>
        </w:rPr>
      </w:pPr>
    </w:p>
    <w:p>
      <w:pPr>
        <w:pStyle w:val="276"/>
        <w:spacing w:line="540" w:lineRule="exact"/>
        <w:jc w:val="both"/>
        <w:rPr>
          <w:rFonts w:hint="eastAsia" w:ascii="仿宋" w:hAnsi="仿宋" w:eastAsia="仿宋" w:cs="仿宋"/>
          <w:sz w:val="28"/>
          <w:szCs w:val="28"/>
          <w:highlight w:val="none"/>
          <w:lang w:eastAsia="zh-CN"/>
        </w:rPr>
      </w:pPr>
    </w:p>
    <w:p>
      <w:pPr>
        <w:pStyle w:val="276"/>
        <w:spacing w:line="540" w:lineRule="exact"/>
        <w:jc w:val="both"/>
        <w:rPr>
          <w:rFonts w:hint="eastAsia" w:ascii="仿宋" w:hAnsi="仿宋" w:eastAsia="仿宋" w:cs="仿宋"/>
          <w:sz w:val="28"/>
          <w:szCs w:val="28"/>
          <w:highlight w:val="none"/>
          <w:lang w:eastAsia="zh-CN"/>
        </w:rPr>
      </w:pPr>
    </w:p>
    <w:p>
      <w:pPr>
        <w:pStyle w:val="276"/>
        <w:spacing w:line="540" w:lineRule="exact"/>
        <w:ind w:left="4900" w:hanging="4900" w:hangingChars="175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单位名称（公章）：             法定代表人（或在江机构负责人）</w:t>
      </w:r>
    </w:p>
    <w:p>
      <w:pPr>
        <w:pStyle w:val="276"/>
        <w:spacing w:line="540" w:lineRule="exact"/>
        <w:ind w:left="3675" w:leftChars="1750"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（签字）：</w:t>
      </w: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kern w:val="0"/>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 xml:space="preserve">         年    月    日</w:t>
      </w:r>
    </w:p>
    <w:p>
      <w:pPr>
        <w:pStyle w:val="276"/>
        <w:spacing w:line="540" w:lineRule="exact"/>
        <w:jc w:val="both"/>
        <w:rPr>
          <w:rFonts w:hint="eastAsia" w:ascii="仿宋" w:hAnsi="仿宋" w:eastAsia="仿宋" w:cs="仿宋"/>
          <w:sz w:val="28"/>
          <w:szCs w:val="28"/>
          <w:highlight w:val="none"/>
          <w:lang w:eastAsia="zh-CN"/>
        </w:rPr>
      </w:pPr>
    </w:p>
    <w:p>
      <w:pPr>
        <w:pStyle w:val="276"/>
        <w:spacing w:line="540" w:lineRule="exact"/>
        <w:jc w:val="both"/>
        <w:rPr>
          <w:rFonts w:hint="eastAsia" w:ascii="仿宋" w:hAnsi="仿宋" w:eastAsia="仿宋" w:cs="仿宋"/>
          <w:sz w:val="28"/>
          <w:szCs w:val="28"/>
          <w:highlight w:val="none"/>
          <w:lang w:eastAsia="zh-CN"/>
        </w:rPr>
      </w:pPr>
    </w:p>
    <w:p>
      <w:pPr>
        <w:pStyle w:val="276"/>
        <w:spacing w:line="540" w:lineRule="exact"/>
        <w:outlineLvl w:val="0"/>
        <w:rPr>
          <w:rFonts w:hint="eastAsia" w:ascii="仿宋" w:hAnsi="仿宋" w:eastAsia="仿宋" w:cs="仿宋"/>
          <w:b/>
          <w:bCs/>
          <w:sz w:val="28"/>
          <w:szCs w:val="28"/>
          <w:highlight w:val="none"/>
          <w:lang w:eastAsia="zh-CN"/>
        </w:rPr>
      </w:pPr>
      <w:bookmarkStart w:id="101" w:name="_Toc24947"/>
      <w:bookmarkStart w:id="102" w:name="_Toc24708489"/>
    </w:p>
    <w:p>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br w:type="page"/>
      </w:r>
    </w:p>
    <w:p>
      <w:pPr>
        <w:pStyle w:val="276"/>
        <w:spacing w:line="540" w:lineRule="exact"/>
        <w:ind w:firstLine="3373" w:firstLineChars="1200"/>
        <w:outlineLvl w:val="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5  廉政承诺书</w:t>
      </w:r>
      <w:bookmarkEnd w:id="101"/>
      <w:bookmarkEnd w:id="102"/>
    </w:p>
    <w:p>
      <w:pPr>
        <w:pStyle w:val="276"/>
        <w:spacing w:line="540" w:lineRule="exact"/>
        <w:jc w:val="both"/>
        <w:rPr>
          <w:rFonts w:hint="eastAsia" w:ascii="仿宋" w:hAnsi="仿宋" w:eastAsia="仿宋" w:cs="仿宋"/>
          <w:sz w:val="28"/>
          <w:szCs w:val="28"/>
          <w:highlight w:val="none"/>
          <w:lang w:eastAsia="zh-CN"/>
        </w:rPr>
      </w:pPr>
    </w:p>
    <w:p>
      <w:pPr>
        <w:spacing w:line="54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廉 政 承 诺 书</w:t>
      </w:r>
    </w:p>
    <w:p>
      <w:pPr>
        <w:pStyle w:val="276"/>
        <w:spacing w:line="540" w:lineRule="exact"/>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江山市财政国库支付中心：</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根据</w:t>
      </w:r>
      <w:r>
        <w:rPr>
          <w:rFonts w:hint="eastAsia" w:ascii="仿宋" w:hAnsi="仿宋" w:eastAsia="仿宋" w:cs="仿宋"/>
          <w:sz w:val="28"/>
          <w:szCs w:val="28"/>
          <w:highlight w:val="none"/>
        </w:rPr>
        <w:t>《财政部关于进一步加强财政部门和预算单位资金存放管理的指导意见》（财库〔2017〕76号）、《关于防止领导干部在公款存放方面发生利益冲突和利益输送的办法》(浙委办发〔2015〕8号》、《江山</w:t>
      </w:r>
      <w:r>
        <w:rPr>
          <w:rFonts w:hint="eastAsia" w:ascii="仿宋" w:hAnsi="仿宋" w:eastAsia="仿宋" w:cs="仿宋"/>
          <w:sz w:val="28"/>
          <w:szCs w:val="28"/>
          <w:highlight w:val="none"/>
          <w:lang w:eastAsia="zh-CN"/>
        </w:rPr>
        <w:t>市</w:t>
      </w:r>
      <w:r>
        <w:rPr>
          <w:rFonts w:hint="eastAsia" w:ascii="仿宋" w:hAnsi="仿宋" w:eastAsia="仿宋" w:cs="仿宋"/>
          <w:sz w:val="28"/>
          <w:szCs w:val="28"/>
          <w:highlight w:val="none"/>
        </w:rPr>
        <w:t>行政事业单位公款竞争性存放管理</w:t>
      </w:r>
      <w:r>
        <w:rPr>
          <w:rFonts w:hint="eastAsia" w:ascii="仿宋" w:hAnsi="仿宋" w:eastAsia="仿宋" w:cs="仿宋"/>
          <w:sz w:val="28"/>
          <w:szCs w:val="28"/>
          <w:highlight w:val="none"/>
          <w:lang w:eastAsia="zh-CN"/>
        </w:rPr>
        <w:t>办法</w:t>
      </w:r>
      <w:r>
        <w:rPr>
          <w:rFonts w:hint="eastAsia" w:ascii="仿宋" w:hAnsi="仿宋" w:eastAsia="仿宋" w:cs="仿宋"/>
          <w:sz w:val="28"/>
          <w:szCs w:val="28"/>
          <w:highlight w:val="none"/>
        </w:rPr>
        <w:t>》（江财预执【20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153</w:t>
      </w:r>
      <w:r>
        <w:rPr>
          <w:rFonts w:hint="eastAsia" w:ascii="仿宋" w:hAnsi="仿宋" w:eastAsia="仿宋" w:cs="仿宋"/>
          <w:sz w:val="28"/>
          <w:szCs w:val="28"/>
          <w:highlight w:val="none"/>
        </w:rPr>
        <w:t>号）</w:t>
      </w:r>
      <w:r>
        <w:rPr>
          <w:rFonts w:hint="eastAsia" w:ascii="仿宋" w:hAnsi="仿宋" w:eastAsia="仿宋" w:cs="仿宋"/>
          <w:kern w:val="0"/>
          <w:sz w:val="28"/>
          <w:szCs w:val="28"/>
          <w:highlight w:val="none"/>
        </w:rPr>
        <w:t>相关规定</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现就本行</w:t>
      </w:r>
      <w:r>
        <w:rPr>
          <w:rFonts w:hint="eastAsia" w:ascii="仿宋" w:hAnsi="仿宋" w:eastAsia="仿宋" w:cs="仿宋"/>
          <w:sz w:val="28"/>
          <w:szCs w:val="28"/>
          <w:highlight w:val="none"/>
        </w:rPr>
        <w:t>参加江山市财政</w:t>
      </w:r>
      <w:r>
        <w:rPr>
          <w:rFonts w:hint="eastAsia" w:ascii="仿宋" w:hAnsi="仿宋" w:eastAsia="仿宋" w:cs="仿宋"/>
          <w:sz w:val="28"/>
          <w:szCs w:val="28"/>
          <w:highlight w:val="none"/>
          <w:lang w:eastAsia="zh-CN"/>
        </w:rPr>
        <w:t>国库支付中心</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年第</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eastAsia="zh-CN"/>
        </w:rPr>
        <w:t>公款</w:t>
      </w:r>
      <w:r>
        <w:rPr>
          <w:rFonts w:hint="eastAsia" w:ascii="仿宋" w:hAnsi="仿宋" w:eastAsia="仿宋" w:cs="仿宋"/>
          <w:sz w:val="28"/>
          <w:szCs w:val="28"/>
          <w:highlight w:val="none"/>
        </w:rPr>
        <w:t>竞争性存放做</w:t>
      </w:r>
      <w:r>
        <w:rPr>
          <w:rFonts w:hint="eastAsia" w:ascii="仿宋" w:hAnsi="仿宋" w:eastAsia="仿宋" w:cs="仿宋"/>
          <w:kern w:val="0"/>
          <w:sz w:val="28"/>
          <w:szCs w:val="28"/>
          <w:highlight w:val="none"/>
        </w:rPr>
        <w:t>出如下承诺：</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bCs/>
          <w:kern w:val="0"/>
          <w:sz w:val="28"/>
          <w:szCs w:val="28"/>
          <w:highlight w:val="none"/>
        </w:rPr>
        <w:t>不向贵单位负责</w:t>
      </w:r>
      <w:r>
        <w:rPr>
          <w:rFonts w:hint="eastAsia" w:ascii="仿宋" w:hAnsi="仿宋" w:eastAsia="仿宋" w:cs="仿宋"/>
          <w:sz w:val="28"/>
          <w:szCs w:val="28"/>
          <w:highlight w:val="none"/>
        </w:rPr>
        <w:t>江山市财政国库支付中心202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1期</w:t>
      </w:r>
      <w:r>
        <w:rPr>
          <w:rFonts w:hint="eastAsia" w:ascii="仿宋" w:hAnsi="仿宋" w:eastAsia="仿宋" w:cs="仿宋"/>
          <w:sz w:val="28"/>
          <w:szCs w:val="28"/>
          <w:highlight w:val="none"/>
        </w:rPr>
        <w:t>公款竞争性存放</w:t>
      </w:r>
      <w:r>
        <w:rPr>
          <w:rFonts w:hint="eastAsia" w:ascii="仿宋" w:hAnsi="仿宋" w:eastAsia="仿宋" w:cs="仿宋"/>
          <w:bCs/>
          <w:kern w:val="0"/>
          <w:sz w:val="28"/>
          <w:szCs w:val="28"/>
          <w:highlight w:val="none"/>
        </w:rPr>
        <w:t>的领导及相关人员进行利益输送；</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bCs/>
          <w:kern w:val="0"/>
          <w:sz w:val="28"/>
          <w:szCs w:val="28"/>
          <w:highlight w:val="none"/>
        </w:rPr>
        <w:t>2．不将</w:t>
      </w:r>
      <w:r>
        <w:rPr>
          <w:rFonts w:hint="eastAsia" w:ascii="仿宋" w:hAnsi="仿宋" w:eastAsia="仿宋" w:cs="仿宋"/>
          <w:sz w:val="28"/>
          <w:szCs w:val="28"/>
          <w:highlight w:val="none"/>
        </w:rPr>
        <w:t>江山市财政国库支付中心202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1期</w:t>
      </w:r>
      <w:r>
        <w:rPr>
          <w:rFonts w:hint="eastAsia" w:ascii="仿宋" w:hAnsi="仿宋" w:eastAsia="仿宋" w:cs="仿宋"/>
          <w:sz w:val="28"/>
          <w:szCs w:val="28"/>
          <w:highlight w:val="none"/>
        </w:rPr>
        <w:t>公款竞争性存放</w:t>
      </w:r>
      <w:r>
        <w:rPr>
          <w:rFonts w:hint="eastAsia" w:ascii="仿宋" w:hAnsi="仿宋" w:eastAsia="仿宋" w:cs="仿宋"/>
          <w:bCs/>
          <w:kern w:val="0"/>
          <w:sz w:val="28"/>
          <w:szCs w:val="28"/>
          <w:highlight w:val="none"/>
        </w:rPr>
        <w:t>与贵单位负责</w:t>
      </w:r>
      <w:r>
        <w:rPr>
          <w:rFonts w:hint="eastAsia" w:ascii="仿宋" w:hAnsi="仿宋" w:eastAsia="仿宋" w:cs="仿宋"/>
          <w:sz w:val="28"/>
          <w:szCs w:val="28"/>
          <w:highlight w:val="none"/>
        </w:rPr>
        <w:t>江山市财政国库支付中心202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1期</w:t>
      </w:r>
      <w:r>
        <w:rPr>
          <w:rFonts w:hint="eastAsia" w:ascii="仿宋" w:hAnsi="仿宋" w:eastAsia="仿宋" w:cs="仿宋"/>
          <w:sz w:val="28"/>
          <w:szCs w:val="28"/>
          <w:highlight w:val="none"/>
        </w:rPr>
        <w:t>公款竞争性存放</w:t>
      </w:r>
      <w:r>
        <w:rPr>
          <w:rFonts w:hint="eastAsia" w:ascii="仿宋" w:hAnsi="仿宋" w:eastAsia="仿宋" w:cs="仿宋"/>
          <w:bCs/>
          <w:kern w:val="0"/>
          <w:sz w:val="28"/>
          <w:szCs w:val="28"/>
          <w:highlight w:val="none"/>
        </w:rPr>
        <w:t>的领导及相关人员在本行的配偶、子女及其配偶和其他直接利益相关人员的业绩、收入、晋升挂钩；</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3．严格执行利益回避制度，</w:t>
      </w:r>
      <w:r>
        <w:rPr>
          <w:rFonts w:hint="eastAsia" w:ascii="仿宋" w:hAnsi="仿宋" w:eastAsia="仿宋" w:cs="仿宋"/>
          <w:bCs/>
          <w:kern w:val="0"/>
          <w:sz w:val="28"/>
          <w:szCs w:val="28"/>
          <w:highlight w:val="none"/>
        </w:rPr>
        <w:t>贵单位负责</w:t>
      </w:r>
      <w:r>
        <w:rPr>
          <w:rFonts w:hint="eastAsia" w:ascii="仿宋" w:hAnsi="仿宋" w:eastAsia="仿宋" w:cs="仿宋"/>
          <w:sz w:val="28"/>
          <w:szCs w:val="28"/>
          <w:highlight w:val="none"/>
        </w:rPr>
        <w:t>江山市财政国库支付中心202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1期</w:t>
      </w:r>
      <w:r>
        <w:rPr>
          <w:rFonts w:hint="eastAsia" w:ascii="仿宋" w:hAnsi="仿宋" w:eastAsia="仿宋" w:cs="仿宋"/>
          <w:sz w:val="28"/>
          <w:szCs w:val="28"/>
          <w:highlight w:val="none"/>
        </w:rPr>
        <w:t>公款竞争性存放</w:t>
      </w:r>
      <w:r>
        <w:rPr>
          <w:rFonts w:hint="eastAsia" w:ascii="仿宋" w:hAnsi="仿宋" w:eastAsia="仿宋" w:cs="仿宋"/>
          <w:bCs/>
          <w:sz w:val="28"/>
          <w:szCs w:val="28"/>
          <w:highlight w:val="none"/>
        </w:rPr>
        <w:t>项目</w:t>
      </w:r>
      <w:r>
        <w:rPr>
          <w:rFonts w:hint="eastAsia" w:ascii="仿宋" w:hAnsi="仿宋" w:eastAsia="仿宋" w:cs="仿宋"/>
          <w:bCs/>
          <w:kern w:val="0"/>
          <w:sz w:val="28"/>
          <w:szCs w:val="28"/>
          <w:highlight w:val="none"/>
        </w:rPr>
        <w:t>相关人员的配偶、子女及其配偶和其他直接利益相关人员为本行工作人员的，不参加</w:t>
      </w:r>
      <w:r>
        <w:rPr>
          <w:rFonts w:hint="eastAsia" w:ascii="仿宋" w:hAnsi="仿宋" w:eastAsia="仿宋" w:cs="仿宋"/>
          <w:sz w:val="28"/>
          <w:szCs w:val="28"/>
          <w:highlight w:val="none"/>
        </w:rPr>
        <w:t>江山市财政国库支付中心202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1期</w:t>
      </w:r>
      <w:r>
        <w:rPr>
          <w:rFonts w:hint="eastAsia" w:ascii="仿宋" w:hAnsi="仿宋" w:eastAsia="仿宋" w:cs="仿宋"/>
          <w:sz w:val="28"/>
          <w:szCs w:val="28"/>
          <w:highlight w:val="none"/>
        </w:rPr>
        <w:t>公款竞争性存放</w:t>
      </w:r>
      <w:r>
        <w:rPr>
          <w:rFonts w:hint="eastAsia" w:ascii="仿宋" w:hAnsi="仿宋" w:eastAsia="仿宋" w:cs="仿宋"/>
          <w:bCs/>
          <w:kern w:val="0"/>
          <w:sz w:val="28"/>
          <w:szCs w:val="28"/>
          <w:highlight w:val="none"/>
        </w:rPr>
        <w:t>工作；</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4．不发生除上述行为之外的其他任何利益输送行为。</w:t>
      </w:r>
    </w:p>
    <w:p>
      <w:pPr>
        <w:spacing w:line="5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未遵守以上承诺的，本行自愿接受财政部门通报和处理，承担相应的一切后果。</w:t>
      </w:r>
    </w:p>
    <w:p>
      <w:pPr>
        <w:pStyle w:val="276"/>
        <w:spacing w:line="540" w:lineRule="exact"/>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u w:val="single"/>
          <w:lang w:eastAsia="zh-CN"/>
        </w:rPr>
        <w:t xml:space="preserve">         </w:t>
      </w:r>
      <w:r>
        <w:rPr>
          <w:rFonts w:hint="eastAsia" w:ascii="仿宋" w:hAnsi="仿宋" w:eastAsia="仿宋" w:cs="仿宋"/>
          <w:sz w:val="28"/>
          <w:szCs w:val="28"/>
          <w:highlight w:val="none"/>
          <w:lang w:eastAsia="zh-CN"/>
        </w:rPr>
        <w:t>银行（公章）</w:t>
      </w:r>
    </w:p>
    <w:p>
      <w:pPr>
        <w:spacing w:line="540" w:lineRule="exact"/>
        <w:rPr>
          <w:rStyle w:val="144"/>
          <w:rFonts w:hint="eastAsia" w:ascii="仿宋" w:hAnsi="仿宋" w:eastAsia="仿宋" w:cs="仿宋"/>
          <w:b w:val="0"/>
          <w:bCs w:val="0"/>
          <w:kern w:val="0"/>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 xml:space="preserve">         年    月    日</w:t>
      </w:r>
    </w:p>
    <w:p>
      <w:pPr>
        <w:rPr>
          <w:rFonts w:hint="eastAsia" w:ascii="仿宋" w:hAnsi="仿宋" w:eastAsia="仿宋" w:cs="仿宋"/>
          <w:b/>
          <w:bCs/>
          <w:sz w:val="28"/>
          <w:szCs w:val="28"/>
          <w:highlight w:val="none"/>
          <w:lang w:val="zh-CN"/>
        </w:rPr>
      </w:pPr>
      <w:bookmarkStart w:id="103" w:name="_Toc354401539"/>
      <w:bookmarkStart w:id="104" w:name="_Toc322352986"/>
      <w:bookmarkStart w:id="105" w:name="_Toc316887628"/>
      <w:bookmarkStart w:id="106" w:name="_Toc24708492"/>
      <w:bookmarkStart w:id="107" w:name="_Toc350256317"/>
      <w:r>
        <w:rPr>
          <w:rFonts w:hint="eastAsia" w:ascii="仿宋" w:hAnsi="仿宋" w:eastAsia="仿宋" w:cs="仿宋"/>
          <w:b/>
          <w:bCs/>
          <w:sz w:val="28"/>
          <w:szCs w:val="28"/>
          <w:highlight w:val="none"/>
          <w:lang w:val="zh-CN"/>
        </w:rPr>
        <w:br w:type="page"/>
      </w:r>
    </w:p>
    <w:bookmarkEnd w:id="103"/>
    <w:bookmarkEnd w:id="104"/>
    <w:bookmarkEnd w:id="105"/>
    <w:bookmarkEnd w:id="106"/>
    <w:bookmarkEnd w:id="107"/>
    <w:p>
      <w:pPr>
        <w:pStyle w:val="276"/>
        <w:spacing w:line="540" w:lineRule="exact"/>
        <w:ind w:firstLine="3373" w:firstLineChars="1200"/>
        <w:outlineLvl w:val="0"/>
        <w:rPr>
          <w:rFonts w:hint="eastAsia" w:ascii="仿宋" w:hAnsi="仿宋" w:eastAsia="仿宋" w:cs="仿宋"/>
          <w:b/>
          <w:bCs/>
          <w:sz w:val="28"/>
          <w:szCs w:val="28"/>
          <w:highlight w:val="none"/>
          <w:lang w:eastAsia="zh-CN"/>
        </w:rPr>
      </w:pPr>
      <w:bookmarkStart w:id="108" w:name="_Toc6659"/>
      <w:bookmarkStart w:id="109" w:name="评标办法及开标程序"/>
      <w:r>
        <w:rPr>
          <w:rFonts w:hint="eastAsia" w:ascii="仿宋" w:hAnsi="仿宋" w:eastAsia="仿宋" w:cs="仿宋"/>
          <w:b/>
          <w:bCs/>
          <w:sz w:val="28"/>
          <w:szCs w:val="28"/>
          <w:highlight w:val="none"/>
          <w:lang w:eastAsia="zh-CN"/>
        </w:rPr>
        <w:t>6  资格承诺书</w:t>
      </w:r>
      <w:bookmarkEnd w:id="108"/>
    </w:p>
    <w:p>
      <w:pPr>
        <w:pStyle w:val="276"/>
        <w:spacing w:line="540" w:lineRule="exact"/>
        <w:jc w:val="both"/>
        <w:rPr>
          <w:rFonts w:hint="eastAsia" w:ascii="仿宋" w:hAnsi="仿宋" w:eastAsia="仿宋" w:cs="仿宋"/>
          <w:sz w:val="28"/>
          <w:szCs w:val="28"/>
          <w:highlight w:val="none"/>
          <w:lang w:eastAsia="zh-CN"/>
        </w:rPr>
      </w:pPr>
    </w:p>
    <w:p>
      <w:pPr>
        <w:spacing w:line="54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资 格 承 诺 书</w:t>
      </w:r>
    </w:p>
    <w:p>
      <w:pPr>
        <w:pStyle w:val="276"/>
        <w:spacing w:line="540" w:lineRule="exact"/>
        <w:jc w:val="both"/>
        <w:rPr>
          <w:rFonts w:hint="eastAsia" w:ascii="仿宋" w:hAnsi="仿宋" w:eastAsia="仿宋" w:cs="仿宋"/>
          <w:sz w:val="28"/>
          <w:szCs w:val="28"/>
          <w:highlight w:val="none"/>
          <w:lang w:eastAsia="zh-CN"/>
        </w:rPr>
      </w:pPr>
    </w:p>
    <w:p>
      <w:pPr>
        <w:pStyle w:val="276"/>
        <w:spacing w:line="540" w:lineRule="exact"/>
        <w:jc w:val="both"/>
        <w:rPr>
          <w:rFonts w:hint="eastAsia" w:ascii="仿宋" w:hAnsi="仿宋" w:eastAsia="仿宋" w:cs="仿宋"/>
          <w:bCs/>
          <w:sz w:val="28"/>
          <w:highlight w:val="none"/>
          <w:lang w:eastAsia="zh-CN"/>
        </w:rPr>
      </w:pPr>
      <w:r>
        <w:rPr>
          <w:rFonts w:hint="eastAsia" w:ascii="仿宋" w:hAnsi="仿宋" w:eastAsia="仿宋" w:cs="仿宋"/>
          <w:bCs/>
          <w:sz w:val="28"/>
          <w:highlight w:val="none"/>
          <w:lang w:eastAsia="zh-CN"/>
        </w:rPr>
        <w:t>江山市财政国库支付中心：</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现就参加</w:t>
      </w:r>
      <w:r>
        <w:rPr>
          <w:rFonts w:hint="eastAsia" w:ascii="仿宋" w:hAnsi="仿宋" w:eastAsia="仿宋" w:cs="仿宋"/>
          <w:sz w:val="28"/>
          <w:szCs w:val="28"/>
          <w:highlight w:val="none"/>
        </w:rPr>
        <w:t>江山市财政国库支付中心202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1期</w:t>
      </w:r>
      <w:r>
        <w:rPr>
          <w:rFonts w:hint="eastAsia" w:ascii="仿宋" w:hAnsi="仿宋" w:eastAsia="仿宋" w:cs="仿宋"/>
          <w:sz w:val="28"/>
          <w:szCs w:val="28"/>
          <w:highlight w:val="none"/>
        </w:rPr>
        <w:t>公款竞争性存放</w:t>
      </w:r>
      <w:r>
        <w:rPr>
          <w:rFonts w:hint="eastAsia" w:ascii="仿宋" w:hAnsi="仿宋" w:eastAsia="仿宋" w:cs="仿宋"/>
          <w:bCs/>
          <w:sz w:val="28"/>
          <w:szCs w:val="28"/>
          <w:highlight w:val="none"/>
        </w:rPr>
        <w:t>招标</w:t>
      </w:r>
      <w:r>
        <w:rPr>
          <w:rFonts w:hint="eastAsia" w:ascii="仿宋" w:hAnsi="仿宋" w:eastAsia="仿宋" w:cs="仿宋"/>
          <w:kern w:val="0"/>
          <w:sz w:val="28"/>
          <w:szCs w:val="28"/>
          <w:highlight w:val="none"/>
        </w:rPr>
        <w:t>，</w:t>
      </w:r>
      <w:r>
        <w:rPr>
          <w:rFonts w:hint="eastAsia" w:ascii="仿宋" w:hAnsi="仿宋" w:eastAsia="仿宋" w:cs="仿宋"/>
          <w:bCs/>
          <w:kern w:val="0"/>
          <w:sz w:val="28"/>
          <w:szCs w:val="28"/>
          <w:highlight w:val="none"/>
        </w:rPr>
        <w:t>作如下符合投标人的承诺：</w:t>
      </w:r>
    </w:p>
    <w:p>
      <w:pPr>
        <w:pStyle w:val="39"/>
        <w:spacing w:line="540" w:lineRule="exact"/>
        <w:ind w:firstLine="420" w:firstLineChars="150"/>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1．依法开展经营活动，近3年内在经营活动中无重大违法违规记录；</w:t>
      </w:r>
    </w:p>
    <w:p>
      <w:pPr>
        <w:pStyle w:val="39"/>
        <w:spacing w:line="540" w:lineRule="exact"/>
        <w:ind w:firstLine="420" w:firstLineChars="150"/>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2．财务稳健，不良贷款率、拨备覆盖率、流动性覆盖率、流动性比例等指标达到监管标准；</w:t>
      </w:r>
    </w:p>
    <w:p>
      <w:pPr>
        <w:pStyle w:val="39"/>
        <w:spacing w:line="540" w:lineRule="exact"/>
        <w:ind w:firstLine="420" w:firstLineChars="150"/>
        <w:rPr>
          <w:rFonts w:hint="eastAsia" w:ascii="仿宋" w:hAnsi="仿宋" w:eastAsia="仿宋" w:cs="仿宋"/>
          <w:bCs/>
          <w:kern w:val="0"/>
          <w:sz w:val="28"/>
          <w:szCs w:val="28"/>
          <w:highlight w:val="none"/>
        </w:rPr>
      </w:pPr>
      <w:r>
        <w:rPr>
          <w:rFonts w:hint="eastAsia" w:ascii="仿宋" w:hAnsi="仿宋" w:eastAsia="仿宋" w:cs="仿宋"/>
          <w:sz w:val="28"/>
          <w:szCs w:val="28"/>
          <w:highlight w:val="none"/>
        </w:rPr>
        <w:t>3．内部管理机制健全，具有较强的风险控制能力，近3年内未发生金融风险及重大违约事件。</w:t>
      </w:r>
    </w:p>
    <w:p>
      <w:pPr>
        <w:spacing w:line="540" w:lineRule="exact"/>
        <w:ind w:firstLine="560" w:firstLineChars="200"/>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以上承诺真实有效，如有不实，本行自愿接受承担相应后果。</w:t>
      </w:r>
    </w:p>
    <w:p>
      <w:pPr>
        <w:spacing w:line="540" w:lineRule="exact"/>
        <w:ind w:firstLine="560" w:firstLineChars="200"/>
        <w:rPr>
          <w:rFonts w:hint="eastAsia" w:ascii="仿宋" w:hAnsi="仿宋" w:eastAsia="仿宋" w:cs="仿宋"/>
          <w:bCs/>
          <w:kern w:val="0"/>
          <w:sz w:val="28"/>
          <w:szCs w:val="28"/>
          <w:highlight w:val="none"/>
        </w:rPr>
      </w:pPr>
    </w:p>
    <w:p>
      <w:pPr>
        <w:pStyle w:val="276"/>
        <w:spacing w:line="540" w:lineRule="exact"/>
        <w:jc w:val="both"/>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 xml:space="preserve">                                    </w:t>
      </w:r>
      <w:r>
        <w:rPr>
          <w:rFonts w:hint="eastAsia" w:ascii="仿宋" w:hAnsi="仿宋" w:eastAsia="仿宋" w:cs="仿宋"/>
          <w:sz w:val="28"/>
          <w:highlight w:val="none"/>
          <w:u w:val="single"/>
          <w:lang w:eastAsia="zh-CN"/>
        </w:rPr>
        <w:t xml:space="preserve">         </w:t>
      </w:r>
      <w:r>
        <w:rPr>
          <w:rFonts w:hint="eastAsia" w:ascii="仿宋" w:hAnsi="仿宋" w:eastAsia="仿宋" w:cs="仿宋"/>
          <w:sz w:val="28"/>
          <w:highlight w:val="none"/>
          <w:lang w:eastAsia="zh-CN"/>
        </w:rPr>
        <w:t>银行（公章）</w:t>
      </w:r>
    </w:p>
    <w:p>
      <w:pPr>
        <w:spacing w:line="540" w:lineRule="exact"/>
        <w:rPr>
          <w:rStyle w:val="144"/>
          <w:rFonts w:hint="eastAsia" w:ascii="仿宋" w:hAnsi="仿宋" w:eastAsia="仿宋" w:cs="仿宋"/>
          <w:b w:val="0"/>
          <w:bCs w:val="0"/>
          <w:kern w:val="0"/>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 xml:space="preserve">         年    月    日</w:t>
      </w:r>
    </w:p>
    <w:p>
      <w:pPr>
        <w:spacing w:line="540" w:lineRule="exact"/>
        <w:ind w:firstLine="560" w:firstLineChars="200"/>
        <w:rPr>
          <w:rFonts w:hint="eastAsia" w:ascii="仿宋" w:hAnsi="仿宋" w:eastAsia="仿宋" w:cs="仿宋"/>
          <w:kern w:val="0"/>
          <w:sz w:val="28"/>
          <w:szCs w:val="28"/>
          <w:highlight w:val="none"/>
        </w:rPr>
      </w:pPr>
    </w:p>
    <w:p>
      <w:pPr>
        <w:spacing w:line="540" w:lineRule="exact"/>
        <w:rPr>
          <w:rStyle w:val="144"/>
          <w:rFonts w:hint="eastAsia" w:ascii="仿宋" w:hAnsi="仿宋" w:eastAsia="仿宋" w:cs="仿宋"/>
          <w:b w:val="0"/>
          <w:bCs w:val="0"/>
          <w:kern w:val="0"/>
          <w:sz w:val="28"/>
          <w:szCs w:val="28"/>
          <w:highlight w:val="none"/>
        </w:rPr>
      </w:pP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u w:val="single"/>
          <w:lang w:eastAsia="zh-CN"/>
        </w:rPr>
        <w:t xml:space="preserve"> </w:t>
      </w:r>
    </w:p>
    <w:p>
      <w:pPr>
        <w:spacing w:line="540" w:lineRule="exact"/>
        <w:jc w:val="center"/>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br w:type="page"/>
      </w:r>
    </w:p>
    <w:p>
      <w:pPr>
        <w:spacing w:line="54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7   法定代表人（负责人）授权书</w:t>
      </w: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江山市政府采购中心：</w:t>
      </w:r>
    </w:p>
    <w:p>
      <w:pPr>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（投标人全称）法定代表人（负责人）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（被授权代表姓名）为全权代表，参加贵方组织的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），并全权处理招标活动中的一切事宜。</w:t>
      </w:r>
    </w:p>
    <w:p>
      <w:pPr>
        <w:spacing w:beforeLines="50" w:afterLines="50"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法定代表人（负责人）签字或盖章：</w:t>
      </w:r>
    </w:p>
    <w:p>
      <w:pPr>
        <w:spacing w:beforeLines="50" w:afterLines="50"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spacing w:beforeLines="50" w:afterLines="50"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附：</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被授权代表姓名：           性别：</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职务：                     职称：</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详细通讯地址：</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电话：                     传真：</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移动电话：</w:t>
      </w:r>
    </w:p>
    <w:p>
      <w:pPr>
        <w:spacing w:line="5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p>
    <w:p>
      <w:pPr>
        <w:spacing w:line="540" w:lineRule="exact"/>
        <w:rPr>
          <w:rFonts w:hint="eastAsia" w:ascii="仿宋" w:hAnsi="仿宋" w:eastAsia="仿宋" w:cs="仿宋"/>
          <w:sz w:val="28"/>
          <w:szCs w:val="28"/>
          <w:highlight w:val="none"/>
        </w:rPr>
      </w:pPr>
    </w:p>
    <w:p>
      <w:pPr>
        <w:rPr>
          <w:rFonts w:hint="eastAsia" w:ascii="仿宋" w:hAnsi="仿宋" w:eastAsia="仿宋" w:cs="仿宋"/>
          <w:b/>
          <w:bCs/>
          <w:sz w:val="28"/>
          <w:szCs w:val="28"/>
          <w:highlight w:val="none"/>
          <w:lang w:val="zh-CN"/>
        </w:rPr>
      </w:pPr>
    </w:p>
    <w:p>
      <w:pPr>
        <w:pStyle w:val="2"/>
        <w:rPr>
          <w:rFonts w:hint="eastAsia" w:ascii="仿宋" w:hAnsi="仿宋" w:eastAsia="仿宋" w:cs="仿宋"/>
          <w:highlight w:val="none"/>
          <w:lang w:val="zh-CN"/>
        </w:rPr>
      </w:pPr>
    </w:p>
    <w:p>
      <w:pPr>
        <w:rPr>
          <w:rFonts w:hint="eastAsia" w:ascii="仿宋" w:hAnsi="仿宋" w:eastAsia="仿宋" w:cs="仿宋"/>
          <w:highlight w:val="none"/>
          <w:lang w:val="zh-CN"/>
        </w:rPr>
      </w:pPr>
    </w:p>
    <w:p>
      <w:pPr>
        <w:pStyle w:val="2"/>
        <w:rPr>
          <w:rFonts w:hint="eastAsia" w:ascii="仿宋" w:hAnsi="仿宋" w:eastAsia="仿宋" w:cs="仿宋"/>
          <w:highlight w:val="none"/>
          <w:lang w:val="zh-CN"/>
        </w:rPr>
      </w:pPr>
    </w:p>
    <w:p>
      <w:pPr>
        <w:rPr>
          <w:rFonts w:hint="eastAsia" w:ascii="仿宋" w:hAnsi="仿宋" w:eastAsia="仿宋" w:cs="仿宋"/>
          <w:highlight w:val="none"/>
          <w:lang w:val="zh-CN"/>
        </w:rPr>
      </w:pPr>
    </w:p>
    <w:p>
      <w:pPr>
        <w:pStyle w:val="2"/>
        <w:rPr>
          <w:rFonts w:hint="eastAsia" w:ascii="仿宋" w:hAnsi="仿宋" w:eastAsia="仿宋" w:cs="仿宋"/>
          <w:highlight w:val="none"/>
          <w:lang w:val="zh-CN"/>
        </w:rPr>
      </w:pPr>
    </w:p>
    <w:p>
      <w:pPr>
        <w:rPr>
          <w:rFonts w:hint="eastAsia" w:ascii="仿宋" w:hAnsi="仿宋" w:eastAsia="仿宋" w:cs="仿宋"/>
          <w:highlight w:val="none"/>
          <w:lang w:val="zh-CN"/>
        </w:rPr>
      </w:pPr>
    </w:p>
    <w:p>
      <w:pPr>
        <w:rPr>
          <w:rFonts w:hint="eastAsia" w:ascii="仿宋" w:hAnsi="仿宋" w:eastAsia="仿宋" w:cs="仿宋"/>
          <w:highlight w:val="none"/>
          <w:lang w:val="zh-CN"/>
        </w:rPr>
      </w:pPr>
    </w:p>
    <w:bookmarkEnd w:id="109"/>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autoSpaceDE w:val="0"/>
        <w:autoSpaceDN w:val="0"/>
        <w:adjustRightInd w:val="0"/>
        <w:spacing w:line="540" w:lineRule="exact"/>
        <w:jc w:val="center"/>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第六章 </w:t>
      </w:r>
      <w:r>
        <w:rPr>
          <w:rFonts w:hint="eastAsia" w:ascii="仿宋" w:hAnsi="仿宋" w:eastAsia="仿宋" w:cs="仿宋"/>
          <w:b/>
          <w:bCs/>
          <w:sz w:val="28"/>
          <w:szCs w:val="28"/>
          <w:highlight w:val="none"/>
          <w:lang w:val="zh-CN"/>
        </w:rPr>
        <w:t>评标办法及开标程序</w:t>
      </w:r>
    </w:p>
    <w:p>
      <w:pPr>
        <w:autoSpaceDE w:val="0"/>
        <w:autoSpaceDN w:val="0"/>
        <w:adjustRightInd w:val="0"/>
        <w:snapToGrid w:val="0"/>
        <w:spacing w:line="540" w:lineRule="exact"/>
        <w:ind w:firstLine="551" w:firstLineChars="196"/>
        <w:outlineLvl w:val="1"/>
        <w:rPr>
          <w:rFonts w:hint="eastAsia" w:ascii="仿宋" w:hAnsi="仿宋" w:eastAsia="仿宋" w:cs="仿宋"/>
          <w:b/>
          <w:bCs/>
          <w:sz w:val="28"/>
          <w:szCs w:val="28"/>
          <w:highlight w:val="none"/>
          <w:lang w:val="zh-CN"/>
        </w:rPr>
      </w:pPr>
      <w:bookmarkStart w:id="110" w:name="_Toc24708493"/>
      <w:r>
        <w:rPr>
          <w:rFonts w:hint="eastAsia" w:ascii="仿宋" w:hAnsi="仿宋" w:eastAsia="仿宋" w:cs="仿宋"/>
          <w:b/>
          <w:bCs/>
          <w:sz w:val="28"/>
          <w:szCs w:val="28"/>
          <w:highlight w:val="none"/>
          <w:lang w:val="zh-CN"/>
        </w:rPr>
        <w:t>一、</w:t>
      </w:r>
      <w:bookmarkEnd w:id="110"/>
      <w:r>
        <w:rPr>
          <w:rFonts w:hint="eastAsia" w:ascii="仿宋" w:hAnsi="仿宋" w:eastAsia="仿宋" w:cs="仿宋"/>
          <w:b/>
          <w:bCs/>
          <w:sz w:val="28"/>
          <w:szCs w:val="28"/>
          <w:highlight w:val="none"/>
          <w:lang w:val="zh-CN" w:eastAsia="zh-CN"/>
        </w:rPr>
        <w:t>评标委员会的组成</w:t>
      </w:r>
    </w:p>
    <w:p>
      <w:pPr>
        <w:autoSpaceDE w:val="0"/>
        <w:autoSpaceDN w:val="0"/>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1.评标委员会由5人组成。</w:t>
      </w:r>
    </w:p>
    <w:p>
      <w:pPr>
        <w:autoSpaceDE w:val="0"/>
        <w:autoSpaceDN w:val="0"/>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2.询标期间，投标人法定代表人</w:t>
      </w:r>
      <w:r>
        <w:rPr>
          <w:rFonts w:hint="eastAsia" w:ascii="仿宋" w:hAnsi="仿宋" w:eastAsia="仿宋" w:cs="仿宋"/>
          <w:bCs/>
          <w:sz w:val="28"/>
          <w:szCs w:val="28"/>
          <w:highlight w:val="none"/>
        </w:rPr>
        <w:t>（负责人）</w:t>
      </w:r>
      <w:r>
        <w:rPr>
          <w:rFonts w:hint="eastAsia" w:ascii="仿宋" w:hAnsi="仿宋" w:eastAsia="仿宋" w:cs="仿宋"/>
          <w:sz w:val="28"/>
          <w:szCs w:val="28"/>
          <w:highlight w:val="none"/>
        </w:rPr>
        <w:t>或法定代表人</w:t>
      </w:r>
      <w:r>
        <w:rPr>
          <w:rFonts w:hint="eastAsia" w:ascii="仿宋" w:hAnsi="仿宋" w:eastAsia="仿宋" w:cs="仿宋"/>
          <w:bCs/>
          <w:sz w:val="28"/>
          <w:szCs w:val="28"/>
          <w:highlight w:val="none"/>
        </w:rPr>
        <w:t>（负责人）授权</w:t>
      </w:r>
      <w:r>
        <w:rPr>
          <w:rFonts w:hint="eastAsia" w:ascii="仿宋" w:hAnsi="仿宋" w:eastAsia="仿宋" w:cs="仿宋"/>
          <w:sz w:val="28"/>
          <w:szCs w:val="28"/>
          <w:highlight w:val="none"/>
        </w:rPr>
        <w:t>委托人必须</w:t>
      </w:r>
      <w:r>
        <w:rPr>
          <w:rFonts w:hint="eastAsia" w:ascii="仿宋" w:hAnsi="仿宋" w:eastAsia="仿宋" w:cs="仿宋"/>
          <w:sz w:val="28"/>
          <w:szCs w:val="28"/>
          <w:highlight w:val="none"/>
          <w:lang w:eastAsia="zh-CN"/>
        </w:rPr>
        <w:t>保持联系电话通畅，负责</w:t>
      </w:r>
      <w:r>
        <w:rPr>
          <w:rFonts w:hint="eastAsia" w:ascii="仿宋" w:hAnsi="仿宋" w:eastAsia="仿宋" w:cs="仿宋"/>
          <w:sz w:val="28"/>
          <w:szCs w:val="28"/>
          <w:highlight w:val="none"/>
        </w:rPr>
        <w:t>解答有关事宜。</w:t>
      </w:r>
      <w:r>
        <w:rPr>
          <w:rFonts w:hint="eastAsia" w:ascii="仿宋" w:hAnsi="仿宋" w:eastAsia="仿宋" w:cs="仿宋"/>
          <w:sz w:val="28"/>
          <w:szCs w:val="28"/>
          <w:highlight w:val="none"/>
          <w:lang w:eastAsia="zh-CN"/>
        </w:rPr>
        <w:t>若电话无法联系上的，</w:t>
      </w:r>
      <w:r>
        <w:rPr>
          <w:rFonts w:hint="eastAsia" w:ascii="仿宋" w:hAnsi="仿宋" w:eastAsia="仿宋" w:cs="仿宋"/>
          <w:sz w:val="28"/>
          <w:szCs w:val="28"/>
          <w:highlight w:val="none"/>
        </w:rPr>
        <w:t>则事后不得对招标过程及结果提出异议。</w:t>
      </w:r>
    </w:p>
    <w:p>
      <w:pPr>
        <w:autoSpaceDE w:val="0"/>
        <w:autoSpaceDN w:val="0"/>
        <w:adjustRightInd w:val="0"/>
        <w:snapToGrid w:val="0"/>
        <w:spacing w:line="54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二、评标原则</w:t>
      </w:r>
    </w:p>
    <w:p>
      <w:pPr>
        <w:autoSpaceDE w:val="0"/>
        <w:autoSpaceDN w:val="0"/>
        <w:adjustRightInd w:val="0"/>
        <w:snapToGrid w:val="0"/>
        <w:spacing w:line="540" w:lineRule="exact"/>
        <w:ind w:firstLine="560" w:firstLineChars="200"/>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lang w:eastAsia="zh-CN"/>
        </w:rPr>
        <w:t>综合得分＝收益率得分＋经营状况指标得分＋经济贡献指标得分＋</w:t>
      </w:r>
      <w:r>
        <w:rPr>
          <w:rFonts w:hint="eastAsia" w:ascii="仿宋" w:hAnsi="仿宋" w:eastAsia="仿宋" w:cs="仿宋"/>
          <w:sz w:val="28"/>
          <w:szCs w:val="28"/>
          <w:highlight w:val="none"/>
          <w:vertAlign w:val="baseline"/>
          <w:lang w:eastAsia="zh-CN"/>
        </w:rPr>
        <w:t>服务水平得分</w:t>
      </w:r>
    </w:p>
    <w:p>
      <w:pPr>
        <w:autoSpaceDE w:val="0"/>
        <w:autoSpaceDN w:val="0"/>
        <w:adjustRightInd w:val="0"/>
        <w:snapToGrid w:val="0"/>
        <w:spacing w:line="540" w:lineRule="exact"/>
        <w:ind w:firstLine="562" w:firstLineChars="200"/>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三、评标办法及评标标准</w:t>
      </w:r>
    </w:p>
    <w:p>
      <w:pPr>
        <w:autoSpaceDE w:val="0"/>
        <w:autoSpaceDN w:val="0"/>
        <w:adjustRightInd w:val="0"/>
        <w:snapToGrid w:val="0"/>
        <w:spacing w:line="540" w:lineRule="exact"/>
        <w:ind w:firstLine="562"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（一）评分指标构成</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评分指标包括收益率(20分)、经营状况指标 (</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0分)、</w:t>
      </w:r>
      <w:r>
        <w:rPr>
          <w:rFonts w:hint="eastAsia" w:ascii="仿宋" w:hAnsi="仿宋" w:eastAsia="仿宋" w:cs="仿宋"/>
          <w:sz w:val="28"/>
          <w:szCs w:val="28"/>
          <w:highlight w:val="none"/>
          <w:lang w:eastAsia="zh-CN"/>
        </w:rPr>
        <w:t>经济贡献指标（</w:t>
      </w:r>
      <w:r>
        <w:rPr>
          <w:rFonts w:hint="eastAsia" w:ascii="仿宋" w:hAnsi="仿宋" w:eastAsia="仿宋" w:cs="仿宋"/>
          <w:sz w:val="28"/>
          <w:szCs w:val="28"/>
          <w:highlight w:val="none"/>
          <w:lang w:val="en-US" w:eastAsia="zh-CN"/>
        </w:rPr>
        <w:t>45分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和服务水平（</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分）等</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项指标组成，满分为100分。</w:t>
      </w:r>
      <w:r>
        <w:rPr>
          <w:rFonts w:hint="eastAsia" w:ascii="仿宋" w:hAnsi="仿宋" w:eastAsia="仿宋" w:cs="仿宋"/>
          <w:sz w:val="28"/>
          <w:szCs w:val="28"/>
          <w:highlight w:val="none"/>
          <w:lang w:eastAsia="zh-CN"/>
        </w:rPr>
        <w:t>在各类指标中，评标委员会各成员所评分值的算术平均值为综合得分；按综合得分（四舍五入保留</w:t>
      </w:r>
      <w:r>
        <w:rPr>
          <w:rFonts w:hint="eastAsia" w:ascii="仿宋" w:hAnsi="仿宋" w:eastAsia="仿宋" w:cs="仿宋"/>
          <w:sz w:val="28"/>
          <w:szCs w:val="28"/>
          <w:highlight w:val="none"/>
          <w:lang w:val="en-US" w:eastAsia="zh-CN"/>
        </w:rPr>
        <w:t>2位小数</w:t>
      </w:r>
      <w:r>
        <w:rPr>
          <w:rFonts w:hint="eastAsia" w:ascii="仿宋" w:hAnsi="仿宋" w:eastAsia="仿宋" w:cs="仿宋"/>
          <w:sz w:val="28"/>
          <w:szCs w:val="28"/>
          <w:highlight w:val="none"/>
          <w:lang w:eastAsia="zh-CN"/>
        </w:rPr>
        <w:t>）由高到低确定排名。如竞标银行综合得分相同时，依次按竞标银行经营状况指标得分、收益率水平得分、经济贡献指标得分、服务水平得分的高低确定排名顺序。</w:t>
      </w:r>
    </w:p>
    <w:p>
      <w:pPr>
        <w:autoSpaceDE w:val="0"/>
        <w:autoSpaceDN w:val="0"/>
        <w:adjustRightInd w:val="0"/>
        <w:snapToGrid w:val="0"/>
        <w:spacing w:line="54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（二）评分标准</w:t>
      </w:r>
    </w:p>
    <w:p>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autoSpaceDE w:val="0"/>
        <w:autoSpaceDN w:val="0"/>
        <w:adjustRightInd w:val="0"/>
        <w:snapToGrid w:val="0"/>
        <w:spacing w:line="540" w:lineRule="exact"/>
        <w:ind w:left="0" w:leftChars="0" w:firstLine="0" w:firstLineChars="0"/>
        <w:jc w:val="both"/>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评分标准：</w:t>
      </w:r>
    </w:p>
    <w:tbl>
      <w:tblPr>
        <w:tblStyle w:val="60"/>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51"/>
        <w:gridCol w:w="1923"/>
        <w:gridCol w:w="657"/>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309" w:type="dxa"/>
            <w:gridSpan w:val="3"/>
            <w:vAlign w:val="center"/>
          </w:tcPr>
          <w:p>
            <w:pPr>
              <w:jc w:val="center"/>
              <w:rPr>
                <w:rFonts w:hint="eastAsia" w:ascii="仿宋" w:hAnsi="仿宋" w:eastAsia="仿宋" w:cs="仿宋"/>
                <w:b/>
                <w:bCs/>
                <w:sz w:val="28"/>
                <w:szCs w:val="28"/>
                <w:highlight w:val="none"/>
                <w:vertAlign w:val="baseline"/>
              </w:rPr>
            </w:pPr>
            <w:r>
              <w:rPr>
                <w:rFonts w:hint="eastAsia" w:ascii="仿宋" w:hAnsi="仿宋" w:eastAsia="仿宋" w:cs="仿宋"/>
                <w:b/>
                <w:bCs/>
                <w:sz w:val="28"/>
                <w:szCs w:val="28"/>
                <w:highlight w:val="none"/>
              </w:rPr>
              <w:t>评分项目</w:t>
            </w:r>
          </w:p>
        </w:tc>
        <w:tc>
          <w:tcPr>
            <w:tcW w:w="657" w:type="dxa"/>
            <w:vAlign w:val="center"/>
          </w:tcPr>
          <w:p>
            <w:pPr>
              <w:jc w:val="center"/>
              <w:rPr>
                <w:rFonts w:hint="eastAsia" w:ascii="仿宋" w:hAnsi="仿宋" w:eastAsia="仿宋" w:cs="仿宋"/>
                <w:b/>
                <w:bCs/>
                <w:sz w:val="28"/>
                <w:szCs w:val="28"/>
                <w:highlight w:val="none"/>
                <w:vertAlign w:val="baseline"/>
              </w:rPr>
            </w:pPr>
            <w:r>
              <w:rPr>
                <w:rFonts w:hint="eastAsia" w:ascii="仿宋" w:hAnsi="仿宋" w:eastAsia="仿宋" w:cs="仿宋"/>
                <w:b/>
                <w:bCs/>
                <w:sz w:val="28"/>
                <w:szCs w:val="28"/>
                <w:highlight w:val="none"/>
              </w:rPr>
              <w:t>分值</w:t>
            </w:r>
          </w:p>
        </w:tc>
        <w:tc>
          <w:tcPr>
            <w:tcW w:w="5372" w:type="dxa"/>
            <w:vAlign w:val="center"/>
          </w:tcPr>
          <w:p>
            <w:pPr>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计分</w:t>
            </w:r>
            <w:r>
              <w:rPr>
                <w:rFonts w:hint="eastAsia" w:ascii="仿宋" w:hAnsi="仿宋" w:eastAsia="仿宋" w:cs="仿宋"/>
                <w:b/>
                <w:bCs/>
                <w:sz w:val="28"/>
                <w:szCs w:val="28"/>
                <w:highlight w:val="none"/>
              </w:rPr>
              <w:t>办法及说明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386" w:type="dxa"/>
            <w:gridSpan w:val="2"/>
            <w:vMerge w:val="restart"/>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收益率指标（</w:t>
            </w:r>
            <w:r>
              <w:rPr>
                <w:rFonts w:hint="eastAsia" w:ascii="仿宋" w:hAnsi="仿宋" w:eastAsia="仿宋" w:cs="仿宋"/>
                <w:sz w:val="28"/>
                <w:szCs w:val="28"/>
                <w:highlight w:val="none"/>
                <w:lang w:val="en-US" w:eastAsia="zh-CN"/>
              </w:rPr>
              <w:t>20分</w:t>
            </w:r>
            <w:r>
              <w:rPr>
                <w:rFonts w:hint="eastAsia" w:ascii="仿宋" w:hAnsi="仿宋" w:eastAsia="仿宋" w:cs="仿宋"/>
                <w:sz w:val="28"/>
                <w:szCs w:val="28"/>
                <w:highlight w:val="none"/>
                <w:lang w:eastAsia="zh-CN"/>
              </w:rPr>
              <w:t>）</w:t>
            </w:r>
          </w:p>
        </w:tc>
        <w:tc>
          <w:tcPr>
            <w:tcW w:w="1923" w:type="dxa"/>
            <w:vAlign w:val="center"/>
          </w:tcPr>
          <w:p>
            <w:pPr>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半年期收益率得分</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c>
          <w:tcPr>
            <w:tcW w:w="5372" w:type="dxa"/>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计</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公式：</w:t>
            </w:r>
            <w:r>
              <w:rPr>
                <w:rFonts w:hint="eastAsia" w:ascii="仿宋" w:hAnsi="仿宋" w:eastAsia="仿宋" w:cs="仿宋"/>
                <w:sz w:val="28"/>
                <w:szCs w:val="28"/>
                <w:highlight w:val="none"/>
                <w:lang w:eastAsia="zh-CN"/>
              </w:rPr>
              <w:t>收益率得分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（投标银行半年期投标利率/各投标银行中最高半年期投标利率)×10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386" w:type="dxa"/>
            <w:gridSpan w:val="2"/>
            <w:vMerge w:val="continue"/>
            <w:vAlign w:val="center"/>
          </w:tcPr>
          <w:p>
            <w:pPr>
              <w:jc w:val="center"/>
              <w:rPr>
                <w:rFonts w:hint="eastAsia" w:ascii="仿宋" w:hAnsi="仿宋" w:eastAsia="仿宋" w:cs="仿宋"/>
                <w:sz w:val="28"/>
                <w:szCs w:val="28"/>
                <w:highlight w:val="none"/>
                <w:vertAlign w:val="baseline"/>
              </w:rPr>
            </w:pPr>
          </w:p>
        </w:tc>
        <w:tc>
          <w:tcPr>
            <w:tcW w:w="1923" w:type="dxa"/>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一年期收益率得分</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c>
          <w:tcPr>
            <w:tcW w:w="5372" w:type="dxa"/>
          </w:tcPr>
          <w:p>
            <w:p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计</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公式：</w:t>
            </w:r>
            <w:r>
              <w:rPr>
                <w:rFonts w:hint="eastAsia" w:ascii="仿宋" w:hAnsi="仿宋" w:eastAsia="仿宋" w:cs="仿宋"/>
                <w:sz w:val="28"/>
                <w:szCs w:val="28"/>
                <w:highlight w:val="none"/>
                <w:lang w:eastAsia="zh-CN"/>
              </w:rPr>
              <w:t>收益率得分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（投标银行一年期投标利率/各投标银行中最高一年期投标利率)×10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386" w:type="dxa"/>
            <w:gridSpan w:val="2"/>
            <w:vMerge w:val="restart"/>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经营状况指标</w:t>
            </w:r>
            <w:r>
              <w:rPr>
                <w:rFonts w:hint="eastAsia" w:ascii="仿宋" w:hAnsi="仿宋" w:eastAsia="仿宋" w:cs="仿宋"/>
                <w:sz w:val="28"/>
                <w:szCs w:val="28"/>
                <w:highlight w:val="none"/>
                <w:lang w:val="en-US" w:eastAsia="zh-CN"/>
              </w:rPr>
              <w:t>(30分)</w:t>
            </w:r>
          </w:p>
        </w:tc>
        <w:tc>
          <w:tcPr>
            <w:tcW w:w="1923" w:type="dxa"/>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存贷比</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15</w:t>
            </w:r>
          </w:p>
        </w:tc>
        <w:tc>
          <w:tcPr>
            <w:tcW w:w="5372" w:type="dxa"/>
          </w:tcPr>
          <w:p>
            <w:p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val="en-US" w:eastAsia="zh-CN"/>
              </w:rPr>
              <w:t>根据国家金融监管总局江山支局提供的2024年12月末全市各银行存贷比计算得分。</w:t>
            </w:r>
            <w:r>
              <w:rPr>
                <w:rFonts w:hint="eastAsia" w:ascii="仿宋" w:hAnsi="仿宋" w:eastAsia="仿宋" w:cs="仿宋"/>
                <w:sz w:val="28"/>
                <w:szCs w:val="28"/>
                <w:highlight w:val="none"/>
                <w:lang w:eastAsia="zh-CN"/>
              </w:rPr>
              <w:t>计分公式：</w:t>
            </w:r>
            <w:r>
              <w:rPr>
                <w:rFonts w:hint="eastAsia" w:ascii="仿宋" w:hAnsi="仿宋" w:eastAsia="仿宋" w:cs="仿宋"/>
                <w:sz w:val="28"/>
                <w:szCs w:val="28"/>
                <w:highlight w:val="none"/>
                <w:lang w:val="en-US" w:eastAsia="zh-CN"/>
              </w:rPr>
              <w:t>存贷比得分=(投标银行存贷比/各投标银行中最高存贷比)×15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386" w:type="dxa"/>
            <w:gridSpan w:val="2"/>
            <w:vMerge w:val="continue"/>
            <w:vAlign w:val="center"/>
          </w:tcPr>
          <w:p>
            <w:pPr>
              <w:jc w:val="center"/>
              <w:rPr>
                <w:rFonts w:hint="eastAsia" w:ascii="仿宋" w:hAnsi="仿宋" w:eastAsia="仿宋" w:cs="仿宋"/>
                <w:sz w:val="28"/>
                <w:szCs w:val="28"/>
                <w:highlight w:val="none"/>
                <w:vertAlign w:val="baseline"/>
              </w:rPr>
            </w:pPr>
          </w:p>
        </w:tc>
        <w:tc>
          <w:tcPr>
            <w:tcW w:w="1923" w:type="dxa"/>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绿色</w:t>
            </w:r>
            <w:r>
              <w:rPr>
                <w:rFonts w:hint="eastAsia" w:ascii="仿宋" w:hAnsi="仿宋" w:eastAsia="仿宋" w:cs="仿宋"/>
                <w:sz w:val="28"/>
                <w:szCs w:val="28"/>
                <w:highlight w:val="none"/>
                <w:lang w:eastAsia="zh-CN"/>
              </w:rPr>
              <w:t>贷款</w:t>
            </w:r>
            <w:r>
              <w:rPr>
                <w:rFonts w:hint="eastAsia" w:ascii="仿宋" w:hAnsi="仿宋" w:eastAsia="仿宋" w:cs="仿宋"/>
                <w:sz w:val="28"/>
                <w:szCs w:val="28"/>
                <w:highlight w:val="none"/>
              </w:rPr>
              <w:t>余额</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15</w:t>
            </w:r>
          </w:p>
        </w:tc>
        <w:tc>
          <w:tcPr>
            <w:tcW w:w="5372" w:type="dxa"/>
          </w:tcPr>
          <w:p>
            <w:p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根据人民银行衢州分行提供的</w:t>
            </w:r>
            <w:r>
              <w:rPr>
                <w:rFonts w:hint="eastAsia" w:ascii="仿宋" w:hAnsi="仿宋" w:eastAsia="仿宋" w:cs="仿宋"/>
                <w:sz w:val="28"/>
                <w:szCs w:val="28"/>
                <w:highlight w:val="none"/>
                <w:lang w:val="en-US" w:eastAsia="zh-CN"/>
              </w:rPr>
              <w:t>2024年12月末各投标银行绿色贷款余额计算得分。</w:t>
            </w:r>
            <w:r>
              <w:rPr>
                <w:rFonts w:hint="eastAsia" w:ascii="仿宋" w:hAnsi="仿宋" w:eastAsia="仿宋" w:cs="仿宋"/>
                <w:sz w:val="28"/>
                <w:szCs w:val="28"/>
                <w:highlight w:val="none"/>
                <w:lang w:eastAsia="zh-CN"/>
              </w:rPr>
              <w:t>计分公式：绿色贷款余额得分</w:t>
            </w:r>
            <w:r>
              <w:rPr>
                <w:rFonts w:hint="eastAsia" w:ascii="仿宋" w:hAnsi="仿宋" w:eastAsia="仿宋" w:cs="仿宋"/>
                <w:sz w:val="28"/>
                <w:szCs w:val="28"/>
                <w:highlight w:val="none"/>
                <w:lang w:val="en-US" w:eastAsia="zh-CN"/>
              </w:rPr>
              <w:t>=（投标银行绿色贷款余额/各投标银行中最高绿色贷款余额）×15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386" w:type="dxa"/>
            <w:gridSpan w:val="2"/>
            <w:vMerge w:val="restart"/>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经济贡献指标（</w:t>
            </w:r>
            <w:r>
              <w:rPr>
                <w:rFonts w:hint="eastAsia" w:ascii="仿宋" w:hAnsi="仿宋" w:eastAsia="仿宋" w:cs="仿宋"/>
                <w:sz w:val="28"/>
                <w:szCs w:val="28"/>
                <w:highlight w:val="none"/>
                <w:lang w:val="en-US" w:eastAsia="zh-CN"/>
              </w:rPr>
              <w:t>45分</w:t>
            </w:r>
            <w:r>
              <w:rPr>
                <w:rFonts w:hint="eastAsia" w:ascii="仿宋" w:hAnsi="仿宋" w:eastAsia="仿宋" w:cs="仿宋"/>
                <w:sz w:val="28"/>
                <w:szCs w:val="28"/>
                <w:highlight w:val="none"/>
                <w:lang w:eastAsia="zh-CN"/>
              </w:rPr>
              <w:t>）</w:t>
            </w:r>
          </w:p>
        </w:tc>
        <w:tc>
          <w:tcPr>
            <w:tcW w:w="1923" w:type="dxa"/>
            <w:vAlign w:val="center"/>
          </w:tcPr>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上缴税收总额</w:t>
            </w:r>
          </w:p>
        </w:tc>
        <w:tc>
          <w:tcPr>
            <w:tcW w:w="657" w:type="dxa"/>
            <w:vAlign w:val="center"/>
          </w:tcPr>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w:t>
            </w:r>
          </w:p>
        </w:tc>
        <w:tc>
          <w:tcPr>
            <w:tcW w:w="5372" w:type="dxa"/>
            <w:vAlign w:val="top"/>
          </w:tcPr>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根据市税务局提供的</w:t>
            </w:r>
            <w:r>
              <w:rPr>
                <w:rFonts w:hint="eastAsia" w:ascii="仿宋" w:hAnsi="仿宋" w:eastAsia="仿宋" w:cs="仿宋"/>
                <w:sz w:val="28"/>
                <w:szCs w:val="28"/>
                <w:highlight w:val="none"/>
                <w:lang w:val="en-US" w:eastAsia="zh-CN"/>
              </w:rPr>
              <w:t>2024年各银行上缴税收金额计算得分。计分公式：投标银行得分=（投标银行2024年上缴税收金额/2024年上缴税收最多的投标银行上缴税收金额）×20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386" w:type="dxa"/>
            <w:gridSpan w:val="2"/>
            <w:vMerge w:val="continue"/>
            <w:vAlign w:val="center"/>
          </w:tcPr>
          <w:p>
            <w:pPr>
              <w:jc w:val="center"/>
              <w:rPr>
                <w:rFonts w:hint="eastAsia" w:ascii="仿宋" w:hAnsi="仿宋" w:eastAsia="仿宋" w:cs="仿宋"/>
                <w:sz w:val="28"/>
                <w:szCs w:val="28"/>
                <w:highlight w:val="none"/>
                <w:vertAlign w:val="baseline"/>
              </w:rPr>
            </w:pPr>
          </w:p>
        </w:tc>
        <w:tc>
          <w:tcPr>
            <w:tcW w:w="1923" w:type="dxa"/>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三农（涉农）贷款余额</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c>
          <w:tcPr>
            <w:tcW w:w="5372" w:type="dxa"/>
          </w:tcPr>
          <w:p>
            <w:p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根据人民银行衢州分行提供的</w:t>
            </w:r>
            <w:r>
              <w:rPr>
                <w:rFonts w:hint="eastAsia" w:ascii="仿宋" w:hAnsi="仿宋" w:eastAsia="仿宋" w:cs="仿宋"/>
                <w:sz w:val="28"/>
                <w:szCs w:val="28"/>
                <w:highlight w:val="none"/>
                <w:lang w:val="en-US" w:eastAsia="zh-CN"/>
              </w:rPr>
              <w:t>2024年12月末各投标银行三农（涉农）贷款余额计算得分。</w:t>
            </w:r>
            <w:r>
              <w:rPr>
                <w:rFonts w:hint="eastAsia" w:ascii="仿宋" w:hAnsi="仿宋" w:eastAsia="仿宋" w:cs="仿宋"/>
                <w:sz w:val="28"/>
                <w:szCs w:val="28"/>
                <w:highlight w:val="none"/>
                <w:lang w:eastAsia="zh-CN"/>
              </w:rPr>
              <w:t>计分公式：涉农贷款余额得分</w:t>
            </w:r>
            <w:r>
              <w:rPr>
                <w:rFonts w:hint="eastAsia" w:ascii="仿宋" w:hAnsi="仿宋" w:eastAsia="仿宋" w:cs="仿宋"/>
                <w:sz w:val="28"/>
                <w:szCs w:val="28"/>
                <w:highlight w:val="none"/>
                <w:lang w:val="en-US" w:eastAsia="zh-CN"/>
              </w:rPr>
              <w:t>=（投标银行涉农贷款余额/各投标银行中最高涉农贷款余额）×10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386" w:type="dxa"/>
            <w:gridSpan w:val="2"/>
            <w:vMerge w:val="continue"/>
            <w:vAlign w:val="center"/>
          </w:tcPr>
          <w:p>
            <w:pPr>
              <w:jc w:val="center"/>
              <w:rPr>
                <w:rFonts w:hint="eastAsia" w:ascii="仿宋" w:hAnsi="仿宋" w:eastAsia="仿宋" w:cs="仿宋"/>
                <w:sz w:val="28"/>
                <w:szCs w:val="28"/>
                <w:highlight w:val="none"/>
                <w:vertAlign w:val="baseline"/>
              </w:rPr>
            </w:pPr>
          </w:p>
        </w:tc>
        <w:tc>
          <w:tcPr>
            <w:tcW w:w="1923" w:type="dxa"/>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制造业贷款余额</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c>
          <w:tcPr>
            <w:tcW w:w="5372" w:type="dxa"/>
            <w:vAlign w:val="top"/>
          </w:tcPr>
          <w:p>
            <w:p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eastAsia="zh-CN"/>
              </w:rPr>
              <w:t>根据人民银行衢州分行提供的</w:t>
            </w:r>
            <w:r>
              <w:rPr>
                <w:rFonts w:hint="eastAsia" w:ascii="仿宋" w:hAnsi="仿宋" w:eastAsia="仿宋" w:cs="仿宋"/>
                <w:sz w:val="28"/>
                <w:szCs w:val="28"/>
                <w:highlight w:val="none"/>
                <w:lang w:val="en-US" w:eastAsia="zh-CN"/>
              </w:rPr>
              <w:t>2024年12月末各投标银行制造业贷款余额计算得分。</w:t>
            </w:r>
            <w:r>
              <w:rPr>
                <w:rFonts w:hint="eastAsia" w:ascii="仿宋" w:hAnsi="仿宋" w:eastAsia="仿宋" w:cs="仿宋"/>
                <w:sz w:val="28"/>
                <w:szCs w:val="28"/>
                <w:highlight w:val="none"/>
                <w:lang w:eastAsia="zh-CN"/>
              </w:rPr>
              <w:t>计分公式：制造业贷款余额得分</w:t>
            </w:r>
            <w:r>
              <w:rPr>
                <w:rFonts w:hint="eastAsia" w:ascii="仿宋" w:hAnsi="仿宋" w:eastAsia="仿宋" w:cs="仿宋"/>
                <w:sz w:val="28"/>
                <w:szCs w:val="28"/>
                <w:highlight w:val="none"/>
                <w:lang w:val="en-US" w:eastAsia="zh-CN"/>
              </w:rPr>
              <w:t>=（投标银行制造业贷款余额/各投标银行中最高制造业贷款余额）×10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86" w:type="dxa"/>
            <w:gridSpan w:val="2"/>
            <w:vMerge w:val="continue"/>
            <w:vAlign w:val="center"/>
          </w:tcPr>
          <w:p>
            <w:pPr>
              <w:jc w:val="center"/>
              <w:rPr>
                <w:rFonts w:hint="eastAsia" w:ascii="仿宋" w:hAnsi="仿宋" w:eastAsia="仿宋" w:cs="仿宋"/>
                <w:sz w:val="28"/>
                <w:szCs w:val="28"/>
                <w:highlight w:val="none"/>
                <w:vertAlign w:val="baseline"/>
              </w:rPr>
            </w:pPr>
          </w:p>
        </w:tc>
        <w:tc>
          <w:tcPr>
            <w:tcW w:w="1923" w:type="dxa"/>
            <w:vAlign w:val="center"/>
          </w:tcPr>
          <w:p>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对国有企业贷款余额（5分）</w:t>
            </w:r>
          </w:p>
        </w:tc>
        <w:tc>
          <w:tcPr>
            <w:tcW w:w="657" w:type="dxa"/>
            <w:vAlign w:val="center"/>
          </w:tcPr>
          <w:p>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5372" w:type="dxa"/>
            <w:vAlign w:val="top"/>
          </w:tcPr>
          <w:p>
            <w:pPr>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根据市国有资产经营有限公司提供的2024年12月末各投标银行对国有企业贷款余额计算得分。计分公式：对国有企业贷款余额得分=（投标银行对国有企业贷款余额/各投标银行中最高对国有企业贷款余额）×5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35" w:type="dxa"/>
            <w:vMerge w:val="restart"/>
            <w:vAlign w:val="center"/>
          </w:tcPr>
          <w:p>
            <w:pPr>
              <w:jc w:val="both"/>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服务水平（</w:t>
            </w:r>
            <w:r>
              <w:rPr>
                <w:rFonts w:hint="eastAsia" w:ascii="仿宋" w:hAnsi="仿宋" w:eastAsia="仿宋" w:cs="仿宋"/>
                <w:sz w:val="28"/>
                <w:szCs w:val="28"/>
                <w:highlight w:val="none"/>
                <w:vertAlign w:val="baseline"/>
                <w:lang w:val="en-US" w:eastAsia="zh-CN"/>
              </w:rPr>
              <w:t>5分</w:t>
            </w:r>
            <w:r>
              <w:rPr>
                <w:rFonts w:hint="eastAsia" w:ascii="仿宋" w:hAnsi="仿宋" w:eastAsia="仿宋" w:cs="仿宋"/>
                <w:sz w:val="28"/>
                <w:szCs w:val="28"/>
                <w:highlight w:val="none"/>
                <w:vertAlign w:val="baseline"/>
                <w:lang w:eastAsia="zh-CN"/>
              </w:rPr>
              <w:t>）</w:t>
            </w:r>
          </w:p>
        </w:tc>
        <w:tc>
          <w:tcPr>
            <w:tcW w:w="2174" w:type="dxa"/>
            <w:gridSpan w:val="2"/>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利息支付情况</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5372" w:type="dxa"/>
          </w:tcPr>
          <w:p>
            <w:p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按协议支付利息，发生逾期支付的银行，不得分。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35" w:type="dxa"/>
            <w:vMerge w:val="continue"/>
            <w:vAlign w:val="center"/>
          </w:tcPr>
          <w:p>
            <w:pPr>
              <w:jc w:val="center"/>
              <w:rPr>
                <w:rFonts w:hint="eastAsia" w:ascii="仿宋" w:hAnsi="仿宋" w:eastAsia="仿宋" w:cs="仿宋"/>
                <w:sz w:val="28"/>
                <w:szCs w:val="28"/>
                <w:highlight w:val="none"/>
                <w:vertAlign w:val="baseline"/>
              </w:rPr>
            </w:pPr>
          </w:p>
        </w:tc>
        <w:tc>
          <w:tcPr>
            <w:tcW w:w="2174" w:type="dxa"/>
            <w:gridSpan w:val="2"/>
            <w:vAlign w:val="center"/>
          </w:tcPr>
          <w:p>
            <w:pPr>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手续费</w:t>
            </w:r>
          </w:p>
        </w:tc>
        <w:tc>
          <w:tcPr>
            <w:tcW w:w="657"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5372" w:type="dxa"/>
          </w:tcPr>
          <w:p>
            <w:p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免收各种业务手续费，国库支付中心账户每收一笔手续费扣</w:t>
            </w:r>
            <w:r>
              <w:rPr>
                <w:rFonts w:hint="eastAsia" w:ascii="仿宋" w:hAnsi="仿宋" w:eastAsia="仿宋" w:cs="仿宋"/>
                <w:sz w:val="28"/>
                <w:szCs w:val="28"/>
                <w:highlight w:val="none"/>
                <w:lang w:val="en-US" w:eastAsia="zh-CN"/>
              </w:rPr>
              <w:t>0.5</w:t>
            </w:r>
            <w:r>
              <w:rPr>
                <w:rFonts w:hint="eastAsia" w:ascii="仿宋" w:hAnsi="仿宋" w:eastAsia="仿宋" w:cs="仿宋"/>
                <w:sz w:val="28"/>
                <w:szCs w:val="28"/>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38" w:type="dxa"/>
            <w:gridSpan w:val="5"/>
          </w:tcPr>
          <w:p>
            <w:pP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eastAsia="zh-CN"/>
              </w:rPr>
              <w:t>注：①以上得分四舍五入保留</w:t>
            </w:r>
            <w:r>
              <w:rPr>
                <w:rFonts w:hint="eastAsia" w:ascii="仿宋" w:hAnsi="仿宋" w:eastAsia="仿宋" w:cs="仿宋"/>
                <w:sz w:val="28"/>
                <w:szCs w:val="28"/>
                <w:highlight w:val="none"/>
                <w:vertAlign w:val="baseline"/>
                <w:lang w:val="en-US" w:eastAsia="zh-CN"/>
              </w:rPr>
              <w:t>2位小数；</w:t>
            </w:r>
          </w:p>
          <w:p>
            <w:pP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    ②以上排名按有效投标人排列顺序确定名次。</w:t>
            </w:r>
          </w:p>
        </w:tc>
      </w:tr>
    </w:tbl>
    <w:p>
      <w:pPr>
        <w:autoSpaceDE w:val="0"/>
        <w:autoSpaceDN w:val="0"/>
        <w:adjustRightInd w:val="0"/>
        <w:snapToGrid w:val="0"/>
        <w:spacing w:line="540" w:lineRule="exact"/>
        <w:ind w:left="424"/>
        <w:outlineLvl w:val="1"/>
        <w:rPr>
          <w:rFonts w:ascii="仿宋_GB2312" w:eastAsia="仿宋_GB2312"/>
          <w:sz w:val="28"/>
          <w:szCs w:val="28"/>
          <w:highlight w:val="none"/>
          <w:lang w:val="zh-CN"/>
        </w:rPr>
      </w:pPr>
      <w:bookmarkStart w:id="111" w:name="_Toc25742"/>
      <w:r>
        <w:rPr>
          <w:rFonts w:hint="eastAsia" w:ascii="仿宋" w:hAnsi="仿宋" w:eastAsia="仿宋" w:cs="仿宋"/>
          <w:b/>
          <w:bCs/>
          <w:sz w:val="28"/>
          <w:szCs w:val="28"/>
          <w:highlight w:val="none"/>
          <w:lang w:eastAsia="zh-CN"/>
        </w:rPr>
        <w:t>四、中标金额分配</w:t>
      </w:r>
      <w:r>
        <w:rPr>
          <w:rFonts w:hint="eastAsia" w:ascii="仿宋" w:hAnsi="仿宋" w:eastAsia="仿宋" w:cs="仿宋"/>
          <w:b/>
          <w:bCs/>
          <w:sz w:val="28"/>
          <w:szCs w:val="28"/>
          <w:highlight w:val="none"/>
          <w:lang w:val="zh-CN" w:eastAsia="zh-CN"/>
        </w:rPr>
        <w:t>：</w:t>
      </w:r>
      <w:bookmarkEnd w:id="111"/>
    </w:p>
    <w:p>
      <w:pPr>
        <w:autoSpaceDE w:val="0"/>
        <w:autoSpaceDN w:val="0"/>
        <w:adjustRightInd w:val="0"/>
        <w:snapToGrid w:val="0"/>
        <w:spacing w:line="540" w:lineRule="exact"/>
        <w:ind w:right="620"/>
        <w:jc w:val="right"/>
        <w:outlineLvl w:val="1"/>
        <w:rPr>
          <w:rFonts w:ascii="仿宋_GB2312" w:eastAsia="仿宋_GB2312"/>
          <w:sz w:val="24"/>
          <w:szCs w:val="24"/>
          <w:highlight w:val="none"/>
        </w:rPr>
      </w:pPr>
      <w:bookmarkStart w:id="112" w:name="_Toc14141"/>
      <w:r>
        <w:rPr>
          <w:rFonts w:hint="eastAsia" w:ascii="仿宋_GB2312" w:eastAsia="仿宋_GB2312" w:cs="仿宋_GB2312"/>
          <w:sz w:val="24"/>
          <w:szCs w:val="24"/>
          <w:highlight w:val="none"/>
        </w:rPr>
        <w:t>单位：万元</w:t>
      </w:r>
      <w:bookmarkEnd w:id="112"/>
    </w:p>
    <w:tbl>
      <w:tblPr>
        <w:tblStyle w:val="5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012"/>
        <w:gridCol w:w="193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392" w:type="dxa"/>
            <w:vAlign w:val="center"/>
          </w:tcPr>
          <w:p>
            <w:pPr>
              <w:autoSpaceDE w:val="0"/>
              <w:autoSpaceDN w:val="0"/>
              <w:adjustRightInd w:val="0"/>
              <w:snapToGrid w:val="0"/>
              <w:spacing w:line="540" w:lineRule="exact"/>
              <w:jc w:val="center"/>
              <w:outlineLvl w:val="1"/>
              <w:rPr>
                <w:rFonts w:ascii="仿宋_GB2312" w:eastAsia="仿宋_GB2312"/>
                <w:b/>
                <w:bCs/>
                <w:sz w:val="24"/>
                <w:szCs w:val="24"/>
                <w:highlight w:val="none"/>
              </w:rPr>
            </w:pPr>
            <w:bookmarkStart w:id="113" w:name="_Toc9774"/>
            <w:r>
              <w:rPr>
                <w:rFonts w:hint="eastAsia" w:ascii="仿宋_GB2312" w:eastAsia="仿宋_GB2312" w:cs="仿宋_GB2312"/>
                <w:b/>
                <w:bCs/>
                <w:sz w:val="24"/>
                <w:szCs w:val="24"/>
                <w:highlight w:val="none"/>
              </w:rPr>
              <w:t>综合得分排名</w:t>
            </w:r>
            <w:bookmarkEnd w:id="113"/>
          </w:p>
        </w:tc>
        <w:tc>
          <w:tcPr>
            <w:tcW w:w="2012" w:type="dxa"/>
            <w:vAlign w:val="center"/>
          </w:tcPr>
          <w:p>
            <w:pPr>
              <w:autoSpaceDE w:val="0"/>
              <w:autoSpaceDN w:val="0"/>
              <w:adjustRightInd w:val="0"/>
              <w:snapToGrid w:val="0"/>
              <w:spacing w:line="540" w:lineRule="exact"/>
              <w:jc w:val="center"/>
              <w:outlineLvl w:val="1"/>
              <w:rPr>
                <w:rFonts w:ascii="仿宋_GB2312" w:eastAsia="仿宋_GB2312"/>
                <w:b/>
                <w:bCs/>
                <w:sz w:val="24"/>
                <w:szCs w:val="24"/>
                <w:highlight w:val="none"/>
              </w:rPr>
            </w:pPr>
            <w:bookmarkStart w:id="114" w:name="_Toc24654"/>
            <w:r>
              <w:rPr>
                <w:rFonts w:hint="eastAsia" w:ascii="仿宋_GB2312" w:eastAsia="仿宋_GB2312" w:cs="仿宋_GB2312"/>
                <w:b/>
                <w:bCs/>
                <w:sz w:val="24"/>
                <w:szCs w:val="24"/>
                <w:highlight w:val="none"/>
              </w:rPr>
              <w:t>中标金额</w:t>
            </w:r>
            <w:bookmarkEnd w:id="114"/>
          </w:p>
        </w:tc>
        <w:tc>
          <w:tcPr>
            <w:tcW w:w="1938" w:type="dxa"/>
            <w:vAlign w:val="center"/>
          </w:tcPr>
          <w:p>
            <w:pPr>
              <w:autoSpaceDE w:val="0"/>
              <w:autoSpaceDN w:val="0"/>
              <w:adjustRightInd w:val="0"/>
              <w:snapToGrid w:val="0"/>
              <w:spacing w:line="540" w:lineRule="exact"/>
              <w:jc w:val="center"/>
              <w:outlineLvl w:val="1"/>
              <w:rPr>
                <w:rFonts w:hint="eastAsia" w:ascii="仿宋_GB2312" w:eastAsia="仿宋_GB2312" w:cs="仿宋_GB2312"/>
                <w:b/>
                <w:bCs/>
                <w:sz w:val="24"/>
                <w:szCs w:val="24"/>
                <w:highlight w:val="none"/>
              </w:rPr>
            </w:pPr>
            <w:bookmarkStart w:id="115" w:name="_Toc10559"/>
            <w:r>
              <w:rPr>
                <w:rFonts w:hint="eastAsia" w:ascii="仿宋_GB2312" w:eastAsia="仿宋_GB2312" w:cs="仿宋_GB2312"/>
                <w:b/>
                <w:bCs/>
                <w:sz w:val="24"/>
                <w:szCs w:val="24"/>
                <w:highlight w:val="none"/>
              </w:rPr>
              <w:t>其中：</w:t>
            </w:r>
            <w:r>
              <w:rPr>
                <w:rFonts w:hint="eastAsia" w:ascii="仿宋_GB2312" w:eastAsia="仿宋_GB2312" w:cs="仿宋_GB2312"/>
                <w:b/>
                <w:bCs/>
                <w:sz w:val="24"/>
                <w:szCs w:val="24"/>
                <w:highlight w:val="none"/>
                <w:lang w:eastAsia="zh-CN"/>
              </w:rPr>
              <w:t>半</w:t>
            </w:r>
            <w:r>
              <w:rPr>
                <w:rFonts w:hint="eastAsia" w:ascii="仿宋_GB2312" w:eastAsia="仿宋_GB2312" w:cs="仿宋_GB2312"/>
                <w:b/>
                <w:bCs/>
                <w:sz w:val="24"/>
                <w:szCs w:val="24"/>
                <w:highlight w:val="none"/>
              </w:rPr>
              <w:t>年期</w:t>
            </w:r>
          </w:p>
        </w:tc>
        <w:tc>
          <w:tcPr>
            <w:tcW w:w="1938" w:type="dxa"/>
            <w:vAlign w:val="center"/>
          </w:tcPr>
          <w:p>
            <w:pPr>
              <w:autoSpaceDE w:val="0"/>
              <w:autoSpaceDN w:val="0"/>
              <w:adjustRightInd w:val="0"/>
              <w:snapToGrid w:val="0"/>
              <w:spacing w:line="540" w:lineRule="exact"/>
              <w:jc w:val="center"/>
              <w:outlineLvl w:val="1"/>
              <w:rPr>
                <w:rFonts w:ascii="仿宋_GB2312" w:eastAsia="仿宋_GB2312"/>
                <w:b/>
                <w:bCs/>
                <w:sz w:val="24"/>
                <w:szCs w:val="24"/>
                <w:highlight w:val="none"/>
              </w:rPr>
            </w:pPr>
            <w:r>
              <w:rPr>
                <w:rFonts w:hint="eastAsia" w:ascii="仿宋_GB2312" w:eastAsia="仿宋_GB2312" w:cs="仿宋_GB2312"/>
                <w:b/>
                <w:bCs/>
                <w:sz w:val="24"/>
                <w:szCs w:val="24"/>
                <w:highlight w:val="none"/>
              </w:rPr>
              <w:t>其中：一年期</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239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1</w:t>
            </w:r>
          </w:p>
        </w:tc>
        <w:tc>
          <w:tcPr>
            <w:tcW w:w="201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7000</w:t>
            </w:r>
          </w:p>
        </w:tc>
        <w:tc>
          <w:tcPr>
            <w:tcW w:w="1938"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3500</w:t>
            </w:r>
          </w:p>
        </w:tc>
        <w:tc>
          <w:tcPr>
            <w:tcW w:w="1938"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239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2</w:t>
            </w:r>
          </w:p>
        </w:tc>
        <w:tc>
          <w:tcPr>
            <w:tcW w:w="2012" w:type="dxa"/>
            <w:vAlign w:val="center"/>
          </w:tcPr>
          <w:p>
            <w:pPr>
              <w:jc w:val="center"/>
              <w:rPr>
                <w:color w:val="000000"/>
                <w:sz w:val="20"/>
                <w:szCs w:val="20"/>
                <w:highlight w:val="none"/>
              </w:rPr>
            </w:pPr>
            <w:r>
              <w:rPr>
                <w:rFonts w:hint="eastAsia"/>
                <w:color w:val="000000"/>
                <w:sz w:val="20"/>
                <w:szCs w:val="20"/>
                <w:highlight w:val="none"/>
                <w:lang w:val="en-US" w:eastAsia="zh-CN"/>
              </w:rPr>
              <w:t>5500</w:t>
            </w:r>
          </w:p>
        </w:tc>
        <w:tc>
          <w:tcPr>
            <w:tcW w:w="1938" w:type="dxa"/>
            <w:vAlign w:val="center"/>
          </w:tcPr>
          <w:p>
            <w:pPr>
              <w:jc w:val="center"/>
              <w:rPr>
                <w:rFonts w:hint="default"/>
                <w:color w:val="000000"/>
                <w:sz w:val="20"/>
                <w:szCs w:val="20"/>
                <w:highlight w:val="none"/>
                <w:lang w:val="en-US"/>
              </w:rPr>
            </w:pPr>
            <w:r>
              <w:rPr>
                <w:rFonts w:hint="eastAsia"/>
                <w:color w:val="000000"/>
                <w:sz w:val="20"/>
                <w:szCs w:val="20"/>
                <w:highlight w:val="none"/>
                <w:lang w:val="en-US" w:eastAsia="zh-CN"/>
              </w:rPr>
              <w:t>2750</w:t>
            </w:r>
          </w:p>
        </w:tc>
        <w:tc>
          <w:tcPr>
            <w:tcW w:w="1938" w:type="dxa"/>
            <w:vAlign w:val="center"/>
          </w:tcPr>
          <w:p>
            <w:pPr>
              <w:jc w:val="center"/>
              <w:rPr>
                <w:rFonts w:hint="default"/>
                <w:color w:val="000000"/>
                <w:sz w:val="20"/>
                <w:szCs w:val="20"/>
                <w:highlight w:val="none"/>
                <w:lang w:val="en-US"/>
              </w:rPr>
            </w:pPr>
            <w:r>
              <w:rPr>
                <w:rFonts w:hint="eastAsia"/>
                <w:color w:val="000000"/>
                <w:sz w:val="20"/>
                <w:szCs w:val="20"/>
                <w:highlight w:val="none"/>
                <w:lang w:val="en-US" w:eastAsia="zh-CN"/>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239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3</w:t>
            </w:r>
          </w:p>
        </w:tc>
        <w:tc>
          <w:tcPr>
            <w:tcW w:w="2012" w:type="dxa"/>
            <w:vAlign w:val="center"/>
          </w:tcPr>
          <w:p>
            <w:pPr>
              <w:jc w:val="center"/>
              <w:rPr>
                <w:rFonts w:hint="eastAsia"/>
                <w:color w:val="000000"/>
                <w:sz w:val="20"/>
                <w:szCs w:val="20"/>
                <w:highlight w:val="none"/>
                <w:lang w:eastAsia="zh-CN"/>
              </w:rPr>
            </w:pPr>
            <w:r>
              <w:rPr>
                <w:rFonts w:hint="eastAsia"/>
                <w:color w:val="000000"/>
                <w:sz w:val="20"/>
                <w:szCs w:val="20"/>
                <w:highlight w:val="none"/>
                <w:lang w:val="en-US" w:eastAsia="zh-CN"/>
              </w:rPr>
              <w:t>5500</w:t>
            </w:r>
          </w:p>
        </w:tc>
        <w:tc>
          <w:tcPr>
            <w:tcW w:w="1938" w:type="dxa"/>
            <w:vAlign w:val="center"/>
          </w:tcPr>
          <w:p>
            <w:pPr>
              <w:jc w:val="center"/>
              <w:rPr>
                <w:rFonts w:hint="default"/>
                <w:color w:val="000000"/>
                <w:sz w:val="20"/>
                <w:szCs w:val="20"/>
                <w:highlight w:val="none"/>
                <w:lang w:val="en-US" w:eastAsia="zh-CN"/>
              </w:rPr>
            </w:pPr>
            <w:r>
              <w:rPr>
                <w:rFonts w:hint="eastAsia"/>
                <w:color w:val="000000"/>
                <w:sz w:val="20"/>
                <w:szCs w:val="20"/>
                <w:highlight w:val="none"/>
                <w:lang w:val="en-US" w:eastAsia="zh-CN"/>
              </w:rPr>
              <w:t>2750</w:t>
            </w:r>
          </w:p>
        </w:tc>
        <w:tc>
          <w:tcPr>
            <w:tcW w:w="1938" w:type="dxa"/>
            <w:vAlign w:val="center"/>
          </w:tcPr>
          <w:p>
            <w:pPr>
              <w:jc w:val="center"/>
              <w:rPr>
                <w:rFonts w:hint="default"/>
                <w:color w:val="000000"/>
                <w:sz w:val="20"/>
                <w:szCs w:val="20"/>
                <w:highlight w:val="none"/>
                <w:lang w:val="en-US"/>
              </w:rPr>
            </w:pPr>
            <w:r>
              <w:rPr>
                <w:rFonts w:hint="eastAsia"/>
                <w:color w:val="000000"/>
                <w:sz w:val="20"/>
                <w:szCs w:val="20"/>
                <w:highlight w:val="none"/>
                <w:lang w:val="en-US" w:eastAsia="zh-CN"/>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239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4</w:t>
            </w:r>
          </w:p>
        </w:tc>
        <w:tc>
          <w:tcPr>
            <w:tcW w:w="2012" w:type="dxa"/>
            <w:vAlign w:val="center"/>
          </w:tcPr>
          <w:p>
            <w:pPr>
              <w:jc w:val="center"/>
              <w:rPr>
                <w:rFonts w:hint="eastAsia"/>
                <w:color w:val="000000"/>
                <w:sz w:val="20"/>
                <w:szCs w:val="20"/>
                <w:highlight w:val="none"/>
                <w:lang w:eastAsia="zh-CN"/>
              </w:rPr>
            </w:pPr>
            <w:r>
              <w:rPr>
                <w:rFonts w:hint="eastAsia"/>
                <w:color w:val="000000"/>
                <w:sz w:val="20"/>
                <w:szCs w:val="20"/>
                <w:highlight w:val="none"/>
                <w:lang w:val="en-US" w:eastAsia="zh-CN"/>
              </w:rPr>
              <w:t>4000</w:t>
            </w:r>
          </w:p>
        </w:tc>
        <w:tc>
          <w:tcPr>
            <w:tcW w:w="1938" w:type="dxa"/>
            <w:vAlign w:val="center"/>
          </w:tcPr>
          <w:p>
            <w:pPr>
              <w:jc w:val="center"/>
              <w:rPr>
                <w:rFonts w:hint="default"/>
                <w:color w:val="000000"/>
                <w:sz w:val="20"/>
                <w:szCs w:val="20"/>
                <w:highlight w:val="none"/>
                <w:lang w:val="en-US" w:eastAsia="zh-CN"/>
              </w:rPr>
            </w:pPr>
            <w:r>
              <w:rPr>
                <w:rFonts w:hint="eastAsia"/>
                <w:color w:val="000000"/>
                <w:sz w:val="20"/>
                <w:szCs w:val="20"/>
                <w:highlight w:val="none"/>
                <w:lang w:val="en-US" w:eastAsia="zh-CN"/>
              </w:rPr>
              <w:t>2000</w:t>
            </w:r>
          </w:p>
        </w:tc>
        <w:tc>
          <w:tcPr>
            <w:tcW w:w="1938" w:type="dxa"/>
            <w:vAlign w:val="center"/>
          </w:tcPr>
          <w:p>
            <w:pPr>
              <w:jc w:val="center"/>
              <w:rPr>
                <w:rFonts w:hint="default"/>
                <w:color w:val="000000"/>
                <w:sz w:val="20"/>
                <w:szCs w:val="20"/>
                <w:highlight w:val="none"/>
                <w:lang w:val="en-US"/>
              </w:rPr>
            </w:pPr>
            <w:r>
              <w:rPr>
                <w:rFonts w:hint="eastAsia"/>
                <w:color w:val="000000"/>
                <w:sz w:val="20"/>
                <w:szCs w:val="20"/>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239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5</w:t>
            </w:r>
          </w:p>
        </w:tc>
        <w:tc>
          <w:tcPr>
            <w:tcW w:w="201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4000</w:t>
            </w:r>
          </w:p>
        </w:tc>
        <w:tc>
          <w:tcPr>
            <w:tcW w:w="1938"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2000</w:t>
            </w:r>
          </w:p>
        </w:tc>
        <w:tc>
          <w:tcPr>
            <w:tcW w:w="1938" w:type="dxa"/>
            <w:vAlign w:val="center"/>
          </w:tcPr>
          <w:p>
            <w:pPr>
              <w:jc w:val="center"/>
              <w:rPr>
                <w:color w:val="000000"/>
                <w:sz w:val="20"/>
                <w:szCs w:val="20"/>
                <w:highlight w:val="none"/>
              </w:rPr>
            </w:pPr>
            <w:r>
              <w:rPr>
                <w:rFonts w:hint="eastAsia"/>
                <w:color w:val="000000"/>
                <w:sz w:val="20"/>
                <w:szCs w:val="20"/>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239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6</w:t>
            </w:r>
          </w:p>
        </w:tc>
        <w:tc>
          <w:tcPr>
            <w:tcW w:w="201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4000</w:t>
            </w:r>
          </w:p>
        </w:tc>
        <w:tc>
          <w:tcPr>
            <w:tcW w:w="1938"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2000</w:t>
            </w:r>
          </w:p>
        </w:tc>
        <w:tc>
          <w:tcPr>
            <w:tcW w:w="1938" w:type="dxa"/>
            <w:vAlign w:val="center"/>
          </w:tcPr>
          <w:p>
            <w:pPr>
              <w:jc w:val="center"/>
              <w:rPr>
                <w:color w:val="000000"/>
                <w:sz w:val="20"/>
                <w:szCs w:val="20"/>
                <w:highlight w:val="none"/>
              </w:rPr>
            </w:pPr>
            <w:r>
              <w:rPr>
                <w:rFonts w:hint="eastAsia"/>
                <w:color w:val="000000"/>
                <w:sz w:val="20"/>
                <w:szCs w:val="20"/>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9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汇总</w:t>
            </w:r>
          </w:p>
        </w:tc>
        <w:tc>
          <w:tcPr>
            <w:tcW w:w="2012"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30000</w:t>
            </w:r>
          </w:p>
        </w:tc>
        <w:tc>
          <w:tcPr>
            <w:tcW w:w="1938"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15000</w:t>
            </w:r>
          </w:p>
        </w:tc>
        <w:tc>
          <w:tcPr>
            <w:tcW w:w="1938" w:type="dxa"/>
            <w:vAlign w:val="center"/>
          </w:tcPr>
          <w:p>
            <w:pPr>
              <w:jc w:val="center"/>
              <w:rPr>
                <w:rFonts w:hint="eastAsia"/>
                <w:color w:val="000000"/>
                <w:sz w:val="20"/>
                <w:szCs w:val="20"/>
                <w:highlight w:val="none"/>
                <w:lang w:val="en-US" w:eastAsia="zh-CN"/>
              </w:rPr>
            </w:pPr>
            <w:r>
              <w:rPr>
                <w:rFonts w:hint="eastAsia"/>
                <w:color w:val="000000"/>
                <w:sz w:val="20"/>
                <w:szCs w:val="20"/>
                <w:highlight w:val="none"/>
                <w:lang w:val="en-US" w:eastAsia="zh-CN"/>
              </w:rPr>
              <w:t>15000</w:t>
            </w:r>
          </w:p>
        </w:tc>
      </w:tr>
    </w:tbl>
    <w:p>
      <w:pPr>
        <w:autoSpaceDE w:val="0"/>
        <w:autoSpaceDN w:val="0"/>
        <w:adjustRightInd w:val="0"/>
        <w:snapToGrid w:val="0"/>
        <w:spacing w:line="540" w:lineRule="exact"/>
        <w:ind w:left="0" w:leftChars="0" w:firstLine="0" w:firstLineChars="0"/>
        <w:rPr>
          <w:rFonts w:hint="eastAsia" w:ascii="仿宋" w:hAnsi="仿宋" w:eastAsia="仿宋" w:cs="仿宋"/>
          <w:sz w:val="28"/>
          <w:szCs w:val="28"/>
          <w:highlight w:val="none"/>
          <w:lang w:val="en-US" w:eastAsia="zh-CN"/>
        </w:rPr>
      </w:pPr>
    </w:p>
    <w:p>
      <w:pPr>
        <w:numPr>
          <w:ilvl w:val="0"/>
          <w:numId w:val="14"/>
        </w:numPr>
        <w:spacing w:line="560" w:lineRule="exact"/>
        <w:ind w:leftChars="300"/>
        <w:rPr>
          <w:rFonts w:hint="eastAsia" w:ascii="仿宋" w:hAnsi="仿宋" w:eastAsia="仿宋" w:cs="仿宋"/>
          <w:b/>
          <w:bCs/>
          <w:sz w:val="28"/>
          <w:szCs w:val="28"/>
          <w:highlight w:val="none"/>
          <w:lang w:val="zh-CN"/>
        </w:rPr>
      </w:pPr>
      <w:bookmarkStart w:id="116" w:name="_Toc24708497"/>
      <w:bookmarkStart w:id="117" w:name="_Toc356371476"/>
      <w:r>
        <w:rPr>
          <w:rFonts w:hint="eastAsia" w:ascii="仿宋" w:hAnsi="仿宋" w:eastAsia="仿宋" w:cs="仿宋"/>
          <w:b/>
          <w:bCs/>
          <w:sz w:val="28"/>
          <w:szCs w:val="28"/>
          <w:highlight w:val="none"/>
          <w:lang w:val="zh-CN"/>
        </w:rPr>
        <w:t>开评标程序</w:t>
      </w:r>
      <w:bookmarkEnd w:id="116"/>
      <w:bookmarkEnd w:id="117"/>
      <w:r>
        <w:rPr>
          <w:rFonts w:hint="eastAsia" w:ascii="仿宋" w:hAnsi="仿宋" w:eastAsia="仿宋" w:cs="仿宋"/>
          <w:b/>
          <w:bCs/>
          <w:sz w:val="28"/>
          <w:szCs w:val="28"/>
          <w:highlight w:val="none"/>
          <w:lang w:val="en-US" w:eastAsia="zh-CN"/>
        </w:rPr>
        <w:t>++</w:t>
      </w:r>
    </w:p>
    <w:p>
      <w:pPr>
        <w:numPr>
          <w:ilvl w:val="0"/>
          <w:numId w:val="0"/>
        </w:numPr>
        <w:spacing w:line="560" w:lineRule="exact"/>
        <w:ind w:firstLine="562"/>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1.工作人员宣布评标会开始。</w:t>
      </w:r>
    </w:p>
    <w:p>
      <w:pPr>
        <w:numPr>
          <w:ilvl w:val="0"/>
          <w:numId w:val="0"/>
        </w:numPr>
        <w:spacing w:line="560" w:lineRule="exact"/>
        <w:ind w:firstLine="562"/>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2.评标委员会开始独立电子评标，如有疑问，可对投标人进行现场电话询标，投标人要向评标委员会澄清有关问题，并最终以书面的形式进行答复。</w:t>
      </w:r>
    </w:p>
    <w:p>
      <w:pPr>
        <w:numPr>
          <w:ilvl w:val="0"/>
          <w:numId w:val="0"/>
        </w:numPr>
        <w:spacing w:line="560" w:lineRule="exact"/>
        <w:ind w:firstLine="562"/>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3.评标委员会向工作人员提交经各评标委员会成员签字的书面评定结果，并按评标办法推荐中标候选人。工作人员宣布中标人综合得分、得分排名及中标金额。</w:t>
      </w:r>
    </w:p>
    <w:p>
      <w:pPr>
        <w:numPr>
          <w:ilvl w:val="0"/>
          <w:numId w:val="0"/>
        </w:numPr>
        <w:spacing w:line="560" w:lineRule="exact"/>
        <w:ind w:firstLine="562"/>
        <w:rPr>
          <w:rFonts w:hint="eastAsia" w:ascii="仿宋" w:hAnsi="仿宋" w:eastAsia="仿宋" w:cs="仿宋"/>
          <w:b/>
          <w:bCs/>
          <w:sz w:val="28"/>
          <w:szCs w:val="28"/>
          <w:highlight w:val="none"/>
          <w:lang w:val="en-US" w:eastAsia="zh-CN"/>
        </w:rPr>
      </w:pPr>
      <w:r>
        <w:rPr>
          <w:rFonts w:hint="eastAsia" w:ascii="仿宋" w:hAnsi="仿宋" w:eastAsia="仿宋" w:cs="仿宋"/>
          <w:b w:val="0"/>
          <w:bCs w:val="0"/>
          <w:sz w:val="28"/>
          <w:szCs w:val="28"/>
          <w:highlight w:val="none"/>
          <w:lang w:val="en-US" w:eastAsia="zh-CN"/>
        </w:rPr>
        <w:t>4.工作人员宣布开标会结束。</w:t>
      </w:r>
    </w:p>
    <w:p>
      <w:pPr>
        <w:rPr>
          <w:rFonts w:hint="eastAsia" w:ascii="仿宋" w:hAnsi="仿宋" w:eastAsia="仿宋" w:cs="仿宋"/>
          <w:sz w:val="28"/>
          <w:szCs w:val="28"/>
          <w:highlight w:val="none"/>
        </w:rPr>
      </w:pP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Arial"/>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altName w:val="Times New Roman"/>
    <w:panose1 w:val="02020404030301010803"/>
    <w:charset w:val="00"/>
    <w:family w:val="roman"/>
    <w:pitch w:val="default"/>
    <w:sig w:usb0="00000000" w:usb1="00000000" w:usb2="00000000" w:usb3="00000000" w:csb0="0000009F" w:csb1="DFD70000"/>
  </w:font>
  <w:font w:name="Book Antiqua">
    <w:altName w:val="Georgia"/>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01" w:csb1="00000000"/>
  </w:font>
  <w:font w:name="Univers">
    <w:altName w:val="Arial"/>
    <w:panose1 w:val="020B060302020203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6"/>
      </w:rPr>
    </w:pPr>
    <w:r>
      <w:rPr>
        <w:rFonts w:hint="eastAsia" w:cs="宋体"/>
      </w:rPr>
      <w:t>第</w:t>
    </w:r>
    <w:r>
      <w:rPr>
        <w:rStyle w:val="66"/>
      </w:rPr>
      <w:fldChar w:fldCharType="begin"/>
    </w:r>
    <w:r>
      <w:rPr>
        <w:rStyle w:val="66"/>
      </w:rPr>
      <w:instrText xml:space="preserve"> PAGE </w:instrText>
    </w:r>
    <w:r>
      <w:rPr>
        <w:rStyle w:val="66"/>
      </w:rPr>
      <w:fldChar w:fldCharType="separate"/>
    </w:r>
    <w:r>
      <w:rPr>
        <w:rStyle w:val="66"/>
      </w:rPr>
      <w:t>2</w:t>
    </w:r>
    <w:r>
      <w:rPr>
        <w:rStyle w:val="66"/>
      </w:rPr>
      <w:fldChar w:fldCharType="end"/>
    </w:r>
    <w:r>
      <w:rPr>
        <w:rStyle w:val="66"/>
        <w:rFonts w:hint="eastAsia" w:cs="宋体"/>
      </w:rPr>
      <w:t>页</w:t>
    </w:r>
    <w:r>
      <w:rPr>
        <w:rStyle w:val="66"/>
      </w:rPr>
      <w:t xml:space="preserve"> </w:t>
    </w:r>
    <w:r>
      <w:rPr>
        <w:rStyle w:val="66"/>
        <w:rFonts w:hint="eastAsia" w:cs="宋体"/>
      </w:rPr>
      <w:t>共</w:t>
    </w:r>
    <w:r>
      <w:rPr>
        <w:rStyle w:val="66"/>
      </w:rPr>
      <w:fldChar w:fldCharType="begin"/>
    </w:r>
    <w:r>
      <w:rPr>
        <w:rStyle w:val="66"/>
      </w:rPr>
      <w:instrText xml:space="preserve"> NUMPAGES </w:instrText>
    </w:r>
    <w:r>
      <w:rPr>
        <w:rStyle w:val="66"/>
      </w:rPr>
      <w:fldChar w:fldCharType="separate"/>
    </w:r>
    <w:r>
      <w:rPr>
        <w:rStyle w:val="66"/>
      </w:rPr>
      <w:t>29</w:t>
    </w:r>
    <w:r>
      <w:rPr>
        <w:rStyle w:val="66"/>
      </w:rPr>
      <w:fldChar w:fldCharType="end"/>
    </w:r>
    <w:r>
      <w:rPr>
        <w:rStyle w:val="66"/>
        <w:rFonts w:hint="eastAsia" w:cs="宋体"/>
      </w:rPr>
      <w:t>页</w:t>
    </w:r>
  </w:p>
  <w:p>
    <w:pPr>
      <w:pStyle w:val="38"/>
      <w:pBdr>
        <w:top w:val="single" w:color="auto" w:sz="4" w:space="1"/>
      </w:pBdr>
      <w:jc w:val="center"/>
    </w:pPr>
    <w:r>
      <w:rPr>
        <w:rFonts w:hint="eastAsia" w:cs="宋体"/>
      </w:rPr>
      <w:t>江山市政府采购中心</w:t>
    </w:r>
    <w:r>
      <w:t xml:space="preserve">                                                   </w:t>
    </w:r>
    <w:r>
      <w:rPr>
        <w:rFonts w:hint="eastAsia" w:ascii="宋体" w:hAnsi="宋体" w:cs="宋体"/>
      </w:rPr>
      <w:t>网址：</w:t>
    </w:r>
    <w:r>
      <w:fldChar w:fldCharType="begin"/>
    </w:r>
    <w:r>
      <w:instrText xml:space="preserve"> HYPERLINK "http://www.qzggzy.com/" </w:instrText>
    </w:r>
    <w:r>
      <w:fldChar w:fldCharType="separate"/>
    </w:r>
    <w:r>
      <w:rPr>
        <w:rStyle w:val="69"/>
        <w:color w:val="auto"/>
      </w:rPr>
      <w:t>http://</w:t>
    </w:r>
    <w:r>
      <w:rPr>
        <w:u w:val="single"/>
      </w:rPr>
      <w:t xml:space="preserve"> ggzy.qz.gov.cn</w:t>
    </w:r>
    <w:r>
      <w:t xml:space="preserve">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single" w:color="auto" w:sz="4" w:space="1"/>
        <w:right w:val="none" w:color="auto" w:sz="0" w:space="0"/>
      </w:pBdr>
      <w:jc w:val="center"/>
      <w:rPr>
        <w:rFonts w:hint="eastAsia" w:ascii="仿宋_GB2312" w:hAnsi="宋体" w:eastAsia="仿宋_GB2312"/>
        <w:color w:val="000000"/>
        <w:sz w:val="20"/>
        <w:szCs w:val="20"/>
        <w:lang w:eastAsia="zh-CN"/>
      </w:rPr>
    </w:pPr>
    <w:r>
      <w:rPr>
        <w:rFonts w:hint="eastAsia" w:ascii="仿宋_GB2312" w:hAnsi="宋体" w:eastAsia="仿宋_GB2312"/>
        <w:color w:val="000000"/>
        <w:sz w:val="20"/>
        <w:szCs w:val="20"/>
        <w:lang w:eastAsia="zh-CN"/>
      </w:rPr>
      <w:t>江山市财政国库支付中心</w:t>
    </w:r>
    <w:r>
      <w:rPr>
        <w:rFonts w:hint="eastAsia" w:ascii="仿宋_GB2312" w:hAnsi="宋体" w:eastAsia="仿宋_GB2312"/>
        <w:color w:val="000000"/>
        <w:sz w:val="20"/>
        <w:szCs w:val="20"/>
        <w:lang w:val="en-US" w:eastAsia="zh-CN"/>
      </w:rPr>
      <w:t>2025年第1期公款竞争性存放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none"/>
      <w:pStyle w:val="187"/>
      <w:suff w:val="nothing"/>
      <w:lvlText w:val="%1"/>
      <w:lvlJc w:val="left"/>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1">
    <w:nsid w:val="0000000B"/>
    <w:multiLevelType w:val="multilevel"/>
    <w:tmpl w:val="0000000B"/>
    <w:lvl w:ilvl="0" w:tentative="0">
      <w:start w:val="1"/>
      <w:numFmt w:val="bullet"/>
      <w:pStyle w:val="18"/>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pStyle w:val="27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singleLevel"/>
    <w:tmpl w:val="00000015"/>
    <w:lvl w:ilvl="0" w:tentative="0">
      <w:start w:val="1"/>
      <w:numFmt w:val="decimal"/>
      <w:pStyle w:val="223"/>
      <w:lvlText w:val="%1．"/>
      <w:lvlJc w:val="left"/>
      <w:pPr>
        <w:tabs>
          <w:tab w:val="left" w:pos="360"/>
        </w:tabs>
        <w:ind w:left="245" w:hanging="245"/>
      </w:pPr>
      <w:rPr>
        <w:rFonts w:ascii="Times New Roman" w:hAnsi="Times New Roman" w:eastAsia="Times New Roman"/>
      </w:rPr>
    </w:lvl>
  </w:abstractNum>
  <w:abstractNum w:abstractNumId="4">
    <w:nsid w:val="00000016"/>
    <w:multiLevelType w:val="multilevel"/>
    <w:tmpl w:val="00000016"/>
    <w:lvl w:ilvl="0" w:tentative="0">
      <w:start w:val="1"/>
      <w:numFmt w:val="decimal"/>
      <w:pStyle w:val="234"/>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8"/>
    <w:multiLevelType w:val="multilevel"/>
    <w:tmpl w:val="00000018"/>
    <w:lvl w:ilvl="0" w:tentative="0">
      <w:start w:val="1"/>
      <w:numFmt w:val="bullet"/>
      <w:pStyle w:val="213"/>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0000001A"/>
    <w:multiLevelType w:val="multilevel"/>
    <w:tmpl w:val="0000001A"/>
    <w:lvl w:ilvl="0" w:tentative="0">
      <w:start w:val="1"/>
      <w:numFmt w:val="decimal"/>
      <w:pStyle w:val="226"/>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cs="Arial (W1)"/>
        <w:b/>
        <w:bCs/>
        <w:i w:val="0"/>
        <w:iCs w:val="0"/>
        <w:sz w:val="28"/>
        <w:szCs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7">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86"/>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5"/>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3"/>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A728CC"/>
    <w:multiLevelType w:val="multilevel"/>
    <w:tmpl w:val="1AA728CC"/>
    <w:lvl w:ilvl="0" w:tentative="0">
      <w:start w:val="1"/>
      <w:numFmt w:val="lowerLetter"/>
      <w:pStyle w:val="6"/>
      <w:lvlText w:val="%1)"/>
      <w:lvlJc w:val="left"/>
      <w:pPr>
        <w:ind w:left="420" w:hanging="420"/>
      </w:pPr>
    </w:lvl>
    <w:lvl w:ilvl="1" w:tentative="0">
      <w:start w:val="1"/>
      <w:numFmt w:val="lowerLetter"/>
      <w:pStyle w:val="211"/>
      <w:lvlText w:val="%2)"/>
      <w:lvlJc w:val="left"/>
      <w:pPr>
        <w:ind w:left="840" w:hanging="420"/>
      </w:pPr>
    </w:lvl>
    <w:lvl w:ilvl="2" w:tentative="0">
      <w:start w:val="1"/>
      <w:numFmt w:val="lowerRoman"/>
      <w:pStyle w:val="230"/>
      <w:lvlText w:val="%3."/>
      <w:lvlJc w:val="right"/>
      <w:pPr>
        <w:ind w:left="1260" w:hanging="420"/>
      </w:pPr>
    </w:lvl>
    <w:lvl w:ilvl="3" w:tentative="0">
      <w:start w:val="1"/>
      <w:numFmt w:val="decimal"/>
      <w:pStyle w:val="284"/>
      <w:lvlText w:val="%4."/>
      <w:lvlJc w:val="left"/>
      <w:pPr>
        <w:ind w:left="1680" w:hanging="420"/>
      </w:pPr>
    </w:lvl>
    <w:lvl w:ilvl="4" w:tentative="0">
      <w:start w:val="1"/>
      <w:numFmt w:val="lowerLetter"/>
      <w:pStyle w:val="185"/>
      <w:lvlText w:val="%5)"/>
      <w:lvlJc w:val="left"/>
      <w:pPr>
        <w:ind w:left="2100" w:hanging="420"/>
      </w:pPr>
    </w:lvl>
    <w:lvl w:ilvl="5" w:tentative="0">
      <w:start w:val="1"/>
      <w:numFmt w:val="lowerRoman"/>
      <w:pStyle w:val="217"/>
      <w:lvlText w:val="%6."/>
      <w:lvlJc w:val="right"/>
      <w:pPr>
        <w:ind w:left="2520" w:hanging="420"/>
      </w:pPr>
    </w:lvl>
    <w:lvl w:ilvl="6" w:tentative="0">
      <w:start w:val="1"/>
      <w:numFmt w:val="decimal"/>
      <w:pStyle w:val="195"/>
      <w:lvlText w:val="%7."/>
      <w:lvlJc w:val="left"/>
      <w:pPr>
        <w:ind w:left="2940" w:hanging="420"/>
      </w:pPr>
    </w:lvl>
    <w:lvl w:ilvl="7" w:tentative="0">
      <w:start w:val="1"/>
      <w:numFmt w:val="lowerLetter"/>
      <w:pStyle w:val="287"/>
      <w:lvlText w:val="%8)"/>
      <w:lvlJc w:val="left"/>
      <w:pPr>
        <w:ind w:left="3360" w:hanging="420"/>
      </w:pPr>
    </w:lvl>
    <w:lvl w:ilvl="8" w:tentative="0">
      <w:start w:val="1"/>
      <w:numFmt w:val="lowerRoman"/>
      <w:pStyle w:val="272"/>
      <w:lvlText w:val="%9."/>
      <w:lvlJc w:val="right"/>
      <w:pPr>
        <w:ind w:left="3780" w:hanging="420"/>
      </w:pPr>
    </w:lvl>
  </w:abstractNum>
  <w:abstractNum w:abstractNumId="11">
    <w:nsid w:val="1C6A3682"/>
    <w:multiLevelType w:val="multilevel"/>
    <w:tmpl w:val="1C6A3682"/>
    <w:lvl w:ilvl="0" w:tentative="0">
      <w:start w:val="1"/>
      <w:numFmt w:val="chineseCountingThousand"/>
      <w:suff w:val="space"/>
      <w:lvlText w:val="%1"/>
      <w:lvlJc w:val="left"/>
      <w:pPr>
        <w:ind w:firstLine="567"/>
      </w:pPr>
      <w:rPr>
        <w:rFonts w:hint="eastAsia"/>
      </w:rPr>
    </w:lvl>
    <w:lvl w:ilvl="1" w:tentative="0">
      <w:start w:val="1"/>
      <w:numFmt w:val="decimal"/>
      <w:suff w:val="space"/>
      <w:lvlText w:val="%2."/>
      <w:lvlJc w:val="left"/>
      <w:pPr>
        <w:ind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48EF408"/>
    <w:multiLevelType w:val="singleLevel"/>
    <w:tmpl w:val="648EF408"/>
    <w:lvl w:ilvl="0" w:tentative="0">
      <w:start w:val="5"/>
      <w:numFmt w:val="chineseCounting"/>
      <w:suff w:val="nothing"/>
      <w:lvlText w:val="%1、"/>
      <w:lvlJc w:val="left"/>
    </w:lvl>
  </w:abstractNum>
  <w:abstractNum w:abstractNumId="13">
    <w:nsid w:val="66972295"/>
    <w:multiLevelType w:val="singleLevel"/>
    <w:tmpl w:val="66972295"/>
    <w:lvl w:ilvl="0" w:tentative="0">
      <w:start w:val="1"/>
      <w:numFmt w:val="chineseCounting"/>
      <w:suff w:val="nothing"/>
      <w:lvlText w:val="(%1)"/>
      <w:lvlJc w:val="left"/>
    </w:lvl>
  </w:abstractNum>
  <w:num w:numId="1">
    <w:abstractNumId w:val="10"/>
  </w:num>
  <w:num w:numId="2">
    <w:abstractNumId w:val="1"/>
  </w:num>
  <w:num w:numId="3">
    <w:abstractNumId w:val="7"/>
  </w:num>
  <w:num w:numId="4">
    <w:abstractNumId w:val="0"/>
  </w:num>
  <w:num w:numId="5">
    <w:abstractNumId w:val="9"/>
  </w:num>
  <w:num w:numId="6">
    <w:abstractNumId w:val="5"/>
  </w:num>
  <w:num w:numId="7">
    <w:abstractNumId w:val="3"/>
  </w:num>
  <w:num w:numId="8">
    <w:abstractNumId w:val="6"/>
  </w:num>
  <w:num w:numId="9">
    <w:abstractNumId w:val="4"/>
  </w:num>
  <w:num w:numId="10">
    <w:abstractNumId w:val="2"/>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NotTrackMoves/>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NmUxNzQ5OGY3YWM5NmZkY2Q0MDdhZjljMGQ5NGIifQ=="/>
    <w:docVar w:name="KSO_WPS_MARK_KEY" w:val="7d519cf7-bdad-409a-b930-b6f18ddb6ec3"/>
  </w:docVars>
  <w:rsids>
    <w:rsidRoot w:val="00172A27"/>
    <w:rsid w:val="00001368"/>
    <w:rsid w:val="000054AD"/>
    <w:rsid w:val="00005D4A"/>
    <w:rsid w:val="00005DC7"/>
    <w:rsid w:val="00006B4E"/>
    <w:rsid w:val="00006DDD"/>
    <w:rsid w:val="00010879"/>
    <w:rsid w:val="00010D30"/>
    <w:rsid w:val="00011304"/>
    <w:rsid w:val="00011513"/>
    <w:rsid w:val="000127E7"/>
    <w:rsid w:val="00012E6D"/>
    <w:rsid w:val="00012F08"/>
    <w:rsid w:val="000141D1"/>
    <w:rsid w:val="0001491E"/>
    <w:rsid w:val="0001629B"/>
    <w:rsid w:val="00016FE2"/>
    <w:rsid w:val="00020152"/>
    <w:rsid w:val="00021252"/>
    <w:rsid w:val="0002128C"/>
    <w:rsid w:val="000227A9"/>
    <w:rsid w:val="00024333"/>
    <w:rsid w:val="00024BCF"/>
    <w:rsid w:val="000252FD"/>
    <w:rsid w:val="00025414"/>
    <w:rsid w:val="00025582"/>
    <w:rsid w:val="00030418"/>
    <w:rsid w:val="000305AD"/>
    <w:rsid w:val="00031F61"/>
    <w:rsid w:val="0003300E"/>
    <w:rsid w:val="0003452C"/>
    <w:rsid w:val="00034868"/>
    <w:rsid w:val="00035C9C"/>
    <w:rsid w:val="0003664D"/>
    <w:rsid w:val="0003776A"/>
    <w:rsid w:val="00040956"/>
    <w:rsid w:val="00040A06"/>
    <w:rsid w:val="00040E34"/>
    <w:rsid w:val="00040F79"/>
    <w:rsid w:val="00041B22"/>
    <w:rsid w:val="00041D1D"/>
    <w:rsid w:val="00044EFC"/>
    <w:rsid w:val="00045B61"/>
    <w:rsid w:val="00045E9D"/>
    <w:rsid w:val="0004606F"/>
    <w:rsid w:val="0004706F"/>
    <w:rsid w:val="0004737B"/>
    <w:rsid w:val="00047BE9"/>
    <w:rsid w:val="000504C3"/>
    <w:rsid w:val="000523C3"/>
    <w:rsid w:val="00052ED3"/>
    <w:rsid w:val="000532FB"/>
    <w:rsid w:val="00054B8F"/>
    <w:rsid w:val="000554B5"/>
    <w:rsid w:val="0005682D"/>
    <w:rsid w:val="0005708D"/>
    <w:rsid w:val="0005727F"/>
    <w:rsid w:val="000611BF"/>
    <w:rsid w:val="0006128F"/>
    <w:rsid w:val="000643EB"/>
    <w:rsid w:val="0006566F"/>
    <w:rsid w:val="0006667C"/>
    <w:rsid w:val="00066F33"/>
    <w:rsid w:val="00067C45"/>
    <w:rsid w:val="00067E99"/>
    <w:rsid w:val="000704D2"/>
    <w:rsid w:val="00071707"/>
    <w:rsid w:val="00071829"/>
    <w:rsid w:val="000720A2"/>
    <w:rsid w:val="0007308C"/>
    <w:rsid w:val="00073189"/>
    <w:rsid w:val="000734DB"/>
    <w:rsid w:val="00073511"/>
    <w:rsid w:val="0007419F"/>
    <w:rsid w:val="0007454F"/>
    <w:rsid w:val="000747D9"/>
    <w:rsid w:val="00074940"/>
    <w:rsid w:val="00075C0A"/>
    <w:rsid w:val="00075D20"/>
    <w:rsid w:val="00076158"/>
    <w:rsid w:val="00076614"/>
    <w:rsid w:val="00080346"/>
    <w:rsid w:val="00080609"/>
    <w:rsid w:val="000808D4"/>
    <w:rsid w:val="000813FA"/>
    <w:rsid w:val="000824B0"/>
    <w:rsid w:val="00082831"/>
    <w:rsid w:val="00082ECF"/>
    <w:rsid w:val="0008320D"/>
    <w:rsid w:val="00083823"/>
    <w:rsid w:val="00085C13"/>
    <w:rsid w:val="00086379"/>
    <w:rsid w:val="00087119"/>
    <w:rsid w:val="0009020B"/>
    <w:rsid w:val="0009031B"/>
    <w:rsid w:val="00091EB1"/>
    <w:rsid w:val="0009274A"/>
    <w:rsid w:val="00093407"/>
    <w:rsid w:val="00093559"/>
    <w:rsid w:val="000937EF"/>
    <w:rsid w:val="00093EA1"/>
    <w:rsid w:val="00094E29"/>
    <w:rsid w:val="00095EA6"/>
    <w:rsid w:val="00096ED1"/>
    <w:rsid w:val="00097E54"/>
    <w:rsid w:val="000A03EB"/>
    <w:rsid w:val="000A0B2B"/>
    <w:rsid w:val="000A1A2A"/>
    <w:rsid w:val="000A2B29"/>
    <w:rsid w:val="000A32DB"/>
    <w:rsid w:val="000A403E"/>
    <w:rsid w:val="000A5789"/>
    <w:rsid w:val="000A6466"/>
    <w:rsid w:val="000A6ECD"/>
    <w:rsid w:val="000A7298"/>
    <w:rsid w:val="000B012E"/>
    <w:rsid w:val="000B0802"/>
    <w:rsid w:val="000B083C"/>
    <w:rsid w:val="000B118B"/>
    <w:rsid w:val="000B198C"/>
    <w:rsid w:val="000B238C"/>
    <w:rsid w:val="000B287C"/>
    <w:rsid w:val="000B2A27"/>
    <w:rsid w:val="000B2E81"/>
    <w:rsid w:val="000B43C6"/>
    <w:rsid w:val="000B5EB6"/>
    <w:rsid w:val="000B63D7"/>
    <w:rsid w:val="000B65FD"/>
    <w:rsid w:val="000C0902"/>
    <w:rsid w:val="000C169E"/>
    <w:rsid w:val="000C68CB"/>
    <w:rsid w:val="000C69BF"/>
    <w:rsid w:val="000C7F0D"/>
    <w:rsid w:val="000D03A1"/>
    <w:rsid w:val="000D0627"/>
    <w:rsid w:val="000D07C3"/>
    <w:rsid w:val="000D184A"/>
    <w:rsid w:val="000D255E"/>
    <w:rsid w:val="000D28D5"/>
    <w:rsid w:val="000D4886"/>
    <w:rsid w:val="000D4B1F"/>
    <w:rsid w:val="000D5250"/>
    <w:rsid w:val="000D55DC"/>
    <w:rsid w:val="000D6319"/>
    <w:rsid w:val="000D7176"/>
    <w:rsid w:val="000D72E2"/>
    <w:rsid w:val="000D75B2"/>
    <w:rsid w:val="000E12CA"/>
    <w:rsid w:val="000E61C3"/>
    <w:rsid w:val="000E7B99"/>
    <w:rsid w:val="000E7E59"/>
    <w:rsid w:val="000E7EF6"/>
    <w:rsid w:val="000F0752"/>
    <w:rsid w:val="000F0A9A"/>
    <w:rsid w:val="000F1C8B"/>
    <w:rsid w:val="000F1DD3"/>
    <w:rsid w:val="000F22C9"/>
    <w:rsid w:val="000F2DF8"/>
    <w:rsid w:val="000F2F7C"/>
    <w:rsid w:val="000F326C"/>
    <w:rsid w:val="000F3D25"/>
    <w:rsid w:val="000F441D"/>
    <w:rsid w:val="000F6BE1"/>
    <w:rsid w:val="000F78A6"/>
    <w:rsid w:val="000F7B27"/>
    <w:rsid w:val="000F7BCF"/>
    <w:rsid w:val="0010006B"/>
    <w:rsid w:val="00100C34"/>
    <w:rsid w:val="001011F6"/>
    <w:rsid w:val="001018CC"/>
    <w:rsid w:val="00102CD3"/>
    <w:rsid w:val="00102D4D"/>
    <w:rsid w:val="00103527"/>
    <w:rsid w:val="00103EF4"/>
    <w:rsid w:val="00105E66"/>
    <w:rsid w:val="00105EE8"/>
    <w:rsid w:val="001061B6"/>
    <w:rsid w:val="001062FC"/>
    <w:rsid w:val="00106D8D"/>
    <w:rsid w:val="00107490"/>
    <w:rsid w:val="001076D4"/>
    <w:rsid w:val="00111FCD"/>
    <w:rsid w:val="0011241C"/>
    <w:rsid w:val="001132D9"/>
    <w:rsid w:val="001148E5"/>
    <w:rsid w:val="00117C63"/>
    <w:rsid w:val="00117D03"/>
    <w:rsid w:val="00120B7A"/>
    <w:rsid w:val="00120EA3"/>
    <w:rsid w:val="0012233B"/>
    <w:rsid w:val="00122505"/>
    <w:rsid w:val="00122756"/>
    <w:rsid w:val="00122D07"/>
    <w:rsid w:val="00123571"/>
    <w:rsid w:val="001241FA"/>
    <w:rsid w:val="001243E3"/>
    <w:rsid w:val="00124508"/>
    <w:rsid w:val="00124A3B"/>
    <w:rsid w:val="00124E1B"/>
    <w:rsid w:val="00124F19"/>
    <w:rsid w:val="00125A04"/>
    <w:rsid w:val="00126E7A"/>
    <w:rsid w:val="00126F46"/>
    <w:rsid w:val="001273DF"/>
    <w:rsid w:val="00130C8C"/>
    <w:rsid w:val="001310E9"/>
    <w:rsid w:val="001313AE"/>
    <w:rsid w:val="00132831"/>
    <w:rsid w:val="001329BD"/>
    <w:rsid w:val="001337C8"/>
    <w:rsid w:val="0013595A"/>
    <w:rsid w:val="00141659"/>
    <w:rsid w:val="00143784"/>
    <w:rsid w:val="00143821"/>
    <w:rsid w:val="001439A4"/>
    <w:rsid w:val="00143B10"/>
    <w:rsid w:val="00143D8A"/>
    <w:rsid w:val="001445BC"/>
    <w:rsid w:val="0014479B"/>
    <w:rsid w:val="00144A98"/>
    <w:rsid w:val="00146B32"/>
    <w:rsid w:val="00147709"/>
    <w:rsid w:val="00147BC2"/>
    <w:rsid w:val="00150907"/>
    <w:rsid w:val="0015199D"/>
    <w:rsid w:val="00151E87"/>
    <w:rsid w:val="00151F90"/>
    <w:rsid w:val="00152ED7"/>
    <w:rsid w:val="001543B8"/>
    <w:rsid w:val="00154409"/>
    <w:rsid w:val="001545BE"/>
    <w:rsid w:val="00154B36"/>
    <w:rsid w:val="001559E8"/>
    <w:rsid w:val="00155A2E"/>
    <w:rsid w:val="001566DD"/>
    <w:rsid w:val="001574C8"/>
    <w:rsid w:val="00157E2C"/>
    <w:rsid w:val="00160B10"/>
    <w:rsid w:val="00160DB6"/>
    <w:rsid w:val="00160F51"/>
    <w:rsid w:val="00161146"/>
    <w:rsid w:val="00162265"/>
    <w:rsid w:val="00163388"/>
    <w:rsid w:val="00164901"/>
    <w:rsid w:val="00167310"/>
    <w:rsid w:val="00170980"/>
    <w:rsid w:val="001712BD"/>
    <w:rsid w:val="001719E2"/>
    <w:rsid w:val="00171C0F"/>
    <w:rsid w:val="00171C8C"/>
    <w:rsid w:val="00171CB5"/>
    <w:rsid w:val="001720C5"/>
    <w:rsid w:val="001728F6"/>
    <w:rsid w:val="00172A27"/>
    <w:rsid w:val="001736A4"/>
    <w:rsid w:val="00173C6F"/>
    <w:rsid w:val="00175075"/>
    <w:rsid w:val="00176468"/>
    <w:rsid w:val="00176BD0"/>
    <w:rsid w:val="00180851"/>
    <w:rsid w:val="001808E9"/>
    <w:rsid w:val="00180BBE"/>
    <w:rsid w:val="00180FD9"/>
    <w:rsid w:val="001816C6"/>
    <w:rsid w:val="00181833"/>
    <w:rsid w:val="0018246D"/>
    <w:rsid w:val="00182D88"/>
    <w:rsid w:val="001848C9"/>
    <w:rsid w:val="001869E8"/>
    <w:rsid w:val="00187702"/>
    <w:rsid w:val="0019027C"/>
    <w:rsid w:val="001910B6"/>
    <w:rsid w:val="00191176"/>
    <w:rsid w:val="00193769"/>
    <w:rsid w:val="001938CC"/>
    <w:rsid w:val="00193F73"/>
    <w:rsid w:val="00194C7B"/>
    <w:rsid w:val="00194D7C"/>
    <w:rsid w:val="001959B6"/>
    <w:rsid w:val="00196616"/>
    <w:rsid w:val="00196D14"/>
    <w:rsid w:val="001978F2"/>
    <w:rsid w:val="00197BCA"/>
    <w:rsid w:val="00197BE6"/>
    <w:rsid w:val="00197D3F"/>
    <w:rsid w:val="001A0ADC"/>
    <w:rsid w:val="001A0FF0"/>
    <w:rsid w:val="001A2E25"/>
    <w:rsid w:val="001A2E75"/>
    <w:rsid w:val="001A3095"/>
    <w:rsid w:val="001A396A"/>
    <w:rsid w:val="001A49FB"/>
    <w:rsid w:val="001A5B84"/>
    <w:rsid w:val="001A6292"/>
    <w:rsid w:val="001A64CB"/>
    <w:rsid w:val="001A6DAA"/>
    <w:rsid w:val="001B0E59"/>
    <w:rsid w:val="001B3AEC"/>
    <w:rsid w:val="001B3F56"/>
    <w:rsid w:val="001B56A8"/>
    <w:rsid w:val="001B62F9"/>
    <w:rsid w:val="001C06EB"/>
    <w:rsid w:val="001C0B8B"/>
    <w:rsid w:val="001C0EE3"/>
    <w:rsid w:val="001C114E"/>
    <w:rsid w:val="001C2B04"/>
    <w:rsid w:val="001C37F7"/>
    <w:rsid w:val="001C6217"/>
    <w:rsid w:val="001C6429"/>
    <w:rsid w:val="001C6CE5"/>
    <w:rsid w:val="001C7C8D"/>
    <w:rsid w:val="001D0ECF"/>
    <w:rsid w:val="001D1B34"/>
    <w:rsid w:val="001D2438"/>
    <w:rsid w:val="001D2AED"/>
    <w:rsid w:val="001D2AF5"/>
    <w:rsid w:val="001D420C"/>
    <w:rsid w:val="001D4215"/>
    <w:rsid w:val="001D4F84"/>
    <w:rsid w:val="001D5266"/>
    <w:rsid w:val="001D5D8B"/>
    <w:rsid w:val="001D678F"/>
    <w:rsid w:val="001D6F7E"/>
    <w:rsid w:val="001D7DFD"/>
    <w:rsid w:val="001E01B6"/>
    <w:rsid w:val="001E2AC8"/>
    <w:rsid w:val="001E3FEB"/>
    <w:rsid w:val="001E413D"/>
    <w:rsid w:val="001E6138"/>
    <w:rsid w:val="001E65E9"/>
    <w:rsid w:val="001E671D"/>
    <w:rsid w:val="001E6950"/>
    <w:rsid w:val="001E6DEA"/>
    <w:rsid w:val="001E6FAA"/>
    <w:rsid w:val="001F0986"/>
    <w:rsid w:val="001F0EDA"/>
    <w:rsid w:val="001F182C"/>
    <w:rsid w:val="001F2338"/>
    <w:rsid w:val="001F2B7D"/>
    <w:rsid w:val="001F2FCD"/>
    <w:rsid w:val="001F3258"/>
    <w:rsid w:val="001F3915"/>
    <w:rsid w:val="001F549F"/>
    <w:rsid w:val="001F586D"/>
    <w:rsid w:val="001F5D25"/>
    <w:rsid w:val="0020086F"/>
    <w:rsid w:val="00200B91"/>
    <w:rsid w:val="00200F3C"/>
    <w:rsid w:val="00201E93"/>
    <w:rsid w:val="0020367B"/>
    <w:rsid w:val="00203A85"/>
    <w:rsid w:val="00203FAA"/>
    <w:rsid w:val="0020439D"/>
    <w:rsid w:val="00204AF9"/>
    <w:rsid w:val="00205458"/>
    <w:rsid w:val="00206A96"/>
    <w:rsid w:val="002071BE"/>
    <w:rsid w:val="002103C8"/>
    <w:rsid w:val="002104E3"/>
    <w:rsid w:val="002105AF"/>
    <w:rsid w:val="00213B47"/>
    <w:rsid w:val="00214BBC"/>
    <w:rsid w:val="0021696E"/>
    <w:rsid w:val="002220B0"/>
    <w:rsid w:val="002239F7"/>
    <w:rsid w:val="00223FA9"/>
    <w:rsid w:val="002243E3"/>
    <w:rsid w:val="002255A8"/>
    <w:rsid w:val="00226717"/>
    <w:rsid w:val="002272D2"/>
    <w:rsid w:val="0022750C"/>
    <w:rsid w:val="002276AE"/>
    <w:rsid w:val="00227A3B"/>
    <w:rsid w:val="00231E34"/>
    <w:rsid w:val="00234573"/>
    <w:rsid w:val="002354CB"/>
    <w:rsid w:val="0023589C"/>
    <w:rsid w:val="002363E3"/>
    <w:rsid w:val="002374D5"/>
    <w:rsid w:val="002406B1"/>
    <w:rsid w:val="00240942"/>
    <w:rsid w:val="00240992"/>
    <w:rsid w:val="00240DFD"/>
    <w:rsid w:val="00240E80"/>
    <w:rsid w:val="00243EF9"/>
    <w:rsid w:val="00245ECC"/>
    <w:rsid w:val="0024686E"/>
    <w:rsid w:val="00247559"/>
    <w:rsid w:val="002478F0"/>
    <w:rsid w:val="00250056"/>
    <w:rsid w:val="00250DC2"/>
    <w:rsid w:val="00250DCC"/>
    <w:rsid w:val="00253895"/>
    <w:rsid w:val="00253D83"/>
    <w:rsid w:val="00254308"/>
    <w:rsid w:val="00254CDB"/>
    <w:rsid w:val="00255204"/>
    <w:rsid w:val="002554F3"/>
    <w:rsid w:val="002572A8"/>
    <w:rsid w:val="00260B9D"/>
    <w:rsid w:val="002610C1"/>
    <w:rsid w:val="00261852"/>
    <w:rsid w:val="0026303D"/>
    <w:rsid w:val="0026361D"/>
    <w:rsid w:val="002641DB"/>
    <w:rsid w:val="002648E7"/>
    <w:rsid w:val="00265C1B"/>
    <w:rsid w:val="00266179"/>
    <w:rsid w:val="0027018D"/>
    <w:rsid w:val="00270F1A"/>
    <w:rsid w:val="00271BEF"/>
    <w:rsid w:val="00271F25"/>
    <w:rsid w:val="002736F3"/>
    <w:rsid w:val="00273D8B"/>
    <w:rsid w:val="002745D5"/>
    <w:rsid w:val="00275BFB"/>
    <w:rsid w:val="00276A9A"/>
    <w:rsid w:val="00276BC3"/>
    <w:rsid w:val="00277175"/>
    <w:rsid w:val="00277845"/>
    <w:rsid w:val="00277A29"/>
    <w:rsid w:val="0028069E"/>
    <w:rsid w:val="00280875"/>
    <w:rsid w:val="002817B9"/>
    <w:rsid w:val="002818B7"/>
    <w:rsid w:val="002821F0"/>
    <w:rsid w:val="002822CE"/>
    <w:rsid w:val="0028290C"/>
    <w:rsid w:val="002829DB"/>
    <w:rsid w:val="0028384F"/>
    <w:rsid w:val="0028458E"/>
    <w:rsid w:val="00284A17"/>
    <w:rsid w:val="002853F2"/>
    <w:rsid w:val="002864BB"/>
    <w:rsid w:val="00286F22"/>
    <w:rsid w:val="00286F98"/>
    <w:rsid w:val="00287CD0"/>
    <w:rsid w:val="00290037"/>
    <w:rsid w:val="0029097C"/>
    <w:rsid w:val="002923ED"/>
    <w:rsid w:val="002930AC"/>
    <w:rsid w:val="0029356A"/>
    <w:rsid w:val="00294188"/>
    <w:rsid w:val="0029442B"/>
    <w:rsid w:val="0029565E"/>
    <w:rsid w:val="00297364"/>
    <w:rsid w:val="002A0415"/>
    <w:rsid w:val="002A0756"/>
    <w:rsid w:val="002A0FF3"/>
    <w:rsid w:val="002A3D3F"/>
    <w:rsid w:val="002A3D69"/>
    <w:rsid w:val="002A3E03"/>
    <w:rsid w:val="002A52D2"/>
    <w:rsid w:val="002A5D19"/>
    <w:rsid w:val="002A7523"/>
    <w:rsid w:val="002B0295"/>
    <w:rsid w:val="002B1920"/>
    <w:rsid w:val="002B19B9"/>
    <w:rsid w:val="002B1B2F"/>
    <w:rsid w:val="002B2730"/>
    <w:rsid w:val="002B4036"/>
    <w:rsid w:val="002B5A8A"/>
    <w:rsid w:val="002B5B4F"/>
    <w:rsid w:val="002B6E7B"/>
    <w:rsid w:val="002C12F0"/>
    <w:rsid w:val="002C18A6"/>
    <w:rsid w:val="002C1B7C"/>
    <w:rsid w:val="002C1DF1"/>
    <w:rsid w:val="002C2059"/>
    <w:rsid w:val="002C22EC"/>
    <w:rsid w:val="002C26CE"/>
    <w:rsid w:val="002C2A05"/>
    <w:rsid w:val="002C2B78"/>
    <w:rsid w:val="002C3215"/>
    <w:rsid w:val="002C321C"/>
    <w:rsid w:val="002C34AE"/>
    <w:rsid w:val="002C4265"/>
    <w:rsid w:val="002C4C5C"/>
    <w:rsid w:val="002C5B08"/>
    <w:rsid w:val="002C5B62"/>
    <w:rsid w:val="002C650E"/>
    <w:rsid w:val="002C76EA"/>
    <w:rsid w:val="002C772E"/>
    <w:rsid w:val="002C7875"/>
    <w:rsid w:val="002D0794"/>
    <w:rsid w:val="002D0D06"/>
    <w:rsid w:val="002D1D6A"/>
    <w:rsid w:val="002D2407"/>
    <w:rsid w:val="002D2C06"/>
    <w:rsid w:val="002D3CBC"/>
    <w:rsid w:val="002D4199"/>
    <w:rsid w:val="002D5774"/>
    <w:rsid w:val="002D5890"/>
    <w:rsid w:val="002D64AB"/>
    <w:rsid w:val="002D69C1"/>
    <w:rsid w:val="002E27B4"/>
    <w:rsid w:val="002E2A8C"/>
    <w:rsid w:val="002E2DA5"/>
    <w:rsid w:val="002E433B"/>
    <w:rsid w:val="002E43A0"/>
    <w:rsid w:val="002E5BBB"/>
    <w:rsid w:val="002E5FD5"/>
    <w:rsid w:val="002E650E"/>
    <w:rsid w:val="002E6F83"/>
    <w:rsid w:val="002E7348"/>
    <w:rsid w:val="002F03A0"/>
    <w:rsid w:val="002F0489"/>
    <w:rsid w:val="002F04A6"/>
    <w:rsid w:val="002F182C"/>
    <w:rsid w:val="002F1A1A"/>
    <w:rsid w:val="002F286E"/>
    <w:rsid w:val="002F350C"/>
    <w:rsid w:val="002F390E"/>
    <w:rsid w:val="002F40FB"/>
    <w:rsid w:val="002F422F"/>
    <w:rsid w:val="002F435F"/>
    <w:rsid w:val="002F55C3"/>
    <w:rsid w:val="002F77FB"/>
    <w:rsid w:val="003006C8"/>
    <w:rsid w:val="00301529"/>
    <w:rsid w:val="003027DE"/>
    <w:rsid w:val="00302DDF"/>
    <w:rsid w:val="00303165"/>
    <w:rsid w:val="00303B8A"/>
    <w:rsid w:val="00303DA3"/>
    <w:rsid w:val="0030410F"/>
    <w:rsid w:val="00304DAB"/>
    <w:rsid w:val="00306149"/>
    <w:rsid w:val="003069EF"/>
    <w:rsid w:val="00307C81"/>
    <w:rsid w:val="00310CB2"/>
    <w:rsid w:val="003156B6"/>
    <w:rsid w:val="003159D3"/>
    <w:rsid w:val="00316674"/>
    <w:rsid w:val="00320A65"/>
    <w:rsid w:val="003210AE"/>
    <w:rsid w:val="00321A27"/>
    <w:rsid w:val="003236E0"/>
    <w:rsid w:val="00324D93"/>
    <w:rsid w:val="0032662E"/>
    <w:rsid w:val="003323DC"/>
    <w:rsid w:val="00336357"/>
    <w:rsid w:val="0033646D"/>
    <w:rsid w:val="003365C8"/>
    <w:rsid w:val="00337297"/>
    <w:rsid w:val="00337851"/>
    <w:rsid w:val="00337D1E"/>
    <w:rsid w:val="0034020D"/>
    <w:rsid w:val="00340820"/>
    <w:rsid w:val="00342CBB"/>
    <w:rsid w:val="003434B3"/>
    <w:rsid w:val="00344151"/>
    <w:rsid w:val="00346A1F"/>
    <w:rsid w:val="00347BFA"/>
    <w:rsid w:val="00350885"/>
    <w:rsid w:val="0035188E"/>
    <w:rsid w:val="003518D9"/>
    <w:rsid w:val="00351B64"/>
    <w:rsid w:val="0035429F"/>
    <w:rsid w:val="00354624"/>
    <w:rsid w:val="003550F1"/>
    <w:rsid w:val="00355643"/>
    <w:rsid w:val="0035564B"/>
    <w:rsid w:val="003556AC"/>
    <w:rsid w:val="003565B6"/>
    <w:rsid w:val="00356812"/>
    <w:rsid w:val="0035763B"/>
    <w:rsid w:val="00357E1E"/>
    <w:rsid w:val="0036020D"/>
    <w:rsid w:val="00360A5B"/>
    <w:rsid w:val="00361D75"/>
    <w:rsid w:val="00361F5F"/>
    <w:rsid w:val="00362CBB"/>
    <w:rsid w:val="00362ED9"/>
    <w:rsid w:val="00362FBB"/>
    <w:rsid w:val="00363332"/>
    <w:rsid w:val="003647D3"/>
    <w:rsid w:val="00366A37"/>
    <w:rsid w:val="00370EE3"/>
    <w:rsid w:val="00371B75"/>
    <w:rsid w:val="0037468D"/>
    <w:rsid w:val="00375CBE"/>
    <w:rsid w:val="00376283"/>
    <w:rsid w:val="003803E1"/>
    <w:rsid w:val="00380403"/>
    <w:rsid w:val="00380721"/>
    <w:rsid w:val="00380C99"/>
    <w:rsid w:val="00380CF7"/>
    <w:rsid w:val="00382C2A"/>
    <w:rsid w:val="00384081"/>
    <w:rsid w:val="00385574"/>
    <w:rsid w:val="003855CD"/>
    <w:rsid w:val="00386C3E"/>
    <w:rsid w:val="0038750B"/>
    <w:rsid w:val="00392968"/>
    <w:rsid w:val="00392D12"/>
    <w:rsid w:val="00393017"/>
    <w:rsid w:val="003939F6"/>
    <w:rsid w:val="00394131"/>
    <w:rsid w:val="003944CE"/>
    <w:rsid w:val="003960A0"/>
    <w:rsid w:val="00396AE9"/>
    <w:rsid w:val="00396CD1"/>
    <w:rsid w:val="00397060"/>
    <w:rsid w:val="003A1063"/>
    <w:rsid w:val="003A3CAA"/>
    <w:rsid w:val="003A4554"/>
    <w:rsid w:val="003A4609"/>
    <w:rsid w:val="003A5769"/>
    <w:rsid w:val="003A6996"/>
    <w:rsid w:val="003A6CE6"/>
    <w:rsid w:val="003A708A"/>
    <w:rsid w:val="003B09FA"/>
    <w:rsid w:val="003B0FDE"/>
    <w:rsid w:val="003B149B"/>
    <w:rsid w:val="003B1541"/>
    <w:rsid w:val="003B1B30"/>
    <w:rsid w:val="003B2458"/>
    <w:rsid w:val="003B3270"/>
    <w:rsid w:val="003B36BC"/>
    <w:rsid w:val="003B4027"/>
    <w:rsid w:val="003B4973"/>
    <w:rsid w:val="003B4FE1"/>
    <w:rsid w:val="003B6688"/>
    <w:rsid w:val="003B764D"/>
    <w:rsid w:val="003B7CAF"/>
    <w:rsid w:val="003C0BBB"/>
    <w:rsid w:val="003C2541"/>
    <w:rsid w:val="003C3CF5"/>
    <w:rsid w:val="003C3E86"/>
    <w:rsid w:val="003C682E"/>
    <w:rsid w:val="003C6E56"/>
    <w:rsid w:val="003C7CB7"/>
    <w:rsid w:val="003D0635"/>
    <w:rsid w:val="003D205A"/>
    <w:rsid w:val="003D20F9"/>
    <w:rsid w:val="003D31B4"/>
    <w:rsid w:val="003D3A87"/>
    <w:rsid w:val="003D3BBB"/>
    <w:rsid w:val="003D3DD3"/>
    <w:rsid w:val="003D40BE"/>
    <w:rsid w:val="003D43E6"/>
    <w:rsid w:val="003D4752"/>
    <w:rsid w:val="003D4BBD"/>
    <w:rsid w:val="003D6027"/>
    <w:rsid w:val="003D67F5"/>
    <w:rsid w:val="003D680B"/>
    <w:rsid w:val="003D702F"/>
    <w:rsid w:val="003D7587"/>
    <w:rsid w:val="003E04E3"/>
    <w:rsid w:val="003E05FA"/>
    <w:rsid w:val="003E0F4C"/>
    <w:rsid w:val="003E19E2"/>
    <w:rsid w:val="003E3217"/>
    <w:rsid w:val="003E34E8"/>
    <w:rsid w:val="003E568D"/>
    <w:rsid w:val="003E56E5"/>
    <w:rsid w:val="003E61B4"/>
    <w:rsid w:val="003E7345"/>
    <w:rsid w:val="003E7E04"/>
    <w:rsid w:val="003F14F8"/>
    <w:rsid w:val="003F1671"/>
    <w:rsid w:val="003F22A9"/>
    <w:rsid w:val="003F3483"/>
    <w:rsid w:val="003F37FD"/>
    <w:rsid w:val="003F395C"/>
    <w:rsid w:val="003F3A15"/>
    <w:rsid w:val="003F43F3"/>
    <w:rsid w:val="003F48D7"/>
    <w:rsid w:val="003F5203"/>
    <w:rsid w:val="003F523C"/>
    <w:rsid w:val="003F53B2"/>
    <w:rsid w:val="003F5736"/>
    <w:rsid w:val="003F5C04"/>
    <w:rsid w:val="003F7218"/>
    <w:rsid w:val="003F769E"/>
    <w:rsid w:val="003F793D"/>
    <w:rsid w:val="003F7A58"/>
    <w:rsid w:val="0040059C"/>
    <w:rsid w:val="00400603"/>
    <w:rsid w:val="004012FE"/>
    <w:rsid w:val="00401573"/>
    <w:rsid w:val="004038BF"/>
    <w:rsid w:val="0040477B"/>
    <w:rsid w:val="00404BC3"/>
    <w:rsid w:val="00405A5C"/>
    <w:rsid w:val="004062FB"/>
    <w:rsid w:val="004071F5"/>
    <w:rsid w:val="00407462"/>
    <w:rsid w:val="00407A46"/>
    <w:rsid w:val="0041026B"/>
    <w:rsid w:val="004104BB"/>
    <w:rsid w:val="004105B1"/>
    <w:rsid w:val="00410E7A"/>
    <w:rsid w:val="00411457"/>
    <w:rsid w:val="0041149D"/>
    <w:rsid w:val="00412572"/>
    <w:rsid w:val="00412965"/>
    <w:rsid w:val="00414158"/>
    <w:rsid w:val="00415216"/>
    <w:rsid w:val="00415DAE"/>
    <w:rsid w:val="0041662C"/>
    <w:rsid w:val="00420910"/>
    <w:rsid w:val="00420E8C"/>
    <w:rsid w:val="00423390"/>
    <w:rsid w:val="00423B7A"/>
    <w:rsid w:val="00424139"/>
    <w:rsid w:val="00424142"/>
    <w:rsid w:val="00424BCB"/>
    <w:rsid w:val="00424E33"/>
    <w:rsid w:val="004267A9"/>
    <w:rsid w:val="004270E6"/>
    <w:rsid w:val="004272B0"/>
    <w:rsid w:val="0042747A"/>
    <w:rsid w:val="00430175"/>
    <w:rsid w:val="0043028A"/>
    <w:rsid w:val="004312AA"/>
    <w:rsid w:val="0043167D"/>
    <w:rsid w:val="00431871"/>
    <w:rsid w:val="00431D4A"/>
    <w:rsid w:val="00431DB1"/>
    <w:rsid w:val="0043248E"/>
    <w:rsid w:val="0043263B"/>
    <w:rsid w:val="00432DBF"/>
    <w:rsid w:val="00433771"/>
    <w:rsid w:val="00433838"/>
    <w:rsid w:val="00433840"/>
    <w:rsid w:val="004348A1"/>
    <w:rsid w:val="004350D7"/>
    <w:rsid w:val="004361B1"/>
    <w:rsid w:val="00436C89"/>
    <w:rsid w:val="00436E52"/>
    <w:rsid w:val="004370F1"/>
    <w:rsid w:val="004370FF"/>
    <w:rsid w:val="004371A4"/>
    <w:rsid w:val="00440502"/>
    <w:rsid w:val="00440FE1"/>
    <w:rsid w:val="0044344B"/>
    <w:rsid w:val="004439C1"/>
    <w:rsid w:val="00444723"/>
    <w:rsid w:val="004450C6"/>
    <w:rsid w:val="00445721"/>
    <w:rsid w:val="0044583A"/>
    <w:rsid w:val="00445949"/>
    <w:rsid w:val="00445C77"/>
    <w:rsid w:val="00445CE6"/>
    <w:rsid w:val="00446BFC"/>
    <w:rsid w:val="0044706C"/>
    <w:rsid w:val="00447EC1"/>
    <w:rsid w:val="00454FDA"/>
    <w:rsid w:val="00455CDA"/>
    <w:rsid w:val="00456C6F"/>
    <w:rsid w:val="004573C1"/>
    <w:rsid w:val="004573DA"/>
    <w:rsid w:val="00457DD9"/>
    <w:rsid w:val="00457E43"/>
    <w:rsid w:val="00461247"/>
    <w:rsid w:val="004616DB"/>
    <w:rsid w:val="00461769"/>
    <w:rsid w:val="00461B66"/>
    <w:rsid w:val="004626A6"/>
    <w:rsid w:val="0046301D"/>
    <w:rsid w:val="00463958"/>
    <w:rsid w:val="00463D24"/>
    <w:rsid w:val="004653D7"/>
    <w:rsid w:val="0046584B"/>
    <w:rsid w:val="00466DBD"/>
    <w:rsid w:val="00471D94"/>
    <w:rsid w:val="00472F89"/>
    <w:rsid w:val="0047529B"/>
    <w:rsid w:val="00476823"/>
    <w:rsid w:val="004771EE"/>
    <w:rsid w:val="004775F5"/>
    <w:rsid w:val="00477826"/>
    <w:rsid w:val="00481954"/>
    <w:rsid w:val="004829E4"/>
    <w:rsid w:val="00483831"/>
    <w:rsid w:val="004838BE"/>
    <w:rsid w:val="00483FAF"/>
    <w:rsid w:val="004848C0"/>
    <w:rsid w:val="0048528A"/>
    <w:rsid w:val="004858CB"/>
    <w:rsid w:val="00486895"/>
    <w:rsid w:val="00486926"/>
    <w:rsid w:val="00486CFF"/>
    <w:rsid w:val="00486D37"/>
    <w:rsid w:val="00486DE3"/>
    <w:rsid w:val="00487242"/>
    <w:rsid w:val="0049018A"/>
    <w:rsid w:val="004918AF"/>
    <w:rsid w:val="00491AF4"/>
    <w:rsid w:val="004920FE"/>
    <w:rsid w:val="00492F6C"/>
    <w:rsid w:val="004937AB"/>
    <w:rsid w:val="0049490A"/>
    <w:rsid w:val="00495104"/>
    <w:rsid w:val="0049624A"/>
    <w:rsid w:val="00496DBE"/>
    <w:rsid w:val="004A0168"/>
    <w:rsid w:val="004A1047"/>
    <w:rsid w:val="004A13E4"/>
    <w:rsid w:val="004A4060"/>
    <w:rsid w:val="004A4462"/>
    <w:rsid w:val="004A471E"/>
    <w:rsid w:val="004A4877"/>
    <w:rsid w:val="004A4AC6"/>
    <w:rsid w:val="004B0ED1"/>
    <w:rsid w:val="004B132D"/>
    <w:rsid w:val="004B1732"/>
    <w:rsid w:val="004B1C43"/>
    <w:rsid w:val="004B20DA"/>
    <w:rsid w:val="004B2195"/>
    <w:rsid w:val="004B2A22"/>
    <w:rsid w:val="004B3F08"/>
    <w:rsid w:val="004B67B4"/>
    <w:rsid w:val="004C19CA"/>
    <w:rsid w:val="004C1B59"/>
    <w:rsid w:val="004C3054"/>
    <w:rsid w:val="004C3970"/>
    <w:rsid w:val="004C3F61"/>
    <w:rsid w:val="004C4EB0"/>
    <w:rsid w:val="004C5079"/>
    <w:rsid w:val="004C50EB"/>
    <w:rsid w:val="004C5362"/>
    <w:rsid w:val="004C7251"/>
    <w:rsid w:val="004C799C"/>
    <w:rsid w:val="004D02A8"/>
    <w:rsid w:val="004D0840"/>
    <w:rsid w:val="004D0C78"/>
    <w:rsid w:val="004D0FD6"/>
    <w:rsid w:val="004D123F"/>
    <w:rsid w:val="004D27F7"/>
    <w:rsid w:val="004D2CF5"/>
    <w:rsid w:val="004D3350"/>
    <w:rsid w:val="004D372F"/>
    <w:rsid w:val="004D40F6"/>
    <w:rsid w:val="004D544A"/>
    <w:rsid w:val="004D7703"/>
    <w:rsid w:val="004D78B1"/>
    <w:rsid w:val="004D7B43"/>
    <w:rsid w:val="004E1262"/>
    <w:rsid w:val="004E2DFE"/>
    <w:rsid w:val="004E310C"/>
    <w:rsid w:val="004E4C97"/>
    <w:rsid w:val="004E5EF7"/>
    <w:rsid w:val="004E6214"/>
    <w:rsid w:val="004E6231"/>
    <w:rsid w:val="004E75F6"/>
    <w:rsid w:val="004F0318"/>
    <w:rsid w:val="004F052B"/>
    <w:rsid w:val="004F05EC"/>
    <w:rsid w:val="004F0844"/>
    <w:rsid w:val="004F0A4D"/>
    <w:rsid w:val="004F2197"/>
    <w:rsid w:val="004F2355"/>
    <w:rsid w:val="004F243D"/>
    <w:rsid w:val="004F256F"/>
    <w:rsid w:val="004F2600"/>
    <w:rsid w:val="004F28E4"/>
    <w:rsid w:val="004F2984"/>
    <w:rsid w:val="004F2CBF"/>
    <w:rsid w:val="004F2F2D"/>
    <w:rsid w:val="004F36C4"/>
    <w:rsid w:val="004F4D0A"/>
    <w:rsid w:val="004F7211"/>
    <w:rsid w:val="004F7A7D"/>
    <w:rsid w:val="005015F3"/>
    <w:rsid w:val="00502AD9"/>
    <w:rsid w:val="00503407"/>
    <w:rsid w:val="00503575"/>
    <w:rsid w:val="00503907"/>
    <w:rsid w:val="0050405D"/>
    <w:rsid w:val="0050426C"/>
    <w:rsid w:val="005045DD"/>
    <w:rsid w:val="00504C12"/>
    <w:rsid w:val="00505AF7"/>
    <w:rsid w:val="00507222"/>
    <w:rsid w:val="00507945"/>
    <w:rsid w:val="00507BF6"/>
    <w:rsid w:val="00510240"/>
    <w:rsid w:val="00510BA5"/>
    <w:rsid w:val="00512269"/>
    <w:rsid w:val="005137F9"/>
    <w:rsid w:val="0051534E"/>
    <w:rsid w:val="00516A1B"/>
    <w:rsid w:val="005173B2"/>
    <w:rsid w:val="005204DC"/>
    <w:rsid w:val="005213A2"/>
    <w:rsid w:val="0052180B"/>
    <w:rsid w:val="00521C90"/>
    <w:rsid w:val="00522CA2"/>
    <w:rsid w:val="00522D75"/>
    <w:rsid w:val="00523334"/>
    <w:rsid w:val="00523D21"/>
    <w:rsid w:val="00524283"/>
    <w:rsid w:val="005249DA"/>
    <w:rsid w:val="00524C40"/>
    <w:rsid w:val="00527CE5"/>
    <w:rsid w:val="00530B4C"/>
    <w:rsid w:val="0053171E"/>
    <w:rsid w:val="00531868"/>
    <w:rsid w:val="00531D78"/>
    <w:rsid w:val="00533480"/>
    <w:rsid w:val="00533B9A"/>
    <w:rsid w:val="00534369"/>
    <w:rsid w:val="00535260"/>
    <w:rsid w:val="00535323"/>
    <w:rsid w:val="005365C2"/>
    <w:rsid w:val="005378E3"/>
    <w:rsid w:val="00540CCB"/>
    <w:rsid w:val="00541944"/>
    <w:rsid w:val="005445B8"/>
    <w:rsid w:val="00544D61"/>
    <w:rsid w:val="00544E3B"/>
    <w:rsid w:val="0054510A"/>
    <w:rsid w:val="00546D69"/>
    <w:rsid w:val="00547CF1"/>
    <w:rsid w:val="00547FE8"/>
    <w:rsid w:val="00550096"/>
    <w:rsid w:val="0055039F"/>
    <w:rsid w:val="00550E66"/>
    <w:rsid w:val="00551170"/>
    <w:rsid w:val="0055150A"/>
    <w:rsid w:val="0055186B"/>
    <w:rsid w:val="0055189C"/>
    <w:rsid w:val="00552362"/>
    <w:rsid w:val="0055295F"/>
    <w:rsid w:val="00554097"/>
    <w:rsid w:val="00554F7D"/>
    <w:rsid w:val="005555C7"/>
    <w:rsid w:val="00556209"/>
    <w:rsid w:val="00557BE5"/>
    <w:rsid w:val="00560782"/>
    <w:rsid w:val="00561AEA"/>
    <w:rsid w:val="00564340"/>
    <w:rsid w:val="00565087"/>
    <w:rsid w:val="00565421"/>
    <w:rsid w:val="005657B4"/>
    <w:rsid w:val="00565B0B"/>
    <w:rsid w:val="00565B32"/>
    <w:rsid w:val="005660A7"/>
    <w:rsid w:val="0056696E"/>
    <w:rsid w:val="00566AE0"/>
    <w:rsid w:val="00566ED9"/>
    <w:rsid w:val="0056757F"/>
    <w:rsid w:val="00570A35"/>
    <w:rsid w:val="00572579"/>
    <w:rsid w:val="00573709"/>
    <w:rsid w:val="00573BEA"/>
    <w:rsid w:val="00574371"/>
    <w:rsid w:val="00574751"/>
    <w:rsid w:val="00574E5F"/>
    <w:rsid w:val="00576F88"/>
    <w:rsid w:val="00580E94"/>
    <w:rsid w:val="00580F24"/>
    <w:rsid w:val="0058145A"/>
    <w:rsid w:val="00582B1B"/>
    <w:rsid w:val="005840BF"/>
    <w:rsid w:val="0058545F"/>
    <w:rsid w:val="0058699C"/>
    <w:rsid w:val="00587C08"/>
    <w:rsid w:val="005901FB"/>
    <w:rsid w:val="0059155B"/>
    <w:rsid w:val="00591825"/>
    <w:rsid w:val="005918C1"/>
    <w:rsid w:val="00592508"/>
    <w:rsid w:val="005930A5"/>
    <w:rsid w:val="005944C9"/>
    <w:rsid w:val="0059540B"/>
    <w:rsid w:val="005955C0"/>
    <w:rsid w:val="00595E43"/>
    <w:rsid w:val="0059694E"/>
    <w:rsid w:val="00596C2F"/>
    <w:rsid w:val="005972FB"/>
    <w:rsid w:val="0059756C"/>
    <w:rsid w:val="005A0C9C"/>
    <w:rsid w:val="005A0FB8"/>
    <w:rsid w:val="005A2C4C"/>
    <w:rsid w:val="005A33FC"/>
    <w:rsid w:val="005A43CC"/>
    <w:rsid w:val="005A6357"/>
    <w:rsid w:val="005A74A5"/>
    <w:rsid w:val="005A7DCB"/>
    <w:rsid w:val="005A7F0A"/>
    <w:rsid w:val="005B111A"/>
    <w:rsid w:val="005B1300"/>
    <w:rsid w:val="005B1509"/>
    <w:rsid w:val="005B1FF5"/>
    <w:rsid w:val="005B251A"/>
    <w:rsid w:val="005B3559"/>
    <w:rsid w:val="005B45FB"/>
    <w:rsid w:val="005B48E4"/>
    <w:rsid w:val="005B5A3E"/>
    <w:rsid w:val="005B6A22"/>
    <w:rsid w:val="005B71C6"/>
    <w:rsid w:val="005C0A5F"/>
    <w:rsid w:val="005C0B54"/>
    <w:rsid w:val="005C23D0"/>
    <w:rsid w:val="005C2F7F"/>
    <w:rsid w:val="005C4AEA"/>
    <w:rsid w:val="005C5BF5"/>
    <w:rsid w:val="005C7A30"/>
    <w:rsid w:val="005D0306"/>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0E95"/>
    <w:rsid w:val="005F199D"/>
    <w:rsid w:val="005F1B5D"/>
    <w:rsid w:val="005F233E"/>
    <w:rsid w:val="005F26EA"/>
    <w:rsid w:val="005F27C0"/>
    <w:rsid w:val="005F3288"/>
    <w:rsid w:val="005F3A97"/>
    <w:rsid w:val="005F3D8C"/>
    <w:rsid w:val="005F50D5"/>
    <w:rsid w:val="005F57C9"/>
    <w:rsid w:val="005F609C"/>
    <w:rsid w:val="005F6E63"/>
    <w:rsid w:val="005F7A95"/>
    <w:rsid w:val="006000D3"/>
    <w:rsid w:val="006004FE"/>
    <w:rsid w:val="00600518"/>
    <w:rsid w:val="00600E3D"/>
    <w:rsid w:val="0060425F"/>
    <w:rsid w:val="006045CD"/>
    <w:rsid w:val="00604766"/>
    <w:rsid w:val="00604B8C"/>
    <w:rsid w:val="00604DED"/>
    <w:rsid w:val="00605925"/>
    <w:rsid w:val="00605E59"/>
    <w:rsid w:val="00606179"/>
    <w:rsid w:val="00606DD9"/>
    <w:rsid w:val="00607510"/>
    <w:rsid w:val="006108F2"/>
    <w:rsid w:val="00613A79"/>
    <w:rsid w:val="00615123"/>
    <w:rsid w:val="006151C5"/>
    <w:rsid w:val="00617473"/>
    <w:rsid w:val="006174DF"/>
    <w:rsid w:val="006208E4"/>
    <w:rsid w:val="00620D28"/>
    <w:rsid w:val="0062116A"/>
    <w:rsid w:val="00622083"/>
    <w:rsid w:val="0062219D"/>
    <w:rsid w:val="0062341C"/>
    <w:rsid w:val="006236C9"/>
    <w:rsid w:val="0062386A"/>
    <w:rsid w:val="00624724"/>
    <w:rsid w:val="00624E37"/>
    <w:rsid w:val="00624FFA"/>
    <w:rsid w:val="0062598B"/>
    <w:rsid w:val="00626076"/>
    <w:rsid w:val="006267EE"/>
    <w:rsid w:val="00626DAA"/>
    <w:rsid w:val="00627BBC"/>
    <w:rsid w:val="00627E26"/>
    <w:rsid w:val="00630A36"/>
    <w:rsid w:val="006313B5"/>
    <w:rsid w:val="00631CA5"/>
    <w:rsid w:val="00632983"/>
    <w:rsid w:val="00633034"/>
    <w:rsid w:val="00635C5D"/>
    <w:rsid w:val="006371FD"/>
    <w:rsid w:val="00640002"/>
    <w:rsid w:val="006407B1"/>
    <w:rsid w:val="00640943"/>
    <w:rsid w:val="00642BCE"/>
    <w:rsid w:val="00645F4A"/>
    <w:rsid w:val="006474C5"/>
    <w:rsid w:val="006476CC"/>
    <w:rsid w:val="00647EB5"/>
    <w:rsid w:val="00647F78"/>
    <w:rsid w:val="006521E3"/>
    <w:rsid w:val="0065268F"/>
    <w:rsid w:val="006530C8"/>
    <w:rsid w:val="006531FE"/>
    <w:rsid w:val="0065350D"/>
    <w:rsid w:val="00653886"/>
    <w:rsid w:val="00653A2C"/>
    <w:rsid w:val="006546E4"/>
    <w:rsid w:val="0065491F"/>
    <w:rsid w:val="00655893"/>
    <w:rsid w:val="00655912"/>
    <w:rsid w:val="00655E2A"/>
    <w:rsid w:val="00657825"/>
    <w:rsid w:val="006616BC"/>
    <w:rsid w:val="00662666"/>
    <w:rsid w:val="006633DD"/>
    <w:rsid w:val="0066358D"/>
    <w:rsid w:val="00664DA8"/>
    <w:rsid w:val="00665D69"/>
    <w:rsid w:val="0066671C"/>
    <w:rsid w:val="00667F3E"/>
    <w:rsid w:val="0067061D"/>
    <w:rsid w:val="00673E76"/>
    <w:rsid w:val="0067456C"/>
    <w:rsid w:val="00674B0F"/>
    <w:rsid w:val="00674D53"/>
    <w:rsid w:val="006752A4"/>
    <w:rsid w:val="00675BBA"/>
    <w:rsid w:val="00676236"/>
    <w:rsid w:val="00676788"/>
    <w:rsid w:val="006769D6"/>
    <w:rsid w:val="00676E85"/>
    <w:rsid w:val="00677352"/>
    <w:rsid w:val="00677526"/>
    <w:rsid w:val="00680AA9"/>
    <w:rsid w:val="0068124E"/>
    <w:rsid w:val="00682136"/>
    <w:rsid w:val="00682BEF"/>
    <w:rsid w:val="006832E1"/>
    <w:rsid w:val="0068370A"/>
    <w:rsid w:val="00683E34"/>
    <w:rsid w:val="00684606"/>
    <w:rsid w:val="00684A39"/>
    <w:rsid w:val="006853E5"/>
    <w:rsid w:val="00686067"/>
    <w:rsid w:val="00686AE6"/>
    <w:rsid w:val="00690097"/>
    <w:rsid w:val="00691AEA"/>
    <w:rsid w:val="006923D4"/>
    <w:rsid w:val="0069273F"/>
    <w:rsid w:val="00693903"/>
    <w:rsid w:val="00693F10"/>
    <w:rsid w:val="006943A4"/>
    <w:rsid w:val="006953D8"/>
    <w:rsid w:val="0069559D"/>
    <w:rsid w:val="00695D5C"/>
    <w:rsid w:val="006964EE"/>
    <w:rsid w:val="00696700"/>
    <w:rsid w:val="00696A91"/>
    <w:rsid w:val="00696CA7"/>
    <w:rsid w:val="00697CBF"/>
    <w:rsid w:val="00697D9E"/>
    <w:rsid w:val="006A0370"/>
    <w:rsid w:val="006A0AFE"/>
    <w:rsid w:val="006A13B2"/>
    <w:rsid w:val="006A1C41"/>
    <w:rsid w:val="006A22EA"/>
    <w:rsid w:val="006A2BC4"/>
    <w:rsid w:val="006A4166"/>
    <w:rsid w:val="006A4298"/>
    <w:rsid w:val="006A51D4"/>
    <w:rsid w:val="006A548E"/>
    <w:rsid w:val="006A5702"/>
    <w:rsid w:val="006A7EB9"/>
    <w:rsid w:val="006B080E"/>
    <w:rsid w:val="006B2383"/>
    <w:rsid w:val="006B3680"/>
    <w:rsid w:val="006B463B"/>
    <w:rsid w:val="006B4C5A"/>
    <w:rsid w:val="006B5301"/>
    <w:rsid w:val="006B57DC"/>
    <w:rsid w:val="006B5AFC"/>
    <w:rsid w:val="006B627A"/>
    <w:rsid w:val="006B7261"/>
    <w:rsid w:val="006B7D23"/>
    <w:rsid w:val="006C05C6"/>
    <w:rsid w:val="006C06EA"/>
    <w:rsid w:val="006C0E05"/>
    <w:rsid w:val="006C0E31"/>
    <w:rsid w:val="006C20A7"/>
    <w:rsid w:val="006C231D"/>
    <w:rsid w:val="006C2F47"/>
    <w:rsid w:val="006C320D"/>
    <w:rsid w:val="006C4A90"/>
    <w:rsid w:val="006C64D3"/>
    <w:rsid w:val="006C725C"/>
    <w:rsid w:val="006C7485"/>
    <w:rsid w:val="006D0045"/>
    <w:rsid w:val="006D023B"/>
    <w:rsid w:val="006D0505"/>
    <w:rsid w:val="006D1170"/>
    <w:rsid w:val="006D14B0"/>
    <w:rsid w:val="006D2EB7"/>
    <w:rsid w:val="006D325A"/>
    <w:rsid w:val="006D4754"/>
    <w:rsid w:val="006D51EE"/>
    <w:rsid w:val="006D5A67"/>
    <w:rsid w:val="006D5C08"/>
    <w:rsid w:val="006D61C1"/>
    <w:rsid w:val="006E1860"/>
    <w:rsid w:val="006E2C3D"/>
    <w:rsid w:val="006E2CB7"/>
    <w:rsid w:val="006E2CD9"/>
    <w:rsid w:val="006E365A"/>
    <w:rsid w:val="006E3859"/>
    <w:rsid w:val="006E3A61"/>
    <w:rsid w:val="006E4663"/>
    <w:rsid w:val="006E47AE"/>
    <w:rsid w:val="006E524C"/>
    <w:rsid w:val="006F04D4"/>
    <w:rsid w:val="006F10D9"/>
    <w:rsid w:val="006F1F0F"/>
    <w:rsid w:val="006F2081"/>
    <w:rsid w:val="006F281C"/>
    <w:rsid w:val="006F2AEC"/>
    <w:rsid w:val="006F2CB0"/>
    <w:rsid w:val="006F2FFE"/>
    <w:rsid w:val="006F38AC"/>
    <w:rsid w:val="006F3FBF"/>
    <w:rsid w:val="00701AE0"/>
    <w:rsid w:val="00702714"/>
    <w:rsid w:val="00703344"/>
    <w:rsid w:val="00704104"/>
    <w:rsid w:val="00704149"/>
    <w:rsid w:val="007069F3"/>
    <w:rsid w:val="00706C65"/>
    <w:rsid w:val="00707C41"/>
    <w:rsid w:val="007105A1"/>
    <w:rsid w:val="00710A83"/>
    <w:rsid w:val="00711814"/>
    <w:rsid w:val="0071212C"/>
    <w:rsid w:val="00713305"/>
    <w:rsid w:val="007133A5"/>
    <w:rsid w:val="00713571"/>
    <w:rsid w:val="007168B6"/>
    <w:rsid w:val="007179D0"/>
    <w:rsid w:val="00717EA0"/>
    <w:rsid w:val="0072045B"/>
    <w:rsid w:val="007204A5"/>
    <w:rsid w:val="007211A3"/>
    <w:rsid w:val="00721C74"/>
    <w:rsid w:val="00721E0B"/>
    <w:rsid w:val="0072255B"/>
    <w:rsid w:val="0072279C"/>
    <w:rsid w:val="00723F4B"/>
    <w:rsid w:val="007251C2"/>
    <w:rsid w:val="00727414"/>
    <w:rsid w:val="00727A76"/>
    <w:rsid w:val="00732480"/>
    <w:rsid w:val="0073276A"/>
    <w:rsid w:val="00732BA8"/>
    <w:rsid w:val="00732D3B"/>
    <w:rsid w:val="00733943"/>
    <w:rsid w:val="00733B64"/>
    <w:rsid w:val="007357AF"/>
    <w:rsid w:val="00735BE4"/>
    <w:rsid w:val="00735F53"/>
    <w:rsid w:val="007365A2"/>
    <w:rsid w:val="0073675E"/>
    <w:rsid w:val="0073755E"/>
    <w:rsid w:val="00737763"/>
    <w:rsid w:val="007407C4"/>
    <w:rsid w:val="0074143F"/>
    <w:rsid w:val="00741A91"/>
    <w:rsid w:val="00741C87"/>
    <w:rsid w:val="00743F16"/>
    <w:rsid w:val="0074466D"/>
    <w:rsid w:val="00744CEA"/>
    <w:rsid w:val="00745FB8"/>
    <w:rsid w:val="00747B72"/>
    <w:rsid w:val="00750134"/>
    <w:rsid w:val="007502F9"/>
    <w:rsid w:val="0075088B"/>
    <w:rsid w:val="00752149"/>
    <w:rsid w:val="00752661"/>
    <w:rsid w:val="00752AA4"/>
    <w:rsid w:val="00753B89"/>
    <w:rsid w:val="0075450F"/>
    <w:rsid w:val="007554B8"/>
    <w:rsid w:val="00755A70"/>
    <w:rsid w:val="00755B17"/>
    <w:rsid w:val="00755D2B"/>
    <w:rsid w:val="00756AD7"/>
    <w:rsid w:val="00757CC8"/>
    <w:rsid w:val="00761341"/>
    <w:rsid w:val="00761F50"/>
    <w:rsid w:val="0076387C"/>
    <w:rsid w:val="007645F0"/>
    <w:rsid w:val="00764C62"/>
    <w:rsid w:val="00764F77"/>
    <w:rsid w:val="00765022"/>
    <w:rsid w:val="00766832"/>
    <w:rsid w:val="007672A6"/>
    <w:rsid w:val="0076749F"/>
    <w:rsid w:val="007704AF"/>
    <w:rsid w:val="007733D1"/>
    <w:rsid w:val="0077423A"/>
    <w:rsid w:val="0077431C"/>
    <w:rsid w:val="0077432E"/>
    <w:rsid w:val="00774609"/>
    <w:rsid w:val="0077523A"/>
    <w:rsid w:val="007766B8"/>
    <w:rsid w:val="0077699D"/>
    <w:rsid w:val="0077746E"/>
    <w:rsid w:val="007812CB"/>
    <w:rsid w:val="00781741"/>
    <w:rsid w:val="00781FD1"/>
    <w:rsid w:val="00782013"/>
    <w:rsid w:val="00783F9B"/>
    <w:rsid w:val="00784A65"/>
    <w:rsid w:val="007866A3"/>
    <w:rsid w:val="00786B8E"/>
    <w:rsid w:val="007873DD"/>
    <w:rsid w:val="00787F23"/>
    <w:rsid w:val="007900EC"/>
    <w:rsid w:val="0079014E"/>
    <w:rsid w:val="0079104B"/>
    <w:rsid w:val="007919D0"/>
    <w:rsid w:val="00791AD5"/>
    <w:rsid w:val="00792A8F"/>
    <w:rsid w:val="00792FB6"/>
    <w:rsid w:val="007937AE"/>
    <w:rsid w:val="00793CC7"/>
    <w:rsid w:val="0079412B"/>
    <w:rsid w:val="00794E62"/>
    <w:rsid w:val="00795957"/>
    <w:rsid w:val="00796B6B"/>
    <w:rsid w:val="00796FE9"/>
    <w:rsid w:val="007970DA"/>
    <w:rsid w:val="007A005B"/>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4696"/>
    <w:rsid w:val="007C55EE"/>
    <w:rsid w:val="007C5DDD"/>
    <w:rsid w:val="007C61E1"/>
    <w:rsid w:val="007C6517"/>
    <w:rsid w:val="007C7137"/>
    <w:rsid w:val="007C75DB"/>
    <w:rsid w:val="007D1D84"/>
    <w:rsid w:val="007D1E63"/>
    <w:rsid w:val="007D2A66"/>
    <w:rsid w:val="007D2FEA"/>
    <w:rsid w:val="007D4AB8"/>
    <w:rsid w:val="007D54A5"/>
    <w:rsid w:val="007D5E75"/>
    <w:rsid w:val="007D5EB6"/>
    <w:rsid w:val="007D636D"/>
    <w:rsid w:val="007D709F"/>
    <w:rsid w:val="007E0360"/>
    <w:rsid w:val="007E0409"/>
    <w:rsid w:val="007E0537"/>
    <w:rsid w:val="007E130C"/>
    <w:rsid w:val="007E152A"/>
    <w:rsid w:val="007E15D4"/>
    <w:rsid w:val="007E1702"/>
    <w:rsid w:val="007E184C"/>
    <w:rsid w:val="007E2164"/>
    <w:rsid w:val="007E48B7"/>
    <w:rsid w:val="007E4DDA"/>
    <w:rsid w:val="007E6E96"/>
    <w:rsid w:val="007E7D40"/>
    <w:rsid w:val="007F1307"/>
    <w:rsid w:val="007F26FF"/>
    <w:rsid w:val="007F39C2"/>
    <w:rsid w:val="007F448A"/>
    <w:rsid w:val="007F4EA2"/>
    <w:rsid w:val="007F5A30"/>
    <w:rsid w:val="007F6377"/>
    <w:rsid w:val="007F7B28"/>
    <w:rsid w:val="008016F8"/>
    <w:rsid w:val="00801899"/>
    <w:rsid w:val="00801D9B"/>
    <w:rsid w:val="008021A1"/>
    <w:rsid w:val="0080304B"/>
    <w:rsid w:val="008044D4"/>
    <w:rsid w:val="008047CE"/>
    <w:rsid w:val="00804C53"/>
    <w:rsid w:val="00806DC3"/>
    <w:rsid w:val="00806ED8"/>
    <w:rsid w:val="00810902"/>
    <w:rsid w:val="00811B5E"/>
    <w:rsid w:val="00811BD9"/>
    <w:rsid w:val="00811D91"/>
    <w:rsid w:val="00812042"/>
    <w:rsid w:val="0081230E"/>
    <w:rsid w:val="00812CF6"/>
    <w:rsid w:val="00815019"/>
    <w:rsid w:val="008155F9"/>
    <w:rsid w:val="008159EB"/>
    <w:rsid w:val="00817B17"/>
    <w:rsid w:val="00817FE3"/>
    <w:rsid w:val="00820FD2"/>
    <w:rsid w:val="00822FE5"/>
    <w:rsid w:val="00823B3B"/>
    <w:rsid w:val="00824152"/>
    <w:rsid w:val="008251E6"/>
    <w:rsid w:val="00830431"/>
    <w:rsid w:val="008306AE"/>
    <w:rsid w:val="0083152F"/>
    <w:rsid w:val="008318C4"/>
    <w:rsid w:val="00832951"/>
    <w:rsid w:val="00833592"/>
    <w:rsid w:val="00834427"/>
    <w:rsid w:val="00834666"/>
    <w:rsid w:val="008346E2"/>
    <w:rsid w:val="008350C0"/>
    <w:rsid w:val="00835FC8"/>
    <w:rsid w:val="00836996"/>
    <w:rsid w:val="00837275"/>
    <w:rsid w:val="008373A4"/>
    <w:rsid w:val="00840205"/>
    <w:rsid w:val="008406B2"/>
    <w:rsid w:val="00840EBB"/>
    <w:rsid w:val="00840F72"/>
    <w:rsid w:val="008412C2"/>
    <w:rsid w:val="008412D6"/>
    <w:rsid w:val="00841332"/>
    <w:rsid w:val="00841EC0"/>
    <w:rsid w:val="00842775"/>
    <w:rsid w:val="008442B7"/>
    <w:rsid w:val="0084499C"/>
    <w:rsid w:val="00844AF1"/>
    <w:rsid w:val="00845636"/>
    <w:rsid w:val="00845C5D"/>
    <w:rsid w:val="008465DE"/>
    <w:rsid w:val="0085018C"/>
    <w:rsid w:val="008508EC"/>
    <w:rsid w:val="00850B1C"/>
    <w:rsid w:val="00850DDB"/>
    <w:rsid w:val="00850DF4"/>
    <w:rsid w:val="00850F58"/>
    <w:rsid w:val="00852292"/>
    <w:rsid w:val="00852ABD"/>
    <w:rsid w:val="00852BC0"/>
    <w:rsid w:val="00853568"/>
    <w:rsid w:val="00855012"/>
    <w:rsid w:val="00855302"/>
    <w:rsid w:val="00856519"/>
    <w:rsid w:val="00860373"/>
    <w:rsid w:val="00860B88"/>
    <w:rsid w:val="00860BE7"/>
    <w:rsid w:val="008610CE"/>
    <w:rsid w:val="00864CA8"/>
    <w:rsid w:val="008669E8"/>
    <w:rsid w:val="00866C7B"/>
    <w:rsid w:val="0087004F"/>
    <w:rsid w:val="008708ED"/>
    <w:rsid w:val="00870C74"/>
    <w:rsid w:val="0087189A"/>
    <w:rsid w:val="008725AC"/>
    <w:rsid w:val="00872601"/>
    <w:rsid w:val="008735B1"/>
    <w:rsid w:val="0087411E"/>
    <w:rsid w:val="00874F52"/>
    <w:rsid w:val="008750DB"/>
    <w:rsid w:val="00875271"/>
    <w:rsid w:val="008755C8"/>
    <w:rsid w:val="008755CA"/>
    <w:rsid w:val="00881226"/>
    <w:rsid w:val="00882452"/>
    <w:rsid w:val="0088361C"/>
    <w:rsid w:val="0088389A"/>
    <w:rsid w:val="00885AD4"/>
    <w:rsid w:val="00886674"/>
    <w:rsid w:val="00886DBB"/>
    <w:rsid w:val="00887AE6"/>
    <w:rsid w:val="00887C4E"/>
    <w:rsid w:val="008905F0"/>
    <w:rsid w:val="008906E6"/>
    <w:rsid w:val="00890D52"/>
    <w:rsid w:val="00890F77"/>
    <w:rsid w:val="00890F8B"/>
    <w:rsid w:val="008915C9"/>
    <w:rsid w:val="00891DE2"/>
    <w:rsid w:val="0089318F"/>
    <w:rsid w:val="0089353A"/>
    <w:rsid w:val="00894E90"/>
    <w:rsid w:val="0089628E"/>
    <w:rsid w:val="0089688E"/>
    <w:rsid w:val="008975D2"/>
    <w:rsid w:val="008977A0"/>
    <w:rsid w:val="008A0272"/>
    <w:rsid w:val="008A0B50"/>
    <w:rsid w:val="008A0BC1"/>
    <w:rsid w:val="008A20C1"/>
    <w:rsid w:val="008A287C"/>
    <w:rsid w:val="008A4072"/>
    <w:rsid w:val="008A41C3"/>
    <w:rsid w:val="008A52CE"/>
    <w:rsid w:val="008A560A"/>
    <w:rsid w:val="008A6756"/>
    <w:rsid w:val="008A74B5"/>
    <w:rsid w:val="008A79B8"/>
    <w:rsid w:val="008B05E7"/>
    <w:rsid w:val="008B2E12"/>
    <w:rsid w:val="008B3B3F"/>
    <w:rsid w:val="008B3D39"/>
    <w:rsid w:val="008B4AA9"/>
    <w:rsid w:val="008B4E91"/>
    <w:rsid w:val="008B4FCE"/>
    <w:rsid w:val="008B60B9"/>
    <w:rsid w:val="008B6129"/>
    <w:rsid w:val="008B64CC"/>
    <w:rsid w:val="008B7608"/>
    <w:rsid w:val="008C28D2"/>
    <w:rsid w:val="008C2A63"/>
    <w:rsid w:val="008C2F50"/>
    <w:rsid w:val="008C3A23"/>
    <w:rsid w:val="008C3B02"/>
    <w:rsid w:val="008C3C1B"/>
    <w:rsid w:val="008C59BF"/>
    <w:rsid w:val="008C60EF"/>
    <w:rsid w:val="008C6C19"/>
    <w:rsid w:val="008C6CAE"/>
    <w:rsid w:val="008C7316"/>
    <w:rsid w:val="008C7A02"/>
    <w:rsid w:val="008C7D3E"/>
    <w:rsid w:val="008D0CF5"/>
    <w:rsid w:val="008D0EAA"/>
    <w:rsid w:val="008D0F3E"/>
    <w:rsid w:val="008D16FD"/>
    <w:rsid w:val="008D1CAE"/>
    <w:rsid w:val="008D1F83"/>
    <w:rsid w:val="008D221C"/>
    <w:rsid w:val="008D2588"/>
    <w:rsid w:val="008D4112"/>
    <w:rsid w:val="008D6DEC"/>
    <w:rsid w:val="008D71D0"/>
    <w:rsid w:val="008E0282"/>
    <w:rsid w:val="008E0D61"/>
    <w:rsid w:val="008E2915"/>
    <w:rsid w:val="008E412B"/>
    <w:rsid w:val="008E41A7"/>
    <w:rsid w:val="008E433B"/>
    <w:rsid w:val="008E57A9"/>
    <w:rsid w:val="008E6D76"/>
    <w:rsid w:val="008E6FD6"/>
    <w:rsid w:val="008F0197"/>
    <w:rsid w:val="008F0617"/>
    <w:rsid w:val="008F299F"/>
    <w:rsid w:val="008F353B"/>
    <w:rsid w:val="008F4E6D"/>
    <w:rsid w:val="008F605B"/>
    <w:rsid w:val="008F6DAF"/>
    <w:rsid w:val="008F74C6"/>
    <w:rsid w:val="008F78C7"/>
    <w:rsid w:val="00900B1B"/>
    <w:rsid w:val="0090210B"/>
    <w:rsid w:val="0090497E"/>
    <w:rsid w:val="00907FA7"/>
    <w:rsid w:val="009102C0"/>
    <w:rsid w:val="0091041C"/>
    <w:rsid w:val="0091051E"/>
    <w:rsid w:val="00910DA4"/>
    <w:rsid w:val="00912793"/>
    <w:rsid w:val="0091384B"/>
    <w:rsid w:val="00914528"/>
    <w:rsid w:val="00916D24"/>
    <w:rsid w:val="009204BD"/>
    <w:rsid w:val="00920C1F"/>
    <w:rsid w:val="009217D2"/>
    <w:rsid w:val="00922BC5"/>
    <w:rsid w:val="00922C60"/>
    <w:rsid w:val="00922E2C"/>
    <w:rsid w:val="009234FD"/>
    <w:rsid w:val="00923E5A"/>
    <w:rsid w:val="00924CB5"/>
    <w:rsid w:val="00925227"/>
    <w:rsid w:val="009255E6"/>
    <w:rsid w:val="00927A89"/>
    <w:rsid w:val="00934005"/>
    <w:rsid w:val="009340AF"/>
    <w:rsid w:val="0093495D"/>
    <w:rsid w:val="009351A5"/>
    <w:rsid w:val="009360B3"/>
    <w:rsid w:val="009361B4"/>
    <w:rsid w:val="0093707A"/>
    <w:rsid w:val="00937511"/>
    <w:rsid w:val="009415AF"/>
    <w:rsid w:val="00941A0D"/>
    <w:rsid w:val="00943076"/>
    <w:rsid w:val="00943B9C"/>
    <w:rsid w:val="00944946"/>
    <w:rsid w:val="00944E54"/>
    <w:rsid w:val="00945B65"/>
    <w:rsid w:val="00946A1B"/>
    <w:rsid w:val="00947F6C"/>
    <w:rsid w:val="00950857"/>
    <w:rsid w:val="0095091A"/>
    <w:rsid w:val="00950C1C"/>
    <w:rsid w:val="00950DC6"/>
    <w:rsid w:val="00950FB1"/>
    <w:rsid w:val="00951ABA"/>
    <w:rsid w:val="00953AF8"/>
    <w:rsid w:val="009549A2"/>
    <w:rsid w:val="00954D82"/>
    <w:rsid w:val="00954F46"/>
    <w:rsid w:val="00955062"/>
    <w:rsid w:val="00956422"/>
    <w:rsid w:val="00957245"/>
    <w:rsid w:val="009576F5"/>
    <w:rsid w:val="00957A7D"/>
    <w:rsid w:val="00957DC1"/>
    <w:rsid w:val="0096023B"/>
    <w:rsid w:val="00961391"/>
    <w:rsid w:val="0096158C"/>
    <w:rsid w:val="009615B2"/>
    <w:rsid w:val="00962966"/>
    <w:rsid w:val="009631A3"/>
    <w:rsid w:val="00964F08"/>
    <w:rsid w:val="00964F89"/>
    <w:rsid w:val="009656CA"/>
    <w:rsid w:val="00965BAE"/>
    <w:rsid w:val="00965BEB"/>
    <w:rsid w:val="009668FC"/>
    <w:rsid w:val="00967420"/>
    <w:rsid w:val="00967794"/>
    <w:rsid w:val="00967AB5"/>
    <w:rsid w:val="00967C1D"/>
    <w:rsid w:val="00967E7D"/>
    <w:rsid w:val="009701A9"/>
    <w:rsid w:val="00970229"/>
    <w:rsid w:val="009703E8"/>
    <w:rsid w:val="00970A3B"/>
    <w:rsid w:val="00970FE8"/>
    <w:rsid w:val="00971D5C"/>
    <w:rsid w:val="00972629"/>
    <w:rsid w:val="00973629"/>
    <w:rsid w:val="00973887"/>
    <w:rsid w:val="00974C2C"/>
    <w:rsid w:val="00974CEF"/>
    <w:rsid w:val="009755A1"/>
    <w:rsid w:val="00976F33"/>
    <w:rsid w:val="00977270"/>
    <w:rsid w:val="00980193"/>
    <w:rsid w:val="00980F85"/>
    <w:rsid w:val="0098226D"/>
    <w:rsid w:val="00984C43"/>
    <w:rsid w:val="00985626"/>
    <w:rsid w:val="009861A1"/>
    <w:rsid w:val="00986E67"/>
    <w:rsid w:val="00986F03"/>
    <w:rsid w:val="00987B26"/>
    <w:rsid w:val="009908A1"/>
    <w:rsid w:val="00990D5F"/>
    <w:rsid w:val="00993065"/>
    <w:rsid w:val="009939DD"/>
    <w:rsid w:val="00994266"/>
    <w:rsid w:val="0099758F"/>
    <w:rsid w:val="009A0FDA"/>
    <w:rsid w:val="009A2755"/>
    <w:rsid w:val="009A2983"/>
    <w:rsid w:val="009A3691"/>
    <w:rsid w:val="009A3A21"/>
    <w:rsid w:val="009A3C1B"/>
    <w:rsid w:val="009A49E6"/>
    <w:rsid w:val="009A53BC"/>
    <w:rsid w:val="009A5F97"/>
    <w:rsid w:val="009A6837"/>
    <w:rsid w:val="009A7CE3"/>
    <w:rsid w:val="009B07E3"/>
    <w:rsid w:val="009B0D0E"/>
    <w:rsid w:val="009B0D69"/>
    <w:rsid w:val="009B0F67"/>
    <w:rsid w:val="009B17CE"/>
    <w:rsid w:val="009B38D7"/>
    <w:rsid w:val="009B46E9"/>
    <w:rsid w:val="009B518F"/>
    <w:rsid w:val="009B52CE"/>
    <w:rsid w:val="009B554E"/>
    <w:rsid w:val="009B576F"/>
    <w:rsid w:val="009B5894"/>
    <w:rsid w:val="009B61EB"/>
    <w:rsid w:val="009B65B9"/>
    <w:rsid w:val="009C08BA"/>
    <w:rsid w:val="009C0FE3"/>
    <w:rsid w:val="009C13CC"/>
    <w:rsid w:val="009C3716"/>
    <w:rsid w:val="009C580E"/>
    <w:rsid w:val="009C587C"/>
    <w:rsid w:val="009C62E5"/>
    <w:rsid w:val="009C67B2"/>
    <w:rsid w:val="009C76A4"/>
    <w:rsid w:val="009D03ED"/>
    <w:rsid w:val="009D06AB"/>
    <w:rsid w:val="009D11F1"/>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E619C"/>
    <w:rsid w:val="009F064F"/>
    <w:rsid w:val="009F1309"/>
    <w:rsid w:val="009F1D19"/>
    <w:rsid w:val="009F2CBD"/>
    <w:rsid w:val="009F327C"/>
    <w:rsid w:val="009F3CD1"/>
    <w:rsid w:val="009F3D87"/>
    <w:rsid w:val="009F3F49"/>
    <w:rsid w:val="009F459D"/>
    <w:rsid w:val="009F51B5"/>
    <w:rsid w:val="009F7044"/>
    <w:rsid w:val="00A0000A"/>
    <w:rsid w:val="00A0001A"/>
    <w:rsid w:val="00A00E82"/>
    <w:rsid w:val="00A0149C"/>
    <w:rsid w:val="00A025F9"/>
    <w:rsid w:val="00A02C42"/>
    <w:rsid w:val="00A02C63"/>
    <w:rsid w:val="00A03580"/>
    <w:rsid w:val="00A03EFB"/>
    <w:rsid w:val="00A06010"/>
    <w:rsid w:val="00A0691D"/>
    <w:rsid w:val="00A105B4"/>
    <w:rsid w:val="00A10944"/>
    <w:rsid w:val="00A112CA"/>
    <w:rsid w:val="00A118C9"/>
    <w:rsid w:val="00A1272B"/>
    <w:rsid w:val="00A128B5"/>
    <w:rsid w:val="00A12FD2"/>
    <w:rsid w:val="00A1322E"/>
    <w:rsid w:val="00A13BAB"/>
    <w:rsid w:val="00A13D88"/>
    <w:rsid w:val="00A140D0"/>
    <w:rsid w:val="00A1428F"/>
    <w:rsid w:val="00A14CFA"/>
    <w:rsid w:val="00A150C2"/>
    <w:rsid w:val="00A15519"/>
    <w:rsid w:val="00A15F16"/>
    <w:rsid w:val="00A164C0"/>
    <w:rsid w:val="00A17029"/>
    <w:rsid w:val="00A172EE"/>
    <w:rsid w:val="00A202E1"/>
    <w:rsid w:val="00A21B21"/>
    <w:rsid w:val="00A23236"/>
    <w:rsid w:val="00A237B5"/>
    <w:rsid w:val="00A24010"/>
    <w:rsid w:val="00A240EC"/>
    <w:rsid w:val="00A24716"/>
    <w:rsid w:val="00A24765"/>
    <w:rsid w:val="00A25BE7"/>
    <w:rsid w:val="00A26886"/>
    <w:rsid w:val="00A2730E"/>
    <w:rsid w:val="00A27453"/>
    <w:rsid w:val="00A302DD"/>
    <w:rsid w:val="00A30409"/>
    <w:rsid w:val="00A3156B"/>
    <w:rsid w:val="00A32C22"/>
    <w:rsid w:val="00A33168"/>
    <w:rsid w:val="00A34675"/>
    <w:rsid w:val="00A347C4"/>
    <w:rsid w:val="00A34D8B"/>
    <w:rsid w:val="00A35D5F"/>
    <w:rsid w:val="00A35FF5"/>
    <w:rsid w:val="00A368AA"/>
    <w:rsid w:val="00A372F4"/>
    <w:rsid w:val="00A42505"/>
    <w:rsid w:val="00A4275B"/>
    <w:rsid w:val="00A43E5B"/>
    <w:rsid w:val="00A44FFE"/>
    <w:rsid w:val="00A464DE"/>
    <w:rsid w:val="00A46979"/>
    <w:rsid w:val="00A46A5D"/>
    <w:rsid w:val="00A507D9"/>
    <w:rsid w:val="00A50C29"/>
    <w:rsid w:val="00A518F0"/>
    <w:rsid w:val="00A53E79"/>
    <w:rsid w:val="00A54D48"/>
    <w:rsid w:val="00A54DAF"/>
    <w:rsid w:val="00A55037"/>
    <w:rsid w:val="00A5572F"/>
    <w:rsid w:val="00A56CBC"/>
    <w:rsid w:val="00A5737B"/>
    <w:rsid w:val="00A57498"/>
    <w:rsid w:val="00A57993"/>
    <w:rsid w:val="00A57A95"/>
    <w:rsid w:val="00A60095"/>
    <w:rsid w:val="00A6013E"/>
    <w:rsid w:val="00A61268"/>
    <w:rsid w:val="00A61BB0"/>
    <w:rsid w:val="00A61E94"/>
    <w:rsid w:val="00A6242C"/>
    <w:rsid w:val="00A62CB1"/>
    <w:rsid w:val="00A62F09"/>
    <w:rsid w:val="00A63386"/>
    <w:rsid w:val="00A633FB"/>
    <w:rsid w:val="00A65893"/>
    <w:rsid w:val="00A66802"/>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38EC"/>
    <w:rsid w:val="00A8497C"/>
    <w:rsid w:val="00A85471"/>
    <w:rsid w:val="00A85AD1"/>
    <w:rsid w:val="00A863A9"/>
    <w:rsid w:val="00A8649B"/>
    <w:rsid w:val="00A86762"/>
    <w:rsid w:val="00A90125"/>
    <w:rsid w:val="00A902D2"/>
    <w:rsid w:val="00A905FC"/>
    <w:rsid w:val="00A91E1B"/>
    <w:rsid w:val="00A92490"/>
    <w:rsid w:val="00A93BF8"/>
    <w:rsid w:val="00A94D39"/>
    <w:rsid w:val="00A95399"/>
    <w:rsid w:val="00A96464"/>
    <w:rsid w:val="00A96B61"/>
    <w:rsid w:val="00A97B05"/>
    <w:rsid w:val="00AA08FD"/>
    <w:rsid w:val="00AA11EA"/>
    <w:rsid w:val="00AA1D45"/>
    <w:rsid w:val="00AA3479"/>
    <w:rsid w:val="00AA3638"/>
    <w:rsid w:val="00AA4363"/>
    <w:rsid w:val="00AA54A4"/>
    <w:rsid w:val="00AA6A06"/>
    <w:rsid w:val="00AA6AA1"/>
    <w:rsid w:val="00AA763D"/>
    <w:rsid w:val="00AB0426"/>
    <w:rsid w:val="00AB0AD5"/>
    <w:rsid w:val="00AB1C34"/>
    <w:rsid w:val="00AB3AE9"/>
    <w:rsid w:val="00AB44CA"/>
    <w:rsid w:val="00AB476B"/>
    <w:rsid w:val="00AB4F10"/>
    <w:rsid w:val="00AB767A"/>
    <w:rsid w:val="00AB7A94"/>
    <w:rsid w:val="00AC0344"/>
    <w:rsid w:val="00AC303E"/>
    <w:rsid w:val="00AC4144"/>
    <w:rsid w:val="00AC5544"/>
    <w:rsid w:val="00AC5684"/>
    <w:rsid w:val="00AC7365"/>
    <w:rsid w:val="00AD06C6"/>
    <w:rsid w:val="00AD1C5D"/>
    <w:rsid w:val="00AD274E"/>
    <w:rsid w:val="00AD2808"/>
    <w:rsid w:val="00AD2CBF"/>
    <w:rsid w:val="00AD3A89"/>
    <w:rsid w:val="00AD3E0D"/>
    <w:rsid w:val="00AD3F55"/>
    <w:rsid w:val="00AD41B2"/>
    <w:rsid w:val="00AD4BE2"/>
    <w:rsid w:val="00AD5216"/>
    <w:rsid w:val="00AD5F4C"/>
    <w:rsid w:val="00AE0888"/>
    <w:rsid w:val="00AE21E7"/>
    <w:rsid w:val="00AE3AB0"/>
    <w:rsid w:val="00AE4DBA"/>
    <w:rsid w:val="00AE4E0B"/>
    <w:rsid w:val="00AE4E88"/>
    <w:rsid w:val="00AE5D33"/>
    <w:rsid w:val="00AF06D3"/>
    <w:rsid w:val="00AF1ACA"/>
    <w:rsid w:val="00AF20F9"/>
    <w:rsid w:val="00AF239B"/>
    <w:rsid w:val="00AF2876"/>
    <w:rsid w:val="00AF3185"/>
    <w:rsid w:val="00AF32BE"/>
    <w:rsid w:val="00AF3439"/>
    <w:rsid w:val="00AF3ACD"/>
    <w:rsid w:val="00AF3C8A"/>
    <w:rsid w:val="00AF3E51"/>
    <w:rsid w:val="00AF3F19"/>
    <w:rsid w:val="00AF40F1"/>
    <w:rsid w:val="00AF43E5"/>
    <w:rsid w:val="00AF43F1"/>
    <w:rsid w:val="00AF4FE5"/>
    <w:rsid w:val="00AF7107"/>
    <w:rsid w:val="00AF7D5A"/>
    <w:rsid w:val="00B00078"/>
    <w:rsid w:val="00B001D0"/>
    <w:rsid w:val="00B0128F"/>
    <w:rsid w:val="00B01708"/>
    <w:rsid w:val="00B01ED9"/>
    <w:rsid w:val="00B0349D"/>
    <w:rsid w:val="00B036D7"/>
    <w:rsid w:val="00B03B8F"/>
    <w:rsid w:val="00B03FD6"/>
    <w:rsid w:val="00B04593"/>
    <w:rsid w:val="00B04E4C"/>
    <w:rsid w:val="00B053EC"/>
    <w:rsid w:val="00B055CF"/>
    <w:rsid w:val="00B059B8"/>
    <w:rsid w:val="00B062EB"/>
    <w:rsid w:val="00B0675E"/>
    <w:rsid w:val="00B06FE2"/>
    <w:rsid w:val="00B07539"/>
    <w:rsid w:val="00B07B82"/>
    <w:rsid w:val="00B10BA4"/>
    <w:rsid w:val="00B10CB2"/>
    <w:rsid w:val="00B10F85"/>
    <w:rsid w:val="00B112D5"/>
    <w:rsid w:val="00B114A8"/>
    <w:rsid w:val="00B11888"/>
    <w:rsid w:val="00B12A24"/>
    <w:rsid w:val="00B12DE7"/>
    <w:rsid w:val="00B137ED"/>
    <w:rsid w:val="00B14025"/>
    <w:rsid w:val="00B147D8"/>
    <w:rsid w:val="00B156EE"/>
    <w:rsid w:val="00B15EAB"/>
    <w:rsid w:val="00B1748F"/>
    <w:rsid w:val="00B2144F"/>
    <w:rsid w:val="00B21475"/>
    <w:rsid w:val="00B21EB2"/>
    <w:rsid w:val="00B220D9"/>
    <w:rsid w:val="00B22251"/>
    <w:rsid w:val="00B2232F"/>
    <w:rsid w:val="00B22987"/>
    <w:rsid w:val="00B22CE5"/>
    <w:rsid w:val="00B241D1"/>
    <w:rsid w:val="00B244A6"/>
    <w:rsid w:val="00B253A9"/>
    <w:rsid w:val="00B26B13"/>
    <w:rsid w:val="00B27B5F"/>
    <w:rsid w:val="00B306AA"/>
    <w:rsid w:val="00B308AA"/>
    <w:rsid w:val="00B30E91"/>
    <w:rsid w:val="00B33244"/>
    <w:rsid w:val="00B33639"/>
    <w:rsid w:val="00B3385F"/>
    <w:rsid w:val="00B34E34"/>
    <w:rsid w:val="00B35A27"/>
    <w:rsid w:val="00B35D95"/>
    <w:rsid w:val="00B35E2D"/>
    <w:rsid w:val="00B36290"/>
    <w:rsid w:val="00B40D30"/>
    <w:rsid w:val="00B40EDF"/>
    <w:rsid w:val="00B41FD3"/>
    <w:rsid w:val="00B423F0"/>
    <w:rsid w:val="00B42877"/>
    <w:rsid w:val="00B44AFA"/>
    <w:rsid w:val="00B45322"/>
    <w:rsid w:val="00B4719A"/>
    <w:rsid w:val="00B5047F"/>
    <w:rsid w:val="00B50C78"/>
    <w:rsid w:val="00B5138F"/>
    <w:rsid w:val="00B518E4"/>
    <w:rsid w:val="00B53282"/>
    <w:rsid w:val="00B532AA"/>
    <w:rsid w:val="00B55677"/>
    <w:rsid w:val="00B569B4"/>
    <w:rsid w:val="00B57385"/>
    <w:rsid w:val="00B57C7B"/>
    <w:rsid w:val="00B6342B"/>
    <w:rsid w:val="00B63885"/>
    <w:rsid w:val="00B63A1F"/>
    <w:rsid w:val="00B63CB3"/>
    <w:rsid w:val="00B653C7"/>
    <w:rsid w:val="00B65C85"/>
    <w:rsid w:val="00B672EB"/>
    <w:rsid w:val="00B6739E"/>
    <w:rsid w:val="00B67CF6"/>
    <w:rsid w:val="00B70EC2"/>
    <w:rsid w:val="00B71545"/>
    <w:rsid w:val="00B717BE"/>
    <w:rsid w:val="00B72209"/>
    <w:rsid w:val="00B73634"/>
    <w:rsid w:val="00B7363F"/>
    <w:rsid w:val="00B73874"/>
    <w:rsid w:val="00B73BC9"/>
    <w:rsid w:val="00B75600"/>
    <w:rsid w:val="00B75AEE"/>
    <w:rsid w:val="00B768B6"/>
    <w:rsid w:val="00B77F03"/>
    <w:rsid w:val="00B802AE"/>
    <w:rsid w:val="00B8074C"/>
    <w:rsid w:val="00B81C1A"/>
    <w:rsid w:val="00B83302"/>
    <w:rsid w:val="00B83B63"/>
    <w:rsid w:val="00B84BE9"/>
    <w:rsid w:val="00B85C3D"/>
    <w:rsid w:val="00B86B12"/>
    <w:rsid w:val="00B91CBD"/>
    <w:rsid w:val="00B91E78"/>
    <w:rsid w:val="00B924B0"/>
    <w:rsid w:val="00B926A6"/>
    <w:rsid w:val="00B92933"/>
    <w:rsid w:val="00B92C12"/>
    <w:rsid w:val="00B92EE8"/>
    <w:rsid w:val="00B944C4"/>
    <w:rsid w:val="00B963D1"/>
    <w:rsid w:val="00B967DA"/>
    <w:rsid w:val="00B96BCD"/>
    <w:rsid w:val="00B96F90"/>
    <w:rsid w:val="00B97313"/>
    <w:rsid w:val="00B97547"/>
    <w:rsid w:val="00B97957"/>
    <w:rsid w:val="00BA0009"/>
    <w:rsid w:val="00BA1504"/>
    <w:rsid w:val="00BA2205"/>
    <w:rsid w:val="00BA35A8"/>
    <w:rsid w:val="00BA41AF"/>
    <w:rsid w:val="00BA4F0A"/>
    <w:rsid w:val="00BA4F13"/>
    <w:rsid w:val="00BA515C"/>
    <w:rsid w:val="00BA5871"/>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6B02"/>
    <w:rsid w:val="00BB758E"/>
    <w:rsid w:val="00BC1B99"/>
    <w:rsid w:val="00BC21D9"/>
    <w:rsid w:val="00BC2347"/>
    <w:rsid w:val="00BC407C"/>
    <w:rsid w:val="00BC4179"/>
    <w:rsid w:val="00BC476E"/>
    <w:rsid w:val="00BC5669"/>
    <w:rsid w:val="00BC5C32"/>
    <w:rsid w:val="00BC737C"/>
    <w:rsid w:val="00BD0099"/>
    <w:rsid w:val="00BD1423"/>
    <w:rsid w:val="00BD2449"/>
    <w:rsid w:val="00BD2F87"/>
    <w:rsid w:val="00BD2FD3"/>
    <w:rsid w:val="00BD3ABA"/>
    <w:rsid w:val="00BD46FC"/>
    <w:rsid w:val="00BD55BB"/>
    <w:rsid w:val="00BD5762"/>
    <w:rsid w:val="00BD5D12"/>
    <w:rsid w:val="00BD7A0F"/>
    <w:rsid w:val="00BE05D1"/>
    <w:rsid w:val="00BE209D"/>
    <w:rsid w:val="00BE27B2"/>
    <w:rsid w:val="00BE476F"/>
    <w:rsid w:val="00BE51DB"/>
    <w:rsid w:val="00BE5578"/>
    <w:rsid w:val="00BE5E8B"/>
    <w:rsid w:val="00BE6705"/>
    <w:rsid w:val="00BE7522"/>
    <w:rsid w:val="00BE78B9"/>
    <w:rsid w:val="00BE7DB5"/>
    <w:rsid w:val="00BF017F"/>
    <w:rsid w:val="00BF02D1"/>
    <w:rsid w:val="00BF068D"/>
    <w:rsid w:val="00BF0BA3"/>
    <w:rsid w:val="00BF127E"/>
    <w:rsid w:val="00BF194B"/>
    <w:rsid w:val="00BF21EC"/>
    <w:rsid w:val="00BF28D4"/>
    <w:rsid w:val="00BF29A1"/>
    <w:rsid w:val="00BF5443"/>
    <w:rsid w:val="00BF6C09"/>
    <w:rsid w:val="00BF7842"/>
    <w:rsid w:val="00C023C9"/>
    <w:rsid w:val="00C024E0"/>
    <w:rsid w:val="00C03326"/>
    <w:rsid w:val="00C0645F"/>
    <w:rsid w:val="00C07EF0"/>
    <w:rsid w:val="00C110BD"/>
    <w:rsid w:val="00C1152B"/>
    <w:rsid w:val="00C11C0E"/>
    <w:rsid w:val="00C12ED8"/>
    <w:rsid w:val="00C130D9"/>
    <w:rsid w:val="00C13220"/>
    <w:rsid w:val="00C134D4"/>
    <w:rsid w:val="00C1412E"/>
    <w:rsid w:val="00C147CE"/>
    <w:rsid w:val="00C148AD"/>
    <w:rsid w:val="00C14C03"/>
    <w:rsid w:val="00C14D07"/>
    <w:rsid w:val="00C15942"/>
    <w:rsid w:val="00C164F1"/>
    <w:rsid w:val="00C1782E"/>
    <w:rsid w:val="00C17973"/>
    <w:rsid w:val="00C202CC"/>
    <w:rsid w:val="00C209B8"/>
    <w:rsid w:val="00C20A97"/>
    <w:rsid w:val="00C21244"/>
    <w:rsid w:val="00C2259D"/>
    <w:rsid w:val="00C234FA"/>
    <w:rsid w:val="00C23A25"/>
    <w:rsid w:val="00C24829"/>
    <w:rsid w:val="00C27350"/>
    <w:rsid w:val="00C27975"/>
    <w:rsid w:val="00C3007E"/>
    <w:rsid w:val="00C30E90"/>
    <w:rsid w:val="00C32811"/>
    <w:rsid w:val="00C35F9D"/>
    <w:rsid w:val="00C361D1"/>
    <w:rsid w:val="00C36DA5"/>
    <w:rsid w:val="00C37A4A"/>
    <w:rsid w:val="00C41088"/>
    <w:rsid w:val="00C41BBB"/>
    <w:rsid w:val="00C4209A"/>
    <w:rsid w:val="00C42D40"/>
    <w:rsid w:val="00C44433"/>
    <w:rsid w:val="00C450FF"/>
    <w:rsid w:val="00C4513C"/>
    <w:rsid w:val="00C45DAD"/>
    <w:rsid w:val="00C46BFE"/>
    <w:rsid w:val="00C4735F"/>
    <w:rsid w:val="00C50349"/>
    <w:rsid w:val="00C505F1"/>
    <w:rsid w:val="00C51077"/>
    <w:rsid w:val="00C510E2"/>
    <w:rsid w:val="00C512D8"/>
    <w:rsid w:val="00C52B1D"/>
    <w:rsid w:val="00C5313B"/>
    <w:rsid w:val="00C531D9"/>
    <w:rsid w:val="00C53833"/>
    <w:rsid w:val="00C5416D"/>
    <w:rsid w:val="00C5600F"/>
    <w:rsid w:val="00C5714E"/>
    <w:rsid w:val="00C57D39"/>
    <w:rsid w:val="00C6089B"/>
    <w:rsid w:val="00C60B53"/>
    <w:rsid w:val="00C623F7"/>
    <w:rsid w:val="00C63236"/>
    <w:rsid w:val="00C64233"/>
    <w:rsid w:val="00C654EE"/>
    <w:rsid w:val="00C659FC"/>
    <w:rsid w:val="00C66FA5"/>
    <w:rsid w:val="00C67CF1"/>
    <w:rsid w:val="00C67F66"/>
    <w:rsid w:val="00C72694"/>
    <w:rsid w:val="00C72EA8"/>
    <w:rsid w:val="00C73FCE"/>
    <w:rsid w:val="00C75166"/>
    <w:rsid w:val="00C758EC"/>
    <w:rsid w:val="00C75DA9"/>
    <w:rsid w:val="00C76002"/>
    <w:rsid w:val="00C76759"/>
    <w:rsid w:val="00C7720F"/>
    <w:rsid w:val="00C807F3"/>
    <w:rsid w:val="00C8152C"/>
    <w:rsid w:val="00C8489E"/>
    <w:rsid w:val="00C84AEF"/>
    <w:rsid w:val="00C90821"/>
    <w:rsid w:val="00C90C2D"/>
    <w:rsid w:val="00C91BA2"/>
    <w:rsid w:val="00C92833"/>
    <w:rsid w:val="00C94350"/>
    <w:rsid w:val="00C96213"/>
    <w:rsid w:val="00CA0287"/>
    <w:rsid w:val="00CA0C33"/>
    <w:rsid w:val="00CA1932"/>
    <w:rsid w:val="00CA336E"/>
    <w:rsid w:val="00CA3BAA"/>
    <w:rsid w:val="00CA45A8"/>
    <w:rsid w:val="00CA47F6"/>
    <w:rsid w:val="00CA4A05"/>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B7C05"/>
    <w:rsid w:val="00CC12C4"/>
    <w:rsid w:val="00CC1B47"/>
    <w:rsid w:val="00CC1E45"/>
    <w:rsid w:val="00CC1E8E"/>
    <w:rsid w:val="00CC2064"/>
    <w:rsid w:val="00CC237B"/>
    <w:rsid w:val="00CC2759"/>
    <w:rsid w:val="00CC38FD"/>
    <w:rsid w:val="00CC3C2A"/>
    <w:rsid w:val="00CC42FA"/>
    <w:rsid w:val="00CC5444"/>
    <w:rsid w:val="00CC587B"/>
    <w:rsid w:val="00CC6094"/>
    <w:rsid w:val="00CC66A4"/>
    <w:rsid w:val="00CC76A7"/>
    <w:rsid w:val="00CC7830"/>
    <w:rsid w:val="00CD019F"/>
    <w:rsid w:val="00CD1672"/>
    <w:rsid w:val="00CD2365"/>
    <w:rsid w:val="00CD3300"/>
    <w:rsid w:val="00CD33BA"/>
    <w:rsid w:val="00CD3F67"/>
    <w:rsid w:val="00CD5077"/>
    <w:rsid w:val="00CD5F09"/>
    <w:rsid w:val="00CD6AE7"/>
    <w:rsid w:val="00CD6B1E"/>
    <w:rsid w:val="00CD78A6"/>
    <w:rsid w:val="00CE069C"/>
    <w:rsid w:val="00CE366C"/>
    <w:rsid w:val="00CE4157"/>
    <w:rsid w:val="00CE5704"/>
    <w:rsid w:val="00CE5868"/>
    <w:rsid w:val="00CF0089"/>
    <w:rsid w:val="00CF1174"/>
    <w:rsid w:val="00CF1579"/>
    <w:rsid w:val="00CF1649"/>
    <w:rsid w:val="00CF1FCA"/>
    <w:rsid w:val="00CF3A32"/>
    <w:rsid w:val="00CF45E8"/>
    <w:rsid w:val="00CF45F3"/>
    <w:rsid w:val="00CF4A10"/>
    <w:rsid w:val="00CF54D5"/>
    <w:rsid w:val="00CF61F7"/>
    <w:rsid w:val="00CF62C5"/>
    <w:rsid w:val="00D001BC"/>
    <w:rsid w:val="00D01AF5"/>
    <w:rsid w:val="00D02164"/>
    <w:rsid w:val="00D024E4"/>
    <w:rsid w:val="00D02BAE"/>
    <w:rsid w:val="00D02DB5"/>
    <w:rsid w:val="00D042D0"/>
    <w:rsid w:val="00D04F2E"/>
    <w:rsid w:val="00D06EB5"/>
    <w:rsid w:val="00D070AF"/>
    <w:rsid w:val="00D071F2"/>
    <w:rsid w:val="00D0754A"/>
    <w:rsid w:val="00D07732"/>
    <w:rsid w:val="00D07BA2"/>
    <w:rsid w:val="00D106D1"/>
    <w:rsid w:val="00D10DF3"/>
    <w:rsid w:val="00D111D5"/>
    <w:rsid w:val="00D11D06"/>
    <w:rsid w:val="00D12478"/>
    <w:rsid w:val="00D12EDC"/>
    <w:rsid w:val="00D13434"/>
    <w:rsid w:val="00D13A6C"/>
    <w:rsid w:val="00D15C05"/>
    <w:rsid w:val="00D17137"/>
    <w:rsid w:val="00D20D77"/>
    <w:rsid w:val="00D211AA"/>
    <w:rsid w:val="00D213D0"/>
    <w:rsid w:val="00D23358"/>
    <w:rsid w:val="00D27053"/>
    <w:rsid w:val="00D277E9"/>
    <w:rsid w:val="00D27FF9"/>
    <w:rsid w:val="00D311C1"/>
    <w:rsid w:val="00D317D2"/>
    <w:rsid w:val="00D31910"/>
    <w:rsid w:val="00D31AEC"/>
    <w:rsid w:val="00D31BEA"/>
    <w:rsid w:val="00D324F5"/>
    <w:rsid w:val="00D329C7"/>
    <w:rsid w:val="00D32F96"/>
    <w:rsid w:val="00D3371D"/>
    <w:rsid w:val="00D339EF"/>
    <w:rsid w:val="00D35E5C"/>
    <w:rsid w:val="00D3620F"/>
    <w:rsid w:val="00D409DD"/>
    <w:rsid w:val="00D41E25"/>
    <w:rsid w:val="00D42639"/>
    <w:rsid w:val="00D436E5"/>
    <w:rsid w:val="00D43C6F"/>
    <w:rsid w:val="00D44C17"/>
    <w:rsid w:val="00D4530E"/>
    <w:rsid w:val="00D45380"/>
    <w:rsid w:val="00D45494"/>
    <w:rsid w:val="00D45C66"/>
    <w:rsid w:val="00D506AD"/>
    <w:rsid w:val="00D507C1"/>
    <w:rsid w:val="00D5082A"/>
    <w:rsid w:val="00D50AEE"/>
    <w:rsid w:val="00D51C7F"/>
    <w:rsid w:val="00D51E7A"/>
    <w:rsid w:val="00D52F16"/>
    <w:rsid w:val="00D55991"/>
    <w:rsid w:val="00D55A04"/>
    <w:rsid w:val="00D60868"/>
    <w:rsid w:val="00D608A5"/>
    <w:rsid w:val="00D63AF4"/>
    <w:rsid w:val="00D64547"/>
    <w:rsid w:val="00D651BD"/>
    <w:rsid w:val="00D6539E"/>
    <w:rsid w:val="00D65746"/>
    <w:rsid w:val="00D71A85"/>
    <w:rsid w:val="00D71BE1"/>
    <w:rsid w:val="00D7201F"/>
    <w:rsid w:val="00D72986"/>
    <w:rsid w:val="00D744D4"/>
    <w:rsid w:val="00D74743"/>
    <w:rsid w:val="00D74A54"/>
    <w:rsid w:val="00D75823"/>
    <w:rsid w:val="00D75A49"/>
    <w:rsid w:val="00D75CAD"/>
    <w:rsid w:val="00D764A5"/>
    <w:rsid w:val="00D77DDC"/>
    <w:rsid w:val="00D80153"/>
    <w:rsid w:val="00D801AD"/>
    <w:rsid w:val="00D827E4"/>
    <w:rsid w:val="00D82E31"/>
    <w:rsid w:val="00D82E9F"/>
    <w:rsid w:val="00D84AE8"/>
    <w:rsid w:val="00D86002"/>
    <w:rsid w:val="00D867F5"/>
    <w:rsid w:val="00D87F26"/>
    <w:rsid w:val="00D87F7D"/>
    <w:rsid w:val="00D911AF"/>
    <w:rsid w:val="00D9173E"/>
    <w:rsid w:val="00D922D4"/>
    <w:rsid w:val="00D938E4"/>
    <w:rsid w:val="00D93912"/>
    <w:rsid w:val="00D93E9A"/>
    <w:rsid w:val="00D93F0C"/>
    <w:rsid w:val="00D954CD"/>
    <w:rsid w:val="00D95EFE"/>
    <w:rsid w:val="00D975EB"/>
    <w:rsid w:val="00D976F9"/>
    <w:rsid w:val="00D979BC"/>
    <w:rsid w:val="00DA10F2"/>
    <w:rsid w:val="00DA4380"/>
    <w:rsid w:val="00DA4DB4"/>
    <w:rsid w:val="00DA5834"/>
    <w:rsid w:val="00DA5AFC"/>
    <w:rsid w:val="00DA697F"/>
    <w:rsid w:val="00DA6D3F"/>
    <w:rsid w:val="00DA6E1E"/>
    <w:rsid w:val="00DB0682"/>
    <w:rsid w:val="00DB18F4"/>
    <w:rsid w:val="00DB306D"/>
    <w:rsid w:val="00DB34F6"/>
    <w:rsid w:val="00DB39E4"/>
    <w:rsid w:val="00DB3E9C"/>
    <w:rsid w:val="00DB3EAA"/>
    <w:rsid w:val="00DB4198"/>
    <w:rsid w:val="00DB4866"/>
    <w:rsid w:val="00DB4897"/>
    <w:rsid w:val="00DB54A4"/>
    <w:rsid w:val="00DB5BFA"/>
    <w:rsid w:val="00DB638F"/>
    <w:rsid w:val="00DB6BE7"/>
    <w:rsid w:val="00DB6E15"/>
    <w:rsid w:val="00DB6FA9"/>
    <w:rsid w:val="00DB7DC3"/>
    <w:rsid w:val="00DC09D8"/>
    <w:rsid w:val="00DC0EAF"/>
    <w:rsid w:val="00DC1177"/>
    <w:rsid w:val="00DC2106"/>
    <w:rsid w:val="00DC222D"/>
    <w:rsid w:val="00DC32E4"/>
    <w:rsid w:val="00DC3927"/>
    <w:rsid w:val="00DC3990"/>
    <w:rsid w:val="00DC4A0E"/>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970"/>
    <w:rsid w:val="00DE5DC2"/>
    <w:rsid w:val="00DE6692"/>
    <w:rsid w:val="00DE675A"/>
    <w:rsid w:val="00DE7A0D"/>
    <w:rsid w:val="00DF175B"/>
    <w:rsid w:val="00DF19B1"/>
    <w:rsid w:val="00DF1B80"/>
    <w:rsid w:val="00DF20C5"/>
    <w:rsid w:val="00DF216C"/>
    <w:rsid w:val="00DF37CB"/>
    <w:rsid w:val="00DF42E8"/>
    <w:rsid w:val="00DF7679"/>
    <w:rsid w:val="00DF7AAF"/>
    <w:rsid w:val="00E004CC"/>
    <w:rsid w:val="00E00533"/>
    <w:rsid w:val="00E00598"/>
    <w:rsid w:val="00E0225B"/>
    <w:rsid w:val="00E0262F"/>
    <w:rsid w:val="00E0272D"/>
    <w:rsid w:val="00E02FD6"/>
    <w:rsid w:val="00E03604"/>
    <w:rsid w:val="00E03CD5"/>
    <w:rsid w:val="00E04A7D"/>
    <w:rsid w:val="00E052DA"/>
    <w:rsid w:val="00E073D6"/>
    <w:rsid w:val="00E101B7"/>
    <w:rsid w:val="00E1174E"/>
    <w:rsid w:val="00E11BF3"/>
    <w:rsid w:val="00E12825"/>
    <w:rsid w:val="00E12EC5"/>
    <w:rsid w:val="00E13834"/>
    <w:rsid w:val="00E13BC4"/>
    <w:rsid w:val="00E13E8E"/>
    <w:rsid w:val="00E140B6"/>
    <w:rsid w:val="00E14820"/>
    <w:rsid w:val="00E16C1C"/>
    <w:rsid w:val="00E171BA"/>
    <w:rsid w:val="00E179A4"/>
    <w:rsid w:val="00E211D2"/>
    <w:rsid w:val="00E22F29"/>
    <w:rsid w:val="00E24487"/>
    <w:rsid w:val="00E249F5"/>
    <w:rsid w:val="00E24FD7"/>
    <w:rsid w:val="00E24FE2"/>
    <w:rsid w:val="00E26A6D"/>
    <w:rsid w:val="00E26B0E"/>
    <w:rsid w:val="00E27098"/>
    <w:rsid w:val="00E319AD"/>
    <w:rsid w:val="00E32235"/>
    <w:rsid w:val="00E35215"/>
    <w:rsid w:val="00E35438"/>
    <w:rsid w:val="00E35EA4"/>
    <w:rsid w:val="00E3625E"/>
    <w:rsid w:val="00E369F0"/>
    <w:rsid w:val="00E40312"/>
    <w:rsid w:val="00E407B2"/>
    <w:rsid w:val="00E40C69"/>
    <w:rsid w:val="00E415FA"/>
    <w:rsid w:val="00E41CA8"/>
    <w:rsid w:val="00E42382"/>
    <w:rsid w:val="00E42932"/>
    <w:rsid w:val="00E44E53"/>
    <w:rsid w:val="00E45D79"/>
    <w:rsid w:val="00E46833"/>
    <w:rsid w:val="00E47190"/>
    <w:rsid w:val="00E474AC"/>
    <w:rsid w:val="00E50648"/>
    <w:rsid w:val="00E5110A"/>
    <w:rsid w:val="00E51687"/>
    <w:rsid w:val="00E522E8"/>
    <w:rsid w:val="00E52A32"/>
    <w:rsid w:val="00E52AF8"/>
    <w:rsid w:val="00E52C03"/>
    <w:rsid w:val="00E52C89"/>
    <w:rsid w:val="00E53230"/>
    <w:rsid w:val="00E545BD"/>
    <w:rsid w:val="00E54F0E"/>
    <w:rsid w:val="00E5508F"/>
    <w:rsid w:val="00E550AF"/>
    <w:rsid w:val="00E55C18"/>
    <w:rsid w:val="00E5770F"/>
    <w:rsid w:val="00E578E0"/>
    <w:rsid w:val="00E601D8"/>
    <w:rsid w:val="00E6078B"/>
    <w:rsid w:val="00E612EF"/>
    <w:rsid w:val="00E62133"/>
    <w:rsid w:val="00E637FD"/>
    <w:rsid w:val="00E63968"/>
    <w:rsid w:val="00E64021"/>
    <w:rsid w:val="00E64722"/>
    <w:rsid w:val="00E64B68"/>
    <w:rsid w:val="00E64FFE"/>
    <w:rsid w:val="00E66321"/>
    <w:rsid w:val="00E677BF"/>
    <w:rsid w:val="00E67EF4"/>
    <w:rsid w:val="00E7046A"/>
    <w:rsid w:val="00E71574"/>
    <w:rsid w:val="00E71A8D"/>
    <w:rsid w:val="00E72145"/>
    <w:rsid w:val="00E724A3"/>
    <w:rsid w:val="00E744F2"/>
    <w:rsid w:val="00E74932"/>
    <w:rsid w:val="00E749FD"/>
    <w:rsid w:val="00E755C4"/>
    <w:rsid w:val="00E75607"/>
    <w:rsid w:val="00E757A2"/>
    <w:rsid w:val="00E75AC7"/>
    <w:rsid w:val="00E765B1"/>
    <w:rsid w:val="00E76EC1"/>
    <w:rsid w:val="00E77915"/>
    <w:rsid w:val="00E77E6A"/>
    <w:rsid w:val="00E77FF3"/>
    <w:rsid w:val="00E80226"/>
    <w:rsid w:val="00E8108F"/>
    <w:rsid w:val="00E81F1A"/>
    <w:rsid w:val="00E81FC6"/>
    <w:rsid w:val="00E83542"/>
    <w:rsid w:val="00E83F1F"/>
    <w:rsid w:val="00E845C4"/>
    <w:rsid w:val="00E846E1"/>
    <w:rsid w:val="00E86432"/>
    <w:rsid w:val="00E864D7"/>
    <w:rsid w:val="00E90231"/>
    <w:rsid w:val="00E93AFE"/>
    <w:rsid w:val="00E950AB"/>
    <w:rsid w:val="00E95348"/>
    <w:rsid w:val="00E95477"/>
    <w:rsid w:val="00E96CA3"/>
    <w:rsid w:val="00EA278E"/>
    <w:rsid w:val="00EA2F79"/>
    <w:rsid w:val="00EA38E2"/>
    <w:rsid w:val="00EA3D83"/>
    <w:rsid w:val="00EA653A"/>
    <w:rsid w:val="00EA6AAC"/>
    <w:rsid w:val="00EA6C10"/>
    <w:rsid w:val="00EA7C09"/>
    <w:rsid w:val="00EB0A4F"/>
    <w:rsid w:val="00EB0AED"/>
    <w:rsid w:val="00EB0C25"/>
    <w:rsid w:val="00EB3C27"/>
    <w:rsid w:val="00EB5790"/>
    <w:rsid w:val="00EB5A7D"/>
    <w:rsid w:val="00EB72B4"/>
    <w:rsid w:val="00EB74AD"/>
    <w:rsid w:val="00EC0034"/>
    <w:rsid w:val="00EC036C"/>
    <w:rsid w:val="00EC0529"/>
    <w:rsid w:val="00EC09D2"/>
    <w:rsid w:val="00EC0EDF"/>
    <w:rsid w:val="00EC15E8"/>
    <w:rsid w:val="00EC1BE6"/>
    <w:rsid w:val="00EC1F24"/>
    <w:rsid w:val="00EC2624"/>
    <w:rsid w:val="00EC358F"/>
    <w:rsid w:val="00EC38E7"/>
    <w:rsid w:val="00EC3979"/>
    <w:rsid w:val="00EC6500"/>
    <w:rsid w:val="00EC77F2"/>
    <w:rsid w:val="00ED1066"/>
    <w:rsid w:val="00ED316F"/>
    <w:rsid w:val="00ED3307"/>
    <w:rsid w:val="00ED3B24"/>
    <w:rsid w:val="00ED4DA9"/>
    <w:rsid w:val="00ED4DC5"/>
    <w:rsid w:val="00ED5557"/>
    <w:rsid w:val="00ED5613"/>
    <w:rsid w:val="00ED660C"/>
    <w:rsid w:val="00ED6759"/>
    <w:rsid w:val="00ED6849"/>
    <w:rsid w:val="00ED7530"/>
    <w:rsid w:val="00ED7C6A"/>
    <w:rsid w:val="00EE0A14"/>
    <w:rsid w:val="00EE1629"/>
    <w:rsid w:val="00EE1634"/>
    <w:rsid w:val="00EE20AC"/>
    <w:rsid w:val="00EE20EE"/>
    <w:rsid w:val="00EE2105"/>
    <w:rsid w:val="00EE301D"/>
    <w:rsid w:val="00EE47AA"/>
    <w:rsid w:val="00EE4D89"/>
    <w:rsid w:val="00EE513C"/>
    <w:rsid w:val="00EE6546"/>
    <w:rsid w:val="00EE6A75"/>
    <w:rsid w:val="00EE7223"/>
    <w:rsid w:val="00EF0399"/>
    <w:rsid w:val="00EF0EF4"/>
    <w:rsid w:val="00EF1848"/>
    <w:rsid w:val="00EF2ACC"/>
    <w:rsid w:val="00EF42D8"/>
    <w:rsid w:val="00EF4FA1"/>
    <w:rsid w:val="00EF52D7"/>
    <w:rsid w:val="00F02B01"/>
    <w:rsid w:val="00F02F5C"/>
    <w:rsid w:val="00F036D0"/>
    <w:rsid w:val="00F040DD"/>
    <w:rsid w:val="00F062B5"/>
    <w:rsid w:val="00F0634B"/>
    <w:rsid w:val="00F10040"/>
    <w:rsid w:val="00F1056A"/>
    <w:rsid w:val="00F108FD"/>
    <w:rsid w:val="00F10CDB"/>
    <w:rsid w:val="00F11D64"/>
    <w:rsid w:val="00F149AE"/>
    <w:rsid w:val="00F14BD7"/>
    <w:rsid w:val="00F154AA"/>
    <w:rsid w:val="00F172F2"/>
    <w:rsid w:val="00F17438"/>
    <w:rsid w:val="00F2117B"/>
    <w:rsid w:val="00F22522"/>
    <w:rsid w:val="00F24080"/>
    <w:rsid w:val="00F243E1"/>
    <w:rsid w:val="00F258F6"/>
    <w:rsid w:val="00F270EE"/>
    <w:rsid w:val="00F30014"/>
    <w:rsid w:val="00F30065"/>
    <w:rsid w:val="00F301F6"/>
    <w:rsid w:val="00F3385F"/>
    <w:rsid w:val="00F3386F"/>
    <w:rsid w:val="00F33B60"/>
    <w:rsid w:val="00F33D31"/>
    <w:rsid w:val="00F347CA"/>
    <w:rsid w:val="00F35231"/>
    <w:rsid w:val="00F359B0"/>
    <w:rsid w:val="00F3603A"/>
    <w:rsid w:val="00F36C4F"/>
    <w:rsid w:val="00F370AE"/>
    <w:rsid w:val="00F375A3"/>
    <w:rsid w:val="00F3785F"/>
    <w:rsid w:val="00F3788D"/>
    <w:rsid w:val="00F42AF3"/>
    <w:rsid w:val="00F42EF8"/>
    <w:rsid w:val="00F43F95"/>
    <w:rsid w:val="00F44C8E"/>
    <w:rsid w:val="00F46694"/>
    <w:rsid w:val="00F46736"/>
    <w:rsid w:val="00F47FA4"/>
    <w:rsid w:val="00F5089C"/>
    <w:rsid w:val="00F5122D"/>
    <w:rsid w:val="00F51EFB"/>
    <w:rsid w:val="00F53320"/>
    <w:rsid w:val="00F53E0A"/>
    <w:rsid w:val="00F5416B"/>
    <w:rsid w:val="00F56191"/>
    <w:rsid w:val="00F56987"/>
    <w:rsid w:val="00F57635"/>
    <w:rsid w:val="00F5789B"/>
    <w:rsid w:val="00F61D43"/>
    <w:rsid w:val="00F61F6B"/>
    <w:rsid w:val="00F647E4"/>
    <w:rsid w:val="00F64E25"/>
    <w:rsid w:val="00F65028"/>
    <w:rsid w:val="00F658AD"/>
    <w:rsid w:val="00F658F6"/>
    <w:rsid w:val="00F65BC0"/>
    <w:rsid w:val="00F66C6B"/>
    <w:rsid w:val="00F67B9F"/>
    <w:rsid w:val="00F67E7A"/>
    <w:rsid w:val="00F7075F"/>
    <w:rsid w:val="00F7103B"/>
    <w:rsid w:val="00F71CCF"/>
    <w:rsid w:val="00F7338D"/>
    <w:rsid w:val="00F7348B"/>
    <w:rsid w:val="00F74A5A"/>
    <w:rsid w:val="00F74D92"/>
    <w:rsid w:val="00F7518B"/>
    <w:rsid w:val="00F76116"/>
    <w:rsid w:val="00F7658A"/>
    <w:rsid w:val="00F7799C"/>
    <w:rsid w:val="00F800AA"/>
    <w:rsid w:val="00F810F4"/>
    <w:rsid w:val="00F816D7"/>
    <w:rsid w:val="00F82172"/>
    <w:rsid w:val="00F84343"/>
    <w:rsid w:val="00F85933"/>
    <w:rsid w:val="00F86016"/>
    <w:rsid w:val="00F86F12"/>
    <w:rsid w:val="00F90256"/>
    <w:rsid w:val="00F93F47"/>
    <w:rsid w:val="00F9420E"/>
    <w:rsid w:val="00F94A06"/>
    <w:rsid w:val="00F95AAF"/>
    <w:rsid w:val="00F95E5C"/>
    <w:rsid w:val="00F96592"/>
    <w:rsid w:val="00F96617"/>
    <w:rsid w:val="00F96C0A"/>
    <w:rsid w:val="00F96CA8"/>
    <w:rsid w:val="00F97075"/>
    <w:rsid w:val="00FA07FF"/>
    <w:rsid w:val="00FA0999"/>
    <w:rsid w:val="00FA0FB5"/>
    <w:rsid w:val="00FA1E95"/>
    <w:rsid w:val="00FA300F"/>
    <w:rsid w:val="00FA54D6"/>
    <w:rsid w:val="00FA569D"/>
    <w:rsid w:val="00FA582C"/>
    <w:rsid w:val="00FA58AF"/>
    <w:rsid w:val="00FA5B89"/>
    <w:rsid w:val="00FA6282"/>
    <w:rsid w:val="00FA66AB"/>
    <w:rsid w:val="00FA6C63"/>
    <w:rsid w:val="00FA73B8"/>
    <w:rsid w:val="00FB0F60"/>
    <w:rsid w:val="00FB143C"/>
    <w:rsid w:val="00FB237E"/>
    <w:rsid w:val="00FB29F7"/>
    <w:rsid w:val="00FB2E16"/>
    <w:rsid w:val="00FB2E73"/>
    <w:rsid w:val="00FB373A"/>
    <w:rsid w:val="00FB3CA5"/>
    <w:rsid w:val="00FB3E26"/>
    <w:rsid w:val="00FB50D0"/>
    <w:rsid w:val="00FB6F93"/>
    <w:rsid w:val="00FC03B4"/>
    <w:rsid w:val="00FC3388"/>
    <w:rsid w:val="00FC372D"/>
    <w:rsid w:val="00FC3D5D"/>
    <w:rsid w:val="00FC4598"/>
    <w:rsid w:val="00FC5291"/>
    <w:rsid w:val="00FC631A"/>
    <w:rsid w:val="00FC6DD6"/>
    <w:rsid w:val="00FD1C54"/>
    <w:rsid w:val="00FD7736"/>
    <w:rsid w:val="00FE24DC"/>
    <w:rsid w:val="00FE3A25"/>
    <w:rsid w:val="00FE3B46"/>
    <w:rsid w:val="00FE43E7"/>
    <w:rsid w:val="00FE4B74"/>
    <w:rsid w:val="00FE5A29"/>
    <w:rsid w:val="00FE5CC1"/>
    <w:rsid w:val="00FE61BF"/>
    <w:rsid w:val="00FF14BC"/>
    <w:rsid w:val="00FF241D"/>
    <w:rsid w:val="00FF2D72"/>
    <w:rsid w:val="00FF5C54"/>
    <w:rsid w:val="00FF6E22"/>
    <w:rsid w:val="00FF75B6"/>
    <w:rsid w:val="00FF7F55"/>
    <w:rsid w:val="015156CA"/>
    <w:rsid w:val="01F857F5"/>
    <w:rsid w:val="02757A17"/>
    <w:rsid w:val="032A570E"/>
    <w:rsid w:val="0402712A"/>
    <w:rsid w:val="04C07A9A"/>
    <w:rsid w:val="055B1184"/>
    <w:rsid w:val="061E5E54"/>
    <w:rsid w:val="076B7406"/>
    <w:rsid w:val="07803E85"/>
    <w:rsid w:val="083539AD"/>
    <w:rsid w:val="09253D2B"/>
    <w:rsid w:val="0A83523C"/>
    <w:rsid w:val="0AD47E86"/>
    <w:rsid w:val="0AEC2557"/>
    <w:rsid w:val="0B945493"/>
    <w:rsid w:val="0BC90F02"/>
    <w:rsid w:val="0C623D51"/>
    <w:rsid w:val="0C9C1F86"/>
    <w:rsid w:val="0CC73D69"/>
    <w:rsid w:val="0CF3187D"/>
    <w:rsid w:val="0D6C0740"/>
    <w:rsid w:val="0DAD0C96"/>
    <w:rsid w:val="0F973A3F"/>
    <w:rsid w:val="102A6370"/>
    <w:rsid w:val="11AF038B"/>
    <w:rsid w:val="11F779B6"/>
    <w:rsid w:val="120E16B9"/>
    <w:rsid w:val="123E4B17"/>
    <w:rsid w:val="12743DDF"/>
    <w:rsid w:val="13301786"/>
    <w:rsid w:val="14ED5F84"/>
    <w:rsid w:val="16DA7377"/>
    <w:rsid w:val="16EB42C7"/>
    <w:rsid w:val="16F7D914"/>
    <w:rsid w:val="17723216"/>
    <w:rsid w:val="17935DF6"/>
    <w:rsid w:val="17EF6FA6"/>
    <w:rsid w:val="18497E4E"/>
    <w:rsid w:val="191B1A31"/>
    <w:rsid w:val="194629FF"/>
    <w:rsid w:val="19B15054"/>
    <w:rsid w:val="19F710FE"/>
    <w:rsid w:val="1BB90A8F"/>
    <w:rsid w:val="1BD42D49"/>
    <w:rsid w:val="1C12084A"/>
    <w:rsid w:val="1C6A65EE"/>
    <w:rsid w:val="1CEB105F"/>
    <w:rsid w:val="1D77546C"/>
    <w:rsid w:val="1E666BC1"/>
    <w:rsid w:val="1F0E25B6"/>
    <w:rsid w:val="1F205556"/>
    <w:rsid w:val="1F8E7B03"/>
    <w:rsid w:val="1FB14621"/>
    <w:rsid w:val="2183381B"/>
    <w:rsid w:val="22567DBC"/>
    <w:rsid w:val="22A90927"/>
    <w:rsid w:val="232B3E4C"/>
    <w:rsid w:val="23466347"/>
    <w:rsid w:val="248143BC"/>
    <w:rsid w:val="24D80E01"/>
    <w:rsid w:val="25267F6B"/>
    <w:rsid w:val="267F2C2C"/>
    <w:rsid w:val="273023CF"/>
    <w:rsid w:val="27B336AA"/>
    <w:rsid w:val="27B943E7"/>
    <w:rsid w:val="27E33F8F"/>
    <w:rsid w:val="27E60AD9"/>
    <w:rsid w:val="287E3CBF"/>
    <w:rsid w:val="28D77178"/>
    <w:rsid w:val="29536CD0"/>
    <w:rsid w:val="2A032D20"/>
    <w:rsid w:val="2A794F06"/>
    <w:rsid w:val="2B3252EF"/>
    <w:rsid w:val="2BCC550E"/>
    <w:rsid w:val="2CD35B2A"/>
    <w:rsid w:val="2CFF14EB"/>
    <w:rsid w:val="2DDE71DE"/>
    <w:rsid w:val="2E087C5C"/>
    <w:rsid w:val="2EF7C738"/>
    <w:rsid w:val="307D72D6"/>
    <w:rsid w:val="308B207A"/>
    <w:rsid w:val="31BF5943"/>
    <w:rsid w:val="335536C7"/>
    <w:rsid w:val="338A0383"/>
    <w:rsid w:val="33BF1BD4"/>
    <w:rsid w:val="34224DFB"/>
    <w:rsid w:val="34804466"/>
    <w:rsid w:val="34BD6D45"/>
    <w:rsid w:val="34CC6E33"/>
    <w:rsid w:val="350037BE"/>
    <w:rsid w:val="37071BDC"/>
    <w:rsid w:val="37136F43"/>
    <w:rsid w:val="373202FD"/>
    <w:rsid w:val="388C7D0A"/>
    <w:rsid w:val="390E3642"/>
    <w:rsid w:val="39173B52"/>
    <w:rsid w:val="39400AE3"/>
    <w:rsid w:val="39B72532"/>
    <w:rsid w:val="3A0E1938"/>
    <w:rsid w:val="3A1B6DAD"/>
    <w:rsid w:val="3B6067AC"/>
    <w:rsid w:val="3BB14D97"/>
    <w:rsid w:val="3C593578"/>
    <w:rsid w:val="3DE77B32"/>
    <w:rsid w:val="3E74287A"/>
    <w:rsid w:val="3ECC4618"/>
    <w:rsid w:val="3F482A4D"/>
    <w:rsid w:val="3FE8633D"/>
    <w:rsid w:val="3FFFB6CF"/>
    <w:rsid w:val="403F1422"/>
    <w:rsid w:val="406F554C"/>
    <w:rsid w:val="407F4266"/>
    <w:rsid w:val="40CD1C27"/>
    <w:rsid w:val="416B105D"/>
    <w:rsid w:val="41B33AA7"/>
    <w:rsid w:val="41BEF2EC"/>
    <w:rsid w:val="427549D4"/>
    <w:rsid w:val="42A27A4F"/>
    <w:rsid w:val="42D159F4"/>
    <w:rsid w:val="42F955D5"/>
    <w:rsid w:val="43031FD2"/>
    <w:rsid w:val="43EE0379"/>
    <w:rsid w:val="44195122"/>
    <w:rsid w:val="44F93393"/>
    <w:rsid w:val="45C41333"/>
    <w:rsid w:val="47015332"/>
    <w:rsid w:val="47971328"/>
    <w:rsid w:val="481A132B"/>
    <w:rsid w:val="49EC3FA5"/>
    <w:rsid w:val="49FC33DD"/>
    <w:rsid w:val="4A831CC0"/>
    <w:rsid w:val="4B3D2337"/>
    <w:rsid w:val="4B6270C9"/>
    <w:rsid w:val="4B7C61D6"/>
    <w:rsid w:val="4BCB3BF0"/>
    <w:rsid w:val="4C3A1068"/>
    <w:rsid w:val="4C823D15"/>
    <w:rsid w:val="4EFE083A"/>
    <w:rsid w:val="5007726F"/>
    <w:rsid w:val="503008A2"/>
    <w:rsid w:val="511D2A4C"/>
    <w:rsid w:val="514220EF"/>
    <w:rsid w:val="51851127"/>
    <w:rsid w:val="51A81E4C"/>
    <w:rsid w:val="52B9085B"/>
    <w:rsid w:val="548F29CB"/>
    <w:rsid w:val="54B863A6"/>
    <w:rsid w:val="54DA51F2"/>
    <w:rsid w:val="54DB6A2E"/>
    <w:rsid w:val="5530180D"/>
    <w:rsid w:val="564832CA"/>
    <w:rsid w:val="56CF1F55"/>
    <w:rsid w:val="56FE4147"/>
    <w:rsid w:val="573928F1"/>
    <w:rsid w:val="57BB4146"/>
    <w:rsid w:val="59AD28AE"/>
    <w:rsid w:val="5AF22CF3"/>
    <w:rsid w:val="5B1B3E36"/>
    <w:rsid w:val="5B71587C"/>
    <w:rsid w:val="5B8F29FB"/>
    <w:rsid w:val="5B9C2021"/>
    <w:rsid w:val="5BB78D27"/>
    <w:rsid w:val="5C610158"/>
    <w:rsid w:val="5CD65EEE"/>
    <w:rsid w:val="5CDF6C00"/>
    <w:rsid w:val="5D5F63D1"/>
    <w:rsid w:val="5D91AA15"/>
    <w:rsid w:val="5DB97CC8"/>
    <w:rsid w:val="5EBB183D"/>
    <w:rsid w:val="5ED44FB0"/>
    <w:rsid w:val="5F260A78"/>
    <w:rsid w:val="5FBB9062"/>
    <w:rsid w:val="60520E7B"/>
    <w:rsid w:val="61A7301E"/>
    <w:rsid w:val="627C0B12"/>
    <w:rsid w:val="6313143A"/>
    <w:rsid w:val="63F762E0"/>
    <w:rsid w:val="644A2157"/>
    <w:rsid w:val="652D648D"/>
    <w:rsid w:val="658E6BA3"/>
    <w:rsid w:val="6649065E"/>
    <w:rsid w:val="66FC4E61"/>
    <w:rsid w:val="694C277A"/>
    <w:rsid w:val="6A6A4F14"/>
    <w:rsid w:val="6A7705F2"/>
    <w:rsid w:val="6B30599C"/>
    <w:rsid w:val="6B350873"/>
    <w:rsid w:val="6B4248BA"/>
    <w:rsid w:val="6B6FC0E1"/>
    <w:rsid w:val="6B91130E"/>
    <w:rsid w:val="6B9B82B6"/>
    <w:rsid w:val="6BA52958"/>
    <w:rsid w:val="6C377DFD"/>
    <w:rsid w:val="6C511561"/>
    <w:rsid w:val="6D3EDC54"/>
    <w:rsid w:val="6D58371C"/>
    <w:rsid w:val="6DBE6832"/>
    <w:rsid w:val="6E371E54"/>
    <w:rsid w:val="6EB51563"/>
    <w:rsid w:val="6FCA5EF2"/>
    <w:rsid w:val="702340AB"/>
    <w:rsid w:val="703A536D"/>
    <w:rsid w:val="71622FE0"/>
    <w:rsid w:val="7203038E"/>
    <w:rsid w:val="73982739"/>
    <w:rsid w:val="75B64D94"/>
    <w:rsid w:val="75BA274A"/>
    <w:rsid w:val="75BBD9BF"/>
    <w:rsid w:val="76AA5E6E"/>
    <w:rsid w:val="77B710C5"/>
    <w:rsid w:val="77F9223E"/>
    <w:rsid w:val="78C52D16"/>
    <w:rsid w:val="78D62BFC"/>
    <w:rsid w:val="791D1A89"/>
    <w:rsid w:val="79FDDE4F"/>
    <w:rsid w:val="7A35F9FA"/>
    <w:rsid w:val="7B232495"/>
    <w:rsid w:val="7B77F971"/>
    <w:rsid w:val="7B7DD902"/>
    <w:rsid w:val="7BF16FF0"/>
    <w:rsid w:val="7BFB1CE1"/>
    <w:rsid w:val="7C4514FA"/>
    <w:rsid w:val="7CBF9864"/>
    <w:rsid w:val="7D3C1CC1"/>
    <w:rsid w:val="7DC20806"/>
    <w:rsid w:val="7DD550E9"/>
    <w:rsid w:val="7DE8476B"/>
    <w:rsid w:val="7E1A6875"/>
    <w:rsid w:val="7E9311C8"/>
    <w:rsid w:val="7F2BC82C"/>
    <w:rsid w:val="7F3511BB"/>
    <w:rsid w:val="7F571BD2"/>
    <w:rsid w:val="7F77CF4D"/>
    <w:rsid w:val="7FBF3EB2"/>
    <w:rsid w:val="7FDF56B4"/>
    <w:rsid w:val="7FF5C94C"/>
    <w:rsid w:val="7FF7409C"/>
    <w:rsid w:val="7FFFB34C"/>
    <w:rsid w:val="81FFAFC6"/>
    <w:rsid w:val="96DF526B"/>
    <w:rsid w:val="97DAFF2F"/>
    <w:rsid w:val="9C5FF6E3"/>
    <w:rsid w:val="AAF29256"/>
    <w:rsid w:val="B9FF57EB"/>
    <w:rsid w:val="BDF6CB0B"/>
    <w:rsid w:val="BE7FBD56"/>
    <w:rsid w:val="BFDBCEF3"/>
    <w:rsid w:val="BFECF081"/>
    <w:rsid w:val="BFFBCCF5"/>
    <w:rsid w:val="CBDA5232"/>
    <w:rsid w:val="CBF7DF9F"/>
    <w:rsid w:val="CE5F79C9"/>
    <w:rsid w:val="D7FEB4CF"/>
    <w:rsid w:val="DD9D57FF"/>
    <w:rsid w:val="DDCEC692"/>
    <w:rsid w:val="DE9C3967"/>
    <w:rsid w:val="DF7FA606"/>
    <w:rsid w:val="DFFE3E71"/>
    <w:rsid w:val="E9FF2FA6"/>
    <w:rsid w:val="E9FF4236"/>
    <w:rsid w:val="ECBE0630"/>
    <w:rsid w:val="ED2E71E1"/>
    <w:rsid w:val="ED3FD470"/>
    <w:rsid w:val="F16F3B7E"/>
    <w:rsid w:val="F3F6B51B"/>
    <w:rsid w:val="FB7EA719"/>
    <w:rsid w:val="FBCD42F6"/>
    <w:rsid w:val="FBFFF209"/>
    <w:rsid w:val="FC7FEDA5"/>
    <w:rsid w:val="FC87965B"/>
    <w:rsid w:val="FF735F8F"/>
    <w:rsid w:val="FFBF6CB9"/>
    <w:rsid w:val="FFDB6CB3"/>
    <w:rsid w:val="FFF98A5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74"/>
    <w:qFormat/>
    <w:uiPriority w:val="99"/>
    <w:pPr>
      <w:keepNext/>
      <w:keepLines/>
      <w:spacing w:before="260" w:after="260" w:line="416" w:lineRule="auto"/>
      <w:outlineLvl w:val="2"/>
    </w:pPr>
    <w:rPr>
      <w:b/>
      <w:bCs/>
      <w:sz w:val="32"/>
      <w:szCs w:val="32"/>
    </w:rPr>
  </w:style>
  <w:style w:type="paragraph" w:styleId="6">
    <w:name w:val="heading 4"/>
    <w:basedOn w:val="1"/>
    <w:next w:val="1"/>
    <w:link w:val="75"/>
    <w:qFormat/>
    <w:uiPriority w:val="99"/>
    <w:pPr>
      <w:keepNext/>
      <w:keepLines/>
      <w:numPr>
        <w:ilvl w:val="0"/>
        <w:numId w:val="1"/>
      </w:numPr>
      <w:spacing w:before="280" w:after="290" w:line="376" w:lineRule="auto"/>
      <w:outlineLvl w:val="3"/>
    </w:pPr>
    <w:rPr>
      <w:rFonts w:ascii="Cambria" w:hAnsi="Cambria" w:cs="Cambria"/>
      <w:b/>
      <w:bCs/>
      <w:kern w:val="0"/>
      <w:sz w:val="28"/>
      <w:szCs w:val="28"/>
    </w:rPr>
  </w:style>
  <w:style w:type="paragraph" w:styleId="7">
    <w:name w:val="heading 5"/>
    <w:basedOn w:val="1"/>
    <w:next w:val="1"/>
    <w:link w:val="76"/>
    <w:qFormat/>
    <w:uiPriority w:val="99"/>
    <w:pPr>
      <w:widowControl/>
      <w:overflowPunct w:val="0"/>
      <w:autoSpaceDE w:val="0"/>
      <w:autoSpaceDN w:val="0"/>
      <w:adjustRightInd w:val="0"/>
      <w:spacing w:before="240" w:after="60"/>
      <w:jc w:val="left"/>
      <w:textAlignment w:val="baseline"/>
      <w:outlineLvl w:val="4"/>
    </w:pPr>
    <w:rPr>
      <w:rFonts w:ascii="Arial" w:hAnsi="Arial" w:cs="Arial"/>
      <w:sz w:val="28"/>
      <w:szCs w:val="28"/>
    </w:rPr>
  </w:style>
  <w:style w:type="paragraph" w:styleId="8">
    <w:name w:val="heading 6"/>
    <w:basedOn w:val="1"/>
    <w:next w:val="1"/>
    <w:link w:val="77"/>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cs="Arial"/>
      <w:i/>
      <w:iCs/>
      <w:kern w:val="0"/>
      <w:sz w:val="22"/>
      <w:szCs w:val="22"/>
    </w:rPr>
  </w:style>
  <w:style w:type="paragraph" w:styleId="9">
    <w:name w:val="heading 7"/>
    <w:basedOn w:val="1"/>
    <w:next w:val="1"/>
    <w:link w:val="78"/>
    <w:qFormat/>
    <w:uiPriority w:val="99"/>
    <w:pPr>
      <w:widowControl/>
      <w:overflowPunct w:val="0"/>
      <w:autoSpaceDE w:val="0"/>
      <w:autoSpaceDN w:val="0"/>
      <w:adjustRightInd w:val="0"/>
      <w:spacing w:before="240" w:after="60"/>
      <w:jc w:val="left"/>
      <w:textAlignment w:val="baseline"/>
      <w:outlineLvl w:val="6"/>
    </w:pPr>
    <w:rPr>
      <w:rFonts w:ascii="Arial" w:hAnsi="Arial" w:cs="Arial"/>
      <w:sz w:val="28"/>
      <w:szCs w:val="28"/>
    </w:rPr>
  </w:style>
  <w:style w:type="paragraph" w:styleId="10">
    <w:name w:val="heading 8"/>
    <w:basedOn w:val="1"/>
    <w:next w:val="1"/>
    <w:link w:val="79"/>
    <w:qFormat/>
    <w:uiPriority w:val="99"/>
    <w:pPr>
      <w:widowControl/>
      <w:overflowPunct w:val="0"/>
      <w:autoSpaceDE w:val="0"/>
      <w:autoSpaceDN w:val="0"/>
      <w:adjustRightInd w:val="0"/>
      <w:spacing w:before="240" w:after="60"/>
      <w:jc w:val="left"/>
      <w:textAlignment w:val="baseline"/>
      <w:outlineLvl w:val="7"/>
    </w:pPr>
    <w:rPr>
      <w:rFonts w:ascii="Arial" w:hAnsi="Arial" w:cs="Arial"/>
      <w:i/>
      <w:iCs/>
      <w:sz w:val="28"/>
      <w:szCs w:val="28"/>
    </w:rPr>
  </w:style>
  <w:style w:type="paragraph" w:styleId="11">
    <w:name w:val="heading 9"/>
    <w:basedOn w:val="1"/>
    <w:next w:val="1"/>
    <w:link w:val="80"/>
    <w:qFormat/>
    <w:uiPriority w:val="99"/>
    <w:pPr>
      <w:widowControl/>
      <w:overflowPunct w:val="0"/>
      <w:autoSpaceDE w:val="0"/>
      <w:autoSpaceDN w:val="0"/>
      <w:adjustRightInd w:val="0"/>
      <w:spacing w:before="240" w:after="60"/>
      <w:jc w:val="left"/>
      <w:textAlignment w:val="baseline"/>
      <w:outlineLvl w:val="8"/>
    </w:pPr>
    <w:rPr>
      <w:rFonts w:ascii="Arial" w:hAnsi="Arial" w:cs="Arial"/>
      <w:i/>
      <w:iCs/>
      <w:sz w:val="28"/>
      <w:szCs w:val="28"/>
    </w:rPr>
  </w:style>
  <w:style w:type="character" w:default="1" w:styleId="63">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99"/>
    <w:rPr>
      <w:rFonts w:eastAsia="黑体"/>
      <w:b/>
      <w:bCs/>
      <w:spacing w:val="20"/>
      <w:kern w:val="52"/>
      <w:sz w:val="24"/>
      <w:szCs w:val="24"/>
    </w:r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rFonts w:ascii="仿宋_GB2312" w:eastAsia="仿宋_GB2312" w:cs="仿宋_GB2312"/>
      <w:sz w:val="18"/>
      <w:szCs w:val="18"/>
    </w:rPr>
  </w:style>
  <w:style w:type="paragraph" w:styleId="14">
    <w:name w:val="index 8"/>
    <w:basedOn w:val="1"/>
    <w:next w:val="1"/>
    <w:semiHidden/>
    <w:qFormat/>
    <w:uiPriority w:val="99"/>
    <w:pPr>
      <w:widowControl/>
      <w:ind w:left="1920" w:hanging="240"/>
      <w:jc w:val="left"/>
    </w:pPr>
    <w:rPr>
      <w:rFonts w:ascii="仿宋_GB2312" w:eastAsia="仿宋_GB2312" w:cs="仿宋_GB2312"/>
      <w:kern w:val="0"/>
      <w:sz w:val="24"/>
      <w:szCs w:val="24"/>
    </w:rPr>
  </w:style>
  <w:style w:type="paragraph" w:styleId="15">
    <w:name w:val="Normal Indent"/>
    <w:basedOn w:val="1"/>
    <w:link w:val="106"/>
    <w:qFormat/>
    <w:uiPriority w:val="99"/>
    <w:pPr>
      <w:widowControl/>
      <w:adjustRightInd w:val="0"/>
      <w:snapToGrid w:val="0"/>
      <w:spacing w:line="480" w:lineRule="exact"/>
      <w:ind w:firstLine="567"/>
    </w:pPr>
    <w:rPr>
      <w:rFonts w:ascii="宋体"/>
      <w:snapToGrid w:val="0"/>
      <w:color w:val="000000"/>
      <w:kern w:val="28"/>
      <w:sz w:val="28"/>
      <w:szCs w:val="28"/>
    </w:rPr>
  </w:style>
  <w:style w:type="paragraph" w:styleId="16">
    <w:name w:val="caption"/>
    <w:basedOn w:val="1"/>
    <w:next w:val="1"/>
    <w:qFormat/>
    <w:uiPriority w:val="99"/>
    <w:pPr>
      <w:widowControl/>
      <w:spacing w:after="480"/>
      <w:jc w:val="left"/>
    </w:pPr>
    <w:rPr>
      <w:rFonts w:ascii="Calibri" w:hAnsi="Calibri" w:cs="Calibri"/>
      <w:b/>
      <w:bCs/>
      <w:color w:val="4F81BD"/>
      <w:kern w:val="0"/>
      <w:sz w:val="18"/>
      <w:szCs w:val="18"/>
      <w:lang w:eastAsia="en-US"/>
    </w:rPr>
  </w:style>
  <w:style w:type="paragraph" w:styleId="17">
    <w:name w:val="index 5"/>
    <w:basedOn w:val="1"/>
    <w:next w:val="1"/>
    <w:semiHidden/>
    <w:qFormat/>
    <w:uiPriority w:val="99"/>
    <w:pPr>
      <w:widowControl/>
      <w:ind w:left="1200" w:hanging="240"/>
      <w:jc w:val="left"/>
    </w:pPr>
    <w:rPr>
      <w:rFonts w:ascii="仿宋_GB2312" w:eastAsia="仿宋_GB2312" w:cs="仿宋_GB2312"/>
      <w:kern w:val="0"/>
      <w:sz w:val="24"/>
      <w:szCs w:val="24"/>
    </w:rPr>
  </w:style>
  <w:style w:type="paragraph" w:styleId="18">
    <w:name w:val="List Bullet"/>
    <w:basedOn w:val="19"/>
    <w:qFormat/>
    <w:uiPriority w:val="99"/>
    <w:pPr>
      <w:widowControl/>
      <w:numPr>
        <w:ilvl w:val="0"/>
        <w:numId w:val="2"/>
      </w:numPr>
      <w:tabs>
        <w:tab w:val="left" w:pos="840"/>
      </w:tabs>
      <w:spacing w:line="360" w:lineRule="auto"/>
      <w:ind w:right="720" w:firstLine="0" w:firstLineChars="0"/>
      <w:jc w:val="left"/>
    </w:pPr>
    <w:rPr>
      <w:kern w:val="0"/>
      <w:sz w:val="24"/>
      <w:szCs w:val="24"/>
    </w:rPr>
  </w:style>
  <w:style w:type="paragraph" w:styleId="19">
    <w:name w:val="List"/>
    <w:basedOn w:val="1"/>
    <w:qFormat/>
    <w:uiPriority w:val="99"/>
    <w:pPr>
      <w:ind w:left="200" w:hanging="200" w:hangingChars="200"/>
    </w:pPr>
    <w:rPr>
      <w:rFonts w:ascii="仿宋_GB2312" w:eastAsia="仿宋_GB2312" w:cs="仿宋_GB2312"/>
      <w:sz w:val="28"/>
      <w:szCs w:val="28"/>
    </w:rPr>
  </w:style>
  <w:style w:type="paragraph" w:styleId="20">
    <w:name w:val="Document Map"/>
    <w:basedOn w:val="1"/>
    <w:link w:val="82"/>
    <w:semiHidden/>
    <w:qFormat/>
    <w:uiPriority w:val="99"/>
    <w:pPr>
      <w:shd w:val="clear" w:color="auto" w:fill="000080"/>
    </w:pPr>
    <w:rPr>
      <w:kern w:val="0"/>
      <w:sz w:val="24"/>
      <w:szCs w:val="24"/>
      <w:shd w:val="clear" w:color="auto" w:fill="000080"/>
    </w:rPr>
  </w:style>
  <w:style w:type="paragraph" w:styleId="21">
    <w:name w:val="annotation text"/>
    <w:basedOn w:val="1"/>
    <w:link w:val="83"/>
    <w:semiHidden/>
    <w:qFormat/>
    <w:uiPriority w:val="99"/>
    <w:pPr>
      <w:jc w:val="left"/>
    </w:pPr>
    <w:rPr>
      <w:rFonts w:ascii="仿宋_GB2312" w:eastAsia="仿宋_GB2312" w:cs="仿宋_GB2312"/>
      <w:sz w:val="28"/>
      <w:szCs w:val="28"/>
    </w:rPr>
  </w:style>
  <w:style w:type="paragraph" w:styleId="22">
    <w:name w:val="index 6"/>
    <w:basedOn w:val="1"/>
    <w:next w:val="1"/>
    <w:semiHidden/>
    <w:qFormat/>
    <w:uiPriority w:val="99"/>
    <w:pPr>
      <w:widowControl/>
      <w:ind w:left="1440" w:hanging="240"/>
      <w:jc w:val="left"/>
    </w:pPr>
    <w:rPr>
      <w:rFonts w:ascii="仿宋_GB2312" w:eastAsia="仿宋_GB2312" w:cs="仿宋_GB2312"/>
      <w:kern w:val="0"/>
      <w:sz w:val="24"/>
      <w:szCs w:val="24"/>
    </w:rPr>
  </w:style>
  <w:style w:type="paragraph" w:styleId="23">
    <w:name w:val="Body Text 3"/>
    <w:basedOn w:val="1"/>
    <w:link w:val="84"/>
    <w:qFormat/>
    <w:uiPriority w:val="99"/>
    <w:rPr>
      <w:rFonts w:ascii="宋体" w:hAnsi="宋体" w:cs="宋体"/>
      <w:b/>
      <w:bCs/>
      <w:sz w:val="24"/>
      <w:szCs w:val="24"/>
    </w:rPr>
  </w:style>
  <w:style w:type="paragraph" w:styleId="24">
    <w:name w:val="Body Text Indent"/>
    <w:basedOn w:val="1"/>
    <w:link w:val="85"/>
    <w:qFormat/>
    <w:uiPriority w:val="99"/>
    <w:pPr>
      <w:spacing w:line="360" w:lineRule="auto"/>
      <w:ind w:firstLine="435"/>
    </w:pPr>
    <w:rPr>
      <w:sz w:val="24"/>
      <w:szCs w:val="24"/>
    </w:rPr>
  </w:style>
  <w:style w:type="paragraph" w:styleId="25">
    <w:name w:val="List Number 3"/>
    <w:basedOn w:val="1"/>
    <w:qFormat/>
    <w:uiPriority w:val="99"/>
    <w:pPr>
      <w:tabs>
        <w:tab w:val="left" w:pos="780"/>
        <w:tab w:val="left" w:pos="1200"/>
      </w:tabs>
      <w:ind w:left="1200"/>
    </w:pPr>
    <w:rPr>
      <w:rFonts w:ascii="仿宋_GB2312" w:eastAsia="仿宋_GB2312" w:cs="仿宋_GB2312"/>
      <w:sz w:val="28"/>
      <w:szCs w:val="28"/>
    </w:rPr>
  </w:style>
  <w:style w:type="paragraph" w:styleId="26">
    <w:name w:val="List 2"/>
    <w:basedOn w:val="19"/>
    <w:qFormat/>
    <w:uiPriority w:val="99"/>
    <w:pPr>
      <w:spacing w:after="120" w:line="400" w:lineRule="exact"/>
      <w:ind w:left="0" w:firstLine="0" w:firstLineChars="0"/>
    </w:pPr>
    <w:rPr>
      <w:sz w:val="24"/>
      <w:szCs w:val="24"/>
    </w:rPr>
  </w:style>
  <w:style w:type="paragraph" w:styleId="27">
    <w:name w:val="List Bullet 2"/>
    <w:basedOn w:val="1"/>
    <w:qFormat/>
    <w:uiPriority w:val="99"/>
    <w:pPr>
      <w:widowControl/>
      <w:tabs>
        <w:tab w:val="left" w:pos="1440"/>
      </w:tabs>
      <w:ind w:left="1440" w:hanging="720"/>
      <w:jc w:val="left"/>
    </w:pPr>
    <w:rPr>
      <w:rFonts w:ascii="Tahoma" w:hAnsi="Tahoma" w:eastAsia="仿宋_GB2312" w:cs="Tahoma"/>
      <w:kern w:val="0"/>
      <w:sz w:val="24"/>
      <w:szCs w:val="24"/>
      <w:lang w:eastAsia="en-US"/>
    </w:rPr>
  </w:style>
  <w:style w:type="paragraph" w:styleId="28">
    <w:name w:val="index 4"/>
    <w:basedOn w:val="1"/>
    <w:next w:val="1"/>
    <w:semiHidden/>
    <w:qFormat/>
    <w:uiPriority w:val="99"/>
    <w:pPr>
      <w:widowControl/>
      <w:ind w:left="960" w:hanging="240"/>
      <w:jc w:val="left"/>
    </w:pPr>
    <w:rPr>
      <w:rFonts w:ascii="仿宋_GB2312" w:eastAsia="仿宋_GB2312" w:cs="仿宋_GB2312"/>
      <w:kern w:val="0"/>
      <w:sz w:val="24"/>
      <w:szCs w:val="24"/>
    </w:rPr>
  </w:style>
  <w:style w:type="paragraph" w:styleId="29">
    <w:name w:val="toc 5"/>
    <w:basedOn w:val="1"/>
    <w:next w:val="1"/>
    <w:semiHidden/>
    <w:qFormat/>
    <w:uiPriority w:val="99"/>
    <w:pPr>
      <w:ind w:left="840"/>
      <w:jc w:val="left"/>
    </w:pPr>
    <w:rPr>
      <w:rFonts w:ascii="仿宋_GB2312" w:eastAsia="仿宋_GB2312" w:cs="仿宋_GB2312"/>
      <w:sz w:val="18"/>
      <w:szCs w:val="18"/>
    </w:rPr>
  </w:style>
  <w:style w:type="paragraph" w:styleId="30">
    <w:name w:val="toc 3"/>
    <w:basedOn w:val="1"/>
    <w:next w:val="1"/>
    <w:semiHidden/>
    <w:qFormat/>
    <w:uiPriority w:val="99"/>
    <w:pPr>
      <w:ind w:left="420"/>
      <w:jc w:val="left"/>
    </w:pPr>
    <w:rPr>
      <w:rFonts w:ascii="仿宋_GB2312" w:eastAsia="仿宋_GB2312" w:cs="仿宋_GB2312"/>
      <w:i/>
      <w:iCs/>
      <w:sz w:val="20"/>
      <w:szCs w:val="20"/>
    </w:rPr>
  </w:style>
  <w:style w:type="paragraph" w:styleId="31">
    <w:name w:val="Plain Text"/>
    <w:basedOn w:val="1"/>
    <w:link w:val="86"/>
    <w:qFormat/>
    <w:uiPriority w:val="99"/>
    <w:rPr>
      <w:rFonts w:ascii="宋体" w:hAnsi="Courier New" w:cs="宋体"/>
    </w:rPr>
  </w:style>
  <w:style w:type="paragraph" w:styleId="32">
    <w:name w:val="toc 8"/>
    <w:basedOn w:val="1"/>
    <w:next w:val="1"/>
    <w:semiHidden/>
    <w:qFormat/>
    <w:uiPriority w:val="99"/>
    <w:pPr>
      <w:ind w:left="1470"/>
      <w:jc w:val="left"/>
    </w:pPr>
    <w:rPr>
      <w:rFonts w:ascii="仿宋_GB2312" w:eastAsia="仿宋_GB2312" w:cs="仿宋_GB2312"/>
      <w:sz w:val="18"/>
      <w:szCs w:val="18"/>
    </w:rPr>
  </w:style>
  <w:style w:type="paragraph" w:styleId="33">
    <w:name w:val="index 3"/>
    <w:basedOn w:val="1"/>
    <w:next w:val="1"/>
    <w:semiHidden/>
    <w:qFormat/>
    <w:uiPriority w:val="99"/>
    <w:pPr>
      <w:widowControl/>
      <w:ind w:left="720" w:hanging="240"/>
      <w:jc w:val="left"/>
    </w:pPr>
    <w:rPr>
      <w:rFonts w:ascii="仿宋_GB2312" w:eastAsia="仿宋_GB2312" w:cs="仿宋_GB2312"/>
      <w:kern w:val="0"/>
      <w:sz w:val="24"/>
      <w:szCs w:val="24"/>
    </w:rPr>
  </w:style>
  <w:style w:type="paragraph" w:styleId="34">
    <w:name w:val="Date"/>
    <w:basedOn w:val="1"/>
    <w:next w:val="1"/>
    <w:link w:val="87"/>
    <w:qFormat/>
    <w:uiPriority w:val="99"/>
    <w:pPr>
      <w:ind w:left="100" w:leftChars="2500"/>
    </w:pPr>
  </w:style>
  <w:style w:type="paragraph" w:styleId="35">
    <w:name w:val="Body Text Indent 2"/>
    <w:basedOn w:val="1"/>
    <w:link w:val="88"/>
    <w:qFormat/>
    <w:uiPriority w:val="99"/>
    <w:pPr>
      <w:spacing w:line="432" w:lineRule="auto"/>
      <w:ind w:firstLine="480" w:firstLineChars="200"/>
    </w:pPr>
  </w:style>
  <w:style w:type="paragraph" w:styleId="36">
    <w:name w:val="endnote text"/>
    <w:basedOn w:val="1"/>
    <w:link w:val="89"/>
    <w:semiHidden/>
    <w:qFormat/>
    <w:uiPriority w:val="99"/>
    <w:pPr>
      <w:snapToGrid w:val="0"/>
      <w:jc w:val="left"/>
    </w:pPr>
    <w:rPr>
      <w:rFonts w:ascii="仿宋_GB2312" w:eastAsia="仿宋_GB2312" w:cs="仿宋_GB2312"/>
      <w:sz w:val="28"/>
      <w:szCs w:val="28"/>
    </w:rPr>
  </w:style>
  <w:style w:type="paragraph" w:styleId="37">
    <w:name w:val="Balloon Text"/>
    <w:basedOn w:val="1"/>
    <w:link w:val="90"/>
    <w:semiHidden/>
    <w:qFormat/>
    <w:uiPriority w:val="99"/>
    <w:rPr>
      <w:sz w:val="18"/>
      <w:szCs w:val="18"/>
    </w:rPr>
  </w:style>
  <w:style w:type="paragraph" w:styleId="38">
    <w:name w:val="footer"/>
    <w:basedOn w:val="1"/>
    <w:link w:val="91"/>
    <w:qFormat/>
    <w:uiPriority w:val="99"/>
    <w:pPr>
      <w:tabs>
        <w:tab w:val="center" w:pos="4153"/>
        <w:tab w:val="right" w:pos="8306"/>
      </w:tabs>
      <w:snapToGrid w:val="0"/>
      <w:jc w:val="left"/>
    </w:pPr>
    <w:rPr>
      <w:sz w:val="18"/>
      <w:szCs w:val="18"/>
    </w:rPr>
  </w:style>
  <w:style w:type="paragraph" w:styleId="39">
    <w:name w:val="header"/>
    <w:basedOn w:val="1"/>
    <w:link w:val="9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0">
    <w:name w:val="toc 1"/>
    <w:basedOn w:val="1"/>
    <w:next w:val="1"/>
    <w:semiHidden/>
    <w:qFormat/>
    <w:uiPriority w:val="99"/>
    <w:pPr>
      <w:spacing w:line="360" w:lineRule="auto"/>
    </w:pPr>
    <w:rPr>
      <w:rFonts w:eastAsia="仿宋_GB2312"/>
      <w:sz w:val="32"/>
      <w:szCs w:val="32"/>
    </w:rPr>
  </w:style>
  <w:style w:type="paragraph" w:styleId="41">
    <w:name w:val="toc 4"/>
    <w:basedOn w:val="1"/>
    <w:next w:val="1"/>
    <w:semiHidden/>
    <w:qFormat/>
    <w:uiPriority w:val="99"/>
    <w:pPr>
      <w:ind w:left="630"/>
      <w:jc w:val="left"/>
    </w:pPr>
    <w:rPr>
      <w:rFonts w:ascii="仿宋_GB2312" w:eastAsia="仿宋_GB2312" w:cs="仿宋_GB2312"/>
      <w:sz w:val="18"/>
      <w:szCs w:val="18"/>
    </w:rPr>
  </w:style>
  <w:style w:type="paragraph" w:styleId="42">
    <w:name w:val="index heading"/>
    <w:basedOn w:val="1"/>
    <w:next w:val="43"/>
    <w:semiHidden/>
    <w:qFormat/>
    <w:uiPriority w:val="99"/>
    <w:pPr>
      <w:widowControl/>
      <w:jc w:val="left"/>
    </w:pPr>
    <w:rPr>
      <w:rFonts w:ascii="仿宋_GB2312" w:eastAsia="仿宋_GB2312" w:cs="仿宋_GB2312"/>
      <w:kern w:val="0"/>
      <w:sz w:val="24"/>
      <w:szCs w:val="24"/>
    </w:rPr>
  </w:style>
  <w:style w:type="paragraph" w:styleId="43">
    <w:name w:val="index 1"/>
    <w:basedOn w:val="1"/>
    <w:next w:val="1"/>
    <w:semiHidden/>
    <w:qFormat/>
    <w:uiPriority w:val="99"/>
    <w:pPr>
      <w:widowControl/>
      <w:spacing w:line="360" w:lineRule="auto"/>
      <w:ind w:left="240" w:hanging="240"/>
      <w:jc w:val="left"/>
    </w:pPr>
    <w:rPr>
      <w:rFonts w:ascii="Arial" w:hAnsi="Arial" w:eastAsia="仿宋_GB2312" w:cs="Arial"/>
      <w:kern w:val="0"/>
      <w:sz w:val="28"/>
      <w:szCs w:val="28"/>
    </w:rPr>
  </w:style>
  <w:style w:type="paragraph" w:styleId="44">
    <w:name w:val="Subtitle"/>
    <w:basedOn w:val="1"/>
    <w:next w:val="1"/>
    <w:link w:val="93"/>
    <w:qFormat/>
    <w:uiPriority w:val="99"/>
    <w:pPr>
      <w:widowControl/>
      <w:spacing w:after="480" w:line="276" w:lineRule="auto"/>
      <w:jc w:val="left"/>
    </w:pPr>
    <w:rPr>
      <w:rFonts w:ascii="Cambria" w:hAnsi="Cambria" w:cs="Cambria"/>
      <w:b/>
      <w:bCs/>
      <w:kern w:val="28"/>
      <w:sz w:val="32"/>
      <w:szCs w:val="32"/>
    </w:rPr>
  </w:style>
  <w:style w:type="paragraph" w:styleId="45">
    <w:name w:val="footnote text"/>
    <w:basedOn w:val="1"/>
    <w:link w:val="94"/>
    <w:semiHidden/>
    <w:qFormat/>
    <w:uiPriority w:val="99"/>
    <w:pPr>
      <w:snapToGrid w:val="0"/>
      <w:jc w:val="left"/>
    </w:pPr>
    <w:rPr>
      <w:rFonts w:ascii="仿宋_GB2312" w:eastAsia="仿宋_GB2312" w:cs="仿宋_GB2312"/>
      <w:sz w:val="18"/>
      <w:szCs w:val="18"/>
    </w:rPr>
  </w:style>
  <w:style w:type="paragraph" w:styleId="46">
    <w:name w:val="toc 6"/>
    <w:basedOn w:val="1"/>
    <w:next w:val="1"/>
    <w:semiHidden/>
    <w:qFormat/>
    <w:uiPriority w:val="99"/>
    <w:pPr>
      <w:ind w:left="1050"/>
      <w:jc w:val="left"/>
    </w:pPr>
    <w:rPr>
      <w:rFonts w:ascii="仿宋_GB2312" w:eastAsia="仿宋_GB2312" w:cs="仿宋_GB2312"/>
      <w:sz w:val="18"/>
      <w:szCs w:val="18"/>
    </w:rPr>
  </w:style>
  <w:style w:type="paragraph" w:styleId="47">
    <w:name w:val="Body Text Indent 3"/>
    <w:basedOn w:val="1"/>
    <w:link w:val="95"/>
    <w:qFormat/>
    <w:uiPriority w:val="99"/>
    <w:pPr>
      <w:spacing w:line="540" w:lineRule="exact"/>
      <w:ind w:left="479" w:leftChars="228"/>
    </w:pPr>
    <w:rPr>
      <w:rFonts w:ascii="隶书" w:hAnsi="宋体" w:eastAsia="隶书" w:cs="隶书"/>
      <w:sz w:val="24"/>
      <w:szCs w:val="24"/>
    </w:rPr>
  </w:style>
  <w:style w:type="paragraph" w:styleId="48">
    <w:name w:val="index 7"/>
    <w:basedOn w:val="1"/>
    <w:next w:val="1"/>
    <w:semiHidden/>
    <w:qFormat/>
    <w:uiPriority w:val="99"/>
    <w:pPr>
      <w:widowControl/>
      <w:ind w:left="1680" w:hanging="240"/>
      <w:jc w:val="left"/>
    </w:pPr>
    <w:rPr>
      <w:rFonts w:ascii="仿宋_GB2312" w:eastAsia="仿宋_GB2312" w:cs="仿宋_GB2312"/>
      <w:kern w:val="0"/>
      <w:sz w:val="24"/>
      <w:szCs w:val="24"/>
    </w:rPr>
  </w:style>
  <w:style w:type="paragraph" w:styleId="49">
    <w:name w:val="index 9"/>
    <w:basedOn w:val="1"/>
    <w:next w:val="1"/>
    <w:semiHidden/>
    <w:qFormat/>
    <w:uiPriority w:val="99"/>
    <w:pPr>
      <w:widowControl/>
      <w:ind w:left="2160" w:hanging="240"/>
      <w:jc w:val="left"/>
    </w:pPr>
    <w:rPr>
      <w:rFonts w:ascii="仿宋_GB2312" w:eastAsia="仿宋_GB2312" w:cs="仿宋_GB2312"/>
      <w:kern w:val="0"/>
      <w:sz w:val="24"/>
      <w:szCs w:val="24"/>
    </w:rPr>
  </w:style>
  <w:style w:type="paragraph" w:styleId="50">
    <w:name w:val="table of figures"/>
    <w:basedOn w:val="1"/>
    <w:next w:val="1"/>
    <w:semiHidden/>
    <w:qFormat/>
    <w:uiPriority w:val="99"/>
    <w:pPr>
      <w:widowControl/>
      <w:ind w:left="480" w:hanging="480"/>
      <w:jc w:val="left"/>
    </w:pPr>
    <w:rPr>
      <w:rFonts w:ascii="仿宋_GB2312" w:eastAsia="仿宋_GB2312" w:cs="仿宋_GB2312"/>
      <w:kern w:val="0"/>
      <w:sz w:val="24"/>
      <w:szCs w:val="24"/>
    </w:rPr>
  </w:style>
  <w:style w:type="paragraph" w:styleId="51">
    <w:name w:val="toc 2"/>
    <w:basedOn w:val="1"/>
    <w:next w:val="1"/>
    <w:semiHidden/>
    <w:qFormat/>
    <w:uiPriority w:val="99"/>
    <w:pPr>
      <w:ind w:left="210"/>
      <w:jc w:val="left"/>
    </w:pPr>
    <w:rPr>
      <w:rFonts w:ascii="仿宋_GB2312" w:eastAsia="仿宋_GB2312" w:cs="仿宋_GB2312"/>
      <w:smallCaps/>
      <w:sz w:val="20"/>
      <w:szCs w:val="20"/>
    </w:rPr>
  </w:style>
  <w:style w:type="paragraph" w:styleId="52">
    <w:name w:val="toc 9"/>
    <w:basedOn w:val="1"/>
    <w:next w:val="1"/>
    <w:semiHidden/>
    <w:qFormat/>
    <w:uiPriority w:val="99"/>
    <w:pPr>
      <w:ind w:left="1680"/>
      <w:jc w:val="left"/>
    </w:pPr>
    <w:rPr>
      <w:rFonts w:ascii="仿宋_GB2312" w:eastAsia="仿宋_GB2312" w:cs="仿宋_GB2312"/>
      <w:sz w:val="18"/>
      <w:szCs w:val="18"/>
    </w:rPr>
  </w:style>
  <w:style w:type="paragraph" w:styleId="53">
    <w:name w:val="Body Text 2"/>
    <w:basedOn w:val="1"/>
    <w:link w:val="96"/>
    <w:qFormat/>
    <w:uiPriority w:val="99"/>
    <w:pPr>
      <w:spacing w:line="360" w:lineRule="auto"/>
    </w:pPr>
    <w:rPr>
      <w:sz w:val="24"/>
      <w:szCs w:val="24"/>
    </w:rPr>
  </w:style>
  <w:style w:type="paragraph" w:styleId="5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2"/>
    <w:basedOn w:val="1"/>
    <w:next w:val="1"/>
    <w:semiHidden/>
    <w:qFormat/>
    <w:uiPriority w:val="99"/>
    <w:pPr>
      <w:widowControl/>
      <w:ind w:left="480" w:hanging="240"/>
      <w:jc w:val="left"/>
    </w:pPr>
    <w:rPr>
      <w:rFonts w:ascii="仿宋_GB2312" w:eastAsia="仿宋_GB2312" w:cs="仿宋_GB2312"/>
      <w:kern w:val="0"/>
      <w:sz w:val="24"/>
      <w:szCs w:val="24"/>
    </w:rPr>
  </w:style>
  <w:style w:type="paragraph" w:styleId="56">
    <w:name w:val="Title"/>
    <w:basedOn w:val="1"/>
    <w:next w:val="1"/>
    <w:link w:val="97"/>
    <w:qFormat/>
    <w:uiPriority w:val="99"/>
    <w:pPr>
      <w:jc w:val="center"/>
    </w:pPr>
    <w:rPr>
      <w:rFonts w:ascii="Arial" w:hAnsi="Arial" w:cs="Arial"/>
      <w:b/>
      <w:bCs/>
      <w:kern w:val="0"/>
      <w:sz w:val="36"/>
      <w:szCs w:val="36"/>
      <w:lang w:eastAsia="en-US"/>
    </w:rPr>
  </w:style>
  <w:style w:type="paragraph" w:styleId="57">
    <w:name w:val="annotation subject"/>
    <w:basedOn w:val="21"/>
    <w:next w:val="21"/>
    <w:link w:val="98"/>
    <w:semiHidden/>
    <w:qFormat/>
    <w:uiPriority w:val="99"/>
    <w:rPr>
      <w:rFonts w:eastAsia="宋体"/>
      <w:b/>
      <w:bCs/>
      <w:sz w:val="24"/>
      <w:szCs w:val="24"/>
    </w:rPr>
  </w:style>
  <w:style w:type="paragraph" w:styleId="58">
    <w:name w:val="Body Text First Indent"/>
    <w:basedOn w:val="2"/>
    <w:link w:val="99"/>
    <w:qFormat/>
    <w:uiPriority w:val="99"/>
    <w:pPr>
      <w:adjustRightInd w:val="0"/>
      <w:spacing w:after="120" w:line="360" w:lineRule="auto"/>
      <w:ind w:firstLine="420"/>
      <w:textAlignment w:val="baseline"/>
    </w:pPr>
    <w:rPr>
      <w:rFonts w:ascii="Calibri" w:hAnsi="Calibri" w:eastAsia="楷体_GB2312" w:cs="Calibri"/>
    </w:rPr>
  </w:style>
  <w:style w:type="table" w:styleId="60">
    <w:name w:val="Table Grid"/>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9"/>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Classic 1"/>
    <w:basedOn w:val="59"/>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4">
    <w:name w:val="Strong"/>
    <w:basedOn w:val="63"/>
    <w:qFormat/>
    <w:uiPriority w:val="99"/>
    <w:rPr>
      <w:b/>
      <w:bCs/>
    </w:rPr>
  </w:style>
  <w:style w:type="character" w:styleId="65">
    <w:name w:val="endnote reference"/>
    <w:basedOn w:val="63"/>
    <w:semiHidden/>
    <w:qFormat/>
    <w:uiPriority w:val="99"/>
    <w:rPr>
      <w:vertAlign w:val="superscript"/>
    </w:rPr>
  </w:style>
  <w:style w:type="character" w:styleId="66">
    <w:name w:val="page number"/>
    <w:basedOn w:val="63"/>
    <w:qFormat/>
    <w:uiPriority w:val="99"/>
  </w:style>
  <w:style w:type="character" w:styleId="67">
    <w:name w:val="FollowedHyperlink"/>
    <w:basedOn w:val="63"/>
    <w:qFormat/>
    <w:uiPriority w:val="99"/>
    <w:rPr>
      <w:color w:val="800080"/>
      <w:u w:val="single"/>
    </w:rPr>
  </w:style>
  <w:style w:type="character" w:styleId="68">
    <w:name w:val="Emphasis"/>
    <w:basedOn w:val="63"/>
    <w:qFormat/>
    <w:uiPriority w:val="99"/>
    <w:rPr>
      <w:color w:val="auto"/>
    </w:rPr>
  </w:style>
  <w:style w:type="character" w:styleId="69">
    <w:name w:val="Hyperlink"/>
    <w:basedOn w:val="63"/>
    <w:qFormat/>
    <w:uiPriority w:val="99"/>
    <w:rPr>
      <w:color w:val="0000FF"/>
      <w:u w:val="single"/>
    </w:rPr>
  </w:style>
  <w:style w:type="character" w:styleId="70">
    <w:name w:val="annotation reference"/>
    <w:basedOn w:val="63"/>
    <w:semiHidden/>
    <w:qFormat/>
    <w:uiPriority w:val="99"/>
    <w:rPr>
      <w:sz w:val="21"/>
      <w:szCs w:val="21"/>
    </w:rPr>
  </w:style>
  <w:style w:type="character" w:styleId="71">
    <w:name w:val="footnote reference"/>
    <w:basedOn w:val="63"/>
    <w:semiHidden/>
    <w:qFormat/>
    <w:uiPriority w:val="99"/>
    <w:rPr>
      <w:vertAlign w:val="superscript"/>
    </w:rPr>
  </w:style>
  <w:style w:type="character" w:customStyle="1" w:styleId="72">
    <w:name w:val="标题 1 Char"/>
    <w:basedOn w:val="63"/>
    <w:link w:val="3"/>
    <w:qFormat/>
    <w:locked/>
    <w:uiPriority w:val="99"/>
    <w:rPr>
      <w:rFonts w:eastAsia="宋体"/>
      <w:b/>
      <w:bCs/>
      <w:kern w:val="44"/>
      <w:sz w:val="44"/>
      <w:szCs w:val="44"/>
      <w:lang w:val="en-US" w:eastAsia="zh-CN"/>
    </w:rPr>
  </w:style>
  <w:style w:type="character" w:customStyle="1" w:styleId="73">
    <w:name w:val="标题 2 Char1"/>
    <w:basedOn w:val="63"/>
    <w:link w:val="4"/>
    <w:qFormat/>
    <w:locked/>
    <w:uiPriority w:val="99"/>
    <w:rPr>
      <w:rFonts w:ascii="Arial" w:hAnsi="Arial" w:eastAsia="黑体" w:cs="Arial"/>
      <w:b/>
      <w:bCs/>
      <w:kern w:val="2"/>
      <w:sz w:val="32"/>
      <w:szCs w:val="32"/>
      <w:lang w:val="en-US" w:eastAsia="zh-CN"/>
    </w:rPr>
  </w:style>
  <w:style w:type="character" w:customStyle="1" w:styleId="74">
    <w:name w:val="标题 3 Char"/>
    <w:basedOn w:val="63"/>
    <w:link w:val="5"/>
    <w:qFormat/>
    <w:locked/>
    <w:uiPriority w:val="99"/>
    <w:rPr>
      <w:rFonts w:eastAsia="宋体"/>
      <w:b/>
      <w:bCs/>
      <w:kern w:val="2"/>
      <w:sz w:val="32"/>
      <w:szCs w:val="32"/>
      <w:lang w:val="en-US" w:eastAsia="zh-CN"/>
    </w:rPr>
  </w:style>
  <w:style w:type="character" w:customStyle="1" w:styleId="75">
    <w:name w:val="标题 4 Char"/>
    <w:basedOn w:val="63"/>
    <w:link w:val="6"/>
    <w:qFormat/>
    <w:locked/>
    <w:uiPriority w:val="99"/>
    <w:rPr>
      <w:rFonts w:ascii="Cambria" w:hAnsi="Cambria" w:cs="Cambria"/>
      <w:b/>
      <w:bCs/>
      <w:kern w:val="0"/>
      <w:sz w:val="28"/>
      <w:szCs w:val="28"/>
    </w:rPr>
  </w:style>
  <w:style w:type="character" w:customStyle="1" w:styleId="76">
    <w:name w:val="标题 5 Char"/>
    <w:basedOn w:val="63"/>
    <w:link w:val="7"/>
    <w:qFormat/>
    <w:locked/>
    <w:uiPriority w:val="99"/>
    <w:rPr>
      <w:rFonts w:ascii="Arial" w:hAnsi="Arial" w:eastAsia="宋体" w:cs="Arial"/>
      <w:kern w:val="2"/>
      <w:sz w:val="28"/>
      <w:szCs w:val="28"/>
      <w:lang w:val="en-US" w:eastAsia="zh-CN"/>
    </w:rPr>
  </w:style>
  <w:style w:type="character" w:customStyle="1" w:styleId="77">
    <w:name w:val="标题 6 Char"/>
    <w:basedOn w:val="63"/>
    <w:link w:val="8"/>
    <w:qFormat/>
    <w:locked/>
    <w:uiPriority w:val="99"/>
    <w:rPr>
      <w:rFonts w:ascii="Arial" w:hAnsi="Arial" w:eastAsia="仿宋_GB2312" w:cs="Arial"/>
      <w:i/>
      <w:iCs/>
      <w:sz w:val="22"/>
      <w:szCs w:val="22"/>
      <w:lang w:val="en-US" w:eastAsia="zh-CN"/>
    </w:rPr>
  </w:style>
  <w:style w:type="character" w:customStyle="1" w:styleId="78">
    <w:name w:val="标题 7 Char"/>
    <w:basedOn w:val="63"/>
    <w:link w:val="9"/>
    <w:qFormat/>
    <w:locked/>
    <w:uiPriority w:val="99"/>
    <w:rPr>
      <w:rFonts w:ascii="Arial" w:hAnsi="Arial" w:eastAsia="宋体" w:cs="Arial"/>
      <w:kern w:val="2"/>
      <w:sz w:val="28"/>
      <w:szCs w:val="28"/>
      <w:lang w:val="en-US" w:eastAsia="zh-CN"/>
    </w:rPr>
  </w:style>
  <w:style w:type="character" w:customStyle="1" w:styleId="79">
    <w:name w:val="标题 8 Char"/>
    <w:basedOn w:val="63"/>
    <w:link w:val="10"/>
    <w:qFormat/>
    <w:locked/>
    <w:uiPriority w:val="99"/>
    <w:rPr>
      <w:rFonts w:ascii="Arial" w:hAnsi="Arial" w:eastAsia="宋体" w:cs="Arial"/>
      <w:i/>
      <w:iCs/>
      <w:kern w:val="2"/>
      <w:sz w:val="28"/>
      <w:szCs w:val="28"/>
      <w:lang w:val="en-US" w:eastAsia="zh-CN"/>
    </w:rPr>
  </w:style>
  <w:style w:type="character" w:customStyle="1" w:styleId="80">
    <w:name w:val="标题 9 Char"/>
    <w:basedOn w:val="63"/>
    <w:link w:val="11"/>
    <w:qFormat/>
    <w:locked/>
    <w:uiPriority w:val="99"/>
    <w:rPr>
      <w:rFonts w:ascii="Arial" w:hAnsi="Arial" w:eastAsia="宋体" w:cs="Arial"/>
      <w:i/>
      <w:iCs/>
      <w:kern w:val="2"/>
      <w:sz w:val="28"/>
      <w:szCs w:val="28"/>
      <w:lang w:val="en-US" w:eastAsia="zh-CN"/>
    </w:rPr>
  </w:style>
  <w:style w:type="character" w:customStyle="1" w:styleId="81">
    <w:name w:val="正文文本 Char2"/>
    <w:basedOn w:val="63"/>
    <w:link w:val="2"/>
    <w:qFormat/>
    <w:locked/>
    <w:uiPriority w:val="99"/>
    <w:rPr>
      <w:rFonts w:eastAsia="黑体"/>
      <w:b/>
      <w:bCs/>
      <w:spacing w:val="20"/>
      <w:kern w:val="52"/>
      <w:sz w:val="24"/>
      <w:szCs w:val="24"/>
      <w:lang w:val="en-US" w:eastAsia="zh-CN"/>
    </w:rPr>
  </w:style>
  <w:style w:type="character" w:customStyle="1" w:styleId="82">
    <w:name w:val="文档结构图 Char"/>
    <w:basedOn w:val="63"/>
    <w:link w:val="20"/>
    <w:qFormat/>
    <w:locked/>
    <w:uiPriority w:val="99"/>
    <w:rPr>
      <w:rFonts w:eastAsia="宋体"/>
      <w:sz w:val="24"/>
      <w:szCs w:val="24"/>
      <w:shd w:val="clear" w:color="auto" w:fill="000080"/>
    </w:rPr>
  </w:style>
  <w:style w:type="character" w:customStyle="1" w:styleId="83">
    <w:name w:val="批注文字 Char1"/>
    <w:basedOn w:val="63"/>
    <w:link w:val="21"/>
    <w:qFormat/>
    <w:locked/>
    <w:uiPriority w:val="99"/>
    <w:rPr>
      <w:rFonts w:ascii="仿宋_GB2312" w:eastAsia="仿宋_GB2312" w:cs="仿宋_GB2312"/>
      <w:kern w:val="2"/>
      <w:sz w:val="28"/>
      <w:szCs w:val="28"/>
      <w:lang w:val="en-US" w:eastAsia="zh-CN"/>
    </w:rPr>
  </w:style>
  <w:style w:type="character" w:customStyle="1" w:styleId="84">
    <w:name w:val="正文文本 3 Char"/>
    <w:basedOn w:val="63"/>
    <w:link w:val="23"/>
    <w:qFormat/>
    <w:locked/>
    <w:uiPriority w:val="99"/>
    <w:rPr>
      <w:rFonts w:ascii="宋体" w:hAnsi="宋体" w:eastAsia="宋体" w:cs="宋体"/>
      <w:b/>
      <w:bCs/>
      <w:kern w:val="2"/>
      <w:sz w:val="24"/>
      <w:szCs w:val="24"/>
      <w:lang w:val="en-US" w:eastAsia="zh-CN"/>
    </w:rPr>
  </w:style>
  <w:style w:type="character" w:customStyle="1" w:styleId="85">
    <w:name w:val="正文文本缩进 Char2"/>
    <w:basedOn w:val="63"/>
    <w:link w:val="24"/>
    <w:qFormat/>
    <w:locked/>
    <w:uiPriority w:val="99"/>
    <w:rPr>
      <w:rFonts w:eastAsia="宋体"/>
      <w:kern w:val="2"/>
      <w:sz w:val="24"/>
      <w:szCs w:val="24"/>
      <w:lang w:val="en-US" w:eastAsia="zh-CN"/>
    </w:rPr>
  </w:style>
  <w:style w:type="character" w:customStyle="1" w:styleId="86">
    <w:name w:val="纯文本 Char"/>
    <w:basedOn w:val="63"/>
    <w:link w:val="31"/>
    <w:qFormat/>
    <w:locked/>
    <w:uiPriority w:val="99"/>
    <w:rPr>
      <w:rFonts w:ascii="宋体" w:hAnsi="Courier New" w:eastAsia="宋体" w:cs="宋体"/>
      <w:kern w:val="2"/>
      <w:sz w:val="21"/>
      <w:szCs w:val="21"/>
      <w:lang w:val="en-US" w:eastAsia="zh-CN"/>
    </w:rPr>
  </w:style>
  <w:style w:type="character" w:customStyle="1" w:styleId="87">
    <w:name w:val="日期 Char"/>
    <w:basedOn w:val="63"/>
    <w:link w:val="34"/>
    <w:qFormat/>
    <w:locked/>
    <w:uiPriority w:val="99"/>
    <w:rPr>
      <w:rFonts w:eastAsia="宋体"/>
      <w:kern w:val="2"/>
      <w:sz w:val="21"/>
      <w:szCs w:val="21"/>
      <w:lang w:val="en-US" w:eastAsia="zh-CN"/>
    </w:rPr>
  </w:style>
  <w:style w:type="character" w:customStyle="1" w:styleId="88">
    <w:name w:val="正文文本缩进 2 Char"/>
    <w:basedOn w:val="63"/>
    <w:link w:val="35"/>
    <w:semiHidden/>
    <w:qFormat/>
    <w:locked/>
    <w:uiPriority w:val="99"/>
    <w:rPr>
      <w:rFonts w:eastAsia="宋体"/>
      <w:kern w:val="2"/>
      <w:sz w:val="21"/>
      <w:szCs w:val="21"/>
      <w:lang w:val="en-US" w:eastAsia="zh-CN"/>
    </w:rPr>
  </w:style>
  <w:style w:type="character" w:customStyle="1" w:styleId="89">
    <w:name w:val="尾注文本 Char"/>
    <w:basedOn w:val="63"/>
    <w:link w:val="36"/>
    <w:qFormat/>
    <w:locked/>
    <w:uiPriority w:val="99"/>
    <w:rPr>
      <w:rFonts w:ascii="仿宋_GB2312" w:eastAsia="仿宋_GB2312" w:cs="仿宋_GB2312"/>
      <w:kern w:val="2"/>
      <w:sz w:val="28"/>
      <w:szCs w:val="28"/>
      <w:lang w:val="en-US" w:eastAsia="zh-CN"/>
    </w:rPr>
  </w:style>
  <w:style w:type="character" w:customStyle="1" w:styleId="90">
    <w:name w:val="批注框文本 Char"/>
    <w:basedOn w:val="63"/>
    <w:link w:val="37"/>
    <w:semiHidden/>
    <w:qFormat/>
    <w:locked/>
    <w:uiPriority w:val="99"/>
    <w:rPr>
      <w:rFonts w:eastAsia="宋体"/>
      <w:kern w:val="2"/>
      <w:sz w:val="18"/>
      <w:szCs w:val="18"/>
      <w:lang w:val="en-US" w:eastAsia="zh-CN"/>
    </w:rPr>
  </w:style>
  <w:style w:type="character" w:customStyle="1" w:styleId="91">
    <w:name w:val="页脚 Char"/>
    <w:basedOn w:val="63"/>
    <w:link w:val="38"/>
    <w:qFormat/>
    <w:locked/>
    <w:uiPriority w:val="99"/>
    <w:rPr>
      <w:rFonts w:eastAsia="宋体"/>
      <w:kern w:val="2"/>
      <w:sz w:val="18"/>
      <w:szCs w:val="18"/>
      <w:lang w:val="en-US" w:eastAsia="zh-CN"/>
    </w:rPr>
  </w:style>
  <w:style w:type="character" w:customStyle="1" w:styleId="92">
    <w:name w:val="页眉 Char"/>
    <w:basedOn w:val="63"/>
    <w:link w:val="39"/>
    <w:qFormat/>
    <w:locked/>
    <w:uiPriority w:val="99"/>
    <w:rPr>
      <w:rFonts w:eastAsia="宋体"/>
      <w:kern w:val="2"/>
      <w:sz w:val="18"/>
      <w:szCs w:val="18"/>
      <w:lang w:val="en-US" w:eastAsia="zh-CN"/>
    </w:rPr>
  </w:style>
  <w:style w:type="character" w:customStyle="1" w:styleId="93">
    <w:name w:val="副标题 Char"/>
    <w:basedOn w:val="63"/>
    <w:link w:val="44"/>
    <w:qFormat/>
    <w:locked/>
    <w:uiPriority w:val="99"/>
    <w:rPr>
      <w:rFonts w:ascii="Cambria" w:hAnsi="Cambria" w:cs="Cambria"/>
      <w:b/>
      <w:bCs/>
      <w:kern w:val="28"/>
      <w:sz w:val="32"/>
      <w:szCs w:val="32"/>
    </w:rPr>
  </w:style>
  <w:style w:type="character" w:customStyle="1" w:styleId="94">
    <w:name w:val="脚注文本 Char"/>
    <w:basedOn w:val="63"/>
    <w:link w:val="45"/>
    <w:qFormat/>
    <w:locked/>
    <w:uiPriority w:val="99"/>
    <w:rPr>
      <w:rFonts w:ascii="仿宋_GB2312" w:eastAsia="仿宋_GB2312" w:cs="仿宋_GB2312"/>
      <w:kern w:val="2"/>
      <w:sz w:val="18"/>
      <w:szCs w:val="18"/>
      <w:lang w:val="en-US" w:eastAsia="zh-CN"/>
    </w:rPr>
  </w:style>
  <w:style w:type="character" w:customStyle="1" w:styleId="95">
    <w:name w:val="正文文本缩进 3 Char"/>
    <w:basedOn w:val="63"/>
    <w:link w:val="47"/>
    <w:qFormat/>
    <w:locked/>
    <w:uiPriority w:val="99"/>
    <w:rPr>
      <w:rFonts w:ascii="隶书" w:hAnsi="宋体" w:eastAsia="隶书" w:cs="隶书"/>
      <w:kern w:val="2"/>
      <w:sz w:val="24"/>
      <w:szCs w:val="24"/>
      <w:lang w:val="en-US" w:eastAsia="zh-CN"/>
    </w:rPr>
  </w:style>
  <w:style w:type="character" w:customStyle="1" w:styleId="96">
    <w:name w:val="正文文本 2 Char"/>
    <w:basedOn w:val="63"/>
    <w:link w:val="53"/>
    <w:qFormat/>
    <w:locked/>
    <w:uiPriority w:val="99"/>
    <w:rPr>
      <w:rFonts w:eastAsia="宋体"/>
      <w:kern w:val="2"/>
      <w:sz w:val="24"/>
      <w:szCs w:val="24"/>
      <w:lang w:val="en-US" w:eastAsia="zh-CN"/>
    </w:rPr>
  </w:style>
  <w:style w:type="character" w:customStyle="1" w:styleId="97">
    <w:name w:val="标题 Char"/>
    <w:basedOn w:val="63"/>
    <w:link w:val="56"/>
    <w:qFormat/>
    <w:locked/>
    <w:uiPriority w:val="99"/>
    <w:rPr>
      <w:rFonts w:ascii="Arial" w:hAnsi="Arial" w:eastAsia="宋体" w:cs="Arial"/>
      <w:b/>
      <w:bCs/>
      <w:sz w:val="36"/>
      <w:szCs w:val="36"/>
      <w:lang w:eastAsia="en-US"/>
    </w:rPr>
  </w:style>
  <w:style w:type="character" w:customStyle="1" w:styleId="98">
    <w:name w:val="批注主题 Char"/>
    <w:basedOn w:val="83"/>
    <w:link w:val="57"/>
    <w:qFormat/>
    <w:locked/>
    <w:uiPriority w:val="99"/>
    <w:rPr>
      <w:rFonts w:eastAsia="宋体"/>
      <w:b/>
      <w:bCs/>
      <w:sz w:val="24"/>
      <w:szCs w:val="24"/>
    </w:rPr>
  </w:style>
  <w:style w:type="character" w:customStyle="1" w:styleId="99">
    <w:name w:val="正文首行缩进 Char"/>
    <w:basedOn w:val="81"/>
    <w:link w:val="58"/>
    <w:qFormat/>
    <w:locked/>
    <w:uiPriority w:val="99"/>
    <w:rPr>
      <w:rFonts w:ascii="Calibri" w:hAnsi="Calibri" w:eastAsia="楷体_GB2312" w:cs="Calibri"/>
    </w:rPr>
  </w:style>
  <w:style w:type="character" w:customStyle="1" w:styleId="100">
    <w:name w:val="批注文字 Char"/>
    <w:qFormat/>
    <w:uiPriority w:val="99"/>
    <w:rPr>
      <w:rFonts w:eastAsia="宋体"/>
      <w:kern w:val="2"/>
      <w:sz w:val="24"/>
      <w:szCs w:val="24"/>
      <w:lang w:val="en-US" w:eastAsia="zh-CN"/>
    </w:rPr>
  </w:style>
  <w:style w:type="character" w:customStyle="1" w:styleId="101">
    <w:name w:val="书籍标题1"/>
    <w:qFormat/>
    <w:uiPriority w:val="99"/>
    <w:rPr>
      <w:b/>
      <w:bCs/>
      <w:smallCaps/>
      <w:spacing w:val="5"/>
    </w:rPr>
  </w:style>
  <w:style w:type="character" w:customStyle="1" w:styleId="102">
    <w:name w:val="PI Char1"/>
    <w:qFormat/>
    <w:uiPriority w:val="99"/>
    <w:rPr>
      <w:rFonts w:ascii="仿宋_GB2312" w:eastAsia="仿宋_GB2312" w:cs="仿宋_GB2312"/>
      <w:kern w:val="2"/>
      <w:sz w:val="28"/>
      <w:szCs w:val="28"/>
      <w:lang w:val="zh-CN" w:eastAsia="zh-CN"/>
    </w:rPr>
  </w:style>
  <w:style w:type="character" w:customStyle="1" w:styleId="103">
    <w:name w:val="g1"/>
    <w:qFormat/>
    <w:uiPriority w:val="99"/>
    <w:rPr>
      <w:color w:val="008000"/>
    </w:rPr>
  </w:style>
  <w:style w:type="character" w:customStyle="1" w:styleId="104">
    <w:name w:val="H6 Char1"/>
    <w:qFormat/>
    <w:uiPriority w:val="99"/>
    <w:rPr>
      <w:rFonts w:ascii="Arial" w:hAnsi="Arial" w:eastAsia="宋体" w:cs="Arial"/>
      <w:i/>
      <w:iCs/>
      <w:sz w:val="28"/>
      <w:szCs w:val="28"/>
    </w:rPr>
  </w:style>
  <w:style w:type="character" w:customStyle="1" w:styleId="105">
    <w:name w:val="Char Char18"/>
    <w:qFormat/>
    <w:uiPriority w:val="99"/>
    <w:rPr>
      <w:rFonts w:ascii="Cambria" w:hAnsi="Cambria" w:eastAsia="宋体" w:cs="Cambria"/>
      <w:i/>
      <w:iCs/>
      <w:color w:val="auto"/>
      <w:sz w:val="20"/>
      <w:szCs w:val="20"/>
    </w:rPr>
  </w:style>
  <w:style w:type="character" w:customStyle="1" w:styleId="106">
    <w:name w:val="正文缩进 Char"/>
    <w:link w:val="15"/>
    <w:qFormat/>
    <w:locked/>
    <w:uiPriority w:val="99"/>
    <w:rPr>
      <w:rFonts w:ascii="宋体" w:eastAsia="宋体" w:cs="宋体"/>
      <w:snapToGrid w:val="0"/>
      <w:color w:val="000000"/>
      <w:kern w:val="28"/>
      <w:sz w:val="28"/>
      <w:szCs w:val="28"/>
      <w:lang w:val="en-US" w:eastAsia="zh-CN"/>
    </w:rPr>
  </w:style>
  <w:style w:type="character" w:customStyle="1" w:styleId="107">
    <w:name w:val="bullet Char"/>
    <w:qFormat/>
    <w:uiPriority w:val="99"/>
    <w:rPr>
      <w:b/>
      <w:bCs/>
      <w:i/>
      <w:iCs/>
      <w:sz w:val="24"/>
      <w:szCs w:val="24"/>
    </w:rPr>
  </w:style>
  <w:style w:type="character" w:customStyle="1" w:styleId="108">
    <w:name w:val="Char Char"/>
    <w:qFormat/>
    <w:uiPriority w:val="99"/>
    <w:rPr>
      <w:rFonts w:ascii="宋体" w:hAnsi="宋体" w:eastAsia="宋体" w:cs="宋体"/>
      <w:sz w:val="24"/>
      <w:szCs w:val="24"/>
      <w:lang w:val="en-US" w:eastAsia="zh-CN"/>
    </w:rPr>
  </w:style>
  <w:style w:type="character" w:customStyle="1" w:styleId="109">
    <w:name w:val="批注主题 Char1"/>
    <w:semiHidden/>
    <w:qFormat/>
    <w:uiPriority w:val="99"/>
    <w:rPr>
      <w:rFonts w:ascii="仿宋_GB2312" w:eastAsia="仿宋_GB2312" w:cs="仿宋_GB2312"/>
      <w:b/>
      <w:bCs/>
      <w:kern w:val="2"/>
      <w:sz w:val="28"/>
      <w:szCs w:val="28"/>
      <w:lang w:val="en-US" w:eastAsia="zh-CN"/>
    </w:rPr>
  </w:style>
  <w:style w:type="character" w:customStyle="1" w:styleId="110">
    <w:name w:val="正文文本缩进 Char"/>
    <w:qFormat/>
    <w:uiPriority w:val="99"/>
    <w:rPr>
      <w:rFonts w:ascii="仿宋_GB2312" w:hAnsi="Times New Roman" w:eastAsia="仿宋_GB2312" w:cs="仿宋_GB2312"/>
      <w:sz w:val="28"/>
      <w:szCs w:val="28"/>
    </w:rPr>
  </w:style>
  <w:style w:type="character" w:customStyle="1" w:styleId="111">
    <w:name w:val="EHPT Char"/>
    <w:qFormat/>
    <w:uiPriority w:val="99"/>
    <w:rPr>
      <w:rFonts w:ascii="Calibri" w:hAnsi="Calibri" w:eastAsia="宋体" w:cs="Calibri"/>
      <w:kern w:val="2"/>
      <w:sz w:val="22"/>
      <w:szCs w:val="22"/>
      <w:lang w:val="en-US" w:eastAsia="zh-CN"/>
    </w:rPr>
  </w:style>
  <w:style w:type="character" w:customStyle="1" w:styleId="112">
    <w:name w:val="Heading 2 Hidden Char2"/>
    <w:qFormat/>
    <w:uiPriority w:val="99"/>
    <w:rPr>
      <w:rFonts w:ascii="Cambria" w:hAnsi="Cambria" w:eastAsia="宋体" w:cs="Cambria"/>
      <w:b/>
      <w:bCs/>
      <w:color w:val="4F81BD"/>
      <w:sz w:val="26"/>
      <w:szCs w:val="26"/>
    </w:rPr>
  </w:style>
  <w:style w:type="character" w:customStyle="1" w:styleId="113">
    <w:name w:val="PI Char3"/>
    <w:qFormat/>
    <w:uiPriority w:val="99"/>
    <w:rPr>
      <w:rFonts w:ascii="仿宋_GB2312" w:eastAsia="仿宋_GB2312" w:cs="仿宋_GB2312"/>
      <w:kern w:val="2"/>
      <w:sz w:val="28"/>
      <w:szCs w:val="28"/>
      <w:lang w:val="zh-CN"/>
    </w:rPr>
  </w:style>
  <w:style w:type="character" w:customStyle="1" w:styleId="114">
    <w:name w:val="文档结构图 Char1"/>
    <w:semiHidden/>
    <w:qFormat/>
    <w:uiPriority w:val="99"/>
    <w:rPr>
      <w:rFonts w:ascii="宋体" w:hAnsi="Times New Roman" w:eastAsia="宋体" w:cs="宋体"/>
      <w:sz w:val="18"/>
      <w:szCs w:val="18"/>
    </w:rPr>
  </w:style>
  <w:style w:type="character" w:customStyle="1" w:styleId="115">
    <w:name w:val="正文2 Char Char"/>
    <w:link w:val="116"/>
    <w:qFormat/>
    <w:locked/>
    <w:uiPriority w:val="99"/>
    <w:rPr>
      <w:kern w:val="2"/>
      <w:sz w:val="24"/>
      <w:szCs w:val="24"/>
    </w:rPr>
  </w:style>
  <w:style w:type="paragraph" w:customStyle="1" w:styleId="116">
    <w:name w:val="正文2"/>
    <w:basedOn w:val="1"/>
    <w:link w:val="115"/>
    <w:qFormat/>
    <w:uiPriority w:val="99"/>
    <w:pPr>
      <w:adjustRightInd w:val="0"/>
      <w:spacing w:before="156" w:line="360" w:lineRule="auto"/>
      <w:ind w:firstLine="510" w:firstLineChars="200"/>
    </w:pPr>
    <w:rPr>
      <w:sz w:val="24"/>
      <w:szCs w:val="24"/>
    </w:rPr>
  </w:style>
  <w:style w:type="character" w:customStyle="1" w:styleId="117">
    <w:name w:val="番茄花园"/>
    <w:qFormat/>
    <w:uiPriority w:val="99"/>
    <w:rPr>
      <w:rFonts w:ascii="Arial" w:hAnsi="Arial" w:eastAsia="宋体" w:cs="Arial"/>
      <w:color w:val="000080"/>
      <w:sz w:val="20"/>
      <w:szCs w:val="20"/>
    </w:rPr>
  </w:style>
  <w:style w:type="character" w:customStyle="1" w:styleId="118">
    <w:name w:val="bulletintext1"/>
    <w:qFormat/>
    <w:uiPriority w:val="99"/>
    <w:rPr>
      <w:color w:val="000000"/>
      <w:sz w:val="18"/>
      <w:szCs w:val="18"/>
    </w:rPr>
  </w:style>
  <w:style w:type="character" w:customStyle="1" w:styleId="119">
    <w:name w:val="ca-10"/>
    <w:basedOn w:val="63"/>
    <w:qFormat/>
    <w:uiPriority w:val="99"/>
  </w:style>
  <w:style w:type="character" w:customStyle="1" w:styleId="120">
    <w:name w:val="style321"/>
    <w:qFormat/>
    <w:uiPriority w:val="99"/>
    <w:rPr>
      <w:b/>
      <w:bCs/>
      <w:color w:val="auto"/>
      <w:sz w:val="23"/>
      <w:szCs w:val="23"/>
    </w:rPr>
  </w:style>
  <w:style w:type="character" w:customStyle="1" w:styleId="121">
    <w:name w:val="Heading 3 - old Char"/>
    <w:qFormat/>
    <w:uiPriority w:val="99"/>
    <w:rPr>
      <w:rFonts w:ascii="Calibri" w:hAnsi="Calibri" w:cs="Calibri"/>
      <w:b/>
      <w:bCs/>
      <w:kern w:val="2"/>
      <w:sz w:val="32"/>
      <w:szCs w:val="32"/>
    </w:rPr>
  </w:style>
  <w:style w:type="character" w:customStyle="1" w:styleId="122">
    <w:name w:val="普通文字 Char Char8"/>
    <w:qFormat/>
    <w:uiPriority w:val="99"/>
    <w:rPr>
      <w:rFonts w:ascii="宋体" w:hAnsi="Courier New" w:eastAsia="宋体" w:cs="宋体"/>
    </w:rPr>
  </w:style>
  <w:style w:type="character" w:customStyle="1" w:styleId="123">
    <w:name w:val="正文文本 Char"/>
    <w:qFormat/>
    <w:uiPriority w:val="99"/>
    <w:rPr>
      <w:rFonts w:ascii="仿宋_GB2312" w:hAnsi="Times New Roman" w:eastAsia="仿宋_GB2312" w:cs="仿宋_GB2312"/>
      <w:sz w:val="28"/>
      <w:szCs w:val="28"/>
    </w:rPr>
  </w:style>
  <w:style w:type="character" w:customStyle="1" w:styleId="124">
    <w:name w:val="正文文本缩进 Char1"/>
    <w:semiHidden/>
    <w:qFormat/>
    <w:uiPriority w:val="99"/>
    <w:rPr>
      <w:rFonts w:ascii="仿宋_GB2312" w:hAnsi="Times New Roman" w:eastAsia="仿宋_GB2312" w:cs="仿宋_GB2312"/>
      <w:sz w:val="28"/>
      <w:szCs w:val="28"/>
    </w:rPr>
  </w:style>
  <w:style w:type="character" w:customStyle="1" w:styleId="125">
    <w:name w:val="Char Char14"/>
    <w:qFormat/>
    <w:uiPriority w:val="99"/>
    <w:rPr>
      <w:rFonts w:ascii="宋体" w:hAnsi="Courier New" w:eastAsia="宋体" w:cs="宋体"/>
      <w:sz w:val="21"/>
      <w:szCs w:val="21"/>
      <w:lang w:val="en-US" w:eastAsia="zh-CN"/>
    </w:rPr>
  </w:style>
  <w:style w:type="character" w:customStyle="1" w:styleId="126">
    <w:name w:val="EHPT Char3"/>
    <w:qFormat/>
    <w:uiPriority w:val="99"/>
    <w:rPr>
      <w:rFonts w:ascii="Calibri" w:hAnsi="Calibri" w:eastAsia="宋体" w:cs="Calibri"/>
    </w:rPr>
  </w:style>
  <w:style w:type="character" w:customStyle="1" w:styleId="127">
    <w:name w:val="Char Char20"/>
    <w:qFormat/>
    <w:uiPriority w:val="99"/>
    <w:rPr>
      <w:rFonts w:ascii="Cambria" w:hAnsi="Cambria" w:eastAsia="宋体" w:cs="Cambria"/>
      <w:i/>
      <w:iCs/>
      <w:color w:val="auto"/>
    </w:rPr>
  </w:style>
  <w:style w:type="character" w:customStyle="1" w:styleId="128">
    <w:name w:val="访问过的超链接1"/>
    <w:qFormat/>
    <w:uiPriority w:val="99"/>
    <w:rPr>
      <w:color w:val="800080"/>
      <w:u w:val="single"/>
    </w:rPr>
  </w:style>
  <w:style w:type="character" w:customStyle="1" w:styleId="129">
    <w:name w:val="普通文字 Char Char6"/>
    <w:qFormat/>
    <w:uiPriority w:val="99"/>
    <w:rPr>
      <w:rFonts w:ascii="宋体" w:hAnsi="Courier New" w:eastAsia="仿宋_GB2312" w:cs="宋体"/>
      <w:kern w:val="0"/>
      <w:sz w:val="20"/>
      <w:szCs w:val="20"/>
      <w:lang w:val="en-US" w:eastAsia="zh-CN"/>
    </w:rPr>
  </w:style>
  <w:style w:type="character" w:customStyle="1" w:styleId="130">
    <w:name w:val="日期 Char1"/>
    <w:semiHidden/>
    <w:qFormat/>
    <w:uiPriority w:val="99"/>
    <w:rPr>
      <w:rFonts w:ascii="仿宋_GB2312" w:hAnsi="Times New Roman" w:eastAsia="仿宋_GB2312" w:cs="仿宋_GB2312"/>
      <w:sz w:val="28"/>
      <w:szCs w:val="28"/>
    </w:rPr>
  </w:style>
  <w:style w:type="character" w:customStyle="1" w:styleId="131">
    <w:name w:val="font11"/>
    <w:qFormat/>
    <w:uiPriority w:val="99"/>
    <w:rPr>
      <w:rFonts w:ascii="楷体_GB2312" w:eastAsia="楷体_GB2312" w:cs="楷体_GB2312"/>
      <w:color w:val="000000"/>
      <w:sz w:val="21"/>
      <w:szCs w:val="21"/>
      <w:u w:val="none"/>
    </w:rPr>
  </w:style>
  <w:style w:type="character" w:customStyle="1" w:styleId="132">
    <w:name w:val="明显参考1"/>
    <w:qFormat/>
    <w:uiPriority w:val="99"/>
    <w:rPr>
      <w:b/>
      <w:bCs/>
      <w:smallCaps/>
      <w:color w:val="auto"/>
      <w:spacing w:val="5"/>
      <w:u w:val="single"/>
    </w:rPr>
  </w:style>
  <w:style w:type="character" w:customStyle="1" w:styleId="133">
    <w:name w:val="bei2"/>
    <w:basedOn w:val="63"/>
    <w:qFormat/>
    <w:uiPriority w:val="99"/>
  </w:style>
  <w:style w:type="character" w:customStyle="1" w:styleId="134">
    <w:name w:val="标题 3 Char Char"/>
    <w:qFormat/>
    <w:uiPriority w:val="99"/>
    <w:rPr>
      <w:rFonts w:ascii="宋体" w:hAnsi="宋体" w:eastAsia="宋体" w:cs="宋体"/>
      <w:color w:val="auto"/>
      <w:kern w:val="2"/>
      <w:sz w:val="28"/>
      <w:szCs w:val="28"/>
      <w:lang w:val="en-US" w:eastAsia="zh-CN"/>
    </w:rPr>
  </w:style>
  <w:style w:type="character" w:customStyle="1" w:styleId="135">
    <w:name w:val="标题 Char1"/>
    <w:qFormat/>
    <w:uiPriority w:val="99"/>
    <w:rPr>
      <w:rFonts w:ascii="Cambria" w:hAnsi="Cambria" w:eastAsia="宋体" w:cs="Cambria"/>
      <w:b/>
      <w:bCs/>
      <w:sz w:val="32"/>
      <w:szCs w:val="32"/>
    </w:rPr>
  </w:style>
  <w:style w:type="character" w:customStyle="1" w:styleId="136">
    <w:name w:val="unnamed11"/>
    <w:qFormat/>
    <w:uiPriority w:val="99"/>
    <w:rPr>
      <w:sz w:val="18"/>
      <w:szCs w:val="18"/>
    </w:rPr>
  </w:style>
  <w:style w:type="character" w:customStyle="1" w:styleId="137">
    <w:name w:val="纯文本 Char1"/>
    <w:semiHidden/>
    <w:qFormat/>
    <w:uiPriority w:val="99"/>
    <w:rPr>
      <w:rFonts w:ascii="宋体" w:hAnsi="Courier New" w:eastAsia="宋体" w:cs="宋体"/>
      <w:sz w:val="21"/>
      <w:szCs w:val="21"/>
    </w:rPr>
  </w:style>
  <w:style w:type="character" w:customStyle="1" w:styleId="138">
    <w:name w:val="text9"/>
    <w:basedOn w:val="63"/>
    <w:qFormat/>
    <w:uiPriority w:val="99"/>
  </w:style>
  <w:style w:type="character" w:customStyle="1" w:styleId="139">
    <w:name w:val="不明显参考1"/>
    <w:qFormat/>
    <w:uiPriority w:val="99"/>
    <w:rPr>
      <w:smallCaps/>
      <w:color w:val="auto"/>
      <w:u w:val="single"/>
    </w:rPr>
  </w:style>
  <w:style w:type="character" w:customStyle="1" w:styleId="140">
    <w:name w:val="14normal1"/>
    <w:qFormat/>
    <w:uiPriority w:val="99"/>
    <w:rPr>
      <w:rFonts w:ascii="??" w:hAnsi="??" w:cs="??"/>
      <w:color w:val="000000"/>
      <w:sz w:val="21"/>
      <w:szCs w:val="21"/>
    </w:rPr>
  </w:style>
  <w:style w:type="character" w:customStyle="1" w:styleId="141">
    <w:name w:val="apple-converted-space"/>
    <w:basedOn w:val="63"/>
    <w:qFormat/>
    <w:uiPriority w:val="99"/>
  </w:style>
  <w:style w:type="character" w:customStyle="1" w:styleId="142">
    <w:name w:val="EHPT Char1"/>
    <w:qFormat/>
    <w:uiPriority w:val="99"/>
    <w:rPr>
      <w:rFonts w:ascii="Calibri" w:hAnsi="Calibri" w:eastAsia="宋体" w:cs="Calibri"/>
      <w:kern w:val="2"/>
      <w:sz w:val="22"/>
      <w:szCs w:val="22"/>
      <w:lang w:val="en-US" w:eastAsia="zh-CN"/>
    </w:rPr>
  </w:style>
  <w:style w:type="character" w:customStyle="1" w:styleId="143">
    <w:name w:val="正文文本 3 Char1"/>
    <w:semiHidden/>
    <w:qFormat/>
    <w:uiPriority w:val="99"/>
    <w:rPr>
      <w:rFonts w:ascii="仿宋_GB2312" w:hAnsi="Times New Roman" w:eastAsia="仿宋_GB2312" w:cs="仿宋_GB2312"/>
      <w:sz w:val="16"/>
      <w:szCs w:val="16"/>
    </w:rPr>
  </w:style>
  <w:style w:type="character" w:customStyle="1" w:styleId="144">
    <w:name w:val="标题 2 Char"/>
    <w:qFormat/>
    <w:uiPriority w:val="99"/>
    <w:rPr>
      <w:rFonts w:ascii="宋体" w:hAnsi="宋体" w:eastAsia="黑体" w:cs="宋体"/>
      <w:b/>
      <w:bCs/>
      <w:kern w:val="2"/>
      <w:sz w:val="32"/>
      <w:szCs w:val="32"/>
      <w:lang w:val="en-US" w:eastAsia="zh-CN"/>
    </w:rPr>
  </w:style>
  <w:style w:type="character" w:customStyle="1" w:styleId="145">
    <w:name w:val="EHPT Char4"/>
    <w:qFormat/>
    <w:uiPriority w:val="99"/>
    <w:rPr>
      <w:rFonts w:eastAsia="黑体"/>
      <w:b/>
      <w:bCs/>
      <w:spacing w:val="20"/>
      <w:kern w:val="52"/>
      <w:sz w:val="24"/>
      <w:szCs w:val="24"/>
      <w:lang w:val="en-US" w:eastAsia="zh-CN"/>
    </w:rPr>
  </w:style>
  <w:style w:type="character" w:customStyle="1" w:styleId="146">
    <w:name w:val="www序号1) Char"/>
    <w:link w:val="147"/>
    <w:qFormat/>
    <w:locked/>
    <w:uiPriority w:val="99"/>
    <w:rPr>
      <w:rFonts w:eastAsia="宋体"/>
      <w:sz w:val="24"/>
      <w:szCs w:val="24"/>
    </w:rPr>
  </w:style>
  <w:style w:type="paragraph" w:customStyle="1" w:styleId="147">
    <w:name w:val="www序号1)"/>
    <w:basedOn w:val="1"/>
    <w:link w:val="146"/>
    <w:qFormat/>
    <w:uiPriority w:val="99"/>
    <w:pPr>
      <w:tabs>
        <w:tab w:val="left" w:pos="2160"/>
      </w:tabs>
      <w:ind w:left="2160" w:hanging="420"/>
    </w:pPr>
    <w:rPr>
      <w:kern w:val="0"/>
      <w:sz w:val="24"/>
      <w:szCs w:val="24"/>
    </w:rPr>
  </w:style>
  <w:style w:type="character" w:customStyle="1" w:styleId="148">
    <w:name w:val="h1 Char"/>
    <w:qFormat/>
    <w:uiPriority w:val="99"/>
    <w:rPr>
      <w:rFonts w:ascii="Calibri" w:hAnsi="Calibri" w:cs="Calibri"/>
      <w:b/>
      <w:bCs/>
      <w:kern w:val="44"/>
      <w:sz w:val="44"/>
      <w:szCs w:val="44"/>
    </w:rPr>
  </w:style>
  <w:style w:type="character" w:customStyle="1" w:styleId="149">
    <w:name w:val="maincontenttable1"/>
    <w:qFormat/>
    <w:uiPriority w:val="99"/>
    <w:rPr>
      <w:sz w:val="18"/>
      <w:szCs w:val="18"/>
    </w:rPr>
  </w:style>
  <w:style w:type="character" w:customStyle="1" w:styleId="150">
    <w:name w:val="引用 Char"/>
    <w:link w:val="151"/>
    <w:qFormat/>
    <w:locked/>
    <w:uiPriority w:val="99"/>
    <w:rPr>
      <w:rFonts w:ascii="Calibri" w:hAnsi="Calibri" w:eastAsia="宋体" w:cs="Calibri"/>
      <w:i/>
      <w:iCs/>
      <w:color w:val="000000"/>
      <w:sz w:val="22"/>
      <w:szCs w:val="22"/>
      <w:lang w:val="en-US" w:eastAsia="en-US"/>
    </w:rPr>
  </w:style>
  <w:style w:type="paragraph" w:customStyle="1" w:styleId="151">
    <w:name w:val="引用1"/>
    <w:basedOn w:val="1"/>
    <w:next w:val="1"/>
    <w:link w:val="150"/>
    <w:qFormat/>
    <w:uiPriority w:val="99"/>
    <w:pPr>
      <w:widowControl/>
      <w:spacing w:after="480" w:line="276" w:lineRule="auto"/>
      <w:jc w:val="left"/>
    </w:pPr>
    <w:rPr>
      <w:rFonts w:ascii="Calibri" w:hAnsi="Calibri"/>
      <w:i/>
      <w:iCs/>
      <w:color w:val="000000"/>
      <w:kern w:val="0"/>
      <w:sz w:val="22"/>
      <w:szCs w:val="22"/>
      <w:lang w:eastAsia="en-US"/>
    </w:rPr>
  </w:style>
  <w:style w:type="character" w:customStyle="1" w:styleId="152">
    <w:name w:val="明显引用 Char"/>
    <w:link w:val="153"/>
    <w:qFormat/>
    <w:locked/>
    <w:uiPriority w:val="99"/>
    <w:rPr>
      <w:rFonts w:ascii="Calibri" w:hAnsi="Calibri" w:eastAsia="宋体" w:cs="Calibri"/>
      <w:b/>
      <w:bCs/>
      <w:i/>
      <w:iCs/>
      <w:color w:val="4F81BD"/>
      <w:sz w:val="22"/>
      <w:szCs w:val="22"/>
      <w:lang w:val="en-US" w:eastAsia="en-US"/>
    </w:rPr>
  </w:style>
  <w:style w:type="paragraph" w:customStyle="1" w:styleId="153">
    <w:name w:val="明显引用1"/>
    <w:basedOn w:val="1"/>
    <w:next w:val="1"/>
    <w:link w:val="152"/>
    <w:qFormat/>
    <w:uiPriority w:val="99"/>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rPr>
  </w:style>
  <w:style w:type="character" w:customStyle="1" w:styleId="154">
    <w:name w:val="文字 Char"/>
    <w:link w:val="155"/>
    <w:qFormat/>
    <w:locked/>
    <w:uiPriority w:val="99"/>
    <w:rPr>
      <w:rFonts w:ascii="宋体" w:hAnsi="宋体" w:eastAsia="宋体" w:cs="宋体"/>
      <w:sz w:val="28"/>
      <w:szCs w:val="28"/>
    </w:rPr>
  </w:style>
  <w:style w:type="paragraph" w:customStyle="1" w:styleId="155">
    <w:name w:val="文字"/>
    <w:basedOn w:val="1"/>
    <w:link w:val="154"/>
    <w:qFormat/>
    <w:uiPriority w:val="99"/>
    <w:pPr>
      <w:tabs>
        <w:tab w:val="left" w:pos="8520"/>
      </w:tabs>
      <w:spacing w:line="312" w:lineRule="auto"/>
      <w:ind w:right="-210" w:firstLine="556"/>
    </w:pPr>
    <w:rPr>
      <w:rFonts w:ascii="宋体" w:hAnsi="宋体"/>
      <w:kern w:val="0"/>
      <w:sz w:val="28"/>
      <w:szCs w:val="28"/>
    </w:rPr>
  </w:style>
  <w:style w:type="character" w:customStyle="1" w:styleId="156">
    <w:name w:val="ca-3"/>
    <w:basedOn w:val="63"/>
    <w:qFormat/>
    <w:uiPriority w:val="99"/>
  </w:style>
  <w:style w:type="character" w:customStyle="1" w:styleId="157">
    <w:name w:val="表格 Char Char"/>
    <w:link w:val="158"/>
    <w:qFormat/>
    <w:locked/>
    <w:uiPriority w:val="99"/>
    <w:rPr>
      <w:rFonts w:ascii="宋体" w:eastAsia="宋体" w:cs="宋体"/>
    </w:rPr>
  </w:style>
  <w:style w:type="paragraph" w:customStyle="1" w:styleId="158">
    <w:name w:val="表格"/>
    <w:basedOn w:val="1"/>
    <w:link w:val="157"/>
    <w:qFormat/>
    <w:uiPriority w:val="99"/>
    <w:pPr>
      <w:snapToGrid w:val="0"/>
      <w:ind w:firstLine="42" w:firstLineChars="21"/>
    </w:pPr>
    <w:rPr>
      <w:rFonts w:ascii="宋体"/>
      <w:kern w:val="0"/>
      <w:sz w:val="20"/>
      <w:szCs w:val="20"/>
    </w:rPr>
  </w:style>
  <w:style w:type="character" w:customStyle="1" w:styleId="159">
    <w:name w:val="正文文本 Char1"/>
    <w:semiHidden/>
    <w:qFormat/>
    <w:uiPriority w:val="99"/>
    <w:rPr>
      <w:rFonts w:ascii="仿宋_GB2312" w:hAnsi="Times New Roman" w:eastAsia="仿宋_GB2312" w:cs="仿宋_GB2312"/>
      <w:sz w:val="28"/>
      <w:szCs w:val="28"/>
    </w:rPr>
  </w:style>
  <w:style w:type="character" w:customStyle="1" w:styleId="160">
    <w:name w:val="不明显强调1"/>
    <w:qFormat/>
    <w:uiPriority w:val="99"/>
    <w:rPr>
      <w:i/>
      <w:iCs/>
      <w:color w:val="808080"/>
    </w:rPr>
  </w:style>
  <w:style w:type="character" w:customStyle="1" w:styleId="161">
    <w:name w:val="ca-9"/>
    <w:basedOn w:val="63"/>
    <w:qFormat/>
    <w:uiPriority w:val="99"/>
  </w:style>
  <w:style w:type="character" w:customStyle="1" w:styleId="162">
    <w:name w:val="text1"/>
    <w:qFormat/>
    <w:uiPriority w:val="99"/>
    <w:rPr>
      <w:rFonts w:ascii="宋体" w:hAnsi="宋体" w:eastAsia="宋体" w:cs="宋体"/>
      <w:color w:val="auto"/>
      <w:sz w:val="18"/>
      <w:szCs w:val="18"/>
    </w:rPr>
  </w:style>
  <w:style w:type="character" w:customStyle="1" w:styleId="163">
    <w:name w:val="PI Char"/>
    <w:qFormat/>
    <w:uiPriority w:val="99"/>
    <w:rPr>
      <w:rFonts w:ascii="仿宋_GB2312" w:eastAsia="仿宋_GB2312" w:cs="仿宋_GB2312"/>
      <w:kern w:val="2"/>
      <w:sz w:val="28"/>
      <w:szCs w:val="28"/>
      <w:lang w:val="zh-CN" w:eastAsia="zh-CN"/>
    </w:rPr>
  </w:style>
  <w:style w:type="character" w:customStyle="1" w:styleId="164">
    <w:name w:val="font1"/>
    <w:qFormat/>
    <w:uiPriority w:val="99"/>
    <w:rPr>
      <w:color w:val="auto"/>
      <w:sz w:val="18"/>
      <w:szCs w:val="18"/>
      <w:u w:val="none"/>
    </w:rPr>
  </w:style>
  <w:style w:type="character" w:customStyle="1" w:styleId="165">
    <w:name w:val="正文首行缩进 Char1"/>
    <w:semiHidden/>
    <w:qFormat/>
    <w:uiPriority w:val="99"/>
    <w:rPr>
      <w:rFonts w:ascii="仿宋_GB2312" w:hAnsi="Times New Roman" w:eastAsia="仿宋_GB2312" w:cs="仿宋_GB2312"/>
      <w:sz w:val="28"/>
      <w:szCs w:val="28"/>
    </w:rPr>
  </w:style>
  <w:style w:type="character" w:customStyle="1" w:styleId="166">
    <w:name w:val="large1"/>
    <w:qFormat/>
    <w:uiPriority w:val="99"/>
    <w:rPr>
      <w:rFonts w:ascii="宋体" w:hAnsi="宋体" w:eastAsia="宋体" w:cs="宋体"/>
      <w:sz w:val="21"/>
      <w:szCs w:val="21"/>
    </w:rPr>
  </w:style>
  <w:style w:type="character" w:customStyle="1" w:styleId="167">
    <w:name w:val="表正文 Char"/>
    <w:qFormat/>
    <w:uiPriority w:val="99"/>
    <w:rPr>
      <w:rFonts w:ascii="仿宋_GB2312" w:eastAsia="仿宋_GB2312" w:cs="仿宋_GB2312"/>
      <w:kern w:val="2"/>
      <w:sz w:val="28"/>
      <w:szCs w:val="28"/>
    </w:rPr>
  </w:style>
  <w:style w:type="character" w:customStyle="1" w:styleId="168">
    <w:name w:val="Heading 2 Hidden Char1"/>
    <w:qFormat/>
    <w:uiPriority w:val="99"/>
    <w:rPr>
      <w:rFonts w:ascii="Arial" w:hAnsi="Arial" w:eastAsia="黑体" w:cs="Arial"/>
      <w:b/>
      <w:bCs/>
      <w:kern w:val="2"/>
      <w:sz w:val="32"/>
      <w:szCs w:val="32"/>
    </w:rPr>
  </w:style>
  <w:style w:type="character" w:customStyle="1" w:styleId="169">
    <w:name w:val="明显强调1"/>
    <w:qFormat/>
    <w:uiPriority w:val="99"/>
    <w:rPr>
      <w:b/>
      <w:bCs/>
      <w:i/>
      <w:iCs/>
      <w:color w:val="4F81BD"/>
    </w:rPr>
  </w:style>
  <w:style w:type="character" w:customStyle="1" w:styleId="170">
    <w:name w:val="PI Char2"/>
    <w:qFormat/>
    <w:uiPriority w:val="99"/>
    <w:rPr>
      <w:rFonts w:ascii="仿宋_GB2312" w:eastAsia="仿宋_GB2312" w:cs="仿宋_GB2312"/>
      <w:kern w:val="2"/>
      <w:sz w:val="28"/>
      <w:szCs w:val="28"/>
      <w:lang w:val="zh-CN" w:eastAsia="zh-CN"/>
    </w:rPr>
  </w:style>
  <w:style w:type="character" w:customStyle="1" w:styleId="171">
    <w:name w:val="正文文本缩进 3 Char1"/>
    <w:semiHidden/>
    <w:qFormat/>
    <w:uiPriority w:val="99"/>
    <w:rPr>
      <w:rFonts w:ascii="仿宋_GB2312" w:hAnsi="Times New Roman" w:eastAsia="仿宋_GB2312" w:cs="仿宋_GB2312"/>
      <w:sz w:val="16"/>
      <w:szCs w:val="16"/>
    </w:rPr>
  </w:style>
  <w:style w:type="character" w:customStyle="1" w:styleId="172">
    <w:name w:val="font21"/>
    <w:qFormat/>
    <w:uiPriority w:val="99"/>
    <w:rPr>
      <w:rFonts w:ascii="楷体_GB2312" w:eastAsia="楷体_GB2312" w:cs="楷体_GB2312"/>
      <w:color w:val="000000"/>
      <w:sz w:val="21"/>
      <w:szCs w:val="21"/>
      <w:u w:val="single"/>
    </w:rPr>
  </w:style>
  <w:style w:type="character" w:customStyle="1" w:styleId="173">
    <w:name w:val="Char Char19"/>
    <w:qFormat/>
    <w:uiPriority w:val="99"/>
    <w:rPr>
      <w:rFonts w:ascii="Cambria" w:hAnsi="Cambria" w:eastAsia="宋体" w:cs="Cambria"/>
      <w:color w:val="4F81BD"/>
      <w:sz w:val="20"/>
      <w:szCs w:val="20"/>
    </w:rPr>
  </w:style>
  <w:style w:type="character" w:customStyle="1" w:styleId="174">
    <w:name w:val="Char Char4"/>
    <w:qFormat/>
    <w:uiPriority w:val="99"/>
    <w:rPr>
      <w:rFonts w:ascii="仿宋_GB2312" w:eastAsia="仿宋_GB2312" w:cs="仿宋_GB2312"/>
      <w:kern w:val="2"/>
      <w:sz w:val="28"/>
      <w:szCs w:val="28"/>
      <w:lang w:val="zh-CN" w:eastAsia="zh-CN"/>
    </w:rPr>
  </w:style>
  <w:style w:type="character" w:customStyle="1" w:styleId="175">
    <w:name w:val="普通文字 Char Char4"/>
    <w:qFormat/>
    <w:uiPriority w:val="99"/>
    <w:rPr>
      <w:rFonts w:ascii="宋体" w:hAnsi="Courier New" w:eastAsia="宋体" w:cs="宋体"/>
      <w:sz w:val="21"/>
      <w:szCs w:val="21"/>
      <w:lang w:val="en-US" w:eastAsia="zh-CN"/>
    </w:rPr>
  </w:style>
  <w:style w:type="character" w:customStyle="1" w:styleId="176">
    <w:name w:val="正文文本 2 Char1"/>
    <w:semiHidden/>
    <w:qFormat/>
    <w:uiPriority w:val="99"/>
    <w:rPr>
      <w:rFonts w:ascii="仿宋_GB2312" w:hAnsi="Times New Roman" w:eastAsia="仿宋_GB2312" w:cs="仿宋_GB2312"/>
      <w:sz w:val="28"/>
      <w:szCs w:val="28"/>
    </w:rPr>
  </w:style>
  <w:style w:type="character" w:customStyle="1" w:styleId="177">
    <w:name w:val="H5 Char"/>
    <w:qFormat/>
    <w:uiPriority w:val="99"/>
    <w:rPr>
      <w:rFonts w:ascii="Arial" w:hAnsi="Arial" w:cs="Arial"/>
      <w:sz w:val="22"/>
      <w:szCs w:val="22"/>
    </w:rPr>
  </w:style>
  <w:style w:type="character" w:customStyle="1" w:styleId="178">
    <w:name w:val="EHPT Char2"/>
    <w:qFormat/>
    <w:uiPriority w:val="99"/>
    <w:rPr>
      <w:rFonts w:ascii="Calibri" w:hAnsi="Calibri" w:cs="Calibri"/>
      <w:kern w:val="2"/>
      <w:sz w:val="22"/>
      <w:szCs w:val="22"/>
    </w:rPr>
  </w:style>
  <w:style w:type="character" w:customStyle="1" w:styleId="179">
    <w:name w:val="EmailStyle191"/>
    <w:semiHidden/>
    <w:qFormat/>
    <w:uiPriority w:val="99"/>
    <w:rPr>
      <w:rFonts w:ascii="Arial" w:hAnsi="Arial" w:eastAsia="宋体" w:cs="Arial"/>
      <w:color w:val="000080"/>
      <w:sz w:val="20"/>
      <w:szCs w:val="20"/>
    </w:rPr>
  </w:style>
  <w:style w:type="character" w:customStyle="1" w:styleId="180">
    <w:name w:val="页脚 Char1"/>
    <w:semiHidden/>
    <w:qFormat/>
    <w:uiPriority w:val="99"/>
    <w:rPr>
      <w:rFonts w:ascii="仿宋_GB2312" w:hAnsi="Times New Roman" w:eastAsia="仿宋_GB2312" w:cs="仿宋_GB2312"/>
      <w:sz w:val="18"/>
      <w:szCs w:val="18"/>
    </w:rPr>
  </w:style>
  <w:style w:type="character" w:customStyle="1" w:styleId="181">
    <w:name w:val="标书正文格式 Char"/>
    <w:link w:val="182"/>
    <w:qFormat/>
    <w:locked/>
    <w:uiPriority w:val="99"/>
    <w:rPr>
      <w:rFonts w:ascii="楷体_GB2312" w:eastAsia="楷体_GB2312" w:cs="楷体_GB2312"/>
      <w:color w:val="000000"/>
      <w:kern w:val="2"/>
      <w:sz w:val="24"/>
      <w:szCs w:val="24"/>
      <w:lang w:val="en-US" w:eastAsia="zh-CN" w:bidi="ar-SA"/>
    </w:rPr>
  </w:style>
  <w:style w:type="paragraph" w:customStyle="1" w:styleId="182">
    <w:name w:val="标书正文格式"/>
    <w:link w:val="181"/>
    <w:qFormat/>
    <w:uiPriority w:val="99"/>
    <w:pPr>
      <w:spacing w:line="360" w:lineRule="auto"/>
      <w:ind w:firstLine="480" w:firstLineChars="200"/>
    </w:pPr>
    <w:rPr>
      <w:rFonts w:ascii="楷体_GB2312" w:hAnsi="Times New Roman" w:eastAsia="楷体_GB2312" w:cs="楷体_GB2312"/>
      <w:color w:val="000000"/>
      <w:kern w:val="2"/>
      <w:sz w:val="24"/>
      <w:szCs w:val="24"/>
      <w:lang w:val="en-US" w:eastAsia="zh-CN" w:bidi="ar-SA"/>
    </w:rPr>
  </w:style>
  <w:style w:type="paragraph" w:customStyle="1" w:styleId="183">
    <w:name w:val="小四缩进"/>
    <w:basedOn w:val="1"/>
    <w:qFormat/>
    <w:uiPriority w:val="99"/>
    <w:pPr>
      <w:spacing w:line="360" w:lineRule="auto"/>
      <w:ind w:firstLine="480" w:firstLineChars="200"/>
    </w:pPr>
    <w:rPr>
      <w:sz w:val="24"/>
      <w:szCs w:val="24"/>
    </w:rPr>
  </w:style>
  <w:style w:type="paragraph" w:customStyle="1" w:styleId="184">
    <w:name w:val="RFI Heading 1st Level"/>
    <w:basedOn w:val="1"/>
    <w:qFormat/>
    <w:uiPriority w:val="99"/>
    <w:pPr>
      <w:widowControl/>
      <w:spacing w:before="120" w:after="240"/>
      <w:jc w:val="left"/>
    </w:pPr>
    <w:rPr>
      <w:rFonts w:ascii="Arial (W1)" w:hAnsi="Arial (W1)" w:eastAsia="仿宋_GB2312" w:cs="Arial (W1)"/>
      <w:b/>
      <w:bCs/>
      <w:color w:val="0000FF"/>
      <w:kern w:val="0"/>
      <w:sz w:val="32"/>
      <w:szCs w:val="32"/>
      <w:lang w:val="en-GB"/>
    </w:rPr>
  </w:style>
  <w:style w:type="paragraph" w:customStyle="1" w:styleId="185">
    <w:name w:val="Level 2: 1."/>
    <w:qFormat/>
    <w:uiPriority w:val="99"/>
    <w:pPr>
      <w:numPr>
        <w:ilvl w:val="4"/>
        <w:numId w:val="1"/>
      </w:numPr>
      <w:tabs>
        <w:tab w:val="left" w:pos="720"/>
      </w:tabs>
      <w:spacing w:before="72" w:after="72"/>
      <w:jc w:val="both"/>
      <w:outlineLvl w:val="4"/>
    </w:pPr>
    <w:rPr>
      <w:rFonts w:ascii="Arial" w:hAnsi="Arial" w:eastAsia="宋体" w:cs="Arial"/>
      <w:lang w:val="en-US" w:eastAsia="en-US" w:bidi="ar-SA"/>
    </w:rPr>
  </w:style>
  <w:style w:type="paragraph" w:customStyle="1" w:styleId="186">
    <w:name w:val="1.1.1.1Heading3"/>
    <w:basedOn w:val="5"/>
    <w:qFormat/>
    <w:uiPriority w:val="99"/>
    <w:pPr>
      <w:keepLines w:val="0"/>
      <w:widowControl/>
      <w:numPr>
        <w:ilvl w:val="2"/>
        <w:numId w:val="3"/>
      </w:numPr>
      <w:tabs>
        <w:tab w:val="left" w:pos="2292"/>
        <w:tab w:val="clear" w:pos="2160"/>
      </w:tabs>
      <w:spacing w:before="120" w:after="120" w:line="240" w:lineRule="auto"/>
      <w:ind w:left="2292" w:leftChars="236" w:right="-156" w:hanging="420"/>
      <w:jc w:val="left"/>
    </w:pPr>
    <w:rPr>
      <w:rFonts w:ascii="Arial" w:hAnsi="Arial" w:eastAsia="黑体" w:cs="Arial"/>
      <w:b w:val="0"/>
      <w:bCs w:val="0"/>
      <w:sz w:val="24"/>
      <w:szCs w:val="24"/>
    </w:rPr>
  </w:style>
  <w:style w:type="paragraph" w:customStyle="1" w:styleId="187">
    <w:name w:val="RFI List 2"/>
    <w:basedOn w:val="188"/>
    <w:qFormat/>
    <w:uiPriority w:val="99"/>
    <w:pPr>
      <w:numPr>
        <w:ilvl w:val="0"/>
        <w:numId w:val="4"/>
      </w:numPr>
      <w:tabs>
        <w:tab w:val="left" w:pos="360"/>
        <w:tab w:val="left" w:pos="720"/>
        <w:tab w:val="left" w:pos="1800"/>
      </w:tabs>
    </w:pPr>
    <w:rPr>
      <w:rFonts w:eastAsia="宋体"/>
      <w:b w:val="0"/>
      <w:bCs w:val="0"/>
    </w:rPr>
  </w:style>
  <w:style w:type="paragraph" w:customStyle="1" w:styleId="188">
    <w:name w:val="RFI List 1"/>
    <w:basedOn w:val="189"/>
    <w:qFormat/>
    <w:uiPriority w:val="99"/>
    <w:pPr>
      <w:tabs>
        <w:tab w:val="left" w:pos="360"/>
        <w:tab w:val="left" w:pos="720"/>
        <w:tab w:val="left" w:pos="1800"/>
      </w:tabs>
      <w:spacing w:before="240" w:after="160"/>
      <w:ind w:left="720" w:hanging="720"/>
      <w:outlineLvl w:val="0"/>
    </w:pPr>
    <w:rPr>
      <w:b/>
      <w:bCs/>
      <w:color w:val="auto"/>
    </w:rPr>
  </w:style>
  <w:style w:type="paragraph" w:customStyle="1" w:styleId="189">
    <w:name w:val="RFI Heading 3rd Level"/>
    <w:basedOn w:val="1"/>
    <w:qFormat/>
    <w:uiPriority w:val="99"/>
    <w:pPr>
      <w:widowControl/>
      <w:tabs>
        <w:tab w:val="left" w:pos="720"/>
      </w:tabs>
      <w:ind w:left="420" w:hanging="420"/>
      <w:jc w:val="left"/>
    </w:pPr>
    <w:rPr>
      <w:rFonts w:ascii="Arial (W1)" w:hAnsi="Arial (W1)" w:eastAsia="仿宋_GB2312" w:cs="Arial (W1)"/>
      <w:color w:val="000000"/>
      <w:kern w:val="0"/>
      <w:sz w:val="24"/>
      <w:szCs w:val="24"/>
      <w:lang w:val="en-GB" w:eastAsia="en-US"/>
    </w:rPr>
  </w:style>
  <w:style w:type="paragraph" w:customStyle="1" w:styleId="190">
    <w:name w:val="1 Char Char Char Char"/>
    <w:basedOn w:val="1"/>
    <w:qFormat/>
    <w:uiPriority w:val="99"/>
    <w:rPr>
      <w:rFonts w:ascii="Tahoma" w:hAnsi="Tahoma" w:cs="Tahoma"/>
      <w:sz w:val="24"/>
      <w:szCs w:val="24"/>
    </w:rPr>
  </w:style>
  <w:style w:type="paragraph" w:customStyle="1" w:styleId="191">
    <w:name w:val="正文无缩进"/>
    <w:basedOn w:val="192"/>
    <w:qFormat/>
    <w:uiPriority w:val="99"/>
    <w:pPr>
      <w:ind w:firstLine="0" w:firstLineChars="0"/>
    </w:pPr>
  </w:style>
  <w:style w:type="paragraph" w:customStyle="1" w:styleId="192">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93">
    <w:name w:val="xl26"/>
    <w:basedOn w:val="1"/>
    <w:qFormat/>
    <w:uiPriority w:val="99"/>
    <w:pPr>
      <w:widowControl/>
      <w:spacing w:before="100" w:beforeAutospacing="1" w:after="100" w:afterAutospacing="1"/>
      <w:jc w:val="center"/>
    </w:pPr>
    <w:rPr>
      <w:rFonts w:ascii="仿宋_GB2312" w:hAnsi="宋体" w:eastAsia="仿宋_GB2312" w:cs="仿宋_GB2312"/>
      <w:kern w:val="0"/>
      <w:sz w:val="24"/>
      <w:szCs w:val="24"/>
    </w:rPr>
  </w:style>
  <w:style w:type="paragraph" w:customStyle="1" w:styleId="194">
    <w:name w:val="Style Body Text Indent 2 + 11 pt Line spacing:  1.5 lines"/>
    <w:basedOn w:val="35"/>
    <w:qFormat/>
    <w:uiPriority w:val="99"/>
    <w:pPr>
      <w:widowControl/>
      <w:tabs>
        <w:tab w:val="left" w:pos="900"/>
      </w:tabs>
      <w:spacing w:line="360" w:lineRule="auto"/>
      <w:ind w:firstLine="0" w:firstLineChars="0"/>
    </w:pPr>
    <w:rPr>
      <w:rFonts w:ascii="宋体" w:hAnsi="宋体" w:cs="宋体"/>
      <w:kern w:val="0"/>
      <w:sz w:val="22"/>
      <w:szCs w:val="22"/>
      <w:lang w:val="en-GB"/>
    </w:rPr>
  </w:style>
  <w:style w:type="paragraph" w:customStyle="1" w:styleId="195">
    <w:name w:val="Level 4: (i)"/>
    <w:basedOn w:val="1"/>
    <w:qFormat/>
    <w:uiPriority w:val="99"/>
    <w:pPr>
      <w:widowControl/>
      <w:numPr>
        <w:ilvl w:val="6"/>
        <w:numId w:val="1"/>
      </w:numPr>
      <w:tabs>
        <w:tab w:val="left" w:pos="1440"/>
      </w:tabs>
      <w:spacing w:before="72" w:after="72"/>
      <w:outlineLvl w:val="6"/>
    </w:pPr>
    <w:rPr>
      <w:rFonts w:ascii="Arial" w:hAnsi="Arial" w:eastAsia="仿宋_GB2312" w:cs="Arial"/>
      <w:kern w:val="0"/>
      <w:sz w:val="20"/>
      <w:szCs w:val="20"/>
      <w:lang w:eastAsia="en-US"/>
    </w:rPr>
  </w:style>
  <w:style w:type="paragraph" w:customStyle="1" w:styleId="196">
    <w:name w:val="Char Char1 Char Char"/>
    <w:basedOn w:val="1"/>
    <w:semiHidden/>
    <w:qFormat/>
    <w:uiPriority w:val="99"/>
    <w:rPr>
      <w:rFonts w:ascii="仿宋_GB2312" w:eastAsia="仿宋_GB2312" w:cs="仿宋_GB2312"/>
      <w:sz w:val="28"/>
      <w:szCs w:val="28"/>
    </w:rPr>
  </w:style>
  <w:style w:type="paragraph" w:customStyle="1" w:styleId="197">
    <w:name w:val="批注框文本1"/>
    <w:basedOn w:val="1"/>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98">
    <w:name w:val="Char1 Char Char Char"/>
    <w:basedOn w:val="1"/>
    <w:qFormat/>
    <w:uiPriority w:val="99"/>
    <w:pPr>
      <w:ind w:left="420" w:hanging="420"/>
    </w:pPr>
    <w:rPr>
      <w:rFonts w:ascii="仿宋_GB2312" w:eastAsia="仿宋_GB2312" w:cs="仿宋_GB2312"/>
      <w:sz w:val="24"/>
      <w:szCs w:val="24"/>
    </w:rPr>
  </w:style>
  <w:style w:type="paragraph" w:customStyle="1" w:styleId="199">
    <w:name w:val="RFI text from 3rd Level"/>
    <w:basedOn w:val="200"/>
    <w:qFormat/>
    <w:uiPriority w:val="99"/>
    <w:pPr>
      <w:tabs>
        <w:tab w:val="left" w:pos="360"/>
        <w:tab w:val="left" w:pos="720"/>
        <w:tab w:val="left" w:pos="1080"/>
      </w:tabs>
    </w:pPr>
    <w:rPr>
      <w:b w:val="0"/>
      <w:bCs w:val="0"/>
      <w:lang w:eastAsia="zh-CN"/>
    </w:rPr>
  </w:style>
  <w:style w:type="paragraph" w:customStyle="1" w:styleId="200">
    <w:name w:val="RFI text from 2nd Level"/>
    <w:basedOn w:val="189"/>
    <w:qFormat/>
    <w:uiPriority w:val="99"/>
    <w:pPr>
      <w:tabs>
        <w:tab w:val="left" w:pos="360"/>
      </w:tabs>
      <w:ind w:left="720"/>
    </w:pPr>
    <w:rPr>
      <w:b/>
      <w:bCs/>
      <w:color w:val="auto"/>
    </w:rPr>
  </w:style>
  <w:style w:type="paragraph" w:customStyle="1" w:styleId="201">
    <w:name w:val="规范正文"/>
    <w:basedOn w:val="1"/>
    <w:qFormat/>
    <w:uiPriority w:val="99"/>
    <w:pPr>
      <w:adjustRightInd w:val="0"/>
      <w:spacing w:line="360" w:lineRule="auto"/>
      <w:ind w:left="480"/>
      <w:textAlignment w:val="baseline"/>
    </w:pPr>
    <w:rPr>
      <w:rFonts w:ascii="仿宋_GB2312" w:eastAsia="仿宋_GB2312" w:cs="仿宋_GB2312"/>
      <w:kern w:val="0"/>
      <w:sz w:val="24"/>
      <w:szCs w:val="24"/>
    </w:rPr>
  </w:style>
  <w:style w:type="paragraph" w:customStyle="1" w:styleId="202">
    <w:name w:val="p0"/>
    <w:basedOn w:val="1"/>
    <w:qFormat/>
    <w:uiPriority w:val="99"/>
    <w:pPr>
      <w:widowControl/>
    </w:pPr>
    <w:rPr>
      <w:rFonts w:ascii="仿宋_GB2312" w:hAnsi="宋体" w:eastAsia="仿宋_GB2312" w:cs="仿宋_GB2312"/>
      <w:kern w:val="0"/>
      <w:sz w:val="28"/>
      <w:szCs w:val="28"/>
    </w:rPr>
  </w:style>
  <w:style w:type="paragraph" w:customStyle="1" w:styleId="203">
    <w:name w:val="项目1"/>
    <w:basedOn w:val="15"/>
    <w:next w:val="15"/>
    <w:qFormat/>
    <w:uiPriority w:val="99"/>
    <w:pPr>
      <w:widowControl w:val="0"/>
      <w:numPr>
        <w:ilvl w:val="3"/>
        <w:numId w:val="5"/>
      </w:numPr>
      <w:adjustRightInd/>
      <w:snapToGrid/>
      <w:spacing w:beforeLines="50" w:afterLines="50" w:line="360" w:lineRule="auto"/>
      <w:ind w:left="-4" w:leftChars="-2" w:firstLine="468" w:firstLineChars="195"/>
      <w:jc w:val="left"/>
    </w:pPr>
    <w:rPr>
      <w:rFonts w:hAnsi="宋体" w:eastAsia="仿宋_GB2312"/>
      <w:color w:val="auto"/>
      <w:kern w:val="2"/>
      <w:sz w:val="24"/>
      <w:szCs w:val="24"/>
    </w:rPr>
  </w:style>
  <w:style w:type="paragraph" w:customStyle="1" w:styleId="204">
    <w:name w:val="Normal 1.0"/>
    <w:basedOn w:val="1"/>
    <w:qFormat/>
    <w:uiPriority w:val="99"/>
    <w:pPr>
      <w:keepLines/>
      <w:widowControl/>
      <w:spacing w:before="180" w:after="120"/>
      <w:ind w:left="1440"/>
    </w:pPr>
    <w:rPr>
      <w:rFonts w:ascii="仿宋_GB2312" w:eastAsia="仿宋_GB2312" w:cs="仿宋_GB2312"/>
      <w:kern w:val="0"/>
      <w:sz w:val="24"/>
      <w:szCs w:val="24"/>
      <w:lang w:val="en-GB" w:eastAsia="en-US"/>
    </w:rPr>
  </w:style>
  <w:style w:type="paragraph" w:customStyle="1" w:styleId="205">
    <w:name w:val="RFI Heading 2nd Level Char"/>
    <w:basedOn w:val="1"/>
    <w:qFormat/>
    <w:uiPriority w:val="99"/>
    <w:pPr>
      <w:widowControl/>
      <w:tabs>
        <w:tab w:val="left" w:pos="1152"/>
      </w:tabs>
      <w:spacing w:before="240" w:after="240"/>
      <w:ind w:left="1152" w:hanging="1152"/>
      <w:jc w:val="left"/>
      <w:outlineLvl w:val="1"/>
    </w:pPr>
    <w:rPr>
      <w:rFonts w:ascii="Arial (W1)" w:hAnsi="Arial (W1)" w:cs="Arial (W1)"/>
      <w:b/>
      <w:bCs/>
      <w:color w:val="3366FF"/>
      <w:kern w:val="0"/>
      <w:sz w:val="24"/>
      <w:szCs w:val="24"/>
      <w:lang w:val="en-GB" w:eastAsia="en-US"/>
    </w:rPr>
  </w:style>
  <w:style w:type="paragraph" w:customStyle="1" w:styleId="206">
    <w:name w:val="Char Char Char Char Char Char Char Char Char Char"/>
    <w:basedOn w:val="1"/>
    <w:qFormat/>
    <w:uiPriority w:val="99"/>
    <w:rPr>
      <w:rFonts w:ascii="Tahoma" w:hAnsi="Tahoma" w:cs="Tahoma"/>
      <w:sz w:val="24"/>
      <w:szCs w:val="24"/>
    </w:rPr>
  </w:style>
  <w:style w:type="paragraph" w:customStyle="1" w:styleId="207">
    <w:name w:val="Bullet 1"/>
    <w:basedOn w:val="1"/>
    <w:qFormat/>
    <w:uiPriority w:val="99"/>
    <w:pPr>
      <w:widowControl/>
      <w:jc w:val="left"/>
    </w:pPr>
    <w:rPr>
      <w:rFonts w:ascii="Tahoma" w:hAnsi="Tahoma" w:eastAsia="仿宋_GB2312" w:cs="Tahoma"/>
      <w:kern w:val="0"/>
      <w:sz w:val="24"/>
      <w:szCs w:val="24"/>
      <w:lang w:eastAsia="en-US"/>
    </w:rPr>
  </w:style>
  <w:style w:type="paragraph" w:customStyle="1" w:styleId="208">
    <w:name w:val="正文缩进6格"/>
    <w:basedOn w:val="209"/>
    <w:qFormat/>
    <w:uiPriority w:val="99"/>
    <w:pPr>
      <w:ind w:left="1758" w:leftChars="854"/>
    </w:pPr>
  </w:style>
  <w:style w:type="paragraph" w:customStyle="1" w:styleId="209">
    <w:name w:val="正文缩进4格"/>
    <w:basedOn w:val="192"/>
    <w:qFormat/>
    <w:uiPriority w:val="99"/>
    <w:pPr>
      <w:ind w:left="651" w:leftChars="310" w:firstLine="608" w:firstLineChars="196"/>
    </w:pPr>
    <w:rPr>
      <w:color w:val="000000"/>
    </w:rPr>
  </w:style>
  <w:style w:type="paragraph" w:customStyle="1" w:styleId="210">
    <w:name w:val="Char Char2 Char Char"/>
    <w:basedOn w:val="20"/>
    <w:qFormat/>
    <w:uiPriority w:val="99"/>
    <w:pPr>
      <w:spacing w:line="436" w:lineRule="exact"/>
    </w:pPr>
    <w:rPr>
      <w:rFonts w:ascii="Tahoma" w:hAnsi="Tahoma" w:cs="Tahoma"/>
      <w:kern w:val="2"/>
      <w:shd w:val="clear" w:color="auto" w:fill="auto"/>
    </w:rPr>
  </w:style>
  <w:style w:type="paragraph" w:customStyle="1" w:styleId="211">
    <w:name w:val="Head1"/>
    <w:qFormat/>
    <w:uiPriority w:val="99"/>
    <w:pPr>
      <w:numPr>
        <w:ilvl w:val="1"/>
        <w:numId w:val="1"/>
      </w:numPr>
      <w:pBdr>
        <w:top w:val="single" w:color="auto" w:sz="6" w:space="1"/>
      </w:pBdr>
      <w:tabs>
        <w:tab w:val="left" w:pos="576"/>
      </w:tabs>
      <w:spacing w:before="28" w:after="28"/>
      <w:outlineLvl w:val="1"/>
    </w:pPr>
    <w:rPr>
      <w:rFonts w:ascii="Arial" w:hAnsi="Arial" w:eastAsia="宋体" w:cs="Arial"/>
      <w:b/>
      <w:bCs/>
      <w:sz w:val="22"/>
      <w:szCs w:val="22"/>
      <w:lang w:val="en-US" w:eastAsia="en-US" w:bidi="ar-SA"/>
    </w:rPr>
  </w:style>
  <w:style w:type="paragraph" w:customStyle="1" w:styleId="212">
    <w:name w:val="标题 3.5"/>
    <w:basedOn w:val="5"/>
    <w:qFormat/>
    <w:uiPriority w:val="99"/>
    <w:pPr>
      <w:keepNext w:val="0"/>
      <w:keepLines w:val="0"/>
      <w:spacing w:before="0" w:after="0" w:line="600" w:lineRule="exact"/>
      <w:outlineLvl w:val="9"/>
    </w:pPr>
    <w:rPr>
      <w:rFonts w:ascii="仿宋_GB2312" w:eastAsia="仿宋_GB2312" w:cs="仿宋_GB2312"/>
      <w:b w:val="0"/>
      <w:bCs w:val="0"/>
      <w:sz w:val="31"/>
      <w:szCs w:val="31"/>
    </w:rPr>
  </w:style>
  <w:style w:type="paragraph" w:customStyle="1" w:styleId="213">
    <w:name w:val="Achievement"/>
    <w:basedOn w:val="2"/>
    <w:qFormat/>
    <w:uiPriority w:val="99"/>
    <w:pPr>
      <w:widowControl/>
      <w:numPr>
        <w:ilvl w:val="0"/>
        <w:numId w:val="6"/>
      </w:numPr>
      <w:spacing w:after="60" w:line="220" w:lineRule="atLeast"/>
    </w:pPr>
    <w:rPr>
      <w:rFonts w:ascii="Arial" w:hAnsi="Arial" w:eastAsia="宋体" w:cs="Arial"/>
      <w:b w:val="0"/>
      <w:bCs w:val="0"/>
      <w:spacing w:val="-5"/>
      <w:kern w:val="0"/>
      <w:sz w:val="20"/>
      <w:szCs w:val="20"/>
    </w:rPr>
  </w:style>
  <w:style w:type="paragraph" w:customStyle="1" w:styleId="214">
    <w:name w:val="列出段落1"/>
    <w:basedOn w:val="1"/>
    <w:qFormat/>
    <w:uiPriority w:val="99"/>
    <w:pPr>
      <w:ind w:firstLine="420" w:firstLineChars="200"/>
    </w:pPr>
  </w:style>
  <w:style w:type="paragraph" w:customStyle="1" w:styleId="215">
    <w:name w:val="水印"/>
    <w:basedOn w:val="1"/>
    <w:qFormat/>
    <w:uiPriority w:val="99"/>
    <w:pPr>
      <w:adjustRightInd w:val="0"/>
      <w:spacing w:line="240" w:lineRule="atLeast"/>
      <w:textAlignment w:val="baseline"/>
    </w:pPr>
    <w:rPr>
      <w:rFonts w:ascii="仿宋_GB2312" w:eastAsia="仿宋_GB2312" w:cs="仿宋_GB2312"/>
      <w:kern w:val="0"/>
      <w:sz w:val="28"/>
      <w:szCs w:val="28"/>
    </w:rPr>
  </w:style>
  <w:style w:type="paragraph" w:customStyle="1" w:styleId="216">
    <w:name w:val="Char"/>
    <w:basedOn w:val="1"/>
    <w:qFormat/>
    <w:uiPriority w:val="99"/>
    <w:rPr>
      <w:rFonts w:ascii="仿宋_GB2312" w:eastAsia="仿宋_GB2312" w:cs="仿宋_GB2312"/>
      <w:sz w:val="28"/>
      <w:szCs w:val="28"/>
    </w:rPr>
  </w:style>
  <w:style w:type="paragraph" w:customStyle="1" w:styleId="217">
    <w:name w:val="Level 3: (a)"/>
    <w:basedOn w:val="1"/>
    <w:qFormat/>
    <w:uiPriority w:val="99"/>
    <w:pPr>
      <w:widowControl/>
      <w:numPr>
        <w:ilvl w:val="5"/>
        <w:numId w:val="1"/>
      </w:numPr>
      <w:tabs>
        <w:tab w:val="left" w:pos="1080"/>
      </w:tabs>
      <w:spacing w:before="72" w:after="72"/>
      <w:outlineLvl w:val="5"/>
    </w:pPr>
    <w:rPr>
      <w:rFonts w:ascii="Arial" w:hAnsi="Arial" w:eastAsia="仿宋_GB2312" w:cs="Arial"/>
      <w:kern w:val="0"/>
      <w:sz w:val="20"/>
      <w:szCs w:val="20"/>
      <w:lang w:eastAsia="en-US"/>
    </w:rPr>
  </w:style>
  <w:style w:type="paragraph" w:customStyle="1" w:styleId="218">
    <w:name w:val="tabletextchar"/>
    <w:basedOn w:val="1"/>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19">
    <w:name w:val="PDGInstructions"/>
    <w:basedOn w:val="1"/>
    <w:qFormat/>
    <w:uiPriority w:val="99"/>
    <w:pPr>
      <w:widowControl/>
      <w:spacing w:before="60" w:after="60"/>
      <w:ind w:right="360"/>
      <w:jc w:val="left"/>
    </w:pPr>
    <w:rPr>
      <w:rFonts w:ascii="Garamond" w:hAnsi="Garamond" w:cs="Garamond"/>
      <w:color w:val="FF0000"/>
      <w:kern w:val="0"/>
      <w:sz w:val="24"/>
      <w:szCs w:val="24"/>
      <w:lang w:eastAsia="en-US"/>
    </w:rPr>
  </w:style>
  <w:style w:type="paragraph" w:customStyle="1" w:styleId="220">
    <w:name w:val="kp"/>
    <w:basedOn w:val="1"/>
    <w:qFormat/>
    <w:uiPriority w:val="99"/>
    <w:pPr>
      <w:autoSpaceDE w:val="0"/>
      <w:autoSpaceDN w:val="0"/>
      <w:adjustRightInd w:val="0"/>
      <w:spacing w:line="600" w:lineRule="exact"/>
      <w:ind w:firstLine="560"/>
    </w:pPr>
    <w:rPr>
      <w:rFonts w:ascii="仿宋_GB2312" w:eastAsia="仿宋_GB2312" w:cs="仿宋_GB2312"/>
      <w:sz w:val="28"/>
      <w:szCs w:val="28"/>
      <w:lang w:val="zh-CN"/>
    </w:rPr>
  </w:style>
  <w:style w:type="paragraph" w:customStyle="1" w:styleId="221">
    <w:name w:val="标题 3.1"/>
    <w:basedOn w:val="5"/>
    <w:qFormat/>
    <w:uiPriority w:val="99"/>
    <w:pPr>
      <w:tabs>
        <w:tab w:val="left" w:pos="5614"/>
      </w:tabs>
      <w:spacing w:line="600" w:lineRule="exact"/>
    </w:pPr>
    <w:rPr>
      <w:rFonts w:ascii="仿宋_GB2312" w:cs="仿宋_GB2312"/>
      <w:sz w:val="36"/>
      <w:szCs w:val="36"/>
    </w:rPr>
  </w:style>
  <w:style w:type="paragraph" w:customStyle="1" w:styleId="222">
    <w:name w:val="列出段落11"/>
    <w:basedOn w:val="1"/>
    <w:qFormat/>
    <w:uiPriority w:val="99"/>
    <w:pPr>
      <w:ind w:firstLine="420" w:firstLineChars="200"/>
    </w:pPr>
    <w:rPr>
      <w:rFonts w:ascii="Calibri" w:hAnsi="Calibri" w:cs="Calibri"/>
    </w:rPr>
  </w:style>
  <w:style w:type="paragraph" w:customStyle="1" w:styleId="223">
    <w:name w:val="RFI abc 1st Level"/>
    <w:basedOn w:val="1"/>
    <w:qFormat/>
    <w:uiPriority w:val="99"/>
    <w:pPr>
      <w:widowControl/>
      <w:numPr>
        <w:ilvl w:val="0"/>
        <w:numId w:val="7"/>
      </w:numPr>
      <w:tabs>
        <w:tab w:val="left" w:pos="1440"/>
      </w:tabs>
      <w:ind w:left="1440"/>
    </w:pPr>
    <w:rPr>
      <w:rFonts w:ascii="Arial (W1)" w:hAnsi="Arial (W1)" w:eastAsia="仿宋_GB2312" w:cs="Arial (W1)"/>
      <w:kern w:val="0"/>
      <w:sz w:val="24"/>
      <w:szCs w:val="24"/>
      <w:lang w:val="en-GB" w:eastAsia="en-US"/>
    </w:rPr>
  </w:style>
  <w:style w:type="paragraph" w:customStyle="1" w:styleId="224">
    <w:name w:val="Content Bullet"/>
    <w:basedOn w:val="1"/>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cs="Book Antiqua"/>
      <w:kern w:val="0"/>
      <w:sz w:val="22"/>
      <w:szCs w:val="22"/>
      <w:lang w:val="en-GB" w:eastAsia="en-US"/>
    </w:rPr>
  </w:style>
  <w:style w:type="paragraph" w:customStyle="1" w:styleId="225">
    <w:name w:val="默认段落字体 Para Char"/>
    <w:basedOn w:val="1"/>
    <w:qFormat/>
    <w:uiPriority w:val="99"/>
    <w:pPr>
      <w:spacing w:line="360" w:lineRule="auto"/>
      <w:ind w:firstLine="200" w:firstLineChars="200"/>
    </w:pPr>
    <w:rPr>
      <w:rFonts w:ascii="宋体" w:hAnsi="宋体" w:eastAsia="仿宋_GB2312" w:cs="宋体"/>
      <w:sz w:val="24"/>
      <w:szCs w:val="24"/>
    </w:rPr>
  </w:style>
  <w:style w:type="paragraph" w:customStyle="1" w:styleId="226">
    <w:name w:val="项目"/>
    <w:basedOn w:val="2"/>
    <w:next w:val="2"/>
    <w:qFormat/>
    <w:uiPriority w:val="99"/>
    <w:pPr>
      <w:numPr>
        <w:ilvl w:val="0"/>
        <w:numId w:val="8"/>
      </w:numPr>
      <w:tabs>
        <w:tab w:val="left" w:pos="420"/>
      </w:tabs>
      <w:spacing w:line="360" w:lineRule="auto"/>
      <w:ind w:left="420"/>
    </w:pPr>
    <w:rPr>
      <w:rFonts w:eastAsia="宋体"/>
      <w:b w:val="0"/>
      <w:bCs w:val="0"/>
      <w:spacing w:val="0"/>
      <w:kern w:val="0"/>
    </w:rPr>
  </w:style>
  <w:style w:type="paragraph" w:customStyle="1" w:styleId="227">
    <w:name w:val="Normal 0.51"/>
    <w:basedOn w:val="1"/>
    <w:qFormat/>
    <w:uiPriority w:val="99"/>
    <w:pPr>
      <w:keepNext/>
      <w:keepLines/>
      <w:widowControl/>
      <w:spacing w:before="180" w:after="120"/>
      <w:ind w:left="720"/>
    </w:pPr>
    <w:rPr>
      <w:rFonts w:ascii="仿宋_GB2312" w:eastAsia="仿宋_GB2312" w:cs="仿宋_GB2312"/>
      <w:kern w:val="0"/>
      <w:sz w:val="24"/>
      <w:szCs w:val="24"/>
      <w:lang w:val="en-GB" w:eastAsia="en-US"/>
    </w:rPr>
  </w:style>
  <w:style w:type="paragraph" w:customStyle="1" w:styleId="228">
    <w:name w:val="标题6"/>
    <w:basedOn w:val="1"/>
    <w:next w:val="3"/>
    <w:qFormat/>
    <w:uiPriority w:val="99"/>
    <w:pPr>
      <w:widowControl/>
      <w:snapToGrid w:val="0"/>
      <w:spacing w:beforeLines="50" w:afterLines="50" w:line="520" w:lineRule="atLeast"/>
      <w:ind w:firstLine="200" w:firstLineChars="200"/>
    </w:pPr>
    <w:rPr>
      <w:b/>
      <w:bCs/>
      <w:sz w:val="24"/>
      <w:szCs w:val="24"/>
    </w:rPr>
  </w:style>
  <w:style w:type="paragraph" w:customStyle="1" w:styleId="229">
    <w:name w:val="正文 New New New New"/>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0">
    <w:name w:val="Head2"/>
    <w:qFormat/>
    <w:uiPriority w:val="99"/>
    <w:pPr>
      <w:numPr>
        <w:ilvl w:val="2"/>
        <w:numId w:val="1"/>
      </w:numPr>
      <w:tabs>
        <w:tab w:val="left" w:pos="576"/>
      </w:tabs>
      <w:spacing w:before="28" w:after="28"/>
      <w:outlineLvl w:val="2"/>
    </w:pPr>
    <w:rPr>
      <w:rFonts w:ascii="Arial" w:hAnsi="Arial" w:eastAsia="宋体" w:cs="Arial"/>
      <w:b/>
      <w:bCs/>
      <w:lang w:val="en-US" w:eastAsia="en-US" w:bidi="ar-SA"/>
    </w:rPr>
  </w:style>
  <w:style w:type="paragraph" w:customStyle="1" w:styleId="231">
    <w:name w:val="BodyText"/>
    <w:basedOn w:val="1"/>
    <w:qFormat/>
    <w:uiPriority w:val="99"/>
    <w:pPr>
      <w:widowControl/>
      <w:spacing w:after="120"/>
      <w:jc w:val="left"/>
    </w:pPr>
    <w:rPr>
      <w:rFonts w:ascii="FuturaA Bk BT" w:hAnsi="FuturaA Bk BT" w:eastAsia="仿宋_GB2312" w:cs="FuturaA Bk BT"/>
      <w:kern w:val="0"/>
      <w:sz w:val="20"/>
      <w:szCs w:val="20"/>
    </w:rPr>
  </w:style>
  <w:style w:type="paragraph" w:customStyle="1" w:styleId="232">
    <w:name w:val="标题3"/>
    <w:basedOn w:val="1"/>
    <w:next w:val="1"/>
    <w:qFormat/>
    <w:uiPriority w:val="99"/>
    <w:pPr>
      <w:keepNext/>
      <w:keepLines/>
      <w:spacing w:beforeLines="50" w:afterLines="50" w:line="360" w:lineRule="auto"/>
      <w:outlineLvl w:val="2"/>
    </w:pPr>
    <w:rPr>
      <w:rFonts w:ascii="仿宋_GB2312" w:eastAsia="仿宋_GB2312" w:cs="仿宋_GB2312"/>
      <w:b/>
      <w:bCs/>
      <w:sz w:val="28"/>
      <w:szCs w:val="28"/>
    </w:rPr>
  </w:style>
  <w:style w:type="paragraph" w:customStyle="1" w:styleId="233">
    <w:name w:val="Char11"/>
    <w:basedOn w:val="1"/>
    <w:qFormat/>
    <w:uiPriority w:val="99"/>
    <w:rPr>
      <w:rFonts w:ascii="仿宋_GB2312" w:eastAsia="仿宋_GB2312" w:cs="仿宋_GB2312"/>
      <w:b/>
      <w:bCs/>
      <w:sz w:val="32"/>
      <w:szCs w:val="32"/>
    </w:rPr>
  </w:style>
  <w:style w:type="paragraph" w:customStyle="1" w:styleId="234">
    <w:name w:val="条目2"/>
    <w:basedOn w:val="31"/>
    <w:qFormat/>
    <w:uiPriority w:val="99"/>
    <w:pPr>
      <w:numPr>
        <w:ilvl w:val="0"/>
        <w:numId w:val="9"/>
      </w:numPr>
      <w:tabs>
        <w:tab w:val="left" w:pos="420"/>
      </w:tabs>
      <w:spacing w:line="360" w:lineRule="auto"/>
    </w:pPr>
    <w:rPr>
      <w:color w:val="000000"/>
      <w:sz w:val="24"/>
      <w:szCs w:val="24"/>
    </w:rPr>
  </w:style>
  <w:style w:type="paragraph" w:customStyle="1" w:styleId="235">
    <w:name w:val="样式1"/>
    <w:basedOn w:val="4"/>
    <w:qFormat/>
    <w:uiPriority w:val="99"/>
    <w:pPr>
      <w:spacing w:line="415" w:lineRule="auto"/>
      <w:jc w:val="center"/>
    </w:pPr>
    <w:rPr>
      <w:rFonts w:ascii="宋体" w:hAnsi="宋体" w:cs="宋体"/>
      <w:sz w:val="36"/>
      <w:szCs w:val="36"/>
    </w:rPr>
  </w:style>
  <w:style w:type="paragraph" w:customStyle="1" w:styleId="236">
    <w:name w:val="p18"/>
    <w:basedOn w:val="1"/>
    <w:qFormat/>
    <w:uiPriority w:val="99"/>
    <w:pPr>
      <w:widowControl/>
      <w:spacing w:before="156" w:after="156" w:line="400" w:lineRule="atLeast"/>
    </w:pPr>
    <w:rPr>
      <w:rFonts w:ascii="宋体" w:hAnsi="宋体" w:cs="宋体"/>
      <w:kern w:val="0"/>
      <w:sz w:val="24"/>
      <w:szCs w:val="24"/>
    </w:rPr>
  </w:style>
  <w:style w:type="paragraph" w:customStyle="1" w:styleId="237">
    <w:name w:val="Char1 Char Char Char Char Char Char"/>
    <w:basedOn w:val="1"/>
    <w:qFormat/>
    <w:uiPriority w:val="99"/>
    <w:pPr>
      <w:adjustRightInd w:val="0"/>
    </w:pPr>
    <w:rPr>
      <w:rFonts w:ascii="Tahoma" w:hAnsi="Tahoma" w:cs="Tahoma"/>
      <w:sz w:val="24"/>
      <w:szCs w:val="24"/>
    </w:rPr>
  </w:style>
  <w:style w:type="paragraph" w:customStyle="1" w:styleId="238">
    <w:name w:val="Char2"/>
    <w:basedOn w:val="1"/>
    <w:qFormat/>
    <w:uiPriority w:val="99"/>
    <w:rPr>
      <w:rFonts w:ascii="仿宋_GB2312" w:eastAsia="仿宋_GB2312" w:cs="仿宋_GB2312"/>
      <w:b/>
      <w:bCs/>
      <w:sz w:val="32"/>
      <w:szCs w:val="32"/>
    </w:rPr>
  </w:style>
  <w:style w:type="paragraph" w:customStyle="1" w:styleId="239">
    <w:name w:val="Char1"/>
    <w:basedOn w:val="1"/>
    <w:qFormat/>
    <w:uiPriority w:val="99"/>
    <w:rPr>
      <w:rFonts w:ascii="仿宋_GB2312" w:eastAsia="仿宋_GB2312" w:cs="仿宋_GB2312"/>
      <w:b/>
      <w:bCs/>
      <w:sz w:val="32"/>
      <w:szCs w:val="32"/>
    </w:rPr>
  </w:style>
  <w:style w:type="paragraph" w:customStyle="1" w:styleId="240">
    <w:name w:val="小条目 Char Char"/>
    <w:basedOn w:val="1"/>
    <w:qFormat/>
    <w:uiPriority w:val="99"/>
    <w:pPr>
      <w:tabs>
        <w:tab w:val="left" w:pos="360"/>
        <w:tab w:val="left" w:pos="2160"/>
      </w:tabs>
      <w:spacing w:line="360" w:lineRule="auto"/>
      <w:ind w:left="6" w:firstLine="420"/>
    </w:pPr>
    <w:rPr>
      <w:rFonts w:ascii="宋体" w:hAnsi="Arial" w:eastAsia="仿宋_GB2312" w:cs="宋体"/>
      <w:b/>
      <w:bCs/>
      <w:caps/>
      <w:kern w:val="44"/>
      <w:sz w:val="24"/>
      <w:szCs w:val="24"/>
    </w:rPr>
  </w:style>
  <w:style w:type="paragraph" w:customStyle="1" w:styleId="241">
    <w:name w:val="样式 样式1 + 加粗 行距: 固定值 20 磅"/>
    <w:basedOn w:val="235"/>
    <w:qFormat/>
    <w:uiPriority w:val="99"/>
    <w:pPr>
      <w:keepNext w:val="0"/>
      <w:keepLines w:val="0"/>
      <w:adjustRightInd w:val="0"/>
      <w:spacing w:before="0" w:after="0" w:line="400" w:lineRule="exact"/>
      <w:jc w:val="both"/>
      <w:textAlignment w:val="baseline"/>
    </w:pPr>
    <w:rPr>
      <w:rFonts w:eastAsia="宋体"/>
      <w:kern w:val="0"/>
      <w:sz w:val="21"/>
      <w:szCs w:val="21"/>
    </w:rPr>
  </w:style>
  <w:style w:type="paragraph" w:customStyle="1" w:styleId="242">
    <w:name w:val="标题3正文"/>
    <w:basedOn w:val="1"/>
    <w:qFormat/>
    <w:uiPriority w:val="99"/>
    <w:pPr>
      <w:snapToGrid w:val="0"/>
      <w:spacing w:line="360" w:lineRule="auto"/>
      <w:ind w:firstLine="480" w:firstLineChars="200"/>
    </w:pPr>
    <w:rPr>
      <w:sz w:val="24"/>
      <w:szCs w:val="24"/>
    </w:rPr>
  </w:style>
  <w:style w:type="paragraph" w:customStyle="1" w:styleId="243">
    <w:name w:val="简单回函地址"/>
    <w:basedOn w:val="1"/>
    <w:qFormat/>
    <w:uiPriority w:val="99"/>
    <w:rPr>
      <w:rFonts w:ascii="宋体" w:hAnsi="宋体" w:eastAsia="仿宋_GB2312" w:cs="宋体"/>
      <w:color w:val="000000"/>
      <w:sz w:val="28"/>
      <w:szCs w:val="28"/>
    </w:rPr>
  </w:style>
  <w:style w:type="paragraph" w:customStyle="1" w:styleId="244">
    <w:name w:val="正文文本 21"/>
    <w:basedOn w:val="1"/>
    <w:qFormat/>
    <w:uiPriority w:val="99"/>
    <w:pPr>
      <w:adjustRightInd w:val="0"/>
      <w:spacing w:line="300" w:lineRule="auto"/>
      <w:jc w:val="center"/>
    </w:pPr>
    <w:rPr>
      <w:rFonts w:ascii="宋体" w:hAnsi="宋体" w:cs="宋体"/>
      <w:sz w:val="24"/>
      <w:szCs w:val="24"/>
    </w:rPr>
  </w:style>
  <w:style w:type="paragraph" w:customStyle="1" w:styleId="245">
    <w:name w:val="Tabletext"/>
    <w:basedOn w:val="1"/>
    <w:qFormat/>
    <w:uiPriority w:val="99"/>
    <w:pPr>
      <w:keepLines/>
      <w:spacing w:after="120" w:line="240" w:lineRule="atLeast"/>
      <w:jc w:val="left"/>
    </w:pPr>
    <w:rPr>
      <w:rFonts w:ascii="仿宋_GB2312" w:eastAsia="仿宋_GB2312" w:cs="仿宋_GB2312"/>
      <w:kern w:val="0"/>
      <w:sz w:val="24"/>
      <w:szCs w:val="24"/>
      <w:lang w:eastAsia="en-US"/>
    </w:rPr>
  </w:style>
  <w:style w:type="paragraph" w:customStyle="1" w:styleId="246">
    <w:name w:val="Body"/>
    <w:qFormat/>
    <w:uiPriority w:val="99"/>
    <w:pPr>
      <w:spacing w:before="130" w:after="130" w:line="260" w:lineRule="exact"/>
    </w:pPr>
    <w:rPr>
      <w:rFonts w:ascii="Univers" w:hAnsi="Univers" w:eastAsia="宋体" w:cs="Univers"/>
      <w:color w:val="000000"/>
      <w:sz w:val="22"/>
      <w:szCs w:val="22"/>
      <w:lang w:val="en-US" w:eastAsia="en-US" w:bidi="ar-SA"/>
    </w:rPr>
  </w:style>
  <w:style w:type="paragraph" w:customStyle="1" w:styleId="247">
    <w:name w:val="列出段落2"/>
    <w:basedOn w:val="1"/>
    <w:qFormat/>
    <w:uiPriority w:val="99"/>
    <w:pPr>
      <w:ind w:firstLine="420" w:firstLineChars="200"/>
    </w:pPr>
    <w:rPr>
      <w:rFonts w:ascii="Calibri" w:hAnsi="Calibri" w:eastAsia="仿宋_GB2312" w:cs="Calibri"/>
      <w:sz w:val="28"/>
      <w:szCs w:val="28"/>
    </w:rPr>
  </w:style>
  <w:style w:type="paragraph" w:customStyle="1" w:styleId="248">
    <w:name w:val="正文（缩进）"/>
    <w:basedOn w:val="1"/>
    <w:qFormat/>
    <w:uiPriority w:val="99"/>
    <w:pPr>
      <w:spacing w:beforeLines="50" w:afterLines="50" w:line="360" w:lineRule="auto"/>
      <w:ind w:firstLine="480" w:firstLineChars="200"/>
    </w:pPr>
    <w:rPr>
      <w:rFonts w:ascii="仿宋_GB2312" w:eastAsia="仿宋_GB2312" w:cs="仿宋_GB2312"/>
      <w:sz w:val="24"/>
      <w:szCs w:val="24"/>
    </w:rPr>
  </w:style>
  <w:style w:type="paragraph" w:customStyle="1" w:styleId="249">
    <w:name w:val="Char12"/>
    <w:basedOn w:val="1"/>
    <w:qFormat/>
    <w:uiPriority w:val="99"/>
    <w:rPr>
      <w:rFonts w:ascii="Tahoma" w:hAnsi="Tahoma" w:eastAsia="仿宋_GB2312" w:cs="Tahoma"/>
      <w:sz w:val="24"/>
      <w:szCs w:val="24"/>
    </w:rPr>
  </w:style>
  <w:style w:type="paragraph" w:customStyle="1" w:styleId="250">
    <w:name w:val="p2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1">
    <w:name w:val="标题四正文"/>
    <w:basedOn w:val="1"/>
    <w:qFormat/>
    <w:uiPriority w:val="99"/>
    <w:pPr>
      <w:snapToGrid w:val="0"/>
      <w:spacing w:line="360" w:lineRule="auto"/>
      <w:ind w:firstLine="480" w:firstLineChars="200"/>
      <w:jc w:val="left"/>
    </w:pPr>
    <w:rPr>
      <w:rFonts w:ascii="宋体" w:hAnsi="宋体" w:cs="宋体"/>
      <w:kern w:val="0"/>
      <w:sz w:val="24"/>
      <w:szCs w:val="24"/>
    </w:rPr>
  </w:style>
  <w:style w:type="paragraph" w:customStyle="1" w:styleId="252">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kern w:val="0"/>
      <w:sz w:val="22"/>
      <w:szCs w:val="22"/>
    </w:rPr>
  </w:style>
  <w:style w:type="paragraph" w:customStyle="1" w:styleId="253">
    <w:name w:val="xl48"/>
    <w:basedOn w:val="1"/>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4">
    <w:name w:val="RFI Heading 4th Level"/>
    <w:basedOn w:val="189"/>
    <w:qFormat/>
    <w:uiPriority w:val="99"/>
    <w:pPr>
      <w:tabs>
        <w:tab w:val="left" w:pos="1152"/>
        <w:tab w:val="clear" w:pos="720"/>
      </w:tabs>
      <w:spacing w:before="240" w:after="160"/>
      <w:ind w:left="1152" w:hanging="1152"/>
      <w:jc w:val="both"/>
      <w:outlineLvl w:val="2"/>
    </w:pPr>
    <w:rPr>
      <w:rFonts w:eastAsia="宋体"/>
      <w:color w:val="auto"/>
    </w:rPr>
  </w:style>
  <w:style w:type="paragraph" w:customStyle="1" w:styleId="255">
    <w:name w:val="1.1 Header2"/>
    <w:basedOn w:val="1"/>
    <w:qFormat/>
    <w:uiPriority w:val="99"/>
    <w:pPr>
      <w:widowControl/>
      <w:jc w:val="left"/>
    </w:pPr>
    <w:rPr>
      <w:rFonts w:ascii="宋体" w:hAnsi="宋体" w:eastAsia="仿宋_GB2312" w:cs="宋体"/>
      <w:color w:val="000000"/>
      <w:kern w:val="0"/>
      <w:sz w:val="24"/>
      <w:szCs w:val="24"/>
    </w:rPr>
  </w:style>
  <w:style w:type="paragraph" w:customStyle="1" w:styleId="256">
    <w:name w:val="日期右"/>
    <w:basedOn w:val="34"/>
    <w:qFormat/>
    <w:uiPriority w:val="99"/>
    <w:pPr>
      <w:spacing w:line="600" w:lineRule="exact"/>
      <w:ind w:left="0" w:leftChars="0"/>
      <w:jc w:val="right"/>
    </w:pPr>
    <w:rPr>
      <w:rFonts w:eastAsia="仿宋_GB2312"/>
      <w:sz w:val="31"/>
      <w:szCs w:val="31"/>
    </w:rPr>
  </w:style>
  <w:style w:type="paragraph" w:customStyle="1" w:styleId="257">
    <w:name w:val="方案正文-样式 小四 行距: 1.5 倍行距"/>
    <w:basedOn w:val="1"/>
    <w:qFormat/>
    <w:uiPriority w:val="99"/>
    <w:pPr>
      <w:spacing w:line="360" w:lineRule="auto"/>
      <w:ind w:firstLine="480" w:firstLineChars="200"/>
    </w:pPr>
    <w:rPr>
      <w:rFonts w:ascii="仿宋_GB2312" w:eastAsia="仿宋_GB2312" w:cs="仿宋_GB2312"/>
      <w:sz w:val="24"/>
      <w:szCs w:val="24"/>
    </w:rPr>
  </w:style>
  <w:style w:type="paragraph" w:customStyle="1" w:styleId="258">
    <w:name w:val="Char Char Char Char"/>
    <w:basedOn w:val="1"/>
    <w:qFormat/>
    <w:uiPriority w:val="99"/>
    <w:pPr>
      <w:widowControl/>
      <w:spacing w:line="400" w:lineRule="exact"/>
      <w:jc w:val="center"/>
    </w:pPr>
    <w:rPr>
      <w:rFonts w:ascii="Verdana" w:hAnsi="Verdana" w:eastAsia="仿宋_GB2312" w:cs="Verdana"/>
      <w:kern w:val="0"/>
      <w:sz w:val="28"/>
      <w:szCs w:val="28"/>
      <w:lang w:eastAsia="en-US"/>
    </w:rPr>
  </w:style>
  <w:style w:type="paragraph" w:customStyle="1" w:styleId="259">
    <w:name w:val="Char Char Char Char Char Char Char Char1 Char"/>
    <w:basedOn w:val="1"/>
    <w:qFormat/>
    <w:uiPriority w:val="99"/>
    <w:rPr>
      <w:rFonts w:ascii="仿宋_GB2312" w:eastAsia="仿宋_GB2312" w:cs="仿宋_GB2312"/>
      <w:sz w:val="28"/>
      <w:szCs w:val="28"/>
    </w:rPr>
  </w:style>
  <w:style w:type="paragraph" w:customStyle="1" w:styleId="260">
    <w:name w:val="Reset levels"/>
    <w:basedOn w:val="1"/>
    <w:qFormat/>
    <w:uiPriority w:val="99"/>
    <w:pPr>
      <w:widowControl/>
      <w:ind w:left="420" w:hanging="420"/>
      <w:jc w:val="left"/>
    </w:pPr>
    <w:rPr>
      <w:rFonts w:ascii="Arial" w:hAnsi="Arial" w:eastAsia="仿宋_GB2312" w:cs="Arial"/>
      <w:b/>
      <w:bCs/>
      <w:kern w:val="0"/>
      <w:sz w:val="24"/>
      <w:szCs w:val="24"/>
      <w:lang w:eastAsia="en-US"/>
    </w:rPr>
  </w:style>
  <w:style w:type="paragraph" w:customStyle="1" w:styleId="261">
    <w:name w:val="列表内容"/>
    <w:basedOn w:val="1"/>
    <w:next w:val="1"/>
    <w:qFormat/>
    <w:uiPriority w:val="99"/>
    <w:pPr>
      <w:widowControl/>
      <w:tabs>
        <w:tab w:val="left" w:pos="840"/>
      </w:tabs>
      <w:ind w:left="420" w:hanging="420"/>
      <w:jc w:val="left"/>
    </w:pPr>
    <w:rPr>
      <w:rFonts w:ascii="仿宋_GB2312" w:eastAsia="仿宋_GB2312" w:cs="仿宋_GB2312"/>
      <w:kern w:val="0"/>
      <w:sz w:val="18"/>
      <w:szCs w:val="18"/>
    </w:rPr>
  </w:style>
  <w:style w:type="paragraph" w:customStyle="1" w:styleId="262">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63">
    <w:name w:val="标题2正文 Char"/>
    <w:basedOn w:val="1"/>
    <w:qFormat/>
    <w:uiPriority w:val="99"/>
    <w:pPr>
      <w:snapToGrid w:val="0"/>
      <w:spacing w:line="360" w:lineRule="auto"/>
      <w:ind w:firstLine="480" w:firstLineChars="200"/>
    </w:pPr>
    <w:rPr>
      <w:sz w:val="24"/>
      <w:szCs w:val="24"/>
    </w:rPr>
  </w:style>
  <w:style w:type="paragraph" w:customStyle="1" w:styleId="264">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265">
    <w:name w:val="È¡ÀÊ¡ÎÄ¡À¾"/>
    <w:basedOn w:val="1"/>
    <w:qFormat/>
    <w:uiPriority w:val="99"/>
    <w:pPr>
      <w:widowControl/>
      <w:overflowPunct w:val="0"/>
      <w:autoSpaceDE w:val="0"/>
      <w:autoSpaceDN w:val="0"/>
      <w:adjustRightInd w:val="0"/>
      <w:jc w:val="left"/>
    </w:pPr>
    <w:rPr>
      <w:kern w:val="0"/>
      <w:sz w:val="24"/>
      <w:szCs w:val="24"/>
    </w:rPr>
  </w:style>
  <w:style w:type="paragraph" w:customStyle="1" w:styleId="266">
    <w:name w:val="图"/>
    <w:basedOn w:val="1"/>
    <w:qFormat/>
    <w:uiPriority w:val="99"/>
    <w:pPr>
      <w:keepNext/>
      <w:adjustRightInd w:val="0"/>
      <w:spacing w:before="60" w:after="60" w:line="300" w:lineRule="auto"/>
      <w:jc w:val="center"/>
      <w:textAlignment w:val="center"/>
    </w:pPr>
    <w:rPr>
      <w:rFonts w:ascii="仿宋_GB2312" w:eastAsia="仿宋_GB2312" w:cs="仿宋_GB2312"/>
      <w:spacing w:val="20"/>
      <w:kern w:val="0"/>
      <w:sz w:val="24"/>
      <w:szCs w:val="24"/>
    </w:rPr>
  </w:style>
  <w:style w:type="paragraph" w:customStyle="1" w:styleId="267">
    <w:name w:val="文档正文"/>
    <w:basedOn w:val="1"/>
    <w:qFormat/>
    <w:uiPriority w:val="99"/>
    <w:rPr>
      <w:rFonts w:ascii="Arial" w:hAnsi="Arial" w:eastAsia="仿宋_GB2312" w:cs="Arial"/>
      <w:sz w:val="24"/>
      <w:szCs w:val="24"/>
    </w:rPr>
  </w:style>
  <w:style w:type="paragraph" w:customStyle="1" w:styleId="268">
    <w:name w:val="Default Text:1"/>
    <w:basedOn w:val="1"/>
    <w:qFormat/>
    <w:uiPriority w:val="99"/>
    <w:pPr>
      <w:widowControl/>
      <w:jc w:val="left"/>
    </w:pPr>
    <w:rPr>
      <w:rFonts w:ascii="Tahoma" w:hAnsi="Tahoma" w:eastAsia="仿宋_GB2312" w:cs="Tahoma"/>
      <w:kern w:val="0"/>
      <w:sz w:val="24"/>
      <w:szCs w:val="24"/>
      <w:lang w:eastAsia="en-US"/>
    </w:rPr>
  </w:style>
  <w:style w:type="paragraph" w:customStyle="1" w:styleId="269">
    <w:name w:val="Style Heading 3 + 11 pt Line spacing:  1.5 lines"/>
    <w:basedOn w:val="5"/>
    <w:qFormat/>
    <w:uiPriority w:val="99"/>
    <w:pPr>
      <w:keepLines w:val="0"/>
      <w:widowControl/>
      <w:tabs>
        <w:tab w:val="left" w:pos="1260"/>
      </w:tabs>
      <w:spacing w:before="0" w:after="0" w:line="360" w:lineRule="auto"/>
      <w:ind w:left="236" w:leftChars="236"/>
    </w:pPr>
    <w:rPr>
      <w:rFonts w:ascii="仿宋_GB2312" w:eastAsia="黑体" w:cs="仿宋_GB2312"/>
      <w:b w:val="0"/>
      <w:bCs w:val="0"/>
      <w:sz w:val="28"/>
      <w:szCs w:val="28"/>
    </w:rPr>
  </w:style>
  <w:style w:type="paragraph" w:customStyle="1" w:styleId="270">
    <w:name w:val="RFI Bullet 1st Level"/>
    <w:basedOn w:val="1"/>
    <w:qFormat/>
    <w:uiPriority w:val="99"/>
    <w:pPr>
      <w:widowControl/>
      <w:spacing w:before="60" w:after="60"/>
      <w:ind w:left="1440" w:hanging="360"/>
    </w:pPr>
    <w:rPr>
      <w:rFonts w:ascii="Arial (W1)" w:hAnsi="Arial (W1)" w:eastAsia="仿宋_GB2312" w:cs="Arial (W1)"/>
      <w:kern w:val="0"/>
      <w:sz w:val="24"/>
      <w:szCs w:val="24"/>
      <w:lang w:val="en-GB" w:eastAsia="en-US"/>
    </w:rPr>
  </w:style>
  <w:style w:type="paragraph" w:customStyle="1" w:styleId="271">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Level 6: (i)"/>
    <w:basedOn w:val="1"/>
    <w:qFormat/>
    <w:uiPriority w:val="99"/>
    <w:pPr>
      <w:widowControl/>
      <w:numPr>
        <w:ilvl w:val="8"/>
        <w:numId w:val="1"/>
      </w:numPr>
      <w:tabs>
        <w:tab w:val="left" w:pos="2160"/>
      </w:tabs>
      <w:spacing w:before="72" w:after="72"/>
      <w:outlineLvl w:val="8"/>
    </w:pPr>
    <w:rPr>
      <w:rFonts w:ascii="Arial" w:hAnsi="Arial" w:eastAsia="仿宋_GB2312" w:cs="Arial"/>
      <w:kern w:val="0"/>
      <w:sz w:val="20"/>
      <w:szCs w:val="20"/>
      <w:lang w:eastAsia="en-US"/>
    </w:rPr>
  </w:style>
  <w:style w:type="paragraph" w:customStyle="1" w:styleId="273">
    <w:name w:val="无间隔1"/>
    <w:qFormat/>
    <w:uiPriority w:val="99"/>
    <w:rPr>
      <w:rFonts w:ascii="Calibri" w:hAnsi="Calibri" w:eastAsia="宋体" w:cs="Calibri"/>
      <w:sz w:val="22"/>
      <w:szCs w:val="22"/>
      <w:lang w:val="en-US" w:eastAsia="en-US" w:bidi="ar-SA"/>
    </w:rPr>
  </w:style>
  <w:style w:type="paragraph" w:customStyle="1" w:styleId="274">
    <w:name w:val="k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5">
    <w:name w:val="缺省文本"/>
    <w:qFormat/>
    <w:uiPriority w:val="99"/>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6">
    <w:name w:val="Default Text"/>
    <w:basedOn w:val="1"/>
    <w:qFormat/>
    <w:uiPriority w:val="99"/>
    <w:pPr>
      <w:widowControl/>
      <w:jc w:val="left"/>
    </w:pPr>
    <w:rPr>
      <w:rFonts w:ascii="Tahoma" w:hAnsi="Tahoma" w:eastAsia="仿宋_GB2312" w:cs="Tahoma"/>
      <w:kern w:val="0"/>
      <w:sz w:val="24"/>
      <w:szCs w:val="24"/>
      <w:lang w:eastAsia="en-US"/>
    </w:rPr>
  </w:style>
  <w:style w:type="paragraph" w:customStyle="1" w:styleId="277">
    <w:name w:val="Style Heading 3 + Line spacing:  1.5 lines"/>
    <w:basedOn w:val="5"/>
    <w:qFormat/>
    <w:uiPriority w:val="99"/>
    <w:pPr>
      <w:keepLines w:val="0"/>
      <w:widowControl/>
      <w:numPr>
        <w:ilvl w:val="2"/>
        <w:numId w:val="10"/>
      </w:numPr>
      <w:tabs>
        <w:tab w:val="left" w:pos="1152"/>
        <w:tab w:val="left" w:pos="1680"/>
      </w:tabs>
      <w:spacing w:before="0" w:after="0" w:line="360" w:lineRule="auto"/>
      <w:ind w:left="236" w:leftChars="236"/>
    </w:pPr>
    <w:rPr>
      <w:rFonts w:ascii="仿宋_GB2312" w:eastAsia="黑体" w:cs="仿宋_GB2312"/>
      <w:sz w:val="28"/>
      <w:szCs w:val="28"/>
    </w:rPr>
  </w:style>
  <w:style w:type="paragraph" w:customStyle="1" w:styleId="278">
    <w:name w:val="Char21"/>
    <w:basedOn w:val="1"/>
    <w:qFormat/>
    <w:uiPriority w:val="99"/>
    <w:rPr>
      <w:rFonts w:ascii="仿宋_GB2312" w:eastAsia="仿宋_GB2312" w:cs="仿宋_GB2312"/>
      <w:b/>
      <w:bCs/>
      <w:sz w:val="32"/>
      <w:szCs w:val="32"/>
    </w:rPr>
  </w:style>
  <w:style w:type="paragraph" w:customStyle="1" w:styleId="279">
    <w:name w:val="www正文"/>
    <w:basedOn w:val="1"/>
    <w:qFormat/>
    <w:uiPriority w:val="99"/>
    <w:pPr>
      <w:ind w:firstLine="480" w:firstLineChars="200"/>
    </w:pPr>
    <w:rPr>
      <w:rFonts w:ascii="仿宋_GB2312" w:eastAsia="仿宋_GB2312" w:cs="仿宋_GB2312"/>
      <w:sz w:val="24"/>
      <w:szCs w:val="24"/>
    </w:rPr>
  </w:style>
  <w:style w:type="paragraph" w:customStyle="1" w:styleId="280">
    <w:name w:val="标题2正文"/>
    <w:basedOn w:val="1"/>
    <w:qFormat/>
    <w:uiPriority w:val="99"/>
    <w:pPr>
      <w:snapToGrid w:val="0"/>
      <w:spacing w:line="360" w:lineRule="auto"/>
      <w:ind w:firstLine="480" w:firstLineChars="200"/>
    </w:pPr>
    <w:rPr>
      <w:sz w:val="24"/>
      <w:szCs w:val="24"/>
    </w:rPr>
  </w:style>
  <w:style w:type="paragraph" w:customStyle="1" w:styleId="281">
    <w:name w:val="项目符号2"/>
    <w:basedOn w:val="1"/>
    <w:qFormat/>
    <w:uiPriority w:val="99"/>
    <w:pPr>
      <w:tabs>
        <w:tab w:val="left" w:pos="2591"/>
      </w:tabs>
      <w:snapToGrid w:val="0"/>
      <w:spacing w:line="300" w:lineRule="auto"/>
      <w:ind w:left="2155" w:hanging="284"/>
    </w:pPr>
    <w:rPr>
      <w:rFonts w:ascii="宋体" w:eastAsia="仿宋_GB2312" w:cs="宋体"/>
      <w:sz w:val="24"/>
      <w:szCs w:val="24"/>
    </w:rPr>
  </w:style>
  <w:style w:type="paragraph" w:customStyle="1" w:styleId="282">
    <w:name w:val="Style Left:  0.81&quot; First line:  0&quot; Line spacing:  1.5 lines Char"/>
    <w:basedOn w:val="1"/>
    <w:qFormat/>
    <w:uiPriority w:val="99"/>
    <w:pPr>
      <w:widowControl/>
      <w:spacing w:line="360" w:lineRule="auto"/>
      <w:ind w:left="1152"/>
    </w:pPr>
    <w:rPr>
      <w:rFonts w:ascii="仿宋_GB2312" w:eastAsia="仿宋_GB2312" w:cs="仿宋_GB2312"/>
      <w:kern w:val="0"/>
      <w:sz w:val="24"/>
      <w:szCs w:val="24"/>
      <w:lang w:eastAsia="en-US"/>
    </w:rPr>
  </w:style>
  <w:style w:type="paragraph" w:customStyle="1" w:styleId="283">
    <w:name w:val="Char1 Char Char Char1"/>
    <w:basedOn w:val="1"/>
    <w:qFormat/>
    <w:uiPriority w:val="99"/>
    <w:pPr>
      <w:ind w:left="420" w:hanging="420"/>
    </w:pPr>
    <w:rPr>
      <w:rFonts w:ascii="仿宋_GB2312" w:eastAsia="仿宋_GB2312" w:cs="仿宋_GB2312"/>
      <w:sz w:val="24"/>
      <w:szCs w:val="24"/>
    </w:rPr>
  </w:style>
  <w:style w:type="paragraph" w:customStyle="1" w:styleId="284">
    <w:name w:val="Level 1: a."/>
    <w:qFormat/>
    <w:uiPriority w:val="99"/>
    <w:pPr>
      <w:numPr>
        <w:ilvl w:val="3"/>
        <w:numId w:val="1"/>
      </w:numPr>
      <w:tabs>
        <w:tab w:val="left" w:pos="360"/>
      </w:tabs>
      <w:spacing w:before="72" w:after="72"/>
      <w:jc w:val="both"/>
      <w:outlineLvl w:val="3"/>
    </w:pPr>
    <w:rPr>
      <w:rFonts w:ascii="Arial" w:hAnsi="Arial" w:eastAsia="宋体" w:cs="Arial"/>
      <w:lang w:val="en-US" w:eastAsia="en-US" w:bidi="ar-SA"/>
    </w:rPr>
  </w:style>
  <w:style w:type="paragraph" w:customStyle="1" w:styleId="285">
    <w:name w:val="1.1.1Head2"/>
    <w:qFormat/>
    <w:uiPriority w:val="99"/>
    <w:pPr>
      <w:numPr>
        <w:ilvl w:val="2"/>
        <w:numId w:val="11"/>
      </w:numPr>
      <w:tabs>
        <w:tab w:val="left" w:pos="2880"/>
      </w:tabs>
      <w:spacing w:before="28" w:after="28"/>
      <w:outlineLvl w:val="2"/>
    </w:pPr>
    <w:rPr>
      <w:rFonts w:ascii="Arial" w:hAnsi="Arial" w:eastAsia="宋体" w:cs="Arial"/>
      <w:b/>
      <w:bCs/>
      <w:lang w:val="en-US" w:eastAsia="en-US" w:bidi="ar-SA"/>
    </w:rPr>
  </w:style>
  <w:style w:type="paragraph" w:customStyle="1" w:styleId="286">
    <w:name w:val="RFI Heading 2nd Level"/>
    <w:basedOn w:val="1"/>
    <w:qFormat/>
    <w:uiPriority w:val="99"/>
    <w:pPr>
      <w:widowControl/>
      <w:tabs>
        <w:tab w:val="left" w:pos="720"/>
      </w:tabs>
      <w:ind w:left="840" w:hanging="420"/>
      <w:jc w:val="left"/>
    </w:pPr>
    <w:rPr>
      <w:rFonts w:ascii="Arial (W1)" w:hAnsi="Arial (W1)" w:eastAsia="仿宋_GB2312" w:cs="Arial (W1)"/>
      <w:b/>
      <w:bCs/>
      <w:color w:val="0000FF"/>
      <w:kern w:val="0"/>
      <w:sz w:val="28"/>
      <w:szCs w:val="28"/>
      <w:lang w:val="en-GB" w:eastAsia="en-US"/>
    </w:rPr>
  </w:style>
  <w:style w:type="paragraph" w:customStyle="1" w:styleId="287">
    <w:name w:val="Level 5: (1)"/>
    <w:basedOn w:val="1"/>
    <w:qFormat/>
    <w:uiPriority w:val="99"/>
    <w:pPr>
      <w:widowControl/>
      <w:numPr>
        <w:ilvl w:val="7"/>
        <w:numId w:val="1"/>
      </w:numPr>
      <w:tabs>
        <w:tab w:val="left" w:pos="1800"/>
      </w:tabs>
      <w:spacing w:before="72" w:after="72"/>
      <w:outlineLvl w:val="7"/>
    </w:pPr>
    <w:rPr>
      <w:rFonts w:ascii="Arial" w:hAnsi="Arial" w:eastAsia="仿宋_GB2312" w:cs="Arial"/>
      <w:kern w:val="0"/>
      <w:sz w:val="20"/>
      <w:szCs w:val="20"/>
      <w:lang w:eastAsia="en-US"/>
    </w:rPr>
  </w:style>
  <w:style w:type="paragraph" w:customStyle="1" w:styleId="288">
    <w:name w:val="正文段"/>
    <w:basedOn w:val="1"/>
    <w:qFormat/>
    <w:uiPriority w:val="99"/>
    <w:pPr>
      <w:widowControl/>
      <w:snapToGrid w:val="0"/>
      <w:spacing w:afterLines="50"/>
      <w:ind w:firstLine="200" w:firstLineChars="200"/>
    </w:pPr>
    <w:rPr>
      <w:kern w:val="0"/>
      <w:sz w:val="24"/>
      <w:szCs w:val="24"/>
    </w:rPr>
  </w:style>
  <w:style w:type="paragraph" w:customStyle="1" w:styleId="289">
    <w:name w:val="金保标题正文"/>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290">
    <w:name w:val="Char Char Char Char Char Char Char Char1 Char1"/>
    <w:basedOn w:val="1"/>
    <w:qFormat/>
    <w:uiPriority w:val="99"/>
    <w:rPr>
      <w:rFonts w:ascii="仿宋_GB2312" w:eastAsia="仿宋_GB2312" w:cs="仿宋_GB2312"/>
      <w:sz w:val="28"/>
      <w:szCs w:val="28"/>
    </w:rPr>
  </w:style>
  <w:style w:type="paragraph" w:customStyle="1" w:styleId="291">
    <w:name w:val="Table Text"/>
    <w:basedOn w:val="1"/>
    <w:qFormat/>
    <w:uiPriority w:val="99"/>
    <w:pPr>
      <w:widowControl/>
      <w:spacing w:before="60" w:after="60"/>
      <w:jc w:val="left"/>
    </w:pPr>
    <w:rPr>
      <w:kern w:val="0"/>
    </w:rPr>
  </w:style>
  <w:style w:type="paragraph" w:customStyle="1" w:styleId="292">
    <w:name w:val="Char1 Char Char Char Char Char Char Char Char Char Char Char Char Char Char Char"/>
    <w:basedOn w:val="1"/>
    <w:qFormat/>
    <w:uiPriority w:val="99"/>
  </w:style>
  <w:style w:type="paragraph" w:customStyle="1" w:styleId="293">
    <w:name w:val="列出段落3"/>
    <w:basedOn w:val="1"/>
    <w:qFormat/>
    <w:uiPriority w:val="99"/>
    <w:pPr>
      <w:ind w:firstLine="420" w:firstLineChars="200"/>
    </w:pPr>
  </w:style>
  <w:style w:type="paragraph" w:customStyle="1" w:styleId="29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衢州市政府采购中心</Company>
  <Pages>30</Pages>
  <Words>10555</Words>
  <Characters>11522</Characters>
  <Lines>101</Lines>
  <Paragraphs>28</Paragraphs>
  <TotalTime>26</TotalTime>
  <ScaleCrop>false</ScaleCrop>
  <LinksUpToDate>false</LinksUpToDate>
  <CharactersWithSpaces>12794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2022-05-31T13:55:00Z</dcterms:created>
  <dc:creator>W</dc:creator>
  <cp:lastModifiedBy>xnn</cp:lastModifiedBy>
  <cp:lastPrinted>2025-03-06T03:18:00Z</cp:lastPrinted>
  <dcterms:modified xsi:type="dcterms:W3CDTF">2025-03-06T01:44:12Z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89143624DC2641898F7FD35B91CD04E5</vt:lpwstr>
  </property>
</Properties>
</file>