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0333F">
      <w:pPr>
        <w:shd w:val="clear"/>
        <w:adjustRightInd w:val="0"/>
        <w:snapToGrid w:val="0"/>
        <w:spacing w:line="360" w:lineRule="auto"/>
        <w:ind w:left="360" w:hanging="360" w:hangingChars="150"/>
        <w:rPr>
          <w:rFonts w:ascii="宋体" w:hAnsi="宋体" w:eastAsia="宋体"/>
          <w:color w:val="auto"/>
          <w:sz w:val="24"/>
          <w:szCs w:val="24"/>
        </w:rPr>
      </w:pPr>
    </w:p>
    <w:p w14:paraId="01FE0386">
      <w:pPr>
        <w:shd w:val="clear"/>
        <w:adjustRightInd w:val="0"/>
        <w:snapToGrid w:val="0"/>
        <w:spacing w:line="360" w:lineRule="auto"/>
        <w:ind w:firstLine="480" w:firstLineChars="200"/>
        <w:rPr>
          <w:rFonts w:ascii="宋体" w:hAnsi="宋体" w:eastAsia="宋体"/>
          <w:color w:val="auto"/>
          <w:sz w:val="24"/>
          <w:szCs w:val="24"/>
        </w:rPr>
      </w:pPr>
    </w:p>
    <w:p w14:paraId="7747CD90">
      <w:pPr>
        <w:shd w:val="clear"/>
        <w:adjustRightInd w:val="0"/>
        <w:snapToGrid w:val="0"/>
        <w:spacing w:line="360" w:lineRule="auto"/>
        <w:ind w:firstLine="480" w:firstLineChars="200"/>
        <w:rPr>
          <w:rFonts w:ascii="宋体" w:hAnsi="宋体" w:eastAsia="宋体"/>
          <w:color w:val="auto"/>
          <w:sz w:val="24"/>
          <w:szCs w:val="24"/>
        </w:rPr>
      </w:pPr>
    </w:p>
    <w:p w14:paraId="3E371E78">
      <w:pPr>
        <w:shd w:val="clear"/>
        <w:adjustRightInd w:val="0"/>
        <w:snapToGrid w:val="0"/>
        <w:spacing w:line="360" w:lineRule="auto"/>
        <w:ind w:firstLine="480" w:firstLineChars="200"/>
        <w:rPr>
          <w:rFonts w:ascii="宋体" w:hAnsi="宋体" w:eastAsia="宋体"/>
          <w:color w:val="auto"/>
          <w:sz w:val="24"/>
          <w:szCs w:val="24"/>
        </w:rPr>
      </w:pPr>
    </w:p>
    <w:p w14:paraId="6D4DE8C5">
      <w:pPr>
        <w:shd w:val="clear"/>
        <w:adjustRightInd w:val="0"/>
        <w:snapToGrid w:val="0"/>
        <w:spacing w:line="360" w:lineRule="auto"/>
        <w:ind w:firstLine="480" w:firstLineChars="200"/>
        <w:rPr>
          <w:rFonts w:ascii="宋体" w:hAnsi="宋体" w:eastAsia="宋体"/>
          <w:color w:val="auto"/>
          <w:sz w:val="24"/>
          <w:szCs w:val="24"/>
        </w:rPr>
      </w:pPr>
    </w:p>
    <w:p w14:paraId="2F0443AF">
      <w:pPr>
        <w:shd w:val="clear"/>
        <w:adjustRightInd w:val="0"/>
        <w:snapToGrid w:val="0"/>
        <w:jc w:val="center"/>
        <w:rPr>
          <w:rFonts w:ascii="宋体" w:hAnsi="宋体" w:eastAsia="宋体" w:cs="宋体"/>
          <w:color w:val="auto"/>
          <w:szCs w:val="21"/>
        </w:rPr>
      </w:pPr>
      <w:r>
        <w:rPr>
          <w:rFonts w:hint="eastAsia" w:ascii="宋体" w:hAnsi="宋体" w:eastAsia="宋体" w:cs="宋体"/>
          <w:b/>
          <w:bCs/>
          <w:color w:val="auto"/>
          <w:sz w:val="72"/>
          <w:szCs w:val="72"/>
        </w:rPr>
        <w:t>招 标 文 件</w:t>
      </w:r>
    </w:p>
    <w:p w14:paraId="097E269B">
      <w:pPr>
        <w:shd w:val="clear"/>
        <w:adjustRightInd w:val="0"/>
        <w:snapToGrid w:val="0"/>
        <w:spacing w:line="360" w:lineRule="auto"/>
        <w:ind w:firstLine="3654" w:firstLineChars="1300"/>
        <w:rPr>
          <w:rFonts w:ascii="宋体" w:hAnsi="宋体" w:eastAsia="宋体"/>
          <w:b/>
          <w:color w:val="auto"/>
          <w:sz w:val="28"/>
          <w:szCs w:val="28"/>
        </w:rPr>
      </w:pPr>
      <w:r>
        <w:rPr>
          <w:rFonts w:hint="eastAsia" w:ascii="宋体" w:hAnsi="宋体" w:eastAsia="宋体"/>
          <w:b/>
          <w:color w:val="auto"/>
          <w:sz w:val="28"/>
          <w:szCs w:val="28"/>
        </w:rPr>
        <w:t>（电子评标）</w:t>
      </w:r>
    </w:p>
    <w:p w14:paraId="109D92C5">
      <w:pPr>
        <w:shd w:val="clear"/>
        <w:adjustRightInd w:val="0"/>
        <w:snapToGrid w:val="0"/>
        <w:spacing w:line="360" w:lineRule="auto"/>
        <w:ind w:firstLine="480" w:firstLineChars="200"/>
        <w:rPr>
          <w:rFonts w:ascii="宋体" w:hAnsi="宋体" w:eastAsia="宋体"/>
          <w:color w:val="auto"/>
          <w:sz w:val="24"/>
          <w:szCs w:val="24"/>
        </w:rPr>
      </w:pPr>
    </w:p>
    <w:p w14:paraId="723454CB">
      <w:pPr>
        <w:shd w:val="clear"/>
        <w:adjustRightInd w:val="0"/>
        <w:snapToGrid w:val="0"/>
        <w:spacing w:line="360" w:lineRule="auto"/>
        <w:ind w:firstLine="480" w:firstLineChars="200"/>
        <w:rPr>
          <w:rFonts w:ascii="宋体" w:hAnsi="宋体" w:eastAsia="宋体"/>
          <w:color w:val="auto"/>
          <w:sz w:val="24"/>
          <w:szCs w:val="24"/>
        </w:rPr>
      </w:pPr>
    </w:p>
    <w:p w14:paraId="10C6207F">
      <w:pPr>
        <w:shd w:val="clear"/>
        <w:adjustRightInd w:val="0"/>
        <w:snapToGrid w:val="0"/>
        <w:spacing w:line="360" w:lineRule="auto"/>
        <w:ind w:firstLine="480" w:firstLineChars="200"/>
        <w:rPr>
          <w:rFonts w:ascii="宋体" w:hAnsi="宋体" w:eastAsia="宋体"/>
          <w:color w:val="auto"/>
          <w:sz w:val="24"/>
          <w:szCs w:val="24"/>
        </w:rPr>
      </w:pPr>
    </w:p>
    <w:p w14:paraId="22611EC0">
      <w:pPr>
        <w:shd w:val="clear"/>
        <w:spacing w:line="560" w:lineRule="exact"/>
        <w:ind w:left="1155" w:leftChars="550"/>
        <w:rPr>
          <w:rFonts w:hint="eastAsia" w:ascii="宋体" w:hAnsi="宋体" w:eastAsia="宋体"/>
          <w:color w:val="auto"/>
          <w:sz w:val="32"/>
          <w:szCs w:val="32"/>
          <w:lang w:eastAsia="zh-CN"/>
        </w:rPr>
      </w:pPr>
      <w:r>
        <w:rPr>
          <w:rFonts w:hint="eastAsia" w:ascii="宋体" w:hAnsi="宋体" w:eastAsia="宋体"/>
          <w:color w:val="auto"/>
          <w:sz w:val="32"/>
          <w:szCs w:val="32"/>
        </w:rPr>
        <w:t>项目名称：</w:t>
      </w:r>
      <w:bookmarkStart w:id="0" w:name="OLE_LINK1"/>
      <w:r>
        <w:rPr>
          <w:rFonts w:hint="eastAsia" w:ascii="宋体" w:hAnsi="宋体" w:eastAsia="宋体"/>
          <w:color w:val="auto"/>
          <w:sz w:val="32"/>
          <w:szCs w:val="32"/>
          <w:lang w:eastAsia="zh-CN"/>
        </w:rPr>
        <w:t>龙游县慈善总会2025年资金竞争性存放采购项目</w:t>
      </w:r>
    </w:p>
    <w:bookmarkEnd w:id="0"/>
    <w:p w14:paraId="41069C2D">
      <w:pPr>
        <w:shd w:val="clear"/>
        <w:tabs>
          <w:tab w:val="left" w:pos="6300"/>
        </w:tabs>
        <w:spacing w:line="560" w:lineRule="exact"/>
        <w:ind w:firstLine="1120" w:firstLineChars="350"/>
        <w:rPr>
          <w:rFonts w:hint="eastAsia" w:ascii="宋体" w:hAnsi="宋体" w:eastAsia="宋体"/>
          <w:color w:val="auto"/>
          <w:sz w:val="32"/>
          <w:szCs w:val="32"/>
          <w:lang w:eastAsia="zh-CN"/>
        </w:rPr>
      </w:pPr>
      <w:r>
        <w:rPr>
          <w:rFonts w:hint="eastAsia" w:ascii="宋体" w:hAnsi="宋体" w:eastAsia="宋体"/>
          <w:color w:val="auto"/>
          <w:sz w:val="32"/>
          <w:szCs w:val="32"/>
        </w:rPr>
        <w:t>项目编号：</w:t>
      </w:r>
      <w:r>
        <w:rPr>
          <w:rFonts w:hint="eastAsia" w:ascii="宋体" w:hAnsi="宋体" w:eastAsia="宋体"/>
          <w:color w:val="auto"/>
          <w:sz w:val="32"/>
          <w:szCs w:val="32"/>
          <w:lang w:eastAsia="zh-CN"/>
        </w:rPr>
        <w:t>LYCG2025YX-011</w:t>
      </w:r>
    </w:p>
    <w:p w14:paraId="6E445D4F">
      <w:pPr>
        <w:shd w:val="clear"/>
        <w:spacing w:line="560" w:lineRule="exact"/>
        <w:ind w:firstLine="1120" w:firstLineChars="350"/>
        <w:rPr>
          <w:rFonts w:ascii="宋体" w:hAnsi="宋体" w:eastAsia="宋体"/>
          <w:color w:val="auto"/>
          <w:sz w:val="32"/>
          <w:szCs w:val="32"/>
        </w:rPr>
      </w:pPr>
    </w:p>
    <w:p w14:paraId="7A08203A">
      <w:pPr>
        <w:shd w:val="clear"/>
        <w:spacing w:line="560" w:lineRule="exact"/>
        <w:ind w:firstLine="1120" w:firstLineChars="350"/>
        <w:rPr>
          <w:rFonts w:ascii="宋体" w:hAnsi="宋体" w:eastAsia="宋体"/>
          <w:color w:val="auto"/>
          <w:sz w:val="32"/>
          <w:szCs w:val="32"/>
        </w:rPr>
      </w:pPr>
    </w:p>
    <w:p w14:paraId="7A25D050">
      <w:pPr>
        <w:shd w:val="clear"/>
        <w:spacing w:line="560" w:lineRule="exact"/>
        <w:ind w:firstLine="1120" w:firstLineChars="350"/>
        <w:rPr>
          <w:rFonts w:ascii="宋体" w:hAnsi="宋体" w:eastAsia="宋体"/>
          <w:color w:val="auto"/>
          <w:sz w:val="32"/>
          <w:szCs w:val="32"/>
        </w:rPr>
      </w:pPr>
    </w:p>
    <w:p w14:paraId="55E272EB">
      <w:pPr>
        <w:shd w:val="clear"/>
        <w:spacing w:line="560" w:lineRule="exact"/>
        <w:rPr>
          <w:rFonts w:ascii="宋体" w:hAnsi="宋体" w:eastAsia="宋体"/>
          <w:color w:val="auto"/>
          <w:sz w:val="32"/>
          <w:szCs w:val="32"/>
        </w:rPr>
      </w:pPr>
    </w:p>
    <w:p w14:paraId="0567160C">
      <w:pPr>
        <w:shd w:val="clear"/>
        <w:spacing w:line="560" w:lineRule="exact"/>
        <w:ind w:firstLine="1120" w:firstLineChars="350"/>
        <w:rPr>
          <w:rFonts w:ascii="宋体" w:hAnsi="宋体" w:eastAsia="宋体"/>
          <w:color w:val="auto"/>
          <w:sz w:val="32"/>
          <w:szCs w:val="32"/>
        </w:rPr>
      </w:pPr>
    </w:p>
    <w:p w14:paraId="1AC9A9F9">
      <w:pPr>
        <w:shd w:val="clear"/>
        <w:spacing w:line="560" w:lineRule="exact"/>
        <w:rPr>
          <w:rFonts w:ascii="宋体" w:hAnsi="宋体" w:eastAsia="宋体"/>
          <w:color w:val="auto"/>
          <w:sz w:val="32"/>
          <w:szCs w:val="32"/>
        </w:rPr>
      </w:pPr>
    </w:p>
    <w:p w14:paraId="7BC2D405">
      <w:pPr>
        <w:shd w:val="clear"/>
        <w:spacing w:line="560" w:lineRule="exact"/>
        <w:ind w:firstLine="1120" w:firstLineChars="350"/>
        <w:rPr>
          <w:rFonts w:ascii="宋体" w:hAnsi="宋体" w:eastAsia="宋体"/>
          <w:color w:val="auto"/>
          <w:sz w:val="32"/>
          <w:szCs w:val="32"/>
        </w:rPr>
      </w:pPr>
    </w:p>
    <w:p w14:paraId="64F98455">
      <w:pPr>
        <w:shd w:val="clear"/>
        <w:spacing w:line="560" w:lineRule="exact"/>
        <w:ind w:firstLine="1280" w:firstLineChars="400"/>
        <w:rPr>
          <w:rFonts w:hint="eastAsia" w:ascii="宋体" w:hAnsi="宋体" w:eastAsia="宋体"/>
          <w:color w:val="auto"/>
          <w:sz w:val="32"/>
          <w:szCs w:val="32"/>
          <w:lang w:eastAsia="zh-CN"/>
        </w:rPr>
      </w:pPr>
      <w:r>
        <w:rPr>
          <w:rFonts w:hint="eastAsia" w:ascii="宋体" w:hAnsi="宋体" w:eastAsia="宋体"/>
          <w:color w:val="auto"/>
          <w:sz w:val="32"/>
          <w:szCs w:val="32"/>
          <w:lang w:eastAsia="zh-CN"/>
        </w:rPr>
        <w:t>招</w:t>
      </w: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lang w:eastAsia="zh-CN"/>
        </w:rPr>
        <w:t>标</w:t>
      </w: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lang w:eastAsia="zh-CN"/>
        </w:rPr>
        <w:t>人</w:t>
      </w:r>
      <w:r>
        <w:rPr>
          <w:rFonts w:hint="eastAsia" w:ascii="宋体" w:hAnsi="宋体" w:eastAsia="宋体"/>
          <w:color w:val="auto"/>
          <w:sz w:val="32"/>
          <w:szCs w:val="32"/>
        </w:rPr>
        <w:t>：</w:t>
      </w:r>
      <w:r>
        <w:rPr>
          <w:rFonts w:hint="eastAsia" w:ascii="宋体" w:hAnsi="宋体" w:eastAsia="宋体"/>
          <w:color w:val="auto"/>
          <w:sz w:val="32"/>
          <w:szCs w:val="32"/>
          <w:lang w:eastAsia="zh-CN"/>
        </w:rPr>
        <w:t>龙游县慈善总会</w:t>
      </w:r>
    </w:p>
    <w:p w14:paraId="438B0C78">
      <w:pPr>
        <w:shd w:val="clear"/>
        <w:adjustRightInd w:val="0"/>
        <w:snapToGrid w:val="0"/>
        <w:spacing w:line="360" w:lineRule="auto"/>
        <w:ind w:firstLine="480" w:firstLineChars="200"/>
        <w:rPr>
          <w:rFonts w:ascii="宋体" w:hAnsi="宋体" w:eastAsia="宋体"/>
          <w:color w:val="auto"/>
          <w:sz w:val="24"/>
          <w:szCs w:val="24"/>
        </w:rPr>
      </w:pPr>
    </w:p>
    <w:p w14:paraId="634ECEA1">
      <w:pPr>
        <w:shd w:val="clear"/>
        <w:adjustRightInd w:val="0"/>
        <w:snapToGrid w:val="0"/>
        <w:spacing w:line="360" w:lineRule="auto"/>
        <w:ind w:firstLine="1280" w:firstLineChars="400"/>
        <w:rPr>
          <w:rFonts w:ascii="宋体" w:hAnsi="宋体" w:eastAsia="宋体"/>
          <w:color w:val="auto"/>
          <w:sz w:val="32"/>
          <w:szCs w:val="32"/>
        </w:rPr>
      </w:pPr>
      <w:r>
        <w:rPr>
          <w:rFonts w:hint="eastAsia" w:ascii="宋体" w:hAnsi="宋体" w:eastAsia="宋体"/>
          <w:color w:val="auto"/>
          <w:sz w:val="32"/>
          <w:szCs w:val="32"/>
        </w:rPr>
        <w:t>代理机构：衢州宇信工程咨询有限公司</w:t>
      </w:r>
    </w:p>
    <w:p w14:paraId="3F0E8515">
      <w:pPr>
        <w:shd w:val="clear"/>
        <w:adjustRightInd w:val="0"/>
        <w:snapToGrid w:val="0"/>
        <w:spacing w:line="360" w:lineRule="auto"/>
        <w:jc w:val="center"/>
        <w:rPr>
          <w:rFonts w:hint="eastAsia" w:ascii="宋体" w:hAnsi="宋体" w:eastAsia="宋体"/>
          <w:color w:val="auto"/>
          <w:sz w:val="32"/>
          <w:szCs w:val="32"/>
        </w:rPr>
      </w:pPr>
    </w:p>
    <w:p w14:paraId="6AE732BF">
      <w:pPr>
        <w:shd w:val="clear"/>
        <w:adjustRightInd w:val="0"/>
        <w:snapToGrid w:val="0"/>
        <w:spacing w:line="360" w:lineRule="auto"/>
        <w:jc w:val="center"/>
        <w:rPr>
          <w:rFonts w:ascii="宋体" w:hAnsi="宋体" w:eastAsia="宋体"/>
          <w:color w:val="auto"/>
          <w:sz w:val="32"/>
          <w:szCs w:val="32"/>
        </w:rPr>
      </w:pPr>
      <w:r>
        <w:rPr>
          <w:rFonts w:hint="eastAsia" w:ascii="宋体" w:hAnsi="宋体" w:eastAsia="宋体"/>
          <w:color w:val="auto"/>
          <w:sz w:val="32"/>
          <w:szCs w:val="32"/>
        </w:rPr>
        <w:t>二〇二</w:t>
      </w:r>
      <w:r>
        <w:rPr>
          <w:rFonts w:hint="eastAsia" w:ascii="宋体" w:hAnsi="宋体" w:eastAsia="宋体"/>
          <w:color w:val="auto"/>
          <w:sz w:val="32"/>
          <w:szCs w:val="32"/>
          <w:lang w:val="en-US" w:eastAsia="zh-CN"/>
        </w:rPr>
        <w:t>五</w:t>
      </w:r>
      <w:r>
        <w:rPr>
          <w:rFonts w:hint="eastAsia" w:ascii="宋体" w:hAnsi="宋体" w:eastAsia="宋体"/>
          <w:color w:val="auto"/>
          <w:sz w:val="32"/>
          <w:szCs w:val="32"/>
        </w:rPr>
        <w:t>年</w:t>
      </w:r>
      <w:r>
        <w:rPr>
          <w:rFonts w:hint="eastAsia" w:ascii="宋体" w:hAnsi="宋体" w:eastAsia="宋体"/>
          <w:color w:val="auto"/>
          <w:sz w:val="32"/>
          <w:szCs w:val="32"/>
          <w:lang w:val="en-US" w:eastAsia="zh-CN"/>
        </w:rPr>
        <w:t>二</w:t>
      </w:r>
      <w:r>
        <w:rPr>
          <w:rFonts w:hint="eastAsia" w:ascii="宋体" w:hAnsi="宋体" w:eastAsia="宋体"/>
          <w:color w:val="auto"/>
          <w:sz w:val="32"/>
          <w:szCs w:val="32"/>
        </w:rPr>
        <w:t>月</w:t>
      </w:r>
    </w:p>
    <w:p w14:paraId="744C14B3">
      <w:pPr>
        <w:shd w:val="clear"/>
        <w:adjustRightInd w:val="0"/>
        <w:snapToGrid w:val="0"/>
        <w:spacing w:line="360" w:lineRule="auto"/>
        <w:jc w:val="left"/>
        <w:rPr>
          <w:rFonts w:ascii="宋体" w:hAnsi="宋体" w:eastAsia="宋体"/>
          <w:color w:val="auto"/>
          <w:sz w:val="32"/>
          <w:szCs w:val="32"/>
        </w:rPr>
      </w:pPr>
    </w:p>
    <w:p w14:paraId="2B84FD48">
      <w:pPr>
        <w:shd w:val="clear"/>
        <w:snapToGrid w:val="0"/>
        <w:jc w:val="center"/>
        <w:rPr>
          <w:rFonts w:ascii="宋体" w:hAnsi="宋体" w:eastAsia="宋体"/>
          <w:color w:val="auto"/>
          <w:sz w:val="32"/>
          <w:szCs w:val="32"/>
        </w:rPr>
      </w:pPr>
      <w:r>
        <w:rPr>
          <w:rFonts w:ascii="宋体" w:hAnsi="宋体" w:eastAsia="宋体" w:cs="宋体"/>
          <w:b/>
          <w:color w:val="auto"/>
          <w:sz w:val="40"/>
          <w:szCs w:val="32"/>
        </w:rPr>
        <w:t>目 录</w:t>
      </w:r>
    </w:p>
    <w:sdt>
      <w:sdtPr>
        <w:rPr>
          <w:rFonts w:ascii="宋体" w:hAnsi="宋体" w:eastAsia="宋体" w:cs="Times New Roman"/>
          <w:kern w:val="2"/>
          <w:sz w:val="21"/>
          <w:szCs w:val="22"/>
          <w:lang w:val="en-US" w:eastAsia="zh-CN" w:bidi="ar-SA"/>
        </w:rPr>
        <w:id w:val="147459953"/>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24BA2B95">
          <w:pPr>
            <w:pStyle w:val="49"/>
            <w:keepNext w:val="0"/>
            <w:keepLines w:val="0"/>
            <w:pageBreakBefore w:val="0"/>
            <w:tabs>
              <w:tab w:val="right" w:leader="dot" w:pos="9128"/>
            </w:tabs>
            <w:kinsoku/>
            <w:wordWrap/>
            <w:overflowPunct/>
            <w:topLinePunct w:val="0"/>
            <w:autoSpaceDE/>
            <w:autoSpaceDN/>
            <w:bidi w:val="0"/>
            <w:spacing w:line="432" w:lineRule="auto"/>
            <w:ind w:firstLine="42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_Toc1086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45141A6">
          <w:pPr>
            <w:pStyle w:val="49"/>
            <w:keepNext w:val="0"/>
            <w:keepLines w:val="0"/>
            <w:pageBreakBefore w:val="0"/>
            <w:tabs>
              <w:tab w:val="right" w:leader="dot" w:pos="9128"/>
            </w:tabs>
            <w:kinsoku/>
            <w:wordWrap/>
            <w:overflowPunct/>
            <w:topLinePunct w:val="0"/>
            <w:autoSpaceDE/>
            <w:autoSpaceDN/>
            <w:bidi w:val="0"/>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_Toc12975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第二章  投标须知前附表及投标须知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_Toc12975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72941DF6">
          <w:pPr>
            <w:pStyle w:val="49"/>
            <w:keepNext w:val="0"/>
            <w:keepLines w:val="0"/>
            <w:pageBreakBefore w:val="0"/>
            <w:tabs>
              <w:tab w:val="right" w:leader="dot" w:pos="9128"/>
            </w:tabs>
            <w:kinsoku/>
            <w:wordWrap/>
            <w:overflowPunct/>
            <w:topLinePunct w:val="0"/>
            <w:autoSpaceDE/>
            <w:autoSpaceDN/>
            <w:bidi w:val="0"/>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_Toc2683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第三章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535A8FBA">
          <w:pPr>
            <w:pStyle w:val="49"/>
            <w:keepNext w:val="0"/>
            <w:keepLines w:val="0"/>
            <w:pageBreakBefore w:val="0"/>
            <w:tabs>
              <w:tab w:val="right" w:leader="dot" w:pos="9128"/>
            </w:tabs>
            <w:kinsoku/>
            <w:wordWrap/>
            <w:overflowPunct/>
            <w:topLinePunct w:val="0"/>
            <w:autoSpaceDE/>
            <w:autoSpaceDN/>
            <w:bidi w:val="0"/>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_Toc3728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第四章 合同主要条款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_Toc3728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7BFEB4D0">
          <w:pPr>
            <w:pStyle w:val="49"/>
            <w:keepNext w:val="0"/>
            <w:keepLines w:val="0"/>
            <w:pageBreakBefore w:val="0"/>
            <w:tabs>
              <w:tab w:val="right" w:leader="dot" w:pos="9128"/>
            </w:tabs>
            <w:kinsoku/>
            <w:wordWrap/>
            <w:overflowPunct/>
            <w:topLinePunct w:val="0"/>
            <w:autoSpaceDE/>
            <w:autoSpaceDN/>
            <w:bidi w:val="0"/>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_Toc23405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第五章  应提交的有关格式范例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_Toc23405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1EEA060">
          <w:pPr>
            <w:pStyle w:val="49"/>
            <w:keepNext w:val="0"/>
            <w:keepLines w:val="0"/>
            <w:pageBreakBefore w:val="0"/>
            <w:tabs>
              <w:tab w:val="right" w:leader="dot" w:pos="9128"/>
            </w:tabs>
            <w:kinsoku/>
            <w:wordWrap/>
            <w:overflowPunct/>
            <w:topLinePunct w:val="0"/>
            <w:autoSpaceDE/>
            <w:autoSpaceDN/>
            <w:bidi w:val="0"/>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_Toc31080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附件格式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_Toc31080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7EE0C4B6">
          <w:pPr>
            <w:pStyle w:val="49"/>
            <w:keepNext w:val="0"/>
            <w:keepLines w:val="0"/>
            <w:pageBreakBefore w:val="0"/>
            <w:tabs>
              <w:tab w:val="right" w:leader="dot" w:pos="9128"/>
            </w:tabs>
            <w:kinsoku/>
            <w:wordWrap/>
            <w:overflowPunct/>
            <w:topLinePunct w:val="0"/>
            <w:autoSpaceDE/>
            <w:autoSpaceDN/>
            <w:bidi w:val="0"/>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_Toc20807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第六章  评标办法及开标程序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_Toc20807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CE0220D">
          <w:pPr>
            <w:keepNext w:val="0"/>
            <w:keepLines w:val="0"/>
            <w:pageBreakBefore w:val="0"/>
            <w:shd w:val="clear"/>
            <w:kinsoku/>
            <w:wordWrap/>
            <w:overflowPunct/>
            <w:topLinePunct w:val="0"/>
            <w:autoSpaceDE/>
            <w:autoSpaceDN/>
            <w:bidi w:val="0"/>
            <w:adjustRightInd w:val="0"/>
            <w:snapToGrid w:val="0"/>
            <w:spacing w:line="432" w:lineRule="auto"/>
            <w:ind w:firstLine="480" w:firstLineChars="200"/>
            <w:textAlignment w:val="auto"/>
            <w:rPr>
              <w:rFonts w:ascii="宋体" w:hAnsi="宋体" w:eastAsia="宋体" w:cs="Times New Roman"/>
              <w:color w:val="auto"/>
              <w:kern w:val="2"/>
              <w:sz w:val="21"/>
              <w:szCs w:val="24"/>
              <w:lang w:val="en-US" w:eastAsia="zh-CN" w:bidi="ar-SA"/>
            </w:rPr>
          </w:pPr>
          <w:r>
            <w:rPr>
              <w:rFonts w:hint="eastAsia" w:ascii="宋体" w:hAnsi="宋体" w:eastAsia="宋体" w:cs="宋体"/>
              <w:color w:val="auto"/>
              <w:sz w:val="24"/>
              <w:szCs w:val="24"/>
            </w:rPr>
            <w:fldChar w:fldCharType="end"/>
          </w:r>
        </w:p>
      </w:sdtContent>
    </w:sdt>
    <w:p w14:paraId="3AAD60CB">
      <w:pPr>
        <w:pStyle w:val="2"/>
      </w:pPr>
    </w:p>
    <w:p w14:paraId="24AAEF29">
      <w:pPr>
        <w:shd w:val="clear"/>
        <w:adjustRightInd w:val="0"/>
        <w:snapToGrid w:val="0"/>
        <w:spacing w:line="360" w:lineRule="auto"/>
        <w:ind w:firstLine="480" w:firstLineChars="200"/>
        <w:rPr>
          <w:rFonts w:ascii="宋体" w:hAnsi="宋体" w:eastAsia="宋体"/>
          <w:color w:val="auto"/>
          <w:sz w:val="24"/>
          <w:szCs w:val="24"/>
        </w:rPr>
      </w:pPr>
    </w:p>
    <w:p w14:paraId="15003697">
      <w:pPr>
        <w:shd w:val="clear"/>
        <w:adjustRightInd w:val="0"/>
        <w:snapToGrid w:val="0"/>
        <w:spacing w:line="360" w:lineRule="auto"/>
        <w:jc w:val="center"/>
        <w:outlineLvl w:val="0"/>
        <w:rPr>
          <w:rFonts w:ascii="宋体" w:hAnsi="宋体" w:eastAsia="宋体" w:cs="宋体"/>
          <w:color w:val="auto"/>
          <w:szCs w:val="21"/>
        </w:rPr>
      </w:pPr>
      <w:r>
        <w:rPr>
          <w:rFonts w:ascii="宋体" w:hAnsi="宋体" w:eastAsia="宋体"/>
          <w:color w:val="auto"/>
          <w:sz w:val="24"/>
          <w:szCs w:val="24"/>
        </w:rPr>
        <w:br w:type="page"/>
      </w:r>
      <w:bookmarkStart w:id="1" w:name="_Toc16812"/>
      <w:bookmarkStart w:id="2" w:name="_Toc1086"/>
      <w:r>
        <w:rPr>
          <w:rFonts w:hint="eastAsia" w:ascii="宋体" w:hAnsi="宋体" w:eastAsia="宋体" w:cs="宋体"/>
          <w:b/>
          <w:bCs/>
          <w:color w:val="auto"/>
          <w:sz w:val="32"/>
          <w:szCs w:val="32"/>
        </w:rPr>
        <w:t>第一章  招标公告</w:t>
      </w:r>
      <w:bookmarkEnd w:id="1"/>
      <w:bookmarkEnd w:id="2"/>
    </w:p>
    <w:p w14:paraId="1311DD8F">
      <w:pPr>
        <w:pBdr>
          <w:top w:val="single" w:color="auto" w:sz="4" w:space="1"/>
          <w:left w:val="single" w:color="auto" w:sz="4" w:space="4"/>
          <w:bottom w:val="single" w:color="auto" w:sz="4" w:space="1"/>
          <w:right w:val="single" w:color="auto" w:sz="4" w:space="4"/>
        </w:pBdr>
        <w:shd w:val="clear"/>
        <w:adjustRightInd w:val="0"/>
        <w:snapToGrid w:val="0"/>
        <w:spacing w:line="324" w:lineRule="auto"/>
        <w:rPr>
          <w:rFonts w:ascii="宋体" w:hAnsi="宋体" w:eastAsia="宋体"/>
          <w:color w:val="auto"/>
          <w:sz w:val="24"/>
          <w:szCs w:val="24"/>
        </w:rPr>
      </w:pPr>
      <w:r>
        <w:rPr>
          <w:rFonts w:hint="eastAsia" w:ascii="宋体" w:hAnsi="宋体" w:eastAsia="宋体"/>
          <w:color w:val="auto"/>
          <w:sz w:val="24"/>
          <w:szCs w:val="24"/>
        </w:rPr>
        <w:t>项目概况</w:t>
      </w:r>
    </w:p>
    <w:p w14:paraId="3ADE258E">
      <w:pPr>
        <w:pBdr>
          <w:top w:val="single" w:color="auto" w:sz="4" w:space="1"/>
          <w:left w:val="single" w:color="auto" w:sz="4" w:space="4"/>
          <w:bottom w:val="single" w:color="auto" w:sz="4" w:space="1"/>
          <w:right w:val="single" w:color="auto" w:sz="4" w:space="4"/>
        </w:pBd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lang w:eastAsia="zh-CN"/>
        </w:rPr>
        <w:t>龙游县慈善总会2025年资金竞争性存放采购项目</w:t>
      </w:r>
      <w:r>
        <w:rPr>
          <w:rFonts w:hint="eastAsia" w:ascii="宋体" w:hAnsi="宋体" w:eastAsia="宋体"/>
          <w:color w:val="auto"/>
          <w:sz w:val="24"/>
          <w:szCs w:val="24"/>
        </w:rPr>
        <w:t>的潜在投标人应在</w:t>
      </w:r>
      <w:r>
        <w:rPr>
          <w:rFonts w:hint="eastAsia" w:ascii="宋体" w:hAnsi="宋体" w:eastAsia="宋体"/>
          <w:color w:val="auto"/>
          <w:sz w:val="24"/>
          <w:szCs w:val="24"/>
          <w:u w:val="single"/>
        </w:rPr>
        <w:t>浙江政府采购网 (</w:t>
      </w:r>
      <w:r>
        <w:rPr>
          <w:color w:val="auto"/>
        </w:rPr>
        <w:fldChar w:fldCharType="begin"/>
      </w:r>
      <w:r>
        <w:rPr>
          <w:color w:val="auto"/>
        </w:rPr>
        <w:instrText xml:space="preserve"> HYPERLINK "http://zfcg.czt.zj.gov.cn/)获取招标文件，并于2022年06月" </w:instrText>
      </w:r>
      <w:r>
        <w:rPr>
          <w:color w:val="auto"/>
        </w:rPr>
        <w:fldChar w:fldCharType="separate"/>
      </w:r>
      <w:r>
        <w:rPr>
          <w:rStyle w:val="20"/>
          <w:rFonts w:hint="eastAsia" w:ascii="宋体" w:hAnsi="宋体" w:eastAsia="宋体"/>
          <w:color w:val="auto"/>
          <w:sz w:val="24"/>
          <w:szCs w:val="24"/>
        </w:rPr>
        <w:t>http://zfcg.czt.zj.gov.cn/)获取招标文件，并于</w:t>
      </w:r>
      <w:r>
        <w:rPr>
          <w:rStyle w:val="20"/>
          <w:rFonts w:hint="eastAsia" w:ascii="宋体" w:hAnsi="宋体" w:eastAsia="宋体"/>
          <w:color w:val="auto"/>
          <w:sz w:val="24"/>
          <w:szCs w:val="24"/>
          <w:lang w:eastAsia="zh-CN"/>
        </w:rPr>
        <w:t>2025</w:t>
      </w:r>
      <w:r>
        <w:rPr>
          <w:rStyle w:val="20"/>
          <w:rFonts w:hint="eastAsia" w:ascii="宋体" w:hAnsi="宋体" w:eastAsia="宋体"/>
          <w:color w:val="auto"/>
          <w:sz w:val="24"/>
          <w:szCs w:val="24"/>
        </w:rPr>
        <w:t>年</w:t>
      </w:r>
      <w:r>
        <w:rPr>
          <w:rStyle w:val="20"/>
          <w:rFonts w:hint="eastAsia" w:ascii="宋体" w:hAnsi="宋体" w:eastAsia="宋体"/>
          <w:color w:val="auto"/>
          <w:sz w:val="24"/>
          <w:szCs w:val="24"/>
          <w:lang w:val="en-US" w:eastAsia="zh-CN"/>
        </w:rPr>
        <w:t>3</w:t>
      </w:r>
      <w:r>
        <w:rPr>
          <w:rStyle w:val="20"/>
          <w:rFonts w:hint="eastAsia" w:ascii="宋体" w:hAnsi="宋体" w:eastAsia="宋体"/>
          <w:color w:val="auto"/>
          <w:sz w:val="24"/>
          <w:szCs w:val="24"/>
        </w:rPr>
        <w:t>月</w:t>
      </w:r>
      <w:r>
        <w:rPr>
          <w:rStyle w:val="20"/>
          <w:rFonts w:hint="eastAsia" w:ascii="宋体" w:hAnsi="宋体" w:eastAsia="宋体"/>
          <w:color w:val="auto"/>
          <w:sz w:val="24"/>
          <w:szCs w:val="24"/>
        </w:rPr>
        <w:fldChar w:fldCharType="end"/>
      </w:r>
      <w:r>
        <w:rPr>
          <w:rStyle w:val="20"/>
          <w:rFonts w:hint="eastAsia" w:ascii="宋体" w:hAnsi="宋体" w:eastAsia="宋体"/>
          <w:color w:val="auto"/>
          <w:sz w:val="24"/>
          <w:szCs w:val="24"/>
          <w:lang w:val="en-US" w:eastAsia="zh-CN"/>
        </w:rPr>
        <w:t>18</w:t>
      </w:r>
      <w:r>
        <w:rPr>
          <w:rFonts w:hint="eastAsia" w:ascii="宋体" w:hAnsi="宋体" w:eastAsia="宋体"/>
          <w:color w:val="auto"/>
          <w:sz w:val="24"/>
          <w:szCs w:val="24"/>
          <w:u w:val="single"/>
        </w:rPr>
        <w:t>日</w:t>
      </w:r>
      <w:r>
        <w:rPr>
          <w:rFonts w:hint="eastAsia" w:ascii="宋体" w:hAnsi="宋体" w:eastAsia="宋体"/>
          <w:color w:val="auto"/>
          <w:sz w:val="24"/>
          <w:szCs w:val="24"/>
          <w:u w:val="single"/>
          <w:lang w:val="en-US" w:eastAsia="zh-CN"/>
        </w:rPr>
        <w:t>09</w:t>
      </w:r>
      <w:r>
        <w:rPr>
          <w:rFonts w:hint="eastAsia" w:ascii="宋体" w:hAnsi="宋体" w:eastAsia="宋体"/>
          <w:color w:val="auto"/>
          <w:sz w:val="24"/>
          <w:szCs w:val="24"/>
          <w:u w:val="single"/>
        </w:rPr>
        <w:t>点</w:t>
      </w:r>
      <w:r>
        <w:rPr>
          <w:rFonts w:hint="eastAsia" w:ascii="宋体" w:hAnsi="宋体" w:eastAsia="宋体"/>
          <w:color w:val="auto"/>
          <w:sz w:val="24"/>
          <w:szCs w:val="24"/>
          <w:u w:val="single"/>
          <w:lang w:val="en-US" w:eastAsia="zh-CN"/>
        </w:rPr>
        <w:t>3</w:t>
      </w:r>
      <w:r>
        <w:rPr>
          <w:rFonts w:hint="eastAsia" w:ascii="宋体" w:hAnsi="宋体" w:eastAsia="宋体"/>
          <w:color w:val="auto"/>
          <w:sz w:val="24"/>
          <w:szCs w:val="24"/>
          <w:u w:val="single"/>
        </w:rPr>
        <w:t>0分（</w:t>
      </w:r>
      <w:r>
        <w:rPr>
          <w:rFonts w:hint="eastAsia" w:ascii="宋体" w:hAnsi="宋体" w:eastAsia="宋体"/>
          <w:color w:val="auto"/>
          <w:sz w:val="24"/>
          <w:szCs w:val="24"/>
        </w:rPr>
        <w:t>北京时间）前递交投标文件。</w:t>
      </w:r>
    </w:p>
    <w:p w14:paraId="3876A94E">
      <w:pPr>
        <w:shd w:val="clear"/>
        <w:adjustRightInd w:val="0"/>
        <w:snapToGrid w:val="0"/>
        <w:spacing w:before="120" w:beforeLines="50" w:line="324" w:lineRule="auto"/>
        <w:ind w:firstLine="480" w:firstLineChars="200"/>
        <w:outlineLvl w:val="1"/>
        <w:rPr>
          <w:rFonts w:ascii="宋体" w:hAnsi="宋体" w:eastAsia="宋体"/>
          <w:color w:val="auto"/>
          <w:sz w:val="24"/>
          <w:szCs w:val="24"/>
        </w:rPr>
      </w:pPr>
      <w:bookmarkStart w:id="3" w:name="_Toc6500"/>
      <w:r>
        <w:rPr>
          <w:rFonts w:ascii="宋体" w:hAnsi="宋体" w:eastAsia="宋体"/>
          <w:color w:val="auto"/>
          <w:sz w:val="24"/>
          <w:szCs w:val="24"/>
        </w:rPr>
        <w:t>一、项目基本情况</w:t>
      </w:r>
      <w:bookmarkEnd w:id="3"/>
    </w:p>
    <w:p w14:paraId="7F266B3B">
      <w:pPr>
        <w:shd w:val="clear"/>
        <w:adjustRightInd w:val="0"/>
        <w:snapToGrid w:val="0"/>
        <w:spacing w:line="324"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项目编号：</w:t>
      </w:r>
      <w:r>
        <w:rPr>
          <w:rFonts w:hint="eastAsia" w:ascii="宋体" w:hAnsi="宋体" w:eastAsia="宋体"/>
          <w:color w:val="auto"/>
          <w:sz w:val="24"/>
          <w:szCs w:val="24"/>
          <w:lang w:eastAsia="zh-CN"/>
        </w:rPr>
        <w:t>LYCG2025YX-011</w:t>
      </w:r>
    </w:p>
    <w:p w14:paraId="5F4F8A49">
      <w:pPr>
        <w:shd w:val="clear"/>
        <w:adjustRightInd w:val="0"/>
        <w:snapToGrid w:val="0"/>
        <w:spacing w:line="324"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项目名称：</w:t>
      </w:r>
      <w:r>
        <w:rPr>
          <w:rFonts w:hint="eastAsia" w:ascii="宋体" w:hAnsi="宋体" w:eastAsia="宋体"/>
          <w:color w:val="auto"/>
          <w:sz w:val="24"/>
          <w:szCs w:val="24"/>
          <w:lang w:eastAsia="zh-CN"/>
        </w:rPr>
        <w:t>龙游县慈善总会2025年资金竞争性存放采购项目</w:t>
      </w:r>
    </w:p>
    <w:p w14:paraId="17EBA30F">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存放资金：</w:t>
      </w:r>
      <w:r>
        <w:rPr>
          <w:rFonts w:hint="eastAsia" w:ascii="宋体" w:hAnsi="宋体" w:eastAsia="宋体"/>
          <w:color w:val="auto"/>
          <w:sz w:val="24"/>
          <w:szCs w:val="24"/>
          <w:lang w:val="en-US" w:eastAsia="zh-CN"/>
        </w:rPr>
        <w:t>600</w:t>
      </w:r>
      <w:r>
        <w:rPr>
          <w:rFonts w:ascii="宋体" w:hAnsi="宋体" w:eastAsia="宋体"/>
          <w:color w:val="auto"/>
          <w:sz w:val="24"/>
          <w:szCs w:val="24"/>
        </w:rPr>
        <w:t>万元</w:t>
      </w:r>
    </w:p>
    <w:p w14:paraId="6D0F0425">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采购需求：</w:t>
      </w:r>
    </w:p>
    <w:tbl>
      <w:tblPr>
        <w:tblStyle w:val="16"/>
        <w:tblW w:w="943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82"/>
        <w:gridCol w:w="3521"/>
        <w:gridCol w:w="1015"/>
        <w:gridCol w:w="3248"/>
        <w:gridCol w:w="1068"/>
      </w:tblGrid>
      <w:tr w14:paraId="343090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6" w:hRule="atLeast"/>
        </w:trPr>
        <w:tc>
          <w:tcPr>
            <w:tcW w:w="582" w:type="dxa"/>
            <w:tcBorders>
              <w:top w:val="outset" w:color="auto" w:sz="6" w:space="0"/>
              <w:left w:val="outset" w:color="auto" w:sz="6" w:space="0"/>
              <w:bottom w:val="outset" w:color="auto" w:sz="6" w:space="0"/>
              <w:right w:val="outset" w:color="auto" w:sz="6" w:space="0"/>
            </w:tcBorders>
            <w:shd w:val="clear" w:color="auto" w:fill="FFFFFF"/>
            <w:vAlign w:val="center"/>
          </w:tcPr>
          <w:p w14:paraId="6EDEB889">
            <w:pPr>
              <w:widowControl/>
              <w:shd w:val="clear"/>
              <w:adjustRightInd w:val="0"/>
              <w:snapToGrid w:val="0"/>
              <w:spacing w:line="324" w:lineRule="auto"/>
              <w:ind w:left="-53" w:leftChars="-25" w:right="-53" w:rightChars="-25"/>
              <w:jc w:val="center"/>
              <w:rPr>
                <w:rFonts w:ascii="宋体" w:hAnsi="宋体" w:eastAsia="宋体" w:cs="宋体"/>
                <w:color w:val="auto"/>
                <w:kern w:val="0"/>
                <w:sz w:val="24"/>
              </w:rPr>
            </w:pPr>
            <w:r>
              <w:rPr>
                <w:rFonts w:hint="eastAsia" w:ascii="宋体" w:hAnsi="宋体" w:eastAsia="宋体" w:cs="宋体"/>
                <w:color w:val="auto"/>
                <w:kern w:val="0"/>
                <w:sz w:val="24"/>
              </w:rPr>
              <w:t>标项序号</w:t>
            </w:r>
          </w:p>
        </w:tc>
        <w:tc>
          <w:tcPr>
            <w:tcW w:w="3521" w:type="dxa"/>
            <w:tcBorders>
              <w:top w:val="outset" w:color="auto" w:sz="6" w:space="0"/>
              <w:left w:val="outset" w:color="auto" w:sz="6" w:space="0"/>
              <w:bottom w:val="outset" w:color="auto" w:sz="6" w:space="0"/>
              <w:right w:val="outset" w:color="auto" w:sz="6" w:space="0"/>
            </w:tcBorders>
            <w:shd w:val="clear" w:color="auto" w:fill="FFFFFF"/>
            <w:vAlign w:val="center"/>
          </w:tcPr>
          <w:p w14:paraId="7F825151">
            <w:pPr>
              <w:widowControl/>
              <w:shd w:val="clear"/>
              <w:adjustRightInd w:val="0"/>
              <w:snapToGrid w:val="0"/>
              <w:spacing w:line="324" w:lineRule="auto"/>
              <w:ind w:left="-53" w:leftChars="-25" w:right="-53" w:rightChars="-25"/>
              <w:jc w:val="center"/>
              <w:rPr>
                <w:rFonts w:ascii="宋体" w:hAnsi="宋体" w:eastAsia="宋体" w:cs="宋体"/>
                <w:color w:val="auto"/>
                <w:kern w:val="0"/>
                <w:sz w:val="24"/>
              </w:rPr>
            </w:pPr>
            <w:r>
              <w:rPr>
                <w:rFonts w:hint="eastAsia" w:ascii="宋体" w:hAnsi="宋体" w:eastAsia="宋体" w:cs="宋体"/>
                <w:color w:val="auto"/>
                <w:kern w:val="0"/>
                <w:sz w:val="24"/>
              </w:rPr>
              <w:t>标项名称</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14:paraId="3912278B">
            <w:pPr>
              <w:widowControl/>
              <w:shd w:val="clear"/>
              <w:adjustRightInd w:val="0"/>
              <w:snapToGrid w:val="0"/>
              <w:spacing w:line="264" w:lineRule="auto"/>
              <w:ind w:left="-53" w:leftChars="-25" w:right="-53" w:rightChars="-25"/>
              <w:jc w:val="center"/>
              <w:rPr>
                <w:rFonts w:ascii="宋体" w:hAnsi="宋体" w:eastAsia="宋体" w:cs="宋体"/>
                <w:color w:val="auto"/>
                <w:kern w:val="0"/>
                <w:sz w:val="24"/>
              </w:rPr>
            </w:pPr>
            <w:r>
              <w:rPr>
                <w:rFonts w:hint="eastAsia" w:ascii="宋体" w:hAnsi="宋体" w:eastAsia="宋体"/>
                <w:color w:val="auto"/>
                <w:sz w:val="24"/>
                <w:szCs w:val="24"/>
              </w:rPr>
              <w:t>存放资金</w:t>
            </w:r>
            <w:r>
              <w:rPr>
                <w:rFonts w:hint="eastAsia" w:ascii="宋体" w:hAnsi="宋体" w:eastAsia="宋体" w:cs="宋体"/>
                <w:color w:val="auto"/>
                <w:kern w:val="0"/>
                <w:sz w:val="24"/>
              </w:rPr>
              <w:t>(万元</w:t>
            </w:r>
            <w:r>
              <w:rPr>
                <w:rFonts w:ascii="宋体" w:hAnsi="宋体" w:eastAsia="宋体" w:cs="宋体"/>
                <w:color w:val="auto"/>
                <w:kern w:val="0"/>
                <w:sz w:val="24"/>
              </w:rPr>
              <w:t>)</w:t>
            </w:r>
          </w:p>
        </w:tc>
        <w:tc>
          <w:tcPr>
            <w:tcW w:w="3248" w:type="dxa"/>
            <w:tcBorders>
              <w:top w:val="outset" w:color="auto" w:sz="6" w:space="0"/>
              <w:left w:val="outset" w:color="auto" w:sz="6" w:space="0"/>
              <w:bottom w:val="outset" w:color="auto" w:sz="6" w:space="0"/>
              <w:right w:val="outset" w:color="auto" w:sz="6" w:space="0"/>
            </w:tcBorders>
            <w:shd w:val="clear" w:color="auto" w:fill="FFFFFF"/>
            <w:vAlign w:val="center"/>
          </w:tcPr>
          <w:p w14:paraId="4B00A701">
            <w:pPr>
              <w:widowControl/>
              <w:shd w:val="clear"/>
              <w:adjustRightInd w:val="0"/>
              <w:snapToGrid w:val="0"/>
              <w:spacing w:line="324" w:lineRule="auto"/>
              <w:ind w:left="-53" w:leftChars="-25" w:right="-53" w:rightChars="-25"/>
              <w:jc w:val="center"/>
              <w:rPr>
                <w:rFonts w:ascii="宋体" w:hAnsi="宋体" w:eastAsia="宋体" w:cs="宋体"/>
                <w:color w:val="auto"/>
                <w:kern w:val="0"/>
                <w:sz w:val="24"/>
              </w:rPr>
            </w:pPr>
            <w:r>
              <w:rPr>
                <w:rFonts w:hint="eastAsia" w:ascii="宋体" w:hAnsi="宋体" w:eastAsia="宋体" w:cs="宋体"/>
                <w:color w:val="auto"/>
                <w:kern w:val="0"/>
                <w:sz w:val="24"/>
              </w:rPr>
              <w:t>简要规格描述</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14:paraId="4B8160DE">
            <w:pPr>
              <w:widowControl/>
              <w:shd w:val="clear"/>
              <w:adjustRightInd w:val="0"/>
              <w:snapToGrid w:val="0"/>
              <w:spacing w:line="324" w:lineRule="auto"/>
              <w:ind w:left="-53" w:leftChars="-25" w:right="-53" w:rightChars="-25"/>
              <w:jc w:val="center"/>
              <w:rPr>
                <w:rFonts w:ascii="宋体" w:hAnsi="宋体" w:eastAsia="宋体" w:cs="宋体"/>
                <w:color w:val="auto"/>
                <w:kern w:val="0"/>
                <w:sz w:val="24"/>
              </w:rPr>
            </w:pPr>
            <w:r>
              <w:rPr>
                <w:rFonts w:hint="eastAsia" w:ascii="宋体" w:hAnsi="宋体" w:eastAsia="宋体" w:cs="宋体"/>
                <w:color w:val="auto"/>
                <w:kern w:val="0"/>
                <w:sz w:val="24"/>
              </w:rPr>
              <w:t>备注</w:t>
            </w:r>
          </w:p>
        </w:tc>
      </w:tr>
      <w:tr w14:paraId="777BA5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18" w:hRule="atLeast"/>
        </w:trPr>
        <w:tc>
          <w:tcPr>
            <w:tcW w:w="582" w:type="dxa"/>
            <w:tcBorders>
              <w:top w:val="outset" w:color="auto" w:sz="6" w:space="0"/>
              <w:left w:val="outset" w:color="auto" w:sz="6" w:space="0"/>
              <w:bottom w:val="outset" w:color="auto" w:sz="6" w:space="0"/>
              <w:right w:val="outset" w:color="auto" w:sz="6" w:space="0"/>
            </w:tcBorders>
            <w:shd w:val="clear" w:color="auto" w:fill="FFFFFF"/>
            <w:vAlign w:val="center"/>
          </w:tcPr>
          <w:p w14:paraId="44AAA4A4">
            <w:pPr>
              <w:widowControl/>
              <w:shd w:val="clear"/>
              <w:adjustRightInd w:val="0"/>
              <w:snapToGrid w:val="0"/>
              <w:spacing w:line="324" w:lineRule="auto"/>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521" w:type="dxa"/>
            <w:tcBorders>
              <w:top w:val="outset" w:color="auto" w:sz="6" w:space="0"/>
              <w:left w:val="outset" w:color="auto" w:sz="6" w:space="0"/>
              <w:bottom w:val="outset" w:color="auto" w:sz="6" w:space="0"/>
              <w:right w:val="outset" w:color="auto" w:sz="6" w:space="0"/>
            </w:tcBorders>
            <w:shd w:val="clear" w:color="auto" w:fill="FFFFFF"/>
            <w:vAlign w:val="center"/>
          </w:tcPr>
          <w:p w14:paraId="5E9B2667">
            <w:pPr>
              <w:widowControl/>
              <w:shd w:val="clear"/>
              <w:adjustRightInd w:val="0"/>
              <w:snapToGrid w:val="0"/>
              <w:spacing w:line="324" w:lineRule="auto"/>
              <w:jc w:val="left"/>
              <w:rPr>
                <w:rFonts w:hint="eastAsia" w:ascii="宋体" w:hAnsi="宋体" w:eastAsia="宋体" w:cs="宋体"/>
                <w:color w:val="auto"/>
                <w:kern w:val="0"/>
                <w:sz w:val="24"/>
                <w:lang w:eastAsia="zh-CN"/>
              </w:rPr>
            </w:pPr>
            <w:r>
              <w:rPr>
                <w:rFonts w:hint="eastAsia" w:ascii="宋体" w:hAnsi="宋体" w:eastAsia="宋体"/>
                <w:color w:val="auto"/>
                <w:sz w:val="24"/>
                <w:szCs w:val="24"/>
                <w:lang w:eastAsia="zh-CN"/>
              </w:rPr>
              <w:t>龙游县慈善总会2025年资金竞争性存放采购项目</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14:paraId="36246E0C">
            <w:pPr>
              <w:widowControl/>
              <w:shd w:val="clear"/>
              <w:adjustRightInd w:val="0"/>
              <w:snapToGrid w:val="0"/>
              <w:spacing w:line="324" w:lineRule="auto"/>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600</w:t>
            </w:r>
          </w:p>
        </w:tc>
        <w:tc>
          <w:tcPr>
            <w:tcW w:w="3248" w:type="dxa"/>
            <w:tcBorders>
              <w:top w:val="outset" w:color="auto" w:sz="6" w:space="0"/>
              <w:left w:val="outset" w:color="auto" w:sz="6" w:space="0"/>
              <w:bottom w:val="outset" w:color="auto" w:sz="6" w:space="0"/>
              <w:right w:val="outset" w:color="auto" w:sz="6" w:space="0"/>
            </w:tcBorders>
            <w:shd w:val="clear" w:color="auto" w:fill="FFFFFF"/>
            <w:vAlign w:val="center"/>
          </w:tcPr>
          <w:p w14:paraId="777EB136">
            <w:pPr>
              <w:keepNext w:val="0"/>
              <w:keepLines w:val="0"/>
              <w:pageBreakBefore w:val="0"/>
              <w:widowControl w:val="0"/>
              <w:shd w:val="clear"/>
              <w:kinsoku/>
              <w:wordWrap/>
              <w:overflowPunct/>
              <w:topLinePunct w:val="0"/>
              <w:autoSpaceDE/>
              <w:autoSpaceDN/>
              <w:bidi w:val="0"/>
              <w:adjustRightInd/>
              <w:snapToGrid/>
              <w:textAlignment w:val="auto"/>
              <w:rPr>
                <w:rFonts w:ascii="宋体" w:hAnsi="宋体" w:eastAsia="宋体" w:cs="宋体"/>
                <w:color w:val="auto"/>
                <w:kern w:val="0"/>
                <w:sz w:val="24"/>
              </w:rPr>
            </w:pPr>
            <w:r>
              <w:rPr>
                <w:rFonts w:hint="eastAsia" w:ascii="宋体" w:hAnsi="宋体" w:eastAsia="宋体"/>
                <w:color w:val="auto"/>
                <w:sz w:val="24"/>
                <w:szCs w:val="24"/>
                <w:lang w:eastAsia="zh-CN"/>
              </w:rPr>
              <w:t>本次招标按照排名顺序共选择</w:t>
            </w:r>
            <w:r>
              <w:rPr>
                <w:rFonts w:hint="eastAsia" w:ascii="宋体" w:hAnsi="宋体" w:eastAsia="宋体"/>
                <w:color w:val="auto"/>
                <w:sz w:val="24"/>
                <w:szCs w:val="24"/>
                <w:lang w:val="en-US" w:eastAsia="zh-CN"/>
              </w:rPr>
              <w:t>1</w:t>
            </w:r>
            <w:r>
              <w:rPr>
                <w:rFonts w:hint="eastAsia" w:ascii="宋体" w:hAnsi="宋体" w:eastAsia="宋体"/>
                <w:color w:val="auto"/>
                <w:sz w:val="24"/>
                <w:szCs w:val="24"/>
                <w:lang w:eastAsia="zh-CN"/>
              </w:rPr>
              <w:t>家银行进行资金存放</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14:paraId="53297634">
            <w:pPr>
              <w:widowControl/>
              <w:shd w:val="clear"/>
              <w:adjustRightInd w:val="0"/>
              <w:snapToGrid w:val="0"/>
              <w:spacing w:line="324" w:lineRule="auto"/>
              <w:jc w:val="center"/>
              <w:rPr>
                <w:rFonts w:ascii="宋体" w:hAnsi="宋体" w:eastAsia="宋体" w:cs="宋体"/>
                <w:color w:val="auto"/>
                <w:kern w:val="0"/>
                <w:sz w:val="24"/>
              </w:rPr>
            </w:pPr>
          </w:p>
        </w:tc>
      </w:tr>
    </w:tbl>
    <w:p w14:paraId="10C7D959">
      <w:pPr>
        <w:shd w:val="clear"/>
        <w:adjustRightInd w:val="0"/>
        <w:snapToGrid w:val="0"/>
        <w:spacing w:before="120" w:beforeLines="50" w:line="324" w:lineRule="auto"/>
        <w:ind w:firstLine="480" w:firstLineChars="200"/>
        <w:rPr>
          <w:rFonts w:ascii="宋体" w:hAnsi="宋体" w:eastAsia="宋体"/>
          <w:color w:val="auto"/>
          <w:sz w:val="24"/>
          <w:szCs w:val="24"/>
        </w:rPr>
      </w:pPr>
      <w:r>
        <w:rPr>
          <w:rFonts w:ascii="宋体" w:hAnsi="宋体" w:eastAsia="宋体"/>
          <w:color w:val="auto"/>
          <w:sz w:val="24"/>
          <w:szCs w:val="24"/>
        </w:rPr>
        <w:t>合同履行期限：</w:t>
      </w:r>
      <w:r>
        <w:rPr>
          <w:rFonts w:hint="eastAsia" w:ascii="宋体" w:hAnsi="宋体" w:eastAsia="宋体"/>
          <w:color w:val="auto"/>
          <w:sz w:val="24"/>
          <w:szCs w:val="24"/>
        </w:rPr>
        <w:t>合同签订之日至中标额度履行完毕。</w:t>
      </w:r>
    </w:p>
    <w:p w14:paraId="40C4EFF6">
      <w:pPr>
        <w:keepNext w:val="0"/>
        <w:keepLines w:val="0"/>
        <w:pageBreakBefore w:val="0"/>
        <w:widowControl w:val="0"/>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olor w:val="auto"/>
          <w:sz w:val="24"/>
          <w:szCs w:val="24"/>
        </w:rPr>
      </w:pPr>
      <w:bookmarkStart w:id="4" w:name="_Toc30356"/>
      <w:r>
        <w:rPr>
          <w:rFonts w:hint="eastAsia" w:ascii="宋体" w:hAnsi="宋体" w:eastAsia="宋体"/>
          <w:color w:val="auto"/>
          <w:sz w:val="24"/>
          <w:szCs w:val="24"/>
        </w:rPr>
        <w:t>本项目谢绝联合体投标。</w:t>
      </w:r>
    </w:p>
    <w:p w14:paraId="58ECDEE3">
      <w:pPr>
        <w:keepNext w:val="0"/>
        <w:keepLines w:val="0"/>
        <w:pageBreakBefore w:val="0"/>
        <w:widowControl w:val="0"/>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二、申请人的资格要求：</w:t>
      </w:r>
      <w:bookmarkEnd w:id="4"/>
    </w:p>
    <w:p w14:paraId="1A1AFED4">
      <w:pPr>
        <w:keepNext w:val="0"/>
        <w:keepLines w:val="0"/>
        <w:pageBreakBefore w:val="0"/>
        <w:widowControl w:val="0"/>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在龙游县设立机构（或分支机构）的国有商业银行、股份制商业银行、邮政储蓄银行、城市商业银行、农村信用合作联社、农村商业银行、农村合作银行及政策性银行；每家银行有且只能有一个主体参与投标,且须为龙游县级别最高机构（或分支机构）。</w:t>
      </w:r>
    </w:p>
    <w:p w14:paraId="78EEC05D">
      <w:pPr>
        <w:keepNext w:val="0"/>
        <w:keepLines w:val="0"/>
        <w:pageBreakBefore w:val="0"/>
        <w:widowControl w:val="0"/>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2.依法开展经营活动，内部管理机制健全，具有较强的风险控制能力，近3年内在经营活动中无重大违法违规记录、未发生金融风险及重大违约事件。</w:t>
      </w:r>
    </w:p>
    <w:p w14:paraId="570B727C">
      <w:pPr>
        <w:keepNext w:val="0"/>
        <w:keepLines w:val="0"/>
        <w:pageBreakBefore w:val="0"/>
        <w:widowControl w:val="0"/>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3.纳入人民银行综合评价的银行，人民银行上年度综合评价B级及以上，不纳入人民银行综合评价范围的银行不受此限制。</w:t>
      </w:r>
    </w:p>
    <w:p w14:paraId="145B7267">
      <w:pPr>
        <w:shd w:val="clear"/>
        <w:adjustRightInd w:val="0"/>
        <w:snapToGrid w:val="0"/>
        <w:spacing w:line="324" w:lineRule="auto"/>
        <w:ind w:firstLine="480" w:firstLineChars="200"/>
        <w:outlineLvl w:val="1"/>
        <w:rPr>
          <w:rFonts w:ascii="宋体" w:hAnsi="宋体" w:eastAsia="宋体"/>
          <w:color w:val="auto"/>
          <w:sz w:val="24"/>
          <w:szCs w:val="24"/>
        </w:rPr>
      </w:pPr>
      <w:bookmarkStart w:id="5" w:name="_Toc24681"/>
      <w:r>
        <w:rPr>
          <w:rFonts w:hint="eastAsia" w:ascii="宋体" w:hAnsi="宋体" w:eastAsia="宋体"/>
          <w:color w:val="auto"/>
          <w:sz w:val="24"/>
          <w:szCs w:val="24"/>
        </w:rPr>
        <w:t>三、获取招标文件</w:t>
      </w:r>
      <w:bookmarkEnd w:id="5"/>
    </w:p>
    <w:p w14:paraId="1CE00901">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时间：</w:t>
      </w:r>
      <w:r>
        <w:rPr>
          <w:rFonts w:hint="eastAsia" w:ascii="宋体" w:hAnsi="宋体" w:eastAsia="宋体"/>
          <w:color w:val="auto"/>
          <w:sz w:val="24"/>
          <w:szCs w:val="24"/>
          <w:lang w:eastAsia="zh-CN"/>
        </w:rPr>
        <w:t>2025</w:t>
      </w:r>
      <w:r>
        <w:rPr>
          <w:rFonts w:ascii="宋体" w:hAnsi="宋体" w:eastAsia="宋体"/>
          <w:color w:val="auto"/>
          <w:sz w:val="24"/>
          <w:szCs w:val="24"/>
        </w:rPr>
        <w:t>年</w:t>
      </w:r>
      <w:r>
        <w:rPr>
          <w:rFonts w:hint="eastAsia" w:ascii="宋体" w:hAnsi="宋体" w:eastAsia="宋体"/>
          <w:color w:val="auto"/>
          <w:sz w:val="24"/>
          <w:szCs w:val="24"/>
          <w:lang w:val="en-US" w:eastAsia="zh-CN"/>
        </w:rPr>
        <w:t>3</w:t>
      </w:r>
      <w:r>
        <w:rPr>
          <w:rFonts w:ascii="宋体" w:hAnsi="宋体" w:eastAsia="宋体"/>
          <w:color w:val="auto"/>
          <w:sz w:val="24"/>
          <w:szCs w:val="24"/>
        </w:rPr>
        <w:t>月</w:t>
      </w:r>
      <w:r>
        <w:rPr>
          <w:rFonts w:hint="eastAsia" w:ascii="宋体" w:hAnsi="宋体" w:eastAsia="宋体"/>
          <w:color w:val="auto"/>
          <w:sz w:val="24"/>
          <w:szCs w:val="24"/>
          <w:lang w:val="en-US" w:eastAsia="zh-CN"/>
        </w:rPr>
        <w:t>10</w:t>
      </w:r>
      <w:r>
        <w:rPr>
          <w:rFonts w:ascii="宋体" w:hAnsi="宋体" w:eastAsia="宋体"/>
          <w:color w:val="auto"/>
          <w:sz w:val="24"/>
          <w:szCs w:val="24"/>
        </w:rPr>
        <w:t>日至</w:t>
      </w:r>
      <w:r>
        <w:rPr>
          <w:rFonts w:hint="eastAsia" w:ascii="宋体" w:hAnsi="宋体" w:eastAsia="宋体"/>
          <w:color w:val="auto"/>
          <w:sz w:val="24"/>
          <w:szCs w:val="24"/>
          <w:lang w:eastAsia="zh-CN"/>
        </w:rPr>
        <w:t>2025</w:t>
      </w:r>
      <w:r>
        <w:rPr>
          <w:rFonts w:ascii="宋体" w:hAnsi="宋体" w:eastAsia="宋体"/>
          <w:color w:val="auto"/>
          <w:sz w:val="24"/>
          <w:szCs w:val="24"/>
        </w:rPr>
        <w:t>年</w:t>
      </w:r>
      <w:r>
        <w:rPr>
          <w:rFonts w:hint="eastAsia" w:ascii="宋体" w:hAnsi="宋体" w:eastAsia="宋体"/>
          <w:color w:val="auto"/>
          <w:sz w:val="24"/>
          <w:szCs w:val="24"/>
          <w:lang w:val="en-US" w:eastAsia="zh-CN"/>
        </w:rPr>
        <w:t>3</w:t>
      </w:r>
      <w:r>
        <w:rPr>
          <w:rFonts w:ascii="宋体" w:hAnsi="宋体" w:eastAsia="宋体"/>
          <w:color w:val="auto"/>
          <w:sz w:val="24"/>
          <w:szCs w:val="24"/>
        </w:rPr>
        <w:t>月</w:t>
      </w:r>
      <w:r>
        <w:rPr>
          <w:rFonts w:hint="eastAsia" w:ascii="宋体" w:hAnsi="宋体" w:eastAsia="宋体"/>
          <w:color w:val="auto"/>
          <w:sz w:val="24"/>
          <w:szCs w:val="24"/>
          <w:lang w:val="en-US" w:eastAsia="zh-CN"/>
        </w:rPr>
        <w:t>18</w:t>
      </w:r>
      <w:r>
        <w:rPr>
          <w:rFonts w:ascii="宋体" w:hAnsi="宋体" w:eastAsia="宋体"/>
          <w:color w:val="auto"/>
          <w:sz w:val="24"/>
          <w:szCs w:val="24"/>
        </w:rPr>
        <w:t>日，每天上午0:00至12:00，下午12:00至23</w:t>
      </w:r>
      <w:r>
        <w:rPr>
          <w:rFonts w:hint="eastAsia" w:ascii="宋体" w:hAnsi="宋体" w:eastAsia="宋体"/>
          <w:color w:val="auto"/>
          <w:sz w:val="24"/>
          <w:szCs w:val="24"/>
        </w:rPr>
        <w:t>:</w:t>
      </w:r>
      <w:r>
        <w:rPr>
          <w:rFonts w:ascii="宋体" w:hAnsi="宋体" w:eastAsia="宋体"/>
          <w:color w:val="auto"/>
          <w:sz w:val="24"/>
          <w:szCs w:val="24"/>
        </w:rPr>
        <w:t>59（北京时间，</w:t>
      </w:r>
      <w:r>
        <w:rPr>
          <w:rFonts w:hint="eastAsia" w:ascii="宋体" w:hAnsi="宋体" w:eastAsia="宋体"/>
          <w:color w:val="auto"/>
          <w:sz w:val="24"/>
          <w:szCs w:val="24"/>
        </w:rPr>
        <w:t>投标</w:t>
      </w:r>
      <w:r>
        <w:rPr>
          <w:rFonts w:ascii="宋体" w:hAnsi="宋体" w:eastAsia="宋体"/>
          <w:color w:val="auto"/>
          <w:sz w:val="24"/>
          <w:szCs w:val="24"/>
        </w:rPr>
        <w:t>截止时间前均可</w:t>
      </w:r>
      <w:r>
        <w:rPr>
          <w:rFonts w:hint="eastAsia" w:ascii="宋体" w:hAnsi="宋体" w:eastAsia="宋体"/>
          <w:color w:val="auto"/>
          <w:sz w:val="24"/>
          <w:szCs w:val="24"/>
        </w:rPr>
        <w:t>网上</w:t>
      </w:r>
      <w:r>
        <w:rPr>
          <w:rFonts w:ascii="宋体" w:hAnsi="宋体" w:eastAsia="宋体"/>
          <w:color w:val="auto"/>
          <w:sz w:val="24"/>
          <w:szCs w:val="24"/>
        </w:rPr>
        <w:t>下载。）</w:t>
      </w:r>
    </w:p>
    <w:p w14:paraId="681C88E6">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地点：浙江政府采购网</w:t>
      </w:r>
      <w:r>
        <w:rPr>
          <w:rFonts w:ascii="宋体" w:hAnsi="宋体" w:eastAsia="宋体"/>
          <w:color w:val="auto"/>
          <w:sz w:val="24"/>
          <w:szCs w:val="24"/>
        </w:rPr>
        <w:t>（</w:t>
      </w:r>
      <w:r>
        <w:rPr>
          <w:color w:val="auto"/>
        </w:rPr>
        <w:fldChar w:fldCharType="begin"/>
      </w:r>
      <w:r>
        <w:rPr>
          <w:color w:val="auto"/>
        </w:rPr>
        <w:instrText xml:space="preserve"> HYPERLINK "http://zfcg.czt.zj.gov.cn/" </w:instrText>
      </w:r>
      <w:r>
        <w:rPr>
          <w:color w:val="auto"/>
        </w:rPr>
        <w:fldChar w:fldCharType="separate"/>
      </w:r>
      <w:r>
        <w:rPr>
          <w:rStyle w:val="20"/>
          <w:rFonts w:ascii="宋体" w:hAnsi="宋体" w:eastAsia="宋体"/>
          <w:color w:val="auto"/>
          <w:sz w:val="24"/>
          <w:szCs w:val="24"/>
        </w:rPr>
        <w:t>http://zfcg.czt.zj.gov.cn/</w:t>
      </w:r>
      <w:r>
        <w:rPr>
          <w:rStyle w:val="20"/>
          <w:rFonts w:ascii="宋体" w:hAnsi="宋体" w:eastAsia="宋体"/>
          <w:color w:val="auto"/>
          <w:sz w:val="24"/>
          <w:szCs w:val="24"/>
        </w:rPr>
        <w:fldChar w:fldCharType="end"/>
      </w:r>
      <w:r>
        <w:rPr>
          <w:rFonts w:ascii="宋体" w:hAnsi="宋体" w:eastAsia="宋体"/>
          <w:color w:val="auto"/>
          <w:sz w:val="24"/>
          <w:szCs w:val="24"/>
        </w:rPr>
        <w:t>）</w:t>
      </w:r>
    </w:p>
    <w:p w14:paraId="4EC02E7C">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报名方式：</w:t>
      </w:r>
      <w:r>
        <w:rPr>
          <w:rFonts w:hint="eastAsia" w:ascii="宋体" w:hAnsi="宋体" w:eastAsia="宋体"/>
          <w:color w:val="auto"/>
          <w:sz w:val="24"/>
          <w:szCs w:val="24"/>
          <w:lang w:eastAsia="zh-CN"/>
        </w:rPr>
        <w:t>登录</w:t>
      </w:r>
      <w:r>
        <w:rPr>
          <w:rFonts w:hint="eastAsia" w:ascii="宋体" w:hAnsi="宋体" w:eastAsia="宋体"/>
          <w:color w:val="auto"/>
          <w:sz w:val="24"/>
          <w:szCs w:val="24"/>
        </w:rPr>
        <w:t>政采云平台，提交报名资料（</w:t>
      </w:r>
      <w:r>
        <w:rPr>
          <w:rFonts w:ascii="宋体" w:hAnsi="宋体" w:eastAsia="宋体"/>
          <w:color w:val="auto"/>
          <w:sz w:val="24"/>
          <w:szCs w:val="24"/>
        </w:rPr>
        <w:t>有效的</w:t>
      </w:r>
      <w:r>
        <w:rPr>
          <w:rFonts w:hint="eastAsia" w:ascii="宋体" w:hAnsi="宋体" w:eastAsia="宋体"/>
          <w:color w:val="auto"/>
          <w:sz w:val="24"/>
          <w:szCs w:val="24"/>
        </w:rPr>
        <w:t>电子营业执照或</w:t>
      </w:r>
      <w:r>
        <w:rPr>
          <w:rFonts w:ascii="宋体" w:hAnsi="宋体" w:eastAsia="宋体"/>
          <w:color w:val="auto"/>
          <w:sz w:val="24"/>
          <w:szCs w:val="24"/>
        </w:rPr>
        <w:t>营业执照</w:t>
      </w:r>
      <w:r>
        <w:rPr>
          <w:rFonts w:hint="eastAsia" w:ascii="宋体" w:hAnsi="宋体" w:eastAsia="宋体"/>
          <w:color w:val="auto"/>
          <w:sz w:val="24"/>
          <w:szCs w:val="24"/>
          <w:lang w:val="en-US" w:eastAsia="zh-CN"/>
        </w:rPr>
        <w:t>副本</w:t>
      </w:r>
      <w:r>
        <w:rPr>
          <w:rFonts w:hint="eastAsia" w:ascii="宋体" w:hAnsi="宋体" w:eastAsia="宋体"/>
          <w:color w:val="auto"/>
          <w:sz w:val="24"/>
          <w:szCs w:val="24"/>
        </w:rPr>
        <w:t>扫描</w:t>
      </w:r>
      <w:r>
        <w:rPr>
          <w:rFonts w:ascii="宋体" w:hAnsi="宋体" w:eastAsia="宋体"/>
          <w:color w:val="auto"/>
          <w:sz w:val="24"/>
          <w:szCs w:val="24"/>
        </w:rPr>
        <w:t>件</w:t>
      </w:r>
      <w:r>
        <w:rPr>
          <w:rFonts w:hint="eastAsia" w:ascii="宋体" w:hAnsi="宋体" w:eastAsia="宋体"/>
          <w:color w:val="auto"/>
          <w:sz w:val="24"/>
          <w:szCs w:val="24"/>
        </w:rPr>
        <w:t>）</w:t>
      </w:r>
    </w:p>
    <w:p w14:paraId="4B9AB754">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售价：</w:t>
      </w:r>
      <w:r>
        <w:rPr>
          <w:rFonts w:ascii="宋体" w:hAnsi="宋体" w:eastAsia="宋体"/>
          <w:color w:val="auto"/>
          <w:sz w:val="24"/>
          <w:szCs w:val="24"/>
        </w:rPr>
        <w:t>0元</w:t>
      </w:r>
    </w:p>
    <w:p w14:paraId="7FFE2816">
      <w:pPr>
        <w:shd w:val="clear"/>
        <w:adjustRightInd w:val="0"/>
        <w:snapToGrid w:val="0"/>
        <w:spacing w:line="324" w:lineRule="auto"/>
        <w:ind w:firstLine="480" w:firstLineChars="200"/>
        <w:outlineLvl w:val="1"/>
        <w:rPr>
          <w:rFonts w:ascii="宋体" w:hAnsi="宋体" w:eastAsia="宋体"/>
          <w:color w:val="auto"/>
          <w:sz w:val="24"/>
          <w:szCs w:val="24"/>
        </w:rPr>
      </w:pPr>
      <w:bookmarkStart w:id="6" w:name="_Toc21356"/>
      <w:r>
        <w:rPr>
          <w:rFonts w:hint="eastAsia" w:ascii="宋体" w:hAnsi="宋体" w:eastAsia="宋体"/>
          <w:color w:val="auto"/>
          <w:sz w:val="24"/>
          <w:szCs w:val="24"/>
        </w:rPr>
        <w:t>四、提交投标文件截止时间、开标时间和地点</w:t>
      </w:r>
      <w:bookmarkEnd w:id="6"/>
    </w:p>
    <w:p w14:paraId="56359810">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时间：</w:t>
      </w:r>
      <w:r>
        <w:rPr>
          <w:rFonts w:hint="eastAsia" w:ascii="宋体" w:hAnsi="宋体" w:eastAsia="宋体"/>
          <w:color w:val="auto"/>
          <w:sz w:val="24"/>
          <w:szCs w:val="24"/>
          <w:lang w:eastAsia="zh-CN"/>
        </w:rPr>
        <w:t>2025</w:t>
      </w:r>
      <w:r>
        <w:rPr>
          <w:rFonts w:ascii="宋体" w:hAnsi="宋体" w:eastAsia="宋体"/>
          <w:color w:val="auto"/>
          <w:sz w:val="24"/>
          <w:szCs w:val="24"/>
        </w:rPr>
        <w:t>年</w:t>
      </w:r>
      <w:r>
        <w:rPr>
          <w:rFonts w:hint="eastAsia" w:ascii="宋体" w:hAnsi="宋体" w:eastAsia="宋体"/>
          <w:color w:val="auto"/>
          <w:sz w:val="24"/>
          <w:szCs w:val="24"/>
          <w:lang w:val="en-US" w:eastAsia="zh-CN"/>
        </w:rPr>
        <w:t>3</w:t>
      </w:r>
      <w:r>
        <w:rPr>
          <w:rFonts w:ascii="宋体" w:hAnsi="宋体" w:eastAsia="宋体"/>
          <w:color w:val="auto"/>
          <w:sz w:val="24"/>
          <w:szCs w:val="24"/>
        </w:rPr>
        <w:t>月</w:t>
      </w:r>
      <w:r>
        <w:rPr>
          <w:rFonts w:hint="eastAsia" w:ascii="宋体" w:hAnsi="宋体" w:eastAsia="宋体"/>
          <w:color w:val="auto"/>
          <w:sz w:val="24"/>
          <w:szCs w:val="24"/>
          <w:lang w:val="en-US" w:eastAsia="zh-CN"/>
        </w:rPr>
        <w:t>18</w:t>
      </w:r>
      <w:r>
        <w:rPr>
          <w:rFonts w:ascii="宋体" w:hAnsi="宋体" w:eastAsia="宋体"/>
          <w:color w:val="auto"/>
          <w:sz w:val="24"/>
          <w:szCs w:val="24"/>
        </w:rPr>
        <w:t>日</w:t>
      </w:r>
      <w:r>
        <w:rPr>
          <w:rFonts w:hint="eastAsia" w:ascii="宋体" w:hAnsi="宋体" w:eastAsia="宋体"/>
          <w:color w:val="auto"/>
          <w:sz w:val="24"/>
          <w:szCs w:val="24"/>
          <w:lang w:val="en-US" w:eastAsia="zh-CN"/>
        </w:rPr>
        <w:t>09</w:t>
      </w:r>
      <w:r>
        <w:rPr>
          <w:rFonts w:ascii="宋体" w:hAnsi="宋体" w:eastAsia="宋体"/>
          <w:color w:val="auto"/>
          <w:sz w:val="24"/>
          <w:szCs w:val="24"/>
        </w:rPr>
        <w:t>点</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0</w:t>
      </w:r>
      <w:r>
        <w:rPr>
          <w:rFonts w:ascii="宋体" w:hAnsi="宋体" w:eastAsia="宋体"/>
          <w:color w:val="auto"/>
          <w:sz w:val="24"/>
          <w:szCs w:val="24"/>
        </w:rPr>
        <w:t>分（北京时间）</w:t>
      </w:r>
    </w:p>
    <w:p w14:paraId="095698CD">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投标人应当通过政采云平台在投标截止时间前完成电子投标文件的递交。</w:t>
      </w:r>
    </w:p>
    <w:p w14:paraId="1C9C645C">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开标地点：衢州市公共资源交易中心龙游分中心1楼</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号评标室。</w:t>
      </w:r>
    </w:p>
    <w:p w14:paraId="0E744F5E">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电子备份文件提交：</w:t>
      </w:r>
    </w:p>
    <w:p w14:paraId="05D4FAB7">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备份文件（经政采云电子交易客户端和CA驱动制作的后缀名为“.bfbs”的文件）在“电子加密投标文件”在线解密失败后启用，否则不予以启用。供应商自行确定是否提交。</w:t>
      </w:r>
    </w:p>
    <w:p w14:paraId="16657A9C">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若提交，可在响应截止时间前（以收件箱显示时间为准，逾期邮件将被拒收）将备份文件发送至邮箱：</w:t>
      </w:r>
      <w:r>
        <w:rPr>
          <w:rFonts w:hint="eastAsia" w:ascii="宋体" w:hAnsi="宋体" w:eastAsia="宋体"/>
          <w:color w:val="auto"/>
          <w:sz w:val="24"/>
          <w:szCs w:val="24"/>
          <w:lang w:eastAsia="zh-CN"/>
        </w:rPr>
        <w:t>951172785</w:t>
      </w:r>
      <w:r>
        <w:rPr>
          <w:rFonts w:hint="eastAsia" w:ascii="宋体" w:hAnsi="宋体" w:eastAsia="宋体"/>
          <w:color w:val="auto"/>
          <w:sz w:val="24"/>
          <w:szCs w:val="24"/>
        </w:rPr>
        <w:t>@qq.com，邮件内容写上供应商名称。备份文件压缩加密（未加密造成泄密的由供应商自行</w:t>
      </w:r>
      <w:r>
        <w:rPr>
          <w:rFonts w:hint="eastAsia" w:ascii="宋体" w:hAnsi="宋体" w:eastAsia="宋体"/>
          <w:color w:val="auto"/>
          <w:sz w:val="24"/>
          <w:szCs w:val="24"/>
          <w:lang w:eastAsia="zh-CN"/>
        </w:rPr>
        <w:t>承担</w:t>
      </w:r>
      <w:r>
        <w:rPr>
          <w:rFonts w:hint="eastAsia" w:ascii="宋体" w:hAnsi="宋体" w:eastAsia="宋体"/>
          <w:color w:val="auto"/>
          <w:sz w:val="24"/>
          <w:szCs w:val="24"/>
        </w:rPr>
        <w:t>，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w:t>
      </w:r>
      <w:r>
        <w:rPr>
          <w:rFonts w:hint="eastAsia" w:ascii="宋体" w:hAnsi="宋体" w:eastAsia="宋体"/>
          <w:color w:val="auto"/>
          <w:sz w:val="24"/>
          <w:szCs w:val="24"/>
          <w:lang w:eastAsia="zh-CN"/>
        </w:rPr>
        <w:t>承担</w:t>
      </w:r>
      <w:r>
        <w:rPr>
          <w:rFonts w:hint="eastAsia" w:ascii="宋体" w:hAnsi="宋体" w:eastAsia="宋体"/>
          <w:color w:val="auto"/>
          <w:sz w:val="24"/>
          <w:szCs w:val="24"/>
        </w:rPr>
        <w:t>。</w:t>
      </w:r>
    </w:p>
    <w:p w14:paraId="1FA354D9">
      <w:pPr>
        <w:shd w:val="clear"/>
        <w:adjustRightInd w:val="0"/>
        <w:snapToGrid w:val="0"/>
        <w:spacing w:line="324" w:lineRule="auto"/>
        <w:ind w:firstLine="480" w:firstLineChars="200"/>
        <w:outlineLvl w:val="1"/>
        <w:rPr>
          <w:rFonts w:ascii="宋体" w:hAnsi="宋体" w:eastAsia="宋体"/>
          <w:color w:val="auto"/>
          <w:sz w:val="24"/>
          <w:szCs w:val="24"/>
        </w:rPr>
      </w:pPr>
      <w:bookmarkStart w:id="7" w:name="_Toc2772"/>
      <w:r>
        <w:rPr>
          <w:rFonts w:hint="eastAsia" w:ascii="宋体" w:hAnsi="宋体" w:eastAsia="宋体"/>
          <w:color w:val="auto"/>
          <w:sz w:val="24"/>
          <w:szCs w:val="24"/>
        </w:rPr>
        <w:t>五、公告期限</w:t>
      </w:r>
      <w:bookmarkEnd w:id="7"/>
    </w:p>
    <w:p w14:paraId="640DBE12">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自本公告发布之日起</w:t>
      </w:r>
      <w:r>
        <w:rPr>
          <w:rFonts w:ascii="宋体" w:hAnsi="宋体" w:eastAsia="宋体"/>
          <w:color w:val="auto"/>
          <w:sz w:val="24"/>
          <w:szCs w:val="24"/>
        </w:rPr>
        <w:t>5个工作日。</w:t>
      </w:r>
    </w:p>
    <w:p w14:paraId="78015820">
      <w:pPr>
        <w:shd w:val="clear"/>
        <w:adjustRightInd w:val="0"/>
        <w:snapToGrid w:val="0"/>
        <w:spacing w:line="324" w:lineRule="auto"/>
        <w:ind w:firstLine="480" w:firstLineChars="200"/>
        <w:outlineLvl w:val="1"/>
        <w:rPr>
          <w:rFonts w:ascii="宋体" w:hAnsi="宋体" w:eastAsia="宋体"/>
          <w:color w:val="auto"/>
          <w:sz w:val="24"/>
          <w:szCs w:val="24"/>
        </w:rPr>
      </w:pPr>
      <w:bookmarkStart w:id="8" w:name="_Toc3449"/>
      <w:r>
        <w:rPr>
          <w:rFonts w:hint="eastAsia" w:ascii="宋体" w:hAnsi="宋体" w:eastAsia="宋体"/>
          <w:color w:val="auto"/>
          <w:sz w:val="24"/>
          <w:szCs w:val="24"/>
        </w:rPr>
        <w:t>六、其他补充事宜</w:t>
      </w:r>
      <w:bookmarkEnd w:id="8"/>
    </w:p>
    <w:p w14:paraId="12B597EB">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1、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eastAsia="宋体"/>
          <w:color w:val="auto"/>
          <w:sz w:val="24"/>
          <w:szCs w:val="24"/>
          <w:lang w:eastAsia="zh-CN"/>
        </w:rPr>
        <w:t>95763</w:t>
      </w:r>
      <w:r>
        <w:rPr>
          <w:rFonts w:hint="eastAsia" w:ascii="宋体" w:hAnsi="宋体" w:eastAsia="宋体"/>
          <w:color w:val="auto"/>
          <w:sz w:val="24"/>
          <w:szCs w:val="24"/>
        </w:rPr>
        <w:t>。</w:t>
      </w:r>
    </w:p>
    <w:p w14:paraId="713B6D14">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2、投标人应在开标前完成CA数字证书办理。（办理流程详见http://zfcg.czt.zj.gov.cn/bidClientTemplate/2019-05-27/12945.html）。完成CA数字证书办理预计一周左右，建议各投标人抓紧时间办理。</w:t>
      </w:r>
    </w:p>
    <w:p w14:paraId="22B08106">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3、投标人通过政采云平台电子交易系统制作投标文件，“政采云电子交易客户端”请供应商自行下载并安装，（下载网址：http://zfcg.czt.zj.gov.cn/bidClientTemplate/2019-09-24/12975.html），《政府采购项目电子交易管理操作指南</w:t>
      </w:r>
      <w:r>
        <w:rPr>
          <w:rFonts w:ascii="宋体" w:hAnsi="宋体" w:eastAsia="宋体"/>
          <w:color w:val="auto"/>
          <w:sz w:val="24"/>
          <w:szCs w:val="24"/>
        </w:rPr>
        <w:t>-供应商</w:t>
      </w:r>
      <w:r>
        <w:rPr>
          <w:rFonts w:hint="eastAsia" w:ascii="宋体" w:hAnsi="宋体" w:eastAsia="宋体"/>
          <w:color w:val="auto"/>
          <w:sz w:val="24"/>
          <w:szCs w:val="24"/>
        </w:rPr>
        <w:t>》详见网址：</w:t>
      </w:r>
      <w:r>
        <w:rPr>
          <w:rFonts w:ascii="宋体" w:hAnsi="宋体" w:eastAsia="宋体"/>
          <w:color w:val="auto"/>
          <w:szCs w:val="21"/>
        </w:rPr>
        <w:t>https://service.zcygov.cn/#/knowledges/CW1EtGwBFdiHxlNd6I3m/6IMVAG0BFdiHxlNdQ8Na</w:t>
      </w:r>
      <w:r>
        <w:rPr>
          <w:rFonts w:hint="eastAsia" w:ascii="宋体" w:hAnsi="宋体" w:eastAsia="宋体"/>
          <w:color w:val="auto"/>
          <w:szCs w:val="21"/>
        </w:rPr>
        <w:t>。</w:t>
      </w:r>
    </w:p>
    <w:p w14:paraId="05D50E9A">
      <w:pPr>
        <w:shd w:val="clear"/>
        <w:adjustRightInd w:val="0"/>
        <w:snapToGrid w:val="0"/>
        <w:spacing w:line="312" w:lineRule="auto"/>
        <w:ind w:firstLine="480" w:firstLineChars="200"/>
        <w:rPr>
          <w:rFonts w:ascii="宋体" w:hAnsi="宋体" w:eastAsia="宋体"/>
          <w:color w:val="auto"/>
          <w:szCs w:val="21"/>
        </w:rPr>
      </w:pPr>
      <w:r>
        <w:rPr>
          <w:rFonts w:hint="eastAsia" w:ascii="宋体" w:hAnsi="宋体" w:eastAsia="宋体"/>
          <w:color w:val="auto"/>
          <w:sz w:val="24"/>
          <w:szCs w:val="24"/>
        </w:rPr>
        <w:t>4、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14:paraId="38434F39">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为支持和促进中小企业发展，有需要的中标供应商可根据需要申请办理政府采购合同贷款（以下简称“政采贷”），具体要求、条件和操作教程可通过政采云首页右上角——网站导航——金融服务查看，也可拨打政采云客服热线</w:t>
      </w:r>
      <w:r>
        <w:rPr>
          <w:rFonts w:hint="eastAsia" w:ascii="宋体" w:hAnsi="宋体" w:eastAsia="宋体"/>
          <w:color w:val="auto"/>
          <w:sz w:val="24"/>
          <w:szCs w:val="24"/>
          <w:lang w:eastAsia="zh-CN"/>
        </w:rPr>
        <w:t>95763</w:t>
      </w:r>
      <w:r>
        <w:rPr>
          <w:rFonts w:ascii="宋体" w:hAnsi="宋体" w:eastAsia="宋体"/>
          <w:color w:val="auto"/>
          <w:sz w:val="24"/>
          <w:szCs w:val="24"/>
        </w:rPr>
        <w:t>咨询，或向各地已开通政采贷的银行咨询办理。</w:t>
      </w:r>
    </w:p>
    <w:p w14:paraId="002ACFAF">
      <w:pPr>
        <w:shd w:val="clear"/>
        <w:adjustRightInd w:val="0"/>
        <w:snapToGrid w:val="0"/>
        <w:spacing w:line="324" w:lineRule="auto"/>
        <w:ind w:firstLine="480" w:firstLineChars="200"/>
        <w:outlineLvl w:val="1"/>
        <w:rPr>
          <w:rFonts w:ascii="宋体" w:hAnsi="宋体" w:eastAsia="宋体"/>
          <w:color w:val="auto"/>
          <w:sz w:val="24"/>
          <w:szCs w:val="24"/>
        </w:rPr>
      </w:pPr>
      <w:bookmarkStart w:id="9" w:name="_Toc15456"/>
      <w:r>
        <w:rPr>
          <w:rFonts w:hint="eastAsia" w:ascii="宋体" w:hAnsi="宋体" w:eastAsia="宋体"/>
          <w:color w:val="auto"/>
          <w:sz w:val="24"/>
          <w:szCs w:val="24"/>
        </w:rPr>
        <w:t>七、对本次招标提出询问，请按以下方式联系。</w:t>
      </w:r>
      <w:bookmarkEnd w:id="9"/>
    </w:p>
    <w:p w14:paraId="67580BAB">
      <w:pPr>
        <w:shd w:val="clear"/>
        <w:adjustRightInd w:val="0"/>
        <w:snapToGrid w:val="0"/>
        <w:spacing w:line="324" w:lineRule="auto"/>
        <w:ind w:firstLine="480" w:firstLineChars="200"/>
        <w:rPr>
          <w:rFonts w:ascii="宋体" w:hAnsi="宋体" w:eastAsia="宋体"/>
          <w:color w:val="auto"/>
          <w:sz w:val="24"/>
          <w:szCs w:val="24"/>
        </w:rPr>
      </w:pPr>
      <w:r>
        <w:rPr>
          <w:rFonts w:ascii="宋体" w:hAnsi="宋体" w:eastAsia="宋体"/>
          <w:color w:val="auto"/>
          <w:sz w:val="24"/>
          <w:szCs w:val="24"/>
        </w:rPr>
        <w:t>1.采购人信息</w:t>
      </w:r>
    </w:p>
    <w:p w14:paraId="143CEF3C">
      <w:pPr>
        <w:shd w:val="clear"/>
        <w:adjustRightInd w:val="0"/>
        <w:snapToGrid w:val="0"/>
        <w:spacing w:line="324"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名</w:t>
      </w:r>
      <w:r>
        <w:rPr>
          <w:rFonts w:ascii="宋体" w:hAnsi="宋体" w:eastAsia="宋体"/>
          <w:color w:val="auto"/>
          <w:sz w:val="24"/>
          <w:szCs w:val="24"/>
        </w:rPr>
        <w:t xml:space="preserve"> 称：</w:t>
      </w:r>
      <w:r>
        <w:rPr>
          <w:rFonts w:hint="eastAsia" w:ascii="宋体" w:hAnsi="宋体" w:eastAsia="宋体"/>
          <w:color w:val="auto"/>
          <w:sz w:val="24"/>
          <w:szCs w:val="24"/>
          <w:lang w:eastAsia="zh-CN"/>
        </w:rPr>
        <w:t>龙游县慈善总会</w:t>
      </w:r>
    </w:p>
    <w:p w14:paraId="417C48CF">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地址：</w:t>
      </w:r>
      <w:r>
        <w:rPr>
          <w:rFonts w:hint="eastAsia" w:ascii="宋体" w:hAnsi="宋体" w:eastAsia="宋体"/>
          <w:color w:val="auto"/>
          <w:sz w:val="24"/>
          <w:szCs w:val="24"/>
          <w:lang w:eastAsia="zh-CN"/>
        </w:rPr>
        <w:t>龙游县文化东路511号</w:t>
      </w:r>
    </w:p>
    <w:p w14:paraId="1B138CF2">
      <w:pPr>
        <w:shd w:val="clear"/>
        <w:adjustRightInd w:val="0"/>
        <w:snapToGrid w:val="0"/>
        <w:spacing w:line="324"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联系方式：</w:t>
      </w:r>
      <w:r>
        <w:rPr>
          <w:rFonts w:hint="eastAsia" w:ascii="宋体" w:hAnsi="宋体" w:eastAsia="宋体"/>
          <w:color w:val="auto"/>
          <w:sz w:val="24"/>
          <w:szCs w:val="24"/>
          <w:lang w:eastAsia="zh-CN"/>
        </w:rPr>
        <w:t>19518691750</w:t>
      </w:r>
    </w:p>
    <w:p w14:paraId="15D6D1C3">
      <w:pPr>
        <w:shd w:val="clear"/>
        <w:adjustRightInd w:val="0"/>
        <w:snapToGrid w:val="0"/>
        <w:spacing w:line="324" w:lineRule="auto"/>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联系人：邱女士</w:t>
      </w:r>
    </w:p>
    <w:p w14:paraId="05F27569">
      <w:pPr>
        <w:shd w:val="clear"/>
        <w:adjustRightInd w:val="0"/>
        <w:snapToGrid w:val="0"/>
        <w:spacing w:line="324" w:lineRule="auto"/>
        <w:ind w:firstLine="480" w:firstLineChars="200"/>
        <w:rPr>
          <w:rFonts w:ascii="宋体" w:hAnsi="宋体" w:eastAsia="宋体"/>
          <w:color w:val="auto"/>
          <w:sz w:val="24"/>
          <w:szCs w:val="24"/>
        </w:rPr>
      </w:pPr>
    </w:p>
    <w:p w14:paraId="6CC94622">
      <w:pPr>
        <w:shd w:val="clear"/>
        <w:adjustRightInd w:val="0"/>
        <w:snapToGrid w:val="0"/>
        <w:spacing w:line="324" w:lineRule="auto"/>
        <w:ind w:firstLine="480" w:firstLineChars="200"/>
        <w:rPr>
          <w:rFonts w:ascii="宋体" w:hAnsi="宋体" w:eastAsia="宋体"/>
          <w:color w:val="auto"/>
          <w:sz w:val="24"/>
          <w:szCs w:val="24"/>
        </w:rPr>
      </w:pPr>
      <w:r>
        <w:rPr>
          <w:rFonts w:ascii="宋体" w:hAnsi="宋体" w:eastAsia="宋体"/>
          <w:color w:val="auto"/>
          <w:sz w:val="24"/>
          <w:szCs w:val="24"/>
        </w:rPr>
        <w:t>2.采购代理机构信息</w:t>
      </w:r>
    </w:p>
    <w:p w14:paraId="36BB074D">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名</w:t>
      </w:r>
      <w:r>
        <w:rPr>
          <w:rFonts w:ascii="宋体" w:hAnsi="宋体" w:eastAsia="宋体"/>
          <w:color w:val="auto"/>
          <w:sz w:val="24"/>
          <w:szCs w:val="24"/>
        </w:rPr>
        <w:t xml:space="preserve"> 称：</w:t>
      </w:r>
      <w:r>
        <w:rPr>
          <w:rFonts w:hint="eastAsia" w:ascii="宋体" w:hAnsi="宋体" w:eastAsia="宋体"/>
          <w:color w:val="auto"/>
          <w:sz w:val="24"/>
          <w:szCs w:val="24"/>
        </w:rPr>
        <w:t>衢州宇信工程咨询有限公司</w:t>
      </w:r>
    </w:p>
    <w:p w14:paraId="7A39D19B">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地</w:t>
      </w:r>
      <w:r>
        <w:rPr>
          <w:rFonts w:ascii="宋体" w:hAnsi="宋体" w:eastAsia="宋体"/>
          <w:color w:val="auto"/>
          <w:sz w:val="24"/>
          <w:szCs w:val="24"/>
        </w:rPr>
        <w:t xml:space="preserve"> 址：</w:t>
      </w:r>
      <w:bookmarkStart w:id="10" w:name="OLE_LINK13"/>
      <w:r>
        <w:rPr>
          <w:rFonts w:hint="eastAsia" w:ascii="宋体" w:hAnsi="宋体" w:eastAsia="宋体"/>
          <w:color w:val="auto"/>
          <w:sz w:val="24"/>
          <w:szCs w:val="24"/>
        </w:rPr>
        <w:t>龙游县龙洲街道广和商务楼3楼306室</w:t>
      </w:r>
    </w:p>
    <w:bookmarkEnd w:id="10"/>
    <w:p w14:paraId="0899AE13">
      <w:pPr>
        <w:shd w:val="clear"/>
        <w:adjustRightInd w:val="0"/>
        <w:snapToGrid w:val="0"/>
        <w:spacing w:line="324" w:lineRule="auto"/>
        <w:ind w:firstLine="480" w:firstLineChars="200"/>
        <w:rPr>
          <w:rFonts w:ascii="宋体" w:hAnsi="宋体" w:eastAsia="宋体"/>
          <w:color w:val="auto"/>
          <w:sz w:val="24"/>
          <w:szCs w:val="24"/>
        </w:rPr>
      </w:pPr>
      <w:r>
        <w:rPr>
          <w:rFonts w:hint="eastAsia" w:ascii="宋体" w:hAnsi="宋体" w:eastAsia="宋体"/>
          <w:color w:val="auto"/>
          <w:sz w:val="24"/>
          <w:szCs w:val="24"/>
        </w:rPr>
        <w:t>联系方式</w:t>
      </w:r>
      <w:r>
        <w:rPr>
          <w:rFonts w:ascii="宋体" w:hAnsi="宋体" w:eastAsia="宋体"/>
          <w:color w:val="auto"/>
          <w:sz w:val="24"/>
          <w:szCs w:val="24"/>
        </w:rPr>
        <w:t>(电话/传真)：</w:t>
      </w:r>
      <w:r>
        <w:rPr>
          <w:rFonts w:hint="eastAsia" w:ascii="宋体" w:hAnsi="宋体" w:eastAsia="宋体"/>
          <w:color w:val="auto"/>
          <w:sz w:val="24"/>
          <w:szCs w:val="24"/>
        </w:rPr>
        <w:t>0570-7018388</w:t>
      </w:r>
    </w:p>
    <w:p w14:paraId="1A25C275">
      <w:pPr>
        <w:shd w:val="clear"/>
        <w:adjustRightInd w:val="0"/>
        <w:snapToGrid w:val="0"/>
        <w:spacing w:line="324" w:lineRule="auto"/>
        <w:ind w:firstLine="480" w:firstLineChars="200"/>
        <w:rPr>
          <w:rFonts w:ascii="宋体" w:hAnsi="宋体" w:eastAsia="宋体"/>
          <w:color w:val="auto"/>
          <w:sz w:val="24"/>
          <w:szCs w:val="24"/>
        </w:rPr>
      </w:pPr>
      <w:r>
        <w:rPr>
          <w:rFonts w:ascii="宋体" w:hAnsi="宋体" w:eastAsia="宋体"/>
          <w:color w:val="auto"/>
          <w:sz w:val="24"/>
          <w:szCs w:val="24"/>
        </w:rPr>
        <w:t>3.项目联系方式</w:t>
      </w:r>
    </w:p>
    <w:p w14:paraId="36A4A8DC">
      <w:pPr>
        <w:shd w:val="clear"/>
        <w:adjustRightInd w:val="0"/>
        <w:snapToGrid w:val="0"/>
        <w:spacing w:line="324"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项目联系人：</w:t>
      </w:r>
      <w:bookmarkStart w:id="11" w:name="OLE_LINK11"/>
      <w:r>
        <w:rPr>
          <w:rFonts w:hint="eastAsia" w:ascii="宋体" w:hAnsi="宋体" w:eastAsia="宋体"/>
          <w:color w:val="auto"/>
          <w:sz w:val="24"/>
          <w:szCs w:val="24"/>
          <w:lang w:eastAsia="zh-CN"/>
        </w:rPr>
        <w:t>祝女士</w:t>
      </w:r>
      <w:bookmarkEnd w:id="11"/>
    </w:p>
    <w:p w14:paraId="1FD2CB42">
      <w:pPr>
        <w:shd w:val="clear"/>
        <w:adjustRightInd w:val="0"/>
        <w:snapToGrid w:val="0"/>
        <w:spacing w:line="324"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电</w:t>
      </w:r>
      <w:r>
        <w:rPr>
          <w:rFonts w:ascii="宋体" w:hAnsi="宋体" w:eastAsia="宋体"/>
          <w:color w:val="auto"/>
          <w:sz w:val="24"/>
          <w:szCs w:val="24"/>
        </w:rPr>
        <w:t xml:space="preserve"> 话：</w:t>
      </w:r>
      <w:bookmarkStart w:id="12" w:name="OLE_LINK12"/>
      <w:r>
        <w:rPr>
          <w:rFonts w:hint="eastAsia" w:ascii="宋体" w:hAnsi="宋体" w:eastAsia="宋体"/>
          <w:color w:val="auto"/>
          <w:sz w:val="24"/>
          <w:szCs w:val="24"/>
          <w:lang w:eastAsia="zh-CN"/>
        </w:rPr>
        <w:t>18367068335</w:t>
      </w:r>
      <w:bookmarkEnd w:id="12"/>
    </w:p>
    <w:p w14:paraId="5CEE7AEB">
      <w:pPr>
        <w:shd w:val="clear"/>
        <w:adjustRightInd w:val="0"/>
        <w:snapToGrid w:val="0"/>
        <w:spacing w:line="324"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 xml:space="preserve">                                </w:t>
      </w:r>
      <w:r>
        <w:rPr>
          <w:rFonts w:hint="eastAsia" w:ascii="宋体" w:hAnsi="宋体" w:eastAsia="宋体"/>
          <w:color w:val="auto"/>
          <w:sz w:val="24"/>
          <w:szCs w:val="24"/>
          <w:lang w:eastAsia="zh-CN"/>
        </w:rPr>
        <w:t>龙游县慈善总会</w:t>
      </w:r>
    </w:p>
    <w:p w14:paraId="0177CADC">
      <w:pPr>
        <w:shd w:val="clear"/>
        <w:adjustRightInd w:val="0"/>
        <w:snapToGrid w:val="0"/>
        <w:spacing w:line="324" w:lineRule="auto"/>
        <w:ind w:firstLine="480" w:firstLineChars="200"/>
        <w:rPr>
          <w:rFonts w:ascii="宋体" w:hAnsi="宋体" w:eastAsia="宋体"/>
          <w:color w:val="auto"/>
          <w:sz w:val="24"/>
          <w:szCs w:val="24"/>
        </w:rPr>
      </w:pPr>
      <w:r>
        <w:rPr>
          <w:rFonts w:ascii="宋体" w:hAnsi="宋体" w:eastAsia="宋体"/>
          <w:color w:val="auto"/>
          <w:sz w:val="24"/>
          <w:szCs w:val="24"/>
        </w:rPr>
        <w:t xml:space="preserve">                                </w:t>
      </w:r>
      <w:r>
        <w:rPr>
          <w:rFonts w:hint="eastAsia" w:ascii="宋体" w:hAnsi="宋体" w:eastAsia="宋体"/>
          <w:color w:val="auto"/>
          <w:sz w:val="24"/>
          <w:szCs w:val="24"/>
        </w:rPr>
        <w:t>衢州宇信工程咨询有限公司</w:t>
      </w:r>
    </w:p>
    <w:p w14:paraId="1521B1E8">
      <w:pPr>
        <w:shd w:val="clear"/>
        <w:adjustRightInd w:val="0"/>
        <w:snapToGrid w:val="0"/>
        <w:spacing w:line="324" w:lineRule="auto"/>
        <w:ind w:firstLine="480" w:firstLineChars="200"/>
        <w:rPr>
          <w:rFonts w:ascii="宋体" w:hAnsi="宋体" w:eastAsia="宋体"/>
          <w:color w:val="auto"/>
          <w:sz w:val="24"/>
          <w:szCs w:val="24"/>
        </w:rPr>
      </w:pPr>
      <w:r>
        <w:rPr>
          <w:rFonts w:ascii="宋体" w:hAnsi="宋体" w:eastAsia="宋体"/>
          <w:color w:val="auto"/>
          <w:sz w:val="24"/>
          <w:szCs w:val="24"/>
        </w:rPr>
        <w:t xml:space="preserve">                                </w:t>
      </w:r>
      <w:r>
        <w:rPr>
          <w:rFonts w:hint="eastAsia" w:ascii="宋体" w:hAnsi="宋体" w:eastAsia="宋体"/>
          <w:color w:val="auto"/>
          <w:sz w:val="24"/>
          <w:szCs w:val="24"/>
          <w:lang w:eastAsia="zh-CN"/>
        </w:rPr>
        <w:t>2025</w:t>
      </w:r>
      <w:r>
        <w:rPr>
          <w:rFonts w:ascii="宋体" w:hAnsi="宋体" w:eastAsia="宋体"/>
          <w:color w:val="auto"/>
          <w:sz w:val="24"/>
          <w:szCs w:val="24"/>
        </w:rPr>
        <w:t>年</w:t>
      </w:r>
      <w:r>
        <w:rPr>
          <w:rFonts w:hint="eastAsia" w:ascii="宋体" w:hAnsi="宋体" w:eastAsia="宋体"/>
          <w:color w:val="auto"/>
          <w:sz w:val="24"/>
          <w:szCs w:val="24"/>
          <w:lang w:val="en-US" w:eastAsia="zh-CN"/>
        </w:rPr>
        <w:t>3</w:t>
      </w:r>
      <w:r>
        <w:rPr>
          <w:rFonts w:ascii="宋体" w:hAnsi="宋体" w:eastAsia="宋体"/>
          <w:color w:val="auto"/>
          <w:sz w:val="24"/>
          <w:szCs w:val="24"/>
        </w:rPr>
        <w:t>月</w:t>
      </w:r>
      <w:r>
        <w:rPr>
          <w:rFonts w:hint="eastAsia" w:ascii="宋体" w:hAnsi="宋体" w:eastAsia="宋体"/>
          <w:color w:val="auto"/>
          <w:sz w:val="24"/>
          <w:szCs w:val="24"/>
          <w:lang w:val="en-US" w:eastAsia="zh-CN"/>
        </w:rPr>
        <w:t>10</w:t>
      </w:r>
      <w:r>
        <w:rPr>
          <w:rFonts w:hint="eastAsia" w:ascii="宋体" w:hAnsi="宋体" w:eastAsia="宋体"/>
          <w:color w:val="auto"/>
          <w:sz w:val="24"/>
          <w:szCs w:val="24"/>
        </w:rPr>
        <w:t>日</w:t>
      </w:r>
    </w:p>
    <w:p w14:paraId="28754D1D">
      <w:pPr>
        <w:shd w:val="clear"/>
        <w:adjustRightInd w:val="0"/>
        <w:snapToGrid w:val="0"/>
        <w:spacing w:line="360" w:lineRule="auto"/>
        <w:jc w:val="center"/>
        <w:outlineLvl w:val="0"/>
        <w:rPr>
          <w:rFonts w:ascii="宋体" w:hAnsi="宋体" w:eastAsia="宋体" w:cs="宋体"/>
          <w:color w:val="auto"/>
          <w:szCs w:val="21"/>
        </w:rPr>
      </w:pPr>
      <w:r>
        <w:rPr>
          <w:rFonts w:ascii="宋体" w:hAnsi="宋体" w:eastAsia="宋体"/>
          <w:color w:val="auto"/>
          <w:sz w:val="24"/>
          <w:szCs w:val="24"/>
        </w:rPr>
        <w:br w:type="page"/>
      </w:r>
      <w:bookmarkStart w:id="13" w:name="_Toc14039"/>
      <w:bookmarkStart w:id="14" w:name="_Toc12975"/>
      <w:r>
        <w:rPr>
          <w:rFonts w:hint="eastAsia" w:ascii="宋体" w:hAnsi="宋体" w:eastAsia="宋体" w:cs="宋体"/>
          <w:b/>
          <w:bCs/>
          <w:color w:val="auto"/>
          <w:sz w:val="32"/>
          <w:szCs w:val="32"/>
        </w:rPr>
        <w:t>第二章  投标须知前附表及投标须知</w:t>
      </w:r>
      <w:bookmarkEnd w:id="13"/>
      <w:bookmarkEnd w:id="14"/>
    </w:p>
    <w:p w14:paraId="1E38BD1C">
      <w:pPr>
        <w:shd w:val="clear"/>
        <w:adjustRightInd w:val="0"/>
        <w:snapToGrid w:val="0"/>
        <w:spacing w:line="312" w:lineRule="auto"/>
        <w:jc w:val="center"/>
        <w:rPr>
          <w:rFonts w:ascii="宋体" w:hAnsi="宋体" w:eastAsia="宋体"/>
          <w:b/>
          <w:color w:val="auto"/>
          <w:sz w:val="24"/>
          <w:szCs w:val="24"/>
        </w:rPr>
      </w:pPr>
      <w:r>
        <w:rPr>
          <w:rFonts w:hint="eastAsia" w:ascii="宋体" w:hAnsi="宋体" w:eastAsia="宋体"/>
          <w:b/>
          <w:color w:val="auto"/>
          <w:sz w:val="24"/>
          <w:szCs w:val="24"/>
        </w:rPr>
        <w:t>一、投标须知前附表</w:t>
      </w:r>
    </w:p>
    <w:tbl>
      <w:tblPr>
        <w:tblStyle w:val="16"/>
        <w:tblW w:w="994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212"/>
        <w:gridCol w:w="7087"/>
      </w:tblGrid>
      <w:tr w14:paraId="657B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40D38B5C">
            <w:pPr>
              <w:shd w:val="clear"/>
              <w:adjustRightInd w:val="0"/>
              <w:snapToGrid w:val="0"/>
              <w:spacing w:before="36" w:beforeLines="15" w:line="312" w:lineRule="auto"/>
              <w:ind w:left="-53" w:leftChars="-25" w:right="-53" w:rightChars="-25"/>
              <w:jc w:val="center"/>
              <w:rPr>
                <w:rFonts w:ascii="宋体" w:hAnsi="宋体" w:eastAsia="宋体"/>
                <w:color w:val="auto"/>
                <w:szCs w:val="21"/>
              </w:rPr>
            </w:pPr>
            <w:r>
              <w:rPr>
                <w:rFonts w:hint="eastAsia" w:ascii="宋体" w:hAnsi="宋体" w:eastAsia="宋体"/>
                <w:color w:val="auto"/>
                <w:szCs w:val="21"/>
              </w:rPr>
              <w:t>序号</w:t>
            </w:r>
          </w:p>
        </w:tc>
        <w:tc>
          <w:tcPr>
            <w:tcW w:w="2212" w:type="dxa"/>
            <w:shd w:val="clear" w:color="auto" w:fill="auto"/>
            <w:vAlign w:val="center"/>
          </w:tcPr>
          <w:p w14:paraId="1440159A">
            <w:pPr>
              <w:shd w:val="clear"/>
              <w:adjustRightInd w:val="0"/>
              <w:snapToGrid w:val="0"/>
              <w:spacing w:before="36" w:beforeLines="15" w:line="312" w:lineRule="auto"/>
              <w:jc w:val="center"/>
              <w:rPr>
                <w:rFonts w:ascii="宋体" w:hAnsi="宋体" w:eastAsia="宋体"/>
                <w:color w:val="auto"/>
                <w:szCs w:val="21"/>
              </w:rPr>
            </w:pPr>
            <w:r>
              <w:rPr>
                <w:rFonts w:hint="eastAsia" w:ascii="宋体" w:hAnsi="宋体" w:eastAsia="宋体"/>
                <w:color w:val="auto"/>
                <w:szCs w:val="21"/>
              </w:rPr>
              <w:t>内容</w:t>
            </w:r>
          </w:p>
        </w:tc>
        <w:tc>
          <w:tcPr>
            <w:tcW w:w="7087" w:type="dxa"/>
            <w:shd w:val="clear" w:color="auto" w:fill="auto"/>
            <w:vAlign w:val="center"/>
          </w:tcPr>
          <w:p w14:paraId="193FAD03">
            <w:pPr>
              <w:shd w:val="clear"/>
              <w:adjustRightInd w:val="0"/>
              <w:snapToGrid w:val="0"/>
              <w:spacing w:before="36" w:beforeLines="15" w:line="312" w:lineRule="auto"/>
              <w:jc w:val="center"/>
              <w:rPr>
                <w:rFonts w:ascii="宋体" w:hAnsi="宋体" w:eastAsia="宋体"/>
                <w:color w:val="auto"/>
                <w:szCs w:val="21"/>
              </w:rPr>
            </w:pPr>
            <w:r>
              <w:rPr>
                <w:rFonts w:hint="eastAsia" w:ascii="宋体" w:hAnsi="宋体" w:eastAsia="宋体"/>
                <w:color w:val="auto"/>
                <w:szCs w:val="21"/>
              </w:rPr>
              <w:t>说明与要求</w:t>
            </w:r>
          </w:p>
        </w:tc>
      </w:tr>
      <w:tr w14:paraId="53FE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16573224">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1</w:t>
            </w:r>
          </w:p>
        </w:tc>
        <w:tc>
          <w:tcPr>
            <w:tcW w:w="2212" w:type="dxa"/>
            <w:shd w:val="clear" w:color="auto" w:fill="auto"/>
            <w:vAlign w:val="center"/>
          </w:tcPr>
          <w:p w14:paraId="556C854C">
            <w:pPr>
              <w:shd w:val="clear"/>
              <w:adjustRightInd w:val="0"/>
              <w:snapToGrid w:val="0"/>
              <w:spacing w:before="24" w:beforeLines="10"/>
              <w:rPr>
                <w:rFonts w:ascii="宋体" w:hAnsi="宋体" w:eastAsia="宋体"/>
                <w:color w:val="auto"/>
                <w:szCs w:val="21"/>
              </w:rPr>
            </w:pPr>
            <w:r>
              <w:rPr>
                <w:rFonts w:hint="eastAsia" w:ascii="宋体" w:hAnsi="宋体" w:eastAsia="宋体"/>
                <w:color w:val="auto"/>
                <w:szCs w:val="21"/>
              </w:rPr>
              <w:t>采购</w:t>
            </w:r>
            <w:r>
              <w:rPr>
                <w:rFonts w:ascii="宋体" w:hAnsi="宋体" w:eastAsia="宋体"/>
                <w:color w:val="auto"/>
                <w:szCs w:val="21"/>
              </w:rPr>
              <w:t>人</w:t>
            </w:r>
          </w:p>
        </w:tc>
        <w:tc>
          <w:tcPr>
            <w:tcW w:w="7087" w:type="dxa"/>
            <w:shd w:val="clear" w:color="auto" w:fill="auto"/>
            <w:vAlign w:val="center"/>
          </w:tcPr>
          <w:p w14:paraId="7D6AE8A9">
            <w:pPr>
              <w:shd w:val="clear"/>
              <w:adjustRightInd w:val="0"/>
              <w:snapToGrid w:val="0"/>
              <w:spacing w:before="24" w:beforeLines="10" w:line="312" w:lineRule="auto"/>
              <w:rPr>
                <w:rFonts w:hint="eastAsia" w:ascii="宋体" w:hAnsi="宋体" w:eastAsia="宋体"/>
                <w:color w:val="auto"/>
                <w:szCs w:val="21"/>
                <w:lang w:eastAsia="zh-CN"/>
              </w:rPr>
            </w:pPr>
            <w:r>
              <w:rPr>
                <w:rFonts w:hint="eastAsia" w:ascii="宋体" w:hAnsi="宋体" w:eastAsia="宋体"/>
                <w:color w:val="auto"/>
                <w:szCs w:val="21"/>
                <w:lang w:eastAsia="zh-CN"/>
              </w:rPr>
              <w:t>龙游县慈善总会</w:t>
            </w:r>
          </w:p>
        </w:tc>
      </w:tr>
      <w:tr w14:paraId="5188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61957481">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2</w:t>
            </w:r>
          </w:p>
        </w:tc>
        <w:tc>
          <w:tcPr>
            <w:tcW w:w="2212" w:type="dxa"/>
            <w:shd w:val="clear" w:color="auto" w:fill="auto"/>
            <w:vAlign w:val="center"/>
          </w:tcPr>
          <w:p w14:paraId="47251216">
            <w:pPr>
              <w:shd w:val="clear"/>
              <w:adjustRightInd w:val="0"/>
              <w:snapToGrid w:val="0"/>
              <w:spacing w:before="24" w:beforeLines="10"/>
              <w:rPr>
                <w:rFonts w:ascii="宋体" w:hAnsi="宋体" w:eastAsia="宋体"/>
                <w:color w:val="auto"/>
                <w:szCs w:val="21"/>
              </w:rPr>
            </w:pPr>
            <w:r>
              <w:rPr>
                <w:rFonts w:ascii="宋体" w:hAnsi="宋体" w:eastAsia="宋体"/>
                <w:color w:val="auto"/>
                <w:szCs w:val="21"/>
              </w:rPr>
              <w:t>项目名称</w:t>
            </w:r>
          </w:p>
        </w:tc>
        <w:tc>
          <w:tcPr>
            <w:tcW w:w="7087" w:type="dxa"/>
            <w:shd w:val="clear" w:color="auto" w:fill="auto"/>
            <w:vAlign w:val="center"/>
          </w:tcPr>
          <w:p w14:paraId="022903BE">
            <w:pPr>
              <w:shd w:val="clear"/>
              <w:adjustRightInd w:val="0"/>
              <w:snapToGrid w:val="0"/>
              <w:spacing w:before="24" w:beforeLines="10" w:line="312" w:lineRule="auto"/>
              <w:rPr>
                <w:rFonts w:hint="eastAsia" w:ascii="宋体" w:hAnsi="宋体" w:eastAsia="宋体"/>
                <w:color w:val="auto"/>
                <w:szCs w:val="21"/>
                <w:lang w:eastAsia="zh-CN"/>
              </w:rPr>
            </w:pPr>
            <w:r>
              <w:rPr>
                <w:rFonts w:hint="eastAsia" w:ascii="新宋体" w:hAnsi="新宋体" w:eastAsia="新宋体"/>
                <w:color w:val="auto"/>
                <w:szCs w:val="21"/>
                <w:lang w:eastAsia="zh-CN"/>
              </w:rPr>
              <w:t>龙游县慈善总会2025年资金竞争性存放采购项目</w:t>
            </w:r>
          </w:p>
        </w:tc>
      </w:tr>
      <w:tr w14:paraId="7BEE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45812E6A">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3</w:t>
            </w:r>
          </w:p>
        </w:tc>
        <w:tc>
          <w:tcPr>
            <w:tcW w:w="2212" w:type="dxa"/>
            <w:shd w:val="clear" w:color="auto" w:fill="auto"/>
            <w:vAlign w:val="center"/>
          </w:tcPr>
          <w:p w14:paraId="03831DC0">
            <w:pPr>
              <w:shd w:val="clear"/>
              <w:adjustRightInd w:val="0"/>
              <w:snapToGrid w:val="0"/>
              <w:spacing w:before="24" w:beforeLines="10"/>
              <w:rPr>
                <w:rFonts w:ascii="宋体" w:hAnsi="宋体" w:eastAsia="宋体"/>
                <w:color w:val="auto"/>
                <w:szCs w:val="21"/>
              </w:rPr>
            </w:pPr>
            <w:r>
              <w:rPr>
                <w:rFonts w:hint="eastAsia" w:ascii="宋体" w:hAnsi="宋体" w:eastAsia="宋体"/>
                <w:color w:val="auto"/>
                <w:szCs w:val="21"/>
              </w:rPr>
              <w:t>项目编号</w:t>
            </w:r>
          </w:p>
        </w:tc>
        <w:tc>
          <w:tcPr>
            <w:tcW w:w="7087" w:type="dxa"/>
            <w:shd w:val="clear" w:color="auto" w:fill="auto"/>
            <w:vAlign w:val="center"/>
          </w:tcPr>
          <w:p w14:paraId="0B420B59">
            <w:pPr>
              <w:shd w:val="clear"/>
              <w:adjustRightInd w:val="0"/>
              <w:snapToGrid w:val="0"/>
              <w:spacing w:before="24" w:beforeLines="10" w:line="312" w:lineRule="auto"/>
              <w:rPr>
                <w:rFonts w:hint="eastAsia" w:ascii="宋体" w:hAnsi="宋体" w:eastAsia="宋体"/>
                <w:color w:val="auto"/>
                <w:szCs w:val="21"/>
                <w:lang w:eastAsia="zh-CN"/>
              </w:rPr>
            </w:pPr>
            <w:r>
              <w:rPr>
                <w:rFonts w:hint="eastAsia" w:ascii="宋体" w:hAnsi="宋体" w:eastAsia="宋体"/>
                <w:color w:val="auto"/>
                <w:szCs w:val="21"/>
                <w:lang w:eastAsia="zh-CN"/>
              </w:rPr>
              <w:t>LYCG2025YX-011</w:t>
            </w:r>
          </w:p>
        </w:tc>
      </w:tr>
      <w:tr w14:paraId="3A44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7C04B110">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4</w:t>
            </w:r>
          </w:p>
        </w:tc>
        <w:tc>
          <w:tcPr>
            <w:tcW w:w="2212" w:type="dxa"/>
            <w:shd w:val="clear" w:color="auto" w:fill="auto"/>
            <w:vAlign w:val="center"/>
          </w:tcPr>
          <w:p w14:paraId="51F44DDD">
            <w:pPr>
              <w:shd w:val="clear"/>
              <w:adjustRightInd w:val="0"/>
              <w:snapToGrid w:val="0"/>
              <w:spacing w:before="24" w:beforeLines="10"/>
              <w:rPr>
                <w:rFonts w:ascii="宋体" w:hAnsi="宋体" w:eastAsia="宋体"/>
                <w:color w:val="auto"/>
                <w:szCs w:val="21"/>
              </w:rPr>
            </w:pPr>
            <w:r>
              <w:rPr>
                <w:rFonts w:hint="eastAsia" w:ascii="宋体" w:hAnsi="宋体" w:eastAsia="宋体"/>
                <w:color w:val="auto"/>
                <w:szCs w:val="21"/>
              </w:rPr>
              <w:t>存放资金</w:t>
            </w:r>
          </w:p>
        </w:tc>
        <w:tc>
          <w:tcPr>
            <w:tcW w:w="7087" w:type="dxa"/>
            <w:shd w:val="clear" w:color="auto" w:fill="auto"/>
            <w:vAlign w:val="center"/>
          </w:tcPr>
          <w:p w14:paraId="2F2B8ACD">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lang w:val="en-US" w:eastAsia="zh-CN"/>
              </w:rPr>
              <w:t>600</w:t>
            </w:r>
            <w:r>
              <w:rPr>
                <w:rFonts w:hint="eastAsia" w:ascii="宋体" w:hAnsi="宋体" w:eastAsia="宋体"/>
                <w:color w:val="auto"/>
                <w:szCs w:val="21"/>
              </w:rPr>
              <w:t>万元。</w:t>
            </w:r>
          </w:p>
        </w:tc>
      </w:tr>
      <w:tr w14:paraId="3F0C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46F4BA77">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5</w:t>
            </w:r>
          </w:p>
        </w:tc>
        <w:tc>
          <w:tcPr>
            <w:tcW w:w="2212" w:type="dxa"/>
            <w:shd w:val="clear" w:color="auto" w:fill="auto"/>
            <w:vAlign w:val="center"/>
          </w:tcPr>
          <w:p w14:paraId="254F83A1">
            <w:pPr>
              <w:shd w:val="clear"/>
              <w:adjustRightInd w:val="0"/>
              <w:snapToGrid w:val="0"/>
              <w:spacing w:before="24" w:beforeLines="10"/>
              <w:rPr>
                <w:rFonts w:ascii="宋体" w:hAnsi="宋体" w:eastAsia="宋体"/>
                <w:color w:val="auto"/>
                <w:szCs w:val="21"/>
              </w:rPr>
            </w:pPr>
            <w:r>
              <w:rPr>
                <w:rFonts w:hint="eastAsia" w:ascii="宋体" w:hAnsi="宋体" w:eastAsia="宋体"/>
                <w:color w:val="auto"/>
                <w:szCs w:val="21"/>
              </w:rPr>
              <w:t>服务期</w:t>
            </w:r>
          </w:p>
        </w:tc>
        <w:tc>
          <w:tcPr>
            <w:tcW w:w="7087" w:type="dxa"/>
            <w:shd w:val="clear" w:color="auto" w:fill="auto"/>
            <w:vAlign w:val="center"/>
          </w:tcPr>
          <w:p w14:paraId="1741B223">
            <w:pPr>
              <w:shd w:val="clear"/>
              <w:adjustRightInd w:val="0"/>
              <w:snapToGrid w:val="0"/>
              <w:spacing w:before="24" w:beforeLines="10" w:line="312" w:lineRule="auto"/>
              <w:rPr>
                <w:rFonts w:ascii="宋体" w:hAnsi="宋体" w:eastAsia="宋体"/>
                <w:color w:val="auto"/>
                <w:szCs w:val="21"/>
              </w:rPr>
            </w:pPr>
            <w:r>
              <w:rPr>
                <w:rFonts w:hint="eastAsia" w:ascii="新宋体" w:hAnsi="新宋体" w:eastAsia="新宋体"/>
                <w:color w:val="auto"/>
                <w:szCs w:val="21"/>
              </w:rPr>
              <w:t>合同签订之日起，至中标额度履行完毕结束。</w:t>
            </w:r>
          </w:p>
        </w:tc>
      </w:tr>
      <w:tr w14:paraId="6F26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488A6DD6">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6</w:t>
            </w:r>
          </w:p>
        </w:tc>
        <w:tc>
          <w:tcPr>
            <w:tcW w:w="2212" w:type="dxa"/>
            <w:shd w:val="clear" w:color="auto" w:fill="auto"/>
            <w:vAlign w:val="center"/>
          </w:tcPr>
          <w:p w14:paraId="479C31FC">
            <w:pPr>
              <w:shd w:val="clear"/>
              <w:adjustRightInd w:val="0"/>
              <w:snapToGrid w:val="0"/>
              <w:spacing w:before="24" w:beforeLines="10"/>
              <w:rPr>
                <w:rFonts w:ascii="宋体" w:hAnsi="宋体" w:eastAsia="宋体"/>
                <w:color w:val="auto"/>
                <w:szCs w:val="21"/>
              </w:rPr>
            </w:pPr>
            <w:r>
              <w:rPr>
                <w:rFonts w:hint="eastAsia" w:ascii="宋体" w:hAnsi="宋体" w:eastAsia="宋体"/>
                <w:color w:val="auto"/>
                <w:szCs w:val="21"/>
              </w:rPr>
              <w:t>投标预备会、答疑</w:t>
            </w:r>
          </w:p>
        </w:tc>
        <w:tc>
          <w:tcPr>
            <w:tcW w:w="7087" w:type="dxa"/>
            <w:shd w:val="clear" w:color="auto" w:fill="auto"/>
            <w:vAlign w:val="center"/>
          </w:tcPr>
          <w:p w14:paraId="74A9AF64">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rPr>
              <w:t>不组织</w:t>
            </w:r>
          </w:p>
        </w:tc>
      </w:tr>
      <w:tr w14:paraId="310B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64621110">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7</w:t>
            </w:r>
          </w:p>
        </w:tc>
        <w:tc>
          <w:tcPr>
            <w:tcW w:w="2212" w:type="dxa"/>
            <w:shd w:val="clear" w:color="auto" w:fill="auto"/>
            <w:vAlign w:val="center"/>
          </w:tcPr>
          <w:p w14:paraId="507436D1">
            <w:pPr>
              <w:shd w:val="clear"/>
              <w:adjustRightInd w:val="0"/>
              <w:snapToGrid w:val="0"/>
              <w:spacing w:before="24" w:beforeLines="10"/>
              <w:rPr>
                <w:rFonts w:ascii="宋体" w:hAnsi="宋体" w:eastAsia="宋体"/>
                <w:color w:val="auto"/>
                <w:szCs w:val="21"/>
              </w:rPr>
            </w:pPr>
            <w:r>
              <w:rPr>
                <w:rFonts w:ascii="宋体" w:hAnsi="宋体" w:eastAsia="宋体"/>
                <w:color w:val="auto"/>
                <w:szCs w:val="21"/>
              </w:rPr>
              <w:t>联合体投标</w:t>
            </w:r>
          </w:p>
        </w:tc>
        <w:tc>
          <w:tcPr>
            <w:tcW w:w="7087" w:type="dxa"/>
            <w:shd w:val="clear" w:color="auto" w:fill="auto"/>
            <w:vAlign w:val="center"/>
          </w:tcPr>
          <w:p w14:paraId="6C4D1325">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rPr>
              <w:t>本项目谢绝联合体投标。</w:t>
            </w:r>
          </w:p>
        </w:tc>
      </w:tr>
      <w:tr w14:paraId="7259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67B0E556">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8</w:t>
            </w:r>
          </w:p>
        </w:tc>
        <w:tc>
          <w:tcPr>
            <w:tcW w:w="2212" w:type="dxa"/>
            <w:shd w:val="clear" w:color="auto" w:fill="auto"/>
            <w:vAlign w:val="center"/>
          </w:tcPr>
          <w:p w14:paraId="325089BA">
            <w:pPr>
              <w:shd w:val="clear"/>
              <w:adjustRightInd w:val="0"/>
              <w:snapToGrid w:val="0"/>
              <w:spacing w:before="24" w:beforeLines="10"/>
              <w:rPr>
                <w:rFonts w:ascii="宋体" w:hAnsi="宋体" w:eastAsia="宋体"/>
                <w:color w:val="auto"/>
                <w:szCs w:val="21"/>
              </w:rPr>
            </w:pPr>
            <w:r>
              <w:rPr>
                <w:rFonts w:ascii="宋体" w:hAnsi="宋体" w:eastAsia="宋体"/>
                <w:color w:val="auto"/>
                <w:szCs w:val="21"/>
              </w:rPr>
              <w:t>投标有效期</w:t>
            </w:r>
          </w:p>
        </w:tc>
        <w:tc>
          <w:tcPr>
            <w:tcW w:w="7087" w:type="dxa"/>
            <w:shd w:val="clear" w:color="auto" w:fill="auto"/>
            <w:vAlign w:val="center"/>
          </w:tcPr>
          <w:p w14:paraId="6CB19BB5">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rPr>
              <w:t>投标文件递交截止之日起</w:t>
            </w:r>
            <w:r>
              <w:rPr>
                <w:rFonts w:ascii="宋体" w:hAnsi="宋体" w:eastAsia="宋体"/>
                <w:color w:val="auto"/>
                <w:szCs w:val="21"/>
              </w:rPr>
              <w:t>90天</w:t>
            </w:r>
          </w:p>
        </w:tc>
      </w:tr>
      <w:tr w14:paraId="771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188C4CCB">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9</w:t>
            </w:r>
          </w:p>
        </w:tc>
        <w:tc>
          <w:tcPr>
            <w:tcW w:w="2212" w:type="dxa"/>
            <w:shd w:val="clear" w:color="auto" w:fill="auto"/>
            <w:vAlign w:val="center"/>
          </w:tcPr>
          <w:p w14:paraId="0BA536D4">
            <w:pPr>
              <w:shd w:val="clear"/>
              <w:adjustRightInd w:val="0"/>
              <w:snapToGrid w:val="0"/>
              <w:spacing w:before="24" w:beforeLines="10"/>
              <w:rPr>
                <w:rFonts w:ascii="宋体" w:hAnsi="宋体" w:eastAsia="宋体"/>
                <w:color w:val="auto"/>
                <w:szCs w:val="21"/>
              </w:rPr>
            </w:pPr>
            <w:r>
              <w:rPr>
                <w:rFonts w:ascii="宋体" w:hAnsi="宋体" w:eastAsia="宋体"/>
                <w:color w:val="auto"/>
                <w:szCs w:val="21"/>
              </w:rPr>
              <w:t>投标保证金</w:t>
            </w:r>
          </w:p>
        </w:tc>
        <w:tc>
          <w:tcPr>
            <w:tcW w:w="7087" w:type="dxa"/>
            <w:shd w:val="clear" w:color="auto" w:fill="auto"/>
            <w:vAlign w:val="center"/>
          </w:tcPr>
          <w:p w14:paraId="3AC3228F">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rPr>
              <w:t>本项目不收取投标保证金</w:t>
            </w:r>
          </w:p>
        </w:tc>
      </w:tr>
      <w:tr w14:paraId="2BC0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1EA7B28A">
            <w:pPr>
              <w:shd w:val="clear"/>
              <w:adjustRightInd w:val="0"/>
              <w:snapToGrid w:val="0"/>
              <w:spacing w:before="24" w:beforeLines="10"/>
              <w:jc w:val="center"/>
              <w:rPr>
                <w:rFonts w:ascii="宋体" w:hAnsi="宋体" w:eastAsia="宋体"/>
                <w:color w:val="auto"/>
                <w:szCs w:val="21"/>
              </w:rPr>
            </w:pPr>
            <w:r>
              <w:rPr>
                <w:rFonts w:ascii="宋体" w:hAnsi="宋体" w:eastAsia="宋体"/>
                <w:color w:val="auto"/>
                <w:szCs w:val="21"/>
              </w:rPr>
              <w:t>10</w:t>
            </w:r>
          </w:p>
        </w:tc>
        <w:tc>
          <w:tcPr>
            <w:tcW w:w="2212" w:type="dxa"/>
            <w:shd w:val="clear" w:color="auto" w:fill="auto"/>
            <w:vAlign w:val="center"/>
          </w:tcPr>
          <w:p w14:paraId="14CA6735">
            <w:pPr>
              <w:shd w:val="clear"/>
              <w:adjustRightInd w:val="0"/>
              <w:snapToGrid w:val="0"/>
              <w:spacing w:before="24" w:beforeLines="10"/>
              <w:rPr>
                <w:rFonts w:ascii="宋体" w:hAnsi="宋体" w:eastAsia="宋体"/>
                <w:color w:val="auto"/>
                <w:szCs w:val="21"/>
              </w:rPr>
            </w:pPr>
            <w:r>
              <w:rPr>
                <w:rFonts w:ascii="宋体" w:hAnsi="宋体" w:eastAsia="宋体"/>
                <w:color w:val="auto"/>
                <w:szCs w:val="21"/>
              </w:rPr>
              <w:t>投标文件</w:t>
            </w:r>
            <w:r>
              <w:rPr>
                <w:rFonts w:hint="eastAsia" w:ascii="宋体" w:hAnsi="宋体" w:eastAsia="宋体"/>
                <w:color w:val="auto"/>
                <w:szCs w:val="21"/>
              </w:rPr>
              <w:t>形式、制作及组成</w:t>
            </w:r>
          </w:p>
        </w:tc>
        <w:tc>
          <w:tcPr>
            <w:tcW w:w="7087" w:type="dxa"/>
            <w:shd w:val="clear" w:color="auto" w:fill="auto"/>
            <w:vAlign w:val="center"/>
          </w:tcPr>
          <w:p w14:paraId="488B5C1A">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rPr>
              <w:t>投标人请准备电子投标文件及备份文件：</w:t>
            </w:r>
          </w:p>
          <w:p w14:paraId="600A5BE2">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电子投标文件按政采云平台《政府采购项目电子交易管理操作指南</w:t>
            </w:r>
            <w:r>
              <w:rPr>
                <w:rFonts w:ascii="宋体" w:hAnsi="宋体" w:eastAsia="宋体"/>
                <w:color w:val="auto"/>
                <w:szCs w:val="21"/>
              </w:rPr>
              <w:t>-供应商</w:t>
            </w:r>
            <w:r>
              <w:rPr>
                <w:rFonts w:hint="eastAsia" w:ascii="宋体" w:hAnsi="宋体" w:eastAsia="宋体"/>
                <w:color w:val="auto"/>
                <w:szCs w:val="21"/>
              </w:rPr>
              <w:t>》“2</w:t>
            </w:r>
            <w:r>
              <w:rPr>
                <w:rFonts w:ascii="宋体" w:hAnsi="宋体" w:eastAsia="宋体"/>
                <w:color w:val="auto"/>
                <w:szCs w:val="21"/>
              </w:rPr>
              <w:t>.3</w:t>
            </w:r>
            <w:r>
              <w:rPr>
                <w:rFonts w:hint="eastAsia" w:ascii="宋体" w:hAnsi="宋体" w:eastAsia="宋体"/>
                <w:color w:val="auto"/>
                <w:szCs w:val="21"/>
              </w:rPr>
              <w:t>投标文件制作、上传”</w:t>
            </w:r>
            <w:r>
              <w:rPr>
                <w:rFonts w:ascii="宋体" w:hAnsi="宋体" w:eastAsia="宋体"/>
                <w:color w:val="auto"/>
                <w:szCs w:val="21"/>
              </w:rPr>
              <w:t>及本招标文件要求制作</w:t>
            </w:r>
            <w:r>
              <w:rPr>
                <w:rFonts w:hint="eastAsia" w:ascii="宋体" w:hAnsi="宋体" w:eastAsia="宋体"/>
                <w:color w:val="auto"/>
                <w:szCs w:val="21"/>
              </w:rPr>
              <w:t>递交</w:t>
            </w:r>
            <w:r>
              <w:rPr>
                <w:rFonts w:ascii="宋体" w:hAnsi="宋体" w:eastAsia="宋体"/>
                <w:color w:val="auto"/>
                <w:szCs w:val="21"/>
              </w:rPr>
              <w:t>。网址：</w:t>
            </w:r>
          </w:p>
          <w:p w14:paraId="5D0AFBF4">
            <w:pPr>
              <w:shd w:val="clear"/>
              <w:adjustRightInd w:val="0"/>
              <w:snapToGrid w:val="0"/>
              <w:spacing w:line="312" w:lineRule="auto"/>
              <w:rPr>
                <w:rFonts w:ascii="宋体" w:hAnsi="宋体" w:eastAsia="宋体"/>
                <w:color w:val="auto"/>
                <w:szCs w:val="21"/>
              </w:rPr>
            </w:pPr>
            <w:r>
              <w:rPr>
                <w:rFonts w:ascii="宋体" w:hAnsi="宋体" w:eastAsia="宋体"/>
                <w:color w:val="auto"/>
                <w:szCs w:val="21"/>
              </w:rPr>
              <w:t>https://service.zcygov.cn/#/knowledges/CW1EtGwBFdiHxlNd6I3m/6IMVAG0BFdiHxlNdQ8Na</w:t>
            </w:r>
          </w:p>
          <w:p w14:paraId="4A495439">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2）投标文件均由资格审查文件、商务技术文件、报价文件组成。</w:t>
            </w:r>
          </w:p>
        </w:tc>
      </w:tr>
      <w:tr w14:paraId="0CA3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1EEAF5E0">
            <w:pPr>
              <w:shd w:val="clear"/>
              <w:adjustRightInd w:val="0"/>
              <w:snapToGrid w:val="0"/>
              <w:spacing w:before="24" w:beforeLines="10"/>
              <w:jc w:val="center"/>
              <w:rPr>
                <w:rFonts w:ascii="宋体" w:hAnsi="宋体" w:eastAsia="宋体"/>
                <w:color w:val="auto"/>
                <w:szCs w:val="21"/>
              </w:rPr>
            </w:pPr>
            <w:r>
              <w:rPr>
                <w:rFonts w:hint="eastAsia" w:ascii="宋体" w:hAnsi="宋体" w:eastAsia="宋体"/>
                <w:color w:val="auto"/>
                <w:szCs w:val="21"/>
              </w:rPr>
              <w:t>11</w:t>
            </w:r>
          </w:p>
        </w:tc>
        <w:tc>
          <w:tcPr>
            <w:tcW w:w="2212" w:type="dxa"/>
            <w:shd w:val="clear" w:color="auto" w:fill="auto"/>
            <w:vAlign w:val="center"/>
          </w:tcPr>
          <w:p w14:paraId="793995BE">
            <w:pPr>
              <w:shd w:val="clear"/>
              <w:adjustRightInd w:val="0"/>
              <w:snapToGrid w:val="0"/>
              <w:spacing w:before="24" w:beforeLines="10"/>
              <w:ind w:left="-53" w:leftChars="-25" w:right="-53" w:rightChars="-25"/>
              <w:rPr>
                <w:rFonts w:ascii="宋体" w:hAnsi="宋体" w:eastAsia="宋体"/>
                <w:color w:val="auto"/>
                <w:szCs w:val="21"/>
              </w:rPr>
            </w:pPr>
            <w:r>
              <w:rPr>
                <w:rFonts w:ascii="宋体" w:hAnsi="宋体" w:eastAsia="宋体"/>
                <w:color w:val="auto"/>
                <w:szCs w:val="21"/>
              </w:rPr>
              <w:t>投标文件递交截止时间</w:t>
            </w:r>
          </w:p>
        </w:tc>
        <w:tc>
          <w:tcPr>
            <w:tcW w:w="7087" w:type="dxa"/>
            <w:shd w:val="clear" w:color="auto" w:fill="auto"/>
            <w:vAlign w:val="center"/>
          </w:tcPr>
          <w:p w14:paraId="20BA3522">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lang w:eastAsia="zh-CN"/>
              </w:rPr>
              <w:t>2025</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18</w:t>
            </w:r>
            <w:r>
              <w:rPr>
                <w:rFonts w:ascii="宋体" w:hAnsi="宋体" w:eastAsia="宋体"/>
                <w:color w:val="auto"/>
                <w:szCs w:val="21"/>
              </w:rPr>
              <w:t>日</w:t>
            </w:r>
            <w:r>
              <w:rPr>
                <w:rFonts w:hint="eastAsia" w:ascii="宋体" w:hAnsi="宋体" w:eastAsia="宋体"/>
                <w:color w:val="auto"/>
                <w:szCs w:val="21"/>
                <w:lang w:val="en-US" w:eastAsia="zh-CN"/>
              </w:rPr>
              <w:t>09</w:t>
            </w:r>
            <w:r>
              <w:rPr>
                <w:rFonts w:ascii="宋体" w:hAnsi="宋体" w:eastAsia="宋体"/>
                <w:color w:val="auto"/>
                <w:szCs w:val="21"/>
              </w:rPr>
              <w:t>:</w:t>
            </w:r>
            <w:r>
              <w:rPr>
                <w:rFonts w:hint="eastAsia" w:ascii="宋体" w:hAnsi="宋体" w:eastAsia="宋体"/>
                <w:color w:val="auto"/>
                <w:szCs w:val="21"/>
                <w:lang w:val="en-US" w:eastAsia="zh-CN"/>
              </w:rPr>
              <w:t>3</w:t>
            </w:r>
            <w:r>
              <w:rPr>
                <w:rFonts w:ascii="宋体" w:hAnsi="宋体" w:eastAsia="宋体"/>
                <w:color w:val="auto"/>
                <w:szCs w:val="21"/>
              </w:rPr>
              <w:t>0(北京时间)</w:t>
            </w:r>
          </w:p>
        </w:tc>
      </w:tr>
      <w:tr w14:paraId="11CA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02D10302">
            <w:pPr>
              <w:shd w:val="clear"/>
              <w:adjustRightInd w:val="0"/>
              <w:snapToGrid w:val="0"/>
              <w:spacing w:before="24" w:beforeLines="10"/>
              <w:jc w:val="center"/>
              <w:rPr>
                <w:rFonts w:ascii="宋体" w:hAnsi="宋体" w:eastAsia="宋体"/>
                <w:color w:val="auto"/>
                <w:szCs w:val="21"/>
              </w:rPr>
            </w:pPr>
            <w:r>
              <w:rPr>
                <w:rFonts w:hint="eastAsia" w:ascii="宋体" w:hAnsi="宋体" w:eastAsia="宋体"/>
                <w:color w:val="auto"/>
                <w:szCs w:val="21"/>
              </w:rPr>
              <w:t>12</w:t>
            </w:r>
          </w:p>
        </w:tc>
        <w:tc>
          <w:tcPr>
            <w:tcW w:w="2212" w:type="dxa"/>
            <w:shd w:val="clear" w:color="auto" w:fill="auto"/>
            <w:vAlign w:val="center"/>
          </w:tcPr>
          <w:p w14:paraId="677CE3B1">
            <w:pPr>
              <w:shd w:val="clear"/>
              <w:adjustRightInd w:val="0"/>
              <w:snapToGrid w:val="0"/>
              <w:spacing w:before="24" w:beforeLines="10"/>
              <w:rPr>
                <w:rFonts w:ascii="宋体" w:hAnsi="宋体" w:eastAsia="宋体"/>
                <w:color w:val="auto"/>
                <w:szCs w:val="21"/>
              </w:rPr>
            </w:pPr>
            <w:r>
              <w:rPr>
                <w:rFonts w:ascii="宋体" w:hAnsi="宋体" w:eastAsia="宋体"/>
                <w:color w:val="auto"/>
                <w:szCs w:val="21"/>
              </w:rPr>
              <w:t>开标地点</w:t>
            </w:r>
          </w:p>
        </w:tc>
        <w:tc>
          <w:tcPr>
            <w:tcW w:w="7087" w:type="dxa"/>
            <w:shd w:val="clear" w:color="auto" w:fill="auto"/>
            <w:vAlign w:val="center"/>
          </w:tcPr>
          <w:p w14:paraId="3B085E9D">
            <w:pPr>
              <w:shd w:val="clear"/>
              <w:adjustRightInd w:val="0"/>
              <w:snapToGrid w:val="0"/>
              <w:spacing w:before="24" w:beforeLines="10" w:line="312" w:lineRule="auto"/>
              <w:rPr>
                <w:rFonts w:ascii="宋体" w:hAnsi="宋体" w:eastAsia="宋体"/>
                <w:color w:val="auto"/>
                <w:szCs w:val="21"/>
              </w:rPr>
            </w:pPr>
            <w:r>
              <w:rPr>
                <w:rFonts w:hint="eastAsia" w:ascii="宋体" w:hAnsi="宋体" w:eastAsia="宋体"/>
                <w:color w:val="auto"/>
                <w:szCs w:val="21"/>
              </w:rPr>
              <w:t>衢州市公共资源交易中心龙游分中心1楼</w:t>
            </w:r>
            <w:r>
              <w:rPr>
                <w:rFonts w:hint="eastAsia" w:ascii="宋体" w:hAnsi="宋体" w:eastAsia="宋体"/>
                <w:color w:val="auto"/>
                <w:szCs w:val="21"/>
                <w:lang w:val="en-US" w:eastAsia="zh-CN"/>
              </w:rPr>
              <w:t>3</w:t>
            </w:r>
            <w:bookmarkStart w:id="90" w:name="_GoBack"/>
            <w:bookmarkEnd w:id="90"/>
            <w:r>
              <w:rPr>
                <w:rFonts w:hint="eastAsia" w:ascii="宋体" w:hAnsi="宋体" w:eastAsia="宋体"/>
                <w:color w:val="auto"/>
                <w:szCs w:val="21"/>
              </w:rPr>
              <w:t>号评标室、政采云平台</w:t>
            </w:r>
          </w:p>
        </w:tc>
      </w:tr>
      <w:tr w14:paraId="0688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416342F5">
            <w:pPr>
              <w:shd w:val="clear"/>
              <w:adjustRightInd w:val="0"/>
              <w:snapToGrid w:val="0"/>
              <w:spacing w:before="24" w:beforeLines="10"/>
              <w:jc w:val="center"/>
              <w:rPr>
                <w:rFonts w:ascii="宋体" w:hAnsi="宋体" w:eastAsia="宋体"/>
                <w:color w:val="auto"/>
                <w:szCs w:val="21"/>
              </w:rPr>
            </w:pPr>
            <w:r>
              <w:rPr>
                <w:rFonts w:hint="eastAsia" w:ascii="宋体" w:hAnsi="宋体" w:eastAsia="宋体"/>
                <w:color w:val="auto"/>
                <w:szCs w:val="21"/>
              </w:rPr>
              <w:t>13</w:t>
            </w:r>
          </w:p>
        </w:tc>
        <w:tc>
          <w:tcPr>
            <w:tcW w:w="2212" w:type="dxa"/>
            <w:shd w:val="clear" w:color="auto" w:fill="auto"/>
            <w:vAlign w:val="center"/>
          </w:tcPr>
          <w:p w14:paraId="58EA4854">
            <w:pPr>
              <w:shd w:val="clear"/>
              <w:adjustRightInd w:val="0"/>
              <w:snapToGrid w:val="0"/>
              <w:spacing w:before="24" w:beforeLines="10"/>
              <w:rPr>
                <w:rFonts w:ascii="宋体" w:hAnsi="宋体" w:eastAsia="宋体"/>
                <w:color w:val="auto"/>
                <w:szCs w:val="21"/>
              </w:rPr>
            </w:pPr>
            <w:r>
              <w:rPr>
                <w:rFonts w:ascii="宋体" w:hAnsi="宋体" w:eastAsia="宋体"/>
                <w:color w:val="auto"/>
                <w:szCs w:val="21"/>
              </w:rPr>
              <w:t>开标时间</w:t>
            </w:r>
          </w:p>
        </w:tc>
        <w:tc>
          <w:tcPr>
            <w:tcW w:w="7087" w:type="dxa"/>
            <w:shd w:val="clear" w:color="auto" w:fill="auto"/>
          </w:tcPr>
          <w:p w14:paraId="234E9100">
            <w:pPr>
              <w:shd w:val="clear"/>
              <w:rPr>
                <w:rFonts w:ascii="宋体" w:hAnsi="宋体" w:eastAsia="宋体"/>
                <w:color w:val="auto"/>
              </w:rPr>
            </w:pPr>
            <w:r>
              <w:rPr>
                <w:rFonts w:hint="eastAsia" w:ascii="宋体" w:hAnsi="宋体" w:eastAsia="宋体"/>
                <w:color w:val="auto"/>
                <w:szCs w:val="21"/>
                <w:lang w:eastAsia="zh-CN"/>
              </w:rPr>
              <w:t>2025</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18</w:t>
            </w:r>
            <w:r>
              <w:rPr>
                <w:rFonts w:ascii="宋体" w:hAnsi="宋体" w:eastAsia="宋体"/>
                <w:color w:val="auto"/>
                <w:szCs w:val="21"/>
              </w:rPr>
              <w:t>日</w:t>
            </w:r>
            <w:r>
              <w:rPr>
                <w:rFonts w:hint="eastAsia" w:ascii="宋体" w:hAnsi="宋体" w:eastAsia="宋体"/>
                <w:color w:val="auto"/>
                <w:szCs w:val="21"/>
                <w:lang w:val="en-US" w:eastAsia="zh-CN"/>
              </w:rPr>
              <w:t>09</w:t>
            </w:r>
            <w:r>
              <w:rPr>
                <w:rFonts w:ascii="宋体" w:hAnsi="宋体" w:eastAsia="宋体"/>
                <w:color w:val="auto"/>
                <w:szCs w:val="21"/>
              </w:rPr>
              <w:t>:</w:t>
            </w:r>
            <w:r>
              <w:rPr>
                <w:rFonts w:hint="eastAsia" w:ascii="宋体" w:hAnsi="宋体" w:eastAsia="宋体"/>
                <w:color w:val="auto"/>
                <w:szCs w:val="21"/>
                <w:lang w:val="en-US" w:eastAsia="zh-CN"/>
              </w:rPr>
              <w:t>3</w:t>
            </w:r>
            <w:r>
              <w:rPr>
                <w:rFonts w:ascii="宋体" w:hAnsi="宋体" w:eastAsia="宋体"/>
                <w:color w:val="auto"/>
                <w:szCs w:val="21"/>
              </w:rPr>
              <w:t>0(北京时间)</w:t>
            </w:r>
          </w:p>
        </w:tc>
      </w:tr>
      <w:tr w14:paraId="66F6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Merge w:val="restart"/>
            <w:shd w:val="clear" w:color="auto" w:fill="auto"/>
            <w:vAlign w:val="center"/>
          </w:tcPr>
          <w:p w14:paraId="1751EF6C">
            <w:pPr>
              <w:shd w:val="clear"/>
              <w:adjustRightInd w:val="0"/>
              <w:snapToGrid w:val="0"/>
              <w:spacing w:before="24" w:beforeLines="10"/>
              <w:jc w:val="center"/>
              <w:rPr>
                <w:rFonts w:ascii="宋体" w:hAnsi="宋体" w:eastAsia="宋体"/>
                <w:color w:val="auto"/>
                <w:szCs w:val="21"/>
              </w:rPr>
            </w:pPr>
            <w:r>
              <w:rPr>
                <w:rFonts w:hint="eastAsia" w:ascii="宋体" w:hAnsi="宋体" w:eastAsia="宋体"/>
                <w:color w:val="auto"/>
                <w:szCs w:val="21"/>
              </w:rPr>
              <w:t>14</w:t>
            </w:r>
          </w:p>
        </w:tc>
        <w:tc>
          <w:tcPr>
            <w:tcW w:w="2212" w:type="dxa"/>
            <w:shd w:val="clear" w:color="auto" w:fill="auto"/>
            <w:vAlign w:val="center"/>
          </w:tcPr>
          <w:p w14:paraId="0DC2F64C">
            <w:pPr>
              <w:shd w:val="clear"/>
              <w:adjustRightInd w:val="0"/>
              <w:snapToGrid w:val="0"/>
              <w:spacing w:before="24" w:beforeLines="10"/>
              <w:rPr>
                <w:rFonts w:ascii="宋体" w:hAnsi="宋体" w:eastAsia="宋体"/>
                <w:color w:val="auto"/>
                <w:szCs w:val="21"/>
              </w:rPr>
            </w:pPr>
            <w:r>
              <w:rPr>
                <w:rFonts w:hint="eastAsia" w:ascii="宋体" w:hAnsi="宋体" w:eastAsia="宋体"/>
                <w:color w:val="auto"/>
                <w:szCs w:val="21"/>
              </w:rPr>
              <w:t>电子投标文件的传输递交</w:t>
            </w:r>
          </w:p>
        </w:tc>
        <w:tc>
          <w:tcPr>
            <w:tcW w:w="7087" w:type="dxa"/>
            <w:shd w:val="clear" w:color="auto" w:fill="auto"/>
          </w:tcPr>
          <w:p w14:paraId="2F9CB141">
            <w:pPr>
              <w:shd w:val="clear"/>
              <w:rPr>
                <w:rFonts w:ascii="宋体" w:hAnsi="宋体" w:eastAsia="宋体"/>
                <w:color w:val="auto"/>
              </w:rPr>
            </w:pPr>
            <w:r>
              <w:rPr>
                <w:rFonts w:ascii="宋体" w:hAnsi="宋体" w:eastAsia="宋体"/>
                <w:color w:val="auto"/>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484C3157">
            <w:pPr>
              <w:shd w:val="clear"/>
              <w:rPr>
                <w:rFonts w:ascii="宋体" w:hAnsi="宋体" w:eastAsia="宋体"/>
                <w:color w:val="auto"/>
              </w:rPr>
            </w:pPr>
            <w:r>
              <w:rPr>
                <w:rFonts w:hint="eastAsia" w:ascii="宋体" w:hAnsi="宋体" w:eastAsia="宋体"/>
                <w:b/>
                <w:bCs/>
                <w:color w:val="auto"/>
              </w:rPr>
              <w:t>投标人应在投标截止时间起规定的时间内完成电子文件的解密。</w:t>
            </w:r>
          </w:p>
        </w:tc>
      </w:tr>
      <w:tr w14:paraId="078D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Merge w:val="continue"/>
            <w:shd w:val="clear" w:color="auto" w:fill="auto"/>
            <w:vAlign w:val="center"/>
          </w:tcPr>
          <w:p w14:paraId="241E15E2">
            <w:pPr>
              <w:shd w:val="clear"/>
              <w:adjustRightInd w:val="0"/>
              <w:snapToGrid w:val="0"/>
              <w:spacing w:before="24" w:beforeLines="10"/>
              <w:jc w:val="center"/>
              <w:rPr>
                <w:rFonts w:ascii="宋体" w:hAnsi="宋体" w:eastAsia="宋体"/>
                <w:color w:val="auto"/>
                <w:szCs w:val="21"/>
              </w:rPr>
            </w:pPr>
          </w:p>
        </w:tc>
        <w:tc>
          <w:tcPr>
            <w:tcW w:w="2212" w:type="dxa"/>
            <w:shd w:val="clear" w:color="auto" w:fill="auto"/>
            <w:vAlign w:val="center"/>
          </w:tcPr>
          <w:p w14:paraId="22CA557C">
            <w:pPr>
              <w:shd w:val="clear"/>
              <w:adjustRightInd w:val="0"/>
              <w:snapToGrid w:val="0"/>
              <w:spacing w:before="24" w:beforeLines="10"/>
              <w:rPr>
                <w:rFonts w:ascii="宋体" w:hAnsi="宋体" w:eastAsia="宋体"/>
                <w:color w:val="auto"/>
                <w:szCs w:val="21"/>
              </w:rPr>
            </w:pPr>
            <w:r>
              <w:rPr>
                <w:rFonts w:hint="eastAsia" w:ascii="宋体" w:hAnsi="宋体" w:eastAsia="宋体"/>
                <w:color w:val="auto"/>
                <w:szCs w:val="21"/>
              </w:rPr>
              <w:t>电子备份文件递交</w:t>
            </w:r>
          </w:p>
        </w:tc>
        <w:tc>
          <w:tcPr>
            <w:tcW w:w="7087" w:type="dxa"/>
            <w:shd w:val="clear" w:color="auto" w:fill="auto"/>
          </w:tcPr>
          <w:p w14:paraId="68199CB5">
            <w:pPr>
              <w:shd w:val="clear"/>
              <w:rPr>
                <w:rFonts w:ascii="宋体" w:hAnsi="宋体" w:eastAsia="宋体"/>
                <w:color w:val="auto"/>
              </w:rPr>
            </w:pPr>
            <w:r>
              <w:rPr>
                <w:rFonts w:hint="eastAsia" w:ascii="宋体" w:hAnsi="宋体" w:eastAsia="宋体"/>
                <w:color w:val="auto"/>
              </w:rPr>
              <w:t>备份文件，由供应商自行确定是否提交；若提交请将备份文件压缩加密后以电子邮件的形式发送至</w:t>
            </w:r>
            <w:r>
              <w:rPr>
                <w:rFonts w:hint="eastAsia" w:ascii="宋体" w:hAnsi="宋体" w:eastAsia="宋体"/>
                <w:color w:val="auto"/>
                <w:lang w:eastAsia="zh-CN"/>
              </w:rPr>
              <w:t>951172785</w:t>
            </w:r>
            <w:r>
              <w:rPr>
                <w:rFonts w:hint="eastAsia" w:ascii="宋体" w:hAnsi="宋体" w:eastAsia="宋体"/>
                <w:color w:val="auto"/>
              </w:rPr>
              <w:t>@qq.com</w:t>
            </w:r>
            <w:r>
              <w:rPr>
                <w:rFonts w:ascii="宋体" w:hAnsi="宋体" w:eastAsia="宋体"/>
                <w:color w:val="auto"/>
              </w:rPr>
              <w:t>。</w:t>
            </w:r>
          </w:p>
          <w:p w14:paraId="130EA20A">
            <w:pPr>
              <w:shd w:val="clear"/>
              <w:rPr>
                <w:rFonts w:ascii="宋体" w:hAnsi="宋体" w:eastAsia="宋体"/>
                <w:color w:val="auto"/>
              </w:rPr>
            </w:pPr>
            <w:r>
              <w:rPr>
                <w:rFonts w:hint="eastAsia" w:ascii="宋体" w:hAnsi="宋体" w:eastAsia="宋体"/>
                <w:color w:val="auto"/>
              </w:rPr>
              <w:t>注：供应商在线解密失败后，启用备份文件，否则不启用备份文件。</w:t>
            </w:r>
          </w:p>
        </w:tc>
      </w:tr>
      <w:tr w14:paraId="6DB7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3" w:type="dxa"/>
            <w:shd w:val="clear" w:color="auto" w:fill="auto"/>
            <w:vAlign w:val="center"/>
          </w:tcPr>
          <w:p w14:paraId="1C32793C">
            <w:pPr>
              <w:shd w:val="clear"/>
              <w:adjustRightInd w:val="0"/>
              <w:snapToGrid w:val="0"/>
              <w:spacing w:before="24" w:beforeLines="10"/>
              <w:jc w:val="center"/>
              <w:rPr>
                <w:rFonts w:ascii="宋体" w:hAnsi="宋体" w:eastAsia="宋体"/>
                <w:color w:val="auto"/>
                <w:szCs w:val="21"/>
              </w:rPr>
            </w:pPr>
            <w:r>
              <w:rPr>
                <w:rFonts w:hint="eastAsia" w:ascii="宋体" w:hAnsi="宋体" w:eastAsia="宋体"/>
                <w:color w:val="auto"/>
                <w:szCs w:val="21"/>
              </w:rPr>
              <w:t>15</w:t>
            </w:r>
          </w:p>
        </w:tc>
        <w:tc>
          <w:tcPr>
            <w:tcW w:w="2212" w:type="dxa"/>
            <w:shd w:val="clear" w:color="auto" w:fill="auto"/>
            <w:vAlign w:val="center"/>
          </w:tcPr>
          <w:p w14:paraId="736B4ADD">
            <w:pPr>
              <w:shd w:val="clear"/>
              <w:adjustRightInd w:val="0"/>
              <w:snapToGrid w:val="0"/>
              <w:spacing w:before="24" w:beforeLines="10"/>
              <w:rPr>
                <w:rFonts w:ascii="宋体" w:hAnsi="宋体" w:eastAsia="宋体"/>
                <w:color w:val="auto"/>
                <w:szCs w:val="21"/>
              </w:rPr>
            </w:pPr>
            <w:r>
              <w:rPr>
                <w:rFonts w:ascii="宋体" w:hAnsi="宋体" w:eastAsia="宋体"/>
                <w:color w:val="auto"/>
                <w:szCs w:val="21"/>
              </w:rPr>
              <w:t>签订合同</w:t>
            </w:r>
          </w:p>
        </w:tc>
        <w:tc>
          <w:tcPr>
            <w:tcW w:w="7087" w:type="dxa"/>
            <w:shd w:val="clear" w:color="auto" w:fill="auto"/>
            <w:vAlign w:val="center"/>
          </w:tcPr>
          <w:p w14:paraId="018C0525">
            <w:pPr>
              <w:shd w:val="clear"/>
              <w:rPr>
                <w:rFonts w:ascii="宋体" w:hAnsi="宋体" w:eastAsia="宋体"/>
                <w:color w:val="auto"/>
              </w:rPr>
            </w:pPr>
            <w:r>
              <w:rPr>
                <w:rFonts w:hint="eastAsia" w:ascii="宋体" w:hAnsi="宋体" w:eastAsia="宋体"/>
                <w:color w:val="auto"/>
              </w:rPr>
              <w:t>采购人通知办理资金存放手续之日起5个工作日</w:t>
            </w:r>
            <w:r>
              <w:rPr>
                <w:rFonts w:ascii="宋体" w:hAnsi="宋体" w:eastAsia="宋体"/>
                <w:color w:val="auto"/>
              </w:rPr>
              <w:t>内签订合同。</w:t>
            </w:r>
          </w:p>
        </w:tc>
      </w:tr>
      <w:tr w14:paraId="0F63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7A417A0A">
            <w:pPr>
              <w:pStyle w:val="9"/>
              <w:shd w:val="clear"/>
              <w:snapToGrid w:val="0"/>
              <w:spacing w:line="420" w:lineRule="exact"/>
              <w:jc w:val="center"/>
              <w:rPr>
                <w:rFonts w:hAnsi="宋体"/>
                <w:color w:val="auto"/>
              </w:rPr>
            </w:pPr>
            <w:r>
              <w:rPr>
                <w:rFonts w:hint="eastAsia" w:hAnsi="宋体"/>
                <w:color w:val="auto"/>
              </w:rPr>
              <w:t>1</w:t>
            </w:r>
            <w:r>
              <w:rPr>
                <w:rFonts w:hAnsi="宋体"/>
                <w:color w:val="auto"/>
              </w:rPr>
              <w:t>6</w:t>
            </w:r>
          </w:p>
        </w:tc>
        <w:tc>
          <w:tcPr>
            <w:tcW w:w="2212" w:type="dxa"/>
            <w:shd w:val="clear" w:color="auto" w:fill="auto"/>
            <w:vAlign w:val="center"/>
          </w:tcPr>
          <w:p w14:paraId="109EF52B">
            <w:pPr>
              <w:pStyle w:val="9"/>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Ansi="宋体"/>
                <w:color w:val="auto"/>
              </w:rPr>
            </w:pPr>
            <w:r>
              <w:rPr>
                <w:rFonts w:hint="eastAsia" w:hAnsi="宋体"/>
                <w:color w:val="auto"/>
              </w:rPr>
              <w:t>采购公告，更正、补充、澄清公告，中标公告，合同公告发布网址</w:t>
            </w:r>
          </w:p>
        </w:tc>
        <w:tc>
          <w:tcPr>
            <w:tcW w:w="7087" w:type="dxa"/>
            <w:shd w:val="clear" w:color="auto" w:fill="auto"/>
            <w:vAlign w:val="center"/>
          </w:tcPr>
          <w:p w14:paraId="66A50F1A">
            <w:pPr>
              <w:pStyle w:val="9"/>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Ansi="宋体"/>
                <w:color w:val="auto"/>
              </w:rPr>
            </w:pPr>
            <w:r>
              <w:rPr>
                <w:rStyle w:val="30"/>
                <w:rFonts w:hint="default"/>
                <w:color w:val="auto"/>
              </w:rPr>
              <w:t>zfcg.czt.zj.gov.cn（浙江政府采购网）</w:t>
            </w:r>
          </w:p>
        </w:tc>
      </w:tr>
      <w:tr w14:paraId="75AD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16E4D477">
            <w:pPr>
              <w:pStyle w:val="9"/>
              <w:shd w:val="clear"/>
              <w:snapToGrid w:val="0"/>
              <w:spacing w:line="420" w:lineRule="exact"/>
              <w:jc w:val="center"/>
              <w:rPr>
                <w:rFonts w:hAnsi="宋体"/>
                <w:color w:val="auto"/>
              </w:rPr>
            </w:pPr>
            <w:r>
              <w:rPr>
                <w:rFonts w:hint="eastAsia" w:hAnsi="宋体"/>
                <w:color w:val="auto"/>
              </w:rPr>
              <w:t>17</w:t>
            </w:r>
          </w:p>
        </w:tc>
        <w:tc>
          <w:tcPr>
            <w:tcW w:w="2212" w:type="dxa"/>
            <w:shd w:val="clear" w:color="auto" w:fill="auto"/>
            <w:vAlign w:val="center"/>
          </w:tcPr>
          <w:p w14:paraId="6687BF71">
            <w:pPr>
              <w:pStyle w:val="9"/>
              <w:shd w:val="clear"/>
              <w:snapToGrid w:val="0"/>
              <w:spacing w:line="380" w:lineRule="exact"/>
              <w:rPr>
                <w:rFonts w:hAnsi="宋体"/>
                <w:color w:val="auto"/>
              </w:rPr>
            </w:pPr>
            <w:r>
              <w:rPr>
                <w:rFonts w:hint="eastAsia" w:hAnsi="宋体"/>
                <w:color w:val="auto"/>
              </w:rPr>
              <w:t>其他</w:t>
            </w:r>
          </w:p>
        </w:tc>
        <w:tc>
          <w:tcPr>
            <w:tcW w:w="7087" w:type="dxa"/>
            <w:shd w:val="clear" w:color="auto" w:fill="auto"/>
            <w:vAlign w:val="center"/>
          </w:tcPr>
          <w:p w14:paraId="142D4438">
            <w:pPr>
              <w:pStyle w:val="9"/>
              <w:shd w:val="clear"/>
              <w:snapToGrid w:val="0"/>
              <w:spacing w:line="420" w:lineRule="exact"/>
              <w:rPr>
                <w:rStyle w:val="30"/>
                <w:rFonts w:hint="default"/>
                <w:color w:val="auto"/>
              </w:rPr>
            </w:pPr>
            <w:r>
              <w:rPr>
                <w:rFonts w:hint="eastAsia" w:hAnsi="宋体"/>
                <w:color w:val="auto"/>
                <w:szCs w:val="22"/>
              </w:rPr>
              <w:t>以上内容如有变化将另行通知，如通知其中某一项内容发生变化，其余未提及的内容将不作变动。</w:t>
            </w:r>
          </w:p>
        </w:tc>
      </w:tr>
    </w:tbl>
    <w:p w14:paraId="7B53B569">
      <w:pPr>
        <w:shd w:val="clear"/>
        <w:adjustRightInd w:val="0"/>
        <w:snapToGrid w:val="0"/>
        <w:spacing w:before="120" w:beforeLines="50"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二、投标须知</w:t>
      </w:r>
    </w:p>
    <w:p w14:paraId="26325F6F">
      <w:pPr>
        <w:shd w:val="clear"/>
        <w:adjustRightInd w:val="0"/>
        <w:snapToGrid w:val="0"/>
        <w:spacing w:line="312" w:lineRule="auto"/>
        <w:ind w:firstLine="480" w:firstLineChars="200"/>
        <w:outlineLvl w:val="1"/>
        <w:rPr>
          <w:rFonts w:ascii="宋体" w:hAnsi="宋体" w:eastAsia="宋体"/>
          <w:color w:val="auto"/>
          <w:sz w:val="24"/>
          <w:szCs w:val="24"/>
        </w:rPr>
      </w:pPr>
      <w:bookmarkStart w:id="15" w:name="_Toc28386"/>
      <w:r>
        <w:rPr>
          <w:rFonts w:ascii="宋体" w:hAnsi="宋体" w:eastAsia="宋体"/>
          <w:color w:val="auto"/>
          <w:sz w:val="24"/>
          <w:szCs w:val="24"/>
        </w:rPr>
        <w:t>1.适用范围</w:t>
      </w:r>
      <w:bookmarkEnd w:id="15"/>
    </w:p>
    <w:p w14:paraId="4195D582">
      <w:pPr>
        <w:shd w:val="clear"/>
        <w:adjustRightInd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olor w:val="auto"/>
          <w:sz w:val="24"/>
          <w:szCs w:val="24"/>
        </w:rPr>
        <w:t>本招标文件仅适用于本次采购项目的招标、投标、评标、定标、验收、合同履约、</w:t>
      </w:r>
      <w:r>
        <w:rPr>
          <w:rFonts w:hint="eastAsia" w:ascii="宋体" w:hAnsi="宋体" w:eastAsia="宋体" w:cs="宋体"/>
          <w:color w:val="auto"/>
          <w:sz w:val="24"/>
          <w:szCs w:val="24"/>
        </w:rPr>
        <w:t>付款等行为。</w:t>
      </w:r>
    </w:p>
    <w:p w14:paraId="33562445">
      <w:pPr>
        <w:shd w:val="clear"/>
        <w:adjustRightInd w:val="0"/>
        <w:snapToGrid w:val="0"/>
        <w:spacing w:line="312" w:lineRule="auto"/>
        <w:ind w:firstLine="480" w:firstLineChars="200"/>
        <w:outlineLvl w:val="1"/>
        <w:rPr>
          <w:rFonts w:hint="eastAsia" w:ascii="宋体" w:hAnsi="宋体" w:eastAsia="宋体" w:cs="宋体"/>
          <w:color w:val="auto"/>
          <w:sz w:val="24"/>
          <w:szCs w:val="24"/>
        </w:rPr>
      </w:pPr>
      <w:bookmarkStart w:id="16" w:name="_Toc22943"/>
      <w:r>
        <w:rPr>
          <w:rFonts w:hint="eastAsia" w:ascii="宋体" w:hAnsi="宋体" w:eastAsia="宋体" w:cs="宋体"/>
          <w:color w:val="auto"/>
          <w:sz w:val="24"/>
          <w:szCs w:val="24"/>
        </w:rPr>
        <w:t>2.定义</w:t>
      </w:r>
      <w:bookmarkEnd w:id="16"/>
    </w:p>
    <w:p w14:paraId="41126638">
      <w:pPr>
        <w:shd w:val="clear"/>
        <w:adjustRightInd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2.1“招标代理机构”系指组织本次招标代理的衢州宇信工程咨询有限公司。</w:t>
      </w:r>
    </w:p>
    <w:p w14:paraId="72941D01">
      <w:pPr>
        <w:shd w:val="clear"/>
        <w:adjustRightInd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2.2“采购人”系指提出本次采购的委托单位：</w:t>
      </w:r>
      <w:r>
        <w:rPr>
          <w:rFonts w:hint="eastAsia" w:ascii="宋体" w:hAnsi="宋体" w:eastAsia="宋体" w:cs="宋体"/>
          <w:color w:val="auto"/>
          <w:sz w:val="24"/>
          <w:szCs w:val="24"/>
          <w:lang w:eastAsia="zh-CN"/>
        </w:rPr>
        <w:t>龙游县慈善总会</w:t>
      </w:r>
      <w:r>
        <w:rPr>
          <w:rFonts w:hint="eastAsia" w:ascii="宋体" w:hAnsi="宋体" w:eastAsia="宋体" w:cs="宋体"/>
          <w:color w:val="auto"/>
          <w:sz w:val="24"/>
          <w:szCs w:val="24"/>
        </w:rPr>
        <w:t>。</w:t>
      </w:r>
    </w:p>
    <w:p w14:paraId="7B7C8039">
      <w:pPr>
        <w:shd w:val="clear"/>
        <w:adjustRightInd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2.3“投标人”系指向</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提交投标文件的竞标银行。</w:t>
      </w:r>
    </w:p>
    <w:p w14:paraId="22E225AA">
      <w:pPr>
        <w:shd w:val="clear"/>
        <w:adjustRightInd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2.4“货物”系指投标人按招标文件规定向采购人提供的各类设备、软件、技术资料及使用手册等。</w:t>
      </w:r>
    </w:p>
    <w:p w14:paraId="5EB1664D">
      <w:pPr>
        <w:shd w:val="clear"/>
        <w:adjustRightInd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2.5“服务”系指根据本合同规定，中标人必须承担</w:t>
      </w:r>
      <w:r>
        <w:rPr>
          <w:rFonts w:hint="eastAsia" w:ascii="宋体" w:hAnsi="宋体" w:eastAsia="宋体" w:cs="宋体"/>
          <w:color w:val="auto"/>
          <w:sz w:val="24"/>
          <w:szCs w:val="24"/>
          <w:lang w:eastAsia="zh-CN"/>
        </w:rPr>
        <w:t>龙游县慈善总会2025年资金竞争性存放采购项目</w:t>
      </w:r>
      <w:r>
        <w:rPr>
          <w:rFonts w:hint="eastAsia" w:ascii="宋体" w:hAnsi="宋体" w:eastAsia="宋体" w:cs="宋体"/>
          <w:color w:val="auto"/>
          <w:sz w:val="24"/>
          <w:szCs w:val="24"/>
        </w:rPr>
        <w:t>项目的义务。</w:t>
      </w:r>
    </w:p>
    <w:p w14:paraId="67F34AC2">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2.6“▲”系指实质性要求条款。</w:t>
      </w:r>
    </w:p>
    <w:p w14:paraId="78F088B3">
      <w:pPr>
        <w:shd w:val="clear"/>
        <w:adjustRightInd w:val="0"/>
        <w:snapToGrid w:val="0"/>
        <w:spacing w:line="312" w:lineRule="auto"/>
        <w:ind w:firstLine="480" w:firstLineChars="200"/>
        <w:outlineLvl w:val="1"/>
        <w:rPr>
          <w:rFonts w:ascii="宋体" w:hAnsi="宋体" w:eastAsia="宋体"/>
          <w:color w:val="auto"/>
          <w:sz w:val="24"/>
          <w:szCs w:val="24"/>
        </w:rPr>
      </w:pPr>
      <w:bookmarkStart w:id="17" w:name="_Toc1340"/>
      <w:r>
        <w:rPr>
          <w:rFonts w:ascii="宋体" w:hAnsi="宋体" w:eastAsia="宋体"/>
          <w:color w:val="auto"/>
          <w:sz w:val="24"/>
          <w:szCs w:val="24"/>
        </w:rPr>
        <w:t>3.投标费用</w:t>
      </w:r>
      <w:bookmarkEnd w:id="17"/>
    </w:p>
    <w:p w14:paraId="09732459">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不论投标结果如何，投标人均应自行承担所有与投标有关的全部费用。</w:t>
      </w:r>
    </w:p>
    <w:p w14:paraId="26FA212D">
      <w:pPr>
        <w:shd w:val="clear"/>
        <w:adjustRightInd w:val="0"/>
        <w:snapToGrid w:val="0"/>
        <w:spacing w:line="312" w:lineRule="auto"/>
        <w:ind w:firstLine="480" w:firstLineChars="200"/>
        <w:outlineLvl w:val="1"/>
        <w:rPr>
          <w:rFonts w:ascii="宋体" w:hAnsi="宋体" w:eastAsia="宋体"/>
          <w:color w:val="auto"/>
          <w:sz w:val="24"/>
          <w:szCs w:val="24"/>
        </w:rPr>
      </w:pPr>
      <w:bookmarkStart w:id="18" w:name="_Toc4502"/>
      <w:r>
        <w:rPr>
          <w:rFonts w:ascii="宋体" w:hAnsi="宋体" w:eastAsia="宋体"/>
          <w:color w:val="auto"/>
          <w:sz w:val="24"/>
          <w:szCs w:val="24"/>
        </w:rPr>
        <w:t>4.招标方式</w:t>
      </w:r>
      <w:bookmarkEnd w:id="18"/>
    </w:p>
    <w:p w14:paraId="279FCC16">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本次招标采用公开招标方式进行。</w:t>
      </w:r>
    </w:p>
    <w:p w14:paraId="42EBDFBD">
      <w:pPr>
        <w:shd w:val="clear"/>
        <w:adjustRightInd w:val="0"/>
        <w:snapToGrid w:val="0"/>
        <w:spacing w:line="312" w:lineRule="auto"/>
        <w:ind w:firstLine="480" w:firstLineChars="200"/>
        <w:outlineLvl w:val="1"/>
        <w:rPr>
          <w:rFonts w:ascii="宋体" w:hAnsi="宋体" w:eastAsia="宋体"/>
          <w:color w:val="auto"/>
          <w:sz w:val="24"/>
          <w:szCs w:val="24"/>
        </w:rPr>
      </w:pPr>
      <w:bookmarkStart w:id="19" w:name="_Toc1766"/>
      <w:r>
        <w:rPr>
          <w:rFonts w:ascii="宋体" w:hAnsi="宋体" w:eastAsia="宋体"/>
          <w:color w:val="auto"/>
          <w:sz w:val="24"/>
          <w:szCs w:val="24"/>
        </w:rPr>
        <w:t>5.投标委托</w:t>
      </w:r>
      <w:bookmarkEnd w:id="19"/>
    </w:p>
    <w:p w14:paraId="36B1A199">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本项目原则上采用政采云电子交易系统开评标，投标人无需到开标现场。</w:t>
      </w:r>
    </w:p>
    <w:p w14:paraId="240E6276">
      <w:pPr>
        <w:shd w:val="clear"/>
        <w:adjustRightInd w:val="0"/>
        <w:snapToGrid w:val="0"/>
        <w:spacing w:line="312" w:lineRule="auto"/>
        <w:ind w:firstLine="480" w:firstLineChars="200"/>
        <w:outlineLvl w:val="1"/>
        <w:rPr>
          <w:rFonts w:ascii="宋体" w:hAnsi="宋体" w:eastAsia="宋体"/>
          <w:color w:val="auto"/>
          <w:sz w:val="24"/>
          <w:szCs w:val="24"/>
        </w:rPr>
      </w:pPr>
      <w:bookmarkStart w:id="20" w:name="_Toc16401"/>
      <w:r>
        <w:rPr>
          <w:rFonts w:ascii="宋体" w:hAnsi="宋体" w:eastAsia="宋体"/>
          <w:color w:val="auto"/>
          <w:sz w:val="24"/>
          <w:szCs w:val="24"/>
        </w:rPr>
        <w:t>6.联合体投标</w:t>
      </w:r>
      <w:bookmarkEnd w:id="20"/>
    </w:p>
    <w:p w14:paraId="582EA97D">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本项目不接受联合体投标。</w:t>
      </w:r>
    </w:p>
    <w:p w14:paraId="7A69B73D">
      <w:pPr>
        <w:shd w:val="clear"/>
        <w:adjustRightInd w:val="0"/>
        <w:snapToGrid w:val="0"/>
        <w:spacing w:line="312" w:lineRule="auto"/>
        <w:ind w:firstLine="480" w:firstLineChars="200"/>
        <w:outlineLvl w:val="1"/>
        <w:rPr>
          <w:rFonts w:ascii="宋体" w:hAnsi="宋体" w:eastAsia="宋体"/>
          <w:color w:val="auto"/>
          <w:sz w:val="24"/>
          <w:szCs w:val="24"/>
        </w:rPr>
      </w:pPr>
      <w:bookmarkStart w:id="21" w:name="_Toc20654"/>
      <w:r>
        <w:rPr>
          <w:rFonts w:ascii="宋体" w:hAnsi="宋体" w:eastAsia="宋体"/>
          <w:color w:val="auto"/>
          <w:sz w:val="24"/>
          <w:szCs w:val="24"/>
        </w:rPr>
        <w:t>7.转包与分包</w:t>
      </w:r>
      <w:bookmarkEnd w:id="21"/>
    </w:p>
    <w:p w14:paraId="0A7F4807">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本项目不允许转包。</w:t>
      </w:r>
    </w:p>
    <w:p w14:paraId="2A8B29EE">
      <w:pPr>
        <w:shd w:val="clear"/>
        <w:adjustRightInd w:val="0"/>
        <w:snapToGrid w:val="0"/>
        <w:spacing w:line="312" w:lineRule="auto"/>
        <w:ind w:firstLine="480" w:firstLineChars="200"/>
        <w:outlineLvl w:val="1"/>
        <w:rPr>
          <w:rFonts w:ascii="宋体" w:hAnsi="宋体" w:eastAsia="宋体"/>
          <w:color w:val="auto"/>
          <w:sz w:val="24"/>
          <w:szCs w:val="24"/>
        </w:rPr>
      </w:pPr>
      <w:bookmarkStart w:id="22" w:name="_Toc5163"/>
      <w:r>
        <w:rPr>
          <w:rFonts w:ascii="宋体" w:hAnsi="宋体" w:eastAsia="宋体"/>
          <w:color w:val="auto"/>
          <w:sz w:val="24"/>
          <w:szCs w:val="24"/>
        </w:rPr>
        <w:t>8.特别说明：</w:t>
      </w:r>
      <w:bookmarkEnd w:id="22"/>
    </w:p>
    <w:p w14:paraId="5C6F59A7">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8.1▲投标人投标所使用的资格、信誉、荣誉、业绩与企业认证必须为本</w:t>
      </w:r>
      <w:r>
        <w:rPr>
          <w:rFonts w:hint="eastAsia" w:ascii="宋体" w:hAnsi="宋体" w:eastAsia="宋体"/>
          <w:color w:val="auto"/>
          <w:sz w:val="24"/>
          <w:szCs w:val="24"/>
        </w:rPr>
        <w:t>次参加竞标的银行</w:t>
      </w:r>
      <w:r>
        <w:rPr>
          <w:rFonts w:ascii="宋体" w:hAnsi="宋体" w:eastAsia="宋体"/>
          <w:color w:val="auto"/>
          <w:sz w:val="24"/>
          <w:szCs w:val="24"/>
        </w:rPr>
        <w:t>所拥有。</w:t>
      </w:r>
    </w:p>
    <w:p w14:paraId="0CBEAA01">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8.2▲投标人应仔细阅读招标文件的所有内容，按照招标文件的要求提交投标文件，并对所提供的全部资料的真实性承担法律责任。</w:t>
      </w:r>
    </w:p>
    <w:p w14:paraId="3CBBAB52">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8.3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C15756E">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8.4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717A49F7">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2BC4F7F9">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三、招标文件说明</w:t>
      </w:r>
    </w:p>
    <w:p w14:paraId="79C9578A">
      <w:pPr>
        <w:shd w:val="clear"/>
        <w:adjustRightInd w:val="0"/>
        <w:snapToGrid w:val="0"/>
        <w:spacing w:line="312" w:lineRule="auto"/>
        <w:ind w:firstLine="480" w:firstLineChars="200"/>
        <w:outlineLvl w:val="1"/>
        <w:rPr>
          <w:rFonts w:ascii="宋体" w:hAnsi="宋体" w:eastAsia="宋体"/>
          <w:color w:val="auto"/>
          <w:sz w:val="24"/>
          <w:szCs w:val="24"/>
        </w:rPr>
      </w:pPr>
      <w:bookmarkStart w:id="23" w:name="_Toc11432"/>
      <w:r>
        <w:rPr>
          <w:rFonts w:ascii="宋体" w:hAnsi="宋体" w:eastAsia="宋体"/>
          <w:color w:val="auto"/>
          <w:sz w:val="24"/>
          <w:szCs w:val="24"/>
        </w:rPr>
        <w:t>10.招标文件的组成</w:t>
      </w:r>
      <w:bookmarkEnd w:id="23"/>
    </w:p>
    <w:p w14:paraId="3E352D4F">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10.1招标公告；</w:t>
      </w:r>
    </w:p>
    <w:p w14:paraId="69182B19">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10.2投标须知前附表及投标须知；</w:t>
      </w:r>
    </w:p>
    <w:p w14:paraId="686B3133">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10.3采购内容及要求；</w:t>
      </w:r>
    </w:p>
    <w:p w14:paraId="4F5158AD">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10.4合同文本；</w:t>
      </w:r>
    </w:p>
    <w:p w14:paraId="74456C76">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10.5应提交的有关格式范例；</w:t>
      </w:r>
    </w:p>
    <w:p w14:paraId="529F5AB6">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10.6评标办法及开评标程序。</w:t>
      </w:r>
    </w:p>
    <w:p w14:paraId="5DA10CCF">
      <w:pPr>
        <w:shd w:val="clear"/>
        <w:adjustRightInd w:val="0"/>
        <w:snapToGrid w:val="0"/>
        <w:spacing w:line="312" w:lineRule="auto"/>
        <w:ind w:firstLine="480" w:firstLineChars="200"/>
        <w:outlineLvl w:val="1"/>
        <w:rPr>
          <w:rFonts w:ascii="宋体" w:hAnsi="宋体" w:eastAsia="宋体"/>
          <w:color w:val="auto"/>
          <w:sz w:val="24"/>
          <w:szCs w:val="24"/>
        </w:rPr>
      </w:pPr>
      <w:bookmarkStart w:id="24" w:name="_Toc12678"/>
      <w:r>
        <w:rPr>
          <w:rFonts w:ascii="宋体" w:hAnsi="宋体" w:eastAsia="宋体"/>
          <w:color w:val="auto"/>
          <w:sz w:val="24"/>
          <w:szCs w:val="24"/>
        </w:rPr>
        <w:t>11.招标文件的澄清及修改</w:t>
      </w:r>
      <w:bookmarkEnd w:id="24"/>
    </w:p>
    <w:p w14:paraId="5F0F5D3F">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11.1</w:t>
      </w:r>
      <w:r>
        <w:rPr>
          <w:rFonts w:hint="eastAsia" w:ascii="宋体" w:hAnsi="宋体" w:eastAsia="宋体"/>
          <w:color w:val="auto"/>
          <w:sz w:val="24"/>
          <w:szCs w:val="24"/>
          <w:lang w:eastAsia="zh-CN"/>
        </w:rPr>
        <w:t>采购人</w:t>
      </w:r>
      <w:r>
        <w:rPr>
          <w:rFonts w:ascii="宋体" w:hAnsi="宋体" w:eastAsia="宋体"/>
          <w:color w:val="auto"/>
          <w:sz w:val="24"/>
          <w:szCs w:val="24"/>
        </w:rPr>
        <w:t>可对已发出的招标文件进行必要的澄清或修改，如澄清或修改的内容可能影响投标文件编制的，</w:t>
      </w:r>
      <w:r>
        <w:rPr>
          <w:rFonts w:hint="eastAsia" w:ascii="宋体" w:hAnsi="宋体" w:eastAsia="宋体"/>
          <w:color w:val="auto"/>
          <w:sz w:val="24"/>
          <w:szCs w:val="24"/>
          <w:lang w:eastAsia="zh-CN"/>
        </w:rPr>
        <w:t>采购人</w:t>
      </w:r>
      <w:r>
        <w:rPr>
          <w:rFonts w:ascii="宋体" w:hAnsi="宋体" w:eastAsia="宋体"/>
          <w:color w:val="auto"/>
          <w:sz w:val="24"/>
          <w:szCs w:val="24"/>
        </w:rPr>
        <w:t>应当在投标截止时间至少</w:t>
      </w:r>
      <w:r>
        <w:rPr>
          <w:rFonts w:hint="eastAsia" w:ascii="宋体" w:hAnsi="宋体" w:eastAsia="宋体"/>
          <w:color w:val="auto"/>
          <w:sz w:val="24"/>
          <w:szCs w:val="24"/>
        </w:rPr>
        <w:t>3个工作</w:t>
      </w:r>
      <w:r>
        <w:rPr>
          <w:rFonts w:ascii="宋体" w:hAnsi="宋体" w:eastAsia="宋体"/>
          <w:color w:val="auto"/>
          <w:sz w:val="24"/>
          <w:szCs w:val="24"/>
        </w:rPr>
        <w:t>日前，在采购公告原发布媒体上发布更正公告，更正内容作为招标文件的组成部分；不足</w:t>
      </w:r>
      <w:r>
        <w:rPr>
          <w:rFonts w:hint="eastAsia" w:ascii="宋体" w:hAnsi="宋体" w:eastAsia="宋体"/>
          <w:color w:val="auto"/>
          <w:sz w:val="24"/>
          <w:szCs w:val="24"/>
        </w:rPr>
        <w:t>3个工作</w:t>
      </w:r>
      <w:r>
        <w:rPr>
          <w:rFonts w:ascii="宋体" w:hAnsi="宋体" w:eastAsia="宋体"/>
          <w:color w:val="auto"/>
          <w:sz w:val="24"/>
          <w:szCs w:val="24"/>
        </w:rPr>
        <w:t>日的，</w:t>
      </w:r>
      <w:r>
        <w:rPr>
          <w:rFonts w:hint="eastAsia" w:ascii="宋体" w:hAnsi="宋体" w:eastAsia="宋体"/>
          <w:color w:val="auto"/>
          <w:sz w:val="24"/>
          <w:szCs w:val="24"/>
          <w:lang w:eastAsia="zh-CN"/>
        </w:rPr>
        <w:t>采购人</w:t>
      </w:r>
      <w:r>
        <w:rPr>
          <w:rFonts w:ascii="宋体" w:hAnsi="宋体" w:eastAsia="宋体"/>
          <w:color w:val="auto"/>
          <w:sz w:val="24"/>
          <w:szCs w:val="24"/>
        </w:rPr>
        <w:t>将顺延提交投标文件的截止时间。如澄清或修改的内容不影响投标文件编制的，</w:t>
      </w:r>
      <w:r>
        <w:rPr>
          <w:rFonts w:hint="eastAsia" w:ascii="宋体" w:hAnsi="宋体" w:eastAsia="宋体"/>
          <w:color w:val="auto"/>
          <w:sz w:val="24"/>
          <w:szCs w:val="24"/>
          <w:lang w:eastAsia="zh-CN"/>
        </w:rPr>
        <w:t>采购人</w:t>
      </w:r>
      <w:r>
        <w:rPr>
          <w:rFonts w:ascii="宋体" w:hAnsi="宋体" w:eastAsia="宋体"/>
          <w:color w:val="auto"/>
          <w:sz w:val="24"/>
          <w:szCs w:val="24"/>
        </w:rPr>
        <w:t>将不延长提交投标文件的截止时间。</w:t>
      </w:r>
    </w:p>
    <w:p w14:paraId="06464F4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11.2投标人对招标文件有异议的，公告期限内获取采购文件的供应商应在自收到采购文件之日（获取采购文件之日）起</w:t>
      </w:r>
      <w:r>
        <w:rPr>
          <w:rFonts w:hint="eastAsia" w:ascii="宋体" w:hAnsi="宋体" w:eastAsia="宋体"/>
          <w:color w:val="auto"/>
          <w:sz w:val="24"/>
          <w:szCs w:val="24"/>
        </w:rPr>
        <w:t>2</w:t>
      </w:r>
      <w:r>
        <w:rPr>
          <w:rFonts w:ascii="宋体" w:hAnsi="宋体" w:eastAsia="宋体"/>
          <w:color w:val="auto"/>
          <w:sz w:val="24"/>
          <w:szCs w:val="24"/>
        </w:rPr>
        <w:t>个工作日内，公告期限外获取采购文件的供应商应在公告期限届满之日起</w:t>
      </w:r>
      <w:r>
        <w:rPr>
          <w:rFonts w:hint="eastAsia" w:ascii="宋体" w:hAnsi="宋体" w:eastAsia="宋体"/>
          <w:color w:val="auto"/>
          <w:sz w:val="24"/>
          <w:szCs w:val="24"/>
        </w:rPr>
        <w:t>2</w:t>
      </w:r>
      <w:r>
        <w:rPr>
          <w:rFonts w:ascii="宋体" w:hAnsi="宋体" w:eastAsia="宋体"/>
          <w:color w:val="auto"/>
          <w:sz w:val="24"/>
          <w:szCs w:val="24"/>
        </w:rPr>
        <w:t>个工作日内，以书面形式向</w:t>
      </w:r>
      <w:r>
        <w:rPr>
          <w:rFonts w:hint="eastAsia" w:ascii="宋体" w:hAnsi="宋体" w:eastAsia="宋体"/>
          <w:color w:val="auto"/>
          <w:sz w:val="24"/>
          <w:szCs w:val="24"/>
        </w:rPr>
        <w:t>衢州宇信工程咨询有限公司</w:t>
      </w:r>
      <w:r>
        <w:rPr>
          <w:rFonts w:ascii="宋体" w:hAnsi="宋体" w:eastAsia="宋体"/>
          <w:color w:val="auto"/>
          <w:sz w:val="24"/>
          <w:szCs w:val="24"/>
        </w:rPr>
        <w:t>提出质疑，逾期将不予受理。</w:t>
      </w:r>
      <w:r>
        <w:rPr>
          <w:rFonts w:hint="eastAsia" w:ascii="宋体" w:hAnsi="宋体" w:eastAsia="宋体"/>
          <w:color w:val="auto"/>
          <w:sz w:val="24"/>
          <w:szCs w:val="24"/>
          <w:lang w:eastAsia="zh-CN"/>
        </w:rPr>
        <w:t>采购人</w:t>
      </w:r>
      <w:r>
        <w:rPr>
          <w:rFonts w:ascii="宋体" w:hAnsi="宋体" w:eastAsia="宋体"/>
          <w:color w:val="auto"/>
          <w:sz w:val="24"/>
          <w:szCs w:val="24"/>
        </w:rPr>
        <w:t>将在收到异议之日起</w:t>
      </w:r>
      <w:r>
        <w:rPr>
          <w:rFonts w:hint="eastAsia" w:ascii="宋体" w:hAnsi="宋体" w:eastAsia="宋体"/>
          <w:color w:val="auto"/>
          <w:sz w:val="24"/>
          <w:szCs w:val="24"/>
        </w:rPr>
        <w:t>2</w:t>
      </w:r>
      <w:r>
        <w:rPr>
          <w:rFonts w:ascii="宋体" w:hAnsi="宋体" w:eastAsia="宋体"/>
          <w:color w:val="auto"/>
          <w:sz w:val="24"/>
          <w:szCs w:val="24"/>
        </w:rPr>
        <w:t>个工作日内作出答复，有变更的在本采购信息发布媒体上发布变更公告，公告内容作为招标文件的</w:t>
      </w:r>
      <w:r>
        <w:rPr>
          <w:rFonts w:hint="eastAsia" w:ascii="宋体" w:hAnsi="宋体" w:eastAsia="宋体"/>
          <w:color w:val="auto"/>
          <w:sz w:val="24"/>
          <w:szCs w:val="24"/>
          <w:lang w:eastAsia="zh-CN"/>
        </w:rPr>
        <w:t>组成</w:t>
      </w:r>
      <w:r>
        <w:rPr>
          <w:rFonts w:ascii="宋体" w:hAnsi="宋体" w:eastAsia="宋体"/>
          <w:color w:val="auto"/>
          <w:sz w:val="24"/>
          <w:szCs w:val="24"/>
        </w:rPr>
        <w:t>部分。</w:t>
      </w:r>
    </w:p>
    <w:p w14:paraId="05816C60">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11.3没有通过本招标文件规定的办法获取采购文件的供应商，</w:t>
      </w:r>
      <w:r>
        <w:rPr>
          <w:rFonts w:hint="eastAsia" w:ascii="宋体" w:hAnsi="宋体" w:eastAsia="宋体"/>
          <w:color w:val="auto"/>
          <w:sz w:val="24"/>
          <w:szCs w:val="24"/>
        </w:rPr>
        <w:t>衢州宇信工程咨询有限公司</w:t>
      </w:r>
      <w:r>
        <w:rPr>
          <w:rFonts w:ascii="宋体" w:hAnsi="宋体" w:eastAsia="宋体"/>
          <w:color w:val="auto"/>
          <w:sz w:val="24"/>
          <w:szCs w:val="24"/>
        </w:rPr>
        <w:t>不受理其质疑。</w:t>
      </w:r>
    </w:p>
    <w:p w14:paraId="6B224FD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11.4招标文件澄清、答复、修改或补充的内容为招标文件的组成部分。当招标文件与招标文件的澄清、答复、修改或补充等通知就同一内容的表述不一致时，以最后发出的书面文件为准。</w:t>
      </w:r>
    </w:p>
    <w:p w14:paraId="16917F23">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11.5招标文件的澄清、答复、修改或补充，一经采购公告原发布媒体发布，即视所有投标人都已经收到相关文件。投标人应及时关注采购公告原发布媒体上针对本项目的澄清、答复、修改或补充等通知，投标人因自身疏忽而导致投标文件不能实质响应或其他损失，其产生的后果由供应商自身承担。</w:t>
      </w:r>
    </w:p>
    <w:p w14:paraId="7D1B3327">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四、投标文件的编制</w:t>
      </w:r>
    </w:p>
    <w:p w14:paraId="5C72787E">
      <w:pPr>
        <w:shd w:val="clear"/>
        <w:adjustRightInd w:val="0"/>
        <w:snapToGrid w:val="0"/>
        <w:spacing w:line="312" w:lineRule="auto"/>
        <w:ind w:firstLine="480" w:firstLineChars="200"/>
        <w:outlineLvl w:val="1"/>
        <w:rPr>
          <w:rFonts w:ascii="宋体" w:hAnsi="宋体" w:eastAsia="宋体"/>
          <w:color w:val="auto"/>
          <w:sz w:val="24"/>
          <w:szCs w:val="24"/>
        </w:rPr>
      </w:pPr>
      <w:bookmarkStart w:id="25" w:name="_Toc4703"/>
      <w:r>
        <w:rPr>
          <w:rFonts w:ascii="宋体" w:hAnsi="宋体" w:eastAsia="宋体"/>
          <w:color w:val="auto"/>
          <w:sz w:val="24"/>
          <w:szCs w:val="24"/>
        </w:rPr>
        <w:t>12.总体要求</w:t>
      </w:r>
      <w:bookmarkEnd w:id="25"/>
    </w:p>
    <w:p w14:paraId="68AF31A0">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12.1投标人应仔细阅读招标文件的所有内容，按本文件的要求提供投标文件，并保证所提供的全部资料的真实性，以使其投标文件对招标文件作出实质性响应，否则，投标文件可能视为无效投标文件。</w:t>
      </w:r>
    </w:p>
    <w:p w14:paraId="281576E1">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12.2投标文件及投标人与采购有关的来往通知，函件和文件均应使用中文。</w:t>
      </w:r>
    </w:p>
    <w:p w14:paraId="6070866A">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12.3投标人应按本文件中提供的文件格式、内容和要求制作投标文件。</w:t>
      </w:r>
    </w:p>
    <w:p w14:paraId="6D3DE036">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12.4投标文件的形式</w:t>
      </w:r>
    </w:p>
    <w:p w14:paraId="3A9B5176">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投标文件为电子投标文件。电子投标文件按政采云平台《政府采购项目电子交易管理操作指南</w:t>
      </w:r>
      <w:r>
        <w:rPr>
          <w:rFonts w:ascii="宋体" w:hAnsi="宋体" w:eastAsia="宋体"/>
          <w:color w:val="auto"/>
          <w:sz w:val="24"/>
          <w:szCs w:val="24"/>
        </w:rPr>
        <w:t>-供应商</w:t>
      </w:r>
      <w:r>
        <w:rPr>
          <w:rFonts w:hint="eastAsia" w:ascii="宋体" w:hAnsi="宋体" w:eastAsia="宋体"/>
          <w:color w:val="auto"/>
          <w:sz w:val="24"/>
          <w:szCs w:val="24"/>
        </w:rPr>
        <w:t>》“</w:t>
      </w:r>
      <w:r>
        <w:rPr>
          <w:rFonts w:ascii="宋体" w:hAnsi="宋体" w:eastAsia="宋体"/>
          <w:color w:val="auto"/>
          <w:sz w:val="24"/>
          <w:szCs w:val="24"/>
        </w:rPr>
        <w:t>2.3投标文件制作、上传</w:t>
      </w:r>
      <w:r>
        <w:rPr>
          <w:rFonts w:hint="eastAsia" w:ascii="宋体" w:hAnsi="宋体" w:eastAsia="宋体"/>
          <w:color w:val="auto"/>
          <w:sz w:val="24"/>
          <w:szCs w:val="24"/>
        </w:rPr>
        <w:t>”</w:t>
      </w:r>
      <w:r>
        <w:rPr>
          <w:rFonts w:ascii="宋体" w:hAnsi="宋体" w:eastAsia="宋体"/>
          <w:color w:val="auto"/>
          <w:sz w:val="24"/>
          <w:szCs w:val="24"/>
        </w:rPr>
        <w:t>及本招标文件要求制作并递交。网址：</w:t>
      </w:r>
    </w:p>
    <w:p w14:paraId="6C7420A2">
      <w:pPr>
        <w:shd w:val="clear"/>
        <w:adjustRightInd w:val="0"/>
        <w:snapToGrid w:val="0"/>
        <w:spacing w:line="312" w:lineRule="auto"/>
        <w:rPr>
          <w:rFonts w:ascii="宋体" w:hAnsi="宋体" w:eastAsia="宋体"/>
          <w:color w:val="auto"/>
          <w:spacing w:val="-6"/>
          <w:sz w:val="24"/>
          <w:szCs w:val="24"/>
        </w:rPr>
      </w:pPr>
      <w:r>
        <w:rPr>
          <w:rFonts w:ascii="宋体" w:hAnsi="宋体" w:eastAsia="宋体"/>
          <w:color w:val="auto"/>
          <w:spacing w:val="-6"/>
          <w:sz w:val="24"/>
          <w:szCs w:val="24"/>
        </w:rPr>
        <w:t>https://service.zcygov.cn/#/knowledges/CW1EtGwBFdiHxlNd6I3m/6IMVAG0BFdiHxlNdQ8Na</w:t>
      </w:r>
    </w:p>
    <w:p w14:paraId="30C39340">
      <w:pPr>
        <w:shd w:val="clear"/>
        <w:adjustRightInd w:val="0"/>
        <w:snapToGrid w:val="0"/>
        <w:spacing w:line="312" w:lineRule="auto"/>
        <w:ind w:firstLine="480" w:firstLineChars="200"/>
        <w:outlineLvl w:val="1"/>
        <w:rPr>
          <w:rFonts w:ascii="宋体" w:hAnsi="宋体" w:eastAsia="宋体"/>
          <w:color w:val="auto"/>
          <w:sz w:val="24"/>
          <w:szCs w:val="24"/>
        </w:rPr>
      </w:pPr>
      <w:bookmarkStart w:id="26" w:name="_Toc21032"/>
      <w:r>
        <w:rPr>
          <w:rFonts w:ascii="宋体" w:hAnsi="宋体" w:eastAsia="宋体"/>
          <w:color w:val="auto"/>
          <w:sz w:val="24"/>
          <w:szCs w:val="24"/>
        </w:rPr>
        <w:t>13.投标文件的组成及份数</w:t>
      </w:r>
      <w:bookmarkEnd w:id="26"/>
    </w:p>
    <w:p w14:paraId="2ABD2C06">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3.1</w:t>
      </w:r>
      <w:r>
        <w:rPr>
          <w:rFonts w:hint="eastAsia" w:ascii="宋体" w:hAnsi="宋体" w:eastAsia="宋体"/>
          <w:color w:val="auto"/>
          <w:sz w:val="24"/>
          <w:szCs w:val="24"/>
        </w:rPr>
        <w:t>电子投标文件须加盖公章部分采用</w:t>
      </w:r>
      <w:r>
        <w:rPr>
          <w:rFonts w:ascii="宋体" w:hAnsi="宋体" w:eastAsia="宋体"/>
          <w:color w:val="auto"/>
          <w:sz w:val="24"/>
          <w:szCs w:val="24"/>
        </w:rPr>
        <w:t>CA签章</w:t>
      </w:r>
      <w:r>
        <w:rPr>
          <w:rFonts w:hint="eastAsia" w:ascii="宋体" w:hAnsi="宋体" w:eastAsia="宋体"/>
          <w:color w:val="auto"/>
          <w:sz w:val="24"/>
          <w:szCs w:val="24"/>
        </w:rPr>
        <w:t>或上传加盖公章的扫描件，1</w:t>
      </w:r>
      <w:r>
        <w:rPr>
          <w:rFonts w:ascii="宋体" w:hAnsi="宋体" w:eastAsia="宋体"/>
          <w:color w:val="auto"/>
          <w:sz w:val="24"/>
          <w:szCs w:val="24"/>
        </w:rPr>
        <w:t>3.1.1-13.1.10</w:t>
      </w:r>
      <w:r>
        <w:rPr>
          <w:rFonts w:hint="eastAsia" w:ascii="宋体" w:hAnsi="宋体" w:eastAsia="宋体"/>
          <w:color w:val="auto"/>
          <w:sz w:val="24"/>
          <w:szCs w:val="24"/>
        </w:rPr>
        <w:t>为投标文件组成部分。</w:t>
      </w:r>
    </w:p>
    <w:p w14:paraId="4265AE76">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13.1.1 ▲投标函（</w:t>
      </w:r>
      <w:r>
        <w:rPr>
          <w:rFonts w:hint="eastAsia" w:ascii="宋体" w:hAnsi="宋体" w:eastAsia="宋体"/>
          <w:color w:val="auto"/>
          <w:sz w:val="24"/>
          <w:szCs w:val="24"/>
        </w:rPr>
        <w:t>见</w:t>
      </w:r>
      <w:r>
        <w:rPr>
          <w:rFonts w:ascii="宋体" w:hAnsi="宋体" w:eastAsia="宋体"/>
          <w:color w:val="auto"/>
          <w:sz w:val="24"/>
          <w:szCs w:val="24"/>
        </w:rPr>
        <w:t>附件格式）；</w:t>
      </w:r>
    </w:p>
    <w:p w14:paraId="069B914F">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13.1.2 ▲</w:t>
      </w:r>
      <w:bookmarkStart w:id="27" w:name="OLE_LINK14"/>
      <w:r>
        <w:rPr>
          <w:rFonts w:ascii="宋体" w:hAnsi="宋体" w:eastAsia="宋体"/>
          <w:color w:val="auto"/>
          <w:sz w:val="24"/>
          <w:szCs w:val="24"/>
        </w:rPr>
        <w:t>有效的</w:t>
      </w:r>
      <w:r>
        <w:rPr>
          <w:rFonts w:hint="eastAsia" w:ascii="宋体" w:hAnsi="宋体" w:eastAsia="宋体"/>
          <w:color w:val="auto"/>
          <w:sz w:val="24"/>
          <w:szCs w:val="24"/>
        </w:rPr>
        <w:t>电子营业执照或</w:t>
      </w:r>
      <w:r>
        <w:rPr>
          <w:rFonts w:ascii="宋体" w:hAnsi="宋体" w:eastAsia="宋体"/>
          <w:color w:val="auto"/>
          <w:sz w:val="24"/>
          <w:szCs w:val="24"/>
        </w:rPr>
        <w:t>营业执照</w:t>
      </w:r>
      <w:r>
        <w:rPr>
          <w:rFonts w:hint="eastAsia" w:ascii="宋体" w:hAnsi="宋体" w:eastAsia="宋体"/>
          <w:color w:val="auto"/>
          <w:sz w:val="24"/>
          <w:szCs w:val="24"/>
        </w:rPr>
        <w:t>扫描</w:t>
      </w:r>
      <w:r>
        <w:rPr>
          <w:rFonts w:ascii="宋体" w:hAnsi="宋体" w:eastAsia="宋体"/>
          <w:color w:val="auto"/>
          <w:sz w:val="24"/>
          <w:szCs w:val="24"/>
        </w:rPr>
        <w:t>件</w:t>
      </w:r>
      <w:bookmarkEnd w:id="27"/>
      <w:r>
        <w:rPr>
          <w:rFonts w:ascii="宋体" w:hAnsi="宋体" w:eastAsia="宋体"/>
          <w:color w:val="auto"/>
          <w:sz w:val="24"/>
          <w:szCs w:val="24"/>
        </w:rPr>
        <w:t>；</w:t>
      </w:r>
    </w:p>
    <w:p w14:paraId="1BC47148">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13.1.3 ▲法人（负责人）授权委托书</w:t>
      </w:r>
      <w:r>
        <w:rPr>
          <w:rFonts w:hint="eastAsia" w:ascii="宋体" w:hAnsi="宋体" w:eastAsia="宋体"/>
          <w:color w:val="auto"/>
          <w:sz w:val="24"/>
          <w:szCs w:val="24"/>
        </w:rPr>
        <w:t>原件扫描件</w:t>
      </w:r>
      <w:r>
        <w:rPr>
          <w:rFonts w:ascii="宋体" w:hAnsi="宋体" w:eastAsia="宋体"/>
          <w:color w:val="auto"/>
          <w:sz w:val="24"/>
          <w:szCs w:val="24"/>
        </w:rPr>
        <w:t>（</w:t>
      </w:r>
      <w:r>
        <w:rPr>
          <w:rFonts w:hint="eastAsia" w:ascii="宋体" w:hAnsi="宋体" w:eastAsia="宋体"/>
          <w:color w:val="auto"/>
          <w:sz w:val="24"/>
          <w:szCs w:val="24"/>
        </w:rPr>
        <w:t>见</w:t>
      </w:r>
      <w:r>
        <w:rPr>
          <w:rFonts w:ascii="宋体" w:hAnsi="宋体" w:eastAsia="宋体"/>
          <w:color w:val="auto"/>
          <w:sz w:val="24"/>
          <w:szCs w:val="24"/>
        </w:rPr>
        <w:t xml:space="preserve">附件格式）； </w:t>
      </w:r>
    </w:p>
    <w:p w14:paraId="63A81A88">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13.1.4 ▲法定代表人（负责人）或法人（负责人）授权代表身份证</w:t>
      </w:r>
      <w:r>
        <w:rPr>
          <w:rFonts w:hint="eastAsia" w:ascii="宋体" w:hAnsi="宋体" w:eastAsia="宋体"/>
          <w:color w:val="auto"/>
          <w:sz w:val="24"/>
          <w:szCs w:val="24"/>
        </w:rPr>
        <w:t>扫描件</w:t>
      </w:r>
      <w:r>
        <w:rPr>
          <w:rFonts w:ascii="宋体" w:hAnsi="宋体" w:eastAsia="宋体"/>
          <w:color w:val="auto"/>
          <w:sz w:val="24"/>
          <w:szCs w:val="24"/>
        </w:rPr>
        <w:t>；</w:t>
      </w:r>
    </w:p>
    <w:p w14:paraId="262FE97A">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13.1.5 ▲分支机构参与投标的，须提供总公司（总机构）的授权书或者房屋产权证明或其他有效财产证明</w:t>
      </w:r>
      <w:r>
        <w:rPr>
          <w:rFonts w:hint="eastAsia" w:ascii="宋体" w:hAnsi="宋体" w:eastAsia="宋体"/>
          <w:color w:val="auto"/>
          <w:sz w:val="24"/>
          <w:szCs w:val="24"/>
        </w:rPr>
        <w:t>扫描件</w:t>
      </w:r>
      <w:r>
        <w:rPr>
          <w:rFonts w:ascii="宋体" w:hAnsi="宋体" w:eastAsia="宋体"/>
          <w:color w:val="auto"/>
          <w:sz w:val="24"/>
          <w:szCs w:val="24"/>
        </w:rPr>
        <w:t>；</w:t>
      </w:r>
    </w:p>
    <w:p w14:paraId="2B3B8DB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13.1.6 ▲金融许可证</w:t>
      </w:r>
      <w:r>
        <w:rPr>
          <w:rFonts w:hint="eastAsia" w:ascii="宋体" w:hAnsi="宋体" w:eastAsia="宋体"/>
          <w:color w:val="auto"/>
          <w:sz w:val="24"/>
          <w:szCs w:val="24"/>
        </w:rPr>
        <w:t>扫描件</w:t>
      </w:r>
      <w:r>
        <w:rPr>
          <w:rFonts w:ascii="宋体" w:hAnsi="宋体" w:eastAsia="宋体"/>
          <w:color w:val="auto"/>
          <w:sz w:val="24"/>
          <w:szCs w:val="24"/>
        </w:rPr>
        <w:t>；</w:t>
      </w:r>
    </w:p>
    <w:p w14:paraId="41AD6966">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13.1.7 ▲利率报价一览表。各投标人须以定期央行基准利率上浮率的形式参与报价，并以上浮幅度作为报价数。上浮幅度应符合</w:t>
      </w:r>
      <w:r>
        <w:rPr>
          <w:rFonts w:hint="eastAsia" w:ascii="宋体" w:hAnsi="宋体" w:eastAsia="宋体"/>
          <w:color w:val="auto"/>
          <w:sz w:val="24"/>
          <w:szCs w:val="24"/>
        </w:rPr>
        <w:t>省级</w:t>
      </w:r>
      <w:r>
        <w:rPr>
          <w:rFonts w:ascii="宋体" w:hAnsi="宋体" w:eastAsia="宋体"/>
          <w:color w:val="auto"/>
          <w:sz w:val="24"/>
          <w:szCs w:val="24"/>
        </w:rPr>
        <w:t>定价自律机制招投标相关要求。（附件格式）</w:t>
      </w:r>
    </w:p>
    <w:p w14:paraId="2AACBD1F">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13.1.8 投标人认为需要的其他文件和说明</w:t>
      </w:r>
      <w:r>
        <w:rPr>
          <w:rFonts w:hint="eastAsia" w:ascii="宋体" w:hAnsi="宋体" w:eastAsia="宋体"/>
          <w:color w:val="auto"/>
          <w:sz w:val="24"/>
          <w:szCs w:val="24"/>
        </w:rPr>
        <w:t>。</w:t>
      </w:r>
    </w:p>
    <w:p w14:paraId="23FB7470">
      <w:pPr>
        <w:shd w:val="clear"/>
        <w:adjustRightInd w:val="0"/>
        <w:snapToGrid w:val="0"/>
        <w:spacing w:line="312" w:lineRule="auto"/>
        <w:ind w:firstLine="480" w:firstLineChars="200"/>
        <w:outlineLvl w:val="1"/>
        <w:rPr>
          <w:rFonts w:ascii="宋体" w:hAnsi="宋体" w:eastAsia="宋体"/>
          <w:color w:val="auto"/>
          <w:sz w:val="24"/>
          <w:szCs w:val="24"/>
        </w:rPr>
      </w:pPr>
      <w:bookmarkStart w:id="28" w:name="_Toc6597"/>
      <w:r>
        <w:rPr>
          <w:rFonts w:ascii="宋体" w:hAnsi="宋体" w:eastAsia="宋体"/>
          <w:color w:val="auto"/>
          <w:sz w:val="24"/>
          <w:szCs w:val="24"/>
        </w:rPr>
        <w:t>14.投标文件内容填写说明</w:t>
      </w:r>
      <w:bookmarkEnd w:id="28"/>
      <w:r>
        <w:rPr>
          <w:rFonts w:ascii="宋体" w:hAnsi="宋体" w:eastAsia="宋体"/>
          <w:color w:val="auto"/>
          <w:sz w:val="24"/>
          <w:szCs w:val="24"/>
        </w:rPr>
        <w:t xml:space="preserve"> </w:t>
      </w:r>
    </w:p>
    <w:p w14:paraId="37C4EBC8">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14.1投标人应在认真阅读招标文件所有内容的基础上，按照招标文件的要求编制完整的投标文件。投标文件应按照招标文件中规定的统一格式填写：</w:t>
      </w:r>
      <w:r>
        <w:rPr>
          <w:rFonts w:hint="eastAsia" w:ascii="宋体" w:hAnsi="宋体" w:eastAsia="宋体"/>
          <w:color w:val="auto"/>
          <w:sz w:val="24"/>
          <w:szCs w:val="24"/>
        </w:rPr>
        <w:t>电子投标文件按政采云平台《政府采购项目电子交易管理操作指南</w:t>
      </w:r>
      <w:r>
        <w:rPr>
          <w:rFonts w:ascii="宋体" w:hAnsi="宋体" w:eastAsia="宋体"/>
          <w:color w:val="auto"/>
          <w:sz w:val="24"/>
          <w:szCs w:val="24"/>
        </w:rPr>
        <w:t>-供应商</w:t>
      </w:r>
      <w:r>
        <w:rPr>
          <w:rFonts w:hint="eastAsia" w:ascii="宋体" w:hAnsi="宋体" w:eastAsia="宋体"/>
          <w:color w:val="auto"/>
          <w:sz w:val="24"/>
          <w:szCs w:val="24"/>
        </w:rPr>
        <w:t>》“2</w:t>
      </w:r>
      <w:r>
        <w:rPr>
          <w:rFonts w:ascii="宋体" w:hAnsi="宋体" w:eastAsia="宋体"/>
          <w:color w:val="auto"/>
          <w:sz w:val="24"/>
          <w:szCs w:val="24"/>
        </w:rPr>
        <w:t>.3</w:t>
      </w:r>
      <w:r>
        <w:rPr>
          <w:rFonts w:hint="eastAsia" w:ascii="宋体" w:hAnsi="宋体" w:eastAsia="宋体"/>
          <w:color w:val="auto"/>
          <w:sz w:val="24"/>
          <w:szCs w:val="24"/>
        </w:rPr>
        <w:t>投标文件制作、上传”</w:t>
      </w:r>
      <w:r>
        <w:rPr>
          <w:rFonts w:ascii="宋体" w:hAnsi="宋体" w:eastAsia="宋体"/>
          <w:color w:val="auto"/>
          <w:sz w:val="24"/>
          <w:szCs w:val="24"/>
        </w:rPr>
        <w:t>及本招标文件要求制作并递交。网址：</w:t>
      </w:r>
    </w:p>
    <w:p w14:paraId="2C7272CB">
      <w:pPr>
        <w:shd w:val="clear"/>
        <w:adjustRightInd w:val="0"/>
        <w:snapToGrid w:val="0"/>
        <w:spacing w:line="312" w:lineRule="auto"/>
        <w:rPr>
          <w:rFonts w:ascii="宋体" w:hAnsi="宋体" w:eastAsia="宋体"/>
          <w:color w:val="auto"/>
          <w:spacing w:val="-6"/>
          <w:sz w:val="24"/>
          <w:szCs w:val="24"/>
        </w:rPr>
      </w:pPr>
      <w:r>
        <w:rPr>
          <w:rFonts w:ascii="宋体" w:hAnsi="宋体" w:eastAsia="宋体"/>
          <w:color w:val="auto"/>
          <w:spacing w:val="-6"/>
          <w:sz w:val="24"/>
          <w:szCs w:val="24"/>
        </w:rPr>
        <w:t>https://service.zcygov.cn/#/knowledges/CW1EtGwBFdiHxlNd6I3m/6IMVAG0BFdiHxlNdQ8Na</w:t>
      </w:r>
    </w:p>
    <w:p w14:paraId="7986DF7A">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14.2投标人必须保证投标文件所提供的全部资料真实可靠，并接受</w:t>
      </w:r>
      <w:r>
        <w:rPr>
          <w:rFonts w:hint="eastAsia" w:ascii="宋体" w:hAnsi="宋体" w:eastAsia="宋体"/>
          <w:color w:val="auto"/>
          <w:sz w:val="24"/>
          <w:szCs w:val="24"/>
          <w:lang w:eastAsia="zh-CN"/>
        </w:rPr>
        <w:t>采购人</w:t>
      </w:r>
      <w:r>
        <w:rPr>
          <w:rFonts w:ascii="宋体" w:hAnsi="宋体" w:eastAsia="宋体"/>
          <w:color w:val="auto"/>
          <w:sz w:val="24"/>
          <w:szCs w:val="24"/>
        </w:rPr>
        <w:t>对其中任何资料进一步审查的要求。</w:t>
      </w:r>
    </w:p>
    <w:p w14:paraId="0B338C52">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14.3《</w:t>
      </w:r>
      <w:r>
        <w:rPr>
          <w:rFonts w:hint="eastAsia" w:ascii="宋体" w:hAnsi="宋体" w:eastAsia="宋体"/>
          <w:color w:val="auto"/>
          <w:sz w:val="24"/>
          <w:szCs w:val="24"/>
        </w:rPr>
        <w:t>利率报价一览表</w:t>
      </w:r>
      <w:r>
        <w:rPr>
          <w:rFonts w:ascii="宋体" w:hAnsi="宋体" w:eastAsia="宋体"/>
          <w:color w:val="auto"/>
          <w:sz w:val="24"/>
          <w:szCs w:val="24"/>
        </w:rPr>
        <w:t>》为在开标仪式上唱标的内容，要求按格式填写、统一规范，不得自行增减内容。</w:t>
      </w:r>
    </w:p>
    <w:p w14:paraId="59FBB1BF">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14.4投标文件须对招标文件中的内容做出实质性的和完整的响应，否则其投标将被拒绝。如果投标文件填报的内容资料不详，或没有提供招标文件中所要求的全部资料及数据，将会导致投标被拒绝。</w:t>
      </w:r>
    </w:p>
    <w:p w14:paraId="0BB1775A">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14.5投标文件不得涂改和增删，如有错漏必须修改，修改处须由授权代表签字或盖章。</w:t>
      </w:r>
    </w:p>
    <w:p w14:paraId="796F43C9">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14.6由于字迹模糊或表达不清引起的后果由投标人负责。</w:t>
      </w:r>
    </w:p>
    <w:p w14:paraId="74BAEA30">
      <w:pPr>
        <w:shd w:val="clear"/>
        <w:adjustRightInd w:val="0"/>
        <w:snapToGrid w:val="0"/>
        <w:spacing w:line="312" w:lineRule="auto"/>
        <w:ind w:firstLine="480" w:firstLineChars="200"/>
        <w:outlineLvl w:val="1"/>
        <w:rPr>
          <w:rFonts w:ascii="宋体" w:hAnsi="宋体" w:eastAsia="宋体"/>
          <w:color w:val="auto"/>
          <w:sz w:val="24"/>
          <w:szCs w:val="24"/>
        </w:rPr>
      </w:pPr>
      <w:bookmarkStart w:id="29" w:name="_Toc25654"/>
      <w:r>
        <w:rPr>
          <w:rFonts w:ascii="宋体" w:hAnsi="宋体" w:eastAsia="宋体"/>
          <w:color w:val="auto"/>
          <w:sz w:val="24"/>
          <w:szCs w:val="24"/>
        </w:rPr>
        <w:t>15.投标报价</w:t>
      </w:r>
      <w:bookmarkEnd w:id="29"/>
    </w:p>
    <w:p w14:paraId="7861524F">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15.1投标报价应按招标文件中相关附表格式填写。</w:t>
      </w:r>
    </w:p>
    <w:p w14:paraId="499A8EFC">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15.2投标文件</w:t>
      </w:r>
      <w:r>
        <w:rPr>
          <w:rFonts w:hint="eastAsia" w:ascii="宋体" w:hAnsi="宋体" w:eastAsia="宋体"/>
          <w:color w:val="auto"/>
          <w:sz w:val="24"/>
          <w:szCs w:val="24"/>
        </w:rPr>
        <w:t>每项</w:t>
      </w:r>
      <w:r>
        <w:rPr>
          <w:rFonts w:ascii="宋体" w:hAnsi="宋体" w:eastAsia="宋体"/>
          <w:color w:val="auto"/>
          <w:sz w:val="24"/>
          <w:szCs w:val="24"/>
        </w:rPr>
        <w:t>只允许有一个报价，有选择的或有条件的报价将不予接受。</w:t>
      </w:r>
    </w:p>
    <w:p w14:paraId="49146EE1">
      <w:pPr>
        <w:shd w:val="clear"/>
        <w:adjustRightInd w:val="0"/>
        <w:snapToGrid w:val="0"/>
        <w:spacing w:line="312" w:lineRule="auto"/>
        <w:ind w:firstLine="480" w:firstLineChars="200"/>
        <w:outlineLvl w:val="1"/>
        <w:rPr>
          <w:rFonts w:ascii="宋体" w:hAnsi="宋体" w:eastAsia="宋体"/>
          <w:color w:val="auto"/>
          <w:sz w:val="24"/>
          <w:szCs w:val="24"/>
        </w:rPr>
      </w:pPr>
      <w:bookmarkStart w:id="30" w:name="_Toc15993"/>
      <w:r>
        <w:rPr>
          <w:rFonts w:ascii="宋体" w:hAnsi="宋体" w:eastAsia="宋体"/>
          <w:color w:val="auto"/>
          <w:sz w:val="24"/>
          <w:szCs w:val="24"/>
        </w:rPr>
        <w:t>16.投标有效期</w:t>
      </w:r>
      <w:bookmarkEnd w:id="30"/>
    </w:p>
    <w:p w14:paraId="2ECF53A3">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16.1▲投标文件从投标文件递交截止之日起，有效期为90天；</w:t>
      </w:r>
    </w:p>
    <w:p w14:paraId="5E8C49E2">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16.2特殊情况下，在原投标文件有效期截止之前，</w:t>
      </w:r>
      <w:r>
        <w:rPr>
          <w:rFonts w:hint="eastAsia" w:ascii="宋体" w:hAnsi="宋体" w:eastAsia="宋体"/>
          <w:color w:val="auto"/>
          <w:sz w:val="24"/>
          <w:szCs w:val="24"/>
          <w:lang w:eastAsia="zh-CN"/>
        </w:rPr>
        <w:t>采购人</w:t>
      </w:r>
      <w:r>
        <w:rPr>
          <w:rFonts w:ascii="宋体" w:hAnsi="宋体" w:eastAsia="宋体"/>
          <w:color w:val="auto"/>
          <w:sz w:val="24"/>
          <w:szCs w:val="24"/>
        </w:rPr>
        <w:t>可要求投标人同意延长投标文件有效期。这种要求与答复均应以书面形式提交。投标人可拒绝</w:t>
      </w:r>
      <w:r>
        <w:rPr>
          <w:rFonts w:hint="eastAsia" w:ascii="宋体" w:hAnsi="宋体" w:eastAsia="宋体"/>
          <w:color w:val="auto"/>
          <w:sz w:val="24"/>
          <w:szCs w:val="24"/>
          <w:lang w:eastAsia="zh-CN"/>
        </w:rPr>
        <w:t>采购人</w:t>
      </w:r>
      <w:r>
        <w:rPr>
          <w:rFonts w:ascii="宋体" w:hAnsi="宋体" w:eastAsia="宋体"/>
          <w:color w:val="auto"/>
          <w:sz w:val="24"/>
          <w:szCs w:val="24"/>
        </w:rPr>
        <w:t>的这种要求。接受延长投标文件有效期的投标人将不会被要求和允许修正投标文件。</w:t>
      </w:r>
    </w:p>
    <w:p w14:paraId="1260D6F5">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五、投标保证金</w:t>
      </w:r>
    </w:p>
    <w:p w14:paraId="1EBB8E40">
      <w:pPr>
        <w:shd w:val="clear"/>
        <w:adjustRightInd w:val="0"/>
        <w:snapToGrid w:val="0"/>
        <w:spacing w:line="312"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本项目不收取投标保证金</w:t>
      </w:r>
      <w:r>
        <w:rPr>
          <w:rFonts w:hint="eastAsia" w:ascii="宋体" w:hAnsi="宋体" w:eastAsia="宋体"/>
          <w:color w:val="auto"/>
          <w:sz w:val="24"/>
          <w:szCs w:val="24"/>
          <w:lang w:eastAsia="zh-CN"/>
        </w:rPr>
        <w:t>。</w:t>
      </w:r>
    </w:p>
    <w:p w14:paraId="4B463D8F">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六、投标文件的签署及规定</w:t>
      </w:r>
    </w:p>
    <w:p w14:paraId="5AFB4B64">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（一）电子投标文件按政采云平台《政府采购项目电子交易管理操作指南</w:t>
      </w:r>
      <w:r>
        <w:rPr>
          <w:rFonts w:ascii="宋体" w:hAnsi="宋体" w:eastAsia="宋体"/>
          <w:color w:val="auto"/>
          <w:sz w:val="24"/>
          <w:szCs w:val="24"/>
        </w:rPr>
        <w:t>-供应商</w:t>
      </w:r>
      <w:r>
        <w:rPr>
          <w:rFonts w:hint="eastAsia" w:ascii="宋体" w:hAnsi="宋体" w:eastAsia="宋体"/>
          <w:color w:val="auto"/>
          <w:sz w:val="24"/>
          <w:szCs w:val="24"/>
        </w:rPr>
        <w:t>》“2</w:t>
      </w:r>
      <w:r>
        <w:rPr>
          <w:rFonts w:ascii="宋体" w:hAnsi="宋体" w:eastAsia="宋体"/>
          <w:color w:val="auto"/>
          <w:sz w:val="24"/>
          <w:szCs w:val="24"/>
        </w:rPr>
        <w:t>.3</w:t>
      </w:r>
      <w:r>
        <w:rPr>
          <w:rFonts w:hint="eastAsia" w:ascii="宋体" w:hAnsi="宋体" w:eastAsia="宋体"/>
          <w:color w:val="auto"/>
          <w:sz w:val="24"/>
          <w:szCs w:val="24"/>
        </w:rPr>
        <w:t>投标文件制作、上传”</w:t>
      </w:r>
      <w:r>
        <w:rPr>
          <w:rFonts w:ascii="宋体" w:hAnsi="宋体" w:eastAsia="宋体"/>
          <w:color w:val="auto"/>
          <w:sz w:val="24"/>
          <w:szCs w:val="24"/>
        </w:rPr>
        <w:t>及本招标文件规定的格式和顺序编制电子投标文件并进行关联定位。网址：</w:t>
      </w:r>
    </w:p>
    <w:p w14:paraId="03EC1F05">
      <w:pPr>
        <w:shd w:val="clear"/>
        <w:adjustRightInd w:val="0"/>
        <w:snapToGrid w:val="0"/>
        <w:spacing w:line="312" w:lineRule="auto"/>
        <w:rPr>
          <w:rFonts w:ascii="宋体" w:hAnsi="宋体" w:eastAsia="宋体"/>
          <w:color w:val="auto"/>
          <w:spacing w:val="-6"/>
          <w:sz w:val="24"/>
          <w:szCs w:val="24"/>
        </w:rPr>
      </w:pPr>
      <w:r>
        <w:rPr>
          <w:rFonts w:ascii="宋体" w:hAnsi="宋体" w:eastAsia="宋体"/>
          <w:color w:val="auto"/>
          <w:spacing w:val="-6"/>
          <w:sz w:val="24"/>
          <w:szCs w:val="24"/>
        </w:rPr>
        <w:t>https://service.zcygov.cn/#/knowledges/CW1EtGwBFdiHxlNd6I3m/6IMVAG0BFdiHxlNdQ8Na</w:t>
      </w:r>
    </w:p>
    <w:p w14:paraId="5FCC7B65">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（二）备案文件仅在投标文件解密失败时读取。</w:t>
      </w:r>
    </w:p>
    <w:p w14:paraId="4902E8F2">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备份文件，由投标人自行确定是否提交；若提交请将备份文件压缩加密后以电子邮件的形式发送至</w:t>
      </w:r>
      <w:r>
        <w:rPr>
          <w:rFonts w:hint="eastAsia" w:ascii="宋体" w:hAnsi="宋体" w:eastAsia="宋体"/>
          <w:color w:val="auto"/>
          <w:sz w:val="24"/>
          <w:szCs w:val="24"/>
          <w:lang w:eastAsia="zh-CN"/>
        </w:rPr>
        <w:t>951172785</w:t>
      </w:r>
      <w:r>
        <w:rPr>
          <w:rFonts w:hint="eastAsia" w:ascii="宋体" w:hAnsi="宋体" w:eastAsia="宋体"/>
          <w:color w:val="auto"/>
          <w:sz w:val="24"/>
          <w:szCs w:val="24"/>
        </w:rPr>
        <w:t>@qq.com</w:t>
      </w:r>
      <w:r>
        <w:rPr>
          <w:rFonts w:ascii="宋体" w:hAnsi="宋体" w:eastAsia="宋体"/>
          <w:color w:val="auto"/>
          <w:sz w:val="24"/>
          <w:szCs w:val="24"/>
        </w:rPr>
        <w:t>。</w:t>
      </w:r>
      <w:r>
        <w:rPr>
          <w:rFonts w:hint="eastAsia" w:ascii="宋体" w:hAnsi="宋体" w:eastAsia="宋体"/>
          <w:color w:val="auto"/>
          <w:sz w:val="24"/>
          <w:szCs w:val="24"/>
        </w:rPr>
        <w:t>电子备份文件请自行压缩加密，如需启用，招标组织人将电话联系授权委托人发送解密密码。</w:t>
      </w:r>
    </w:p>
    <w:p w14:paraId="79D7E3FA">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如投标人未在截止时间前完成电子文件的传输，其备份文件也将被拒收。</w:t>
      </w:r>
    </w:p>
    <w:p w14:paraId="56F60D4D">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注：投标人在线解密失败后，启用备份文件，否则不启用备份文件。</w:t>
      </w:r>
    </w:p>
    <w:p w14:paraId="26527A16">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七、投标文件的递交</w:t>
      </w:r>
    </w:p>
    <w:p w14:paraId="3C25C83D">
      <w:pPr>
        <w:shd w:val="clear"/>
        <w:adjustRightInd w:val="0"/>
        <w:snapToGrid w:val="0"/>
        <w:spacing w:line="312" w:lineRule="auto"/>
        <w:ind w:firstLine="480" w:firstLineChars="200"/>
        <w:outlineLvl w:val="1"/>
        <w:rPr>
          <w:rFonts w:ascii="宋体" w:hAnsi="宋体" w:eastAsia="宋体"/>
          <w:color w:val="auto"/>
          <w:sz w:val="24"/>
          <w:szCs w:val="24"/>
        </w:rPr>
      </w:pPr>
      <w:bookmarkStart w:id="31" w:name="_Toc27294"/>
      <w:r>
        <w:rPr>
          <w:rFonts w:ascii="宋体" w:hAnsi="宋体" w:eastAsia="宋体"/>
          <w:color w:val="auto"/>
          <w:sz w:val="24"/>
          <w:szCs w:val="24"/>
        </w:rPr>
        <w:t>17</w:t>
      </w:r>
      <w:r>
        <w:rPr>
          <w:rFonts w:hint="eastAsia" w:ascii="宋体" w:hAnsi="宋体" w:eastAsia="宋体"/>
          <w:color w:val="auto"/>
          <w:sz w:val="24"/>
          <w:szCs w:val="24"/>
          <w:lang w:eastAsia="zh-CN"/>
        </w:rPr>
        <w:t>.</w:t>
      </w:r>
      <w:r>
        <w:rPr>
          <w:rFonts w:ascii="宋体" w:hAnsi="宋体" w:eastAsia="宋体"/>
          <w:color w:val="auto"/>
          <w:sz w:val="24"/>
          <w:szCs w:val="24"/>
        </w:rPr>
        <w:t>递交投标文件截止期</w:t>
      </w:r>
      <w:bookmarkEnd w:id="31"/>
    </w:p>
    <w:p w14:paraId="30F611B4">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37DF2256">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本项目采用实行政采云电子交易系统全流程电子交易</w:t>
      </w:r>
      <w:r>
        <w:rPr>
          <w:rFonts w:ascii="宋体" w:hAnsi="宋体" w:eastAsia="宋体"/>
          <w:color w:val="auto"/>
          <w:sz w:val="24"/>
          <w:szCs w:val="24"/>
        </w:rPr>
        <w:t>，投标人无需到开标现场。</w:t>
      </w:r>
    </w:p>
    <w:p w14:paraId="61EE1DE4">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备份文件，由投标人自行确定是否提交；若提交请将备份文件压缩加密后以电子邮件的形式发送至</w:t>
      </w:r>
      <w:r>
        <w:rPr>
          <w:rFonts w:hint="eastAsia" w:ascii="宋体" w:hAnsi="宋体" w:eastAsia="宋体"/>
          <w:color w:val="auto"/>
          <w:sz w:val="24"/>
          <w:szCs w:val="24"/>
          <w:lang w:eastAsia="zh-CN"/>
        </w:rPr>
        <w:t>951172785</w:t>
      </w:r>
      <w:r>
        <w:rPr>
          <w:rFonts w:hint="eastAsia" w:ascii="宋体" w:hAnsi="宋体" w:eastAsia="宋体"/>
          <w:color w:val="auto"/>
          <w:sz w:val="24"/>
          <w:szCs w:val="24"/>
        </w:rPr>
        <w:t>@qq.com</w:t>
      </w:r>
      <w:r>
        <w:rPr>
          <w:rFonts w:ascii="宋体" w:hAnsi="宋体" w:eastAsia="宋体"/>
          <w:color w:val="auto"/>
          <w:sz w:val="24"/>
          <w:szCs w:val="24"/>
        </w:rPr>
        <w:t>。电子备份文件请自行压缩加密，如需启用，磋商组织人将电话联系授权委托人发送解密密码。</w:t>
      </w:r>
    </w:p>
    <w:p w14:paraId="68077885">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如投标人未在截止时间前完成电子文件的传输，其备份文件也将被拒收。</w:t>
      </w:r>
    </w:p>
    <w:p w14:paraId="27CD5B56">
      <w:pPr>
        <w:shd w:val="clear"/>
        <w:adjustRightInd w:val="0"/>
        <w:snapToGrid w:val="0"/>
        <w:spacing w:line="312" w:lineRule="auto"/>
        <w:ind w:firstLine="480" w:firstLineChars="200"/>
        <w:outlineLvl w:val="1"/>
        <w:rPr>
          <w:rFonts w:ascii="宋体" w:hAnsi="宋体" w:eastAsia="宋体"/>
          <w:color w:val="auto"/>
          <w:sz w:val="24"/>
          <w:szCs w:val="24"/>
        </w:rPr>
      </w:pPr>
      <w:bookmarkStart w:id="32" w:name="_Toc15956"/>
      <w:r>
        <w:rPr>
          <w:rFonts w:ascii="宋体" w:hAnsi="宋体" w:eastAsia="宋体"/>
          <w:color w:val="auto"/>
          <w:sz w:val="24"/>
          <w:szCs w:val="24"/>
        </w:rPr>
        <w:t>18</w:t>
      </w:r>
      <w:r>
        <w:rPr>
          <w:rFonts w:hint="eastAsia" w:ascii="宋体" w:hAnsi="宋体" w:eastAsia="宋体"/>
          <w:color w:val="auto"/>
          <w:sz w:val="24"/>
          <w:szCs w:val="24"/>
          <w:lang w:eastAsia="zh-CN"/>
        </w:rPr>
        <w:t>.</w:t>
      </w:r>
      <w:r>
        <w:rPr>
          <w:rFonts w:ascii="宋体" w:hAnsi="宋体" w:eastAsia="宋体"/>
          <w:color w:val="auto"/>
          <w:sz w:val="24"/>
          <w:szCs w:val="24"/>
        </w:rPr>
        <w:t>投标文件的修改和撤销</w:t>
      </w:r>
      <w:bookmarkEnd w:id="32"/>
    </w:p>
    <w:p w14:paraId="40E0E39D">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18.1投标人在递交投标文件后，可以修改或撤回其投标文件：递交投标文件截止时间之前补充或者修改电子投标文件的，应当先行撤回原文件，补充、修改后重新传输递交。</w:t>
      </w:r>
    </w:p>
    <w:p w14:paraId="577DE6AA">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18.2投标人修改后的投标文件应按原来的规定编制、密封、标记和递交。</w:t>
      </w:r>
    </w:p>
    <w:p w14:paraId="4EB779C7">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18.3在递交投标文件截止期之后，投标人不得对其投标文件做任何修改。</w:t>
      </w:r>
    </w:p>
    <w:p w14:paraId="370E334A">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18.4递交投标文件截止期后，投标人不得撤回其投标文件。</w:t>
      </w:r>
    </w:p>
    <w:p w14:paraId="53A6E088">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18.5实质上没有响应本文件要求的投标文件将被拒绝。投标人不得通过修正或撤销不合要求的偏离或保留从而使其投标文件成为实质上响应的文件。</w:t>
      </w:r>
    </w:p>
    <w:p w14:paraId="65EBEF1F">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八、投标无效的情形</w:t>
      </w:r>
    </w:p>
    <w:p w14:paraId="370ACE07">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w:t>
      </w:r>
      <w:r>
        <w:rPr>
          <w:rFonts w:hint="eastAsia" w:ascii="宋体" w:hAnsi="宋体" w:eastAsia="宋体"/>
          <w:color w:val="auto"/>
          <w:sz w:val="24"/>
          <w:szCs w:val="24"/>
          <w:lang w:eastAsia="zh-CN"/>
        </w:rPr>
        <w:t>.</w:t>
      </w:r>
      <w:r>
        <w:rPr>
          <w:rFonts w:ascii="宋体" w:hAnsi="宋体" w:eastAsia="宋体"/>
          <w:color w:val="auto"/>
          <w:sz w:val="24"/>
          <w:szCs w:val="24"/>
        </w:rPr>
        <w:t>实质上没有响应招标文件要求的投标将被视为无效投标。投标人不得通过修正或撤消不合要求的偏离或保留从而使其投标成为实质上响应的投标。如发生下列情况之一的，其投标视为无效：</w:t>
      </w:r>
    </w:p>
    <w:p w14:paraId="37EFF86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19.1不具备招标文件规定资格要求；</w:t>
      </w:r>
    </w:p>
    <w:p w14:paraId="199CAFE5">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19.2投标文件未有效授权的;</w:t>
      </w:r>
    </w:p>
    <w:p w14:paraId="2726746E">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19.3招标文件中有▲处条款投标人未</w:t>
      </w:r>
      <w:r>
        <w:rPr>
          <w:rFonts w:hint="eastAsia" w:ascii="宋体" w:hAnsi="宋体" w:eastAsia="宋体"/>
          <w:color w:val="auto"/>
          <w:sz w:val="24"/>
          <w:szCs w:val="24"/>
          <w:lang w:eastAsia="zh-CN"/>
        </w:rPr>
        <w:t>做</w:t>
      </w:r>
      <w:r>
        <w:rPr>
          <w:rFonts w:ascii="宋体" w:hAnsi="宋体" w:eastAsia="宋体"/>
          <w:color w:val="auto"/>
          <w:sz w:val="24"/>
          <w:szCs w:val="24"/>
        </w:rPr>
        <w:t>实质性响应的；</w:t>
      </w:r>
    </w:p>
    <w:p w14:paraId="4325787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19.4资金综合收益率低于一年期定期存款自律机制浮动上限的；</w:t>
      </w:r>
    </w:p>
    <w:p w14:paraId="5D55D6F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19.5投标文件关键内容字迹模糊、无法辨认的；</w:t>
      </w:r>
    </w:p>
    <w:p w14:paraId="7BBD7580">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19.6投标文件含有采购人不能接受的附件条件的；</w:t>
      </w:r>
    </w:p>
    <w:p w14:paraId="0A09D2A1">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19.7提供虚假材料谋取中标的；</w:t>
      </w:r>
    </w:p>
    <w:p w14:paraId="6F514DB0">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19.8投标人串通投标的；</w:t>
      </w:r>
    </w:p>
    <w:p w14:paraId="4B09C6D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19.9不符合法律、法规和招标文件规定的其他实质性要求的。</w:t>
      </w:r>
    </w:p>
    <w:p w14:paraId="26E074BC">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19.10电子投标文件解密失败</w:t>
      </w:r>
      <w:r>
        <w:rPr>
          <w:rFonts w:hint="eastAsia" w:ascii="宋体" w:hAnsi="宋体" w:eastAsia="宋体"/>
          <w:color w:val="auto"/>
          <w:sz w:val="24"/>
          <w:szCs w:val="24"/>
        </w:rPr>
        <w:t>、且未提供电子备份文件的</w:t>
      </w:r>
      <w:r>
        <w:rPr>
          <w:rFonts w:ascii="宋体" w:hAnsi="宋体" w:eastAsia="宋体"/>
          <w:color w:val="auto"/>
          <w:sz w:val="24"/>
          <w:szCs w:val="24"/>
        </w:rPr>
        <w:t>；</w:t>
      </w:r>
    </w:p>
    <w:p w14:paraId="6E796CF2">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19.11电子投标文件未按规定要求提供电子签章的。</w:t>
      </w:r>
    </w:p>
    <w:p w14:paraId="528D225F">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九、串通投标的情形</w:t>
      </w:r>
    </w:p>
    <w:p w14:paraId="5621D9FF">
      <w:pPr>
        <w:shd w:val="clear"/>
        <w:adjustRightInd w:val="0"/>
        <w:snapToGrid w:val="0"/>
        <w:spacing w:line="312"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20.投标过程中，有下列情形之一的，属串通行为，其投标无效：</w:t>
      </w:r>
    </w:p>
    <w:p w14:paraId="1C419102">
      <w:pPr>
        <w:shd w:val="clear"/>
        <w:adjustRightInd w:val="0"/>
        <w:snapToGrid w:val="0"/>
        <w:spacing w:line="312"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20.1不同投标人的投标文件由同一单位或者个人编制；</w:t>
      </w:r>
    </w:p>
    <w:p w14:paraId="49EC5E80">
      <w:pPr>
        <w:shd w:val="clear"/>
        <w:adjustRightInd w:val="0"/>
        <w:snapToGrid w:val="0"/>
        <w:spacing w:line="312"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20.2不同投标人委托同一单位或者个人办理投标事宜；</w:t>
      </w:r>
    </w:p>
    <w:p w14:paraId="44A466BA">
      <w:pPr>
        <w:shd w:val="clear"/>
        <w:adjustRightInd w:val="0"/>
        <w:snapToGrid w:val="0"/>
        <w:spacing w:line="312"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20.3不同投标人的投标文件载明的项目管理成员或者联系人员为同一人；</w:t>
      </w:r>
    </w:p>
    <w:p w14:paraId="6AC9919C">
      <w:pPr>
        <w:shd w:val="clear"/>
        <w:adjustRightInd w:val="0"/>
        <w:snapToGrid w:val="0"/>
        <w:spacing w:line="312"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20.4不同投标人的投标文件异常一致或者投标报价呈规律性差异；</w:t>
      </w:r>
    </w:p>
    <w:p w14:paraId="68ED88D8">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十、废标的情形</w:t>
      </w:r>
    </w:p>
    <w:p w14:paraId="0FC5984B">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1.采购中，出现下列情形之一的，应予废标，废标后，采购人将废标理由通知所有投标人：</w:t>
      </w:r>
    </w:p>
    <w:p w14:paraId="3A3D313D">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21.1符合专业条件的投标人或对招标文件作实质性响应的投标人不足三家的；</w:t>
      </w:r>
    </w:p>
    <w:p w14:paraId="6B19816D">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21.2出现影响采购公正的违法、违规行为的；</w:t>
      </w:r>
    </w:p>
    <w:p w14:paraId="6C300F36">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21.3因重大变故，采购任务取消的；</w:t>
      </w:r>
    </w:p>
    <w:p w14:paraId="4B108FFE">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十一、开标和评标</w:t>
      </w:r>
    </w:p>
    <w:p w14:paraId="72EDE1B3">
      <w:pPr>
        <w:shd w:val="clear"/>
        <w:adjustRightInd w:val="0"/>
        <w:snapToGrid w:val="0"/>
        <w:spacing w:line="312" w:lineRule="auto"/>
        <w:ind w:firstLine="480" w:firstLineChars="200"/>
        <w:outlineLvl w:val="1"/>
        <w:rPr>
          <w:rFonts w:ascii="宋体" w:hAnsi="宋体" w:eastAsia="宋体"/>
          <w:color w:val="auto"/>
          <w:sz w:val="24"/>
          <w:szCs w:val="24"/>
        </w:rPr>
      </w:pPr>
      <w:bookmarkStart w:id="33" w:name="_Toc24556"/>
      <w:r>
        <w:rPr>
          <w:rFonts w:ascii="宋体" w:hAnsi="宋体" w:eastAsia="宋体"/>
          <w:color w:val="auto"/>
          <w:sz w:val="24"/>
          <w:szCs w:val="24"/>
        </w:rPr>
        <w:t>22.开标</w:t>
      </w:r>
      <w:bookmarkEnd w:id="33"/>
    </w:p>
    <w:p w14:paraId="3C599050">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22.1</w:t>
      </w:r>
      <w:r>
        <w:rPr>
          <w:rFonts w:hint="eastAsia" w:ascii="宋体" w:hAnsi="宋体" w:eastAsia="宋体"/>
          <w:color w:val="auto"/>
          <w:sz w:val="24"/>
          <w:szCs w:val="24"/>
          <w:lang w:eastAsia="zh-CN"/>
        </w:rPr>
        <w:t>采购人</w:t>
      </w:r>
      <w:r>
        <w:rPr>
          <w:rFonts w:ascii="宋体" w:hAnsi="宋体" w:eastAsia="宋体"/>
          <w:color w:val="auto"/>
          <w:sz w:val="24"/>
          <w:szCs w:val="24"/>
        </w:rPr>
        <w:t>在规定的日期、时间和地点组织招标会。</w:t>
      </w:r>
    </w:p>
    <w:p w14:paraId="1F77F723">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22.2电子投标文件开标</w:t>
      </w:r>
    </w:p>
    <w:p w14:paraId="5B7F9488">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1）投标截止时间后，投标人登录政采云平台，用“项目采购-开标评标”功能对电子投标文件进行在线解密。在线解密电子投标文件时间为</w:t>
      </w:r>
      <w:r>
        <w:rPr>
          <w:rFonts w:hint="eastAsia" w:ascii="宋体" w:hAnsi="宋体" w:eastAsia="宋体"/>
          <w:color w:val="auto"/>
          <w:sz w:val="24"/>
          <w:szCs w:val="24"/>
        </w:rPr>
        <w:t>投标截止</w:t>
      </w:r>
      <w:r>
        <w:rPr>
          <w:rFonts w:ascii="宋体" w:hAnsi="宋体" w:eastAsia="宋体"/>
          <w:color w:val="auto"/>
          <w:sz w:val="24"/>
          <w:szCs w:val="24"/>
        </w:rPr>
        <w:t>起</w:t>
      </w:r>
      <w:r>
        <w:rPr>
          <w:rFonts w:hint="eastAsia" w:ascii="宋体" w:hAnsi="宋体" w:eastAsia="宋体"/>
          <w:color w:val="auto"/>
          <w:sz w:val="24"/>
          <w:szCs w:val="24"/>
        </w:rPr>
        <w:t>限定时间</w:t>
      </w:r>
      <w:r>
        <w:rPr>
          <w:rFonts w:ascii="宋体" w:hAnsi="宋体" w:eastAsia="宋体"/>
          <w:color w:val="auto"/>
          <w:sz w:val="24"/>
          <w:szCs w:val="24"/>
        </w:rPr>
        <w:t>内。</w:t>
      </w:r>
    </w:p>
    <w:p w14:paraId="7FC205B8">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2）由采购人代表评审资格审查文件，若资格审查不符合招标文件要求，即终止其参与投标资格。</w:t>
      </w:r>
    </w:p>
    <w:p w14:paraId="6BB4B9C3">
      <w:pPr>
        <w:shd w:val="clear"/>
        <w:adjustRightInd w:val="0"/>
        <w:snapToGrid w:val="0"/>
        <w:spacing w:line="312" w:lineRule="auto"/>
        <w:ind w:firstLine="480" w:firstLineChars="200"/>
        <w:outlineLvl w:val="1"/>
        <w:rPr>
          <w:rFonts w:ascii="宋体" w:hAnsi="宋体" w:eastAsia="宋体"/>
          <w:color w:val="auto"/>
          <w:sz w:val="24"/>
          <w:szCs w:val="24"/>
        </w:rPr>
      </w:pPr>
      <w:bookmarkStart w:id="34" w:name="_Toc30056"/>
      <w:r>
        <w:rPr>
          <w:rFonts w:ascii="宋体" w:hAnsi="宋体" w:eastAsia="宋体"/>
          <w:color w:val="auto"/>
          <w:sz w:val="24"/>
          <w:szCs w:val="24"/>
        </w:rPr>
        <w:t>23.评标委员会</w:t>
      </w:r>
      <w:bookmarkEnd w:id="34"/>
    </w:p>
    <w:p w14:paraId="544AE485">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23.1采购代理机构和采购人将根据采购</w:t>
      </w:r>
      <w:r>
        <w:rPr>
          <w:rFonts w:hint="eastAsia" w:ascii="宋体" w:hAnsi="宋体" w:eastAsia="宋体"/>
          <w:color w:val="auto"/>
          <w:sz w:val="24"/>
          <w:szCs w:val="24"/>
        </w:rPr>
        <w:t>项目</w:t>
      </w:r>
      <w:r>
        <w:rPr>
          <w:rFonts w:ascii="宋体" w:hAnsi="宋体" w:eastAsia="宋体"/>
          <w:color w:val="auto"/>
          <w:sz w:val="24"/>
          <w:szCs w:val="24"/>
        </w:rPr>
        <w:t>的特点组建评标委员会,其成员由技术、经济等方面的专家和采购人代表组成。评标委员会对投标文件进行审查、询标、评议和推荐中标候选人。</w:t>
      </w:r>
      <w:r>
        <w:rPr>
          <w:rFonts w:hint="eastAsia" w:ascii="宋体" w:hAnsi="宋体" w:eastAsia="宋体"/>
          <w:color w:val="auto"/>
          <w:sz w:val="24"/>
          <w:szCs w:val="24"/>
        </w:rPr>
        <w:t>评标委员会判断投标文件的响应性，仅基于投标文件本身而不靠外部证据。</w:t>
      </w:r>
    </w:p>
    <w:p w14:paraId="6CB85E41">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23.2在评标期间,若有需要投标人应派代表参加询标。</w:t>
      </w:r>
    </w:p>
    <w:p w14:paraId="0F1BA37A">
      <w:pPr>
        <w:shd w:val="clear"/>
        <w:adjustRightInd w:val="0"/>
        <w:snapToGrid w:val="0"/>
        <w:spacing w:line="312" w:lineRule="auto"/>
        <w:ind w:firstLine="480" w:firstLineChars="200"/>
        <w:outlineLvl w:val="1"/>
        <w:rPr>
          <w:rFonts w:ascii="宋体" w:hAnsi="宋体" w:eastAsia="宋体"/>
          <w:color w:val="auto"/>
          <w:sz w:val="24"/>
          <w:szCs w:val="24"/>
        </w:rPr>
      </w:pPr>
      <w:bookmarkStart w:id="35" w:name="_Toc5337"/>
      <w:r>
        <w:rPr>
          <w:rFonts w:ascii="宋体" w:hAnsi="宋体" w:eastAsia="宋体"/>
          <w:color w:val="auto"/>
          <w:sz w:val="24"/>
          <w:szCs w:val="24"/>
        </w:rPr>
        <w:t>24.对投标文件的审查和响应性的确定</w:t>
      </w:r>
      <w:bookmarkEnd w:id="35"/>
    </w:p>
    <w:p w14:paraId="36C99F5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24.1评标委员会将审查投标文件是否真实、完整,总体编排是否有序,文件签署是否正确,有无计算上的错误等。</w:t>
      </w:r>
    </w:p>
    <w:p w14:paraId="0D5974EF">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 xml:space="preserve">24.2算术错误将按以下方法更正: </w:t>
      </w:r>
    </w:p>
    <w:p w14:paraId="5D346D5D">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1）开标时，投标文件中开标一览表（报价表）内容与投标文件中明细表内容不一致的，以开标一览表（报价表）为准；</w:t>
      </w:r>
    </w:p>
    <w:p w14:paraId="69A09437">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2）投标文件的大写金额和小写金额不一致的，以大写金额为准；</w:t>
      </w:r>
    </w:p>
    <w:p w14:paraId="6F9D1460">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3）单价金额小数点或百分比有明显错位的，以开标一览表的总价为准，并修改单价；</w:t>
      </w:r>
    </w:p>
    <w:p w14:paraId="0DF898D0">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14:paraId="391DB3F3">
      <w:pPr>
        <w:shd w:val="clear"/>
        <w:adjustRightInd w:val="0"/>
        <w:snapToGrid w:val="0"/>
        <w:spacing w:line="312" w:lineRule="auto"/>
        <w:ind w:firstLine="480" w:firstLineChars="200"/>
        <w:outlineLvl w:val="1"/>
        <w:rPr>
          <w:rFonts w:ascii="宋体" w:hAnsi="宋体" w:eastAsia="宋体"/>
          <w:color w:val="auto"/>
          <w:sz w:val="24"/>
          <w:szCs w:val="24"/>
        </w:rPr>
      </w:pPr>
      <w:bookmarkStart w:id="36" w:name="_Toc27338"/>
      <w:r>
        <w:rPr>
          <w:rFonts w:ascii="宋体" w:hAnsi="宋体" w:eastAsia="宋体"/>
          <w:color w:val="auto"/>
          <w:sz w:val="24"/>
          <w:szCs w:val="24"/>
        </w:rPr>
        <w:t>25.评标</w:t>
      </w:r>
      <w:bookmarkEnd w:id="36"/>
    </w:p>
    <w:p w14:paraId="2885EEF2">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 xml:space="preserve">25.1评定原则：根据符合采购需求、质量和服务等要求，综合评分确定中标人。 </w:t>
      </w:r>
    </w:p>
    <w:p w14:paraId="4041F15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25.2投标文件的澄清：在评标期间,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63D1606E">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25.3评标报告：评标委员会完成评定后，向</w:t>
      </w:r>
      <w:r>
        <w:rPr>
          <w:rFonts w:hint="eastAsia" w:ascii="宋体" w:hAnsi="宋体" w:eastAsia="宋体"/>
          <w:color w:val="auto"/>
          <w:sz w:val="24"/>
          <w:szCs w:val="24"/>
          <w:lang w:eastAsia="zh-CN"/>
        </w:rPr>
        <w:t>采购人</w:t>
      </w:r>
      <w:r>
        <w:rPr>
          <w:rFonts w:ascii="宋体" w:hAnsi="宋体" w:eastAsia="宋体"/>
          <w:color w:val="auto"/>
          <w:sz w:val="24"/>
          <w:szCs w:val="24"/>
        </w:rPr>
        <w:t>提交经各评标委员会成员签字的评定结果报告，并按评定办法推荐中标候选人。</w:t>
      </w:r>
    </w:p>
    <w:p w14:paraId="76BC83C7">
      <w:pPr>
        <w:shd w:val="clear"/>
        <w:adjustRightInd w:val="0"/>
        <w:snapToGrid w:val="0"/>
        <w:spacing w:line="312" w:lineRule="auto"/>
        <w:ind w:firstLine="480" w:firstLineChars="200"/>
        <w:outlineLvl w:val="1"/>
        <w:rPr>
          <w:rFonts w:ascii="宋体" w:hAnsi="宋体" w:eastAsia="宋体"/>
          <w:color w:val="auto"/>
          <w:sz w:val="24"/>
          <w:szCs w:val="24"/>
        </w:rPr>
      </w:pPr>
      <w:bookmarkStart w:id="37" w:name="_Toc4189"/>
      <w:r>
        <w:rPr>
          <w:rFonts w:ascii="宋体" w:hAnsi="宋体" w:eastAsia="宋体"/>
          <w:color w:val="auto"/>
          <w:sz w:val="24"/>
          <w:szCs w:val="24"/>
        </w:rPr>
        <w:t>26.保密</w:t>
      </w:r>
      <w:bookmarkEnd w:id="37"/>
    </w:p>
    <w:p w14:paraId="676C0683">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26.1开标后直到宣布授予中标人合同为止,凡属于审查、澄清、评估和比较投标的有关资料且与授予合同有关的信息都不得向任何投标人或与上述评标过程无关的人员透露。</w:t>
      </w:r>
    </w:p>
    <w:p w14:paraId="2A1C8C8A">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26.2投标人对评标、比较或授予合同决定的过程施加影响的企图和行为,都可能导致其投标被拒绝。</w:t>
      </w:r>
    </w:p>
    <w:p w14:paraId="3A5AFBB3">
      <w:pPr>
        <w:shd w:val="clear"/>
        <w:adjustRightInd w:val="0"/>
        <w:snapToGrid w:val="0"/>
        <w:spacing w:line="312"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十二、授予合同</w:t>
      </w:r>
    </w:p>
    <w:p w14:paraId="73E92230">
      <w:pPr>
        <w:shd w:val="clear"/>
        <w:adjustRightInd w:val="0"/>
        <w:snapToGrid w:val="0"/>
        <w:spacing w:line="312" w:lineRule="auto"/>
        <w:ind w:firstLine="480" w:firstLineChars="200"/>
        <w:outlineLvl w:val="1"/>
        <w:rPr>
          <w:rFonts w:ascii="宋体" w:hAnsi="宋体" w:eastAsia="宋体"/>
          <w:color w:val="auto"/>
          <w:sz w:val="24"/>
          <w:szCs w:val="24"/>
        </w:rPr>
      </w:pPr>
      <w:bookmarkStart w:id="38" w:name="_Toc7394"/>
      <w:r>
        <w:rPr>
          <w:rFonts w:ascii="宋体" w:hAnsi="宋体" w:eastAsia="宋体"/>
          <w:color w:val="auto"/>
          <w:sz w:val="24"/>
          <w:szCs w:val="24"/>
        </w:rPr>
        <w:t>27.中标通知和合同授予</w:t>
      </w:r>
      <w:bookmarkEnd w:id="38"/>
    </w:p>
    <w:p w14:paraId="12E10125">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27.1</w:t>
      </w:r>
      <w:r>
        <w:rPr>
          <w:rFonts w:hint="eastAsia" w:ascii="宋体" w:hAnsi="宋体" w:eastAsia="宋体"/>
          <w:color w:val="auto"/>
          <w:sz w:val="24"/>
          <w:szCs w:val="24"/>
        </w:rPr>
        <w:t>中标通知书：采购人按评标报告确定的中标候选人名单顺序确定中标人，衢州宇信工程咨询有限公司将以书面形式发出《中标通知书》。《中标通知书》一经发出即发生法律效力。</w:t>
      </w:r>
      <w:r>
        <w:rPr>
          <w:rFonts w:hint="eastAsia" w:ascii="宋体" w:hAnsi="宋体" w:eastAsia="宋体"/>
          <w:color w:val="auto"/>
          <w:sz w:val="24"/>
          <w:szCs w:val="24"/>
          <w:lang w:eastAsia="zh-CN"/>
        </w:rPr>
        <w:t>采购人</w:t>
      </w:r>
      <w:r>
        <w:rPr>
          <w:rFonts w:hint="eastAsia" w:ascii="宋体" w:hAnsi="宋体" w:eastAsia="宋体"/>
          <w:color w:val="auto"/>
          <w:sz w:val="24"/>
          <w:szCs w:val="24"/>
        </w:rPr>
        <w:t>无义务向未中标供应商解释落选原因，不退回投标文件。《中标通知书》将作为签订合同的依据。若有异议且成立，采购人可以按照综合得分由高到低排序另行确定中标供应商，也可以重新开展政府采购活动</w:t>
      </w:r>
      <w:r>
        <w:rPr>
          <w:rFonts w:ascii="宋体" w:hAnsi="宋体" w:eastAsia="宋体"/>
          <w:color w:val="auto"/>
          <w:sz w:val="24"/>
          <w:szCs w:val="24"/>
        </w:rPr>
        <w:t>。</w:t>
      </w:r>
    </w:p>
    <w:p w14:paraId="1E4D0E33">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27.2履约保证金：</w:t>
      </w:r>
      <w:r>
        <w:rPr>
          <w:rFonts w:hint="eastAsia" w:ascii="宋体" w:hAnsi="宋体" w:eastAsia="宋体"/>
          <w:color w:val="auto"/>
          <w:sz w:val="24"/>
          <w:szCs w:val="24"/>
        </w:rPr>
        <w:t>本项目不收取</w:t>
      </w:r>
      <w:r>
        <w:rPr>
          <w:rFonts w:ascii="宋体" w:hAnsi="宋体" w:eastAsia="宋体"/>
          <w:color w:val="auto"/>
          <w:sz w:val="24"/>
          <w:szCs w:val="24"/>
        </w:rPr>
        <w:t>履约保证金</w:t>
      </w:r>
      <w:r>
        <w:rPr>
          <w:rFonts w:hint="eastAsia" w:ascii="宋体" w:hAnsi="宋体" w:eastAsia="宋体"/>
          <w:color w:val="auto"/>
          <w:sz w:val="24"/>
          <w:szCs w:val="24"/>
        </w:rPr>
        <w:t>。</w:t>
      </w:r>
    </w:p>
    <w:p w14:paraId="05909B5B">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27.3签订合同：</w:t>
      </w:r>
      <w:r>
        <w:rPr>
          <w:rFonts w:hint="eastAsia" w:ascii="宋体" w:hAnsi="宋体" w:eastAsia="宋体"/>
          <w:color w:val="auto"/>
          <w:sz w:val="24"/>
          <w:szCs w:val="24"/>
        </w:rPr>
        <w:t>中标人按采购人通知指定的时间、地点与采购人签订合同,并经衢州宇信工程咨询有限公司</w:t>
      </w:r>
      <w:r>
        <w:rPr>
          <w:rFonts w:hint="eastAsia" w:ascii="宋体" w:hAnsi="宋体" w:eastAsia="宋体"/>
          <w:color w:val="auto"/>
          <w:sz w:val="24"/>
          <w:szCs w:val="24"/>
          <w:lang w:eastAsia="zh-CN"/>
        </w:rPr>
        <w:t>签字</w:t>
      </w:r>
      <w:r>
        <w:rPr>
          <w:rFonts w:hint="eastAsia" w:ascii="宋体" w:hAnsi="宋体" w:eastAsia="宋体"/>
          <w:color w:val="auto"/>
          <w:sz w:val="24"/>
          <w:szCs w:val="24"/>
        </w:rPr>
        <w:t>后生效。在有合理证据证明供应商在投标过程中承诺的内容不能实质响应的，采购人有权拒签合同。</w:t>
      </w:r>
    </w:p>
    <w:p w14:paraId="21C26F4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27.4</w:t>
      </w:r>
      <w:r>
        <w:rPr>
          <w:rFonts w:hint="eastAsia" w:ascii="宋体" w:hAnsi="宋体" w:eastAsia="宋体"/>
          <w:color w:val="auto"/>
          <w:sz w:val="24"/>
          <w:szCs w:val="24"/>
        </w:rPr>
        <w:t xml:space="preserve"> 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宋体" w:hAnsi="宋体" w:eastAsia="宋体"/>
          <w:color w:val="auto"/>
          <w:sz w:val="24"/>
          <w:szCs w:val="24"/>
          <w:lang w:eastAsia="zh-CN"/>
        </w:rPr>
        <w:t>10%</w:t>
      </w:r>
      <w:r>
        <w:rPr>
          <w:rFonts w:hint="eastAsia" w:ascii="宋体" w:hAnsi="宋体" w:eastAsia="宋体"/>
          <w:color w:val="auto"/>
          <w:sz w:val="24"/>
          <w:szCs w:val="24"/>
        </w:rPr>
        <w:t>。</w:t>
      </w:r>
    </w:p>
    <w:p w14:paraId="7D419E44">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27.5招标文件、澄清文件、投标文件等，均为签订合同的依据。中标人接到中标通知书后，按采购人通知签订合同，并交衢州宇信工程咨询有限公司签证。</w:t>
      </w:r>
    </w:p>
    <w:p w14:paraId="6E953008">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27.6</w:t>
      </w:r>
      <w:r>
        <w:rPr>
          <w:rFonts w:hint="eastAsia" w:ascii="宋体" w:hAnsi="宋体" w:eastAsia="宋体" w:cs="宋体"/>
          <w:color w:val="auto"/>
          <w:sz w:val="24"/>
          <w:szCs w:val="24"/>
        </w:rPr>
        <w:t>▲</w:t>
      </w:r>
      <w:r>
        <w:rPr>
          <w:rFonts w:hint="eastAsia" w:ascii="宋体" w:hAnsi="宋体" w:eastAsia="宋体"/>
          <w:color w:val="auto"/>
          <w:sz w:val="24"/>
          <w:szCs w:val="24"/>
        </w:rPr>
        <w:t>在采购人正式通知办理存放手续之日起</w:t>
      </w:r>
      <w:r>
        <w:rPr>
          <w:rFonts w:hint="eastAsia" w:ascii="宋体" w:hAnsi="宋体" w:eastAsia="宋体"/>
          <w:color w:val="auto"/>
          <w:sz w:val="24"/>
          <w:szCs w:val="24"/>
          <w:lang w:val="en-US" w:eastAsia="zh-CN"/>
        </w:rPr>
        <w:t>10</w:t>
      </w:r>
      <w:r>
        <w:rPr>
          <w:rFonts w:hint="eastAsia" w:ascii="宋体" w:hAnsi="宋体" w:eastAsia="宋体"/>
          <w:color w:val="auto"/>
          <w:sz w:val="24"/>
          <w:szCs w:val="24"/>
        </w:rPr>
        <w:t>个工作日内双方签订协议，中标人向采购人出具《廉政承诺书》（见格式附件），并按年度出具投标人上级银行签署的《资金安全担保函》（见格式附件）同时完成资金存放手续。若因中标人拖延、拒签协议或手续不全等原因无法如期存放的，撤销协议书、《中标通知书》，注销剩余的存放额度，按得分高低顺序延续下一名次存放。</w:t>
      </w:r>
    </w:p>
    <w:p w14:paraId="6D939DA3">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27.7签约后即为招标结束。投标文件一律不退。</w:t>
      </w:r>
    </w:p>
    <w:p w14:paraId="0AB16CC3">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十三、质疑与投诉</w:t>
      </w:r>
    </w:p>
    <w:p w14:paraId="22299CB4">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8.1</w:t>
      </w:r>
      <w:r>
        <w:rPr>
          <w:rFonts w:hint="eastAsia" w:ascii="宋体" w:hAnsi="宋体" w:eastAsia="宋体"/>
          <w:color w:val="auto"/>
          <w:sz w:val="24"/>
          <w:szCs w:val="24"/>
        </w:rPr>
        <w:t>根据《中华人民共和国政府采购法》、《中华人民共和国政府采购法实施条例》、《政府采购质疑和投诉办法》</w:t>
      </w:r>
      <w:r>
        <w:rPr>
          <w:rFonts w:ascii="宋体" w:hAnsi="宋体" w:eastAsia="宋体"/>
          <w:color w:val="auto"/>
          <w:sz w:val="24"/>
          <w:szCs w:val="24"/>
        </w:rPr>
        <w:t>(财政部令第94号)，政府采购供应商可以依法提起质疑和投诉。</w:t>
      </w:r>
    </w:p>
    <w:p w14:paraId="0D252455">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28.2</w:t>
      </w:r>
      <w:r>
        <w:rPr>
          <w:rFonts w:hint="eastAsia" w:ascii="宋体" w:hAnsi="宋体" w:eastAsia="宋体"/>
          <w:color w:val="auto"/>
          <w:sz w:val="24"/>
          <w:szCs w:val="24"/>
        </w:rPr>
        <w:t>供应商提交的质疑函应符合财政部《政府采购供应商质疑函范本》要求。下载网址：</w:t>
      </w:r>
      <w:r>
        <w:rPr>
          <w:rFonts w:ascii="宋体" w:hAnsi="宋体" w:eastAsia="宋体"/>
          <w:color w:val="auto"/>
          <w:sz w:val="24"/>
          <w:szCs w:val="24"/>
        </w:rPr>
        <w:t>http://ztb.longyou.gov.cn/front/content/9003002000</w:t>
      </w:r>
    </w:p>
    <w:p w14:paraId="74B27E0F">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8.3投标人认为招标文件、招标过程或中标结果使自己的合法权益受到损害的，应当在知道或者应知其权益受到损害之日起七个工作日内，以书面形式向采购人、采购代理机构提出质疑。投标人对招标</w:t>
      </w:r>
      <w:r>
        <w:rPr>
          <w:rFonts w:hint="eastAsia" w:ascii="宋体" w:hAnsi="宋体" w:eastAsia="宋体"/>
          <w:color w:val="auto"/>
          <w:sz w:val="24"/>
          <w:szCs w:val="24"/>
          <w:lang w:eastAsia="zh-CN"/>
        </w:rPr>
        <w:t>招标人</w:t>
      </w:r>
      <w:r>
        <w:rPr>
          <w:rFonts w:ascii="宋体" w:hAnsi="宋体" w:eastAsia="宋体"/>
          <w:color w:val="auto"/>
          <w:sz w:val="24"/>
          <w:szCs w:val="24"/>
        </w:rPr>
        <w:t>的质疑答复不满意或者招标</w:t>
      </w:r>
      <w:r>
        <w:rPr>
          <w:rFonts w:hint="eastAsia" w:ascii="宋体" w:hAnsi="宋体" w:eastAsia="宋体"/>
          <w:color w:val="auto"/>
          <w:sz w:val="24"/>
          <w:szCs w:val="24"/>
          <w:lang w:eastAsia="zh-CN"/>
        </w:rPr>
        <w:t>招标人</w:t>
      </w:r>
      <w:r>
        <w:rPr>
          <w:rFonts w:ascii="宋体" w:hAnsi="宋体" w:eastAsia="宋体"/>
          <w:color w:val="auto"/>
          <w:sz w:val="24"/>
          <w:szCs w:val="24"/>
        </w:rPr>
        <w:t>未在规定时间内作出答复的，可以在答复期满后十五个工作日内向同级采购监管部门投诉。</w:t>
      </w:r>
    </w:p>
    <w:p w14:paraId="71946715">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8.4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9758D6E">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28.5如质疑、投诉不成立且恶意诽谤的，同时由相关部门根据规定进行必要的处罚。</w:t>
      </w:r>
    </w:p>
    <w:p w14:paraId="72EFE15D">
      <w:pPr>
        <w:shd w:val="clear"/>
        <w:adjustRightInd w:val="0"/>
        <w:snapToGrid w:val="0"/>
        <w:spacing w:line="312" w:lineRule="auto"/>
        <w:ind w:firstLine="480" w:firstLineChars="200"/>
        <w:outlineLvl w:val="1"/>
        <w:rPr>
          <w:rFonts w:ascii="宋体" w:hAnsi="宋体" w:eastAsia="宋体"/>
          <w:color w:val="auto"/>
          <w:sz w:val="24"/>
          <w:szCs w:val="24"/>
        </w:rPr>
      </w:pPr>
      <w:bookmarkStart w:id="39" w:name="_Toc25930"/>
      <w:r>
        <w:rPr>
          <w:rFonts w:ascii="宋体" w:hAnsi="宋体" w:eastAsia="宋体"/>
          <w:color w:val="auto"/>
          <w:sz w:val="24"/>
          <w:szCs w:val="24"/>
        </w:rPr>
        <w:t>29</w:t>
      </w:r>
      <w:r>
        <w:rPr>
          <w:rFonts w:hint="eastAsia" w:ascii="宋体" w:hAnsi="宋体" w:eastAsia="宋体"/>
          <w:color w:val="auto"/>
          <w:sz w:val="24"/>
          <w:szCs w:val="24"/>
          <w:lang w:eastAsia="zh-CN"/>
        </w:rPr>
        <w:t>.</w:t>
      </w:r>
      <w:r>
        <w:rPr>
          <w:rFonts w:ascii="宋体" w:hAnsi="宋体" w:eastAsia="宋体"/>
          <w:color w:val="auto"/>
          <w:sz w:val="24"/>
          <w:szCs w:val="24"/>
        </w:rPr>
        <w:t>中标人确定</w:t>
      </w:r>
      <w:bookmarkEnd w:id="39"/>
    </w:p>
    <w:p w14:paraId="1659A708">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29.1投标人对评标结果无异议的，采购人应在收到评标报告后5个工作日内按推荐排名顺序由高到低对评标结果进行确认。如有投标人对评标结果提出质疑的，采购人可在质疑处理完毕后确定中标人。</w:t>
      </w:r>
    </w:p>
    <w:p w14:paraId="22B9BD12">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29.2采购人依法确定中标人后2个工作日内，集中采购机构以书面形式发出《中标通知书》,并同时在相关网站上发布中标公告。</w:t>
      </w:r>
    </w:p>
    <w:p w14:paraId="248F2C7D">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十四、法律责任</w:t>
      </w:r>
    </w:p>
    <w:p w14:paraId="5C163DAD">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0</w:t>
      </w:r>
      <w:r>
        <w:rPr>
          <w:rFonts w:ascii="宋体" w:hAnsi="宋体" w:eastAsia="宋体"/>
          <w:color w:val="auto"/>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429867DB">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30</w:t>
      </w:r>
      <w:r>
        <w:rPr>
          <w:rFonts w:ascii="宋体" w:hAnsi="宋体" w:eastAsia="宋体"/>
          <w:color w:val="auto"/>
          <w:sz w:val="24"/>
          <w:szCs w:val="24"/>
        </w:rPr>
        <w:t>.1提供虚假材料谋取中标的;</w:t>
      </w:r>
    </w:p>
    <w:p w14:paraId="4A3F5833">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30</w:t>
      </w:r>
      <w:r>
        <w:rPr>
          <w:rFonts w:ascii="宋体" w:hAnsi="宋体" w:eastAsia="宋体"/>
          <w:color w:val="auto"/>
          <w:sz w:val="24"/>
          <w:szCs w:val="24"/>
        </w:rPr>
        <w:t>.2采取不正当手段诋毁、排挤其他投标人的;</w:t>
      </w:r>
    </w:p>
    <w:p w14:paraId="1E4B170F">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30</w:t>
      </w:r>
      <w:r>
        <w:rPr>
          <w:rFonts w:ascii="宋体" w:hAnsi="宋体" w:eastAsia="宋体"/>
          <w:color w:val="auto"/>
          <w:sz w:val="24"/>
          <w:szCs w:val="24"/>
        </w:rPr>
        <w:t>.3与采购人、采购代理机构、其他投标人恶意串通的;</w:t>
      </w:r>
    </w:p>
    <w:p w14:paraId="35C4D28A">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30</w:t>
      </w:r>
      <w:r>
        <w:rPr>
          <w:rFonts w:ascii="宋体" w:hAnsi="宋体" w:eastAsia="宋体"/>
          <w:color w:val="auto"/>
          <w:sz w:val="24"/>
          <w:szCs w:val="24"/>
        </w:rPr>
        <w:t>.4向采购人、采购代理机构行贿或者提供其他不正当利益的;</w:t>
      </w:r>
    </w:p>
    <w:p w14:paraId="4AC904D8">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30</w:t>
      </w:r>
      <w:r>
        <w:rPr>
          <w:rFonts w:ascii="宋体" w:hAnsi="宋体" w:eastAsia="宋体"/>
          <w:color w:val="auto"/>
          <w:sz w:val="24"/>
          <w:szCs w:val="24"/>
        </w:rPr>
        <w:t>.5在招标过程中与采购人进行协商谈判、不按照招标文件和中标人的投标文件订立合同,或者与采购人另行订立背离合同实质性内容的协议的;</w:t>
      </w:r>
    </w:p>
    <w:p w14:paraId="47CE7D14">
      <w:pPr>
        <w:shd w:val="clear"/>
        <w:adjustRightInd w:val="0"/>
        <w:snapToGrid w:val="0"/>
        <w:spacing w:line="312" w:lineRule="auto"/>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0</w:t>
      </w:r>
      <w:r>
        <w:rPr>
          <w:rFonts w:ascii="宋体" w:hAnsi="宋体" w:eastAsia="宋体"/>
          <w:color w:val="auto"/>
          <w:sz w:val="24"/>
          <w:szCs w:val="24"/>
        </w:rPr>
        <w:t>.6拒绝有关部门监督检查或者提供虚假情况的</w:t>
      </w:r>
    </w:p>
    <w:p w14:paraId="3A7B20B0">
      <w:pPr>
        <w:shd w:val="clear"/>
        <w:adjustRightInd w:val="0"/>
        <w:snapToGrid w:val="0"/>
        <w:spacing w:line="312"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十五、诚信管理</w:t>
      </w:r>
    </w:p>
    <w:p w14:paraId="587DE518">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供应商有下列情形之一的，依据《关于印发浙江省政府供应商注册及诚信管理暂行办法通知》</w:t>
      </w:r>
      <w:r>
        <w:rPr>
          <w:rFonts w:ascii="宋体" w:hAnsi="宋体" w:eastAsia="宋体"/>
          <w:color w:val="auto"/>
          <w:sz w:val="24"/>
          <w:szCs w:val="24"/>
        </w:rPr>
        <w:t>[浙财采监字〔2009〕28号]文件第三十八条和第三十九条的规定记录不良行为、黑名单及处罚。</w:t>
      </w:r>
    </w:p>
    <w:p w14:paraId="52A0E69B">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第三十八条 注册供应商有下列情形之一的，</w:t>
      </w:r>
      <w:r>
        <w:rPr>
          <w:rFonts w:hint="eastAsia" w:ascii="宋体" w:hAnsi="宋体" w:eastAsia="宋体"/>
          <w:color w:val="auto"/>
          <w:sz w:val="24"/>
          <w:szCs w:val="24"/>
          <w:lang w:eastAsia="zh-CN"/>
        </w:rPr>
        <w:t>招标人</w:t>
      </w:r>
      <w:r>
        <w:rPr>
          <w:rFonts w:hint="eastAsia" w:ascii="宋体" w:hAnsi="宋体" w:eastAsia="宋体"/>
          <w:color w:val="auto"/>
          <w:sz w:val="24"/>
          <w:szCs w:val="24"/>
        </w:rPr>
        <w:t>或采购代理机构应按不良行为记入该注册供应商诚信档案中：</w:t>
      </w:r>
    </w:p>
    <w:p w14:paraId="49F3E611">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（一）开标后擅自撤回采购投标文件，或扰乱开标现场，影响采购活动继续进行的；</w:t>
      </w:r>
    </w:p>
    <w:p w14:paraId="3B138641">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（二）中标、成交后无正当理由拒绝签订政府采购合同，或者与</w:t>
      </w:r>
      <w:r>
        <w:rPr>
          <w:rFonts w:hint="eastAsia" w:ascii="宋体" w:hAnsi="宋体" w:eastAsia="宋体"/>
          <w:color w:val="auto"/>
          <w:sz w:val="24"/>
          <w:szCs w:val="24"/>
          <w:lang w:eastAsia="zh-CN"/>
        </w:rPr>
        <w:t>招标人</w:t>
      </w:r>
      <w:r>
        <w:rPr>
          <w:rFonts w:hint="eastAsia" w:ascii="宋体" w:hAnsi="宋体" w:eastAsia="宋体"/>
          <w:color w:val="auto"/>
          <w:sz w:val="24"/>
          <w:szCs w:val="24"/>
        </w:rPr>
        <w:t>另行订立背离合同实质内容的协议的；</w:t>
      </w:r>
    </w:p>
    <w:p w14:paraId="378EF46E">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（三）无正当理由拒绝履行合同和有关承诺，或擅自变更、中止（终止）政府采购合同的；</w:t>
      </w:r>
    </w:p>
    <w:p w14:paraId="254D2F06">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（四）超过合同约定的供货（或服务）时间达</w:t>
      </w:r>
      <w:r>
        <w:rPr>
          <w:rFonts w:ascii="宋体" w:hAnsi="宋体" w:eastAsia="宋体"/>
          <w:color w:val="auto"/>
          <w:sz w:val="24"/>
          <w:szCs w:val="24"/>
        </w:rPr>
        <w:t>30日以上的；</w:t>
      </w:r>
    </w:p>
    <w:p w14:paraId="3280BFD8">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（五）中标、成交后，将政府采购合同转包或擅自分包给其他供应商的；</w:t>
      </w:r>
    </w:p>
    <w:p w14:paraId="69733F4E">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（六）提供假冒伪劣产品或走私物品的；</w:t>
      </w:r>
    </w:p>
    <w:p w14:paraId="07FAC2CF">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（七）擅自降低产品质量等次和售后服务，或以次充好、偷工减料的；</w:t>
      </w:r>
    </w:p>
    <w:p w14:paraId="15132EF7">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（八）实际提供的有关产品性能指标和技术服务能力明显低于投标文件或询标、谈判时的承诺；</w:t>
      </w:r>
    </w:p>
    <w:p w14:paraId="59AB478F">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（九）在供应商库中发布的产品服务信息或在政府采购网上宣传的信息与实际明显不符，或故意误导采购人的；</w:t>
      </w:r>
    </w:p>
    <w:p w14:paraId="6A273D11">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（十）不按规定或不及时变更供应商库中的有关信息的；</w:t>
      </w:r>
    </w:p>
    <w:p w14:paraId="0056013D">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（十一）</w:t>
      </w:r>
      <w:r>
        <w:rPr>
          <w:rFonts w:ascii="宋体" w:hAnsi="宋体" w:eastAsia="宋体"/>
          <w:color w:val="auto"/>
          <w:sz w:val="24"/>
          <w:szCs w:val="24"/>
        </w:rPr>
        <w:t>1年内在全省被质疑或投诉累计分别在20和10次以上且60%以上被驳回的，或恶意举报给采购人或采购代理机构造成损害的；</w:t>
      </w:r>
    </w:p>
    <w:p w14:paraId="3B9FED2C">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（十二）各级财政部门认定</w:t>
      </w:r>
      <w:r>
        <w:rPr>
          <w:rFonts w:hint="eastAsia" w:ascii="宋体" w:hAnsi="宋体" w:eastAsia="宋体"/>
          <w:color w:val="auto"/>
          <w:sz w:val="24"/>
          <w:szCs w:val="24"/>
          <w:lang w:eastAsia="zh-CN"/>
        </w:rPr>
        <w:t>的其他</w:t>
      </w:r>
      <w:r>
        <w:rPr>
          <w:rFonts w:hint="eastAsia" w:ascii="宋体" w:hAnsi="宋体" w:eastAsia="宋体"/>
          <w:color w:val="auto"/>
          <w:sz w:val="24"/>
          <w:szCs w:val="24"/>
        </w:rPr>
        <w:t>有违诚实信用的行为。</w:t>
      </w:r>
    </w:p>
    <w:p w14:paraId="12E74107">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第三十九条</w:t>
      </w:r>
      <w:r>
        <w:rPr>
          <w:rFonts w:ascii="宋体" w:hAnsi="宋体" w:eastAsia="宋体"/>
          <w:color w:val="auto"/>
          <w:sz w:val="24"/>
          <w:szCs w:val="24"/>
        </w:rPr>
        <w:t xml:space="preserve"> 注册供应商有下列情形之一的，</w:t>
      </w:r>
      <w:r>
        <w:rPr>
          <w:rFonts w:hint="eastAsia" w:ascii="宋体" w:hAnsi="宋体" w:eastAsia="宋体"/>
          <w:color w:val="auto"/>
          <w:sz w:val="24"/>
          <w:szCs w:val="24"/>
          <w:lang w:eastAsia="zh-CN"/>
        </w:rPr>
        <w:t>招标人</w:t>
      </w:r>
      <w:r>
        <w:rPr>
          <w:rFonts w:ascii="宋体" w:hAnsi="宋体" w:eastAsia="宋体"/>
          <w:color w:val="auto"/>
          <w:sz w:val="24"/>
          <w:szCs w:val="24"/>
        </w:rPr>
        <w:t>或采购代理机构应向同级财政部门书面报告，并提请财政部门将其列 入“黑名单”或者依法作出处罚；各级财政部门在依法处罚的同时，应将该情况按不良行为记入该供应商诚信档案中，同时将该供应商列入“黑名单”公开曝光：</w:t>
      </w:r>
    </w:p>
    <w:p w14:paraId="5CA1BEB1">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（一）提供虚假材料谋取中</w:t>
      </w:r>
      <w:r>
        <w:rPr>
          <w:rFonts w:ascii="宋体" w:hAnsi="宋体" w:eastAsia="宋体"/>
          <w:color w:val="auto"/>
          <w:sz w:val="24"/>
          <w:szCs w:val="24"/>
        </w:rPr>
        <w:t>标、成交的；</w:t>
      </w:r>
    </w:p>
    <w:p w14:paraId="539EABF3">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（二）采取不正当手段诋毁、排挤其他供应商的；</w:t>
      </w:r>
    </w:p>
    <w:p w14:paraId="556BAFE3">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（三）与</w:t>
      </w:r>
      <w:r>
        <w:rPr>
          <w:rFonts w:hint="eastAsia" w:ascii="宋体" w:hAnsi="宋体" w:eastAsia="宋体"/>
          <w:color w:val="auto"/>
          <w:sz w:val="24"/>
          <w:szCs w:val="24"/>
          <w:lang w:eastAsia="zh-CN"/>
        </w:rPr>
        <w:t>招标人</w:t>
      </w:r>
      <w:r>
        <w:rPr>
          <w:rFonts w:hint="eastAsia" w:ascii="宋体" w:hAnsi="宋体" w:eastAsia="宋体"/>
          <w:color w:val="auto"/>
          <w:sz w:val="24"/>
          <w:szCs w:val="24"/>
        </w:rPr>
        <w:t>、其他供应商或者采购代理机构恶意串通的；</w:t>
      </w:r>
    </w:p>
    <w:p w14:paraId="7B94B48E">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（四）向</w:t>
      </w:r>
      <w:r>
        <w:rPr>
          <w:rFonts w:hint="eastAsia" w:ascii="宋体" w:hAnsi="宋体" w:eastAsia="宋体"/>
          <w:color w:val="auto"/>
          <w:sz w:val="24"/>
          <w:szCs w:val="24"/>
          <w:lang w:eastAsia="zh-CN"/>
        </w:rPr>
        <w:t>招标人</w:t>
      </w:r>
      <w:r>
        <w:rPr>
          <w:rFonts w:hint="eastAsia" w:ascii="宋体" w:hAnsi="宋体" w:eastAsia="宋体"/>
          <w:color w:val="auto"/>
          <w:sz w:val="24"/>
          <w:szCs w:val="24"/>
        </w:rPr>
        <w:t>、采购代理机构行贿或提供其他不</w:t>
      </w:r>
      <w:r>
        <w:rPr>
          <w:rFonts w:ascii="宋体" w:hAnsi="宋体" w:eastAsia="宋体"/>
          <w:color w:val="auto"/>
          <w:sz w:val="24"/>
          <w:szCs w:val="24"/>
        </w:rPr>
        <w:t xml:space="preserve"> 正当利益，或因此被其他国家机关立案</w:t>
      </w:r>
      <w:r>
        <w:rPr>
          <w:rFonts w:hint="eastAsia" w:ascii="宋体" w:hAnsi="宋体" w:eastAsia="宋体"/>
          <w:color w:val="auto"/>
          <w:sz w:val="24"/>
          <w:szCs w:val="24"/>
          <w:lang w:eastAsia="zh-CN"/>
        </w:rPr>
        <w:t>查处</w:t>
      </w:r>
      <w:r>
        <w:rPr>
          <w:rFonts w:ascii="宋体" w:hAnsi="宋体" w:eastAsia="宋体"/>
          <w:color w:val="auto"/>
          <w:sz w:val="24"/>
          <w:szCs w:val="24"/>
        </w:rPr>
        <w:t>的；</w:t>
      </w:r>
    </w:p>
    <w:p w14:paraId="5C997B1B">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（五）在招标采购过程中与</w:t>
      </w:r>
      <w:r>
        <w:rPr>
          <w:rFonts w:hint="eastAsia" w:ascii="宋体" w:hAnsi="宋体" w:eastAsia="宋体"/>
          <w:color w:val="auto"/>
          <w:sz w:val="24"/>
          <w:szCs w:val="24"/>
          <w:lang w:eastAsia="zh-CN"/>
        </w:rPr>
        <w:t>招标人</w:t>
      </w:r>
      <w:r>
        <w:rPr>
          <w:rFonts w:hint="eastAsia" w:ascii="宋体" w:hAnsi="宋体" w:eastAsia="宋体"/>
          <w:color w:val="auto"/>
          <w:sz w:val="24"/>
          <w:szCs w:val="24"/>
        </w:rPr>
        <w:t>进行协商谈判</w:t>
      </w:r>
      <w:r>
        <w:rPr>
          <w:rFonts w:ascii="宋体" w:hAnsi="宋体" w:eastAsia="宋体"/>
          <w:color w:val="auto"/>
          <w:sz w:val="24"/>
          <w:szCs w:val="24"/>
        </w:rPr>
        <w:t>的；</w:t>
      </w:r>
    </w:p>
    <w:p w14:paraId="386D3DEC">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（六）哄抬、操纵政府采购报价，或政府采购价格（包括产品及其配件、试剂、耗材等价格）明显高于市场平均</w:t>
      </w:r>
      <w:r>
        <w:rPr>
          <w:rFonts w:ascii="宋体" w:hAnsi="宋体" w:eastAsia="宋体"/>
          <w:color w:val="auto"/>
          <w:sz w:val="24"/>
          <w:szCs w:val="24"/>
        </w:rPr>
        <w:t>价的；</w:t>
      </w:r>
    </w:p>
    <w:p w14:paraId="41A91ADF">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（七）提供虚假材料骗取注册供应商资格的；</w:t>
      </w:r>
    </w:p>
    <w:p w14:paraId="13B871C4">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（八）伪造《浙江省政府采购注册供应商信息登记表》的；</w:t>
      </w:r>
    </w:p>
    <w:p w14:paraId="3115F531">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（九）销售或发布法律、法规禁止销售的商品、服务和其他违法信息</w:t>
      </w:r>
      <w:r>
        <w:rPr>
          <w:rFonts w:ascii="宋体" w:hAnsi="宋体" w:eastAsia="宋体"/>
          <w:color w:val="auto"/>
          <w:sz w:val="24"/>
          <w:szCs w:val="24"/>
        </w:rPr>
        <w:t xml:space="preserve"> 的；</w:t>
      </w:r>
    </w:p>
    <w:p w14:paraId="4E312D0B">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rPr>
        <w:t>（十）其它违反法律、法规和政府采购管理有关规定的行为的。</w:t>
      </w:r>
    </w:p>
    <w:p w14:paraId="259BD747">
      <w:pPr>
        <w:shd w:val="clear"/>
        <w:adjustRightInd w:val="0"/>
        <w:snapToGrid w:val="0"/>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十六、其他</w:t>
      </w:r>
    </w:p>
    <w:p w14:paraId="0840D04C">
      <w:pPr>
        <w:shd w:val="clear"/>
        <w:adjustRightInd w:val="0"/>
        <w:snapToGrid w:val="0"/>
        <w:spacing w:line="360" w:lineRule="auto"/>
        <w:ind w:firstLine="480" w:firstLineChars="200"/>
        <w:rPr>
          <w:rFonts w:hint="eastAsia" w:ascii="宋体" w:hAnsi="宋体" w:eastAsia="宋体" w:cs="Times New Roman"/>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1</w:t>
      </w:r>
      <w:r>
        <w:rPr>
          <w:rFonts w:ascii="宋体" w:hAnsi="宋体" w:eastAsia="宋体"/>
          <w:color w:val="auto"/>
          <w:sz w:val="24"/>
          <w:szCs w:val="24"/>
        </w:rPr>
        <w:t>.</w:t>
      </w:r>
      <w:r>
        <w:rPr>
          <w:rFonts w:hint="eastAsia" w:ascii="宋体" w:hAnsi="宋体" w:eastAsia="宋体"/>
          <w:color w:val="auto"/>
          <w:sz w:val="24"/>
          <w:szCs w:val="24"/>
        </w:rPr>
        <w:t>本项目招标代理费计</w:t>
      </w:r>
      <w:r>
        <w:rPr>
          <w:rFonts w:hint="eastAsia" w:ascii="宋体" w:hAnsi="宋体" w:eastAsia="宋体"/>
          <w:color w:val="auto"/>
          <w:sz w:val="24"/>
          <w:szCs w:val="24"/>
          <w:lang w:val="en-US" w:eastAsia="zh-CN"/>
        </w:rPr>
        <w:t>5000</w:t>
      </w:r>
      <w:r>
        <w:rPr>
          <w:rFonts w:hint="eastAsia" w:ascii="宋体" w:hAnsi="宋体" w:eastAsia="宋体"/>
          <w:color w:val="auto"/>
          <w:sz w:val="24"/>
          <w:szCs w:val="24"/>
        </w:rPr>
        <w:t>元，</w:t>
      </w:r>
      <w:r>
        <w:rPr>
          <w:rFonts w:hint="eastAsia" w:ascii="宋体" w:hAnsi="宋体" w:eastAsia="宋体" w:cs="Times New Roman"/>
          <w:color w:val="auto"/>
          <w:sz w:val="24"/>
          <w:szCs w:val="24"/>
          <w:lang w:val="en-US" w:eastAsia="zh-CN"/>
        </w:rPr>
        <w:t>由中标单位</w:t>
      </w:r>
      <w:r>
        <w:rPr>
          <w:rFonts w:hint="eastAsia" w:ascii="宋体" w:hAnsi="宋体" w:eastAsia="宋体" w:cs="Times New Roman"/>
          <w:color w:val="auto"/>
          <w:sz w:val="24"/>
          <w:szCs w:val="24"/>
          <w:lang w:val="zh-CN" w:eastAsia="zh-CN"/>
        </w:rPr>
        <w:t>在领取中标通知书时交与招标代理机构。</w:t>
      </w:r>
    </w:p>
    <w:p w14:paraId="76BF5A88">
      <w:pPr>
        <w:shd w:val="clear"/>
        <w:adjustRightInd w:val="0"/>
        <w:snapToGrid w:val="0"/>
        <w:spacing w:line="360" w:lineRule="auto"/>
        <w:ind w:firstLine="480" w:firstLineChars="200"/>
        <w:outlineLvl w:val="1"/>
        <w:rPr>
          <w:rFonts w:ascii="宋体" w:hAnsi="宋体" w:eastAsia="宋体"/>
          <w:color w:val="auto"/>
          <w:sz w:val="24"/>
          <w:szCs w:val="24"/>
        </w:rPr>
      </w:pPr>
      <w:bookmarkStart w:id="40" w:name="_Toc20763"/>
      <w:r>
        <w:rPr>
          <w:rFonts w:hint="eastAsia" w:ascii="宋体" w:hAnsi="宋体" w:eastAsia="宋体"/>
          <w:color w:val="auto"/>
          <w:sz w:val="24"/>
          <w:szCs w:val="24"/>
        </w:rPr>
        <w:t>32.评审费按实结算，由</w:t>
      </w:r>
      <w:r>
        <w:rPr>
          <w:rFonts w:hint="eastAsia" w:ascii="宋体" w:hAnsi="宋体" w:eastAsia="宋体" w:cs="Times New Roman"/>
          <w:color w:val="auto"/>
          <w:sz w:val="24"/>
          <w:szCs w:val="24"/>
          <w:lang w:val="en-US" w:eastAsia="zh-CN"/>
        </w:rPr>
        <w:t>中标单位</w:t>
      </w:r>
      <w:r>
        <w:rPr>
          <w:rFonts w:hint="eastAsia" w:ascii="宋体" w:hAnsi="宋体" w:eastAsia="宋体"/>
          <w:color w:val="auto"/>
          <w:sz w:val="24"/>
          <w:szCs w:val="24"/>
        </w:rPr>
        <w:t>支付。</w:t>
      </w:r>
      <w:bookmarkEnd w:id="40"/>
    </w:p>
    <w:p w14:paraId="25847A52">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33.解释权：本招标文件是依据《政府采购法》及有关规定编制的，解释权属</w:t>
      </w:r>
      <w:r>
        <w:rPr>
          <w:rFonts w:hint="eastAsia" w:ascii="宋体" w:hAnsi="宋体" w:eastAsia="宋体"/>
          <w:color w:val="auto"/>
          <w:sz w:val="24"/>
          <w:szCs w:val="24"/>
          <w:lang w:eastAsia="zh-CN"/>
        </w:rPr>
        <w:t>采购人</w:t>
      </w:r>
      <w:r>
        <w:rPr>
          <w:rFonts w:hint="eastAsia" w:ascii="宋体" w:hAnsi="宋体" w:eastAsia="宋体"/>
          <w:color w:val="auto"/>
          <w:sz w:val="24"/>
          <w:szCs w:val="24"/>
        </w:rPr>
        <w:t>。</w:t>
      </w:r>
    </w:p>
    <w:p w14:paraId="0CE8A91A">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34．联系方式：与招标有关的函电请按下面联系，其他任何方式或信息来源均无效。</w:t>
      </w:r>
    </w:p>
    <w:p w14:paraId="32B92F9C">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通讯地址：衢州宇信工程咨询有限公司（龙游县龙洲街道广和商务楼3楼306室）</w:t>
      </w:r>
    </w:p>
    <w:p w14:paraId="415471A5">
      <w:pPr>
        <w:shd w:val="clear"/>
        <w:adjustRightInd w:val="0"/>
        <w:snapToGrid w:val="0"/>
        <w:spacing w:line="312"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项目联系人：</w:t>
      </w:r>
      <w:r>
        <w:rPr>
          <w:rFonts w:hint="eastAsia" w:ascii="宋体" w:hAnsi="宋体" w:eastAsia="宋体"/>
          <w:color w:val="auto"/>
          <w:sz w:val="24"/>
          <w:szCs w:val="24"/>
          <w:lang w:eastAsia="zh-CN"/>
        </w:rPr>
        <w:t>祝女士</w:t>
      </w:r>
    </w:p>
    <w:p w14:paraId="3CF4C193">
      <w:pPr>
        <w:shd w:val="clear"/>
        <w:adjustRightInd w:val="0"/>
        <w:snapToGrid w:val="0"/>
        <w:spacing w:line="312"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答疑咨询电话：</w:t>
      </w:r>
      <w:r>
        <w:rPr>
          <w:rFonts w:hint="eastAsia" w:ascii="宋体" w:hAnsi="宋体" w:eastAsia="宋体"/>
          <w:color w:val="auto"/>
          <w:sz w:val="24"/>
          <w:szCs w:val="24"/>
          <w:lang w:eastAsia="zh-CN"/>
        </w:rPr>
        <w:t>18367068335</w:t>
      </w:r>
    </w:p>
    <w:p w14:paraId="40D81FFC">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公告网址：</w:t>
      </w:r>
      <w:r>
        <w:rPr>
          <w:rFonts w:ascii="宋体" w:hAnsi="宋体" w:eastAsia="宋体"/>
          <w:color w:val="auto"/>
          <w:sz w:val="24"/>
          <w:szCs w:val="24"/>
        </w:rPr>
        <w:t>www.zjzfcg.gov.cn（浙江政府采购网）</w:t>
      </w:r>
    </w:p>
    <w:p w14:paraId="04668350">
      <w:pPr>
        <w:shd w:val="clear"/>
        <w:adjustRightInd w:val="0"/>
        <w:snapToGrid w:val="0"/>
        <w:spacing w:line="312" w:lineRule="auto"/>
        <w:ind w:firstLine="482" w:firstLineChars="200"/>
        <w:rPr>
          <w:rFonts w:ascii="宋体" w:hAnsi="宋体" w:eastAsia="宋体"/>
          <w:b/>
          <w:color w:val="auto"/>
          <w:sz w:val="24"/>
          <w:szCs w:val="24"/>
        </w:rPr>
      </w:pPr>
    </w:p>
    <w:p w14:paraId="36C132ED">
      <w:pPr>
        <w:shd w:val="clear"/>
        <w:adjustRightInd w:val="0"/>
        <w:snapToGrid w:val="0"/>
        <w:spacing w:line="312" w:lineRule="auto"/>
        <w:ind w:firstLine="480" w:firstLineChars="200"/>
        <w:jc w:val="left"/>
        <w:rPr>
          <w:rFonts w:ascii="宋体" w:hAnsi="宋体" w:eastAsia="宋体"/>
          <w:color w:val="auto"/>
          <w:sz w:val="24"/>
          <w:szCs w:val="24"/>
        </w:rPr>
      </w:pPr>
    </w:p>
    <w:p w14:paraId="3A6A27BF">
      <w:pPr>
        <w:shd w:val="clear"/>
        <w:adjustRightInd w:val="0"/>
        <w:snapToGrid w:val="0"/>
        <w:spacing w:line="312" w:lineRule="auto"/>
        <w:jc w:val="center"/>
        <w:outlineLvl w:val="0"/>
        <w:rPr>
          <w:rFonts w:ascii="宋体" w:hAnsi="宋体" w:eastAsia="宋体" w:cs="宋体"/>
          <w:color w:val="auto"/>
          <w:szCs w:val="21"/>
        </w:rPr>
      </w:pPr>
      <w:r>
        <w:rPr>
          <w:rFonts w:ascii="宋体" w:hAnsi="宋体" w:eastAsia="宋体"/>
          <w:color w:val="auto"/>
          <w:sz w:val="24"/>
          <w:szCs w:val="24"/>
        </w:rPr>
        <w:br w:type="page"/>
      </w:r>
      <w:bookmarkStart w:id="41" w:name="_Toc2683"/>
      <w:bookmarkStart w:id="42" w:name="_Toc20920"/>
      <w:r>
        <w:rPr>
          <w:rFonts w:hint="eastAsia" w:ascii="宋体" w:hAnsi="宋体" w:eastAsia="宋体" w:cs="宋体"/>
          <w:b/>
          <w:bCs/>
          <w:color w:val="auto"/>
          <w:sz w:val="32"/>
          <w:szCs w:val="32"/>
        </w:rPr>
        <w:t>第三章  采购内容及要求</w:t>
      </w:r>
      <w:bookmarkEnd w:id="41"/>
      <w:bookmarkEnd w:id="42"/>
    </w:p>
    <w:p w14:paraId="02759AC8">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bCs/>
          <w:color w:val="000000"/>
          <w:sz w:val="24"/>
          <w:szCs w:val="24"/>
        </w:rPr>
      </w:pPr>
      <w:bookmarkStart w:id="43" w:name="_Toc28015"/>
      <w:r>
        <w:rPr>
          <w:rFonts w:hint="eastAsia" w:ascii="宋体" w:hAnsi="宋体" w:eastAsia="宋体" w:cs="宋体"/>
          <w:b/>
          <w:bCs/>
          <w:color w:val="000000"/>
          <w:sz w:val="24"/>
          <w:szCs w:val="24"/>
        </w:rPr>
        <w:t>一、金额与期限</w:t>
      </w:r>
      <w:bookmarkEnd w:id="43"/>
    </w:p>
    <w:p w14:paraId="1A2FAD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一年期定期存款</w:t>
      </w:r>
      <w:r>
        <w:rPr>
          <w:rFonts w:hint="eastAsia" w:ascii="宋体" w:hAnsi="宋体" w:eastAsia="宋体" w:cs="宋体"/>
          <w:color w:val="000000"/>
          <w:sz w:val="24"/>
          <w:szCs w:val="24"/>
          <w:lang w:val="en-US" w:eastAsia="zh-CN"/>
        </w:rPr>
        <w:t>600</w:t>
      </w:r>
      <w:r>
        <w:rPr>
          <w:rFonts w:hint="eastAsia" w:ascii="宋体" w:hAnsi="宋体" w:eastAsia="宋体" w:cs="宋体"/>
          <w:color w:val="000000"/>
          <w:sz w:val="24"/>
          <w:szCs w:val="24"/>
        </w:rPr>
        <w:t>万元。</w:t>
      </w:r>
    </w:p>
    <w:p w14:paraId="369F0B20">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bCs/>
          <w:color w:val="000000"/>
          <w:sz w:val="24"/>
          <w:szCs w:val="24"/>
        </w:rPr>
      </w:pPr>
      <w:bookmarkStart w:id="44" w:name="_Toc27563"/>
      <w:r>
        <w:rPr>
          <w:rFonts w:hint="eastAsia" w:ascii="宋体" w:hAnsi="宋体" w:eastAsia="宋体" w:cs="宋体"/>
          <w:b/>
          <w:bCs/>
          <w:color w:val="000000"/>
          <w:sz w:val="24"/>
          <w:szCs w:val="24"/>
        </w:rPr>
        <w:t>二、</w:t>
      </w:r>
      <w:bookmarkEnd w:id="44"/>
      <w:r>
        <w:rPr>
          <w:rFonts w:hint="eastAsia" w:ascii="宋体" w:hAnsi="宋体" w:eastAsia="宋体" w:cs="宋体"/>
          <w:b/>
          <w:bCs/>
          <w:color w:val="000000"/>
          <w:sz w:val="24"/>
          <w:szCs w:val="24"/>
        </w:rPr>
        <w:t>中标银行确定及存放金额分配</w:t>
      </w:r>
    </w:p>
    <w:p w14:paraId="099B4C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竞标银行综合得分为评标委员会各成员所评分的算术平均值，按综合得分从高到低顺序排列（四舍五入保留2位小数）取</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家中标单位，如竞标银行最终得分相同时，依次按竞标银行利率水平得分、经营状况指标得分、经济贡献度指标综合得分、服务水平指标综合得分的高低确定名次。如出现中标家数不足时，则未分配完资金按中标单位中标金额比例分配。如有效投标人少于三家则作流标处理。</w:t>
      </w:r>
    </w:p>
    <w:p w14:paraId="4CA87B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取</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家中标单位，根据得分从高到低存放额度分配如下表：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5"/>
        <w:gridCol w:w="6073"/>
      </w:tblGrid>
      <w:tr w14:paraId="1759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noWrap w:val="0"/>
            <w:vAlign w:val="center"/>
          </w:tcPr>
          <w:p w14:paraId="66A9E1D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名次</w:t>
            </w:r>
          </w:p>
        </w:tc>
        <w:tc>
          <w:tcPr>
            <w:tcW w:w="3251" w:type="pct"/>
            <w:noWrap w:val="0"/>
            <w:vAlign w:val="center"/>
          </w:tcPr>
          <w:p w14:paraId="1C4F6D8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中标金额（万元）</w:t>
            </w:r>
          </w:p>
        </w:tc>
      </w:tr>
      <w:tr w14:paraId="5AC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noWrap w:val="0"/>
            <w:vAlign w:val="center"/>
          </w:tcPr>
          <w:p w14:paraId="2B63D21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51" w:type="pct"/>
            <w:noWrap w:val="0"/>
            <w:vAlign w:val="center"/>
          </w:tcPr>
          <w:p w14:paraId="2DF7E97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00</w:t>
            </w:r>
          </w:p>
        </w:tc>
      </w:tr>
      <w:tr w14:paraId="1BAF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noWrap w:val="0"/>
            <w:vAlign w:val="center"/>
          </w:tcPr>
          <w:p w14:paraId="35FEE61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3251" w:type="pct"/>
            <w:noWrap w:val="0"/>
            <w:vAlign w:val="center"/>
          </w:tcPr>
          <w:p w14:paraId="07DA9CB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600</w:t>
            </w:r>
          </w:p>
        </w:tc>
      </w:tr>
    </w:tbl>
    <w:p w14:paraId="523DE54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三、中标结果确认及中标通知书发放</w:t>
      </w:r>
    </w:p>
    <w:p w14:paraId="5A468E8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中标结果经招标人确认后生效，中标结果确认后，</w:t>
      </w:r>
      <w:r>
        <w:rPr>
          <w:rFonts w:hint="eastAsia" w:ascii="宋体" w:hAnsi="宋体" w:eastAsia="宋体" w:cs="宋体"/>
          <w:sz w:val="24"/>
          <w:szCs w:val="24"/>
          <w:lang w:eastAsia="zh-CN"/>
        </w:rPr>
        <w:t>衢州宇信工程咨询有限公司</w:t>
      </w:r>
      <w:r>
        <w:rPr>
          <w:rFonts w:hint="eastAsia" w:ascii="宋体" w:hAnsi="宋体" w:eastAsia="宋体" w:cs="宋体"/>
          <w:sz w:val="24"/>
          <w:szCs w:val="24"/>
        </w:rPr>
        <w:t>向中标银行发出中标通知书。中标银行须在中标通知书发出后按招标文件要求与招标人签订存款协议，办理资金具体存放手续，并按要求提供定期存单。存放额度履行期间若中标人经营状况或资格条件变动，已不符合本招标文件或存放政策的，将取消剩余存放额度。</w:t>
      </w:r>
    </w:p>
    <w:p w14:paraId="7B482FD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四、其他</w:t>
      </w:r>
    </w:p>
    <w:p w14:paraId="199D13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有下列情形之一的，采购人有权提前收回中标银行的存放资金：</w:t>
      </w:r>
    </w:p>
    <w:p w14:paraId="5C08C501">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（一）中标银行在资金存放期间出现资金安全事故、重大违法违规行为或财务状况恶化的；</w:t>
      </w:r>
    </w:p>
    <w:p w14:paraId="21BC65FD">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（二）监管评级降低且监管部门认为存在较大运营风险的；</w:t>
      </w:r>
    </w:p>
    <w:p w14:paraId="6AD6D774">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（三）进行不正当投标的；</w:t>
      </w:r>
    </w:p>
    <w:p w14:paraId="15349EED">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（四）中标银行解散或其机构（分支机构）撤离龙游县的；</w:t>
      </w:r>
    </w:p>
    <w:p w14:paraId="2BC15C70">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（五</w:t>
      </w:r>
      <w:r>
        <w:rPr>
          <w:rFonts w:hint="eastAsia" w:ascii="宋体" w:hAnsi="宋体" w:eastAsia="宋体" w:cs="宋体"/>
          <w:color w:val="auto"/>
          <w:sz w:val="24"/>
          <w:szCs w:val="24"/>
          <w:highlight w:val="none"/>
        </w:rPr>
        <w:t>）没有按照中标协议承诺履行相应的责任和义务的；</w:t>
      </w:r>
    </w:p>
    <w:p w14:paraId="7A9C356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（六）到期或提前支取存在拖延兑付等其他妨害资金安全行为</w:t>
      </w:r>
      <w:r>
        <w:rPr>
          <w:rFonts w:hint="eastAsia" w:ascii="宋体" w:hAnsi="宋体" w:eastAsia="宋体" w:cs="宋体"/>
          <w:color w:val="auto"/>
          <w:sz w:val="24"/>
          <w:szCs w:val="24"/>
          <w:highlight w:val="none"/>
          <w:lang w:eastAsia="zh-CN"/>
        </w:rPr>
        <w:t>；</w:t>
      </w:r>
    </w:p>
    <w:p w14:paraId="4757AC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）中标银行拒绝履行标书中的承诺事项</w:t>
      </w:r>
      <w:r>
        <w:rPr>
          <w:rFonts w:hint="eastAsia" w:ascii="宋体" w:hAnsi="宋体" w:eastAsia="宋体" w:cs="宋体"/>
          <w:color w:val="auto"/>
          <w:sz w:val="24"/>
          <w:szCs w:val="24"/>
          <w:highlight w:val="none"/>
          <w:lang w:eastAsia="zh-CN"/>
        </w:rPr>
        <w:t>。</w:t>
      </w:r>
    </w:p>
    <w:p w14:paraId="6316F3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定期存款综合收益于存款到期日结算。定期存款综合收益以定期存款协议书载明的年利率计算。招标人可提前支取全部或部分定期存款，中标银行应积极配合办理。提前支取的部分如另有约定的，按约定执行；无约定的按《人民币单位存款管理办法》相关规定计息。未支取部分仍需按合同约定计算收益。</w:t>
      </w:r>
    </w:p>
    <w:p w14:paraId="763008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45" w:name="_Toc15596"/>
      <w:r>
        <w:rPr>
          <w:rFonts w:hint="eastAsia" w:ascii="宋体" w:hAnsi="宋体" w:eastAsia="宋体" w:cs="宋体"/>
          <w:color w:val="auto"/>
          <w:sz w:val="24"/>
          <w:szCs w:val="24"/>
          <w:highlight w:val="none"/>
        </w:rPr>
        <w:t>本方案由</w:t>
      </w:r>
      <w:r>
        <w:rPr>
          <w:rFonts w:hint="eastAsia" w:ascii="宋体" w:hAnsi="宋体" w:eastAsia="宋体" w:cs="宋体"/>
          <w:color w:val="auto"/>
          <w:sz w:val="24"/>
          <w:szCs w:val="24"/>
          <w:highlight w:val="none"/>
          <w:lang w:eastAsia="zh-CN"/>
        </w:rPr>
        <w:t>龙游县慈善总会</w:t>
      </w:r>
      <w:r>
        <w:rPr>
          <w:rFonts w:hint="eastAsia" w:ascii="宋体" w:hAnsi="宋体" w:eastAsia="宋体" w:cs="宋体"/>
          <w:color w:val="auto"/>
          <w:sz w:val="24"/>
          <w:szCs w:val="24"/>
          <w:highlight w:val="none"/>
        </w:rPr>
        <w:t>负责解释。</w:t>
      </w:r>
      <w:bookmarkEnd w:id="45"/>
    </w:p>
    <w:p w14:paraId="5C355413">
      <w:pPr>
        <w:keepNext w:val="0"/>
        <w:keepLines w:val="0"/>
        <w:pageBreakBefore w:val="0"/>
        <w:widowControl w:val="0"/>
        <w:shd w:val="clear"/>
        <w:kinsoku/>
        <w:wordWrap/>
        <w:overflowPunct/>
        <w:topLinePunct w:val="0"/>
        <w:autoSpaceDE/>
        <w:autoSpaceDN/>
        <w:bidi w:val="0"/>
        <w:adjustRightInd w:val="0"/>
        <w:snapToGrid w:val="0"/>
        <w:spacing w:line="312" w:lineRule="auto"/>
        <w:ind w:firstLine="643" w:firstLineChars="200"/>
        <w:jc w:val="center"/>
        <w:textAlignment w:val="auto"/>
        <w:outlineLvl w:val="9"/>
        <w:rPr>
          <w:rFonts w:hint="eastAsia" w:ascii="宋体" w:hAnsi="宋体" w:eastAsia="宋体"/>
          <w:b/>
          <w:bCs/>
          <w:color w:val="auto"/>
          <w:sz w:val="32"/>
          <w:szCs w:val="32"/>
        </w:rPr>
      </w:pPr>
      <w:bookmarkStart w:id="46" w:name="_Toc8575"/>
    </w:p>
    <w:p w14:paraId="4187407A">
      <w:pPr>
        <w:shd w:val="clear"/>
        <w:adjustRightInd w:val="0"/>
        <w:snapToGrid w:val="0"/>
        <w:spacing w:line="324" w:lineRule="auto"/>
        <w:jc w:val="center"/>
        <w:outlineLvl w:val="9"/>
        <w:rPr>
          <w:rFonts w:hint="eastAsia" w:ascii="宋体" w:hAnsi="宋体" w:eastAsia="宋体"/>
          <w:b/>
          <w:bCs/>
          <w:color w:val="auto"/>
          <w:sz w:val="32"/>
          <w:szCs w:val="32"/>
        </w:rPr>
      </w:pPr>
    </w:p>
    <w:p w14:paraId="10BC7BF9">
      <w:pPr>
        <w:shd w:val="clear"/>
        <w:adjustRightInd w:val="0"/>
        <w:snapToGrid w:val="0"/>
        <w:spacing w:line="324" w:lineRule="auto"/>
        <w:jc w:val="center"/>
        <w:outlineLvl w:val="9"/>
        <w:rPr>
          <w:rFonts w:hint="eastAsia" w:ascii="宋体" w:hAnsi="宋体" w:eastAsia="宋体"/>
          <w:b/>
          <w:bCs/>
          <w:color w:val="auto"/>
          <w:sz w:val="32"/>
          <w:szCs w:val="32"/>
        </w:rPr>
      </w:pPr>
    </w:p>
    <w:p w14:paraId="10C88182">
      <w:pPr>
        <w:shd w:val="clear"/>
        <w:adjustRightInd w:val="0"/>
        <w:snapToGrid w:val="0"/>
        <w:spacing w:line="324" w:lineRule="auto"/>
        <w:jc w:val="center"/>
        <w:outlineLvl w:val="9"/>
        <w:rPr>
          <w:rFonts w:hint="eastAsia" w:ascii="宋体" w:hAnsi="宋体" w:eastAsia="宋体"/>
          <w:b/>
          <w:bCs/>
          <w:color w:val="auto"/>
          <w:sz w:val="32"/>
          <w:szCs w:val="32"/>
        </w:rPr>
      </w:pPr>
    </w:p>
    <w:p w14:paraId="1D272134">
      <w:pPr>
        <w:shd w:val="clear"/>
        <w:adjustRightInd w:val="0"/>
        <w:snapToGrid w:val="0"/>
        <w:spacing w:line="324" w:lineRule="auto"/>
        <w:jc w:val="center"/>
        <w:outlineLvl w:val="9"/>
        <w:rPr>
          <w:rFonts w:hint="eastAsia" w:ascii="宋体" w:hAnsi="宋体" w:eastAsia="宋体"/>
          <w:b/>
          <w:bCs/>
          <w:color w:val="auto"/>
          <w:sz w:val="32"/>
          <w:szCs w:val="32"/>
        </w:rPr>
      </w:pPr>
    </w:p>
    <w:p w14:paraId="69D6A39F">
      <w:pPr>
        <w:shd w:val="clear"/>
        <w:adjustRightInd w:val="0"/>
        <w:snapToGrid w:val="0"/>
        <w:spacing w:line="324" w:lineRule="auto"/>
        <w:jc w:val="center"/>
        <w:outlineLvl w:val="9"/>
        <w:rPr>
          <w:rFonts w:hint="eastAsia" w:ascii="宋体" w:hAnsi="宋体" w:eastAsia="宋体"/>
          <w:b/>
          <w:bCs/>
          <w:color w:val="auto"/>
          <w:sz w:val="32"/>
          <w:szCs w:val="32"/>
        </w:rPr>
      </w:pPr>
    </w:p>
    <w:p w14:paraId="002201C0">
      <w:pPr>
        <w:shd w:val="clear"/>
        <w:adjustRightInd w:val="0"/>
        <w:snapToGrid w:val="0"/>
        <w:spacing w:line="324" w:lineRule="auto"/>
        <w:jc w:val="center"/>
        <w:outlineLvl w:val="9"/>
        <w:rPr>
          <w:rFonts w:hint="eastAsia" w:ascii="宋体" w:hAnsi="宋体" w:eastAsia="宋体"/>
          <w:b/>
          <w:bCs/>
          <w:color w:val="auto"/>
          <w:sz w:val="32"/>
          <w:szCs w:val="32"/>
        </w:rPr>
      </w:pPr>
    </w:p>
    <w:p w14:paraId="19269B68">
      <w:pPr>
        <w:pStyle w:val="4"/>
        <w:outlineLvl w:val="9"/>
        <w:rPr>
          <w:rFonts w:hint="eastAsia" w:ascii="宋体" w:hAnsi="宋体" w:eastAsia="宋体"/>
          <w:b/>
          <w:bCs/>
          <w:color w:val="auto"/>
          <w:sz w:val="32"/>
          <w:szCs w:val="32"/>
        </w:rPr>
      </w:pPr>
    </w:p>
    <w:p w14:paraId="1DBFCA30">
      <w:pPr>
        <w:rPr>
          <w:rFonts w:hint="eastAsia" w:ascii="宋体" w:hAnsi="宋体" w:eastAsia="宋体"/>
          <w:b/>
          <w:bCs/>
          <w:color w:val="auto"/>
          <w:sz w:val="32"/>
          <w:szCs w:val="32"/>
        </w:rPr>
      </w:pPr>
    </w:p>
    <w:p w14:paraId="0FDD1177">
      <w:pPr>
        <w:pStyle w:val="4"/>
        <w:outlineLvl w:val="9"/>
        <w:rPr>
          <w:rFonts w:hint="eastAsia" w:ascii="宋体" w:hAnsi="宋体" w:eastAsia="宋体"/>
          <w:b/>
          <w:bCs/>
          <w:color w:val="auto"/>
          <w:sz w:val="32"/>
          <w:szCs w:val="32"/>
        </w:rPr>
      </w:pPr>
    </w:p>
    <w:p w14:paraId="57A99C6F">
      <w:pPr>
        <w:rPr>
          <w:rFonts w:hint="eastAsia" w:ascii="宋体" w:hAnsi="宋体" w:eastAsia="宋体"/>
          <w:b/>
          <w:bCs/>
          <w:color w:val="auto"/>
          <w:sz w:val="32"/>
          <w:szCs w:val="32"/>
        </w:rPr>
      </w:pPr>
    </w:p>
    <w:p w14:paraId="412779D7">
      <w:pPr>
        <w:pStyle w:val="4"/>
        <w:outlineLvl w:val="9"/>
        <w:rPr>
          <w:rFonts w:hint="eastAsia" w:ascii="宋体" w:hAnsi="宋体" w:eastAsia="宋体"/>
          <w:b/>
          <w:bCs/>
          <w:color w:val="auto"/>
          <w:sz w:val="32"/>
          <w:szCs w:val="32"/>
        </w:rPr>
      </w:pPr>
    </w:p>
    <w:p w14:paraId="0E7E5F2D">
      <w:pPr>
        <w:rPr>
          <w:rFonts w:hint="eastAsia" w:ascii="宋体" w:hAnsi="宋体" w:eastAsia="宋体"/>
          <w:b/>
          <w:bCs/>
          <w:color w:val="auto"/>
          <w:sz w:val="32"/>
          <w:szCs w:val="32"/>
        </w:rPr>
      </w:pPr>
    </w:p>
    <w:p w14:paraId="3B90B730">
      <w:pPr>
        <w:pStyle w:val="4"/>
        <w:outlineLvl w:val="9"/>
        <w:rPr>
          <w:rFonts w:hint="eastAsia" w:ascii="宋体" w:hAnsi="宋体" w:eastAsia="宋体"/>
          <w:b/>
          <w:bCs/>
          <w:color w:val="auto"/>
          <w:sz w:val="32"/>
          <w:szCs w:val="32"/>
        </w:rPr>
      </w:pPr>
    </w:p>
    <w:p w14:paraId="1880C210">
      <w:pPr>
        <w:rPr>
          <w:rFonts w:hint="eastAsia" w:ascii="宋体" w:hAnsi="宋体" w:eastAsia="宋体"/>
          <w:b/>
          <w:bCs/>
          <w:color w:val="auto"/>
          <w:sz w:val="32"/>
          <w:szCs w:val="32"/>
        </w:rPr>
      </w:pPr>
    </w:p>
    <w:p w14:paraId="1F27BE2E">
      <w:pPr>
        <w:pStyle w:val="2"/>
        <w:rPr>
          <w:rFonts w:hint="eastAsia"/>
        </w:rPr>
      </w:pPr>
    </w:p>
    <w:p w14:paraId="0E0804C9">
      <w:pPr>
        <w:pStyle w:val="4"/>
        <w:outlineLvl w:val="9"/>
        <w:rPr>
          <w:rFonts w:hint="eastAsia"/>
        </w:rPr>
      </w:pPr>
    </w:p>
    <w:p w14:paraId="52407887">
      <w:pPr>
        <w:shd w:val="clear"/>
        <w:adjustRightInd w:val="0"/>
        <w:snapToGrid w:val="0"/>
        <w:spacing w:line="324" w:lineRule="auto"/>
        <w:jc w:val="both"/>
        <w:outlineLvl w:val="9"/>
        <w:rPr>
          <w:rFonts w:hint="eastAsia" w:ascii="宋体" w:hAnsi="宋体" w:eastAsia="宋体"/>
          <w:b/>
          <w:bCs/>
          <w:color w:val="auto"/>
          <w:sz w:val="32"/>
          <w:szCs w:val="32"/>
        </w:rPr>
      </w:pPr>
    </w:p>
    <w:p w14:paraId="4EC39800">
      <w:pPr>
        <w:shd w:val="clear"/>
        <w:adjustRightInd w:val="0"/>
        <w:snapToGrid w:val="0"/>
        <w:spacing w:line="324" w:lineRule="auto"/>
        <w:jc w:val="center"/>
        <w:outlineLvl w:val="0"/>
        <w:rPr>
          <w:rFonts w:ascii="宋体" w:hAnsi="宋体" w:eastAsia="宋体"/>
          <w:b/>
          <w:bCs/>
          <w:color w:val="auto"/>
          <w:sz w:val="32"/>
          <w:szCs w:val="32"/>
        </w:rPr>
      </w:pPr>
      <w:bookmarkStart w:id="47" w:name="_Toc3728"/>
      <w:r>
        <w:rPr>
          <w:rFonts w:hint="eastAsia" w:ascii="宋体" w:hAnsi="宋体" w:eastAsia="宋体"/>
          <w:b/>
          <w:bCs/>
          <w:color w:val="auto"/>
          <w:sz w:val="32"/>
          <w:szCs w:val="32"/>
        </w:rPr>
        <w:t>第四章 合同主要条款</w:t>
      </w:r>
      <w:bookmarkEnd w:id="46"/>
      <w:bookmarkEnd w:id="47"/>
    </w:p>
    <w:p w14:paraId="6522BB46">
      <w:pPr>
        <w:shd w:val="clear"/>
        <w:spacing w:line="520" w:lineRule="exact"/>
        <w:ind w:right="26"/>
        <w:jc w:val="center"/>
        <w:outlineLvl w:val="1"/>
        <w:rPr>
          <w:rFonts w:hint="eastAsia" w:ascii="宋体" w:hAnsi="宋体" w:eastAsia="宋体"/>
          <w:b/>
          <w:color w:val="auto"/>
          <w:sz w:val="28"/>
          <w:szCs w:val="28"/>
          <w:lang w:val="en-US" w:eastAsia="zh-CN"/>
        </w:rPr>
      </w:pPr>
      <w:bookmarkStart w:id="48" w:name="OLE_LINK43"/>
      <w:r>
        <w:rPr>
          <w:rFonts w:hint="eastAsia" w:ascii="宋体" w:hAnsi="宋体" w:eastAsia="宋体"/>
          <w:b/>
          <w:color w:val="auto"/>
          <w:sz w:val="28"/>
          <w:szCs w:val="28"/>
          <w:lang w:eastAsia="zh-CN"/>
        </w:rPr>
        <w:t>龙游县慈善总会2025年资金竞争性存放采购项目</w:t>
      </w:r>
      <w:r>
        <w:rPr>
          <w:rFonts w:hint="eastAsia" w:ascii="宋体" w:hAnsi="宋体" w:eastAsia="宋体"/>
          <w:b/>
          <w:color w:val="auto"/>
          <w:sz w:val="28"/>
          <w:szCs w:val="28"/>
          <w:lang w:val="en-US" w:eastAsia="zh-CN"/>
        </w:rPr>
        <w:t xml:space="preserve">      </w:t>
      </w:r>
    </w:p>
    <w:p w14:paraId="721CF3D8">
      <w:pPr>
        <w:shd w:val="clear"/>
        <w:spacing w:line="520" w:lineRule="exact"/>
        <w:ind w:right="26"/>
        <w:jc w:val="center"/>
        <w:outlineLvl w:val="1"/>
        <w:rPr>
          <w:rFonts w:ascii="宋体" w:hAnsi="宋体" w:eastAsia="宋体"/>
          <w:b/>
          <w:color w:val="auto"/>
          <w:sz w:val="28"/>
          <w:szCs w:val="28"/>
        </w:rPr>
      </w:pPr>
      <w:r>
        <w:rPr>
          <w:rFonts w:hint="eastAsia" w:ascii="宋体" w:hAnsi="宋体" w:eastAsia="宋体"/>
          <w:b/>
          <w:color w:val="auto"/>
          <w:sz w:val="28"/>
          <w:szCs w:val="28"/>
        </w:rPr>
        <w:t>定期存款协议书</w:t>
      </w:r>
    </w:p>
    <w:p w14:paraId="1BDEE48F">
      <w:pPr>
        <w:shd w:val="clear"/>
        <w:spacing w:line="520" w:lineRule="exact"/>
        <w:ind w:right="26" w:firstLine="3534" w:firstLineChars="1100"/>
        <w:rPr>
          <w:rFonts w:ascii="仿宋_GB2312" w:eastAsia="仿宋_GB2312"/>
          <w:b/>
          <w:color w:val="auto"/>
          <w:sz w:val="32"/>
          <w:szCs w:val="32"/>
        </w:rPr>
      </w:pPr>
    </w:p>
    <w:p w14:paraId="5273B7F6">
      <w:pPr>
        <w:shd w:val="clear"/>
        <w:adjustRightInd w:val="0"/>
        <w:snapToGrid w:val="0"/>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甲方：</w:t>
      </w:r>
    </w:p>
    <w:p w14:paraId="6497D3F1">
      <w:pPr>
        <w:shd w:val="clea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乙方</w:t>
      </w:r>
      <w:bookmarkStart w:id="49" w:name="OLE_LINK42"/>
      <w:r>
        <w:rPr>
          <w:rFonts w:hint="eastAsia" w:ascii="宋体" w:hAnsi="宋体" w:eastAsia="宋体" w:cs="Times New Roman"/>
          <w:color w:val="auto"/>
          <w:sz w:val="24"/>
          <w:szCs w:val="24"/>
        </w:rPr>
        <w:t>：</w:t>
      </w:r>
      <w:bookmarkEnd w:id="49"/>
    </w:p>
    <w:p w14:paraId="0B1F3E7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eastAsia="宋体"/>
          <w:color w:val="auto"/>
          <w:sz w:val="24"/>
          <w:szCs w:val="24"/>
        </w:rPr>
      </w:pPr>
      <w:bookmarkStart w:id="50" w:name="_Toc17475"/>
      <w:r>
        <w:rPr>
          <w:rFonts w:hint="eastAsia" w:ascii="宋体" w:hAnsi="宋体" w:eastAsia="宋体"/>
          <w:color w:val="auto"/>
          <w:sz w:val="24"/>
          <w:szCs w:val="24"/>
        </w:rPr>
        <w:t>为保护甲乙双方合法权益，</w:t>
      </w:r>
      <w:r>
        <w:rPr>
          <w:rFonts w:hint="eastAsia" w:ascii="宋体" w:hAnsi="宋体" w:eastAsia="宋体" w:cs="宋体"/>
          <w:color w:val="000000"/>
          <w:kern w:val="2"/>
          <w:sz w:val="24"/>
          <w:szCs w:val="24"/>
          <w:lang w:val="en-US" w:eastAsia="zh-CN" w:bidi="ar"/>
        </w:rPr>
        <w:t>参照《中华人民共和国政府采购法》、《中华人民共和国招投标法》、</w:t>
      </w:r>
      <w:r>
        <w:rPr>
          <w:rFonts w:hint="eastAsia" w:ascii="宋体" w:hAnsi="宋体" w:eastAsia="宋体" w:cs="宋体"/>
          <w:color w:val="000000"/>
          <w:kern w:val="2"/>
          <w:sz w:val="24"/>
          <w:szCs w:val="24"/>
          <w:shd w:val="clear" w:color="auto" w:fill="FFFFFF"/>
          <w:lang w:val="en-US" w:eastAsia="zh-CN" w:bidi="ar"/>
        </w:rPr>
        <w:t>《关于防止领导干部在公款存放方面发生利益冲突和利益输送的办法》（浙委办发[2015]8号）、《龙游县人民政府办公室关于&lt;印发龙游县县级行政事业单位公款竞争性存放管理暂行办法&gt;的通知》（龙政办发〔2015〕101号）、《关于印发〈龙游县级预算单位银行账户管理暂行办法〉的通知》(龙财预执〔2016〕39号)、《龙游县县级行政事业单位公款竞争性存放实施细则》(龙财预执〔2016〕40号)、《关于进一步规范县级行政事业单位公款竞争性存放管理的通知》(龙财预执〔2018〕66号)、</w:t>
      </w:r>
      <w:r>
        <w:rPr>
          <w:rFonts w:hint="eastAsia" w:ascii="宋体" w:hAnsi="宋体" w:eastAsia="宋体" w:cs="宋体"/>
          <w:color w:val="000000"/>
          <w:kern w:val="2"/>
          <w:sz w:val="24"/>
          <w:szCs w:val="24"/>
          <w:lang w:val="en-US" w:eastAsia="zh-CN" w:bidi="ar"/>
        </w:rPr>
        <w:t>《龙游县县级行政事业单位公款竞争性存放管理办法的通知》（龙财预执〔2021〕135号）</w:t>
      </w:r>
      <w:r>
        <w:rPr>
          <w:rFonts w:hint="eastAsia" w:ascii="宋体" w:hAnsi="宋体" w:eastAsia="宋体" w:cs="宋体"/>
          <w:color w:val="000000"/>
          <w:kern w:val="2"/>
          <w:sz w:val="24"/>
          <w:szCs w:val="24"/>
          <w:shd w:val="clear" w:color="auto" w:fill="FFFFFF"/>
          <w:lang w:val="en-US" w:eastAsia="zh-CN" w:bidi="ar"/>
        </w:rPr>
        <w:t>等有关规定，</w:t>
      </w:r>
      <w:r>
        <w:rPr>
          <w:rFonts w:hint="eastAsia" w:ascii="宋体" w:hAnsi="宋体" w:eastAsia="宋体"/>
          <w:color w:val="auto"/>
          <w:sz w:val="24"/>
          <w:szCs w:val="24"/>
        </w:rPr>
        <w:t>有关规定和出具的《中标通知书》，结合甲方招标文件、乙方投标文件等相关文件，特签订本协议。</w:t>
      </w:r>
    </w:p>
    <w:p w14:paraId="119AF15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eastAsia="宋体"/>
          <w:color w:val="auto"/>
          <w:sz w:val="24"/>
          <w:szCs w:val="24"/>
        </w:rPr>
      </w:pPr>
      <w:r>
        <w:rPr>
          <w:rFonts w:hint="eastAsia" w:ascii="宋体" w:hAnsi="宋体" w:eastAsia="宋体"/>
          <w:color w:val="auto"/>
          <w:sz w:val="24"/>
          <w:szCs w:val="24"/>
        </w:rPr>
        <w:t>一、总  则</w:t>
      </w:r>
    </w:p>
    <w:p w14:paraId="7AADF14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eastAsia="宋体"/>
          <w:color w:val="auto"/>
          <w:sz w:val="24"/>
          <w:szCs w:val="24"/>
        </w:rPr>
      </w:pPr>
      <w:r>
        <w:rPr>
          <w:rFonts w:hint="eastAsia" w:ascii="宋体" w:hAnsi="宋体" w:eastAsia="宋体"/>
          <w:color w:val="auto"/>
          <w:sz w:val="24"/>
          <w:szCs w:val="24"/>
        </w:rPr>
        <w:t>第一条 甲方通过公开招投标方式，择优确定存款的存放银行，其定期存款有关的资金管理、本息收回等活动适用本协议。</w:t>
      </w:r>
    </w:p>
    <w:p w14:paraId="29875FA6">
      <w:pPr>
        <w:keepNext w:val="0"/>
        <w:keepLines w:val="0"/>
        <w:pageBreakBefore w:val="0"/>
        <w:widowControl w:val="0"/>
        <w:kinsoku w:val="0"/>
        <w:wordWrap w:val="0"/>
        <w:overflowPunct w:val="0"/>
        <w:topLinePunct w:val="0"/>
        <w:autoSpaceDE w:val="0"/>
        <w:autoSpaceDN w:val="0"/>
        <w:bidi w:val="0"/>
        <w:adjustRightInd w:val="0"/>
        <w:snapToGrid w:val="0"/>
        <w:spacing w:line="460" w:lineRule="exact"/>
        <w:ind w:firstLine="480" w:firstLineChars="200"/>
        <w:jc w:val="left"/>
        <w:textAlignment w:val="auto"/>
        <w:rPr>
          <w:rFonts w:ascii="宋体" w:hAnsi="宋体" w:eastAsia="宋体"/>
          <w:color w:val="auto"/>
          <w:sz w:val="24"/>
          <w:szCs w:val="24"/>
        </w:rPr>
      </w:pPr>
      <w:r>
        <w:rPr>
          <w:rFonts w:hint="eastAsia" w:ascii="宋体" w:hAnsi="宋体" w:eastAsia="宋体"/>
          <w:color w:val="auto"/>
          <w:sz w:val="24"/>
          <w:szCs w:val="24"/>
        </w:rPr>
        <w:t>第二条 经招投标确定，甲方在乙方开立定期存款账户，存入定期存款_______万元，</w:t>
      </w:r>
      <w:r>
        <w:rPr>
          <w:rFonts w:ascii="宋体" w:hAnsi="宋体" w:eastAsia="宋体"/>
          <w:sz w:val="24"/>
          <w:szCs w:val="24"/>
        </w:rPr>
        <w:t>存款期限</w:t>
      </w:r>
      <w:r>
        <w:rPr>
          <w:rFonts w:ascii="宋体" w:hAnsi="宋体" w:eastAsia="宋体"/>
          <w:sz w:val="24"/>
          <w:szCs w:val="24"/>
          <w:u w:val="single"/>
        </w:rPr>
        <w:t xml:space="preserve">    </w:t>
      </w:r>
      <w:r>
        <w:rPr>
          <w:rFonts w:ascii="宋体" w:hAnsi="宋体" w:eastAsia="宋体"/>
          <w:sz w:val="24"/>
          <w:szCs w:val="24"/>
        </w:rPr>
        <w:t>年，</w:t>
      </w:r>
      <w:r>
        <w:rPr>
          <w:rFonts w:hint="eastAsia" w:ascii="宋体" w:hAnsi="宋体" w:eastAsia="宋体"/>
          <w:color w:val="auto"/>
          <w:sz w:val="24"/>
          <w:szCs w:val="24"/>
        </w:rPr>
        <w:t>定期存款年利率_____%。乙方指定办理定期存款的分支机构为：__________________________________________________。</w:t>
      </w:r>
    </w:p>
    <w:bookmarkEnd w:id="50"/>
    <w:p w14:paraId="2E969C77">
      <w:pPr>
        <w:shd w:val="clear"/>
        <w:adjustRightInd w:val="0"/>
        <w:snapToGrid w:val="0"/>
        <w:spacing w:line="360" w:lineRule="auto"/>
        <w:ind w:firstLine="480" w:firstLineChars="200"/>
        <w:outlineLvl w:val="1"/>
        <w:rPr>
          <w:rFonts w:ascii="宋体" w:hAnsi="宋体" w:eastAsia="宋体"/>
          <w:color w:val="auto"/>
          <w:sz w:val="24"/>
          <w:szCs w:val="24"/>
        </w:rPr>
      </w:pPr>
      <w:bookmarkStart w:id="51" w:name="_Toc11668"/>
      <w:r>
        <w:rPr>
          <w:rFonts w:hint="eastAsia" w:ascii="宋体" w:hAnsi="宋体" w:eastAsia="宋体"/>
          <w:color w:val="auto"/>
          <w:sz w:val="24"/>
          <w:szCs w:val="24"/>
        </w:rPr>
        <w:t>二、甲方权利与义务</w:t>
      </w:r>
      <w:bookmarkEnd w:id="51"/>
    </w:p>
    <w:p w14:paraId="1D75F3C6">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（一）甲方权利主要包括：</w:t>
      </w:r>
    </w:p>
    <w:p w14:paraId="0D217A86">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1、要求乙方提供定期存款存单；</w:t>
      </w:r>
    </w:p>
    <w:p w14:paraId="05FD164C">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2、根据资金管理需要，可提前支取或收回定期存款；</w:t>
      </w:r>
    </w:p>
    <w:p w14:paraId="35EA0C72">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3、于定期存款到期日收回本息；</w:t>
      </w:r>
    </w:p>
    <w:p w14:paraId="1870976D">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（二）甲方义务主要包括：</w:t>
      </w:r>
    </w:p>
    <w:p w14:paraId="73091B9E">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1、在双方签订定期存款协议后</w:t>
      </w:r>
      <w:r>
        <w:rPr>
          <w:rFonts w:hint="eastAsia" w:ascii="宋体" w:hAnsi="宋体" w:eastAsia="宋体"/>
          <w:color w:val="auto"/>
          <w:sz w:val="24"/>
          <w:szCs w:val="24"/>
          <w:lang w:val="en-US" w:eastAsia="zh-CN"/>
        </w:rPr>
        <w:t>及时</w:t>
      </w:r>
      <w:r>
        <w:rPr>
          <w:rFonts w:ascii="宋体" w:hAnsi="宋体" w:eastAsia="宋体"/>
          <w:color w:val="auto"/>
          <w:sz w:val="24"/>
          <w:szCs w:val="24"/>
        </w:rPr>
        <w:t>将存放资金划入乙方；</w:t>
      </w:r>
    </w:p>
    <w:p w14:paraId="3AA6BFF4">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2、因资金支付需要提前支取定期存款，应提前通知乙方。</w:t>
      </w:r>
    </w:p>
    <w:p w14:paraId="6BF97AE7">
      <w:pPr>
        <w:shd w:val="clear"/>
        <w:adjustRightInd w:val="0"/>
        <w:snapToGrid w:val="0"/>
        <w:spacing w:line="360" w:lineRule="auto"/>
        <w:ind w:firstLine="480" w:firstLineChars="200"/>
        <w:outlineLvl w:val="1"/>
        <w:rPr>
          <w:rFonts w:ascii="宋体" w:hAnsi="宋体" w:eastAsia="宋体"/>
          <w:color w:val="auto"/>
          <w:sz w:val="24"/>
          <w:szCs w:val="24"/>
        </w:rPr>
      </w:pPr>
      <w:bookmarkStart w:id="52" w:name="_Toc3860"/>
      <w:r>
        <w:rPr>
          <w:rFonts w:hint="eastAsia" w:ascii="宋体" w:hAnsi="宋体" w:eastAsia="宋体"/>
          <w:color w:val="auto"/>
          <w:sz w:val="24"/>
          <w:szCs w:val="24"/>
        </w:rPr>
        <w:t>三、乙方权利与义务</w:t>
      </w:r>
      <w:bookmarkEnd w:id="52"/>
    </w:p>
    <w:p w14:paraId="001C5347">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（一）乙方权利主要包括：</w:t>
      </w:r>
    </w:p>
    <w:p w14:paraId="07168811">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在规定时间内接受甲方的存放资金；</w:t>
      </w:r>
    </w:p>
    <w:p w14:paraId="3270DCE5">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（二）乙方义务主要包括：</w:t>
      </w:r>
    </w:p>
    <w:p w14:paraId="2703E6ED">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1、向甲方提供定期存款存单；</w:t>
      </w:r>
    </w:p>
    <w:p w14:paraId="529222FA">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2、配合甲方做好可能的资金提前支取工作；</w:t>
      </w:r>
    </w:p>
    <w:p w14:paraId="4B2AEF95">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3、定期存款到期及时足额缴清甲方存款本息；</w:t>
      </w:r>
    </w:p>
    <w:p w14:paraId="6529415F">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4、确保甲方存放资金存续期间的资金安全</w:t>
      </w:r>
      <w:r>
        <w:rPr>
          <w:rFonts w:hint="eastAsia" w:ascii="宋体" w:hAnsi="宋体" w:eastAsia="宋体"/>
          <w:color w:val="auto"/>
          <w:sz w:val="24"/>
          <w:szCs w:val="24"/>
        </w:rPr>
        <w:t>；</w:t>
      </w:r>
    </w:p>
    <w:p w14:paraId="3F522033">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5、甲方需提取资金不得有其他理由拖延支付资金。</w:t>
      </w:r>
    </w:p>
    <w:p w14:paraId="769B10CC">
      <w:pPr>
        <w:shd w:val="clear"/>
        <w:adjustRightInd w:val="0"/>
        <w:snapToGrid w:val="0"/>
        <w:spacing w:line="360" w:lineRule="auto"/>
        <w:ind w:firstLine="480" w:firstLineChars="200"/>
        <w:outlineLvl w:val="1"/>
        <w:rPr>
          <w:rFonts w:ascii="宋体" w:hAnsi="宋体" w:eastAsia="宋体"/>
          <w:color w:val="auto"/>
          <w:sz w:val="24"/>
          <w:szCs w:val="24"/>
        </w:rPr>
      </w:pPr>
      <w:bookmarkStart w:id="53" w:name="_Toc23788"/>
      <w:r>
        <w:rPr>
          <w:rFonts w:hint="eastAsia" w:ascii="宋体" w:hAnsi="宋体" w:eastAsia="宋体"/>
          <w:color w:val="auto"/>
          <w:sz w:val="24"/>
          <w:szCs w:val="24"/>
        </w:rPr>
        <w:t>四、违约责任</w:t>
      </w:r>
      <w:bookmarkEnd w:id="53"/>
    </w:p>
    <w:p w14:paraId="1B93FEB3">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除发生不可抗力外，违约责任按以下条款执行：</w:t>
      </w:r>
    </w:p>
    <w:p w14:paraId="0AD60ECB">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（一）乙方未按约定将存款本息足额划回甲方，应按欠还存款本息额，以协议中定期存款年利率的两倍折成日收益率，按日向甲方支付违约金；</w:t>
      </w:r>
    </w:p>
    <w:p w14:paraId="236C9A7C">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（二）甲方未按约定将甲方确认的资金划拨乙方，应按未划拨资金额，以协议中定期存款年利率的两倍折成日收益率，按日向乙方支付违约金；</w:t>
      </w:r>
    </w:p>
    <w:p w14:paraId="1F465B78">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（三）有下列情形之一的，甲方有权提前收回在乙方的存放资金，并取消乙方今后参与甲方资金竞争性存放投标资格：</w:t>
      </w:r>
    </w:p>
    <w:p w14:paraId="32762891">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1、乙方在资金存续期间出现资金安全事故或重大违规违法行为的；</w:t>
      </w:r>
    </w:p>
    <w:p w14:paraId="34C0A322">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2、乙方综合考评等级降低、监管部门认为存在较大运营风险的</w:t>
      </w:r>
    </w:p>
    <w:p w14:paraId="5A3A440D">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3、乙方没有按照本协议规定履行相应的责任和义务的；</w:t>
      </w:r>
    </w:p>
    <w:p w14:paraId="4791FA4B">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4、乙方解散或其机构（分支机构）撤离龙游县的；</w:t>
      </w:r>
    </w:p>
    <w:p w14:paraId="4AE46094">
      <w:pPr>
        <w:shd w:val="clear"/>
        <w:adjustRightInd w:val="0"/>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5、其他妨害甲方资金安全的情形。</w:t>
      </w:r>
    </w:p>
    <w:p w14:paraId="7B9A1F9F">
      <w:pPr>
        <w:shd w:val="clear"/>
        <w:adjustRightInd w:val="0"/>
        <w:snapToGrid w:val="0"/>
        <w:spacing w:line="360" w:lineRule="auto"/>
        <w:ind w:firstLine="480" w:firstLineChars="200"/>
        <w:outlineLvl w:val="1"/>
        <w:rPr>
          <w:rFonts w:ascii="宋体" w:hAnsi="宋体" w:eastAsia="宋体"/>
          <w:color w:val="auto"/>
          <w:sz w:val="24"/>
          <w:szCs w:val="24"/>
        </w:rPr>
      </w:pPr>
      <w:bookmarkStart w:id="54" w:name="_Toc31823"/>
      <w:r>
        <w:rPr>
          <w:rFonts w:hint="eastAsia" w:ascii="宋体" w:hAnsi="宋体" w:eastAsia="宋体"/>
          <w:color w:val="auto"/>
          <w:sz w:val="24"/>
          <w:szCs w:val="24"/>
        </w:rPr>
        <w:t>五、提前支取（收回）</w:t>
      </w:r>
      <w:bookmarkEnd w:id="54"/>
    </w:p>
    <w:p w14:paraId="3BC517E2">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甲方可提前支取全部或部分定期存款，乙方应积极配合办理，提前支取部分，按《人民币单位存款管理办法》相关规定计息。未支取部分仍需按协议约定计算收益。</w:t>
      </w:r>
    </w:p>
    <w:p w14:paraId="7027B9A2">
      <w:pPr>
        <w:shd w:val="clear"/>
        <w:adjustRightInd w:val="0"/>
        <w:snapToGrid w:val="0"/>
        <w:spacing w:line="360" w:lineRule="auto"/>
        <w:ind w:firstLine="480" w:firstLineChars="200"/>
        <w:outlineLvl w:val="1"/>
        <w:rPr>
          <w:rFonts w:ascii="宋体" w:hAnsi="宋体" w:eastAsia="宋体"/>
          <w:color w:val="auto"/>
          <w:sz w:val="24"/>
          <w:szCs w:val="24"/>
        </w:rPr>
      </w:pPr>
      <w:bookmarkStart w:id="55" w:name="_Toc9111"/>
      <w:r>
        <w:rPr>
          <w:rFonts w:hint="eastAsia" w:ascii="宋体" w:hAnsi="宋体" w:eastAsia="宋体"/>
          <w:color w:val="auto"/>
          <w:sz w:val="24"/>
          <w:szCs w:val="24"/>
        </w:rPr>
        <w:t>六、争议的解决</w:t>
      </w:r>
      <w:bookmarkEnd w:id="55"/>
    </w:p>
    <w:p w14:paraId="252A3384">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在协议履行过程中出现问题或争议的，双方应开展友好协商，妥善解决。如协商不成，任何一方有权在本协议履行地通过诉讼的途径解决。</w:t>
      </w:r>
    </w:p>
    <w:p w14:paraId="0E5F106A">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七、本协议一式伍份，甲、乙双方各执贰份，衢州宇信工程咨询有限公司执</w:t>
      </w:r>
      <w:r>
        <w:rPr>
          <w:rFonts w:hint="eastAsia" w:ascii="宋体" w:hAnsi="宋体" w:eastAsia="宋体"/>
          <w:color w:val="auto"/>
          <w:sz w:val="24"/>
          <w:szCs w:val="24"/>
          <w:lang w:val="en-US" w:eastAsia="zh-CN"/>
        </w:rPr>
        <w:t>壹</w:t>
      </w:r>
      <w:r>
        <w:rPr>
          <w:rFonts w:hint="eastAsia" w:ascii="宋体" w:hAnsi="宋体" w:eastAsia="宋体"/>
          <w:color w:val="auto"/>
          <w:sz w:val="24"/>
          <w:szCs w:val="24"/>
        </w:rPr>
        <w:t>份。</w:t>
      </w:r>
    </w:p>
    <w:p w14:paraId="3C568EC8">
      <w:pPr>
        <w:shd w:val="clear"/>
        <w:adjustRightInd w:val="0"/>
        <w:snapToGrid w:val="0"/>
        <w:spacing w:line="360" w:lineRule="auto"/>
        <w:ind w:firstLine="480" w:firstLineChars="200"/>
        <w:outlineLvl w:val="1"/>
        <w:rPr>
          <w:rFonts w:hint="eastAsia"/>
          <w:lang w:eastAsia="zh-CN"/>
        </w:rPr>
      </w:pPr>
      <w:bookmarkStart w:id="56" w:name="_Toc31964"/>
      <w:r>
        <w:rPr>
          <w:rFonts w:hint="eastAsia" w:ascii="宋体" w:hAnsi="宋体" w:eastAsia="宋体"/>
          <w:color w:val="auto"/>
          <w:sz w:val="24"/>
          <w:szCs w:val="24"/>
        </w:rPr>
        <w:t>八、本协议自签订之日起生效。</w:t>
      </w:r>
      <w:bookmarkEnd w:id="56"/>
    </w:p>
    <w:p w14:paraId="26845A79">
      <w:pPr>
        <w:shd w:val="clear"/>
        <w:adjustRightInd w:val="0"/>
        <w:snapToGrid w:val="0"/>
        <w:spacing w:line="360" w:lineRule="auto"/>
        <w:ind w:left="5039" w:leftChars="228" w:hanging="4560" w:hangingChars="1900"/>
        <w:rPr>
          <w:rFonts w:hint="eastAsia" w:ascii="宋体" w:hAnsi="宋体" w:eastAsia="宋体"/>
          <w:color w:val="auto"/>
          <w:sz w:val="24"/>
          <w:szCs w:val="24"/>
          <w:lang w:val="en-US" w:eastAsia="zh-CN"/>
        </w:rPr>
      </w:pPr>
      <w:r>
        <w:rPr>
          <w:rFonts w:hint="eastAsia" w:ascii="宋体" w:hAnsi="宋体" w:eastAsia="宋体"/>
          <w:color w:val="auto"/>
          <w:sz w:val="24"/>
          <w:szCs w:val="24"/>
        </w:rPr>
        <w:t>业务单位（盖章）：</w:t>
      </w:r>
      <w:r>
        <w:rPr>
          <w:rFonts w:ascii="宋体" w:hAnsi="宋体" w:eastAsia="宋体"/>
          <w:color w:val="auto"/>
          <w:sz w:val="24"/>
          <w:szCs w:val="24"/>
        </w:rPr>
        <w:t xml:space="preserve">                   代理银行（盖章）：</w:t>
      </w:r>
      <w:r>
        <w:rPr>
          <w:rFonts w:hint="eastAsia" w:ascii="宋体" w:hAnsi="宋体" w:eastAsia="宋体"/>
          <w:color w:val="auto"/>
          <w:sz w:val="24"/>
          <w:szCs w:val="24"/>
          <w:lang w:val="en-US" w:eastAsia="zh-CN"/>
        </w:rPr>
        <w:t xml:space="preserve"> </w:t>
      </w:r>
    </w:p>
    <w:p w14:paraId="34DDCD9B">
      <w:pPr>
        <w:shd w:val="clear"/>
        <w:adjustRightInd w:val="0"/>
        <w:snapToGrid w:val="0"/>
        <w:spacing w:line="360" w:lineRule="auto"/>
        <w:ind w:firstLine="480" w:firstLineChars="200"/>
        <w:rPr>
          <w:rFonts w:ascii="宋体" w:hAnsi="宋体" w:eastAsia="宋体"/>
          <w:color w:val="auto"/>
          <w:sz w:val="24"/>
          <w:szCs w:val="24"/>
        </w:rPr>
      </w:pPr>
    </w:p>
    <w:p w14:paraId="058D8693">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法定代表人：</w:t>
      </w:r>
      <w:r>
        <w:rPr>
          <w:rFonts w:ascii="宋体" w:hAnsi="宋体" w:eastAsia="宋体"/>
          <w:color w:val="auto"/>
          <w:sz w:val="24"/>
          <w:szCs w:val="24"/>
        </w:rPr>
        <w:t xml:space="preserve">                       </w:t>
      </w:r>
      <w:r>
        <w:rPr>
          <w:rFonts w:hint="eastAsia" w:ascii="宋体" w:hAnsi="宋体" w:eastAsia="宋体"/>
          <w:color w:val="auto"/>
          <w:sz w:val="24"/>
          <w:szCs w:val="24"/>
          <w:lang w:val="en-US" w:eastAsia="zh-CN"/>
        </w:rPr>
        <w:t xml:space="preserve">  </w:t>
      </w:r>
      <w:r>
        <w:rPr>
          <w:rFonts w:ascii="宋体" w:hAnsi="宋体" w:eastAsia="宋体"/>
          <w:color w:val="auto"/>
          <w:sz w:val="24"/>
          <w:szCs w:val="24"/>
        </w:rPr>
        <w:t>法定代表人（或在衢机构负责人）：</w:t>
      </w:r>
    </w:p>
    <w:p w14:paraId="12E38B8C">
      <w:pPr>
        <w:shd w:val="clear"/>
        <w:adjustRightInd w:val="0"/>
        <w:snapToGrid w:val="0"/>
        <w:spacing w:line="360" w:lineRule="auto"/>
        <w:ind w:firstLine="480" w:firstLineChars="200"/>
        <w:rPr>
          <w:rFonts w:ascii="宋体" w:hAnsi="宋体" w:eastAsia="宋体"/>
          <w:color w:val="auto"/>
          <w:sz w:val="24"/>
          <w:szCs w:val="24"/>
        </w:rPr>
      </w:pPr>
    </w:p>
    <w:p w14:paraId="6F2A5552">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或授权委托人（签字）：</w:t>
      </w:r>
      <w:r>
        <w:rPr>
          <w:rFonts w:ascii="宋体" w:hAnsi="宋体" w:eastAsia="宋体"/>
          <w:color w:val="auto"/>
          <w:sz w:val="24"/>
          <w:szCs w:val="24"/>
        </w:rPr>
        <w:t xml:space="preserve">             </w:t>
      </w:r>
      <w:r>
        <w:rPr>
          <w:rFonts w:hint="eastAsia" w:ascii="宋体" w:hAnsi="宋体" w:eastAsia="宋体"/>
          <w:color w:val="auto"/>
          <w:sz w:val="24"/>
          <w:szCs w:val="24"/>
          <w:lang w:val="en-US" w:eastAsia="zh-CN"/>
        </w:rPr>
        <w:t xml:space="preserve">  </w:t>
      </w:r>
      <w:r>
        <w:rPr>
          <w:rFonts w:ascii="宋体" w:hAnsi="宋体" w:eastAsia="宋体"/>
          <w:color w:val="auto"/>
          <w:sz w:val="24"/>
          <w:szCs w:val="24"/>
        </w:rPr>
        <w:t>或授权委托人（签字）：</w:t>
      </w:r>
    </w:p>
    <w:p w14:paraId="5A7CCF5E">
      <w:pPr>
        <w:shd w:val="clear"/>
        <w:adjustRightInd w:val="0"/>
        <w:snapToGrid w:val="0"/>
        <w:spacing w:line="360" w:lineRule="auto"/>
        <w:ind w:firstLine="480" w:firstLineChars="200"/>
        <w:rPr>
          <w:rFonts w:ascii="宋体" w:hAnsi="宋体" w:eastAsia="宋体"/>
          <w:color w:val="auto"/>
          <w:sz w:val="24"/>
          <w:szCs w:val="24"/>
        </w:rPr>
      </w:pPr>
    </w:p>
    <w:p w14:paraId="22E31911">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电话：</w:t>
      </w:r>
      <w:r>
        <w:rPr>
          <w:rFonts w:ascii="宋体" w:hAnsi="宋体" w:eastAsia="宋体"/>
          <w:color w:val="auto"/>
          <w:sz w:val="24"/>
          <w:szCs w:val="24"/>
        </w:rPr>
        <w:t xml:space="preserve">                              </w:t>
      </w:r>
      <w:r>
        <w:rPr>
          <w:rFonts w:hint="eastAsia" w:ascii="宋体" w:hAnsi="宋体" w:eastAsia="宋体"/>
          <w:color w:val="auto"/>
          <w:sz w:val="24"/>
          <w:szCs w:val="24"/>
          <w:lang w:val="en-US" w:eastAsia="zh-CN"/>
        </w:rPr>
        <w:t xml:space="preserve">  </w:t>
      </w:r>
      <w:r>
        <w:rPr>
          <w:rFonts w:ascii="宋体" w:hAnsi="宋体" w:eastAsia="宋体"/>
          <w:color w:val="auto"/>
          <w:sz w:val="24"/>
          <w:szCs w:val="24"/>
        </w:rPr>
        <w:t>电话：</w:t>
      </w:r>
    </w:p>
    <w:p w14:paraId="54A7DABC">
      <w:pPr>
        <w:shd w:val="clear"/>
        <w:adjustRightInd w:val="0"/>
        <w:snapToGrid w:val="0"/>
        <w:spacing w:line="360" w:lineRule="auto"/>
        <w:ind w:firstLine="480" w:firstLineChars="200"/>
        <w:rPr>
          <w:rFonts w:ascii="宋体" w:hAnsi="宋体" w:eastAsia="宋体"/>
          <w:color w:val="auto"/>
          <w:sz w:val="24"/>
          <w:szCs w:val="24"/>
        </w:rPr>
      </w:pPr>
    </w:p>
    <w:p w14:paraId="6CE9B0FD">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签约时间：</w:t>
      </w:r>
      <w:r>
        <w:rPr>
          <w:rFonts w:hint="eastAsia" w:ascii="宋体" w:hAnsi="宋体" w:eastAsia="宋体"/>
          <w:color w:val="auto"/>
          <w:sz w:val="24"/>
          <w:szCs w:val="24"/>
          <w:lang w:val="en-US" w:eastAsia="zh-CN"/>
        </w:rPr>
        <w:t>2025</w:t>
      </w:r>
      <w:r>
        <w:rPr>
          <w:rFonts w:ascii="宋体" w:hAnsi="宋体" w:eastAsia="宋体"/>
          <w:color w:val="auto"/>
          <w:sz w:val="24"/>
          <w:szCs w:val="24"/>
        </w:rPr>
        <w:t>年   月   日           签约时间：</w:t>
      </w:r>
      <w:r>
        <w:rPr>
          <w:rFonts w:hint="eastAsia" w:ascii="宋体" w:hAnsi="宋体" w:eastAsia="宋体"/>
          <w:color w:val="auto"/>
          <w:sz w:val="24"/>
          <w:szCs w:val="24"/>
          <w:lang w:val="en-US" w:eastAsia="zh-CN"/>
        </w:rPr>
        <w:t>2025</w:t>
      </w:r>
      <w:r>
        <w:rPr>
          <w:rFonts w:ascii="宋体" w:hAnsi="宋体" w:eastAsia="宋体"/>
          <w:color w:val="auto"/>
          <w:sz w:val="24"/>
          <w:szCs w:val="24"/>
        </w:rPr>
        <w:t>年   月   日</w:t>
      </w:r>
    </w:p>
    <w:p w14:paraId="6911EE2C">
      <w:pPr>
        <w:shd w:val="clear"/>
        <w:adjustRightInd w:val="0"/>
        <w:snapToGrid w:val="0"/>
        <w:spacing w:line="360" w:lineRule="auto"/>
        <w:ind w:firstLine="480" w:firstLineChars="200"/>
        <w:rPr>
          <w:rFonts w:ascii="宋体" w:hAnsi="宋体" w:eastAsia="宋体"/>
          <w:color w:val="auto"/>
          <w:sz w:val="24"/>
          <w:szCs w:val="24"/>
        </w:rPr>
      </w:pPr>
    </w:p>
    <w:p w14:paraId="4E2D9019">
      <w:pPr>
        <w:shd w:val="clea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签约地点：</w:t>
      </w:r>
    </w:p>
    <w:p w14:paraId="433548F8">
      <w:pPr>
        <w:shd w:val="clear"/>
        <w:adjustRightInd w:val="0"/>
        <w:snapToGrid w:val="0"/>
        <w:spacing w:line="360" w:lineRule="auto"/>
        <w:ind w:firstLine="480" w:firstLineChars="200"/>
        <w:jc w:val="left"/>
        <w:rPr>
          <w:rFonts w:ascii="宋体" w:hAnsi="宋体" w:eastAsia="宋体"/>
          <w:color w:val="auto"/>
          <w:sz w:val="24"/>
          <w:szCs w:val="24"/>
        </w:rPr>
      </w:pPr>
    </w:p>
    <w:p w14:paraId="58E6F037">
      <w:pPr>
        <w:shd w:val="clear"/>
        <w:adjustRightInd w:val="0"/>
        <w:snapToGrid w:val="0"/>
        <w:spacing w:line="360" w:lineRule="auto"/>
        <w:ind w:firstLine="480" w:firstLineChars="200"/>
        <w:jc w:val="left"/>
        <w:rPr>
          <w:rFonts w:hint="eastAsia" w:ascii="宋体" w:hAnsi="宋体" w:eastAsia="宋体"/>
          <w:color w:val="auto"/>
          <w:sz w:val="24"/>
          <w:szCs w:val="24"/>
        </w:rPr>
      </w:pPr>
    </w:p>
    <w:p w14:paraId="14851B42">
      <w:pPr>
        <w:shd w:val="clear"/>
        <w:adjustRightInd w:val="0"/>
        <w:snapToGrid w:val="0"/>
        <w:spacing w:line="360" w:lineRule="auto"/>
        <w:ind w:firstLine="480" w:firstLineChars="200"/>
        <w:jc w:val="left"/>
        <w:rPr>
          <w:rFonts w:ascii="宋体" w:hAnsi="宋体" w:eastAsia="宋体"/>
          <w:color w:val="auto"/>
          <w:sz w:val="24"/>
          <w:szCs w:val="24"/>
        </w:rPr>
      </w:pPr>
      <w:r>
        <w:rPr>
          <w:rFonts w:hint="eastAsia" w:ascii="宋体" w:hAnsi="宋体" w:eastAsia="宋体"/>
          <w:color w:val="auto"/>
          <w:sz w:val="24"/>
          <w:szCs w:val="24"/>
        </w:rPr>
        <w:t>合同鉴证方：衢州宇信工程咨询有限公司</w:t>
      </w:r>
    </w:p>
    <w:p w14:paraId="3FA7FB70">
      <w:pPr>
        <w:shd w:val="clear"/>
        <w:adjustRightInd w:val="0"/>
        <w:snapToGrid w:val="0"/>
        <w:spacing w:line="360" w:lineRule="auto"/>
        <w:jc w:val="left"/>
        <w:rPr>
          <w:rFonts w:ascii="宋体" w:hAnsi="宋体" w:eastAsia="宋体"/>
          <w:color w:val="auto"/>
          <w:sz w:val="24"/>
          <w:szCs w:val="24"/>
        </w:rPr>
      </w:pPr>
    </w:p>
    <w:p w14:paraId="20A9FEB0">
      <w:pPr>
        <w:shd w:val="clear"/>
        <w:adjustRightInd w:val="0"/>
        <w:snapToGrid w:val="0"/>
        <w:spacing w:line="360" w:lineRule="auto"/>
        <w:ind w:firstLine="480" w:firstLineChars="200"/>
        <w:jc w:val="left"/>
        <w:rPr>
          <w:rFonts w:ascii="宋体" w:hAnsi="宋体" w:eastAsia="宋体"/>
          <w:color w:val="auto"/>
          <w:sz w:val="24"/>
          <w:szCs w:val="24"/>
        </w:rPr>
      </w:pPr>
      <w:r>
        <w:rPr>
          <w:rFonts w:hint="eastAsia" w:ascii="宋体" w:hAnsi="宋体" w:eastAsia="宋体"/>
          <w:color w:val="auto"/>
          <w:sz w:val="24"/>
          <w:szCs w:val="24"/>
        </w:rPr>
        <w:t>鉴证日期：</w:t>
      </w:r>
      <w:r>
        <w:rPr>
          <w:rFonts w:hint="eastAsia" w:ascii="宋体" w:hAnsi="宋体" w:eastAsia="宋体"/>
          <w:color w:val="auto"/>
          <w:sz w:val="24"/>
          <w:szCs w:val="24"/>
          <w:lang w:eastAsia="zh-CN"/>
        </w:rPr>
        <w:t>2025</w:t>
      </w:r>
      <w:r>
        <w:rPr>
          <w:rFonts w:hint="eastAsia" w:ascii="宋体" w:hAnsi="宋体" w:eastAsia="宋体"/>
          <w:color w:val="auto"/>
          <w:sz w:val="24"/>
          <w:szCs w:val="24"/>
        </w:rPr>
        <w:t>年  月  日</w:t>
      </w:r>
    </w:p>
    <w:bookmarkEnd w:id="48"/>
    <w:p w14:paraId="649CF505">
      <w:pPr>
        <w:shd w:val="clear"/>
        <w:adjustRightInd w:val="0"/>
        <w:snapToGrid w:val="0"/>
        <w:spacing w:line="360" w:lineRule="auto"/>
        <w:ind w:firstLine="480" w:firstLineChars="200"/>
        <w:rPr>
          <w:rFonts w:ascii="宋体" w:hAnsi="宋体" w:eastAsia="宋体"/>
          <w:color w:val="auto"/>
          <w:sz w:val="24"/>
          <w:szCs w:val="24"/>
        </w:rPr>
      </w:pPr>
    </w:p>
    <w:p w14:paraId="7D091D2B">
      <w:pPr>
        <w:shd w:val="clear"/>
        <w:adjustRightInd w:val="0"/>
        <w:snapToGrid w:val="0"/>
        <w:spacing w:line="360" w:lineRule="auto"/>
        <w:ind w:firstLine="480" w:firstLineChars="200"/>
        <w:rPr>
          <w:rFonts w:ascii="宋体" w:hAnsi="宋体" w:eastAsia="宋体"/>
          <w:color w:val="auto"/>
          <w:sz w:val="24"/>
          <w:szCs w:val="24"/>
        </w:rPr>
      </w:pPr>
    </w:p>
    <w:p w14:paraId="7749611D">
      <w:pPr>
        <w:shd w:val="clear"/>
        <w:adjustRightInd w:val="0"/>
        <w:snapToGrid w:val="0"/>
        <w:spacing w:line="360" w:lineRule="auto"/>
        <w:ind w:firstLine="420" w:firstLineChars="200"/>
        <w:rPr>
          <w:rFonts w:ascii="宋体" w:hAnsi="宋体" w:eastAsia="宋体"/>
          <w:color w:val="auto"/>
          <w:szCs w:val="21"/>
        </w:rPr>
      </w:pPr>
    </w:p>
    <w:p w14:paraId="3F975B11">
      <w:pPr>
        <w:shd w:val="clear"/>
        <w:adjustRightInd w:val="0"/>
        <w:snapToGrid w:val="0"/>
        <w:spacing w:line="360" w:lineRule="auto"/>
        <w:jc w:val="center"/>
        <w:rPr>
          <w:rFonts w:ascii="宋体" w:hAnsi="宋体" w:eastAsia="宋体" w:cs="宋体"/>
          <w:b/>
          <w:bCs/>
          <w:color w:val="auto"/>
          <w:sz w:val="32"/>
          <w:szCs w:val="32"/>
        </w:rPr>
      </w:pPr>
    </w:p>
    <w:p w14:paraId="6B6A623D">
      <w:pPr>
        <w:shd w:val="clear"/>
        <w:adjustRightInd w:val="0"/>
        <w:snapToGrid w:val="0"/>
        <w:spacing w:line="360" w:lineRule="auto"/>
        <w:jc w:val="center"/>
        <w:rPr>
          <w:rFonts w:ascii="宋体" w:hAnsi="宋体" w:eastAsia="宋体" w:cs="宋体"/>
          <w:b/>
          <w:bCs/>
          <w:color w:val="auto"/>
          <w:sz w:val="32"/>
          <w:szCs w:val="32"/>
        </w:rPr>
      </w:pPr>
    </w:p>
    <w:p w14:paraId="170826B6">
      <w:pPr>
        <w:shd w:val="clear"/>
        <w:adjustRightInd w:val="0"/>
        <w:snapToGrid w:val="0"/>
        <w:spacing w:line="360" w:lineRule="auto"/>
        <w:jc w:val="center"/>
        <w:rPr>
          <w:rFonts w:ascii="宋体" w:hAnsi="宋体" w:eastAsia="宋体" w:cs="宋体"/>
          <w:b/>
          <w:bCs/>
          <w:color w:val="auto"/>
          <w:sz w:val="32"/>
          <w:szCs w:val="32"/>
        </w:rPr>
      </w:pPr>
    </w:p>
    <w:p w14:paraId="4999026C">
      <w:pPr>
        <w:shd w:val="clear"/>
        <w:adjustRightInd w:val="0"/>
        <w:snapToGrid w:val="0"/>
        <w:spacing w:line="360" w:lineRule="auto"/>
        <w:jc w:val="center"/>
        <w:rPr>
          <w:rFonts w:ascii="宋体" w:hAnsi="宋体" w:eastAsia="宋体" w:cs="宋体"/>
          <w:b/>
          <w:bCs/>
          <w:color w:val="auto"/>
          <w:sz w:val="32"/>
          <w:szCs w:val="32"/>
        </w:rPr>
      </w:pPr>
    </w:p>
    <w:p w14:paraId="7D3E0743"/>
    <w:p w14:paraId="7157F89C">
      <w:pPr>
        <w:pStyle w:val="4"/>
        <w:outlineLvl w:val="9"/>
      </w:pPr>
    </w:p>
    <w:p w14:paraId="2D0C2980"/>
    <w:p w14:paraId="4DABBEA6">
      <w:pPr>
        <w:pStyle w:val="4"/>
        <w:outlineLvl w:val="9"/>
      </w:pPr>
    </w:p>
    <w:p w14:paraId="6DBE6831">
      <w:pPr>
        <w:shd w:val="clear"/>
        <w:adjustRightInd w:val="0"/>
        <w:snapToGrid w:val="0"/>
        <w:spacing w:line="360" w:lineRule="auto"/>
        <w:rPr>
          <w:rFonts w:ascii="宋体" w:hAnsi="宋体" w:eastAsia="宋体" w:cs="宋体"/>
          <w:b/>
          <w:bCs/>
          <w:color w:val="auto"/>
          <w:sz w:val="24"/>
          <w:szCs w:val="24"/>
        </w:rPr>
      </w:pPr>
    </w:p>
    <w:p w14:paraId="6097529D">
      <w:pPr>
        <w:shd w:val="clear"/>
        <w:adjustRightInd w:val="0"/>
        <w:snapToGrid w:val="0"/>
        <w:spacing w:line="324" w:lineRule="auto"/>
        <w:jc w:val="center"/>
        <w:outlineLvl w:val="0"/>
        <w:rPr>
          <w:rFonts w:hint="eastAsia" w:ascii="宋体" w:hAnsi="宋体" w:eastAsia="宋体"/>
          <w:b/>
          <w:bCs/>
          <w:color w:val="auto"/>
          <w:sz w:val="32"/>
          <w:szCs w:val="32"/>
        </w:rPr>
      </w:pPr>
      <w:bookmarkStart w:id="57" w:name="_Toc23405"/>
      <w:r>
        <w:rPr>
          <w:rFonts w:hint="eastAsia" w:ascii="宋体" w:hAnsi="宋体" w:eastAsia="宋体"/>
          <w:b/>
          <w:bCs/>
          <w:color w:val="auto"/>
          <w:sz w:val="32"/>
          <w:szCs w:val="32"/>
        </w:rPr>
        <w:t>第五章  应提交的有关格式范例</w:t>
      </w:r>
      <w:bookmarkEnd w:id="57"/>
    </w:p>
    <w:p w14:paraId="3331D1B4">
      <w:pPr>
        <w:shd w:val="clear"/>
        <w:rPr>
          <w:rFonts w:ascii="宋体" w:hAnsi="宋体" w:eastAsia="宋体" w:cs="宋体"/>
          <w:b/>
          <w:color w:val="auto"/>
          <w:sz w:val="24"/>
          <w:szCs w:val="24"/>
        </w:rPr>
      </w:pPr>
    </w:p>
    <w:p w14:paraId="4527AC16">
      <w:pPr>
        <w:shd w:val="clear"/>
        <w:snapToGrid w:val="0"/>
        <w:spacing w:line="500" w:lineRule="exact"/>
        <w:outlineLvl w:val="9"/>
        <w:rPr>
          <w:rStyle w:val="46"/>
          <w:rFonts w:hint="eastAsia" w:eastAsia="宋体"/>
          <w:color w:val="auto"/>
          <w:sz w:val="52"/>
          <w:szCs w:val="52"/>
        </w:rPr>
      </w:pPr>
      <w:bookmarkStart w:id="58" w:name="_Toc24708486"/>
    </w:p>
    <w:p w14:paraId="7A0F4CE6">
      <w:pPr>
        <w:shd w:val="clear"/>
        <w:rPr>
          <w:rStyle w:val="46"/>
          <w:rFonts w:hint="eastAsia" w:eastAsia="宋体"/>
          <w:color w:val="auto"/>
          <w:sz w:val="52"/>
          <w:szCs w:val="52"/>
        </w:rPr>
      </w:pPr>
    </w:p>
    <w:p w14:paraId="48EDF3FE">
      <w:pPr>
        <w:pStyle w:val="8"/>
        <w:shd w:val="clear"/>
        <w:rPr>
          <w:rStyle w:val="46"/>
          <w:rFonts w:hint="eastAsia" w:eastAsia="宋体"/>
          <w:color w:val="auto"/>
          <w:sz w:val="52"/>
          <w:szCs w:val="52"/>
        </w:rPr>
      </w:pPr>
    </w:p>
    <w:p w14:paraId="0256B7CE">
      <w:pPr>
        <w:shd w:val="clear"/>
        <w:rPr>
          <w:rFonts w:hint="eastAsia"/>
          <w:color w:val="auto"/>
        </w:rPr>
      </w:pPr>
    </w:p>
    <w:p w14:paraId="1A1794DC">
      <w:pPr>
        <w:shd w:val="clear"/>
        <w:snapToGrid w:val="0"/>
        <w:spacing w:line="500" w:lineRule="exact"/>
        <w:jc w:val="center"/>
        <w:outlineLvl w:val="9"/>
        <w:rPr>
          <w:rFonts w:hint="eastAsia" w:ascii="宋体" w:hAnsi="宋体" w:eastAsia="宋体" w:cs="宋体"/>
          <w:b/>
          <w:color w:val="auto"/>
          <w:sz w:val="28"/>
          <w:szCs w:val="28"/>
        </w:rPr>
      </w:pPr>
    </w:p>
    <w:bookmarkEnd w:id="58"/>
    <w:p w14:paraId="7CBDAA56">
      <w:pPr>
        <w:shd w:val="clear"/>
        <w:snapToGrid w:val="0"/>
        <w:spacing w:before="158" w:beforeLines="50" w:after="50"/>
        <w:jc w:val="center"/>
        <w:outlineLvl w:val="1"/>
        <w:rPr>
          <w:rFonts w:hint="eastAsia" w:ascii="宋体" w:hAnsi="宋体" w:eastAsia="宋体" w:cs="宋体"/>
          <w:b/>
          <w:color w:val="auto"/>
          <w:sz w:val="32"/>
          <w:szCs w:val="32"/>
          <w:lang w:eastAsia="zh-CN"/>
        </w:rPr>
      </w:pPr>
      <w:bookmarkStart w:id="59" w:name="_Toc27047"/>
      <w:r>
        <w:rPr>
          <w:rFonts w:hint="eastAsia" w:ascii="宋体" w:hAnsi="宋体" w:eastAsia="宋体" w:cs="宋体"/>
          <w:b/>
          <w:color w:val="auto"/>
          <w:sz w:val="44"/>
          <w:szCs w:val="44"/>
          <w:lang w:eastAsia="zh-CN"/>
        </w:rPr>
        <w:t>（</w:t>
      </w:r>
      <w:r>
        <w:rPr>
          <w:rFonts w:hint="eastAsia" w:ascii="宋体" w:hAnsi="宋体" w:eastAsia="宋体" w:cs="宋体"/>
          <w:b/>
          <w:color w:val="auto"/>
          <w:sz w:val="44"/>
          <w:szCs w:val="44"/>
        </w:rPr>
        <w:t>资格文件/商务技术文件/报价文件</w:t>
      </w:r>
      <w:r>
        <w:rPr>
          <w:rFonts w:hint="eastAsia" w:ascii="宋体" w:hAnsi="宋体" w:eastAsia="宋体" w:cs="宋体"/>
          <w:b/>
          <w:color w:val="auto"/>
          <w:sz w:val="44"/>
          <w:szCs w:val="44"/>
          <w:lang w:eastAsia="zh-CN"/>
        </w:rPr>
        <w:t>）</w:t>
      </w:r>
      <w:bookmarkEnd w:id="59"/>
    </w:p>
    <w:p w14:paraId="0C70FB6B">
      <w:pPr>
        <w:shd w:val="clear"/>
        <w:ind w:left="1800" w:leftChars="857"/>
        <w:jc w:val="right"/>
        <w:rPr>
          <w:rFonts w:ascii="宋体" w:hAnsi="宋体" w:eastAsia="宋体"/>
          <w:color w:val="auto"/>
          <w:sz w:val="28"/>
          <w:szCs w:val="28"/>
        </w:rPr>
      </w:pPr>
    </w:p>
    <w:p w14:paraId="26B86E26">
      <w:pPr>
        <w:shd w:val="clear"/>
        <w:rPr>
          <w:rFonts w:ascii="宋体" w:hAnsi="宋体" w:eastAsia="宋体"/>
          <w:color w:val="auto"/>
          <w:sz w:val="28"/>
          <w:szCs w:val="28"/>
        </w:rPr>
      </w:pPr>
      <w:bookmarkStart w:id="60" w:name="_Toc357410802"/>
    </w:p>
    <w:p w14:paraId="640D85ED">
      <w:pPr>
        <w:shd w:val="clear"/>
        <w:rPr>
          <w:rFonts w:hint="eastAsia" w:ascii="宋体" w:hAnsi="宋体" w:eastAsia="宋体"/>
          <w:color w:val="auto"/>
          <w:sz w:val="28"/>
          <w:szCs w:val="28"/>
        </w:rPr>
      </w:pPr>
    </w:p>
    <w:p w14:paraId="699B6C04">
      <w:pPr>
        <w:shd w:val="clear"/>
        <w:ind w:firstLine="560" w:firstLineChars="200"/>
        <w:rPr>
          <w:rFonts w:hint="eastAsia" w:ascii="宋体" w:hAnsi="宋体" w:eastAsia="宋体"/>
          <w:color w:val="auto"/>
          <w:sz w:val="28"/>
          <w:szCs w:val="28"/>
        </w:rPr>
      </w:pPr>
    </w:p>
    <w:p w14:paraId="29D2947F">
      <w:pPr>
        <w:shd w:val="clear"/>
        <w:ind w:firstLine="560" w:firstLineChars="200"/>
        <w:rPr>
          <w:rFonts w:hint="eastAsia" w:ascii="宋体" w:hAnsi="宋体" w:eastAsia="宋体"/>
          <w:color w:val="auto"/>
          <w:sz w:val="28"/>
          <w:szCs w:val="28"/>
        </w:rPr>
      </w:pPr>
    </w:p>
    <w:p w14:paraId="0A3A291F">
      <w:pPr>
        <w:shd w:val="clear"/>
        <w:ind w:firstLine="560" w:firstLineChars="200"/>
        <w:rPr>
          <w:rFonts w:hint="eastAsia" w:ascii="宋体" w:hAnsi="宋体" w:eastAsia="宋体"/>
          <w:color w:val="auto"/>
          <w:sz w:val="28"/>
          <w:szCs w:val="28"/>
        </w:rPr>
      </w:pPr>
    </w:p>
    <w:bookmarkEnd w:id="60"/>
    <w:p w14:paraId="09B4D67B">
      <w:pPr>
        <w:shd w:val="clear"/>
        <w:spacing w:line="360" w:lineRule="auto"/>
        <w:ind w:firstLine="640" w:firstLineChars="200"/>
        <w:rPr>
          <w:rFonts w:hint="eastAsia" w:ascii="宋体" w:hAnsi="宋体" w:eastAsia="宋体" w:cs="宋体"/>
          <w:color w:val="auto"/>
          <w:sz w:val="32"/>
          <w:szCs w:val="32"/>
          <w:lang w:bidi="ar"/>
        </w:rPr>
      </w:pPr>
      <w:r>
        <w:rPr>
          <w:rFonts w:hint="eastAsia" w:ascii="宋体" w:hAnsi="宋体" w:eastAsia="宋体" w:cs="宋体"/>
          <w:color w:val="auto"/>
          <w:sz w:val="32"/>
          <w:szCs w:val="32"/>
          <w:lang w:bidi="ar"/>
        </w:rPr>
        <w:t>项目名称：</w:t>
      </w:r>
    </w:p>
    <w:p w14:paraId="5718A5D9">
      <w:pPr>
        <w:shd w:val="clear"/>
        <w:spacing w:line="360" w:lineRule="auto"/>
        <w:ind w:firstLine="640" w:firstLineChars="200"/>
        <w:rPr>
          <w:rFonts w:hint="eastAsia" w:ascii="宋体" w:hAnsi="宋体" w:eastAsia="宋体" w:cs="宋体"/>
          <w:color w:val="auto"/>
          <w:sz w:val="32"/>
          <w:szCs w:val="32"/>
          <w:lang w:eastAsia="zh-CN" w:bidi="ar"/>
        </w:rPr>
      </w:pPr>
      <w:r>
        <w:rPr>
          <w:rFonts w:hint="eastAsia" w:ascii="宋体" w:hAnsi="宋体" w:eastAsia="宋体" w:cs="宋体"/>
          <w:color w:val="auto"/>
          <w:sz w:val="32"/>
          <w:szCs w:val="32"/>
          <w:lang w:bidi="ar"/>
        </w:rPr>
        <w:t>项目编号：</w:t>
      </w:r>
    </w:p>
    <w:p w14:paraId="453A6C88">
      <w:pPr>
        <w:shd w:val="clear"/>
        <w:spacing w:line="360" w:lineRule="auto"/>
        <w:ind w:firstLine="640" w:firstLineChars="200"/>
        <w:rPr>
          <w:rFonts w:hint="eastAsia" w:ascii="宋体" w:hAnsi="宋体" w:eastAsia="宋体" w:cs="宋体"/>
          <w:color w:val="auto"/>
          <w:sz w:val="32"/>
          <w:szCs w:val="32"/>
          <w:lang w:bidi="ar"/>
        </w:rPr>
      </w:pPr>
      <w:r>
        <w:rPr>
          <w:rFonts w:hint="eastAsia" w:ascii="宋体" w:hAnsi="宋体" w:eastAsia="宋体" w:cs="宋体"/>
          <w:color w:val="auto"/>
          <w:sz w:val="32"/>
          <w:szCs w:val="32"/>
          <w:lang w:bidi="ar"/>
        </w:rPr>
        <w:t xml:space="preserve">投标人名称：     </w:t>
      </w:r>
      <w:r>
        <w:rPr>
          <w:rFonts w:hint="eastAsia" w:ascii="宋体" w:hAnsi="宋体" w:eastAsia="宋体" w:cs="宋体"/>
          <w:color w:val="auto"/>
          <w:sz w:val="32"/>
          <w:szCs w:val="32"/>
          <w:lang w:val="en-US" w:eastAsia="zh-CN" w:bidi="ar"/>
        </w:rPr>
        <w:t xml:space="preserve">  </w:t>
      </w:r>
      <w:r>
        <w:rPr>
          <w:rFonts w:hint="eastAsia" w:ascii="宋体" w:hAnsi="宋体" w:eastAsia="宋体" w:cs="宋体"/>
          <w:color w:val="auto"/>
          <w:sz w:val="32"/>
          <w:szCs w:val="32"/>
          <w:lang w:bidi="ar"/>
        </w:rPr>
        <w:t xml:space="preserve"> （盖单位公章）</w:t>
      </w:r>
    </w:p>
    <w:p w14:paraId="28C998EE">
      <w:pPr>
        <w:shd w:val="clear"/>
        <w:spacing w:line="360" w:lineRule="auto"/>
        <w:ind w:firstLine="640" w:firstLineChars="200"/>
        <w:rPr>
          <w:rFonts w:hint="eastAsia" w:ascii="宋体" w:hAnsi="宋体" w:eastAsia="宋体" w:cs="宋体"/>
          <w:color w:val="auto"/>
          <w:sz w:val="32"/>
          <w:szCs w:val="32"/>
          <w:lang w:bidi="ar"/>
        </w:rPr>
      </w:pPr>
      <w:r>
        <w:rPr>
          <w:rFonts w:hint="eastAsia" w:ascii="宋体" w:hAnsi="宋体" w:eastAsia="宋体" w:cs="宋体"/>
          <w:color w:val="auto"/>
          <w:sz w:val="32"/>
          <w:szCs w:val="32"/>
          <w:lang w:bidi="ar"/>
        </w:rPr>
        <w:t>法定代表人（或负责人）（签字）：</w:t>
      </w:r>
    </w:p>
    <w:p w14:paraId="31BF22A3">
      <w:pPr>
        <w:shd w:val="clear"/>
        <w:spacing w:line="360" w:lineRule="auto"/>
        <w:ind w:firstLine="640" w:firstLineChars="200"/>
        <w:rPr>
          <w:rFonts w:hint="eastAsia" w:ascii="宋体" w:hAnsi="宋体" w:eastAsia="宋体" w:cs="宋体"/>
          <w:color w:val="auto"/>
          <w:sz w:val="32"/>
          <w:szCs w:val="32"/>
          <w:lang w:bidi="ar"/>
        </w:rPr>
      </w:pPr>
      <w:r>
        <w:rPr>
          <w:rFonts w:hint="eastAsia" w:ascii="宋体" w:hAnsi="宋体" w:eastAsia="宋体" w:cs="宋体"/>
          <w:color w:val="auto"/>
          <w:sz w:val="32"/>
          <w:szCs w:val="32"/>
          <w:lang w:bidi="ar"/>
        </w:rPr>
        <w:t>投标人地址：</w:t>
      </w:r>
    </w:p>
    <w:p w14:paraId="4FD019EA">
      <w:pPr>
        <w:shd w:val="clear"/>
        <w:spacing w:line="360" w:lineRule="auto"/>
        <w:ind w:firstLine="640" w:firstLineChars="200"/>
        <w:rPr>
          <w:rFonts w:hint="eastAsia" w:ascii="宋体" w:hAnsi="宋体" w:eastAsia="宋体" w:cs="宋体"/>
          <w:color w:val="auto"/>
          <w:sz w:val="32"/>
          <w:szCs w:val="32"/>
          <w:lang w:bidi="ar"/>
        </w:rPr>
      </w:pPr>
      <w:r>
        <w:rPr>
          <w:rFonts w:hint="eastAsia" w:ascii="宋体" w:hAnsi="宋体" w:eastAsia="宋体" w:cs="宋体"/>
          <w:color w:val="auto"/>
          <w:sz w:val="32"/>
          <w:szCs w:val="32"/>
          <w:lang w:bidi="ar"/>
        </w:rPr>
        <w:t>日期： 年  月  日</w:t>
      </w:r>
    </w:p>
    <w:p w14:paraId="5029066E">
      <w:pPr>
        <w:shd w:val="clear"/>
        <w:rPr>
          <w:rFonts w:hint="eastAsia" w:ascii="宋体" w:hAnsi="宋体" w:eastAsia="宋体" w:cs="宋体"/>
          <w:b/>
          <w:color w:val="auto"/>
          <w:sz w:val="24"/>
          <w:szCs w:val="24"/>
        </w:rPr>
      </w:pPr>
    </w:p>
    <w:p w14:paraId="1EE41290">
      <w:pPr>
        <w:shd w:val="clear"/>
        <w:rPr>
          <w:rFonts w:hint="eastAsia" w:ascii="宋体" w:hAnsi="宋体" w:eastAsia="宋体" w:cs="宋体"/>
          <w:b/>
          <w:color w:val="auto"/>
          <w:sz w:val="24"/>
          <w:szCs w:val="24"/>
        </w:rPr>
      </w:pPr>
    </w:p>
    <w:p w14:paraId="419AFE63">
      <w:pPr>
        <w:shd w:val="clear"/>
        <w:rPr>
          <w:rFonts w:hint="eastAsia" w:ascii="宋体" w:hAnsi="宋体" w:eastAsia="宋体" w:cs="宋体"/>
          <w:b/>
          <w:color w:val="auto"/>
          <w:sz w:val="24"/>
          <w:szCs w:val="24"/>
        </w:rPr>
      </w:pPr>
    </w:p>
    <w:p w14:paraId="76F9FBAD">
      <w:pPr>
        <w:shd w:val="clear"/>
        <w:rPr>
          <w:rFonts w:hint="eastAsia" w:ascii="宋体" w:hAnsi="宋体" w:eastAsia="宋体" w:cs="宋体"/>
          <w:b/>
          <w:color w:val="auto"/>
          <w:sz w:val="24"/>
          <w:szCs w:val="24"/>
        </w:rPr>
      </w:pPr>
    </w:p>
    <w:p w14:paraId="5F146FBA">
      <w:pPr>
        <w:shd w:val="clear"/>
        <w:rPr>
          <w:rFonts w:hint="eastAsia" w:ascii="宋体" w:hAnsi="宋体" w:eastAsia="宋体" w:cs="宋体"/>
          <w:b/>
          <w:color w:val="auto"/>
          <w:sz w:val="24"/>
          <w:szCs w:val="24"/>
        </w:rPr>
      </w:pPr>
    </w:p>
    <w:p w14:paraId="4551F226">
      <w:pPr>
        <w:shd w:val="clear"/>
        <w:rPr>
          <w:rFonts w:hint="eastAsia" w:ascii="宋体" w:hAnsi="宋体" w:eastAsia="宋体" w:cs="宋体"/>
          <w:b/>
          <w:color w:val="auto"/>
          <w:sz w:val="24"/>
          <w:szCs w:val="24"/>
        </w:rPr>
      </w:pPr>
    </w:p>
    <w:p w14:paraId="1491319F">
      <w:pPr>
        <w:shd w:val="clear"/>
        <w:rPr>
          <w:rFonts w:hint="eastAsia" w:ascii="宋体" w:hAnsi="宋体" w:eastAsia="宋体" w:cs="宋体"/>
          <w:b/>
          <w:color w:val="auto"/>
          <w:sz w:val="24"/>
          <w:szCs w:val="24"/>
        </w:rPr>
      </w:pPr>
    </w:p>
    <w:p w14:paraId="2671CB1D">
      <w:pPr>
        <w:shd w:val="clear"/>
        <w:rPr>
          <w:rFonts w:hint="eastAsia" w:ascii="宋体" w:hAnsi="宋体" w:eastAsia="宋体" w:cs="宋体"/>
          <w:b/>
          <w:color w:val="auto"/>
          <w:sz w:val="24"/>
          <w:szCs w:val="24"/>
        </w:rPr>
      </w:pPr>
    </w:p>
    <w:p w14:paraId="269D41CC">
      <w:pPr>
        <w:pStyle w:val="2"/>
        <w:rPr>
          <w:rFonts w:hint="eastAsia"/>
        </w:rPr>
      </w:pPr>
    </w:p>
    <w:p w14:paraId="07BDC40B">
      <w:pPr>
        <w:shd w:val="clear"/>
        <w:rPr>
          <w:rFonts w:hint="eastAsia" w:ascii="宋体" w:hAnsi="宋体" w:eastAsia="宋体" w:cs="宋体"/>
          <w:b/>
          <w:color w:val="auto"/>
          <w:sz w:val="24"/>
          <w:szCs w:val="24"/>
        </w:rPr>
      </w:pPr>
    </w:p>
    <w:p w14:paraId="53BFDCA6">
      <w:pPr>
        <w:shd w:val="clear"/>
        <w:rPr>
          <w:rFonts w:hint="eastAsia" w:ascii="宋体" w:hAnsi="宋体" w:eastAsia="宋体" w:cs="宋体"/>
          <w:b/>
          <w:color w:val="auto"/>
          <w:sz w:val="24"/>
          <w:szCs w:val="24"/>
        </w:rPr>
      </w:pPr>
    </w:p>
    <w:p w14:paraId="45ED1211">
      <w:pPr>
        <w:shd w:val="clear"/>
        <w:rPr>
          <w:rStyle w:val="46"/>
          <w:rFonts w:hint="eastAsia" w:eastAsia="宋体" w:cs="宋体"/>
          <w:color w:val="auto"/>
          <w:szCs w:val="24"/>
        </w:rPr>
      </w:pPr>
      <w:r>
        <w:rPr>
          <w:rFonts w:hint="eastAsia" w:ascii="宋体" w:hAnsi="宋体" w:eastAsia="宋体" w:cs="宋体"/>
          <w:b/>
          <w:color w:val="auto"/>
          <w:sz w:val="24"/>
          <w:szCs w:val="24"/>
        </w:rPr>
        <w:t xml:space="preserve">附件格式  </w:t>
      </w:r>
      <w:r>
        <w:rPr>
          <w:rStyle w:val="46"/>
          <w:rFonts w:hint="eastAsia" w:eastAsia="宋体" w:cs="宋体"/>
          <w:color w:val="auto"/>
          <w:szCs w:val="24"/>
        </w:rPr>
        <w:t xml:space="preserve">                </w:t>
      </w:r>
    </w:p>
    <w:p w14:paraId="6D366F00">
      <w:pPr>
        <w:shd w:val="clear"/>
        <w:jc w:val="center"/>
        <w:rPr>
          <w:rStyle w:val="46"/>
          <w:rFonts w:eastAsia="宋体" w:cs="宋体"/>
          <w:b w:val="0"/>
          <w:color w:val="auto"/>
          <w:sz w:val="32"/>
          <w:szCs w:val="32"/>
        </w:rPr>
      </w:pPr>
      <w:r>
        <w:rPr>
          <w:rStyle w:val="46"/>
          <w:rFonts w:hint="eastAsia" w:eastAsia="宋体" w:cs="宋体"/>
          <w:color w:val="auto"/>
          <w:sz w:val="32"/>
          <w:szCs w:val="32"/>
        </w:rPr>
        <w:t>投标函</w:t>
      </w:r>
    </w:p>
    <w:p w14:paraId="1E095F66">
      <w:pPr>
        <w:shd w:val="clear"/>
        <w:ind w:firstLine="3920"/>
        <w:rPr>
          <w:rFonts w:ascii="宋体" w:hAnsi="宋体" w:eastAsia="宋体" w:cs="宋体"/>
          <w:color w:val="auto"/>
          <w:sz w:val="24"/>
          <w:szCs w:val="24"/>
        </w:rPr>
      </w:pPr>
    </w:p>
    <w:p w14:paraId="5EE8C837">
      <w:pPr>
        <w:shd w:val="clear"/>
        <w:snapToGrid w:val="0"/>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olor w:val="auto"/>
          <w:sz w:val="24"/>
          <w:szCs w:val="24"/>
          <w:lang w:eastAsia="zh-CN"/>
        </w:rPr>
        <w:t>龙游县慈善总会</w:t>
      </w:r>
      <w:r>
        <w:rPr>
          <w:rFonts w:hint="eastAsia" w:ascii="宋体" w:hAnsi="宋体" w:eastAsia="宋体"/>
          <w:color w:val="auto"/>
          <w:sz w:val="24"/>
          <w:szCs w:val="24"/>
        </w:rPr>
        <w:t>：</w:t>
      </w:r>
    </w:p>
    <w:p w14:paraId="36603E8C">
      <w:pPr>
        <w:shd w:val="clear"/>
        <w:snapToGrid w:val="0"/>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衢州宇信工程咨询有限公司：</w:t>
      </w:r>
    </w:p>
    <w:p w14:paraId="7E976E11">
      <w:pPr>
        <w:shd w:val="clear"/>
        <w:snapToGrid w:val="0"/>
        <w:spacing w:line="600" w:lineRule="exact"/>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根据贵方项目的招标公告（项目编号：</w:t>
      </w:r>
      <w:r>
        <w:rPr>
          <w:rFonts w:hint="eastAsia" w:ascii="宋体" w:hAnsi="宋体" w:eastAsia="宋体" w:cs="宋体"/>
          <w:color w:val="auto"/>
          <w:sz w:val="24"/>
          <w:szCs w:val="24"/>
          <w:lang w:eastAsia="zh-CN"/>
        </w:rPr>
        <w:t>LYCG2025YX-011</w:t>
      </w:r>
      <w:r>
        <w:rPr>
          <w:rFonts w:hint="eastAsia" w:ascii="宋体" w:hAnsi="宋体" w:eastAsia="宋体" w:cs="宋体"/>
          <w:color w:val="auto"/>
          <w:sz w:val="24"/>
          <w:szCs w:val="24"/>
        </w:rPr>
        <w:t>），被授权代表（全名）经正式授权并代表投标人（投标人名称）提交投标文件。</w:t>
      </w:r>
    </w:p>
    <w:p w14:paraId="05B2CB0A">
      <w:pPr>
        <w:shd w:val="clear"/>
        <w:snapToGrid w:val="0"/>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据此函，被授权代表宣布同意如下：</w:t>
      </w:r>
    </w:p>
    <w:p w14:paraId="413EA2C6">
      <w:pPr>
        <w:pStyle w:val="9"/>
        <w:shd w:val="clear"/>
        <w:spacing w:line="500" w:lineRule="exact"/>
        <w:ind w:firstLine="480" w:firstLineChars="200"/>
        <w:outlineLvl w:val="1"/>
        <w:rPr>
          <w:rFonts w:hAnsi="宋体" w:cs="宋体"/>
          <w:color w:val="auto"/>
          <w:sz w:val="24"/>
          <w:szCs w:val="24"/>
        </w:rPr>
      </w:pPr>
      <w:bookmarkStart w:id="61" w:name="_Toc4719"/>
      <w:r>
        <w:rPr>
          <w:rFonts w:hint="eastAsia" w:hAnsi="宋体" w:cs="宋体"/>
          <w:color w:val="auto"/>
          <w:sz w:val="24"/>
          <w:szCs w:val="24"/>
        </w:rPr>
        <w:t>1.我方向贵方提交的所有投标文件、资料都是准确的和真实的。</w:t>
      </w:r>
      <w:bookmarkEnd w:id="61"/>
    </w:p>
    <w:p w14:paraId="196DF837">
      <w:pPr>
        <w:shd w:val="clear"/>
        <w:snapToGrid w:val="0"/>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2.我方已详细审查全部“招标文件”，包括修改文件（如有的话）以及全部参考资料和有关附件，已经了解我方对于招标文件、招标过程、招标结果有依法进行询问、质疑、投诉的权利及相关渠道和要求。</w:t>
      </w:r>
    </w:p>
    <w:p w14:paraId="30E2F089">
      <w:pPr>
        <w:shd w:val="clear"/>
        <w:snapToGrid w:val="0"/>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 我方在投标之前已经与贵方进行了充分的沟通，完全理解并接受招标文件的各项规定和要求，对招标文件的合理性、合法性不再有异议。</w:t>
      </w:r>
    </w:p>
    <w:p w14:paraId="1CFF8DB6">
      <w:pPr>
        <w:shd w:val="clear"/>
        <w:snapToGrid w:val="0"/>
        <w:spacing w:line="500" w:lineRule="exact"/>
        <w:ind w:firstLine="480" w:firstLineChars="200"/>
        <w:outlineLvl w:val="1"/>
        <w:rPr>
          <w:rFonts w:ascii="宋体" w:hAnsi="宋体" w:eastAsia="宋体" w:cs="宋体"/>
          <w:color w:val="auto"/>
          <w:sz w:val="24"/>
          <w:szCs w:val="24"/>
        </w:rPr>
      </w:pPr>
      <w:bookmarkStart w:id="62" w:name="_Toc27115"/>
      <w:r>
        <w:rPr>
          <w:rFonts w:hint="eastAsia" w:ascii="宋体" w:hAnsi="宋体" w:eastAsia="宋体" w:cs="宋体"/>
          <w:color w:val="auto"/>
          <w:sz w:val="24"/>
          <w:szCs w:val="24"/>
        </w:rPr>
        <w:t>4.本投标有效期自开标日起90日。</w:t>
      </w:r>
      <w:bookmarkEnd w:id="62"/>
    </w:p>
    <w:p w14:paraId="752E5E82">
      <w:pPr>
        <w:shd w:val="clear"/>
        <w:snapToGrid w:val="0"/>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5.如中标，本投标文件至本项目合同履行完毕止均保持有效，本投标人将按“招标文件”及政府招投标法律、法规的规定履行合同责任和义务。</w:t>
      </w:r>
    </w:p>
    <w:p w14:paraId="6ABB6F75">
      <w:pPr>
        <w:shd w:val="clear"/>
        <w:snapToGrid w:val="0"/>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6.我方同意按照贵方要求提供与投标有关的一切数据或资料。</w:t>
      </w:r>
    </w:p>
    <w:p w14:paraId="128F584A">
      <w:pPr>
        <w:shd w:val="clear"/>
        <w:snapToGrid w:val="0"/>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7.与本投标有关的一切正式往来信函请寄：</w:t>
      </w:r>
    </w:p>
    <w:p w14:paraId="3CB6349B">
      <w:pPr>
        <w:shd w:val="clear"/>
        <w:snapToGrid w:val="0"/>
        <w:spacing w:line="500" w:lineRule="exact"/>
        <w:rPr>
          <w:rFonts w:ascii="宋体" w:hAnsi="宋体" w:eastAsia="宋体" w:cs="宋体"/>
          <w:color w:val="auto"/>
          <w:sz w:val="24"/>
          <w:szCs w:val="24"/>
        </w:rPr>
      </w:pPr>
    </w:p>
    <w:p w14:paraId="27D11F39">
      <w:pPr>
        <w:shd w:val="clear"/>
        <w:snapToGrid w:val="0"/>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邮编：电话</w:t>
      </w:r>
      <w:r>
        <w:rPr>
          <w:rFonts w:hint="eastAsia" w:ascii="宋体" w:hAnsi="宋体" w:eastAsia="宋体" w:cs="宋体"/>
          <w:color w:val="auto"/>
          <w:sz w:val="24"/>
          <w:szCs w:val="24"/>
          <w:u w:val="single"/>
        </w:rPr>
        <w:t>：</w:t>
      </w:r>
    </w:p>
    <w:p w14:paraId="09A51A3C">
      <w:pPr>
        <w:shd w:val="clear"/>
        <w:snapToGrid w:val="0"/>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被授权代表姓名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3E1C6C2C">
      <w:pPr>
        <w:shd w:val="clear"/>
        <w:snapToGrid w:val="0"/>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投标人名称(公章)</w:t>
      </w:r>
      <w:r>
        <w:rPr>
          <w:rFonts w:hint="eastAsia" w:ascii="宋体" w:hAnsi="宋体" w:eastAsia="宋体" w:cs="宋体"/>
          <w:color w:val="auto"/>
          <w:sz w:val="24"/>
          <w:szCs w:val="24"/>
          <w:u w:val="single"/>
        </w:rPr>
        <w:t xml:space="preserve">:                                </w:t>
      </w:r>
    </w:p>
    <w:p w14:paraId="25075D04">
      <w:pPr>
        <w:shd w:val="clear"/>
        <w:snapToGrid w:val="0"/>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被授权代表签字</w:t>
      </w:r>
      <w:r>
        <w:rPr>
          <w:rFonts w:hint="eastAsia" w:ascii="宋体" w:hAnsi="宋体" w:eastAsia="宋体" w:cs="宋体"/>
          <w:color w:val="auto"/>
          <w:sz w:val="24"/>
          <w:szCs w:val="24"/>
          <w:u w:val="single"/>
        </w:rPr>
        <w:t xml:space="preserve">:                                  </w:t>
      </w:r>
    </w:p>
    <w:p w14:paraId="7F3BA8E9">
      <w:pPr>
        <w:shd w:val="clear"/>
        <w:snapToGrid w:val="0"/>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  月    日</w:t>
      </w:r>
    </w:p>
    <w:p w14:paraId="60421677">
      <w:pPr>
        <w:shd w:val="clear"/>
        <w:spacing w:line="540" w:lineRule="exact"/>
        <w:ind w:firstLine="480" w:firstLineChars="200"/>
        <w:rPr>
          <w:rFonts w:ascii="宋体" w:hAnsi="宋体" w:eastAsia="宋体" w:cs="宋体"/>
          <w:color w:val="auto"/>
          <w:sz w:val="24"/>
          <w:szCs w:val="24"/>
        </w:rPr>
        <w:sectPr>
          <w:headerReference r:id="rId4" w:type="first"/>
          <w:footerReference r:id="rId7" w:type="first"/>
          <w:headerReference r:id="rId3" w:type="default"/>
          <w:footerReference r:id="rId5" w:type="default"/>
          <w:footerReference r:id="rId6" w:type="even"/>
          <w:pgSz w:w="11906" w:h="16838"/>
          <w:pgMar w:top="1389" w:right="1247" w:bottom="1389" w:left="1247" w:header="624" w:footer="510" w:gutter="284"/>
          <w:pgBorders>
            <w:top w:val="thinThickSmallGap" w:color="auto" w:sz="12" w:space="10"/>
            <w:left w:val="none" w:sz="0" w:space="0"/>
            <w:bottom w:val="thinThickSmallGap" w:color="auto" w:sz="12" w:space="10"/>
            <w:right w:val="none" w:sz="0" w:space="0"/>
          </w:pgBorders>
          <w:pgNumType w:fmt="decimal"/>
          <w:cols w:space="720" w:num="1"/>
          <w:docGrid w:linePitch="312" w:charSpace="0"/>
        </w:sectPr>
      </w:pPr>
    </w:p>
    <w:p w14:paraId="09123864">
      <w:pPr>
        <w:shd w:val="clear"/>
        <w:spacing w:line="60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 xml:space="preserve">附件格式      </w:t>
      </w:r>
      <w:r>
        <w:rPr>
          <w:rFonts w:hint="eastAsia" w:ascii="宋体" w:hAnsi="宋体" w:eastAsia="宋体" w:cs="宋体"/>
          <w:bCs/>
          <w:color w:val="auto"/>
          <w:sz w:val="24"/>
          <w:szCs w:val="24"/>
        </w:rPr>
        <w:t xml:space="preserve">    </w:t>
      </w:r>
    </w:p>
    <w:p w14:paraId="66EDFB21">
      <w:pPr>
        <w:shd w:val="clear"/>
        <w:jc w:val="center"/>
        <w:rPr>
          <w:rStyle w:val="46"/>
          <w:rFonts w:hint="eastAsia" w:ascii="宋体" w:hAnsi="宋体" w:eastAsia="宋体" w:cs="宋体"/>
          <w:color w:val="auto"/>
          <w:sz w:val="32"/>
          <w:szCs w:val="32"/>
        </w:rPr>
      </w:pPr>
      <w:r>
        <w:rPr>
          <w:rStyle w:val="46"/>
          <w:rFonts w:hint="eastAsia" w:ascii="宋体" w:hAnsi="宋体" w:eastAsia="宋体" w:cs="宋体"/>
          <w:color w:val="auto"/>
          <w:sz w:val="32"/>
          <w:szCs w:val="32"/>
        </w:rPr>
        <w:t>法定代表人（负责人）授权书</w:t>
      </w:r>
    </w:p>
    <w:p w14:paraId="077ED80F">
      <w:pPr>
        <w:shd w:val="clear"/>
        <w:spacing w:line="360" w:lineRule="auto"/>
        <w:rPr>
          <w:rFonts w:ascii="宋体" w:hAnsi="宋体" w:eastAsia="宋体" w:cs="宋体"/>
          <w:color w:val="auto"/>
          <w:sz w:val="24"/>
          <w:szCs w:val="24"/>
        </w:rPr>
      </w:pPr>
    </w:p>
    <w:p w14:paraId="56C4B0F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龙游县慈善总会</w:t>
      </w:r>
      <w:r>
        <w:rPr>
          <w:rFonts w:hint="eastAsia" w:ascii="宋体" w:hAnsi="宋体" w:eastAsia="宋体" w:cs="宋体"/>
          <w:b w:val="0"/>
          <w:bCs w:val="0"/>
          <w:color w:val="auto"/>
          <w:sz w:val="24"/>
          <w:szCs w:val="24"/>
        </w:rPr>
        <w:t>、衢州宇信工程咨询有限公司：</w:t>
      </w:r>
    </w:p>
    <w:p w14:paraId="2332F51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（投标人全称）_____________________法定代表人（负责人）_</w:t>
      </w:r>
      <w:r>
        <w:rPr>
          <w:rFonts w:hint="eastAsia" w:ascii="宋体" w:hAnsi="宋体" w:eastAsia="宋体" w:cs="宋体"/>
          <w:b w:val="0"/>
          <w:bCs w:val="0"/>
          <w:color w:val="auto"/>
          <w:sz w:val="24"/>
          <w:szCs w:val="24"/>
          <w:u w:val="single"/>
        </w:rPr>
        <w:t>_</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_</w:t>
      </w:r>
      <w:r>
        <w:rPr>
          <w:rFonts w:hint="eastAsia" w:ascii="宋体" w:hAnsi="宋体" w:eastAsia="宋体" w:cs="宋体"/>
          <w:b w:val="0"/>
          <w:bCs w:val="0"/>
          <w:color w:val="auto"/>
          <w:sz w:val="24"/>
          <w:szCs w:val="24"/>
        </w:rPr>
        <w:t>__授权（被授权代表姓名）______为全权代表，参加贵方组织的____________项目（项目编号：</w:t>
      </w:r>
      <w:r>
        <w:rPr>
          <w:rFonts w:hint="eastAsia" w:ascii="宋体" w:hAnsi="宋体" w:eastAsia="宋体" w:cs="宋体"/>
          <w:b w:val="0"/>
          <w:bCs w:val="0"/>
          <w:color w:val="auto"/>
          <w:sz w:val="24"/>
          <w:szCs w:val="24"/>
          <w:lang w:eastAsia="zh-CN"/>
        </w:rPr>
        <w:t>LYCG2025YX-011</w:t>
      </w:r>
      <w:r>
        <w:rPr>
          <w:rFonts w:hint="eastAsia" w:ascii="宋体" w:hAnsi="宋体" w:eastAsia="宋体" w:cs="宋体"/>
          <w:b w:val="0"/>
          <w:bCs w:val="0"/>
          <w:color w:val="auto"/>
          <w:sz w:val="24"/>
          <w:szCs w:val="24"/>
        </w:rPr>
        <w:t>），并全权处理招标活动中的一切事宜。</w:t>
      </w:r>
    </w:p>
    <w:p w14:paraId="15833A7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法定代表人（负责人）签字或盖章：</w:t>
      </w:r>
    </w:p>
    <w:p w14:paraId="274524C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投标人全称（公章）：</w:t>
      </w:r>
    </w:p>
    <w:p w14:paraId="148A58A7">
      <w:pPr>
        <w:shd w:val="clear"/>
        <w:spacing w:before="156" w:beforeLines="50" w:after="156" w:afterLines="50" w:line="360" w:lineRule="auto"/>
        <w:ind w:firstLine="4800" w:firstLineChars="2000"/>
        <w:rPr>
          <w:rFonts w:ascii="宋体" w:hAnsi="宋体" w:eastAsia="宋体" w:cs="宋体"/>
          <w:color w:val="auto"/>
          <w:sz w:val="24"/>
          <w:szCs w:val="24"/>
        </w:rPr>
      </w:pPr>
      <w:r>
        <w:rPr>
          <w:rFonts w:hint="eastAsia" w:ascii="宋体" w:hAnsi="宋体" w:eastAsia="宋体" w:cs="宋体"/>
          <w:color w:val="auto"/>
          <w:sz w:val="24"/>
          <w:szCs w:val="24"/>
        </w:rPr>
        <w:t>日  期：</w:t>
      </w:r>
    </w:p>
    <w:p w14:paraId="067E5BB7">
      <w:pPr>
        <w:shd w:val="clea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附：</w:t>
      </w:r>
    </w:p>
    <w:p w14:paraId="672014F8">
      <w:pPr>
        <w:shd w:val="clea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被授权代表姓名：           性别：</w:t>
      </w:r>
    </w:p>
    <w:p w14:paraId="654E2267">
      <w:pPr>
        <w:shd w:val="clea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职务：                   职称：</w:t>
      </w:r>
    </w:p>
    <w:p w14:paraId="55489E0F">
      <w:pPr>
        <w:shd w:val="clea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详细通讯地址：</w:t>
      </w:r>
    </w:p>
    <w:p w14:paraId="3D049BA5">
      <w:pPr>
        <w:shd w:val="clea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电话：                   传真：</w:t>
      </w:r>
    </w:p>
    <w:p w14:paraId="670FC201">
      <w:pPr>
        <w:shd w:val="clea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移动电话：</w:t>
      </w:r>
    </w:p>
    <w:p w14:paraId="770E042E">
      <w:pPr>
        <w:shd w:val="clea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邮政编码：</w:t>
      </w:r>
    </w:p>
    <w:p w14:paraId="1B44BDEB">
      <w:pPr>
        <w:shd w:val="clear"/>
        <w:spacing w:line="500" w:lineRule="exact"/>
        <w:jc w:val="center"/>
        <w:rPr>
          <w:rFonts w:ascii="宋体" w:hAnsi="宋体" w:eastAsia="宋体" w:cs="宋体"/>
          <w:color w:val="auto"/>
          <w:sz w:val="24"/>
          <w:szCs w:val="24"/>
          <w:u w:val="single"/>
        </w:rPr>
      </w:pPr>
    </w:p>
    <w:p w14:paraId="2807BB85">
      <w:pPr>
        <w:shd w:val="clear"/>
        <w:spacing w:line="500" w:lineRule="exact"/>
        <w:jc w:val="center"/>
        <w:rPr>
          <w:rFonts w:ascii="宋体" w:hAnsi="宋体" w:eastAsia="宋体" w:cs="宋体"/>
          <w:color w:val="auto"/>
          <w:sz w:val="24"/>
          <w:szCs w:val="24"/>
          <w:u w:val="single"/>
        </w:rPr>
      </w:pPr>
    </w:p>
    <w:p w14:paraId="36A10AE5">
      <w:pPr>
        <w:shd w:val="clear"/>
        <w:spacing w:line="500" w:lineRule="exact"/>
        <w:jc w:val="center"/>
        <w:rPr>
          <w:rFonts w:ascii="宋体" w:hAnsi="宋体" w:eastAsia="宋体" w:cs="宋体"/>
          <w:color w:val="auto"/>
          <w:sz w:val="24"/>
          <w:szCs w:val="24"/>
          <w:u w:val="single"/>
        </w:rPr>
      </w:pPr>
    </w:p>
    <w:p w14:paraId="0152C9EB">
      <w:pPr>
        <w:pStyle w:val="23"/>
        <w:shd w:val="clear"/>
        <w:rPr>
          <w:rFonts w:ascii="宋体" w:hAnsi="宋体" w:eastAsia="宋体" w:cs="宋体"/>
          <w:color w:val="auto"/>
          <w:sz w:val="24"/>
          <w:szCs w:val="24"/>
          <w:u w:val="single"/>
        </w:rPr>
      </w:pPr>
    </w:p>
    <w:p w14:paraId="08B148C5">
      <w:pPr>
        <w:pStyle w:val="23"/>
        <w:shd w:val="clear"/>
        <w:rPr>
          <w:rFonts w:ascii="宋体" w:hAnsi="宋体" w:eastAsia="宋体" w:cs="宋体"/>
          <w:color w:val="auto"/>
          <w:sz w:val="24"/>
          <w:szCs w:val="24"/>
          <w:u w:val="single"/>
        </w:rPr>
      </w:pPr>
    </w:p>
    <w:p w14:paraId="35075377">
      <w:pPr>
        <w:pStyle w:val="23"/>
        <w:shd w:val="clear"/>
        <w:rPr>
          <w:rFonts w:ascii="宋体" w:hAnsi="宋体" w:eastAsia="宋体" w:cs="宋体"/>
          <w:color w:val="auto"/>
          <w:sz w:val="24"/>
          <w:szCs w:val="24"/>
          <w:u w:val="single"/>
        </w:rPr>
      </w:pPr>
    </w:p>
    <w:p w14:paraId="12A23288">
      <w:pPr>
        <w:pStyle w:val="23"/>
        <w:shd w:val="clear"/>
        <w:rPr>
          <w:rFonts w:ascii="宋体" w:hAnsi="宋体" w:eastAsia="宋体" w:cs="宋体"/>
          <w:color w:val="auto"/>
          <w:sz w:val="24"/>
          <w:szCs w:val="24"/>
          <w:u w:val="single"/>
        </w:rPr>
      </w:pPr>
    </w:p>
    <w:p w14:paraId="7E069C04">
      <w:pPr>
        <w:pStyle w:val="23"/>
        <w:shd w:val="clear"/>
        <w:rPr>
          <w:rFonts w:ascii="宋体" w:hAnsi="宋体" w:eastAsia="宋体" w:cs="宋体"/>
          <w:color w:val="auto"/>
          <w:sz w:val="24"/>
          <w:szCs w:val="24"/>
          <w:u w:val="single"/>
        </w:rPr>
      </w:pPr>
    </w:p>
    <w:p w14:paraId="0F1E99EC">
      <w:pPr>
        <w:pStyle w:val="23"/>
        <w:shd w:val="clear"/>
        <w:rPr>
          <w:rFonts w:ascii="宋体" w:hAnsi="宋体" w:eastAsia="宋体" w:cs="宋体"/>
          <w:color w:val="auto"/>
          <w:sz w:val="24"/>
          <w:szCs w:val="24"/>
          <w:u w:val="single"/>
        </w:rPr>
      </w:pPr>
    </w:p>
    <w:p w14:paraId="5E54B460">
      <w:pPr>
        <w:pStyle w:val="23"/>
        <w:shd w:val="clear"/>
        <w:rPr>
          <w:rFonts w:ascii="宋体" w:hAnsi="宋体" w:eastAsia="宋体" w:cs="宋体"/>
          <w:color w:val="auto"/>
          <w:sz w:val="24"/>
          <w:szCs w:val="24"/>
          <w:u w:val="single"/>
        </w:rPr>
      </w:pPr>
    </w:p>
    <w:p w14:paraId="03798C02">
      <w:pPr>
        <w:pStyle w:val="23"/>
        <w:shd w:val="clear"/>
        <w:rPr>
          <w:rFonts w:ascii="宋体" w:hAnsi="宋体" w:eastAsia="宋体" w:cs="宋体"/>
          <w:color w:val="auto"/>
          <w:sz w:val="24"/>
          <w:szCs w:val="24"/>
          <w:u w:val="single"/>
        </w:rPr>
      </w:pPr>
    </w:p>
    <w:p w14:paraId="3C35C8A2">
      <w:pPr>
        <w:pStyle w:val="23"/>
        <w:shd w:val="clear"/>
        <w:rPr>
          <w:rFonts w:ascii="宋体" w:hAnsi="宋体" w:eastAsia="宋体" w:cs="宋体"/>
          <w:color w:val="auto"/>
          <w:sz w:val="24"/>
          <w:szCs w:val="24"/>
          <w:u w:val="single"/>
        </w:rPr>
      </w:pPr>
    </w:p>
    <w:p w14:paraId="21BBF370">
      <w:pPr>
        <w:pStyle w:val="23"/>
        <w:shd w:val="clear"/>
        <w:rPr>
          <w:rFonts w:ascii="宋体" w:hAnsi="宋体" w:eastAsia="宋体" w:cs="宋体"/>
          <w:color w:val="auto"/>
          <w:sz w:val="24"/>
          <w:szCs w:val="24"/>
          <w:u w:val="single"/>
        </w:rPr>
      </w:pPr>
    </w:p>
    <w:p w14:paraId="5BEF1473">
      <w:pPr>
        <w:pStyle w:val="23"/>
        <w:shd w:val="clear"/>
        <w:rPr>
          <w:rFonts w:ascii="宋体" w:hAnsi="宋体" w:eastAsia="宋体" w:cs="宋体"/>
          <w:color w:val="auto"/>
          <w:sz w:val="24"/>
          <w:szCs w:val="24"/>
          <w:u w:val="single"/>
        </w:rPr>
      </w:pPr>
    </w:p>
    <w:p w14:paraId="7C16EE2E">
      <w:pPr>
        <w:pStyle w:val="47"/>
        <w:shd w:val="clear"/>
        <w:spacing w:line="400" w:lineRule="exact"/>
        <w:outlineLvl w:val="9"/>
        <w:rPr>
          <w:rFonts w:ascii="宋体" w:hAnsi="宋体" w:eastAsia="宋体" w:cs="宋体"/>
          <w:color w:val="auto"/>
          <w:szCs w:val="24"/>
          <w:lang w:eastAsia="zh-CN"/>
        </w:rPr>
      </w:pPr>
      <w:bookmarkStart w:id="63" w:name="_Toc24708487"/>
    </w:p>
    <w:p w14:paraId="6F4C9EE4">
      <w:pPr>
        <w:pStyle w:val="47"/>
        <w:shd w:val="clear"/>
        <w:spacing w:line="400" w:lineRule="exact"/>
        <w:outlineLvl w:val="0"/>
        <w:rPr>
          <w:rFonts w:hint="eastAsia" w:ascii="宋体" w:hAnsi="宋体" w:eastAsia="宋体" w:cs="宋体"/>
          <w:b/>
          <w:color w:val="auto"/>
          <w:szCs w:val="24"/>
          <w:lang w:eastAsia="zh-CN"/>
        </w:rPr>
      </w:pPr>
      <w:bookmarkStart w:id="64" w:name="_Toc31080"/>
      <w:bookmarkStart w:id="65" w:name="_Toc5808"/>
      <w:r>
        <w:rPr>
          <w:rFonts w:hint="eastAsia" w:ascii="宋体" w:hAnsi="宋体" w:eastAsia="宋体" w:cs="宋体"/>
          <w:b/>
          <w:color w:val="auto"/>
          <w:szCs w:val="24"/>
          <w:lang w:eastAsia="zh-CN"/>
        </w:rPr>
        <w:t>附件格式</w:t>
      </w:r>
      <w:bookmarkEnd w:id="64"/>
      <w:bookmarkEnd w:id="65"/>
      <w:r>
        <w:rPr>
          <w:rFonts w:hint="eastAsia" w:ascii="宋体" w:hAnsi="宋体" w:eastAsia="宋体" w:cs="宋体"/>
          <w:b/>
          <w:color w:val="auto"/>
          <w:szCs w:val="24"/>
          <w:lang w:eastAsia="zh-CN"/>
        </w:rPr>
        <w:t xml:space="preserve">               </w:t>
      </w:r>
    </w:p>
    <w:p w14:paraId="35787ED5">
      <w:pPr>
        <w:pStyle w:val="47"/>
        <w:shd w:val="clear"/>
        <w:spacing w:line="400" w:lineRule="exact"/>
        <w:jc w:val="center"/>
        <w:outlineLvl w:val="0"/>
        <w:rPr>
          <w:rFonts w:ascii="宋体" w:hAnsi="宋体" w:eastAsia="宋体" w:cs="宋体"/>
          <w:color w:val="auto"/>
          <w:szCs w:val="24"/>
          <w:lang w:eastAsia="zh-CN"/>
        </w:rPr>
      </w:pPr>
      <w:bookmarkStart w:id="66" w:name="_Toc15525"/>
      <w:bookmarkStart w:id="67" w:name="_Toc29681"/>
      <w:r>
        <w:rPr>
          <w:rStyle w:val="46"/>
          <w:rFonts w:hint="eastAsia" w:ascii="宋体" w:hAnsi="宋体" w:eastAsia="宋体" w:cs="宋体"/>
          <w:color w:val="auto"/>
          <w:sz w:val="32"/>
          <w:lang w:eastAsia="zh-CN"/>
        </w:rPr>
        <w:t>利率报价一览表</w:t>
      </w:r>
      <w:bookmarkEnd w:id="63"/>
      <w:bookmarkEnd w:id="66"/>
      <w:bookmarkEnd w:id="67"/>
    </w:p>
    <w:p w14:paraId="6398EADE">
      <w:pPr>
        <w:pStyle w:val="47"/>
        <w:shd w:val="clear"/>
        <w:spacing w:line="400" w:lineRule="exact"/>
        <w:ind w:firstLine="3840" w:firstLineChars="1600"/>
        <w:outlineLvl w:val="9"/>
        <w:rPr>
          <w:rFonts w:ascii="宋体" w:hAnsi="宋体" w:eastAsia="宋体" w:cs="宋体"/>
          <w:color w:val="auto"/>
          <w:szCs w:val="24"/>
          <w:lang w:eastAsia="zh-CN"/>
        </w:rPr>
      </w:pP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491"/>
        <w:gridCol w:w="2034"/>
        <w:gridCol w:w="3206"/>
      </w:tblGrid>
      <w:tr w14:paraId="3C69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053" w:type="dxa"/>
            <w:vAlign w:val="center"/>
          </w:tcPr>
          <w:p w14:paraId="4B871180">
            <w:pPr>
              <w:pStyle w:val="47"/>
              <w:shd w:val="clear"/>
              <w:spacing w:line="400" w:lineRule="exact"/>
              <w:jc w:val="center"/>
              <w:rPr>
                <w:rFonts w:ascii="宋体" w:hAnsi="宋体" w:eastAsia="宋体" w:cs="宋体"/>
                <w:bCs/>
                <w:color w:val="auto"/>
                <w:szCs w:val="24"/>
              </w:rPr>
            </w:pPr>
            <w:r>
              <w:rPr>
                <w:rFonts w:hint="eastAsia" w:ascii="宋体" w:hAnsi="宋体" w:eastAsia="宋体" w:cs="宋体"/>
                <w:bCs/>
                <w:color w:val="auto"/>
                <w:szCs w:val="24"/>
              </w:rPr>
              <w:t>序号</w:t>
            </w:r>
          </w:p>
        </w:tc>
        <w:tc>
          <w:tcPr>
            <w:tcW w:w="2491" w:type="dxa"/>
            <w:vAlign w:val="center"/>
          </w:tcPr>
          <w:p w14:paraId="0B7889C5">
            <w:pPr>
              <w:pStyle w:val="47"/>
              <w:shd w:val="clear"/>
              <w:spacing w:line="400" w:lineRule="exact"/>
              <w:jc w:val="center"/>
              <w:rPr>
                <w:rFonts w:ascii="宋体" w:hAnsi="宋体" w:eastAsia="宋体" w:cs="宋体"/>
                <w:bCs/>
                <w:color w:val="auto"/>
                <w:szCs w:val="24"/>
                <w:lang w:eastAsia="zh-CN"/>
              </w:rPr>
            </w:pPr>
            <w:r>
              <w:rPr>
                <w:rFonts w:hint="eastAsia" w:ascii="宋体" w:hAnsi="宋体" w:eastAsia="宋体" w:cs="宋体"/>
                <w:bCs/>
                <w:color w:val="auto"/>
                <w:szCs w:val="24"/>
                <w:lang w:eastAsia="zh-CN"/>
              </w:rPr>
              <w:t>项目名称</w:t>
            </w:r>
          </w:p>
        </w:tc>
        <w:tc>
          <w:tcPr>
            <w:tcW w:w="2034" w:type="dxa"/>
            <w:vAlign w:val="center"/>
          </w:tcPr>
          <w:p w14:paraId="612862EF">
            <w:pPr>
              <w:pStyle w:val="47"/>
              <w:shd w:val="clear"/>
              <w:spacing w:line="400" w:lineRule="exact"/>
              <w:jc w:val="center"/>
              <w:rPr>
                <w:rFonts w:ascii="宋体" w:hAnsi="宋体" w:eastAsia="宋体" w:cs="宋体"/>
                <w:bCs/>
                <w:color w:val="auto"/>
                <w:szCs w:val="24"/>
                <w:lang w:eastAsia="zh-CN"/>
              </w:rPr>
            </w:pPr>
            <w:r>
              <w:rPr>
                <w:rFonts w:hint="eastAsia" w:ascii="宋体" w:hAnsi="宋体" w:eastAsia="宋体" w:cs="宋体"/>
                <w:bCs/>
                <w:color w:val="auto"/>
                <w:szCs w:val="24"/>
                <w:lang w:eastAsia="zh-CN"/>
              </w:rPr>
              <w:t>存款期限（年）</w:t>
            </w:r>
          </w:p>
        </w:tc>
        <w:tc>
          <w:tcPr>
            <w:tcW w:w="3206" w:type="dxa"/>
            <w:vAlign w:val="center"/>
          </w:tcPr>
          <w:p w14:paraId="443243F5">
            <w:pPr>
              <w:pStyle w:val="47"/>
              <w:shd w:val="clear"/>
              <w:spacing w:line="400" w:lineRule="exact"/>
              <w:jc w:val="center"/>
              <w:rPr>
                <w:rFonts w:ascii="宋体" w:hAnsi="宋体" w:eastAsia="宋体" w:cs="宋体"/>
                <w:bCs/>
                <w:color w:val="auto"/>
                <w:szCs w:val="24"/>
                <w:lang w:eastAsia="zh-CN"/>
              </w:rPr>
            </w:pPr>
            <w:r>
              <w:rPr>
                <w:rFonts w:hint="eastAsia" w:ascii="宋体" w:hAnsi="宋体" w:eastAsia="宋体" w:cs="宋体"/>
                <w:bCs/>
                <w:color w:val="auto"/>
                <w:szCs w:val="24"/>
                <w:lang w:eastAsia="zh-CN"/>
              </w:rPr>
              <w:t>基准利率上浮bp值</w:t>
            </w:r>
          </w:p>
          <w:p w14:paraId="2E62BB07">
            <w:pPr>
              <w:pStyle w:val="47"/>
              <w:shd w:val="clear"/>
              <w:spacing w:line="400" w:lineRule="exact"/>
              <w:jc w:val="center"/>
              <w:rPr>
                <w:rFonts w:ascii="宋体" w:hAnsi="宋体" w:eastAsia="宋体" w:cs="宋体"/>
                <w:bCs/>
                <w:color w:val="auto"/>
                <w:szCs w:val="24"/>
                <w:lang w:eastAsia="zh-CN"/>
              </w:rPr>
            </w:pPr>
            <w:r>
              <w:rPr>
                <w:rFonts w:hint="eastAsia" w:ascii="宋体" w:hAnsi="宋体" w:eastAsia="宋体" w:cs="宋体"/>
                <w:bCs/>
                <w:color w:val="auto"/>
                <w:szCs w:val="24"/>
                <w:lang w:eastAsia="zh-CN"/>
              </w:rPr>
              <w:t>（取整数）</w:t>
            </w:r>
          </w:p>
        </w:tc>
      </w:tr>
      <w:tr w14:paraId="0A9B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053" w:type="dxa"/>
            <w:vAlign w:val="center"/>
          </w:tcPr>
          <w:p w14:paraId="10220801">
            <w:pPr>
              <w:pStyle w:val="47"/>
              <w:shd w:val="clear"/>
              <w:spacing w:line="400" w:lineRule="exact"/>
              <w:jc w:val="center"/>
              <w:rPr>
                <w:rFonts w:hint="eastAsia" w:ascii="宋体" w:hAnsi="宋体" w:eastAsia="宋体" w:cs="宋体"/>
                <w:bCs/>
                <w:color w:val="auto"/>
                <w:szCs w:val="24"/>
              </w:rPr>
            </w:pPr>
            <w:r>
              <w:rPr>
                <w:rFonts w:hint="eastAsia" w:ascii="宋体" w:hAnsi="宋体" w:eastAsia="宋体" w:cs="宋体"/>
                <w:bCs/>
                <w:color w:val="auto"/>
                <w:szCs w:val="24"/>
              </w:rPr>
              <w:t>１</w:t>
            </w:r>
          </w:p>
        </w:tc>
        <w:tc>
          <w:tcPr>
            <w:tcW w:w="2491" w:type="dxa"/>
            <w:vAlign w:val="center"/>
          </w:tcPr>
          <w:p w14:paraId="6CE365C3">
            <w:pPr>
              <w:pStyle w:val="47"/>
              <w:shd w:val="clear"/>
              <w:spacing w:line="400" w:lineRule="exact"/>
              <w:jc w:val="center"/>
              <w:rPr>
                <w:rFonts w:hint="eastAsia" w:ascii="宋体" w:hAnsi="宋体" w:eastAsia="宋体" w:cs="宋体"/>
                <w:bCs/>
                <w:color w:val="auto"/>
                <w:szCs w:val="24"/>
                <w:lang w:eastAsia="zh-CN"/>
              </w:rPr>
            </w:pPr>
            <w:r>
              <w:rPr>
                <w:rFonts w:hint="eastAsia" w:ascii="宋体" w:hAnsi="宋体" w:eastAsia="宋体" w:cs="宋体"/>
                <w:color w:val="auto"/>
                <w:sz w:val="24"/>
                <w:szCs w:val="24"/>
                <w:lang w:val="en-US" w:eastAsia="zh-CN"/>
              </w:rPr>
              <w:t>龙游县慈善总会2025年资金竞争性存放采购项目</w:t>
            </w:r>
          </w:p>
        </w:tc>
        <w:tc>
          <w:tcPr>
            <w:tcW w:w="2034" w:type="dxa"/>
            <w:vAlign w:val="center"/>
          </w:tcPr>
          <w:p w14:paraId="4BF3ECA2">
            <w:pPr>
              <w:pStyle w:val="47"/>
              <w:shd w:val="clear"/>
              <w:spacing w:line="520" w:lineRule="exact"/>
              <w:jc w:val="center"/>
              <w:rPr>
                <w:rFonts w:hint="eastAsia" w:ascii="宋体" w:hAnsi="宋体" w:eastAsia="宋体" w:cs="宋体"/>
                <w:bCs/>
                <w:color w:val="auto"/>
                <w:szCs w:val="24"/>
                <w:lang w:eastAsia="zh-CN"/>
              </w:rPr>
            </w:pPr>
            <w:r>
              <w:rPr>
                <w:rFonts w:hint="eastAsia" w:ascii="宋体" w:hAnsi="宋体" w:eastAsia="宋体" w:cs="宋体"/>
                <w:bCs/>
                <w:color w:val="auto"/>
                <w:szCs w:val="24"/>
                <w:lang w:val="en-US" w:eastAsia="zh-CN"/>
              </w:rPr>
              <w:t>一</w:t>
            </w:r>
            <w:r>
              <w:rPr>
                <w:rFonts w:hint="eastAsia" w:ascii="宋体" w:hAnsi="宋体" w:eastAsia="宋体" w:cs="宋体"/>
                <w:bCs/>
                <w:color w:val="auto"/>
                <w:szCs w:val="24"/>
                <w:lang w:eastAsia="zh-CN"/>
              </w:rPr>
              <w:t>年</w:t>
            </w:r>
          </w:p>
        </w:tc>
        <w:tc>
          <w:tcPr>
            <w:tcW w:w="3206" w:type="dxa"/>
            <w:vAlign w:val="center"/>
          </w:tcPr>
          <w:p w14:paraId="0FF7141D">
            <w:pPr>
              <w:pStyle w:val="47"/>
              <w:shd w:val="clear"/>
              <w:spacing w:line="520" w:lineRule="exact"/>
              <w:jc w:val="center"/>
              <w:rPr>
                <w:rFonts w:hint="eastAsia" w:ascii="宋体" w:hAnsi="宋体" w:eastAsia="宋体" w:cs="宋体"/>
                <w:bCs/>
                <w:color w:val="auto"/>
                <w:szCs w:val="24"/>
                <w:lang w:eastAsia="zh-CN"/>
              </w:rPr>
            </w:pPr>
          </w:p>
        </w:tc>
      </w:tr>
    </w:tbl>
    <w:p w14:paraId="3FA3804C">
      <w:pPr>
        <w:pStyle w:val="47"/>
        <w:shd w:val="clear"/>
        <w:spacing w:line="400" w:lineRule="exact"/>
        <w:ind w:firstLine="482" w:firstLineChars="200"/>
        <w:outlineLvl w:val="0"/>
        <w:rPr>
          <w:rFonts w:ascii="宋体" w:hAnsi="宋体" w:eastAsia="宋体" w:cs="Times New Roman"/>
          <w:b/>
          <w:bCs/>
          <w:color w:val="auto"/>
          <w:kern w:val="2"/>
          <w:szCs w:val="24"/>
          <w:lang w:eastAsia="zh-CN"/>
        </w:rPr>
      </w:pPr>
      <w:bookmarkStart w:id="68" w:name="_Toc8286"/>
      <w:bookmarkStart w:id="69" w:name="_Toc13351"/>
      <w:r>
        <w:rPr>
          <w:rFonts w:hint="eastAsia" w:ascii="宋体" w:hAnsi="宋体" w:eastAsia="宋体" w:cs="Times New Roman"/>
          <w:b/>
          <w:bCs/>
          <w:color w:val="auto"/>
          <w:kern w:val="2"/>
          <w:szCs w:val="24"/>
          <w:lang w:eastAsia="zh-CN"/>
        </w:rPr>
        <w:t>注：本利率报价实行承诺制。</w:t>
      </w:r>
      <w:bookmarkEnd w:id="68"/>
      <w:bookmarkEnd w:id="69"/>
    </w:p>
    <w:p w14:paraId="5DCC615F">
      <w:pPr>
        <w:pStyle w:val="47"/>
        <w:shd w:val="clear"/>
        <w:spacing w:line="400" w:lineRule="exact"/>
        <w:ind w:firstLine="354" w:firstLineChars="147"/>
        <w:outlineLvl w:val="0"/>
        <w:rPr>
          <w:rFonts w:ascii="宋体" w:hAnsi="宋体" w:eastAsia="宋体" w:cs="Times New Roman"/>
          <w:b/>
          <w:bCs/>
          <w:color w:val="auto"/>
          <w:kern w:val="2"/>
          <w:szCs w:val="24"/>
          <w:lang w:eastAsia="zh-CN"/>
        </w:rPr>
      </w:pPr>
      <w:bookmarkStart w:id="70" w:name="_Toc1781"/>
      <w:bookmarkStart w:id="71" w:name="_Toc15018"/>
      <w:r>
        <w:rPr>
          <w:rFonts w:hint="eastAsia" w:ascii="宋体" w:hAnsi="宋体" w:eastAsia="宋体" w:cs="Times New Roman"/>
          <w:b/>
          <w:bCs/>
          <w:color w:val="auto"/>
          <w:kern w:val="2"/>
          <w:szCs w:val="24"/>
          <w:lang w:eastAsia="zh-CN"/>
        </w:rPr>
        <w:t>（1）资金存放利率按省级市场利率定价自律机制约定的浮动上限相关规定执行。如果竞标行无此类产品的，请勿填列。</w:t>
      </w:r>
      <w:bookmarkEnd w:id="70"/>
      <w:bookmarkEnd w:id="71"/>
    </w:p>
    <w:p w14:paraId="73B4E6F2">
      <w:pPr>
        <w:pStyle w:val="47"/>
        <w:shd w:val="clear"/>
        <w:spacing w:line="400" w:lineRule="exact"/>
        <w:ind w:firstLine="472" w:firstLineChars="196"/>
        <w:outlineLvl w:val="0"/>
        <w:rPr>
          <w:rFonts w:ascii="宋体" w:hAnsi="宋体" w:eastAsia="宋体" w:cs="Times New Roman"/>
          <w:b/>
          <w:bCs/>
          <w:color w:val="auto"/>
          <w:kern w:val="2"/>
          <w:szCs w:val="24"/>
          <w:lang w:eastAsia="zh-CN"/>
        </w:rPr>
      </w:pPr>
      <w:bookmarkStart w:id="72" w:name="_Toc16958"/>
      <w:bookmarkStart w:id="73" w:name="_Toc29177"/>
      <w:r>
        <w:rPr>
          <w:rFonts w:hint="eastAsia" w:ascii="宋体" w:hAnsi="宋体" w:eastAsia="宋体" w:cs="Times New Roman"/>
          <w:b/>
          <w:bCs/>
          <w:color w:val="auto"/>
          <w:kern w:val="2"/>
          <w:szCs w:val="24"/>
          <w:lang w:eastAsia="zh-CN"/>
        </w:rPr>
        <w:t>（2）本次招标结果履行期间，如遇央行调整基准利率或省市场利率定价自律机制调整的，则竞标</w:t>
      </w:r>
      <w:r>
        <w:rPr>
          <w:rFonts w:hint="eastAsia" w:ascii="宋体" w:hAnsi="宋体" w:eastAsia="宋体" w:cs="Times New Roman"/>
          <w:b/>
          <w:bCs/>
          <w:color w:val="auto"/>
          <w:kern w:val="2"/>
          <w:szCs w:val="24"/>
          <w:lang w:val="en-US" w:eastAsia="zh-CN"/>
        </w:rPr>
        <w:t>银行</w:t>
      </w:r>
      <w:r>
        <w:rPr>
          <w:rFonts w:hint="eastAsia" w:ascii="宋体" w:hAnsi="宋体" w:eastAsia="宋体" w:cs="Times New Roman"/>
          <w:b/>
          <w:bCs/>
          <w:color w:val="auto"/>
          <w:kern w:val="2"/>
          <w:szCs w:val="24"/>
          <w:lang w:eastAsia="zh-CN"/>
        </w:rPr>
        <w:t>同意按签订存放协议时的利率政策上限执行。</w:t>
      </w:r>
      <w:bookmarkEnd w:id="72"/>
      <w:bookmarkEnd w:id="73"/>
    </w:p>
    <w:p w14:paraId="73CEFC8D">
      <w:pPr>
        <w:pStyle w:val="47"/>
        <w:shd w:val="clear"/>
        <w:spacing w:line="400" w:lineRule="exact"/>
        <w:ind w:firstLine="3840" w:firstLineChars="1600"/>
        <w:outlineLvl w:val="9"/>
        <w:rPr>
          <w:rFonts w:ascii="宋体" w:hAnsi="宋体" w:eastAsia="宋体" w:cs="宋体"/>
          <w:color w:val="auto"/>
          <w:szCs w:val="24"/>
          <w:u w:val="single"/>
          <w:lang w:eastAsia="zh-CN"/>
        </w:rPr>
      </w:pPr>
    </w:p>
    <w:p w14:paraId="3C23D452">
      <w:pPr>
        <w:pStyle w:val="47"/>
        <w:shd w:val="clear"/>
        <w:spacing w:line="400" w:lineRule="exact"/>
        <w:ind w:firstLine="2891" w:firstLineChars="1200"/>
        <w:outlineLvl w:val="9"/>
        <w:rPr>
          <w:rFonts w:ascii="宋体" w:hAnsi="宋体" w:eastAsia="宋体" w:cs="宋体"/>
          <w:b/>
          <w:bCs/>
          <w:color w:val="auto"/>
          <w:kern w:val="2"/>
          <w:szCs w:val="24"/>
          <w:lang w:eastAsia="zh-CN"/>
        </w:rPr>
      </w:pPr>
    </w:p>
    <w:p w14:paraId="6200E1E2">
      <w:pPr>
        <w:pStyle w:val="47"/>
        <w:shd w:val="clear"/>
        <w:spacing w:line="400" w:lineRule="exact"/>
        <w:ind w:firstLine="2891" w:firstLineChars="1200"/>
        <w:outlineLvl w:val="9"/>
        <w:rPr>
          <w:rFonts w:ascii="宋体" w:hAnsi="宋体" w:eastAsia="宋体" w:cs="宋体"/>
          <w:b/>
          <w:bCs/>
          <w:color w:val="auto"/>
          <w:szCs w:val="24"/>
          <w:lang w:eastAsia="zh-CN"/>
        </w:rPr>
      </w:pPr>
    </w:p>
    <w:p w14:paraId="1443BCE9">
      <w:pPr>
        <w:pStyle w:val="47"/>
        <w:shd w:val="clear"/>
        <w:spacing w:line="400" w:lineRule="exact"/>
        <w:ind w:firstLine="2891" w:firstLineChars="1200"/>
        <w:outlineLvl w:val="9"/>
        <w:rPr>
          <w:rFonts w:ascii="宋体" w:hAnsi="宋体" w:eastAsia="宋体" w:cs="宋体"/>
          <w:b/>
          <w:bCs/>
          <w:color w:val="auto"/>
          <w:szCs w:val="24"/>
          <w:lang w:eastAsia="zh-CN"/>
        </w:rPr>
      </w:pPr>
    </w:p>
    <w:p w14:paraId="57258C6D">
      <w:pPr>
        <w:pStyle w:val="47"/>
        <w:shd w:val="clear"/>
        <w:spacing w:line="400" w:lineRule="exact"/>
        <w:ind w:firstLine="2891" w:firstLineChars="1200"/>
        <w:outlineLvl w:val="9"/>
        <w:rPr>
          <w:rFonts w:ascii="宋体" w:hAnsi="宋体" w:eastAsia="宋体" w:cs="宋体"/>
          <w:b/>
          <w:bCs/>
          <w:color w:val="auto"/>
          <w:szCs w:val="24"/>
          <w:lang w:eastAsia="zh-CN"/>
        </w:rPr>
      </w:pPr>
    </w:p>
    <w:p w14:paraId="6F762423">
      <w:pPr>
        <w:pStyle w:val="47"/>
        <w:shd w:val="clear"/>
        <w:spacing w:line="400" w:lineRule="exact"/>
        <w:ind w:firstLine="2891" w:firstLineChars="1200"/>
        <w:outlineLvl w:val="9"/>
        <w:rPr>
          <w:rFonts w:ascii="宋体" w:hAnsi="宋体" w:eastAsia="宋体" w:cs="宋体"/>
          <w:b/>
          <w:bCs/>
          <w:color w:val="auto"/>
          <w:szCs w:val="24"/>
          <w:lang w:eastAsia="zh-CN"/>
        </w:rPr>
      </w:pPr>
    </w:p>
    <w:p w14:paraId="67F12F45">
      <w:pPr>
        <w:pStyle w:val="47"/>
        <w:shd w:val="clear"/>
        <w:spacing w:line="400" w:lineRule="exact"/>
        <w:ind w:firstLine="3720" w:firstLineChars="1550"/>
        <w:jc w:val="both"/>
        <w:rPr>
          <w:rFonts w:ascii="宋体" w:hAnsi="宋体" w:eastAsia="宋体" w:cs="宋体"/>
          <w:color w:val="auto"/>
          <w:szCs w:val="24"/>
          <w:lang w:eastAsia="zh-CN"/>
        </w:rPr>
      </w:pPr>
      <w:r>
        <w:rPr>
          <w:rFonts w:hint="eastAsia" w:ascii="宋体" w:hAnsi="宋体" w:eastAsia="宋体" w:cs="宋体"/>
          <w:color w:val="auto"/>
          <w:szCs w:val="24"/>
          <w:lang w:eastAsia="zh-CN"/>
        </w:rPr>
        <w:t xml:space="preserve">单位名称（盖章）            </w:t>
      </w:r>
    </w:p>
    <w:p w14:paraId="2F8E267B">
      <w:pPr>
        <w:pStyle w:val="47"/>
        <w:shd w:val="clear"/>
        <w:spacing w:line="400" w:lineRule="exact"/>
        <w:ind w:firstLine="2520" w:firstLineChars="1050"/>
        <w:jc w:val="both"/>
        <w:rPr>
          <w:rFonts w:ascii="宋体" w:hAnsi="宋体" w:eastAsia="宋体" w:cs="宋体"/>
          <w:color w:val="auto"/>
          <w:szCs w:val="24"/>
          <w:lang w:eastAsia="zh-CN"/>
        </w:rPr>
      </w:pPr>
    </w:p>
    <w:p w14:paraId="3278A6E7">
      <w:pPr>
        <w:pStyle w:val="47"/>
        <w:shd w:val="clear"/>
        <w:spacing w:line="400" w:lineRule="exact"/>
        <w:ind w:firstLine="3720" w:firstLineChars="1550"/>
        <w:jc w:val="both"/>
        <w:rPr>
          <w:rFonts w:ascii="宋体" w:hAnsi="宋体" w:eastAsia="宋体" w:cs="宋体"/>
          <w:color w:val="auto"/>
          <w:szCs w:val="24"/>
          <w:lang w:eastAsia="zh-CN"/>
        </w:rPr>
      </w:pPr>
      <w:r>
        <w:rPr>
          <w:rFonts w:hint="eastAsia" w:ascii="宋体" w:hAnsi="宋体" w:eastAsia="宋体" w:cs="宋体"/>
          <w:color w:val="auto"/>
          <w:szCs w:val="24"/>
          <w:lang w:eastAsia="zh-CN"/>
        </w:rPr>
        <w:t>法定代表人（或负责人）（签字）：</w:t>
      </w:r>
    </w:p>
    <w:p w14:paraId="35907C7A">
      <w:pPr>
        <w:shd w:val="clear"/>
        <w:spacing w:line="520" w:lineRule="exact"/>
        <w:rPr>
          <w:rFonts w:ascii="宋体" w:hAnsi="宋体" w:eastAsia="宋体" w:cs="宋体"/>
          <w:color w:val="auto"/>
          <w:kern w:val="0"/>
          <w:sz w:val="24"/>
          <w:szCs w:val="24"/>
        </w:rPr>
      </w:pPr>
    </w:p>
    <w:p w14:paraId="28505BD9">
      <w:pPr>
        <w:shd w:val="clear"/>
        <w:spacing w:line="520" w:lineRule="exact"/>
        <w:ind w:firstLine="3960" w:firstLineChars="1650"/>
        <w:rPr>
          <w:rFonts w:ascii="宋体" w:hAnsi="宋体" w:eastAsia="宋体" w:cs="宋体"/>
          <w:color w:val="auto"/>
          <w:kern w:val="0"/>
          <w:sz w:val="24"/>
          <w:szCs w:val="24"/>
        </w:rPr>
      </w:pPr>
      <w:r>
        <w:rPr>
          <w:rFonts w:hint="eastAsia" w:ascii="宋体" w:hAnsi="宋体" w:eastAsia="宋体" w:cs="宋体"/>
          <w:color w:val="auto"/>
          <w:kern w:val="0"/>
          <w:sz w:val="24"/>
          <w:szCs w:val="24"/>
        </w:rPr>
        <w:t>年    月    日</w:t>
      </w:r>
    </w:p>
    <w:p w14:paraId="3AABE2EC">
      <w:pPr>
        <w:pStyle w:val="47"/>
        <w:shd w:val="clear"/>
        <w:spacing w:line="400" w:lineRule="exact"/>
        <w:ind w:firstLine="2891" w:firstLineChars="1200"/>
        <w:outlineLvl w:val="9"/>
        <w:rPr>
          <w:rFonts w:ascii="宋体" w:hAnsi="宋体" w:eastAsia="宋体" w:cs="宋体"/>
          <w:b/>
          <w:bCs/>
          <w:color w:val="auto"/>
          <w:szCs w:val="24"/>
          <w:lang w:eastAsia="zh-CN"/>
        </w:rPr>
      </w:pPr>
    </w:p>
    <w:p w14:paraId="67466B39">
      <w:pPr>
        <w:pStyle w:val="47"/>
        <w:shd w:val="clear"/>
        <w:spacing w:line="400" w:lineRule="exact"/>
        <w:ind w:firstLine="2891" w:firstLineChars="1200"/>
        <w:outlineLvl w:val="9"/>
        <w:rPr>
          <w:rFonts w:ascii="宋体" w:hAnsi="宋体" w:eastAsia="宋体" w:cs="宋体"/>
          <w:b/>
          <w:bCs/>
          <w:color w:val="auto"/>
          <w:szCs w:val="24"/>
          <w:lang w:eastAsia="zh-CN"/>
        </w:rPr>
      </w:pPr>
    </w:p>
    <w:p w14:paraId="0471CA0C">
      <w:pPr>
        <w:shd w:val="clear"/>
        <w:rPr>
          <w:rFonts w:ascii="宋体" w:hAnsi="宋体" w:eastAsia="宋体" w:cs="宋体"/>
          <w:b/>
          <w:bCs/>
          <w:color w:val="auto"/>
          <w:kern w:val="0"/>
          <w:sz w:val="24"/>
          <w:szCs w:val="24"/>
        </w:rPr>
      </w:pPr>
    </w:p>
    <w:p w14:paraId="60A99ECF">
      <w:pPr>
        <w:shd w:val="clear"/>
        <w:rPr>
          <w:rFonts w:ascii="宋体" w:hAnsi="宋体" w:eastAsia="宋体" w:cs="宋体"/>
          <w:b/>
          <w:bCs/>
          <w:color w:val="auto"/>
          <w:kern w:val="0"/>
          <w:sz w:val="24"/>
          <w:szCs w:val="24"/>
        </w:rPr>
      </w:pPr>
    </w:p>
    <w:p w14:paraId="621AB552">
      <w:pPr>
        <w:shd w:val="clear"/>
        <w:rPr>
          <w:rFonts w:ascii="宋体" w:hAnsi="宋体" w:eastAsia="宋体" w:cs="宋体"/>
          <w:b/>
          <w:color w:val="auto"/>
          <w:sz w:val="24"/>
          <w:szCs w:val="24"/>
        </w:rPr>
      </w:pPr>
    </w:p>
    <w:p w14:paraId="3447FB58">
      <w:pPr>
        <w:shd w:val="clear"/>
        <w:rPr>
          <w:rFonts w:ascii="宋体" w:hAnsi="宋体" w:eastAsia="宋体" w:cs="宋体"/>
          <w:b/>
          <w:color w:val="auto"/>
          <w:sz w:val="24"/>
          <w:szCs w:val="24"/>
        </w:rPr>
      </w:pPr>
    </w:p>
    <w:p w14:paraId="48C0E42C">
      <w:pPr>
        <w:shd w:val="clear"/>
        <w:rPr>
          <w:rFonts w:hint="eastAsia" w:ascii="宋体" w:hAnsi="宋体" w:eastAsia="宋体" w:cs="宋体"/>
          <w:b/>
          <w:color w:val="auto"/>
          <w:sz w:val="24"/>
          <w:szCs w:val="24"/>
        </w:rPr>
      </w:pPr>
    </w:p>
    <w:p w14:paraId="1C8AD26A">
      <w:pPr>
        <w:pStyle w:val="4"/>
        <w:outlineLvl w:val="9"/>
        <w:rPr>
          <w:rFonts w:hint="eastAsia"/>
        </w:rPr>
      </w:pPr>
    </w:p>
    <w:p w14:paraId="35AEF5C0">
      <w:pPr>
        <w:shd w:val="clear"/>
        <w:rPr>
          <w:rFonts w:hint="eastAsia" w:ascii="宋体" w:hAnsi="宋体" w:eastAsia="宋体" w:cs="宋体"/>
          <w:b/>
          <w:color w:val="auto"/>
          <w:sz w:val="24"/>
          <w:szCs w:val="24"/>
        </w:rPr>
      </w:pPr>
    </w:p>
    <w:p w14:paraId="1B984D22">
      <w:pPr>
        <w:shd w:val="clear"/>
        <w:rPr>
          <w:rFonts w:hint="eastAsia" w:ascii="宋体" w:hAnsi="宋体" w:eastAsia="宋体" w:cs="宋体"/>
          <w:b/>
          <w:color w:val="auto"/>
          <w:sz w:val="24"/>
          <w:szCs w:val="24"/>
        </w:rPr>
      </w:pPr>
    </w:p>
    <w:p w14:paraId="088D52BE">
      <w:pPr>
        <w:shd w:val="clear"/>
        <w:rPr>
          <w:rStyle w:val="46"/>
          <w:rFonts w:hint="eastAsia" w:ascii="宋体" w:hAnsi="宋体" w:eastAsia="宋体" w:cs="宋体"/>
          <w:color w:val="auto"/>
          <w:sz w:val="32"/>
          <w:lang w:val="en-US" w:eastAsia="zh-CN"/>
        </w:rPr>
      </w:pPr>
      <w:r>
        <w:rPr>
          <w:rFonts w:hint="eastAsia" w:ascii="宋体" w:hAnsi="宋体" w:eastAsia="宋体" w:cs="宋体"/>
          <w:b/>
          <w:color w:val="auto"/>
          <w:sz w:val="24"/>
          <w:szCs w:val="24"/>
        </w:rPr>
        <w:t xml:space="preserve">附件格式     </w:t>
      </w:r>
      <w:r>
        <w:rPr>
          <w:rFonts w:hint="eastAsia" w:ascii="宋体" w:hAnsi="宋体" w:eastAsia="宋体" w:cs="Times New Roman"/>
          <w:b/>
          <w:bCs/>
          <w:color w:val="auto"/>
          <w:kern w:val="2"/>
          <w:sz w:val="24"/>
          <w:szCs w:val="24"/>
          <w:lang w:val="en-US" w:eastAsia="zh-CN" w:bidi="ar-SA"/>
        </w:rPr>
        <w:t xml:space="preserve"> </w:t>
      </w:r>
      <w:r>
        <w:rPr>
          <w:rStyle w:val="46"/>
          <w:rFonts w:hint="eastAsia" w:ascii="宋体" w:hAnsi="宋体" w:eastAsia="宋体" w:cs="宋体"/>
          <w:color w:val="auto"/>
          <w:sz w:val="32"/>
          <w:lang w:val="en-US" w:eastAsia="zh-CN"/>
        </w:rPr>
        <w:t xml:space="preserve"> </w:t>
      </w:r>
    </w:p>
    <w:p w14:paraId="44FDF2A0">
      <w:pPr>
        <w:shd w:val="clear"/>
        <w:jc w:val="center"/>
        <w:rPr>
          <w:rStyle w:val="46"/>
          <w:rFonts w:hint="eastAsia" w:ascii="宋体" w:hAnsi="宋体" w:eastAsia="宋体" w:cs="宋体"/>
          <w:color w:val="auto"/>
          <w:sz w:val="32"/>
          <w:lang w:val="en-US" w:eastAsia="zh-CN"/>
        </w:rPr>
      </w:pPr>
      <w:r>
        <w:rPr>
          <w:rStyle w:val="46"/>
          <w:rFonts w:hint="eastAsia" w:ascii="宋体" w:hAnsi="宋体" w:eastAsia="宋体" w:cs="宋体"/>
          <w:color w:val="auto"/>
          <w:sz w:val="32"/>
          <w:lang w:val="en-US" w:eastAsia="zh-CN"/>
        </w:rPr>
        <w:t>廉政承诺书（签订合同前填写，不需要上传）</w:t>
      </w:r>
    </w:p>
    <w:p w14:paraId="3B6E6EB5">
      <w:pPr>
        <w:shd w:val="clear"/>
        <w:spacing w:line="500" w:lineRule="exact"/>
        <w:rPr>
          <w:rFonts w:ascii="宋体" w:hAnsi="宋体" w:eastAsia="宋体" w:cs="宋体"/>
          <w:color w:val="auto"/>
          <w:sz w:val="24"/>
          <w:szCs w:val="24"/>
          <w:u w:val="single"/>
        </w:rPr>
      </w:pPr>
    </w:p>
    <w:p w14:paraId="4D82DF91">
      <w:pPr>
        <w:shd w:val="clea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single"/>
          <w:lang w:eastAsia="zh-CN"/>
        </w:rPr>
        <w:t>龙游县慈善总会</w:t>
      </w:r>
      <w:r>
        <w:rPr>
          <w:rFonts w:hint="eastAsia" w:ascii="宋体" w:hAnsi="宋体" w:eastAsia="宋体" w:cs="宋体"/>
          <w:color w:val="auto"/>
          <w:sz w:val="24"/>
          <w:szCs w:val="24"/>
        </w:rPr>
        <w:t>：</w:t>
      </w:r>
    </w:p>
    <w:p w14:paraId="06F03D97">
      <w:pPr>
        <w:shd w:val="clea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财政部关于进一步加强财政部门和预算单位资金存放管理的指导意见》（财库〔2017〕76号）、《关于防止领导干部在公款存放方面发生利益冲突和利益输送的办法》（县委办[2015]33号）相关规定，现就本行参加贵单位</w:t>
      </w:r>
      <w:r>
        <w:rPr>
          <w:rFonts w:hint="eastAsia" w:ascii="宋体" w:hAnsi="宋体" w:eastAsia="宋体" w:cs="宋体"/>
          <w:color w:val="auto"/>
          <w:sz w:val="24"/>
          <w:szCs w:val="24"/>
          <w:lang w:eastAsia="zh-CN"/>
        </w:rPr>
        <w:t>龙游县慈善总会2025年资金竞争性存放采购项目</w:t>
      </w:r>
      <w:r>
        <w:rPr>
          <w:rFonts w:hint="eastAsia" w:ascii="宋体" w:hAnsi="宋体" w:eastAsia="宋体" w:cs="宋体"/>
          <w:color w:val="auto"/>
          <w:sz w:val="24"/>
          <w:szCs w:val="24"/>
        </w:rPr>
        <w:t>做出如下承诺：</w:t>
      </w:r>
    </w:p>
    <w:p w14:paraId="4B219874">
      <w:pPr>
        <w:shd w:val="clear"/>
        <w:spacing w:line="500" w:lineRule="exact"/>
        <w:ind w:firstLine="480" w:firstLineChars="200"/>
        <w:outlineLvl w:val="1"/>
        <w:rPr>
          <w:rFonts w:ascii="宋体" w:hAnsi="宋体" w:eastAsia="宋体" w:cs="宋体"/>
          <w:color w:val="auto"/>
          <w:sz w:val="24"/>
          <w:szCs w:val="24"/>
        </w:rPr>
      </w:pPr>
      <w:bookmarkStart w:id="74" w:name="_Toc5687"/>
      <w:r>
        <w:rPr>
          <w:rFonts w:hint="eastAsia" w:ascii="宋体" w:hAnsi="宋体" w:eastAsia="宋体" w:cs="宋体"/>
          <w:color w:val="auto"/>
          <w:sz w:val="24"/>
          <w:szCs w:val="24"/>
        </w:rPr>
        <w:t>1.不向贵单位负责公款存放管理的领导及相关人员进行利益输送；</w:t>
      </w:r>
      <w:bookmarkEnd w:id="74"/>
    </w:p>
    <w:p w14:paraId="3EE56D79">
      <w:pPr>
        <w:shd w:val="clea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2.不将公款存放与贵单位负责公款存放管理的领导及相关人员在本行的配偶、子女及其配偶和其他直接利益相关人员的业绩、收入、晋升等利益挂钩；</w:t>
      </w:r>
    </w:p>
    <w:p w14:paraId="021F65DB">
      <w:pPr>
        <w:shd w:val="clea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3.严格执行利益回避制度，贵单位负责资金竞争性存放相关人员的配偶、子女及其配偶和其他直接利益相关人员为本行工作人员的，不参与资金竞争性存放工作；</w:t>
      </w:r>
    </w:p>
    <w:p w14:paraId="23790FAD">
      <w:pPr>
        <w:shd w:val="clear"/>
        <w:spacing w:line="500" w:lineRule="exact"/>
        <w:outlineLvl w:val="1"/>
        <w:rPr>
          <w:rFonts w:ascii="宋体" w:hAnsi="宋体" w:eastAsia="宋体" w:cs="宋体"/>
          <w:color w:val="auto"/>
          <w:sz w:val="24"/>
          <w:szCs w:val="24"/>
        </w:rPr>
      </w:pPr>
      <w:r>
        <w:rPr>
          <w:rFonts w:hint="eastAsia" w:ascii="宋体" w:hAnsi="宋体" w:eastAsia="宋体" w:cs="宋体"/>
          <w:color w:val="auto"/>
          <w:sz w:val="24"/>
          <w:szCs w:val="24"/>
        </w:rPr>
        <w:t xml:space="preserve">    </w:t>
      </w:r>
      <w:bookmarkStart w:id="75" w:name="_Toc26107"/>
      <w:r>
        <w:rPr>
          <w:rFonts w:hint="eastAsia" w:ascii="宋体" w:hAnsi="宋体" w:eastAsia="宋体" w:cs="宋体"/>
          <w:color w:val="auto"/>
          <w:sz w:val="24"/>
          <w:szCs w:val="24"/>
        </w:rPr>
        <w:t>4.不发生除上述行为之外的其他任何利益输送行为。</w:t>
      </w:r>
      <w:bookmarkEnd w:id="75"/>
    </w:p>
    <w:p w14:paraId="7F532B49">
      <w:pPr>
        <w:shd w:val="clear"/>
        <w:spacing w:line="500" w:lineRule="exact"/>
        <w:rPr>
          <w:rFonts w:ascii="宋体" w:hAnsi="宋体" w:eastAsia="宋体" w:cs="宋体"/>
          <w:color w:val="auto"/>
          <w:sz w:val="24"/>
          <w:szCs w:val="24"/>
        </w:rPr>
      </w:pPr>
      <w:r>
        <w:rPr>
          <w:rFonts w:hint="eastAsia" w:ascii="宋体" w:hAnsi="宋体" w:eastAsia="宋体" w:cs="宋体"/>
          <w:color w:val="auto"/>
          <w:sz w:val="24"/>
          <w:szCs w:val="24"/>
        </w:rPr>
        <w:t>未遵守以上承诺的，本行自愿接受财政部门通报和处理，承担相应的一切后果。</w:t>
      </w:r>
    </w:p>
    <w:p w14:paraId="28FB4AA5">
      <w:pPr>
        <w:shd w:val="clear"/>
        <w:rPr>
          <w:rFonts w:ascii="宋体" w:hAnsi="宋体" w:eastAsia="宋体" w:cs="宋体"/>
          <w:color w:val="auto"/>
          <w:sz w:val="24"/>
          <w:szCs w:val="24"/>
        </w:rPr>
      </w:pPr>
    </w:p>
    <w:p w14:paraId="28E2EFA4">
      <w:pPr>
        <w:shd w:val="clear"/>
        <w:ind w:firstLine="4200" w:firstLineChars="1750"/>
        <w:rPr>
          <w:rFonts w:ascii="宋体" w:hAnsi="宋体" w:eastAsia="宋体" w:cs="宋体"/>
          <w:color w:val="auto"/>
          <w:sz w:val="24"/>
          <w:szCs w:val="24"/>
        </w:rPr>
      </w:pPr>
      <w:r>
        <w:rPr>
          <w:rFonts w:hint="eastAsia" w:ascii="宋体" w:hAnsi="宋体" w:eastAsia="宋体" w:cs="宋体"/>
          <w:color w:val="auto"/>
          <w:sz w:val="24"/>
          <w:szCs w:val="24"/>
        </w:rPr>
        <w:t>银行（公章）</w:t>
      </w:r>
    </w:p>
    <w:p w14:paraId="0BEEDFED">
      <w:pPr>
        <w:shd w:val="clear"/>
        <w:ind w:firstLine="4200" w:firstLineChars="1750"/>
        <w:rPr>
          <w:rFonts w:ascii="宋体" w:hAnsi="宋体" w:eastAsia="宋体" w:cs="宋体"/>
          <w:color w:val="auto"/>
          <w:sz w:val="24"/>
          <w:szCs w:val="24"/>
        </w:rPr>
      </w:pP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   月   日</w:t>
      </w:r>
    </w:p>
    <w:p w14:paraId="370E3BC3">
      <w:pPr>
        <w:pStyle w:val="43"/>
        <w:shd w:val="clear"/>
        <w:spacing w:line="540" w:lineRule="exact"/>
        <w:ind w:firstLine="0" w:firstLineChars="0"/>
        <w:jc w:val="center"/>
        <w:rPr>
          <w:rStyle w:val="46"/>
          <w:rFonts w:eastAsia="宋体" w:cs="宋体"/>
          <w:color w:val="auto"/>
          <w:szCs w:val="24"/>
        </w:rPr>
      </w:pPr>
    </w:p>
    <w:p w14:paraId="2BD3FEC4">
      <w:pPr>
        <w:pStyle w:val="43"/>
        <w:shd w:val="clear"/>
        <w:spacing w:line="540" w:lineRule="exact"/>
        <w:ind w:firstLine="0" w:firstLineChars="0"/>
        <w:jc w:val="center"/>
        <w:rPr>
          <w:rStyle w:val="46"/>
          <w:rFonts w:eastAsia="宋体" w:cs="宋体"/>
          <w:color w:val="auto"/>
          <w:szCs w:val="24"/>
        </w:rPr>
      </w:pPr>
    </w:p>
    <w:p w14:paraId="2B80F91A">
      <w:pPr>
        <w:pStyle w:val="43"/>
        <w:shd w:val="clear"/>
        <w:spacing w:line="540" w:lineRule="exact"/>
        <w:ind w:firstLine="0" w:firstLineChars="0"/>
        <w:rPr>
          <w:rFonts w:ascii="宋体" w:cs="宋体"/>
          <w:b/>
          <w:color w:val="auto"/>
          <w:sz w:val="24"/>
          <w:szCs w:val="24"/>
        </w:rPr>
      </w:pPr>
    </w:p>
    <w:p w14:paraId="3CE53A71">
      <w:pPr>
        <w:pStyle w:val="43"/>
        <w:shd w:val="clear"/>
        <w:spacing w:line="540" w:lineRule="exact"/>
        <w:ind w:firstLine="0" w:firstLineChars="0"/>
        <w:rPr>
          <w:rFonts w:ascii="宋体" w:cs="宋体"/>
          <w:b/>
          <w:color w:val="auto"/>
          <w:sz w:val="24"/>
          <w:szCs w:val="24"/>
        </w:rPr>
      </w:pPr>
    </w:p>
    <w:p w14:paraId="0CA3AB22">
      <w:pPr>
        <w:pStyle w:val="43"/>
        <w:shd w:val="clear"/>
        <w:spacing w:line="540" w:lineRule="exact"/>
        <w:ind w:firstLine="0" w:firstLineChars="0"/>
        <w:rPr>
          <w:rFonts w:ascii="宋体" w:cs="宋体"/>
          <w:b/>
          <w:color w:val="auto"/>
          <w:sz w:val="24"/>
          <w:szCs w:val="24"/>
        </w:rPr>
      </w:pPr>
    </w:p>
    <w:p w14:paraId="2EF10C74">
      <w:pPr>
        <w:pStyle w:val="43"/>
        <w:shd w:val="clear"/>
        <w:spacing w:line="540" w:lineRule="exact"/>
        <w:ind w:firstLine="0" w:firstLineChars="0"/>
        <w:rPr>
          <w:rFonts w:ascii="宋体" w:cs="宋体"/>
          <w:b/>
          <w:color w:val="auto"/>
          <w:sz w:val="24"/>
          <w:szCs w:val="24"/>
        </w:rPr>
      </w:pPr>
    </w:p>
    <w:p w14:paraId="026BAABB">
      <w:pPr>
        <w:pStyle w:val="43"/>
        <w:shd w:val="clear"/>
        <w:spacing w:line="540" w:lineRule="exact"/>
        <w:ind w:firstLine="0" w:firstLineChars="0"/>
        <w:rPr>
          <w:rFonts w:ascii="宋体" w:cs="宋体"/>
          <w:b/>
          <w:color w:val="auto"/>
          <w:sz w:val="24"/>
          <w:szCs w:val="24"/>
        </w:rPr>
      </w:pPr>
    </w:p>
    <w:p w14:paraId="3BA16E7E">
      <w:pPr>
        <w:pStyle w:val="43"/>
        <w:shd w:val="clear"/>
        <w:spacing w:line="540" w:lineRule="exact"/>
        <w:ind w:firstLine="0" w:firstLineChars="0"/>
        <w:rPr>
          <w:rFonts w:hint="eastAsia" w:ascii="宋体" w:cs="宋体"/>
          <w:b/>
          <w:color w:val="auto"/>
          <w:sz w:val="24"/>
          <w:szCs w:val="24"/>
        </w:rPr>
      </w:pPr>
    </w:p>
    <w:p w14:paraId="181D5E89">
      <w:pPr>
        <w:pStyle w:val="43"/>
        <w:shd w:val="clear"/>
        <w:spacing w:line="540" w:lineRule="exact"/>
        <w:ind w:firstLine="0" w:firstLineChars="0"/>
        <w:rPr>
          <w:rFonts w:hint="eastAsia" w:ascii="宋体" w:cs="宋体"/>
          <w:b/>
          <w:color w:val="auto"/>
          <w:sz w:val="24"/>
          <w:szCs w:val="24"/>
        </w:rPr>
      </w:pPr>
    </w:p>
    <w:p w14:paraId="07C06F4C">
      <w:pPr>
        <w:pStyle w:val="43"/>
        <w:shd w:val="clear"/>
        <w:spacing w:line="540" w:lineRule="exact"/>
        <w:ind w:firstLine="0" w:firstLineChars="0"/>
        <w:rPr>
          <w:rFonts w:hint="eastAsia" w:ascii="宋体" w:cs="宋体"/>
          <w:b/>
          <w:color w:val="auto"/>
          <w:sz w:val="24"/>
          <w:szCs w:val="24"/>
        </w:rPr>
      </w:pPr>
    </w:p>
    <w:p w14:paraId="0E4BA454">
      <w:pPr>
        <w:pStyle w:val="43"/>
        <w:shd w:val="clear"/>
        <w:spacing w:line="540" w:lineRule="exact"/>
        <w:ind w:firstLine="0" w:firstLineChars="0"/>
        <w:rPr>
          <w:rFonts w:hint="eastAsia" w:ascii="宋体" w:cs="宋体"/>
          <w:b/>
          <w:color w:val="auto"/>
          <w:sz w:val="24"/>
          <w:szCs w:val="24"/>
        </w:rPr>
      </w:pPr>
      <w:r>
        <w:rPr>
          <w:rFonts w:hint="eastAsia" w:ascii="宋体" w:cs="宋体"/>
          <w:b/>
          <w:color w:val="auto"/>
          <w:sz w:val="24"/>
          <w:szCs w:val="24"/>
        </w:rPr>
        <w:t xml:space="preserve">附件格式    </w:t>
      </w:r>
    </w:p>
    <w:p w14:paraId="297B792D">
      <w:pPr>
        <w:pStyle w:val="43"/>
        <w:shd w:val="clear"/>
        <w:spacing w:line="540" w:lineRule="exact"/>
        <w:ind w:firstLine="0" w:firstLineChars="0"/>
        <w:jc w:val="center"/>
        <w:outlineLvl w:val="0"/>
        <w:rPr>
          <w:rStyle w:val="46"/>
          <w:rFonts w:eastAsia="宋体" w:cs="宋体"/>
          <w:color w:val="auto"/>
          <w:szCs w:val="24"/>
        </w:rPr>
      </w:pPr>
      <w:bookmarkStart w:id="76" w:name="_Toc15377"/>
      <w:bookmarkStart w:id="77" w:name="_Toc19109"/>
      <w:r>
        <w:rPr>
          <w:rStyle w:val="46"/>
          <w:rFonts w:hint="eastAsia" w:ascii="宋体" w:hAnsi="宋体" w:eastAsia="宋体" w:cs="宋体"/>
          <w:color w:val="auto"/>
          <w:sz w:val="32"/>
        </w:rPr>
        <w:t>资金安全担保函（签订合同前填写，不需要上传）</w:t>
      </w:r>
      <w:bookmarkEnd w:id="76"/>
      <w:bookmarkEnd w:id="77"/>
    </w:p>
    <w:p w14:paraId="1152C041">
      <w:pPr>
        <w:shd w:val="clear"/>
        <w:jc w:val="center"/>
        <w:rPr>
          <w:rFonts w:ascii="宋体" w:hAnsi="宋体" w:eastAsia="宋体" w:cs="宋体"/>
          <w:b/>
          <w:color w:val="auto"/>
          <w:sz w:val="24"/>
          <w:szCs w:val="24"/>
        </w:rPr>
      </w:pPr>
    </w:p>
    <w:p w14:paraId="7F0F99AC">
      <w:pPr>
        <w:shd w:val="clea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龙游县慈善总会</w:t>
      </w:r>
      <w:r>
        <w:rPr>
          <w:rFonts w:hint="eastAsia" w:ascii="宋体" w:hAnsi="宋体" w:eastAsia="宋体" w:cs="宋体"/>
          <w:color w:val="auto"/>
          <w:sz w:val="24"/>
          <w:szCs w:val="24"/>
        </w:rPr>
        <w:t>：</w:t>
      </w:r>
    </w:p>
    <w:p w14:paraId="4D4827C5">
      <w:pPr>
        <w:shd w:val="clea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我行承诺，对划入我行龙游县分支机构的</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年度竞争性存放资金及原有的定期存款资金提供安全担保，并承诺与龙游县支行共同承担存放资金到期兑付本息的责任。担保时间从资金划转到我行账户时生效，资金划出我行账户后失效。</w:t>
      </w:r>
    </w:p>
    <w:p w14:paraId="2E887B99">
      <w:pPr>
        <w:shd w:val="clear"/>
        <w:ind w:firstLine="570"/>
        <w:rPr>
          <w:rFonts w:ascii="宋体" w:hAnsi="宋体" w:eastAsia="宋体" w:cs="宋体"/>
          <w:color w:val="auto"/>
          <w:sz w:val="24"/>
          <w:szCs w:val="24"/>
        </w:rPr>
      </w:pPr>
    </w:p>
    <w:p w14:paraId="343CBF0A">
      <w:pPr>
        <w:shd w:val="clear"/>
        <w:ind w:firstLine="570"/>
        <w:rPr>
          <w:rFonts w:ascii="宋体" w:hAnsi="宋体" w:eastAsia="宋体" w:cs="宋体"/>
          <w:color w:val="auto"/>
          <w:sz w:val="24"/>
          <w:szCs w:val="24"/>
        </w:rPr>
      </w:pPr>
    </w:p>
    <w:p w14:paraId="44C1B79F">
      <w:pPr>
        <w:shd w:val="clear"/>
        <w:spacing w:line="800" w:lineRule="exact"/>
        <w:ind w:firstLine="3364" w:firstLineChars="1402"/>
        <w:rPr>
          <w:rFonts w:ascii="宋体" w:hAnsi="宋体" w:eastAsia="宋体" w:cs="宋体"/>
          <w:color w:val="auto"/>
          <w:sz w:val="24"/>
          <w:szCs w:val="24"/>
        </w:rPr>
      </w:pPr>
      <w:r>
        <w:rPr>
          <w:rFonts w:hint="eastAsia" w:ascii="宋体" w:hAnsi="宋体" w:eastAsia="宋体" w:cs="宋体"/>
          <w:color w:val="auto"/>
          <w:sz w:val="24"/>
          <w:szCs w:val="24"/>
        </w:rPr>
        <w:t>担保单位 （盖章）</w:t>
      </w:r>
    </w:p>
    <w:p w14:paraId="45892D02">
      <w:pPr>
        <w:shd w:val="clear"/>
        <w:spacing w:line="800" w:lineRule="exact"/>
        <w:ind w:firstLine="3364" w:firstLineChars="1402"/>
        <w:rPr>
          <w:rFonts w:ascii="宋体" w:hAnsi="宋体" w:eastAsia="宋体" w:cs="宋体"/>
          <w:color w:val="auto"/>
          <w:sz w:val="24"/>
          <w:szCs w:val="24"/>
        </w:rPr>
      </w:pPr>
      <w:r>
        <w:rPr>
          <w:rFonts w:hint="eastAsia" w:ascii="宋体" w:hAnsi="宋体" w:eastAsia="宋体" w:cs="宋体"/>
          <w:color w:val="auto"/>
          <w:sz w:val="24"/>
          <w:szCs w:val="24"/>
        </w:rPr>
        <w:t xml:space="preserve">法人代表（负责人）： </w:t>
      </w:r>
    </w:p>
    <w:p w14:paraId="448965A8">
      <w:pPr>
        <w:shd w:val="clear"/>
        <w:spacing w:line="800" w:lineRule="exact"/>
        <w:ind w:firstLine="3360" w:firstLineChars="1400"/>
        <w:rPr>
          <w:rFonts w:ascii="宋体" w:hAnsi="宋体" w:eastAsia="宋体" w:cs="宋体"/>
          <w:color w:val="auto"/>
          <w:sz w:val="24"/>
          <w:szCs w:val="24"/>
        </w:rPr>
      </w:pPr>
      <w:r>
        <w:rPr>
          <w:rFonts w:hint="eastAsia" w:ascii="宋体" w:hAnsi="宋体" w:eastAsia="宋体" w:cs="宋体"/>
          <w:color w:val="auto"/>
          <w:sz w:val="24"/>
          <w:szCs w:val="24"/>
        </w:rPr>
        <w:t>承诺时间：</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   月   日</w:t>
      </w:r>
    </w:p>
    <w:p w14:paraId="4B7FA17A">
      <w:pPr>
        <w:shd w:val="clear"/>
        <w:adjustRightInd w:val="0"/>
        <w:snapToGrid w:val="0"/>
        <w:spacing w:line="360" w:lineRule="auto"/>
        <w:jc w:val="center"/>
        <w:rPr>
          <w:rFonts w:ascii="宋体" w:hAnsi="宋体" w:eastAsia="宋体" w:cs="宋体"/>
          <w:b/>
          <w:bCs/>
          <w:color w:val="auto"/>
          <w:sz w:val="24"/>
          <w:szCs w:val="24"/>
        </w:rPr>
      </w:pPr>
    </w:p>
    <w:p w14:paraId="06346E1A">
      <w:pPr>
        <w:shd w:val="clear"/>
        <w:adjustRightInd w:val="0"/>
        <w:snapToGrid w:val="0"/>
        <w:spacing w:line="360" w:lineRule="auto"/>
        <w:jc w:val="center"/>
        <w:rPr>
          <w:rFonts w:ascii="宋体" w:hAnsi="宋体" w:eastAsia="宋体" w:cs="宋体"/>
          <w:b/>
          <w:bCs/>
          <w:color w:val="auto"/>
          <w:sz w:val="24"/>
          <w:szCs w:val="24"/>
        </w:rPr>
      </w:pPr>
    </w:p>
    <w:p w14:paraId="454B6025">
      <w:pPr>
        <w:shd w:val="clear"/>
        <w:adjustRightInd w:val="0"/>
        <w:snapToGrid w:val="0"/>
        <w:spacing w:line="360" w:lineRule="auto"/>
        <w:jc w:val="center"/>
        <w:rPr>
          <w:rFonts w:ascii="宋体" w:hAnsi="宋体" w:eastAsia="宋体" w:cs="宋体"/>
          <w:b/>
          <w:bCs/>
          <w:color w:val="auto"/>
          <w:sz w:val="24"/>
          <w:szCs w:val="24"/>
        </w:rPr>
      </w:pPr>
    </w:p>
    <w:p w14:paraId="7A404A08">
      <w:pPr>
        <w:shd w:val="clear"/>
        <w:adjustRightInd w:val="0"/>
        <w:snapToGrid w:val="0"/>
        <w:spacing w:line="360" w:lineRule="auto"/>
        <w:jc w:val="center"/>
        <w:rPr>
          <w:rFonts w:ascii="宋体" w:hAnsi="宋体" w:eastAsia="宋体" w:cs="宋体"/>
          <w:b/>
          <w:bCs/>
          <w:color w:val="auto"/>
          <w:sz w:val="32"/>
          <w:szCs w:val="32"/>
        </w:rPr>
      </w:pPr>
    </w:p>
    <w:p w14:paraId="5C77AC7E">
      <w:pPr>
        <w:shd w:val="clear"/>
        <w:adjustRightInd w:val="0"/>
        <w:snapToGrid w:val="0"/>
        <w:spacing w:line="360" w:lineRule="auto"/>
        <w:jc w:val="center"/>
        <w:rPr>
          <w:rFonts w:ascii="宋体" w:hAnsi="宋体" w:eastAsia="宋体" w:cs="宋体"/>
          <w:b/>
          <w:bCs/>
          <w:color w:val="auto"/>
          <w:sz w:val="32"/>
          <w:szCs w:val="32"/>
        </w:rPr>
      </w:pPr>
    </w:p>
    <w:p w14:paraId="2E0797D7">
      <w:pPr>
        <w:shd w:val="clear"/>
        <w:adjustRightInd w:val="0"/>
        <w:snapToGrid w:val="0"/>
        <w:spacing w:line="360" w:lineRule="auto"/>
        <w:jc w:val="center"/>
        <w:rPr>
          <w:rFonts w:ascii="宋体" w:hAnsi="宋体" w:eastAsia="宋体" w:cs="宋体"/>
          <w:b/>
          <w:bCs/>
          <w:color w:val="auto"/>
          <w:sz w:val="32"/>
          <w:szCs w:val="32"/>
        </w:rPr>
      </w:pPr>
    </w:p>
    <w:p w14:paraId="60B651CA">
      <w:pPr>
        <w:shd w:val="clear"/>
        <w:adjustRightInd w:val="0"/>
        <w:snapToGrid w:val="0"/>
        <w:jc w:val="center"/>
        <w:outlineLvl w:val="0"/>
        <w:rPr>
          <w:rFonts w:ascii="宋体" w:hAnsi="宋体" w:eastAsia="宋体" w:cs="宋体"/>
          <w:color w:val="auto"/>
          <w:szCs w:val="21"/>
        </w:rPr>
      </w:pPr>
      <w:r>
        <w:rPr>
          <w:rFonts w:hint="eastAsia" w:ascii="宋体" w:hAnsi="宋体" w:eastAsia="宋体"/>
          <w:color w:val="auto"/>
          <w:spacing w:val="20"/>
          <w:kern w:val="52"/>
          <w:szCs w:val="21"/>
        </w:rPr>
        <w:br w:type="page"/>
      </w:r>
      <w:bookmarkStart w:id="78" w:name="_Toc20807"/>
      <w:bookmarkStart w:id="79" w:name="_Toc12379"/>
      <w:r>
        <w:rPr>
          <w:rFonts w:hint="eastAsia" w:ascii="宋体" w:hAnsi="宋体" w:eastAsia="宋体" w:cs="宋体"/>
          <w:b/>
          <w:bCs/>
          <w:color w:val="auto"/>
          <w:sz w:val="32"/>
          <w:szCs w:val="32"/>
        </w:rPr>
        <w:t>第六章  评标办法及开标程序</w:t>
      </w:r>
      <w:bookmarkEnd w:id="78"/>
      <w:bookmarkEnd w:id="79"/>
    </w:p>
    <w:p w14:paraId="594CEB87">
      <w:pPr>
        <w:shd w:val="clear"/>
        <w:adjustRightInd w:val="0"/>
        <w:snapToGrid w:val="0"/>
        <w:spacing w:line="312" w:lineRule="auto"/>
        <w:ind w:firstLine="480" w:firstLineChars="200"/>
        <w:rPr>
          <w:rFonts w:ascii="宋体" w:hAnsi="宋体" w:eastAsia="宋体"/>
          <w:color w:val="auto"/>
          <w:sz w:val="24"/>
          <w:szCs w:val="24"/>
        </w:rPr>
      </w:pPr>
    </w:p>
    <w:p w14:paraId="5E811D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lang w:val="zh-CN"/>
        </w:rPr>
      </w:pPr>
      <w:bookmarkStart w:id="80" w:name="_Toc23501"/>
      <w:bookmarkStart w:id="81" w:name="_Toc24708493"/>
      <w:bookmarkStart w:id="82" w:name="_Toc15293"/>
      <w:r>
        <w:rPr>
          <w:rFonts w:hint="eastAsia" w:ascii="宋体" w:hAnsi="宋体" w:eastAsia="宋体" w:cs="宋体"/>
          <w:color w:val="000000"/>
          <w:sz w:val="24"/>
          <w:szCs w:val="24"/>
          <w:lang w:val="zh-CN"/>
        </w:rPr>
        <w:t>一、评标委员会的组成</w:t>
      </w:r>
      <w:bookmarkEnd w:id="80"/>
      <w:bookmarkEnd w:id="81"/>
    </w:p>
    <w:p w14:paraId="3E2B95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1.评标委员会由5人组成。</w:t>
      </w:r>
    </w:p>
    <w:p w14:paraId="62F8111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2.询标期间，如不作出回复，则事后不得对招标过程及结果提出异议。</w:t>
      </w:r>
    </w:p>
    <w:p w14:paraId="641A76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bookmarkStart w:id="83" w:name="_Toc15539"/>
      <w:r>
        <w:rPr>
          <w:rFonts w:hint="eastAsia" w:ascii="宋体" w:hAnsi="宋体" w:eastAsia="宋体" w:cs="宋体"/>
          <w:color w:val="000000"/>
          <w:sz w:val="24"/>
          <w:szCs w:val="24"/>
        </w:rPr>
        <w:t>二</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评标原则及中标金额分配</w:t>
      </w:r>
      <w:bookmarkEnd w:id="83"/>
    </w:p>
    <w:p w14:paraId="3324A6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本项目评标总分值100分。竞标银行综合得分为评标委员会各成员所评分的算术平均值，按综合得分从高到低顺序排列（四舍五入保留2位小数）取</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家中标单位，如竞标银行最终得分相同时，依次按竞标银行利率水平得分、经营状况指标得分、经济贡献度指标综合得分、服务水平指标综合得分的高低确定名次。如出现中标家数不足时，则未分配完资金按中标单位中标金额比例分配。如有效投标人少于三家则作流标处理。</w:t>
      </w:r>
    </w:p>
    <w:p w14:paraId="733040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取</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家中标单位，根据得分从高到低存放额度分配如下表：</w:t>
      </w:r>
    </w:p>
    <w:tbl>
      <w:tblPr>
        <w:tblStyle w:val="16"/>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6980"/>
      </w:tblGrid>
      <w:tr w14:paraId="47D4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16" w:type="pct"/>
            <w:noWrap w:val="0"/>
            <w:vAlign w:val="center"/>
          </w:tcPr>
          <w:p w14:paraId="5B8174A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名次</w:t>
            </w:r>
          </w:p>
        </w:tc>
        <w:tc>
          <w:tcPr>
            <w:tcW w:w="3783" w:type="pct"/>
            <w:noWrap w:val="0"/>
            <w:vAlign w:val="center"/>
          </w:tcPr>
          <w:p w14:paraId="0B1C548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中标金额（万元）</w:t>
            </w:r>
          </w:p>
        </w:tc>
      </w:tr>
      <w:tr w14:paraId="5377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216" w:type="pct"/>
            <w:noWrap w:val="0"/>
            <w:vAlign w:val="center"/>
          </w:tcPr>
          <w:p w14:paraId="5E02B34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783" w:type="pct"/>
            <w:noWrap w:val="0"/>
            <w:vAlign w:val="center"/>
          </w:tcPr>
          <w:p w14:paraId="072AD92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600</w:t>
            </w:r>
          </w:p>
        </w:tc>
      </w:tr>
      <w:tr w14:paraId="186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6" w:type="pct"/>
            <w:noWrap w:val="0"/>
            <w:vAlign w:val="center"/>
          </w:tcPr>
          <w:p w14:paraId="0449962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3783" w:type="pct"/>
            <w:noWrap w:val="0"/>
            <w:vAlign w:val="center"/>
          </w:tcPr>
          <w:p w14:paraId="73EDD9D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600</w:t>
            </w:r>
          </w:p>
        </w:tc>
      </w:tr>
      <w:bookmarkEnd w:id="82"/>
    </w:tbl>
    <w:p w14:paraId="49709D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、其他</w:t>
      </w:r>
    </w:p>
    <w:p w14:paraId="594E0B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有下列情形之一的，采购人有权提前收回中标银行的存放资金：</w:t>
      </w:r>
    </w:p>
    <w:p w14:paraId="204C0DB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（一）中标银行在资金存放期间出现资金安全事故、重大违法违规行为或财务状况恶化的；</w:t>
      </w:r>
    </w:p>
    <w:p w14:paraId="77FE7EF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（二）监管评级降低且监管部门认为存在较大运营风险的；</w:t>
      </w:r>
    </w:p>
    <w:p w14:paraId="0D84A9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（三）进行不正当投标的；</w:t>
      </w:r>
    </w:p>
    <w:p w14:paraId="7F5945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（四）中标银行解散或其机构（分支机构）撤离龙游县的；</w:t>
      </w:r>
    </w:p>
    <w:p w14:paraId="3244A2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（五）没有按照中标协议承诺履行相应的责任和义务的；</w:t>
      </w:r>
    </w:p>
    <w:p w14:paraId="15EEEF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（六）到期或提前支取存在拖延兑付等其他妨害资金安全行为</w:t>
      </w:r>
      <w:r>
        <w:rPr>
          <w:rFonts w:hint="eastAsia" w:ascii="宋体" w:hAnsi="宋体" w:eastAsia="宋体" w:cs="宋体"/>
          <w:color w:val="000000"/>
          <w:sz w:val="24"/>
          <w:szCs w:val="24"/>
          <w:lang w:eastAsia="zh-CN"/>
        </w:rPr>
        <w:t>；</w:t>
      </w:r>
    </w:p>
    <w:p w14:paraId="5A428F5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）中标银行拒绝履行标书中的承诺事项</w:t>
      </w:r>
      <w:r>
        <w:rPr>
          <w:rFonts w:hint="eastAsia" w:ascii="宋体" w:hAnsi="宋体" w:eastAsia="宋体" w:cs="宋体"/>
          <w:color w:val="000000"/>
          <w:sz w:val="24"/>
          <w:szCs w:val="24"/>
          <w:lang w:eastAsia="zh-CN"/>
        </w:rPr>
        <w:t>。</w:t>
      </w:r>
    </w:p>
    <w:p w14:paraId="49D4C6C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别提示。定期存款综合收益于存款到期日结算。定期存款综合收益以定期存款协议书载明的年利率计算。招标人可提前支取全部或部分定期存款，中标银行应积极配合办理。提前支取的部分如另有约定的，按约定执行；无约定的按《人民币单位存款管理办法》相关规定计息。未支取部分仍需按协议约定计算收益。</w:t>
      </w:r>
    </w:p>
    <w:p w14:paraId="659ACCC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本方案由</w:t>
      </w:r>
      <w:r>
        <w:rPr>
          <w:rFonts w:hint="eastAsia" w:ascii="宋体" w:hAnsi="宋体" w:eastAsia="宋体" w:cs="宋体"/>
          <w:color w:val="000000"/>
          <w:sz w:val="24"/>
          <w:szCs w:val="24"/>
          <w:lang w:eastAsia="zh-CN"/>
        </w:rPr>
        <w:t>龙游县慈善总会</w:t>
      </w:r>
      <w:r>
        <w:rPr>
          <w:rFonts w:hint="eastAsia" w:ascii="宋体" w:hAnsi="宋体" w:eastAsia="宋体" w:cs="宋体"/>
          <w:color w:val="000000"/>
          <w:sz w:val="24"/>
          <w:szCs w:val="24"/>
        </w:rPr>
        <w:t>负责解释。</w:t>
      </w:r>
      <w:bookmarkStart w:id="84" w:name="_Toc24708496"/>
    </w:p>
    <w:p w14:paraId="73E8B5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rPr>
      </w:pPr>
      <w:bookmarkStart w:id="85" w:name="_Toc14109"/>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w:t>
      </w:r>
      <w:bookmarkEnd w:id="84"/>
      <w:r>
        <w:rPr>
          <w:rFonts w:hint="eastAsia" w:ascii="宋体" w:hAnsi="宋体" w:eastAsia="宋体" w:cs="宋体"/>
          <w:color w:val="000000"/>
          <w:sz w:val="24"/>
          <w:szCs w:val="24"/>
        </w:rPr>
        <w:t>指标设置与评分办法</w:t>
      </w:r>
      <w:bookmarkEnd w:id="85"/>
    </w:p>
    <w:tbl>
      <w:tblPr>
        <w:tblStyle w:val="16"/>
        <w:tblW w:w="10275"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25"/>
        <w:gridCol w:w="1560"/>
        <w:gridCol w:w="960"/>
        <w:gridCol w:w="3980"/>
        <w:gridCol w:w="1915"/>
      </w:tblGrid>
      <w:tr w14:paraId="34D6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trPr>
        <w:tc>
          <w:tcPr>
            <w:tcW w:w="1035" w:type="dxa"/>
            <w:tcBorders>
              <w:top w:val="single" w:color="auto" w:sz="4" w:space="0"/>
              <w:left w:val="single" w:color="auto" w:sz="4" w:space="0"/>
              <w:bottom w:val="single" w:color="auto" w:sz="4" w:space="0"/>
              <w:right w:val="single" w:color="auto" w:sz="4" w:space="0"/>
            </w:tcBorders>
            <w:noWrap w:val="0"/>
            <w:vAlign w:val="center"/>
          </w:tcPr>
          <w:p w14:paraId="0D16EF53">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rPr>
            </w:pPr>
            <w:bookmarkStart w:id="86" w:name="_Toc630"/>
            <w:r>
              <w:rPr>
                <w:rFonts w:hint="eastAsia" w:ascii="宋体" w:hAnsi="宋体" w:eastAsia="宋体" w:cs="宋体"/>
                <w:color w:val="auto"/>
                <w:sz w:val="24"/>
                <w:szCs w:val="24"/>
                <w:highlight w:val="none"/>
              </w:rPr>
              <w:t>序号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F10EEB1">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7258E66">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C63BD14">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明细分</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4D3D298B">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加减分值</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7855AB91">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考评办法</w:t>
            </w:r>
          </w:p>
        </w:tc>
      </w:tr>
      <w:tr w14:paraId="0C5F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noWrap w:val="0"/>
            <w:vAlign w:val="center"/>
          </w:tcPr>
          <w:p w14:paraId="79FF2619">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一、</w:t>
            </w:r>
            <w:r>
              <w:rPr>
                <w:rFonts w:hint="eastAsia" w:ascii="宋体" w:hAnsi="宋体" w:eastAsia="宋体" w:cs="宋体"/>
                <w:color w:val="auto"/>
                <w:sz w:val="24"/>
                <w:szCs w:val="24"/>
                <w:highlight w:val="none"/>
                <w:lang w:val="en-US" w:eastAsia="zh-CN"/>
              </w:rPr>
              <w:t>利率水平</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D8A689A">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1</w:t>
            </w:r>
            <w:r>
              <w:rPr>
                <w:rFonts w:hint="eastAsia" w:eastAsia="宋体" w:cs="宋体"/>
                <w:color w:val="auto"/>
                <w:sz w:val="24"/>
                <w:szCs w:val="24"/>
                <w:highlight w:val="none"/>
                <w:lang w:val="en-US" w:eastAsia="zh-CN"/>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D556622">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存款年收益利率</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EB1A3D4">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1</w:t>
            </w:r>
            <w:r>
              <w:rPr>
                <w:rFonts w:hint="eastAsia" w:eastAsia="宋体" w:cs="宋体"/>
                <w:color w:val="auto"/>
                <w:sz w:val="24"/>
                <w:szCs w:val="24"/>
                <w:highlight w:val="none"/>
                <w:lang w:val="en-US" w:eastAsia="zh-CN"/>
              </w:rPr>
              <w:t>5</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10E098E3">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利率报价达到浙江省市场利率定价自律机制规定的该竞标银行所属银行类别同期限上限的，得1</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分，未达到本行自律机制上限的不得分</w:t>
            </w:r>
            <w:r>
              <w:rPr>
                <w:rFonts w:hint="eastAsia" w:ascii="宋体" w:hAnsi="宋体" w:eastAsia="宋体" w:cs="宋体"/>
                <w:color w:val="auto"/>
                <w:sz w:val="24"/>
                <w:szCs w:val="24"/>
                <w:highlight w:val="none"/>
                <w:lang w:eastAsia="zh-CN"/>
              </w:rPr>
              <w:t>。</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7BD8DB9D">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评委现场评分。参照省级市场利率定价自律机制和投标人报价评分。</w:t>
            </w:r>
          </w:p>
        </w:tc>
      </w:tr>
      <w:tr w14:paraId="3D2A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035" w:type="dxa"/>
            <w:vMerge w:val="restart"/>
            <w:tcBorders>
              <w:top w:val="single" w:color="auto" w:sz="4" w:space="0"/>
              <w:left w:val="single" w:color="auto" w:sz="4" w:space="0"/>
              <w:right w:val="single" w:color="auto" w:sz="4" w:space="0"/>
            </w:tcBorders>
            <w:noWrap w:val="0"/>
            <w:vAlign w:val="center"/>
          </w:tcPr>
          <w:p w14:paraId="2F8EC2E6">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二、经营状况</w:t>
            </w:r>
          </w:p>
        </w:tc>
        <w:tc>
          <w:tcPr>
            <w:tcW w:w="825" w:type="dxa"/>
            <w:vMerge w:val="restart"/>
            <w:tcBorders>
              <w:top w:val="single" w:color="auto" w:sz="4" w:space="0"/>
              <w:left w:val="single" w:color="auto" w:sz="4" w:space="0"/>
              <w:right w:val="single" w:color="auto" w:sz="4" w:space="0"/>
            </w:tcBorders>
            <w:noWrap w:val="0"/>
            <w:vAlign w:val="center"/>
          </w:tcPr>
          <w:p w14:paraId="2D6A0C76">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30</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63C01D1">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1.贷款余额</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9E78530">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48672573">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季末</w:t>
            </w:r>
            <w:r>
              <w:rPr>
                <w:rFonts w:hint="eastAsia" w:ascii="宋体" w:hAnsi="宋体" w:eastAsia="宋体" w:cs="宋体"/>
                <w:color w:val="auto"/>
                <w:sz w:val="24"/>
                <w:szCs w:val="24"/>
                <w:highlight w:val="none"/>
                <w:lang w:eastAsia="zh-CN"/>
              </w:rPr>
              <w:t>贷款余额按所有符合竞价资格的银行排名从高到低排序，最高的得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分。第二名高的减1分，按此递减，减记至零，数值一致的分值相同。</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55D2DEA4">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根据 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季末市人行统计数据评分。</w:t>
            </w:r>
          </w:p>
        </w:tc>
      </w:tr>
      <w:tr w14:paraId="26BE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035" w:type="dxa"/>
            <w:vMerge w:val="continue"/>
            <w:tcBorders>
              <w:left w:val="single" w:color="auto" w:sz="4" w:space="0"/>
              <w:right w:val="single" w:color="auto" w:sz="4" w:space="0"/>
            </w:tcBorders>
            <w:noWrap w:val="0"/>
            <w:vAlign w:val="center"/>
          </w:tcPr>
          <w:p w14:paraId="37330E49">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rPr>
            </w:pPr>
          </w:p>
        </w:tc>
        <w:tc>
          <w:tcPr>
            <w:tcW w:w="825" w:type="dxa"/>
            <w:vMerge w:val="continue"/>
            <w:tcBorders>
              <w:left w:val="single" w:color="auto" w:sz="4" w:space="0"/>
              <w:right w:val="single" w:color="auto" w:sz="4" w:space="0"/>
            </w:tcBorders>
            <w:noWrap w:val="0"/>
            <w:vAlign w:val="center"/>
          </w:tcPr>
          <w:p w14:paraId="40BC6E35">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399AFF7">
            <w:pPr>
              <w:keepNext w:val="0"/>
              <w:keepLines w:val="0"/>
              <w:widowControl/>
              <w:suppressLineNumbers w:val="0"/>
              <w:adjustRightInd w:val="0"/>
              <w:snapToGrid w:val="0"/>
              <w:spacing w:before="0" w:beforeAutospacing="0" w:after="0" w:afterAutospacing="0" w:line="260" w:lineRule="exact"/>
              <w:ind w:left="-53" w:leftChars="-25" w:right="-53" w:rightChars="-25"/>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
              </w:rPr>
              <w:t>2.</w:t>
            </w:r>
            <w:r>
              <w:rPr>
                <w:rFonts w:hint="eastAsia" w:ascii="宋体" w:hAnsi="宋体" w:eastAsia="宋体" w:cs="宋体"/>
                <w:color w:val="auto"/>
                <w:kern w:val="2"/>
                <w:sz w:val="24"/>
                <w:szCs w:val="24"/>
                <w:highlight w:val="none"/>
                <w:lang w:val="en-US" w:eastAsia="zh-CN" w:bidi="ar"/>
              </w:rPr>
              <w:t>存贷规模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FC7E16D">
            <w:pPr>
              <w:keepNext w:val="0"/>
              <w:keepLines w:val="0"/>
              <w:widowControl/>
              <w:suppressLineNumbers w:val="0"/>
              <w:adjustRightInd w:val="0"/>
              <w:snapToGrid w:val="0"/>
              <w:spacing w:before="0" w:beforeAutospacing="0" w:after="0" w:afterAutospacing="0" w:line="260" w:lineRule="exact"/>
              <w:ind w:left="-53" w:leftChars="-25" w:right="-53" w:rightChars="-25"/>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10</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71D0FBA4">
            <w:pPr>
              <w:keepNext w:val="0"/>
              <w:keepLines w:val="0"/>
              <w:widowControl w:val="0"/>
              <w:suppressLineNumbers w:val="0"/>
              <w:adjustRightInd w:val="0"/>
              <w:snapToGrid w:val="0"/>
              <w:spacing w:before="0" w:beforeAutospacing="0" w:after="0" w:afterAutospacing="0" w:line="280" w:lineRule="exact"/>
              <w:ind w:left="-53" w:leftChars="-25" w:right="-53" w:rightChars="-25"/>
              <w:jc w:val="both"/>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 xml:space="preserve">  </w:t>
            </w:r>
          </w:p>
          <w:p w14:paraId="3EC90754">
            <w:pPr>
              <w:keepNext w:val="0"/>
              <w:keepLines w:val="0"/>
              <w:widowControl w:val="0"/>
              <w:suppressLineNumbers w:val="0"/>
              <w:adjustRightInd w:val="0"/>
              <w:snapToGrid w:val="0"/>
              <w:spacing w:before="0" w:beforeAutospacing="0" w:after="0" w:afterAutospacing="0" w:line="280" w:lineRule="exact"/>
              <w:ind w:left="-53" w:leftChars="-25" w:right="-53" w:rightChars="-25"/>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bidi="ar"/>
              </w:rPr>
              <w:t>存贷规模</w:t>
            </w:r>
            <w:r>
              <w:rPr>
                <w:rFonts w:hint="eastAsia" w:ascii="宋体" w:hAnsi="宋体" w:eastAsia="宋体" w:cs="宋体"/>
                <w:color w:val="auto"/>
                <w:sz w:val="24"/>
                <w:szCs w:val="24"/>
                <w:highlight w:val="none"/>
              </w:rPr>
              <w:t>按所有符合竞价资格的银行排名</w:t>
            </w:r>
            <w:r>
              <w:rPr>
                <w:rFonts w:hint="eastAsia" w:ascii="宋体" w:hAnsi="宋体" w:eastAsia="宋体" w:cs="宋体"/>
                <w:color w:val="auto"/>
                <w:sz w:val="24"/>
                <w:szCs w:val="24"/>
                <w:highlight w:val="none"/>
                <w:lang w:eastAsia="zh-CN"/>
              </w:rPr>
              <w:t>从高到低排序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
              </w:rPr>
              <w:t>最高的得10分。依次递减</w:t>
            </w:r>
            <w:r>
              <w:rPr>
                <w:rFonts w:hint="eastAsia" w:ascii="宋体" w:hAnsi="宋体" w:eastAsia="宋体" w:cs="宋体"/>
                <w:color w:val="auto"/>
                <w:kern w:val="2"/>
                <w:sz w:val="24"/>
                <w:szCs w:val="24"/>
                <w:highlight w:val="none"/>
                <w:lang w:eastAsia="zh-CN" w:bidi="ar"/>
              </w:rPr>
              <w:t>1</w:t>
            </w:r>
            <w:r>
              <w:rPr>
                <w:rFonts w:hint="eastAsia" w:ascii="宋体" w:hAnsi="宋体" w:eastAsia="宋体" w:cs="宋体"/>
                <w:color w:val="auto"/>
                <w:kern w:val="2"/>
                <w:sz w:val="24"/>
                <w:szCs w:val="24"/>
                <w:highlight w:val="none"/>
                <w:lang w:val="en-US" w:eastAsia="zh-CN" w:bidi="ar"/>
              </w:rPr>
              <w:t>分，减至零值为止。无业务不计分。</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014340E2">
            <w:pPr>
              <w:keepNext w:val="0"/>
              <w:keepLines w:val="0"/>
              <w:widowControl w:val="0"/>
              <w:suppressLineNumbers w:val="0"/>
              <w:adjustRightInd w:val="0"/>
              <w:snapToGrid w:val="0"/>
              <w:spacing w:before="0" w:beforeAutospacing="0" w:after="0" w:afterAutospacing="0" w:line="260" w:lineRule="exact"/>
              <w:ind w:left="-53" w:leftChars="-25" w:right="-53" w:rightChars="-25"/>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
              </w:rPr>
              <w:t>根据2024年4季末市人行统计县金融机构数据评分。</w:t>
            </w:r>
          </w:p>
        </w:tc>
      </w:tr>
      <w:tr w14:paraId="660B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35" w:type="dxa"/>
            <w:vMerge w:val="continue"/>
            <w:tcBorders>
              <w:left w:val="single" w:color="auto" w:sz="4" w:space="0"/>
              <w:bottom w:val="single" w:color="auto" w:sz="4" w:space="0"/>
              <w:right w:val="single" w:color="auto" w:sz="4" w:space="0"/>
            </w:tcBorders>
            <w:noWrap w:val="0"/>
            <w:vAlign w:val="center"/>
          </w:tcPr>
          <w:p w14:paraId="4B39EB78">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rPr>
            </w:pPr>
          </w:p>
        </w:tc>
        <w:tc>
          <w:tcPr>
            <w:tcW w:w="825" w:type="dxa"/>
            <w:vMerge w:val="continue"/>
            <w:tcBorders>
              <w:left w:val="single" w:color="auto" w:sz="4" w:space="0"/>
              <w:bottom w:val="single" w:color="auto" w:sz="4" w:space="0"/>
              <w:right w:val="single" w:color="auto" w:sz="4" w:space="0"/>
            </w:tcBorders>
            <w:noWrap w:val="0"/>
            <w:vAlign w:val="center"/>
          </w:tcPr>
          <w:p w14:paraId="59F5F674">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64C699E">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.不良</w:t>
            </w:r>
            <w:r>
              <w:rPr>
                <w:rFonts w:hint="eastAsia" w:ascii="宋体" w:hAnsi="宋体" w:eastAsia="宋体" w:cs="宋体"/>
                <w:color w:val="auto"/>
                <w:sz w:val="24"/>
                <w:szCs w:val="24"/>
                <w:highlight w:val="none"/>
                <w:lang w:eastAsia="zh-CN"/>
              </w:rPr>
              <w:t>贷款</w:t>
            </w:r>
            <w:r>
              <w:rPr>
                <w:rFonts w:hint="eastAsia" w:ascii="宋体" w:hAnsi="宋体" w:eastAsia="宋体" w:cs="宋体"/>
                <w:color w:val="auto"/>
                <w:sz w:val="24"/>
                <w:szCs w:val="24"/>
                <w:highlight w:val="none"/>
              </w:rPr>
              <w:t>率</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E94917D">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w:t>
            </w:r>
            <w:r>
              <w:rPr>
                <w:rFonts w:hint="eastAsia" w:eastAsia="宋体" w:cs="宋体"/>
                <w:color w:val="auto"/>
                <w:sz w:val="24"/>
                <w:szCs w:val="24"/>
                <w:highlight w:val="none"/>
                <w:lang w:val="en-US" w:eastAsia="zh-CN"/>
              </w:rPr>
              <w:t>10</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3E0AFD84">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不良贷款率按所有符合竞价资格的银行排名从低到高排序，最低者得</w:t>
            </w: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分，第二名低的减1分，按此递减，减记至零。数值一致的分值相同，不良贷款率大于等于5%的不得分，无贷款不得分。</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300677FC">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季</w:t>
            </w:r>
            <w:r>
              <w:rPr>
                <w:rFonts w:hint="eastAsia" w:ascii="宋体" w:hAnsi="宋体" w:eastAsia="宋体" w:cs="宋体"/>
                <w:color w:val="auto"/>
                <w:sz w:val="24"/>
                <w:szCs w:val="24"/>
                <w:highlight w:val="none"/>
                <w:lang w:val="en-US"/>
              </w:rPr>
              <w:t>末</w:t>
            </w:r>
            <w:r>
              <w:rPr>
                <w:rFonts w:hint="eastAsia" w:ascii="宋体" w:hAnsi="宋体" w:eastAsia="宋体" w:cs="宋体"/>
                <w:color w:val="auto"/>
                <w:sz w:val="24"/>
                <w:szCs w:val="24"/>
                <w:highlight w:val="none"/>
              </w:rPr>
              <w:t>县</w:t>
            </w:r>
            <w:r>
              <w:rPr>
                <w:rFonts w:hint="eastAsia" w:ascii="宋体" w:hAnsi="宋体" w:eastAsia="宋体" w:cs="宋体"/>
                <w:color w:val="auto"/>
                <w:sz w:val="24"/>
                <w:szCs w:val="24"/>
                <w:highlight w:val="none"/>
                <w:lang w:val="en-US" w:eastAsia="zh-CN"/>
              </w:rPr>
              <w:t>金融监管局</w:t>
            </w:r>
            <w:r>
              <w:rPr>
                <w:rFonts w:hint="eastAsia" w:ascii="宋体" w:hAnsi="宋体" w:eastAsia="宋体" w:cs="宋体"/>
                <w:color w:val="auto"/>
                <w:sz w:val="24"/>
                <w:szCs w:val="24"/>
                <w:highlight w:val="none"/>
              </w:rPr>
              <w:t>统计数据测算评分。</w:t>
            </w:r>
          </w:p>
        </w:tc>
      </w:tr>
      <w:tr w14:paraId="65BC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tcBorders>
              <w:top w:val="single" w:color="auto" w:sz="4" w:space="0"/>
              <w:left w:val="single" w:color="auto" w:sz="4" w:space="0"/>
              <w:right w:val="single" w:color="auto" w:sz="4" w:space="0"/>
            </w:tcBorders>
            <w:noWrap w:val="0"/>
            <w:vAlign w:val="center"/>
          </w:tcPr>
          <w:p w14:paraId="10C7A7D6">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w:t>
            </w:r>
            <w:r>
              <w:rPr>
                <w:rFonts w:hint="eastAsia" w:ascii="宋体" w:hAnsi="宋体" w:eastAsia="宋体" w:cs="宋体"/>
                <w:color w:val="auto"/>
                <w:sz w:val="24"/>
                <w:szCs w:val="24"/>
                <w:highlight w:val="none"/>
                <w:lang w:val="en-US" w:eastAsia="zh-CN"/>
              </w:rPr>
              <w:t>经济</w:t>
            </w:r>
            <w:r>
              <w:rPr>
                <w:rFonts w:hint="eastAsia" w:ascii="宋体" w:hAnsi="宋体" w:eastAsia="宋体" w:cs="宋体"/>
                <w:color w:val="auto"/>
                <w:sz w:val="24"/>
                <w:szCs w:val="24"/>
                <w:highlight w:val="none"/>
                <w:lang w:val="en-US"/>
              </w:rPr>
              <w:t>贡献度</w:t>
            </w:r>
          </w:p>
        </w:tc>
        <w:tc>
          <w:tcPr>
            <w:tcW w:w="825" w:type="dxa"/>
            <w:vMerge w:val="restart"/>
            <w:tcBorders>
              <w:top w:val="single" w:color="auto" w:sz="4" w:space="0"/>
              <w:left w:val="single" w:color="auto" w:sz="4" w:space="0"/>
              <w:right w:val="single" w:color="auto" w:sz="4" w:space="0"/>
            </w:tcBorders>
            <w:noWrap w:val="0"/>
            <w:vAlign w:val="center"/>
          </w:tcPr>
          <w:p w14:paraId="45B539F6">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eastAsia="宋体" w:cs="宋体"/>
                <w:color w:val="auto"/>
                <w:sz w:val="24"/>
                <w:szCs w:val="24"/>
                <w:highlight w:val="none"/>
                <w:lang w:val="en-US" w:eastAsia="zh-CN"/>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A4CA331">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1.县级税收贡献</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63CB97E">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15</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03E821FD">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县级税收贡献按</w:t>
            </w:r>
            <w:r>
              <w:rPr>
                <w:rFonts w:hint="eastAsia" w:ascii="宋体" w:hAnsi="宋体" w:eastAsia="宋体" w:cs="宋体"/>
                <w:color w:val="auto"/>
                <w:sz w:val="24"/>
                <w:szCs w:val="24"/>
                <w:highlight w:val="none"/>
                <w:lang w:eastAsia="zh-CN"/>
              </w:rPr>
              <w:t>所有符合竞价资格的银行</w:t>
            </w:r>
            <w:r>
              <w:rPr>
                <w:rFonts w:hint="eastAsia" w:ascii="宋体" w:hAnsi="宋体" w:eastAsia="宋体" w:cs="宋体"/>
                <w:color w:val="auto"/>
                <w:sz w:val="24"/>
                <w:szCs w:val="24"/>
                <w:highlight w:val="none"/>
              </w:rPr>
              <w:t>排名从高到低排序，最高的得</w:t>
            </w:r>
            <w:r>
              <w:rPr>
                <w:rFonts w:hint="eastAsia" w:ascii="宋体" w:hAnsi="宋体" w:eastAsia="宋体" w:cs="宋体"/>
                <w:color w:val="auto"/>
                <w:sz w:val="24"/>
                <w:szCs w:val="24"/>
                <w:highlight w:val="none"/>
                <w:lang w:val="en-US" w:eastAsia="zh-CN"/>
              </w:rPr>
              <w:t>1</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分，第二名高的减</w:t>
            </w:r>
            <w:r>
              <w:rPr>
                <w:rFonts w:hint="eastAsia"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分，按此递减，得分低于0分的按0分计，数值一致的分值相同</w:t>
            </w:r>
            <w:r>
              <w:rPr>
                <w:rFonts w:hint="eastAsia" w:ascii="宋体" w:hAnsi="宋体" w:eastAsia="宋体" w:cs="宋体"/>
                <w:color w:val="auto"/>
                <w:sz w:val="24"/>
                <w:szCs w:val="24"/>
                <w:highlight w:val="none"/>
                <w:lang w:eastAsia="zh-CN"/>
              </w:rPr>
              <w:t>，无税收不得分</w:t>
            </w:r>
            <w:r>
              <w:rPr>
                <w:rFonts w:hint="eastAsia" w:ascii="宋体" w:hAnsi="宋体" w:eastAsia="宋体" w:cs="宋体"/>
                <w:color w:val="auto"/>
                <w:sz w:val="24"/>
                <w:szCs w:val="24"/>
                <w:highlight w:val="none"/>
              </w:rPr>
              <w:t>。</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7045199F">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根据县税务局提供的</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季末</w:t>
            </w:r>
            <w:r>
              <w:rPr>
                <w:rFonts w:hint="eastAsia" w:ascii="宋体" w:hAnsi="宋体" w:eastAsia="宋体" w:cs="宋体"/>
                <w:color w:val="auto"/>
                <w:sz w:val="24"/>
                <w:szCs w:val="24"/>
                <w:highlight w:val="none"/>
              </w:rPr>
              <w:t>全口径税收测算县级所得部分进行评分。</w:t>
            </w:r>
          </w:p>
        </w:tc>
      </w:tr>
      <w:tr w14:paraId="5605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tcBorders>
              <w:left w:val="single" w:color="auto" w:sz="4" w:space="0"/>
              <w:right w:val="single" w:color="auto" w:sz="4" w:space="0"/>
            </w:tcBorders>
            <w:noWrap w:val="0"/>
            <w:vAlign w:val="top"/>
          </w:tcPr>
          <w:p w14:paraId="14B910E1">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rPr>
            </w:pPr>
          </w:p>
        </w:tc>
        <w:tc>
          <w:tcPr>
            <w:tcW w:w="825" w:type="dxa"/>
            <w:vMerge w:val="continue"/>
            <w:tcBorders>
              <w:left w:val="single" w:color="auto" w:sz="4" w:space="0"/>
              <w:right w:val="single" w:color="auto" w:sz="4" w:space="0"/>
            </w:tcBorders>
            <w:noWrap w:val="0"/>
            <w:vAlign w:val="top"/>
          </w:tcPr>
          <w:p w14:paraId="1E27CC40">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57C97CE">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2.县政府2023年度金融考评结果</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C29A5FF">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0ABC83D6">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rPr>
              <w:t>根据龙游县202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年度金融机构综合考核评价结果，</w:t>
            </w:r>
            <w:r>
              <w:rPr>
                <w:rFonts w:hint="eastAsia" w:ascii="宋体" w:hAnsi="宋体" w:eastAsia="宋体" w:cs="宋体"/>
                <w:color w:val="auto"/>
                <w:sz w:val="24"/>
                <w:szCs w:val="24"/>
                <w:highlight w:val="none"/>
              </w:rPr>
              <w:t>一等奖得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分，二等奖得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分，三等奖得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分。无排名的不得分。</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398DB9BF">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综合考核金融机构考评结果作为评分项。</w:t>
            </w:r>
          </w:p>
        </w:tc>
      </w:tr>
      <w:tr w14:paraId="6EBE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tcBorders>
              <w:left w:val="single" w:color="auto" w:sz="4" w:space="0"/>
              <w:right w:val="single" w:color="auto" w:sz="4" w:space="0"/>
            </w:tcBorders>
            <w:noWrap w:val="0"/>
            <w:vAlign w:val="top"/>
          </w:tcPr>
          <w:p w14:paraId="6F663895">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rPr>
            </w:pPr>
          </w:p>
        </w:tc>
        <w:tc>
          <w:tcPr>
            <w:tcW w:w="825" w:type="dxa"/>
            <w:vMerge w:val="continue"/>
            <w:tcBorders>
              <w:left w:val="single" w:color="auto" w:sz="4" w:space="0"/>
              <w:right w:val="single" w:color="auto" w:sz="4" w:space="0"/>
            </w:tcBorders>
            <w:noWrap w:val="0"/>
            <w:vAlign w:val="top"/>
          </w:tcPr>
          <w:p w14:paraId="0835FFB5">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98BE4CB">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当年贷款增量</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B722685">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167E8A25">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sz w:val="24"/>
                <w:szCs w:val="24"/>
                <w:highlight w:val="none"/>
                <w:lang w:eastAsia="zh-CN"/>
              </w:rPr>
            </w:pPr>
            <w:bookmarkStart w:id="87" w:name="OLE_LINK5"/>
            <w:r>
              <w:rPr>
                <w:rFonts w:hint="eastAsia" w:ascii="宋体" w:hAnsi="宋体" w:eastAsia="宋体" w:cs="宋体"/>
                <w:color w:val="auto"/>
                <w:sz w:val="24"/>
                <w:szCs w:val="24"/>
                <w:highlight w:val="none"/>
              </w:rPr>
              <w:t>各银行当年贷款增量规模最高的得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分。依次递减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分，减至零值为止。</w:t>
            </w:r>
            <w:bookmarkEnd w:id="87"/>
          </w:p>
        </w:tc>
        <w:tc>
          <w:tcPr>
            <w:tcW w:w="1915" w:type="dxa"/>
            <w:tcBorders>
              <w:top w:val="single" w:color="auto" w:sz="4" w:space="0"/>
              <w:left w:val="single" w:color="auto" w:sz="4" w:space="0"/>
              <w:bottom w:val="single" w:color="auto" w:sz="4" w:space="0"/>
              <w:right w:val="single" w:color="auto" w:sz="4" w:space="0"/>
            </w:tcBorders>
            <w:noWrap w:val="0"/>
            <w:vAlign w:val="center"/>
          </w:tcPr>
          <w:p w14:paraId="2DB25CF4">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sz w:val="24"/>
                <w:szCs w:val="24"/>
                <w:highlight w:val="none"/>
              </w:rPr>
            </w:pPr>
            <w:bookmarkStart w:id="88" w:name="OLE_LINK6"/>
            <w:r>
              <w:rPr>
                <w:rFonts w:hint="eastAsia" w:ascii="宋体" w:hAnsi="宋体" w:eastAsia="宋体" w:cs="宋体"/>
                <w:color w:val="auto"/>
                <w:sz w:val="24"/>
                <w:szCs w:val="24"/>
                <w:highlight w:val="none"/>
              </w:rPr>
              <w:t>根据202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季末市人行统计</w:t>
            </w:r>
            <w:r>
              <w:rPr>
                <w:rFonts w:hint="eastAsia" w:ascii="宋体" w:hAnsi="宋体" w:eastAsia="宋体" w:cs="宋体"/>
                <w:color w:val="auto"/>
                <w:sz w:val="24"/>
                <w:szCs w:val="24"/>
                <w:highlight w:val="none"/>
                <w:lang w:eastAsia="zh-CN"/>
              </w:rPr>
              <w:t>县金融机构</w:t>
            </w:r>
            <w:r>
              <w:rPr>
                <w:rFonts w:hint="eastAsia" w:ascii="宋体" w:hAnsi="宋体" w:eastAsia="宋体" w:cs="宋体"/>
                <w:color w:val="auto"/>
                <w:sz w:val="24"/>
                <w:szCs w:val="24"/>
                <w:highlight w:val="none"/>
              </w:rPr>
              <w:t>数据评分。</w:t>
            </w:r>
            <w:bookmarkEnd w:id="88"/>
          </w:p>
        </w:tc>
      </w:tr>
      <w:tr w14:paraId="4F83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35" w:type="dxa"/>
            <w:vMerge w:val="restart"/>
            <w:tcBorders>
              <w:top w:val="single" w:color="auto" w:sz="4" w:space="0"/>
              <w:left w:val="single" w:color="auto" w:sz="4" w:space="0"/>
              <w:right w:val="single" w:color="auto" w:sz="4" w:space="0"/>
            </w:tcBorders>
            <w:noWrap w:val="0"/>
            <w:vAlign w:val="center"/>
          </w:tcPr>
          <w:p w14:paraId="74BEAEE2">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四、服务水平</w:t>
            </w:r>
          </w:p>
        </w:tc>
        <w:tc>
          <w:tcPr>
            <w:tcW w:w="825" w:type="dxa"/>
            <w:vMerge w:val="restart"/>
            <w:tcBorders>
              <w:top w:val="single" w:color="auto" w:sz="4" w:space="0"/>
              <w:left w:val="single" w:color="auto" w:sz="4" w:space="0"/>
              <w:right w:val="single" w:color="auto" w:sz="4" w:space="0"/>
            </w:tcBorders>
            <w:noWrap w:val="0"/>
            <w:vAlign w:val="center"/>
          </w:tcPr>
          <w:p w14:paraId="1A51DBE9">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560" w:type="dxa"/>
            <w:tcBorders>
              <w:top w:val="single" w:color="auto" w:sz="4" w:space="0"/>
              <w:left w:val="single" w:color="auto" w:sz="4" w:space="0"/>
              <w:right w:val="single" w:color="auto" w:sz="4" w:space="0"/>
            </w:tcBorders>
            <w:noWrap w:val="0"/>
            <w:vAlign w:val="center"/>
          </w:tcPr>
          <w:p w14:paraId="4FA134F2">
            <w:pPr>
              <w:pStyle w:val="51"/>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日常业务</w:t>
            </w:r>
          </w:p>
        </w:tc>
        <w:tc>
          <w:tcPr>
            <w:tcW w:w="960" w:type="dxa"/>
            <w:tcBorders>
              <w:top w:val="single" w:color="auto" w:sz="4" w:space="0"/>
              <w:left w:val="single" w:color="auto" w:sz="4" w:space="0"/>
              <w:right w:val="single" w:color="auto" w:sz="4" w:space="0"/>
            </w:tcBorders>
            <w:noWrap w:val="0"/>
            <w:vAlign w:val="center"/>
          </w:tcPr>
          <w:p w14:paraId="57C24C90">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21A22291">
            <w:pPr>
              <w:pStyle w:val="5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考评各金融机构拨款业务办理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拨款凭证传递及对账的</w:t>
            </w:r>
            <w:r>
              <w:rPr>
                <w:rFonts w:hint="eastAsia" w:ascii="宋体" w:hAnsi="宋体" w:eastAsia="宋体" w:cs="宋体"/>
                <w:color w:val="auto"/>
                <w:sz w:val="24"/>
                <w:szCs w:val="24"/>
                <w:highlight w:val="none"/>
                <w:lang w:val="en-US"/>
              </w:rPr>
              <w:t>及时性</w:t>
            </w:r>
            <w:r>
              <w:rPr>
                <w:rFonts w:hint="eastAsia" w:ascii="宋体" w:hAnsi="宋体" w:eastAsia="宋体" w:cs="宋体"/>
                <w:color w:val="auto"/>
                <w:sz w:val="24"/>
                <w:szCs w:val="24"/>
                <w:highlight w:val="none"/>
                <w:lang w:val="en-US" w:eastAsia="zh-CN"/>
              </w:rPr>
              <w:t>、准确性</w:t>
            </w:r>
            <w:r>
              <w:rPr>
                <w:rFonts w:hint="eastAsia" w:ascii="宋体" w:hAnsi="宋体" w:eastAsia="宋体" w:cs="宋体"/>
                <w:color w:val="auto"/>
                <w:sz w:val="24"/>
                <w:szCs w:val="24"/>
                <w:highlight w:val="none"/>
                <w:lang w:val="en-US"/>
              </w:rPr>
              <w:t>等服务能力。</w:t>
            </w:r>
            <w:r>
              <w:rPr>
                <w:rFonts w:hint="eastAsia" w:ascii="宋体" w:hAnsi="宋体" w:eastAsia="宋体" w:cs="宋体"/>
                <w:color w:val="auto"/>
                <w:sz w:val="24"/>
                <w:szCs w:val="24"/>
                <w:highlight w:val="none"/>
                <w:lang w:val="en-US" w:eastAsia="zh-CN"/>
              </w:rPr>
              <w:t>由评委横向比较后酌情打分。优得5分，良得3-4分，一般得0-2分。</w:t>
            </w:r>
          </w:p>
        </w:tc>
        <w:tc>
          <w:tcPr>
            <w:tcW w:w="1915" w:type="dxa"/>
            <w:vMerge w:val="restart"/>
            <w:tcBorders>
              <w:top w:val="single" w:color="auto" w:sz="4" w:space="0"/>
              <w:left w:val="single" w:color="auto" w:sz="4" w:space="0"/>
              <w:bottom w:val="single" w:color="auto" w:sz="4" w:space="0"/>
              <w:right w:val="single" w:color="auto" w:sz="4" w:space="0"/>
            </w:tcBorders>
            <w:noWrap w:val="0"/>
            <w:vAlign w:val="center"/>
          </w:tcPr>
          <w:p w14:paraId="1BA9DC56">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评委现场打分</w:t>
            </w:r>
          </w:p>
          <w:p w14:paraId="7012104F">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测评</w:t>
            </w:r>
          </w:p>
        </w:tc>
      </w:tr>
      <w:tr w14:paraId="2D9B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35" w:type="dxa"/>
            <w:vMerge w:val="continue"/>
            <w:tcBorders>
              <w:left w:val="single" w:color="auto" w:sz="4" w:space="0"/>
              <w:right w:val="single" w:color="auto" w:sz="4" w:space="0"/>
            </w:tcBorders>
            <w:noWrap w:val="0"/>
            <w:vAlign w:val="center"/>
          </w:tcPr>
          <w:p w14:paraId="49F85835">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sz w:val="24"/>
                <w:szCs w:val="24"/>
                <w:highlight w:val="none"/>
                <w:lang w:val="en-US"/>
              </w:rPr>
            </w:pPr>
          </w:p>
        </w:tc>
        <w:tc>
          <w:tcPr>
            <w:tcW w:w="825" w:type="dxa"/>
            <w:vMerge w:val="continue"/>
            <w:tcBorders>
              <w:left w:val="single" w:color="auto" w:sz="4" w:space="0"/>
              <w:right w:val="single" w:color="auto" w:sz="4" w:space="0"/>
            </w:tcBorders>
            <w:noWrap w:val="0"/>
            <w:vAlign w:val="center"/>
          </w:tcPr>
          <w:p w14:paraId="1071568D">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sz w:val="24"/>
                <w:szCs w:val="24"/>
                <w:highlight w:val="none"/>
                <w:lang w:val="en-US"/>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D855E9A">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.系统建设</w:t>
            </w:r>
            <w:r>
              <w:rPr>
                <w:rFonts w:hint="eastAsia" w:ascii="宋体" w:hAnsi="宋体" w:eastAsia="宋体" w:cs="宋体"/>
                <w:color w:val="auto"/>
                <w:sz w:val="24"/>
                <w:szCs w:val="24"/>
                <w:highlight w:val="none"/>
                <w:lang w:val="en-US" w:eastAsia="zh-CN"/>
              </w:rPr>
              <w:t>服务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24144AB">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7A39F7D8">
            <w:pPr>
              <w:pStyle w:val="5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考评各金融机构信息化建设与业务快捷性，便利性。</w:t>
            </w:r>
            <w:r>
              <w:rPr>
                <w:rFonts w:hint="eastAsia" w:ascii="宋体" w:hAnsi="宋体" w:eastAsia="宋体" w:cs="宋体"/>
                <w:color w:val="auto"/>
                <w:sz w:val="24"/>
                <w:szCs w:val="24"/>
                <w:highlight w:val="none"/>
                <w:lang w:val="en-US" w:eastAsia="zh-CN"/>
              </w:rPr>
              <w:t>由评委横向比较后酌情打分。优得5分，良得3-4分，一般得0-2分。</w:t>
            </w:r>
          </w:p>
        </w:tc>
        <w:tc>
          <w:tcPr>
            <w:tcW w:w="1915" w:type="dxa"/>
            <w:vMerge w:val="continue"/>
            <w:tcBorders>
              <w:top w:val="single" w:color="auto" w:sz="4" w:space="0"/>
              <w:left w:val="single" w:color="auto" w:sz="4" w:space="0"/>
              <w:bottom w:val="single" w:color="auto" w:sz="4" w:space="0"/>
              <w:right w:val="single" w:color="auto" w:sz="4" w:space="0"/>
            </w:tcBorders>
            <w:noWrap w:val="0"/>
            <w:vAlign w:val="center"/>
          </w:tcPr>
          <w:p w14:paraId="31BA3D03">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rPr>
            </w:pPr>
          </w:p>
        </w:tc>
      </w:tr>
      <w:tr w14:paraId="64BA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35" w:type="dxa"/>
            <w:vMerge w:val="continue"/>
            <w:tcBorders>
              <w:left w:val="single" w:color="auto" w:sz="4" w:space="0"/>
              <w:right w:val="single" w:color="auto" w:sz="4" w:space="0"/>
            </w:tcBorders>
            <w:noWrap w:val="0"/>
            <w:vAlign w:val="center"/>
          </w:tcPr>
          <w:p w14:paraId="14338563">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sz w:val="24"/>
                <w:szCs w:val="24"/>
                <w:highlight w:val="none"/>
                <w:lang w:val="en-US"/>
              </w:rPr>
            </w:pPr>
          </w:p>
        </w:tc>
        <w:tc>
          <w:tcPr>
            <w:tcW w:w="825" w:type="dxa"/>
            <w:vMerge w:val="continue"/>
            <w:tcBorders>
              <w:left w:val="single" w:color="auto" w:sz="4" w:space="0"/>
              <w:right w:val="single" w:color="auto" w:sz="4" w:space="0"/>
            </w:tcBorders>
            <w:noWrap w:val="0"/>
            <w:vAlign w:val="center"/>
          </w:tcPr>
          <w:p w14:paraId="3FB2986A">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sz w:val="24"/>
                <w:szCs w:val="24"/>
                <w:highlight w:val="none"/>
                <w:lang w:val="en-US"/>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458C936">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lang w:val="en-US" w:eastAsia="zh-CN"/>
              </w:rPr>
              <w:t>当地设立银行网点情况</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A2C95E8">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2F56ECE1">
            <w:pPr>
              <w:pStyle w:val="5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0" w:lineRule="exact"/>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bookmarkStart w:id="89" w:name="OLE_LINK9"/>
            <w:r>
              <w:rPr>
                <w:rFonts w:hint="eastAsia" w:ascii="宋体" w:hAnsi="宋体" w:eastAsia="宋体" w:cs="宋体"/>
                <w:color w:val="000000"/>
                <w:sz w:val="24"/>
                <w:szCs w:val="24"/>
                <w:lang w:val="en-US" w:eastAsia="zh-CN"/>
              </w:rPr>
              <w:t>由</w:t>
            </w:r>
            <w:r>
              <w:rPr>
                <w:rFonts w:hint="eastAsia" w:ascii="宋体" w:hAnsi="宋体" w:eastAsia="宋体" w:cs="宋体"/>
                <w:color w:val="auto"/>
                <w:kern w:val="2"/>
                <w:sz w:val="24"/>
                <w:szCs w:val="24"/>
                <w:lang w:val="en-US" w:eastAsia="zh-CN" w:bidi="ar"/>
              </w:rPr>
              <w:t>龙游金融监管支局</w:t>
            </w:r>
            <w:r>
              <w:rPr>
                <w:rFonts w:hint="eastAsia" w:ascii="宋体" w:hAnsi="宋体" w:eastAsia="宋体" w:cs="宋体"/>
                <w:color w:val="000000"/>
                <w:sz w:val="24"/>
                <w:szCs w:val="24"/>
                <w:lang w:val="en-US" w:eastAsia="zh-CN"/>
              </w:rPr>
              <w:t>提供的截止2024年末各银行本行政区域内设立的机构网点个数，每设立1个的0.5分，最高得5分。提供营业执照扫描件等证明资料。</w:t>
            </w:r>
            <w:bookmarkEnd w:id="89"/>
          </w:p>
        </w:tc>
        <w:tc>
          <w:tcPr>
            <w:tcW w:w="1915" w:type="dxa"/>
            <w:vMerge w:val="continue"/>
            <w:tcBorders>
              <w:top w:val="single" w:color="auto" w:sz="4" w:space="0"/>
              <w:left w:val="single" w:color="auto" w:sz="4" w:space="0"/>
              <w:bottom w:val="single" w:color="auto" w:sz="4" w:space="0"/>
              <w:right w:val="single" w:color="auto" w:sz="4" w:space="0"/>
            </w:tcBorders>
            <w:noWrap w:val="0"/>
            <w:vAlign w:val="center"/>
          </w:tcPr>
          <w:p w14:paraId="0FA07AA1">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ascii="宋体" w:hAnsi="宋体" w:eastAsia="宋体" w:cs="宋体"/>
                <w:color w:val="auto"/>
                <w:sz w:val="24"/>
                <w:szCs w:val="24"/>
                <w:highlight w:val="none"/>
                <w:lang w:val="en-US"/>
              </w:rPr>
            </w:pPr>
          </w:p>
        </w:tc>
      </w:tr>
      <w:tr w14:paraId="5623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35" w:type="dxa"/>
            <w:vMerge w:val="continue"/>
            <w:tcBorders>
              <w:left w:val="single" w:color="auto" w:sz="4" w:space="0"/>
              <w:right w:val="single" w:color="auto" w:sz="4" w:space="0"/>
            </w:tcBorders>
            <w:noWrap w:val="0"/>
            <w:vAlign w:val="center"/>
          </w:tcPr>
          <w:p w14:paraId="265B1B7A">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sz w:val="24"/>
                <w:szCs w:val="24"/>
                <w:highlight w:val="none"/>
                <w:lang w:val="en-US"/>
              </w:rPr>
            </w:pPr>
          </w:p>
        </w:tc>
        <w:tc>
          <w:tcPr>
            <w:tcW w:w="825" w:type="dxa"/>
            <w:vMerge w:val="continue"/>
            <w:tcBorders>
              <w:left w:val="single" w:color="auto" w:sz="4" w:space="0"/>
              <w:right w:val="single" w:color="auto" w:sz="4" w:space="0"/>
            </w:tcBorders>
            <w:noWrap w:val="0"/>
            <w:vAlign w:val="center"/>
          </w:tcPr>
          <w:p w14:paraId="400EEFF1">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sz w:val="24"/>
                <w:szCs w:val="24"/>
                <w:highlight w:val="none"/>
                <w:lang w:val="en-US"/>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31C1439">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.集中支付开展情况</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F89C838">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980" w:type="dxa"/>
            <w:tcBorders>
              <w:top w:val="single" w:color="auto" w:sz="4" w:space="0"/>
              <w:left w:val="single" w:color="auto" w:sz="4" w:space="0"/>
              <w:bottom w:val="single" w:color="auto" w:sz="4" w:space="0"/>
              <w:right w:val="single" w:color="auto" w:sz="4" w:space="0"/>
            </w:tcBorders>
            <w:noWrap w:val="0"/>
            <w:vAlign w:val="center"/>
          </w:tcPr>
          <w:p w14:paraId="4756C593">
            <w:pPr>
              <w:keepNext w:val="0"/>
              <w:keepLines w:val="0"/>
              <w:widowControl/>
              <w:suppressLineNumbers w:val="0"/>
              <w:adjustRightInd w:val="0"/>
              <w:snapToGrid w:val="0"/>
              <w:spacing w:before="0" w:beforeAutospacing="0" w:after="0" w:afterAutospacing="0" w:line="260" w:lineRule="exact"/>
              <w:ind w:left="-53" w:leftChars="-25" w:right="-53" w:rightChars="-25"/>
              <w:rPr>
                <w:rFonts w:hint="eastAsia" w:ascii="宋体" w:hAnsi="宋体" w:eastAsia="宋体" w:cs="宋体"/>
                <w:color w:val="auto"/>
                <w:sz w:val="24"/>
                <w:szCs w:val="24"/>
                <w:highlight w:val="none"/>
              </w:rPr>
            </w:pPr>
            <w:r>
              <w:rPr>
                <w:rFonts w:hint="eastAsia" w:ascii="宋体" w:hAnsi="宋体" w:eastAsia="宋体" w:cs="宋体"/>
                <w:strike w:val="0"/>
                <w:dstrike w:val="0"/>
                <w:color w:val="auto"/>
                <w:kern w:val="2"/>
                <w:sz w:val="24"/>
                <w:szCs w:val="24"/>
                <w:highlight w:val="none"/>
                <w:lang w:val="en-US" w:eastAsia="zh-CN" w:bidi="ar-SA"/>
              </w:rPr>
              <w:t>以2024年4季度各银行在县内设国库集中支付的代理银行得5分。</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1EB34470">
            <w:pPr>
              <w:keepNext w:val="0"/>
              <w:keepLines w:val="0"/>
              <w:widowControl/>
              <w:suppressLineNumbers w:val="0"/>
              <w:adjustRightInd w:val="0"/>
              <w:snapToGrid w:val="0"/>
              <w:spacing w:before="0" w:beforeAutospacing="0" w:after="0" w:afterAutospacing="0" w:line="260" w:lineRule="exact"/>
              <w:ind w:left="-53" w:leftChars="-25" w:right="-53" w:rightChars="-25"/>
              <w:jc w:val="both"/>
              <w:rPr>
                <w:rFonts w:hint="eastAsia" w:ascii="宋体" w:hAnsi="宋体" w:eastAsia="宋体" w:cs="宋体"/>
                <w:color w:val="auto"/>
                <w:sz w:val="24"/>
                <w:szCs w:val="24"/>
                <w:highlight w:val="none"/>
                <w:lang w:val="en-US" w:eastAsia="zh-CN"/>
              </w:rPr>
            </w:pPr>
            <w:r>
              <w:rPr>
                <w:rFonts w:hint="eastAsia" w:ascii="宋体" w:hAnsi="宋体" w:eastAsia="宋体" w:cs="宋体"/>
                <w:strike w:val="0"/>
                <w:color w:val="auto"/>
                <w:sz w:val="24"/>
                <w:szCs w:val="24"/>
                <w:highlight w:val="none"/>
                <w:lang w:eastAsia="zh-CN"/>
              </w:rPr>
              <w:t>龙游县财政局提供的以</w:t>
            </w:r>
            <w:r>
              <w:rPr>
                <w:rFonts w:hint="eastAsia" w:ascii="宋体" w:hAnsi="宋体" w:eastAsia="宋体" w:cs="宋体"/>
                <w:strike w:val="0"/>
                <w:color w:val="auto"/>
                <w:sz w:val="24"/>
                <w:szCs w:val="24"/>
                <w:highlight w:val="none"/>
                <w:lang w:val="en-US" w:eastAsia="zh-CN"/>
              </w:rPr>
              <w:t>2024年4季度银行开展情况计分。</w:t>
            </w:r>
          </w:p>
        </w:tc>
      </w:tr>
    </w:tbl>
    <w:p w14:paraId="24EB2911">
      <w:pPr>
        <w:keepNext w:val="0"/>
        <w:keepLines w:val="0"/>
        <w:widowControl/>
        <w:suppressLineNumbers w:val="0"/>
        <w:autoSpaceDE w:val="0"/>
        <w:autoSpaceDN/>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注：（1）以上评分办法中“由采购人提供”的评分依据，竞标银行可不上传资料。</w:t>
      </w:r>
    </w:p>
    <w:p w14:paraId="75E0BC8E">
      <w:pPr>
        <w:keepNext w:val="0"/>
        <w:keepLines w:val="0"/>
        <w:widowControl/>
        <w:suppressLineNumbers w:val="0"/>
        <w:autoSpaceDE w:val="0"/>
        <w:autoSpaceDN/>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(2)以上评分项计算没有说明的都保留两位小数。</w:t>
      </w:r>
    </w:p>
    <w:p w14:paraId="60CD0D22">
      <w:pPr>
        <w:keepNext w:val="0"/>
        <w:keepLines w:val="0"/>
        <w:widowControl/>
        <w:suppressLineNumbers w:val="0"/>
        <w:autoSpaceDE w:val="0"/>
        <w:autoSpaceDN/>
        <w:spacing w:before="0" w:beforeAutospacing="0" w:after="0" w:afterAutospacing="0" w:line="400" w:lineRule="exact"/>
        <w:ind w:left="0" w:right="0" w:firstLine="480" w:firstLineChars="200"/>
        <w:jc w:val="left"/>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(3)以上由中国人民银行衢州分行、龙游金融监管支局、县财政局提供的评分数据，统计口径具体以中国人民银行衢州分行、龙游金融监管支局、县财政局的信息系统取数口径为准。</w:t>
      </w:r>
    </w:p>
    <w:p w14:paraId="3F064D53">
      <w:pPr>
        <w:keepNext w:val="0"/>
        <w:keepLines w:val="0"/>
        <w:widowControl/>
        <w:suppressLineNumbers w:val="0"/>
        <w:autoSpaceDE w:val="0"/>
        <w:autoSpaceDN/>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(4)投标人自行提供的相关依据需真实有效，如有虚假，将取消中标资格，并上报相关部分列入不诚信单位。</w:t>
      </w:r>
    </w:p>
    <w:p w14:paraId="4669A5C4">
      <w:pPr>
        <w:shd w:val="clear"/>
        <w:adjustRightInd w:val="0"/>
        <w:snapToGrid w:val="0"/>
        <w:spacing w:line="312" w:lineRule="auto"/>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五、开评标程序</w:t>
      </w:r>
      <w:bookmarkEnd w:id="86"/>
    </w:p>
    <w:p w14:paraId="23205958">
      <w:pPr>
        <w:shd w:val="clear"/>
        <w:adjustRightInd w:val="0"/>
        <w:snapToGrid w:val="0"/>
        <w:spacing w:line="312"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5.主持人宣布投标截止时间，截止时间以国家授时中心标准时间为准，宣布招标会议开始。</w:t>
      </w:r>
    </w:p>
    <w:p w14:paraId="05596282">
      <w:pPr>
        <w:shd w:val="clear"/>
        <w:adjustRightInd w:val="0"/>
        <w:snapToGrid w:val="0"/>
        <w:spacing w:line="312"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6.进入评审。评标委员会根据评审原则和评审办法，对各投标人的商务技术文件进行符合性评审和综合打分评审，其中符合性评审不合格的投标文件做无效标处理，不再进入报价文件评审。</w:t>
      </w:r>
    </w:p>
    <w:p w14:paraId="7E25346B">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7.</w:t>
      </w:r>
      <w:r>
        <w:rPr>
          <w:rFonts w:ascii="宋体" w:hAnsi="宋体" w:eastAsia="宋体"/>
          <w:color w:val="auto"/>
          <w:sz w:val="24"/>
          <w:szCs w:val="24"/>
        </w:rPr>
        <w:t>开启符合性审查评审有效</w:t>
      </w:r>
      <w:r>
        <w:rPr>
          <w:rFonts w:hint="eastAsia" w:ascii="宋体" w:hAnsi="宋体" w:eastAsia="宋体"/>
          <w:color w:val="auto"/>
          <w:sz w:val="24"/>
          <w:szCs w:val="24"/>
          <w:lang w:eastAsia="zh-CN"/>
        </w:rPr>
        <w:t>投标人</w:t>
      </w:r>
      <w:r>
        <w:rPr>
          <w:rFonts w:ascii="宋体" w:hAnsi="宋体" w:eastAsia="宋体"/>
          <w:color w:val="auto"/>
          <w:sz w:val="24"/>
          <w:szCs w:val="24"/>
        </w:rPr>
        <w:t>的报价文件。</w:t>
      </w:r>
    </w:p>
    <w:p w14:paraId="58C66F95">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8</w:t>
      </w:r>
      <w:r>
        <w:rPr>
          <w:rFonts w:hint="eastAsia" w:ascii="宋体" w:hAnsi="宋体" w:eastAsia="宋体"/>
          <w:color w:val="auto"/>
          <w:sz w:val="24"/>
          <w:szCs w:val="24"/>
          <w:lang w:eastAsia="zh-CN"/>
        </w:rPr>
        <w:t>.</w:t>
      </w:r>
      <w:r>
        <w:rPr>
          <w:rFonts w:ascii="宋体" w:hAnsi="宋体" w:eastAsia="宋体"/>
          <w:color w:val="auto"/>
          <w:sz w:val="24"/>
          <w:szCs w:val="24"/>
        </w:rPr>
        <w:t>最后计算出各投标人商务得分，评标委员会按评标办法和细则规定推荐中标候选人。</w:t>
      </w:r>
    </w:p>
    <w:p w14:paraId="0E2B95B1">
      <w:pPr>
        <w:shd w:val="clear"/>
        <w:adjustRightInd w:val="0"/>
        <w:snapToGrid w:val="0"/>
        <w:spacing w:line="312"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9</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开</w:t>
      </w:r>
      <w:r>
        <w:rPr>
          <w:rFonts w:ascii="宋体" w:hAnsi="宋体" w:eastAsia="宋体"/>
          <w:color w:val="auto"/>
          <w:sz w:val="24"/>
          <w:szCs w:val="24"/>
        </w:rPr>
        <w:t>标会结束。</w:t>
      </w:r>
    </w:p>
    <w:sectPr>
      <w:headerReference r:id="rId8" w:type="first"/>
      <w:footerReference r:id="rId10" w:type="first"/>
      <w:footerReference r:id="rId9" w:type="default"/>
      <w:pgSz w:w="11906" w:h="16838"/>
      <w:pgMar w:top="1389" w:right="1247" w:bottom="1389" w:left="1247" w:header="624" w:footer="510" w:gutter="113"/>
      <w:pgBorders>
        <w:top w:val="thinThickSmallGap" w:color="auto" w:sz="12" w:space="10"/>
        <w:left w:val="none" w:sz="0" w:space="0"/>
        <w:bottom w:val="thinThickSmallGap" w:color="auto" w:sz="12" w:space="1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汉仪雅酷黑 75W">
    <w:altName w:val="黑体"/>
    <w:panose1 w:val="00000000000000000000"/>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5F9C6">
    <w:pPr>
      <w:pStyle w:val="12"/>
      <w:pBdr>
        <w:top w:val="none" w:color="auto" w:sz="0"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63360" behindDoc="0" locked="0" layoutInCell="1" allowOverlap="1">
              <wp:simplePos x="0" y="0"/>
              <wp:positionH relativeFrom="margin">
                <wp:posOffset>2374265</wp:posOffset>
              </wp:positionH>
              <wp:positionV relativeFrom="paragraph">
                <wp:posOffset>-240030</wp:posOffset>
              </wp:positionV>
              <wp:extent cx="1828800" cy="357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57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FA3BD">
                          <w:pPr>
                            <w:pStyle w:val="12"/>
                            <w:rPr>
                              <w:rFonts w:hint="eastAsia" w:ascii="宋体" w:hAnsi="宋体" w:eastAsia="宋体" w:cs="宋体"/>
                              <w:b/>
                              <w:bCs/>
                            </w:rPr>
                          </w:pPr>
                          <w:r>
                            <w:rPr>
                              <w:rFonts w:hint="eastAsia" w:ascii="宋体" w:hAnsi="宋体" w:eastAsia="宋体" w:cs="宋体"/>
                              <w:b/>
                              <w:bCs/>
                            </w:rPr>
                            <w:t xml:space="preserve">第 </w:t>
                          </w: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t xml:space="preserve"> 页 共 </w:t>
                          </w:r>
                          <w:r>
                            <w:rPr>
                              <w:rFonts w:hint="eastAsia" w:ascii="宋体" w:hAnsi="宋体" w:eastAsia="宋体" w:cs="宋体"/>
                              <w:b/>
                              <w:bCs/>
                            </w:rPr>
                            <w:fldChar w:fldCharType="begin"/>
                          </w:r>
                          <w:r>
                            <w:rPr>
                              <w:rFonts w:hint="eastAsia" w:ascii="宋体" w:hAnsi="宋体" w:eastAsia="宋体" w:cs="宋体"/>
                              <w:b/>
                              <w:bCs/>
                            </w:rPr>
                            <w:instrText xml:space="preserve"> NUMPAGES  \* MERGEFORMAT </w:instrText>
                          </w:r>
                          <w:r>
                            <w:rPr>
                              <w:rFonts w:hint="eastAsia" w:ascii="宋体" w:hAnsi="宋体" w:eastAsia="宋体" w:cs="宋体"/>
                              <w:b/>
                              <w:bCs/>
                            </w:rPr>
                            <w:fldChar w:fldCharType="separate"/>
                          </w:r>
                          <w:r>
                            <w:rPr>
                              <w:rFonts w:hint="eastAsia" w:ascii="宋体" w:hAnsi="宋体" w:eastAsia="宋体" w:cs="宋体"/>
                              <w:b/>
                              <w:bCs/>
                            </w:rPr>
                            <w:t>30</w:t>
                          </w:r>
                          <w:r>
                            <w:rPr>
                              <w:rFonts w:hint="eastAsia" w:ascii="宋体" w:hAnsi="宋体" w:eastAsia="宋体" w:cs="宋体"/>
                              <w:b/>
                              <w:bCs/>
                            </w:rPr>
                            <w:fldChar w:fldCharType="end"/>
                          </w:r>
                          <w:r>
                            <w:rPr>
                              <w:rFonts w:hint="eastAsia" w:ascii="宋体" w:hAnsi="宋体" w:eastAsia="宋体" w:cs="宋体"/>
                              <w:b/>
                              <w:bCs/>
                            </w:rP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6.95pt;margin-top:-18.9pt;height:28.15pt;width:144pt;mso-position-horizontal-relative:margin;mso-wrap-style:none;z-index:251663360;mso-width-relative:page;mso-height-relative:page;" filled="f" stroked="f" coordsize="21600,21600" o:gfxdata="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B4e1dkAAAAKAQAADwAAAAAAAAABACAAAAAiAAAAZHJzL2Rvd25y&#10;ZXYueG1sUEsBAhQAFAAAAAgAh07iQNcwfOs2AgAAYAQAAA4AAAAAAAAAAQAgAAAAKAEAAGRycy9l&#10;Mm9Eb2MueG1sUEsFBgAAAAAGAAYAWQEAANAFAAAAAA==&#10;">
              <v:fill on="f" focussize="0,0"/>
              <v:stroke on="f" weight="0.5pt"/>
              <v:imagedata o:title=""/>
              <o:lock v:ext="edit" aspectratio="f"/>
              <v:textbox inset="0mm,0mm,0mm,0mm">
                <w:txbxContent>
                  <w:p w14:paraId="552FA3BD">
                    <w:pPr>
                      <w:pStyle w:val="12"/>
                      <w:rPr>
                        <w:rFonts w:hint="eastAsia" w:ascii="宋体" w:hAnsi="宋体" w:eastAsia="宋体" w:cs="宋体"/>
                        <w:b/>
                        <w:bCs/>
                      </w:rPr>
                    </w:pPr>
                    <w:r>
                      <w:rPr>
                        <w:rFonts w:hint="eastAsia" w:ascii="宋体" w:hAnsi="宋体" w:eastAsia="宋体" w:cs="宋体"/>
                        <w:b/>
                        <w:bCs/>
                      </w:rPr>
                      <w:t xml:space="preserve">第 </w:t>
                    </w: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t xml:space="preserve"> 页 共 </w:t>
                    </w:r>
                    <w:r>
                      <w:rPr>
                        <w:rFonts w:hint="eastAsia" w:ascii="宋体" w:hAnsi="宋体" w:eastAsia="宋体" w:cs="宋体"/>
                        <w:b/>
                        <w:bCs/>
                      </w:rPr>
                      <w:fldChar w:fldCharType="begin"/>
                    </w:r>
                    <w:r>
                      <w:rPr>
                        <w:rFonts w:hint="eastAsia" w:ascii="宋体" w:hAnsi="宋体" w:eastAsia="宋体" w:cs="宋体"/>
                        <w:b/>
                        <w:bCs/>
                      </w:rPr>
                      <w:instrText xml:space="preserve"> NUMPAGES  \* MERGEFORMAT </w:instrText>
                    </w:r>
                    <w:r>
                      <w:rPr>
                        <w:rFonts w:hint="eastAsia" w:ascii="宋体" w:hAnsi="宋体" w:eastAsia="宋体" w:cs="宋体"/>
                        <w:b/>
                        <w:bCs/>
                      </w:rPr>
                      <w:fldChar w:fldCharType="separate"/>
                    </w:r>
                    <w:r>
                      <w:rPr>
                        <w:rFonts w:hint="eastAsia" w:ascii="宋体" w:hAnsi="宋体" w:eastAsia="宋体" w:cs="宋体"/>
                        <w:b/>
                        <w:bCs/>
                      </w:rPr>
                      <w:t>30</w:t>
                    </w:r>
                    <w:r>
                      <w:rPr>
                        <w:rFonts w:hint="eastAsia" w:ascii="宋体" w:hAnsi="宋体" w:eastAsia="宋体" w:cs="宋体"/>
                        <w:b/>
                        <w:bCs/>
                      </w:rPr>
                      <w:fldChar w:fldCharType="end"/>
                    </w:r>
                    <w:r>
                      <w:rPr>
                        <w:rFonts w:hint="eastAsia" w:ascii="宋体" w:hAnsi="宋体" w:eastAsia="宋体" w:cs="宋体"/>
                        <w:b/>
                        <w:bCs/>
                      </w:rPr>
                      <w:t xml:space="preserve"> 页</w:t>
                    </w:r>
                  </w:p>
                </w:txbxContent>
              </v:textbox>
            </v:shape>
          </w:pict>
        </mc:Fallback>
      </mc:AlternateContent>
    </w:r>
    <w:r>
      <w:rPr>
        <w:rFonts w:ascii="宋体" w:hAnsi="宋体"/>
        <w:b/>
        <w:bCs/>
        <w:i/>
        <w:iCs/>
        <w:color w:val="00B050"/>
      </w:rPr>
      <w:drawing>
        <wp:anchor distT="0" distB="0" distL="114300" distR="114300" simplePos="0" relativeHeight="251662336" behindDoc="1" locked="0" layoutInCell="1" allowOverlap="1">
          <wp:simplePos x="0" y="0"/>
          <wp:positionH relativeFrom="column">
            <wp:posOffset>24130</wp:posOffset>
          </wp:positionH>
          <wp:positionV relativeFrom="paragraph">
            <wp:posOffset>-230505</wp:posOffset>
          </wp:positionV>
          <wp:extent cx="927735" cy="162560"/>
          <wp:effectExtent l="0" t="0" r="5715" b="46990"/>
          <wp:wrapTight wrapText="bothSides">
            <wp:wrapPolygon>
              <wp:start x="0" y="0"/>
              <wp:lineTo x="0" y="18900"/>
              <wp:lineTo x="21290" y="18900"/>
              <wp:lineTo x="21290" y="0"/>
              <wp:lineTo x="0" y="0"/>
            </wp:wrapPolygon>
          </wp:wrapTight>
          <wp:docPr id="4" name="图片 4"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0788654(1)"/>
                  <pic:cNvPicPr>
                    <a:picLocks noChangeAspect="1"/>
                  </pic:cNvPicPr>
                </pic:nvPicPr>
                <pic:blipFill>
                  <a:blip r:embed="rId1"/>
                  <a:stretch>
                    <a:fillRect/>
                  </a:stretch>
                </pic:blipFill>
                <pic:spPr>
                  <a:xfrm>
                    <a:off x="0" y="0"/>
                    <a:ext cx="927735" cy="162560"/>
                  </a:xfrm>
                  <a:prstGeom prst="rect">
                    <a:avLst/>
                  </a:prstGeom>
                </pic:spPr>
              </pic:pic>
            </a:graphicData>
          </a:graphic>
        </wp:anchor>
      </w:drawing>
    </w:r>
    <w: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1117600" cy="303530"/>
              <wp:effectExtent l="0" t="0" r="0" b="0"/>
              <wp:wrapNone/>
              <wp:docPr id="5" name="组合 5"/>
              <wp:cNvGraphicFramePr/>
              <a:graphic xmlns:a="http://schemas.openxmlformats.org/drawingml/2006/main">
                <a:graphicData uri="http://schemas.microsoft.com/office/word/2010/wordprocessingGroup">
                  <wpg:wgp>
                    <wpg:cNvGrpSpPr/>
                    <wpg:grpSpPr>
                      <a:xfrm>
                        <a:off x="0" y="0"/>
                        <a:ext cx="1117600" cy="303530"/>
                        <a:chOff x="4728" y="1163"/>
                        <a:chExt cx="1760" cy="478"/>
                      </a:xfrm>
                    </wpg:grpSpPr>
                    <wps:wsp>
                      <wps:cNvPr id="6"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3"/>
                      <wps:cNvSpPr txBox="1"/>
                      <wps:spPr>
                        <a:xfrm>
                          <a:off x="4748" y="1171"/>
                          <a:ext cx="1719"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29D6B">
                            <w:pPr>
                              <w:jc w:val="center"/>
                              <w:rPr>
                                <w:rFonts w:ascii="汉仪雅酷黑 75W" w:hAnsi="汉仪雅酷黑 75W" w:eastAsia="汉仪雅酷黑 75W" w:cs="汉仪雅酷黑 75W"/>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60.75pt;margin-top:772.45pt;height:23.9pt;width:88pt;mso-position-horizontal-relative:page;mso-position-vertical-relative:page;z-index:251659264;mso-width-relative:page;mso-height-relative:page;" coordorigin="4728,1163" coordsize="1760,478" o:gfxdata="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de8+W&#10;1QAAAAQBAAAPAAAAAAAAAAEAIAAAACIAAABkcnMvZG93bnJldi54bWxQSwECFAAUAAAACACHTuJA&#10;wpkPd0EDAACfCAAADgAAAAAAAAABACAAAAAkAQAAZHJzL2Uyb0RvYy54bWxQSwUGAAAAAAYABgBZ&#10;AQAA1wYAAAAA&#10;">
              <o:lock v:ext="edit" aspectratio="f"/>
              <v:rect id="矩形 2" o:spid="_x0000_s1026" o:spt="1" style="position:absolute;left:4728;top:1163;height:478;width:1760;v-text-anchor:middle;" fillcolor="#FFFFFF [3212]" filled="t" stroked="f" coordsize="21600,21600" o:gfxdata="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3jns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文本框 3" o:spid="_x0000_s1026" o:spt="202" type="#_x0000_t202" style="position:absolute;left:4748;top:1171;height:461;width:1719;"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10C29D6B">
                      <w:pPr>
                        <w:jc w:val="center"/>
                        <w:rPr>
                          <w:rFonts w:ascii="汉仪雅酷黑 75W" w:hAnsi="汉仪雅酷黑 75W" w:eastAsia="汉仪雅酷黑 75W" w:cs="汉仪雅酷黑 75W"/>
                        </w:rPr>
                      </w:pP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AC00">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15649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52A0">
    <w:pPr>
      <w:pStyle w:val="12"/>
    </w:pPr>
    <w:r>
      <w:rPr>
        <w:rFonts w:ascii="宋体" w:hAnsi="宋体"/>
        <w:b/>
        <w:bCs/>
        <w:i/>
        <w:iCs/>
        <w:color w:val="00B050"/>
      </w:rPr>
      <w:drawing>
        <wp:anchor distT="0" distB="0" distL="114300" distR="114300" simplePos="0" relativeHeight="251664384" behindDoc="1" locked="0" layoutInCell="1" allowOverlap="1">
          <wp:simplePos x="0" y="0"/>
          <wp:positionH relativeFrom="column">
            <wp:posOffset>29210</wp:posOffset>
          </wp:positionH>
          <wp:positionV relativeFrom="paragraph">
            <wp:posOffset>154940</wp:posOffset>
          </wp:positionV>
          <wp:extent cx="927735" cy="76200"/>
          <wp:effectExtent l="0" t="0" r="5715" b="38100"/>
          <wp:wrapTight wrapText="bothSides">
            <wp:wrapPolygon>
              <wp:start x="0" y="0"/>
              <wp:lineTo x="0" y="16200"/>
              <wp:lineTo x="21290" y="16200"/>
              <wp:lineTo x="21290" y="0"/>
              <wp:lineTo x="0" y="0"/>
            </wp:wrapPolygon>
          </wp:wrapTight>
          <wp:docPr id="12" name="图片 12"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0788654(1)"/>
                  <pic:cNvPicPr>
                    <a:picLocks noChangeAspect="1"/>
                  </pic:cNvPicPr>
                </pic:nvPicPr>
                <pic:blipFill>
                  <a:blip r:embed="rId1"/>
                  <a:stretch>
                    <a:fillRect/>
                  </a:stretch>
                </pic:blipFill>
                <pic:spPr>
                  <a:xfrm>
                    <a:off x="0" y="0"/>
                    <a:ext cx="927735" cy="7620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top</wp:align>
              </wp:positionV>
              <wp:extent cx="53149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0pt;margin-top:0pt;height:0pt;width:418.5pt;mso-position-horizontal-relative:page;mso-position-vertical-relative:page;z-index:251660288;mso-width-relative:margin;mso-height-relative:page;mso-width-percent:1000;" filled="f" stroked="t" coordsize="21600,21600" o:gfxdata="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3ni19MAAAACAQAADwAA&#10;AAAAAAABACAAAAAiAAAAZHJzL2Rvd25yZXYueG1sUEsBAhQAFAAAAAgAh07iQCUSetHiAQAAsQMA&#10;AA4AAAAAAAAAAQAgAAAAIgEAAGRycy9lMm9Eb2MueG1sUEsFBgAAAAAGAAYAWQEAAHYFAAAAAA==&#10;">
              <v:fill on="f" focussize="0,0"/>
              <v:stroke color="#000000 [3213]" miterlimit="8" joinstyle="miter"/>
              <v:imagedata o:title=""/>
              <o:lock v:ext="edit" aspectratio="f"/>
            </v:line>
          </w:pict>
        </mc:Fallback>
      </mc:AlternateContent>
    </w:r>
    <w: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bottomMargin">
                <wp:align>top</wp:align>
              </wp:positionV>
              <wp:extent cx="1117600" cy="303530"/>
              <wp:effectExtent l="0" t="0" r="0" b="0"/>
              <wp:wrapNone/>
              <wp:docPr id="9" name="组合 9"/>
              <wp:cNvGraphicFramePr/>
              <a:graphic xmlns:a="http://schemas.openxmlformats.org/drawingml/2006/main">
                <a:graphicData uri="http://schemas.microsoft.com/office/word/2010/wordprocessingGroup">
                  <wpg:wgp>
                    <wpg:cNvGrpSpPr/>
                    <wpg:grpSpPr>
                      <a:xfrm>
                        <a:off x="0" y="0"/>
                        <a:ext cx="1117600" cy="303530"/>
                        <a:chOff x="4728" y="1163"/>
                        <a:chExt cx="1760" cy="478"/>
                      </a:xfrm>
                    </wpg:grpSpPr>
                    <wps:wsp>
                      <wps:cNvPr id="10"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文本框 3"/>
                      <wps:cNvSpPr txBox="1"/>
                      <wps:spPr>
                        <a:xfrm>
                          <a:off x="4748" y="1171"/>
                          <a:ext cx="1719"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9B296">
                            <w:pPr>
                              <w:rPr>
                                <w:rFonts w:ascii="汉仪雅酷黑 75W" w:hAnsi="汉仪雅酷黑 75W" w:eastAsia="汉仪雅酷黑 75W" w:cs="汉仪雅酷黑 75W"/>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pt;margin-top:0pt;height:23.9pt;width:88pt;mso-position-horizontal-relative:page;mso-position-vertical-relative:page;z-index:251661312;mso-width-relative:page;mso-height-relative:page;" coordorigin="4728,1163" coordsize="1760,478" o:gfxdata="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3XvPltUAAAAEAQAADwAAAAAAAAABACAAAAAiAAAAZHJzL2Rvd25yZXYueG1sUEsBAhQA&#10;FAAAAAgAh07iQE5xudhLAwAAoQgAAA4AAAAAAAAAAQAgAAAAJAEAAGRycy9lMm9Eb2MueG1sUEsF&#10;BgAAAAAGAAYAWQEAAOEGAAAAAA==&#10;">
              <o:lock v:ext="edit" aspectratio="f"/>
              <v:rect id="矩形 2" o:spid="_x0000_s1026" o:spt="1" style="position:absolute;left:4728;top:1163;height:478;width:1760;v-text-anchor:middle;" fillcolor="#FFFFFF [3212]" filled="t" stroked="f" coordsize="21600,21600" o:gfxdata="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hzPb4A&#10;AADbAAAADwAAAAAAAAABACAAAAAiAAAAZHJzL2Rvd25yZXYueG1sUEsBAhQAFAAAAAgAh07iQDMv&#10;BZ47AAAAOQAAABAAAAAAAAAAAQAgAAAADQEAAGRycy9zaGFwZXhtbC54bWxQSwUGAAAAAAYABgBb&#10;AQAAtwMAAAAA&#10;">
                <v:fill on="t" opacity="0f" focussize="0,0"/>
                <v:stroke on="f" weight="1pt" miterlimit="8" joinstyle="miter"/>
                <v:imagedata o:title=""/>
                <o:lock v:ext="edit" aspectratio="f"/>
              </v:rect>
              <v:shape id="文本框 3" o:spid="_x0000_s1026" o:spt="202" type="#_x0000_t202" style="position:absolute;left:4748;top:1171;height:461;width:1719;"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2C29B296">
                      <w:pPr>
                        <w:rPr>
                          <w:rFonts w:ascii="汉仪雅酷黑 75W" w:hAnsi="汉仪雅酷黑 75W" w:eastAsia="汉仪雅酷黑 75W" w:cs="汉仪雅酷黑 75W"/>
                        </w:rPr>
                      </w:pPr>
                    </w:p>
                  </w:txbxContent>
                </v:textbox>
              </v:shap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4435E">
    <w:pPr>
      <w:pStyle w:val="12"/>
      <w:pBdr>
        <w:top w:val="none" w:color="auto" w:sz="0" w:space="0"/>
        <w:left w:val="none" w:color="auto" w:sz="0" w:space="0"/>
        <w:bottom w:val="none" w:color="auto" w:sz="0" w:space="0"/>
        <w:right w:val="none" w:color="auto" w:sz="0" w:space="0"/>
        <w:between w:val="none" w:color="auto" w:sz="0" w:space="0"/>
      </w:pBdr>
    </w:pPr>
    <w:r>
      <w:rPr>
        <w:rFonts w:ascii="宋体" w:hAnsi="宋体"/>
        <w:b/>
        <w:bCs/>
        <w:i/>
        <w:iCs/>
        <w:color w:val="00B050"/>
      </w:rPr>
      <w:drawing>
        <wp:anchor distT="0" distB="0" distL="114300" distR="114300" simplePos="0" relativeHeight="251666432" behindDoc="1" locked="0" layoutInCell="1" allowOverlap="1">
          <wp:simplePos x="0" y="0"/>
          <wp:positionH relativeFrom="column">
            <wp:posOffset>31750</wp:posOffset>
          </wp:positionH>
          <wp:positionV relativeFrom="paragraph">
            <wp:posOffset>-238760</wp:posOffset>
          </wp:positionV>
          <wp:extent cx="927735" cy="170180"/>
          <wp:effectExtent l="0" t="0" r="5715" b="1270"/>
          <wp:wrapTight wrapText="bothSides">
            <wp:wrapPolygon>
              <wp:start x="0" y="0"/>
              <wp:lineTo x="0" y="19343"/>
              <wp:lineTo x="21290" y="19343"/>
              <wp:lineTo x="21290" y="0"/>
              <wp:lineTo x="0" y="0"/>
            </wp:wrapPolygon>
          </wp:wrapTight>
          <wp:docPr id="29" name="图片 29"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60788654(1)"/>
                  <pic:cNvPicPr>
                    <a:picLocks noChangeAspect="1"/>
                  </pic:cNvPicPr>
                </pic:nvPicPr>
                <pic:blipFill>
                  <a:blip r:embed="rId1"/>
                  <a:stretch>
                    <a:fillRect/>
                  </a:stretch>
                </pic:blipFill>
                <pic:spPr>
                  <a:xfrm>
                    <a:off x="0" y="0"/>
                    <a:ext cx="927735" cy="170180"/>
                  </a:xfrm>
                  <a:prstGeom prst="rect">
                    <a:avLst/>
                  </a:prstGeom>
                </pic:spPr>
              </pic:pic>
            </a:graphicData>
          </a:graphic>
        </wp:anchor>
      </w:drawing>
    </w:r>
    <w:r>
      <w:rPr>
        <w:sz w:val="18"/>
      </w:rPr>
      <mc:AlternateContent>
        <mc:Choice Requires="wps">
          <w:drawing>
            <wp:anchor distT="0" distB="0" distL="114300" distR="114300" simplePos="0" relativeHeight="251667456" behindDoc="0" locked="0" layoutInCell="1" allowOverlap="1">
              <wp:simplePos x="0" y="0"/>
              <wp:positionH relativeFrom="margin">
                <wp:posOffset>2433320</wp:posOffset>
              </wp:positionH>
              <wp:positionV relativeFrom="paragraph">
                <wp:posOffset>-242570</wp:posOffset>
              </wp:positionV>
              <wp:extent cx="1200785" cy="63754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200785" cy="637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3542F">
                          <w:pPr>
                            <w:pStyle w:val="12"/>
                            <w:rPr>
                              <w:rFonts w:hint="eastAsia" w:ascii="宋体" w:hAnsi="宋体" w:eastAsia="宋体" w:cs="宋体"/>
                              <w:b/>
                              <w:bCs/>
                            </w:rPr>
                          </w:pPr>
                          <w:r>
                            <w:rPr>
                              <w:rFonts w:hint="eastAsia" w:ascii="宋体" w:hAnsi="宋体" w:eastAsia="宋体" w:cs="宋体"/>
                              <w:b/>
                              <w:bCs/>
                            </w:rPr>
                            <w:t xml:space="preserve">第 </w:t>
                          </w: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t xml:space="preserve"> 页 共 </w:t>
                          </w:r>
                          <w:r>
                            <w:rPr>
                              <w:rFonts w:hint="eastAsia" w:ascii="宋体" w:hAnsi="宋体" w:eastAsia="宋体" w:cs="宋体"/>
                              <w:b/>
                              <w:bCs/>
                            </w:rPr>
                            <w:fldChar w:fldCharType="begin"/>
                          </w:r>
                          <w:r>
                            <w:rPr>
                              <w:rFonts w:hint="eastAsia" w:ascii="宋体" w:hAnsi="宋体" w:eastAsia="宋体" w:cs="宋体"/>
                              <w:b/>
                              <w:bCs/>
                            </w:rPr>
                            <w:instrText xml:space="preserve"> NUMPAGES  \* MERGEFORMAT </w:instrText>
                          </w:r>
                          <w:r>
                            <w:rPr>
                              <w:rFonts w:hint="eastAsia" w:ascii="宋体" w:hAnsi="宋体" w:eastAsia="宋体" w:cs="宋体"/>
                              <w:b/>
                              <w:bCs/>
                            </w:rPr>
                            <w:fldChar w:fldCharType="separate"/>
                          </w:r>
                          <w:r>
                            <w:rPr>
                              <w:rFonts w:hint="eastAsia" w:ascii="宋体" w:hAnsi="宋体" w:eastAsia="宋体" w:cs="宋体"/>
                              <w:b/>
                              <w:bCs/>
                            </w:rPr>
                            <w:t>30</w:t>
                          </w:r>
                          <w:r>
                            <w:rPr>
                              <w:rFonts w:hint="eastAsia" w:ascii="宋体" w:hAnsi="宋体" w:eastAsia="宋体" w:cs="宋体"/>
                              <w:b/>
                              <w:bCs/>
                            </w:rPr>
                            <w:fldChar w:fldCharType="end"/>
                          </w:r>
                          <w:r>
                            <w:rPr>
                              <w:rFonts w:hint="eastAsia" w:ascii="宋体" w:hAnsi="宋体" w:eastAsia="宋体" w:cs="宋体"/>
                              <w:b/>
                              <w:bCs/>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6pt;margin-top:-19.1pt;height:50.2pt;width:94.55pt;mso-position-horizontal-relative:margin;z-index:251667456;mso-width-relative:page;mso-height-relative:page;" filled="f" stroked="f" coordsize="21600,21600" o:gfxdata="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wrQgdkAAAAKAQAADwAAAAAAAAABACAAAAAiAAAAZHJzL2Rvd25y&#10;ZXYueG1sUEsBAhQAFAAAAAgAh07iQOsKb3A2AgAAZAQAAA4AAAAAAAAAAQAgAAAAKAEAAGRycy9l&#10;Mm9Eb2MueG1sUEsFBgAAAAAGAAYAWQEAANAFAAAAAA==&#10;">
              <v:fill on="f" focussize="0,0"/>
              <v:stroke on="f" weight="0.5pt"/>
              <v:imagedata o:title=""/>
              <o:lock v:ext="edit" aspectratio="f"/>
              <v:textbox inset="0mm,0mm,0mm,0mm">
                <w:txbxContent>
                  <w:p w14:paraId="7BC3542F">
                    <w:pPr>
                      <w:pStyle w:val="12"/>
                      <w:rPr>
                        <w:rFonts w:hint="eastAsia" w:ascii="宋体" w:hAnsi="宋体" w:eastAsia="宋体" w:cs="宋体"/>
                        <w:b/>
                        <w:bCs/>
                      </w:rPr>
                    </w:pPr>
                    <w:r>
                      <w:rPr>
                        <w:rFonts w:hint="eastAsia" w:ascii="宋体" w:hAnsi="宋体" w:eastAsia="宋体" w:cs="宋体"/>
                        <w:b/>
                        <w:bCs/>
                      </w:rPr>
                      <w:t xml:space="preserve">第 </w:t>
                    </w: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t xml:space="preserve"> 页 共 </w:t>
                    </w:r>
                    <w:r>
                      <w:rPr>
                        <w:rFonts w:hint="eastAsia" w:ascii="宋体" w:hAnsi="宋体" w:eastAsia="宋体" w:cs="宋体"/>
                        <w:b/>
                        <w:bCs/>
                      </w:rPr>
                      <w:fldChar w:fldCharType="begin"/>
                    </w:r>
                    <w:r>
                      <w:rPr>
                        <w:rFonts w:hint="eastAsia" w:ascii="宋体" w:hAnsi="宋体" w:eastAsia="宋体" w:cs="宋体"/>
                        <w:b/>
                        <w:bCs/>
                      </w:rPr>
                      <w:instrText xml:space="preserve"> NUMPAGES  \* MERGEFORMAT </w:instrText>
                    </w:r>
                    <w:r>
                      <w:rPr>
                        <w:rFonts w:hint="eastAsia" w:ascii="宋体" w:hAnsi="宋体" w:eastAsia="宋体" w:cs="宋体"/>
                        <w:b/>
                        <w:bCs/>
                      </w:rPr>
                      <w:fldChar w:fldCharType="separate"/>
                    </w:r>
                    <w:r>
                      <w:rPr>
                        <w:rFonts w:hint="eastAsia" w:ascii="宋体" w:hAnsi="宋体" w:eastAsia="宋体" w:cs="宋体"/>
                        <w:b/>
                        <w:bCs/>
                      </w:rPr>
                      <w:t>30</w:t>
                    </w:r>
                    <w:r>
                      <w:rPr>
                        <w:rFonts w:hint="eastAsia" w:ascii="宋体" w:hAnsi="宋体" w:eastAsia="宋体" w:cs="宋体"/>
                        <w:b/>
                        <w:bCs/>
                      </w:rPr>
                      <w:fldChar w:fldCharType="end"/>
                    </w:r>
                    <w:r>
                      <w:rPr>
                        <w:rFonts w:hint="eastAsia" w:ascii="宋体" w:hAnsi="宋体" w:eastAsia="宋体" w:cs="宋体"/>
                        <w:b/>
                        <w:bCs/>
                      </w:rPr>
                      <w:t xml:space="preserve"> 页</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bottomMargin">
                <wp:align>top</wp:align>
              </wp:positionV>
              <wp:extent cx="1117600" cy="303530"/>
              <wp:effectExtent l="0" t="0" r="0" b="0"/>
              <wp:wrapNone/>
              <wp:docPr id="30" name="组合 30"/>
              <wp:cNvGraphicFramePr/>
              <a:graphic xmlns:a="http://schemas.openxmlformats.org/drawingml/2006/main">
                <a:graphicData uri="http://schemas.microsoft.com/office/word/2010/wordprocessingGroup">
                  <wpg:wgp>
                    <wpg:cNvGrpSpPr/>
                    <wpg:grpSpPr>
                      <a:xfrm>
                        <a:off x="0" y="0"/>
                        <a:ext cx="1117600" cy="303530"/>
                        <a:chOff x="4728" y="1163"/>
                        <a:chExt cx="1760" cy="478"/>
                      </a:xfrm>
                    </wpg:grpSpPr>
                    <wps:wsp>
                      <wps:cNvPr id="31"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文本框 3"/>
                      <wps:cNvSpPr txBox="1"/>
                      <wps:spPr>
                        <a:xfrm>
                          <a:off x="4748" y="1171"/>
                          <a:ext cx="1719"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40180">
                            <w:pPr>
                              <w:jc w:val="center"/>
                              <w:rPr>
                                <w:rFonts w:ascii="汉仪雅酷黑 75W" w:hAnsi="汉仪雅酷黑 75W" w:eastAsia="汉仪雅酷黑 75W" w:cs="汉仪雅酷黑 75W"/>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6.45pt;margin-top:772.45pt;height:23.9pt;width:88pt;mso-position-horizontal-relative:page;mso-position-vertical-relative:page;z-index:251665408;mso-width-relative:page;mso-height-relative:page;" coordorigin="4728,1163" coordsize="1760,478" o:gfxdata="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de8+W1QAAAAQBAAAPAAAAAAAAAAEAIAAAACIAAABkcnMvZG93bnJldi54bWxQSwECFAAUAAAA&#10;CACHTuJAkfy240cDAACjCAAADgAAAAAAAAABACAAAAAkAQAAZHJzL2Uyb0RvYy54bWxQSwUGAAAA&#10;AAYABgBZAQAA3QYAAAAA&#10;">
              <o:lock v:ext="edit" aspectratio="f"/>
              <v:rect id="矩形 2" o:spid="_x0000_s1026" o:spt="1" style="position:absolute;left:4728;top:1163;height:478;width:1760;v-text-anchor:middle;" fillcolor="#FFFFFF [3212]" filled="t" stroked="f" coordsize="21600,21600" o:gfxdata="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GKxr4A&#10;AADbAAAADwAAAAAAAAABACAAAAAiAAAAZHJzL2Rvd25yZXYueG1sUEsBAhQAFAAAAAgAh07iQDMv&#10;BZ47AAAAOQAAABAAAAAAAAAAAQAgAAAADQEAAGRycy9zaGFwZXhtbC54bWxQSwUGAAAAAAYABgBb&#10;AQAAtwMAAAAA&#10;">
                <v:fill on="t" opacity="0f" focussize="0,0"/>
                <v:stroke on="f" weight="1pt" miterlimit="8" joinstyle="miter"/>
                <v:imagedata o:title=""/>
                <o:lock v:ext="edit" aspectratio="f"/>
              </v:rect>
              <v:shape id="文本框 3" o:spid="_x0000_s1026" o:spt="202" type="#_x0000_t202" style="position:absolute;left:4748;top:1171;height:461;width:1719;"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F440180">
                      <w:pPr>
                        <w:jc w:val="center"/>
                        <w:rPr>
                          <w:rFonts w:ascii="汉仪雅酷黑 75W" w:hAnsi="汉仪雅酷黑 75W" w:eastAsia="汉仪雅酷黑 75W" w:cs="汉仪雅酷黑 75W"/>
                        </w:rPr>
                      </w:pPr>
                    </w:p>
                  </w:txbxContent>
                </v:textbox>
              </v:shap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972D">
    <w:pPr>
      <w:pStyle w:val="1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bottomMargin">
                <wp:align>top</wp:align>
              </wp:positionV>
              <wp:extent cx="5314950" cy="0"/>
              <wp:effectExtent l="0" t="4445" r="0" b="5080"/>
              <wp:wrapNone/>
              <wp:docPr id="34" name="直接连接符 34"/>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0pt;margin-top:0pt;height:0pt;width:418.5pt;mso-position-horizontal-relative:page;mso-position-vertical-relative:page;z-index:251668480;mso-width-relative:margin;mso-height-relative:page;mso-width-percent:1000;" filled="f" stroked="t" coordsize="21600,21600" o:gfxdata="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eeLX0wAAAAIBAAAP&#10;AAAAAAAAAAEAIAAAACIAAABkcnMvZG93bnJldi54bWxQSwECFAAUAAAACACHTuJA2nN3+eQBAACz&#10;AwAADgAAAAAAAAABACAAAAAiAQAAZHJzL2Uyb0RvYy54bWxQSwUGAAAAAAYABgBZAQAAeAUAAAAA&#10;">
              <v:fill on="f" focussize="0,0"/>
              <v:stroke color="#000000 [3213]" miterlimit="8" joinstyle="miter"/>
              <v:imagedata o:title=""/>
              <o:lock v:ext="edit" aspectratio="f"/>
            </v:line>
          </w:pict>
        </mc:Fallback>
      </mc:AlternateContent>
    </w:r>
    <w:r>
      <mc:AlternateContent>
        <mc:Choice Requires="wpg">
          <w:drawing>
            <wp:anchor distT="0" distB="0" distL="114300" distR="114300" simplePos="0" relativeHeight="251669504" behindDoc="0" locked="0" layoutInCell="1" allowOverlap="1">
              <wp:simplePos x="0" y="0"/>
              <wp:positionH relativeFrom="margin">
                <wp:align>center</wp:align>
              </wp:positionH>
              <wp:positionV relativeFrom="bottomMargin">
                <wp:align>top</wp:align>
              </wp:positionV>
              <wp:extent cx="1117600" cy="303530"/>
              <wp:effectExtent l="0" t="0" r="0" b="0"/>
              <wp:wrapNone/>
              <wp:docPr id="35" name="组合 35"/>
              <wp:cNvGraphicFramePr/>
              <a:graphic xmlns:a="http://schemas.openxmlformats.org/drawingml/2006/main">
                <a:graphicData uri="http://schemas.microsoft.com/office/word/2010/wordprocessingGroup">
                  <wpg:wgp>
                    <wpg:cNvGrpSpPr/>
                    <wpg:grpSpPr>
                      <a:xfrm>
                        <a:off x="0" y="0"/>
                        <a:ext cx="1117600" cy="303530"/>
                        <a:chOff x="4728" y="1163"/>
                        <a:chExt cx="1760" cy="478"/>
                      </a:xfrm>
                    </wpg:grpSpPr>
                    <wps:wsp>
                      <wps:cNvPr id="36"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文本框 3"/>
                      <wps:cNvSpPr txBox="1"/>
                      <wps:spPr>
                        <a:xfrm>
                          <a:off x="4748" y="1171"/>
                          <a:ext cx="1719"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533E4">
                            <w:pPr>
                              <w:rPr>
                                <w:rFonts w:ascii="汉仪雅酷黑 75W" w:hAnsi="汉仪雅酷黑 75W" w:eastAsia="汉仪雅酷黑 75W" w:cs="汉仪雅酷黑 75W"/>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pt;margin-top:0pt;height:23.9pt;width:88pt;mso-position-horizontal-relative:page;mso-position-vertical-relative:page;z-index:251669504;mso-width-relative:page;mso-height-relative:page;" coordorigin="4728,1163" coordsize="1760,478" o:gfxdata="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17&#10;z5bVAAAABAEAAA8AAAAAAAAAAQAgAAAAIgAAAGRycy9kb3ducmV2LnhtbFBLAQIUABQAAAAIAIdO&#10;4kCVAQDFQwMAAKMIAAAOAAAAAAAAAAEAIAAAACQBAABkcnMvZTJvRG9jLnhtbFBLBQYAAAAABgAG&#10;AFkBAADZBgAAAAA=&#10;">
              <o:lock v:ext="edit" aspectratio="f"/>
              <v:rect id="矩形 2" o:spid="_x0000_s1026" o:spt="1" style="position:absolute;left:4728;top:1163;height:478;width:1760;v-text-anchor:middle;" fillcolor="#FFFFFF [3212]" filled="t" stroked="f" coordsize="21600,21600" o:gfxdata="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gSsr4A&#10;AADbAAAADwAAAAAAAAABACAAAAAiAAAAZHJzL2Rvd25yZXYueG1sUEsBAhQAFAAAAAgAh07iQDMv&#10;BZ47AAAAOQAAABAAAAAAAAAAAQAgAAAADQEAAGRycy9zaGFwZXhtbC54bWxQSwUGAAAAAAYABgBb&#10;AQAAtwMAAAAA&#10;">
                <v:fill on="t" opacity="0f" focussize="0,0"/>
                <v:stroke on="f" weight="1pt" miterlimit="8" joinstyle="miter"/>
                <v:imagedata o:title=""/>
                <o:lock v:ext="edit" aspectratio="f"/>
              </v:rect>
              <v:shape id="文本框 3" o:spid="_x0000_s1026" o:spt="202" type="#_x0000_t202" style="position:absolute;left:4748;top:1171;height:461;width:1719;" filled="f" stroked="f" coordsize="21600,21600" o:gfxdata="UEsDBAoAAAAAAIdO4kAAAAAAAAAAAAAAAAAEAAAAZHJzL1BLAwQUAAAACACHTuJAD3iNlL4AAADb&#10;AAAADwAAAGRycy9kb3ducmV2LnhtbEWPT4vCMBTE78J+h/AWvGmqol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iNl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73C533E4">
                      <w:pPr>
                        <w:rPr>
                          <w:rFonts w:ascii="汉仪雅酷黑 75W" w:hAnsi="汉仪雅酷黑 75W" w:eastAsia="汉仪雅酷黑 75W" w:cs="汉仪雅酷黑 75W"/>
                        </w:rPr>
                      </w:pPr>
                    </w:p>
                  </w:txbxContent>
                </v:textbox>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2AC7">
    <w:pPr>
      <w:pBdr>
        <w:top w:val="none" w:color="auto" w:sz="0" w:space="0"/>
        <w:left w:val="none" w:color="auto" w:sz="0" w:space="0"/>
        <w:bottom w:val="none" w:color="auto" w:sz="0" w:space="0"/>
        <w:right w:val="none" w:color="auto" w:sz="0" w:space="0"/>
        <w:between w:val="none" w:color="auto" w:sz="0" w:space="0"/>
      </w:pBdr>
      <w:spacing w:line="560" w:lineRule="exact"/>
      <w:jc w:val="left"/>
      <w:rPr>
        <w:rFonts w:ascii="宋体" w:hAnsi="宋体" w:eastAsia="宋体" w:cs="宋体"/>
        <w:szCs w:val="21"/>
      </w:rPr>
    </w:pPr>
    <w:r>
      <w:rPr>
        <w:rFonts w:hint="eastAsia" w:ascii="宋体" w:hAnsi="宋体" w:eastAsia="宋体" w:cs="宋体"/>
        <w:b/>
        <w:bCs/>
        <w:szCs w:val="21"/>
        <w:lang w:eastAsia="zh-CN"/>
      </w:rPr>
      <w:t>龙游县慈善总会2025年资金竞争性存放采购项目</w:t>
    </w:r>
    <w:r>
      <w:rPr>
        <w:rFonts w:hint="eastAsia" w:ascii="宋体" w:hAnsi="宋体" w:eastAsia="宋体" w:cs="宋体"/>
        <w:b/>
        <w:bCs/>
        <w:szCs w:val="21"/>
      </w:rPr>
      <w:t xml:space="preserve">      </w:t>
    </w:r>
    <w:r>
      <w:rPr>
        <w:rFonts w:hint="eastAsia" w:ascii="宋体" w:hAnsi="宋体" w:eastAsia="宋体" w:cs="宋体"/>
        <w:b/>
        <w:bCs/>
        <w:szCs w:val="21"/>
        <w:lang w:val="en-US" w:eastAsia="zh-CN"/>
      </w:rPr>
      <w:t xml:space="preserve">                     </w:t>
    </w:r>
    <w:r>
      <w:rPr>
        <w:rFonts w:hint="eastAsia" w:ascii="宋体" w:hAnsi="宋体" w:eastAsia="宋体" w:cs="宋体"/>
        <w:b/>
        <w:bCs/>
        <w:szCs w:val="21"/>
      </w:rPr>
      <w:t xml:space="preserve"> </w:t>
    </w:r>
    <w:r>
      <w:rPr>
        <w:rFonts w:hint="eastAsia" w:ascii="宋体" w:hAnsi="宋体" w:eastAsia="宋体"/>
        <w:b/>
        <w:bCs/>
        <w:color w:val="000000"/>
        <w:szCs w:val="21"/>
        <w:lang w:eastAsia="zh-CN"/>
      </w:rPr>
      <w:t>LYCG2025YX-011</w:t>
    </w:r>
    <w:r>
      <w:rPr>
        <w:rFonts w:hint="eastAsia" w:ascii="宋体" w:hAnsi="宋体" w:eastAsia="宋体" w:cs="宋体"/>
        <w:szCs w:val="21"/>
      </w:rPr>
      <w:t xml:space="preserve"> </w:t>
    </w:r>
    <w:r>
      <w:rPr>
        <w:rFonts w:hint="eastAsia" w:ascii="宋体" w:hAnsi="宋体" w:eastAsia="宋体" w:cs="宋体"/>
        <w:b/>
        <w:bCs/>
        <w:szCs w:val="21"/>
        <w:lang w:val="en-US" w:eastAsia="zh-CN"/>
      </w:rPr>
      <w:t xml:space="preserve"> </w:t>
    </w:r>
    <w:r>
      <w:rPr>
        <w:rFonts w:hint="eastAsia" w:ascii="宋体" w:hAnsi="宋体" w:eastAsia="宋体" w:cs="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FC9C">
    <w:pPr>
      <w:pStyle w:val="13"/>
      <w:pBdr>
        <w:top w:val="none" w:color="auto" w:sz="0" w:space="0"/>
        <w:left w:val="none" w:color="auto" w:sz="0" w:space="0"/>
        <w:bottom w:val="none" w:color="auto" w:sz="0" w:space="1"/>
        <w:right w:val="none" w:color="auto" w:sz="0" w:space="0"/>
        <w:between w:val="none" w:color="auto" w:sz="0" w:space="0"/>
      </w:pBdr>
      <w:jc w:val="both"/>
      <w:rPr>
        <w:rFonts w:hint="eastAsia" w:eastAsia="宋体"/>
        <w:lang w:eastAsia="zh-CN"/>
      </w:rPr>
    </w:pPr>
    <w:r>
      <w:rPr>
        <w:rFonts w:hint="eastAsia" w:ascii="宋体" w:hAnsi="宋体" w:eastAsia="宋体" w:cs="宋体"/>
        <w:b/>
        <w:bCs/>
        <w:sz w:val="21"/>
        <w:szCs w:val="21"/>
        <w:lang w:eastAsia="zh-CN"/>
      </w:rPr>
      <w:t>龙游县慈善总会2025年资金竞争性存放采购项目</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eastAsia="宋体"/>
        <w:b/>
        <w:bCs/>
        <w:color w:val="000000"/>
        <w:sz w:val="21"/>
        <w:szCs w:val="21"/>
        <w:lang w:eastAsia="zh-CN"/>
      </w:rPr>
      <w:t>LYCG2025YX-011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AC27">
    <w:pPr>
      <w:pStyle w:val="13"/>
      <w:pBdr>
        <w:top w:val="none" w:color="auto" w:sz="0" w:space="0"/>
        <w:left w:val="none" w:color="auto" w:sz="0" w:space="0"/>
        <w:bottom w:val="none" w:color="auto" w:sz="0" w:space="1"/>
        <w:right w:val="none" w:color="auto" w:sz="0" w:space="0"/>
        <w:between w:val="none" w:color="auto" w:sz="0" w:space="0"/>
      </w:pBdr>
      <w:jc w:val="both"/>
      <w:rPr>
        <w:rFonts w:hint="eastAsia" w:eastAsia="宋体"/>
        <w:lang w:eastAsia="zh-CN"/>
      </w:rPr>
    </w:pPr>
    <w:r>
      <w:rPr>
        <w:rFonts w:hint="eastAsia" w:ascii="宋体" w:hAnsi="宋体" w:eastAsia="宋体" w:cs="宋体"/>
        <w:b/>
        <w:bCs/>
        <w:sz w:val="21"/>
        <w:szCs w:val="21"/>
        <w:lang w:eastAsia="zh-CN"/>
      </w:rPr>
      <w:t>龙游县慈善总会2025年资金竞争性存放采购项目</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eastAsia="宋体"/>
        <w:b/>
        <w:bCs/>
        <w:color w:val="000000"/>
        <w:sz w:val="21"/>
        <w:szCs w:val="21"/>
        <w:lang w:eastAsia="zh-CN"/>
      </w:rPr>
      <w:t>LYCG2025YX-011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054F6"/>
    <w:multiLevelType w:val="multilevel"/>
    <w:tmpl w:val="074054F6"/>
    <w:lvl w:ilvl="0" w:tentative="0">
      <w:start w:val="1"/>
      <w:numFmt w:val="decimal"/>
      <w:pStyle w:val="21"/>
      <w:lvlText w:val="第%1章"/>
      <w:lvlJc w:val="left"/>
      <w:pPr>
        <w:tabs>
          <w:tab w:val="left" w:pos="432"/>
        </w:tabs>
        <w:ind w:left="2632" w:hanging="432"/>
      </w:pPr>
      <w:rPr>
        <w:rFonts w:hint="eastAsia"/>
      </w:rPr>
    </w:lvl>
    <w:lvl w:ilvl="1" w:tentative="0">
      <w:start w:val="1"/>
      <w:numFmt w:val="decimal"/>
      <w:lvlText w:val="%1.%2"/>
      <w:lvlJc w:val="left"/>
      <w:pPr>
        <w:tabs>
          <w:tab w:val="left" w:pos="576"/>
        </w:tabs>
        <w:ind w:left="2776" w:hanging="576"/>
      </w:pPr>
      <w:rPr>
        <w:rFonts w:hint="eastAsia"/>
      </w:rPr>
    </w:lvl>
    <w:lvl w:ilvl="2" w:tentative="0">
      <w:start w:val="1"/>
      <w:numFmt w:val="decimal"/>
      <w:lvlText w:val="%1.%2.%3"/>
      <w:lvlJc w:val="left"/>
      <w:pPr>
        <w:tabs>
          <w:tab w:val="left" w:pos="720"/>
        </w:tabs>
        <w:ind w:left="2920" w:hanging="720"/>
      </w:pPr>
      <w:rPr>
        <w:rFonts w:hint="eastAsia"/>
      </w:rPr>
    </w:lvl>
    <w:lvl w:ilvl="3" w:tentative="0">
      <w:start w:val="1"/>
      <w:numFmt w:val="decimal"/>
      <w:lvlText w:val="%1.%2.%3.%4"/>
      <w:lvlJc w:val="left"/>
      <w:pPr>
        <w:tabs>
          <w:tab w:val="left" w:pos="864"/>
        </w:tabs>
        <w:ind w:left="3064" w:hanging="864"/>
      </w:pPr>
      <w:rPr>
        <w:rFonts w:hint="eastAsia"/>
      </w:rPr>
    </w:lvl>
    <w:lvl w:ilvl="4" w:tentative="0">
      <w:start w:val="1"/>
      <w:numFmt w:val="decimal"/>
      <w:lvlText w:val="%1.%2.%3.%4.%5"/>
      <w:lvlJc w:val="left"/>
      <w:pPr>
        <w:tabs>
          <w:tab w:val="left" w:pos="1008"/>
        </w:tabs>
        <w:ind w:left="3208" w:hanging="1008"/>
      </w:pPr>
      <w:rPr>
        <w:rFonts w:hint="eastAsia"/>
      </w:rPr>
    </w:lvl>
    <w:lvl w:ilvl="5" w:tentative="0">
      <w:start w:val="1"/>
      <w:numFmt w:val="decimal"/>
      <w:lvlText w:val="%1.%2.%3.%4.%5.%6"/>
      <w:lvlJc w:val="left"/>
      <w:pPr>
        <w:tabs>
          <w:tab w:val="left" w:pos="1152"/>
        </w:tabs>
        <w:ind w:left="3352" w:hanging="1152"/>
      </w:pPr>
      <w:rPr>
        <w:rFonts w:hint="eastAsia"/>
      </w:rPr>
    </w:lvl>
    <w:lvl w:ilvl="6" w:tentative="0">
      <w:start w:val="1"/>
      <w:numFmt w:val="decimal"/>
      <w:lvlText w:val="%1.%2.%3.%4.%5.%6.%7"/>
      <w:lvlJc w:val="left"/>
      <w:pPr>
        <w:tabs>
          <w:tab w:val="left" w:pos="1296"/>
        </w:tabs>
        <w:ind w:left="3496" w:hanging="1296"/>
      </w:pPr>
      <w:rPr>
        <w:rFonts w:hint="eastAsia"/>
      </w:rPr>
    </w:lvl>
    <w:lvl w:ilvl="7" w:tentative="0">
      <w:start w:val="1"/>
      <w:numFmt w:val="decimal"/>
      <w:lvlText w:val="%1.%2.%3.%4.%5.%6.%7.%8"/>
      <w:lvlJc w:val="left"/>
      <w:pPr>
        <w:tabs>
          <w:tab w:val="left" w:pos="1440"/>
        </w:tabs>
        <w:ind w:left="3640" w:hanging="1440"/>
      </w:pPr>
      <w:rPr>
        <w:rFonts w:hint="eastAsia"/>
      </w:rPr>
    </w:lvl>
    <w:lvl w:ilvl="8" w:tentative="0">
      <w:start w:val="1"/>
      <w:numFmt w:val="decimal"/>
      <w:lvlText w:val="%1.%2.%3.%4.%5.%6.%7.%8.%9"/>
      <w:lvlJc w:val="left"/>
      <w:pPr>
        <w:tabs>
          <w:tab w:val="left" w:pos="1584"/>
        </w:tabs>
        <w:ind w:left="3784" w:hanging="1584"/>
      </w:pPr>
      <w:rPr>
        <w:rFonts w:hint="eastAsia"/>
      </w:rPr>
    </w:lvl>
  </w:abstractNum>
  <w:abstractNum w:abstractNumId="1">
    <w:nsid w:val="634DA82F"/>
    <w:multiLevelType w:val="singleLevel"/>
    <w:tmpl w:val="634DA82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drawingGridHorizontalSpacing w:val="105"/>
  <w:drawingGridVerticalSpacing w:val="18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BhZDQ5ZWM5NWUzMTM3YzBlMGYyYzM4ZDhlOTYifQ=="/>
  </w:docVars>
  <w:rsids>
    <w:rsidRoot w:val="00072E1B"/>
    <w:rsid w:val="000005EC"/>
    <w:rsid w:val="00002DFD"/>
    <w:rsid w:val="00002F50"/>
    <w:rsid w:val="00003016"/>
    <w:rsid w:val="000036F4"/>
    <w:rsid w:val="00003850"/>
    <w:rsid w:val="00003E59"/>
    <w:rsid w:val="00005336"/>
    <w:rsid w:val="0000619D"/>
    <w:rsid w:val="00006B80"/>
    <w:rsid w:val="000078CF"/>
    <w:rsid w:val="0001085F"/>
    <w:rsid w:val="00011C18"/>
    <w:rsid w:val="00011FF9"/>
    <w:rsid w:val="000128D4"/>
    <w:rsid w:val="000128F6"/>
    <w:rsid w:val="00012983"/>
    <w:rsid w:val="000133AA"/>
    <w:rsid w:val="00014357"/>
    <w:rsid w:val="00015969"/>
    <w:rsid w:val="00015E26"/>
    <w:rsid w:val="000171D0"/>
    <w:rsid w:val="000176D1"/>
    <w:rsid w:val="000200CC"/>
    <w:rsid w:val="00020631"/>
    <w:rsid w:val="000222F3"/>
    <w:rsid w:val="00022A95"/>
    <w:rsid w:val="00023655"/>
    <w:rsid w:val="00023D4A"/>
    <w:rsid w:val="0002652B"/>
    <w:rsid w:val="000329C5"/>
    <w:rsid w:val="00033A69"/>
    <w:rsid w:val="00033F8E"/>
    <w:rsid w:val="00035C71"/>
    <w:rsid w:val="000371FB"/>
    <w:rsid w:val="000418A9"/>
    <w:rsid w:val="00041C6D"/>
    <w:rsid w:val="000426D7"/>
    <w:rsid w:val="00043101"/>
    <w:rsid w:val="00044375"/>
    <w:rsid w:val="0004507D"/>
    <w:rsid w:val="000455AA"/>
    <w:rsid w:val="00045CDB"/>
    <w:rsid w:val="00045F50"/>
    <w:rsid w:val="000467DE"/>
    <w:rsid w:val="00047CF5"/>
    <w:rsid w:val="00050D81"/>
    <w:rsid w:val="00052535"/>
    <w:rsid w:val="00053C8E"/>
    <w:rsid w:val="00054275"/>
    <w:rsid w:val="000579AB"/>
    <w:rsid w:val="00061F18"/>
    <w:rsid w:val="000629FC"/>
    <w:rsid w:val="000640CE"/>
    <w:rsid w:val="0006414C"/>
    <w:rsid w:val="000653D1"/>
    <w:rsid w:val="0006632A"/>
    <w:rsid w:val="000672DB"/>
    <w:rsid w:val="0007142C"/>
    <w:rsid w:val="00071BE4"/>
    <w:rsid w:val="000728E5"/>
    <w:rsid w:val="00072E1B"/>
    <w:rsid w:val="000747CD"/>
    <w:rsid w:val="00075AC9"/>
    <w:rsid w:val="00076553"/>
    <w:rsid w:val="000767E4"/>
    <w:rsid w:val="00076A2A"/>
    <w:rsid w:val="00076BC7"/>
    <w:rsid w:val="00076C68"/>
    <w:rsid w:val="00076E99"/>
    <w:rsid w:val="000778AB"/>
    <w:rsid w:val="0007795B"/>
    <w:rsid w:val="00077D8C"/>
    <w:rsid w:val="00080076"/>
    <w:rsid w:val="000815A3"/>
    <w:rsid w:val="00081AB5"/>
    <w:rsid w:val="00082D8B"/>
    <w:rsid w:val="00083999"/>
    <w:rsid w:val="000839B7"/>
    <w:rsid w:val="000843C9"/>
    <w:rsid w:val="00086350"/>
    <w:rsid w:val="00090B14"/>
    <w:rsid w:val="00092960"/>
    <w:rsid w:val="00093B6D"/>
    <w:rsid w:val="000948A8"/>
    <w:rsid w:val="0009541B"/>
    <w:rsid w:val="00097D00"/>
    <w:rsid w:val="00097E98"/>
    <w:rsid w:val="000A1A86"/>
    <w:rsid w:val="000A3140"/>
    <w:rsid w:val="000A5537"/>
    <w:rsid w:val="000A5E98"/>
    <w:rsid w:val="000A69E4"/>
    <w:rsid w:val="000B1D7F"/>
    <w:rsid w:val="000B7D93"/>
    <w:rsid w:val="000C142A"/>
    <w:rsid w:val="000C1A5D"/>
    <w:rsid w:val="000C1D5B"/>
    <w:rsid w:val="000C1FF9"/>
    <w:rsid w:val="000C46D4"/>
    <w:rsid w:val="000C46F1"/>
    <w:rsid w:val="000C5A4E"/>
    <w:rsid w:val="000C5D2B"/>
    <w:rsid w:val="000C774A"/>
    <w:rsid w:val="000C7809"/>
    <w:rsid w:val="000C7FFA"/>
    <w:rsid w:val="000D11BE"/>
    <w:rsid w:val="000D1DF0"/>
    <w:rsid w:val="000D22D2"/>
    <w:rsid w:val="000D4E16"/>
    <w:rsid w:val="000D5D03"/>
    <w:rsid w:val="000E03DD"/>
    <w:rsid w:val="000E0D70"/>
    <w:rsid w:val="000E133A"/>
    <w:rsid w:val="000E2223"/>
    <w:rsid w:val="000E59AE"/>
    <w:rsid w:val="000F1CE9"/>
    <w:rsid w:val="000F2DFA"/>
    <w:rsid w:val="000F3690"/>
    <w:rsid w:val="000F55B0"/>
    <w:rsid w:val="000F5B3B"/>
    <w:rsid w:val="000F6112"/>
    <w:rsid w:val="000F64A6"/>
    <w:rsid w:val="00101589"/>
    <w:rsid w:val="00101ED1"/>
    <w:rsid w:val="00102E88"/>
    <w:rsid w:val="001032F1"/>
    <w:rsid w:val="00105C82"/>
    <w:rsid w:val="00105E72"/>
    <w:rsid w:val="00105F53"/>
    <w:rsid w:val="00105F6B"/>
    <w:rsid w:val="001062BC"/>
    <w:rsid w:val="00107EB4"/>
    <w:rsid w:val="00107FB8"/>
    <w:rsid w:val="001109AF"/>
    <w:rsid w:val="001117BA"/>
    <w:rsid w:val="00113EA8"/>
    <w:rsid w:val="00116277"/>
    <w:rsid w:val="0011734C"/>
    <w:rsid w:val="00117624"/>
    <w:rsid w:val="001205F8"/>
    <w:rsid w:val="00120BCD"/>
    <w:rsid w:val="00121011"/>
    <w:rsid w:val="00122F26"/>
    <w:rsid w:val="00126129"/>
    <w:rsid w:val="001261BE"/>
    <w:rsid w:val="001262C4"/>
    <w:rsid w:val="00126AB2"/>
    <w:rsid w:val="00126EDD"/>
    <w:rsid w:val="0013040D"/>
    <w:rsid w:val="0013185C"/>
    <w:rsid w:val="00132672"/>
    <w:rsid w:val="00133096"/>
    <w:rsid w:val="00133771"/>
    <w:rsid w:val="001348A3"/>
    <w:rsid w:val="00136F67"/>
    <w:rsid w:val="00137537"/>
    <w:rsid w:val="001401B3"/>
    <w:rsid w:val="0014067A"/>
    <w:rsid w:val="00141649"/>
    <w:rsid w:val="00142C8A"/>
    <w:rsid w:val="00143095"/>
    <w:rsid w:val="0014379D"/>
    <w:rsid w:val="00143946"/>
    <w:rsid w:val="0014462C"/>
    <w:rsid w:val="001463D2"/>
    <w:rsid w:val="00146BC8"/>
    <w:rsid w:val="00150277"/>
    <w:rsid w:val="0015109C"/>
    <w:rsid w:val="00151D06"/>
    <w:rsid w:val="001530CB"/>
    <w:rsid w:val="00153FFB"/>
    <w:rsid w:val="0015503C"/>
    <w:rsid w:val="001563D3"/>
    <w:rsid w:val="001567FC"/>
    <w:rsid w:val="00160206"/>
    <w:rsid w:val="00160A2F"/>
    <w:rsid w:val="00161577"/>
    <w:rsid w:val="00161CDD"/>
    <w:rsid w:val="00163A5B"/>
    <w:rsid w:val="00166201"/>
    <w:rsid w:val="00170E15"/>
    <w:rsid w:val="00170E45"/>
    <w:rsid w:val="00172641"/>
    <w:rsid w:val="00175363"/>
    <w:rsid w:val="00177263"/>
    <w:rsid w:val="00177654"/>
    <w:rsid w:val="0017789C"/>
    <w:rsid w:val="00177C77"/>
    <w:rsid w:val="00180A9A"/>
    <w:rsid w:val="00181074"/>
    <w:rsid w:val="00181945"/>
    <w:rsid w:val="001820C7"/>
    <w:rsid w:val="001839FA"/>
    <w:rsid w:val="00184078"/>
    <w:rsid w:val="001841A1"/>
    <w:rsid w:val="001847E7"/>
    <w:rsid w:val="00184804"/>
    <w:rsid w:val="00184C0B"/>
    <w:rsid w:val="00186B75"/>
    <w:rsid w:val="00190030"/>
    <w:rsid w:val="00190FBF"/>
    <w:rsid w:val="001910D3"/>
    <w:rsid w:val="001949E0"/>
    <w:rsid w:val="00194C16"/>
    <w:rsid w:val="00195332"/>
    <w:rsid w:val="0019653A"/>
    <w:rsid w:val="001A2A80"/>
    <w:rsid w:val="001A3972"/>
    <w:rsid w:val="001A561D"/>
    <w:rsid w:val="001A5E70"/>
    <w:rsid w:val="001A6DE5"/>
    <w:rsid w:val="001A7980"/>
    <w:rsid w:val="001A7DFA"/>
    <w:rsid w:val="001B00BD"/>
    <w:rsid w:val="001B04A0"/>
    <w:rsid w:val="001B05F2"/>
    <w:rsid w:val="001B1EDC"/>
    <w:rsid w:val="001B41BF"/>
    <w:rsid w:val="001B48F2"/>
    <w:rsid w:val="001B545F"/>
    <w:rsid w:val="001B5A25"/>
    <w:rsid w:val="001B60F8"/>
    <w:rsid w:val="001B6135"/>
    <w:rsid w:val="001B640A"/>
    <w:rsid w:val="001B6D98"/>
    <w:rsid w:val="001B739A"/>
    <w:rsid w:val="001B7D43"/>
    <w:rsid w:val="001C02E5"/>
    <w:rsid w:val="001C17A2"/>
    <w:rsid w:val="001C1B89"/>
    <w:rsid w:val="001C252E"/>
    <w:rsid w:val="001C2C58"/>
    <w:rsid w:val="001C2DD6"/>
    <w:rsid w:val="001C504C"/>
    <w:rsid w:val="001C7552"/>
    <w:rsid w:val="001C78B0"/>
    <w:rsid w:val="001C7B3B"/>
    <w:rsid w:val="001E1827"/>
    <w:rsid w:val="001E2426"/>
    <w:rsid w:val="001E3C05"/>
    <w:rsid w:val="001E41AB"/>
    <w:rsid w:val="001E465A"/>
    <w:rsid w:val="001E5B13"/>
    <w:rsid w:val="001E6010"/>
    <w:rsid w:val="001E7031"/>
    <w:rsid w:val="001F205F"/>
    <w:rsid w:val="001F23DB"/>
    <w:rsid w:val="001F2ABF"/>
    <w:rsid w:val="001F4619"/>
    <w:rsid w:val="001F49BA"/>
    <w:rsid w:val="001F5F84"/>
    <w:rsid w:val="001F61EB"/>
    <w:rsid w:val="001F7AE4"/>
    <w:rsid w:val="002004C0"/>
    <w:rsid w:val="002009A5"/>
    <w:rsid w:val="00201412"/>
    <w:rsid w:val="00201C36"/>
    <w:rsid w:val="00202DEB"/>
    <w:rsid w:val="00202EBC"/>
    <w:rsid w:val="00202ED2"/>
    <w:rsid w:val="00206306"/>
    <w:rsid w:val="0020647B"/>
    <w:rsid w:val="002068E0"/>
    <w:rsid w:val="002071C8"/>
    <w:rsid w:val="002103A7"/>
    <w:rsid w:val="002108F3"/>
    <w:rsid w:val="002124AA"/>
    <w:rsid w:val="00214086"/>
    <w:rsid w:val="00214756"/>
    <w:rsid w:val="002159E0"/>
    <w:rsid w:val="00215B20"/>
    <w:rsid w:val="00216D5B"/>
    <w:rsid w:val="00217574"/>
    <w:rsid w:val="00217B6B"/>
    <w:rsid w:val="002203AA"/>
    <w:rsid w:val="00220411"/>
    <w:rsid w:val="002206E1"/>
    <w:rsid w:val="0022080E"/>
    <w:rsid w:val="002210C4"/>
    <w:rsid w:val="00222B3A"/>
    <w:rsid w:val="00222E41"/>
    <w:rsid w:val="0022424F"/>
    <w:rsid w:val="0022435E"/>
    <w:rsid w:val="002249DC"/>
    <w:rsid w:val="00224B55"/>
    <w:rsid w:val="00225253"/>
    <w:rsid w:val="0023078C"/>
    <w:rsid w:val="00230AC1"/>
    <w:rsid w:val="00231199"/>
    <w:rsid w:val="0023144B"/>
    <w:rsid w:val="00232BF0"/>
    <w:rsid w:val="00232CC0"/>
    <w:rsid w:val="00232CD7"/>
    <w:rsid w:val="002343C8"/>
    <w:rsid w:val="00235239"/>
    <w:rsid w:val="00235E50"/>
    <w:rsid w:val="00237FDB"/>
    <w:rsid w:val="00240E50"/>
    <w:rsid w:val="0024181C"/>
    <w:rsid w:val="0024201B"/>
    <w:rsid w:val="00242905"/>
    <w:rsid w:val="00243339"/>
    <w:rsid w:val="00243D78"/>
    <w:rsid w:val="00244192"/>
    <w:rsid w:val="002451D7"/>
    <w:rsid w:val="0024572E"/>
    <w:rsid w:val="00245758"/>
    <w:rsid w:val="0024674C"/>
    <w:rsid w:val="00246CAB"/>
    <w:rsid w:val="00250286"/>
    <w:rsid w:val="002518BD"/>
    <w:rsid w:val="00251C31"/>
    <w:rsid w:val="00251C9F"/>
    <w:rsid w:val="00252017"/>
    <w:rsid w:val="0025249F"/>
    <w:rsid w:val="00253FE0"/>
    <w:rsid w:val="002540A0"/>
    <w:rsid w:val="002541DB"/>
    <w:rsid w:val="00255C4F"/>
    <w:rsid w:val="00255F6D"/>
    <w:rsid w:val="0025615F"/>
    <w:rsid w:val="00256FD2"/>
    <w:rsid w:val="00260189"/>
    <w:rsid w:val="0026082A"/>
    <w:rsid w:val="00260B96"/>
    <w:rsid w:val="00261A66"/>
    <w:rsid w:val="00261AAC"/>
    <w:rsid w:val="00262042"/>
    <w:rsid w:val="0026278A"/>
    <w:rsid w:val="00264561"/>
    <w:rsid w:val="00265051"/>
    <w:rsid w:val="002656C0"/>
    <w:rsid w:val="002673B1"/>
    <w:rsid w:val="0027086D"/>
    <w:rsid w:val="00272EE9"/>
    <w:rsid w:val="00274118"/>
    <w:rsid w:val="00274A68"/>
    <w:rsid w:val="0027611E"/>
    <w:rsid w:val="00276139"/>
    <w:rsid w:val="00276DE6"/>
    <w:rsid w:val="00277992"/>
    <w:rsid w:val="00277C18"/>
    <w:rsid w:val="002807C8"/>
    <w:rsid w:val="00280AA2"/>
    <w:rsid w:val="00282133"/>
    <w:rsid w:val="00287FC3"/>
    <w:rsid w:val="00290A68"/>
    <w:rsid w:val="00291322"/>
    <w:rsid w:val="00293C72"/>
    <w:rsid w:val="00294368"/>
    <w:rsid w:val="002946C1"/>
    <w:rsid w:val="002966DD"/>
    <w:rsid w:val="002975D1"/>
    <w:rsid w:val="002977BF"/>
    <w:rsid w:val="002A0C97"/>
    <w:rsid w:val="002A1416"/>
    <w:rsid w:val="002A3A75"/>
    <w:rsid w:val="002A45E6"/>
    <w:rsid w:val="002A4DD8"/>
    <w:rsid w:val="002A7385"/>
    <w:rsid w:val="002A784F"/>
    <w:rsid w:val="002B0058"/>
    <w:rsid w:val="002B0986"/>
    <w:rsid w:val="002B1072"/>
    <w:rsid w:val="002B1665"/>
    <w:rsid w:val="002B20D7"/>
    <w:rsid w:val="002B3F7E"/>
    <w:rsid w:val="002B7030"/>
    <w:rsid w:val="002B70CA"/>
    <w:rsid w:val="002C166E"/>
    <w:rsid w:val="002C2140"/>
    <w:rsid w:val="002C27DA"/>
    <w:rsid w:val="002C3F7C"/>
    <w:rsid w:val="002C45E3"/>
    <w:rsid w:val="002C4B18"/>
    <w:rsid w:val="002C5B7A"/>
    <w:rsid w:val="002C7623"/>
    <w:rsid w:val="002D152A"/>
    <w:rsid w:val="002D2518"/>
    <w:rsid w:val="002D2595"/>
    <w:rsid w:val="002D457B"/>
    <w:rsid w:val="002D6252"/>
    <w:rsid w:val="002E026C"/>
    <w:rsid w:val="002E0640"/>
    <w:rsid w:val="002E07CA"/>
    <w:rsid w:val="002E0B5B"/>
    <w:rsid w:val="002E1A32"/>
    <w:rsid w:val="002E1AD1"/>
    <w:rsid w:val="002E1D48"/>
    <w:rsid w:val="002E1E2F"/>
    <w:rsid w:val="002E2746"/>
    <w:rsid w:val="002E2D5D"/>
    <w:rsid w:val="002E4D5E"/>
    <w:rsid w:val="002E50B8"/>
    <w:rsid w:val="002E67E8"/>
    <w:rsid w:val="002E7DAE"/>
    <w:rsid w:val="002F0CED"/>
    <w:rsid w:val="002F1D6A"/>
    <w:rsid w:val="002F1FEE"/>
    <w:rsid w:val="002F213A"/>
    <w:rsid w:val="002F2F9E"/>
    <w:rsid w:val="002F42BE"/>
    <w:rsid w:val="002F6316"/>
    <w:rsid w:val="00300BD1"/>
    <w:rsid w:val="0030167C"/>
    <w:rsid w:val="0030177F"/>
    <w:rsid w:val="003019D7"/>
    <w:rsid w:val="00301FB5"/>
    <w:rsid w:val="00302981"/>
    <w:rsid w:val="003038A6"/>
    <w:rsid w:val="0030492F"/>
    <w:rsid w:val="0030512F"/>
    <w:rsid w:val="003059D2"/>
    <w:rsid w:val="00305F21"/>
    <w:rsid w:val="003069F0"/>
    <w:rsid w:val="00307A1A"/>
    <w:rsid w:val="00312524"/>
    <w:rsid w:val="003142CD"/>
    <w:rsid w:val="00315391"/>
    <w:rsid w:val="00315984"/>
    <w:rsid w:val="00315AC3"/>
    <w:rsid w:val="0031668E"/>
    <w:rsid w:val="00316994"/>
    <w:rsid w:val="00317851"/>
    <w:rsid w:val="0031791A"/>
    <w:rsid w:val="003211FD"/>
    <w:rsid w:val="0032188D"/>
    <w:rsid w:val="00321A3C"/>
    <w:rsid w:val="00322FC5"/>
    <w:rsid w:val="00323002"/>
    <w:rsid w:val="00325920"/>
    <w:rsid w:val="00327125"/>
    <w:rsid w:val="0033065F"/>
    <w:rsid w:val="003308B3"/>
    <w:rsid w:val="0033097A"/>
    <w:rsid w:val="003318CF"/>
    <w:rsid w:val="00331BD0"/>
    <w:rsid w:val="00332312"/>
    <w:rsid w:val="00333223"/>
    <w:rsid w:val="003350A7"/>
    <w:rsid w:val="003351B8"/>
    <w:rsid w:val="00335787"/>
    <w:rsid w:val="003376A1"/>
    <w:rsid w:val="003402E0"/>
    <w:rsid w:val="00341064"/>
    <w:rsid w:val="0034130B"/>
    <w:rsid w:val="00341757"/>
    <w:rsid w:val="0034286F"/>
    <w:rsid w:val="003454A3"/>
    <w:rsid w:val="003473A5"/>
    <w:rsid w:val="003474DE"/>
    <w:rsid w:val="00347FE0"/>
    <w:rsid w:val="00350989"/>
    <w:rsid w:val="003509BF"/>
    <w:rsid w:val="00350A1F"/>
    <w:rsid w:val="00355160"/>
    <w:rsid w:val="00355957"/>
    <w:rsid w:val="00356491"/>
    <w:rsid w:val="00356CE1"/>
    <w:rsid w:val="003571DE"/>
    <w:rsid w:val="00357456"/>
    <w:rsid w:val="00357649"/>
    <w:rsid w:val="00357734"/>
    <w:rsid w:val="00357DC6"/>
    <w:rsid w:val="0036063A"/>
    <w:rsid w:val="00360EAD"/>
    <w:rsid w:val="00361166"/>
    <w:rsid w:val="00362AEA"/>
    <w:rsid w:val="0036345B"/>
    <w:rsid w:val="003637E0"/>
    <w:rsid w:val="003669B4"/>
    <w:rsid w:val="00366EB0"/>
    <w:rsid w:val="0036712F"/>
    <w:rsid w:val="003711E9"/>
    <w:rsid w:val="003717F6"/>
    <w:rsid w:val="0037256C"/>
    <w:rsid w:val="00373ADD"/>
    <w:rsid w:val="00373BFA"/>
    <w:rsid w:val="0037491F"/>
    <w:rsid w:val="003765F9"/>
    <w:rsid w:val="00377EDE"/>
    <w:rsid w:val="00377F3F"/>
    <w:rsid w:val="00381776"/>
    <w:rsid w:val="003837B6"/>
    <w:rsid w:val="00384B23"/>
    <w:rsid w:val="00384E34"/>
    <w:rsid w:val="003852B8"/>
    <w:rsid w:val="0038537D"/>
    <w:rsid w:val="00385CBD"/>
    <w:rsid w:val="00386F60"/>
    <w:rsid w:val="0039048A"/>
    <w:rsid w:val="00393668"/>
    <w:rsid w:val="003943A9"/>
    <w:rsid w:val="003947AA"/>
    <w:rsid w:val="003966C6"/>
    <w:rsid w:val="003970D8"/>
    <w:rsid w:val="003A05D0"/>
    <w:rsid w:val="003A0A6C"/>
    <w:rsid w:val="003A15CC"/>
    <w:rsid w:val="003A1AC6"/>
    <w:rsid w:val="003A1E82"/>
    <w:rsid w:val="003A20F0"/>
    <w:rsid w:val="003A3E20"/>
    <w:rsid w:val="003A6F1A"/>
    <w:rsid w:val="003A73EA"/>
    <w:rsid w:val="003B0B50"/>
    <w:rsid w:val="003B1364"/>
    <w:rsid w:val="003B266C"/>
    <w:rsid w:val="003B353A"/>
    <w:rsid w:val="003B4745"/>
    <w:rsid w:val="003B4A7B"/>
    <w:rsid w:val="003B575C"/>
    <w:rsid w:val="003B58B3"/>
    <w:rsid w:val="003B5F61"/>
    <w:rsid w:val="003B5F9D"/>
    <w:rsid w:val="003B69AF"/>
    <w:rsid w:val="003B6E4E"/>
    <w:rsid w:val="003B74E9"/>
    <w:rsid w:val="003B78CE"/>
    <w:rsid w:val="003C0638"/>
    <w:rsid w:val="003C1E24"/>
    <w:rsid w:val="003C227C"/>
    <w:rsid w:val="003C38B6"/>
    <w:rsid w:val="003C473D"/>
    <w:rsid w:val="003C6A8E"/>
    <w:rsid w:val="003C71BE"/>
    <w:rsid w:val="003C71EF"/>
    <w:rsid w:val="003C76A9"/>
    <w:rsid w:val="003C7C8E"/>
    <w:rsid w:val="003D1602"/>
    <w:rsid w:val="003D1E1F"/>
    <w:rsid w:val="003D3663"/>
    <w:rsid w:val="003D3989"/>
    <w:rsid w:val="003D5A72"/>
    <w:rsid w:val="003D5CD1"/>
    <w:rsid w:val="003D6930"/>
    <w:rsid w:val="003E04A3"/>
    <w:rsid w:val="003E1697"/>
    <w:rsid w:val="003E1A9A"/>
    <w:rsid w:val="003E2764"/>
    <w:rsid w:val="003E2817"/>
    <w:rsid w:val="003E31C0"/>
    <w:rsid w:val="003E407F"/>
    <w:rsid w:val="003E4E82"/>
    <w:rsid w:val="003E5952"/>
    <w:rsid w:val="003E6A26"/>
    <w:rsid w:val="003E6BB8"/>
    <w:rsid w:val="003F1A45"/>
    <w:rsid w:val="003F2D4B"/>
    <w:rsid w:val="003F4793"/>
    <w:rsid w:val="003F489C"/>
    <w:rsid w:val="003F4923"/>
    <w:rsid w:val="003F4F6B"/>
    <w:rsid w:val="003F58B3"/>
    <w:rsid w:val="003F644D"/>
    <w:rsid w:val="003F6768"/>
    <w:rsid w:val="00401C85"/>
    <w:rsid w:val="00401E0E"/>
    <w:rsid w:val="00403780"/>
    <w:rsid w:val="00405804"/>
    <w:rsid w:val="00406250"/>
    <w:rsid w:val="00406276"/>
    <w:rsid w:val="004066E9"/>
    <w:rsid w:val="00406844"/>
    <w:rsid w:val="004069EB"/>
    <w:rsid w:val="004074E9"/>
    <w:rsid w:val="00410BDD"/>
    <w:rsid w:val="00411CCF"/>
    <w:rsid w:val="00411E9B"/>
    <w:rsid w:val="00412290"/>
    <w:rsid w:val="0041274C"/>
    <w:rsid w:val="00413141"/>
    <w:rsid w:val="00413249"/>
    <w:rsid w:val="0041388A"/>
    <w:rsid w:val="004164FF"/>
    <w:rsid w:val="00416A7D"/>
    <w:rsid w:val="00416B0F"/>
    <w:rsid w:val="004178EF"/>
    <w:rsid w:val="00417D76"/>
    <w:rsid w:val="00417E8F"/>
    <w:rsid w:val="00421585"/>
    <w:rsid w:val="004219C1"/>
    <w:rsid w:val="00421DF8"/>
    <w:rsid w:val="0042345A"/>
    <w:rsid w:val="00424139"/>
    <w:rsid w:val="00427000"/>
    <w:rsid w:val="00432F61"/>
    <w:rsid w:val="0043423B"/>
    <w:rsid w:val="0043470C"/>
    <w:rsid w:val="00434FAF"/>
    <w:rsid w:val="004418A6"/>
    <w:rsid w:val="004458EC"/>
    <w:rsid w:val="00445BF9"/>
    <w:rsid w:val="00445D0C"/>
    <w:rsid w:val="00450F2F"/>
    <w:rsid w:val="00451E63"/>
    <w:rsid w:val="00452CA1"/>
    <w:rsid w:val="00454E3E"/>
    <w:rsid w:val="00455A75"/>
    <w:rsid w:val="00456738"/>
    <w:rsid w:val="00456C83"/>
    <w:rsid w:val="00457738"/>
    <w:rsid w:val="00457D47"/>
    <w:rsid w:val="004603A2"/>
    <w:rsid w:val="00460DCF"/>
    <w:rsid w:val="00462874"/>
    <w:rsid w:val="00463E51"/>
    <w:rsid w:val="0046406B"/>
    <w:rsid w:val="0046499F"/>
    <w:rsid w:val="004666CE"/>
    <w:rsid w:val="004667E6"/>
    <w:rsid w:val="0046747B"/>
    <w:rsid w:val="004674A1"/>
    <w:rsid w:val="00470CBC"/>
    <w:rsid w:val="00474304"/>
    <w:rsid w:val="00476035"/>
    <w:rsid w:val="00476316"/>
    <w:rsid w:val="0047640C"/>
    <w:rsid w:val="00477CCC"/>
    <w:rsid w:val="0048108D"/>
    <w:rsid w:val="00481263"/>
    <w:rsid w:val="004812F9"/>
    <w:rsid w:val="004819AE"/>
    <w:rsid w:val="00482358"/>
    <w:rsid w:val="0048264F"/>
    <w:rsid w:val="004834B2"/>
    <w:rsid w:val="004839D8"/>
    <w:rsid w:val="004851DE"/>
    <w:rsid w:val="0048553D"/>
    <w:rsid w:val="00485C20"/>
    <w:rsid w:val="004903A6"/>
    <w:rsid w:val="004909F4"/>
    <w:rsid w:val="00490C01"/>
    <w:rsid w:val="004912F0"/>
    <w:rsid w:val="00492673"/>
    <w:rsid w:val="00494375"/>
    <w:rsid w:val="00494624"/>
    <w:rsid w:val="00494B24"/>
    <w:rsid w:val="00496387"/>
    <w:rsid w:val="004968BC"/>
    <w:rsid w:val="00496A3A"/>
    <w:rsid w:val="00496F09"/>
    <w:rsid w:val="004A1525"/>
    <w:rsid w:val="004A1A16"/>
    <w:rsid w:val="004A20CB"/>
    <w:rsid w:val="004A36F8"/>
    <w:rsid w:val="004A4A71"/>
    <w:rsid w:val="004A53B4"/>
    <w:rsid w:val="004A6E3C"/>
    <w:rsid w:val="004A73D5"/>
    <w:rsid w:val="004A7C0F"/>
    <w:rsid w:val="004A7C7E"/>
    <w:rsid w:val="004B054A"/>
    <w:rsid w:val="004B05A5"/>
    <w:rsid w:val="004B0F06"/>
    <w:rsid w:val="004B286B"/>
    <w:rsid w:val="004B288D"/>
    <w:rsid w:val="004B5769"/>
    <w:rsid w:val="004B5A1E"/>
    <w:rsid w:val="004B61D3"/>
    <w:rsid w:val="004B6668"/>
    <w:rsid w:val="004B68BC"/>
    <w:rsid w:val="004B7FD3"/>
    <w:rsid w:val="004C0C4B"/>
    <w:rsid w:val="004C0DEC"/>
    <w:rsid w:val="004C3533"/>
    <w:rsid w:val="004C398E"/>
    <w:rsid w:val="004C4165"/>
    <w:rsid w:val="004C4231"/>
    <w:rsid w:val="004C47B1"/>
    <w:rsid w:val="004C59AA"/>
    <w:rsid w:val="004C6971"/>
    <w:rsid w:val="004C7239"/>
    <w:rsid w:val="004D2DBC"/>
    <w:rsid w:val="004D325C"/>
    <w:rsid w:val="004D45BC"/>
    <w:rsid w:val="004D4843"/>
    <w:rsid w:val="004D4C11"/>
    <w:rsid w:val="004D64A6"/>
    <w:rsid w:val="004E0B69"/>
    <w:rsid w:val="004E1339"/>
    <w:rsid w:val="004E28F8"/>
    <w:rsid w:val="004E2CC1"/>
    <w:rsid w:val="004E69FC"/>
    <w:rsid w:val="004F0ADC"/>
    <w:rsid w:val="004F0CBB"/>
    <w:rsid w:val="004F1007"/>
    <w:rsid w:val="004F1649"/>
    <w:rsid w:val="004F1B88"/>
    <w:rsid w:val="004F1F03"/>
    <w:rsid w:val="004F22DE"/>
    <w:rsid w:val="004F266F"/>
    <w:rsid w:val="004F2D9A"/>
    <w:rsid w:val="004F36A0"/>
    <w:rsid w:val="004F51F9"/>
    <w:rsid w:val="004F630F"/>
    <w:rsid w:val="004F7513"/>
    <w:rsid w:val="004F758D"/>
    <w:rsid w:val="004F7AA2"/>
    <w:rsid w:val="00500713"/>
    <w:rsid w:val="005014DB"/>
    <w:rsid w:val="00502564"/>
    <w:rsid w:val="00503AD9"/>
    <w:rsid w:val="00504A5D"/>
    <w:rsid w:val="00507F69"/>
    <w:rsid w:val="00513094"/>
    <w:rsid w:val="00513857"/>
    <w:rsid w:val="00513F45"/>
    <w:rsid w:val="00516496"/>
    <w:rsid w:val="00517358"/>
    <w:rsid w:val="00520729"/>
    <w:rsid w:val="0052142B"/>
    <w:rsid w:val="005214FC"/>
    <w:rsid w:val="0052196B"/>
    <w:rsid w:val="00521992"/>
    <w:rsid w:val="00522A68"/>
    <w:rsid w:val="00524274"/>
    <w:rsid w:val="00525C2E"/>
    <w:rsid w:val="00525FA0"/>
    <w:rsid w:val="00526C95"/>
    <w:rsid w:val="00527193"/>
    <w:rsid w:val="005305E7"/>
    <w:rsid w:val="00532471"/>
    <w:rsid w:val="00532D20"/>
    <w:rsid w:val="0053336D"/>
    <w:rsid w:val="00536A8A"/>
    <w:rsid w:val="00536EFE"/>
    <w:rsid w:val="0054295F"/>
    <w:rsid w:val="005442D0"/>
    <w:rsid w:val="00544B2D"/>
    <w:rsid w:val="0054571B"/>
    <w:rsid w:val="00546779"/>
    <w:rsid w:val="00546DDD"/>
    <w:rsid w:val="00547CB6"/>
    <w:rsid w:val="00550782"/>
    <w:rsid w:val="00550B0E"/>
    <w:rsid w:val="005513FF"/>
    <w:rsid w:val="005515C6"/>
    <w:rsid w:val="005526B2"/>
    <w:rsid w:val="00553609"/>
    <w:rsid w:val="005551AF"/>
    <w:rsid w:val="0056076C"/>
    <w:rsid w:val="005618D8"/>
    <w:rsid w:val="00564083"/>
    <w:rsid w:val="005654D8"/>
    <w:rsid w:val="00567005"/>
    <w:rsid w:val="005671A3"/>
    <w:rsid w:val="0057221E"/>
    <w:rsid w:val="005726AE"/>
    <w:rsid w:val="0057317D"/>
    <w:rsid w:val="0057341D"/>
    <w:rsid w:val="00575326"/>
    <w:rsid w:val="005754B8"/>
    <w:rsid w:val="00577672"/>
    <w:rsid w:val="00580856"/>
    <w:rsid w:val="0058276D"/>
    <w:rsid w:val="00584321"/>
    <w:rsid w:val="0058724F"/>
    <w:rsid w:val="00587654"/>
    <w:rsid w:val="00590007"/>
    <w:rsid w:val="0059056E"/>
    <w:rsid w:val="00590703"/>
    <w:rsid w:val="0059156B"/>
    <w:rsid w:val="00591909"/>
    <w:rsid w:val="00591B3F"/>
    <w:rsid w:val="005921DF"/>
    <w:rsid w:val="00592216"/>
    <w:rsid w:val="0059264B"/>
    <w:rsid w:val="00594D31"/>
    <w:rsid w:val="00596A3C"/>
    <w:rsid w:val="005A03EA"/>
    <w:rsid w:val="005A0E2D"/>
    <w:rsid w:val="005A102D"/>
    <w:rsid w:val="005A17A6"/>
    <w:rsid w:val="005A1E1D"/>
    <w:rsid w:val="005A2F2E"/>
    <w:rsid w:val="005A37B0"/>
    <w:rsid w:val="005A3A23"/>
    <w:rsid w:val="005A4AD3"/>
    <w:rsid w:val="005B0215"/>
    <w:rsid w:val="005B078B"/>
    <w:rsid w:val="005B08C2"/>
    <w:rsid w:val="005B1832"/>
    <w:rsid w:val="005B1DC1"/>
    <w:rsid w:val="005B1F63"/>
    <w:rsid w:val="005B2D7A"/>
    <w:rsid w:val="005B30A1"/>
    <w:rsid w:val="005B35AA"/>
    <w:rsid w:val="005B3939"/>
    <w:rsid w:val="005B3A35"/>
    <w:rsid w:val="005B4552"/>
    <w:rsid w:val="005B5349"/>
    <w:rsid w:val="005B5874"/>
    <w:rsid w:val="005B69C6"/>
    <w:rsid w:val="005C14E6"/>
    <w:rsid w:val="005C1804"/>
    <w:rsid w:val="005C23E2"/>
    <w:rsid w:val="005C2805"/>
    <w:rsid w:val="005C2939"/>
    <w:rsid w:val="005C29F1"/>
    <w:rsid w:val="005C462D"/>
    <w:rsid w:val="005C4A12"/>
    <w:rsid w:val="005C4EB8"/>
    <w:rsid w:val="005C6A66"/>
    <w:rsid w:val="005C6C08"/>
    <w:rsid w:val="005C71F6"/>
    <w:rsid w:val="005D0098"/>
    <w:rsid w:val="005D04C7"/>
    <w:rsid w:val="005D0658"/>
    <w:rsid w:val="005D08D9"/>
    <w:rsid w:val="005D1F06"/>
    <w:rsid w:val="005D2DEE"/>
    <w:rsid w:val="005D374D"/>
    <w:rsid w:val="005D49F4"/>
    <w:rsid w:val="005D72F5"/>
    <w:rsid w:val="005E0495"/>
    <w:rsid w:val="005E55D4"/>
    <w:rsid w:val="005E66C4"/>
    <w:rsid w:val="005E7075"/>
    <w:rsid w:val="005E7C3F"/>
    <w:rsid w:val="005F055F"/>
    <w:rsid w:val="005F0DA8"/>
    <w:rsid w:val="005F1A06"/>
    <w:rsid w:val="005F1C7B"/>
    <w:rsid w:val="005F353A"/>
    <w:rsid w:val="005F427C"/>
    <w:rsid w:val="005F7637"/>
    <w:rsid w:val="00600FD5"/>
    <w:rsid w:val="0060157F"/>
    <w:rsid w:val="00602565"/>
    <w:rsid w:val="006026CA"/>
    <w:rsid w:val="00602C24"/>
    <w:rsid w:val="006033CC"/>
    <w:rsid w:val="006046FF"/>
    <w:rsid w:val="00605332"/>
    <w:rsid w:val="006071BB"/>
    <w:rsid w:val="00607C5E"/>
    <w:rsid w:val="00610BE7"/>
    <w:rsid w:val="0061341F"/>
    <w:rsid w:val="006135E5"/>
    <w:rsid w:val="006148C9"/>
    <w:rsid w:val="00614C34"/>
    <w:rsid w:val="006175B9"/>
    <w:rsid w:val="006203D5"/>
    <w:rsid w:val="00620FBD"/>
    <w:rsid w:val="00623189"/>
    <w:rsid w:val="00624B68"/>
    <w:rsid w:val="00625BDA"/>
    <w:rsid w:val="00626020"/>
    <w:rsid w:val="006262DD"/>
    <w:rsid w:val="00627302"/>
    <w:rsid w:val="006302C6"/>
    <w:rsid w:val="006306E9"/>
    <w:rsid w:val="006332CD"/>
    <w:rsid w:val="00633874"/>
    <w:rsid w:val="006358E1"/>
    <w:rsid w:val="006401B2"/>
    <w:rsid w:val="006405C6"/>
    <w:rsid w:val="006416CD"/>
    <w:rsid w:val="00643CFB"/>
    <w:rsid w:val="0064458A"/>
    <w:rsid w:val="00644E37"/>
    <w:rsid w:val="00647AD8"/>
    <w:rsid w:val="006504CD"/>
    <w:rsid w:val="0065155D"/>
    <w:rsid w:val="00652CE6"/>
    <w:rsid w:val="00653D5B"/>
    <w:rsid w:val="00654541"/>
    <w:rsid w:val="006551E9"/>
    <w:rsid w:val="006555CC"/>
    <w:rsid w:val="00655F49"/>
    <w:rsid w:val="00657064"/>
    <w:rsid w:val="006570BA"/>
    <w:rsid w:val="00660795"/>
    <w:rsid w:val="006611FF"/>
    <w:rsid w:val="00662450"/>
    <w:rsid w:val="0066382A"/>
    <w:rsid w:val="0066470E"/>
    <w:rsid w:val="00665374"/>
    <w:rsid w:val="00667054"/>
    <w:rsid w:val="0066766E"/>
    <w:rsid w:val="00667762"/>
    <w:rsid w:val="00667BF6"/>
    <w:rsid w:val="00671807"/>
    <w:rsid w:val="00671BED"/>
    <w:rsid w:val="00671D3B"/>
    <w:rsid w:val="00673E26"/>
    <w:rsid w:val="006744EB"/>
    <w:rsid w:val="00677A88"/>
    <w:rsid w:val="006813A5"/>
    <w:rsid w:val="0068362B"/>
    <w:rsid w:val="00683691"/>
    <w:rsid w:val="006839F3"/>
    <w:rsid w:val="00684384"/>
    <w:rsid w:val="00685713"/>
    <w:rsid w:val="00685FE2"/>
    <w:rsid w:val="006909FA"/>
    <w:rsid w:val="00693735"/>
    <w:rsid w:val="00695884"/>
    <w:rsid w:val="0069611B"/>
    <w:rsid w:val="00696594"/>
    <w:rsid w:val="00696B3B"/>
    <w:rsid w:val="006A009E"/>
    <w:rsid w:val="006A3F1F"/>
    <w:rsid w:val="006A5A8A"/>
    <w:rsid w:val="006A5F8D"/>
    <w:rsid w:val="006B03F1"/>
    <w:rsid w:val="006B0793"/>
    <w:rsid w:val="006B09EC"/>
    <w:rsid w:val="006B358C"/>
    <w:rsid w:val="006B3CAC"/>
    <w:rsid w:val="006B4344"/>
    <w:rsid w:val="006B4D08"/>
    <w:rsid w:val="006B5E7B"/>
    <w:rsid w:val="006B6338"/>
    <w:rsid w:val="006C10F3"/>
    <w:rsid w:val="006C2E80"/>
    <w:rsid w:val="006C4127"/>
    <w:rsid w:val="006C4DB9"/>
    <w:rsid w:val="006C58C2"/>
    <w:rsid w:val="006C63F5"/>
    <w:rsid w:val="006D0337"/>
    <w:rsid w:val="006D091B"/>
    <w:rsid w:val="006D1CEC"/>
    <w:rsid w:val="006D2AF8"/>
    <w:rsid w:val="006D3F11"/>
    <w:rsid w:val="006D4DFB"/>
    <w:rsid w:val="006D6751"/>
    <w:rsid w:val="006D7675"/>
    <w:rsid w:val="006E0E5E"/>
    <w:rsid w:val="006E1852"/>
    <w:rsid w:val="006E3280"/>
    <w:rsid w:val="006E38EC"/>
    <w:rsid w:val="006E3BA8"/>
    <w:rsid w:val="006E5AF9"/>
    <w:rsid w:val="006E7CE4"/>
    <w:rsid w:val="006F0314"/>
    <w:rsid w:val="006F0994"/>
    <w:rsid w:val="006F0E4A"/>
    <w:rsid w:val="006F2352"/>
    <w:rsid w:val="006F27A7"/>
    <w:rsid w:val="006F4313"/>
    <w:rsid w:val="006F50D0"/>
    <w:rsid w:val="006F5F3B"/>
    <w:rsid w:val="006F686E"/>
    <w:rsid w:val="006F7600"/>
    <w:rsid w:val="00700497"/>
    <w:rsid w:val="007007D5"/>
    <w:rsid w:val="00700E8E"/>
    <w:rsid w:val="00701355"/>
    <w:rsid w:val="00701792"/>
    <w:rsid w:val="00701DD3"/>
    <w:rsid w:val="00703154"/>
    <w:rsid w:val="00704AA3"/>
    <w:rsid w:val="00707093"/>
    <w:rsid w:val="00707DCD"/>
    <w:rsid w:val="00710580"/>
    <w:rsid w:val="00710604"/>
    <w:rsid w:val="007106C4"/>
    <w:rsid w:val="0071097D"/>
    <w:rsid w:val="0071265B"/>
    <w:rsid w:val="0071279C"/>
    <w:rsid w:val="00713262"/>
    <w:rsid w:val="007168F5"/>
    <w:rsid w:val="00717DA9"/>
    <w:rsid w:val="00717ECC"/>
    <w:rsid w:val="00720A3F"/>
    <w:rsid w:val="00720B73"/>
    <w:rsid w:val="007217BC"/>
    <w:rsid w:val="00721A3C"/>
    <w:rsid w:val="00721DCD"/>
    <w:rsid w:val="0072218C"/>
    <w:rsid w:val="00723E0E"/>
    <w:rsid w:val="00725404"/>
    <w:rsid w:val="00725CA4"/>
    <w:rsid w:val="00727001"/>
    <w:rsid w:val="00731ADA"/>
    <w:rsid w:val="00731BAC"/>
    <w:rsid w:val="00731DCD"/>
    <w:rsid w:val="00732062"/>
    <w:rsid w:val="00732945"/>
    <w:rsid w:val="00733C5D"/>
    <w:rsid w:val="00734949"/>
    <w:rsid w:val="00734BB0"/>
    <w:rsid w:val="007354D7"/>
    <w:rsid w:val="007364B1"/>
    <w:rsid w:val="0073658C"/>
    <w:rsid w:val="0073669B"/>
    <w:rsid w:val="00740080"/>
    <w:rsid w:val="0074170C"/>
    <w:rsid w:val="00741BFC"/>
    <w:rsid w:val="00742043"/>
    <w:rsid w:val="007432B0"/>
    <w:rsid w:val="00744326"/>
    <w:rsid w:val="0074442E"/>
    <w:rsid w:val="00745F50"/>
    <w:rsid w:val="00746027"/>
    <w:rsid w:val="00750C16"/>
    <w:rsid w:val="0075134F"/>
    <w:rsid w:val="007527CE"/>
    <w:rsid w:val="00752ED1"/>
    <w:rsid w:val="00753027"/>
    <w:rsid w:val="0075334E"/>
    <w:rsid w:val="00755D51"/>
    <w:rsid w:val="00755DE9"/>
    <w:rsid w:val="00757BFA"/>
    <w:rsid w:val="00757C35"/>
    <w:rsid w:val="0076209A"/>
    <w:rsid w:val="0076254B"/>
    <w:rsid w:val="00763598"/>
    <w:rsid w:val="0076512F"/>
    <w:rsid w:val="00770852"/>
    <w:rsid w:val="007708E0"/>
    <w:rsid w:val="00770DDE"/>
    <w:rsid w:val="00771B62"/>
    <w:rsid w:val="007744C6"/>
    <w:rsid w:val="00774E55"/>
    <w:rsid w:val="00776015"/>
    <w:rsid w:val="00776342"/>
    <w:rsid w:val="007765DB"/>
    <w:rsid w:val="00776C53"/>
    <w:rsid w:val="00781A1C"/>
    <w:rsid w:val="00781AEC"/>
    <w:rsid w:val="00781C42"/>
    <w:rsid w:val="007837D4"/>
    <w:rsid w:val="00785151"/>
    <w:rsid w:val="0078542E"/>
    <w:rsid w:val="0078667A"/>
    <w:rsid w:val="00786753"/>
    <w:rsid w:val="00786AEE"/>
    <w:rsid w:val="00787D40"/>
    <w:rsid w:val="007903E0"/>
    <w:rsid w:val="00790F76"/>
    <w:rsid w:val="00791A24"/>
    <w:rsid w:val="007926FC"/>
    <w:rsid w:val="00793DFF"/>
    <w:rsid w:val="0079401E"/>
    <w:rsid w:val="00794456"/>
    <w:rsid w:val="00795084"/>
    <w:rsid w:val="00796114"/>
    <w:rsid w:val="00796840"/>
    <w:rsid w:val="00797ACE"/>
    <w:rsid w:val="007A3E73"/>
    <w:rsid w:val="007A45AD"/>
    <w:rsid w:val="007A555C"/>
    <w:rsid w:val="007A5808"/>
    <w:rsid w:val="007A668E"/>
    <w:rsid w:val="007B007B"/>
    <w:rsid w:val="007B069C"/>
    <w:rsid w:val="007B1424"/>
    <w:rsid w:val="007B25B1"/>
    <w:rsid w:val="007B31A6"/>
    <w:rsid w:val="007B3309"/>
    <w:rsid w:val="007B3F14"/>
    <w:rsid w:val="007B5306"/>
    <w:rsid w:val="007B7ABB"/>
    <w:rsid w:val="007B7C55"/>
    <w:rsid w:val="007C0216"/>
    <w:rsid w:val="007C04EE"/>
    <w:rsid w:val="007C07D3"/>
    <w:rsid w:val="007C3863"/>
    <w:rsid w:val="007C4403"/>
    <w:rsid w:val="007C48EE"/>
    <w:rsid w:val="007C4DF5"/>
    <w:rsid w:val="007C52F0"/>
    <w:rsid w:val="007C56B6"/>
    <w:rsid w:val="007C6A81"/>
    <w:rsid w:val="007C7C19"/>
    <w:rsid w:val="007C7C77"/>
    <w:rsid w:val="007C7D29"/>
    <w:rsid w:val="007D00F8"/>
    <w:rsid w:val="007D1518"/>
    <w:rsid w:val="007D2657"/>
    <w:rsid w:val="007D271E"/>
    <w:rsid w:val="007D44E2"/>
    <w:rsid w:val="007D45C3"/>
    <w:rsid w:val="007D543D"/>
    <w:rsid w:val="007D5F78"/>
    <w:rsid w:val="007D6A23"/>
    <w:rsid w:val="007D6B48"/>
    <w:rsid w:val="007D76B9"/>
    <w:rsid w:val="007E046D"/>
    <w:rsid w:val="007E048E"/>
    <w:rsid w:val="007E0836"/>
    <w:rsid w:val="007E0FF9"/>
    <w:rsid w:val="007E163A"/>
    <w:rsid w:val="007E2343"/>
    <w:rsid w:val="007E2881"/>
    <w:rsid w:val="007E3DAC"/>
    <w:rsid w:val="007E455B"/>
    <w:rsid w:val="007E5585"/>
    <w:rsid w:val="007E6117"/>
    <w:rsid w:val="007E636B"/>
    <w:rsid w:val="007E6C5D"/>
    <w:rsid w:val="007E7561"/>
    <w:rsid w:val="007F0251"/>
    <w:rsid w:val="007F0426"/>
    <w:rsid w:val="007F0FE7"/>
    <w:rsid w:val="007F11E8"/>
    <w:rsid w:val="007F26F7"/>
    <w:rsid w:val="007F36C0"/>
    <w:rsid w:val="007F480E"/>
    <w:rsid w:val="007F4B59"/>
    <w:rsid w:val="007F54F5"/>
    <w:rsid w:val="007F5DEF"/>
    <w:rsid w:val="007F61EF"/>
    <w:rsid w:val="007F69A0"/>
    <w:rsid w:val="007F6ACE"/>
    <w:rsid w:val="007F7E4B"/>
    <w:rsid w:val="008005AE"/>
    <w:rsid w:val="00801C7D"/>
    <w:rsid w:val="00801EAE"/>
    <w:rsid w:val="00802357"/>
    <w:rsid w:val="00802A80"/>
    <w:rsid w:val="00802B88"/>
    <w:rsid w:val="00802F27"/>
    <w:rsid w:val="00803B56"/>
    <w:rsid w:val="00803CD3"/>
    <w:rsid w:val="008041E0"/>
    <w:rsid w:val="00805710"/>
    <w:rsid w:val="0080693F"/>
    <w:rsid w:val="00806989"/>
    <w:rsid w:val="008115A6"/>
    <w:rsid w:val="00812152"/>
    <w:rsid w:val="0081244D"/>
    <w:rsid w:val="00812A0F"/>
    <w:rsid w:val="00813C31"/>
    <w:rsid w:val="008140ED"/>
    <w:rsid w:val="00814772"/>
    <w:rsid w:val="008152BA"/>
    <w:rsid w:val="008156BE"/>
    <w:rsid w:val="00815C2D"/>
    <w:rsid w:val="00815F9C"/>
    <w:rsid w:val="0081744F"/>
    <w:rsid w:val="008203C7"/>
    <w:rsid w:val="00820F09"/>
    <w:rsid w:val="00823D3B"/>
    <w:rsid w:val="008242D5"/>
    <w:rsid w:val="008243B5"/>
    <w:rsid w:val="00824CF4"/>
    <w:rsid w:val="00825C53"/>
    <w:rsid w:val="0082683D"/>
    <w:rsid w:val="00826F54"/>
    <w:rsid w:val="008277A5"/>
    <w:rsid w:val="00827EF9"/>
    <w:rsid w:val="00831624"/>
    <w:rsid w:val="0083209A"/>
    <w:rsid w:val="00832356"/>
    <w:rsid w:val="008324AE"/>
    <w:rsid w:val="0083348B"/>
    <w:rsid w:val="00834855"/>
    <w:rsid w:val="00836ED4"/>
    <w:rsid w:val="00837EC4"/>
    <w:rsid w:val="00841FAB"/>
    <w:rsid w:val="00842651"/>
    <w:rsid w:val="0084283C"/>
    <w:rsid w:val="00844A64"/>
    <w:rsid w:val="008455D2"/>
    <w:rsid w:val="00846D11"/>
    <w:rsid w:val="00847CC3"/>
    <w:rsid w:val="00850DB8"/>
    <w:rsid w:val="00851E01"/>
    <w:rsid w:val="00852090"/>
    <w:rsid w:val="008539F3"/>
    <w:rsid w:val="00854D4D"/>
    <w:rsid w:val="008554C1"/>
    <w:rsid w:val="00855BCC"/>
    <w:rsid w:val="00856134"/>
    <w:rsid w:val="0085670E"/>
    <w:rsid w:val="00861CAB"/>
    <w:rsid w:val="00862A11"/>
    <w:rsid w:val="00863821"/>
    <w:rsid w:val="00864AC0"/>
    <w:rsid w:val="0086560A"/>
    <w:rsid w:val="00866770"/>
    <w:rsid w:val="00866913"/>
    <w:rsid w:val="00866DC1"/>
    <w:rsid w:val="008700F0"/>
    <w:rsid w:val="0087170C"/>
    <w:rsid w:val="00871A39"/>
    <w:rsid w:val="00871B1F"/>
    <w:rsid w:val="008723D8"/>
    <w:rsid w:val="00872525"/>
    <w:rsid w:val="008732EE"/>
    <w:rsid w:val="00875B0D"/>
    <w:rsid w:val="008760CE"/>
    <w:rsid w:val="00876B5B"/>
    <w:rsid w:val="00876E56"/>
    <w:rsid w:val="00876F56"/>
    <w:rsid w:val="00877DC2"/>
    <w:rsid w:val="00880B7B"/>
    <w:rsid w:val="008815C4"/>
    <w:rsid w:val="00881ED6"/>
    <w:rsid w:val="00882BFC"/>
    <w:rsid w:val="00882D0A"/>
    <w:rsid w:val="00883568"/>
    <w:rsid w:val="00883A48"/>
    <w:rsid w:val="00883E07"/>
    <w:rsid w:val="008847F4"/>
    <w:rsid w:val="0088526D"/>
    <w:rsid w:val="0088555B"/>
    <w:rsid w:val="008857BA"/>
    <w:rsid w:val="008858BD"/>
    <w:rsid w:val="00885E3C"/>
    <w:rsid w:val="008860FB"/>
    <w:rsid w:val="008868E0"/>
    <w:rsid w:val="00886AC6"/>
    <w:rsid w:val="00886E14"/>
    <w:rsid w:val="00891184"/>
    <w:rsid w:val="0089198E"/>
    <w:rsid w:val="00893664"/>
    <w:rsid w:val="00895180"/>
    <w:rsid w:val="0089578D"/>
    <w:rsid w:val="0089597A"/>
    <w:rsid w:val="0089634D"/>
    <w:rsid w:val="00896406"/>
    <w:rsid w:val="00897DA0"/>
    <w:rsid w:val="008A152D"/>
    <w:rsid w:val="008A2D59"/>
    <w:rsid w:val="008A3E3C"/>
    <w:rsid w:val="008A531C"/>
    <w:rsid w:val="008A5AA8"/>
    <w:rsid w:val="008A6CA7"/>
    <w:rsid w:val="008A737E"/>
    <w:rsid w:val="008B0653"/>
    <w:rsid w:val="008B1D7F"/>
    <w:rsid w:val="008B2B26"/>
    <w:rsid w:val="008B37B4"/>
    <w:rsid w:val="008B45E7"/>
    <w:rsid w:val="008B4B2A"/>
    <w:rsid w:val="008B4C02"/>
    <w:rsid w:val="008B65E1"/>
    <w:rsid w:val="008B6674"/>
    <w:rsid w:val="008C0B81"/>
    <w:rsid w:val="008C1A52"/>
    <w:rsid w:val="008C2A79"/>
    <w:rsid w:val="008C47FB"/>
    <w:rsid w:val="008C4F60"/>
    <w:rsid w:val="008C5118"/>
    <w:rsid w:val="008C651B"/>
    <w:rsid w:val="008C71CE"/>
    <w:rsid w:val="008C7278"/>
    <w:rsid w:val="008C7FA3"/>
    <w:rsid w:val="008D01DA"/>
    <w:rsid w:val="008D19B5"/>
    <w:rsid w:val="008D2768"/>
    <w:rsid w:val="008D27F8"/>
    <w:rsid w:val="008D4106"/>
    <w:rsid w:val="008D42ED"/>
    <w:rsid w:val="008D5301"/>
    <w:rsid w:val="008D5ADA"/>
    <w:rsid w:val="008D5E6C"/>
    <w:rsid w:val="008D6204"/>
    <w:rsid w:val="008D6439"/>
    <w:rsid w:val="008D7BDF"/>
    <w:rsid w:val="008E019A"/>
    <w:rsid w:val="008E19C5"/>
    <w:rsid w:val="008E38F5"/>
    <w:rsid w:val="008E3F4F"/>
    <w:rsid w:val="008E5A4F"/>
    <w:rsid w:val="008E6857"/>
    <w:rsid w:val="008E73C2"/>
    <w:rsid w:val="008F0966"/>
    <w:rsid w:val="008F13E5"/>
    <w:rsid w:val="008F2351"/>
    <w:rsid w:val="008F454E"/>
    <w:rsid w:val="0090081A"/>
    <w:rsid w:val="00900B9D"/>
    <w:rsid w:val="00901A3C"/>
    <w:rsid w:val="00902DAE"/>
    <w:rsid w:val="00904AAD"/>
    <w:rsid w:val="00904FD7"/>
    <w:rsid w:val="009051CF"/>
    <w:rsid w:val="009065CD"/>
    <w:rsid w:val="00906721"/>
    <w:rsid w:val="009070D8"/>
    <w:rsid w:val="00907109"/>
    <w:rsid w:val="009072E3"/>
    <w:rsid w:val="00907775"/>
    <w:rsid w:val="00907EA6"/>
    <w:rsid w:val="00911EED"/>
    <w:rsid w:val="00913971"/>
    <w:rsid w:val="0091407B"/>
    <w:rsid w:val="00914153"/>
    <w:rsid w:val="009148B1"/>
    <w:rsid w:val="00914C40"/>
    <w:rsid w:val="009152EF"/>
    <w:rsid w:val="009156C3"/>
    <w:rsid w:val="00915E74"/>
    <w:rsid w:val="00915F6C"/>
    <w:rsid w:val="00917876"/>
    <w:rsid w:val="00917F92"/>
    <w:rsid w:val="0092494B"/>
    <w:rsid w:val="009263A4"/>
    <w:rsid w:val="0093003E"/>
    <w:rsid w:val="009331CA"/>
    <w:rsid w:val="0093455A"/>
    <w:rsid w:val="00934DC5"/>
    <w:rsid w:val="00940BE2"/>
    <w:rsid w:val="009429AD"/>
    <w:rsid w:val="00942A4E"/>
    <w:rsid w:val="00942C85"/>
    <w:rsid w:val="00943210"/>
    <w:rsid w:val="009438D4"/>
    <w:rsid w:val="00943EAE"/>
    <w:rsid w:val="00944D50"/>
    <w:rsid w:val="00945940"/>
    <w:rsid w:val="00945EC6"/>
    <w:rsid w:val="009502F6"/>
    <w:rsid w:val="00950D5E"/>
    <w:rsid w:val="00950EED"/>
    <w:rsid w:val="00952326"/>
    <w:rsid w:val="00952D80"/>
    <w:rsid w:val="009530F0"/>
    <w:rsid w:val="0095382C"/>
    <w:rsid w:val="00954B2C"/>
    <w:rsid w:val="00955076"/>
    <w:rsid w:val="009554B6"/>
    <w:rsid w:val="009563FF"/>
    <w:rsid w:val="0095753E"/>
    <w:rsid w:val="00957791"/>
    <w:rsid w:val="009578C2"/>
    <w:rsid w:val="00957E03"/>
    <w:rsid w:val="00962047"/>
    <w:rsid w:val="00966DF3"/>
    <w:rsid w:val="00967220"/>
    <w:rsid w:val="00967819"/>
    <w:rsid w:val="0096788F"/>
    <w:rsid w:val="00970316"/>
    <w:rsid w:val="00971362"/>
    <w:rsid w:val="009718B5"/>
    <w:rsid w:val="009720B5"/>
    <w:rsid w:val="00972849"/>
    <w:rsid w:val="00974548"/>
    <w:rsid w:val="00974CFF"/>
    <w:rsid w:val="00975DF1"/>
    <w:rsid w:val="00976548"/>
    <w:rsid w:val="00976EF7"/>
    <w:rsid w:val="009775AC"/>
    <w:rsid w:val="009805CA"/>
    <w:rsid w:val="009818E1"/>
    <w:rsid w:val="00982673"/>
    <w:rsid w:val="009834AB"/>
    <w:rsid w:val="00987A7F"/>
    <w:rsid w:val="009901F6"/>
    <w:rsid w:val="00990833"/>
    <w:rsid w:val="00990AB8"/>
    <w:rsid w:val="0099281F"/>
    <w:rsid w:val="00993CAA"/>
    <w:rsid w:val="009947E4"/>
    <w:rsid w:val="00994FE4"/>
    <w:rsid w:val="00995477"/>
    <w:rsid w:val="009960B8"/>
    <w:rsid w:val="009966F8"/>
    <w:rsid w:val="00997743"/>
    <w:rsid w:val="009A0173"/>
    <w:rsid w:val="009A1507"/>
    <w:rsid w:val="009A3828"/>
    <w:rsid w:val="009B02CC"/>
    <w:rsid w:val="009B095A"/>
    <w:rsid w:val="009B127D"/>
    <w:rsid w:val="009B1327"/>
    <w:rsid w:val="009B1D50"/>
    <w:rsid w:val="009B2174"/>
    <w:rsid w:val="009B3810"/>
    <w:rsid w:val="009B3876"/>
    <w:rsid w:val="009B56EB"/>
    <w:rsid w:val="009B6527"/>
    <w:rsid w:val="009B6566"/>
    <w:rsid w:val="009C147F"/>
    <w:rsid w:val="009C2168"/>
    <w:rsid w:val="009C46EB"/>
    <w:rsid w:val="009C4753"/>
    <w:rsid w:val="009C49BC"/>
    <w:rsid w:val="009C597B"/>
    <w:rsid w:val="009C6738"/>
    <w:rsid w:val="009D1B9C"/>
    <w:rsid w:val="009D1D68"/>
    <w:rsid w:val="009D22B1"/>
    <w:rsid w:val="009D2C6D"/>
    <w:rsid w:val="009D39B4"/>
    <w:rsid w:val="009D3DA3"/>
    <w:rsid w:val="009D68D8"/>
    <w:rsid w:val="009D7369"/>
    <w:rsid w:val="009E016A"/>
    <w:rsid w:val="009E07D1"/>
    <w:rsid w:val="009E1639"/>
    <w:rsid w:val="009E4B76"/>
    <w:rsid w:val="009E5A7C"/>
    <w:rsid w:val="009E5ED6"/>
    <w:rsid w:val="009E67E3"/>
    <w:rsid w:val="009E6C55"/>
    <w:rsid w:val="009F032D"/>
    <w:rsid w:val="009F0901"/>
    <w:rsid w:val="009F0F99"/>
    <w:rsid w:val="009F1515"/>
    <w:rsid w:val="009F1564"/>
    <w:rsid w:val="009F1E28"/>
    <w:rsid w:val="009F4D4E"/>
    <w:rsid w:val="009F5D21"/>
    <w:rsid w:val="009F634E"/>
    <w:rsid w:val="009F6D8F"/>
    <w:rsid w:val="009F7C0B"/>
    <w:rsid w:val="009F7C22"/>
    <w:rsid w:val="00A004F5"/>
    <w:rsid w:val="00A02418"/>
    <w:rsid w:val="00A02BE7"/>
    <w:rsid w:val="00A031B9"/>
    <w:rsid w:val="00A04026"/>
    <w:rsid w:val="00A05B8C"/>
    <w:rsid w:val="00A064AF"/>
    <w:rsid w:val="00A06FDB"/>
    <w:rsid w:val="00A10496"/>
    <w:rsid w:val="00A10AA0"/>
    <w:rsid w:val="00A116EE"/>
    <w:rsid w:val="00A12554"/>
    <w:rsid w:val="00A12F95"/>
    <w:rsid w:val="00A13DE1"/>
    <w:rsid w:val="00A13E4B"/>
    <w:rsid w:val="00A146D0"/>
    <w:rsid w:val="00A17945"/>
    <w:rsid w:val="00A2473F"/>
    <w:rsid w:val="00A2509E"/>
    <w:rsid w:val="00A25AC8"/>
    <w:rsid w:val="00A26606"/>
    <w:rsid w:val="00A26B3E"/>
    <w:rsid w:val="00A26B4E"/>
    <w:rsid w:val="00A304F8"/>
    <w:rsid w:val="00A30868"/>
    <w:rsid w:val="00A31A6F"/>
    <w:rsid w:val="00A3220B"/>
    <w:rsid w:val="00A34F1C"/>
    <w:rsid w:val="00A35996"/>
    <w:rsid w:val="00A36663"/>
    <w:rsid w:val="00A36B66"/>
    <w:rsid w:val="00A37679"/>
    <w:rsid w:val="00A40AF4"/>
    <w:rsid w:val="00A42037"/>
    <w:rsid w:val="00A43F26"/>
    <w:rsid w:val="00A442F4"/>
    <w:rsid w:val="00A44D49"/>
    <w:rsid w:val="00A45636"/>
    <w:rsid w:val="00A45EF1"/>
    <w:rsid w:val="00A4673D"/>
    <w:rsid w:val="00A50DE4"/>
    <w:rsid w:val="00A51F01"/>
    <w:rsid w:val="00A52DA7"/>
    <w:rsid w:val="00A53D4D"/>
    <w:rsid w:val="00A55744"/>
    <w:rsid w:val="00A562EE"/>
    <w:rsid w:val="00A565A9"/>
    <w:rsid w:val="00A5735E"/>
    <w:rsid w:val="00A5750B"/>
    <w:rsid w:val="00A602CE"/>
    <w:rsid w:val="00A60FC7"/>
    <w:rsid w:val="00A61505"/>
    <w:rsid w:val="00A62789"/>
    <w:rsid w:val="00A63B25"/>
    <w:rsid w:val="00A64B43"/>
    <w:rsid w:val="00A6547D"/>
    <w:rsid w:val="00A66813"/>
    <w:rsid w:val="00A66EB2"/>
    <w:rsid w:val="00A736FF"/>
    <w:rsid w:val="00A73742"/>
    <w:rsid w:val="00A73A74"/>
    <w:rsid w:val="00A74F60"/>
    <w:rsid w:val="00A817DE"/>
    <w:rsid w:val="00A82CD9"/>
    <w:rsid w:val="00A8362E"/>
    <w:rsid w:val="00A840E9"/>
    <w:rsid w:val="00A84E48"/>
    <w:rsid w:val="00A85991"/>
    <w:rsid w:val="00A9173A"/>
    <w:rsid w:val="00A9279B"/>
    <w:rsid w:val="00A95934"/>
    <w:rsid w:val="00A95DC0"/>
    <w:rsid w:val="00A97491"/>
    <w:rsid w:val="00AA0731"/>
    <w:rsid w:val="00AA1F7D"/>
    <w:rsid w:val="00AA2192"/>
    <w:rsid w:val="00AA2779"/>
    <w:rsid w:val="00AA2B1F"/>
    <w:rsid w:val="00AA368A"/>
    <w:rsid w:val="00AB14D3"/>
    <w:rsid w:val="00AB2805"/>
    <w:rsid w:val="00AB2A87"/>
    <w:rsid w:val="00AB3B77"/>
    <w:rsid w:val="00AB41F3"/>
    <w:rsid w:val="00AB43B4"/>
    <w:rsid w:val="00AB45CE"/>
    <w:rsid w:val="00AB5B11"/>
    <w:rsid w:val="00AC0062"/>
    <w:rsid w:val="00AC0C72"/>
    <w:rsid w:val="00AC10BC"/>
    <w:rsid w:val="00AC13AE"/>
    <w:rsid w:val="00AC2973"/>
    <w:rsid w:val="00AC3DD7"/>
    <w:rsid w:val="00AC450A"/>
    <w:rsid w:val="00AC6672"/>
    <w:rsid w:val="00AC6F8E"/>
    <w:rsid w:val="00AC7C1F"/>
    <w:rsid w:val="00AC7D61"/>
    <w:rsid w:val="00AC7F0A"/>
    <w:rsid w:val="00AD0613"/>
    <w:rsid w:val="00AD1E47"/>
    <w:rsid w:val="00AD2175"/>
    <w:rsid w:val="00AD404F"/>
    <w:rsid w:val="00AD45DE"/>
    <w:rsid w:val="00AD56A7"/>
    <w:rsid w:val="00AE0FAC"/>
    <w:rsid w:val="00AE19A7"/>
    <w:rsid w:val="00AE1B37"/>
    <w:rsid w:val="00AE30D1"/>
    <w:rsid w:val="00AE32FF"/>
    <w:rsid w:val="00AE4DFB"/>
    <w:rsid w:val="00AE6A6D"/>
    <w:rsid w:val="00AE6CA6"/>
    <w:rsid w:val="00AE6DF1"/>
    <w:rsid w:val="00AE76C5"/>
    <w:rsid w:val="00AF0AEC"/>
    <w:rsid w:val="00AF3EDA"/>
    <w:rsid w:val="00AF40D4"/>
    <w:rsid w:val="00AF5070"/>
    <w:rsid w:val="00AF59AA"/>
    <w:rsid w:val="00AF6934"/>
    <w:rsid w:val="00AF6FAB"/>
    <w:rsid w:val="00AF72AB"/>
    <w:rsid w:val="00AF7712"/>
    <w:rsid w:val="00B0049E"/>
    <w:rsid w:val="00B00D2B"/>
    <w:rsid w:val="00B02179"/>
    <w:rsid w:val="00B0286D"/>
    <w:rsid w:val="00B02DE9"/>
    <w:rsid w:val="00B03C48"/>
    <w:rsid w:val="00B04523"/>
    <w:rsid w:val="00B06327"/>
    <w:rsid w:val="00B10278"/>
    <w:rsid w:val="00B107F1"/>
    <w:rsid w:val="00B10A90"/>
    <w:rsid w:val="00B10B9C"/>
    <w:rsid w:val="00B1183F"/>
    <w:rsid w:val="00B12289"/>
    <w:rsid w:val="00B13A33"/>
    <w:rsid w:val="00B15B9E"/>
    <w:rsid w:val="00B161C2"/>
    <w:rsid w:val="00B16E4C"/>
    <w:rsid w:val="00B16FE1"/>
    <w:rsid w:val="00B1737E"/>
    <w:rsid w:val="00B20771"/>
    <w:rsid w:val="00B20D0D"/>
    <w:rsid w:val="00B20EC8"/>
    <w:rsid w:val="00B21729"/>
    <w:rsid w:val="00B224E5"/>
    <w:rsid w:val="00B22E35"/>
    <w:rsid w:val="00B23B72"/>
    <w:rsid w:val="00B243B9"/>
    <w:rsid w:val="00B245F4"/>
    <w:rsid w:val="00B2460E"/>
    <w:rsid w:val="00B24A46"/>
    <w:rsid w:val="00B25B7E"/>
    <w:rsid w:val="00B25D11"/>
    <w:rsid w:val="00B25FF1"/>
    <w:rsid w:val="00B2668D"/>
    <w:rsid w:val="00B30A22"/>
    <w:rsid w:val="00B3182A"/>
    <w:rsid w:val="00B32185"/>
    <w:rsid w:val="00B33064"/>
    <w:rsid w:val="00B34009"/>
    <w:rsid w:val="00B34088"/>
    <w:rsid w:val="00B35A9F"/>
    <w:rsid w:val="00B36C51"/>
    <w:rsid w:val="00B3737F"/>
    <w:rsid w:val="00B40541"/>
    <w:rsid w:val="00B40618"/>
    <w:rsid w:val="00B40A07"/>
    <w:rsid w:val="00B41DD9"/>
    <w:rsid w:val="00B41F26"/>
    <w:rsid w:val="00B43FCA"/>
    <w:rsid w:val="00B4666B"/>
    <w:rsid w:val="00B46D64"/>
    <w:rsid w:val="00B47A9D"/>
    <w:rsid w:val="00B50094"/>
    <w:rsid w:val="00B51EBF"/>
    <w:rsid w:val="00B52B62"/>
    <w:rsid w:val="00B52CFF"/>
    <w:rsid w:val="00B53072"/>
    <w:rsid w:val="00B53668"/>
    <w:rsid w:val="00B53827"/>
    <w:rsid w:val="00B546CE"/>
    <w:rsid w:val="00B5499B"/>
    <w:rsid w:val="00B55447"/>
    <w:rsid w:val="00B56A70"/>
    <w:rsid w:val="00B57A2D"/>
    <w:rsid w:val="00B60806"/>
    <w:rsid w:val="00B61731"/>
    <w:rsid w:val="00B61E8A"/>
    <w:rsid w:val="00B61FED"/>
    <w:rsid w:val="00B62076"/>
    <w:rsid w:val="00B6330F"/>
    <w:rsid w:val="00B63AA5"/>
    <w:rsid w:val="00B650EE"/>
    <w:rsid w:val="00B65C26"/>
    <w:rsid w:val="00B712F4"/>
    <w:rsid w:val="00B71ECC"/>
    <w:rsid w:val="00B72F31"/>
    <w:rsid w:val="00B74F75"/>
    <w:rsid w:val="00B750DA"/>
    <w:rsid w:val="00B7514A"/>
    <w:rsid w:val="00B76F8E"/>
    <w:rsid w:val="00B77301"/>
    <w:rsid w:val="00B77E54"/>
    <w:rsid w:val="00B77E7D"/>
    <w:rsid w:val="00B8180B"/>
    <w:rsid w:val="00B828A8"/>
    <w:rsid w:val="00B82BC1"/>
    <w:rsid w:val="00B84C90"/>
    <w:rsid w:val="00B859DF"/>
    <w:rsid w:val="00B85C00"/>
    <w:rsid w:val="00B86716"/>
    <w:rsid w:val="00B87203"/>
    <w:rsid w:val="00B90A00"/>
    <w:rsid w:val="00B90CC6"/>
    <w:rsid w:val="00B91EBB"/>
    <w:rsid w:val="00B929DE"/>
    <w:rsid w:val="00B93632"/>
    <w:rsid w:val="00B94E00"/>
    <w:rsid w:val="00B94FE5"/>
    <w:rsid w:val="00B95105"/>
    <w:rsid w:val="00B951F4"/>
    <w:rsid w:val="00B95C97"/>
    <w:rsid w:val="00B9698D"/>
    <w:rsid w:val="00BA00AA"/>
    <w:rsid w:val="00BA3FCE"/>
    <w:rsid w:val="00BA4FAC"/>
    <w:rsid w:val="00BA5CA3"/>
    <w:rsid w:val="00BA798C"/>
    <w:rsid w:val="00BB0807"/>
    <w:rsid w:val="00BB1828"/>
    <w:rsid w:val="00BB1D2D"/>
    <w:rsid w:val="00BB2036"/>
    <w:rsid w:val="00BB23F0"/>
    <w:rsid w:val="00BB276F"/>
    <w:rsid w:val="00BB43A2"/>
    <w:rsid w:val="00BB44A3"/>
    <w:rsid w:val="00BB4BAA"/>
    <w:rsid w:val="00BB51A8"/>
    <w:rsid w:val="00BB5D80"/>
    <w:rsid w:val="00BB6466"/>
    <w:rsid w:val="00BB6785"/>
    <w:rsid w:val="00BB73B0"/>
    <w:rsid w:val="00BB7D13"/>
    <w:rsid w:val="00BB7DAE"/>
    <w:rsid w:val="00BC064E"/>
    <w:rsid w:val="00BC1E70"/>
    <w:rsid w:val="00BC223F"/>
    <w:rsid w:val="00BC38F6"/>
    <w:rsid w:val="00BC3B67"/>
    <w:rsid w:val="00BC43DE"/>
    <w:rsid w:val="00BC4A25"/>
    <w:rsid w:val="00BC56AE"/>
    <w:rsid w:val="00BC5AC3"/>
    <w:rsid w:val="00BC6469"/>
    <w:rsid w:val="00BC7780"/>
    <w:rsid w:val="00BD0BE3"/>
    <w:rsid w:val="00BD1375"/>
    <w:rsid w:val="00BD37E4"/>
    <w:rsid w:val="00BD48FB"/>
    <w:rsid w:val="00BD4DCB"/>
    <w:rsid w:val="00BD4E74"/>
    <w:rsid w:val="00BD5F9A"/>
    <w:rsid w:val="00BD64E4"/>
    <w:rsid w:val="00BD73B3"/>
    <w:rsid w:val="00BE15CD"/>
    <w:rsid w:val="00BE1CDA"/>
    <w:rsid w:val="00BE2566"/>
    <w:rsid w:val="00BE2E13"/>
    <w:rsid w:val="00BE48CA"/>
    <w:rsid w:val="00BE587B"/>
    <w:rsid w:val="00BE7FA6"/>
    <w:rsid w:val="00BF1951"/>
    <w:rsid w:val="00BF19AB"/>
    <w:rsid w:val="00BF2566"/>
    <w:rsid w:val="00BF29F1"/>
    <w:rsid w:val="00BF31DC"/>
    <w:rsid w:val="00BF38F9"/>
    <w:rsid w:val="00BF5018"/>
    <w:rsid w:val="00BF5667"/>
    <w:rsid w:val="00BF6185"/>
    <w:rsid w:val="00BF61C1"/>
    <w:rsid w:val="00BF6BD0"/>
    <w:rsid w:val="00C00191"/>
    <w:rsid w:val="00C01508"/>
    <w:rsid w:val="00C01874"/>
    <w:rsid w:val="00C02A0D"/>
    <w:rsid w:val="00C02A3B"/>
    <w:rsid w:val="00C03740"/>
    <w:rsid w:val="00C03CC2"/>
    <w:rsid w:val="00C04CE4"/>
    <w:rsid w:val="00C06BF7"/>
    <w:rsid w:val="00C114FA"/>
    <w:rsid w:val="00C12468"/>
    <w:rsid w:val="00C1430E"/>
    <w:rsid w:val="00C14623"/>
    <w:rsid w:val="00C15A0D"/>
    <w:rsid w:val="00C17422"/>
    <w:rsid w:val="00C1794A"/>
    <w:rsid w:val="00C17CFC"/>
    <w:rsid w:val="00C20D1C"/>
    <w:rsid w:val="00C21638"/>
    <w:rsid w:val="00C225A4"/>
    <w:rsid w:val="00C257AC"/>
    <w:rsid w:val="00C26DAC"/>
    <w:rsid w:val="00C270F2"/>
    <w:rsid w:val="00C317E9"/>
    <w:rsid w:val="00C32769"/>
    <w:rsid w:val="00C331B1"/>
    <w:rsid w:val="00C33C1B"/>
    <w:rsid w:val="00C3443F"/>
    <w:rsid w:val="00C35895"/>
    <w:rsid w:val="00C35B9F"/>
    <w:rsid w:val="00C36029"/>
    <w:rsid w:val="00C36820"/>
    <w:rsid w:val="00C37F54"/>
    <w:rsid w:val="00C4061B"/>
    <w:rsid w:val="00C43952"/>
    <w:rsid w:val="00C44138"/>
    <w:rsid w:val="00C44559"/>
    <w:rsid w:val="00C46D63"/>
    <w:rsid w:val="00C46EF2"/>
    <w:rsid w:val="00C5133D"/>
    <w:rsid w:val="00C5172E"/>
    <w:rsid w:val="00C524EB"/>
    <w:rsid w:val="00C52C54"/>
    <w:rsid w:val="00C5397A"/>
    <w:rsid w:val="00C53E2B"/>
    <w:rsid w:val="00C5440D"/>
    <w:rsid w:val="00C56B83"/>
    <w:rsid w:val="00C56F0B"/>
    <w:rsid w:val="00C56F3C"/>
    <w:rsid w:val="00C60308"/>
    <w:rsid w:val="00C60EE9"/>
    <w:rsid w:val="00C629DE"/>
    <w:rsid w:val="00C62CE8"/>
    <w:rsid w:val="00C639AE"/>
    <w:rsid w:val="00C64D55"/>
    <w:rsid w:val="00C652A6"/>
    <w:rsid w:val="00C652FC"/>
    <w:rsid w:val="00C66AE9"/>
    <w:rsid w:val="00C71D9D"/>
    <w:rsid w:val="00C71E18"/>
    <w:rsid w:val="00C73215"/>
    <w:rsid w:val="00C74F22"/>
    <w:rsid w:val="00C7522B"/>
    <w:rsid w:val="00C757E2"/>
    <w:rsid w:val="00C758CC"/>
    <w:rsid w:val="00C76366"/>
    <w:rsid w:val="00C767FD"/>
    <w:rsid w:val="00C7792E"/>
    <w:rsid w:val="00C80D7A"/>
    <w:rsid w:val="00C80FE9"/>
    <w:rsid w:val="00C81151"/>
    <w:rsid w:val="00C8166C"/>
    <w:rsid w:val="00C81A6F"/>
    <w:rsid w:val="00C831CB"/>
    <w:rsid w:val="00C83728"/>
    <w:rsid w:val="00C857D1"/>
    <w:rsid w:val="00C86989"/>
    <w:rsid w:val="00C869FB"/>
    <w:rsid w:val="00C86DC9"/>
    <w:rsid w:val="00C8789E"/>
    <w:rsid w:val="00C917C5"/>
    <w:rsid w:val="00C92F70"/>
    <w:rsid w:val="00C9420C"/>
    <w:rsid w:val="00C94E47"/>
    <w:rsid w:val="00C955DA"/>
    <w:rsid w:val="00C959FA"/>
    <w:rsid w:val="00C970EE"/>
    <w:rsid w:val="00CA18A0"/>
    <w:rsid w:val="00CA25F9"/>
    <w:rsid w:val="00CA3722"/>
    <w:rsid w:val="00CA40BA"/>
    <w:rsid w:val="00CA44E2"/>
    <w:rsid w:val="00CA65AD"/>
    <w:rsid w:val="00CA7323"/>
    <w:rsid w:val="00CA75A9"/>
    <w:rsid w:val="00CB04EE"/>
    <w:rsid w:val="00CB2CF8"/>
    <w:rsid w:val="00CB301B"/>
    <w:rsid w:val="00CB3310"/>
    <w:rsid w:val="00CB58D8"/>
    <w:rsid w:val="00CB5ADE"/>
    <w:rsid w:val="00CB5D76"/>
    <w:rsid w:val="00CB6807"/>
    <w:rsid w:val="00CC1076"/>
    <w:rsid w:val="00CC1860"/>
    <w:rsid w:val="00CC1E65"/>
    <w:rsid w:val="00CC233B"/>
    <w:rsid w:val="00CC2572"/>
    <w:rsid w:val="00CC2791"/>
    <w:rsid w:val="00CC3037"/>
    <w:rsid w:val="00CC309F"/>
    <w:rsid w:val="00CC417C"/>
    <w:rsid w:val="00CC5715"/>
    <w:rsid w:val="00CC5AD7"/>
    <w:rsid w:val="00CC6A9E"/>
    <w:rsid w:val="00CC6DFB"/>
    <w:rsid w:val="00CC7769"/>
    <w:rsid w:val="00CD14F9"/>
    <w:rsid w:val="00CD158D"/>
    <w:rsid w:val="00CD1AD4"/>
    <w:rsid w:val="00CD1D66"/>
    <w:rsid w:val="00CD2237"/>
    <w:rsid w:val="00CD44B1"/>
    <w:rsid w:val="00CD4B8B"/>
    <w:rsid w:val="00CD662B"/>
    <w:rsid w:val="00CD66E0"/>
    <w:rsid w:val="00CD6A66"/>
    <w:rsid w:val="00CD7AAD"/>
    <w:rsid w:val="00CE19C7"/>
    <w:rsid w:val="00CE1CF2"/>
    <w:rsid w:val="00CE2A26"/>
    <w:rsid w:val="00CE3669"/>
    <w:rsid w:val="00CE451F"/>
    <w:rsid w:val="00CE5DD9"/>
    <w:rsid w:val="00CE6189"/>
    <w:rsid w:val="00CE69D2"/>
    <w:rsid w:val="00CF0D1D"/>
    <w:rsid w:val="00CF11D8"/>
    <w:rsid w:val="00CF2AD8"/>
    <w:rsid w:val="00CF2D23"/>
    <w:rsid w:val="00CF38B9"/>
    <w:rsid w:val="00CF4E5D"/>
    <w:rsid w:val="00CF6FF9"/>
    <w:rsid w:val="00CF7782"/>
    <w:rsid w:val="00D0366C"/>
    <w:rsid w:val="00D06108"/>
    <w:rsid w:val="00D118EA"/>
    <w:rsid w:val="00D11BE3"/>
    <w:rsid w:val="00D126D6"/>
    <w:rsid w:val="00D13F28"/>
    <w:rsid w:val="00D14661"/>
    <w:rsid w:val="00D14B1E"/>
    <w:rsid w:val="00D150ED"/>
    <w:rsid w:val="00D17175"/>
    <w:rsid w:val="00D17327"/>
    <w:rsid w:val="00D213F1"/>
    <w:rsid w:val="00D23F9F"/>
    <w:rsid w:val="00D24112"/>
    <w:rsid w:val="00D24454"/>
    <w:rsid w:val="00D25596"/>
    <w:rsid w:val="00D2717F"/>
    <w:rsid w:val="00D277FE"/>
    <w:rsid w:val="00D313BD"/>
    <w:rsid w:val="00D3577A"/>
    <w:rsid w:val="00D365F7"/>
    <w:rsid w:val="00D36847"/>
    <w:rsid w:val="00D36E6D"/>
    <w:rsid w:val="00D4032F"/>
    <w:rsid w:val="00D4086A"/>
    <w:rsid w:val="00D40D47"/>
    <w:rsid w:val="00D4286C"/>
    <w:rsid w:val="00D428B5"/>
    <w:rsid w:val="00D43123"/>
    <w:rsid w:val="00D436EF"/>
    <w:rsid w:val="00D44685"/>
    <w:rsid w:val="00D4487A"/>
    <w:rsid w:val="00D44BB9"/>
    <w:rsid w:val="00D45056"/>
    <w:rsid w:val="00D459F7"/>
    <w:rsid w:val="00D45CB1"/>
    <w:rsid w:val="00D471FC"/>
    <w:rsid w:val="00D47E23"/>
    <w:rsid w:val="00D510C8"/>
    <w:rsid w:val="00D513DD"/>
    <w:rsid w:val="00D51C88"/>
    <w:rsid w:val="00D52BDD"/>
    <w:rsid w:val="00D52CBC"/>
    <w:rsid w:val="00D54DD6"/>
    <w:rsid w:val="00D559F9"/>
    <w:rsid w:val="00D60B35"/>
    <w:rsid w:val="00D62901"/>
    <w:rsid w:val="00D62B55"/>
    <w:rsid w:val="00D6324D"/>
    <w:rsid w:val="00D6343B"/>
    <w:rsid w:val="00D636EC"/>
    <w:rsid w:val="00D63EE8"/>
    <w:rsid w:val="00D64FB7"/>
    <w:rsid w:val="00D65077"/>
    <w:rsid w:val="00D652A5"/>
    <w:rsid w:val="00D668E4"/>
    <w:rsid w:val="00D674A8"/>
    <w:rsid w:val="00D7030B"/>
    <w:rsid w:val="00D70BC2"/>
    <w:rsid w:val="00D71D36"/>
    <w:rsid w:val="00D7354B"/>
    <w:rsid w:val="00D739B1"/>
    <w:rsid w:val="00D74231"/>
    <w:rsid w:val="00D747D0"/>
    <w:rsid w:val="00D7552D"/>
    <w:rsid w:val="00D77B71"/>
    <w:rsid w:val="00D8072C"/>
    <w:rsid w:val="00D83589"/>
    <w:rsid w:val="00D85BED"/>
    <w:rsid w:val="00D86D8E"/>
    <w:rsid w:val="00D87740"/>
    <w:rsid w:val="00D9051B"/>
    <w:rsid w:val="00D9317F"/>
    <w:rsid w:val="00D937A2"/>
    <w:rsid w:val="00D94AEA"/>
    <w:rsid w:val="00D95B78"/>
    <w:rsid w:val="00D96B56"/>
    <w:rsid w:val="00D97C17"/>
    <w:rsid w:val="00DA00E9"/>
    <w:rsid w:val="00DA167C"/>
    <w:rsid w:val="00DA1D0E"/>
    <w:rsid w:val="00DA252A"/>
    <w:rsid w:val="00DA2AB2"/>
    <w:rsid w:val="00DA3562"/>
    <w:rsid w:val="00DA3CFA"/>
    <w:rsid w:val="00DA57DB"/>
    <w:rsid w:val="00DA646D"/>
    <w:rsid w:val="00DA674A"/>
    <w:rsid w:val="00DA7032"/>
    <w:rsid w:val="00DB1602"/>
    <w:rsid w:val="00DB1A48"/>
    <w:rsid w:val="00DB1F9E"/>
    <w:rsid w:val="00DB2147"/>
    <w:rsid w:val="00DB23D3"/>
    <w:rsid w:val="00DB29F3"/>
    <w:rsid w:val="00DB2BE8"/>
    <w:rsid w:val="00DB2D26"/>
    <w:rsid w:val="00DB5A60"/>
    <w:rsid w:val="00DB5AFE"/>
    <w:rsid w:val="00DB5E28"/>
    <w:rsid w:val="00DB62B0"/>
    <w:rsid w:val="00DB6B59"/>
    <w:rsid w:val="00DB7C0D"/>
    <w:rsid w:val="00DC055D"/>
    <w:rsid w:val="00DC2999"/>
    <w:rsid w:val="00DC3101"/>
    <w:rsid w:val="00DC3DF9"/>
    <w:rsid w:val="00DC59C1"/>
    <w:rsid w:val="00DD0132"/>
    <w:rsid w:val="00DD2FD7"/>
    <w:rsid w:val="00DD3571"/>
    <w:rsid w:val="00DD6120"/>
    <w:rsid w:val="00DD6604"/>
    <w:rsid w:val="00DD6D50"/>
    <w:rsid w:val="00DE12F0"/>
    <w:rsid w:val="00DE20E9"/>
    <w:rsid w:val="00DE36B7"/>
    <w:rsid w:val="00DE74CF"/>
    <w:rsid w:val="00DE7774"/>
    <w:rsid w:val="00DF00CF"/>
    <w:rsid w:val="00DF05FA"/>
    <w:rsid w:val="00DF0962"/>
    <w:rsid w:val="00DF0BE4"/>
    <w:rsid w:val="00DF1767"/>
    <w:rsid w:val="00DF1CFC"/>
    <w:rsid w:val="00DF3338"/>
    <w:rsid w:val="00DF5CDF"/>
    <w:rsid w:val="00DF6D7D"/>
    <w:rsid w:val="00DF7B31"/>
    <w:rsid w:val="00E00A9B"/>
    <w:rsid w:val="00E0161D"/>
    <w:rsid w:val="00E01AEB"/>
    <w:rsid w:val="00E01CD3"/>
    <w:rsid w:val="00E01FA7"/>
    <w:rsid w:val="00E030AB"/>
    <w:rsid w:val="00E03444"/>
    <w:rsid w:val="00E05DB8"/>
    <w:rsid w:val="00E05F54"/>
    <w:rsid w:val="00E07624"/>
    <w:rsid w:val="00E1052B"/>
    <w:rsid w:val="00E1256D"/>
    <w:rsid w:val="00E12999"/>
    <w:rsid w:val="00E154A4"/>
    <w:rsid w:val="00E1594B"/>
    <w:rsid w:val="00E1621A"/>
    <w:rsid w:val="00E16793"/>
    <w:rsid w:val="00E212E9"/>
    <w:rsid w:val="00E215C5"/>
    <w:rsid w:val="00E2179C"/>
    <w:rsid w:val="00E2206D"/>
    <w:rsid w:val="00E23E4C"/>
    <w:rsid w:val="00E24506"/>
    <w:rsid w:val="00E25333"/>
    <w:rsid w:val="00E2558B"/>
    <w:rsid w:val="00E26EC6"/>
    <w:rsid w:val="00E30085"/>
    <w:rsid w:val="00E304F5"/>
    <w:rsid w:val="00E30CBD"/>
    <w:rsid w:val="00E313C3"/>
    <w:rsid w:val="00E31BB0"/>
    <w:rsid w:val="00E324D4"/>
    <w:rsid w:val="00E32C6B"/>
    <w:rsid w:val="00E346FE"/>
    <w:rsid w:val="00E4150C"/>
    <w:rsid w:val="00E41A55"/>
    <w:rsid w:val="00E4335D"/>
    <w:rsid w:val="00E43A14"/>
    <w:rsid w:val="00E44553"/>
    <w:rsid w:val="00E4481B"/>
    <w:rsid w:val="00E44961"/>
    <w:rsid w:val="00E45851"/>
    <w:rsid w:val="00E50382"/>
    <w:rsid w:val="00E50A1A"/>
    <w:rsid w:val="00E51DE0"/>
    <w:rsid w:val="00E521E3"/>
    <w:rsid w:val="00E53754"/>
    <w:rsid w:val="00E53A87"/>
    <w:rsid w:val="00E53FE4"/>
    <w:rsid w:val="00E54608"/>
    <w:rsid w:val="00E54B9C"/>
    <w:rsid w:val="00E55618"/>
    <w:rsid w:val="00E55ECD"/>
    <w:rsid w:val="00E61285"/>
    <w:rsid w:val="00E64301"/>
    <w:rsid w:val="00E66EE7"/>
    <w:rsid w:val="00E70D90"/>
    <w:rsid w:val="00E70F8F"/>
    <w:rsid w:val="00E716FE"/>
    <w:rsid w:val="00E7268B"/>
    <w:rsid w:val="00E73D7D"/>
    <w:rsid w:val="00E74159"/>
    <w:rsid w:val="00E750A3"/>
    <w:rsid w:val="00E7542E"/>
    <w:rsid w:val="00E75436"/>
    <w:rsid w:val="00E774C1"/>
    <w:rsid w:val="00E80F77"/>
    <w:rsid w:val="00E81AF6"/>
    <w:rsid w:val="00E81CB5"/>
    <w:rsid w:val="00E81F35"/>
    <w:rsid w:val="00E8225B"/>
    <w:rsid w:val="00E8258D"/>
    <w:rsid w:val="00E83DB2"/>
    <w:rsid w:val="00E8749C"/>
    <w:rsid w:val="00E90D07"/>
    <w:rsid w:val="00E90DA6"/>
    <w:rsid w:val="00E9238F"/>
    <w:rsid w:val="00E93711"/>
    <w:rsid w:val="00E94273"/>
    <w:rsid w:val="00E950F5"/>
    <w:rsid w:val="00E956A1"/>
    <w:rsid w:val="00E969DE"/>
    <w:rsid w:val="00E97FA3"/>
    <w:rsid w:val="00E97FA4"/>
    <w:rsid w:val="00EA137A"/>
    <w:rsid w:val="00EA1E2F"/>
    <w:rsid w:val="00EA1F28"/>
    <w:rsid w:val="00EA2E53"/>
    <w:rsid w:val="00EA5D14"/>
    <w:rsid w:val="00EA6C0A"/>
    <w:rsid w:val="00EA7285"/>
    <w:rsid w:val="00EA7572"/>
    <w:rsid w:val="00EA7BB1"/>
    <w:rsid w:val="00EB0A15"/>
    <w:rsid w:val="00EB1030"/>
    <w:rsid w:val="00EB1657"/>
    <w:rsid w:val="00EB1DA6"/>
    <w:rsid w:val="00EB27A2"/>
    <w:rsid w:val="00EB3C74"/>
    <w:rsid w:val="00EB42A9"/>
    <w:rsid w:val="00EB48B1"/>
    <w:rsid w:val="00EB5E39"/>
    <w:rsid w:val="00EB5F78"/>
    <w:rsid w:val="00EB75F7"/>
    <w:rsid w:val="00EB7C59"/>
    <w:rsid w:val="00EC0F73"/>
    <w:rsid w:val="00EC33F0"/>
    <w:rsid w:val="00EC57E9"/>
    <w:rsid w:val="00EC6072"/>
    <w:rsid w:val="00EC725F"/>
    <w:rsid w:val="00EC7A9A"/>
    <w:rsid w:val="00EC7C7A"/>
    <w:rsid w:val="00ED004A"/>
    <w:rsid w:val="00ED00A9"/>
    <w:rsid w:val="00ED03D0"/>
    <w:rsid w:val="00ED178F"/>
    <w:rsid w:val="00ED205F"/>
    <w:rsid w:val="00ED2A2C"/>
    <w:rsid w:val="00ED2D91"/>
    <w:rsid w:val="00ED3876"/>
    <w:rsid w:val="00ED3F39"/>
    <w:rsid w:val="00ED5C15"/>
    <w:rsid w:val="00ED5E73"/>
    <w:rsid w:val="00ED68B7"/>
    <w:rsid w:val="00ED6BD7"/>
    <w:rsid w:val="00ED70A9"/>
    <w:rsid w:val="00EE4048"/>
    <w:rsid w:val="00EE4BAB"/>
    <w:rsid w:val="00EE5BD0"/>
    <w:rsid w:val="00EE61BF"/>
    <w:rsid w:val="00EE7996"/>
    <w:rsid w:val="00EE7A48"/>
    <w:rsid w:val="00EF0253"/>
    <w:rsid w:val="00EF1BC0"/>
    <w:rsid w:val="00EF1F1D"/>
    <w:rsid w:val="00EF302E"/>
    <w:rsid w:val="00EF419A"/>
    <w:rsid w:val="00EF4D7B"/>
    <w:rsid w:val="00EF4DA4"/>
    <w:rsid w:val="00EF4F2F"/>
    <w:rsid w:val="00EF6382"/>
    <w:rsid w:val="00F00471"/>
    <w:rsid w:val="00F00ABC"/>
    <w:rsid w:val="00F00CAE"/>
    <w:rsid w:val="00F018F7"/>
    <w:rsid w:val="00F05B83"/>
    <w:rsid w:val="00F07AF9"/>
    <w:rsid w:val="00F10245"/>
    <w:rsid w:val="00F11653"/>
    <w:rsid w:val="00F11C7B"/>
    <w:rsid w:val="00F12211"/>
    <w:rsid w:val="00F122C2"/>
    <w:rsid w:val="00F126C9"/>
    <w:rsid w:val="00F12E72"/>
    <w:rsid w:val="00F131A7"/>
    <w:rsid w:val="00F14981"/>
    <w:rsid w:val="00F157C8"/>
    <w:rsid w:val="00F15E50"/>
    <w:rsid w:val="00F173C0"/>
    <w:rsid w:val="00F17AB2"/>
    <w:rsid w:val="00F17D7F"/>
    <w:rsid w:val="00F2063C"/>
    <w:rsid w:val="00F22EDC"/>
    <w:rsid w:val="00F24300"/>
    <w:rsid w:val="00F24F6B"/>
    <w:rsid w:val="00F26CEC"/>
    <w:rsid w:val="00F27698"/>
    <w:rsid w:val="00F310E6"/>
    <w:rsid w:val="00F31456"/>
    <w:rsid w:val="00F31A0D"/>
    <w:rsid w:val="00F36027"/>
    <w:rsid w:val="00F3654C"/>
    <w:rsid w:val="00F368C6"/>
    <w:rsid w:val="00F409D1"/>
    <w:rsid w:val="00F41A09"/>
    <w:rsid w:val="00F42475"/>
    <w:rsid w:val="00F439C2"/>
    <w:rsid w:val="00F43BA3"/>
    <w:rsid w:val="00F450D9"/>
    <w:rsid w:val="00F46CDD"/>
    <w:rsid w:val="00F471EB"/>
    <w:rsid w:val="00F50423"/>
    <w:rsid w:val="00F51582"/>
    <w:rsid w:val="00F51C82"/>
    <w:rsid w:val="00F51DC8"/>
    <w:rsid w:val="00F52B38"/>
    <w:rsid w:val="00F53BFB"/>
    <w:rsid w:val="00F53D33"/>
    <w:rsid w:val="00F55A45"/>
    <w:rsid w:val="00F63A81"/>
    <w:rsid w:val="00F63D6E"/>
    <w:rsid w:val="00F650F4"/>
    <w:rsid w:val="00F65112"/>
    <w:rsid w:val="00F654B9"/>
    <w:rsid w:val="00F6567F"/>
    <w:rsid w:val="00F6623B"/>
    <w:rsid w:val="00F666BB"/>
    <w:rsid w:val="00F6673B"/>
    <w:rsid w:val="00F67965"/>
    <w:rsid w:val="00F70FA3"/>
    <w:rsid w:val="00F72B2A"/>
    <w:rsid w:val="00F73994"/>
    <w:rsid w:val="00F74844"/>
    <w:rsid w:val="00F74A82"/>
    <w:rsid w:val="00F77644"/>
    <w:rsid w:val="00F80469"/>
    <w:rsid w:val="00F827B6"/>
    <w:rsid w:val="00F8302B"/>
    <w:rsid w:val="00F83186"/>
    <w:rsid w:val="00F85CBC"/>
    <w:rsid w:val="00F85D85"/>
    <w:rsid w:val="00F85FB5"/>
    <w:rsid w:val="00F8615C"/>
    <w:rsid w:val="00F86508"/>
    <w:rsid w:val="00F86C87"/>
    <w:rsid w:val="00F874B4"/>
    <w:rsid w:val="00F9041D"/>
    <w:rsid w:val="00F90A95"/>
    <w:rsid w:val="00F91139"/>
    <w:rsid w:val="00F9113A"/>
    <w:rsid w:val="00F911DA"/>
    <w:rsid w:val="00F91275"/>
    <w:rsid w:val="00F9164F"/>
    <w:rsid w:val="00F92331"/>
    <w:rsid w:val="00F943D4"/>
    <w:rsid w:val="00F9466E"/>
    <w:rsid w:val="00F94DEB"/>
    <w:rsid w:val="00F95A33"/>
    <w:rsid w:val="00F96291"/>
    <w:rsid w:val="00F964FE"/>
    <w:rsid w:val="00F97FF5"/>
    <w:rsid w:val="00FA0960"/>
    <w:rsid w:val="00FA0F31"/>
    <w:rsid w:val="00FA122F"/>
    <w:rsid w:val="00FA1290"/>
    <w:rsid w:val="00FA12FD"/>
    <w:rsid w:val="00FA1714"/>
    <w:rsid w:val="00FA191F"/>
    <w:rsid w:val="00FA19AB"/>
    <w:rsid w:val="00FA1A95"/>
    <w:rsid w:val="00FA294F"/>
    <w:rsid w:val="00FA32D3"/>
    <w:rsid w:val="00FA3A3A"/>
    <w:rsid w:val="00FA3B05"/>
    <w:rsid w:val="00FA4723"/>
    <w:rsid w:val="00FA57FF"/>
    <w:rsid w:val="00FA5994"/>
    <w:rsid w:val="00FA6102"/>
    <w:rsid w:val="00FA668C"/>
    <w:rsid w:val="00FA7AC2"/>
    <w:rsid w:val="00FB1321"/>
    <w:rsid w:val="00FB13F8"/>
    <w:rsid w:val="00FB323D"/>
    <w:rsid w:val="00FB41BF"/>
    <w:rsid w:val="00FB4EC4"/>
    <w:rsid w:val="00FB6A12"/>
    <w:rsid w:val="00FB7453"/>
    <w:rsid w:val="00FC0244"/>
    <w:rsid w:val="00FC12FE"/>
    <w:rsid w:val="00FC1714"/>
    <w:rsid w:val="00FC17C5"/>
    <w:rsid w:val="00FC1ED2"/>
    <w:rsid w:val="00FC43F7"/>
    <w:rsid w:val="00FC5EAA"/>
    <w:rsid w:val="00FC7F4E"/>
    <w:rsid w:val="00FD1F37"/>
    <w:rsid w:val="00FD24F0"/>
    <w:rsid w:val="00FD2FFD"/>
    <w:rsid w:val="00FD3FCB"/>
    <w:rsid w:val="00FD55C0"/>
    <w:rsid w:val="00FD5901"/>
    <w:rsid w:val="00FD5A18"/>
    <w:rsid w:val="00FD5F3B"/>
    <w:rsid w:val="00FD6D30"/>
    <w:rsid w:val="00FD74D6"/>
    <w:rsid w:val="00FE04AB"/>
    <w:rsid w:val="00FE09EC"/>
    <w:rsid w:val="00FE218B"/>
    <w:rsid w:val="00FE3A7A"/>
    <w:rsid w:val="00FE413C"/>
    <w:rsid w:val="00FE48FF"/>
    <w:rsid w:val="00FE57D1"/>
    <w:rsid w:val="00FE78D2"/>
    <w:rsid w:val="00FF132D"/>
    <w:rsid w:val="00FF1512"/>
    <w:rsid w:val="00FF1E73"/>
    <w:rsid w:val="00FF206B"/>
    <w:rsid w:val="00FF21E5"/>
    <w:rsid w:val="00FF295A"/>
    <w:rsid w:val="00FF373F"/>
    <w:rsid w:val="00FF4A00"/>
    <w:rsid w:val="00FF5885"/>
    <w:rsid w:val="00FF5C97"/>
    <w:rsid w:val="00FF6DA8"/>
    <w:rsid w:val="01830560"/>
    <w:rsid w:val="01EE19B6"/>
    <w:rsid w:val="021013F7"/>
    <w:rsid w:val="021B1804"/>
    <w:rsid w:val="02364E19"/>
    <w:rsid w:val="024663E9"/>
    <w:rsid w:val="02614E47"/>
    <w:rsid w:val="02685B05"/>
    <w:rsid w:val="02820C08"/>
    <w:rsid w:val="028F522F"/>
    <w:rsid w:val="02AF41DB"/>
    <w:rsid w:val="03031491"/>
    <w:rsid w:val="032E2A52"/>
    <w:rsid w:val="03737755"/>
    <w:rsid w:val="03770A04"/>
    <w:rsid w:val="039A1357"/>
    <w:rsid w:val="04FF3EDA"/>
    <w:rsid w:val="052B0596"/>
    <w:rsid w:val="065B1EF1"/>
    <w:rsid w:val="065F0BEE"/>
    <w:rsid w:val="06A20FC1"/>
    <w:rsid w:val="07300154"/>
    <w:rsid w:val="07412F11"/>
    <w:rsid w:val="07683DFA"/>
    <w:rsid w:val="076F17EB"/>
    <w:rsid w:val="07D6114F"/>
    <w:rsid w:val="08036B8C"/>
    <w:rsid w:val="080534DC"/>
    <w:rsid w:val="08126A26"/>
    <w:rsid w:val="08362309"/>
    <w:rsid w:val="0852730F"/>
    <w:rsid w:val="085D42E4"/>
    <w:rsid w:val="08607386"/>
    <w:rsid w:val="08C22537"/>
    <w:rsid w:val="09292D9E"/>
    <w:rsid w:val="09502F56"/>
    <w:rsid w:val="09694018"/>
    <w:rsid w:val="09827810"/>
    <w:rsid w:val="0A501063"/>
    <w:rsid w:val="0B755332"/>
    <w:rsid w:val="0BE02595"/>
    <w:rsid w:val="0C0F0EA7"/>
    <w:rsid w:val="0C50326D"/>
    <w:rsid w:val="0D3D37F2"/>
    <w:rsid w:val="0D4234FE"/>
    <w:rsid w:val="0D902703"/>
    <w:rsid w:val="0DA47D15"/>
    <w:rsid w:val="0DC932D7"/>
    <w:rsid w:val="0E3746E5"/>
    <w:rsid w:val="0EF06ABF"/>
    <w:rsid w:val="0F865924"/>
    <w:rsid w:val="0F9320CD"/>
    <w:rsid w:val="0FA90635"/>
    <w:rsid w:val="0FEB3DA7"/>
    <w:rsid w:val="101A1275"/>
    <w:rsid w:val="102825C0"/>
    <w:rsid w:val="102869DB"/>
    <w:rsid w:val="108856CC"/>
    <w:rsid w:val="10E30B54"/>
    <w:rsid w:val="11036B00"/>
    <w:rsid w:val="11AF213A"/>
    <w:rsid w:val="12372174"/>
    <w:rsid w:val="1319260B"/>
    <w:rsid w:val="13477178"/>
    <w:rsid w:val="139108E1"/>
    <w:rsid w:val="13B660AC"/>
    <w:rsid w:val="13E26EA1"/>
    <w:rsid w:val="13F04C69"/>
    <w:rsid w:val="14070E6E"/>
    <w:rsid w:val="140C2170"/>
    <w:rsid w:val="14AB7BDB"/>
    <w:rsid w:val="153F1611"/>
    <w:rsid w:val="156C1C33"/>
    <w:rsid w:val="15721715"/>
    <w:rsid w:val="158B65C1"/>
    <w:rsid w:val="158D0E46"/>
    <w:rsid w:val="160C50FD"/>
    <w:rsid w:val="161060BA"/>
    <w:rsid w:val="161179BD"/>
    <w:rsid w:val="175C2154"/>
    <w:rsid w:val="176A6BF1"/>
    <w:rsid w:val="17D80CE7"/>
    <w:rsid w:val="180F06DB"/>
    <w:rsid w:val="18275A6F"/>
    <w:rsid w:val="18714C97"/>
    <w:rsid w:val="18DB1C64"/>
    <w:rsid w:val="1930603B"/>
    <w:rsid w:val="19377C8F"/>
    <w:rsid w:val="19793E03"/>
    <w:rsid w:val="197A54F0"/>
    <w:rsid w:val="19CA27AA"/>
    <w:rsid w:val="19EF2318"/>
    <w:rsid w:val="1A604FC3"/>
    <w:rsid w:val="1A6745A4"/>
    <w:rsid w:val="1A7F5449"/>
    <w:rsid w:val="1AB06CA3"/>
    <w:rsid w:val="1AB77207"/>
    <w:rsid w:val="1AE351CA"/>
    <w:rsid w:val="1B3236A6"/>
    <w:rsid w:val="1B4D0131"/>
    <w:rsid w:val="1BBC15A8"/>
    <w:rsid w:val="1C051E7F"/>
    <w:rsid w:val="1C184818"/>
    <w:rsid w:val="1C485D0F"/>
    <w:rsid w:val="1C4A1A87"/>
    <w:rsid w:val="1C6963B1"/>
    <w:rsid w:val="1CFF320B"/>
    <w:rsid w:val="1D0205B4"/>
    <w:rsid w:val="1D306ECF"/>
    <w:rsid w:val="1D4C6BDD"/>
    <w:rsid w:val="1D5B4DAB"/>
    <w:rsid w:val="1D9B4C90"/>
    <w:rsid w:val="1D9C27B6"/>
    <w:rsid w:val="1E17083B"/>
    <w:rsid w:val="1E7C47AC"/>
    <w:rsid w:val="1E8A6AB3"/>
    <w:rsid w:val="1EFF124F"/>
    <w:rsid w:val="1FA8226C"/>
    <w:rsid w:val="1FCD6BC7"/>
    <w:rsid w:val="20823EE5"/>
    <w:rsid w:val="20B151DE"/>
    <w:rsid w:val="21920158"/>
    <w:rsid w:val="21C81DCC"/>
    <w:rsid w:val="22140B6D"/>
    <w:rsid w:val="22804455"/>
    <w:rsid w:val="22AC524A"/>
    <w:rsid w:val="23027955"/>
    <w:rsid w:val="234C2589"/>
    <w:rsid w:val="236478D2"/>
    <w:rsid w:val="23C6058D"/>
    <w:rsid w:val="23C939BC"/>
    <w:rsid w:val="23E651F8"/>
    <w:rsid w:val="245272C7"/>
    <w:rsid w:val="245C67FB"/>
    <w:rsid w:val="246D2675"/>
    <w:rsid w:val="248743C4"/>
    <w:rsid w:val="24EC7B7F"/>
    <w:rsid w:val="250B51FF"/>
    <w:rsid w:val="250F6DDE"/>
    <w:rsid w:val="252763AD"/>
    <w:rsid w:val="252D1A8D"/>
    <w:rsid w:val="25D744F8"/>
    <w:rsid w:val="25E04A8B"/>
    <w:rsid w:val="25E95E28"/>
    <w:rsid w:val="26AA1AA0"/>
    <w:rsid w:val="27466A19"/>
    <w:rsid w:val="275A646F"/>
    <w:rsid w:val="275D4D64"/>
    <w:rsid w:val="27737C87"/>
    <w:rsid w:val="27E64D5A"/>
    <w:rsid w:val="27EF4E0D"/>
    <w:rsid w:val="280D5A34"/>
    <w:rsid w:val="28767A33"/>
    <w:rsid w:val="28BC7AF7"/>
    <w:rsid w:val="28D01566"/>
    <w:rsid w:val="29017971"/>
    <w:rsid w:val="292D69B8"/>
    <w:rsid w:val="293D309F"/>
    <w:rsid w:val="29763734"/>
    <w:rsid w:val="29DA3C5B"/>
    <w:rsid w:val="29F3375E"/>
    <w:rsid w:val="2A2A652A"/>
    <w:rsid w:val="2A697EC4"/>
    <w:rsid w:val="2A924FCC"/>
    <w:rsid w:val="2ABC56C6"/>
    <w:rsid w:val="2B14398C"/>
    <w:rsid w:val="2B356741"/>
    <w:rsid w:val="2B717030"/>
    <w:rsid w:val="2BA80578"/>
    <w:rsid w:val="2BD46751"/>
    <w:rsid w:val="2C695F59"/>
    <w:rsid w:val="2C8E59C0"/>
    <w:rsid w:val="2CA60F5C"/>
    <w:rsid w:val="2CBB50A2"/>
    <w:rsid w:val="2E444588"/>
    <w:rsid w:val="2E6764C9"/>
    <w:rsid w:val="2ECB59AE"/>
    <w:rsid w:val="2ED578D6"/>
    <w:rsid w:val="2F106B60"/>
    <w:rsid w:val="2F260132"/>
    <w:rsid w:val="2FC03560"/>
    <w:rsid w:val="2FD40840"/>
    <w:rsid w:val="300C7328"/>
    <w:rsid w:val="302F3016"/>
    <w:rsid w:val="30765C0E"/>
    <w:rsid w:val="30835170"/>
    <w:rsid w:val="30A12166"/>
    <w:rsid w:val="318339AB"/>
    <w:rsid w:val="31A52849"/>
    <w:rsid w:val="31D6516E"/>
    <w:rsid w:val="32313075"/>
    <w:rsid w:val="33185FE3"/>
    <w:rsid w:val="333E02EA"/>
    <w:rsid w:val="335F3C12"/>
    <w:rsid w:val="336D4581"/>
    <w:rsid w:val="33A81579"/>
    <w:rsid w:val="3401708E"/>
    <w:rsid w:val="3412692E"/>
    <w:rsid w:val="34B23CAD"/>
    <w:rsid w:val="354334C4"/>
    <w:rsid w:val="35496928"/>
    <w:rsid w:val="35D33907"/>
    <w:rsid w:val="35D97CAC"/>
    <w:rsid w:val="35F26FC0"/>
    <w:rsid w:val="364B07D7"/>
    <w:rsid w:val="36657547"/>
    <w:rsid w:val="3688302B"/>
    <w:rsid w:val="36A93B22"/>
    <w:rsid w:val="36C456F0"/>
    <w:rsid w:val="37681909"/>
    <w:rsid w:val="3808114C"/>
    <w:rsid w:val="38103BA4"/>
    <w:rsid w:val="38262F51"/>
    <w:rsid w:val="38575800"/>
    <w:rsid w:val="388A1EF2"/>
    <w:rsid w:val="38B11DFF"/>
    <w:rsid w:val="38EA77BA"/>
    <w:rsid w:val="38FC7CFA"/>
    <w:rsid w:val="39085229"/>
    <w:rsid w:val="39447B32"/>
    <w:rsid w:val="39F74BA5"/>
    <w:rsid w:val="3AA16EE3"/>
    <w:rsid w:val="3AF61300"/>
    <w:rsid w:val="3B133C60"/>
    <w:rsid w:val="3B6273BD"/>
    <w:rsid w:val="3B854432"/>
    <w:rsid w:val="3BB0594C"/>
    <w:rsid w:val="3BF243D8"/>
    <w:rsid w:val="3BF3799E"/>
    <w:rsid w:val="3C21415B"/>
    <w:rsid w:val="3C4E0CC8"/>
    <w:rsid w:val="3CA01523"/>
    <w:rsid w:val="3CA2271E"/>
    <w:rsid w:val="3D3E2AEA"/>
    <w:rsid w:val="3D4F2F4A"/>
    <w:rsid w:val="3DA07301"/>
    <w:rsid w:val="3DA212CB"/>
    <w:rsid w:val="3DEE4511"/>
    <w:rsid w:val="3F514D57"/>
    <w:rsid w:val="4047615A"/>
    <w:rsid w:val="409C64A6"/>
    <w:rsid w:val="40F167F2"/>
    <w:rsid w:val="41230975"/>
    <w:rsid w:val="41A5138A"/>
    <w:rsid w:val="41EF152F"/>
    <w:rsid w:val="42287F6C"/>
    <w:rsid w:val="428B0580"/>
    <w:rsid w:val="42A71C1F"/>
    <w:rsid w:val="43C31F9B"/>
    <w:rsid w:val="43E004CD"/>
    <w:rsid w:val="43F2498B"/>
    <w:rsid w:val="44183BB8"/>
    <w:rsid w:val="441A3957"/>
    <w:rsid w:val="442727B8"/>
    <w:rsid w:val="446217B4"/>
    <w:rsid w:val="449F737F"/>
    <w:rsid w:val="44DE167D"/>
    <w:rsid w:val="44E328F5"/>
    <w:rsid w:val="450B7EB2"/>
    <w:rsid w:val="45120AE5"/>
    <w:rsid w:val="45256299"/>
    <w:rsid w:val="453E5D7D"/>
    <w:rsid w:val="4572682B"/>
    <w:rsid w:val="45F14B9E"/>
    <w:rsid w:val="46162970"/>
    <w:rsid w:val="46261A4E"/>
    <w:rsid w:val="46691BD3"/>
    <w:rsid w:val="46A2313A"/>
    <w:rsid w:val="46EF2679"/>
    <w:rsid w:val="470E352E"/>
    <w:rsid w:val="47995F10"/>
    <w:rsid w:val="47D51E8B"/>
    <w:rsid w:val="483F2BCB"/>
    <w:rsid w:val="48547666"/>
    <w:rsid w:val="487970CD"/>
    <w:rsid w:val="48FB3D94"/>
    <w:rsid w:val="49262DB0"/>
    <w:rsid w:val="495A08D2"/>
    <w:rsid w:val="498875C7"/>
    <w:rsid w:val="49CC0ACB"/>
    <w:rsid w:val="4A3C5376"/>
    <w:rsid w:val="4A413C1A"/>
    <w:rsid w:val="4A565917"/>
    <w:rsid w:val="4A621AA2"/>
    <w:rsid w:val="4AC26B09"/>
    <w:rsid w:val="4B250D96"/>
    <w:rsid w:val="4B2772B4"/>
    <w:rsid w:val="4B8F7333"/>
    <w:rsid w:val="4C1A4723"/>
    <w:rsid w:val="4C600254"/>
    <w:rsid w:val="4C7E73A7"/>
    <w:rsid w:val="4C8A5D4C"/>
    <w:rsid w:val="4CA67393"/>
    <w:rsid w:val="4CBC3B88"/>
    <w:rsid w:val="4D083D5A"/>
    <w:rsid w:val="4D3A32CE"/>
    <w:rsid w:val="4D5C3245"/>
    <w:rsid w:val="4D64659D"/>
    <w:rsid w:val="4DB12E65"/>
    <w:rsid w:val="4E3E6DEE"/>
    <w:rsid w:val="4E494B8A"/>
    <w:rsid w:val="4EE37C4F"/>
    <w:rsid w:val="4F021BCA"/>
    <w:rsid w:val="4F041DE6"/>
    <w:rsid w:val="4F11005F"/>
    <w:rsid w:val="4F4C1097"/>
    <w:rsid w:val="4F611EF7"/>
    <w:rsid w:val="4FD95020"/>
    <w:rsid w:val="4FE6773D"/>
    <w:rsid w:val="4FF56F85"/>
    <w:rsid w:val="501E068A"/>
    <w:rsid w:val="504D566A"/>
    <w:rsid w:val="507F050E"/>
    <w:rsid w:val="50C52B27"/>
    <w:rsid w:val="51AD1149"/>
    <w:rsid w:val="51C969CF"/>
    <w:rsid w:val="52470AB7"/>
    <w:rsid w:val="52763458"/>
    <w:rsid w:val="52E52AE4"/>
    <w:rsid w:val="53007BF8"/>
    <w:rsid w:val="538928BA"/>
    <w:rsid w:val="53925D40"/>
    <w:rsid w:val="53AE40CE"/>
    <w:rsid w:val="53C438F2"/>
    <w:rsid w:val="5429409D"/>
    <w:rsid w:val="544E58FB"/>
    <w:rsid w:val="54572D74"/>
    <w:rsid w:val="54AF6350"/>
    <w:rsid w:val="54B95421"/>
    <w:rsid w:val="552265B5"/>
    <w:rsid w:val="553101EB"/>
    <w:rsid w:val="55607C49"/>
    <w:rsid w:val="55CD5030"/>
    <w:rsid w:val="55EC49C6"/>
    <w:rsid w:val="55ED6C26"/>
    <w:rsid w:val="5601746B"/>
    <w:rsid w:val="56E16569"/>
    <w:rsid w:val="56F40A6F"/>
    <w:rsid w:val="572172AD"/>
    <w:rsid w:val="5805272B"/>
    <w:rsid w:val="581F37ED"/>
    <w:rsid w:val="583F72D1"/>
    <w:rsid w:val="58490869"/>
    <w:rsid w:val="588E2BFD"/>
    <w:rsid w:val="58D77479"/>
    <w:rsid w:val="591D5FFB"/>
    <w:rsid w:val="594F3C5E"/>
    <w:rsid w:val="5A094754"/>
    <w:rsid w:val="5A3D61AC"/>
    <w:rsid w:val="5AA118E6"/>
    <w:rsid w:val="5AC427AF"/>
    <w:rsid w:val="5B042B05"/>
    <w:rsid w:val="5B217E7E"/>
    <w:rsid w:val="5C321615"/>
    <w:rsid w:val="5C357457"/>
    <w:rsid w:val="5C806824"/>
    <w:rsid w:val="5CE75EA1"/>
    <w:rsid w:val="5DA636AA"/>
    <w:rsid w:val="5DEA3130"/>
    <w:rsid w:val="5E8048B9"/>
    <w:rsid w:val="5F2425E2"/>
    <w:rsid w:val="5F8A2463"/>
    <w:rsid w:val="5F9920D6"/>
    <w:rsid w:val="5FD04269"/>
    <w:rsid w:val="5FF354DB"/>
    <w:rsid w:val="60E03D35"/>
    <w:rsid w:val="60FA3257"/>
    <w:rsid w:val="61254B7A"/>
    <w:rsid w:val="61AE5183"/>
    <w:rsid w:val="61B4766C"/>
    <w:rsid w:val="61EE5FDE"/>
    <w:rsid w:val="6218367B"/>
    <w:rsid w:val="62481B92"/>
    <w:rsid w:val="63323400"/>
    <w:rsid w:val="64100AA6"/>
    <w:rsid w:val="64452664"/>
    <w:rsid w:val="650A75D2"/>
    <w:rsid w:val="653D04DD"/>
    <w:rsid w:val="65432333"/>
    <w:rsid w:val="65783742"/>
    <w:rsid w:val="657A1D30"/>
    <w:rsid w:val="65B337C6"/>
    <w:rsid w:val="65C37EAD"/>
    <w:rsid w:val="65E8002C"/>
    <w:rsid w:val="662446C4"/>
    <w:rsid w:val="664663E8"/>
    <w:rsid w:val="66903D0D"/>
    <w:rsid w:val="66A01F9C"/>
    <w:rsid w:val="67147238"/>
    <w:rsid w:val="675863D3"/>
    <w:rsid w:val="678A20D7"/>
    <w:rsid w:val="67AD35CE"/>
    <w:rsid w:val="67B938C0"/>
    <w:rsid w:val="67C91202"/>
    <w:rsid w:val="68077DF9"/>
    <w:rsid w:val="68200DBC"/>
    <w:rsid w:val="68925915"/>
    <w:rsid w:val="68A33FC6"/>
    <w:rsid w:val="68D10C43"/>
    <w:rsid w:val="68F62348"/>
    <w:rsid w:val="69144D63"/>
    <w:rsid w:val="69B97039"/>
    <w:rsid w:val="69C155CF"/>
    <w:rsid w:val="6A006B3F"/>
    <w:rsid w:val="6A1862EE"/>
    <w:rsid w:val="6B6A4927"/>
    <w:rsid w:val="6C2B67AC"/>
    <w:rsid w:val="6C427652"/>
    <w:rsid w:val="6C4E3B06"/>
    <w:rsid w:val="6C89702F"/>
    <w:rsid w:val="6CA1081C"/>
    <w:rsid w:val="6D3E250F"/>
    <w:rsid w:val="6D836174"/>
    <w:rsid w:val="6D90479E"/>
    <w:rsid w:val="6DBE53FE"/>
    <w:rsid w:val="6E0252EB"/>
    <w:rsid w:val="6E623FDB"/>
    <w:rsid w:val="6EAD16FA"/>
    <w:rsid w:val="6EE6416F"/>
    <w:rsid w:val="6F9B1553"/>
    <w:rsid w:val="6F9B77A5"/>
    <w:rsid w:val="6FD0782A"/>
    <w:rsid w:val="703674CE"/>
    <w:rsid w:val="7045295A"/>
    <w:rsid w:val="715611F3"/>
    <w:rsid w:val="71D14BA1"/>
    <w:rsid w:val="71DC21BB"/>
    <w:rsid w:val="71E8105C"/>
    <w:rsid w:val="72237EC0"/>
    <w:rsid w:val="72A27DB8"/>
    <w:rsid w:val="732D105C"/>
    <w:rsid w:val="73461C68"/>
    <w:rsid w:val="738853D6"/>
    <w:rsid w:val="73BB0416"/>
    <w:rsid w:val="73EA4857"/>
    <w:rsid w:val="74052052"/>
    <w:rsid w:val="742A75EC"/>
    <w:rsid w:val="74675EA7"/>
    <w:rsid w:val="74AF784E"/>
    <w:rsid w:val="74E84EEA"/>
    <w:rsid w:val="74E865C8"/>
    <w:rsid w:val="74EA07B1"/>
    <w:rsid w:val="75BF1D13"/>
    <w:rsid w:val="75DC4673"/>
    <w:rsid w:val="75FC73A2"/>
    <w:rsid w:val="76524935"/>
    <w:rsid w:val="766528BB"/>
    <w:rsid w:val="768912F6"/>
    <w:rsid w:val="76AA4771"/>
    <w:rsid w:val="76E93D7F"/>
    <w:rsid w:val="776864A7"/>
    <w:rsid w:val="776963DA"/>
    <w:rsid w:val="777A4AA6"/>
    <w:rsid w:val="77992358"/>
    <w:rsid w:val="77C11F5B"/>
    <w:rsid w:val="77FD395E"/>
    <w:rsid w:val="782E0AB8"/>
    <w:rsid w:val="7840538D"/>
    <w:rsid w:val="78482494"/>
    <w:rsid w:val="784D0EE4"/>
    <w:rsid w:val="78530427"/>
    <w:rsid w:val="78632E2A"/>
    <w:rsid w:val="78C95383"/>
    <w:rsid w:val="79211789"/>
    <w:rsid w:val="7A30105E"/>
    <w:rsid w:val="7A4078C7"/>
    <w:rsid w:val="7AB43E11"/>
    <w:rsid w:val="7AB756AF"/>
    <w:rsid w:val="7AED10D1"/>
    <w:rsid w:val="7B0453BD"/>
    <w:rsid w:val="7B095F0A"/>
    <w:rsid w:val="7B497C4A"/>
    <w:rsid w:val="7B4A5522"/>
    <w:rsid w:val="7BBF0CBF"/>
    <w:rsid w:val="7BD52DEA"/>
    <w:rsid w:val="7BFF461F"/>
    <w:rsid w:val="7C0861C2"/>
    <w:rsid w:val="7D0A286A"/>
    <w:rsid w:val="7D4A280A"/>
    <w:rsid w:val="7D63161B"/>
    <w:rsid w:val="7D80622C"/>
    <w:rsid w:val="7D984913"/>
    <w:rsid w:val="7E1A0E66"/>
    <w:rsid w:val="7E541969"/>
    <w:rsid w:val="7E6F2BC7"/>
    <w:rsid w:val="7E8B30DA"/>
    <w:rsid w:val="7E953F59"/>
    <w:rsid w:val="7EFF7E16"/>
    <w:rsid w:val="7F324A76"/>
    <w:rsid w:val="7F97781F"/>
    <w:rsid w:val="7FB97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6"/>
    <w:basedOn w:val="1"/>
    <w:next w:val="1"/>
    <w:link w:val="4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unhideWhenUsed/>
    <w:qFormat/>
    <w:uiPriority w:val="99"/>
    <w:rPr>
      <w:rFonts w:ascii="Times New Roman" w:hAnsi="Times New Roman" w:eastAsia="黑体"/>
      <w:b/>
      <w:bCs/>
      <w:spacing w:val="20"/>
      <w:kern w:val="52"/>
      <w:sz w:val="56"/>
      <w:szCs w:val="56"/>
    </w:rPr>
  </w:style>
  <w:style w:type="paragraph" w:styleId="5">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rPr>
  </w:style>
  <w:style w:type="paragraph" w:styleId="6">
    <w:name w:val="Body Text 3"/>
    <w:basedOn w:val="1"/>
    <w:link w:val="31"/>
    <w:unhideWhenUsed/>
    <w:qFormat/>
    <w:uiPriority w:val="99"/>
    <w:pPr>
      <w:spacing w:after="120"/>
    </w:pPr>
    <w:rPr>
      <w:sz w:val="16"/>
      <w:szCs w:val="16"/>
    </w:rPr>
  </w:style>
  <w:style w:type="paragraph" w:styleId="7">
    <w:name w:val="Body Text Indent"/>
    <w:basedOn w:val="1"/>
    <w:next w:val="8"/>
    <w:link w:val="39"/>
    <w:semiHidden/>
    <w:unhideWhenUsed/>
    <w:qFormat/>
    <w:uiPriority w:val="99"/>
    <w:pPr>
      <w:spacing w:after="120"/>
      <w:ind w:left="420" w:leftChars="200"/>
    </w:pPr>
  </w:style>
  <w:style w:type="paragraph" w:styleId="8">
    <w:name w:val="Body Text First Indent 2"/>
    <w:basedOn w:val="7"/>
    <w:next w:val="1"/>
    <w:link w:val="40"/>
    <w:unhideWhenUsed/>
    <w:qFormat/>
    <w:uiPriority w:val="0"/>
    <w:pPr>
      <w:ind w:firstLine="420" w:firstLineChars="200"/>
    </w:pPr>
  </w:style>
  <w:style w:type="paragraph" w:styleId="9">
    <w:name w:val="Plain Text"/>
    <w:basedOn w:val="1"/>
    <w:link w:val="26"/>
    <w:unhideWhenUsed/>
    <w:qFormat/>
    <w:uiPriority w:val="0"/>
    <w:rPr>
      <w:rFonts w:ascii="宋体" w:hAnsi="Courier New" w:eastAsia="宋体"/>
      <w:szCs w:val="21"/>
    </w:rPr>
  </w:style>
  <w:style w:type="paragraph" w:styleId="10">
    <w:name w:val="Date"/>
    <w:basedOn w:val="1"/>
    <w:next w:val="1"/>
    <w:link w:val="45"/>
    <w:semiHidden/>
    <w:unhideWhenUsed/>
    <w:qFormat/>
    <w:uiPriority w:val="99"/>
    <w:pPr>
      <w:ind w:left="100" w:leftChars="2500"/>
    </w:pPr>
  </w:style>
  <w:style w:type="paragraph" w:styleId="11">
    <w:name w:val="Balloon Text"/>
    <w:basedOn w:val="1"/>
    <w:link w:val="33"/>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line="500" w:lineRule="exact"/>
      <w:ind w:firstLine="200" w:firstLineChars="200"/>
      <w:jc w:val="left"/>
    </w:pPr>
    <w:rPr>
      <w:rFonts w:ascii="宋体" w:hAnsi="宋体" w:eastAsia="宋体"/>
      <w:kern w:val="0"/>
      <w:sz w:val="24"/>
      <w:szCs w:val="24"/>
    </w:rPr>
  </w:style>
  <w:style w:type="paragraph" w:styleId="15">
    <w:name w:val="Body Text First Indent"/>
    <w:basedOn w:val="2"/>
    <w:link w:val="36"/>
    <w:unhideWhenUsed/>
    <w:qFormat/>
    <w:uiPriority w:val="99"/>
    <w:pPr>
      <w:spacing w:before="100" w:beforeAutospacing="1" w:after="120"/>
      <w:ind w:firstLine="420" w:firstLineChars="100"/>
    </w:pPr>
    <w:rPr>
      <w:rFonts w:eastAsia="宋体"/>
      <w:b w:val="0"/>
      <w:bCs w:val="0"/>
      <w:spacing w:val="0"/>
      <w:kern w:val="2"/>
      <w:sz w:val="21"/>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unhideWhenUsed/>
    <w:qFormat/>
    <w:uiPriority w:val="99"/>
    <w:rPr>
      <w:color w:val="0563C1"/>
      <w:u w:val="single"/>
    </w:rPr>
  </w:style>
  <w:style w:type="paragraph" w:customStyle="1" w:styleId="21">
    <w:name w:val="Style1"/>
    <w:next w:val="22"/>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2">
    <w:name w:val="*正文"/>
    <w:basedOn w:val="5"/>
    <w:qFormat/>
    <w:uiPriority w:val="0"/>
    <w:pPr>
      <w:spacing w:line="480" w:lineRule="auto"/>
      <w:ind w:firstLine="200" w:firstLineChars="200"/>
    </w:pPr>
    <w:rPr>
      <w:rFonts w:ascii="Arial" w:hAnsi="Arial"/>
      <w:szCs w:val="24"/>
    </w:rPr>
  </w:style>
  <w:style w:type="paragraph" w:customStyle="1" w:styleId="23">
    <w:name w:val="正文文本 31"/>
    <w:basedOn w:val="1"/>
    <w:qFormat/>
    <w:uiPriority w:val="0"/>
    <w:rPr>
      <w:sz w:val="16"/>
      <w:szCs w:val="16"/>
    </w:rPr>
  </w:style>
  <w:style w:type="character" w:customStyle="1" w:styleId="24">
    <w:name w:val="页眉 字符"/>
    <w:link w:val="13"/>
    <w:qFormat/>
    <w:uiPriority w:val="0"/>
    <w:rPr>
      <w:kern w:val="2"/>
      <w:sz w:val="18"/>
      <w:szCs w:val="18"/>
    </w:rPr>
  </w:style>
  <w:style w:type="character" w:customStyle="1" w:styleId="25">
    <w:name w:val="页脚 字符"/>
    <w:link w:val="12"/>
    <w:qFormat/>
    <w:uiPriority w:val="99"/>
    <w:rPr>
      <w:kern w:val="2"/>
      <w:sz w:val="18"/>
      <w:szCs w:val="18"/>
    </w:rPr>
  </w:style>
  <w:style w:type="character" w:customStyle="1" w:styleId="26">
    <w:name w:val="纯文本 字符"/>
    <w:link w:val="9"/>
    <w:qFormat/>
    <w:uiPriority w:val="0"/>
    <w:rPr>
      <w:rFonts w:ascii="宋体" w:hAnsi="Courier New" w:eastAsia="宋体"/>
      <w:kern w:val="2"/>
      <w:sz w:val="21"/>
      <w:szCs w:val="21"/>
    </w:rPr>
  </w:style>
  <w:style w:type="character" w:customStyle="1" w:styleId="27">
    <w:name w:val="正文文本 字符"/>
    <w:link w:val="2"/>
    <w:qFormat/>
    <w:uiPriority w:val="99"/>
    <w:rPr>
      <w:rFonts w:ascii="Times New Roman" w:hAnsi="Times New Roman" w:eastAsia="黑体"/>
      <w:b/>
      <w:bCs/>
      <w:spacing w:val="20"/>
      <w:kern w:val="52"/>
      <w:sz w:val="56"/>
      <w:szCs w:val="56"/>
    </w:rPr>
  </w:style>
  <w:style w:type="paragraph" w:customStyle="1" w:styleId="2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15"/>
    <w:qFormat/>
    <w:uiPriority w:val="0"/>
    <w:rPr>
      <w:rFonts w:hint="default" w:ascii="Times New Roman" w:hAnsi="Times New Roman" w:cs="Times New Roman"/>
      <w:color w:val="000000"/>
    </w:rPr>
  </w:style>
  <w:style w:type="character" w:customStyle="1" w:styleId="30">
    <w:name w:val="17"/>
    <w:qFormat/>
    <w:uiPriority w:val="0"/>
    <w:rPr>
      <w:rFonts w:hint="eastAsia" w:ascii="宋体" w:hAnsi="宋体" w:eastAsia="宋体"/>
      <w:sz w:val="21"/>
      <w:szCs w:val="21"/>
    </w:rPr>
  </w:style>
  <w:style w:type="character" w:customStyle="1" w:styleId="31">
    <w:name w:val="正文文本 3 字符"/>
    <w:link w:val="6"/>
    <w:semiHidden/>
    <w:qFormat/>
    <w:uiPriority w:val="99"/>
    <w:rPr>
      <w:kern w:val="2"/>
      <w:sz w:val="16"/>
      <w:szCs w:val="16"/>
    </w:rPr>
  </w:style>
  <w:style w:type="table" w:customStyle="1" w:styleId="32">
    <w:name w:val="网格型1"/>
    <w:basedOn w:val="16"/>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批注框文本 字符"/>
    <w:link w:val="11"/>
    <w:semiHidden/>
    <w:qFormat/>
    <w:uiPriority w:val="99"/>
    <w:rPr>
      <w:kern w:val="2"/>
      <w:sz w:val="18"/>
      <w:szCs w:val="18"/>
    </w:rPr>
  </w:style>
  <w:style w:type="table" w:customStyle="1" w:styleId="34">
    <w:name w:val="网格型2"/>
    <w:basedOn w:val="1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BodyText"/>
    <w:basedOn w:val="1"/>
    <w:qFormat/>
    <w:uiPriority w:val="0"/>
    <w:rPr>
      <w:rFonts w:ascii="Calibri" w:hAnsi="Calibri" w:eastAsia="宋体"/>
      <w:kern w:val="0"/>
      <w:szCs w:val="21"/>
    </w:rPr>
  </w:style>
  <w:style w:type="character" w:customStyle="1" w:styleId="36">
    <w:name w:val="正文首行缩进 字符"/>
    <w:link w:val="15"/>
    <w:qFormat/>
    <w:uiPriority w:val="99"/>
    <w:rPr>
      <w:rFonts w:ascii="Times New Roman" w:hAnsi="Times New Roman" w:eastAsia="宋体"/>
      <w:spacing w:val="20"/>
      <w:kern w:val="2"/>
      <w:sz w:val="21"/>
      <w:szCs w:val="21"/>
    </w:rPr>
  </w:style>
  <w:style w:type="paragraph" w:customStyle="1" w:styleId="37">
    <w:name w:val="TOC 标题1"/>
    <w:basedOn w:val="3"/>
    <w:next w:val="1"/>
    <w:qFormat/>
    <w:uiPriority w:val="0"/>
    <w:pPr>
      <w:spacing w:before="480" w:after="0" w:line="273" w:lineRule="auto"/>
      <w:outlineLvl w:val="9"/>
    </w:pPr>
    <w:rPr>
      <w:rFonts w:ascii="仿宋" w:hAnsi="仿宋" w:eastAsia="仿宋"/>
      <w:color w:val="000000"/>
      <w:kern w:val="0"/>
      <w:sz w:val="32"/>
      <w:szCs w:val="32"/>
    </w:rPr>
  </w:style>
  <w:style w:type="character" w:customStyle="1" w:styleId="38">
    <w:name w:val="标题 1 字符"/>
    <w:link w:val="3"/>
    <w:qFormat/>
    <w:uiPriority w:val="9"/>
    <w:rPr>
      <w:b/>
      <w:bCs/>
      <w:kern w:val="44"/>
      <w:sz w:val="44"/>
      <w:szCs w:val="44"/>
    </w:rPr>
  </w:style>
  <w:style w:type="character" w:customStyle="1" w:styleId="39">
    <w:name w:val="正文文本缩进 字符"/>
    <w:basedOn w:val="18"/>
    <w:link w:val="7"/>
    <w:semiHidden/>
    <w:qFormat/>
    <w:uiPriority w:val="99"/>
    <w:rPr>
      <w:kern w:val="2"/>
      <w:sz w:val="21"/>
      <w:szCs w:val="22"/>
    </w:rPr>
  </w:style>
  <w:style w:type="character" w:customStyle="1" w:styleId="40">
    <w:name w:val="正文首行缩进 2 字符"/>
    <w:basedOn w:val="39"/>
    <w:link w:val="8"/>
    <w:semiHidden/>
    <w:qFormat/>
    <w:uiPriority w:val="99"/>
    <w:rPr>
      <w:kern w:val="2"/>
      <w:sz w:val="21"/>
      <w:szCs w:val="22"/>
    </w:rPr>
  </w:style>
  <w:style w:type="paragraph" w:styleId="41">
    <w:name w:val="List Paragraph"/>
    <w:basedOn w:val="1"/>
    <w:unhideWhenUsed/>
    <w:qFormat/>
    <w:uiPriority w:val="99"/>
    <w:pPr>
      <w:ind w:firstLine="420" w:firstLineChars="200"/>
    </w:pPr>
    <w:rPr>
      <w:rFonts w:asciiTheme="minorHAnsi" w:hAnsiTheme="minorHAnsi" w:eastAsiaTheme="minorEastAsia" w:cstheme="minorBidi"/>
    </w:rPr>
  </w:style>
  <w:style w:type="paragraph" w:customStyle="1" w:styleId="42">
    <w:name w:val="列表段落1"/>
    <w:basedOn w:val="1"/>
    <w:qFormat/>
    <w:uiPriority w:val="0"/>
    <w:pPr>
      <w:ind w:firstLine="420" w:firstLineChars="200"/>
    </w:pPr>
    <w:rPr>
      <w:rFonts w:ascii="Calibri" w:hAnsi="Calibri" w:eastAsia="宋体" w:cs="Calibri"/>
      <w:szCs w:val="21"/>
    </w:rPr>
  </w:style>
  <w:style w:type="paragraph" w:customStyle="1" w:styleId="43">
    <w:name w:val="正文缩进2格"/>
    <w:basedOn w:val="1"/>
    <w:qFormat/>
    <w:uiPriority w:val="0"/>
    <w:pPr>
      <w:spacing w:line="600" w:lineRule="exact"/>
      <w:ind w:firstLine="639" w:firstLineChars="206"/>
    </w:pPr>
    <w:rPr>
      <w:rFonts w:ascii="仿宋_GB2312" w:hAnsi="宋体" w:eastAsia="宋体"/>
      <w:sz w:val="31"/>
      <w:szCs w:val="31"/>
    </w:rPr>
  </w:style>
  <w:style w:type="paragraph" w:customStyle="1" w:styleId="44">
    <w:name w:val="列出段落1"/>
    <w:basedOn w:val="1"/>
    <w:qFormat/>
    <w:uiPriority w:val="0"/>
    <w:pPr>
      <w:spacing w:line="500" w:lineRule="exact"/>
      <w:ind w:firstLine="420" w:firstLineChars="200"/>
    </w:pPr>
    <w:rPr>
      <w:rFonts w:ascii="Times New Roman" w:hAnsi="Times New Roman" w:eastAsia="宋体"/>
      <w:sz w:val="24"/>
      <w:szCs w:val="24"/>
    </w:rPr>
  </w:style>
  <w:style w:type="character" w:customStyle="1" w:styleId="45">
    <w:name w:val="日期 字符"/>
    <w:basedOn w:val="18"/>
    <w:link w:val="10"/>
    <w:semiHidden/>
    <w:qFormat/>
    <w:uiPriority w:val="99"/>
    <w:rPr>
      <w:kern w:val="2"/>
      <w:sz w:val="21"/>
      <w:szCs w:val="22"/>
    </w:rPr>
  </w:style>
  <w:style w:type="character" w:customStyle="1" w:styleId="46">
    <w:name w:val="标题 2 Char"/>
    <w:qFormat/>
    <w:uiPriority w:val="0"/>
    <w:rPr>
      <w:rFonts w:ascii="宋体" w:hAnsi="宋体" w:eastAsia="黑体"/>
      <w:b/>
      <w:bCs/>
      <w:kern w:val="2"/>
      <w:sz w:val="24"/>
      <w:szCs w:val="32"/>
      <w:lang w:val="en-US" w:eastAsia="zh-CN" w:bidi="ar-SA"/>
    </w:rPr>
  </w:style>
  <w:style w:type="paragraph" w:customStyle="1" w:styleId="47">
    <w:name w:val="Default Text"/>
    <w:basedOn w:val="1"/>
    <w:qFormat/>
    <w:uiPriority w:val="0"/>
    <w:pPr>
      <w:widowControl/>
      <w:jc w:val="left"/>
    </w:pPr>
    <w:rPr>
      <w:rFonts w:ascii="Tahoma" w:hAnsi="Tahoma" w:eastAsia="仿宋_GB2312" w:cs="Tahoma"/>
      <w:kern w:val="0"/>
      <w:sz w:val="24"/>
      <w:szCs w:val="28"/>
      <w:lang w:eastAsia="en-US"/>
    </w:rPr>
  </w:style>
  <w:style w:type="character" w:customStyle="1" w:styleId="48">
    <w:name w:val="标题 6 字符"/>
    <w:basedOn w:val="18"/>
    <w:link w:val="4"/>
    <w:semiHidden/>
    <w:qFormat/>
    <w:uiPriority w:val="9"/>
    <w:rPr>
      <w:rFonts w:asciiTheme="majorHAnsi" w:hAnsiTheme="majorHAnsi" w:eastAsiaTheme="majorEastAsia" w:cstheme="majorBidi"/>
      <w:b/>
      <w:bCs/>
      <w:kern w:val="2"/>
      <w:sz w:val="24"/>
      <w:szCs w:val="24"/>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 w:type="paragraph" w:customStyle="1" w:styleId="51">
    <w:name w:val="表格2"/>
    <w:basedOn w:val="1"/>
    <w:qFormat/>
    <w:uiPriority w:val="0"/>
    <w:pPr>
      <w:spacing w:line="240" w:lineRule="auto"/>
      <w:ind w:firstLine="0" w:firstLineChars="0"/>
    </w:pPr>
    <w:rPr>
      <w:rFonts w:ascii="宋体" w:hAnsi="宋体"/>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298;&#37319;&#36141;_&#24037;&#20316;&#36164;&#26009;\20GK003\LYCG2020GK00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3C424-204C-4A39-8811-0E460D864CD1}">
  <ds:schemaRefs/>
</ds:datastoreItem>
</file>

<file path=docProps/app.xml><?xml version="1.0" encoding="utf-8"?>
<Properties xmlns="http://schemas.openxmlformats.org/officeDocument/2006/extended-properties" xmlns:vt="http://schemas.openxmlformats.org/officeDocument/2006/docPropsVTypes">
  <Template>LYCG2020GK003</Template>
  <Company>China</Company>
  <Pages>30</Pages>
  <Words>13958</Words>
  <Characters>15483</Characters>
  <Lines>142</Lines>
  <Paragraphs>40</Paragraphs>
  <TotalTime>102</TotalTime>
  <ScaleCrop>false</ScaleCrop>
  <LinksUpToDate>false</LinksUpToDate>
  <CharactersWithSpaces>16083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2022-05-27T03:55:00Z</dcterms:created>
  <dc:creator>Windows 用户</dc:creator>
  <cp:lastModifiedBy>Administrator</cp:lastModifiedBy>
  <cp:lastPrinted>2024-05-27T06:32:00Z</cp:lastPrinted>
  <dcterms:modified xsi:type="dcterms:W3CDTF">2025-03-10T08:42:49Z</dcterms:modified>
  <dc:title>招 标 文 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B0A58E3AA4BE472A9A379EAF8C0B9202_13</vt:lpwstr>
  </property>
  <property fmtid="{D5CDD505-2E9C-101B-9397-08002B2CF9AE}" pid="4" name="KSOTemplateDocerSaveRecord">
    <vt:lpwstr>eyJoZGlkIjoiYmNhZDBhZDQ5ZWM5NWUzMTM3YzBlMGYyYzM4ZDhlOTYiLCJ1c2VySWQiOiIxMTU5NDcwNzk3In0=</vt:lpwstr>
  </property>
</Properties>
</file>