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C614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bCs/>
          <w:sz w:val="36"/>
          <w:szCs w:val="36"/>
          <w:highlight w:val="none"/>
          <w:lang w:val="en-US" w:eastAsia="zh-CN"/>
        </w:rPr>
      </w:pPr>
    </w:p>
    <w:p w14:paraId="3557980E">
      <w:pPr>
        <w:jc w:val="center"/>
        <w:rPr>
          <w:rFonts w:hint="eastAsia" w:ascii="仿宋" w:hAnsi="仿宋" w:eastAsia="仿宋" w:cs="仿宋"/>
          <w:b/>
          <w:sz w:val="52"/>
          <w:szCs w:val="52"/>
          <w:highlight w:val="none"/>
        </w:rPr>
      </w:pPr>
      <w:r>
        <w:rPr>
          <w:rFonts w:hint="eastAsia" w:ascii="仿宋" w:hAnsi="仿宋" w:eastAsia="仿宋" w:cs="仿宋"/>
          <w:b/>
          <w:bCs/>
          <w:sz w:val="44"/>
          <w:szCs w:val="44"/>
          <w:highlight w:val="none"/>
          <w:lang w:val="en-US" w:eastAsia="zh-CN"/>
        </w:rPr>
        <w:t>常山县测绘服务中心2025年公款存放招标项目</w:t>
      </w:r>
    </w:p>
    <w:p w14:paraId="7E10D6A1">
      <w:pPr>
        <w:adjustRightInd w:val="0"/>
        <w:snapToGrid w:val="0"/>
        <w:jc w:val="center"/>
        <w:rPr>
          <w:rFonts w:hint="eastAsia" w:ascii="仿宋" w:hAnsi="仿宋" w:eastAsia="仿宋" w:cs="仿宋"/>
          <w:b/>
          <w:color w:val="auto"/>
          <w:spacing w:val="-28"/>
          <w:sz w:val="100"/>
          <w:szCs w:val="100"/>
          <w:lang w:eastAsia="zh-CN"/>
        </w:rPr>
      </w:pPr>
    </w:p>
    <w:p w14:paraId="69ED5164">
      <w:pPr>
        <w:adjustRightInd w:val="0"/>
        <w:snapToGrid w:val="0"/>
        <w:jc w:val="center"/>
        <w:rPr>
          <w:rFonts w:hint="eastAsia" w:ascii="仿宋" w:hAnsi="仿宋" w:eastAsia="仿宋" w:cs="仿宋"/>
          <w:b/>
          <w:color w:val="auto"/>
          <w:spacing w:val="-28"/>
          <w:sz w:val="100"/>
          <w:szCs w:val="100"/>
          <w:lang w:eastAsia="zh-CN"/>
        </w:rPr>
      </w:pPr>
    </w:p>
    <w:p w14:paraId="15BE9169">
      <w:pPr>
        <w:adjustRightInd w:val="0"/>
        <w:snapToGrid w:val="0"/>
        <w:jc w:val="center"/>
        <w:rPr>
          <w:rFonts w:hint="eastAsia" w:ascii="仿宋" w:hAnsi="仿宋" w:eastAsia="仿宋" w:cs="仿宋"/>
          <w:b/>
          <w:color w:val="auto"/>
          <w:spacing w:val="-28"/>
          <w:sz w:val="100"/>
          <w:szCs w:val="100"/>
          <w:lang w:eastAsia="zh-CN"/>
        </w:rPr>
      </w:pPr>
      <w:r>
        <w:rPr>
          <w:rFonts w:hint="eastAsia" w:ascii="仿宋" w:hAnsi="仿宋" w:eastAsia="仿宋" w:cs="仿宋"/>
          <w:b/>
          <w:color w:val="auto"/>
          <w:spacing w:val="-28"/>
          <w:sz w:val="100"/>
          <w:szCs w:val="100"/>
          <w:lang w:eastAsia="zh-CN"/>
        </w:rPr>
        <w:t>招标文件</w:t>
      </w:r>
    </w:p>
    <w:p w14:paraId="333437C8">
      <w:pPr>
        <w:pStyle w:val="20"/>
        <w:rPr>
          <w:rFonts w:hint="eastAsia" w:ascii="仿宋" w:hAnsi="仿宋" w:eastAsia="仿宋" w:cs="仿宋"/>
          <w:highlight w:val="none"/>
        </w:rPr>
      </w:pPr>
    </w:p>
    <w:p w14:paraId="33A322E3">
      <w:pPr>
        <w:pStyle w:val="2"/>
        <w:rPr>
          <w:rFonts w:hint="eastAsia" w:ascii="仿宋" w:hAnsi="仿宋" w:eastAsia="仿宋" w:cs="仿宋"/>
        </w:rPr>
      </w:pPr>
    </w:p>
    <w:p w14:paraId="42FBDF14">
      <w:pPr>
        <w:ind w:firstLine="2520" w:firstLineChars="700"/>
        <w:jc w:val="both"/>
        <w:rPr>
          <w:rFonts w:hint="eastAsia" w:ascii="仿宋" w:hAnsi="仿宋" w:eastAsia="仿宋" w:cs="仿宋"/>
          <w:sz w:val="36"/>
          <w:szCs w:val="36"/>
          <w:highlight w:val="none"/>
          <w:lang w:val="en-US" w:eastAsia="zh-CN"/>
        </w:rPr>
      </w:pPr>
      <w:r>
        <w:rPr>
          <w:rFonts w:hint="eastAsia" w:ascii="仿宋" w:hAnsi="仿宋" w:eastAsia="仿宋" w:cs="仿宋"/>
          <w:sz w:val="36"/>
          <w:szCs w:val="36"/>
          <w:highlight w:val="none"/>
        </w:rPr>
        <w:t>项目编号：</w:t>
      </w:r>
      <w:r>
        <w:rPr>
          <w:rFonts w:hint="eastAsia" w:ascii="仿宋" w:hAnsi="仿宋" w:eastAsia="仿宋" w:cs="仿宋"/>
          <w:sz w:val="36"/>
          <w:szCs w:val="36"/>
          <w:highlight w:val="none"/>
          <w:lang w:eastAsia="zh-CN"/>
        </w:rPr>
        <w:t>ZSCG2025110-GK110</w:t>
      </w:r>
    </w:p>
    <w:p w14:paraId="55B754EC">
      <w:pPr>
        <w:spacing w:line="600" w:lineRule="exact"/>
        <w:rPr>
          <w:rFonts w:hint="eastAsia" w:ascii="仿宋" w:hAnsi="仿宋" w:eastAsia="仿宋" w:cs="仿宋"/>
          <w:sz w:val="32"/>
          <w:szCs w:val="32"/>
          <w:highlight w:val="none"/>
        </w:rPr>
      </w:pPr>
    </w:p>
    <w:p w14:paraId="56E647C4">
      <w:pPr>
        <w:spacing w:line="600" w:lineRule="exact"/>
        <w:rPr>
          <w:rFonts w:hint="eastAsia" w:ascii="仿宋" w:hAnsi="仿宋" w:eastAsia="仿宋" w:cs="仿宋"/>
          <w:sz w:val="32"/>
          <w:szCs w:val="32"/>
          <w:highlight w:val="none"/>
        </w:rPr>
      </w:pPr>
    </w:p>
    <w:p w14:paraId="71BC0569">
      <w:pPr>
        <w:spacing w:line="600" w:lineRule="exact"/>
        <w:rPr>
          <w:rFonts w:hint="eastAsia" w:ascii="仿宋" w:hAnsi="仿宋" w:eastAsia="仿宋" w:cs="仿宋"/>
          <w:sz w:val="32"/>
          <w:szCs w:val="32"/>
          <w:highlight w:val="none"/>
        </w:rPr>
      </w:pPr>
    </w:p>
    <w:p w14:paraId="0B2193A7">
      <w:pPr>
        <w:pStyle w:val="2"/>
        <w:rPr>
          <w:rFonts w:hint="eastAsia" w:ascii="仿宋" w:hAnsi="仿宋" w:eastAsia="仿宋" w:cs="仿宋"/>
        </w:rPr>
      </w:pPr>
    </w:p>
    <w:p w14:paraId="4EF3134C">
      <w:pPr>
        <w:spacing w:line="600" w:lineRule="exact"/>
        <w:rPr>
          <w:rFonts w:hint="eastAsia" w:ascii="仿宋" w:hAnsi="仿宋" w:eastAsia="仿宋" w:cs="仿宋"/>
          <w:sz w:val="32"/>
          <w:szCs w:val="32"/>
          <w:highlight w:val="none"/>
        </w:rPr>
      </w:pPr>
    </w:p>
    <w:p w14:paraId="0E800982">
      <w:pPr>
        <w:spacing w:line="600" w:lineRule="exact"/>
        <w:rPr>
          <w:rFonts w:hint="eastAsia" w:ascii="仿宋" w:hAnsi="仿宋" w:eastAsia="仿宋" w:cs="仿宋"/>
          <w:sz w:val="32"/>
          <w:szCs w:val="32"/>
          <w:highlight w:val="none"/>
        </w:rPr>
      </w:pPr>
    </w:p>
    <w:p w14:paraId="792C00D8">
      <w:pPr>
        <w:spacing w:line="360" w:lineRule="auto"/>
        <w:ind w:left="0" w:leftChars="0" w:firstLine="0" w:firstLineChars="0"/>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招标单位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常山县自然资源和规划局</w:t>
      </w:r>
    </w:p>
    <w:p w14:paraId="487FAA1F">
      <w:pPr>
        <w:spacing w:line="360" w:lineRule="auto"/>
        <w:ind w:left="0" w:leftChars="0" w:firstLine="0" w:firstLineChars="0"/>
        <w:jc w:val="center"/>
        <w:rPr>
          <w:rFonts w:hint="eastAsia" w:ascii="仿宋" w:hAnsi="仿宋" w:eastAsia="仿宋" w:cs="仿宋"/>
          <w:sz w:val="32"/>
          <w:highlight w:val="none"/>
          <w:lang w:eastAsia="zh-CN"/>
        </w:rPr>
      </w:pPr>
      <w:r>
        <w:rPr>
          <w:rFonts w:hint="eastAsia" w:ascii="仿宋" w:hAnsi="仿宋" w:eastAsia="仿宋" w:cs="仿宋"/>
          <w:sz w:val="32"/>
          <w:highlight w:val="none"/>
          <w:lang w:eastAsia="zh-CN"/>
        </w:rPr>
        <w:t>招标代理机构</w:t>
      </w:r>
      <w:r>
        <w:rPr>
          <w:rFonts w:hint="eastAsia" w:ascii="仿宋" w:hAnsi="仿宋" w:eastAsia="仿宋" w:cs="仿宋"/>
          <w:sz w:val="32"/>
          <w:highlight w:val="none"/>
        </w:rPr>
        <w:t>：</w:t>
      </w:r>
      <w:r>
        <w:rPr>
          <w:rFonts w:hint="eastAsia" w:ascii="仿宋" w:hAnsi="仿宋" w:eastAsia="仿宋" w:cs="仿宋"/>
          <w:sz w:val="32"/>
          <w:highlight w:val="none"/>
          <w:lang w:eastAsia="zh-CN"/>
        </w:rPr>
        <w:t>浙江哲晟工程项目管理有限公司</w:t>
      </w:r>
    </w:p>
    <w:p w14:paraId="2299ACA5">
      <w:pPr>
        <w:spacing w:line="360" w:lineRule="auto"/>
        <w:ind w:left="0" w:leftChars="0" w:firstLine="0" w:firstLineChars="0"/>
        <w:jc w:val="center"/>
        <w:rPr>
          <w:rFonts w:hint="eastAsia" w:ascii="仿宋" w:hAnsi="仿宋" w:eastAsia="仿宋" w:cs="仿宋"/>
          <w:sz w:val="32"/>
          <w:szCs w:val="32"/>
          <w:highlight w:val="none"/>
          <w:lang w:val="en-US" w:eastAsia="zh-CN"/>
        </w:rPr>
        <w:sectPr>
          <w:headerReference r:id="rId4" w:type="first"/>
          <w:footerReference r:id="rId6" w:type="first"/>
          <w:headerReference r:id="rId3" w:type="default"/>
          <w:footerReference r:id="rId5" w:type="default"/>
          <w:pgSz w:w="11907" w:h="16840"/>
          <w:pgMar w:top="1779" w:right="893" w:bottom="1134" w:left="1134" w:header="720" w:footer="873" w:gutter="0"/>
          <w:cols w:space="720" w:num="1"/>
          <w:titlePg/>
          <w:docGrid w:type="linesAndChars" w:linePitch="380" w:charSpace="0"/>
        </w:sectPr>
      </w:pPr>
      <w:r>
        <w:rPr>
          <w:rFonts w:hint="eastAsia" w:ascii="仿宋" w:hAnsi="仿宋" w:eastAsia="仿宋" w:cs="仿宋"/>
          <w:sz w:val="32"/>
          <w:szCs w:val="32"/>
          <w:highlight w:val="none"/>
          <w:lang w:val="en-US" w:eastAsia="zh-CN"/>
        </w:rPr>
        <w:t>2025年06月</w:t>
      </w:r>
    </w:p>
    <w:p w14:paraId="757032C4">
      <w:pPr>
        <w:pStyle w:val="10"/>
        <w:rPr>
          <w:rFonts w:hint="eastAsia" w:ascii="仿宋" w:hAnsi="仿宋" w:eastAsia="仿宋" w:cs="仿宋"/>
        </w:rPr>
      </w:pPr>
    </w:p>
    <w:p w14:paraId="432A5291">
      <w:pPr>
        <w:spacing w:line="600" w:lineRule="exact"/>
        <w:jc w:val="center"/>
        <w:rPr>
          <w:rFonts w:hint="eastAsia" w:ascii="仿宋" w:hAnsi="仿宋" w:eastAsia="仿宋" w:cs="仿宋"/>
          <w:bCs/>
          <w:sz w:val="44"/>
          <w:szCs w:val="44"/>
          <w:highlight w:val="none"/>
        </w:rPr>
      </w:pPr>
      <w:r>
        <w:rPr>
          <w:rFonts w:hint="eastAsia" w:ascii="仿宋" w:hAnsi="仿宋" w:eastAsia="仿宋" w:cs="仿宋"/>
          <w:bCs/>
          <w:sz w:val="44"/>
          <w:szCs w:val="44"/>
          <w:highlight w:val="none"/>
        </w:rPr>
        <w:t>目    录</w:t>
      </w:r>
    </w:p>
    <w:p w14:paraId="0BD82AAA">
      <w:pPr>
        <w:pStyle w:val="7"/>
        <w:jc w:val="center"/>
        <w:rPr>
          <w:rFonts w:hint="eastAsia" w:ascii="仿宋" w:hAnsi="仿宋" w:eastAsia="仿宋" w:cs="仿宋"/>
          <w:b/>
          <w:bCs/>
          <w:szCs w:val="21"/>
          <w:highlight w:val="none"/>
        </w:rPr>
      </w:pPr>
    </w:p>
    <w:p w14:paraId="2B44027A">
      <w:pPr>
        <w:pStyle w:val="10"/>
        <w:tabs>
          <w:tab w:val="right" w:leader="dot" w:pos="9880"/>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TOC \o "1-3" \h \z \u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_Toc12769 </w:instrText>
      </w:r>
      <w:r>
        <w:rPr>
          <w:rFonts w:hint="eastAsia" w:ascii="仿宋" w:hAnsi="仿宋" w:eastAsia="仿宋" w:cs="仿宋"/>
          <w:szCs w:val="21"/>
          <w:highlight w:val="none"/>
        </w:rPr>
        <w:fldChar w:fldCharType="separate"/>
      </w:r>
      <w:r>
        <w:rPr>
          <w:rFonts w:hint="eastAsia" w:ascii="仿宋" w:hAnsi="仿宋" w:eastAsia="仿宋" w:cs="仿宋"/>
          <w:szCs w:val="32"/>
          <w:highlight w:val="none"/>
          <w:lang w:val="zh-CN" w:eastAsia="zh-CN"/>
        </w:rPr>
        <w:t>第一章  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_Toc12769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szCs w:val="21"/>
          <w:highlight w:val="none"/>
        </w:rPr>
        <w:fldChar w:fldCharType="end"/>
      </w:r>
    </w:p>
    <w:p w14:paraId="3FED9104">
      <w:pPr>
        <w:pStyle w:val="10"/>
        <w:tabs>
          <w:tab w:val="right" w:leader="dot" w:pos="9880"/>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_Toc26641 </w:instrText>
      </w:r>
      <w:r>
        <w:rPr>
          <w:rFonts w:hint="eastAsia" w:ascii="仿宋" w:hAnsi="仿宋" w:eastAsia="仿宋" w:cs="仿宋"/>
          <w:szCs w:val="21"/>
          <w:highlight w:val="none"/>
        </w:rPr>
        <w:fldChar w:fldCharType="separate"/>
      </w:r>
      <w:r>
        <w:rPr>
          <w:rFonts w:hint="eastAsia" w:ascii="仿宋" w:hAnsi="仿宋" w:eastAsia="仿宋" w:cs="仿宋"/>
          <w:szCs w:val="32"/>
          <w:lang w:val="zh-CN" w:eastAsia="zh-CN"/>
        </w:rPr>
        <w:t>第二章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_Toc26641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szCs w:val="21"/>
          <w:highlight w:val="none"/>
        </w:rPr>
        <w:fldChar w:fldCharType="end"/>
      </w:r>
    </w:p>
    <w:p w14:paraId="64CEDC05">
      <w:pPr>
        <w:pStyle w:val="11"/>
        <w:tabs>
          <w:tab w:val="right" w:leader="dot" w:pos="9880"/>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_Toc18362 </w:instrText>
      </w:r>
      <w:r>
        <w:rPr>
          <w:rFonts w:hint="eastAsia" w:ascii="仿宋" w:hAnsi="仿宋" w:eastAsia="仿宋" w:cs="仿宋"/>
          <w:szCs w:val="21"/>
          <w:highlight w:val="none"/>
        </w:rPr>
        <w:fldChar w:fldCharType="separate"/>
      </w:r>
      <w:r>
        <w:rPr>
          <w:rFonts w:hint="eastAsia" w:ascii="仿宋" w:hAnsi="仿宋" w:eastAsia="仿宋" w:cs="仿宋"/>
          <w:bCs w:val="0"/>
          <w:szCs w:val="21"/>
          <w:highlight w:val="none"/>
          <w:lang w:val="zh-CN"/>
        </w:rPr>
        <w:t>一、综合说明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_Toc18362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szCs w:val="21"/>
          <w:highlight w:val="none"/>
        </w:rPr>
        <w:fldChar w:fldCharType="end"/>
      </w:r>
    </w:p>
    <w:p w14:paraId="7F2C26E8">
      <w:pPr>
        <w:pStyle w:val="11"/>
        <w:tabs>
          <w:tab w:val="right" w:leader="dot" w:pos="9880"/>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_Toc9280 </w:instrText>
      </w:r>
      <w:r>
        <w:rPr>
          <w:rFonts w:hint="eastAsia" w:ascii="仿宋" w:hAnsi="仿宋" w:eastAsia="仿宋" w:cs="仿宋"/>
          <w:szCs w:val="21"/>
          <w:highlight w:val="none"/>
        </w:rPr>
        <w:fldChar w:fldCharType="separate"/>
      </w:r>
      <w:r>
        <w:rPr>
          <w:rFonts w:hint="eastAsia" w:ascii="仿宋" w:hAnsi="仿宋" w:eastAsia="仿宋" w:cs="仿宋"/>
          <w:bCs w:val="0"/>
          <w:szCs w:val="21"/>
          <w:highlight w:val="none"/>
          <w:lang w:val="zh-CN"/>
        </w:rPr>
        <w:t>二、招标文件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_Toc9280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21"/>
          <w:highlight w:val="none"/>
        </w:rPr>
        <w:fldChar w:fldCharType="end"/>
      </w:r>
    </w:p>
    <w:p w14:paraId="716DBD41">
      <w:pPr>
        <w:pStyle w:val="11"/>
        <w:tabs>
          <w:tab w:val="right" w:leader="dot" w:pos="9880"/>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_Toc21917 </w:instrText>
      </w:r>
      <w:r>
        <w:rPr>
          <w:rFonts w:hint="eastAsia" w:ascii="仿宋" w:hAnsi="仿宋" w:eastAsia="仿宋" w:cs="仿宋"/>
          <w:szCs w:val="21"/>
          <w:highlight w:val="none"/>
        </w:rPr>
        <w:fldChar w:fldCharType="separate"/>
      </w:r>
      <w:r>
        <w:rPr>
          <w:rFonts w:hint="eastAsia" w:ascii="仿宋" w:hAnsi="仿宋" w:eastAsia="仿宋" w:cs="仿宋"/>
          <w:bCs w:val="0"/>
          <w:szCs w:val="21"/>
          <w:highlight w:val="none"/>
          <w:lang w:val="zh-CN"/>
        </w:rPr>
        <w:t>三、投标文件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_Toc21917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szCs w:val="21"/>
          <w:highlight w:val="none"/>
        </w:rPr>
        <w:fldChar w:fldCharType="end"/>
      </w:r>
    </w:p>
    <w:p w14:paraId="4DA36484">
      <w:pPr>
        <w:pStyle w:val="11"/>
        <w:tabs>
          <w:tab w:val="right" w:leader="dot" w:pos="9880"/>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_Toc100 </w:instrText>
      </w:r>
      <w:r>
        <w:rPr>
          <w:rFonts w:hint="eastAsia" w:ascii="仿宋" w:hAnsi="仿宋" w:eastAsia="仿宋" w:cs="仿宋"/>
          <w:szCs w:val="21"/>
          <w:highlight w:val="none"/>
        </w:rPr>
        <w:fldChar w:fldCharType="separate"/>
      </w:r>
      <w:r>
        <w:rPr>
          <w:rFonts w:hint="eastAsia" w:ascii="仿宋" w:hAnsi="仿宋" w:eastAsia="仿宋" w:cs="仿宋"/>
          <w:bCs w:val="0"/>
          <w:szCs w:val="21"/>
          <w:highlight w:val="none"/>
          <w:lang w:val="zh-CN"/>
        </w:rPr>
        <w:t>四、评标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_Toc100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szCs w:val="21"/>
          <w:highlight w:val="none"/>
        </w:rPr>
        <w:fldChar w:fldCharType="end"/>
      </w:r>
    </w:p>
    <w:p w14:paraId="2BBB192A">
      <w:pPr>
        <w:pStyle w:val="11"/>
        <w:tabs>
          <w:tab w:val="right" w:leader="dot" w:pos="9880"/>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_Toc18539 </w:instrText>
      </w:r>
      <w:r>
        <w:rPr>
          <w:rFonts w:hint="eastAsia" w:ascii="仿宋" w:hAnsi="仿宋" w:eastAsia="仿宋" w:cs="仿宋"/>
          <w:szCs w:val="21"/>
          <w:highlight w:val="none"/>
        </w:rPr>
        <w:fldChar w:fldCharType="separate"/>
      </w:r>
      <w:r>
        <w:rPr>
          <w:rFonts w:hint="eastAsia" w:ascii="仿宋" w:hAnsi="仿宋" w:eastAsia="仿宋" w:cs="仿宋"/>
          <w:bCs w:val="0"/>
          <w:szCs w:val="21"/>
          <w:highlight w:val="none"/>
          <w:lang w:val="zh-CN"/>
        </w:rPr>
        <w:t>五、定标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_Toc18539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szCs w:val="21"/>
          <w:highlight w:val="none"/>
        </w:rPr>
        <w:fldChar w:fldCharType="end"/>
      </w:r>
    </w:p>
    <w:p w14:paraId="7BA32740">
      <w:pPr>
        <w:pStyle w:val="11"/>
        <w:tabs>
          <w:tab w:val="right" w:leader="dot" w:pos="9880"/>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_Toc18549 </w:instrText>
      </w:r>
      <w:r>
        <w:rPr>
          <w:rFonts w:hint="eastAsia" w:ascii="仿宋" w:hAnsi="仿宋" w:eastAsia="仿宋" w:cs="仿宋"/>
          <w:szCs w:val="21"/>
          <w:highlight w:val="none"/>
        </w:rPr>
        <w:fldChar w:fldCharType="separate"/>
      </w:r>
      <w:r>
        <w:rPr>
          <w:rFonts w:hint="eastAsia" w:ascii="仿宋" w:hAnsi="仿宋" w:eastAsia="仿宋" w:cs="仿宋"/>
          <w:bCs w:val="0"/>
          <w:szCs w:val="21"/>
          <w:highlight w:val="none"/>
          <w:lang w:val="zh-CN"/>
        </w:rPr>
        <w:t>六、合同授予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_Toc18549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szCs w:val="21"/>
          <w:highlight w:val="none"/>
        </w:rPr>
        <w:fldChar w:fldCharType="end"/>
      </w:r>
    </w:p>
    <w:p w14:paraId="3B8119C0">
      <w:pPr>
        <w:pStyle w:val="10"/>
        <w:tabs>
          <w:tab w:val="right" w:leader="dot" w:pos="9880"/>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_Toc27750 </w:instrText>
      </w:r>
      <w:r>
        <w:rPr>
          <w:rFonts w:hint="eastAsia" w:ascii="仿宋" w:hAnsi="仿宋" w:eastAsia="仿宋" w:cs="仿宋"/>
          <w:szCs w:val="21"/>
          <w:highlight w:val="none"/>
        </w:rPr>
        <w:fldChar w:fldCharType="separate"/>
      </w:r>
      <w:r>
        <w:rPr>
          <w:rFonts w:hint="eastAsia" w:ascii="仿宋" w:hAnsi="仿宋" w:eastAsia="仿宋" w:cs="仿宋"/>
          <w:szCs w:val="32"/>
          <w:lang w:val="zh-CN" w:eastAsia="zh-CN" w:bidi="ar-SA"/>
        </w:rPr>
        <w:t>第三章  招标内容及要求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_Toc27750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zCs w:val="21"/>
          <w:highlight w:val="none"/>
        </w:rPr>
        <w:fldChar w:fldCharType="end"/>
      </w:r>
    </w:p>
    <w:p w14:paraId="57D43532">
      <w:pPr>
        <w:pStyle w:val="11"/>
        <w:tabs>
          <w:tab w:val="right" w:leader="dot" w:pos="9880"/>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_Toc20246 </w:instrText>
      </w:r>
      <w:r>
        <w:rPr>
          <w:rFonts w:hint="eastAsia" w:ascii="仿宋" w:hAnsi="仿宋" w:eastAsia="仿宋" w:cs="仿宋"/>
          <w:szCs w:val="21"/>
          <w:highlight w:val="none"/>
        </w:rPr>
        <w:fldChar w:fldCharType="separate"/>
      </w:r>
      <w:r>
        <w:rPr>
          <w:rFonts w:hint="eastAsia" w:ascii="仿宋" w:hAnsi="仿宋" w:eastAsia="仿宋" w:cs="仿宋"/>
          <w:bCs/>
          <w:szCs w:val="21"/>
          <w:highlight w:val="none"/>
          <w:lang w:val="zh-CN" w:eastAsia="zh-CN"/>
        </w:rPr>
        <w:t>▲一、招标内容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_Toc20246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zCs w:val="21"/>
          <w:highlight w:val="none"/>
        </w:rPr>
        <w:fldChar w:fldCharType="end"/>
      </w:r>
    </w:p>
    <w:p w14:paraId="3933463D">
      <w:pPr>
        <w:pStyle w:val="11"/>
        <w:tabs>
          <w:tab w:val="right" w:leader="dot" w:pos="9880"/>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_Toc19307 </w:instrText>
      </w:r>
      <w:r>
        <w:rPr>
          <w:rFonts w:hint="eastAsia" w:ascii="仿宋" w:hAnsi="仿宋" w:eastAsia="仿宋" w:cs="仿宋"/>
          <w:szCs w:val="21"/>
          <w:highlight w:val="none"/>
        </w:rPr>
        <w:fldChar w:fldCharType="separate"/>
      </w:r>
      <w:r>
        <w:rPr>
          <w:rFonts w:hint="eastAsia" w:ascii="仿宋" w:hAnsi="仿宋" w:eastAsia="仿宋" w:cs="仿宋"/>
          <w:bCs/>
          <w:szCs w:val="21"/>
          <w:highlight w:val="none"/>
          <w:lang w:val="zh-CN" w:eastAsia="zh-CN"/>
        </w:rPr>
        <w:t>▲</w:t>
      </w:r>
      <w:r>
        <w:rPr>
          <w:rFonts w:hint="eastAsia" w:ascii="仿宋" w:hAnsi="仿宋" w:eastAsia="仿宋" w:cs="仿宋"/>
          <w:bCs/>
          <w:szCs w:val="21"/>
          <w:highlight w:val="none"/>
          <w:lang w:val="en-US" w:eastAsia="zh-CN"/>
        </w:rPr>
        <w:t>二、服务要求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_Toc19307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zCs w:val="21"/>
          <w:highlight w:val="none"/>
        </w:rPr>
        <w:fldChar w:fldCharType="end"/>
      </w:r>
    </w:p>
    <w:p w14:paraId="14DDC098">
      <w:pPr>
        <w:pStyle w:val="11"/>
        <w:tabs>
          <w:tab w:val="right" w:leader="dot" w:pos="9880"/>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_Toc31081 </w:instrText>
      </w:r>
      <w:r>
        <w:rPr>
          <w:rFonts w:hint="eastAsia" w:ascii="仿宋" w:hAnsi="仿宋" w:eastAsia="仿宋" w:cs="仿宋"/>
          <w:szCs w:val="21"/>
          <w:highlight w:val="none"/>
        </w:rPr>
        <w:fldChar w:fldCharType="separate"/>
      </w:r>
      <w:r>
        <w:rPr>
          <w:rFonts w:hint="eastAsia" w:ascii="仿宋" w:hAnsi="仿宋" w:eastAsia="仿宋" w:cs="仿宋"/>
          <w:bCs/>
          <w:szCs w:val="21"/>
          <w:highlight w:val="none"/>
          <w:lang w:val="zh-CN" w:eastAsia="zh-CN"/>
        </w:rPr>
        <w:t>▲三、商务条款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_Toc31081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zCs w:val="21"/>
          <w:highlight w:val="none"/>
        </w:rPr>
        <w:fldChar w:fldCharType="end"/>
      </w:r>
    </w:p>
    <w:p w14:paraId="5E59723E">
      <w:pPr>
        <w:pStyle w:val="10"/>
        <w:tabs>
          <w:tab w:val="right" w:leader="dot" w:pos="9880"/>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_Toc5608 </w:instrText>
      </w:r>
      <w:r>
        <w:rPr>
          <w:rFonts w:hint="eastAsia" w:ascii="仿宋" w:hAnsi="仿宋" w:eastAsia="仿宋" w:cs="仿宋"/>
          <w:szCs w:val="21"/>
          <w:highlight w:val="none"/>
        </w:rPr>
        <w:fldChar w:fldCharType="separate"/>
      </w:r>
      <w:r>
        <w:rPr>
          <w:rFonts w:hint="eastAsia" w:ascii="仿宋" w:hAnsi="仿宋" w:eastAsia="仿宋" w:cs="仿宋"/>
          <w:kern w:val="0"/>
          <w:szCs w:val="32"/>
          <w:highlight w:val="none"/>
          <w:lang w:val="zh-CN" w:eastAsia="zh-CN" w:bidi="ar-SA"/>
        </w:rPr>
        <w:t>第四章  合同文本（供参考）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_Toc5608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szCs w:val="21"/>
          <w:highlight w:val="none"/>
        </w:rPr>
        <w:fldChar w:fldCharType="end"/>
      </w:r>
    </w:p>
    <w:p w14:paraId="5A4F254F">
      <w:pPr>
        <w:pStyle w:val="10"/>
        <w:tabs>
          <w:tab w:val="right" w:leader="dot" w:pos="9880"/>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_Toc24242 </w:instrText>
      </w:r>
      <w:r>
        <w:rPr>
          <w:rFonts w:hint="eastAsia" w:ascii="仿宋" w:hAnsi="仿宋" w:eastAsia="仿宋" w:cs="仿宋"/>
          <w:szCs w:val="21"/>
          <w:highlight w:val="none"/>
        </w:rPr>
        <w:fldChar w:fldCharType="separate"/>
      </w:r>
      <w:r>
        <w:rPr>
          <w:rFonts w:hint="eastAsia" w:ascii="仿宋" w:hAnsi="仿宋" w:eastAsia="仿宋" w:cs="仿宋"/>
          <w:szCs w:val="32"/>
          <w:highlight w:val="none"/>
          <w:lang w:val="zh-CN" w:eastAsia="zh-CN"/>
        </w:rPr>
        <w:t>第五章  评标办法及评分标准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_Toc24242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szCs w:val="21"/>
          <w:highlight w:val="none"/>
        </w:rPr>
        <w:fldChar w:fldCharType="end"/>
      </w:r>
    </w:p>
    <w:p w14:paraId="5C5F77DD">
      <w:pPr>
        <w:pStyle w:val="10"/>
        <w:tabs>
          <w:tab w:val="right" w:leader="dot" w:pos="9880"/>
        </w:tabs>
        <w:rPr>
          <w:rFonts w:hint="eastAsia" w:ascii="仿宋" w:hAnsi="仿宋" w:eastAsia="仿宋" w:cs="仿宋"/>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_Toc13425 </w:instrText>
      </w:r>
      <w:r>
        <w:rPr>
          <w:rFonts w:hint="eastAsia" w:ascii="仿宋" w:hAnsi="仿宋" w:eastAsia="仿宋" w:cs="仿宋"/>
          <w:szCs w:val="21"/>
          <w:highlight w:val="none"/>
        </w:rPr>
        <w:fldChar w:fldCharType="separate"/>
      </w:r>
      <w:r>
        <w:rPr>
          <w:rFonts w:hint="eastAsia" w:ascii="仿宋" w:hAnsi="仿宋" w:eastAsia="仿宋" w:cs="仿宋"/>
          <w:szCs w:val="32"/>
          <w:highlight w:val="none"/>
          <w:lang w:val="zh-CN" w:eastAsia="zh-CN"/>
        </w:rPr>
        <w:t>第六章  投标文件相关格式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_Toc13425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szCs w:val="21"/>
          <w:highlight w:val="none"/>
        </w:rPr>
        <w:fldChar w:fldCharType="end"/>
      </w:r>
    </w:p>
    <w:p w14:paraId="36F5D754">
      <w:pPr>
        <w:rPr>
          <w:rFonts w:hint="eastAsia" w:ascii="仿宋" w:hAnsi="仿宋" w:eastAsia="仿宋" w:cs="仿宋"/>
          <w:sz w:val="24"/>
          <w:highlight w:val="none"/>
        </w:rPr>
      </w:pPr>
      <w:r>
        <w:rPr>
          <w:rFonts w:hint="eastAsia" w:ascii="仿宋" w:hAnsi="仿宋" w:eastAsia="仿宋" w:cs="仿宋"/>
          <w:szCs w:val="21"/>
          <w:highlight w:val="none"/>
        </w:rPr>
        <w:fldChar w:fldCharType="end"/>
      </w:r>
    </w:p>
    <w:p w14:paraId="6B523144">
      <w:pPr>
        <w:pStyle w:val="13"/>
        <w:spacing w:line="700" w:lineRule="exact"/>
        <w:outlineLvl w:val="0"/>
        <w:rPr>
          <w:rFonts w:hint="eastAsia" w:ascii="仿宋" w:hAnsi="仿宋" w:eastAsia="仿宋" w:cs="仿宋"/>
          <w:sz w:val="30"/>
          <w:szCs w:val="32"/>
          <w:highlight w:val="none"/>
          <w:lang w:val="zh-CN" w:eastAsia="zh-CN"/>
        </w:rPr>
      </w:pPr>
      <w:r>
        <w:rPr>
          <w:rFonts w:hint="eastAsia" w:ascii="仿宋" w:hAnsi="仿宋" w:eastAsia="仿宋" w:cs="仿宋"/>
          <w:szCs w:val="21"/>
          <w:highlight w:val="none"/>
          <w:lang w:eastAsia="zh-CN"/>
        </w:rPr>
        <w:br w:type="page"/>
      </w:r>
      <w:bookmarkStart w:id="0" w:name="_Toc23482"/>
      <w:bookmarkStart w:id="1" w:name="_Toc3731"/>
      <w:bookmarkStart w:id="2" w:name="_Toc1221_WPSOffice_Level1"/>
      <w:bookmarkStart w:id="3" w:name="_Toc16135"/>
      <w:bookmarkStart w:id="4" w:name="_Toc9977"/>
      <w:bookmarkStart w:id="5" w:name="_Toc28496"/>
      <w:bookmarkStart w:id="6" w:name="_Toc28850"/>
      <w:bookmarkStart w:id="7" w:name="_Toc12769"/>
      <w:r>
        <w:rPr>
          <w:rFonts w:hint="eastAsia" w:ascii="仿宋" w:hAnsi="仿宋" w:eastAsia="仿宋" w:cs="仿宋"/>
          <w:sz w:val="30"/>
          <w:szCs w:val="32"/>
          <w:highlight w:val="none"/>
          <w:lang w:val="zh-CN" w:eastAsia="zh-CN"/>
        </w:rPr>
        <w:t xml:space="preserve">第一章  </w:t>
      </w:r>
      <w:bookmarkEnd w:id="0"/>
      <w:bookmarkEnd w:id="1"/>
      <w:bookmarkEnd w:id="2"/>
      <w:bookmarkEnd w:id="3"/>
      <w:bookmarkEnd w:id="4"/>
      <w:bookmarkEnd w:id="5"/>
      <w:bookmarkEnd w:id="6"/>
      <w:r>
        <w:rPr>
          <w:rFonts w:hint="eastAsia" w:ascii="仿宋" w:hAnsi="仿宋" w:eastAsia="仿宋" w:cs="仿宋"/>
          <w:sz w:val="30"/>
          <w:szCs w:val="32"/>
          <w:highlight w:val="none"/>
          <w:lang w:val="zh-CN" w:eastAsia="zh-CN"/>
        </w:rPr>
        <w:t>招标公告</w:t>
      </w:r>
      <w:bookmarkEnd w:id="7"/>
    </w:p>
    <w:p w14:paraId="3DBCD4DE">
      <w:pPr>
        <w:pStyle w:val="12"/>
        <w:pageBreakBefore w:val="0"/>
        <w:kinsoku/>
        <w:topLinePunct w:val="0"/>
        <w:bidi w:val="0"/>
        <w:snapToGrid/>
        <w:spacing w:before="0" w:beforeLines="0" w:beforeAutospacing="0" w:after="0" w:afterLines="0" w:afterAutospacing="0"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根据《关于防止领导干部在公款存放方面发生利益冲突和利益输送的办法》(浙委办发〔2015〕8号)、《常山县行政事业单位公款竞争性存放管理办法》的通知(常财预执〔20</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号）规定，决定开展公款存放招标工作，欢迎符合条件的银行机构参加投标。</w:t>
      </w:r>
    </w:p>
    <w:p w14:paraId="22029CEC">
      <w:pPr>
        <w:pageBreakBefore w:val="0"/>
        <w:numPr>
          <w:ilvl w:val="0"/>
          <w:numId w:val="0"/>
        </w:numPr>
        <w:kinsoku/>
        <w:topLinePunct w:val="0"/>
        <w:bidi w:val="0"/>
        <w:snapToGrid/>
        <w:spacing w:line="360" w:lineRule="auto"/>
        <w:ind w:left="420" w:leftChars="0"/>
        <w:textAlignment w:val="baseline"/>
        <w:rPr>
          <w:rFonts w:hint="eastAsia" w:ascii="仿宋" w:hAnsi="仿宋" w:eastAsia="仿宋" w:cs="仿宋"/>
          <w:b/>
          <w:sz w:val="21"/>
          <w:szCs w:val="21"/>
          <w:highlight w:val="none"/>
          <w:lang w:eastAsia="zh-CN"/>
        </w:rPr>
      </w:pPr>
      <w:r>
        <w:rPr>
          <w:rFonts w:hint="eastAsia" w:ascii="仿宋" w:hAnsi="仿宋" w:eastAsia="仿宋" w:cs="仿宋"/>
          <w:b/>
          <w:sz w:val="21"/>
          <w:szCs w:val="21"/>
          <w:highlight w:val="none"/>
          <w:lang w:eastAsia="zh-CN"/>
        </w:rPr>
        <w:t>一、招标人名称：</w:t>
      </w:r>
      <w:r>
        <w:rPr>
          <w:rFonts w:hint="eastAsia" w:ascii="仿宋" w:hAnsi="仿宋" w:eastAsia="仿宋" w:cs="仿宋"/>
          <w:b w:val="0"/>
          <w:bCs/>
          <w:sz w:val="21"/>
          <w:szCs w:val="21"/>
          <w:highlight w:val="none"/>
          <w:lang w:eastAsia="zh-CN"/>
        </w:rPr>
        <w:t>常山县自然资源和规划局</w:t>
      </w:r>
    </w:p>
    <w:p w14:paraId="45E7077A">
      <w:pPr>
        <w:pageBreakBefore w:val="0"/>
        <w:numPr>
          <w:ilvl w:val="0"/>
          <w:numId w:val="0"/>
        </w:numPr>
        <w:kinsoku/>
        <w:topLinePunct w:val="0"/>
        <w:bidi w:val="0"/>
        <w:snapToGrid/>
        <w:spacing w:line="360" w:lineRule="auto"/>
        <w:ind w:left="420" w:leftChars="0"/>
        <w:textAlignment w:val="baseline"/>
        <w:rPr>
          <w:rFonts w:hint="eastAsia" w:ascii="仿宋" w:hAnsi="仿宋" w:eastAsia="仿宋" w:cs="仿宋"/>
          <w:b w:val="0"/>
          <w:bCs/>
          <w:sz w:val="21"/>
          <w:szCs w:val="21"/>
          <w:highlight w:val="none"/>
          <w:lang w:eastAsia="zh-CN"/>
        </w:rPr>
      </w:pPr>
      <w:r>
        <w:rPr>
          <w:rFonts w:hint="eastAsia" w:ascii="仿宋" w:hAnsi="仿宋" w:eastAsia="仿宋" w:cs="仿宋"/>
          <w:b/>
          <w:sz w:val="21"/>
          <w:szCs w:val="21"/>
          <w:highlight w:val="none"/>
          <w:lang w:eastAsia="zh-CN"/>
        </w:rPr>
        <w:t>二、招标</w:t>
      </w:r>
      <w:r>
        <w:rPr>
          <w:rFonts w:hint="eastAsia" w:ascii="仿宋" w:hAnsi="仿宋" w:eastAsia="仿宋" w:cs="仿宋"/>
          <w:b/>
          <w:sz w:val="21"/>
          <w:szCs w:val="21"/>
          <w:highlight w:val="none"/>
        </w:rPr>
        <w:t>项目名称：</w:t>
      </w:r>
      <w:r>
        <w:rPr>
          <w:rFonts w:hint="eastAsia" w:ascii="仿宋" w:hAnsi="仿宋" w:eastAsia="仿宋" w:cs="仿宋"/>
          <w:b w:val="0"/>
          <w:bCs/>
          <w:sz w:val="21"/>
          <w:szCs w:val="21"/>
          <w:highlight w:val="none"/>
          <w:lang w:eastAsia="zh-CN"/>
        </w:rPr>
        <w:t>常山县测绘服务中心2025年公款存放招标项目</w:t>
      </w:r>
    </w:p>
    <w:p w14:paraId="2BFCDFC7">
      <w:pPr>
        <w:pageBreakBefore w:val="0"/>
        <w:numPr>
          <w:ilvl w:val="0"/>
          <w:numId w:val="0"/>
        </w:numPr>
        <w:kinsoku/>
        <w:topLinePunct w:val="0"/>
        <w:bidi w:val="0"/>
        <w:snapToGrid/>
        <w:spacing w:line="360" w:lineRule="auto"/>
        <w:ind w:left="420" w:leftChars="0"/>
        <w:textAlignment w:val="baseline"/>
        <w:rPr>
          <w:rFonts w:hint="eastAsia" w:ascii="仿宋" w:hAnsi="仿宋" w:eastAsia="仿宋" w:cs="仿宋"/>
          <w:b/>
          <w:sz w:val="21"/>
          <w:szCs w:val="21"/>
          <w:highlight w:val="none"/>
        </w:rPr>
      </w:pPr>
      <w:r>
        <w:rPr>
          <w:rFonts w:hint="eastAsia" w:ascii="仿宋" w:hAnsi="仿宋" w:eastAsia="仿宋" w:cs="仿宋"/>
          <w:b/>
          <w:sz w:val="21"/>
          <w:szCs w:val="21"/>
          <w:highlight w:val="none"/>
          <w:lang w:eastAsia="zh-CN"/>
        </w:rPr>
        <w:t>三、招标</w:t>
      </w:r>
      <w:r>
        <w:rPr>
          <w:rFonts w:hint="eastAsia" w:ascii="仿宋" w:hAnsi="仿宋" w:eastAsia="仿宋" w:cs="仿宋"/>
          <w:b/>
          <w:sz w:val="21"/>
          <w:szCs w:val="21"/>
          <w:highlight w:val="none"/>
        </w:rPr>
        <w:t>项目编号：</w:t>
      </w:r>
      <w:r>
        <w:rPr>
          <w:rFonts w:hint="eastAsia" w:ascii="仿宋" w:hAnsi="仿宋" w:eastAsia="仿宋" w:cs="仿宋"/>
          <w:b w:val="0"/>
          <w:bCs/>
          <w:sz w:val="21"/>
          <w:szCs w:val="21"/>
          <w:highlight w:val="none"/>
          <w:lang w:eastAsia="zh-CN"/>
        </w:rPr>
        <w:t>ZSCG2025110-GK110</w:t>
      </w:r>
    </w:p>
    <w:p w14:paraId="1393643F">
      <w:pPr>
        <w:pageBreakBefore w:val="0"/>
        <w:numPr>
          <w:ilvl w:val="0"/>
          <w:numId w:val="0"/>
        </w:numPr>
        <w:kinsoku/>
        <w:topLinePunct w:val="0"/>
        <w:bidi w:val="0"/>
        <w:snapToGrid/>
        <w:spacing w:line="360" w:lineRule="auto"/>
        <w:ind w:left="420" w:leftChars="0"/>
        <w:textAlignment w:val="baseline"/>
        <w:rPr>
          <w:rFonts w:hint="eastAsia" w:ascii="仿宋" w:hAnsi="仿宋" w:eastAsia="仿宋" w:cs="仿宋"/>
          <w:b/>
          <w:sz w:val="21"/>
          <w:szCs w:val="21"/>
          <w:highlight w:val="none"/>
        </w:rPr>
      </w:pPr>
      <w:r>
        <w:rPr>
          <w:rFonts w:hint="eastAsia" w:ascii="仿宋" w:hAnsi="仿宋" w:eastAsia="仿宋" w:cs="仿宋"/>
          <w:b/>
          <w:sz w:val="21"/>
          <w:szCs w:val="21"/>
          <w:highlight w:val="none"/>
          <w:lang w:eastAsia="zh-CN"/>
        </w:rPr>
        <w:t>四、招标项目</w:t>
      </w:r>
      <w:r>
        <w:rPr>
          <w:rFonts w:hint="eastAsia" w:ascii="仿宋" w:hAnsi="仿宋" w:eastAsia="仿宋" w:cs="仿宋"/>
          <w:b/>
          <w:sz w:val="21"/>
          <w:szCs w:val="21"/>
          <w:highlight w:val="none"/>
        </w:rPr>
        <w:t>内容</w:t>
      </w:r>
    </w:p>
    <w:p w14:paraId="31388277">
      <w:pPr>
        <w:pageBreakBefore w:val="0"/>
        <w:kinsoku/>
        <w:topLinePunct w:val="0"/>
        <w:bidi w:val="0"/>
        <w:snapToGrid/>
        <w:spacing w:line="360" w:lineRule="auto"/>
        <w:ind w:firstLine="420"/>
        <w:textAlignment w:val="baseline"/>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常山县测绘服务中心2025年公款存放共计</w:t>
      </w:r>
      <w:r>
        <w:rPr>
          <w:rFonts w:hint="eastAsia" w:ascii="仿宋" w:hAnsi="仿宋" w:eastAsia="仿宋" w:cs="仿宋"/>
          <w:color w:val="auto"/>
          <w:kern w:val="0"/>
          <w:szCs w:val="21"/>
          <w:highlight w:val="none"/>
          <w:lang w:val="en-US" w:eastAsia="zh-CN"/>
        </w:rPr>
        <w:t>600万元</w:t>
      </w:r>
      <w:r>
        <w:rPr>
          <w:rFonts w:hint="eastAsia" w:ascii="仿宋" w:hAnsi="仿宋" w:eastAsia="仿宋" w:cs="仿宋"/>
          <w:color w:val="auto"/>
          <w:kern w:val="0"/>
          <w:szCs w:val="21"/>
          <w:highlight w:val="none"/>
          <w:lang w:eastAsia="zh-CN"/>
        </w:rPr>
        <w:t>，本项目确定</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lang w:eastAsia="zh-CN"/>
        </w:rPr>
        <w:t>名中标单位</w:t>
      </w:r>
      <w:r>
        <w:rPr>
          <w:rFonts w:hint="eastAsia" w:ascii="仿宋" w:hAnsi="仿宋" w:eastAsia="仿宋" w:cs="仿宋"/>
          <w:color w:val="auto"/>
          <w:kern w:val="0"/>
          <w:szCs w:val="21"/>
          <w:highlight w:val="none"/>
          <w:lang w:val="en-US" w:eastAsia="zh-CN"/>
        </w:rPr>
        <w:t>；</w:t>
      </w:r>
      <w:r>
        <w:rPr>
          <w:rFonts w:hint="eastAsia" w:ascii="仿宋" w:hAnsi="仿宋" w:eastAsia="仿宋" w:cs="仿宋"/>
          <w:kern w:val="0"/>
          <w:sz w:val="21"/>
          <w:szCs w:val="21"/>
          <w:highlight w:val="none"/>
          <w:lang w:val="en-US" w:eastAsia="zh-CN" w:bidi="ar-SA"/>
        </w:rPr>
        <w:t>存款周期：12个月。</w:t>
      </w:r>
    </w:p>
    <w:p w14:paraId="72CAB2DC">
      <w:pPr>
        <w:pageBreakBefore w:val="0"/>
        <w:kinsoku/>
        <w:topLinePunct w:val="0"/>
        <w:bidi w:val="0"/>
        <w:snapToGrid/>
        <w:spacing w:line="360" w:lineRule="auto"/>
        <w:ind w:firstLine="420"/>
        <w:textAlignment w:val="baseline"/>
        <w:rPr>
          <w:rFonts w:hint="eastAsia" w:ascii="仿宋" w:hAnsi="仿宋" w:eastAsia="仿宋" w:cs="仿宋"/>
          <w:bCs/>
          <w:sz w:val="21"/>
          <w:szCs w:val="21"/>
          <w:highlight w:val="none"/>
        </w:rPr>
      </w:pPr>
      <w:r>
        <w:rPr>
          <w:rFonts w:hint="eastAsia" w:ascii="仿宋" w:hAnsi="仿宋" w:eastAsia="仿宋" w:cs="仿宋"/>
          <w:b/>
          <w:sz w:val="21"/>
          <w:szCs w:val="21"/>
          <w:highlight w:val="none"/>
          <w:lang w:eastAsia="zh-CN"/>
        </w:rPr>
        <w:t>五</w:t>
      </w:r>
      <w:r>
        <w:rPr>
          <w:rFonts w:hint="eastAsia" w:ascii="仿宋" w:hAnsi="仿宋" w:eastAsia="仿宋" w:cs="仿宋"/>
          <w:b/>
          <w:sz w:val="21"/>
          <w:szCs w:val="21"/>
          <w:highlight w:val="none"/>
        </w:rPr>
        <w:t>、投标人的资格要求</w:t>
      </w:r>
    </w:p>
    <w:p w14:paraId="16279176">
      <w:pPr>
        <w:pageBreakBefore w:val="0"/>
        <w:kinsoku/>
        <w:topLinePunct w:val="0"/>
        <w:bidi w:val="0"/>
        <w:snapToGrid/>
        <w:spacing w:line="360" w:lineRule="auto"/>
        <w:ind w:firstLine="420"/>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lang w:eastAsia="zh-CN"/>
        </w:rPr>
        <w:t>投标人应符合</w:t>
      </w:r>
      <w:r>
        <w:rPr>
          <w:rFonts w:hint="eastAsia" w:ascii="仿宋" w:hAnsi="仿宋" w:eastAsia="仿宋" w:cs="仿宋"/>
          <w:sz w:val="21"/>
          <w:szCs w:val="21"/>
          <w:highlight w:val="none"/>
          <w:lang w:eastAsia="zh-CN"/>
        </w:rPr>
        <w:t>《常山县行政事业单位公款竞争性存放管理办法》的规定，具备承担招标项目的能力，具体包括</w:t>
      </w:r>
      <w:r>
        <w:rPr>
          <w:rFonts w:hint="eastAsia" w:ascii="仿宋" w:hAnsi="仿宋" w:eastAsia="仿宋" w:cs="仿宋"/>
          <w:color w:val="auto"/>
          <w:kern w:val="0"/>
          <w:szCs w:val="21"/>
        </w:rPr>
        <w:t>：</w:t>
      </w:r>
    </w:p>
    <w:p w14:paraId="79797AC9">
      <w:pPr>
        <w:pageBreakBefore w:val="0"/>
        <w:kinsoku/>
        <w:topLinePunct w:val="0"/>
        <w:bidi w:val="0"/>
        <w:snapToGrid/>
        <w:spacing w:line="360" w:lineRule="auto"/>
        <w:ind w:firstLine="420"/>
        <w:textAlignment w:val="baseline"/>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（一）在县级行政事业单位所在同城设有分支机构；</w:t>
      </w:r>
    </w:p>
    <w:p w14:paraId="2655CDA8">
      <w:pPr>
        <w:pageBreakBefore w:val="0"/>
        <w:kinsoku/>
        <w:topLinePunct w:val="0"/>
        <w:bidi w:val="0"/>
        <w:snapToGrid/>
        <w:spacing w:line="360" w:lineRule="auto"/>
        <w:ind w:firstLine="420"/>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lang w:eastAsia="zh-CN"/>
        </w:rPr>
        <w:t>（二）</w:t>
      </w:r>
      <w:r>
        <w:rPr>
          <w:rFonts w:hint="eastAsia" w:ascii="仿宋" w:hAnsi="仿宋" w:eastAsia="仿宋" w:cs="仿宋"/>
          <w:color w:val="auto"/>
          <w:kern w:val="0"/>
          <w:szCs w:val="21"/>
        </w:rPr>
        <w:t>依法开展经营活动，近3年内在经营活动中无重大违法违规记录及重大违约事件</w:t>
      </w:r>
      <w:r>
        <w:rPr>
          <w:rFonts w:hint="eastAsia" w:ascii="仿宋" w:hAnsi="仿宋" w:eastAsia="仿宋" w:cs="仿宋"/>
          <w:color w:val="auto"/>
          <w:kern w:val="0"/>
          <w:szCs w:val="21"/>
          <w:lang w:eastAsia="zh-CN"/>
        </w:rPr>
        <w:t>；</w:t>
      </w:r>
    </w:p>
    <w:p w14:paraId="7EA459F8">
      <w:pPr>
        <w:pageBreakBefore w:val="0"/>
        <w:kinsoku/>
        <w:topLinePunct w:val="0"/>
        <w:bidi w:val="0"/>
        <w:snapToGrid/>
        <w:spacing w:line="360" w:lineRule="auto"/>
        <w:ind w:firstLine="420"/>
        <w:textAlignment w:val="baseline"/>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w:t>
      </w:r>
      <w:r>
        <w:rPr>
          <w:rFonts w:hint="eastAsia" w:ascii="仿宋" w:hAnsi="仿宋" w:eastAsia="仿宋" w:cs="仿宋"/>
          <w:color w:val="auto"/>
          <w:kern w:val="0"/>
          <w:szCs w:val="21"/>
          <w:lang w:eastAsia="zh-CN"/>
        </w:rPr>
        <w:t>三</w:t>
      </w:r>
      <w:r>
        <w:rPr>
          <w:rFonts w:hint="eastAsia" w:ascii="仿宋" w:hAnsi="仿宋" w:eastAsia="仿宋" w:cs="仿宋"/>
          <w:color w:val="auto"/>
          <w:kern w:val="0"/>
          <w:szCs w:val="21"/>
        </w:rPr>
        <w:t>）</w:t>
      </w:r>
      <w:r>
        <w:rPr>
          <w:rFonts w:hint="eastAsia" w:ascii="仿宋" w:hAnsi="仿宋" w:eastAsia="仿宋" w:cs="仿宋"/>
          <w:color w:val="auto"/>
          <w:kern w:val="0"/>
          <w:szCs w:val="21"/>
          <w:lang w:eastAsia="zh-CN"/>
        </w:rPr>
        <w:t>纳入人民银行综合评价的银行，</w:t>
      </w:r>
      <w:r>
        <w:rPr>
          <w:rFonts w:hint="eastAsia" w:ascii="仿宋" w:hAnsi="仿宋" w:eastAsia="仿宋" w:cs="仿宋"/>
          <w:color w:val="auto"/>
          <w:kern w:val="0"/>
          <w:szCs w:val="21"/>
        </w:rPr>
        <w:t>人民银</w:t>
      </w:r>
      <w:r>
        <w:rPr>
          <w:rFonts w:hint="eastAsia" w:ascii="仿宋" w:hAnsi="仿宋" w:eastAsia="仿宋" w:cs="仿宋"/>
          <w:color w:val="auto"/>
          <w:kern w:val="0"/>
          <w:szCs w:val="21"/>
          <w:highlight w:val="none"/>
        </w:rPr>
        <w:t>行</w:t>
      </w:r>
      <w:r>
        <w:rPr>
          <w:rFonts w:hint="eastAsia" w:ascii="仿宋" w:hAnsi="仿宋" w:eastAsia="仿宋" w:cs="仿宋"/>
          <w:color w:val="auto"/>
          <w:kern w:val="0"/>
          <w:szCs w:val="21"/>
          <w:highlight w:val="none"/>
          <w:lang w:val="en-US" w:eastAsia="zh-CN"/>
        </w:rPr>
        <w:t>上</w:t>
      </w:r>
      <w:r>
        <w:rPr>
          <w:rFonts w:hint="eastAsia" w:ascii="仿宋" w:hAnsi="仿宋" w:eastAsia="仿宋" w:cs="仿宋"/>
          <w:color w:val="auto"/>
          <w:kern w:val="0"/>
          <w:szCs w:val="21"/>
          <w:highlight w:val="none"/>
        </w:rPr>
        <w:t>年度综合</w:t>
      </w:r>
      <w:r>
        <w:rPr>
          <w:rFonts w:hint="eastAsia" w:ascii="仿宋" w:hAnsi="仿宋" w:eastAsia="仿宋" w:cs="仿宋"/>
          <w:color w:val="auto"/>
          <w:kern w:val="0"/>
          <w:szCs w:val="21"/>
        </w:rPr>
        <w:t>评价应达到B级</w:t>
      </w:r>
      <w:r>
        <w:rPr>
          <w:rFonts w:hint="eastAsia" w:ascii="仿宋" w:hAnsi="仿宋" w:eastAsia="仿宋" w:cs="仿宋"/>
          <w:color w:val="auto"/>
          <w:kern w:val="0"/>
          <w:szCs w:val="21"/>
          <w:lang w:eastAsia="zh-CN"/>
        </w:rPr>
        <w:t>及</w:t>
      </w:r>
      <w:r>
        <w:rPr>
          <w:rFonts w:hint="eastAsia" w:ascii="仿宋" w:hAnsi="仿宋" w:eastAsia="仿宋" w:cs="仿宋"/>
          <w:color w:val="auto"/>
          <w:kern w:val="0"/>
          <w:szCs w:val="21"/>
        </w:rPr>
        <w:t>以上</w:t>
      </w:r>
      <w:r>
        <w:rPr>
          <w:rFonts w:hint="eastAsia" w:ascii="仿宋" w:hAnsi="仿宋" w:eastAsia="仿宋" w:cs="仿宋"/>
          <w:color w:val="auto"/>
          <w:kern w:val="0"/>
          <w:szCs w:val="21"/>
          <w:lang w:eastAsia="zh-CN"/>
        </w:rPr>
        <w:t>，不</w:t>
      </w:r>
      <w:r>
        <w:rPr>
          <w:rFonts w:hint="eastAsia" w:ascii="仿宋" w:hAnsi="仿宋" w:eastAsia="仿宋" w:cs="仿宋"/>
          <w:color w:val="auto"/>
          <w:kern w:val="0"/>
          <w:szCs w:val="21"/>
        </w:rPr>
        <w:t>纳入人民银行</w:t>
      </w:r>
      <w:r>
        <w:rPr>
          <w:rFonts w:hint="eastAsia" w:ascii="仿宋" w:hAnsi="仿宋" w:eastAsia="仿宋" w:cs="仿宋"/>
          <w:color w:val="auto"/>
          <w:kern w:val="0"/>
          <w:szCs w:val="21"/>
          <w:lang w:val="en-US" w:eastAsia="zh-CN"/>
        </w:rPr>
        <w:t>综合评价范围银行不受此限制</w:t>
      </w:r>
      <w:r>
        <w:rPr>
          <w:rFonts w:hint="eastAsia" w:ascii="仿宋" w:hAnsi="仿宋" w:eastAsia="仿宋" w:cs="仿宋"/>
          <w:color w:val="auto"/>
          <w:kern w:val="0"/>
          <w:szCs w:val="21"/>
          <w:lang w:eastAsia="zh-CN"/>
        </w:rPr>
        <w:t>。</w:t>
      </w:r>
    </w:p>
    <w:p w14:paraId="4B7145B3">
      <w:pPr>
        <w:pageBreakBefore w:val="0"/>
        <w:kinsoku/>
        <w:topLinePunct w:val="0"/>
        <w:bidi w:val="0"/>
        <w:snapToGrid/>
        <w:spacing w:line="360" w:lineRule="auto"/>
        <w:ind w:firstLine="420"/>
        <w:textAlignment w:val="baseline"/>
        <w:rPr>
          <w:rFonts w:hint="eastAsia" w:ascii="仿宋" w:hAnsi="仿宋" w:eastAsia="仿宋" w:cs="仿宋"/>
          <w:b/>
          <w:szCs w:val="21"/>
          <w:highlight w:val="none"/>
          <w:lang w:eastAsia="zh-CN"/>
        </w:rPr>
      </w:pPr>
      <w:r>
        <w:rPr>
          <w:rFonts w:hint="eastAsia" w:ascii="仿宋" w:hAnsi="仿宋" w:eastAsia="仿宋" w:cs="仿宋"/>
          <w:b/>
          <w:sz w:val="21"/>
          <w:szCs w:val="21"/>
          <w:highlight w:val="none"/>
          <w:lang w:eastAsia="zh-CN"/>
        </w:rPr>
        <w:t>六</w:t>
      </w:r>
      <w:r>
        <w:rPr>
          <w:rFonts w:hint="eastAsia" w:ascii="仿宋" w:hAnsi="仿宋" w:eastAsia="仿宋" w:cs="仿宋"/>
          <w:b/>
          <w:sz w:val="21"/>
          <w:szCs w:val="21"/>
          <w:highlight w:val="none"/>
        </w:rPr>
        <w:t>、</w:t>
      </w:r>
      <w:r>
        <w:rPr>
          <w:rFonts w:hint="eastAsia" w:ascii="仿宋" w:hAnsi="仿宋" w:eastAsia="仿宋" w:cs="仿宋"/>
          <w:b/>
          <w:sz w:val="21"/>
          <w:szCs w:val="21"/>
          <w:highlight w:val="none"/>
          <w:lang w:eastAsia="zh-CN"/>
        </w:rPr>
        <w:t>投标报名</w:t>
      </w:r>
    </w:p>
    <w:p w14:paraId="19FD9CC4">
      <w:pPr>
        <w:spacing w:line="46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eastAsia="zh-CN"/>
        </w:rPr>
        <w:t>（一）报名</w:t>
      </w:r>
      <w:r>
        <w:rPr>
          <w:rFonts w:hint="eastAsia" w:ascii="仿宋" w:hAnsi="仿宋" w:eastAsia="仿宋" w:cs="仿宋"/>
          <w:szCs w:val="21"/>
          <w:highlight w:val="none"/>
        </w:rPr>
        <w:t>时间：</w:t>
      </w:r>
      <w:r>
        <w:rPr>
          <w:rFonts w:hint="eastAsia" w:ascii="仿宋" w:hAnsi="仿宋" w:eastAsia="仿宋" w:cs="仿宋"/>
          <w:b/>
          <w:bCs/>
          <w:spacing w:val="11"/>
          <w:sz w:val="21"/>
          <w:lang w:eastAsia="zh-CN"/>
        </w:rPr>
        <w:t>202</w:t>
      </w:r>
      <w:r>
        <w:rPr>
          <w:rFonts w:hint="eastAsia" w:ascii="仿宋" w:hAnsi="仿宋" w:eastAsia="仿宋" w:cs="仿宋"/>
          <w:b/>
          <w:bCs/>
          <w:spacing w:val="11"/>
          <w:sz w:val="21"/>
          <w:lang w:val="en-US" w:eastAsia="zh-CN"/>
        </w:rPr>
        <w:t>5</w:t>
      </w:r>
      <w:r>
        <w:rPr>
          <w:rFonts w:hint="eastAsia" w:ascii="仿宋" w:hAnsi="仿宋" w:eastAsia="仿宋" w:cs="仿宋"/>
          <w:b/>
          <w:bCs/>
          <w:spacing w:val="11"/>
          <w:sz w:val="21"/>
          <w:lang w:eastAsia="zh-CN"/>
        </w:rPr>
        <w:t>年</w:t>
      </w:r>
      <w:r>
        <w:rPr>
          <w:rFonts w:hint="eastAsia" w:ascii="仿宋" w:hAnsi="仿宋" w:eastAsia="仿宋" w:cs="仿宋"/>
          <w:b/>
          <w:bCs/>
          <w:lang w:val="en-US" w:eastAsia="zh-CN"/>
        </w:rPr>
        <w:t>06</w:t>
      </w:r>
      <w:r>
        <w:rPr>
          <w:rFonts w:hint="eastAsia" w:ascii="仿宋" w:hAnsi="仿宋" w:eastAsia="仿宋" w:cs="仿宋"/>
          <w:b/>
          <w:bCs/>
          <w:lang w:eastAsia="zh-CN"/>
        </w:rPr>
        <w:t>月</w:t>
      </w:r>
      <w:r>
        <w:rPr>
          <w:rFonts w:hint="eastAsia" w:ascii="仿宋" w:hAnsi="仿宋" w:eastAsia="仿宋" w:cs="仿宋"/>
          <w:b/>
          <w:bCs/>
          <w:lang w:val="en-US" w:eastAsia="zh-CN"/>
        </w:rPr>
        <w:t>16</w:t>
      </w:r>
      <w:r>
        <w:rPr>
          <w:rFonts w:hint="eastAsia" w:ascii="仿宋" w:hAnsi="仿宋" w:eastAsia="仿宋" w:cs="仿宋"/>
          <w:b/>
          <w:bCs/>
          <w:lang w:eastAsia="zh-CN"/>
        </w:rPr>
        <w:t>日</w:t>
      </w:r>
      <w:r>
        <w:rPr>
          <w:rFonts w:hint="eastAsia" w:ascii="仿宋" w:hAnsi="仿宋" w:eastAsia="仿宋" w:cs="仿宋"/>
          <w:szCs w:val="21"/>
        </w:rPr>
        <w:t>至</w:t>
      </w:r>
      <w:r>
        <w:rPr>
          <w:rFonts w:hint="eastAsia" w:ascii="仿宋" w:hAnsi="仿宋" w:eastAsia="仿宋" w:cs="仿宋"/>
          <w:b/>
          <w:bCs/>
          <w:spacing w:val="11"/>
          <w:sz w:val="21"/>
          <w:lang w:eastAsia="zh-CN"/>
        </w:rPr>
        <w:t>202</w:t>
      </w:r>
      <w:r>
        <w:rPr>
          <w:rFonts w:hint="eastAsia" w:ascii="仿宋" w:hAnsi="仿宋" w:eastAsia="仿宋" w:cs="仿宋"/>
          <w:b/>
          <w:bCs/>
          <w:spacing w:val="11"/>
          <w:sz w:val="21"/>
          <w:lang w:val="en-US" w:eastAsia="zh-CN"/>
        </w:rPr>
        <w:t>5</w:t>
      </w:r>
      <w:r>
        <w:rPr>
          <w:rFonts w:hint="eastAsia" w:ascii="仿宋" w:hAnsi="仿宋" w:eastAsia="仿宋" w:cs="仿宋"/>
          <w:b/>
          <w:bCs/>
          <w:spacing w:val="11"/>
          <w:sz w:val="21"/>
          <w:lang w:eastAsia="zh-CN"/>
        </w:rPr>
        <w:t>年</w:t>
      </w:r>
      <w:r>
        <w:rPr>
          <w:rFonts w:hint="eastAsia" w:ascii="仿宋" w:hAnsi="仿宋" w:eastAsia="仿宋" w:cs="仿宋"/>
          <w:b/>
          <w:bCs/>
          <w:spacing w:val="11"/>
          <w:sz w:val="21"/>
          <w:lang w:val="en-US" w:eastAsia="zh-CN"/>
        </w:rPr>
        <w:t>06</w:t>
      </w:r>
      <w:r>
        <w:rPr>
          <w:rFonts w:hint="eastAsia" w:ascii="仿宋" w:hAnsi="仿宋" w:eastAsia="仿宋" w:cs="仿宋"/>
          <w:b/>
          <w:bCs/>
          <w:lang w:eastAsia="zh-CN"/>
        </w:rPr>
        <w:t>月</w:t>
      </w:r>
      <w:r>
        <w:rPr>
          <w:rFonts w:hint="eastAsia" w:ascii="仿宋" w:hAnsi="仿宋" w:eastAsia="仿宋" w:cs="仿宋"/>
          <w:b/>
          <w:bCs/>
          <w:lang w:val="en-US" w:eastAsia="zh-CN"/>
        </w:rPr>
        <w:t>24</w:t>
      </w:r>
      <w:r>
        <w:rPr>
          <w:rFonts w:hint="eastAsia" w:ascii="仿宋" w:hAnsi="仿宋" w:eastAsia="仿宋" w:cs="仿宋"/>
          <w:b/>
          <w:bCs/>
          <w:lang w:eastAsia="zh-CN"/>
        </w:rPr>
        <w:t>日</w:t>
      </w:r>
      <w:r>
        <w:rPr>
          <w:rFonts w:hint="eastAsia" w:ascii="仿宋" w:hAnsi="仿宋" w:eastAsia="仿宋" w:cs="仿宋"/>
          <w:szCs w:val="21"/>
          <w:highlight w:val="none"/>
        </w:rPr>
        <w:t>，每天上午00:00至12:00，下午12:00至23:59（北京时间）</w:t>
      </w:r>
    </w:p>
    <w:p w14:paraId="07DE90F2">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hint="eastAsia" w:ascii="仿宋" w:hAnsi="仿宋" w:eastAsia="仿宋" w:cs="仿宋"/>
          <w:szCs w:val="21"/>
        </w:rPr>
      </w:pPr>
      <w:r>
        <w:rPr>
          <w:rFonts w:hint="eastAsia" w:ascii="仿宋" w:hAnsi="仿宋" w:eastAsia="仿宋" w:cs="仿宋"/>
          <w:szCs w:val="21"/>
          <w:highlight w:val="none"/>
          <w:lang w:eastAsia="zh-CN"/>
        </w:rPr>
        <w:t>（二）报名方式：本项目实行网上报名，不接受现场报名。</w:t>
      </w:r>
      <w:r>
        <w:rPr>
          <w:rFonts w:hint="eastAsia" w:ascii="仿宋" w:hAnsi="仿宋" w:eastAsia="仿宋" w:cs="仿宋"/>
          <w:szCs w:val="21"/>
          <w:lang w:eastAsia="zh-CN"/>
        </w:rPr>
        <w:t>投标人</w:t>
      </w:r>
      <w:r>
        <w:rPr>
          <w:rFonts w:hint="eastAsia" w:ascii="仿宋" w:hAnsi="仿宋" w:eastAsia="仿宋" w:cs="仿宋"/>
          <w:szCs w:val="21"/>
        </w:rPr>
        <w:t>登录“政采云”平台（http://login.zcygov.cn）进入公款竞争性存放招标系统（以下简称“招标系统”），在竞标项目内按规定进行报名。第一步：选择本期招标项目，第二步：填写报名信息。报名成功后联系人会收到短信通知，逾期报名视为未报名。</w:t>
      </w:r>
    </w:p>
    <w:p w14:paraId="5F371494">
      <w:pPr>
        <w:pageBreakBefore w:val="0"/>
        <w:kinsoku/>
        <w:topLinePunct w:val="0"/>
        <w:autoSpaceDE w:val="0"/>
        <w:autoSpaceDN w:val="0"/>
        <w:bidi w:val="0"/>
        <w:adjustRightInd w:val="0"/>
        <w:snapToGrid/>
        <w:spacing w:line="360" w:lineRule="auto"/>
        <w:ind w:firstLine="420" w:firstLineChars="200"/>
        <w:rPr>
          <w:rFonts w:hint="eastAsia" w:ascii="仿宋" w:hAnsi="仿宋" w:eastAsia="仿宋" w:cs="仿宋"/>
          <w:b/>
          <w:bCs/>
          <w:szCs w:val="21"/>
        </w:rPr>
      </w:pPr>
      <w:r>
        <w:rPr>
          <w:rFonts w:hint="eastAsia" w:ascii="仿宋" w:hAnsi="仿宋" w:eastAsia="仿宋" w:cs="仿宋"/>
          <w:b/>
          <w:bCs/>
          <w:szCs w:val="21"/>
          <w:lang w:eastAsia="zh-CN"/>
        </w:rPr>
        <w:t>▲</w:t>
      </w:r>
      <w:r>
        <w:rPr>
          <w:rFonts w:hint="eastAsia" w:ascii="仿宋" w:hAnsi="仿宋" w:eastAsia="仿宋" w:cs="仿宋"/>
          <w:b/>
          <w:bCs/>
          <w:szCs w:val="21"/>
        </w:rPr>
        <w:t>报名时需要提交的资料：</w:t>
      </w:r>
    </w:p>
    <w:p w14:paraId="70BBE998">
      <w:pPr>
        <w:pageBreakBefore w:val="0"/>
        <w:kinsoku/>
        <w:topLinePunct w:val="0"/>
        <w:autoSpaceDE w:val="0"/>
        <w:autoSpaceDN w:val="0"/>
        <w:bidi w:val="0"/>
        <w:adjustRightInd w:val="0"/>
        <w:snapToGrid/>
        <w:spacing w:line="360" w:lineRule="auto"/>
        <w:ind w:firstLine="420" w:firstLineChars="200"/>
        <w:rPr>
          <w:rFonts w:hint="eastAsia" w:ascii="仿宋" w:hAnsi="仿宋" w:eastAsia="仿宋" w:cs="仿宋"/>
          <w:b w:val="0"/>
          <w:bCs w:val="0"/>
          <w:sz w:val="21"/>
          <w:szCs w:val="21"/>
          <w:highlight w:val="none"/>
          <w:lang w:val="zh-CN"/>
        </w:rPr>
      </w:pPr>
      <w:r>
        <w:rPr>
          <w:rFonts w:hint="eastAsia" w:ascii="仿宋" w:hAnsi="仿宋" w:eastAsia="仿宋" w:cs="仿宋"/>
          <w:b w:val="0"/>
          <w:bCs w:val="0"/>
          <w:sz w:val="21"/>
          <w:szCs w:val="21"/>
          <w:highlight w:val="none"/>
          <w:lang w:val="zh-CN"/>
        </w:rPr>
        <w:t>（</w:t>
      </w:r>
      <w:r>
        <w:rPr>
          <w:rFonts w:hint="eastAsia" w:ascii="仿宋" w:hAnsi="仿宋" w:eastAsia="仿宋" w:cs="仿宋"/>
          <w:b w:val="0"/>
          <w:bCs w:val="0"/>
          <w:sz w:val="21"/>
          <w:szCs w:val="21"/>
          <w:highlight w:val="none"/>
        </w:rPr>
        <w:t>1</w:t>
      </w:r>
      <w:r>
        <w:rPr>
          <w:rFonts w:hint="eastAsia" w:ascii="仿宋" w:hAnsi="仿宋" w:eastAsia="仿宋" w:cs="仿宋"/>
          <w:b w:val="0"/>
          <w:bCs w:val="0"/>
          <w:sz w:val="21"/>
          <w:szCs w:val="21"/>
          <w:highlight w:val="none"/>
          <w:lang w:val="zh-CN"/>
        </w:rPr>
        <w:t>）有效的法人营业执照复印件；</w:t>
      </w:r>
    </w:p>
    <w:p w14:paraId="5B705097">
      <w:pPr>
        <w:widowControl/>
        <w:spacing w:line="360" w:lineRule="auto"/>
        <w:ind w:firstLine="420" w:firstLineChars="200"/>
        <w:rPr>
          <w:rFonts w:hint="eastAsia" w:ascii="仿宋" w:hAnsi="仿宋" w:eastAsia="仿宋" w:cs="仿宋"/>
          <w:b w:val="0"/>
          <w:bCs w:val="0"/>
          <w:sz w:val="21"/>
          <w:szCs w:val="21"/>
          <w:highlight w:val="none"/>
          <w:lang w:val="zh-CN"/>
        </w:rPr>
      </w:pPr>
      <w:r>
        <w:rPr>
          <w:rFonts w:hint="eastAsia" w:ascii="仿宋" w:hAnsi="仿宋" w:eastAsia="仿宋" w:cs="仿宋"/>
          <w:b w:val="0"/>
          <w:bCs w:val="0"/>
          <w:sz w:val="21"/>
          <w:szCs w:val="21"/>
          <w:highlight w:val="none"/>
          <w:lang w:val="zh-CN"/>
        </w:rPr>
        <w:t>（2）有效的金融许可证复印件；</w:t>
      </w:r>
    </w:p>
    <w:p w14:paraId="62312582">
      <w:pPr>
        <w:pageBreakBefore w:val="0"/>
        <w:kinsoku/>
        <w:topLinePunct w:val="0"/>
        <w:autoSpaceDE w:val="0"/>
        <w:autoSpaceDN w:val="0"/>
        <w:bidi w:val="0"/>
        <w:adjustRightInd w:val="0"/>
        <w:snapToGrid/>
        <w:spacing w:line="360" w:lineRule="auto"/>
        <w:ind w:firstLine="420" w:firstLineChars="200"/>
        <w:rPr>
          <w:rStyle w:val="21"/>
          <w:rFonts w:hint="eastAsia" w:ascii="仿宋" w:hAnsi="仿宋" w:eastAsia="仿宋" w:cs="仿宋"/>
          <w:b w:val="0"/>
          <w:bCs w:val="0"/>
          <w:szCs w:val="21"/>
          <w:lang w:val="zh-CN"/>
        </w:rPr>
      </w:pPr>
      <w:r>
        <w:rPr>
          <w:rFonts w:hint="eastAsia" w:ascii="仿宋" w:hAnsi="仿宋" w:eastAsia="仿宋" w:cs="仿宋"/>
          <w:b w:val="0"/>
          <w:bCs w:val="0"/>
          <w:sz w:val="21"/>
          <w:szCs w:val="21"/>
          <w:highlight w:val="none"/>
          <w:lang w:val="zh-CN"/>
        </w:rPr>
        <w:t>（</w:t>
      </w:r>
      <w:r>
        <w:rPr>
          <w:rFonts w:hint="eastAsia" w:ascii="仿宋" w:hAnsi="仿宋" w:eastAsia="仿宋" w:cs="仿宋"/>
          <w:b w:val="0"/>
          <w:bCs w:val="0"/>
          <w:sz w:val="21"/>
          <w:szCs w:val="21"/>
          <w:highlight w:val="none"/>
          <w:lang w:val="en-US" w:eastAsia="zh-CN"/>
        </w:rPr>
        <w:t>3</w:t>
      </w:r>
      <w:r>
        <w:rPr>
          <w:rFonts w:hint="eastAsia" w:ascii="仿宋" w:hAnsi="仿宋" w:eastAsia="仿宋" w:cs="仿宋"/>
          <w:b w:val="0"/>
          <w:bCs w:val="0"/>
          <w:sz w:val="21"/>
          <w:szCs w:val="21"/>
          <w:highlight w:val="none"/>
          <w:lang w:val="zh-CN"/>
        </w:rPr>
        <w:t>）</w:t>
      </w:r>
      <w:r>
        <w:rPr>
          <w:rStyle w:val="21"/>
          <w:rFonts w:hint="eastAsia" w:ascii="仿宋" w:hAnsi="仿宋" w:eastAsia="仿宋" w:cs="仿宋"/>
          <w:b w:val="0"/>
          <w:bCs w:val="0"/>
          <w:szCs w:val="21"/>
          <w:lang w:val="zh-CN"/>
        </w:rPr>
        <w:t>法定代表人身份证明【详见招标文件附件</w:t>
      </w:r>
      <w:r>
        <w:rPr>
          <w:rStyle w:val="21"/>
          <w:rFonts w:hint="eastAsia" w:ascii="仿宋" w:hAnsi="仿宋" w:eastAsia="仿宋" w:cs="仿宋"/>
          <w:b w:val="0"/>
          <w:bCs w:val="0"/>
          <w:szCs w:val="21"/>
          <w:u w:val="none"/>
          <w:lang w:val="zh-CN"/>
        </w:rPr>
        <w:t>】（投标人代表为法定代表人或单位负责人的投标人提供）；或法定代表人授权委托书</w:t>
      </w:r>
      <w:r>
        <w:rPr>
          <w:rStyle w:val="21"/>
          <w:rFonts w:hint="eastAsia" w:ascii="仿宋" w:hAnsi="仿宋" w:eastAsia="仿宋" w:cs="仿宋"/>
          <w:b w:val="0"/>
          <w:bCs w:val="0"/>
          <w:szCs w:val="21"/>
          <w:u w:val="none"/>
        </w:rPr>
        <w:t>【</w:t>
      </w:r>
      <w:r>
        <w:rPr>
          <w:rStyle w:val="21"/>
          <w:rFonts w:hint="eastAsia" w:ascii="仿宋" w:hAnsi="仿宋" w:eastAsia="仿宋" w:cs="仿宋"/>
          <w:b w:val="0"/>
          <w:bCs w:val="0"/>
          <w:szCs w:val="21"/>
          <w:lang w:val="zh-CN"/>
        </w:rPr>
        <w:t>详见招标文件附件</w:t>
      </w:r>
      <w:r>
        <w:rPr>
          <w:rStyle w:val="21"/>
          <w:rFonts w:hint="eastAsia" w:ascii="仿宋" w:hAnsi="仿宋" w:eastAsia="仿宋" w:cs="仿宋"/>
          <w:b w:val="0"/>
          <w:bCs w:val="0"/>
          <w:szCs w:val="21"/>
          <w:u w:val="none"/>
        </w:rPr>
        <w:t>】</w:t>
      </w:r>
      <w:r>
        <w:rPr>
          <w:rStyle w:val="21"/>
          <w:rFonts w:hint="eastAsia" w:ascii="仿宋" w:hAnsi="仿宋" w:eastAsia="仿宋" w:cs="仿宋"/>
          <w:b w:val="0"/>
          <w:bCs w:val="0"/>
          <w:szCs w:val="21"/>
          <w:lang w:val="zh-CN"/>
        </w:rPr>
        <w:t>（投标人代表为法定代表人或单位负责人授权代理人的投标人提供。</w:t>
      </w:r>
      <w:r>
        <w:rPr>
          <w:rStyle w:val="21"/>
          <w:rFonts w:hint="eastAsia" w:ascii="仿宋" w:hAnsi="仿宋" w:eastAsia="仿宋" w:cs="仿宋"/>
          <w:b w:val="0"/>
          <w:bCs w:val="0"/>
          <w:szCs w:val="21"/>
        </w:rPr>
        <w:t>法定代表人（单位负责人）和授权代理人签字或盖章可书面签字或盖章后扫描至电子投标文件中上传</w:t>
      </w:r>
      <w:r>
        <w:rPr>
          <w:rStyle w:val="21"/>
          <w:rFonts w:hint="eastAsia" w:ascii="仿宋" w:hAnsi="仿宋" w:eastAsia="仿宋" w:cs="仿宋"/>
          <w:b w:val="0"/>
          <w:bCs w:val="0"/>
          <w:szCs w:val="21"/>
          <w:lang w:val="zh-CN"/>
        </w:rPr>
        <w:t>）；</w:t>
      </w:r>
    </w:p>
    <w:p w14:paraId="32B6A39B">
      <w:pPr>
        <w:pageBreakBefore w:val="0"/>
        <w:kinsoku/>
        <w:topLinePunct w:val="0"/>
        <w:autoSpaceDE w:val="0"/>
        <w:autoSpaceDN w:val="0"/>
        <w:bidi w:val="0"/>
        <w:adjustRightInd w:val="0"/>
        <w:snapToGrid/>
        <w:spacing w:line="360" w:lineRule="auto"/>
        <w:ind w:firstLine="420" w:firstLineChars="200"/>
        <w:rPr>
          <w:rFonts w:hint="eastAsia" w:ascii="仿宋" w:hAnsi="仿宋" w:eastAsia="仿宋" w:cs="仿宋"/>
          <w:b w:val="0"/>
          <w:bCs w:val="0"/>
          <w:sz w:val="21"/>
          <w:szCs w:val="21"/>
          <w:highlight w:val="none"/>
          <w:lang w:val="zh-CN"/>
        </w:rPr>
      </w:pPr>
      <w:r>
        <w:rPr>
          <w:rFonts w:hint="eastAsia" w:ascii="仿宋" w:hAnsi="仿宋" w:eastAsia="仿宋" w:cs="仿宋"/>
          <w:b w:val="0"/>
          <w:bCs w:val="0"/>
          <w:sz w:val="21"/>
          <w:szCs w:val="21"/>
          <w:highlight w:val="none"/>
          <w:lang w:val="zh-CN"/>
        </w:rPr>
        <w:t>（</w:t>
      </w:r>
      <w:r>
        <w:rPr>
          <w:rFonts w:hint="eastAsia" w:ascii="仿宋" w:hAnsi="仿宋" w:eastAsia="仿宋" w:cs="仿宋"/>
          <w:b w:val="0"/>
          <w:bCs w:val="0"/>
          <w:sz w:val="21"/>
          <w:szCs w:val="21"/>
          <w:highlight w:val="none"/>
          <w:lang w:val="en-US" w:eastAsia="zh-CN"/>
        </w:rPr>
        <w:t>4）</w:t>
      </w:r>
      <w:r>
        <w:rPr>
          <w:rFonts w:hint="eastAsia" w:ascii="仿宋" w:hAnsi="仿宋" w:eastAsia="仿宋" w:cs="仿宋"/>
          <w:b w:val="0"/>
          <w:bCs w:val="0"/>
          <w:sz w:val="21"/>
          <w:szCs w:val="21"/>
          <w:highlight w:val="none"/>
          <w:lang w:val="zh-CN"/>
        </w:rPr>
        <w:t>参加招标活动</w:t>
      </w:r>
      <w:r>
        <w:rPr>
          <w:rFonts w:hint="eastAsia" w:ascii="仿宋" w:hAnsi="仿宋" w:eastAsia="仿宋" w:cs="仿宋"/>
          <w:b w:val="0"/>
          <w:bCs w:val="0"/>
          <w:sz w:val="21"/>
          <w:szCs w:val="21"/>
          <w:highlight w:val="none"/>
          <w:lang w:val="en-US" w:eastAsia="zh-CN"/>
        </w:rPr>
        <w:t>近三</w:t>
      </w:r>
      <w:r>
        <w:rPr>
          <w:rFonts w:hint="eastAsia" w:ascii="仿宋" w:hAnsi="仿宋" w:eastAsia="仿宋" w:cs="仿宋"/>
          <w:b w:val="0"/>
          <w:bCs w:val="0"/>
          <w:sz w:val="21"/>
          <w:szCs w:val="21"/>
          <w:highlight w:val="none"/>
          <w:lang w:val="zh-CN"/>
        </w:rPr>
        <w:t>年内在经营活动中无重大违法违规记录及重大违约事件的声明书【</w:t>
      </w:r>
      <w:r>
        <w:rPr>
          <w:rFonts w:hint="eastAsia" w:ascii="仿宋" w:hAnsi="仿宋" w:eastAsia="仿宋" w:cs="仿宋"/>
          <w:b w:val="0"/>
          <w:bCs w:val="0"/>
          <w:sz w:val="21"/>
          <w:szCs w:val="21"/>
          <w:highlight w:val="none"/>
          <w:lang w:val="zh-CN" w:eastAsia="zh-CN"/>
        </w:rPr>
        <w:t>详见招标文件附件</w:t>
      </w:r>
      <w:r>
        <w:rPr>
          <w:rFonts w:hint="eastAsia" w:ascii="仿宋" w:hAnsi="仿宋" w:eastAsia="仿宋" w:cs="仿宋"/>
          <w:b w:val="0"/>
          <w:bCs w:val="0"/>
          <w:sz w:val="21"/>
          <w:szCs w:val="21"/>
          <w:highlight w:val="none"/>
          <w:lang w:val="zh-CN"/>
        </w:rPr>
        <w:t>】。</w:t>
      </w:r>
    </w:p>
    <w:p w14:paraId="7F7420D4">
      <w:pPr>
        <w:spacing w:line="460" w:lineRule="exact"/>
        <w:ind w:firstLine="420" w:firstLineChars="200"/>
        <w:rPr>
          <w:rFonts w:hint="eastAsia" w:ascii="仿宋" w:hAnsi="仿宋" w:eastAsia="仿宋" w:cs="仿宋"/>
          <w:b/>
          <w:szCs w:val="21"/>
          <w:u w:val="single"/>
          <w:lang w:val="zh-CN"/>
        </w:rPr>
      </w:pPr>
      <w:r>
        <w:rPr>
          <w:rFonts w:hint="eastAsia" w:ascii="仿宋" w:hAnsi="仿宋" w:eastAsia="仿宋" w:cs="仿宋"/>
          <w:b/>
          <w:szCs w:val="21"/>
          <w:u w:val="single"/>
          <w:lang w:val="zh-CN"/>
        </w:rPr>
        <w:t>▲注：以上（</w:t>
      </w:r>
      <w:r>
        <w:rPr>
          <w:rFonts w:hint="eastAsia" w:ascii="仿宋" w:hAnsi="仿宋" w:eastAsia="仿宋" w:cs="仿宋"/>
          <w:b/>
          <w:szCs w:val="21"/>
          <w:u w:val="single"/>
          <w:lang w:val="en-US" w:eastAsia="zh-CN"/>
        </w:rPr>
        <w:t>1</w:t>
      </w:r>
      <w:r>
        <w:rPr>
          <w:rFonts w:hint="eastAsia" w:ascii="仿宋" w:hAnsi="仿宋" w:eastAsia="仿宋" w:cs="仿宋"/>
          <w:b/>
          <w:szCs w:val="21"/>
          <w:u w:val="single"/>
          <w:lang w:val="zh-CN"/>
        </w:rPr>
        <w:t>）</w:t>
      </w:r>
      <w:r>
        <w:rPr>
          <w:rFonts w:hint="eastAsia" w:ascii="仿宋" w:hAnsi="仿宋" w:eastAsia="仿宋" w:cs="仿宋"/>
          <w:b/>
          <w:szCs w:val="21"/>
          <w:u w:val="single"/>
          <w:lang w:val="en-US" w:eastAsia="zh-CN"/>
        </w:rPr>
        <w:t>-</w:t>
      </w:r>
      <w:r>
        <w:rPr>
          <w:rFonts w:hint="eastAsia" w:ascii="仿宋" w:hAnsi="仿宋" w:eastAsia="仿宋" w:cs="仿宋"/>
          <w:b/>
          <w:szCs w:val="21"/>
          <w:u w:val="single"/>
          <w:lang w:val="zh-CN"/>
        </w:rPr>
        <w:t>（</w:t>
      </w:r>
      <w:r>
        <w:rPr>
          <w:rFonts w:hint="eastAsia" w:ascii="仿宋" w:hAnsi="仿宋" w:eastAsia="仿宋" w:cs="仿宋"/>
          <w:b/>
          <w:szCs w:val="21"/>
          <w:u w:val="single"/>
          <w:lang w:val="en-US" w:eastAsia="zh-CN"/>
        </w:rPr>
        <w:t>4</w:t>
      </w:r>
      <w:r>
        <w:rPr>
          <w:rFonts w:hint="eastAsia" w:ascii="仿宋" w:hAnsi="仿宋" w:eastAsia="仿宋" w:cs="仿宋"/>
          <w:b/>
          <w:szCs w:val="21"/>
          <w:u w:val="single"/>
          <w:lang w:val="zh-CN"/>
        </w:rPr>
        <w:t>）项内容构成完整的报名文件，要求提供复印件的，尽可能提供相关材料原件的扫描件。投标人未按上述要求完整提供全部有效证明材料导致报名审核不通过的，责任由投标人自行承担。</w:t>
      </w:r>
    </w:p>
    <w:p w14:paraId="0EE5BDF2">
      <w:pPr>
        <w:spacing w:line="460" w:lineRule="exact"/>
        <w:ind w:firstLine="420" w:firstLineChars="200"/>
        <w:rPr>
          <w:rFonts w:hint="eastAsia" w:ascii="仿宋" w:hAnsi="仿宋" w:eastAsia="仿宋" w:cs="仿宋"/>
          <w:szCs w:val="21"/>
          <w:highlight w:val="none"/>
          <w:u w:val="single"/>
          <w:lang w:eastAsia="zh-CN"/>
        </w:rPr>
      </w:pPr>
      <w:bookmarkStart w:id="8" w:name="_Toc35393801"/>
      <w:bookmarkStart w:id="9" w:name="_Toc35393632"/>
      <w:bookmarkStart w:id="10" w:name="_Toc28359092"/>
      <w:bookmarkStart w:id="11" w:name="_Toc28359015"/>
      <w:r>
        <w:rPr>
          <w:rFonts w:hint="eastAsia" w:ascii="仿宋" w:hAnsi="仿宋" w:eastAsia="仿宋" w:cs="仿宋"/>
          <w:szCs w:val="21"/>
          <w:lang w:val="en-US" w:eastAsia="zh-CN"/>
        </w:rPr>
        <w:t>（三）</w:t>
      </w:r>
      <w:r>
        <w:rPr>
          <w:rFonts w:hint="eastAsia" w:ascii="仿宋" w:hAnsi="仿宋" w:eastAsia="仿宋" w:cs="仿宋"/>
          <w:szCs w:val="21"/>
          <w:highlight w:val="none"/>
          <w:lang w:eastAsia="zh-CN"/>
        </w:rPr>
        <w:t>招标文件获取方式及地址：线上获取。“政采云平台</w:t>
      </w:r>
      <w:r>
        <w:rPr>
          <w:rFonts w:hint="eastAsia" w:ascii="仿宋" w:hAnsi="仿宋" w:eastAsia="仿宋" w:cs="仿宋"/>
          <w:szCs w:val="21"/>
        </w:rPr>
        <w:t>http://login.zcygov.cn</w:t>
      </w:r>
      <w:r>
        <w:rPr>
          <w:rFonts w:hint="eastAsia" w:ascii="仿宋" w:hAnsi="仿宋" w:eastAsia="仿宋" w:cs="仿宋"/>
          <w:szCs w:val="21"/>
          <w:highlight w:val="none"/>
          <w:lang w:eastAsia="zh-CN"/>
        </w:rPr>
        <w:t>”</w:t>
      </w:r>
      <w:r>
        <w:rPr>
          <w:rFonts w:hint="eastAsia" w:ascii="仿宋" w:hAnsi="仿宋" w:eastAsia="仿宋" w:cs="仿宋"/>
          <w:szCs w:val="21"/>
          <w:lang w:eastAsia="zh-CN"/>
        </w:rPr>
        <w:t>获取</w:t>
      </w:r>
      <w:r>
        <w:rPr>
          <w:rFonts w:hint="eastAsia" w:ascii="仿宋" w:hAnsi="仿宋" w:eastAsia="仿宋" w:cs="仿宋"/>
          <w:szCs w:val="21"/>
          <w:highlight w:val="none"/>
          <w:lang w:eastAsia="zh-CN"/>
        </w:rPr>
        <w:t>。</w:t>
      </w:r>
    </w:p>
    <w:p w14:paraId="1E8DD79D">
      <w:pPr>
        <w:widowControl/>
        <w:spacing w:line="460" w:lineRule="exact"/>
        <w:ind w:firstLine="420" w:firstLineChars="200"/>
        <w:rPr>
          <w:rFonts w:hint="eastAsia" w:ascii="仿宋" w:hAnsi="仿宋" w:eastAsia="仿宋" w:cs="仿宋"/>
          <w:b/>
          <w:szCs w:val="21"/>
          <w:highlight w:val="none"/>
          <w:lang w:eastAsia="zh-CN"/>
        </w:rPr>
      </w:pPr>
      <w:r>
        <w:rPr>
          <w:rFonts w:hint="eastAsia" w:ascii="仿宋" w:hAnsi="仿宋" w:eastAsia="仿宋" w:cs="仿宋"/>
          <w:b/>
          <w:szCs w:val="21"/>
          <w:highlight w:val="none"/>
          <w:lang w:eastAsia="zh-CN"/>
        </w:rPr>
        <w:t>七、</w:t>
      </w:r>
      <w:bookmarkEnd w:id="8"/>
      <w:bookmarkEnd w:id="9"/>
      <w:bookmarkEnd w:id="10"/>
      <w:bookmarkEnd w:id="11"/>
      <w:r>
        <w:rPr>
          <w:rFonts w:hint="eastAsia" w:ascii="仿宋" w:hAnsi="仿宋" w:eastAsia="仿宋" w:cs="仿宋"/>
          <w:b/>
          <w:szCs w:val="21"/>
          <w:highlight w:val="none"/>
          <w:lang w:eastAsia="zh-CN"/>
        </w:rPr>
        <w:t>投标起止时间及地点</w:t>
      </w:r>
      <w:r>
        <w:rPr>
          <w:rFonts w:hint="eastAsia" w:ascii="仿宋" w:hAnsi="仿宋" w:eastAsia="仿宋" w:cs="仿宋"/>
          <w:b/>
          <w:szCs w:val="21"/>
          <w:highlight w:val="none"/>
          <w:lang w:val="en-US" w:eastAsia="zh-CN"/>
        </w:rPr>
        <w:t xml:space="preserve"> </w:t>
      </w:r>
    </w:p>
    <w:p w14:paraId="674890AC">
      <w:pPr>
        <w:spacing w:line="460" w:lineRule="exact"/>
        <w:ind w:firstLine="420" w:firstLineChars="200"/>
        <w:rPr>
          <w:rFonts w:hint="eastAsia" w:ascii="仿宋" w:hAnsi="仿宋" w:eastAsia="仿宋" w:cs="仿宋"/>
          <w:bCs/>
          <w:szCs w:val="21"/>
          <w:highlight w:val="none"/>
          <w:u w:val="single"/>
        </w:rPr>
      </w:pPr>
      <w:r>
        <w:rPr>
          <w:rFonts w:hint="eastAsia" w:ascii="仿宋" w:hAnsi="仿宋" w:eastAsia="仿宋" w:cs="仿宋"/>
          <w:szCs w:val="21"/>
          <w:highlight w:val="none"/>
          <w:lang w:eastAsia="zh-CN"/>
        </w:rPr>
        <w:t>起</w:t>
      </w:r>
      <w:r>
        <w:rPr>
          <w:rFonts w:hint="eastAsia" w:ascii="仿宋" w:hAnsi="仿宋" w:eastAsia="仿宋" w:cs="仿宋"/>
          <w:szCs w:val="21"/>
          <w:highlight w:val="none"/>
        </w:rPr>
        <w:t>止时间：</w:t>
      </w:r>
      <w:r>
        <w:rPr>
          <w:rFonts w:hint="eastAsia" w:ascii="仿宋" w:hAnsi="仿宋" w:eastAsia="仿宋" w:cs="仿宋"/>
          <w:b/>
          <w:bCs/>
          <w:spacing w:val="11"/>
          <w:sz w:val="21"/>
          <w:lang w:eastAsia="zh-CN"/>
        </w:rPr>
        <w:t>202</w:t>
      </w:r>
      <w:r>
        <w:rPr>
          <w:rFonts w:hint="eastAsia" w:ascii="仿宋" w:hAnsi="仿宋" w:eastAsia="仿宋" w:cs="仿宋"/>
          <w:b/>
          <w:bCs/>
          <w:spacing w:val="11"/>
          <w:sz w:val="21"/>
          <w:lang w:val="en-US" w:eastAsia="zh-CN"/>
        </w:rPr>
        <w:t>5</w:t>
      </w:r>
      <w:r>
        <w:rPr>
          <w:rFonts w:hint="eastAsia" w:ascii="仿宋" w:hAnsi="仿宋" w:eastAsia="仿宋" w:cs="仿宋"/>
          <w:b/>
          <w:bCs/>
          <w:spacing w:val="11"/>
          <w:sz w:val="21"/>
          <w:lang w:eastAsia="zh-CN"/>
        </w:rPr>
        <w:t>年</w:t>
      </w:r>
      <w:r>
        <w:rPr>
          <w:rFonts w:hint="eastAsia" w:ascii="仿宋" w:hAnsi="仿宋" w:eastAsia="仿宋" w:cs="仿宋"/>
          <w:b/>
          <w:bCs/>
          <w:lang w:val="en-US" w:eastAsia="zh-CN"/>
        </w:rPr>
        <w:t>06</w:t>
      </w:r>
      <w:r>
        <w:rPr>
          <w:rFonts w:hint="eastAsia" w:ascii="仿宋" w:hAnsi="仿宋" w:eastAsia="仿宋" w:cs="仿宋"/>
          <w:b/>
          <w:bCs/>
          <w:lang w:eastAsia="zh-CN"/>
        </w:rPr>
        <w:t>月</w:t>
      </w:r>
      <w:r>
        <w:rPr>
          <w:rFonts w:hint="eastAsia" w:ascii="仿宋" w:hAnsi="仿宋" w:eastAsia="仿宋" w:cs="仿宋"/>
          <w:b/>
          <w:bCs/>
          <w:lang w:val="en-US" w:eastAsia="zh-CN"/>
        </w:rPr>
        <w:t>16</w:t>
      </w:r>
      <w:r>
        <w:rPr>
          <w:rFonts w:hint="eastAsia" w:ascii="仿宋" w:hAnsi="仿宋" w:eastAsia="仿宋" w:cs="仿宋"/>
          <w:b/>
          <w:bCs/>
          <w:lang w:eastAsia="zh-CN"/>
        </w:rPr>
        <w:t>日</w:t>
      </w:r>
      <w:r>
        <w:rPr>
          <w:rFonts w:hint="eastAsia" w:ascii="仿宋" w:hAnsi="仿宋" w:eastAsia="仿宋" w:cs="仿宋"/>
          <w:szCs w:val="21"/>
        </w:rPr>
        <w:t>至</w:t>
      </w:r>
      <w:r>
        <w:rPr>
          <w:rFonts w:hint="eastAsia" w:ascii="仿宋" w:hAnsi="仿宋" w:eastAsia="仿宋" w:cs="仿宋"/>
          <w:b/>
          <w:bCs/>
          <w:spacing w:val="11"/>
          <w:sz w:val="21"/>
          <w:lang w:eastAsia="zh-CN"/>
        </w:rPr>
        <w:t>202</w:t>
      </w:r>
      <w:r>
        <w:rPr>
          <w:rFonts w:hint="eastAsia" w:ascii="仿宋" w:hAnsi="仿宋" w:eastAsia="仿宋" w:cs="仿宋"/>
          <w:b/>
          <w:bCs/>
          <w:spacing w:val="11"/>
          <w:sz w:val="21"/>
          <w:lang w:val="en-US" w:eastAsia="zh-CN"/>
        </w:rPr>
        <w:t>5</w:t>
      </w:r>
      <w:r>
        <w:rPr>
          <w:rFonts w:hint="eastAsia" w:ascii="仿宋" w:hAnsi="仿宋" w:eastAsia="仿宋" w:cs="仿宋"/>
          <w:b/>
          <w:bCs/>
          <w:spacing w:val="11"/>
          <w:sz w:val="21"/>
          <w:lang w:eastAsia="zh-CN"/>
        </w:rPr>
        <w:t>年</w:t>
      </w:r>
      <w:r>
        <w:rPr>
          <w:rFonts w:hint="eastAsia" w:ascii="仿宋" w:hAnsi="仿宋" w:eastAsia="仿宋" w:cs="仿宋"/>
          <w:b/>
          <w:bCs/>
          <w:spacing w:val="11"/>
          <w:sz w:val="21"/>
          <w:lang w:val="en-US" w:eastAsia="zh-CN"/>
        </w:rPr>
        <w:t>06</w:t>
      </w:r>
      <w:r>
        <w:rPr>
          <w:rFonts w:hint="eastAsia" w:ascii="仿宋" w:hAnsi="仿宋" w:eastAsia="仿宋" w:cs="仿宋"/>
          <w:b/>
          <w:bCs/>
          <w:lang w:eastAsia="zh-CN"/>
        </w:rPr>
        <w:t>月</w:t>
      </w:r>
      <w:r>
        <w:rPr>
          <w:rFonts w:hint="eastAsia" w:ascii="仿宋" w:hAnsi="仿宋" w:eastAsia="仿宋" w:cs="仿宋"/>
          <w:b/>
          <w:bCs/>
          <w:lang w:val="en-US" w:eastAsia="zh-CN"/>
        </w:rPr>
        <w:t>25</w:t>
      </w:r>
      <w:r>
        <w:rPr>
          <w:rFonts w:hint="eastAsia" w:ascii="仿宋" w:hAnsi="仿宋" w:eastAsia="仿宋" w:cs="仿宋"/>
          <w:b/>
          <w:bCs/>
          <w:lang w:eastAsia="zh-CN"/>
        </w:rPr>
        <w:t>日</w:t>
      </w:r>
      <w:r>
        <w:rPr>
          <w:rFonts w:hint="eastAsia" w:ascii="仿宋" w:hAnsi="仿宋" w:eastAsia="仿宋" w:cs="仿宋"/>
          <w:b/>
          <w:bCs/>
          <w:highlight w:val="none"/>
          <w:lang w:val="en-US" w:eastAsia="zh-CN"/>
        </w:rPr>
        <w:t>14:30</w:t>
      </w:r>
      <w:r>
        <w:rPr>
          <w:rFonts w:hint="eastAsia" w:ascii="仿宋" w:hAnsi="仿宋" w:eastAsia="仿宋" w:cs="仿宋"/>
          <w:szCs w:val="21"/>
          <w:highlight w:val="none"/>
        </w:rPr>
        <w:t>（北京时间）前将</w:t>
      </w:r>
      <w:r>
        <w:rPr>
          <w:rFonts w:hint="eastAsia" w:ascii="仿宋" w:hAnsi="仿宋" w:eastAsia="仿宋" w:cs="仿宋"/>
          <w:szCs w:val="21"/>
          <w:highlight w:val="none"/>
          <w:lang w:eastAsia="zh-CN"/>
        </w:rPr>
        <w:t>电子投标文件</w:t>
      </w:r>
      <w:r>
        <w:rPr>
          <w:rFonts w:hint="eastAsia" w:ascii="仿宋" w:hAnsi="仿宋" w:eastAsia="仿宋" w:cs="仿宋"/>
          <w:szCs w:val="21"/>
          <w:highlight w:val="none"/>
        </w:rPr>
        <w:t>通过“政采云电子投标客户端”上传至政采云平台，逾期上传的将予以拒收。</w:t>
      </w:r>
    </w:p>
    <w:p w14:paraId="353E01DC">
      <w:pPr>
        <w:spacing w:line="460" w:lineRule="exact"/>
        <w:ind w:firstLine="420" w:firstLineChars="200"/>
        <w:rPr>
          <w:rFonts w:hint="eastAsia" w:ascii="仿宋" w:hAnsi="仿宋" w:eastAsia="仿宋" w:cs="仿宋"/>
          <w:bCs/>
          <w:szCs w:val="21"/>
          <w:highlight w:val="none"/>
          <w:u w:val="single"/>
        </w:rPr>
      </w:pPr>
      <w:r>
        <w:rPr>
          <w:rFonts w:hint="eastAsia" w:ascii="仿宋" w:hAnsi="仿宋" w:eastAsia="仿宋" w:cs="仿宋"/>
          <w:szCs w:val="21"/>
          <w:highlight w:val="none"/>
          <w:lang w:eastAsia="zh-CN"/>
        </w:rPr>
        <w:t>地点</w:t>
      </w:r>
      <w:r>
        <w:rPr>
          <w:rFonts w:hint="eastAsia" w:ascii="仿宋" w:hAnsi="仿宋" w:eastAsia="仿宋" w:cs="仿宋"/>
          <w:szCs w:val="21"/>
          <w:highlight w:val="none"/>
        </w:rPr>
        <w:t>：“政府采购云平台</w:t>
      </w:r>
      <w:r>
        <w:rPr>
          <w:rFonts w:hint="eastAsia" w:ascii="仿宋" w:hAnsi="仿宋" w:eastAsia="仿宋" w:cs="仿宋"/>
          <w:szCs w:val="21"/>
          <w:highlight w:val="none"/>
          <w:lang w:eastAsia="zh-CN"/>
        </w:rPr>
        <w:t>（http://login.zcygov.cn）</w:t>
      </w:r>
      <w:r>
        <w:rPr>
          <w:rFonts w:hint="eastAsia" w:ascii="仿宋" w:hAnsi="仿宋" w:eastAsia="仿宋" w:cs="仿宋"/>
          <w:szCs w:val="21"/>
          <w:highlight w:val="none"/>
        </w:rPr>
        <w:t>”在线提交（上传）。</w:t>
      </w:r>
    </w:p>
    <w:p w14:paraId="3EA7D095">
      <w:pPr>
        <w:widowControl/>
        <w:spacing w:line="460" w:lineRule="exact"/>
        <w:ind w:firstLine="420" w:firstLineChars="200"/>
        <w:rPr>
          <w:rFonts w:hint="eastAsia" w:ascii="仿宋" w:hAnsi="仿宋" w:eastAsia="仿宋" w:cs="仿宋"/>
          <w:b/>
          <w:szCs w:val="21"/>
          <w:highlight w:val="none"/>
        </w:rPr>
      </w:pPr>
      <w:bookmarkStart w:id="12" w:name="_Toc28359016"/>
      <w:bookmarkStart w:id="13" w:name="_Toc35393633"/>
      <w:bookmarkStart w:id="14" w:name="_Toc28359093"/>
      <w:bookmarkStart w:id="15" w:name="_Toc35393802"/>
      <w:r>
        <w:rPr>
          <w:rFonts w:hint="eastAsia" w:ascii="仿宋" w:hAnsi="仿宋" w:eastAsia="仿宋" w:cs="仿宋"/>
          <w:b/>
          <w:szCs w:val="21"/>
          <w:highlight w:val="none"/>
          <w:lang w:eastAsia="zh-CN"/>
        </w:rPr>
        <w:t>八</w:t>
      </w:r>
      <w:r>
        <w:rPr>
          <w:rFonts w:hint="eastAsia" w:ascii="仿宋" w:hAnsi="仿宋" w:eastAsia="仿宋" w:cs="仿宋"/>
          <w:b/>
          <w:szCs w:val="21"/>
          <w:highlight w:val="none"/>
        </w:rPr>
        <w:t>、</w:t>
      </w:r>
      <w:bookmarkEnd w:id="12"/>
      <w:bookmarkEnd w:id="13"/>
      <w:bookmarkEnd w:id="14"/>
      <w:bookmarkEnd w:id="15"/>
      <w:r>
        <w:rPr>
          <w:rFonts w:hint="eastAsia" w:ascii="仿宋" w:hAnsi="仿宋" w:eastAsia="仿宋" w:cs="仿宋"/>
          <w:b/>
          <w:szCs w:val="21"/>
          <w:highlight w:val="none"/>
          <w:lang w:eastAsia="zh-CN"/>
        </w:rPr>
        <w:t>开标时间及地点</w:t>
      </w:r>
    </w:p>
    <w:p w14:paraId="543AF93C">
      <w:pPr>
        <w:spacing w:line="460" w:lineRule="exact"/>
        <w:ind w:firstLine="420" w:firstLineChars="200"/>
        <w:rPr>
          <w:rFonts w:hint="eastAsia" w:ascii="仿宋" w:hAnsi="仿宋" w:eastAsia="仿宋" w:cs="仿宋"/>
          <w:bCs/>
          <w:szCs w:val="21"/>
          <w:highlight w:val="none"/>
          <w:u w:val="single"/>
        </w:rPr>
      </w:pPr>
      <w:r>
        <w:rPr>
          <w:rFonts w:hint="eastAsia" w:ascii="仿宋" w:hAnsi="仿宋" w:eastAsia="仿宋" w:cs="仿宋"/>
          <w:szCs w:val="21"/>
          <w:highlight w:val="none"/>
        </w:rPr>
        <w:t>时间：</w:t>
      </w:r>
      <w:r>
        <w:rPr>
          <w:rFonts w:hint="eastAsia" w:ascii="仿宋" w:hAnsi="仿宋" w:eastAsia="仿宋" w:cs="仿宋"/>
          <w:b/>
          <w:bCs/>
          <w:spacing w:val="11"/>
          <w:sz w:val="21"/>
          <w:lang w:eastAsia="zh-CN"/>
        </w:rPr>
        <w:t>202</w:t>
      </w:r>
      <w:r>
        <w:rPr>
          <w:rFonts w:hint="eastAsia" w:ascii="仿宋" w:hAnsi="仿宋" w:eastAsia="仿宋" w:cs="仿宋"/>
          <w:b/>
          <w:bCs/>
          <w:spacing w:val="11"/>
          <w:sz w:val="21"/>
          <w:lang w:val="en-US" w:eastAsia="zh-CN"/>
        </w:rPr>
        <w:t>5</w:t>
      </w:r>
      <w:r>
        <w:rPr>
          <w:rFonts w:hint="eastAsia" w:ascii="仿宋" w:hAnsi="仿宋" w:eastAsia="仿宋" w:cs="仿宋"/>
          <w:b/>
          <w:bCs/>
          <w:spacing w:val="11"/>
          <w:sz w:val="21"/>
          <w:lang w:eastAsia="zh-CN"/>
        </w:rPr>
        <w:t>年</w:t>
      </w:r>
      <w:r>
        <w:rPr>
          <w:rFonts w:hint="eastAsia" w:ascii="仿宋" w:hAnsi="仿宋" w:eastAsia="仿宋" w:cs="仿宋"/>
          <w:b/>
          <w:bCs/>
          <w:spacing w:val="11"/>
          <w:sz w:val="21"/>
          <w:lang w:val="en-US" w:eastAsia="zh-CN"/>
        </w:rPr>
        <w:t>06</w:t>
      </w:r>
      <w:r>
        <w:rPr>
          <w:rFonts w:hint="eastAsia" w:ascii="仿宋" w:hAnsi="仿宋" w:eastAsia="仿宋" w:cs="仿宋"/>
          <w:b/>
          <w:bCs/>
          <w:lang w:eastAsia="zh-CN"/>
        </w:rPr>
        <w:t>月</w:t>
      </w:r>
      <w:r>
        <w:rPr>
          <w:rFonts w:hint="eastAsia" w:ascii="仿宋" w:hAnsi="仿宋" w:eastAsia="仿宋" w:cs="仿宋"/>
          <w:b/>
          <w:bCs/>
          <w:lang w:val="en-US" w:eastAsia="zh-CN"/>
        </w:rPr>
        <w:t>25</w:t>
      </w:r>
      <w:r>
        <w:rPr>
          <w:rFonts w:hint="eastAsia" w:ascii="仿宋" w:hAnsi="仿宋" w:eastAsia="仿宋" w:cs="仿宋"/>
          <w:b/>
          <w:bCs/>
          <w:lang w:eastAsia="zh-CN"/>
        </w:rPr>
        <w:t>日</w:t>
      </w:r>
      <w:r>
        <w:rPr>
          <w:rFonts w:hint="eastAsia" w:ascii="仿宋" w:hAnsi="仿宋" w:eastAsia="仿宋" w:cs="仿宋"/>
          <w:b/>
          <w:bCs/>
          <w:highlight w:val="none"/>
          <w:lang w:val="en-US" w:eastAsia="zh-CN"/>
        </w:rPr>
        <w:t>14:30</w:t>
      </w:r>
      <w:r>
        <w:rPr>
          <w:rFonts w:hint="eastAsia" w:ascii="仿宋" w:hAnsi="仿宋" w:eastAsia="仿宋" w:cs="仿宋"/>
          <w:b/>
          <w:bCs/>
          <w:szCs w:val="21"/>
          <w:highlight w:val="none"/>
        </w:rPr>
        <w:t>（北京时间）</w:t>
      </w:r>
    </w:p>
    <w:p w14:paraId="0910FE68">
      <w:pPr>
        <w:spacing w:line="460" w:lineRule="exact"/>
        <w:ind w:firstLine="420" w:firstLineChars="200"/>
        <w:rPr>
          <w:rFonts w:hint="eastAsia" w:ascii="仿宋" w:hAnsi="仿宋" w:eastAsia="仿宋" w:cs="仿宋"/>
          <w:szCs w:val="21"/>
          <w:lang w:eastAsia="zh-CN"/>
        </w:rPr>
      </w:pPr>
      <w:r>
        <w:rPr>
          <w:rFonts w:hint="eastAsia" w:ascii="仿宋" w:hAnsi="仿宋" w:eastAsia="仿宋" w:cs="仿宋"/>
          <w:szCs w:val="21"/>
          <w:highlight w:val="none"/>
        </w:rPr>
        <w:t>地点：</w:t>
      </w:r>
      <w:r>
        <w:rPr>
          <w:rFonts w:hint="eastAsia" w:ascii="仿宋" w:hAnsi="仿宋" w:eastAsia="仿宋" w:cs="仿宋"/>
          <w:sz w:val="21"/>
          <w:szCs w:val="21"/>
          <w:highlight w:val="none"/>
          <w:lang w:eastAsia="zh-CN"/>
        </w:rPr>
        <w:t>浙江哲晟工程项目管理有限公司开标室（</w:t>
      </w:r>
      <w:r>
        <w:rPr>
          <w:rFonts w:hint="eastAsia" w:ascii="仿宋" w:hAnsi="仿宋" w:eastAsia="仿宋" w:cs="仿宋"/>
          <w:color w:val="auto"/>
          <w:sz w:val="21"/>
          <w:szCs w:val="21"/>
          <w:highlight w:val="none"/>
          <w:shd w:val="clear" w:color="auto" w:fill="auto"/>
        </w:rPr>
        <w:t>浙江省</w:t>
      </w:r>
      <w:r>
        <w:rPr>
          <w:rFonts w:hint="eastAsia" w:ascii="仿宋" w:hAnsi="仿宋" w:eastAsia="仿宋" w:cs="仿宋"/>
          <w:color w:val="auto"/>
          <w:sz w:val="21"/>
          <w:szCs w:val="21"/>
          <w:highlight w:val="none"/>
          <w:shd w:val="clear" w:color="auto" w:fill="auto"/>
          <w:lang w:eastAsia="zh-CN"/>
        </w:rPr>
        <w:t>衢州市</w:t>
      </w:r>
      <w:r>
        <w:rPr>
          <w:rFonts w:hint="eastAsia" w:ascii="仿宋" w:hAnsi="仿宋" w:eastAsia="仿宋" w:cs="仿宋"/>
          <w:sz w:val="21"/>
          <w:szCs w:val="21"/>
          <w:highlight w:val="none"/>
        </w:rPr>
        <w:t>常山县天马街道定阳南路859幢</w:t>
      </w:r>
      <w:r>
        <w:rPr>
          <w:rFonts w:hint="eastAsia" w:ascii="仿宋" w:hAnsi="仿宋" w:eastAsia="仿宋" w:cs="仿宋"/>
          <w:sz w:val="21"/>
          <w:szCs w:val="21"/>
          <w:highlight w:val="none"/>
          <w:lang w:eastAsia="zh-CN"/>
        </w:rPr>
        <w:t>4</w:t>
      </w:r>
      <w:r>
        <w:rPr>
          <w:rFonts w:hint="eastAsia" w:ascii="仿宋" w:hAnsi="仿宋" w:eastAsia="仿宋" w:cs="仿宋"/>
          <w:sz w:val="21"/>
          <w:szCs w:val="21"/>
          <w:highlight w:val="none"/>
          <w:lang w:val="en-US" w:eastAsia="zh-CN"/>
        </w:rPr>
        <w:t>32</w:t>
      </w:r>
      <w:r>
        <w:rPr>
          <w:rFonts w:hint="eastAsia" w:ascii="仿宋" w:hAnsi="仿宋" w:eastAsia="仿宋" w:cs="仿宋"/>
          <w:sz w:val="21"/>
          <w:szCs w:val="21"/>
          <w:highlight w:val="none"/>
          <w:lang w:eastAsia="zh-CN"/>
        </w:rPr>
        <w:t>-43</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室</w:t>
      </w:r>
      <w:r>
        <w:rPr>
          <w:rFonts w:hint="eastAsia" w:ascii="仿宋" w:hAnsi="仿宋" w:eastAsia="仿宋" w:cs="仿宋"/>
          <w:sz w:val="21"/>
          <w:szCs w:val="21"/>
          <w:highlight w:val="none"/>
          <w:lang w:eastAsia="zh-CN"/>
        </w:rPr>
        <w:t>）；</w:t>
      </w:r>
      <w:r>
        <w:rPr>
          <w:rFonts w:hint="eastAsia" w:ascii="仿宋" w:hAnsi="仿宋" w:eastAsia="仿宋" w:cs="仿宋"/>
          <w:szCs w:val="21"/>
          <w:highlight w:val="none"/>
        </w:rPr>
        <w:t>“政府采购云平台</w:t>
      </w:r>
      <w:r>
        <w:rPr>
          <w:rFonts w:hint="eastAsia" w:ascii="仿宋" w:hAnsi="仿宋" w:eastAsia="仿宋" w:cs="仿宋"/>
          <w:szCs w:val="21"/>
          <w:highlight w:val="none"/>
          <w:lang w:eastAsia="zh-CN"/>
        </w:rPr>
        <w:t>（http://login.zcygov.cn）</w:t>
      </w:r>
      <w:r>
        <w:rPr>
          <w:rFonts w:hint="eastAsia" w:ascii="仿宋" w:hAnsi="仿宋" w:eastAsia="仿宋" w:cs="仿宋"/>
          <w:szCs w:val="21"/>
          <w:highlight w:val="none"/>
        </w:rPr>
        <w:t>”在</w:t>
      </w:r>
      <w:r>
        <w:rPr>
          <w:rFonts w:hint="eastAsia" w:ascii="仿宋" w:hAnsi="仿宋" w:eastAsia="仿宋" w:cs="仿宋"/>
          <w:szCs w:val="21"/>
        </w:rPr>
        <w:t>线开、评标</w:t>
      </w:r>
      <w:r>
        <w:rPr>
          <w:rFonts w:hint="eastAsia" w:ascii="仿宋" w:hAnsi="仿宋" w:eastAsia="仿宋" w:cs="仿宋"/>
          <w:szCs w:val="21"/>
          <w:lang w:eastAsia="zh-CN"/>
        </w:rPr>
        <w:t>。</w:t>
      </w:r>
    </w:p>
    <w:p w14:paraId="575CE578">
      <w:pPr>
        <w:spacing w:line="460" w:lineRule="exact"/>
        <w:ind w:firstLine="420" w:firstLineChars="200"/>
        <w:rPr>
          <w:rFonts w:hint="eastAsia" w:ascii="仿宋" w:hAnsi="仿宋" w:eastAsia="仿宋" w:cs="仿宋"/>
          <w:bCs/>
          <w:szCs w:val="21"/>
          <w:u w:val="single"/>
          <w:lang w:eastAsia="zh-CN"/>
        </w:rPr>
      </w:pPr>
      <w:r>
        <w:rPr>
          <w:rFonts w:hint="eastAsia" w:ascii="仿宋" w:hAnsi="仿宋" w:eastAsia="仿宋" w:cs="仿宋"/>
          <w:szCs w:val="21"/>
        </w:rPr>
        <w:t>本项目实行网上电子</w:t>
      </w:r>
      <w:r>
        <w:rPr>
          <w:rFonts w:hint="eastAsia" w:ascii="仿宋" w:hAnsi="仿宋" w:eastAsia="仿宋" w:cs="仿宋"/>
          <w:szCs w:val="21"/>
          <w:lang w:eastAsia="zh-CN"/>
        </w:rPr>
        <w:t>开评</w:t>
      </w:r>
      <w:r>
        <w:rPr>
          <w:rFonts w:hint="eastAsia" w:ascii="仿宋" w:hAnsi="仿宋" w:eastAsia="仿宋" w:cs="仿宋"/>
          <w:szCs w:val="21"/>
        </w:rPr>
        <w:t>标</w:t>
      </w:r>
      <w:r>
        <w:rPr>
          <w:rFonts w:hint="eastAsia" w:ascii="仿宋" w:hAnsi="仿宋" w:eastAsia="仿宋" w:cs="仿宋"/>
          <w:szCs w:val="21"/>
          <w:lang w:eastAsia="zh-CN"/>
        </w:rPr>
        <w:t>，投标人代表无需到达开标现场。</w:t>
      </w:r>
    </w:p>
    <w:p w14:paraId="4B219A13">
      <w:pPr>
        <w:pageBreakBefore w:val="0"/>
        <w:kinsoku/>
        <w:wordWrap w:val="0"/>
        <w:topLinePunct w:val="0"/>
        <w:bidi w:val="0"/>
        <w:snapToGrid/>
        <w:spacing w:line="360" w:lineRule="auto"/>
        <w:ind w:firstLine="420"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lang w:eastAsia="zh-CN"/>
        </w:rPr>
        <w:t>九、</w:t>
      </w:r>
      <w:r>
        <w:rPr>
          <w:rFonts w:hint="eastAsia" w:ascii="仿宋" w:hAnsi="仿宋" w:eastAsia="仿宋" w:cs="仿宋"/>
          <w:b/>
          <w:sz w:val="21"/>
          <w:szCs w:val="21"/>
          <w:highlight w:val="none"/>
        </w:rPr>
        <w:t>联系方式</w:t>
      </w:r>
    </w:p>
    <w:p w14:paraId="1DAD07E2">
      <w:pPr>
        <w:pStyle w:val="12"/>
        <w:spacing w:before="0" w:beforeAutospacing="0" w:after="0" w:afterAutospacing="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1.招标人信息</w:t>
      </w:r>
    </w:p>
    <w:p w14:paraId="2520F9CA">
      <w:pPr>
        <w:pStyle w:val="12"/>
        <w:pageBreakBefore w:val="0"/>
        <w:kinsoku/>
        <w:topLinePunct w:val="0"/>
        <w:bidi w:val="0"/>
        <w:snapToGrid/>
        <w:spacing w:before="0" w:beforeLines="0" w:beforeAutospacing="0" w:after="0" w:afterLines="0" w:afterAutospacing="0"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招标人：常山县自然资源和规划局</w:t>
      </w:r>
    </w:p>
    <w:p w14:paraId="159556C9">
      <w:pPr>
        <w:pStyle w:val="12"/>
        <w:pageBreakBefore w:val="0"/>
        <w:kinsoku/>
        <w:topLinePunct w:val="0"/>
        <w:bidi w:val="0"/>
        <w:snapToGrid/>
        <w:spacing w:before="0" w:beforeLines="0" w:beforeAutospacing="0" w:after="0" w:afterLines="0" w:afterAutospacing="0"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地址：常山县天马街道白马路161号</w:t>
      </w:r>
    </w:p>
    <w:p w14:paraId="3D25EA19">
      <w:pPr>
        <w:pStyle w:val="12"/>
        <w:pageBreakBefore w:val="0"/>
        <w:kinsoku/>
        <w:topLinePunct w:val="0"/>
        <w:bidi w:val="0"/>
        <w:snapToGrid/>
        <w:spacing w:before="0" w:beforeLines="0" w:beforeAutospacing="0" w:after="0" w:afterLines="0" w:afterAutospacing="0"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项目联系人：黄建国</w:t>
      </w:r>
    </w:p>
    <w:p w14:paraId="5681E4CB">
      <w:pPr>
        <w:pStyle w:val="12"/>
        <w:pageBreakBefore w:val="0"/>
        <w:kinsoku/>
        <w:topLinePunct w:val="0"/>
        <w:bidi w:val="0"/>
        <w:snapToGrid/>
        <w:spacing w:before="0" w:beforeLines="0" w:beforeAutospacing="0" w:after="0" w:afterLines="0" w:afterAutospacing="0"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联系电话：13656703452</w:t>
      </w:r>
    </w:p>
    <w:p w14:paraId="7DF10812">
      <w:pPr>
        <w:pStyle w:val="12"/>
        <w:pageBreakBefore w:val="0"/>
        <w:kinsoku/>
        <w:topLinePunct w:val="0"/>
        <w:bidi w:val="0"/>
        <w:snapToGrid/>
        <w:spacing w:before="0" w:beforeLines="0" w:beforeAutospacing="0" w:after="0" w:afterLines="0" w:afterAutospacing="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代理机构信息</w:t>
      </w:r>
    </w:p>
    <w:p w14:paraId="75F5E989">
      <w:pPr>
        <w:pStyle w:val="1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代理机构：</w:t>
      </w:r>
      <w:r>
        <w:rPr>
          <w:rFonts w:hint="eastAsia" w:ascii="仿宋" w:hAnsi="仿宋" w:eastAsia="仿宋" w:cs="仿宋"/>
          <w:sz w:val="21"/>
          <w:szCs w:val="21"/>
          <w:highlight w:val="none"/>
          <w:lang w:eastAsia="zh-CN"/>
        </w:rPr>
        <w:t>浙江哲晟工程项目管理有限公司</w:t>
      </w:r>
      <w:r>
        <w:rPr>
          <w:rFonts w:hint="eastAsia" w:ascii="仿宋" w:hAnsi="仿宋" w:eastAsia="仿宋" w:cs="仿宋"/>
          <w:sz w:val="21"/>
          <w:szCs w:val="21"/>
          <w:highlight w:val="none"/>
        </w:rPr>
        <w:t xml:space="preserve"> </w:t>
      </w:r>
    </w:p>
    <w:p w14:paraId="5A80430C">
      <w:pPr>
        <w:pStyle w:val="12"/>
        <w:pageBreakBefore w:val="0"/>
        <w:kinsoku/>
        <w:topLinePunct w:val="0"/>
        <w:bidi w:val="0"/>
        <w:snapToGrid/>
        <w:spacing w:before="0" w:beforeLines="0" w:beforeAutospacing="0" w:after="0" w:afterLines="0" w:afterAutospacing="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r>
        <w:rPr>
          <w:rFonts w:hint="eastAsia" w:ascii="仿宋" w:hAnsi="仿宋" w:eastAsia="仿宋" w:cs="仿宋"/>
          <w:color w:val="auto"/>
          <w:sz w:val="21"/>
          <w:szCs w:val="21"/>
          <w:highlight w:val="none"/>
          <w:shd w:val="clear" w:color="auto" w:fill="auto"/>
        </w:rPr>
        <w:t>浙江省</w:t>
      </w:r>
      <w:r>
        <w:rPr>
          <w:rFonts w:hint="eastAsia" w:ascii="仿宋" w:hAnsi="仿宋" w:eastAsia="仿宋" w:cs="仿宋"/>
          <w:color w:val="auto"/>
          <w:sz w:val="21"/>
          <w:szCs w:val="21"/>
          <w:highlight w:val="none"/>
          <w:shd w:val="clear" w:color="auto" w:fill="auto"/>
          <w:lang w:eastAsia="zh-CN"/>
        </w:rPr>
        <w:t>衢州市</w:t>
      </w:r>
      <w:r>
        <w:rPr>
          <w:rFonts w:hint="eastAsia" w:ascii="仿宋" w:hAnsi="仿宋" w:eastAsia="仿宋" w:cs="仿宋"/>
          <w:sz w:val="21"/>
          <w:szCs w:val="21"/>
          <w:highlight w:val="none"/>
        </w:rPr>
        <w:t>常山县天马街道定阳南路859幢</w:t>
      </w:r>
      <w:r>
        <w:rPr>
          <w:rFonts w:hint="eastAsia" w:ascii="仿宋" w:hAnsi="仿宋" w:eastAsia="仿宋" w:cs="仿宋"/>
          <w:sz w:val="21"/>
          <w:szCs w:val="21"/>
          <w:highlight w:val="none"/>
          <w:lang w:eastAsia="zh-CN"/>
        </w:rPr>
        <w:t>4</w:t>
      </w:r>
      <w:r>
        <w:rPr>
          <w:rFonts w:hint="eastAsia" w:ascii="仿宋" w:hAnsi="仿宋" w:eastAsia="仿宋" w:cs="仿宋"/>
          <w:sz w:val="21"/>
          <w:szCs w:val="21"/>
          <w:highlight w:val="none"/>
          <w:lang w:val="en-US" w:eastAsia="zh-CN"/>
        </w:rPr>
        <w:t>32</w:t>
      </w:r>
      <w:r>
        <w:rPr>
          <w:rFonts w:hint="eastAsia" w:ascii="仿宋" w:hAnsi="仿宋" w:eastAsia="仿宋" w:cs="仿宋"/>
          <w:sz w:val="21"/>
          <w:szCs w:val="21"/>
          <w:highlight w:val="none"/>
          <w:lang w:eastAsia="zh-CN"/>
        </w:rPr>
        <w:t>-43</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室</w:t>
      </w:r>
    </w:p>
    <w:p w14:paraId="6CF0FF5B">
      <w:pPr>
        <w:pStyle w:val="12"/>
        <w:pageBreakBefore w:val="0"/>
        <w:kinsoku/>
        <w:topLinePunct w:val="0"/>
        <w:bidi w:val="0"/>
        <w:snapToGrid/>
        <w:spacing w:before="0" w:beforeLines="0" w:beforeAutospacing="0" w:after="0" w:afterLines="0" w:afterAutospacing="0"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项目</w:t>
      </w:r>
      <w:r>
        <w:rPr>
          <w:rFonts w:hint="eastAsia" w:ascii="仿宋" w:hAnsi="仿宋" w:eastAsia="仿宋" w:cs="仿宋"/>
          <w:sz w:val="21"/>
          <w:szCs w:val="21"/>
          <w:highlight w:val="none"/>
        </w:rPr>
        <w:t>联系人：</w:t>
      </w:r>
      <w:r>
        <w:rPr>
          <w:rFonts w:hint="eastAsia" w:ascii="仿宋" w:hAnsi="仿宋" w:eastAsia="仿宋" w:cs="仿宋"/>
          <w:sz w:val="21"/>
          <w:szCs w:val="21"/>
          <w:highlight w:val="none"/>
          <w:lang w:eastAsia="zh-CN"/>
        </w:rPr>
        <w:t>余佳丽</w:t>
      </w:r>
    </w:p>
    <w:p w14:paraId="1B41E7AB">
      <w:pPr>
        <w:pStyle w:val="12"/>
        <w:pageBreakBefore w:val="0"/>
        <w:kinsoku/>
        <w:topLinePunct w:val="0"/>
        <w:bidi w:val="0"/>
        <w:snapToGrid/>
        <w:spacing w:before="0" w:beforeLines="0" w:beforeAutospacing="0" w:after="0" w:afterLines="0" w:afterAutospacing="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联系电话：0570-5016</w:t>
      </w:r>
      <w:r>
        <w:rPr>
          <w:rFonts w:hint="eastAsia" w:ascii="仿宋" w:hAnsi="仿宋" w:eastAsia="仿宋" w:cs="仿宋"/>
          <w:sz w:val="21"/>
          <w:szCs w:val="21"/>
          <w:highlight w:val="none"/>
          <w:lang w:val="en-US" w:eastAsia="zh-CN"/>
        </w:rPr>
        <w:t>289</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13567051997</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521997</w:t>
      </w:r>
      <w:r>
        <w:rPr>
          <w:rFonts w:hint="eastAsia" w:ascii="仿宋" w:hAnsi="仿宋" w:eastAsia="仿宋" w:cs="仿宋"/>
          <w:sz w:val="21"/>
          <w:szCs w:val="21"/>
          <w:highlight w:val="none"/>
        </w:rPr>
        <w:t>）</w:t>
      </w:r>
    </w:p>
    <w:p w14:paraId="00D20D85">
      <w:pPr>
        <w:pStyle w:val="12"/>
        <w:pageBreakBefore w:val="0"/>
        <w:kinsoku/>
        <w:topLinePunct w:val="0"/>
        <w:bidi w:val="0"/>
        <w:snapToGrid/>
        <w:spacing w:before="0" w:beforeLines="0" w:beforeAutospacing="0" w:after="0" w:afterLines="0" w:afterAutospacing="0" w:line="360" w:lineRule="auto"/>
        <w:ind w:firstLine="420" w:firstLineChars="200"/>
        <w:jc w:val="right"/>
        <w:rPr>
          <w:rFonts w:hint="eastAsia" w:ascii="仿宋" w:hAnsi="仿宋" w:eastAsia="仿宋" w:cs="仿宋"/>
          <w:sz w:val="21"/>
          <w:szCs w:val="21"/>
          <w:highlight w:val="none"/>
          <w:lang w:eastAsia="zh-CN"/>
        </w:rPr>
      </w:pPr>
    </w:p>
    <w:p w14:paraId="41471526">
      <w:pPr>
        <w:pStyle w:val="12"/>
        <w:pageBreakBefore w:val="0"/>
        <w:kinsoku/>
        <w:topLinePunct w:val="0"/>
        <w:bidi w:val="0"/>
        <w:snapToGrid/>
        <w:spacing w:before="0" w:beforeLines="0" w:beforeAutospacing="0" w:after="0" w:afterLines="0" w:afterAutospacing="0" w:line="360" w:lineRule="auto"/>
        <w:ind w:firstLine="420" w:firstLineChars="200"/>
        <w:jc w:val="right"/>
        <w:rPr>
          <w:rFonts w:hint="eastAsia" w:ascii="仿宋" w:hAnsi="仿宋" w:eastAsia="仿宋" w:cs="仿宋"/>
          <w:sz w:val="21"/>
          <w:szCs w:val="21"/>
          <w:highlight w:val="none"/>
          <w:lang w:eastAsia="zh-CN"/>
        </w:rPr>
      </w:pPr>
    </w:p>
    <w:p w14:paraId="37E0385B">
      <w:pPr>
        <w:pStyle w:val="12"/>
        <w:pageBreakBefore w:val="0"/>
        <w:kinsoku/>
        <w:topLinePunct w:val="0"/>
        <w:bidi w:val="0"/>
        <w:snapToGrid/>
        <w:spacing w:before="0" w:beforeLines="0" w:beforeAutospacing="0" w:after="0" w:afterLines="0" w:afterAutospacing="0" w:line="360" w:lineRule="auto"/>
        <w:ind w:firstLine="420" w:firstLineChars="200"/>
        <w:jc w:val="righ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常山县自然资源和规划局</w:t>
      </w:r>
    </w:p>
    <w:p w14:paraId="2ABA2698">
      <w:pPr>
        <w:pStyle w:val="12"/>
        <w:pageBreakBefore w:val="0"/>
        <w:kinsoku/>
        <w:topLinePunct w:val="0"/>
        <w:bidi w:val="0"/>
        <w:snapToGrid/>
        <w:spacing w:before="0" w:beforeLines="0" w:beforeAutospacing="0" w:after="0" w:afterLines="0" w:afterAutospacing="0" w:line="360" w:lineRule="auto"/>
        <w:ind w:firstLine="420" w:firstLineChars="200"/>
        <w:jc w:val="righ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浙江哲晟工程项目管理有限公司</w:t>
      </w:r>
    </w:p>
    <w:p w14:paraId="79E18831">
      <w:pPr>
        <w:pStyle w:val="12"/>
        <w:pageBreakBefore w:val="0"/>
        <w:kinsoku/>
        <w:topLinePunct w:val="0"/>
        <w:bidi w:val="0"/>
        <w:snapToGrid/>
        <w:spacing w:before="0" w:beforeLines="0" w:beforeAutospacing="0" w:after="0" w:afterLines="0" w:afterAutospacing="0" w:line="360" w:lineRule="auto"/>
        <w:ind w:firstLine="420" w:firstLineChars="200"/>
        <w:jc w:val="righ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202</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eastAsia="zh-CN"/>
        </w:rPr>
        <w:t>年</w:t>
      </w:r>
      <w:r>
        <w:rPr>
          <w:rFonts w:hint="eastAsia" w:ascii="仿宋" w:hAnsi="仿宋" w:eastAsia="仿宋" w:cs="仿宋"/>
          <w:sz w:val="21"/>
          <w:szCs w:val="21"/>
          <w:highlight w:val="none"/>
          <w:lang w:val="en-US" w:eastAsia="zh-CN"/>
        </w:rPr>
        <w:t>06</w:t>
      </w:r>
      <w:r>
        <w:rPr>
          <w:rFonts w:hint="eastAsia" w:ascii="仿宋" w:hAnsi="仿宋" w:eastAsia="仿宋" w:cs="仿宋"/>
          <w:sz w:val="21"/>
          <w:szCs w:val="21"/>
          <w:highlight w:val="none"/>
          <w:lang w:eastAsia="zh-CN"/>
        </w:rPr>
        <w:t>月</w:t>
      </w:r>
    </w:p>
    <w:p w14:paraId="2A34C42E">
      <w:pPr>
        <w:pStyle w:val="12"/>
        <w:pageBreakBefore w:val="0"/>
        <w:kinsoku/>
        <w:topLinePunct w:val="0"/>
        <w:bidi w:val="0"/>
        <w:snapToGrid/>
        <w:spacing w:before="0" w:beforeLines="0" w:beforeAutospacing="0" w:after="0" w:afterLines="0" w:afterAutospacing="0" w:line="360" w:lineRule="auto"/>
        <w:ind w:firstLine="420" w:firstLineChars="200"/>
        <w:jc w:val="center"/>
        <w:rPr>
          <w:rStyle w:val="22"/>
          <w:rFonts w:hint="eastAsia" w:ascii="仿宋" w:hAnsi="仿宋" w:eastAsia="仿宋" w:cs="仿宋"/>
          <w:sz w:val="32"/>
          <w:szCs w:val="32"/>
          <w:lang w:val="zh-CN" w:eastAsia="zh-CN"/>
        </w:rPr>
      </w:pPr>
      <w:r>
        <w:rPr>
          <w:rFonts w:hint="eastAsia" w:ascii="仿宋" w:hAnsi="仿宋" w:eastAsia="仿宋" w:cs="仿宋"/>
          <w:sz w:val="21"/>
          <w:szCs w:val="21"/>
          <w:highlight w:val="none"/>
          <w:lang w:eastAsia="zh-CN"/>
        </w:rPr>
        <w:br w:type="column"/>
      </w:r>
      <w:bookmarkStart w:id="16" w:name="_Toc9063"/>
      <w:bookmarkStart w:id="17" w:name="_Toc25307"/>
      <w:bookmarkStart w:id="18" w:name="_Toc176_WPSOffice_Level1"/>
      <w:bookmarkStart w:id="19" w:name="_Toc32701"/>
      <w:bookmarkStart w:id="20" w:name="_Toc28180"/>
      <w:bookmarkStart w:id="21" w:name="_Toc18411"/>
      <w:bookmarkStart w:id="22" w:name="_Toc23745"/>
      <w:bookmarkStart w:id="23" w:name="_Toc26641"/>
      <w:r>
        <w:rPr>
          <w:rStyle w:val="22"/>
          <w:rFonts w:hint="eastAsia" w:ascii="仿宋" w:hAnsi="仿宋" w:eastAsia="仿宋" w:cs="仿宋"/>
          <w:sz w:val="32"/>
          <w:szCs w:val="32"/>
          <w:lang w:val="zh-CN" w:eastAsia="zh-CN"/>
        </w:rPr>
        <w:t>第二章  投标人须知</w:t>
      </w:r>
      <w:bookmarkEnd w:id="16"/>
      <w:bookmarkEnd w:id="17"/>
      <w:bookmarkEnd w:id="18"/>
      <w:bookmarkEnd w:id="19"/>
      <w:bookmarkEnd w:id="20"/>
      <w:bookmarkEnd w:id="21"/>
      <w:bookmarkEnd w:id="22"/>
    </w:p>
    <w:bookmarkEnd w:id="23"/>
    <w:p w14:paraId="1DD3CF5D">
      <w:pPr>
        <w:pStyle w:val="4"/>
        <w:pageBreakBefore w:val="0"/>
        <w:kinsoku/>
        <w:topLinePunct w:val="0"/>
        <w:bidi w:val="0"/>
        <w:snapToGrid/>
        <w:spacing w:before="0" w:after="0" w:line="360" w:lineRule="auto"/>
        <w:jc w:val="left"/>
        <w:rPr>
          <w:rFonts w:hint="eastAsia" w:ascii="仿宋" w:hAnsi="仿宋" w:eastAsia="仿宋" w:cs="仿宋"/>
          <w:bCs w:val="0"/>
          <w:sz w:val="21"/>
          <w:szCs w:val="21"/>
          <w:highlight w:val="none"/>
          <w:lang w:val="zh-CN"/>
        </w:rPr>
      </w:pPr>
      <w:bookmarkStart w:id="24" w:name="_Toc4043"/>
      <w:bookmarkStart w:id="25" w:name="_Toc15776"/>
      <w:bookmarkStart w:id="26" w:name="_Toc10785"/>
      <w:bookmarkStart w:id="27" w:name="_Toc19381"/>
      <w:bookmarkStart w:id="28" w:name="_Toc1562"/>
      <w:bookmarkStart w:id="29" w:name="_Toc2518"/>
      <w:bookmarkStart w:id="30" w:name="_Toc18362"/>
      <w:r>
        <w:rPr>
          <w:rFonts w:hint="eastAsia" w:ascii="仿宋" w:hAnsi="仿宋" w:eastAsia="仿宋" w:cs="仿宋"/>
          <w:bCs w:val="0"/>
          <w:sz w:val="21"/>
          <w:szCs w:val="21"/>
          <w:highlight w:val="none"/>
          <w:lang w:val="zh-CN"/>
        </w:rPr>
        <w:t>一、综合说明</w:t>
      </w:r>
      <w:bookmarkEnd w:id="24"/>
      <w:bookmarkEnd w:id="25"/>
      <w:bookmarkEnd w:id="26"/>
      <w:bookmarkEnd w:id="27"/>
      <w:bookmarkEnd w:id="28"/>
      <w:bookmarkEnd w:id="29"/>
      <w:bookmarkEnd w:id="30"/>
    </w:p>
    <w:p w14:paraId="4540DA0A">
      <w:pPr>
        <w:pageBreakBefore w:val="0"/>
        <w:kinsoku/>
        <w:topLinePunct w:val="0"/>
        <w:autoSpaceDE w:val="0"/>
        <w:autoSpaceDN w:val="0"/>
        <w:bidi w:val="0"/>
        <w:adjustRightInd w:val="0"/>
        <w:snapToGrid/>
        <w:spacing w:line="360" w:lineRule="auto"/>
        <w:ind w:firstLine="210" w:firstLineChars="100"/>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lang w:val="zh-CN"/>
        </w:rPr>
        <w:t>（一）适用范围</w:t>
      </w:r>
    </w:p>
    <w:p w14:paraId="6768BC3C">
      <w:pPr>
        <w:pageBreakBefore w:val="0"/>
        <w:kinsoku/>
        <w:topLinePunct w:val="0"/>
        <w:bidi w:val="0"/>
        <w:snapToGrid/>
        <w:spacing w:line="360" w:lineRule="auto"/>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本招标文件仅适用于</w:t>
      </w:r>
      <w:r>
        <w:rPr>
          <w:rFonts w:hint="eastAsia" w:ascii="仿宋" w:hAnsi="仿宋" w:eastAsia="仿宋" w:cs="仿宋"/>
          <w:sz w:val="21"/>
          <w:szCs w:val="21"/>
          <w:highlight w:val="none"/>
        </w:rPr>
        <w:t>本项目</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、投标、评标、定标、验收、合同履约、付款等行为（法律、法规另有规定的，从其规定）。</w:t>
      </w:r>
    </w:p>
    <w:p w14:paraId="6D1B273C">
      <w:pPr>
        <w:pageBreakBefore w:val="0"/>
        <w:kinsoku/>
        <w:topLinePunct w:val="0"/>
        <w:autoSpaceDE w:val="0"/>
        <w:autoSpaceDN w:val="0"/>
        <w:bidi w:val="0"/>
        <w:adjustRightInd w:val="0"/>
        <w:snapToGrid/>
        <w:spacing w:line="360" w:lineRule="auto"/>
        <w:ind w:firstLine="210" w:firstLineChars="100"/>
        <w:jc w:val="left"/>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（二）定义</w:t>
      </w:r>
    </w:p>
    <w:p w14:paraId="2D7CF9AF">
      <w:pPr>
        <w:pageBreakBefore w:val="0"/>
        <w:kinsoku/>
        <w:topLinePunct w:val="0"/>
        <w:bidi w:val="0"/>
        <w:snapToGrid/>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eastAsia="zh-CN"/>
        </w:rPr>
        <w:t>招标人</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单位）”是指依法进行</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的“</w:t>
      </w:r>
      <w:r>
        <w:rPr>
          <w:rFonts w:hint="eastAsia" w:ascii="仿宋" w:hAnsi="仿宋" w:eastAsia="仿宋" w:cs="仿宋"/>
          <w:sz w:val="21"/>
          <w:szCs w:val="21"/>
          <w:highlight w:val="none"/>
          <w:lang w:eastAsia="zh-CN"/>
        </w:rPr>
        <w:t>常山县自然资源和规划局</w:t>
      </w:r>
      <w:r>
        <w:rPr>
          <w:rFonts w:hint="eastAsia" w:ascii="仿宋" w:hAnsi="仿宋" w:eastAsia="仿宋" w:cs="仿宋"/>
          <w:sz w:val="21"/>
          <w:szCs w:val="21"/>
          <w:highlight w:val="none"/>
        </w:rPr>
        <w:t>”；</w:t>
      </w:r>
    </w:p>
    <w:p w14:paraId="03356ECA">
      <w:pPr>
        <w:pageBreakBefore w:val="0"/>
        <w:kinsoku/>
        <w:topLinePunct w:val="0"/>
        <w:bidi w:val="0"/>
        <w:snapToGrid/>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代理机构”是指受</w:t>
      </w:r>
      <w:r>
        <w:rPr>
          <w:rFonts w:hint="eastAsia" w:ascii="仿宋" w:hAnsi="仿宋" w:eastAsia="仿宋" w:cs="仿宋"/>
          <w:sz w:val="21"/>
          <w:szCs w:val="21"/>
          <w:highlight w:val="none"/>
          <w:lang w:eastAsia="zh-CN"/>
        </w:rPr>
        <w:t>招标人</w:t>
      </w:r>
      <w:r>
        <w:rPr>
          <w:rFonts w:hint="eastAsia" w:ascii="仿宋" w:hAnsi="仿宋" w:eastAsia="仿宋" w:cs="仿宋"/>
          <w:sz w:val="21"/>
          <w:szCs w:val="21"/>
          <w:highlight w:val="none"/>
        </w:rPr>
        <w:t>委托，在委托协议约定范围内依法组织本次</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的“</w:t>
      </w:r>
      <w:r>
        <w:rPr>
          <w:rFonts w:hint="eastAsia" w:ascii="仿宋" w:hAnsi="仿宋" w:eastAsia="仿宋" w:cs="仿宋"/>
          <w:sz w:val="21"/>
          <w:szCs w:val="21"/>
          <w:highlight w:val="none"/>
          <w:lang w:eastAsia="zh-CN"/>
        </w:rPr>
        <w:t>浙江哲晟工程项目管理有限公司</w:t>
      </w:r>
      <w:r>
        <w:rPr>
          <w:rFonts w:hint="eastAsia" w:ascii="仿宋" w:hAnsi="仿宋" w:eastAsia="仿宋" w:cs="仿宋"/>
          <w:sz w:val="21"/>
          <w:szCs w:val="21"/>
          <w:highlight w:val="none"/>
        </w:rPr>
        <w:t>”；</w:t>
      </w:r>
    </w:p>
    <w:p w14:paraId="7FEE698F">
      <w:pPr>
        <w:pageBreakBefore w:val="0"/>
        <w:kinsoku/>
        <w:topLinePunct w:val="0"/>
        <w:bidi w:val="0"/>
        <w:snapToGrid/>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3.“投标人”是指向本项目提交投标文件的法人、其他组织或自然人；</w:t>
      </w:r>
    </w:p>
    <w:p w14:paraId="75F6C80D">
      <w:pPr>
        <w:pageBreakBefore w:val="0"/>
        <w:kinsoku/>
        <w:topLinePunct w:val="0"/>
        <w:bidi w:val="0"/>
        <w:snapToGrid/>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4.“中标单位”是指经评审后获得中标和签订合同资格的投标人；</w:t>
      </w:r>
    </w:p>
    <w:p w14:paraId="251B0566">
      <w:pPr>
        <w:pageBreakBefore w:val="0"/>
        <w:kinsoku/>
        <w:topLinePunct w:val="0"/>
        <w:bidi w:val="0"/>
        <w:snapToGrid/>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.“服务”是指</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内容本身及相关的售后服务、培训或伴随服务；</w:t>
      </w:r>
    </w:p>
    <w:p w14:paraId="55D386B8">
      <w:pPr>
        <w:pageBreakBefore w:val="0"/>
        <w:kinsoku/>
        <w:topLinePunct w:val="0"/>
        <w:bidi w:val="0"/>
        <w:snapToGrid/>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.“书面形式”包括纸质文件、电子邮件、信函、传真等。</w:t>
      </w:r>
    </w:p>
    <w:p w14:paraId="1E351CE4">
      <w:pPr>
        <w:pageBreakBefore w:val="0"/>
        <w:kinsoku/>
        <w:topLinePunct w:val="0"/>
        <w:bidi w:val="0"/>
        <w:snapToGrid/>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.实质性响应：是指投标文件相关内容满足或优于</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规定的实质性内容、条款和规定。</w:t>
      </w:r>
    </w:p>
    <w:p w14:paraId="2AC5CE2C">
      <w:pPr>
        <w:pageBreakBefore w:val="0"/>
        <w:kinsoku/>
        <w:topLinePunct w:val="0"/>
        <w:bidi w:val="0"/>
        <w:snapToGrid/>
        <w:spacing w:line="360" w:lineRule="auto"/>
        <w:ind w:firstLine="420" w:firstLineChars="200"/>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8</w:t>
      </w:r>
      <w:r>
        <w:rPr>
          <w:rFonts w:hint="eastAsia" w:ascii="仿宋" w:hAnsi="仿宋" w:eastAsia="仿宋" w:cs="仿宋"/>
          <w:b/>
          <w:bCs/>
          <w:sz w:val="21"/>
          <w:szCs w:val="21"/>
          <w:highlight w:val="none"/>
        </w:rPr>
        <w:t>.</w:t>
      </w:r>
      <w:r>
        <w:rPr>
          <w:rFonts w:hint="eastAsia" w:ascii="仿宋" w:hAnsi="仿宋" w:eastAsia="仿宋" w:cs="仿宋"/>
          <w:b/>
          <w:bCs/>
          <w:sz w:val="21"/>
          <w:szCs w:val="21"/>
          <w:highlight w:val="none"/>
          <w:lang w:eastAsia="zh-CN"/>
        </w:rPr>
        <w:t>招标文件</w:t>
      </w:r>
      <w:r>
        <w:rPr>
          <w:rFonts w:hint="eastAsia" w:ascii="仿宋" w:hAnsi="仿宋" w:eastAsia="仿宋" w:cs="仿宋"/>
          <w:b/>
          <w:bCs/>
          <w:sz w:val="21"/>
          <w:szCs w:val="21"/>
          <w:highlight w:val="none"/>
        </w:rPr>
        <w:t>中带“▲”内容为必须满足的实质性内容。</w:t>
      </w:r>
    </w:p>
    <w:p w14:paraId="4A543E4C">
      <w:pPr>
        <w:pageBreakBefore w:val="0"/>
        <w:kinsoku/>
        <w:topLinePunct w:val="0"/>
        <w:autoSpaceDE w:val="0"/>
        <w:autoSpaceDN w:val="0"/>
        <w:bidi w:val="0"/>
        <w:adjustRightInd w:val="0"/>
        <w:snapToGrid/>
        <w:spacing w:line="360" w:lineRule="auto"/>
        <w:ind w:firstLine="210" w:firstLineChars="100"/>
        <w:jc w:val="left"/>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（三）招标方式</w:t>
      </w:r>
    </w:p>
    <w:p w14:paraId="5DA3C838">
      <w:pPr>
        <w:pageBreakBefore w:val="0"/>
        <w:kinsoku/>
        <w:topLinePunct w:val="0"/>
        <w:bidi w:val="0"/>
        <w:snapToGrid/>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公开招标。</w:t>
      </w:r>
    </w:p>
    <w:p w14:paraId="3C3629A1">
      <w:pPr>
        <w:pageBreakBefore w:val="0"/>
        <w:kinsoku/>
        <w:topLinePunct w:val="0"/>
        <w:autoSpaceDE w:val="0"/>
        <w:autoSpaceDN w:val="0"/>
        <w:bidi w:val="0"/>
        <w:adjustRightInd w:val="0"/>
        <w:snapToGrid/>
        <w:spacing w:line="360" w:lineRule="auto"/>
        <w:ind w:firstLine="210" w:firstLineChars="100"/>
        <w:jc w:val="left"/>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（四）投标委托</w:t>
      </w:r>
    </w:p>
    <w:p w14:paraId="75EAF00F">
      <w:pPr>
        <w:pageBreakBefore w:val="0"/>
        <w:kinsoku/>
        <w:topLinePunct w:val="0"/>
        <w:bidi w:val="0"/>
        <w:snapToGrid/>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如</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代表是法定代表人的，“</w:t>
      </w:r>
      <w:r>
        <w:rPr>
          <w:rFonts w:hint="eastAsia" w:ascii="仿宋" w:hAnsi="仿宋" w:eastAsia="仿宋" w:cs="仿宋"/>
          <w:color w:val="000000"/>
          <w:szCs w:val="21"/>
          <w:lang w:eastAsia="zh-CN"/>
        </w:rPr>
        <w:t>报名文件</w:t>
      </w:r>
      <w:r>
        <w:rPr>
          <w:rFonts w:hint="eastAsia" w:ascii="仿宋" w:hAnsi="仿宋" w:eastAsia="仿宋" w:cs="仿宋"/>
          <w:color w:val="000000"/>
          <w:szCs w:val="21"/>
        </w:rPr>
        <w:t>”中须提供</w:t>
      </w:r>
      <w:r>
        <w:rPr>
          <w:rFonts w:hint="eastAsia" w:ascii="仿宋" w:hAnsi="仿宋" w:eastAsia="仿宋" w:cs="仿宋"/>
          <w:color w:val="000000"/>
          <w:szCs w:val="21"/>
          <w:lang w:eastAsia="zh-CN"/>
        </w:rPr>
        <w:t>法定代表人（单位负责人）身份证明</w:t>
      </w:r>
      <w:r>
        <w:rPr>
          <w:rFonts w:hint="eastAsia" w:ascii="仿宋" w:hAnsi="仿宋" w:eastAsia="仿宋" w:cs="仿宋"/>
          <w:color w:val="000000"/>
          <w:szCs w:val="21"/>
        </w:rPr>
        <w:t>【格式见</w:t>
      </w:r>
      <w:r>
        <w:rPr>
          <w:rFonts w:hint="eastAsia" w:ascii="仿宋" w:hAnsi="仿宋" w:eastAsia="仿宋" w:cs="仿宋"/>
        </w:rPr>
        <w:fldChar w:fldCharType="begin"/>
      </w:r>
      <w:r>
        <w:rPr>
          <w:rFonts w:hint="eastAsia" w:ascii="仿宋" w:hAnsi="仿宋" w:eastAsia="仿宋" w:cs="仿宋"/>
        </w:rPr>
        <w:instrText xml:space="preserve"> HYPERLINK \l "附件1" </w:instrText>
      </w:r>
      <w:r>
        <w:rPr>
          <w:rFonts w:hint="eastAsia" w:ascii="仿宋" w:hAnsi="仿宋" w:eastAsia="仿宋" w:cs="仿宋"/>
        </w:rPr>
        <w:fldChar w:fldCharType="separate"/>
      </w:r>
      <w:r>
        <w:rPr>
          <w:rStyle w:val="16"/>
          <w:rFonts w:hint="eastAsia" w:ascii="仿宋" w:hAnsi="仿宋" w:eastAsia="仿宋" w:cs="仿宋"/>
          <w:szCs w:val="21"/>
        </w:rPr>
        <w:t>附件1</w:t>
      </w:r>
      <w:r>
        <w:rPr>
          <w:rFonts w:hint="eastAsia" w:ascii="仿宋" w:hAnsi="仿宋" w:eastAsia="仿宋" w:cs="仿宋"/>
          <w:szCs w:val="21"/>
        </w:rPr>
        <w:fldChar w:fldCharType="end"/>
      </w:r>
      <w:r>
        <w:rPr>
          <w:rFonts w:hint="eastAsia" w:ascii="仿宋" w:hAnsi="仿宋" w:eastAsia="仿宋" w:cs="仿宋"/>
          <w:color w:val="000000"/>
          <w:szCs w:val="21"/>
        </w:rPr>
        <w:t>-1】及法定代表人</w:t>
      </w:r>
      <w:r>
        <w:rPr>
          <w:rFonts w:hint="eastAsia" w:ascii="仿宋" w:hAnsi="仿宋" w:eastAsia="仿宋" w:cs="仿宋"/>
          <w:color w:val="000000"/>
          <w:szCs w:val="21"/>
          <w:lang w:eastAsia="zh-CN"/>
        </w:rPr>
        <w:t>（单位负责人）</w:t>
      </w:r>
      <w:r>
        <w:rPr>
          <w:rFonts w:hint="eastAsia" w:ascii="仿宋" w:hAnsi="仿宋" w:eastAsia="仿宋" w:cs="仿宋"/>
          <w:color w:val="000000"/>
          <w:szCs w:val="21"/>
        </w:rPr>
        <w:t>的身份证复印件，如</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代表不是</w:t>
      </w:r>
      <w:r>
        <w:rPr>
          <w:rFonts w:hint="eastAsia" w:ascii="仿宋" w:hAnsi="仿宋" w:eastAsia="仿宋" w:cs="仿宋"/>
          <w:color w:val="000000"/>
          <w:szCs w:val="21"/>
          <w:lang w:eastAsia="zh-CN"/>
        </w:rPr>
        <w:t>法定代表人（单位负责人）</w:t>
      </w:r>
      <w:r>
        <w:rPr>
          <w:rFonts w:hint="eastAsia" w:ascii="仿宋" w:hAnsi="仿宋" w:eastAsia="仿宋" w:cs="仿宋"/>
          <w:color w:val="000000"/>
          <w:szCs w:val="21"/>
        </w:rPr>
        <w:t>的，“</w:t>
      </w:r>
      <w:r>
        <w:rPr>
          <w:rFonts w:hint="eastAsia" w:ascii="仿宋" w:hAnsi="仿宋" w:eastAsia="仿宋" w:cs="仿宋"/>
          <w:color w:val="000000"/>
          <w:szCs w:val="21"/>
          <w:lang w:eastAsia="zh-CN"/>
        </w:rPr>
        <w:t>报名文件</w:t>
      </w:r>
      <w:r>
        <w:rPr>
          <w:rFonts w:hint="eastAsia" w:ascii="仿宋" w:hAnsi="仿宋" w:eastAsia="仿宋" w:cs="仿宋"/>
          <w:color w:val="000000"/>
          <w:szCs w:val="21"/>
        </w:rPr>
        <w:t>”须提供</w:t>
      </w:r>
      <w:r>
        <w:rPr>
          <w:rFonts w:hint="eastAsia" w:ascii="仿宋" w:hAnsi="仿宋" w:eastAsia="仿宋" w:cs="仿宋"/>
          <w:color w:val="000000"/>
          <w:szCs w:val="21"/>
          <w:lang w:eastAsia="zh-CN"/>
        </w:rPr>
        <w:t>法定代表人（单位负责人）</w:t>
      </w:r>
      <w:r>
        <w:rPr>
          <w:rFonts w:hint="eastAsia" w:ascii="仿宋" w:hAnsi="仿宋" w:eastAsia="仿宋" w:cs="仿宋"/>
          <w:color w:val="000000"/>
          <w:szCs w:val="21"/>
        </w:rPr>
        <w:t>出具的授权委托书【格式见</w:t>
      </w:r>
      <w:r>
        <w:rPr>
          <w:rFonts w:hint="eastAsia" w:ascii="仿宋" w:hAnsi="仿宋" w:eastAsia="仿宋" w:cs="仿宋"/>
        </w:rPr>
        <w:fldChar w:fldCharType="begin"/>
      </w:r>
      <w:r>
        <w:rPr>
          <w:rFonts w:hint="eastAsia" w:ascii="仿宋" w:hAnsi="仿宋" w:eastAsia="仿宋" w:cs="仿宋"/>
        </w:rPr>
        <w:instrText xml:space="preserve"> HYPERLINK \l "法定代表人授权委托书" </w:instrText>
      </w:r>
      <w:r>
        <w:rPr>
          <w:rFonts w:hint="eastAsia" w:ascii="仿宋" w:hAnsi="仿宋" w:eastAsia="仿宋" w:cs="仿宋"/>
        </w:rPr>
        <w:fldChar w:fldCharType="separate"/>
      </w:r>
      <w:r>
        <w:rPr>
          <w:rStyle w:val="18"/>
          <w:rFonts w:hint="eastAsia" w:ascii="仿宋" w:hAnsi="仿宋" w:eastAsia="仿宋" w:cs="仿宋"/>
          <w:szCs w:val="21"/>
        </w:rPr>
        <w:t>附件1-2</w:t>
      </w:r>
      <w:r>
        <w:rPr>
          <w:rFonts w:hint="eastAsia" w:ascii="仿宋" w:hAnsi="仿宋" w:eastAsia="仿宋" w:cs="仿宋"/>
          <w:szCs w:val="21"/>
        </w:rPr>
        <w:fldChar w:fldCharType="end"/>
      </w:r>
      <w:r>
        <w:rPr>
          <w:rFonts w:hint="eastAsia" w:ascii="仿宋" w:hAnsi="仿宋" w:eastAsia="仿宋" w:cs="仿宋"/>
          <w:color w:val="000000"/>
          <w:szCs w:val="21"/>
        </w:rPr>
        <w:t>】及</w:t>
      </w:r>
      <w:r>
        <w:rPr>
          <w:rFonts w:hint="eastAsia" w:ascii="仿宋" w:hAnsi="仿宋" w:eastAsia="仿宋" w:cs="仿宋"/>
          <w:color w:val="000000"/>
          <w:szCs w:val="21"/>
          <w:lang w:eastAsia="zh-CN"/>
        </w:rPr>
        <w:t>法定代表人（单位负责人）</w:t>
      </w:r>
      <w:r>
        <w:rPr>
          <w:rFonts w:hint="eastAsia" w:ascii="仿宋" w:hAnsi="仿宋" w:eastAsia="仿宋" w:cs="仿宋"/>
          <w:color w:val="000000"/>
          <w:szCs w:val="21"/>
        </w:rPr>
        <w:t>和代理人的身份证复印件。</w:t>
      </w:r>
    </w:p>
    <w:p w14:paraId="447D67BD">
      <w:pPr>
        <w:pageBreakBefore w:val="0"/>
        <w:kinsoku/>
        <w:topLinePunct w:val="0"/>
        <w:autoSpaceDE w:val="0"/>
        <w:autoSpaceDN w:val="0"/>
        <w:bidi w:val="0"/>
        <w:adjustRightInd w:val="0"/>
        <w:snapToGrid/>
        <w:spacing w:line="360" w:lineRule="auto"/>
        <w:ind w:firstLine="210" w:firstLineChars="100"/>
        <w:jc w:val="left"/>
        <w:rPr>
          <w:rFonts w:hint="eastAsia" w:ascii="仿宋" w:hAnsi="仿宋" w:eastAsia="仿宋" w:cs="仿宋"/>
          <w:sz w:val="21"/>
          <w:szCs w:val="21"/>
          <w:highlight w:val="none"/>
        </w:rPr>
      </w:pPr>
      <w:r>
        <w:rPr>
          <w:rFonts w:hint="eastAsia" w:ascii="仿宋" w:hAnsi="仿宋" w:eastAsia="仿宋" w:cs="仿宋"/>
          <w:b/>
          <w:sz w:val="21"/>
          <w:szCs w:val="21"/>
          <w:highlight w:val="none"/>
          <w:lang w:val="zh-CN"/>
        </w:rPr>
        <w:t>（五）投标费用：</w:t>
      </w:r>
      <w:r>
        <w:rPr>
          <w:rFonts w:hint="eastAsia" w:ascii="仿宋" w:hAnsi="仿宋" w:eastAsia="仿宋" w:cs="仿宋"/>
          <w:sz w:val="21"/>
          <w:szCs w:val="21"/>
          <w:highlight w:val="none"/>
        </w:rPr>
        <w:t>不论投标结果如何，投标人均应自行承担所有与投标有关的全部费用。</w:t>
      </w:r>
    </w:p>
    <w:p w14:paraId="528EF566">
      <w:pPr>
        <w:pageBreakBefore w:val="0"/>
        <w:kinsoku/>
        <w:topLinePunct w:val="0"/>
        <w:autoSpaceDE w:val="0"/>
        <w:autoSpaceDN w:val="0"/>
        <w:bidi w:val="0"/>
        <w:adjustRightInd w:val="0"/>
        <w:snapToGrid/>
        <w:spacing w:line="360" w:lineRule="auto"/>
        <w:ind w:firstLine="210" w:firstLineChars="100"/>
        <w:jc w:val="left"/>
        <w:rPr>
          <w:rFonts w:hint="eastAsia" w:ascii="仿宋" w:hAnsi="仿宋" w:eastAsia="仿宋" w:cs="仿宋"/>
          <w:sz w:val="21"/>
          <w:szCs w:val="21"/>
          <w:highlight w:val="none"/>
        </w:rPr>
      </w:pPr>
      <w:r>
        <w:rPr>
          <w:rFonts w:hint="eastAsia" w:ascii="仿宋" w:hAnsi="仿宋" w:eastAsia="仿宋" w:cs="仿宋"/>
          <w:b/>
          <w:sz w:val="21"/>
          <w:szCs w:val="21"/>
          <w:highlight w:val="none"/>
          <w:lang w:val="zh-CN"/>
        </w:rPr>
        <w:t>（六）联合体投标：</w:t>
      </w:r>
      <w:r>
        <w:rPr>
          <w:rFonts w:hint="eastAsia" w:ascii="仿宋" w:hAnsi="仿宋" w:eastAsia="仿宋" w:cs="仿宋"/>
          <w:sz w:val="21"/>
          <w:szCs w:val="21"/>
          <w:highlight w:val="none"/>
        </w:rPr>
        <w:t>本项目不接受联合体投标。</w:t>
      </w:r>
    </w:p>
    <w:p w14:paraId="129E93BF">
      <w:pPr>
        <w:pageBreakBefore w:val="0"/>
        <w:kinsoku/>
        <w:topLinePunct w:val="0"/>
        <w:autoSpaceDE w:val="0"/>
        <w:autoSpaceDN w:val="0"/>
        <w:bidi w:val="0"/>
        <w:adjustRightInd w:val="0"/>
        <w:snapToGrid/>
        <w:spacing w:line="360" w:lineRule="auto"/>
        <w:ind w:firstLine="210" w:firstLineChars="100"/>
        <w:jc w:val="left"/>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（七）转包与分包</w:t>
      </w:r>
    </w:p>
    <w:p w14:paraId="30B23177">
      <w:pPr>
        <w:pageBreakBefore w:val="0"/>
        <w:kinsoku/>
        <w:topLinePunct w:val="0"/>
        <w:bidi w:val="0"/>
        <w:snapToGrid/>
        <w:spacing w:line="360" w:lineRule="auto"/>
        <w:ind w:firstLine="525" w:firstLineChars="25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1.本项目不允许转包。</w:t>
      </w:r>
    </w:p>
    <w:p w14:paraId="575B9920">
      <w:pPr>
        <w:pageBreakBefore w:val="0"/>
        <w:kinsoku/>
        <w:topLinePunct w:val="0"/>
        <w:bidi w:val="0"/>
        <w:snapToGrid/>
        <w:spacing w:line="360" w:lineRule="auto"/>
        <w:ind w:firstLine="525" w:firstLineChars="25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2.本项目不允许分包。</w:t>
      </w:r>
    </w:p>
    <w:p w14:paraId="63FD9301">
      <w:pPr>
        <w:pageBreakBefore w:val="0"/>
        <w:kinsoku/>
        <w:topLinePunct w:val="0"/>
        <w:autoSpaceDE w:val="0"/>
        <w:autoSpaceDN w:val="0"/>
        <w:bidi w:val="0"/>
        <w:adjustRightInd w:val="0"/>
        <w:snapToGrid/>
        <w:spacing w:line="360" w:lineRule="auto"/>
        <w:ind w:firstLine="210" w:firstLineChars="100"/>
        <w:jc w:val="left"/>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eastAsia="zh-CN"/>
        </w:rPr>
        <w:t>（八）</w:t>
      </w:r>
      <w:r>
        <w:rPr>
          <w:rFonts w:hint="eastAsia" w:ascii="仿宋" w:hAnsi="仿宋" w:eastAsia="仿宋" w:cs="仿宋"/>
          <w:b/>
          <w:sz w:val="21"/>
          <w:szCs w:val="21"/>
          <w:highlight w:val="none"/>
          <w:lang w:val="zh-CN"/>
        </w:rPr>
        <w:t>代理服务费</w:t>
      </w:r>
    </w:p>
    <w:p w14:paraId="509247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bCs/>
          <w:szCs w:val="21"/>
          <w:highlight w:val="none"/>
        </w:rPr>
        <w:t>本项目代理服务</w:t>
      </w:r>
      <w:r>
        <w:rPr>
          <w:rFonts w:hint="eastAsia" w:ascii="仿宋" w:hAnsi="仿宋" w:eastAsia="仿宋" w:cs="仿宋"/>
          <w:kern w:val="0"/>
          <w:sz w:val="21"/>
          <w:szCs w:val="21"/>
          <w:highlight w:val="none"/>
        </w:rPr>
        <w:t>费按</w:t>
      </w:r>
      <w:r>
        <w:rPr>
          <w:rFonts w:hint="eastAsia" w:ascii="仿宋" w:hAnsi="仿宋" w:eastAsia="仿宋" w:cs="仿宋"/>
          <w:kern w:val="0"/>
          <w:sz w:val="21"/>
          <w:szCs w:val="21"/>
          <w:highlight w:val="none"/>
          <w:lang w:val="en-US" w:eastAsia="zh-CN"/>
        </w:rPr>
        <w:t>3000</w:t>
      </w:r>
      <w:r>
        <w:rPr>
          <w:rFonts w:hint="eastAsia" w:ascii="仿宋" w:hAnsi="仿宋" w:eastAsia="仿宋" w:cs="仿宋"/>
          <w:kern w:val="0"/>
          <w:sz w:val="21"/>
          <w:szCs w:val="21"/>
          <w:highlight w:val="none"/>
        </w:rPr>
        <w:t>元收取</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代理服务费由</w:t>
      </w:r>
      <w:r>
        <w:rPr>
          <w:rFonts w:hint="eastAsia" w:ascii="仿宋" w:hAnsi="仿宋" w:eastAsia="仿宋" w:cs="仿宋"/>
          <w:kern w:val="0"/>
          <w:sz w:val="21"/>
          <w:szCs w:val="21"/>
          <w:highlight w:val="none"/>
          <w:lang w:eastAsia="zh-CN"/>
        </w:rPr>
        <w:t>中标单位根据中标金额比例承担</w:t>
      </w: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eastAsia="zh-CN"/>
        </w:rPr>
        <w:t>请在投标报价时自行考虑在投标报价中</w:t>
      </w: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eastAsia="zh-CN"/>
        </w:rPr>
        <w:t>代理服务费</w:t>
      </w:r>
      <w:r>
        <w:rPr>
          <w:rFonts w:hint="eastAsia" w:ascii="仿宋" w:hAnsi="仿宋" w:eastAsia="仿宋" w:cs="仿宋"/>
          <w:kern w:val="0"/>
          <w:sz w:val="21"/>
          <w:szCs w:val="21"/>
          <w:highlight w:val="none"/>
        </w:rPr>
        <w:t>由</w:t>
      </w:r>
      <w:r>
        <w:rPr>
          <w:rFonts w:hint="eastAsia" w:ascii="仿宋" w:hAnsi="仿宋" w:eastAsia="仿宋" w:cs="仿宋"/>
          <w:kern w:val="0"/>
          <w:sz w:val="21"/>
          <w:szCs w:val="21"/>
          <w:highlight w:val="none"/>
          <w:lang w:eastAsia="zh-CN"/>
        </w:rPr>
        <w:t>中标</w:t>
      </w:r>
      <w:r>
        <w:rPr>
          <w:rFonts w:hint="eastAsia" w:ascii="仿宋" w:hAnsi="仿宋" w:eastAsia="仿宋" w:cs="仿宋"/>
          <w:kern w:val="0"/>
          <w:sz w:val="21"/>
          <w:szCs w:val="21"/>
          <w:highlight w:val="none"/>
        </w:rPr>
        <w:t>单位在中标（成交）通知书发出之前一次性支付给代理机构。</w:t>
      </w:r>
    </w:p>
    <w:p w14:paraId="1B9B37A1">
      <w:pPr>
        <w:pageBreakBefore w:val="0"/>
        <w:kinsoku/>
        <w:topLinePunct w:val="0"/>
        <w:autoSpaceDE w:val="0"/>
        <w:autoSpaceDN w:val="0"/>
        <w:bidi w:val="0"/>
        <w:adjustRightInd w:val="0"/>
        <w:snapToGrid/>
        <w:spacing w:line="360" w:lineRule="auto"/>
        <w:ind w:firstLine="210" w:firstLineChars="100"/>
        <w:jc w:val="left"/>
        <w:rPr>
          <w:rFonts w:hint="eastAsia" w:ascii="仿宋" w:hAnsi="仿宋" w:eastAsia="仿宋" w:cs="仿宋"/>
          <w:b/>
          <w:bCs w:val="0"/>
          <w:lang w:eastAsia="zh-CN"/>
        </w:rPr>
      </w:pPr>
      <w:r>
        <w:rPr>
          <w:rFonts w:hint="eastAsia" w:ascii="仿宋" w:hAnsi="仿宋" w:eastAsia="仿宋" w:cs="仿宋"/>
          <w:b/>
          <w:bCs w:val="0"/>
          <w:sz w:val="21"/>
          <w:szCs w:val="21"/>
          <w:highlight w:val="none"/>
          <w:lang w:eastAsia="zh-CN"/>
        </w:rPr>
        <w:t>（九）</w:t>
      </w:r>
      <w:r>
        <w:rPr>
          <w:rFonts w:hint="eastAsia" w:ascii="仿宋" w:hAnsi="仿宋" w:eastAsia="仿宋" w:cs="仿宋"/>
          <w:b/>
          <w:sz w:val="21"/>
          <w:szCs w:val="21"/>
          <w:highlight w:val="none"/>
          <w:lang w:val="zh-CN" w:eastAsia="zh-CN"/>
        </w:rPr>
        <w:t>投标</w:t>
      </w:r>
      <w:r>
        <w:rPr>
          <w:rFonts w:hint="eastAsia" w:ascii="仿宋" w:hAnsi="仿宋" w:eastAsia="仿宋" w:cs="仿宋"/>
          <w:b/>
          <w:bCs w:val="0"/>
          <w:sz w:val="21"/>
          <w:szCs w:val="21"/>
          <w:highlight w:val="none"/>
          <w:lang w:eastAsia="zh-CN"/>
        </w:rPr>
        <w:t>保证金</w:t>
      </w:r>
    </w:p>
    <w:p w14:paraId="48FE4BD0">
      <w:pPr>
        <w:pageBreakBefore w:val="0"/>
        <w:kinsoku/>
        <w:topLinePunct w:val="0"/>
        <w:bidi w:val="0"/>
        <w:snapToGrid/>
        <w:spacing w:line="360" w:lineRule="auto"/>
        <w:ind w:firstLine="525" w:firstLineChars="250"/>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sz w:val="21"/>
          <w:szCs w:val="21"/>
          <w:highlight w:val="none"/>
          <w:lang w:val="en-US" w:eastAsia="zh-CN"/>
        </w:rPr>
        <w:t>无需缴纳投标保证金。</w:t>
      </w:r>
    </w:p>
    <w:p w14:paraId="342B855E">
      <w:pPr>
        <w:pStyle w:val="4"/>
        <w:pageBreakBefore w:val="0"/>
        <w:kinsoku/>
        <w:topLinePunct w:val="0"/>
        <w:bidi w:val="0"/>
        <w:snapToGrid/>
        <w:spacing w:before="0" w:after="0" w:line="360" w:lineRule="auto"/>
        <w:jc w:val="left"/>
        <w:rPr>
          <w:rFonts w:hint="eastAsia" w:ascii="仿宋" w:hAnsi="仿宋" w:eastAsia="仿宋" w:cs="仿宋"/>
          <w:bCs w:val="0"/>
          <w:sz w:val="21"/>
          <w:szCs w:val="21"/>
          <w:highlight w:val="none"/>
          <w:lang w:val="zh-CN"/>
        </w:rPr>
      </w:pPr>
      <w:bookmarkStart w:id="31" w:name="_Toc7821"/>
      <w:bookmarkStart w:id="32" w:name="_Toc22321"/>
      <w:bookmarkStart w:id="33" w:name="_Toc25358"/>
      <w:bookmarkStart w:id="34" w:name="_Toc11069"/>
      <w:bookmarkStart w:id="35" w:name="_Toc6354"/>
      <w:bookmarkStart w:id="36" w:name="_Toc9588"/>
      <w:bookmarkStart w:id="37" w:name="_Toc9280"/>
      <w:r>
        <w:rPr>
          <w:rFonts w:hint="eastAsia" w:ascii="仿宋" w:hAnsi="仿宋" w:eastAsia="仿宋" w:cs="仿宋"/>
          <w:bCs w:val="0"/>
          <w:sz w:val="21"/>
          <w:szCs w:val="21"/>
          <w:highlight w:val="none"/>
          <w:lang w:val="zh-CN"/>
        </w:rPr>
        <w:t>二、</w:t>
      </w:r>
      <w:bookmarkEnd w:id="31"/>
      <w:bookmarkEnd w:id="32"/>
      <w:bookmarkEnd w:id="33"/>
      <w:bookmarkEnd w:id="34"/>
      <w:bookmarkEnd w:id="35"/>
      <w:bookmarkEnd w:id="36"/>
      <w:r>
        <w:rPr>
          <w:rFonts w:hint="eastAsia" w:ascii="仿宋" w:hAnsi="仿宋" w:eastAsia="仿宋" w:cs="仿宋"/>
          <w:bCs w:val="0"/>
          <w:sz w:val="21"/>
          <w:szCs w:val="21"/>
          <w:highlight w:val="none"/>
          <w:lang w:val="zh-CN"/>
        </w:rPr>
        <w:t>招标文件</w:t>
      </w:r>
      <w:bookmarkEnd w:id="37"/>
    </w:p>
    <w:p w14:paraId="702EC095">
      <w:pPr>
        <w:pageBreakBefore w:val="0"/>
        <w:kinsoku/>
        <w:topLinePunct w:val="0"/>
        <w:autoSpaceDE w:val="0"/>
        <w:autoSpaceDN w:val="0"/>
        <w:bidi w:val="0"/>
        <w:adjustRightInd w:val="0"/>
        <w:snapToGrid/>
        <w:spacing w:line="360" w:lineRule="auto"/>
        <w:ind w:firstLine="210" w:firstLineChars="100"/>
        <w:jc w:val="left"/>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（一）招标文件的构成。本招标文件由以下部份组成：</w:t>
      </w:r>
    </w:p>
    <w:p w14:paraId="759A29BD">
      <w:pPr>
        <w:pageBreakBefore w:val="0"/>
        <w:kinsoku/>
        <w:topLinePunct w:val="0"/>
        <w:bidi w:val="0"/>
        <w:snapToGrid/>
        <w:spacing w:line="360" w:lineRule="auto"/>
        <w:ind w:firstLine="420" w:firstLineChars="20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eastAsia="zh-CN"/>
        </w:rPr>
        <w:t>招标公告</w:t>
      </w:r>
    </w:p>
    <w:p w14:paraId="08160AB6">
      <w:pPr>
        <w:pageBreakBefore w:val="0"/>
        <w:kinsoku/>
        <w:topLinePunct w:val="0"/>
        <w:bidi w:val="0"/>
        <w:snapToGrid/>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2.投标须知</w:t>
      </w:r>
    </w:p>
    <w:p w14:paraId="5747A517">
      <w:pPr>
        <w:pageBreakBefore w:val="0"/>
        <w:kinsoku/>
        <w:topLinePunct w:val="0"/>
        <w:bidi w:val="0"/>
        <w:snapToGrid/>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内容及要求</w:t>
      </w:r>
    </w:p>
    <w:p w14:paraId="280D64F8">
      <w:pPr>
        <w:pageBreakBefore w:val="0"/>
        <w:kinsoku/>
        <w:topLinePunct w:val="0"/>
        <w:bidi w:val="0"/>
        <w:snapToGrid/>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4.评标办法</w:t>
      </w:r>
    </w:p>
    <w:p w14:paraId="4C127E61">
      <w:pPr>
        <w:pageBreakBefore w:val="0"/>
        <w:kinsoku/>
        <w:topLinePunct w:val="0"/>
        <w:bidi w:val="0"/>
        <w:snapToGrid/>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5.合同主要条款</w:t>
      </w:r>
    </w:p>
    <w:p w14:paraId="17DEE64F">
      <w:pPr>
        <w:pageBreakBefore w:val="0"/>
        <w:kinsoku/>
        <w:topLinePunct w:val="0"/>
        <w:bidi w:val="0"/>
        <w:snapToGrid/>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6.投标文件格式</w:t>
      </w:r>
    </w:p>
    <w:p w14:paraId="7BDDFF9D">
      <w:pPr>
        <w:pageBreakBefore w:val="0"/>
        <w:kinsoku/>
        <w:topLinePunct w:val="0"/>
        <w:bidi w:val="0"/>
        <w:snapToGrid/>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7.本项目</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的澄清、答复、修改、补充的内容（如有）</w:t>
      </w:r>
    </w:p>
    <w:p w14:paraId="7C019E08">
      <w:pPr>
        <w:pageBreakBefore w:val="0"/>
        <w:kinsoku/>
        <w:topLinePunct w:val="0"/>
        <w:autoSpaceDE w:val="0"/>
        <w:autoSpaceDN w:val="0"/>
        <w:bidi w:val="0"/>
        <w:adjustRightInd w:val="0"/>
        <w:snapToGrid/>
        <w:spacing w:line="360" w:lineRule="auto"/>
        <w:ind w:firstLine="210" w:firstLineChars="100"/>
        <w:jc w:val="left"/>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（二）投标人的风险</w:t>
      </w:r>
    </w:p>
    <w:p w14:paraId="203243BA">
      <w:pPr>
        <w:pStyle w:val="6"/>
        <w:pageBreakBefore w:val="0"/>
        <w:kinsoku/>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投标人应认真审阅</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中所有的事项、格式、条款和规范要求等，若投标人的投标文件没有按</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要求提交全部资料，或投标文件没有对</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做出实质性响应，并根据有关条款规定，其风险由投标人自行承担。</w:t>
      </w:r>
    </w:p>
    <w:p w14:paraId="537A17BB">
      <w:pPr>
        <w:pageBreakBefore w:val="0"/>
        <w:kinsoku/>
        <w:topLinePunct w:val="0"/>
        <w:autoSpaceDE w:val="0"/>
        <w:autoSpaceDN w:val="0"/>
        <w:bidi w:val="0"/>
        <w:adjustRightInd w:val="0"/>
        <w:snapToGrid/>
        <w:spacing w:line="360" w:lineRule="auto"/>
        <w:ind w:firstLine="210" w:firstLineChars="100"/>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lang w:val="zh-CN"/>
        </w:rPr>
        <w:t xml:space="preserve">（三）招标文件的澄清与修改 </w:t>
      </w:r>
    </w:p>
    <w:p w14:paraId="1B599271">
      <w:pPr>
        <w:pStyle w:val="7"/>
        <w:pageBreakBefore w:val="0"/>
        <w:kinsoku/>
        <w:topLinePunct w:val="0"/>
        <w:bidi w:val="0"/>
        <w:snapToGrid/>
        <w:spacing w:line="360" w:lineRule="auto"/>
        <w:ind w:firstLine="420" w:firstLineChars="200"/>
        <w:rPr>
          <w:rFonts w:hint="eastAsia" w:ascii="仿宋" w:hAnsi="仿宋" w:eastAsia="仿宋" w:cs="仿宋"/>
          <w:bCs/>
          <w:sz w:val="21"/>
          <w:szCs w:val="21"/>
          <w:highlight w:val="none"/>
        </w:rPr>
      </w:pPr>
      <w:r>
        <w:rPr>
          <w:rFonts w:hint="eastAsia" w:ascii="仿宋" w:hAnsi="仿宋" w:eastAsia="仿宋" w:cs="仿宋"/>
          <w:sz w:val="21"/>
          <w:szCs w:val="21"/>
          <w:highlight w:val="none"/>
        </w:rPr>
        <w:t>1.</w:t>
      </w:r>
      <w:r>
        <w:rPr>
          <w:rFonts w:hint="eastAsia" w:ascii="仿宋" w:hAnsi="仿宋" w:eastAsia="仿宋" w:cs="仿宋"/>
          <w:bCs/>
          <w:sz w:val="21"/>
          <w:szCs w:val="21"/>
          <w:highlight w:val="none"/>
          <w:lang w:eastAsia="zh-CN"/>
        </w:rPr>
        <w:t>招标人</w:t>
      </w:r>
      <w:r>
        <w:rPr>
          <w:rFonts w:hint="eastAsia" w:ascii="仿宋" w:hAnsi="仿宋" w:eastAsia="仿宋" w:cs="仿宋"/>
          <w:bCs/>
          <w:sz w:val="21"/>
          <w:szCs w:val="21"/>
          <w:highlight w:val="none"/>
        </w:rPr>
        <w:t>或者</w:t>
      </w:r>
      <w:r>
        <w:rPr>
          <w:rFonts w:hint="eastAsia" w:ascii="仿宋" w:hAnsi="仿宋" w:eastAsia="仿宋" w:cs="仿宋"/>
          <w:bCs/>
          <w:sz w:val="21"/>
          <w:szCs w:val="21"/>
          <w:highlight w:val="none"/>
          <w:lang w:eastAsia="zh-CN"/>
        </w:rPr>
        <w:t>招标</w:t>
      </w:r>
      <w:r>
        <w:rPr>
          <w:rFonts w:hint="eastAsia" w:ascii="仿宋" w:hAnsi="仿宋" w:eastAsia="仿宋" w:cs="仿宋"/>
          <w:bCs/>
          <w:sz w:val="21"/>
          <w:szCs w:val="21"/>
          <w:highlight w:val="none"/>
        </w:rPr>
        <w:t>代理机构可以对已发出的</w:t>
      </w:r>
      <w:r>
        <w:rPr>
          <w:rFonts w:hint="eastAsia" w:ascii="仿宋" w:hAnsi="仿宋" w:eastAsia="仿宋" w:cs="仿宋"/>
          <w:bCs/>
          <w:sz w:val="21"/>
          <w:szCs w:val="21"/>
          <w:highlight w:val="none"/>
          <w:lang w:eastAsia="zh-CN"/>
        </w:rPr>
        <w:t>招标文件</w:t>
      </w:r>
      <w:r>
        <w:rPr>
          <w:rFonts w:hint="eastAsia" w:ascii="仿宋" w:hAnsi="仿宋" w:eastAsia="仿宋" w:cs="仿宋"/>
          <w:bCs/>
          <w:sz w:val="21"/>
          <w:szCs w:val="21"/>
          <w:highlight w:val="none"/>
        </w:rPr>
        <w:t>进行必要的澄清或者修改。澄清或者修改的内容在原公告发布媒体上以补充（更正）公告形式通知所有获取</w:t>
      </w:r>
      <w:r>
        <w:rPr>
          <w:rFonts w:hint="eastAsia" w:ascii="仿宋" w:hAnsi="仿宋" w:eastAsia="仿宋" w:cs="仿宋"/>
          <w:bCs/>
          <w:sz w:val="21"/>
          <w:szCs w:val="21"/>
          <w:highlight w:val="none"/>
          <w:lang w:eastAsia="zh-CN"/>
        </w:rPr>
        <w:t>招标文件</w:t>
      </w:r>
      <w:r>
        <w:rPr>
          <w:rFonts w:hint="eastAsia" w:ascii="仿宋" w:hAnsi="仿宋" w:eastAsia="仿宋" w:cs="仿宋"/>
          <w:bCs/>
          <w:sz w:val="21"/>
          <w:szCs w:val="21"/>
          <w:highlight w:val="none"/>
        </w:rPr>
        <w:t>的潜在投标人。澄清或者修改的内容作为</w:t>
      </w:r>
      <w:r>
        <w:rPr>
          <w:rFonts w:hint="eastAsia" w:ascii="仿宋" w:hAnsi="仿宋" w:eastAsia="仿宋" w:cs="仿宋"/>
          <w:bCs/>
          <w:sz w:val="21"/>
          <w:szCs w:val="21"/>
          <w:highlight w:val="none"/>
          <w:lang w:eastAsia="zh-CN"/>
        </w:rPr>
        <w:t>招标文件</w:t>
      </w:r>
      <w:r>
        <w:rPr>
          <w:rFonts w:hint="eastAsia" w:ascii="仿宋" w:hAnsi="仿宋" w:eastAsia="仿宋" w:cs="仿宋"/>
          <w:bCs/>
          <w:sz w:val="21"/>
          <w:szCs w:val="21"/>
          <w:highlight w:val="none"/>
        </w:rPr>
        <w:t>的补充和组成部分，对所有投标人均有约束力。澄清或者修改的内容可能影响投标文件编制且发出时间距投标截止时间不足</w:t>
      </w:r>
      <w:r>
        <w:rPr>
          <w:rFonts w:hint="eastAsia" w:ascii="仿宋" w:hAnsi="仿宋" w:eastAsia="仿宋" w:cs="仿宋"/>
          <w:bCs/>
          <w:sz w:val="21"/>
          <w:szCs w:val="21"/>
          <w:highlight w:val="none"/>
          <w:lang w:val="en-US" w:eastAsia="zh-CN"/>
        </w:rPr>
        <w:t>5个工作日</w:t>
      </w:r>
      <w:r>
        <w:rPr>
          <w:rFonts w:hint="eastAsia" w:ascii="仿宋" w:hAnsi="仿宋" w:eastAsia="仿宋" w:cs="仿宋"/>
          <w:bCs/>
          <w:sz w:val="21"/>
          <w:szCs w:val="21"/>
          <w:highlight w:val="none"/>
        </w:rPr>
        <w:t>的，将顺延投标截止时间。</w:t>
      </w:r>
    </w:p>
    <w:p w14:paraId="24B12747">
      <w:pPr>
        <w:pStyle w:val="7"/>
        <w:pageBreakBefore w:val="0"/>
        <w:kinsoku/>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bCs/>
          <w:sz w:val="21"/>
          <w:szCs w:val="21"/>
          <w:highlight w:val="none"/>
        </w:rPr>
        <w:t>2.投标人应认真阅读本</w:t>
      </w:r>
      <w:r>
        <w:rPr>
          <w:rFonts w:hint="eastAsia" w:ascii="仿宋" w:hAnsi="仿宋" w:eastAsia="仿宋" w:cs="仿宋"/>
          <w:bCs/>
          <w:sz w:val="21"/>
          <w:szCs w:val="21"/>
          <w:highlight w:val="none"/>
          <w:lang w:eastAsia="zh-CN"/>
        </w:rPr>
        <w:t>招标文件</w:t>
      </w:r>
      <w:r>
        <w:rPr>
          <w:rFonts w:hint="eastAsia" w:ascii="仿宋" w:hAnsi="仿宋" w:eastAsia="仿宋" w:cs="仿宋"/>
          <w:bCs/>
          <w:sz w:val="21"/>
          <w:szCs w:val="21"/>
          <w:highlight w:val="none"/>
        </w:rPr>
        <w:t>，发现其中有误或有不合理要求的，投标人应当</w:t>
      </w:r>
      <w:r>
        <w:rPr>
          <w:rFonts w:hint="eastAsia" w:ascii="仿宋" w:hAnsi="仿宋" w:eastAsia="仿宋" w:cs="仿宋"/>
          <w:bCs/>
          <w:sz w:val="21"/>
          <w:szCs w:val="21"/>
          <w:highlight w:val="none"/>
          <w:lang w:eastAsia="zh-CN"/>
        </w:rPr>
        <w:t>在</w:t>
      </w:r>
      <w:r>
        <w:rPr>
          <w:rFonts w:hint="eastAsia" w:ascii="仿宋" w:hAnsi="仿宋" w:eastAsia="仿宋" w:cs="仿宋"/>
          <w:bCs/>
          <w:sz w:val="21"/>
          <w:szCs w:val="21"/>
          <w:highlight w:val="none"/>
        </w:rPr>
        <w:t>自知道或者应当知道其合法权益受到损害之日起</w:t>
      </w:r>
      <w:r>
        <w:rPr>
          <w:rFonts w:hint="eastAsia" w:ascii="仿宋" w:hAnsi="仿宋" w:eastAsia="仿宋" w:cs="仿宋"/>
          <w:bCs/>
          <w:sz w:val="21"/>
          <w:szCs w:val="21"/>
          <w:highlight w:val="none"/>
          <w:lang w:val="en-US" w:eastAsia="zh-CN"/>
        </w:rPr>
        <w:t>2个工作日</w:t>
      </w:r>
      <w:r>
        <w:rPr>
          <w:rFonts w:hint="eastAsia" w:ascii="仿宋" w:hAnsi="仿宋" w:eastAsia="仿宋" w:cs="仿宋"/>
          <w:bCs/>
          <w:sz w:val="21"/>
          <w:szCs w:val="21"/>
          <w:highlight w:val="none"/>
        </w:rPr>
        <w:t>内提出质疑。对</w:t>
      </w:r>
      <w:r>
        <w:rPr>
          <w:rFonts w:hint="eastAsia" w:ascii="仿宋" w:hAnsi="仿宋" w:eastAsia="仿宋" w:cs="仿宋"/>
          <w:bCs/>
          <w:sz w:val="21"/>
          <w:szCs w:val="21"/>
          <w:highlight w:val="none"/>
          <w:lang w:eastAsia="zh-CN"/>
        </w:rPr>
        <w:t>招标公告</w:t>
      </w:r>
      <w:r>
        <w:rPr>
          <w:rFonts w:hint="eastAsia" w:ascii="仿宋" w:hAnsi="仿宋" w:eastAsia="仿宋" w:cs="仿宋"/>
          <w:bCs/>
          <w:sz w:val="21"/>
          <w:szCs w:val="21"/>
          <w:highlight w:val="none"/>
        </w:rPr>
        <w:t>信息（含投标人资格条件）提出质疑的，质疑期限自</w:t>
      </w:r>
      <w:r>
        <w:rPr>
          <w:rFonts w:hint="eastAsia" w:ascii="仿宋" w:hAnsi="仿宋" w:eastAsia="仿宋" w:cs="仿宋"/>
          <w:bCs/>
          <w:sz w:val="21"/>
          <w:szCs w:val="21"/>
          <w:highlight w:val="none"/>
          <w:lang w:eastAsia="zh-CN"/>
        </w:rPr>
        <w:t>招标公告</w:t>
      </w:r>
      <w:r>
        <w:rPr>
          <w:rFonts w:hint="eastAsia" w:ascii="仿宋" w:hAnsi="仿宋" w:eastAsia="仿宋" w:cs="仿宋"/>
          <w:bCs/>
          <w:sz w:val="21"/>
          <w:szCs w:val="21"/>
          <w:highlight w:val="none"/>
        </w:rPr>
        <w:t>期限届满之日起计算。</w:t>
      </w:r>
      <w:r>
        <w:rPr>
          <w:rFonts w:hint="eastAsia" w:ascii="仿宋" w:hAnsi="仿宋" w:eastAsia="仿宋" w:cs="仿宋"/>
          <w:sz w:val="21"/>
          <w:szCs w:val="21"/>
          <w:highlight w:val="none"/>
        </w:rPr>
        <w:t>针对同一</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程序环节的质疑，</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应在法定期限内一次性提出（即针对同一</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程序环节的质疑</w:t>
      </w:r>
      <w:r>
        <w:rPr>
          <w:rFonts w:hint="eastAsia" w:ascii="仿宋" w:hAnsi="仿宋" w:eastAsia="仿宋" w:cs="仿宋"/>
          <w:sz w:val="21"/>
          <w:szCs w:val="21"/>
          <w:highlight w:val="none"/>
          <w:lang w:eastAsia="zh-CN"/>
        </w:rPr>
        <w:t>招标人</w:t>
      </w:r>
      <w:r>
        <w:rPr>
          <w:rFonts w:hint="eastAsia" w:ascii="仿宋" w:hAnsi="仿宋" w:eastAsia="仿宋" w:cs="仿宋"/>
          <w:sz w:val="21"/>
          <w:szCs w:val="21"/>
          <w:highlight w:val="none"/>
        </w:rPr>
        <w:t>或</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代理机构仅受理一次）。</w:t>
      </w:r>
    </w:p>
    <w:p w14:paraId="2D645DCF">
      <w:pPr>
        <w:pStyle w:val="7"/>
        <w:pageBreakBefore w:val="0"/>
        <w:kinsoku/>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澄清、答复、修改、补充的内容为</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的组成部分。当</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与</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的答复、澄清、修改、补充通知就同一内容的表述不一致时，以最后发出的书面文件为准。</w:t>
      </w:r>
    </w:p>
    <w:p w14:paraId="49E8D520">
      <w:pPr>
        <w:pStyle w:val="4"/>
        <w:pageBreakBefore w:val="0"/>
        <w:kinsoku/>
        <w:topLinePunct w:val="0"/>
        <w:bidi w:val="0"/>
        <w:snapToGrid/>
        <w:spacing w:before="0" w:after="0" w:line="360" w:lineRule="auto"/>
        <w:jc w:val="left"/>
        <w:rPr>
          <w:rFonts w:hint="eastAsia" w:ascii="仿宋" w:hAnsi="仿宋" w:eastAsia="仿宋" w:cs="仿宋"/>
          <w:bCs w:val="0"/>
          <w:sz w:val="21"/>
          <w:szCs w:val="21"/>
          <w:highlight w:val="none"/>
          <w:lang w:val="zh-CN"/>
        </w:rPr>
      </w:pPr>
      <w:bookmarkStart w:id="38" w:name="_Toc21917"/>
      <w:bookmarkStart w:id="39" w:name="_Toc30124"/>
      <w:bookmarkStart w:id="40" w:name="_Toc2854"/>
      <w:bookmarkStart w:id="41" w:name="_Toc4647"/>
      <w:bookmarkStart w:id="42" w:name="_Toc25719"/>
      <w:bookmarkStart w:id="43" w:name="_Toc11434"/>
      <w:bookmarkStart w:id="44" w:name="_Toc3113"/>
      <w:r>
        <w:rPr>
          <w:rFonts w:hint="eastAsia" w:ascii="仿宋" w:hAnsi="仿宋" w:eastAsia="仿宋" w:cs="仿宋"/>
          <w:bCs w:val="0"/>
          <w:sz w:val="21"/>
          <w:szCs w:val="21"/>
          <w:highlight w:val="none"/>
          <w:lang w:val="zh-CN"/>
        </w:rPr>
        <w:t>三、投标文件</w:t>
      </w:r>
      <w:bookmarkEnd w:id="38"/>
      <w:bookmarkEnd w:id="39"/>
      <w:bookmarkEnd w:id="40"/>
      <w:bookmarkEnd w:id="41"/>
      <w:bookmarkEnd w:id="42"/>
      <w:bookmarkEnd w:id="43"/>
      <w:bookmarkEnd w:id="44"/>
    </w:p>
    <w:p w14:paraId="5314E0A1">
      <w:pPr>
        <w:pageBreakBefore w:val="0"/>
        <w:kinsoku/>
        <w:topLinePunct w:val="0"/>
        <w:bidi w:val="0"/>
        <w:snapToGrid/>
        <w:spacing w:line="300" w:lineRule="auto"/>
        <w:ind w:firstLine="420" w:firstLineChars="200"/>
        <w:rPr>
          <w:rFonts w:hint="eastAsia" w:ascii="仿宋" w:hAnsi="仿宋" w:eastAsia="仿宋" w:cs="仿宋"/>
          <w:b/>
          <w:sz w:val="21"/>
          <w:szCs w:val="21"/>
          <w:u w:val="none"/>
          <w:lang w:eastAsia="zh-CN"/>
        </w:rPr>
      </w:pPr>
      <w:r>
        <w:rPr>
          <w:rFonts w:hint="eastAsia" w:ascii="仿宋" w:hAnsi="仿宋" w:eastAsia="仿宋" w:cs="仿宋"/>
          <w:b/>
          <w:sz w:val="21"/>
          <w:szCs w:val="21"/>
          <w:u w:val="none"/>
          <w:lang w:eastAsia="zh-CN"/>
        </w:rPr>
        <w:t>（一）投标文件组成</w:t>
      </w:r>
    </w:p>
    <w:p w14:paraId="4E1E29C6">
      <w:pPr>
        <w:pageBreakBefore w:val="0"/>
        <w:kinsoku/>
        <w:topLinePunct w:val="0"/>
        <w:bidi w:val="0"/>
        <w:snapToGrid/>
        <w:spacing w:line="300" w:lineRule="auto"/>
        <w:ind w:firstLine="420" w:firstLineChars="200"/>
        <w:rPr>
          <w:rFonts w:hint="eastAsia" w:ascii="仿宋" w:hAnsi="仿宋" w:eastAsia="仿宋" w:cs="仿宋"/>
          <w:b/>
          <w:sz w:val="21"/>
          <w:szCs w:val="21"/>
          <w:u w:val="none"/>
          <w:lang w:val="en-US" w:eastAsia="zh-CN"/>
        </w:rPr>
      </w:pPr>
      <w:r>
        <w:rPr>
          <w:rFonts w:hint="eastAsia" w:ascii="仿宋" w:hAnsi="仿宋" w:eastAsia="仿宋" w:cs="仿宋"/>
          <w:b/>
          <w:sz w:val="21"/>
          <w:szCs w:val="21"/>
          <w:u w:val="none"/>
          <w:lang w:eastAsia="zh-CN"/>
        </w:rPr>
        <w:t>投标文件包括以下内容：</w:t>
      </w:r>
    </w:p>
    <w:p w14:paraId="76EF7162">
      <w:pPr>
        <w:pageBreakBefore w:val="0"/>
        <w:kinsoku/>
        <w:topLinePunct w:val="0"/>
        <w:autoSpaceDE w:val="0"/>
        <w:autoSpaceDN w:val="0"/>
        <w:bidi w:val="0"/>
        <w:adjustRightInd w:val="0"/>
        <w:snapToGrid/>
        <w:spacing w:line="360" w:lineRule="auto"/>
        <w:ind w:firstLine="420" w:firstLineChars="200"/>
        <w:rPr>
          <w:rFonts w:hint="eastAsia" w:ascii="仿宋" w:hAnsi="仿宋" w:eastAsia="仿宋" w:cs="仿宋"/>
          <w:color w:val="000000"/>
          <w:sz w:val="21"/>
          <w:szCs w:val="21"/>
          <w:highlight w:val="none"/>
          <w:lang w:eastAsia="zh-CN"/>
        </w:rPr>
      </w:pPr>
      <w:r>
        <w:rPr>
          <w:rFonts w:hint="eastAsia" w:ascii="仿宋" w:hAnsi="仿宋" w:eastAsia="仿宋" w:cs="仿宋"/>
          <w:b/>
          <w:bCs w:val="0"/>
          <w:sz w:val="21"/>
          <w:szCs w:val="21"/>
          <w:highlight w:val="none"/>
          <w:u w:val="none"/>
          <w:lang w:val="zh-CN"/>
        </w:rPr>
        <w:t>▲（</w:t>
      </w:r>
      <w:r>
        <w:rPr>
          <w:rFonts w:hint="eastAsia" w:ascii="仿宋" w:hAnsi="仿宋" w:eastAsia="仿宋" w:cs="仿宋"/>
          <w:b/>
          <w:bCs w:val="0"/>
          <w:sz w:val="21"/>
          <w:szCs w:val="21"/>
          <w:highlight w:val="none"/>
          <w:lang w:val="en-US" w:eastAsia="zh-CN"/>
        </w:rPr>
        <w:t>1</w:t>
      </w:r>
      <w:r>
        <w:rPr>
          <w:rFonts w:hint="eastAsia" w:ascii="仿宋" w:hAnsi="仿宋" w:eastAsia="仿宋" w:cs="仿宋"/>
          <w:b/>
          <w:bCs w:val="0"/>
          <w:sz w:val="21"/>
          <w:szCs w:val="21"/>
          <w:highlight w:val="none"/>
          <w:lang w:val="zh-CN"/>
        </w:rPr>
        <w:t>）廉政承诺书</w:t>
      </w:r>
      <w:r>
        <w:rPr>
          <w:rFonts w:hint="eastAsia" w:ascii="仿宋" w:hAnsi="仿宋" w:eastAsia="仿宋" w:cs="仿宋"/>
          <w:b/>
          <w:bCs w:val="0"/>
          <w:color w:val="000000"/>
          <w:sz w:val="21"/>
          <w:szCs w:val="21"/>
          <w:highlight w:val="none"/>
        </w:rPr>
        <w:t>【格式见</w:t>
      </w:r>
      <w:r>
        <w:rPr>
          <w:rFonts w:hint="eastAsia" w:ascii="仿宋" w:hAnsi="仿宋" w:eastAsia="仿宋" w:cs="仿宋"/>
          <w:b/>
          <w:bCs w:val="0"/>
          <w:color w:val="000000"/>
          <w:sz w:val="21"/>
          <w:szCs w:val="21"/>
          <w:highlight w:val="none"/>
          <w:u w:val="none"/>
        </w:rPr>
        <w:t>附件</w:t>
      </w:r>
      <w:r>
        <w:rPr>
          <w:rFonts w:hint="eastAsia" w:ascii="仿宋" w:hAnsi="仿宋" w:eastAsia="仿宋" w:cs="仿宋"/>
          <w:b/>
          <w:bCs w:val="0"/>
          <w:color w:val="000000"/>
          <w:sz w:val="21"/>
          <w:szCs w:val="21"/>
          <w:highlight w:val="none"/>
          <w:u w:val="none"/>
          <w:lang w:val="en-US" w:eastAsia="zh-CN"/>
        </w:rPr>
        <w:t>3</w:t>
      </w:r>
      <w:r>
        <w:rPr>
          <w:rFonts w:hint="eastAsia" w:ascii="仿宋" w:hAnsi="仿宋" w:eastAsia="仿宋" w:cs="仿宋"/>
          <w:b/>
          <w:bCs w:val="0"/>
          <w:color w:val="000000"/>
          <w:sz w:val="21"/>
          <w:szCs w:val="21"/>
          <w:highlight w:val="none"/>
        </w:rPr>
        <w:t>】</w:t>
      </w:r>
      <w:r>
        <w:rPr>
          <w:rFonts w:hint="eastAsia" w:ascii="仿宋" w:hAnsi="仿宋" w:eastAsia="仿宋" w:cs="仿宋"/>
          <w:b/>
          <w:bCs w:val="0"/>
          <w:color w:val="000000"/>
          <w:sz w:val="21"/>
          <w:szCs w:val="21"/>
          <w:highlight w:val="none"/>
          <w:lang w:eastAsia="zh-CN"/>
        </w:rPr>
        <w:t>；</w:t>
      </w:r>
    </w:p>
    <w:p w14:paraId="1B89523A">
      <w:pPr>
        <w:pageBreakBefore w:val="0"/>
        <w:kinsoku/>
        <w:topLinePunct w:val="0"/>
        <w:autoSpaceDE w:val="0"/>
        <w:autoSpaceDN w:val="0"/>
        <w:bidi w:val="0"/>
        <w:adjustRightInd w:val="0"/>
        <w:snapToGrid/>
        <w:spacing w:line="360" w:lineRule="auto"/>
        <w:ind w:firstLine="420" w:firstLineChars="200"/>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sz w:val="21"/>
          <w:szCs w:val="21"/>
          <w:highlight w:val="none"/>
          <w:u w:val="none"/>
          <w:lang w:val="zh-CN"/>
        </w:rPr>
        <w:t>▲</w:t>
      </w:r>
      <w:r>
        <w:rPr>
          <w:rFonts w:hint="eastAsia" w:ascii="仿宋" w:hAnsi="仿宋" w:eastAsia="仿宋" w:cs="仿宋"/>
          <w:b/>
          <w:bCs w:val="0"/>
          <w:color w:val="000000"/>
          <w:sz w:val="21"/>
          <w:szCs w:val="21"/>
          <w:highlight w:val="none"/>
          <w:lang w:eastAsia="zh-CN"/>
        </w:rPr>
        <w:t>（</w:t>
      </w:r>
      <w:r>
        <w:rPr>
          <w:rFonts w:hint="eastAsia" w:ascii="仿宋" w:hAnsi="仿宋" w:eastAsia="仿宋" w:cs="仿宋"/>
          <w:b/>
          <w:bCs w:val="0"/>
          <w:color w:val="000000"/>
          <w:sz w:val="21"/>
          <w:szCs w:val="21"/>
          <w:highlight w:val="none"/>
          <w:lang w:val="en-US" w:eastAsia="zh-CN"/>
        </w:rPr>
        <w:t>2</w:t>
      </w:r>
      <w:r>
        <w:rPr>
          <w:rFonts w:hint="eastAsia" w:ascii="仿宋" w:hAnsi="仿宋" w:eastAsia="仿宋" w:cs="仿宋"/>
          <w:b/>
          <w:bCs w:val="0"/>
          <w:color w:val="000000"/>
          <w:sz w:val="21"/>
          <w:szCs w:val="21"/>
          <w:highlight w:val="none"/>
          <w:lang w:eastAsia="zh-CN"/>
        </w:rPr>
        <w:t>）</w:t>
      </w:r>
      <w:r>
        <w:rPr>
          <w:rFonts w:hint="eastAsia" w:ascii="仿宋" w:hAnsi="仿宋" w:eastAsia="仿宋" w:cs="仿宋"/>
          <w:b/>
          <w:bCs w:val="0"/>
          <w:sz w:val="21"/>
          <w:szCs w:val="21"/>
          <w:highlight w:val="none"/>
          <w:lang w:val="zh-CN"/>
        </w:rPr>
        <w:t>开标一览表</w:t>
      </w:r>
      <w:r>
        <w:rPr>
          <w:rFonts w:hint="eastAsia" w:ascii="仿宋" w:hAnsi="仿宋" w:eastAsia="仿宋" w:cs="仿宋"/>
          <w:b/>
          <w:bCs w:val="0"/>
          <w:sz w:val="21"/>
          <w:szCs w:val="21"/>
          <w:highlight w:val="none"/>
        </w:rPr>
        <w:t>【格式见</w:t>
      </w:r>
      <w:r>
        <w:rPr>
          <w:rFonts w:hint="eastAsia" w:ascii="仿宋" w:hAnsi="仿宋" w:eastAsia="仿宋" w:cs="仿宋"/>
          <w:b/>
          <w:bCs w:val="0"/>
          <w:color w:val="auto"/>
          <w:sz w:val="21"/>
          <w:szCs w:val="21"/>
          <w:highlight w:val="none"/>
          <w:u w:val="none"/>
        </w:rPr>
        <w:t>附件</w:t>
      </w:r>
      <w:r>
        <w:rPr>
          <w:rFonts w:hint="eastAsia" w:ascii="仿宋" w:hAnsi="仿宋" w:eastAsia="仿宋" w:cs="仿宋"/>
          <w:b/>
          <w:bCs w:val="0"/>
          <w:color w:val="auto"/>
          <w:sz w:val="21"/>
          <w:szCs w:val="21"/>
          <w:highlight w:val="none"/>
          <w:u w:val="none"/>
          <w:lang w:val="en-US" w:eastAsia="zh-CN"/>
        </w:rPr>
        <w:t>4</w:t>
      </w:r>
      <w:r>
        <w:rPr>
          <w:rFonts w:hint="eastAsia" w:ascii="仿宋" w:hAnsi="仿宋" w:eastAsia="仿宋" w:cs="仿宋"/>
          <w:b/>
          <w:bCs w:val="0"/>
          <w:color w:val="auto"/>
          <w:sz w:val="21"/>
          <w:szCs w:val="21"/>
          <w:highlight w:val="none"/>
        </w:rPr>
        <w:t>】</w:t>
      </w:r>
      <w:r>
        <w:rPr>
          <w:rFonts w:hint="eastAsia" w:ascii="仿宋" w:hAnsi="仿宋" w:eastAsia="仿宋" w:cs="仿宋"/>
          <w:b/>
          <w:bCs w:val="0"/>
          <w:color w:val="auto"/>
          <w:sz w:val="21"/>
          <w:szCs w:val="21"/>
          <w:highlight w:val="none"/>
          <w:lang w:eastAsia="zh-CN"/>
        </w:rPr>
        <w:t>；</w:t>
      </w:r>
    </w:p>
    <w:p w14:paraId="1763A68A">
      <w:pPr>
        <w:pageBreakBefore w:val="0"/>
        <w:kinsoku/>
        <w:topLinePunct w:val="0"/>
        <w:bidi w:val="0"/>
        <w:snapToGrid/>
        <w:spacing w:line="300" w:lineRule="auto"/>
        <w:ind w:firstLine="420" w:firstLineChars="200"/>
        <w:rPr>
          <w:rFonts w:hint="eastAsia" w:ascii="仿宋" w:hAnsi="仿宋" w:eastAsia="仿宋" w:cs="仿宋"/>
          <w:szCs w:val="21"/>
          <w:highlight w:val="none"/>
          <w:lang w:val="zh-CN" w:eastAsia="zh-CN"/>
        </w:rPr>
      </w:pPr>
      <w:r>
        <w:rPr>
          <w:rFonts w:hint="eastAsia" w:ascii="仿宋" w:hAnsi="仿宋" w:eastAsia="仿宋" w:cs="仿宋"/>
          <w:b w:val="0"/>
          <w:bCs/>
          <w:color w:val="000000"/>
          <w:sz w:val="21"/>
          <w:szCs w:val="21"/>
          <w:highlight w:val="none"/>
          <w:lang w:eastAsia="zh-CN"/>
        </w:rPr>
        <w:t>（</w:t>
      </w:r>
      <w:r>
        <w:rPr>
          <w:rFonts w:hint="eastAsia" w:ascii="仿宋" w:hAnsi="仿宋" w:eastAsia="仿宋" w:cs="仿宋"/>
          <w:b w:val="0"/>
          <w:bCs/>
          <w:color w:val="000000"/>
          <w:sz w:val="21"/>
          <w:szCs w:val="21"/>
          <w:highlight w:val="none"/>
          <w:lang w:val="en-US" w:eastAsia="zh-CN"/>
        </w:rPr>
        <w:t>3</w:t>
      </w:r>
      <w:r>
        <w:rPr>
          <w:rFonts w:hint="eastAsia" w:ascii="仿宋" w:hAnsi="仿宋" w:eastAsia="仿宋" w:cs="仿宋"/>
          <w:b w:val="0"/>
          <w:bCs/>
          <w:color w:val="000000"/>
          <w:sz w:val="21"/>
          <w:szCs w:val="21"/>
          <w:highlight w:val="none"/>
          <w:lang w:eastAsia="zh-CN"/>
        </w:rPr>
        <w:t>）</w:t>
      </w:r>
      <w:r>
        <w:rPr>
          <w:rFonts w:hint="eastAsia" w:ascii="仿宋" w:hAnsi="仿宋" w:eastAsia="仿宋" w:cs="仿宋"/>
          <w:b w:val="0"/>
          <w:bCs/>
          <w:color w:val="000000"/>
          <w:sz w:val="21"/>
          <w:szCs w:val="21"/>
          <w:highlight w:val="none"/>
          <w:lang w:val="zh-CN" w:eastAsia="zh-CN"/>
        </w:rPr>
        <w:t>根</w:t>
      </w:r>
      <w:r>
        <w:rPr>
          <w:rFonts w:hint="eastAsia" w:ascii="仿宋" w:hAnsi="仿宋" w:eastAsia="仿宋" w:cs="仿宋"/>
          <w:b w:val="0"/>
          <w:bCs/>
          <w:szCs w:val="21"/>
          <w:highlight w:val="none"/>
          <w:lang w:val="zh-CN" w:eastAsia="zh-CN"/>
        </w:rPr>
        <w:t>据</w:t>
      </w:r>
      <w:r>
        <w:rPr>
          <w:rFonts w:hint="eastAsia" w:ascii="仿宋" w:hAnsi="仿宋" w:eastAsia="仿宋" w:cs="仿宋"/>
          <w:szCs w:val="21"/>
          <w:highlight w:val="none"/>
          <w:lang w:val="zh-CN" w:eastAsia="zh-CN"/>
        </w:rPr>
        <w:t>技术资信评分标准，投标人认为需要提供的其他资料或说明</w:t>
      </w:r>
      <w:r>
        <w:rPr>
          <w:rFonts w:hint="eastAsia" w:ascii="仿宋" w:hAnsi="仿宋" w:eastAsia="仿宋" w:cs="仿宋"/>
          <w:sz w:val="21"/>
          <w:szCs w:val="21"/>
          <w:highlight w:val="none"/>
          <w:lang w:val="zh-CN"/>
        </w:rPr>
        <w:t>（视情况提供）</w:t>
      </w:r>
      <w:r>
        <w:rPr>
          <w:rFonts w:hint="eastAsia" w:ascii="仿宋" w:hAnsi="仿宋" w:eastAsia="仿宋" w:cs="仿宋"/>
          <w:szCs w:val="21"/>
          <w:highlight w:val="none"/>
          <w:lang w:val="zh-CN" w:eastAsia="zh-CN"/>
        </w:rPr>
        <w:t>。</w:t>
      </w:r>
    </w:p>
    <w:p w14:paraId="770CAF1E">
      <w:pPr>
        <w:pageBreakBefore w:val="0"/>
        <w:kinsoku/>
        <w:topLinePunct w:val="0"/>
        <w:bidi w:val="0"/>
        <w:snapToGrid/>
        <w:spacing w:line="300" w:lineRule="auto"/>
        <w:ind w:firstLine="420" w:firstLineChars="200"/>
        <w:rPr>
          <w:rFonts w:hint="eastAsia" w:ascii="仿宋" w:hAnsi="仿宋" w:eastAsia="仿宋" w:cs="仿宋"/>
          <w:b/>
          <w:sz w:val="21"/>
          <w:szCs w:val="21"/>
          <w:u w:val="none"/>
          <w:lang w:val="en-US" w:eastAsia="zh-CN"/>
        </w:rPr>
      </w:pPr>
      <w:r>
        <w:rPr>
          <w:rFonts w:hint="eastAsia" w:ascii="仿宋" w:hAnsi="仿宋" w:eastAsia="仿宋" w:cs="仿宋"/>
          <w:b/>
          <w:sz w:val="21"/>
          <w:szCs w:val="21"/>
          <w:u w:val="single"/>
          <w:lang w:eastAsia="zh-CN"/>
        </w:rPr>
        <w:t>（</w:t>
      </w:r>
      <w:r>
        <w:rPr>
          <w:rFonts w:hint="eastAsia" w:ascii="仿宋" w:hAnsi="仿宋" w:eastAsia="仿宋" w:cs="仿宋"/>
          <w:b/>
          <w:sz w:val="21"/>
          <w:szCs w:val="21"/>
          <w:u w:val="single"/>
          <w:lang w:val="en-US" w:eastAsia="zh-CN"/>
        </w:rPr>
        <w:t>1</w:t>
      </w:r>
      <w:r>
        <w:rPr>
          <w:rFonts w:hint="eastAsia" w:ascii="仿宋" w:hAnsi="仿宋" w:eastAsia="仿宋" w:cs="仿宋"/>
          <w:b/>
          <w:sz w:val="21"/>
          <w:szCs w:val="21"/>
          <w:u w:val="single"/>
          <w:lang w:eastAsia="zh-CN"/>
        </w:rPr>
        <w:t>）</w:t>
      </w:r>
      <w:r>
        <w:rPr>
          <w:rFonts w:hint="eastAsia" w:ascii="仿宋" w:hAnsi="仿宋" w:eastAsia="仿宋" w:cs="仿宋"/>
          <w:b/>
          <w:sz w:val="21"/>
          <w:szCs w:val="21"/>
          <w:u w:val="single"/>
          <w:lang w:val="en-US" w:eastAsia="zh-CN"/>
        </w:rPr>
        <w:t>-</w:t>
      </w:r>
      <w:r>
        <w:rPr>
          <w:rFonts w:hint="eastAsia" w:ascii="仿宋" w:hAnsi="仿宋" w:eastAsia="仿宋" w:cs="仿宋"/>
          <w:b/>
          <w:sz w:val="21"/>
          <w:szCs w:val="21"/>
          <w:u w:val="single"/>
          <w:lang w:eastAsia="zh-CN"/>
        </w:rPr>
        <w:t>（</w:t>
      </w:r>
      <w:r>
        <w:rPr>
          <w:rFonts w:hint="eastAsia" w:ascii="仿宋" w:hAnsi="仿宋" w:eastAsia="仿宋" w:cs="仿宋"/>
          <w:b/>
          <w:sz w:val="21"/>
          <w:szCs w:val="21"/>
          <w:u w:val="single"/>
          <w:lang w:val="en-US" w:eastAsia="zh-CN"/>
        </w:rPr>
        <w:t>2</w:t>
      </w:r>
      <w:r>
        <w:rPr>
          <w:rFonts w:hint="eastAsia" w:ascii="仿宋" w:hAnsi="仿宋" w:eastAsia="仿宋" w:cs="仿宋"/>
          <w:b/>
          <w:sz w:val="21"/>
          <w:szCs w:val="21"/>
          <w:u w:val="single"/>
          <w:lang w:eastAsia="zh-CN"/>
        </w:rPr>
        <w:t>）项为实质性要求，投标文件中必须提供，否则作无效投标处理。</w:t>
      </w:r>
    </w:p>
    <w:p w14:paraId="2C19DE6C">
      <w:pPr>
        <w:pageBreakBefore w:val="0"/>
        <w:kinsoku/>
        <w:topLinePunct w:val="0"/>
        <w:autoSpaceDE w:val="0"/>
        <w:autoSpaceDN w:val="0"/>
        <w:bidi w:val="0"/>
        <w:adjustRightInd w:val="0"/>
        <w:snapToGrid/>
        <w:spacing w:line="360" w:lineRule="auto"/>
        <w:ind w:firstLine="420" w:firstLineChars="200"/>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(二)投标文件的编制</w:t>
      </w:r>
    </w:p>
    <w:p w14:paraId="1FF1B3F7">
      <w:pPr>
        <w:pStyle w:val="6"/>
        <w:pageBreakBefore w:val="0"/>
        <w:kinsoku/>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1.投标人编制的投标文件应包括第（一）款“投标文件的组成”规定的内容，</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已提供标准格式的，应当采用</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所提供的投标文件全部格式（可以按同样格式扩展）；</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未提供标准格式的，由投标人自行编写。【</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提供的标准格式见第六章“投标文件格式”】</w:t>
      </w:r>
    </w:p>
    <w:p w14:paraId="16014AA5">
      <w:pPr>
        <w:pStyle w:val="6"/>
        <w:wordWrap w:val="0"/>
        <w:spacing w:line="360" w:lineRule="auto"/>
        <w:ind w:firstLine="420" w:firstLineChars="200"/>
        <w:rPr>
          <w:rFonts w:hint="eastAsia" w:ascii="仿宋" w:hAnsi="仿宋" w:eastAsia="仿宋" w:cs="仿宋"/>
          <w:color w:val="000000"/>
          <w:sz w:val="21"/>
          <w:szCs w:val="21"/>
          <w:highlight w:val="yellow"/>
        </w:rPr>
      </w:pPr>
      <w:r>
        <w:rPr>
          <w:rFonts w:hint="eastAsia" w:ascii="仿宋" w:hAnsi="仿宋" w:eastAsia="仿宋" w:cs="仿宋"/>
          <w:color w:val="000000"/>
          <w:sz w:val="21"/>
          <w:szCs w:val="21"/>
          <w:lang w:val="en-US"/>
        </w:rPr>
        <w:t>2</w:t>
      </w:r>
      <w:r>
        <w:rPr>
          <w:rFonts w:hint="eastAsia" w:ascii="仿宋" w:hAnsi="仿宋" w:eastAsia="仿宋" w:cs="仿宋"/>
          <w:color w:val="000000"/>
          <w:sz w:val="21"/>
          <w:szCs w:val="21"/>
        </w:rPr>
        <w:t>.投标人应在</w:t>
      </w:r>
      <w:r>
        <w:rPr>
          <w:rFonts w:hint="eastAsia" w:ascii="仿宋" w:hAnsi="仿宋" w:eastAsia="仿宋" w:cs="仿宋"/>
          <w:color w:val="000000"/>
          <w:sz w:val="21"/>
          <w:szCs w:val="21"/>
          <w:highlight w:val="none"/>
        </w:rPr>
        <w:t>认真阅读</w:t>
      </w:r>
      <w:r>
        <w:rPr>
          <w:rFonts w:hint="eastAsia" w:ascii="仿宋" w:hAnsi="仿宋" w:eastAsia="仿宋" w:cs="仿宋"/>
          <w:color w:val="000000"/>
          <w:sz w:val="21"/>
          <w:szCs w:val="21"/>
          <w:highlight w:val="none"/>
          <w:lang w:eastAsia="zh-CN"/>
        </w:rPr>
        <w:t>招标</w:t>
      </w:r>
      <w:r>
        <w:rPr>
          <w:rFonts w:hint="eastAsia" w:ascii="仿宋" w:hAnsi="仿宋" w:eastAsia="仿宋" w:cs="仿宋"/>
          <w:color w:val="000000"/>
          <w:sz w:val="21"/>
          <w:szCs w:val="21"/>
          <w:highlight w:val="none"/>
        </w:rPr>
        <w:t>文件所有内容的基础上，按照</w:t>
      </w:r>
      <w:r>
        <w:rPr>
          <w:rFonts w:hint="eastAsia" w:ascii="仿宋" w:hAnsi="仿宋" w:eastAsia="仿宋" w:cs="仿宋"/>
          <w:color w:val="000000"/>
          <w:sz w:val="21"/>
          <w:szCs w:val="21"/>
          <w:highlight w:val="none"/>
          <w:lang w:eastAsia="zh-CN"/>
        </w:rPr>
        <w:t>招标</w:t>
      </w:r>
      <w:r>
        <w:rPr>
          <w:rFonts w:hint="eastAsia" w:ascii="仿宋" w:hAnsi="仿宋" w:eastAsia="仿宋" w:cs="仿宋"/>
          <w:color w:val="000000"/>
          <w:sz w:val="21"/>
          <w:szCs w:val="21"/>
          <w:highlight w:val="none"/>
        </w:rPr>
        <w:t>文件的要求编制完整的投标文件。投标文件应按照</w:t>
      </w:r>
      <w:r>
        <w:rPr>
          <w:rFonts w:hint="eastAsia" w:ascii="仿宋" w:hAnsi="仿宋" w:eastAsia="仿宋" w:cs="仿宋"/>
          <w:color w:val="000000"/>
          <w:sz w:val="21"/>
          <w:szCs w:val="21"/>
          <w:highlight w:val="none"/>
          <w:lang w:eastAsia="zh-CN"/>
        </w:rPr>
        <w:t>招标</w:t>
      </w:r>
      <w:r>
        <w:rPr>
          <w:rFonts w:hint="eastAsia" w:ascii="仿宋" w:hAnsi="仿宋" w:eastAsia="仿宋" w:cs="仿宋"/>
          <w:color w:val="000000"/>
          <w:sz w:val="21"/>
          <w:szCs w:val="21"/>
          <w:highlight w:val="none"/>
        </w:rPr>
        <w:t>文件中规定的统一格式填写。</w:t>
      </w:r>
    </w:p>
    <w:p w14:paraId="196CE42B">
      <w:pPr>
        <w:pStyle w:val="6"/>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lang w:val="en-US"/>
        </w:rPr>
        <w:t>3.</w:t>
      </w:r>
      <w:r>
        <w:rPr>
          <w:rFonts w:hint="eastAsia" w:ascii="仿宋" w:hAnsi="仿宋" w:eastAsia="仿宋" w:cs="仿宋"/>
          <w:color w:val="000000"/>
          <w:sz w:val="21"/>
          <w:szCs w:val="21"/>
        </w:rPr>
        <w:t>投标人必须保证投标文件所提供的全部资料真实可靠，并接受对其中任何资料进一步审查的要求。</w:t>
      </w:r>
    </w:p>
    <w:p w14:paraId="70A15B8C">
      <w:pPr>
        <w:pageBreakBefore w:val="0"/>
        <w:kinsoku/>
        <w:topLinePunct w:val="0"/>
        <w:autoSpaceDE w:val="0"/>
        <w:autoSpaceDN w:val="0"/>
        <w:bidi w:val="0"/>
        <w:adjustRightInd w:val="0"/>
        <w:snapToGrid/>
        <w:spacing w:line="360" w:lineRule="auto"/>
        <w:ind w:firstLine="210" w:firstLineChars="100"/>
        <w:jc w:val="left"/>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（三）投标报价</w:t>
      </w:r>
    </w:p>
    <w:p w14:paraId="3B709EEF">
      <w:pPr>
        <w:pageBreakBefore w:val="0"/>
        <w:kinsoku/>
        <w:topLinePunct w:val="0"/>
        <w:bidi w:val="0"/>
        <w:snapToGrid/>
        <w:spacing w:line="360" w:lineRule="auto"/>
        <w:ind w:firstLine="420" w:firstLineChars="200"/>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szCs w:val="21"/>
          <w:highlight w:val="none"/>
          <w:lang w:val="en-US" w:eastAsia="zh-CN"/>
        </w:rPr>
        <w:t>1.投标报价应按招标文件中相关附件格式填写。</w:t>
      </w:r>
    </w:p>
    <w:p w14:paraId="762E20BC">
      <w:pPr>
        <w:pageBreakBefore w:val="0"/>
        <w:kinsoku/>
        <w:topLinePunct w:val="0"/>
        <w:bidi w:val="0"/>
        <w:snapToGrid/>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招标人不接受任何选择报价，只允许一个报价。</w:t>
      </w:r>
    </w:p>
    <w:p w14:paraId="41C09C57">
      <w:pPr>
        <w:pageBreakBefore w:val="0"/>
        <w:kinsoku/>
        <w:topLinePunct w:val="0"/>
        <w:autoSpaceDE w:val="0"/>
        <w:autoSpaceDN w:val="0"/>
        <w:bidi w:val="0"/>
        <w:adjustRightInd w:val="0"/>
        <w:snapToGrid/>
        <w:spacing w:line="360" w:lineRule="auto"/>
        <w:ind w:firstLine="210" w:firstLineChars="100"/>
        <w:jc w:val="left"/>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（四）投标文件的有效期</w:t>
      </w:r>
    </w:p>
    <w:p w14:paraId="28E5B850">
      <w:pPr>
        <w:pageBreakBefore w:val="0"/>
        <w:kinsoku/>
        <w:topLinePunct w:val="0"/>
        <w:bidi w:val="0"/>
        <w:snapToGrid/>
        <w:spacing w:line="360" w:lineRule="auto"/>
        <w:ind w:firstLine="420" w:firstLineChars="200"/>
        <w:rPr>
          <w:rFonts w:hint="eastAsia" w:ascii="仿宋" w:hAnsi="仿宋" w:eastAsia="仿宋" w:cs="仿宋"/>
          <w:b w:val="0"/>
          <w:bCs/>
          <w:sz w:val="21"/>
          <w:szCs w:val="21"/>
          <w:highlight w:val="none"/>
          <w:u w:val="none"/>
        </w:rPr>
      </w:pPr>
      <w:r>
        <w:rPr>
          <w:rFonts w:hint="eastAsia" w:ascii="仿宋" w:hAnsi="仿宋" w:eastAsia="仿宋" w:cs="仿宋"/>
          <w:b w:val="0"/>
          <w:bCs/>
          <w:sz w:val="21"/>
          <w:szCs w:val="21"/>
          <w:highlight w:val="none"/>
          <w:u w:val="none"/>
          <w:lang w:val="en-US" w:eastAsia="zh-CN"/>
        </w:rPr>
        <w:t>1</w:t>
      </w:r>
      <w:r>
        <w:rPr>
          <w:rFonts w:hint="eastAsia" w:ascii="仿宋" w:hAnsi="仿宋" w:eastAsia="仿宋" w:cs="仿宋"/>
          <w:b w:val="0"/>
          <w:bCs/>
          <w:sz w:val="21"/>
          <w:szCs w:val="21"/>
          <w:highlight w:val="none"/>
          <w:u w:val="none"/>
        </w:rPr>
        <w:t>.投标文件有效期为自投标截止日起算90天。</w:t>
      </w:r>
    </w:p>
    <w:p w14:paraId="154D2CC6">
      <w:pPr>
        <w:pageBreakBefore w:val="0"/>
        <w:kinsoku/>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2.在特殊情况下，</w:t>
      </w:r>
      <w:r>
        <w:rPr>
          <w:rFonts w:hint="eastAsia" w:ascii="仿宋" w:hAnsi="仿宋" w:eastAsia="仿宋" w:cs="仿宋"/>
          <w:sz w:val="21"/>
          <w:szCs w:val="21"/>
          <w:highlight w:val="none"/>
          <w:lang w:eastAsia="zh-CN"/>
        </w:rPr>
        <w:t>招标人</w:t>
      </w:r>
      <w:r>
        <w:rPr>
          <w:rFonts w:hint="eastAsia" w:ascii="仿宋" w:hAnsi="仿宋" w:eastAsia="仿宋" w:cs="仿宋"/>
          <w:sz w:val="21"/>
          <w:szCs w:val="21"/>
          <w:highlight w:val="none"/>
        </w:rPr>
        <w:t>可与投标人协商延长投标书的有效期，这种要求和答复均以书面形式进行。</w:t>
      </w:r>
    </w:p>
    <w:p w14:paraId="14C364EC">
      <w:pPr>
        <w:pageBreakBefore w:val="0"/>
        <w:kinsoku/>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3.投标人可拒绝接受延期要求，但不能修改投标文件。</w:t>
      </w:r>
    </w:p>
    <w:p w14:paraId="3E5A372F">
      <w:pPr>
        <w:pageBreakBefore w:val="0"/>
        <w:kinsoku/>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4.中标单位的投标文件自开标之日起到项目履行完毕止均应保持有效。</w:t>
      </w:r>
    </w:p>
    <w:p w14:paraId="28993169">
      <w:pPr>
        <w:spacing w:line="360" w:lineRule="auto"/>
        <w:ind w:firstLine="420" w:firstLineChars="200"/>
        <w:rPr>
          <w:rStyle w:val="21"/>
          <w:rFonts w:hint="eastAsia" w:ascii="仿宋" w:hAnsi="仿宋" w:eastAsia="仿宋" w:cs="仿宋"/>
          <w:b/>
          <w:szCs w:val="21"/>
          <w:lang w:val="zh-CN"/>
        </w:rPr>
      </w:pPr>
      <w:r>
        <w:rPr>
          <w:rStyle w:val="21"/>
          <w:rFonts w:hint="eastAsia" w:ascii="仿宋" w:hAnsi="仿宋" w:eastAsia="仿宋" w:cs="仿宋"/>
          <w:b/>
          <w:szCs w:val="21"/>
          <w:lang w:val="zh-CN"/>
        </w:rPr>
        <w:t>（五）投标文件的编制、签署、份数</w:t>
      </w:r>
    </w:p>
    <w:p w14:paraId="4E412A77">
      <w:pPr>
        <w:wordWrap w:val="0"/>
        <w:spacing w:line="360" w:lineRule="auto"/>
        <w:ind w:firstLine="420"/>
        <w:rPr>
          <w:rStyle w:val="21"/>
          <w:rFonts w:hint="eastAsia" w:ascii="仿宋" w:hAnsi="仿宋" w:eastAsia="仿宋" w:cs="仿宋"/>
          <w:szCs w:val="21"/>
        </w:rPr>
      </w:pPr>
      <w:r>
        <w:rPr>
          <w:rStyle w:val="21"/>
          <w:rFonts w:hint="eastAsia" w:ascii="仿宋" w:hAnsi="仿宋" w:eastAsia="仿宋" w:cs="仿宋"/>
          <w:szCs w:val="21"/>
        </w:rPr>
        <w:t>1.投标文件应按政采云平台-服务中心</w:t>
      </w:r>
      <w:r>
        <w:rPr>
          <w:rStyle w:val="21"/>
          <w:rFonts w:hint="eastAsia" w:ascii="仿宋" w:hAnsi="仿宋" w:eastAsia="仿宋" w:cs="仿宋"/>
          <w:szCs w:val="21"/>
          <w:lang w:val="en-US"/>
        </w:rPr>
        <w:t>-帮助文档-公款竞争性存放-操作流程</w:t>
      </w:r>
      <w:r>
        <w:rPr>
          <w:rFonts w:hint="eastAsia" w:ascii="仿宋" w:hAnsi="仿宋" w:eastAsia="仿宋" w:cs="仿宋"/>
        </w:rPr>
        <w:fldChar w:fldCharType="begin"/>
      </w:r>
      <w:r>
        <w:rPr>
          <w:rFonts w:hint="eastAsia" w:ascii="仿宋" w:hAnsi="仿宋" w:eastAsia="仿宋" w:cs="仿宋"/>
        </w:rPr>
        <w:instrText xml:space="preserve"> HYPERLINK "https://help.zcy.gov.cn/web/site_2/2018/12-28/2573.html）及本采购文件要求制作" </w:instrText>
      </w:r>
      <w:r>
        <w:rPr>
          <w:rFonts w:hint="eastAsia" w:ascii="仿宋" w:hAnsi="仿宋" w:eastAsia="仿宋" w:cs="仿宋"/>
        </w:rPr>
        <w:fldChar w:fldCharType="separate"/>
      </w:r>
      <w:r>
        <w:rPr>
          <w:rStyle w:val="21"/>
          <w:rFonts w:hint="eastAsia" w:ascii="仿宋" w:hAnsi="仿宋" w:eastAsia="仿宋" w:cs="仿宋"/>
          <w:szCs w:val="21"/>
        </w:rPr>
        <w:t>及本招标文件要求制作</w:t>
      </w:r>
      <w:r>
        <w:rPr>
          <w:rFonts w:hint="eastAsia" w:ascii="仿宋" w:hAnsi="仿宋" w:eastAsia="仿宋" w:cs="仿宋"/>
          <w:szCs w:val="21"/>
        </w:rPr>
        <w:fldChar w:fldCharType="end"/>
      </w:r>
      <w:r>
        <w:rPr>
          <w:rStyle w:val="21"/>
          <w:rFonts w:hint="eastAsia" w:ascii="仿宋" w:hAnsi="仿宋" w:eastAsia="仿宋" w:cs="仿宋"/>
          <w:szCs w:val="21"/>
        </w:rPr>
        <w:t>。</w:t>
      </w:r>
    </w:p>
    <w:p w14:paraId="5492C0A5">
      <w:pPr>
        <w:spacing w:line="360" w:lineRule="auto"/>
        <w:ind w:firstLine="420"/>
        <w:rPr>
          <w:rStyle w:val="21"/>
          <w:rFonts w:hint="eastAsia" w:ascii="仿宋" w:hAnsi="仿宋" w:eastAsia="仿宋" w:cs="仿宋"/>
          <w:szCs w:val="21"/>
        </w:rPr>
      </w:pPr>
      <w:r>
        <w:rPr>
          <w:rStyle w:val="21"/>
          <w:rFonts w:hint="eastAsia" w:ascii="仿宋" w:hAnsi="仿宋" w:eastAsia="仿宋" w:cs="仿宋"/>
          <w:szCs w:val="21"/>
        </w:rPr>
        <w:t>2.签</w:t>
      </w:r>
      <w:r>
        <w:rPr>
          <w:rStyle w:val="21"/>
          <w:rFonts w:hint="eastAsia" w:ascii="仿宋" w:hAnsi="仿宋" w:eastAsia="仿宋" w:cs="仿宋"/>
          <w:szCs w:val="21"/>
          <w:lang w:val="zh-CN"/>
        </w:rPr>
        <w:t>署</w:t>
      </w:r>
      <w:r>
        <w:rPr>
          <w:rStyle w:val="21"/>
          <w:rFonts w:hint="eastAsia" w:ascii="仿宋" w:hAnsi="仿宋" w:eastAsia="仿宋" w:cs="仿宋"/>
          <w:szCs w:val="21"/>
        </w:rPr>
        <w:t>：投标文件中所有要求加盖公章的位置均需加盖公章。</w:t>
      </w:r>
    </w:p>
    <w:p w14:paraId="28D11644">
      <w:pPr>
        <w:spacing w:line="360" w:lineRule="auto"/>
        <w:ind w:firstLine="420"/>
        <w:rPr>
          <w:rStyle w:val="21"/>
          <w:rFonts w:hint="eastAsia" w:ascii="仿宋" w:hAnsi="仿宋" w:eastAsia="仿宋" w:cs="仿宋"/>
          <w:szCs w:val="21"/>
        </w:rPr>
      </w:pPr>
      <w:r>
        <w:rPr>
          <w:rStyle w:val="21"/>
          <w:rFonts w:hint="eastAsia" w:ascii="仿宋" w:hAnsi="仿宋" w:eastAsia="仿宋" w:cs="仿宋"/>
          <w:szCs w:val="21"/>
        </w:rPr>
        <w:t>3.份数：</w:t>
      </w:r>
    </w:p>
    <w:p w14:paraId="709DCE28">
      <w:pPr>
        <w:spacing w:line="360" w:lineRule="auto"/>
        <w:ind w:firstLine="420"/>
        <w:rPr>
          <w:rStyle w:val="21"/>
          <w:rFonts w:hint="eastAsia" w:ascii="仿宋" w:hAnsi="仿宋" w:eastAsia="仿宋" w:cs="仿宋"/>
          <w:szCs w:val="21"/>
          <w:lang w:val="zh-CN"/>
        </w:rPr>
      </w:pPr>
      <w:r>
        <w:rPr>
          <w:rStyle w:val="21"/>
          <w:rFonts w:hint="eastAsia" w:ascii="仿宋" w:hAnsi="仿宋" w:eastAsia="仿宋" w:cs="仿宋"/>
          <w:szCs w:val="21"/>
        </w:rPr>
        <w:t>（1）</w:t>
      </w:r>
      <w:r>
        <w:rPr>
          <w:rStyle w:val="21"/>
          <w:rFonts w:hint="eastAsia" w:ascii="仿宋" w:hAnsi="仿宋" w:eastAsia="仿宋" w:cs="仿宋"/>
          <w:szCs w:val="21"/>
          <w:lang w:val="zh-CN"/>
        </w:rPr>
        <w:t>“电子投标文件”：在线上传，递交一份。</w:t>
      </w:r>
    </w:p>
    <w:p w14:paraId="3B50949A">
      <w:pPr>
        <w:spacing w:line="360" w:lineRule="auto"/>
        <w:ind w:firstLine="420"/>
        <w:rPr>
          <w:rStyle w:val="21"/>
          <w:rFonts w:hint="eastAsia" w:ascii="仿宋" w:hAnsi="仿宋" w:eastAsia="仿宋" w:cs="仿宋"/>
          <w:b/>
          <w:bCs/>
          <w:szCs w:val="21"/>
          <w:lang w:val="zh-CN"/>
        </w:rPr>
      </w:pPr>
      <w:r>
        <w:rPr>
          <w:rStyle w:val="21"/>
          <w:rFonts w:hint="eastAsia" w:ascii="仿宋" w:hAnsi="仿宋" w:eastAsia="仿宋" w:cs="仿宋"/>
          <w:szCs w:val="21"/>
          <w:lang w:val="zh-CN"/>
        </w:rPr>
        <w:t>（2）</w:t>
      </w:r>
      <w:r>
        <w:rPr>
          <w:rStyle w:val="21"/>
          <w:rFonts w:hint="eastAsia" w:ascii="仿宋" w:hAnsi="仿宋" w:eastAsia="仿宋" w:cs="仿宋"/>
          <w:b/>
          <w:bCs/>
          <w:szCs w:val="21"/>
          <w:lang w:val="zh-CN"/>
        </w:rPr>
        <w:t>中标通知书发出后，中标人应当向招标代理机构提供纸质投标文件一式四份，用于招标项目文件存档。</w:t>
      </w:r>
    </w:p>
    <w:p w14:paraId="07F7B055">
      <w:pPr>
        <w:spacing w:line="360" w:lineRule="auto"/>
        <w:ind w:firstLine="420" w:firstLineChars="200"/>
        <w:rPr>
          <w:rStyle w:val="21"/>
          <w:rFonts w:hint="eastAsia" w:ascii="仿宋" w:hAnsi="仿宋" w:eastAsia="仿宋" w:cs="仿宋"/>
          <w:b/>
          <w:szCs w:val="21"/>
          <w:lang w:val="zh-CN"/>
        </w:rPr>
      </w:pPr>
      <w:r>
        <w:rPr>
          <w:rStyle w:val="21"/>
          <w:rFonts w:hint="eastAsia" w:ascii="仿宋" w:hAnsi="仿宋" w:eastAsia="仿宋" w:cs="仿宋"/>
          <w:b/>
          <w:szCs w:val="21"/>
          <w:lang w:val="zh-CN"/>
        </w:rPr>
        <w:t>（六）投标文件递交、修改（补充）和撤回</w:t>
      </w:r>
    </w:p>
    <w:p w14:paraId="33E31919">
      <w:pPr>
        <w:widowControl/>
        <w:spacing w:line="360" w:lineRule="auto"/>
        <w:ind w:firstLine="411" w:firstLineChars="196"/>
        <w:rPr>
          <w:rStyle w:val="21"/>
          <w:rFonts w:hint="eastAsia" w:ascii="仿宋" w:hAnsi="仿宋" w:eastAsia="仿宋" w:cs="仿宋"/>
          <w:b/>
          <w:bCs/>
          <w:szCs w:val="21"/>
        </w:rPr>
      </w:pPr>
      <w:r>
        <w:rPr>
          <w:rStyle w:val="21"/>
          <w:rFonts w:hint="eastAsia" w:ascii="仿宋" w:hAnsi="仿宋" w:eastAsia="仿宋" w:cs="仿宋"/>
          <w:b/>
          <w:bCs/>
          <w:szCs w:val="21"/>
        </w:rPr>
        <w:t>1.投标文件</w:t>
      </w:r>
      <w:r>
        <w:rPr>
          <w:rFonts w:hint="eastAsia" w:ascii="仿宋" w:hAnsi="仿宋" w:eastAsia="仿宋" w:cs="仿宋"/>
          <w:b/>
          <w:szCs w:val="21"/>
        </w:rPr>
        <w:t>递交（上传）</w:t>
      </w:r>
    </w:p>
    <w:p w14:paraId="4D77313F">
      <w:pPr>
        <w:widowControl/>
        <w:spacing w:line="360" w:lineRule="auto"/>
        <w:ind w:firstLine="420"/>
        <w:rPr>
          <w:rFonts w:hint="eastAsia" w:ascii="仿宋" w:hAnsi="仿宋" w:eastAsia="仿宋" w:cs="仿宋"/>
          <w:kern w:val="0"/>
          <w:szCs w:val="21"/>
        </w:rPr>
      </w:pPr>
      <w:r>
        <w:rPr>
          <w:rFonts w:hint="eastAsia" w:ascii="仿宋" w:hAnsi="仿宋" w:eastAsia="仿宋" w:cs="仿宋"/>
          <w:kern w:val="0"/>
          <w:szCs w:val="21"/>
        </w:rPr>
        <w:t>1.1</w:t>
      </w:r>
      <w:r>
        <w:rPr>
          <w:rFonts w:hint="eastAsia" w:ascii="仿宋" w:hAnsi="仿宋" w:eastAsia="仿宋" w:cs="仿宋"/>
          <w:b/>
          <w:bCs/>
          <w:kern w:val="0"/>
          <w:szCs w:val="21"/>
          <w:lang w:eastAsia="zh-CN"/>
        </w:rPr>
        <w:t>电子投标文件</w:t>
      </w:r>
      <w:r>
        <w:rPr>
          <w:rFonts w:hint="eastAsia" w:ascii="仿宋" w:hAnsi="仿宋" w:eastAsia="仿宋" w:cs="仿宋"/>
          <w:b/>
          <w:bCs/>
          <w:kern w:val="0"/>
          <w:szCs w:val="21"/>
        </w:rPr>
        <w:t>：</w:t>
      </w:r>
      <w:r>
        <w:rPr>
          <w:rFonts w:hint="eastAsia" w:ascii="仿宋" w:hAnsi="仿宋" w:eastAsia="仿宋" w:cs="仿宋"/>
          <w:kern w:val="0"/>
          <w:szCs w:val="21"/>
        </w:rPr>
        <w:t>投标人应当于投标文件提交截止时间前</w:t>
      </w:r>
      <w:r>
        <w:rPr>
          <w:rFonts w:hint="eastAsia" w:ascii="仿宋" w:hAnsi="仿宋" w:eastAsia="仿宋" w:cs="仿宋"/>
          <w:szCs w:val="21"/>
        </w:rPr>
        <w:t>通过“政采云电子投标客户端”上传至政采云平台</w:t>
      </w:r>
      <w:r>
        <w:rPr>
          <w:rFonts w:hint="eastAsia" w:ascii="仿宋" w:hAnsi="仿宋" w:eastAsia="仿宋" w:cs="仿宋"/>
          <w:kern w:val="0"/>
          <w:szCs w:val="21"/>
        </w:rPr>
        <w:t>上</w:t>
      </w:r>
      <w:r>
        <w:rPr>
          <w:rFonts w:hint="eastAsia" w:ascii="仿宋" w:hAnsi="仿宋" w:eastAsia="仿宋" w:cs="仿宋"/>
          <w:b/>
          <w:bCs/>
          <w:kern w:val="0"/>
          <w:szCs w:val="21"/>
        </w:rPr>
        <w:t>。（逾期上传的投标文件将被拒收）</w:t>
      </w:r>
    </w:p>
    <w:p w14:paraId="444E1F10">
      <w:pPr>
        <w:spacing w:line="360" w:lineRule="auto"/>
        <w:ind w:firstLine="420"/>
        <w:rPr>
          <w:rFonts w:hint="eastAsia" w:ascii="仿宋" w:hAnsi="仿宋" w:eastAsia="仿宋" w:cs="仿宋"/>
          <w:b w:val="0"/>
          <w:bCs w:val="0"/>
          <w:color w:val="000000"/>
          <w:szCs w:val="21"/>
          <w:lang w:val="zh-CN"/>
        </w:rPr>
      </w:pPr>
      <w:r>
        <w:rPr>
          <w:rFonts w:hint="eastAsia" w:ascii="仿宋" w:hAnsi="仿宋" w:eastAsia="仿宋" w:cs="仿宋"/>
          <w:b w:val="0"/>
          <w:bCs w:val="0"/>
          <w:color w:val="000000"/>
          <w:szCs w:val="21"/>
          <w:lang w:val="en-US" w:eastAsia="zh-CN"/>
        </w:rPr>
        <w:t>1.2</w:t>
      </w:r>
      <w:r>
        <w:rPr>
          <w:rFonts w:hint="eastAsia" w:ascii="仿宋" w:hAnsi="仿宋" w:eastAsia="仿宋" w:cs="仿宋"/>
          <w:b w:val="0"/>
          <w:bCs w:val="0"/>
          <w:color w:val="000000"/>
          <w:szCs w:val="21"/>
          <w:lang w:val="zh-CN"/>
        </w:rPr>
        <w:t>本次招标活动采用电子交易，实行网上交易（非现场方式实施）。投标人代表无需到达现场，但需保证开标、评审过程中招标代理机构能够随时与其代表人取得联系，直至评审结束。</w:t>
      </w:r>
    </w:p>
    <w:p w14:paraId="162104EC">
      <w:pPr>
        <w:spacing w:line="360" w:lineRule="auto"/>
        <w:ind w:firstLine="420"/>
        <w:rPr>
          <w:rStyle w:val="21"/>
          <w:rFonts w:hint="eastAsia" w:ascii="仿宋" w:hAnsi="仿宋" w:eastAsia="仿宋" w:cs="仿宋"/>
          <w:szCs w:val="21"/>
        </w:rPr>
      </w:pPr>
      <w:r>
        <w:rPr>
          <w:rStyle w:val="21"/>
          <w:rFonts w:hint="eastAsia" w:ascii="仿宋" w:hAnsi="仿宋" w:eastAsia="仿宋" w:cs="仿宋"/>
          <w:szCs w:val="21"/>
        </w:rPr>
        <w:t>2.修改（补充）和撤回：</w:t>
      </w:r>
    </w:p>
    <w:p w14:paraId="767BC612">
      <w:pPr>
        <w:pageBreakBefore w:val="0"/>
        <w:kinsoku/>
        <w:topLinePunct w:val="0"/>
        <w:bidi w:val="0"/>
        <w:snapToGrid/>
        <w:spacing w:line="360" w:lineRule="auto"/>
        <w:ind w:firstLine="420" w:firstLineChars="200"/>
        <w:rPr>
          <w:rStyle w:val="21"/>
          <w:rFonts w:hint="eastAsia" w:ascii="仿宋" w:hAnsi="仿宋" w:eastAsia="仿宋" w:cs="仿宋"/>
          <w:szCs w:val="21"/>
        </w:rPr>
      </w:pPr>
      <w:r>
        <w:rPr>
          <w:rStyle w:val="21"/>
          <w:rFonts w:hint="eastAsia" w:ascii="仿宋" w:hAnsi="仿宋" w:eastAsia="仿宋" w:cs="仿宋"/>
          <w:szCs w:val="21"/>
        </w:rPr>
        <w:t>2.1投标截止时间前可以补充、修改或撤回投标文件。补充或者修改投标文件的，应当先行撤回原文件，补充、修改后重新提交。投标截止时间前未完成提交的，视为撤回投标文件。</w:t>
      </w:r>
    </w:p>
    <w:p w14:paraId="63AAC98B">
      <w:pPr>
        <w:pageBreakBefore w:val="0"/>
        <w:kinsoku/>
        <w:topLinePunct w:val="0"/>
        <w:bidi w:val="0"/>
        <w:snapToGrid/>
        <w:spacing w:line="360" w:lineRule="auto"/>
        <w:ind w:firstLine="420" w:firstLineChars="200"/>
        <w:rPr>
          <w:rFonts w:hint="eastAsia" w:ascii="仿宋" w:hAnsi="仿宋" w:eastAsia="仿宋" w:cs="仿宋"/>
          <w:szCs w:val="21"/>
        </w:rPr>
      </w:pPr>
      <w:r>
        <w:rPr>
          <w:rStyle w:val="21"/>
          <w:rFonts w:hint="eastAsia" w:ascii="仿宋" w:hAnsi="仿宋" w:eastAsia="仿宋" w:cs="仿宋"/>
          <w:szCs w:val="21"/>
        </w:rPr>
        <w:t>2.2投标截止时间后，投标人不得修改（补充）或撤回其投标文件。</w:t>
      </w:r>
    </w:p>
    <w:p w14:paraId="33FA2B26">
      <w:pPr>
        <w:pageBreakBefore w:val="0"/>
        <w:kinsoku/>
        <w:topLinePunct w:val="0"/>
        <w:autoSpaceDE w:val="0"/>
        <w:autoSpaceDN w:val="0"/>
        <w:bidi w:val="0"/>
        <w:adjustRightInd w:val="0"/>
        <w:snapToGrid/>
        <w:spacing w:line="360" w:lineRule="auto"/>
        <w:ind w:firstLine="315" w:firstLineChars="150"/>
        <w:jc w:val="left"/>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（七）</w:t>
      </w:r>
      <w:bookmarkStart w:id="45" w:name="_Toc527272918"/>
      <w:r>
        <w:rPr>
          <w:rFonts w:hint="eastAsia" w:ascii="仿宋" w:hAnsi="仿宋" w:eastAsia="仿宋" w:cs="仿宋"/>
          <w:b/>
          <w:sz w:val="21"/>
          <w:szCs w:val="21"/>
          <w:highlight w:val="none"/>
          <w:lang w:val="zh-CN"/>
        </w:rPr>
        <w:t xml:space="preserve"> 开标程序</w:t>
      </w:r>
    </w:p>
    <w:p w14:paraId="2516E39E">
      <w:pPr>
        <w:spacing w:line="360" w:lineRule="auto"/>
        <w:ind w:firstLine="420"/>
        <w:rPr>
          <w:rFonts w:hint="eastAsia" w:ascii="仿宋" w:hAnsi="仿宋" w:eastAsia="仿宋" w:cs="仿宋"/>
          <w:szCs w:val="21"/>
        </w:rPr>
      </w:pPr>
      <w:bookmarkStart w:id="46" w:name="_Toc25627"/>
      <w:bookmarkStart w:id="47" w:name="_Toc26334"/>
      <w:bookmarkStart w:id="48" w:name="_Toc15890"/>
      <w:bookmarkStart w:id="49" w:name="_Toc32499"/>
      <w:bookmarkStart w:id="50" w:name="_Toc1469"/>
      <w:bookmarkStart w:id="51" w:name="_Toc23254"/>
      <w:r>
        <w:rPr>
          <w:rFonts w:hint="eastAsia" w:ascii="仿宋" w:hAnsi="仿宋" w:eastAsia="仿宋" w:cs="仿宋"/>
          <w:szCs w:val="21"/>
        </w:rPr>
        <w:t>1.</w:t>
      </w:r>
      <w:r>
        <w:rPr>
          <w:rFonts w:hint="eastAsia" w:ascii="仿宋" w:hAnsi="仿宋" w:eastAsia="仿宋" w:cs="仿宋"/>
          <w:szCs w:val="21"/>
          <w:lang w:eastAsia="zh-CN"/>
        </w:rPr>
        <w:t>招标代理机构开启投标文件，</w:t>
      </w:r>
      <w:r>
        <w:rPr>
          <w:rFonts w:hint="eastAsia" w:ascii="仿宋" w:hAnsi="仿宋" w:eastAsia="仿宋" w:cs="仿宋"/>
          <w:szCs w:val="21"/>
        </w:rPr>
        <w:t>评标委员会对</w:t>
      </w:r>
      <w:r>
        <w:rPr>
          <w:rFonts w:hint="eastAsia" w:ascii="仿宋" w:hAnsi="仿宋" w:eastAsia="仿宋" w:cs="仿宋"/>
          <w:szCs w:val="21"/>
          <w:lang w:eastAsia="zh-CN"/>
        </w:rPr>
        <w:t>投标文件</w:t>
      </w:r>
      <w:r>
        <w:rPr>
          <w:rFonts w:hint="eastAsia" w:ascii="仿宋" w:hAnsi="仿宋" w:eastAsia="仿宋" w:cs="仿宋"/>
          <w:szCs w:val="21"/>
        </w:rPr>
        <w:t>进行评审，评审内容包括符合性审查，技术、商务评估及比较等。</w:t>
      </w:r>
    </w:p>
    <w:p w14:paraId="2147967A">
      <w:pPr>
        <w:spacing w:line="360" w:lineRule="auto"/>
        <w:ind w:firstLine="420"/>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.在系统上公开评审结果，如对</w:t>
      </w:r>
      <w:r>
        <w:rPr>
          <w:rFonts w:hint="eastAsia" w:ascii="仿宋" w:hAnsi="仿宋" w:eastAsia="仿宋" w:cs="仿宋"/>
          <w:szCs w:val="21"/>
          <w:lang w:eastAsia="zh-CN"/>
        </w:rPr>
        <w:t>评</w:t>
      </w:r>
      <w:r>
        <w:rPr>
          <w:rFonts w:hint="eastAsia" w:ascii="仿宋" w:hAnsi="仿宋" w:eastAsia="仿宋" w:cs="仿宋"/>
          <w:szCs w:val="21"/>
          <w:lang w:val="en-US" w:eastAsia="zh-CN"/>
        </w:rPr>
        <w:t>审</w:t>
      </w:r>
      <w:r>
        <w:rPr>
          <w:rFonts w:hint="eastAsia" w:ascii="仿宋" w:hAnsi="仿宋" w:eastAsia="仿宋" w:cs="仿宋"/>
          <w:szCs w:val="21"/>
        </w:rPr>
        <w:t>结果有异议的，投标人应当在结果公布后10分钟内提出；相关异议（如有）将由评标委员会作澄清；</w:t>
      </w:r>
    </w:p>
    <w:p w14:paraId="7761A0D2">
      <w:pPr>
        <w:spacing w:line="360" w:lineRule="auto"/>
        <w:ind w:firstLine="420"/>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.评标委员会编写并签署评标报告，评标报告应当根据综合得分由高到低列明投标人排名情况，推荐中标候选人；</w:t>
      </w:r>
    </w:p>
    <w:p w14:paraId="32432DA9">
      <w:pPr>
        <w:spacing w:line="360" w:lineRule="auto"/>
        <w:ind w:firstLine="420"/>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w:t>
      </w:r>
      <w:r>
        <w:rPr>
          <w:rFonts w:hint="eastAsia" w:ascii="仿宋" w:hAnsi="仿宋" w:eastAsia="仿宋" w:cs="仿宋"/>
          <w:szCs w:val="21"/>
          <w:lang w:eastAsia="zh-CN"/>
        </w:rPr>
        <w:t>招标代理机构</w:t>
      </w:r>
      <w:r>
        <w:rPr>
          <w:rFonts w:hint="eastAsia" w:ascii="仿宋" w:hAnsi="仿宋" w:eastAsia="仿宋" w:cs="仿宋"/>
          <w:szCs w:val="21"/>
        </w:rPr>
        <w:t>公布最终评审结果并出具开标记录，</w:t>
      </w:r>
      <w:r>
        <w:rPr>
          <w:rFonts w:hint="eastAsia" w:ascii="仿宋" w:hAnsi="仿宋" w:eastAsia="仿宋" w:cs="仿宋"/>
          <w:szCs w:val="21"/>
          <w:lang w:eastAsia="zh-CN"/>
        </w:rPr>
        <w:t>相关人员</w:t>
      </w:r>
      <w:r>
        <w:rPr>
          <w:rFonts w:hint="eastAsia" w:ascii="仿宋" w:hAnsi="仿宋" w:eastAsia="仿宋" w:cs="仿宋"/>
          <w:szCs w:val="21"/>
        </w:rPr>
        <w:t>当场签字确认；</w:t>
      </w:r>
    </w:p>
    <w:p w14:paraId="50036CC5">
      <w:pPr>
        <w:spacing w:line="360" w:lineRule="auto"/>
        <w:ind w:firstLine="420"/>
        <w:rPr>
          <w:rFonts w:hint="eastAsia"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.开评标会议结束。</w:t>
      </w:r>
    </w:p>
    <w:p w14:paraId="2CFE1B7F">
      <w:pPr>
        <w:pageBreakBefore w:val="0"/>
        <w:kinsoku/>
        <w:topLinePunct w:val="0"/>
        <w:bidi w:val="0"/>
        <w:snapToGrid/>
        <w:spacing w:line="360" w:lineRule="auto"/>
        <w:ind w:firstLine="420" w:firstLineChars="200"/>
        <w:rPr>
          <w:rFonts w:hint="eastAsia" w:ascii="仿宋" w:hAnsi="仿宋" w:eastAsia="仿宋" w:cs="仿宋"/>
          <w:b/>
          <w:bCs/>
          <w:szCs w:val="21"/>
        </w:rPr>
      </w:pPr>
      <w:r>
        <w:rPr>
          <w:rFonts w:hint="eastAsia" w:ascii="仿宋" w:hAnsi="仿宋" w:eastAsia="仿宋" w:cs="仿宋"/>
          <w:b/>
          <w:bCs/>
          <w:szCs w:val="21"/>
        </w:rPr>
        <w:t>特别说明：如“政采云”系统对电子化开标及评审程序有调整的，按调整后的程序操作。</w:t>
      </w:r>
    </w:p>
    <w:p w14:paraId="52B7CADD">
      <w:pPr>
        <w:pageBreakBefore w:val="0"/>
        <w:kinsoku/>
        <w:topLinePunct w:val="0"/>
        <w:bidi w:val="0"/>
        <w:snapToGrid/>
        <w:spacing w:line="360" w:lineRule="auto"/>
        <w:ind w:firstLine="420" w:firstLineChars="200"/>
        <w:rPr>
          <w:rFonts w:hint="eastAsia" w:ascii="仿宋" w:hAnsi="仿宋" w:eastAsia="仿宋" w:cs="仿宋"/>
          <w:b/>
          <w:bCs/>
          <w:szCs w:val="21"/>
        </w:rPr>
      </w:pPr>
      <w:r>
        <w:rPr>
          <w:rFonts w:hint="eastAsia" w:ascii="仿宋" w:hAnsi="仿宋" w:eastAsia="仿宋" w:cs="仿宋"/>
          <w:b/>
          <w:bCs/>
          <w:szCs w:val="21"/>
        </w:rPr>
        <w:t>注：本项目采用政采云电子招投标开标及评审程序，</w:t>
      </w:r>
      <w:r>
        <w:rPr>
          <w:rFonts w:hint="eastAsia" w:ascii="仿宋" w:hAnsi="仿宋" w:eastAsia="仿宋" w:cs="仿宋"/>
          <w:b/>
          <w:bCs/>
          <w:szCs w:val="21"/>
          <w:lang w:eastAsia="zh-CN"/>
        </w:rPr>
        <w:t>招标</w:t>
      </w:r>
      <w:r>
        <w:rPr>
          <w:rFonts w:hint="eastAsia" w:ascii="仿宋" w:hAnsi="仿宋" w:eastAsia="仿宋" w:cs="仿宋"/>
          <w:b/>
          <w:bCs/>
          <w:szCs w:val="21"/>
        </w:rPr>
        <w:t>过程中出现以下情形，导致电子交易平台无法正常运行，或者无法保证电子交易的公平、公正和安全时，</w:t>
      </w:r>
      <w:r>
        <w:rPr>
          <w:rFonts w:hint="eastAsia" w:ascii="仿宋" w:hAnsi="仿宋" w:eastAsia="仿宋" w:cs="仿宋"/>
          <w:b/>
          <w:bCs/>
          <w:szCs w:val="21"/>
          <w:lang w:eastAsia="zh-CN"/>
        </w:rPr>
        <w:t>招标代理机构</w:t>
      </w:r>
      <w:r>
        <w:rPr>
          <w:rFonts w:hint="eastAsia" w:ascii="仿宋" w:hAnsi="仿宋" w:eastAsia="仿宋" w:cs="仿宋"/>
          <w:b/>
          <w:bCs/>
          <w:szCs w:val="21"/>
        </w:rPr>
        <w:t>可中止电子交易活动：</w:t>
      </w:r>
    </w:p>
    <w:p w14:paraId="05A18C4E">
      <w:pPr>
        <w:pageBreakBefore w:val="0"/>
        <w:kinsoku/>
        <w:topLinePunct w:val="0"/>
        <w:bidi w:val="0"/>
        <w:snapToGrid/>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（一）电子交易平台发生故障而无法登录访问的； </w:t>
      </w:r>
    </w:p>
    <w:p w14:paraId="7C5EA6AA">
      <w:pPr>
        <w:pageBreakBefore w:val="0"/>
        <w:kinsoku/>
        <w:topLinePunct w:val="0"/>
        <w:bidi w:val="0"/>
        <w:snapToGrid/>
        <w:spacing w:line="360" w:lineRule="auto"/>
        <w:ind w:firstLine="420" w:firstLineChars="200"/>
        <w:rPr>
          <w:rFonts w:hint="eastAsia" w:ascii="仿宋" w:hAnsi="仿宋" w:eastAsia="仿宋" w:cs="仿宋"/>
          <w:szCs w:val="21"/>
        </w:rPr>
      </w:pPr>
      <w:r>
        <w:rPr>
          <w:rFonts w:hint="eastAsia" w:ascii="仿宋" w:hAnsi="仿宋" w:eastAsia="仿宋" w:cs="仿宋"/>
          <w:szCs w:val="21"/>
        </w:rPr>
        <w:t>（二）电子交易平台应用或数据库出现错误，不能进行正常操作的；</w:t>
      </w:r>
    </w:p>
    <w:p w14:paraId="492B0800">
      <w:pPr>
        <w:pageBreakBefore w:val="0"/>
        <w:kinsoku/>
        <w:topLinePunct w:val="0"/>
        <w:bidi w:val="0"/>
        <w:snapToGrid/>
        <w:spacing w:line="360" w:lineRule="auto"/>
        <w:ind w:firstLine="420" w:firstLineChars="200"/>
        <w:rPr>
          <w:rFonts w:hint="eastAsia" w:ascii="仿宋" w:hAnsi="仿宋" w:eastAsia="仿宋" w:cs="仿宋"/>
          <w:szCs w:val="21"/>
        </w:rPr>
      </w:pPr>
      <w:r>
        <w:rPr>
          <w:rFonts w:hint="eastAsia" w:ascii="仿宋" w:hAnsi="仿宋" w:eastAsia="仿宋" w:cs="仿宋"/>
          <w:szCs w:val="21"/>
        </w:rPr>
        <w:t>（三）电子交易平台发现严重安全漏洞，有潜在泄密危险的；</w:t>
      </w:r>
    </w:p>
    <w:p w14:paraId="6D973A3B">
      <w:pPr>
        <w:pageBreakBefore w:val="0"/>
        <w:kinsoku/>
        <w:topLinePunct w:val="0"/>
        <w:bidi w:val="0"/>
        <w:snapToGrid/>
        <w:spacing w:line="360" w:lineRule="auto"/>
        <w:ind w:firstLine="420" w:firstLineChars="200"/>
        <w:rPr>
          <w:rFonts w:hint="eastAsia" w:ascii="仿宋" w:hAnsi="仿宋" w:eastAsia="仿宋" w:cs="仿宋"/>
          <w:szCs w:val="21"/>
        </w:rPr>
      </w:pPr>
      <w:r>
        <w:rPr>
          <w:rFonts w:hint="eastAsia" w:ascii="仿宋" w:hAnsi="仿宋" w:eastAsia="仿宋" w:cs="仿宋"/>
          <w:szCs w:val="21"/>
        </w:rPr>
        <w:t>（四）病毒发作导致不能进行正常操作的；</w:t>
      </w:r>
    </w:p>
    <w:p w14:paraId="0E8E5A39">
      <w:pPr>
        <w:pageBreakBefore w:val="0"/>
        <w:kinsoku/>
        <w:topLinePunct w:val="0"/>
        <w:bidi w:val="0"/>
        <w:snapToGrid/>
        <w:spacing w:line="360" w:lineRule="auto"/>
        <w:ind w:firstLine="420" w:firstLineChars="200"/>
        <w:rPr>
          <w:rFonts w:hint="eastAsia" w:ascii="仿宋" w:hAnsi="仿宋" w:eastAsia="仿宋" w:cs="仿宋"/>
          <w:szCs w:val="21"/>
        </w:rPr>
      </w:pPr>
      <w:r>
        <w:rPr>
          <w:rFonts w:hint="eastAsia" w:ascii="仿宋" w:hAnsi="仿宋" w:eastAsia="仿宋" w:cs="仿宋"/>
          <w:szCs w:val="21"/>
        </w:rPr>
        <w:t>（五）其他无法保证电子交易的公平、公正和安全的情况。</w:t>
      </w:r>
    </w:p>
    <w:p w14:paraId="17C56780">
      <w:pPr>
        <w:pageBreakBefore w:val="0"/>
        <w:kinsoku/>
        <w:topLinePunct w:val="0"/>
        <w:bidi w:val="0"/>
        <w:snapToGrid/>
        <w:spacing w:line="360" w:lineRule="auto"/>
        <w:ind w:firstLine="420" w:firstLineChars="200"/>
        <w:rPr>
          <w:rFonts w:hint="eastAsia" w:ascii="仿宋" w:hAnsi="仿宋" w:eastAsia="仿宋" w:cs="仿宋"/>
          <w:b/>
          <w:szCs w:val="21"/>
        </w:rPr>
      </w:pPr>
      <w:r>
        <w:rPr>
          <w:rFonts w:hint="eastAsia" w:ascii="仿宋" w:hAnsi="仿宋" w:eastAsia="仿宋" w:cs="仿宋"/>
          <w:b/>
          <w:szCs w:val="21"/>
        </w:rPr>
        <w:t>出现前款规定情形，不影响</w:t>
      </w:r>
      <w:r>
        <w:rPr>
          <w:rFonts w:hint="eastAsia" w:ascii="仿宋" w:hAnsi="仿宋" w:eastAsia="仿宋" w:cs="仿宋"/>
          <w:b/>
          <w:szCs w:val="21"/>
          <w:lang w:eastAsia="zh-CN"/>
        </w:rPr>
        <w:t>招标</w:t>
      </w:r>
      <w:r>
        <w:rPr>
          <w:rFonts w:hint="eastAsia" w:ascii="仿宋" w:hAnsi="仿宋" w:eastAsia="仿宋" w:cs="仿宋"/>
          <w:b/>
          <w:szCs w:val="21"/>
        </w:rPr>
        <w:t>公平、公正性的，</w:t>
      </w:r>
      <w:r>
        <w:rPr>
          <w:rFonts w:hint="eastAsia" w:ascii="仿宋" w:hAnsi="仿宋" w:eastAsia="仿宋" w:cs="仿宋"/>
          <w:b/>
          <w:szCs w:val="21"/>
          <w:lang w:eastAsia="zh-CN"/>
        </w:rPr>
        <w:t>招标代理机构</w:t>
      </w:r>
      <w:r>
        <w:rPr>
          <w:rFonts w:hint="eastAsia" w:ascii="仿宋" w:hAnsi="仿宋" w:eastAsia="仿宋" w:cs="仿宋"/>
          <w:b/>
          <w:szCs w:val="21"/>
        </w:rPr>
        <w:t>可以待上述情形消除后继续组织电子交易活动。</w:t>
      </w:r>
    </w:p>
    <w:p w14:paraId="5AAD15E4">
      <w:pPr>
        <w:pStyle w:val="4"/>
        <w:pageBreakBefore w:val="0"/>
        <w:kinsoku/>
        <w:topLinePunct w:val="0"/>
        <w:bidi w:val="0"/>
        <w:snapToGrid/>
        <w:spacing w:before="0" w:after="0" w:line="360" w:lineRule="auto"/>
        <w:jc w:val="left"/>
        <w:rPr>
          <w:rFonts w:hint="eastAsia" w:ascii="仿宋" w:hAnsi="仿宋" w:eastAsia="仿宋" w:cs="仿宋"/>
          <w:bCs w:val="0"/>
          <w:sz w:val="21"/>
          <w:szCs w:val="21"/>
          <w:highlight w:val="none"/>
          <w:lang w:val="zh-CN"/>
        </w:rPr>
      </w:pPr>
      <w:bookmarkStart w:id="52" w:name="_Toc100"/>
      <w:r>
        <w:rPr>
          <w:rFonts w:hint="eastAsia" w:ascii="仿宋" w:hAnsi="仿宋" w:eastAsia="仿宋" w:cs="仿宋"/>
          <w:bCs w:val="0"/>
          <w:sz w:val="21"/>
          <w:szCs w:val="21"/>
          <w:highlight w:val="none"/>
          <w:lang w:val="zh-CN"/>
        </w:rPr>
        <w:t>四、评标</w:t>
      </w:r>
      <w:bookmarkEnd w:id="45"/>
      <w:bookmarkEnd w:id="46"/>
      <w:bookmarkEnd w:id="47"/>
      <w:bookmarkEnd w:id="48"/>
      <w:bookmarkEnd w:id="49"/>
      <w:bookmarkEnd w:id="50"/>
      <w:bookmarkEnd w:id="51"/>
      <w:bookmarkEnd w:id="52"/>
    </w:p>
    <w:p w14:paraId="44ECBC39">
      <w:pPr>
        <w:pageBreakBefore w:val="0"/>
        <w:kinsoku/>
        <w:topLinePunct w:val="0"/>
        <w:autoSpaceDE w:val="0"/>
        <w:autoSpaceDN w:val="0"/>
        <w:bidi w:val="0"/>
        <w:adjustRightInd w:val="0"/>
        <w:snapToGrid/>
        <w:spacing w:line="360" w:lineRule="auto"/>
        <w:ind w:firstLine="315" w:firstLineChars="150"/>
        <w:jc w:val="left"/>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（一）组建评标委员会</w:t>
      </w:r>
    </w:p>
    <w:p w14:paraId="1ABB19B2">
      <w:pPr>
        <w:pStyle w:val="7"/>
        <w:pageBreakBefore w:val="0"/>
        <w:kinsoku/>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评标委员会由</w:t>
      </w:r>
      <w:r>
        <w:rPr>
          <w:rFonts w:hint="eastAsia" w:ascii="仿宋" w:hAnsi="仿宋" w:eastAsia="仿宋" w:cs="仿宋"/>
          <w:sz w:val="21"/>
          <w:szCs w:val="21"/>
          <w:highlight w:val="none"/>
          <w:lang w:val="en-US" w:eastAsia="zh-CN"/>
        </w:rPr>
        <w:t>2名招标人代表及3</w:t>
      </w:r>
      <w:r>
        <w:rPr>
          <w:rFonts w:hint="eastAsia" w:ascii="仿宋" w:hAnsi="仿宋" w:eastAsia="仿宋" w:cs="仿宋"/>
          <w:sz w:val="21"/>
          <w:szCs w:val="21"/>
          <w:highlight w:val="none"/>
        </w:rPr>
        <w:t>名</w:t>
      </w:r>
      <w:r>
        <w:rPr>
          <w:rFonts w:hint="eastAsia" w:ascii="仿宋" w:hAnsi="仿宋" w:eastAsia="仿宋" w:cs="仿宋"/>
          <w:sz w:val="21"/>
          <w:szCs w:val="21"/>
          <w:highlight w:val="none"/>
          <w:lang w:eastAsia="zh-CN"/>
        </w:rPr>
        <w:t>评审</w:t>
      </w:r>
      <w:r>
        <w:rPr>
          <w:rFonts w:hint="eastAsia" w:ascii="仿宋" w:hAnsi="仿宋" w:eastAsia="仿宋" w:cs="仿宋"/>
          <w:sz w:val="21"/>
          <w:szCs w:val="21"/>
          <w:highlight w:val="none"/>
        </w:rPr>
        <w:t>专家组成。</w:t>
      </w:r>
    </w:p>
    <w:p w14:paraId="3D6E3D61">
      <w:pPr>
        <w:spacing w:line="360" w:lineRule="auto"/>
        <w:ind w:firstLine="420"/>
        <w:rPr>
          <w:rFonts w:hint="eastAsia" w:ascii="仿宋" w:hAnsi="仿宋" w:eastAsia="仿宋" w:cs="仿宋"/>
          <w:szCs w:val="21"/>
        </w:rPr>
      </w:pPr>
      <w:r>
        <w:rPr>
          <w:rFonts w:hint="eastAsia" w:ascii="仿宋" w:hAnsi="仿宋" w:eastAsia="仿宋" w:cs="仿宋"/>
          <w:szCs w:val="21"/>
        </w:rPr>
        <w:t>评审专家确定方式：按规定从常山县公款竞争性存放评委库中随机抽取。</w:t>
      </w:r>
    </w:p>
    <w:p w14:paraId="21DBCD7E">
      <w:pPr>
        <w:pStyle w:val="7"/>
        <w:keepNext w:val="0"/>
        <w:keepLines w:val="0"/>
        <w:pageBreakBefore w:val="0"/>
        <w:kinsoku/>
        <w:wordWrap/>
        <w:topLinePunct w:val="0"/>
        <w:bidi w:val="0"/>
        <w:snapToGrid/>
        <w:spacing w:line="360" w:lineRule="auto"/>
        <w:ind w:firstLine="420" w:firstLineChars="200"/>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（二）评标的方式</w:t>
      </w:r>
    </w:p>
    <w:p w14:paraId="2E77BC08">
      <w:pPr>
        <w:pStyle w:val="7"/>
        <w:keepNext w:val="0"/>
        <w:keepLines w:val="0"/>
        <w:pageBreakBefore w:val="0"/>
        <w:widowControl/>
        <w:kinsoku/>
        <w:wordWrap/>
        <w:overflowPunct w:val="0"/>
        <w:topLinePunct w:val="0"/>
        <w:autoSpaceDE w:val="0"/>
        <w:autoSpaceDN w:val="0"/>
        <w:bidi w:val="0"/>
        <w:adjustRightInd w:val="0"/>
        <w:snapToGrid/>
        <w:spacing w:line="360" w:lineRule="auto"/>
        <w:ind w:left="0" w:leftChars="0" w:firstLine="420" w:firstLineChars="200"/>
        <w:textAlignment w:val="baseline"/>
        <w:rPr>
          <w:rFonts w:hint="eastAsia" w:ascii="仿宋" w:hAnsi="仿宋" w:eastAsia="仿宋" w:cs="仿宋"/>
          <w:b w:val="0"/>
          <w:bCs w:val="0"/>
          <w:sz w:val="21"/>
          <w:szCs w:val="21"/>
          <w:highlight w:val="none"/>
        </w:rPr>
      </w:pPr>
      <w:r>
        <w:rPr>
          <w:rFonts w:hint="eastAsia" w:ascii="仿宋" w:hAnsi="仿宋" w:eastAsia="仿宋" w:cs="仿宋"/>
          <w:sz w:val="21"/>
          <w:szCs w:val="21"/>
          <w:highlight w:val="none"/>
        </w:rPr>
        <w:t>本项目采用不公开方式评标，评标的依据为</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投标文件</w:t>
      </w:r>
      <w:r>
        <w:rPr>
          <w:rFonts w:hint="eastAsia" w:ascii="仿宋" w:hAnsi="仿宋" w:eastAsia="仿宋" w:cs="仿宋"/>
          <w:sz w:val="21"/>
          <w:szCs w:val="21"/>
          <w:highlight w:val="none"/>
          <w:lang w:eastAsia="zh-CN"/>
        </w:rPr>
        <w:t>以及</w:t>
      </w:r>
      <w:r>
        <w:rPr>
          <w:rFonts w:hint="eastAsia" w:ascii="仿宋" w:hAnsi="仿宋" w:eastAsia="仿宋" w:cs="仿宋"/>
          <w:b w:val="0"/>
          <w:bCs w:val="0"/>
          <w:color w:val="auto"/>
          <w:kern w:val="0"/>
          <w:sz w:val="21"/>
          <w:szCs w:val="21"/>
          <w:highlight w:val="none"/>
          <w:lang w:eastAsia="zh-CN"/>
        </w:rPr>
        <w:t>由招标单位向相关部门获取后统一提供的相关数据</w:t>
      </w:r>
      <w:r>
        <w:rPr>
          <w:rFonts w:hint="eastAsia" w:ascii="仿宋" w:hAnsi="仿宋" w:eastAsia="仿宋" w:cs="仿宋"/>
          <w:b w:val="0"/>
          <w:bCs w:val="0"/>
          <w:sz w:val="21"/>
          <w:szCs w:val="21"/>
          <w:highlight w:val="none"/>
        </w:rPr>
        <w:t>。</w:t>
      </w:r>
    </w:p>
    <w:p w14:paraId="31BE528B">
      <w:pPr>
        <w:keepNext w:val="0"/>
        <w:keepLines w:val="0"/>
        <w:pageBreakBefore w:val="0"/>
        <w:kinsoku/>
        <w:wordWrap/>
        <w:topLinePunct w:val="0"/>
        <w:autoSpaceDE w:val="0"/>
        <w:autoSpaceDN w:val="0"/>
        <w:bidi w:val="0"/>
        <w:adjustRightInd w:val="0"/>
        <w:snapToGrid/>
        <w:spacing w:line="360" w:lineRule="auto"/>
        <w:ind w:firstLine="315" w:firstLineChars="150"/>
        <w:jc w:val="left"/>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（三）澄清问题的形式</w:t>
      </w:r>
    </w:p>
    <w:p w14:paraId="27346051">
      <w:pPr>
        <w:keepNext w:val="0"/>
        <w:keepLines w:val="0"/>
        <w:pageBreakBefore w:val="0"/>
        <w:kinsoku/>
        <w:wordWrap/>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16654734">
      <w:pPr>
        <w:keepNext w:val="0"/>
        <w:keepLines w:val="0"/>
        <w:pageBreakBefore w:val="0"/>
        <w:kinsoku/>
        <w:wordWrap/>
        <w:topLinePunct w:val="0"/>
        <w:autoSpaceDE w:val="0"/>
        <w:autoSpaceDN w:val="0"/>
        <w:bidi w:val="0"/>
        <w:adjustRightInd w:val="0"/>
        <w:snapToGrid/>
        <w:spacing w:line="360" w:lineRule="auto"/>
        <w:ind w:firstLine="315"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（四）评标程序</w:t>
      </w:r>
    </w:p>
    <w:p w14:paraId="4E327B6E">
      <w:pPr>
        <w:keepNext w:val="0"/>
        <w:keepLines w:val="0"/>
        <w:pageBreakBefore w:val="0"/>
        <w:kinsoku/>
        <w:wordWrap/>
        <w:topLinePunct w:val="0"/>
        <w:bidi w:val="0"/>
        <w:snapToGrid/>
        <w:spacing w:line="360" w:lineRule="auto"/>
        <w:ind w:firstLine="420" w:firstLineChars="200"/>
        <w:rPr>
          <w:rFonts w:hint="eastAsia" w:ascii="仿宋" w:hAnsi="仿宋" w:eastAsia="仿宋" w:cs="仿宋"/>
          <w:szCs w:val="21"/>
        </w:rPr>
      </w:pPr>
      <w:r>
        <w:rPr>
          <w:rFonts w:hint="eastAsia" w:ascii="仿宋" w:hAnsi="仿宋" w:eastAsia="仿宋" w:cs="仿宋"/>
          <w:szCs w:val="21"/>
        </w:rPr>
        <w:t>1.形式审查（符合性审查）</w:t>
      </w:r>
    </w:p>
    <w:p w14:paraId="0E283A9C">
      <w:pPr>
        <w:keepNext w:val="0"/>
        <w:keepLines w:val="0"/>
        <w:pageBreakBefore w:val="0"/>
        <w:kinsoku/>
        <w:wordWrap/>
        <w:topLinePunct w:val="0"/>
        <w:bidi w:val="0"/>
        <w:snapToGrid/>
        <w:spacing w:line="360" w:lineRule="auto"/>
        <w:ind w:firstLine="420"/>
        <w:rPr>
          <w:rFonts w:hint="eastAsia" w:ascii="仿宋" w:hAnsi="仿宋" w:eastAsia="仿宋" w:cs="仿宋"/>
          <w:szCs w:val="21"/>
        </w:rPr>
      </w:pPr>
      <w:r>
        <w:rPr>
          <w:rFonts w:hint="eastAsia" w:ascii="仿宋" w:hAnsi="仿宋" w:eastAsia="仿宋" w:cs="仿宋"/>
          <w:szCs w:val="21"/>
        </w:rPr>
        <w:t>对符合</w:t>
      </w:r>
      <w:r>
        <w:rPr>
          <w:rFonts w:hint="eastAsia" w:ascii="仿宋" w:hAnsi="仿宋" w:eastAsia="仿宋" w:cs="仿宋"/>
          <w:szCs w:val="21"/>
          <w:lang w:eastAsia="zh-CN"/>
        </w:rPr>
        <w:t>报名</w:t>
      </w:r>
      <w:r>
        <w:rPr>
          <w:rFonts w:hint="eastAsia" w:ascii="仿宋" w:hAnsi="仿宋" w:eastAsia="仿宋" w:cs="仿宋"/>
          <w:szCs w:val="21"/>
        </w:rPr>
        <w:t>条件的投标人的投标文件进行符合性审查，以确定其是否</w:t>
      </w:r>
      <w:r>
        <w:rPr>
          <w:rFonts w:hint="eastAsia" w:ascii="仿宋" w:hAnsi="仿宋" w:eastAsia="仿宋" w:cs="仿宋"/>
          <w:szCs w:val="21"/>
          <w:lang w:eastAsia="zh-CN"/>
        </w:rPr>
        <w:t>完全对招标</w:t>
      </w:r>
      <w:r>
        <w:rPr>
          <w:rFonts w:hint="eastAsia" w:ascii="仿宋" w:hAnsi="仿宋" w:eastAsia="仿宋" w:cs="仿宋"/>
          <w:szCs w:val="21"/>
        </w:rPr>
        <w:t>文件的实质性要求</w:t>
      </w:r>
      <w:r>
        <w:rPr>
          <w:rFonts w:hint="eastAsia" w:ascii="仿宋" w:hAnsi="仿宋" w:eastAsia="仿宋" w:cs="仿宋"/>
          <w:szCs w:val="21"/>
          <w:lang w:eastAsia="zh-CN"/>
        </w:rPr>
        <w:t>进行响应</w:t>
      </w:r>
      <w:r>
        <w:rPr>
          <w:rFonts w:hint="eastAsia" w:ascii="仿宋" w:hAnsi="仿宋" w:eastAsia="仿宋" w:cs="仿宋"/>
          <w:szCs w:val="21"/>
        </w:rPr>
        <w:t>。</w:t>
      </w:r>
    </w:p>
    <w:p w14:paraId="5A7B291C">
      <w:pPr>
        <w:keepNext w:val="0"/>
        <w:keepLines w:val="0"/>
        <w:pageBreakBefore w:val="0"/>
        <w:kinsoku/>
        <w:wordWrap/>
        <w:topLinePunct w:val="0"/>
        <w:bidi w:val="0"/>
        <w:snapToGrid/>
        <w:spacing w:line="360" w:lineRule="auto"/>
        <w:ind w:firstLine="411" w:firstLineChars="196"/>
        <w:rPr>
          <w:rFonts w:hint="eastAsia" w:ascii="仿宋" w:hAnsi="仿宋" w:eastAsia="仿宋" w:cs="仿宋"/>
          <w:bCs/>
          <w:szCs w:val="21"/>
        </w:rPr>
      </w:pPr>
      <w:r>
        <w:rPr>
          <w:rFonts w:hint="eastAsia" w:ascii="仿宋" w:hAnsi="仿宋" w:eastAsia="仿宋" w:cs="仿宋"/>
          <w:bCs/>
          <w:szCs w:val="21"/>
        </w:rPr>
        <w:t>2.实质审查与比较</w:t>
      </w:r>
    </w:p>
    <w:p w14:paraId="6720FD72">
      <w:pPr>
        <w:keepNext w:val="0"/>
        <w:keepLines w:val="0"/>
        <w:pageBreakBefore w:val="0"/>
        <w:kinsoku/>
        <w:wordWrap/>
        <w:topLinePunct w:val="0"/>
        <w:bidi w:val="0"/>
        <w:snapToGrid/>
        <w:spacing w:line="360" w:lineRule="auto"/>
        <w:ind w:firstLine="411" w:firstLineChars="196"/>
        <w:rPr>
          <w:rFonts w:hint="eastAsia" w:ascii="仿宋" w:hAnsi="仿宋" w:eastAsia="仿宋" w:cs="仿宋"/>
          <w:szCs w:val="21"/>
        </w:rPr>
      </w:pPr>
      <w:r>
        <w:rPr>
          <w:rFonts w:hint="eastAsia" w:ascii="仿宋" w:hAnsi="仿宋" w:eastAsia="仿宋" w:cs="仿宋"/>
          <w:color w:val="000000"/>
          <w:szCs w:val="21"/>
        </w:rPr>
        <w:t>（</w:t>
      </w:r>
      <w:r>
        <w:rPr>
          <w:rFonts w:hint="eastAsia" w:ascii="仿宋" w:hAnsi="仿宋" w:eastAsia="仿宋" w:cs="仿宋"/>
          <w:szCs w:val="21"/>
        </w:rPr>
        <w:t>1）评标委员会按</w:t>
      </w:r>
      <w:r>
        <w:rPr>
          <w:rFonts w:hint="eastAsia" w:ascii="仿宋" w:hAnsi="仿宋" w:eastAsia="仿宋" w:cs="仿宋"/>
          <w:szCs w:val="21"/>
          <w:lang w:eastAsia="zh-CN"/>
        </w:rPr>
        <w:t>招标</w:t>
      </w:r>
      <w:r>
        <w:rPr>
          <w:rFonts w:hint="eastAsia" w:ascii="仿宋" w:hAnsi="仿宋" w:eastAsia="仿宋" w:cs="仿宋"/>
          <w:szCs w:val="21"/>
        </w:rPr>
        <w:t>文件中规定的评标方法和标准，对符合性审查合格的投标文件进行商务和技术评估</w:t>
      </w:r>
      <w:r>
        <w:rPr>
          <w:rFonts w:hint="eastAsia" w:ascii="仿宋" w:hAnsi="仿宋" w:eastAsia="仿宋" w:cs="仿宋"/>
          <w:szCs w:val="21"/>
          <w:lang w:val="en-US" w:eastAsia="zh-CN"/>
        </w:rPr>
        <w:t>,</w:t>
      </w:r>
      <w:r>
        <w:rPr>
          <w:rFonts w:hint="eastAsia" w:ascii="仿宋" w:hAnsi="仿宋" w:eastAsia="仿宋" w:cs="仿宋"/>
          <w:szCs w:val="21"/>
        </w:rPr>
        <w:t>综合比较与评价。</w:t>
      </w:r>
    </w:p>
    <w:p w14:paraId="265EFC5B">
      <w:pPr>
        <w:keepNext w:val="0"/>
        <w:keepLines w:val="0"/>
        <w:pageBreakBefore w:val="0"/>
        <w:kinsoku/>
        <w:wordWrap/>
        <w:topLinePunct w:val="0"/>
        <w:bidi w:val="0"/>
        <w:snapToGrid/>
        <w:spacing w:line="360" w:lineRule="auto"/>
        <w:ind w:firstLine="411" w:firstLineChars="196"/>
        <w:rPr>
          <w:rFonts w:hint="eastAsia" w:ascii="仿宋" w:hAnsi="仿宋" w:eastAsia="仿宋" w:cs="仿宋"/>
          <w:szCs w:val="21"/>
        </w:rPr>
      </w:pPr>
      <w:r>
        <w:rPr>
          <w:rFonts w:hint="eastAsia" w:ascii="仿宋" w:hAnsi="仿宋" w:eastAsia="仿宋" w:cs="仿宋"/>
          <w:szCs w:val="21"/>
        </w:rPr>
        <w:t>（2）评标委员会根据投标人的投标文件进行审查、评判，如有疑问，将对投标人进行询标，投标人需向评标委员会澄清有关问题,并最终以书面形式进行答复。投标人代表拒绝澄清或者澄清的内容改变了投标文件的实质性内容的，评标委员会有权对该投标文件作出不利于投标人的评判。</w:t>
      </w:r>
    </w:p>
    <w:p w14:paraId="1799BCC2">
      <w:pPr>
        <w:keepNext w:val="0"/>
        <w:keepLines w:val="0"/>
        <w:pageBreakBefore w:val="0"/>
        <w:kinsoku/>
        <w:wordWrap/>
        <w:topLinePunct w:val="0"/>
        <w:bidi w:val="0"/>
        <w:snapToGrid/>
        <w:spacing w:line="360" w:lineRule="auto"/>
        <w:ind w:firstLine="411" w:firstLineChars="196"/>
        <w:rPr>
          <w:rFonts w:hint="eastAsia" w:ascii="仿宋" w:hAnsi="仿宋" w:eastAsia="仿宋" w:cs="仿宋"/>
          <w:szCs w:val="21"/>
        </w:rPr>
      </w:pPr>
      <w:r>
        <w:rPr>
          <w:rFonts w:hint="eastAsia" w:ascii="仿宋" w:hAnsi="仿宋" w:eastAsia="仿宋" w:cs="仿宋"/>
          <w:szCs w:val="21"/>
        </w:rPr>
        <w:t>（3）各投标人的</w:t>
      </w:r>
      <w:r>
        <w:rPr>
          <w:rFonts w:hint="eastAsia" w:ascii="仿宋" w:hAnsi="仿宋" w:eastAsia="仿宋" w:cs="仿宋"/>
          <w:szCs w:val="21"/>
          <w:lang w:eastAsia="zh-CN"/>
        </w:rPr>
        <w:t>技术资信得分</w:t>
      </w:r>
      <w:r>
        <w:rPr>
          <w:rFonts w:hint="eastAsia" w:ascii="仿宋" w:hAnsi="仿宋" w:eastAsia="仿宋" w:cs="仿宋"/>
          <w:szCs w:val="21"/>
        </w:rPr>
        <w:t>为所有评委的有效评分的算术平均值，由评标委员会指定专人进行计算复核。</w:t>
      </w:r>
    </w:p>
    <w:p w14:paraId="598417F8">
      <w:pPr>
        <w:keepNext w:val="0"/>
        <w:keepLines w:val="0"/>
        <w:pageBreakBefore w:val="0"/>
        <w:kinsoku/>
        <w:wordWrap/>
        <w:topLinePunct w:val="0"/>
        <w:bidi w:val="0"/>
        <w:snapToGrid/>
        <w:spacing w:line="360" w:lineRule="auto"/>
        <w:ind w:firstLine="411" w:firstLineChars="196"/>
        <w:rPr>
          <w:rFonts w:hint="eastAsia" w:ascii="仿宋" w:hAnsi="仿宋" w:eastAsia="仿宋" w:cs="仿宋"/>
          <w:szCs w:val="21"/>
        </w:rPr>
      </w:pPr>
      <w:r>
        <w:rPr>
          <w:rFonts w:hint="eastAsia" w:ascii="仿宋" w:hAnsi="仿宋" w:eastAsia="仿宋" w:cs="仿宋"/>
          <w:szCs w:val="21"/>
        </w:rPr>
        <w:t>（4）评标委员会根据本项目的评分标准计算各投标人的报价得分。</w:t>
      </w:r>
    </w:p>
    <w:p w14:paraId="38893AB5">
      <w:pPr>
        <w:keepNext w:val="0"/>
        <w:keepLines w:val="0"/>
        <w:pageBreakBefore w:val="0"/>
        <w:kinsoku/>
        <w:wordWrap/>
        <w:topLinePunct w:val="0"/>
        <w:bidi w:val="0"/>
        <w:snapToGrid/>
        <w:spacing w:line="360" w:lineRule="auto"/>
        <w:ind w:firstLine="411" w:firstLineChars="196"/>
        <w:rPr>
          <w:rFonts w:hint="eastAsia" w:ascii="仿宋" w:hAnsi="仿宋" w:eastAsia="仿宋" w:cs="仿宋"/>
          <w:szCs w:val="21"/>
        </w:rPr>
      </w:pPr>
      <w:r>
        <w:rPr>
          <w:rFonts w:hint="eastAsia" w:ascii="仿宋" w:hAnsi="仿宋" w:eastAsia="仿宋" w:cs="仿宋"/>
          <w:szCs w:val="21"/>
        </w:rPr>
        <w:t>（5）评标委员会完成评标后，评委对各部分得分汇总，计算出各投标人综合得分。评标委员会按评标原则起草评标报告并推荐中标候选人。</w:t>
      </w:r>
    </w:p>
    <w:p w14:paraId="0FD31881">
      <w:pPr>
        <w:keepNext w:val="0"/>
        <w:keepLines w:val="0"/>
        <w:pageBreakBefore w:val="0"/>
        <w:kinsoku/>
        <w:wordWrap/>
        <w:topLinePunct w:val="0"/>
        <w:autoSpaceDE w:val="0"/>
        <w:autoSpaceDN w:val="0"/>
        <w:bidi w:val="0"/>
        <w:adjustRightInd w:val="0"/>
        <w:snapToGrid/>
        <w:spacing w:line="360" w:lineRule="auto"/>
        <w:ind w:firstLine="315" w:firstLineChars="150"/>
        <w:jc w:val="left"/>
        <w:rPr>
          <w:rFonts w:hint="eastAsia" w:ascii="仿宋" w:hAnsi="仿宋" w:eastAsia="仿宋" w:cs="仿宋"/>
          <w:b/>
          <w:sz w:val="21"/>
          <w:szCs w:val="21"/>
          <w:highlight w:val="none"/>
          <w:lang w:val="zh-CN"/>
        </w:rPr>
      </w:pPr>
      <w:r>
        <w:rPr>
          <w:rFonts w:hint="eastAsia" w:ascii="仿宋" w:hAnsi="仿宋" w:eastAsia="仿宋" w:cs="仿宋"/>
          <w:b/>
          <w:color w:val="000000"/>
          <w:szCs w:val="21"/>
          <w:lang w:val="zh-CN"/>
        </w:rPr>
        <w:t>（五）</w:t>
      </w:r>
      <w:r>
        <w:rPr>
          <w:rFonts w:hint="eastAsia" w:ascii="仿宋" w:hAnsi="仿宋" w:eastAsia="仿宋" w:cs="仿宋"/>
          <w:b/>
          <w:sz w:val="21"/>
          <w:szCs w:val="21"/>
          <w:highlight w:val="none"/>
          <w:lang w:val="zh-CN"/>
        </w:rPr>
        <w:t>评标原则和评标办法</w:t>
      </w:r>
    </w:p>
    <w:p w14:paraId="10A8B235">
      <w:pPr>
        <w:pStyle w:val="7"/>
        <w:keepNext w:val="0"/>
        <w:keepLines w:val="0"/>
        <w:pageBreakBefore w:val="0"/>
        <w:kinsoku/>
        <w:wordWrap/>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b/>
          <w:sz w:val="21"/>
          <w:szCs w:val="21"/>
          <w:highlight w:val="none"/>
        </w:rPr>
        <w:t>1.评标原则。</w:t>
      </w:r>
      <w:r>
        <w:rPr>
          <w:rFonts w:hint="eastAsia" w:ascii="仿宋" w:hAnsi="仿宋" w:eastAsia="仿宋" w:cs="仿宋"/>
          <w:sz w:val="21"/>
          <w:szCs w:val="21"/>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27AC21CD">
      <w:pPr>
        <w:pStyle w:val="7"/>
        <w:keepNext w:val="0"/>
        <w:keepLines w:val="0"/>
        <w:pageBreakBefore w:val="0"/>
        <w:kinsoku/>
        <w:wordWrap/>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b/>
          <w:sz w:val="21"/>
          <w:szCs w:val="21"/>
          <w:highlight w:val="none"/>
        </w:rPr>
        <w:t>2.评标办法。</w:t>
      </w:r>
      <w:r>
        <w:rPr>
          <w:rFonts w:hint="eastAsia" w:ascii="仿宋" w:hAnsi="仿宋" w:eastAsia="仿宋" w:cs="仿宋"/>
          <w:bCs/>
          <w:sz w:val="21"/>
          <w:szCs w:val="21"/>
          <w:highlight w:val="none"/>
        </w:rPr>
        <w:t>综合评分法，</w:t>
      </w:r>
      <w:r>
        <w:rPr>
          <w:rFonts w:hint="eastAsia" w:ascii="仿宋" w:hAnsi="仿宋" w:eastAsia="仿宋" w:cs="仿宋"/>
          <w:sz w:val="21"/>
          <w:szCs w:val="21"/>
          <w:highlight w:val="none"/>
        </w:rPr>
        <w:t>具体评标内容及评分标准等详见第五章“评标办法及评分标准”。</w:t>
      </w:r>
    </w:p>
    <w:p w14:paraId="791DEE92">
      <w:pPr>
        <w:keepNext w:val="0"/>
        <w:keepLines w:val="0"/>
        <w:pageBreakBefore w:val="0"/>
        <w:kinsoku/>
        <w:wordWrap/>
        <w:topLinePunct w:val="0"/>
        <w:autoSpaceDE w:val="0"/>
        <w:autoSpaceDN w:val="0"/>
        <w:bidi w:val="0"/>
        <w:adjustRightInd w:val="0"/>
        <w:snapToGrid/>
        <w:spacing w:line="360" w:lineRule="auto"/>
        <w:ind w:firstLine="210" w:firstLineChars="100"/>
        <w:jc w:val="left"/>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（六）投标无效的情形</w:t>
      </w:r>
    </w:p>
    <w:p w14:paraId="06CC9758">
      <w:pPr>
        <w:keepNext w:val="0"/>
        <w:keepLines w:val="0"/>
        <w:pageBreakBefore w:val="0"/>
        <w:kinsoku/>
        <w:wordWrap/>
        <w:topLinePunct w:val="0"/>
        <w:bidi w:val="0"/>
        <w:snapToGrid/>
        <w:spacing w:line="360" w:lineRule="auto"/>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没有响应</w:t>
      </w:r>
      <w:r>
        <w:rPr>
          <w:rFonts w:hint="eastAsia" w:ascii="仿宋" w:hAnsi="仿宋" w:eastAsia="仿宋" w:cs="仿宋"/>
          <w:b/>
          <w:bCs/>
          <w:sz w:val="21"/>
          <w:szCs w:val="21"/>
          <w:highlight w:val="none"/>
          <w:lang w:eastAsia="zh-CN"/>
        </w:rPr>
        <w:t>招标文件</w:t>
      </w:r>
      <w:r>
        <w:rPr>
          <w:rFonts w:hint="eastAsia" w:ascii="仿宋" w:hAnsi="仿宋" w:eastAsia="仿宋" w:cs="仿宋"/>
          <w:b/>
          <w:bCs/>
          <w:sz w:val="21"/>
          <w:szCs w:val="21"/>
          <w:highlight w:val="none"/>
        </w:rPr>
        <w:t>实质性要求的投标将被视为无效投标</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出现下列情形之一的，经评标委员会认定后按无效投标处理：</w:t>
      </w:r>
    </w:p>
    <w:p w14:paraId="3CB85AB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Style w:val="21"/>
          <w:rFonts w:hint="eastAsia" w:ascii="仿宋" w:hAnsi="仿宋" w:eastAsia="仿宋" w:cs="仿宋"/>
          <w:sz w:val="21"/>
          <w:szCs w:val="21"/>
          <w:highlight w:val="none"/>
        </w:rPr>
      </w:pPr>
      <w:r>
        <w:rPr>
          <w:rStyle w:val="21"/>
          <w:rFonts w:hint="eastAsia" w:ascii="仿宋" w:hAnsi="仿宋" w:eastAsia="仿宋" w:cs="仿宋"/>
          <w:sz w:val="21"/>
          <w:szCs w:val="21"/>
          <w:highlight w:val="none"/>
        </w:rPr>
        <w:t>1.招标文件中标示“▲”的内容为实质性响应或技术参数、指标负偏离的；</w:t>
      </w:r>
    </w:p>
    <w:p w14:paraId="37D403A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Style w:val="21"/>
          <w:rFonts w:hint="eastAsia" w:ascii="仿宋" w:hAnsi="仿宋" w:eastAsia="仿宋" w:cs="仿宋"/>
          <w:b w:val="0"/>
          <w:bCs w:val="0"/>
          <w:szCs w:val="21"/>
        </w:rPr>
      </w:pPr>
      <w:r>
        <w:rPr>
          <w:rStyle w:val="21"/>
          <w:rFonts w:hint="eastAsia" w:ascii="仿宋" w:hAnsi="仿宋" w:eastAsia="仿宋" w:cs="仿宋"/>
          <w:b w:val="0"/>
          <w:bCs w:val="0"/>
          <w:sz w:val="21"/>
          <w:szCs w:val="21"/>
          <w:highlight w:val="none"/>
          <w:lang w:val="en-US"/>
        </w:rPr>
        <w:t>2</w:t>
      </w:r>
      <w:r>
        <w:rPr>
          <w:rStyle w:val="21"/>
          <w:rFonts w:hint="eastAsia" w:ascii="仿宋" w:hAnsi="仿宋" w:eastAsia="仿宋" w:cs="仿宋"/>
          <w:b w:val="0"/>
          <w:bCs w:val="0"/>
          <w:sz w:val="21"/>
          <w:szCs w:val="21"/>
          <w:highlight w:val="none"/>
        </w:rPr>
        <w:t>.</w:t>
      </w:r>
      <w:r>
        <w:rPr>
          <w:rFonts w:hint="eastAsia" w:ascii="仿宋" w:hAnsi="仿宋" w:eastAsia="仿宋" w:cs="仿宋"/>
          <w:b w:val="0"/>
          <w:bCs w:val="0"/>
          <w:szCs w:val="21"/>
        </w:rPr>
        <w:t>定期存款年利率</w:t>
      </w:r>
      <w:r>
        <w:rPr>
          <w:rStyle w:val="21"/>
          <w:rFonts w:hint="eastAsia" w:ascii="仿宋" w:hAnsi="仿宋" w:eastAsia="仿宋" w:cs="仿宋"/>
          <w:b w:val="0"/>
          <w:bCs w:val="0"/>
          <w:szCs w:val="21"/>
        </w:rPr>
        <w:t>报价低于中国人民银行同期同档次存款基准利率，或高于常山县市场利率定价自律机制规定的利率浮动幅度上限的；</w:t>
      </w:r>
    </w:p>
    <w:p w14:paraId="6EB6DC2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Style w:val="21"/>
          <w:rFonts w:hint="eastAsia" w:ascii="仿宋" w:hAnsi="仿宋" w:eastAsia="仿宋" w:cs="仿宋"/>
          <w:sz w:val="21"/>
          <w:szCs w:val="21"/>
          <w:highlight w:val="none"/>
        </w:rPr>
      </w:pPr>
      <w:r>
        <w:rPr>
          <w:rStyle w:val="21"/>
          <w:rFonts w:hint="eastAsia" w:ascii="仿宋" w:hAnsi="仿宋" w:eastAsia="仿宋" w:cs="仿宋"/>
          <w:b w:val="0"/>
          <w:bCs w:val="0"/>
          <w:szCs w:val="21"/>
          <w:lang w:val="en-US"/>
        </w:rPr>
        <w:t>3.</w:t>
      </w:r>
      <w:r>
        <w:rPr>
          <w:rStyle w:val="21"/>
          <w:rFonts w:hint="eastAsia" w:ascii="仿宋" w:hAnsi="仿宋" w:eastAsia="仿宋" w:cs="仿宋"/>
          <w:b w:val="0"/>
          <w:bCs w:val="0"/>
          <w:sz w:val="21"/>
          <w:szCs w:val="21"/>
          <w:highlight w:val="none"/>
        </w:rPr>
        <w:t>法律、法规和招标文件中规定的其他无效情形</w:t>
      </w:r>
      <w:r>
        <w:rPr>
          <w:rStyle w:val="21"/>
          <w:rFonts w:hint="eastAsia" w:ascii="仿宋" w:hAnsi="仿宋" w:eastAsia="仿宋" w:cs="仿宋"/>
          <w:sz w:val="21"/>
          <w:szCs w:val="21"/>
          <w:highlight w:val="none"/>
        </w:rPr>
        <w:t>。</w:t>
      </w:r>
    </w:p>
    <w:p w14:paraId="42EA6AD7">
      <w:pPr>
        <w:keepNext w:val="0"/>
        <w:keepLines w:val="0"/>
        <w:pageBreakBefore w:val="0"/>
        <w:kinsoku/>
        <w:wordWrap/>
        <w:topLinePunct w:val="0"/>
        <w:autoSpaceDE w:val="0"/>
        <w:autoSpaceDN w:val="0"/>
        <w:bidi w:val="0"/>
        <w:adjustRightInd w:val="0"/>
        <w:snapToGrid/>
        <w:spacing w:line="360" w:lineRule="auto"/>
        <w:ind w:firstLine="315" w:firstLineChars="150"/>
        <w:jc w:val="left"/>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（七）废标的情形</w:t>
      </w:r>
    </w:p>
    <w:p w14:paraId="7FCFFF2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Style w:val="21"/>
          <w:rFonts w:hint="eastAsia" w:ascii="仿宋" w:hAnsi="仿宋" w:eastAsia="仿宋" w:cs="仿宋"/>
          <w:sz w:val="21"/>
          <w:szCs w:val="21"/>
          <w:highlight w:val="none"/>
        </w:rPr>
      </w:pPr>
      <w:r>
        <w:rPr>
          <w:rStyle w:val="21"/>
          <w:rFonts w:hint="eastAsia" w:ascii="仿宋" w:hAnsi="仿宋" w:eastAsia="仿宋" w:cs="仿宋"/>
          <w:sz w:val="21"/>
          <w:szCs w:val="21"/>
          <w:highlight w:val="none"/>
        </w:rPr>
        <w:t>招标中，出现下列情形之一的，应予废标，废标后，招标人将废标理由通知所有投标人：</w:t>
      </w:r>
    </w:p>
    <w:p w14:paraId="10D03FB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Style w:val="21"/>
          <w:rFonts w:hint="eastAsia" w:ascii="仿宋" w:hAnsi="仿宋" w:eastAsia="仿宋" w:cs="仿宋"/>
          <w:sz w:val="21"/>
          <w:szCs w:val="21"/>
          <w:highlight w:val="none"/>
        </w:rPr>
      </w:pPr>
      <w:r>
        <w:rPr>
          <w:rStyle w:val="21"/>
          <w:rFonts w:hint="eastAsia" w:ascii="仿宋" w:hAnsi="仿宋" w:eastAsia="仿宋" w:cs="仿宋"/>
          <w:sz w:val="21"/>
          <w:szCs w:val="21"/>
          <w:highlight w:val="none"/>
        </w:rPr>
        <w:t>1.符合专业条件的投标人或对招标文件作实质性响应的投标人不足三家的；</w:t>
      </w:r>
    </w:p>
    <w:p w14:paraId="6A8A88E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Style w:val="21"/>
          <w:rFonts w:hint="eastAsia" w:ascii="仿宋" w:hAnsi="仿宋" w:eastAsia="仿宋" w:cs="仿宋"/>
          <w:sz w:val="21"/>
          <w:szCs w:val="21"/>
          <w:highlight w:val="none"/>
        </w:rPr>
      </w:pPr>
      <w:r>
        <w:rPr>
          <w:rStyle w:val="21"/>
          <w:rFonts w:hint="eastAsia" w:ascii="仿宋" w:hAnsi="仿宋" w:eastAsia="仿宋" w:cs="仿宋"/>
          <w:sz w:val="21"/>
          <w:szCs w:val="21"/>
          <w:highlight w:val="none"/>
          <w:lang w:val="en-US"/>
        </w:rPr>
        <w:t>2</w:t>
      </w:r>
      <w:r>
        <w:rPr>
          <w:rStyle w:val="21"/>
          <w:rFonts w:hint="eastAsia" w:ascii="仿宋" w:hAnsi="仿宋" w:eastAsia="仿宋" w:cs="仿宋"/>
          <w:sz w:val="21"/>
          <w:szCs w:val="21"/>
          <w:highlight w:val="none"/>
        </w:rPr>
        <w:t>.出现影响招标公正的违法、违规行为的；</w:t>
      </w:r>
    </w:p>
    <w:p w14:paraId="669C15F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Style w:val="21"/>
          <w:rFonts w:hint="eastAsia" w:ascii="仿宋" w:hAnsi="仿宋" w:eastAsia="仿宋" w:cs="仿宋"/>
          <w:sz w:val="21"/>
          <w:szCs w:val="21"/>
          <w:highlight w:val="none"/>
        </w:rPr>
      </w:pPr>
      <w:r>
        <w:rPr>
          <w:rStyle w:val="21"/>
          <w:rFonts w:hint="eastAsia" w:ascii="仿宋" w:hAnsi="仿宋" w:eastAsia="仿宋" w:cs="仿宋"/>
          <w:sz w:val="21"/>
          <w:szCs w:val="21"/>
          <w:highlight w:val="none"/>
          <w:lang w:val="en-US"/>
        </w:rPr>
        <w:t>3</w:t>
      </w:r>
      <w:r>
        <w:rPr>
          <w:rStyle w:val="21"/>
          <w:rFonts w:hint="eastAsia" w:ascii="仿宋" w:hAnsi="仿宋" w:eastAsia="仿宋" w:cs="仿宋"/>
          <w:sz w:val="21"/>
          <w:szCs w:val="21"/>
          <w:highlight w:val="none"/>
        </w:rPr>
        <w:t>.因重大变故，招标任务取消的；</w:t>
      </w:r>
    </w:p>
    <w:p w14:paraId="3A79D793">
      <w:pPr>
        <w:pStyle w:val="7"/>
        <w:keepNext w:val="0"/>
        <w:keepLines w:val="0"/>
        <w:pageBreakBefore w:val="0"/>
        <w:kinsoku/>
        <w:wordWrap/>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废标后，废标理由将在原</w:t>
      </w:r>
      <w:r>
        <w:rPr>
          <w:rFonts w:hint="eastAsia" w:ascii="仿宋" w:hAnsi="仿宋" w:eastAsia="仿宋" w:cs="仿宋"/>
          <w:sz w:val="21"/>
          <w:szCs w:val="21"/>
          <w:highlight w:val="none"/>
          <w:lang w:eastAsia="zh-CN"/>
        </w:rPr>
        <w:t>招标公告</w:t>
      </w:r>
      <w:r>
        <w:rPr>
          <w:rFonts w:hint="eastAsia" w:ascii="仿宋" w:hAnsi="仿宋" w:eastAsia="仿宋" w:cs="仿宋"/>
          <w:sz w:val="21"/>
          <w:szCs w:val="21"/>
          <w:highlight w:val="none"/>
        </w:rPr>
        <w:t>发布媒体上公告通知所有投标人。</w:t>
      </w:r>
    </w:p>
    <w:p w14:paraId="77370D77">
      <w:pPr>
        <w:pStyle w:val="4"/>
        <w:pageBreakBefore w:val="0"/>
        <w:kinsoku/>
        <w:topLinePunct w:val="0"/>
        <w:bidi w:val="0"/>
        <w:snapToGrid/>
        <w:spacing w:before="0" w:after="0" w:line="360" w:lineRule="auto"/>
        <w:jc w:val="left"/>
        <w:rPr>
          <w:rFonts w:hint="eastAsia" w:ascii="仿宋" w:hAnsi="仿宋" w:eastAsia="仿宋" w:cs="仿宋"/>
          <w:bCs w:val="0"/>
          <w:sz w:val="21"/>
          <w:szCs w:val="21"/>
          <w:highlight w:val="none"/>
          <w:lang w:val="zh-CN"/>
        </w:rPr>
      </w:pPr>
      <w:bookmarkStart w:id="53" w:name="_Toc22023"/>
      <w:bookmarkStart w:id="54" w:name="_Toc11677"/>
      <w:bookmarkStart w:id="55" w:name="_Toc3158"/>
      <w:bookmarkStart w:id="56" w:name="_Toc23645"/>
      <w:bookmarkStart w:id="57" w:name="_Toc10412"/>
      <w:bookmarkStart w:id="58" w:name="_Toc18539"/>
      <w:bookmarkStart w:id="59" w:name="_Toc21710"/>
      <w:r>
        <w:rPr>
          <w:rFonts w:hint="eastAsia" w:ascii="仿宋" w:hAnsi="仿宋" w:eastAsia="仿宋" w:cs="仿宋"/>
          <w:bCs w:val="0"/>
          <w:sz w:val="21"/>
          <w:szCs w:val="21"/>
          <w:highlight w:val="none"/>
          <w:lang w:val="zh-CN"/>
        </w:rPr>
        <w:t>五、定标</w:t>
      </w:r>
      <w:bookmarkEnd w:id="53"/>
      <w:bookmarkEnd w:id="54"/>
      <w:bookmarkEnd w:id="55"/>
      <w:bookmarkEnd w:id="56"/>
      <w:bookmarkEnd w:id="57"/>
      <w:bookmarkEnd w:id="58"/>
      <w:bookmarkEnd w:id="59"/>
    </w:p>
    <w:p w14:paraId="306AD6BD">
      <w:pPr>
        <w:pageBreakBefore w:val="0"/>
        <w:kinsoku/>
        <w:topLinePunct w:val="0"/>
        <w:autoSpaceDE w:val="0"/>
        <w:autoSpaceDN w:val="0"/>
        <w:bidi w:val="0"/>
        <w:adjustRightInd w:val="0"/>
        <w:snapToGrid/>
        <w:spacing w:line="360" w:lineRule="auto"/>
        <w:ind w:firstLine="315" w:firstLineChars="150"/>
        <w:jc w:val="left"/>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（一）确定中标单位</w:t>
      </w:r>
    </w:p>
    <w:p w14:paraId="6989E795">
      <w:pPr>
        <w:pageBreakBefore w:val="0"/>
        <w:kinsoku/>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bCs/>
          <w:kern w:val="0"/>
          <w:szCs w:val="21"/>
          <w:highlight w:val="none"/>
          <w:lang w:val="en-US" w:eastAsia="zh-CN"/>
        </w:rPr>
        <w:t>1.</w:t>
      </w:r>
      <w:r>
        <w:rPr>
          <w:rFonts w:hint="eastAsia" w:ascii="仿宋" w:hAnsi="仿宋" w:eastAsia="仿宋" w:cs="仿宋"/>
          <w:bCs/>
          <w:kern w:val="0"/>
          <w:szCs w:val="21"/>
          <w:highlight w:val="none"/>
        </w:rPr>
        <w:t>评标委员会按综合得分由高到低</w:t>
      </w:r>
      <w:r>
        <w:rPr>
          <w:rFonts w:hint="eastAsia" w:ascii="仿宋" w:hAnsi="仿宋" w:eastAsia="仿宋" w:cs="仿宋"/>
          <w:bCs/>
          <w:color w:val="auto"/>
          <w:kern w:val="0"/>
          <w:szCs w:val="21"/>
          <w:highlight w:val="none"/>
        </w:rPr>
        <w:t>排序，推荐</w:t>
      </w:r>
      <w:r>
        <w:rPr>
          <w:rFonts w:hint="eastAsia" w:ascii="仿宋" w:hAnsi="仿宋" w:eastAsia="仿宋" w:cs="仿宋"/>
          <w:bCs/>
          <w:color w:val="auto"/>
          <w:kern w:val="0"/>
          <w:szCs w:val="21"/>
          <w:highlight w:val="none"/>
          <w:lang w:val="en-US" w:eastAsia="zh-CN"/>
        </w:rPr>
        <w:t>1名中标候选人</w:t>
      </w:r>
      <w:r>
        <w:rPr>
          <w:rFonts w:hint="eastAsia" w:ascii="仿宋" w:hAnsi="仿宋" w:eastAsia="仿宋" w:cs="仿宋"/>
          <w:bCs/>
          <w:kern w:val="0"/>
          <w:szCs w:val="21"/>
          <w:highlight w:val="none"/>
        </w:rPr>
        <w:t>。</w:t>
      </w:r>
      <w:r>
        <w:rPr>
          <w:rFonts w:hint="eastAsia" w:ascii="仿宋" w:hAnsi="仿宋" w:eastAsia="仿宋" w:cs="仿宋"/>
          <w:bCs/>
          <w:kern w:val="0"/>
          <w:sz w:val="21"/>
          <w:szCs w:val="21"/>
          <w:highlight w:val="none"/>
          <w:lang w:eastAsia="zh-CN"/>
        </w:rPr>
        <w:t>招标</w:t>
      </w:r>
      <w:r>
        <w:rPr>
          <w:rFonts w:hint="eastAsia" w:ascii="仿宋" w:hAnsi="仿宋" w:eastAsia="仿宋" w:cs="仿宋"/>
          <w:bCs/>
          <w:kern w:val="0"/>
          <w:sz w:val="21"/>
          <w:szCs w:val="21"/>
          <w:highlight w:val="none"/>
        </w:rPr>
        <w:t>代理机构在评标结束后2个工作日内将评标报告提交</w:t>
      </w:r>
      <w:r>
        <w:rPr>
          <w:rFonts w:hint="eastAsia" w:ascii="仿宋" w:hAnsi="仿宋" w:eastAsia="仿宋" w:cs="仿宋"/>
          <w:bCs/>
          <w:kern w:val="0"/>
          <w:sz w:val="21"/>
          <w:szCs w:val="21"/>
          <w:highlight w:val="none"/>
          <w:lang w:eastAsia="zh-CN"/>
        </w:rPr>
        <w:t>招标人</w:t>
      </w:r>
      <w:r>
        <w:rPr>
          <w:rFonts w:hint="eastAsia" w:ascii="仿宋" w:hAnsi="仿宋" w:eastAsia="仿宋" w:cs="仿宋"/>
          <w:bCs/>
          <w:kern w:val="0"/>
          <w:sz w:val="21"/>
          <w:szCs w:val="21"/>
          <w:highlight w:val="none"/>
        </w:rPr>
        <w:t>依法确认，</w:t>
      </w:r>
      <w:r>
        <w:rPr>
          <w:rFonts w:hint="eastAsia" w:ascii="仿宋" w:hAnsi="仿宋" w:eastAsia="仿宋" w:cs="仿宋"/>
          <w:sz w:val="21"/>
          <w:szCs w:val="21"/>
          <w:highlight w:val="none"/>
          <w:lang w:eastAsia="zh-CN"/>
        </w:rPr>
        <w:t>招标人</w:t>
      </w:r>
      <w:r>
        <w:rPr>
          <w:rFonts w:hint="eastAsia" w:ascii="仿宋" w:hAnsi="仿宋" w:eastAsia="仿宋" w:cs="仿宋"/>
          <w:sz w:val="21"/>
          <w:szCs w:val="21"/>
          <w:highlight w:val="none"/>
        </w:rPr>
        <w:t>应在收到评标报告后5个工作日内对评标结果进行确认。</w:t>
      </w:r>
      <w:r>
        <w:rPr>
          <w:rFonts w:hint="eastAsia" w:ascii="仿宋" w:hAnsi="仿宋" w:eastAsia="仿宋" w:cs="仿宋"/>
          <w:bCs/>
          <w:kern w:val="0"/>
          <w:sz w:val="21"/>
          <w:szCs w:val="21"/>
          <w:highlight w:val="none"/>
        </w:rPr>
        <w:t>取得</w:t>
      </w:r>
      <w:r>
        <w:rPr>
          <w:rFonts w:hint="eastAsia" w:ascii="仿宋" w:hAnsi="仿宋" w:eastAsia="仿宋" w:cs="仿宋"/>
          <w:bCs/>
          <w:kern w:val="0"/>
          <w:sz w:val="21"/>
          <w:szCs w:val="21"/>
          <w:highlight w:val="none"/>
          <w:lang w:eastAsia="zh-CN"/>
        </w:rPr>
        <w:t>招标人</w:t>
      </w:r>
      <w:r>
        <w:rPr>
          <w:rFonts w:hint="eastAsia" w:ascii="仿宋" w:hAnsi="仿宋" w:eastAsia="仿宋" w:cs="仿宋"/>
          <w:bCs/>
          <w:kern w:val="0"/>
          <w:sz w:val="21"/>
          <w:szCs w:val="21"/>
          <w:highlight w:val="none"/>
        </w:rPr>
        <w:t>书面确认意见</w:t>
      </w:r>
      <w:r>
        <w:rPr>
          <w:rFonts w:hint="eastAsia" w:ascii="仿宋" w:hAnsi="仿宋" w:eastAsia="仿宋" w:cs="仿宋"/>
          <w:bCs/>
          <w:kern w:val="0"/>
          <w:sz w:val="21"/>
          <w:szCs w:val="21"/>
          <w:highlight w:val="none"/>
          <w:lang w:eastAsia="zh-CN"/>
        </w:rPr>
        <w:t>的</w:t>
      </w:r>
      <w:r>
        <w:rPr>
          <w:rFonts w:hint="eastAsia" w:ascii="仿宋" w:hAnsi="仿宋" w:eastAsia="仿宋" w:cs="仿宋"/>
          <w:bCs/>
          <w:kern w:val="0"/>
          <w:sz w:val="21"/>
          <w:szCs w:val="21"/>
          <w:highlight w:val="none"/>
          <w:lang w:val="en-US" w:eastAsia="zh-CN"/>
        </w:rPr>
        <w:t>2个工作日内</w:t>
      </w:r>
      <w:r>
        <w:rPr>
          <w:rFonts w:hint="eastAsia" w:ascii="仿宋" w:hAnsi="仿宋" w:eastAsia="仿宋" w:cs="仿宋"/>
          <w:bCs/>
          <w:kern w:val="0"/>
          <w:sz w:val="21"/>
          <w:szCs w:val="21"/>
          <w:highlight w:val="none"/>
        </w:rPr>
        <w:t>，</w:t>
      </w:r>
      <w:r>
        <w:rPr>
          <w:rFonts w:hint="eastAsia" w:ascii="仿宋" w:hAnsi="仿宋" w:eastAsia="仿宋" w:cs="仿宋"/>
          <w:bCs/>
          <w:kern w:val="0"/>
          <w:sz w:val="21"/>
          <w:szCs w:val="21"/>
          <w:highlight w:val="none"/>
          <w:lang w:eastAsia="zh-CN"/>
        </w:rPr>
        <w:t>招标</w:t>
      </w:r>
      <w:r>
        <w:rPr>
          <w:rFonts w:hint="eastAsia" w:ascii="仿宋" w:hAnsi="仿宋" w:eastAsia="仿宋" w:cs="仿宋"/>
          <w:bCs/>
          <w:kern w:val="0"/>
          <w:sz w:val="21"/>
          <w:szCs w:val="21"/>
          <w:highlight w:val="none"/>
        </w:rPr>
        <w:t>代理机构将招标结果通知所有</w:t>
      </w:r>
      <w:r>
        <w:rPr>
          <w:rFonts w:hint="eastAsia" w:ascii="仿宋" w:hAnsi="仿宋" w:eastAsia="仿宋" w:cs="仿宋"/>
          <w:bCs/>
          <w:kern w:val="0"/>
          <w:sz w:val="21"/>
          <w:szCs w:val="21"/>
          <w:highlight w:val="none"/>
          <w:lang w:eastAsia="zh-CN"/>
        </w:rPr>
        <w:t>投标人，并</w:t>
      </w:r>
      <w:r>
        <w:rPr>
          <w:rFonts w:hint="eastAsia" w:ascii="仿宋" w:hAnsi="仿宋" w:eastAsia="仿宋" w:cs="仿宋"/>
          <w:bCs/>
          <w:kern w:val="0"/>
          <w:sz w:val="21"/>
          <w:szCs w:val="21"/>
          <w:highlight w:val="none"/>
        </w:rPr>
        <w:t>在</w:t>
      </w:r>
      <w:r>
        <w:rPr>
          <w:rFonts w:hint="eastAsia" w:ascii="仿宋" w:hAnsi="仿宋" w:eastAsia="仿宋" w:cs="仿宋"/>
          <w:bCs/>
          <w:kern w:val="0"/>
          <w:sz w:val="21"/>
          <w:szCs w:val="21"/>
          <w:highlight w:val="none"/>
          <w:lang w:eastAsia="zh-CN"/>
        </w:rPr>
        <w:t>原招标公告</w:t>
      </w:r>
      <w:r>
        <w:rPr>
          <w:rFonts w:hint="eastAsia" w:ascii="仿宋" w:hAnsi="仿宋" w:eastAsia="仿宋" w:cs="仿宋"/>
          <w:bCs/>
          <w:kern w:val="0"/>
          <w:sz w:val="21"/>
          <w:szCs w:val="21"/>
          <w:highlight w:val="none"/>
        </w:rPr>
        <w:t>发布媒体上对</w:t>
      </w:r>
      <w:r>
        <w:rPr>
          <w:rFonts w:hint="eastAsia" w:ascii="仿宋" w:hAnsi="仿宋" w:eastAsia="仿宋" w:cs="仿宋"/>
          <w:bCs/>
          <w:kern w:val="0"/>
          <w:sz w:val="21"/>
          <w:szCs w:val="21"/>
          <w:highlight w:val="none"/>
          <w:lang w:eastAsia="zh-CN"/>
        </w:rPr>
        <w:t>招标</w:t>
      </w:r>
      <w:r>
        <w:rPr>
          <w:rFonts w:hint="eastAsia" w:ascii="仿宋" w:hAnsi="仿宋" w:eastAsia="仿宋" w:cs="仿宋"/>
          <w:bCs/>
          <w:kern w:val="0"/>
          <w:sz w:val="21"/>
          <w:szCs w:val="21"/>
          <w:highlight w:val="none"/>
        </w:rPr>
        <w:t>结果进行公告，</w:t>
      </w:r>
      <w:r>
        <w:rPr>
          <w:rFonts w:hint="eastAsia" w:ascii="仿宋" w:hAnsi="仿宋" w:eastAsia="仿宋" w:cs="仿宋"/>
          <w:sz w:val="21"/>
          <w:szCs w:val="21"/>
          <w:highlight w:val="none"/>
        </w:rPr>
        <w:t>期限为公告发布之日起至第2个工作日止</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招标结果生效后，招标单位在2个工作日内，向中标单位发出中标通知书，并将招标结果通知所有</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w:t>
      </w:r>
    </w:p>
    <w:p w14:paraId="053705AF">
      <w:pPr>
        <w:pageBreakBefore w:val="0"/>
        <w:kinsoku/>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如某</w:t>
      </w:r>
      <w:r>
        <w:rPr>
          <w:rFonts w:hint="eastAsia" w:ascii="仿宋" w:hAnsi="仿宋" w:eastAsia="仿宋" w:cs="仿宋"/>
          <w:sz w:val="21"/>
          <w:szCs w:val="21"/>
          <w:highlight w:val="none"/>
        </w:rPr>
        <w:t>中标候选人出现下列情形之一的，</w:t>
      </w:r>
      <w:r>
        <w:rPr>
          <w:rFonts w:hint="eastAsia" w:ascii="仿宋" w:hAnsi="仿宋" w:eastAsia="仿宋" w:cs="仿宋"/>
          <w:sz w:val="21"/>
          <w:szCs w:val="21"/>
          <w:highlight w:val="none"/>
          <w:lang w:eastAsia="zh-CN"/>
        </w:rPr>
        <w:t>招标人可</w:t>
      </w:r>
      <w:r>
        <w:rPr>
          <w:rFonts w:hint="eastAsia" w:ascii="仿宋" w:hAnsi="仿宋" w:eastAsia="仿宋" w:cs="仿宋"/>
          <w:sz w:val="21"/>
          <w:szCs w:val="21"/>
          <w:highlight w:val="none"/>
        </w:rPr>
        <w:t>按照评标报告的</w:t>
      </w:r>
      <w:r>
        <w:rPr>
          <w:rFonts w:hint="eastAsia" w:ascii="仿宋" w:hAnsi="仿宋" w:eastAsia="仿宋" w:cs="仿宋"/>
          <w:sz w:val="21"/>
          <w:szCs w:val="21"/>
          <w:highlight w:val="none"/>
          <w:lang w:eastAsia="zh-CN"/>
        </w:rPr>
        <w:t>综合得分</w:t>
      </w:r>
      <w:r>
        <w:rPr>
          <w:rFonts w:hint="eastAsia" w:ascii="仿宋" w:hAnsi="仿宋" w:eastAsia="仿宋" w:cs="仿宋"/>
          <w:sz w:val="21"/>
          <w:szCs w:val="21"/>
          <w:highlight w:val="none"/>
        </w:rPr>
        <w:t>排序，确定</w:t>
      </w:r>
      <w:r>
        <w:rPr>
          <w:rFonts w:hint="eastAsia" w:ascii="仿宋" w:hAnsi="仿宋" w:eastAsia="仿宋" w:cs="仿宋"/>
          <w:sz w:val="21"/>
          <w:szCs w:val="21"/>
          <w:highlight w:val="none"/>
          <w:lang w:eastAsia="zh-CN"/>
        </w:rPr>
        <w:t>排名次之的单位替换该</w:t>
      </w:r>
      <w:r>
        <w:rPr>
          <w:rFonts w:hint="eastAsia" w:ascii="仿宋" w:hAnsi="仿宋" w:eastAsia="仿宋" w:cs="仿宋"/>
          <w:sz w:val="21"/>
          <w:szCs w:val="21"/>
          <w:highlight w:val="none"/>
        </w:rPr>
        <w:t>中标</w:t>
      </w:r>
      <w:r>
        <w:rPr>
          <w:rFonts w:hint="eastAsia" w:ascii="仿宋" w:hAnsi="仿宋" w:eastAsia="仿宋" w:cs="仿宋"/>
          <w:sz w:val="21"/>
          <w:szCs w:val="21"/>
          <w:highlight w:val="none"/>
          <w:lang w:eastAsia="zh-CN"/>
        </w:rPr>
        <w:t>单位，</w:t>
      </w:r>
      <w:r>
        <w:rPr>
          <w:rFonts w:hint="eastAsia" w:ascii="仿宋" w:hAnsi="仿宋" w:eastAsia="仿宋" w:cs="仿宋"/>
          <w:sz w:val="21"/>
          <w:szCs w:val="21"/>
          <w:highlight w:val="none"/>
        </w:rPr>
        <w:t>如</w:t>
      </w:r>
      <w:r>
        <w:rPr>
          <w:rFonts w:hint="eastAsia" w:ascii="仿宋" w:hAnsi="仿宋" w:eastAsia="仿宋" w:cs="仿宋"/>
          <w:sz w:val="21"/>
          <w:szCs w:val="21"/>
          <w:highlight w:val="none"/>
          <w:lang w:eastAsia="zh-CN"/>
        </w:rPr>
        <w:t>其余投标人</w:t>
      </w:r>
      <w:r>
        <w:rPr>
          <w:rFonts w:hint="eastAsia" w:ascii="仿宋" w:hAnsi="仿宋" w:eastAsia="仿宋" w:cs="仿宋"/>
          <w:sz w:val="21"/>
          <w:szCs w:val="21"/>
          <w:highlight w:val="none"/>
        </w:rPr>
        <w:t>与</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项目预期（价格、质量等）差距较大，对</w:t>
      </w:r>
      <w:r>
        <w:rPr>
          <w:rFonts w:hint="eastAsia" w:ascii="仿宋" w:hAnsi="仿宋" w:eastAsia="仿宋" w:cs="仿宋"/>
          <w:sz w:val="21"/>
          <w:szCs w:val="21"/>
          <w:highlight w:val="none"/>
          <w:lang w:eastAsia="zh-CN"/>
        </w:rPr>
        <w:t>招标人</w:t>
      </w:r>
      <w:r>
        <w:rPr>
          <w:rFonts w:hint="eastAsia" w:ascii="仿宋" w:hAnsi="仿宋" w:eastAsia="仿宋" w:cs="仿宋"/>
          <w:sz w:val="21"/>
          <w:szCs w:val="21"/>
          <w:highlight w:val="none"/>
        </w:rPr>
        <w:t>明显不利的，</w:t>
      </w:r>
      <w:r>
        <w:rPr>
          <w:rFonts w:hint="eastAsia" w:ascii="仿宋" w:hAnsi="仿宋" w:eastAsia="仿宋" w:cs="仿宋"/>
          <w:sz w:val="21"/>
          <w:szCs w:val="21"/>
          <w:highlight w:val="none"/>
          <w:lang w:eastAsia="zh-CN"/>
        </w:rPr>
        <w:t>招标人</w:t>
      </w:r>
      <w:r>
        <w:rPr>
          <w:rFonts w:hint="eastAsia" w:ascii="仿宋" w:hAnsi="仿宋" w:eastAsia="仿宋" w:cs="仿宋"/>
          <w:sz w:val="21"/>
          <w:szCs w:val="21"/>
          <w:highlight w:val="none"/>
        </w:rPr>
        <w:t>将重新组织</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w:t>
      </w:r>
    </w:p>
    <w:p w14:paraId="6E54F361">
      <w:pPr>
        <w:pageBreakBefore w:val="0"/>
        <w:kinsoku/>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（1）因不可抗力或者自身原因不能履行合同的；</w:t>
      </w:r>
    </w:p>
    <w:p w14:paraId="65599C0E">
      <w:pPr>
        <w:pageBreakBefore w:val="0"/>
        <w:kinsoku/>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（2）经过处理投诉举报、监督检查，认定中标结果无效的；</w:t>
      </w:r>
    </w:p>
    <w:p w14:paraId="727FFAAE">
      <w:pPr>
        <w:pageBreakBefore w:val="0"/>
        <w:kinsoku/>
        <w:topLinePunct w:val="0"/>
        <w:bidi w:val="0"/>
        <w:snapToGrid/>
        <w:spacing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（3）中标人拒绝与</w:t>
      </w:r>
      <w:r>
        <w:rPr>
          <w:rFonts w:hint="eastAsia" w:ascii="仿宋" w:hAnsi="仿宋" w:eastAsia="仿宋" w:cs="仿宋"/>
          <w:sz w:val="21"/>
          <w:szCs w:val="21"/>
          <w:highlight w:val="none"/>
          <w:lang w:eastAsia="zh-CN"/>
        </w:rPr>
        <w:t>招标人</w:t>
      </w:r>
      <w:r>
        <w:rPr>
          <w:rFonts w:hint="eastAsia" w:ascii="仿宋" w:hAnsi="仿宋" w:eastAsia="仿宋" w:cs="仿宋"/>
          <w:sz w:val="21"/>
          <w:szCs w:val="21"/>
          <w:highlight w:val="none"/>
        </w:rPr>
        <w:t>签订合同或无法按照投标文件承诺的条件与</w:t>
      </w:r>
      <w:r>
        <w:rPr>
          <w:rFonts w:hint="eastAsia" w:ascii="仿宋" w:hAnsi="仿宋" w:eastAsia="仿宋" w:cs="仿宋"/>
          <w:sz w:val="21"/>
          <w:szCs w:val="21"/>
          <w:highlight w:val="none"/>
          <w:lang w:eastAsia="zh-CN"/>
        </w:rPr>
        <w:t>招标人</w:t>
      </w:r>
      <w:r>
        <w:rPr>
          <w:rFonts w:hint="eastAsia" w:ascii="仿宋" w:hAnsi="仿宋" w:eastAsia="仿宋" w:cs="仿宋"/>
          <w:sz w:val="21"/>
          <w:szCs w:val="21"/>
          <w:highlight w:val="none"/>
        </w:rPr>
        <w:t>签订合同的。</w:t>
      </w:r>
    </w:p>
    <w:p w14:paraId="3374DEE0">
      <w:pPr>
        <w:pageBreakBefore w:val="0"/>
        <w:kinsoku/>
        <w:topLinePunct w:val="0"/>
        <w:autoSpaceDE w:val="0"/>
        <w:autoSpaceDN w:val="0"/>
        <w:bidi w:val="0"/>
        <w:adjustRightInd w:val="0"/>
        <w:snapToGrid/>
        <w:spacing w:line="360" w:lineRule="auto"/>
        <w:ind w:firstLine="315" w:firstLineChars="150"/>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lang w:val="zh-CN"/>
        </w:rPr>
        <w:t>（二）质疑或投诉</w:t>
      </w:r>
    </w:p>
    <w:p w14:paraId="19EE659A">
      <w:pPr>
        <w:pageBreakBefore w:val="0"/>
        <w:kinsoku/>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bCs/>
          <w:kern w:val="0"/>
          <w:sz w:val="21"/>
          <w:szCs w:val="21"/>
          <w:highlight w:val="none"/>
        </w:rPr>
        <w:t>1.</w:t>
      </w:r>
      <w:r>
        <w:rPr>
          <w:rFonts w:hint="eastAsia" w:ascii="仿宋" w:hAnsi="仿宋" w:eastAsia="仿宋" w:cs="仿宋"/>
          <w:bCs/>
          <w:kern w:val="0"/>
          <w:sz w:val="21"/>
          <w:szCs w:val="21"/>
          <w:highlight w:val="none"/>
          <w:lang w:eastAsia="zh-CN"/>
        </w:rPr>
        <w:t>投标人</w:t>
      </w:r>
      <w:r>
        <w:rPr>
          <w:rFonts w:hint="eastAsia" w:ascii="仿宋" w:hAnsi="仿宋" w:eastAsia="仿宋" w:cs="仿宋"/>
          <w:bCs/>
          <w:kern w:val="0"/>
          <w:sz w:val="21"/>
          <w:szCs w:val="21"/>
          <w:highlight w:val="none"/>
        </w:rPr>
        <w:t>认为</w:t>
      </w:r>
      <w:r>
        <w:rPr>
          <w:rFonts w:hint="eastAsia" w:ascii="仿宋" w:hAnsi="仿宋" w:eastAsia="仿宋" w:cs="仿宋"/>
          <w:bCs/>
          <w:kern w:val="0"/>
          <w:sz w:val="21"/>
          <w:szCs w:val="21"/>
          <w:highlight w:val="none"/>
          <w:lang w:eastAsia="zh-CN"/>
        </w:rPr>
        <w:t>招标</w:t>
      </w:r>
      <w:r>
        <w:rPr>
          <w:rFonts w:hint="eastAsia" w:ascii="仿宋" w:hAnsi="仿宋" w:eastAsia="仿宋" w:cs="仿宋"/>
          <w:bCs/>
          <w:kern w:val="0"/>
          <w:sz w:val="21"/>
          <w:szCs w:val="21"/>
          <w:highlight w:val="none"/>
        </w:rPr>
        <w:t>过程和</w:t>
      </w:r>
      <w:r>
        <w:rPr>
          <w:rFonts w:hint="eastAsia" w:ascii="仿宋" w:hAnsi="仿宋" w:eastAsia="仿宋" w:cs="仿宋"/>
          <w:bCs/>
          <w:kern w:val="0"/>
          <w:sz w:val="21"/>
          <w:szCs w:val="21"/>
          <w:highlight w:val="none"/>
          <w:lang w:eastAsia="zh-CN"/>
        </w:rPr>
        <w:t>招标</w:t>
      </w:r>
      <w:r>
        <w:rPr>
          <w:rFonts w:hint="eastAsia" w:ascii="仿宋" w:hAnsi="仿宋" w:eastAsia="仿宋" w:cs="仿宋"/>
          <w:bCs/>
          <w:kern w:val="0"/>
          <w:sz w:val="21"/>
          <w:szCs w:val="21"/>
          <w:highlight w:val="none"/>
        </w:rPr>
        <w:t>结果使自己的权益受到损害的，可以在知道或者应知其权益受到损害之日起</w:t>
      </w:r>
      <w:r>
        <w:rPr>
          <w:rFonts w:hint="eastAsia" w:ascii="仿宋" w:hAnsi="仿宋" w:eastAsia="仿宋" w:cs="仿宋"/>
          <w:bCs/>
          <w:kern w:val="0"/>
          <w:sz w:val="21"/>
          <w:szCs w:val="21"/>
          <w:highlight w:val="none"/>
          <w:lang w:val="en-US" w:eastAsia="zh-CN"/>
        </w:rPr>
        <w:t>2个工作日</w:t>
      </w:r>
      <w:r>
        <w:rPr>
          <w:rFonts w:hint="eastAsia" w:ascii="仿宋" w:hAnsi="仿宋" w:eastAsia="仿宋" w:cs="仿宋"/>
          <w:bCs/>
          <w:kern w:val="0"/>
          <w:sz w:val="21"/>
          <w:szCs w:val="21"/>
          <w:highlight w:val="none"/>
        </w:rPr>
        <w:t>内，以书面形式向</w:t>
      </w:r>
      <w:r>
        <w:rPr>
          <w:rFonts w:hint="eastAsia" w:ascii="仿宋" w:hAnsi="仿宋" w:eastAsia="仿宋" w:cs="仿宋"/>
          <w:bCs/>
          <w:kern w:val="0"/>
          <w:sz w:val="21"/>
          <w:szCs w:val="21"/>
          <w:highlight w:val="none"/>
          <w:lang w:eastAsia="zh-CN"/>
        </w:rPr>
        <w:t>招标人</w:t>
      </w:r>
      <w:r>
        <w:rPr>
          <w:rFonts w:hint="eastAsia" w:ascii="仿宋" w:hAnsi="仿宋" w:eastAsia="仿宋" w:cs="仿宋"/>
          <w:bCs/>
          <w:kern w:val="0"/>
          <w:sz w:val="21"/>
          <w:szCs w:val="21"/>
          <w:highlight w:val="none"/>
        </w:rPr>
        <w:t>或</w:t>
      </w:r>
      <w:r>
        <w:rPr>
          <w:rFonts w:hint="eastAsia" w:ascii="仿宋" w:hAnsi="仿宋" w:eastAsia="仿宋" w:cs="仿宋"/>
          <w:bCs/>
          <w:kern w:val="0"/>
          <w:sz w:val="21"/>
          <w:szCs w:val="21"/>
          <w:highlight w:val="none"/>
          <w:lang w:eastAsia="zh-CN"/>
        </w:rPr>
        <w:t>招标</w:t>
      </w:r>
      <w:r>
        <w:rPr>
          <w:rFonts w:hint="eastAsia" w:ascii="仿宋" w:hAnsi="仿宋" w:eastAsia="仿宋" w:cs="仿宋"/>
          <w:bCs/>
          <w:kern w:val="0"/>
          <w:sz w:val="21"/>
          <w:szCs w:val="21"/>
          <w:highlight w:val="none"/>
        </w:rPr>
        <w:t>代理机构提出质疑</w:t>
      </w:r>
      <w:r>
        <w:rPr>
          <w:rFonts w:hint="eastAsia" w:ascii="仿宋" w:hAnsi="仿宋" w:eastAsia="仿宋" w:cs="仿宋"/>
          <w:bCs/>
          <w:kern w:val="0"/>
          <w:sz w:val="21"/>
          <w:szCs w:val="21"/>
          <w:highlight w:val="none"/>
          <w:lang w:eastAsia="zh-CN"/>
        </w:rPr>
        <w:t>（</w:t>
      </w:r>
      <w:r>
        <w:rPr>
          <w:rFonts w:hint="eastAsia" w:ascii="仿宋" w:hAnsi="仿宋" w:eastAsia="仿宋" w:cs="仿宋"/>
          <w:bCs/>
          <w:sz w:val="21"/>
          <w:szCs w:val="21"/>
          <w:highlight w:val="none"/>
        </w:rPr>
        <w:t>以扫描件形式发送至</w:t>
      </w:r>
      <w:r>
        <w:rPr>
          <w:rFonts w:hint="eastAsia" w:ascii="仿宋" w:hAnsi="仿宋" w:eastAsia="仿宋" w:cs="仿宋"/>
          <w:bCs/>
          <w:sz w:val="21"/>
          <w:szCs w:val="21"/>
          <w:highlight w:val="none"/>
          <w:u w:val="single"/>
        </w:rPr>
        <w:fldChar w:fldCharType="begin"/>
      </w:r>
      <w:r>
        <w:rPr>
          <w:rFonts w:hint="eastAsia" w:ascii="仿宋" w:hAnsi="仿宋" w:eastAsia="仿宋" w:cs="仿宋"/>
          <w:bCs/>
          <w:sz w:val="21"/>
          <w:szCs w:val="21"/>
          <w:highlight w:val="none"/>
          <w:u w:val="single"/>
        </w:rPr>
        <w:instrText xml:space="preserve"> HYPERLINK "mailto:1653374491@qq.com" </w:instrText>
      </w:r>
      <w:r>
        <w:rPr>
          <w:rFonts w:hint="eastAsia" w:ascii="仿宋" w:hAnsi="仿宋" w:eastAsia="仿宋" w:cs="仿宋"/>
          <w:bCs/>
          <w:sz w:val="21"/>
          <w:szCs w:val="21"/>
          <w:highlight w:val="none"/>
          <w:u w:val="single"/>
        </w:rPr>
        <w:fldChar w:fldCharType="separate"/>
      </w:r>
      <w:r>
        <w:rPr>
          <w:rStyle w:val="18"/>
          <w:rFonts w:hint="eastAsia" w:ascii="仿宋" w:hAnsi="仿宋" w:eastAsia="仿宋" w:cs="仿宋"/>
          <w:bCs/>
          <w:color w:val="auto"/>
          <w:sz w:val="21"/>
          <w:szCs w:val="21"/>
          <w:highlight w:val="none"/>
        </w:rPr>
        <w:t>1653374491@qq.com</w:t>
      </w:r>
      <w:r>
        <w:rPr>
          <w:rFonts w:hint="eastAsia" w:ascii="仿宋" w:hAnsi="仿宋" w:eastAsia="仿宋" w:cs="仿宋"/>
          <w:bCs/>
          <w:sz w:val="21"/>
          <w:szCs w:val="21"/>
          <w:highlight w:val="none"/>
          <w:u w:val="single"/>
        </w:rPr>
        <w:fldChar w:fldCharType="end"/>
      </w:r>
      <w:r>
        <w:rPr>
          <w:rFonts w:hint="eastAsia" w:ascii="仿宋" w:hAnsi="仿宋" w:eastAsia="仿宋" w:cs="仿宋"/>
          <w:bCs/>
          <w:sz w:val="21"/>
          <w:szCs w:val="21"/>
          <w:highlight w:val="none"/>
        </w:rPr>
        <w:t>，同时将要求答疑内容的纸质文件（一式三份）邮寄至</w:t>
      </w:r>
      <w:r>
        <w:rPr>
          <w:rFonts w:hint="eastAsia" w:ascii="仿宋" w:hAnsi="仿宋" w:eastAsia="仿宋" w:cs="仿宋"/>
          <w:bCs/>
          <w:sz w:val="21"/>
          <w:szCs w:val="21"/>
          <w:highlight w:val="none"/>
          <w:u w:val="none"/>
        </w:rPr>
        <w:t>浙江省常山县天马街道定阳南路859幢</w:t>
      </w:r>
      <w:r>
        <w:rPr>
          <w:rFonts w:hint="eastAsia" w:ascii="仿宋" w:hAnsi="仿宋" w:eastAsia="仿宋" w:cs="仿宋"/>
          <w:bCs/>
          <w:sz w:val="21"/>
          <w:szCs w:val="21"/>
          <w:highlight w:val="none"/>
          <w:u w:val="none"/>
          <w:lang w:eastAsia="zh-CN"/>
        </w:rPr>
        <w:t>428-43</w:t>
      </w:r>
      <w:r>
        <w:rPr>
          <w:rFonts w:hint="eastAsia" w:ascii="仿宋" w:hAnsi="仿宋" w:eastAsia="仿宋" w:cs="仿宋"/>
          <w:bCs/>
          <w:sz w:val="21"/>
          <w:szCs w:val="21"/>
          <w:highlight w:val="none"/>
          <w:u w:val="none"/>
          <w:lang w:val="en-US" w:eastAsia="zh-CN"/>
        </w:rPr>
        <w:t>5</w:t>
      </w:r>
      <w:r>
        <w:rPr>
          <w:rFonts w:hint="eastAsia" w:ascii="仿宋" w:hAnsi="仿宋" w:eastAsia="仿宋" w:cs="仿宋"/>
          <w:bCs/>
          <w:sz w:val="21"/>
          <w:szCs w:val="21"/>
          <w:highlight w:val="none"/>
          <w:u w:val="none"/>
        </w:rPr>
        <w:t>室姚剑收。电</w:t>
      </w:r>
      <w:r>
        <w:rPr>
          <w:rFonts w:hint="eastAsia" w:ascii="仿宋" w:hAnsi="仿宋" w:eastAsia="仿宋" w:cs="仿宋"/>
          <w:bCs/>
          <w:sz w:val="21"/>
          <w:szCs w:val="21"/>
          <w:highlight w:val="none"/>
        </w:rPr>
        <w:t>子邮件与纸质文件内容不一致的，以纸质文件为准。</w:t>
      </w:r>
      <w:r>
        <w:rPr>
          <w:rFonts w:hint="eastAsia" w:ascii="仿宋" w:hAnsi="仿宋" w:eastAsia="仿宋" w:cs="仿宋"/>
          <w:bCs/>
          <w:kern w:val="0"/>
          <w:sz w:val="21"/>
          <w:szCs w:val="21"/>
          <w:highlight w:val="none"/>
          <w:lang w:eastAsia="zh-CN"/>
        </w:rPr>
        <w:t>）</w:t>
      </w:r>
      <w:r>
        <w:rPr>
          <w:rFonts w:hint="eastAsia" w:ascii="仿宋" w:hAnsi="仿宋" w:eastAsia="仿宋" w:cs="仿宋"/>
          <w:sz w:val="21"/>
          <w:szCs w:val="21"/>
          <w:highlight w:val="none"/>
        </w:rPr>
        <w:t>针对同一</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程序环节的质疑，</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应在法定期限内一次性提出（即针对同一</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程序环节的质疑</w:t>
      </w:r>
      <w:r>
        <w:rPr>
          <w:rFonts w:hint="eastAsia" w:ascii="仿宋" w:hAnsi="仿宋" w:eastAsia="仿宋" w:cs="仿宋"/>
          <w:sz w:val="21"/>
          <w:szCs w:val="21"/>
          <w:highlight w:val="none"/>
          <w:lang w:eastAsia="zh-CN"/>
        </w:rPr>
        <w:t>招标人</w:t>
      </w:r>
      <w:r>
        <w:rPr>
          <w:rFonts w:hint="eastAsia" w:ascii="仿宋" w:hAnsi="仿宋" w:eastAsia="仿宋" w:cs="仿宋"/>
          <w:sz w:val="21"/>
          <w:szCs w:val="21"/>
          <w:highlight w:val="none"/>
        </w:rPr>
        <w:t>或</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代理机构仅受理一次），逾期提出或针对同一</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程序环节多次提出的质疑将不予受理、答复。</w:t>
      </w:r>
    </w:p>
    <w:p w14:paraId="0F583AD4">
      <w:pPr>
        <w:pageBreakBefore w:val="0"/>
        <w:kinsoku/>
        <w:topLinePunct w:val="0"/>
        <w:bidi w:val="0"/>
        <w:snapToGrid/>
        <w:spacing w:line="360" w:lineRule="auto"/>
        <w:ind w:firstLine="420" w:firstLineChars="200"/>
        <w:rPr>
          <w:rFonts w:hint="eastAsia" w:ascii="仿宋" w:hAnsi="仿宋" w:eastAsia="仿宋" w:cs="仿宋"/>
          <w:bCs/>
          <w:kern w:val="0"/>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对</w:t>
      </w:r>
      <w:r>
        <w:rPr>
          <w:rFonts w:hint="eastAsia" w:ascii="仿宋" w:hAnsi="仿宋" w:eastAsia="仿宋" w:cs="仿宋"/>
          <w:sz w:val="21"/>
          <w:szCs w:val="21"/>
          <w:highlight w:val="none"/>
          <w:lang w:eastAsia="zh-CN"/>
        </w:rPr>
        <w:t>招标人</w:t>
      </w:r>
      <w:r>
        <w:rPr>
          <w:rFonts w:hint="eastAsia" w:ascii="仿宋" w:hAnsi="仿宋" w:eastAsia="仿宋" w:cs="仿宋"/>
          <w:sz w:val="21"/>
          <w:szCs w:val="21"/>
          <w:highlight w:val="none"/>
        </w:rPr>
        <w:t>和</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代理机构的质疑答复不满意或者</w:t>
      </w:r>
      <w:r>
        <w:rPr>
          <w:rFonts w:hint="eastAsia" w:ascii="仿宋" w:hAnsi="仿宋" w:eastAsia="仿宋" w:cs="仿宋"/>
          <w:sz w:val="21"/>
          <w:szCs w:val="21"/>
          <w:highlight w:val="none"/>
          <w:lang w:eastAsia="zh-CN"/>
        </w:rPr>
        <w:t>招标人</w:t>
      </w:r>
      <w:r>
        <w:rPr>
          <w:rFonts w:hint="eastAsia" w:ascii="仿宋" w:hAnsi="仿宋" w:eastAsia="仿宋" w:cs="仿宋"/>
          <w:sz w:val="21"/>
          <w:szCs w:val="21"/>
          <w:highlight w:val="none"/>
        </w:rPr>
        <w:t>和</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rPr>
        <w:t>代理机构未在规定时间内作出答复的，可以在答复期满后</w:t>
      </w:r>
      <w:r>
        <w:rPr>
          <w:rFonts w:hint="eastAsia" w:ascii="仿宋" w:hAnsi="仿宋" w:eastAsia="仿宋" w:cs="仿宋"/>
          <w:sz w:val="21"/>
          <w:szCs w:val="21"/>
          <w:highlight w:val="none"/>
          <w:lang w:val="en-US" w:eastAsia="zh-CN"/>
        </w:rPr>
        <w:t>2个工作日</w:t>
      </w:r>
      <w:r>
        <w:rPr>
          <w:rFonts w:hint="eastAsia" w:ascii="仿宋" w:hAnsi="仿宋" w:eastAsia="仿宋" w:cs="仿宋"/>
          <w:sz w:val="21"/>
          <w:szCs w:val="21"/>
          <w:highlight w:val="none"/>
        </w:rPr>
        <w:t>内向行政主管部门和同级纪检、监察部门投诉。</w:t>
      </w:r>
    </w:p>
    <w:p w14:paraId="415EC838">
      <w:pPr>
        <w:pageBreakBefore w:val="0"/>
        <w:kinsoku/>
        <w:topLinePunct w:val="0"/>
        <w:bidi w:val="0"/>
        <w:snapToGrid/>
        <w:spacing w:line="360" w:lineRule="auto"/>
        <w:ind w:firstLine="420" w:firstLineChars="200"/>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投标人</w:t>
      </w:r>
      <w:r>
        <w:rPr>
          <w:rFonts w:hint="eastAsia" w:ascii="仿宋" w:hAnsi="仿宋" w:eastAsia="仿宋" w:cs="仿宋"/>
          <w:bCs/>
          <w:kern w:val="0"/>
          <w:sz w:val="21"/>
          <w:szCs w:val="21"/>
          <w:highlight w:val="none"/>
        </w:rPr>
        <w:t>应知其权益受到损害之日，是指：</w:t>
      </w:r>
    </w:p>
    <w:p w14:paraId="42017918">
      <w:pPr>
        <w:pageBreakBefore w:val="0"/>
        <w:kinsoku/>
        <w:topLinePunct w:val="0"/>
        <w:bidi w:val="0"/>
        <w:snapToGrid/>
        <w:spacing w:line="360" w:lineRule="auto"/>
        <w:ind w:firstLine="420" w:firstLineChars="200"/>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（1）对可以质疑的</w:t>
      </w:r>
      <w:r>
        <w:rPr>
          <w:rFonts w:hint="eastAsia" w:ascii="仿宋" w:hAnsi="仿宋" w:eastAsia="仿宋" w:cs="仿宋"/>
          <w:bCs/>
          <w:kern w:val="0"/>
          <w:sz w:val="21"/>
          <w:szCs w:val="21"/>
          <w:highlight w:val="none"/>
          <w:lang w:eastAsia="zh-CN"/>
        </w:rPr>
        <w:t>招标文件</w:t>
      </w:r>
      <w:r>
        <w:rPr>
          <w:rFonts w:hint="eastAsia" w:ascii="仿宋" w:hAnsi="仿宋" w:eastAsia="仿宋" w:cs="仿宋"/>
          <w:bCs/>
          <w:kern w:val="0"/>
          <w:sz w:val="21"/>
          <w:szCs w:val="21"/>
          <w:highlight w:val="none"/>
        </w:rPr>
        <w:t>提出质疑的，为</w:t>
      </w:r>
      <w:r>
        <w:rPr>
          <w:rFonts w:hint="eastAsia" w:ascii="仿宋" w:hAnsi="仿宋" w:eastAsia="仿宋" w:cs="仿宋"/>
          <w:bCs/>
          <w:kern w:val="0"/>
          <w:sz w:val="21"/>
          <w:szCs w:val="21"/>
          <w:highlight w:val="none"/>
          <w:lang w:eastAsia="zh-CN"/>
        </w:rPr>
        <w:t>招标文件</w:t>
      </w:r>
      <w:r>
        <w:rPr>
          <w:rFonts w:hint="eastAsia" w:ascii="仿宋" w:hAnsi="仿宋" w:eastAsia="仿宋" w:cs="仿宋"/>
          <w:bCs/>
          <w:kern w:val="0"/>
          <w:sz w:val="21"/>
          <w:szCs w:val="21"/>
          <w:highlight w:val="none"/>
        </w:rPr>
        <w:t>公告期限届满之日；</w:t>
      </w:r>
    </w:p>
    <w:p w14:paraId="60404BB2">
      <w:pPr>
        <w:pageBreakBefore w:val="0"/>
        <w:kinsoku/>
        <w:topLinePunct w:val="0"/>
        <w:bidi w:val="0"/>
        <w:snapToGrid/>
        <w:spacing w:line="360" w:lineRule="auto"/>
        <w:ind w:firstLine="420" w:firstLineChars="200"/>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（2）对</w:t>
      </w:r>
      <w:r>
        <w:rPr>
          <w:rFonts w:hint="eastAsia" w:ascii="仿宋" w:hAnsi="仿宋" w:eastAsia="仿宋" w:cs="仿宋"/>
          <w:bCs/>
          <w:kern w:val="0"/>
          <w:sz w:val="21"/>
          <w:szCs w:val="21"/>
          <w:highlight w:val="none"/>
          <w:lang w:eastAsia="zh-CN"/>
        </w:rPr>
        <w:t>招标</w:t>
      </w:r>
      <w:r>
        <w:rPr>
          <w:rFonts w:hint="eastAsia" w:ascii="仿宋" w:hAnsi="仿宋" w:eastAsia="仿宋" w:cs="仿宋"/>
          <w:bCs/>
          <w:kern w:val="0"/>
          <w:sz w:val="21"/>
          <w:szCs w:val="21"/>
          <w:highlight w:val="none"/>
        </w:rPr>
        <w:t>过程提出质疑的，为各</w:t>
      </w:r>
      <w:r>
        <w:rPr>
          <w:rFonts w:hint="eastAsia" w:ascii="仿宋" w:hAnsi="仿宋" w:eastAsia="仿宋" w:cs="仿宋"/>
          <w:bCs/>
          <w:kern w:val="0"/>
          <w:sz w:val="21"/>
          <w:szCs w:val="21"/>
          <w:highlight w:val="none"/>
          <w:lang w:eastAsia="zh-CN"/>
        </w:rPr>
        <w:t>招标</w:t>
      </w:r>
      <w:r>
        <w:rPr>
          <w:rFonts w:hint="eastAsia" w:ascii="仿宋" w:hAnsi="仿宋" w:eastAsia="仿宋" w:cs="仿宋"/>
          <w:bCs/>
          <w:kern w:val="0"/>
          <w:sz w:val="21"/>
          <w:szCs w:val="21"/>
          <w:highlight w:val="none"/>
        </w:rPr>
        <w:t>程序环节结束之日；</w:t>
      </w:r>
    </w:p>
    <w:p w14:paraId="5CBC57ED">
      <w:pPr>
        <w:pageBreakBefore w:val="0"/>
        <w:kinsoku/>
        <w:topLinePunct w:val="0"/>
        <w:bidi w:val="0"/>
        <w:snapToGrid/>
        <w:spacing w:line="360" w:lineRule="auto"/>
        <w:ind w:firstLine="420" w:firstLineChars="200"/>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（3）对</w:t>
      </w:r>
      <w:r>
        <w:rPr>
          <w:rFonts w:hint="eastAsia" w:ascii="仿宋" w:hAnsi="仿宋" w:eastAsia="仿宋" w:cs="仿宋"/>
          <w:bCs/>
          <w:kern w:val="0"/>
          <w:sz w:val="21"/>
          <w:szCs w:val="21"/>
          <w:highlight w:val="none"/>
          <w:lang w:eastAsia="zh-CN"/>
        </w:rPr>
        <w:t>招标</w:t>
      </w:r>
      <w:r>
        <w:rPr>
          <w:rFonts w:hint="eastAsia" w:ascii="仿宋" w:hAnsi="仿宋" w:eastAsia="仿宋" w:cs="仿宋"/>
          <w:bCs/>
          <w:kern w:val="0"/>
          <w:sz w:val="21"/>
          <w:szCs w:val="21"/>
          <w:highlight w:val="none"/>
        </w:rPr>
        <w:t>结果提出质疑的，为中标结果公告期限届满之日。</w:t>
      </w:r>
    </w:p>
    <w:p w14:paraId="49E85AC9">
      <w:pPr>
        <w:pageBreakBefore w:val="0"/>
        <w:kinsoku/>
        <w:topLinePunct w:val="0"/>
        <w:bidi w:val="0"/>
        <w:snapToGrid/>
        <w:spacing w:line="360" w:lineRule="auto"/>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3</w:t>
      </w:r>
      <w:r>
        <w:rPr>
          <w:rFonts w:hint="eastAsia" w:ascii="仿宋" w:hAnsi="仿宋" w:eastAsia="仿宋" w:cs="仿宋"/>
          <w:bCs/>
          <w:sz w:val="21"/>
          <w:szCs w:val="21"/>
          <w:highlight w:val="none"/>
        </w:rPr>
        <w:t>.质疑、投诉应当采用书面形式（质疑函、投诉书格式以财政部制定的范本为准），质疑函、投诉书均应明确阐述</w:t>
      </w:r>
      <w:r>
        <w:rPr>
          <w:rFonts w:hint="eastAsia" w:ascii="仿宋" w:hAnsi="仿宋" w:eastAsia="仿宋" w:cs="仿宋"/>
          <w:bCs/>
          <w:sz w:val="21"/>
          <w:szCs w:val="21"/>
          <w:highlight w:val="none"/>
          <w:lang w:eastAsia="zh-CN"/>
        </w:rPr>
        <w:t>招标文件</w:t>
      </w:r>
      <w:r>
        <w:rPr>
          <w:rFonts w:hint="eastAsia" w:ascii="仿宋" w:hAnsi="仿宋" w:eastAsia="仿宋" w:cs="仿宋"/>
          <w:bCs/>
          <w:sz w:val="21"/>
          <w:szCs w:val="21"/>
          <w:highlight w:val="none"/>
        </w:rPr>
        <w:t>、</w:t>
      </w:r>
      <w:r>
        <w:rPr>
          <w:rFonts w:hint="eastAsia" w:ascii="仿宋" w:hAnsi="仿宋" w:eastAsia="仿宋" w:cs="仿宋"/>
          <w:bCs/>
          <w:sz w:val="21"/>
          <w:szCs w:val="21"/>
          <w:highlight w:val="none"/>
          <w:lang w:eastAsia="zh-CN"/>
        </w:rPr>
        <w:t>招标</w:t>
      </w:r>
      <w:r>
        <w:rPr>
          <w:rFonts w:hint="eastAsia" w:ascii="仿宋" w:hAnsi="仿宋" w:eastAsia="仿宋" w:cs="仿宋"/>
          <w:bCs/>
          <w:sz w:val="21"/>
          <w:szCs w:val="21"/>
          <w:highlight w:val="none"/>
        </w:rPr>
        <w:t>过程或</w:t>
      </w:r>
      <w:r>
        <w:rPr>
          <w:rFonts w:hint="eastAsia" w:ascii="仿宋" w:hAnsi="仿宋" w:eastAsia="仿宋" w:cs="仿宋"/>
          <w:bCs/>
          <w:sz w:val="21"/>
          <w:szCs w:val="21"/>
          <w:highlight w:val="none"/>
          <w:lang w:eastAsia="zh-CN"/>
        </w:rPr>
        <w:t>招标</w:t>
      </w:r>
      <w:r>
        <w:rPr>
          <w:rFonts w:hint="eastAsia" w:ascii="仿宋" w:hAnsi="仿宋" w:eastAsia="仿宋" w:cs="仿宋"/>
          <w:bCs/>
          <w:sz w:val="21"/>
          <w:szCs w:val="21"/>
          <w:highlight w:val="none"/>
        </w:rPr>
        <w:t>结果中使自己权益受到损害的实质性内容，提供相关事实、依据和证据及其来源或线索，便于有关单位调查、答复和处理。</w:t>
      </w:r>
    </w:p>
    <w:p w14:paraId="3C643294">
      <w:pPr>
        <w:pStyle w:val="4"/>
        <w:pageBreakBefore w:val="0"/>
        <w:kinsoku/>
        <w:topLinePunct w:val="0"/>
        <w:bidi w:val="0"/>
        <w:snapToGrid/>
        <w:spacing w:before="0" w:after="0" w:line="360" w:lineRule="auto"/>
        <w:jc w:val="left"/>
        <w:rPr>
          <w:rFonts w:hint="eastAsia" w:ascii="仿宋" w:hAnsi="仿宋" w:eastAsia="仿宋" w:cs="仿宋"/>
          <w:bCs w:val="0"/>
          <w:sz w:val="21"/>
          <w:szCs w:val="21"/>
          <w:highlight w:val="none"/>
          <w:lang w:val="zh-CN"/>
        </w:rPr>
      </w:pPr>
      <w:bookmarkStart w:id="60" w:name="_Toc20032"/>
      <w:bookmarkStart w:id="61" w:name="_Toc18549"/>
      <w:bookmarkStart w:id="62" w:name="_Toc22417"/>
      <w:bookmarkStart w:id="63" w:name="_Toc3663"/>
      <w:bookmarkStart w:id="64" w:name="_Toc8350"/>
      <w:bookmarkStart w:id="65" w:name="_Toc1667"/>
      <w:bookmarkStart w:id="66" w:name="_Toc4877"/>
      <w:r>
        <w:rPr>
          <w:rFonts w:hint="eastAsia" w:ascii="仿宋" w:hAnsi="仿宋" w:eastAsia="仿宋" w:cs="仿宋"/>
          <w:bCs w:val="0"/>
          <w:sz w:val="21"/>
          <w:szCs w:val="21"/>
          <w:highlight w:val="none"/>
          <w:lang w:val="zh-CN"/>
        </w:rPr>
        <w:t>六、合同授予</w:t>
      </w:r>
      <w:bookmarkEnd w:id="60"/>
      <w:bookmarkEnd w:id="61"/>
      <w:bookmarkEnd w:id="62"/>
      <w:bookmarkEnd w:id="63"/>
      <w:bookmarkEnd w:id="64"/>
      <w:bookmarkEnd w:id="65"/>
      <w:bookmarkEnd w:id="66"/>
    </w:p>
    <w:p w14:paraId="260D6149">
      <w:pPr>
        <w:pageBreakBefore w:val="0"/>
        <w:kinsoku/>
        <w:topLinePunct w:val="0"/>
        <w:bidi w:val="0"/>
        <w:snapToGrid/>
        <w:spacing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招标人</w:t>
      </w:r>
      <w:r>
        <w:rPr>
          <w:rFonts w:hint="eastAsia" w:ascii="仿宋" w:hAnsi="仿宋" w:eastAsia="仿宋" w:cs="仿宋"/>
          <w:sz w:val="21"/>
          <w:szCs w:val="21"/>
          <w:highlight w:val="none"/>
        </w:rPr>
        <w:t>与</w:t>
      </w:r>
      <w:r>
        <w:rPr>
          <w:rFonts w:hint="eastAsia" w:ascii="仿宋" w:hAnsi="仿宋" w:eastAsia="仿宋" w:cs="仿宋"/>
          <w:sz w:val="21"/>
          <w:szCs w:val="21"/>
          <w:highlight w:val="none"/>
          <w:lang w:eastAsia="zh-CN"/>
        </w:rPr>
        <w:t>中标单位</w:t>
      </w:r>
      <w:r>
        <w:rPr>
          <w:rFonts w:hint="eastAsia" w:ascii="仿宋" w:hAnsi="仿宋" w:eastAsia="仿宋" w:cs="仿宋"/>
          <w:sz w:val="21"/>
          <w:szCs w:val="21"/>
          <w:highlight w:val="none"/>
        </w:rPr>
        <w:t>应当在中标</w:t>
      </w:r>
      <w:r>
        <w:rPr>
          <w:rFonts w:hint="eastAsia" w:ascii="仿宋" w:hAnsi="仿宋" w:eastAsia="仿宋" w:cs="仿宋"/>
          <w:sz w:val="21"/>
          <w:szCs w:val="21"/>
          <w:highlight w:val="none"/>
          <w:lang w:eastAsia="zh-CN"/>
        </w:rPr>
        <w:t>（成交）</w:t>
      </w:r>
      <w:r>
        <w:rPr>
          <w:rFonts w:hint="eastAsia" w:ascii="仿宋" w:hAnsi="仿宋" w:eastAsia="仿宋" w:cs="仿宋"/>
          <w:sz w:val="21"/>
          <w:szCs w:val="21"/>
          <w:highlight w:val="none"/>
        </w:rPr>
        <w:t>通知书发出之日起</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lang w:eastAsia="zh-CN"/>
        </w:rPr>
        <w:t>日内签订规范的定期存款协议，全面、清晰界定双方权利义务关系。协议内容应包括中标单位提供的具体服务事项、违约责任的处理、双方在确保账户资金安全中的职责、协议变更和终止条件等。</w:t>
      </w:r>
    </w:p>
    <w:p w14:paraId="4B138E35">
      <w:pPr>
        <w:pageBreakBefore w:val="0"/>
        <w:kinsoku/>
        <w:topLinePunct w:val="0"/>
        <w:bidi w:val="0"/>
        <w:snapToGri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2.中标单位在信息系统建设、对账服务、分账核算服务等方面必须有技术支持，另外在相关业务收费方面不得超过其他银行平均收费水平。</w:t>
      </w:r>
    </w:p>
    <w:p w14:paraId="164DE913">
      <w:pPr>
        <w:rPr>
          <w:rStyle w:val="22"/>
          <w:rFonts w:hint="eastAsia" w:ascii="仿宋" w:hAnsi="仿宋" w:eastAsia="仿宋" w:cs="仿宋"/>
          <w:sz w:val="32"/>
          <w:szCs w:val="32"/>
          <w:lang w:val="zh-CN" w:eastAsia="zh-CN" w:bidi="ar-SA"/>
        </w:rPr>
      </w:pPr>
      <w:bookmarkStart w:id="67" w:name="_Toc1959"/>
      <w:bookmarkStart w:id="68" w:name="_Toc3253"/>
      <w:bookmarkStart w:id="69" w:name="_Toc31240_WPSOffice_Level1"/>
      <w:bookmarkStart w:id="70" w:name="_Toc31350"/>
      <w:bookmarkStart w:id="71" w:name="_Toc17547"/>
      <w:bookmarkStart w:id="72" w:name="_Toc21952"/>
      <w:bookmarkStart w:id="73" w:name="_Toc11177"/>
      <w:r>
        <w:rPr>
          <w:rStyle w:val="22"/>
          <w:rFonts w:hint="eastAsia" w:ascii="仿宋" w:hAnsi="仿宋" w:eastAsia="仿宋" w:cs="仿宋"/>
          <w:sz w:val="32"/>
          <w:szCs w:val="32"/>
          <w:lang w:val="zh-CN" w:eastAsia="zh-CN" w:bidi="ar-SA"/>
        </w:rPr>
        <w:br w:type="page"/>
      </w:r>
    </w:p>
    <w:p w14:paraId="2DB8C39F">
      <w:pPr>
        <w:pageBreakBefore w:val="0"/>
        <w:numPr>
          <w:ilvl w:val="0"/>
          <w:numId w:val="0"/>
        </w:numPr>
        <w:kinsoku/>
        <w:topLinePunct w:val="0"/>
        <w:bidi w:val="0"/>
        <w:snapToGrid/>
        <w:spacing w:line="360" w:lineRule="auto"/>
        <w:jc w:val="center"/>
        <w:rPr>
          <w:rFonts w:hint="eastAsia" w:ascii="仿宋" w:hAnsi="仿宋" w:eastAsia="仿宋" w:cs="仿宋"/>
          <w:sz w:val="30"/>
          <w:szCs w:val="32"/>
          <w:highlight w:val="none"/>
          <w:lang w:val="zh-CN" w:eastAsia="zh-CN"/>
        </w:rPr>
      </w:pPr>
      <w:bookmarkStart w:id="74" w:name="_Toc27750"/>
      <w:r>
        <w:rPr>
          <w:rStyle w:val="22"/>
          <w:rFonts w:hint="eastAsia" w:ascii="仿宋" w:hAnsi="仿宋" w:eastAsia="仿宋" w:cs="仿宋"/>
          <w:sz w:val="32"/>
          <w:szCs w:val="32"/>
          <w:lang w:val="zh-CN" w:eastAsia="zh-CN" w:bidi="ar-SA"/>
        </w:rPr>
        <w:t>第三章  招标内容及要求</w:t>
      </w:r>
      <w:bookmarkEnd w:id="67"/>
      <w:bookmarkEnd w:id="68"/>
      <w:bookmarkEnd w:id="69"/>
      <w:bookmarkEnd w:id="70"/>
      <w:bookmarkEnd w:id="71"/>
      <w:bookmarkEnd w:id="72"/>
      <w:bookmarkEnd w:id="73"/>
      <w:bookmarkEnd w:id="74"/>
    </w:p>
    <w:p w14:paraId="16EEE224">
      <w:pPr>
        <w:pStyle w:val="4"/>
        <w:spacing w:before="0" w:after="0" w:line="300" w:lineRule="auto"/>
        <w:jc w:val="left"/>
        <w:rPr>
          <w:rFonts w:hint="eastAsia" w:ascii="仿宋" w:hAnsi="仿宋" w:eastAsia="仿宋" w:cs="仿宋"/>
          <w:b/>
          <w:bCs/>
          <w:sz w:val="21"/>
          <w:szCs w:val="21"/>
          <w:highlight w:val="none"/>
          <w:lang w:val="zh-CN" w:eastAsia="zh-CN"/>
        </w:rPr>
      </w:pPr>
      <w:bookmarkStart w:id="75" w:name="_Toc20246"/>
      <w:bookmarkStart w:id="76" w:name="_Toc14615"/>
      <w:bookmarkStart w:id="77" w:name="_Toc24249"/>
      <w:bookmarkStart w:id="78" w:name="_Toc10968"/>
      <w:bookmarkStart w:id="79" w:name="_Toc11945"/>
      <w:bookmarkStart w:id="80" w:name="_Toc17975"/>
      <w:bookmarkStart w:id="81" w:name="_Toc810"/>
      <w:bookmarkStart w:id="82" w:name="_Toc429245628"/>
      <w:bookmarkStart w:id="83" w:name="_Toc12390"/>
      <w:r>
        <w:rPr>
          <w:rFonts w:hint="eastAsia" w:ascii="仿宋" w:hAnsi="仿宋" w:eastAsia="仿宋" w:cs="仿宋"/>
          <w:b/>
          <w:bCs/>
          <w:sz w:val="21"/>
          <w:szCs w:val="21"/>
          <w:highlight w:val="none"/>
          <w:lang w:val="zh-CN" w:eastAsia="zh-CN"/>
        </w:rPr>
        <w:t>▲一、招标内容</w:t>
      </w:r>
      <w:bookmarkEnd w:id="75"/>
    </w:p>
    <w:p w14:paraId="369B1251">
      <w:pPr>
        <w:pageBreakBefore w:val="0"/>
        <w:kinsoku/>
        <w:topLinePunct w:val="0"/>
        <w:bidi w:val="0"/>
        <w:snapToGrid/>
        <w:spacing w:line="360" w:lineRule="auto"/>
        <w:ind w:firstLine="420"/>
        <w:textAlignment w:val="baseline"/>
        <w:rPr>
          <w:rFonts w:hint="eastAsia" w:ascii="仿宋" w:hAnsi="仿宋" w:eastAsia="仿宋" w:cs="仿宋"/>
          <w:color w:val="auto"/>
          <w:kern w:val="0"/>
          <w:szCs w:val="21"/>
          <w:highlight w:val="none"/>
          <w:lang w:eastAsia="zh-CN"/>
        </w:rPr>
      </w:pPr>
      <w:r>
        <w:rPr>
          <w:rFonts w:hint="eastAsia" w:ascii="仿宋" w:hAnsi="仿宋" w:eastAsia="仿宋" w:cs="仿宋"/>
          <w:b/>
          <w:bCs/>
          <w:color w:val="auto"/>
          <w:kern w:val="0"/>
          <w:szCs w:val="21"/>
          <w:highlight w:val="none"/>
          <w:lang w:val="en-US" w:eastAsia="zh-CN"/>
        </w:rPr>
        <w:t>1. 存款总额：</w:t>
      </w:r>
      <w:r>
        <w:rPr>
          <w:rFonts w:hint="eastAsia" w:ascii="仿宋" w:hAnsi="仿宋" w:eastAsia="仿宋" w:cs="仿宋"/>
          <w:b w:val="0"/>
          <w:bCs w:val="0"/>
          <w:color w:val="auto"/>
          <w:kern w:val="0"/>
          <w:szCs w:val="21"/>
          <w:highlight w:val="none"/>
          <w:lang w:val="en-US" w:eastAsia="zh-CN"/>
        </w:rPr>
        <w:t>常山县测绘服务中心2025年公款存放</w:t>
      </w:r>
      <w:r>
        <w:rPr>
          <w:rFonts w:hint="eastAsia" w:ascii="仿宋" w:hAnsi="仿宋" w:eastAsia="仿宋" w:cs="仿宋"/>
          <w:color w:val="auto"/>
          <w:kern w:val="0"/>
          <w:szCs w:val="21"/>
          <w:lang w:eastAsia="zh-CN"/>
        </w:rPr>
        <w:t>计划招标规模</w:t>
      </w:r>
      <w:r>
        <w:rPr>
          <w:rFonts w:hint="eastAsia" w:ascii="仿宋" w:hAnsi="仿宋" w:eastAsia="仿宋" w:cs="仿宋"/>
          <w:color w:val="auto"/>
          <w:kern w:val="0"/>
          <w:szCs w:val="21"/>
          <w:highlight w:val="none"/>
          <w:lang w:val="en-US" w:eastAsia="zh-CN"/>
        </w:rPr>
        <w:t>600万元</w:t>
      </w:r>
      <w:r>
        <w:rPr>
          <w:rFonts w:hint="eastAsia" w:ascii="仿宋" w:hAnsi="仿宋" w:eastAsia="仿宋" w:cs="仿宋"/>
          <w:color w:val="auto"/>
          <w:kern w:val="0"/>
          <w:szCs w:val="21"/>
          <w:highlight w:val="none"/>
          <w:lang w:eastAsia="zh-CN"/>
        </w:rPr>
        <w:t>。</w:t>
      </w:r>
    </w:p>
    <w:p w14:paraId="031217D3">
      <w:pPr>
        <w:pageBreakBefore w:val="0"/>
        <w:kinsoku/>
        <w:topLinePunct w:val="0"/>
        <w:bidi w:val="0"/>
        <w:snapToGrid/>
        <w:spacing w:line="360" w:lineRule="auto"/>
        <w:ind w:firstLine="420"/>
        <w:textAlignment w:val="baseline"/>
        <w:rPr>
          <w:rFonts w:hint="eastAsia" w:ascii="仿宋" w:hAnsi="仿宋" w:eastAsia="仿宋" w:cs="仿宋"/>
          <w:color w:val="auto"/>
          <w:kern w:val="0"/>
          <w:szCs w:val="21"/>
          <w:highlight w:val="yellow"/>
          <w:lang w:val="en-US" w:eastAsia="zh-CN"/>
        </w:rPr>
      </w:pPr>
      <w:r>
        <w:rPr>
          <w:rFonts w:hint="eastAsia" w:ascii="仿宋" w:hAnsi="仿宋" w:eastAsia="仿宋" w:cs="仿宋"/>
          <w:b/>
          <w:bCs/>
          <w:color w:val="auto"/>
          <w:kern w:val="0"/>
          <w:szCs w:val="21"/>
          <w:highlight w:val="none"/>
          <w:lang w:val="en-US" w:eastAsia="zh-CN"/>
        </w:rPr>
        <w:t>2. 中标单位的确定：</w:t>
      </w:r>
      <w:r>
        <w:rPr>
          <w:rFonts w:hint="eastAsia" w:ascii="仿宋" w:hAnsi="仿宋" w:eastAsia="仿宋" w:cs="仿宋"/>
          <w:color w:val="auto"/>
          <w:kern w:val="0"/>
          <w:szCs w:val="21"/>
          <w:highlight w:val="none"/>
          <w:lang w:eastAsia="zh-CN"/>
        </w:rPr>
        <w:t>本项目确定</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lang w:eastAsia="zh-CN"/>
        </w:rPr>
        <w:t>名中标单位，中标单位存款</w:t>
      </w:r>
      <w:r>
        <w:rPr>
          <w:rFonts w:hint="eastAsia" w:ascii="仿宋" w:hAnsi="仿宋" w:eastAsia="仿宋" w:cs="仿宋"/>
          <w:color w:val="auto"/>
          <w:kern w:val="0"/>
          <w:szCs w:val="21"/>
          <w:highlight w:val="none"/>
          <w:lang w:val="en-US" w:eastAsia="zh-CN"/>
        </w:rPr>
        <w:t>600万元。</w:t>
      </w:r>
    </w:p>
    <w:p w14:paraId="3A5BF73C">
      <w:pPr>
        <w:pStyle w:val="4"/>
        <w:spacing w:before="0" w:after="0" w:line="300" w:lineRule="auto"/>
        <w:jc w:val="left"/>
        <w:rPr>
          <w:rFonts w:hint="eastAsia" w:ascii="仿宋" w:hAnsi="仿宋" w:eastAsia="仿宋" w:cs="仿宋"/>
          <w:b/>
          <w:bCs/>
          <w:sz w:val="21"/>
          <w:szCs w:val="21"/>
          <w:highlight w:val="none"/>
          <w:lang w:val="en-US" w:eastAsia="zh-CN"/>
        </w:rPr>
      </w:pPr>
      <w:bookmarkStart w:id="84" w:name="_Toc19307"/>
      <w:r>
        <w:rPr>
          <w:rFonts w:hint="eastAsia" w:ascii="仿宋" w:hAnsi="仿宋" w:eastAsia="仿宋" w:cs="仿宋"/>
          <w:b/>
          <w:bCs/>
          <w:sz w:val="21"/>
          <w:szCs w:val="21"/>
          <w:highlight w:val="none"/>
          <w:lang w:val="zh-CN" w:eastAsia="zh-CN"/>
        </w:rPr>
        <w:t>▲</w:t>
      </w:r>
      <w:r>
        <w:rPr>
          <w:rFonts w:hint="eastAsia" w:ascii="仿宋" w:hAnsi="仿宋" w:eastAsia="仿宋" w:cs="仿宋"/>
          <w:b/>
          <w:bCs/>
          <w:sz w:val="21"/>
          <w:szCs w:val="21"/>
          <w:highlight w:val="none"/>
          <w:lang w:val="en-US" w:eastAsia="zh-CN"/>
        </w:rPr>
        <w:t>二、服务要求</w:t>
      </w:r>
      <w:bookmarkEnd w:id="84"/>
    </w:p>
    <w:p w14:paraId="675B6343">
      <w:pPr>
        <w:pageBreakBefore w:val="0"/>
        <w:numPr>
          <w:ilvl w:val="0"/>
          <w:numId w:val="0"/>
        </w:numPr>
        <w:kinsoku/>
        <w:topLinePunct w:val="0"/>
        <w:bidi w:val="0"/>
        <w:snapToGrid/>
        <w:spacing w:line="360" w:lineRule="auto"/>
        <w:ind w:firstLine="420" w:firstLineChars="200"/>
        <w:textAlignment w:val="baselin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lang w:eastAsia="zh-CN"/>
        </w:rPr>
        <w:t>严格按照</w:t>
      </w:r>
      <w:r>
        <w:rPr>
          <w:rFonts w:hint="eastAsia" w:ascii="仿宋" w:hAnsi="仿宋" w:eastAsia="仿宋" w:cs="仿宋"/>
          <w:color w:val="auto"/>
          <w:sz w:val="21"/>
          <w:szCs w:val="21"/>
          <w:highlight w:val="none"/>
          <w:lang w:val="en-US" w:eastAsia="zh-CN"/>
        </w:rPr>
        <w:t>常山县财政局关于印发《常山县行政事业单位公款竞争性存放管理办法》的通知(常财预执〔2022〕3号)</w:t>
      </w:r>
      <w:r>
        <w:rPr>
          <w:rFonts w:hint="eastAsia" w:ascii="仿宋" w:hAnsi="仿宋" w:eastAsia="仿宋" w:cs="仿宋"/>
          <w:color w:val="auto"/>
          <w:kern w:val="0"/>
          <w:szCs w:val="21"/>
          <w:highlight w:val="none"/>
          <w:lang w:eastAsia="zh-CN"/>
        </w:rPr>
        <w:t>等相关制度规定，办理各项业务，保证资金的安全性。</w:t>
      </w:r>
    </w:p>
    <w:p w14:paraId="7738E180">
      <w:pPr>
        <w:pageBreakBefore w:val="0"/>
        <w:numPr>
          <w:ilvl w:val="0"/>
          <w:numId w:val="0"/>
        </w:numPr>
        <w:kinsoku/>
        <w:topLinePunct w:val="0"/>
        <w:bidi w:val="0"/>
        <w:snapToGrid/>
        <w:spacing w:line="360" w:lineRule="auto"/>
        <w:ind w:firstLine="420" w:firstLineChars="200"/>
        <w:textAlignment w:val="baseline"/>
        <w:rPr>
          <w:rFonts w:hint="eastAsia" w:ascii="仿宋" w:hAnsi="仿宋" w:eastAsia="仿宋" w:cs="仿宋"/>
          <w:sz w:val="21"/>
          <w:szCs w:val="21"/>
          <w:highlight w:val="none"/>
          <w:lang w:val="en-US" w:eastAsia="zh-CN"/>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sz w:val="21"/>
          <w:szCs w:val="21"/>
          <w:highlight w:val="none"/>
          <w:lang w:val="en-US" w:eastAsia="zh-CN"/>
        </w:rPr>
        <w:t>如后期中标单位在履约期间出现会危及资金存放安全情形的，需要在情况发生3天内及时通知定存单位。</w:t>
      </w:r>
    </w:p>
    <w:p w14:paraId="03C1F3A9">
      <w:pPr>
        <w:pageBreakBefore w:val="0"/>
        <w:kinsoku/>
        <w:topLinePunct w:val="0"/>
        <w:bidi w:val="0"/>
        <w:snapToGrid/>
        <w:spacing w:line="360" w:lineRule="auto"/>
        <w:ind w:firstLine="420"/>
        <w:textAlignment w:val="baselin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lang w:eastAsia="zh-CN"/>
        </w:rPr>
        <w:t>.按承诺优惠利率对存放资金进行计息，及时将利息打入存款人账户。不能以任何理由拒绝办理或部分办理。</w:t>
      </w:r>
    </w:p>
    <w:p w14:paraId="6EB46F47">
      <w:pPr>
        <w:pageBreakBefore w:val="0"/>
        <w:kinsoku/>
        <w:topLinePunct w:val="0"/>
        <w:bidi w:val="0"/>
        <w:snapToGrid/>
        <w:spacing w:line="360" w:lineRule="auto"/>
        <w:ind w:firstLine="420"/>
        <w:textAlignment w:val="baselin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lang w:eastAsia="zh-CN"/>
        </w:rPr>
        <w:t>.依法为甲方的信息保密。</w:t>
      </w:r>
    </w:p>
    <w:p w14:paraId="23B3F921">
      <w:pPr>
        <w:pStyle w:val="4"/>
        <w:spacing w:before="0" w:after="0" w:line="300" w:lineRule="auto"/>
        <w:jc w:val="left"/>
        <w:rPr>
          <w:rFonts w:hint="eastAsia" w:ascii="仿宋" w:hAnsi="仿宋" w:eastAsia="仿宋" w:cs="仿宋"/>
          <w:b/>
          <w:bCs/>
          <w:sz w:val="21"/>
          <w:szCs w:val="21"/>
          <w:highlight w:val="none"/>
          <w:lang w:val="zh-CN" w:eastAsia="zh-CN"/>
        </w:rPr>
      </w:pPr>
      <w:bookmarkStart w:id="85" w:name="_Toc31081"/>
      <w:r>
        <w:rPr>
          <w:rFonts w:hint="eastAsia" w:ascii="仿宋" w:hAnsi="仿宋" w:eastAsia="仿宋" w:cs="仿宋"/>
          <w:b/>
          <w:bCs/>
          <w:sz w:val="21"/>
          <w:szCs w:val="21"/>
          <w:highlight w:val="none"/>
          <w:lang w:val="zh-CN" w:eastAsia="zh-CN"/>
        </w:rPr>
        <w:t>▲三、</w:t>
      </w:r>
      <w:bookmarkEnd w:id="76"/>
      <w:bookmarkEnd w:id="77"/>
      <w:bookmarkEnd w:id="78"/>
      <w:bookmarkEnd w:id="79"/>
      <w:bookmarkEnd w:id="80"/>
      <w:bookmarkEnd w:id="81"/>
      <w:r>
        <w:rPr>
          <w:rFonts w:hint="eastAsia" w:ascii="仿宋" w:hAnsi="仿宋" w:eastAsia="仿宋" w:cs="仿宋"/>
          <w:b/>
          <w:bCs/>
          <w:sz w:val="21"/>
          <w:szCs w:val="21"/>
          <w:highlight w:val="none"/>
          <w:lang w:val="zh-CN" w:eastAsia="zh-CN"/>
        </w:rPr>
        <w:t>商务条款</w:t>
      </w:r>
      <w:bookmarkEnd w:id="85"/>
    </w:p>
    <w:p w14:paraId="7B7C26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1.</w:t>
      </w:r>
      <w:bookmarkEnd w:id="82"/>
      <w:r>
        <w:rPr>
          <w:rFonts w:hint="eastAsia" w:ascii="仿宋" w:hAnsi="仿宋" w:eastAsia="仿宋" w:cs="仿宋"/>
          <w:b/>
          <w:bCs/>
          <w:color w:val="auto"/>
          <w:lang w:val="en-US" w:eastAsia="zh-CN"/>
        </w:rPr>
        <w:t>存期：十二个月</w:t>
      </w:r>
    </w:p>
    <w:p w14:paraId="2E7ED7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bCs/>
          <w:lang w:val="en-US" w:eastAsia="zh-CN"/>
        </w:rPr>
      </w:pPr>
      <w:r>
        <w:rPr>
          <w:rFonts w:hint="eastAsia" w:ascii="仿宋" w:hAnsi="仿宋" w:eastAsia="仿宋" w:cs="仿宋"/>
          <w:b/>
          <w:bCs/>
          <w:color w:val="auto"/>
          <w:lang w:val="en-US" w:eastAsia="zh-CN"/>
        </w:rPr>
        <w:t>2.</w:t>
      </w:r>
      <w:r>
        <w:rPr>
          <w:rFonts w:hint="eastAsia" w:ascii="仿宋" w:hAnsi="仿宋" w:eastAsia="仿宋" w:cs="仿宋"/>
          <w:b/>
          <w:bCs/>
          <w:lang w:val="en-US" w:eastAsia="zh-CN"/>
        </w:rPr>
        <w:t>其他要求：</w:t>
      </w:r>
    </w:p>
    <w:p w14:paraId="279F27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2.1合同签订时，要求中标单位出具廉政承诺书原件（格式见附件），承诺不得向单位领导以及相关业务部门负责人输送任何利益，不得将资金存放与上述人员在本行的配偶、子女及其配偶以及其他特定关系人的业绩、收入挂钩。凡发现并经核实资金存放银行未遵守廉政承诺或者在资金存放中存在其他利益输送行为的，行政事业单位应及时收回资金。</w:t>
      </w:r>
    </w:p>
    <w:p w14:paraId="5FDD5F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2.2有下列情形之一的，招标人有权提前收回中标单位的存放资金，并有权取消其在以后各期竞争性存放的投标资格。</w:t>
      </w:r>
    </w:p>
    <w:p w14:paraId="77DDC8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（一）中标单位在资金存放期间出现资金安全事故、重大违法违规行为或财务状况恶化的；</w:t>
      </w:r>
    </w:p>
    <w:p w14:paraId="603137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（二）监管评级降低且监管部门认为存在较大运营风险的；</w:t>
      </w:r>
    </w:p>
    <w:p w14:paraId="4EFE14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（三）进行不正当投标的；</w:t>
      </w:r>
    </w:p>
    <w:p w14:paraId="6DA85D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（四）中标单位解散或其机构（分支机构）撤离常山区域的；</w:t>
      </w:r>
    </w:p>
    <w:p w14:paraId="5DDC7E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（五）没有按照中标协议承诺履行相应的责任和义务的；</w:t>
      </w:r>
    </w:p>
    <w:p w14:paraId="6A29B1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（六）存在其他妨害资金安全行为的。</w:t>
      </w:r>
    </w:p>
    <w:p w14:paraId="564D55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3.特别提示</w:t>
      </w:r>
    </w:p>
    <w:p w14:paraId="7E1E3DCC">
      <w:pPr>
        <w:pageBreakBefore w:val="0"/>
        <w:kinsoku/>
        <w:topLinePunct w:val="0"/>
        <w:bidi w:val="0"/>
        <w:snapToGrid/>
        <w:spacing w:line="360" w:lineRule="auto"/>
        <w:ind w:firstLine="420"/>
        <w:textAlignment w:val="baseline"/>
        <w:rPr>
          <w:rFonts w:hint="eastAsia" w:ascii="仿宋" w:hAnsi="仿宋" w:eastAsia="仿宋" w:cs="仿宋"/>
          <w:lang w:val="en-US" w:eastAsia="zh-CN"/>
        </w:rPr>
      </w:pPr>
      <w:r>
        <w:rPr>
          <w:rFonts w:hint="eastAsia" w:ascii="仿宋" w:hAnsi="仿宋" w:eastAsia="仿宋" w:cs="仿宋"/>
          <w:lang w:val="en-US" w:eastAsia="zh-CN"/>
        </w:rPr>
        <w:t>3.1定期存款综合收益以定期存款协议书载明的年利率计算，于存款到期日结算。</w:t>
      </w:r>
    </w:p>
    <w:p w14:paraId="08ED0AA3">
      <w:pPr>
        <w:pageBreakBefore w:val="0"/>
        <w:kinsoku/>
        <w:topLinePunct w:val="0"/>
        <w:bidi w:val="0"/>
        <w:snapToGrid/>
        <w:spacing w:line="360" w:lineRule="auto"/>
        <w:ind w:firstLine="420"/>
        <w:textAlignment w:val="baseline"/>
        <w:rPr>
          <w:rFonts w:hint="eastAsia" w:ascii="仿宋" w:hAnsi="仿宋" w:eastAsia="仿宋" w:cs="仿宋"/>
          <w:lang w:val="en-US" w:eastAsia="zh-CN"/>
        </w:rPr>
      </w:pPr>
      <w:r>
        <w:rPr>
          <w:rFonts w:hint="eastAsia" w:ascii="仿宋" w:hAnsi="仿宋" w:eastAsia="仿宋" w:cs="仿宋"/>
          <w:lang w:val="en-US" w:eastAsia="zh-CN"/>
        </w:rPr>
        <w:t>3.2招标人可提前支取全部或部分定期存款，中标单位应积极配合办理。</w:t>
      </w:r>
      <w:r>
        <w:rPr>
          <w:rFonts w:hint="eastAsia" w:ascii="仿宋" w:hAnsi="仿宋" w:eastAsia="仿宋" w:cs="仿宋"/>
          <w:color w:val="auto"/>
          <w:kern w:val="0"/>
          <w:szCs w:val="21"/>
          <w:highlight w:val="none"/>
          <w:lang w:eastAsia="zh-CN"/>
        </w:rPr>
        <w:t>应该在核对相应的材料后给予绿色通道快速处理，不得拖延。</w:t>
      </w:r>
      <w:r>
        <w:rPr>
          <w:rFonts w:hint="eastAsia" w:ascii="仿宋" w:hAnsi="仿宋" w:eastAsia="仿宋" w:cs="仿宋"/>
          <w:lang w:val="en-US" w:eastAsia="zh-CN"/>
        </w:rPr>
        <w:t>提前支取部分，按《人民币单位存款管理办法》相关规定计息。未支取部分仍需按合同约定计算收益。</w:t>
      </w:r>
    </w:p>
    <w:p w14:paraId="120C09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3.3招标人要求提前支取全部或部分定期存款的，若银行不配合按期办理相关定期存款支取手续，或未按协议约定利率结清相应的存款利息的，取消下一年度公款竞争性存放投标资格。</w:t>
      </w:r>
    </w:p>
    <w:p w14:paraId="7E571E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本方案由常山县自然资源和规划局负责解释。</w:t>
      </w:r>
    </w:p>
    <w:p w14:paraId="5600C648">
      <w:pPr>
        <w:pStyle w:val="2"/>
        <w:rPr>
          <w:rFonts w:hint="eastAsia" w:ascii="仿宋" w:hAnsi="仿宋" w:eastAsia="仿宋" w:cs="仿宋"/>
          <w:lang w:val="en-US" w:eastAsia="zh-CN"/>
        </w:rPr>
      </w:pPr>
      <w:r>
        <w:rPr>
          <w:rFonts w:hint="eastAsia" w:ascii="仿宋" w:hAnsi="仿宋" w:eastAsia="仿宋" w:cs="仿宋"/>
          <w:lang w:val="en-US" w:eastAsia="zh-CN"/>
        </w:rPr>
        <w:t xml:space="preserve">  </w:t>
      </w:r>
    </w:p>
    <w:p w14:paraId="62B253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注：招标文件中带“▲”内容为必须满足的实质性要求，投标人必须完全响应，不得出现负偏离，否则按无效投标处理；投标人参与本项目，即视为其完全接受招标文件所有实质性要求及合同条款。</w:t>
      </w:r>
    </w:p>
    <w:p w14:paraId="1134731A">
      <w:pPr>
        <w:spacing w:line="540" w:lineRule="exact"/>
        <w:jc w:val="center"/>
        <w:outlineLvl w:val="0"/>
        <w:rPr>
          <w:rFonts w:hint="eastAsia" w:ascii="仿宋" w:hAnsi="仿宋" w:eastAsia="仿宋" w:cs="仿宋"/>
          <w:b/>
          <w:sz w:val="28"/>
          <w:szCs w:val="28"/>
        </w:rPr>
      </w:pPr>
      <w:r>
        <w:rPr>
          <w:rFonts w:hint="eastAsia" w:ascii="仿宋" w:hAnsi="仿宋" w:eastAsia="仿宋" w:cs="仿宋"/>
          <w:b w:val="0"/>
          <w:bCs w:val="0"/>
          <w:sz w:val="21"/>
          <w:szCs w:val="21"/>
          <w:highlight w:val="none"/>
          <w:lang w:val="en-US" w:eastAsia="zh-CN"/>
        </w:rPr>
        <w:br w:type="page"/>
      </w:r>
      <w:bookmarkEnd w:id="83"/>
      <w:bookmarkStart w:id="86" w:name="_Toc5608"/>
      <w:bookmarkStart w:id="87" w:name="_Toc26365_WPSOffice_Level1"/>
      <w:bookmarkStart w:id="88" w:name="_Toc8700"/>
      <w:bookmarkStart w:id="89" w:name="_Toc22482"/>
      <w:bookmarkStart w:id="90" w:name="_Toc21333"/>
      <w:bookmarkStart w:id="91" w:name="_Toc30025"/>
      <w:bookmarkStart w:id="92" w:name="_Toc22132"/>
      <w:bookmarkStart w:id="93" w:name="_Toc1627"/>
      <w:r>
        <w:rPr>
          <w:rFonts w:hint="eastAsia" w:ascii="仿宋" w:hAnsi="仿宋" w:eastAsia="仿宋" w:cs="仿宋"/>
          <w:b/>
          <w:kern w:val="0"/>
          <w:sz w:val="30"/>
          <w:szCs w:val="32"/>
          <w:highlight w:val="none"/>
          <w:lang w:val="zh-CN" w:eastAsia="zh-CN" w:bidi="ar-SA"/>
        </w:rPr>
        <w:t>第四章  合同文本（供参考）</w:t>
      </w:r>
      <w:bookmarkEnd w:id="86"/>
    </w:p>
    <w:p w14:paraId="4AE4E270">
      <w:pPr>
        <w:jc w:val="center"/>
        <w:rPr>
          <w:rFonts w:hint="eastAsia" w:ascii="仿宋" w:hAnsi="仿宋" w:eastAsia="仿宋" w:cs="仿宋"/>
          <w:b/>
          <w:bCs/>
          <w:sz w:val="28"/>
          <w:szCs w:val="28"/>
        </w:rPr>
      </w:pPr>
    </w:p>
    <w:p w14:paraId="7AAFC871">
      <w:pPr>
        <w:spacing w:line="520" w:lineRule="exact"/>
        <w:rPr>
          <w:rFonts w:hint="eastAsia" w:ascii="仿宋" w:hAnsi="仿宋" w:eastAsia="仿宋" w:cs="仿宋"/>
          <w:sz w:val="21"/>
          <w:szCs w:val="21"/>
          <w:u w:val="single"/>
          <w:lang w:eastAsia="zh-CN"/>
        </w:rPr>
      </w:pPr>
      <w:r>
        <w:rPr>
          <w:rFonts w:hint="eastAsia" w:ascii="仿宋" w:hAnsi="仿宋" w:eastAsia="仿宋" w:cs="仿宋"/>
          <w:sz w:val="21"/>
          <w:szCs w:val="21"/>
        </w:rPr>
        <w:t>甲方:</w:t>
      </w:r>
      <w:r>
        <w:rPr>
          <w:rFonts w:hint="eastAsia" w:ascii="仿宋" w:hAnsi="仿宋" w:eastAsia="仿宋" w:cs="仿宋"/>
          <w:sz w:val="21"/>
          <w:szCs w:val="21"/>
          <w:u w:val="single"/>
          <w:lang w:eastAsia="zh-CN"/>
        </w:rPr>
        <w:t>常山县自然资源和规划局</w:t>
      </w:r>
    </w:p>
    <w:p w14:paraId="69A9BD18">
      <w:pPr>
        <w:spacing w:line="520" w:lineRule="exact"/>
        <w:rPr>
          <w:rFonts w:hint="eastAsia" w:ascii="仿宋" w:hAnsi="仿宋" w:eastAsia="仿宋" w:cs="仿宋"/>
          <w:sz w:val="21"/>
          <w:szCs w:val="21"/>
          <w:u w:val="single"/>
          <w:lang w:val="en-US" w:eastAsia="zh-CN"/>
        </w:rPr>
      </w:pPr>
      <w:r>
        <w:rPr>
          <w:rFonts w:hint="eastAsia" w:ascii="仿宋" w:hAnsi="仿宋" w:eastAsia="仿宋" w:cs="仿宋"/>
          <w:sz w:val="21"/>
          <w:szCs w:val="21"/>
        </w:rPr>
        <w:t>乙方：</w:t>
      </w:r>
      <w:r>
        <w:rPr>
          <w:rFonts w:hint="eastAsia" w:ascii="仿宋" w:hAnsi="仿宋" w:eastAsia="仿宋" w:cs="仿宋"/>
          <w:sz w:val="21"/>
          <w:szCs w:val="21"/>
          <w:u w:val="single"/>
          <w:lang w:eastAsia="zh-CN"/>
        </w:rPr>
        <w:t>（中标单位）</w:t>
      </w:r>
      <w:r>
        <w:rPr>
          <w:rFonts w:hint="eastAsia" w:ascii="仿宋" w:hAnsi="仿宋" w:eastAsia="仿宋" w:cs="仿宋"/>
          <w:sz w:val="21"/>
          <w:szCs w:val="21"/>
          <w:u w:val="single"/>
          <w:lang w:val="en-US" w:eastAsia="zh-CN"/>
        </w:rPr>
        <w:t xml:space="preserve">   </w:t>
      </w:r>
    </w:p>
    <w:p w14:paraId="2E85F729">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highlight w:val="none"/>
          <w:lang w:eastAsia="zh-CN"/>
        </w:rPr>
        <w:t>为保护甲乙双方合法权益，根据《关于防止领导干部在公款存放方面发生利益冲突和利益输送的办法》(浙委办发〔2015〕8号)、</w:t>
      </w:r>
      <w:r>
        <w:rPr>
          <w:rFonts w:hint="eastAsia" w:ascii="仿宋" w:hAnsi="仿宋" w:eastAsia="仿宋" w:cs="仿宋"/>
          <w:color w:val="auto"/>
          <w:sz w:val="21"/>
          <w:szCs w:val="21"/>
          <w:highlight w:val="none"/>
          <w:lang w:val="en-US" w:eastAsia="zh-CN"/>
        </w:rPr>
        <w:t>常山县财政局关于印发《常山县行政事业单位公款竞争性存放管理办法》的通知(常财预执〔2022〕3号)</w:t>
      </w:r>
      <w:r>
        <w:rPr>
          <w:rFonts w:hint="eastAsia" w:ascii="仿宋" w:hAnsi="仿宋" w:eastAsia="仿宋" w:cs="仿宋"/>
          <w:sz w:val="21"/>
          <w:szCs w:val="21"/>
          <w:highlight w:val="none"/>
        </w:rPr>
        <w:t>等</w:t>
      </w:r>
      <w:r>
        <w:rPr>
          <w:rFonts w:hint="eastAsia" w:ascii="仿宋" w:hAnsi="仿宋" w:eastAsia="仿宋" w:cs="仿宋"/>
          <w:sz w:val="21"/>
          <w:szCs w:val="21"/>
        </w:rPr>
        <w:t>有关法律法规和</w:t>
      </w:r>
      <w:r>
        <w:rPr>
          <w:rFonts w:hint="eastAsia" w:ascii="仿宋" w:hAnsi="仿宋" w:eastAsia="仿宋" w:cs="仿宋"/>
          <w:sz w:val="21"/>
          <w:szCs w:val="21"/>
          <w:lang w:eastAsia="zh-CN"/>
        </w:rPr>
        <w:t>甲方</w:t>
      </w:r>
      <w:r>
        <w:rPr>
          <w:rFonts w:hint="eastAsia" w:ascii="仿宋" w:hAnsi="仿宋" w:eastAsia="仿宋" w:cs="仿宋"/>
          <w:sz w:val="21"/>
          <w:szCs w:val="21"/>
          <w:u w:val="single"/>
        </w:rPr>
        <w:t>202</w:t>
      </w:r>
      <w:r>
        <w:rPr>
          <w:rFonts w:hint="eastAsia" w:ascii="仿宋" w:hAnsi="仿宋" w:eastAsia="仿宋" w:cs="仿宋"/>
          <w:sz w:val="21"/>
          <w:szCs w:val="21"/>
          <w:u w:val="single"/>
          <w:lang w:val="en-US" w:eastAsia="zh-CN"/>
        </w:rPr>
        <w:t>5</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日出具的《中标通知书》，结合甲方招标文件、乙方投标文件等相关文件，特签订本协议：</w:t>
      </w:r>
    </w:p>
    <w:p w14:paraId="446F938A">
      <w:pPr>
        <w:spacing w:line="520" w:lineRule="exact"/>
        <w:ind w:firstLine="420" w:firstLineChars="200"/>
        <w:rPr>
          <w:rFonts w:hint="eastAsia" w:ascii="仿宋" w:hAnsi="仿宋" w:eastAsia="仿宋" w:cs="仿宋"/>
          <w:b/>
          <w:bCs/>
          <w:sz w:val="21"/>
          <w:szCs w:val="21"/>
        </w:rPr>
      </w:pPr>
      <w:r>
        <w:rPr>
          <w:rFonts w:hint="eastAsia" w:ascii="仿宋" w:hAnsi="仿宋" w:eastAsia="仿宋" w:cs="仿宋"/>
          <w:b/>
          <w:bCs/>
          <w:sz w:val="21"/>
          <w:szCs w:val="21"/>
        </w:rPr>
        <w:t>一、总则</w:t>
      </w:r>
    </w:p>
    <w:p w14:paraId="0F2D10F2">
      <w:pPr>
        <w:keepNext w:val="0"/>
        <w:keepLines w:val="0"/>
        <w:pageBreakBefore w:val="0"/>
        <w:widowControl w:val="0"/>
        <w:kinsoku/>
        <w:wordWrap w:val="0"/>
        <w:overflowPunct/>
        <w:topLinePunct w:val="0"/>
        <w:autoSpaceDE/>
        <w:autoSpaceDN/>
        <w:bidi w:val="0"/>
        <w:adjustRightInd/>
        <w:snapToGrid/>
        <w:spacing w:line="520" w:lineRule="exact"/>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（一）甲方通过招投标方式，择优确定将</w:t>
      </w:r>
      <w:r>
        <w:rPr>
          <w:rFonts w:hint="eastAsia" w:ascii="仿宋" w:hAnsi="仿宋" w:eastAsia="仿宋" w:cs="仿宋"/>
          <w:color w:val="auto"/>
          <w:kern w:val="0"/>
          <w:szCs w:val="21"/>
          <w:u w:val="single"/>
          <w:lang w:eastAsia="zh-CN"/>
        </w:rPr>
        <w:t>常山县测绘服务中心2025年公款存放招标项目</w:t>
      </w:r>
      <w:r>
        <w:rPr>
          <w:rFonts w:hint="eastAsia" w:ascii="仿宋" w:hAnsi="仿宋" w:eastAsia="仿宋" w:cs="仿宋"/>
          <w:color w:val="auto"/>
          <w:kern w:val="0"/>
          <w:szCs w:val="21"/>
          <w:lang w:eastAsia="zh-CN"/>
        </w:rPr>
        <w:t xml:space="preserve"> 的部分</w:t>
      </w:r>
      <w:r>
        <w:rPr>
          <w:rFonts w:hint="eastAsia" w:ascii="仿宋" w:hAnsi="仿宋" w:eastAsia="仿宋" w:cs="仿宋"/>
          <w:color w:val="auto"/>
          <w:sz w:val="21"/>
          <w:szCs w:val="21"/>
        </w:rPr>
        <w:t>存款存入乙方，其定期存款有关的资金管理、本息收回等活动适用本协议。</w:t>
      </w:r>
    </w:p>
    <w:p w14:paraId="29057EB1">
      <w:pPr>
        <w:keepNext w:val="0"/>
        <w:keepLines w:val="0"/>
        <w:pageBreakBefore w:val="0"/>
        <w:widowControl w:val="0"/>
        <w:kinsoku/>
        <w:wordWrap w:val="0"/>
        <w:overflowPunct/>
        <w:topLinePunct w:val="0"/>
        <w:autoSpaceDE/>
        <w:autoSpaceDN/>
        <w:bidi w:val="0"/>
        <w:adjustRightInd/>
        <w:snapToGrid/>
        <w:spacing w:line="52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（二）经招投标确定，甲方在乙方</w:t>
      </w:r>
      <w:r>
        <w:rPr>
          <w:rFonts w:hint="eastAsia" w:ascii="仿宋" w:hAnsi="仿宋" w:eastAsia="仿宋" w:cs="仿宋"/>
          <w:sz w:val="21"/>
          <w:szCs w:val="21"/>
          <w:lang w:eastAsia="zh-CN"/>
        </w:rPr>
        <w:t>开设定期存单，</w:t>
      </w:r>
      <w:r>
        <w:rPr>
          <w:rFonts w:hint="eastAsia" w:ascii="仿宋" w:hAnsi="仿宋" w:eastAsia="仿宋" w:cs="仿宋"/>
          <w:color w:val="auto"/>
          <w:sz w:val="21"/>
          <w:szCs w:val="21"/>
          <w:lang w:eastAsia="zh-CN"/>
        </w:rPr>
        <w:t>具体定期存款内容及金额：</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万元，存款期限</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，定期存款年利率</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w:t>
      </w:r>
    </w:p>
    <w:p w14:paraId="356A21D0">
      <w:pPr>
        <w:spacing w:line="520" w:lineRule="exact"/>
        <w:ind w:firstLine="420" w:firstLineChars="200"/>
        <w:rPr>
          <w:rFonts w:hint="eastAsia" w:ascii="仿宋" w:hAnsi="仿宋" w:eastAsia="仿宋" w:cs="仿宋"/>
          <w:b/>
          <w:bCs/>
          <w:sz w:val="21"/>
          <w:szCs w:val="21"/>
        </w:rPr>
      </w:pPr>
      <w:r>
        <w:rPr>
          <w:rFonts w:hint="eastAsia" w:ascii="仿宋" w:hAnsi="仿宋" w:eastAsia="仿宋" w:cs="仿宋"/>
          <w:b/>
          <w:bCs/>
          <w:sz w:val="21"/>
          <w:szCs w:val="21"/>
        </w:rPr>
        <w:t>二、甲方权利与义务</w:t>
      </w:r>
    </w:p>
    <w:p w14:paraId="3BD2473F">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（一）甲方权利主要包括：</w:t>
      </w:r>
    </w:p>
    <w:p w14:paraId="34121AA0">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1、要求乙方提供定期存款存单；</w:t>
      </w:r>
    </w:p>
    <w:p w14:paraId="7AE5723C">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2、根据资金管理需要，可提前支取或收回定期存款；</w:t>
      </w:r>
    </w:p>
    <w:p w14:paraId="3BD7F9BB">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3、于定期存款到期日收回本息；</w:t>
      </w:r>
    </w:p>
    <w:p w14:paraId="14548DDF">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（二）甲方义务主要包括：</w:t>
      </w:r>
    </w:p>
    <w:p w14:paraId="352321C6">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1、在双方签订定期存款协议后3个工作日内将存放资金划入乙方；</w:t>
      </w:r>
    </w:p>
    <w:p w14:paraId="1FFA82EF">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2、因资金支付需要提前支取定期存款，应提前通知乙方。</w:t>
      </w:r>
    </w:p>
    <w:p w14:paraId="4101D6EE">
      <w:pPr>
        <w:spacing w:line="520" w:lineRule="exact"/>
        <w:ind w:firstLine="420" w:firstLineChars="200"/>
        <w:rPr>
          <w:rFonts w:hint="eastAsia" w:ascii="仿宋" w:hAnsi="仿宋" w:eastAsia="仿宋" w:cs="仿宋"/>
          <w:b/>
          <w:bCs/>
          <w:sz w:val="21"/>
          <w:szCs w:val="21"/>
        </w:rPr>
      </w:pPr>
      <w:r>
        <w:rPr>
          <w:rFonts w:hint="eastAsia" w:ascii="仿宋" w:hAnsi="仿宋" w:eastAsia="仿宋" w:cs="仿宋"/>
          <w:b/>
          <w:bCs/>
          <w:sz w:val="21"/>
          <w:szCs w:val="21"/>
        </w:rPr>
        <w:t>三、乙方权利与义务</w:t>
      </w:r>
    </w:p>
    <w:p w14:paraId="6395A733">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（一）乙方权利主要包括：在规定时间内接受甲方的存放资金；</w:t>
      </w:r>
    </w:p>
    <w:p w14:paraId="204AA6FC">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（二）乙方义务主要包括：</w:t>
      </w:r>
    </w:p>
    <w:p w14:paraId="77582065">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eastAsia="zh-CN"/>
        </w:rPr>
        <w:t>及时</w:t>
      </w:r>
      <w:r>
        <w:rPr>
          <w:rFonts w:hint="eastAsia" w:ascii="仿宋" w:hAnsi="仿宋" w:eastAsia="仿宋" w:cs="仿宋"/>
          <w:sz w:val="21"/>
          <w:szCs w:val="21"/>
        </w:rPr>
        <w:t>向甲方提供定期存款存单；</w:t>
      </w:r>
    </w:p>
    <w:p w14:paraId="2B1DFB9E">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2、配合甲方做好可能的资金提前支取工作；</w:t>
      </w:r>
    </w:p>
    <w:p w14:paraId="08838E56">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3、定期存款到期及时足额缴清甲方存款本息；</w:t>
      </w:r>
    </w:p>
    <w:p w14:paraId="3D54D491">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4、确保甲方存放资金存续期间的资金安全。</w:t>
      </w:r>
    </w:p>
    <w:p w14:paraId="3E0E413A">
      <w:pPr>
        <w:spacing w:line="520" w:lineRule="exact"/>
        <w:ind w:firstLine="420" w:firstLineChars="200"/>
        <w:rPr>
          <w:rFonts w:hint="eastAsia" w:ascii="仿宋" w:hAnsi="仿宋" w:eastAsia="仿宋" w:cs="仿宋"/>
          <w:b/>
          <w:bCs/>
          <w:sz w:val="21"/>
          <w:szCs w:val="21"/>
        </w:rPr>
      </w:pPr>
      <w:r>
        <w:rPr>
          <w:rFonts w:hint="eastAsia" w:ascii="仿宋" w:hAnsi="仿宋" w:eastAsia="仿宋" w:cs="仿宋"/>
          <w:b/>
          <w:bCs/>
          <w:sz w:val="21"/>
          <w:szCs w:val="21"/>
        </w:rPr>
        <w:t>四、违约责任</w:t>
      </w:r>
    </w:p>
    <w:p w14:paraId="71A8CF87">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除发生不可抗力外，违约责任按以下条款执行：</w:t>
      </w:r>
    </w:p>
    <w:p w14:paraId="6245FC07">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（一）乙方未按约定将存款本息足额划回甲方，应按欠还存款本息额，以协议中定期存款年利率的两倍折成日收益率，按日向甲方支付违约金；</w:t>
      </w:r>
    </w:p>
    <w:p w14:paraId="26637DB5">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（二）甲方未按约定将甲方确认的资金划拨乙方，应按未划拨资金额，以协议中定期存款年利率的两倍折成日收益率，按日向乙方支付违约金；</w:t>
      </w:r>
    </w:p>
    <w:p w14:paraId="548242D9">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（三）有下列情形之一的，甲方有权提前收回在乙方的存放资金，并有权取消乙方参与甲方以后各期资金竞争性存放投标资格：</w:t>
      </w:r>
    </w:p>
    <w:p w14:paraId="42E7E6C1">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1、乙方在资金存续期间出现资金安全事故或重大违规违法行为的；</w:t>
      </w:r>
    </w:p>
    <w:p w14:paraId="4C5043F9">
      <w:pPr>
        <w:spacing w:line="520" w:lineRule="exact"/>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2、乙方综合考评等级降低、监管部门认为存在较大运营风险的</w:t>
      </w:r>
      <w:r>
        <w:rPr>
          <w:rFonts w:hint="eastAsia" w:ascii="仿宋" w:hAnsi="仿宋" w:eastAsia="仿宋" w:cs="仿宋"/>
          <w:sz w:val="21"/>
          <w:szCs w:val="21"/>
          <w:lang w:eastAsia="zh-CN"/>
        </w:rPr>
        <w:t>；</w:t>
      </w:r>
    </w:p>
    <w:p w14:paraId="399ED153">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3、进行不正当投标的；</w:t>
      </w:r>
    </w:p>
    <w:p w14:paraId="5A133655">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乙方没有按照本协议规定履行相应的责任和义务的；</w:t>
      </w:r>
    </w:p>
    <w:p w14:paraId="42D3F9AC">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、不能按规定将到期存款本息足额缴入单位账户的；</w:t>
      </w:r>
    </w:p>
    <w:p w14:paraId="5173232E">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乙方解散或其机构（分支机构）撤离</w:t>
      </w:r>
      <w:r>
        <w:rPr>
          <w:rFonts w:hint="eastAsia" w:ascii="仿宋" w:hAnsi="仿宋" w:eastAsia="仿宋" w:cs="仿宋"/>
          <w:sz w:val="21"/>
          <w:szCs w:val="21"/>
          <w:lang w:eastAsia="zh-CN"/>
        </w:rPr>
        <w:t>常山</w:t>
      </w:r>
      <w:r>
        <w:rPr>
          <w:rFonts w:hint="eastAsia" w:ascii="仿宋" w:hAnsi="仿宋" w:eastAsia="仿宋" w:cs="仿宋"/>
          <w:sz w:val="21"/>
          <w:szCs w:val="21"/>
        </w:rPr>
        <w:t>区</w:t>
      </w:r>
      <w:r>
        <w:rPr>
          <w:rFonts w:hint="eastAsia" w:ascii="仿宋" w:hAnsi="仿宋" w:eastAsia="仿宋" w:cs="仿宋"/>
          <w:sz w:val="21"/>
          <w:szCs w:val="21"/>
          <w:lang w:eastAsia="zh-CN"/>
        </w:rPr>
        <w:t>域</w:t>
      </w:r>
      <w:r>
        <w:rPr>
          <w:rFonts w:hint="eastAsia" w:ascii="仿宋" w:hAnsi="仿宋" w:eastAsia="仿宋" w:cs="仿宋"/>
          <w:sz w:val="21"/>
          <w:szCs w:val="21"/>
        </w:rPr>
        <w:t>的；</w:t>
      </w:r>
    </w:p>
    <w:p w14:paraId="237D163F">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、其他妨害甲方资金安全的情形。</w:t>
      </w:r>
    </w:p>
    <w:p w14:paraId="5BEDBB44">
      <w:pPr>
        <w:spacing w:line="520" w:lineRule="exact"/>
        <w:ind w:firstLine="420" w:firstLineChars="200"/>
        <w:rPr>
          <w:rFonts w:hint="eastAsia" w:ascii="仿宋" w:hAnsi="仿宋" w:eastAsia="仿宋" w:cs="仿宋"/>
          <w:b/>
          <w:bCs/>
          <w:sz w:val="21"/>
          <w:szCs w:val="21"/>
        </w:rPr>
      </w:pPr>
      <w:r>
        <w:rPr>
          <w:rFonts w:hint="eastAsia" w:ascii="仿宋" w:hAnsi="仿宋" w:eastAsia="仿宋" w:cs="仿宋"/>
          <w:b/>
          <w:bCs/>
          <w:sz w:val="21"/>
          <w:szCs w:val="21"/>
        </w:rPr>
        <w:t>五、提前支取（收回）</w:t>
      </w:r>
    </w:p>
    <w:p w14:paraId="0065917D">
      <w:pPr>
        <w:spacing w:line="5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甲方可提前支取全部或部分定期存款，乙方应积极配合办理。提前支取部分，按《人民币单位存款管理办法》相关规定计息。未支取部分仍需按协议约定计算</w:t>
      </w:r>
      <w:r>
        <w:rPr>
          <w:rFonts w:hint="eastAsia" w:ascii="仿宋" w:hAnsi="仿宋" w:eastAsia="仿宋" w:cs="仿宋"/>
          <w:sz w:val="21"/>
          <w:szCs w:val="21"/>
          <w:lang w:eastAsia="zh-CN"/>
        </w:rPr>
        <w:t>利息</w:t>
      </w:r>
      <w:r>
        <w:rPr>
          <w:rFonts w:hint="eastAsia" w:ascii="仿宋" w:hAnsi="仿宋" w:eastAsia="仿宋" w:cs="仿宋"/>
          <w:sz w:val="21"/>
          <w:szCs w:val="21"/>
        </w:rPr>
        <w:t>。</w:t>
      </w:r>
    </w:p>
    <w:p w14:paraId="3250654E">
      <w:pPr>
        <w:spacing w:line="520" w:lineRule="exact"/>
        <w:ind w:firstLine="420" w:firstLineChars="200"/>
        <w:rPr>
          <w:rFonts w:hint="eastAsia" w:ascii="仿宋" w:hAnsi="仿宋" w:eastAsia="仿宋" w:cs="仿宋"/>
          <w:b/>
          <w:bCs/>
          <w:sz w:val="21"/>
          <w:szCs w:val="21"/>
        </w:rPr>
      </w:pPr>
      <w:r>
        <w:rPr>
          <w:rFonts w:hint="eastAsia" w:ascii="仿宋" w:hAnsi="仿宋" w:eastAsia="仿宋" w:cs="仿宋"/>
          <w:b/>
          <w:bCs/>
          <w:sz w:val="21"/>
          <w:szCs w:val="21"/>
        </w:rPr>
        <w:t>六、争议的解决</w:t>
      </w:r>
    </w:p>
    <w:p w14:paraId="094C9577">
      <w:pPr>
        <w:spacing w:line="52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rPr>
        <w:t>在协议履</w:t>
      </w:r>
      <w:r>
        <w:rPr>
          <w:rFonts w:hint="eastAsia" w:ascii="仿宋" w:hAnsi="仿宋" w:eastAsia="仿宋" w:cs="仿宋"/>
          <w:sz w:val="21"/>
          <w:szCs w:val="21"/>
          <w:highlight w:val="none"/>
        </w:rPr>
        <w:t>行过程中出现问题或争议的，双方应开展友好协商，妥善解决。如协商不成，任何一方有权在本协议履行地通过诉讼的途径解决。</w:t>
      </w:r>
    </w:p>
    <w:p w14:paraId="6ABDA9BB">
      <w:pPr>
        <w:spacing w:line="520" w:lineRule="exact"/>
        <w:ind w:firstLine="420" w:firstLineChars="200"/>
        <w:rPr>
          <w:rFonts w:hint="eastAsia" w:ascii="仿宋" w:hAnsi="仿宋" w:eastAsia="仿宋" w:cs="仿宋"/>
          <w:sz w:val="21"/>
          <w:szCs w:val="21"/>
          <w:highlight w:val="none"/>
        </w:rPr>
      </w:pPr>
      <w:r>
        <w:rPr>
          <w:rFonts w:hint="eastAsia" w:ascii="仿宋" w:hAnsi="仿宋" w:eastAsia="仿宋" w:cs="仿宋"/>
          <w:b/>
          <w:bCs/>
          <w:sz w:val="21"/>
          <w:szCs w:val="21"/>
          <w:highlight w:val="none"/>
        </w:rPr>
        <w:t>七、</w:t>
      </w:r>
      <w:r>
        <w:rPr>
          <w:rFonts w:hint="eastAsia" w:ascii="仿宋" w:hAnsi="仿宋" w:eastAsia="仿宋" w:cs="仿宋"/>
          <w:sz w:val="21"/>
          <w:szCs w:val="21"/>
          <w:highlight w:val="none"/>
        </w:rPr>
        <w:t>本协议一式</w:t>
      </w:r>
      <w:r>
        <w:rPr>
          <w:rFonts w:hint="eastAsia" w:ascii="仿宋" w:hAnsi="仿宋" w:eastAsia="仿宋" w:cs="仿宋"/>
          <w:sz w:val="21"/>
          <w:szCs w:val="21"/>
          <w:highlight w:val="none"/>
          <w:lang w:eastAsia="zh-CN"/>
        </w:rPr>
        <w:t>叁</w:t>
      </w:r>
      <w:r>
        <w:rPr>
          <w:rFonts w:hint="eastAsia" w:ascii="仿宋" w:hAnsi="仿宋" w:eastAsia="仿宋" w:cs="仿宋"/>
          <w:sz w:val="21"/>
          <w:szCs w:val="21"/>
          <w:highlight w:val="none"/>
        </w:rPr>
        <w:t>份，甲、乙双方各执</w:t>
      </w:r>
      <w:r>
        <w:rPr>
          <w:rFonts w:hint="eastAsia" w:ascii="仿宋" w:hAnsi="仿宋" w:eastAsia="仿宋" w:cs="仿宋"/>
          <w:sz w:val="21"/>
          <w:szCs w:val="21"/>
          <w:highlight w:val="none"/>
          <w:lang w:eastAsia="zh-CN"/>
        </w:rPr>
        <w:t>壹</w:t>
      </w:r>
      <w:r>
        <w:rPr>
          <w:rFonts w:hint="eastAsia" w:ascii="仿宋" w:hAnsi="仿宋" w:eastAsia="仿宋" w:cs="仿宋"/>
          <w:sz w:val="21"/>
          <w:szCs w:val="21"/>
          <w:highlight w:val="none"/>
        </w:rPr>
        <w:t>份，</w:t>
      </w:r>
      <w:r>
        <w:rPr>
          <w:rFonts w:hint="eastAsia" w:ascii="仿宋" w:hAnsi="仿宋" w:eastAsia="仿宋" w:cs="仿宋"/>
          <w:sz w:val="21"/>
          <w:szCs w:val="21"/>
          <w:highlight w:val="none"/>
          <w:lang w:eastAsia="zh-CN"/>
        </w:rPr>
        <w:t>招标代理机构执</w:t>
      </w:r>
      <w:r>
        <w:rPr>
          <w:rFonts w:hint="eastAsia" w:ascii="仿宋" w:hAnsi="仿宋" w:eastAsia="仿宋" w:cs="仿宋"/>
          <w:sz w:val="21"/>
          <w:szCs w:val="21"/>
          <w:highlight w:val="none"/>
        </w:rPr>
        <w:t>一份。</w:t>
      </w:r>
    </w:p>
    <w:p w14:paraId="0B1D31AB">
      <w:pPr>
        <w:spacing w:line="520" w:lineRule="exact"/>
        <w:ind w:firstLine="420" w:firstLineChars="200"/>
        <w:rPr>
          <w:rFonts w:hint="eastAsia" w:ascii="仿宋" w:hAnsi="仿宋" w:eastAsia="仿宋" w:cs="仿宋"/>
          <w:sz w:val="21"/>
          <w:szCs w:val="21"/>
          <w:highlight w:val="none"/>
        </w:rPr>
      </w:pPr>
      <w:r>
        <w:rPr>
          <w:rFonts w:hint="eastAsia" w:ascii="仿宋" w:hAnsi="仿宋" w:eastAsia="仿宋" w:cs="仿宋"/>
          <w:b/>
          <w:bCs/>
          <w:sz w:val="21"/>
          <w:szCs w:val="21"/>
          <w:highlight w:val="none"/>
        </w:rPr>
        <w:t>八、</w:t>
      </w:r>
      <w:r>
        <w:rPr>
          <w:rFonts w:hint="eastAsia" w:ascii="仿宋" w:hAnsi="仿宋" w:eastAsia="仿宋" w:cs="仿宋"/>
          <w:sz w:val="21"/>
          <w:szCs w:val="21"/>
          <w:highlight w:val="none"/>
        </w:rPr>
        <w:t>本协议自签订之日起生效。</w:t>
      </w:r>
    </w:p>
    <w:p w14:paraId="115A29E1">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以下为签署页无正文。</w:t>
      </w:r>
    </w:p>
    <w:p w14:paraId="669853EE">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br w:type="page"/>
      </w:r>
    </w:p>
    <w:p w14:paraId="1C999B94">
      <w:pPr>
        <w:spacing w:line="520" w:lineRule="exact"/>
        <w:rPr>
          <w:rFonts w:hint="eastAsia" w:ascii="仿宋" w:hAnsi="仿宋" w:eastAsia="仿宋" w:cs="仿宋"/>
          <w:sz w:val="21"/>
          <w:szCs w:val="21"/>
        </w:rPr>
      </w:pPr>
      <w:r>
        <w:rPr>
          <w:rFonts w:hint="eastAsia" w:ascii="仿宋" w:hAnsi="仿宋" w:eastAsia="仿宋" w:cs="仿宋"/>
          <w:sz w:val="21"/>
          <w:szCs w:val="21"/>
          <w:lang w:eastAsia="zh-CN"/>
        </w:rPr>
        <w:t>甲方</w:t>
      </w:r>
      <w:r>
        <w:rPr>
          <w:rFonts w:hint="eastAsia" w:ascii="仿宋" w:hAnsi="仿宋" w:eastAsia="仿宋" w:cs="仿宋"/>
          <w:sz w:val="21"/>
          <w:szCs w:val="21"/>
        </w:rPr>
        <w:t xml:space="preserve">（盖章）：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eastAsia="zh-CN"/>
        </w:rPr>
        <w:t>乙方</w:t>
      </w:r>
      <w:r>
        <w:rPr>
          <w:rFonts w:hint="eastAsia" w:ascii="仿宋" w:hAnsi="仿宋" w:eastAsia="仿宋" w:cs="仿宋"/>
          <w:sz w:val="21"/>
          <w:szCs w:val="21"/>
        </w:rPr>
        <w:t>（盖章）：</w:t>
      </w:r>
    </w:p>
    <w:p w14:paraId="5E65D445">
      <w:pPr>
        <w:spacing w:line="520" w:lineRule="exact"/>
        <w:rPr>
          <w:rFonts w:hint="eastAsia" w:ascii="仿宋" w:hAnsi="仿宋" w:eastAsia="仿宋" w:cs="仿宋"/>
          <w:sz w:val="21"/>
          <w:szCs w:val="21"/>
        </w:rPr>
      </w:pPr>
    </w:p>
    <w:p w14:paraId="4ED551BB">
      <w:pPr>
        <w:spacing w:line="520" w:lineRule="exact"/>
        <w:rPr>
          <w:rFonts w:hint="eastAsia" w:ascii="仿宋" w:hAnsi="仿宋" w:eastAsia="仿宋" w:cs="仿宋"/>
          <w:sz w:val="21"/>
          <w:szCs w:val="21"/>
        </w:rPr>
      </w:pPr>
      <w:r>
        <w:rPr>
          <w:rFonts w:hint="eastAsia" w:ascii="仿宋" w:hAnsi="仿宋" w:eastAsia="仿宋" w:cs="仿宋"/>
          <w:sz w:val="21"/>
          <w:szCs w:val="21"/>
        </w:rPr>
        <w:t xml:space="preserve">法定代表人：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法定代表人（或</w:t>
      </w:r>
    </w:p>
    <w:p w14:paraId="21BB176E">
      <w:pPr>
        <w:spacing w:line="520" w:lineRule="exact"/>
        <w:ind w:firstLine="5670" w:firstLineChars="2700"/>
        <w:rPr>
          <w:rFonts w:hint="eastAsia" w:ascii="仿宋" w:hAnsi="仿宋" w:eastAsia="仿宋" w:cs="仿宋"/>
          <w:sz w:val="21"/>
          <w:szCs w:val="21"/>
        </w:rPr>
      </w:pPr>
      <w:r>
        <w:rPr>
          <w:rFonts w:hint="eastAsia" w:ascii="仿宋" w:hAnsi="仿宋" w:eastAsia="仿宋" w:cs="仿宋"/>
          <w:sz w:val="21"/>
          <w:szCs w:val="21"/>
        </w:rPr>
        <w:t>在</w:t>
      </w:r>
      <w:r>
        <w:rPr>
          <w:rFonts w:hint="eastAsia" w:ascii="仿宋" w:hAnsi="仿宋" w:eastAsia="仿宋" w:cs="仿宋"/>
          <w:sz w:val="21"/>
          <w:szCs w:val="21"/>
          <w:lang w:eastAsia="zh-CN"/>
        </w:rPr>
        <w:t>常</w:t>
      </w:r>
      <w:r>
        <w:rPr>
          <w:rFonts w:hint="eastAsia" w:ascii="仿宋" w:hAnsi="仿宋" w:eastAsia="仿宋" w:cs="仿宋"/>
          <w:sz w:val="21"/>
          <w:szCs w:val="21"/>
        </w:rPr>
        <w:t>机构负责人）：</w:t>
      </w:r>
    </w:p>
    <w:p w14:paraId="77FD1BFE">
      <w:pPr>
        <w:spacing w:line="520" w:lineRule="exact"/>
        <w:rPr>
          <w:rFonts w:hint="eastAsia" w:ascii="仿宋" w:hAnsi="仿宋" w:eastAsia="仿宋" w:cs="仿宋"/>
          <w:sz w:val="21"/>
          <w:szCs w:val="21"/>
        </w:rPr>
      </w:pPr>
      <w:r>
        <w:rPr>
          <w:rFonts w:hint="eastAsia" w:ascii="仿宋" w:hAnsi="仿宋" w:eastAsia="仿宋" w:cs="仿宋"/>
          <w:sz w:val="21"/>
          <w:szCs w:val="21"/>
        </w:rPr>
        <w:t xml:space="preserve">或授权委托人（签字）：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或授权委托人（签字）：</w:t>
      </w:r>
    </w:p>
    <w:p w14:paraId="4C82E17A">
      <w:pPr>
        <w:spacing w:line="520" w:lineRule="exact"/>
        <w:rPr>
          <w:rFonts w:hint="eastAsia" w:ascii="仿宋" w:hAnsi="仿宋" w:eastAsia="仿宋" w:cs="仿宋"/>
          <w:sz w:val="21"/>
          <w:szCs w:val="21"/>
        </w:rPr>
      </w:pPr>
    </w:p>
    <w:p w14:paraId="69B78969">
      <w:pPr>
        <w:spacing w:line="520" w:lineRule="exact"/>
        <w:rPr>
          <w:rFonts w:hint="eastAsia" w:ascii="仿宋" w:hAnsi="仿宋" w:eastAsia="仿宋" w:cs="仿宋"/>
          <w:sz w:val="21"/>
          <w:szCs w:val="21"/>
        </w:rPr>
      </w:pPr>
      <w:r>
        <w:rPr>
          <w:rFonts w:hint="eastAsia" w:ascii="仿宋" w:hAnsi="仿宋" w:eastAsia="仿宋" w:cs="仿宋"/>
          <w:sz w:val="21"/>
          <w:szCs w:val="21"/>
        </w:rPr>
        <w:t xml:space="preserve">电话：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电话：</w:t>
      </w:r>
    </w:p>
    <w:p w14:paraId="5D4E6C70">
      <w:pPr>
        <w:spacing w:line="520" w:lineRule="exact"/>
        <w:rPr>
          <w:rFonts w:hint="eastAsia" w:ascii="仿宋" w:hAnsi="仿宋" w:eastAsia="仿宋" w:cs="仿宋"/>
          <w:sz w:val="21"/>
          <w:szCs w:val="21"/>
        </w:rPr>
      </w:pPr>
    </w:p>
    <w:p w14:paraId="3706B9FB">
      <w:pPr>
        <w:spacing w:line="520" w:lineRule="exact"/>
        <w:rPr>
          <w:rFonts w:hint="eastAsia" w:ascii="仿宋" w:hAnsi="仿宋" w:eastAsia="仿宋" w:cs="仿宋"/>
          <w:sz w:val="21"/>
          <w:szCs w:val="21"/>
        </w:rPr>
      </w:pPr>
      <w:r>
        <w:rPr>
          <w:rFonts w:hint="eastAsia" w:ascii="仿宋" w:hAnsi="仿宋" w:eastAsia="仿宋" w:cs="仿宋"/>
          <w:sz w:val="21"/>
          <w:szCs w:val="21"/>
        </w:rPr>
        <w:t xml:space="preserve">签约时间：    年   月   日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签约时间：    年   月   日</w:t>
      </w:r>
    </w:p>
    <w:p w14:paraId="63058941">
      <w:pPr>
        <w:spacing w:line="520" w:lineRule="exact"/>
        <w:rPr>
          <w:rFonts w:hint="eastAsia" w:ascii="仿宋" w:hAnsi="仿宋" w:eastAsia="仿宋" w:cs="仿宋"/>
          <w:sz w:val="21"/>
          <w:szCs w:val="21"/>
          <w:lang w:val="en-US" w:eastAsia="zh-CN"/>
        </w:rPr>
      </w:pPr>
    </w:p>
    <w:p w14:paraId="537B5BAA">
      <w:pPr>
        <w:spacing w:line="520" w:lineRule="exact"/>
        <w:rPr>
          <w:rFonts w:hint="eastAsia" w:ascii="仿宋" w:hAnsi="仿宋" w:eastAsia="仿宋" w:cs="仿宋"/>
          <w:sz w:val="21"/>
          <w:szCs w:val="21"/>
          <w:lang w:val="en-US" w:eastAsia="zh-CN"/>
        </w:rPr>
      </w:pPr>
    </w:p>
    <w:p w14:paraId="062328E5">
      <w:pPr>
        <w:spacing w:line="52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14:paraId="593BDE60">
      <w:pPr>
        <w:spacing w:line="520" w:lineRule="exact"/>
        <w:rPr>
          <w:rFonts w:hint="eastAsia" w:ascii="仿宋" w:hAnsi="仿宋" w:eastAsia="仿宋" w:cs="仿宋"/>
          <w:sz w:val="21"/>
          <w:szCs w:val="21"/>
          <w:lang w:eastAsia="zh-CN"/>
        </w:rPr>
      </w:pPr>
      <w:r>
        <w:rPr>
          <w:rFonts w:hint="eastAsia" w:ascii="仿宋" w:hAnsi="仿宋" w:eastAsia="仿宋" w:cs="仿宋"/>
          <w:sz w:val="21"/>
          <w:szCs w:val="21"/>
        </w:rPr>
        <w:t>签约地点：</w:t>
      </w:r>
      <w:r>
        <w:rPr>
          <w:rFonts w:hint="eastAsia" w:ascii="仿宋" w:hAnsi="仿宋" w:eastAsia="仿宋" w:cs="仿宋"/>
          <w:sz w:val="21"/>
          <w:szCs w:val="21"/>
          <w:lang w:eastAsia="zh-CN"/>
        </w:rPr>
        <w:t>常山县自然资源和规划局</w:t>
      </w:r>
    </w:p>
    <w:p w14:paraId="6C41C97A">
      <w:pPr>
        <w:keepNext w:val="0"/>
        <w:keepLines w:val="0"/>
        <w:pageBreakBefore w:val="0"/>
        <w:widowControl w:val="0"/>
        <w:kinsoku/>
        <w:wordWrap/>
        <w:overflowPunct/>
        <w:topLinePunct w:val="0"/>
        <w:autoSpaceDE/>
        <w:autoSpaceDN/>
        <w:bidi w:val="0"/>
        <w:adjustRightInd/>
        <w:snapToGrid/>
        <w:spacing w:line="720" w:lineRule="auto"/>
        <w:ind w:right="28"/>
        <w:jc w:val="left"/>
        <w:textAlignment w:val="auto"/>
        <w:rPr>
          <w:rFonts w:hint="eastAsia" w:ascii="仿宋" w:hAnsi="仿宋" w:eastAsia="仿宋" w:cs="仿宋"/>
          <w:sz w:val="21"/>
          <w:szCs w:val="21"/>
        </w:rPr>
      </w:pPr>
    </w:p>
    <w:p w14:paraId="4781F49A">
      <w:pPr>
        <w:spacing w:line="560" w:lineRule="exact"/>
        <w:ind w:right="26" w:firstLine="570"/>
        <w:jc w:val="left"/>
        <w:rPr>
          <w:rFonts w:hint="eastAsia" w:ascii="仿宋" w:hAnsi="仿宋" w:eastAsia="仿宋" w:cs="仿宋"/>
          <w:sz w:val="32"/>
          <w:szCs w:val="32"/>
        </w:rPr>
      </w:pPr>
    </w:p>
    <w:p w14:paraId="1BAE12ED">
      <w:pPr>
        <w:spacing w:line="560" w:lineRule="exact"/>
        <w:ind w:right="26" w:firstLine="420" w:firstLineChars="200"/>
        <w:rPr>
          <w:rFonts w:hint="eastAsia" w:ascii="仿宋" w:hAnsi="仿宋" w:eastAsia="仿宋" w:cs="仿宋"/>
          <w:sz w:val="21"/>
          <w:szCs w:val="21"/>
        </w:rPr>
      </w:pPr>
    </w:p>
    <w:p w14:paraId="5D1B719E">
      <w:pPr>
        <w:pStyle w:val="13"/>
        <w:spacing w:line="700" w:lineRule="exact"/>
        <w:outlineLvl w:val="0"/>
        <w:rPr>
          <w:rFonts w:hint="eastAsia" w:ascii="仿宋" w:hAnsi="仿宋" w:eastAsia="仿宋" w:cs="仿宋"/>
          <w:sz w:val="30"/>
          <w:szCs w:val="32"/>
          <w:highlight w:val="none"/>
          <w:lang w:val="zh-CN" w:eastAsia="zh-CN"/>
        </w:rPr>
      </w:pPr>
      <w:r>
        <w:rPr>
          <w:rFonts w:hint="eastAsia" w:ascii="仿宋" w:hAnsi="仿宋" w:eastAsia="仿宋" w:cs="仿宋"/>
          <w:sz w:val="30"/>
          <w:szCs w:val="32"/>
          <w:highlight w:val="none"/>
          <w:lang w:val="zh-CN" w:eastAsia="zh-CN"/>
        </w:rPr>
        <w:br w:type="page"/>
      </w:r>
      <w:bookmarkStart w:id="94" w:name="_Toc24242"/>
      <w:r>
        <w:rPr>
          <w:rFonts w:hint="eastAsia" w:ascii="仿宋" w:hAnsi="仿宋" w:eastAsia="仿宋" w:cs="仿宋"/>
          <w:sz w:val="30"/>
          <w:szCs w:val="32"/>
          <w:highlight w:val="none"/>
          <w:lang w:val="zh-CN" w:eastAsia="zh-CN"/>
        </w:rPr>
        <w:t>第五章  评标办法及评分标准</w:t>
      </w:r>
      <w:bookmarkEnd w:id="94"/>
    </w:p>
    <w:p w14:paraId="03C01D0C">
      <w:pPr>
        <w:spacing w:line="400" w:lineRule="exact"/>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一、评标原则</w:t>
      </w:r>
    </w:p>
    <w:p w14:paraId="5AD70725">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评标工作遵循公平、公正、科学、择优原则和诚实、信誉、效率的原则。本着科学、严谨的态度，认真进行评标。择优选用，推进技术进步，确保工程质量、交货按期，节约投资，最大限度的保护当事人权益。严格按照</w:t>
      </w:r>
      <w:r>
        <w:rPr>
          <w:rFonts w:hint="eastAsia" w:ascii="仿宋" w:hAnsi="仿宋" w:eastAsia="仿宋" w:cs="仿宋"/>
          <w:szCs w:val="21"/>
          <w:highlight w:val="none"/>
          <w:lang w:eastAsia="zh-CN"/>
        </w:rPr>
        <w:t>招标文件</w:t>
      </w:r>
      <w:r>
        <w:rPr>
          <w:rFonts w:hint="eastAsia" w:ascii="仿宋" w:hAnsi="仿宋" w:eastAsia="仿宋" w:cs="仿宋"/>
          <w:szCs w:val="21"/>
          <w:highlight w:val="none"/>
        </w:rPr>
        <w:t>的商务、技术要求，对投标文件进行综合评定，提出优选方案，编写评标报告。对落标单位，评标委员会不做任何落标解释。投标人不得以任何方式干扰招投标工作的进行，一经发现其投标文件将被拒绝。</w:t>
      </w:r>
    </w:p>
    <w:p w14:paraId="7E5068B3">
      <w:pPr>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二、评标组织</w:t>
      </w:r>
    </w:p>
    <w:p w14:paraId="7BEF0C2D">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评标委员会由</w:t>
      </w:r>
      <w:r>
        <w:rPr>
          <w:rFonts w:hint="eastAsia" w:ascii="仿宋" w:hAnsi="仿宋" w:eastAsia="仿宋" w:cs="仿宋"/>
          <w:szCs w:val="21"/>
          <w:highlight w:val="none"/>
          <w:lang w:val="en-US" w:eastAsia="zh-CN"/>
        </w:rPr>
        <w:t>2名招标人代表及3</w:t>
      </w:r>
      <w:r>
        <w:rPr>
          <w:rFonts w:hint="eastAsia" w:ascii="仿宋" w:hAnsi="仿宋" w:eastAsia="仿宋" w:cs="仿宋"/>
          <w:szCs w:val="21"/>
          <w:highlight w:val="none"/>
        </w:rPr>
        <w:t>名专家组成。评标委员会负责对投标文件进行审查、质疑、评估和比较。询标（如有）时投标人</w:t>
      </w:r>
      <w:r>
        <w:rPr>
          <w:rFonts w:hint="eastAsia" w:ascii="仿宋" w:hAnsi="仿宋" w:eastAsia="仿宋" w:cs="仿宋"/>
          <w:szCs w:val="21"/>
          <w:highlight w:val="none"/>
          <w:lang w:eastAsia="zh-CN"/>
        </w:rPr>
        <w:t>法定代表人（单位负责人）</w:t>
      </w:r>
      <w:r>
        <w:rPr>
          <w:rFonts w:hint="eastAsia" w:ascii="仿宋" w:hAnsi="仿宋" w:eastAsia="仿宋" w:cs="仿宋"/>
          <w:szCs w:val="21"/>
          <w:highlight w:val="none"/>
        </w:rPr>
        <w:t>或其授权代理人必须负责</w:t>
      </w:r>
      <w:r>
        <w:rPr>
          <w:rFonts w:hint="eastAsia" w:ascii="仿宋" w:hAnsi="仿宋" w:eastAsia="仿宋" w:cs="仿宋"/>
          <w:szCs w:val="21"/>
          <w:highlight w:val="none"/>
          <w:lang w:eastAsia="zh-CN"/>
        </w:rPr>
        <w:t>在规定时限内</w:t>
      </w:r>
      <w:r>
        <w:rPr>
          <w:rFonts w:hint="eastAsia" w:ascii="仿宋" w:hAnsi="仿宋" w:eastAsia="仿宋" w:cs="仿宋"/>
          <w:szCs w:val="21"/>
          <w:highlight w:val="none"/>
        </w:rPr>
        <w:t>解答有关事宜。如</w:t>
      </w:r>
      <w:r>
        <w:rPr>
          <w:rFonts w:hint="eastAsia" w:ascii="仿宋" w:hAnsi="仿宋" w:eastAsia="仿宋" w:cs="仿宋"/>
          <w:szCs w:val="21"/>
          <w:highlight w:val="none"/>
          <w:lang w:eastAsia="zh-CN"/>
        </w:rPr>
        <w:t>逾期不回复的</w:t>
      </w:r>
      <w:r>
        <w:rPr>
          <w:rFonts w:hint="eastAsia" w:ascii="仿宋" w:hAnsi="仿宋" w:eastAsia="仿宋" w:cs="仿宋"/>
          <w:szCs w:val="21"/>
          <w:highlight w:val="none"/>
        </w:rPr>
        <w:t>，则事后不得对</w:t>
      </w:r>
      <w:r>
        <w:rPr>
          <w:rFonts w:hint="eastAsia" w:ascii="仿宋" w:hAnsi="仿宋" w:eastAsia="仿宋" w:cs="仿宋"/>
          <w:szCs w:val="21"/>
          <w:highlight w:val="none"/>
          <w:lang w:eastAsia="zh-CN"/>
        </w:rPr>
        <w:t>招标</w:t>
      </w:r>
      <w:r>
        <w:rPr>
          <w:rFonts w:hint="eastAsia" w:ascii="仿宋" w:hAnsi="仿宋" w:eastAsia="仿宋" w:cs="仿宋"/>
          <w:szCs w:val="21"/>
          <w:highlight w:val="none"/>
        </w:rPr>
        <w:t>过程及结果提出异议。</w:t>
      </w:r>
    </w:p>
    <w:p w14:paraId="50901E5A">
      <w:pPr>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lang w:eastAsia="zh-CN"/>
        </w:rPr>
        <w:t>三</w:t>
      </w:r>
      <w:r>
        <w:rPr>
          <w:rFonts w:hint="eastAsia" w:ascii="仿宋" w:hAnsi="仿宋" w:eastAsia="仿宋" w:cs="仿宋"/>
          <w:b/>
          <w:szCs w:val="21"/>
          <w:highlight w:val="none"/>
        </w:rPr>
        <w:t>、评标办法</w:t>
      </w:r>
    </w:p>
    <w:p w14:paraId="14728D77">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1.本次</w:t>
      </w:r>
      <w:r>
        <w:rPr>
          <w:rFonts w:hint="eastAsia" w:ascii="仿宋" w:hAnsi="仿宋" w:eastAsia="仿宋" w:cs="仿宋"/>
          <w:szCs w:val="21"/>
          <w:highlight w:val="none"/>
          <w:lang w:eastAsia="zh-CN"/>
        </w:rPr>
        <w:t>招标</w:t>
      </w:r>
      <w:r>
        <w:rPr>
          <w:rFonts w:hint="eastAsia" w:ascii="仿宋" w:hAnsi="仿宋" w:eastAsia="仿宋" w:cs="仿宋"/>
          <w:szCs w:val="21"/>
          <w:highlight w:val="none"/>
        </w:rPr>
        <w:t>的评标办法采用百分制综合评分法。即以投标人完全响应</w:t>
      </w:r>
      <w:r>
        <w:rPr>
          <w:rFonts w:hint="eastAsia" w:ascii="仿宋" w:hAnsi="仿宋" w:eastAsia="仿宋" w:cs="仿宋"/>
          <w:szCs w:val="21"/>
          <w:highlight w:val="none"/>
          <w:lang w:eastAsia="zh-CN"/>
        </w:rPr>
        <w:t>招标文件</w:t>
      </w:r>
      <w:r>
        <w:rPr>
          <w:rFonts w:hint="eastAsia" w:ascii="仿宋" w:hAnsi="仿宋" w:eastAsia="仿宋" w:cs="仿宋"/>
          <w:szCs w:val="21"/>
          <w:highlight w:val="none"/>
        </w:rPr>
        <w:t>设定的全部责任条款为前提，由评标委员会按</w:t>
      </w:r>
      <w:r>
        <w:rPr>
          <w:rFonts w:hint="eastAsia" w:ascii="仿宋" w:hAnsi="仿宋" w:eastAsia="仿宋" w:cs="仿宋"/>
          <w:szCs w:val="21"/>
          <w:highlight w:val="none"/>
          <w:lang w:eastAsia="zh-CN"/>
        </w:rPr>
        <w:t>招标文件</w:t>
      </w:r>
      <w:r>
        <w:rPr>
          <w:rFonts w:hint="eastAsia" w:ascii="仿宋" w:hAnsi="仿宋" w:eastAsia="仿宋" w:cs="仿宋"/>
          <w:szCs w:val="21"/>
          <w:highlight w:val="none"/>
        </w:rPr>
        <w:t>中规定的各项因素进行综合评审。根据本项目</w:t>
      </w:r>
      <w:r>
        <w:rPr>
          <w:rFonts w:hint="eastAsia" w:ascii="仿宋" w:hAnsi="仿宋" w:eastAsia="仿宋" w:cs="仿宋"/>
          <w:szCs w:val="21"/>
          <w:highlight w:val="none"/>
          <w:lang w:eastAsia="zh-CN"/>
        </w:rPr>
        <w:t>招标文件</w:t>
      </w:r>
      <w:r>
        <w:rPr>
          <w:rFonts w:hint="eastAsia" w:ascii="仿宋" w:hAnsi="仿宋" w:eastAsia="仿宋" w:cs="仿宋"/>
          <w:szCs w:val="21"/>
          <w:highlight w:val="none"/>
        </w:rPr>
        <w:t>要求，按照本办法规定的内容和分值设置，进行综合分析比较，完成评标并起草评标报告，推荐合格的中标候选人。（计算结果保留两位小数，四舍五入）。</w:t>
      </w:r>
    </w:p>
    <w:p w14:paraId="1031FF30">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2.技术资信分的评定由各评委成员按评分细则进行评审打分，每人一张评分表，并记名。投标文件各项评分内容由评标委员会成员独立评分；评分时保留小数点后 1 位小数，计算评分值时保留小数点后 2 位小数，由评标委员会当场统一计算。如某张评分表的一个因素项目超过规定的分值范围，则该张评分表无效。评标委员会成员对投标人各项评分合计数的算术平均值为各投标人</w:t>
      </w:r>
      <w:r>
        <w:rPr>
          <w:rFonts w:hint="eastAsia" w:ascii="仿宋" w:hAnsi="仿宋" w:eastAsia="仿宋" w:cs="仿宋"/>
          <w:szCs w:val="21"/>
          <w:highlight w:val="none"/>
          <w:lang w:eastAsia="zh-CN"/>
        </w:rPr>
        <w:t>技术资信得分</w:t>
      </w:r>
      <w:r>
        <w:rPr>
          <w:rFonts w:hint="eastAsia" w:ascii="仿宋" w:hAnsi="仿宋" w:eastAsia="仿宋" w:cs="仿宋"/>
          <w:szCs w:val="21"/>
          <w:highlight w:val="none"/>
        </w:rPr>
        <w:t>，分值计算公式为：评标委员会各成员评分合计数／评标委员会组成人数（结果四舍五入后保留两位小数）</w:t>
      </w:r>
    </w:p>
    <w:p w14:paraId="6340DBEB">
      <w:pPr>
        <w:spacing w:line="300" w:lineRule="auto"/>
        <w:ind w:firstLine="420" w:firstLineChars="200"/>
        <w:rPr>
          <w:rFonts w:hint="eastAsia"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br w:type="page"/>
      </w:r>
      <w:r>
        <w:rPr>
          <w:rFonts w:hint="eastAsia" w:ascii="仿宋" w:hAnsi="仿宋" w:eastAsia="仿宋" w:cs="仿宋"/>
          <w:b/>
          <w:szCs w:val="21"/>
          <w:highlight w:val="none"/>
          <w:lang w:val="en-US" w:eastAsia="zh-CN"/>
        </w:rPr>
        <w:t>四、评分标准（满分100分）</w:t>
      </w:r>
    </w:p>
    <w:tbl>
      <w:tblPr>
        <w:tblStyle w:val="14"/>
        <w:tblW w:w="9918" w:type="dxa"/>
        <w:tblInd w:w="-20" w:type="dxa"/>
        <w:tblLayout w:type="fixed"/>
        <w:tblCellMar>
          <w:top w:w="0" w:type="dxa"/>
          <w:left w:w="0" w:type="dxa"/>
          <w:bottom w:w="0" w:type="dxa"/>
          <w:right w:w="0" w:type="dxa"/>
        </w:tblCellMar>
      </w:tblPr>
      <w:tblGrid>
        <w:gridCol w:w="1609"/>
        <w:gridCol w:w="1880"/>
        <w:gridCol w:w="768"/>
        <w:gridCol w:w="5661"/>
      </w:tblGrid>
      <w:tr w14:paraId="60123687">
        <w:tblPrEx>
          <w:tblCellMar>
            <w:top w:w="0" w:type="dxa"/>
            <w:left w:w="0" w:type="dxa"/>
            <w:bottom w:w="0" w:type="dxa"/>
            <w:right w:w="0" w:type="dxa"/>
          </w:tblCellMar>
        </w:tblPrEx>
        <w:trPr>
          <w:trHeight w:val="404" w:hRule="atLeast"/>
        </w:trPr>
        <w:tc>
          <w:tcPr>
            <w:tcW w:w="1609" w:type="dxa"/>
            <w:tcBorders>
              <w:top w:val="single" w:color="000000" w:sz="4" w:space="0"/>
              <w:left w:val="single" w:color="000000" w:sz="4" w:space="0"/>
              <w:bottom w:val="single" w:color="000000" w:sz="4" w:space="0"/>
              <w:right w:val="single" w:color="000000" w:sz="4" w:space="0"/>
            </w:tcBorders>
            <w:noWrap w:val="0"/>
            <w:vAlign w:val="center"/>
          </w:tcPr>
          <w:p w14:paraId="5C35992E">
            <w:pPr>
              <w:spacing w:line="300" w:lineRule="auto"/>
              <w:jc w:val="center"/>
              <w:rPr>
                <w:rFonts w:hint="eastAsia" w:ascii="仿宋" w:hAnsi="仿宋" w:eastAsia="仿宋" w:cs="宋体"/>
                <w:b/>
                <w:bCs/>
                <w:sz w:val="21"/>
                <w:szCs w:val="21"/>
              </w:rPr>
            </w:pPr>
            <w:r>
              <w:rPr>
                <w:rFonts w:hint="eastAsia" w:ascii="仿宋" w:hAnsi="仿宋" w:eastAsia="仿宋" w:cs="宋体"/>
                <w:b/>
                <w:bCs/>
                <w:sz w:val="21"/>
                <w:szCs w:val="21"/>
              </w:rPr>
              <w:t>类别</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14EB7C4E">
            <w:pPr>
              <w:spacing w:line="300" w:lineRule="auto"/>
              <w:jc w:val="center"/>
              <w:rPr>
                <w:rFonts w:hint="eastAsia" w:ascii="仿宋" w:hAnsi="仿宋" w:eastAsia="仿宋" w:cs="宋体"/>
                <w:b/>
                <w:bCs/>
                <w:sz w:val="21"/>
                <w:szCs w:val="21"/>
              </w:rPr>
            </w:pPr>
            <w:r>
              <w:rPr>
                <w:rFonts w:hint="eastAsia" w:ascii="仿宋" w:hAnsi="仿宋" w:eastAsia="仿宋" w:cs="宋体"/>
                <w:b/>
                <w:bCs/>
                <w:sz w:val="21"/>
                <w:szCs w:val="21"/>
              </w:rPr>
              <w:t>明细指标</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282AE28">
            <w:pPr>
              <w:spacing w:line="300" w:lineRule="auto"/>
              <w:jc w:val="center"/>
              <w:rPr>
                <w:rFonts w:hint="eastAsia" w:ascii="仿宋" w:hAnsi="仿宋" w:eastAsia="仿宋" w:cs="宋体"/>
                <w:b/>
                <w:bCs/>
                <w:sz w:val="21"/>
                <w:szCs w:val="21"/>
              </w:rPr>
            </w:pPr>
            <w:r>
              <w:rPr>
                <w:rFonts w:hint="eastAsia" w:ascii="仿宋" w:hAnsi="仿宋" w:eastAsia="仿宋" w:cs="宋体"/>
                <w:b/>
                <w:bCs/>
                <w:sz w:val="21"/>
                <w:szCs w:val="21"/>
              </w:rPr>
              <w:t>分值</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0A9676B3">
            <w:pPr>
              <w:spacing w:line="300" w:lineRule="auto"/>
              <w:jc w:val="center"/>
              <w:rPr>
                <w:rFonts w:hint="eastAsia" w:ascii="仿宋" w:hAnsi="仿宋" w:eastAsia="仿宋" w:cs="宋体"/>
                <w:b/>
                <w:bCs/>
                <w:sz w:val="21"/>
                <w:szCs w:val="21"/>
              </w:rPr>
            </w:pPr>
            <w:r>
              <w:rPr>
                <w:rFonts w:hint="eastAsia" w:ascii="仿宋" w:hAnsi="仿宋" w:eastAsia="仿宋" w:cs="宋体"/>
                <w:b/>
                <w:bCs/>
                <w:sz w:val="21"/>
                <w:szCs w:val="21"/>
              </w:rPr>
              <w:t>评审内容及评分细则</w:t>
            </w:r>
          </w:p>
        </w:tc>
      </w:tr>
      <w:tr w14:paraId="4F518596">
        <w:tblPrEx>
          <w:tblCellMar>
            <w:top w:w="0" w:type="dxa"/>
            <w:left w:w="0" w:type="dxa"/>
            <w:bottom w:w="0" w:type="dxa"/>
            <w:right w:w="0" w:type="dxa"/>
          </w:tblCellMar>
        </w:tblPrEx>
        <w:trPr>
          <w:trHeight w:val="1193" w:hRule="atLeast"/>
        </w:trPr>
        <w:tc>
          <w:tcPr>
            <w:tcW w:w="1609" w:type="dxa"/>
            <w:tcBorders>
              <w:top w:val="single" w:color="000000" w:sz="4" w:space="0"/>
              <w:left w:val="single" w:color="000000" w:sz="4" w:space="0"/>
              <w:right w:val="single" w:color="000000" w:sz="4" w:space="0"/>
            </w:tcBorders>
            <w:noWrap w:val="0"/>
            <w:vAlign w:val="center"/>
          </w:tcPr>
          <w:p w14:paraId="0896E341">
            <w:pPr>
              <w:spacing w:line="300" w:lineRule="auto"/>
              <w:jc w:val="center"/>
              <w:rPr>
                <w:rFonts w:hint="eastAsia" w:ascii="仿宋" w:hAnsi="仿宋" w:eastAsia="仿宋" w:cs="宋体"/>
                <w:sz w:val="21"/>
                <w:szCs w:val="21"/>
              </w:rPr>
            </w:pPr>
            <w:r>
              <w:rPr>
                <w:rFonts w:hint="eastAsia" w:ascii="仿宋" w:hAnsi="仿宋" w:eastAsia="仿宋" w:cs="宋体"/>
                <w:sz w:val="21"/>
                <w:szCs w:val="21"/>
              </w:rPr>
              <w:t>利率水平</w:t>
            </w:r>
          </w:p>
          <w:p w14:paraId="17B18151">
            <w:pPr>
              <w:spacing w:line="300" w:lineRule="auto"/>
              <w:jc w:val="center"/>
              <w:rPr>
                <w:rFonts w:hint="eastAsia" w:ascii="仿宋" w:hAnsi="仿宋" w:eastAsia="仿宋" w:cs="宋体"/>
                <w:sz w:val="21"/>
                <w:szCs w:val="21"/>
              </w:rPr>
            </w:pPr>
            <w:r>
              <w:rPr>
                <w:rFonts w:hint="eastAsia" w:ascii="仿宋" w:hAnsi="仿宋" w:eastAsia="仿宋" w:cs="宋体"/>
                <w:sz w:val="21"/>
                <w:szCs w:val="21"/>
              </w:rPr>
              <w:t>（</w:t>
            </w:r>
            <w:r>
              <w:rPr>
                <w:rFonts w:hint="eastAsia" w:ascii="仿宋" w:hAnsi="仿宋" w:eastAsia="仿宋" w:cs="宋体"/>
                <w:sz w:val="21"/>
                <w:szCs w:val="21"/>
                <w:lang w:val="en-US" w:eastAsia="zh-CN"/>
              </w:rPr>
              <w:t>15</w:t>
            </w:r>
            <w:r>
              <w:rPr>
                <w:rFonts w:hint="eastAsia" w:ascii="仿宋" w:hAnsi="仿宋" w:eastAsia="仿宋" w:cs="宋体"/>
                <w:sz w:val="21"/>
                <w:szCs w:val="21"/>
              </w:rPr>
              <w:t>分）</w:t>
            </w:r>
          </w:p>
        </w:tc>
        <w:tc>
          <w:tcPr>
            <w:tcW w:w="1880" w:type="dxa"/>
            <w:tcBorders>
              <w:top w:val="single" w:color="000000" w:sz="4" w:space="0"/>
              <w:left w:val="single" w:color="000000" w:sz="4" w:space="0"/>
              <w:right w:val="single" w:color="000000" w:sz="4" w:space="0"/>
            </w:tcBorders>
            <w:noWrap w:val="0"/>
            <w:vAlign w:val="center"/>
          </w:tcPr>
          <w:p w14:paraId="1AB686B2">
            <w:pPr>
              <w:spacing w:line="300" w:lineRule="auto"/>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定期存款利率</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AA80E02">
            <w:pPr>
              <w:spacing w:line="300" w:lineRule="auto"/>
              <w:jc w:val="center"/>
              <w:rPr>
                <w:rFonts w:hint="eastAsia" w:ascii="仿宋" w:hAnsi="仿宋" w:eastAsia="仿宋" w:cs="宋体"/>
                <w:sz w:val="21"/>
                <w:szCs w:val="21"/>
                <w:lang w:eastAsia="zh-CN"/>
              </w:rPr>
            </w:pPr>
            <w:r>
              <w:rPr>
                <w:rFonts w:hint="eastAsia" w:ascii="仿宋" w:hAnsi="仿宋" w:eastAsia="仿宋" w:cs="宋体"/>
                <w:sz w:val="21"/>
                <w:szCs w:val="21"/>
                <w:lang w:val="en-US" w:eastAsia="zh-CN"/>
              </w:rPr>
              <w:t>15分</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7FC562FC">
            <w:pPr>
              <w:spacing w:line="300" w:lineRule="auto"/>
              <w:jc w:val="both"/>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定期存款年利率最高者得满分，其余竞标银行得分:竞标银行定期存款年利率/最高竞标银行的定期存款年利率*15。</w:t>
            </w:r>
          </w:p>
        </w:tc>
      </w:tr>
      <w:tr w14:paraId="1E25536B">
        <w:tblPrEx>
          <w:tblCellMar>
            <w:top w:w="0" w:type="dxa"/>
            <w:left w:w="0" w:type="dxa"/>
            <w:bottom w:w="0" w:type="dxa"/>
            <w:right w:w="0" w:type="dxa"/>
          </w:tblCellMar>
        </w:tblPrEx>
        <w:trPr>
          <w:trHeight w:val="1588" w:hRule="atLeast"/>
        </w:trPr>
        <w:tc>
          <w:tcPr>
            <w:tcW w:w="1609" w:type="dxa"/>
            <w:vMerge w:val="restart"/>
            <w:tcBorders>
              <w:top w:val="single" w:color="000000" w:sz="4" w:space="0"/>
              <w:left w:val="single" w:color="000000" w:sz="4" w:space="0"/>
              <w:right w:val="single" w:color="000000" w:sz="4" w:space="0"/>
            </w:tcBorders>
            <w:noWrap w:val="0"/>
            <w:vAlign w:val="center"/>
          </w:tcPr>
          <w:p w14:paraId="6D5D38E4">
            <w:pPr>
              <w:spacing w:line="300"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经营状况</w:t>
            </w:r>
          </w:p>
          <w:p w14:paraId="1331D2DD">
            <w:pPr>
              <w:spacing w:line="300"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r>
              <w:rPr>
                <w:rFonts w:hint="eastAsia" w:ascii="仿宋" w:hAnsi="仿宋" w:eastAsia="仿宋" w:cs="宋体"/>
                <w:sz w:val="21"/>
                <w:szCs w:val="21"/>
                <w:highlight w:val="none"/>
                <w:lang w:val="en-US" w:eastAsia="zh-CN"/>
              </w:rPr>
              <w:t>35</w:t>
            </w:r>
            <w:r>
              <w:rPr>
                <w:rFonts w:hint="eastAsia" w:ascii="仿宋" w:hAnsi="仿宋" w:eastAsia="仿宋" w:cs="宋体"/>
                <w:sz w:val="21"/>
                <w:szCs w:val="21"/>
                <w:highlight w:val="none"/>
              </w:rPr>
              <w:t>分）</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3B8CFE33">
            <w:pPr>
              <w:spacing w:line="300"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202</w:t>
            </w:r>
            <w:r>
              <w:rPr>
                <w:rFonts w:hint="eastAsia" w:ascii="仿宋" w:hAnsi="仿宋" w:eastAsia="仿宋" w:cs="宋体"/>
                <w:sz w:val="21"/>
                <w:szCs w:val="21"/>
                <w:highlight w:val="none"/>
                <w:lang w:val="en-US" w:eastAsia="zh-CN"/>
              </w:rPr>
              <w:t>5</w:t>
            </w:r>
            <w:r>
              <w:rPr>
                <w:rFonts w:hint="eastAsia" w:ascii="仿宋" w:hAnsi="仿宋" w:eastAsia="仿宋" w:cs="宋体"/>
                <w:sz w:val="21"/>
                <w:szCs w:val="21"/>
                <w:highlight w:val="none"/>
              </w:rPr>
              <w:t>年</w:t>
            </w:r>
            <w:r>
              <w:rPr>
                <w:rFonts w:hint="eastAsia" w:ascii="仿宋" w:hAnsi="仿宋" w:eastAsia="仿宋" w:cs="宋体"/>
                <w:sz w:val="21"/>
                <w:szCs w:val="21"/>
                <w:highlight w:val="none"/>
                <w:lang w:val="en-US" w:eastAsia="zh-CN"/>
              </w:rPr>
              <w:t>3</w:t>
            </w:r>
            <w:r>
              <w:rPr>
                <w:rFonts w:hint="eastAsia" w:ascii="仿宋" w:hAnsi="仿宋" w:eastAsia="仿宋" w:cs="宋体"/>
                <w:sz w:val="21"/>
                <w:szCs w:val="21"/>
                <w:highlight w:val="none"/>
              </w:rPr>
              <w:t>月末金融办各银行考核评价</w:t>
            </w:r>
          </w:p>
          <w:p w14:paraId="780B10E0">
            <w:pPr>
              <w:spacing w:line="300" w:lineRule="auto"/>
              <w:jc w:val="center"/>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rPr>
              <w:t>（</w:t>
            </w:r>
            <w:r>
              <w:rPr>
                <w:rFonts w:hint="eastAsia" w:ascii="仿宋" w:hAnsi="仿宋" w:eastAsia="仿宋" w:cs="宋体"/>
                <w:sz w:val="21"/>
                <w:szCs w:val="21"/>
                <w:highlight w:val="none"/>
                <w:lang w:val="en-US" w:eastAsia="zh-CN"/>
              </w:rPr>
              <w:t>25</w:t>
            </w:r>
            <w:r>
              <w:rPr>
                <w:rFonts w:hint="eastAsia" w:ascii="仿宋" w:hAnsi="仿宋" w:eastAsia="仿宋" w:cs="宋体"/>
                <w:sz w:val="21"/>
                <w:szCs w:val="21"/>
                <w:highlight w:val="none"/>
              </w:rPr>
              <w:t>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4D91E8A">
            <w:pPr>
              <w:spacing w:line="300" w:lineRule="auto"/>
              <w:jc w:val="center"/>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25分</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15D8B01F">
            <w:pPr>
              <w:spacing w:line="300" w:lineRule="auto"/>
              <w:jc w:val="both"/>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根据常山县金融服务中心提供的2025年3月末各银行考核评价:总得分95分(含)以上得25分，85分(含)-95(不含)得20分，85分(不含)以下得 15 分，无评价不得分。</w:t>
            </w:r>
          </w:p>
        </w:tc>
      </w:tr>
      <w:tr w14:paraId="5F6E6BB7">
        <w:tblPrEx>
          <w:tblCellMar>
            <w:top w:w="0" w:type="dxa"/>
            <w:left w:w="0" w:type="dxa"/>
            <w:bottom w:w="0" w:type="dxa"/>
            <w:right w:w="0" w:type="dxa"/>
          </w:tblCellMar>
        </w:tblPrEx>
        <w:trPr>
          <w:trHeight w:val="1983" w:hRule="atLeast"/>
        </w:trPr>
        <w:tc>
          <w:tcPr>
            <w:tcW w:w="1609" w:type="dxa"/>
            <w:vMerge w:val="continue"/>
            <w:tcBorders>
              <w:left w:val="single" w:color="000000" w:sz="4" w:space="0"/>
              <w:right w:val="single" w:color="000000" w:sz="4" w:space="0"/>
            </w:tcBorders>
            <w:noWrap w:val="0"/>
            <w:vAlign w:val="center"/>
          </w:tcPr>
          <w:p w14:paraId="6ED8374D">
            <w:pPr>
              <w:spacing w:line="300" w:lineRule="auto"/>
              <w:jc w:val="center"/>
              <w:rPr>
                <w:rFonts w:hint="eastAsia" w:ascii="仿宋" w:hAnsi="仿宋" w:eastAsia="仿宋" w:cs="宋体"/>
                <w:sz w:val="21"/>
                <w:szCs w:val="21"/>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356B4BB2">
            <w:pPr>
              <w:spacing w:line="300"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不良贷款率</w:t>
            </w:r>
          </w:p>
          <w:p w14:paraId="02CB4A64">
            <w:pPr>
              <w:spacing w:line="300" w:lineRule="auto"/>
              <w:jc w:val="center"/>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rPr>
              <w:t>（</w:t>
            </w:r>
            <w:r>
              <w:rPr>
                <w:rFonts w:hint="eastAsia" w:ascii="仿宋" w:hAnsi="仿宋" w:eastAsia="仿宋" w:cs="宋体"/>
                <w:sz w:val="21"/>
                <w:szCs w:val="21"/>
                <w:highlight w:val="none"/>
                <w:lang w:val="en-US" w:eastAsia="zh-CN"/>
              </w:rPr>
              <w:t>10</w:t>
            </w:r>
            <w:r>
              <w:rPr>
                <w:rFonts w:hint="eastAsia" w:ascii="仿宋" w:hAnsi="仿宋" w:eastAsia="仿宋" w:cs="宋体"/>
                <w:sz w:val="21"/>
                <w:szCs w:val="21"/>
                <w:highlight w:val="none"/>
              </w:rPr>
              <w:t>分</w:t>
            </w:r>
            <w:r>
              <w:rPr>
                <w:rFonts w:hint="eastAsia" w:ascii="仿宋" w:hAnsi="仿宋" w:eastAsia="仿宋" w:cs="宋体"/>
                <w:sz w:val="21"/>
                <w:szCs w:val="21"/>
                <w:highlight w:val="none"/>
                <w:lang w:eastAsia="zh-CN"/>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7243E99">
            <w:pPr>
              <w:spacing w:line="300" w:lineRule="auto"/>
              <w:jc w:val="center"/>
              <w:rPr>
                <w:rFonts w:hint="default"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10分</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43D6B8DE">
            <w:pPr>
              <w:spacing w:line="300" w:lineRule="auto"/>
              <w:jc w:val="both"/>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以中国银行保险监督管理委员会衢州监管分局常山县监管组提供2025年3月末不良贷款率:0-0.3%(含)以下得10分，0.3%(不含)-0.5%(含)得8分，0.5%(不含)-1%(含)得6分，1%(不含)以上得4分。</w:t>
            </w:r>
          </w:p>
        </w:tc>
      </w:tr>
      <w:tr w14:paraId="31B4EAE5">
        <w:tblPrEx>
          <w:tblCellMar>
            <w:top w:w="0" w:type="dxa"/>
            <w:left w:w="0" w:type="dxa"/>
            <w:bottom w:w="0" w:type="dxa"/>
            <w:right w:w="0" w:type="dxa"/>
          </w:tblCellMar>
        </w:tblPrEx>
        <w:trPr>
          <w:trHeight w:val="1295" w:hRule="atLeast"/>
        </w:trPr>
        <w:tc>
          <w:tcPr>
            <w:tcW w:w="1609" w:type="dxa"/>
            <w:vMerge w:val="restart"/>
            <w:tcBorders>
              <w:top w:val="single" w:color="auto" w:sz="4" w:space="0"/>
              <w:left w:val="single" w:color="auto" w:sz="4" w:space="0"/>
              <w:right w:val="single" w:color="auto" w:sz="4" w:space="0"/>
            </w:tcBorders>
            <w:noWrap w:val="0"/>
            <w:vAlign w:val="center"/>
          </w:tcPr>
          <w:p w14:paraId="7A5D78E7">
            <w:pPr>
              <w:spacing w:line="300"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经济贡献度</w:t>
            </w:r>
          </w:p>
          <w:p w14:paraId="2E10ED2B">
            <w:pPr>
              <w:spacing w:line="300"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r>
              <w:rPr>
                <w:rFonts w:hint="eastAsia" w:ascii="仿宋" w:hAnsi="仿宋" w:eastAsia="仿宋" w:cs="宋体"/>
                <w:sz w:val="21"/>
                <w:szCs w:val="21"/>
                <w:highlight w:val="none"/>
                <w:lang w:val="en-US" w:eastAsia="zh-CN"/>
              </w:rPr>
              <w:t>40</w:t>
            </w:r>
            <w:r>
              <w:rPr>
                <w:rFonts w:hint="eastAsia" w:ascii="仿宋" w:hAnsi="仿宋" w:eastAsia="仿宋" w:cs="宋体"/>
                <w:sz w:val="21"/>
                <w:szCs w:val="21"/>
                <w:highlight w:val="none"/>
              </w:rPr>
              <w:t>分）</w:t>
            </w:r>
          </w:p>
        </w:tc>
        <w:tc>
          <w:tcPr>
            <w:tcW w:w="1880" w:type="dxa"/>
            <w:tcBorders>
              <w:top w:val="single" w:color="000000" w:sz="4" w:space="0"/>
              <w:left w:val="single" w:color="auto" w:sz="4" w:space="0"/>
              <w:bottom w:val="single" w:color="000000" w:sz="4" w:space="0"/>
              <w:right w:val="single" w:color="000000" w:sz="4" w:space="0"/>
            </w:tcBorders>
            <w:noWrap w:val="0"/>
            <w:vAlign w:val="center"/>
          </w:tcPr>
          <w:p w14:paraId="048E6655">
            <w:pPr>
              <w:spacing w:line="300" w:lineRule="auto"/>
              <w:jc w:val="center"/>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rPr>
              <w:t>202</w:t>
            </w:r>
            <w:r>
              <w:rPr>
                <w:rFonts w:hint="eastAsia" w:ascii="仿宋" w:hAnsi="仿宋" w:eastAsia="仿宋" w:cs="宋体"/>
                <w:sz w:val="21"/>
                <w:szCs w:val="21"/>
                <w:highlight w:val="none"/>
                <w:lang w:val="en-US" w:eastAsia="zh-CN"/>
              </w:rPr>
              <w:t>5</w:t>
            </w:r>
            <w:r>
              <w:rPr>
                <w:rFonts w:hint="eastAsia" w:ascii="仿宋" w:hAnsi="仿宋" w:eastAsia="仿宋" w:cs="宋体"/>
                <w:sz w:val="21"/>
                <w:szCs w:val="21"/>
                <w:highlight w:val="none"/>
              </w:rPr>
              <w:t>年</w:t>
            </w:r>
            <w:r>
              <w:rPr>
                <w:rFonts w:hint="eastAsia" w:ascii="仿宋" w:hAnsi="仿宋" w:eastAsia="仿宋" w:cs="宋体"/>
                <w:sz w:val="21"/>
                <w:szCs w:val="21"/>
                <w:highlight w:val="none"/>
                <w:lang w:val="en-US" w:eastAsia="zh-CN"/>
              </w:rPr>
              <w:t>3</w:t>
            </w:r>
            <w:r>
              <w:rPr>
                <w:rFonts w:hint="eastAsia" w:ascii="仿宋" w:hAnsi="仿宋" w:eastAsia="仿宋" w:cs="宋体"/>
                <w:sz w:val="21"/>
                <w:szCs w:val="21"/>
                <w:highlight w:val="none"/>
              </w:rPr>
              <w:t>月末贷款</w:t>
            </w:r>
            <w:r>
              <w:rPr>
                <w:rFonts w:hint="eastAsia" w:ascii="仿宋" w:hAnsi="仿宋" w:eastAsia="仿宋" w:cs="宋体"/>
                <w:sz w:val="21"/>
                <w:szCs w:val="21"/>
                <w:highlight w:val="none"/>
                <w:lang w:val="en-US" w:eastAsia="zh-CN"/>
              </w:rPr>
              <w:t>总量</w:t>
            </w:r>
          </w:p>
          <w:p w14:paraId="4872CDD1">
            <w:pPr>
              <w:spacing w:line="300" w:lineRule="auto"/>
              <w:jc w:val="center"/>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rPr>
              <w:t>（</w:t>
            </w:r>
            <w:r>
              <w:rPr>
                <w:rFonts w:hint="eastAsia" w:ascii="仿宋" w:hAnsi="仿宋" w:eastAsia="仿宋" w:cs="宋体"/>
                <w:sz w:val="21"/>
                <w:szCs w:val="21"/>
                <w:highlight w:val="none"/>
                <w:lang w:val="en-US" w:eastAsia="zh-CN"/>
              </w:rPr>
              <w:t>15</w:t>
            </w:r>
            <w:r>
              <w:rPr>
                <w:rFonts w:hint="eastAsia" w:ascii="仿宋" w:hAnsi="仿宋" w:eastAsia="仿宋" w:cs="宋体"/>
                <w:sz w:val="21"/>
                <w:szCs w:val="21"/>
                <w:highlight w:val="none"/>
              </w:rPr>
              <w:t>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9B1AD31">
            <w:pPr>
              <w:spacing w:line="300" w:lineRule="auto"/>
              <w:jc w:val="center"/>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15分</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29605816">
            <w:pPr>
              <w:spacing w:line="300" w:lineRule="auto"/>
              <w:jc w:val="both"/>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rPr>
              <w:t>202</w:t>
            </w:r>
            <w:r>
              <w:rPr>
                <w:rFonts w:hint="eastAsia" w:ascii="仿宋" w:hAnsi="仿宋" w:eastAsia="仿宋" w:cs="宋体"/>
                <w:sz w:val="21"/>
                <w:szCs w:val="21"/>
                <w:highlight w:val="none"/>
                <w:lang w:val="en-US" w:eastAsia="zh-CN"/>
              </w:rPr>
              <w:t>5</w:t>
            </w:r>
            <w:r>
              <w:rPr>
                <w:rFonts w:hint="eastAsia" w:ascii="仿宋" w:hAnsi="仿宋" w:eastAsia="仿宋" w:cs="宋体"/>
                <w:sz w:val="21"/>
                <w:szCs w:val="21"/>
                <w:highlight w:val="none"/>
              </w:rPr>
              <w:t>年</w:t>
            </w:r>
            <w:r>
              <w:rPr>
                <w:rFonts w:hint="eastAsia" w:ascii="仿宋" w:hAnsi="仿宋" w:eastAsia="仿宋" w:cs="宋体"/>
                <w:sz w:val="21"/>
                <w:szCs w:val="21"/>
                <w:highlight w:val="none"/>
                <w:lang w:val="en-US" w:eastAsia="zh-CN"/>
              </w:rPr>
              <w:t>3</w:t>
            </w:r>
            <w:r>
              <w:rPr>
                <w:rFonts w:hint="eastAsia" w:ascii="仿宋" w:hAnsi="仿宋" w:eastAsia="仿宋" w:cs="宋体"/>
                <w:sz w:val="21"/>
                <w:szCs w:val="21"/>
                <w:highlight w:val="none"/>
              </w:rPr>
              <w:t>月末各项本外币贷款余额3</w:t>
            </w:r>
            <w:r>
              <w:rPr>
                <w:rFonts w:hint="eastAsia" w:ascii="仿宋" w:hAnsi="仿宋" w:eastAsia="仿宋" w:cs="宋体"/>
                <w:sz w:val="21"/>
                <w:szCs w:val="21"/>
                <w:highlight w:val="none"/>
                <w:lang w:val="en-US" w:eastAsia="zh-CN"/>
              </w:rPr>
              <w:t>0</w:t>
            </w:r>
            <w:r>
              <w:rPr>
                <w:rFonts w:hint="eastAsia" w:ascii="仿宋" w:hAnsi="仿宋" w:eastAsia="仿宋" w:cs="宋体"/>
                <w:sz w:val="21"/>
                <w:szCs w:val="21"/>
                <w:highlight w:val="none"/>
              </w:rPr>
              <w:t>亿元(含)以上者得15分,</w:t>
            </w:r>
            <w:r>
              <w:rPr>
                <w:rFonts w:hint="eastAsia" w:ascii="仿宋" w:hAnsi="仿宋" w:eastAsia="仿宋" w:cs="宋体"/>
                <w:sz w:val="21"/>
                <w:szCs w:val="21"/>
                <w:highlight w:val="none"/>
                <w:lang w:val="en-US" w:eastAsia="zh-CN"/>
              </w:rPr>
              <w:t>1</w:t>
            </w:r>
            <w:r>
              <w:rPr>
                <w:rFonts w:hint="eastAsia" w:ascii="仿宋" w:hAnsi="仿宋" w:eastAsia="仿宋" w:cs="宋体"/>
                <w:sz w:val="21"/>
                <w:szCs w:val="21"/>
                <w:highlight w:val="none"/>
              </w:rPr>
              <w:t>0亿元(含)-3</w:t>
            </w:r>
            <w:r>
              <w:rPr>
                <w:rFonts w:hint="eastAsia" w:ascii="仿宋" w:hAnsi="仿宋" w:eastAsia="仿宋" w:cs="宋体"/>
                <w:sz w:val="21"/>
                <w:szCs w:val="21"/>
                <w:highlight w:val="none"/>
                <w:lang w:val="en-US" w:eastAsia="zh-CN"/>
              </w:rPr>
              <w:t>0</w:t>
            </w:r>
            <w:r>
              <w:rPr>
                <w:rFonts w:hint="eastAsia" w:ascii="仿宋" w:hAnsi="仿宋" w:eastAsia="仿宋" w:cs="宋体"/>
                <w:sz w:val="21"/>
                <w:szCs w:val="21"/>
                <w:highlight w:val="none"/>
              </w:rPr>
              <w:t>亿元(不含)得13分,</w:t>
            </w:r>
            <w:r>
              <w:rPr>
                <w:rFonts w:hint="eastAsia" w:ascii="仿宋" w:hAnsi="仿宋" w:eastAsia="仿宋" w:cs="宋体"/>
                <w:sz w:val="21"/>
                <w:szCs w:val="21"/>
                <w:highlight w:val="none"/>
                <w:lang w:val="en-US" w:eastAsia="zh-CN"/>
              </w:rPr>
              <w:t>1</w:t>
            </w:r>
            <w:r>
              <w:rPr>
                <w:rFonts w:hint="eastAsia" w:ascii="仿宋" w:hAnsi="仿宋" w:eastAsia="仿宋" w:cs="宋体"/>
                <w:sz w:val="21"/>
                <w:szCs w:val="21"/>
                <w:highlight w:val="none"/>
              </w:rPr>
              <w:t>0亿元(不含)以下者得11分。</w:t>
            </w:r>
          </w:p>
        </w:tc>
      </w:tr>
      <w:tr w14:paraId="23BFCB7C">
        <w:tblPrEx>
          <w:tblCellMar>
            <w:top w:w="0" w:type="dxa"/>
            <w:left w:w="0" w:type="dxa"/>
            <w:bottom w:w="0" w:type="dxa"/>
            <w:right w:w="0" w:type="dxa"/>
          </w:tblCellMar>
        </w:tblPrEx>
        <w:trPr>
          <w:trHeight w:val="1983" w:hRule="atLeast"/>
        </w:trPr>
        <w:tc>
          <w:tcPr>
            <w:tcW w:w="1609" w:type="dxa"/>
            <w:vMerge w:val="continue"/>
            <w:tcBorders>
              <w:left w:val="single" w:color="auto" w:sz="4" w:space="0"/>
              <w:right w:val="single" w:color="auto" w:sz="4" w:space="0"/>
            </w:tcBorders>
            <w:noWrap w:val="0"/>
            <w:vAlign w:val="center"/>
          </w:tcPr>
          <w:p w14:paraId="3F7BCA92">
            <w:pPr>
              <w:spacing w:line="300" w:lineRule="auto"/>
              <w:jc w:val="center"/>
              <w:rPr>
                <w:rFonts w:hint="eastAsia" w:ascii="仿宋" w:hAnsi="仿宋" w:eastAsia="仿宋" w:cs="宋体"/>
                <w:sz w:val="21"/>
                <w:szCs w:val="21"/>
                <w:highlight w:val="none"/>
              </w:rPr>
            </w:pPr>
          </w:p>
        </w:tc>
        <w:tc>
          <w:tcPr>
            <w:tcW w:w="1880" w:type="dxa"/>
            <w:tcBorders>
              <w:top w:val="single" w:color="000000" w:sz="4" w:space="0"/>
              <w:left w:val="single" w:color="auto" w:sz="4" w:space="0"/>
              <w:bottom w:val="single" w:color="000000" w:sz="4" w:space="0"/>
              <w:right w:val="single" w:color="000000" w:sz="4" w:space="0"/>
            </w:tcBorders>
            <w:noWrap w:val="0"/>
            <w:vAlign w:val="center"/>
          </w:tcPr>
          <w:p w14:paraId="3DB6B5D1">
            <w:pPr>
              <w:spacing w:line="300"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202</w:t>
            </w:r>
            <w:r>
              <w:rPr>
                <w:rFonts w:hint="eastAsia" w:ascii="仿宋" w:hAnsi="仿宋" w:eastAsia="仿宋" w:cs="宋体"/>
                <w:sz w:val="21"/>
                <w:szCs w:val="21"/>
                <w:highlight w:val="none"/>
                <w:lang w:val="en-US" w:eastAsia="zh-CN"/>
              </w:rPr>
              <w:t>5</w:t>
            </w:r>
            <w:r>
              <w:rPr>
                <w:rFonts w:hint="eastAsia" w:ascii="仿宋" w:hAnsi="仿宋" w:eastAsia="仿宋" w:cs="宋体"/>
                <w:sz w:val="21"/>
                <w:szCs w:val="21"/>
                <w:highlight w:val="none"/>
              </w:rPr>
              <w:t>年</w:t>
            </w:r>
            <w:r>
              <w:rPr>
                <w:rFonts w:hint="eastAsia" w:ascii="仿宋" w:hAnsi="仿宋" w:eastAsia="仿宋" w:cs="宋体"/>
                <w:sz w:val="21"/>
                <w:szCs w:val="21"/>
                <w:highlight w:val="none"/>
                <w:lang w:val="en-US" w:eastAsia="zh-CN"/>
              </w:rPr>
              <w:t>3</w:t>
            </w:r>
            <w:r>
              <w:rPr>
                <w:rFonts w:hint="eastAsia" w:ascii="仿宋" w:hAnsi="仿宋" w:eastAsia="仿宋" w:cs="宋体"/>
                <w:sz w:val="21"/>
                <w:szCs w:val="21"/>
                <w:highlight w:val="none"/>
              </w:rPr>
              <w:t>月末绿色贷款类招投标指标</w:t>
            </w:r>
          </w:p>
          <w:p w14:paraId="28BB554E">
            <w:pPr>
              <w:spacing w:line="300" w:lineRule="auto"/>
              <w:jc w:val="center"/>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rPr>
              <w:t>（</w:t>
            </w:r>
            <w:r>
              <w:rPr>
                <w:rFonts w:hint="eastAsia" w:ascii="仿宋" w:hAnsi="仿宋" w:eastAsia="仿宋" w:cs="宋体"/>
                <w:sz w:val="21"/>
                <w:szCs w:val="21"/>
                <w:highlight w:val="none"/>
                <w:lang w:val="en-US" w:eastAsia="zh-CN"/>
              </w:rPr>
              <w:t>10</w:t>
            </w:r>
            <w:r>
              <w:rPr>
                <w:rFonts w:hint="eastAsia" w:ascii="仿宋" w:hAnsi="仿宋" w:eastAsia="仿宋" w:cs="宋体"/>
                <w:sz w:val="21"/>
                <w:szCs w:val="21"/>
                <w:highlight w:val="none"/>
              </w:rPr>
              <w:t>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AA477D5">
            <w:pPr>
              <w:spacing w:line="300" w:lineRule="auto"/>
              <w:jc w:val="center"/>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10分</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6ED4D6E7">
            <w:pPr>
              <w:spacing w:line="300" w:lineRule="auto"/>
              <w:jc w:val="both"/>
              <w:rPr>
                <w:rFonts w:hint="default"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由市人行提供的</w:t>
            </w:r>
            <w:r>
              <w:rPr>
                <w:rFonts w:hint="eastAsia" w:ascii="仿宋" w:hAnsi="仿宋" w:eastAsia="仿宋" w:cs="宋体"/>
                <w:sz w:val="21"/>
                <w:szCs w:val="21"/>
                <w:highlight w:val="none"/>
              </w:rPr>
              <w:t>202</w:t>
            </w:r>
            <w:r>
              <w:rPr>
                <w:rFonts w:hint="eastAsia" w:ascii="仿宋" w:hAnsi="仿宋" w:eastAsia="仿宋" w:cs="宋体"/>
                <w:sz w:val="21"/>
                <w:szCs w:val="21"/>
                <w:highlight w:val="none"/>
                <w:lang w:val="en-US" w:eastAsia="zh-CN"/>
              </w:rPr>
              <w:t>5</w:t>
            </w:r>
            <w:r>
              <w:rPr>
                <w:rFonts w:hint="eastAsia" w:ascii="仿宋" w:hAnsi="仿宋" w:eastAsia="仿宋" w:cs="宋体"/>
                <w:sz w:val="21"/>
                <w:szCs w:val="21"/>
                <w:highlight w:val="none"/>
              </w:rPr>
              <w:t>年</w:t>
            </w:r>
            <w:r>
              <w:rPr>
                <w:rFonts w:hint="eastAsia" w:ascii="仿宋" w:hAnsi="仿宋" w:eastAsia="仿宋" w:cs="宋体"/>
                <w:sz w:val="21"/>
                <w:szCs w:val="21"/>
                <w:highlight w:val="none"/>
                <w:lang w:val="en-US" w:eastAsia="zh-CN"/>
              </w:rPr>
              <w:t>3</w:t>
            </w:r>
            <w:r>
              <w:rPr>
                <w:rFonts w:hint="eastAsia" w:ascii="仿宋" w:hAnsi="仿宋" w:eastAsia="仿宋" w:cs="宋体"/>
                <w:sz w:val="21"/>
                <w:szCs w:val="21"/>
                <w:highlight w:val="none"/>
              </w:rPr>
              <w:t>月末绿色贷款类招投标指标计分表，</w:t>
            </w:r>
            <w:r>
              <w:rPr>
                <w:rFonts w:hint="eastAsia" w:ascii="仿宋" w:hAnsi="仿宋" w:eastAsia="仿宋" w:cs="宋体"/>
                <w:sz w:val="21"/>
                <w:szCs w:val="21"/>
                <w:highlight w:val="none"/>
                <w:lang w:val="en-US" w:eastAsia="zh-CN"/>
              </w:rPr>
              <w:t>绿色贷款余额同比增速100%（不含）以上的得10分，80%(不含)-100%(含)得8分，60%(不含)-80%(含)得6分，60%（含）以下的得4分，负增长（含零增长）的不得分。</w:t>
            </w:r>
          </w:p>
        </w:tc>
      </w:tr>
      <w:tr w14:paraId="63C84980">
        <w:tblPrEx>
          <w:tblCellMar>
            <w:top w:w="0" w:type="dxa"/>
            <w:left w:w="0" w:type="dxa"/>
            <w:bottom w:w="0" w:type="dxa"/>
            <w:right w:w="0" w:type="dxa"/>
          </w:tblCellMar>
        </w:tblPrEx>
        <w:trPr>
          <w:trHeight w:val="1588" w:hRule="atLeast"/>
        </w:trPr>
        <w:tc>
          <w:tcPr>
            <w:tcW w:w="1609" w:type="dxa"/>
            <w:vMerge w:val="continue"/>
            <w:tcBorders>
              <w:left w:val="single" w:color="auto" w:sz="4" w:space="0"/>
              <w:bottom w:val="single" w:color="auto" w:sz="4" w:space="0"/>
              <w:right w:val="single" w:color="auto" w:sz="4" w:space="0"/>
            </w:tcBorders>
            <w:noWrap w:val="0"/>
            <w:vAlign w:val="center"/>
          </w:tcPr>
          <w:p w14:paraId="37486E3B">
            <w:pPr>
              <w:spacing w:line="300" w:lineRule="auto"/>
              <w:jc w:val="center"/>
              <w:rPr>
                <w:rFonts w:hint="eastAsia" w:ascii="仿宋" w:hAnsi="仿宋" w:eastAsia="仿宋" w:cs="宋体"/>
                <w:sz w:val="21"/>
                <w:szCs w:val="21"/>
              </w:rPr>
            </w:pPr>
          </w:p>
        </w:tc>
        <w:tc>
          <w:tcPr>
            <w:tcW w:w="1880" w:type="dxa"/>
            <w:tcBorders>
              <w:top w:val="single" w:color="000000" w:sz="4" w:space="0"/>
              <w:left w:val="single" w:color="auto" w:sz="4" w:space="0"/>
              <w:bottom w:val="single" w:color="000000" w:sz="4" w:space="0"/>
              <w:right w:val="single" w:color="000000" w:sz="4" w:space="0"/>
            </w:tcBorders>
            <w:noWrap w:val="0"/>
            <w:vAlign w:val="center"/>
          </w:tcPr>
          <w:p w14:paraId="36935E31">
            <w:pPr>
              <w:spacing w:line="300" w:lineRule="auto"/>
              <w:jc w:val="center"/>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rPr>
              <w:t>202</w:t>
            </w:r>
            <w:r>
              <w:rPr>
                <w:rFonts w:hint="eastAsia" w:ascii="仿宋" w:hAnsi="仿宋" w:eastAsia="仿宋" w:cs="宋体"/>
                <w:sz w:val="21"/>
                <w:szCs w:val="21"/>
                <w:highlight w:val="none"/>
                <w:lang w:val="en-US" w:eastAsia="zh-CN"/>
              </w:rPr>
              <w:t>5</w:t>
            </w:r>
            <w:r>
              <w:rPr>
                <w:rFonts w:hint="eastAsia" w:ascii="仿宋" w:hAnsi="仿宋" w:eastAsia="仿宋" w:cs="宋体"/>
                <w:sz w:val="21"/>
                <w:szCs w:val="21"/>
                <w:highlight w:val="none"/>
              </w:rPr>
              <w:t>年</w:t>
            </w:r>
            <w:r>
              <w:rPr>
                <w:rFonts w:hint="eastAsia" w:ascii="仿宋" w:hAnsi="仿宋" w:eastAsia="仿宋" w:cs="宋体"/>
                <w:sz w:val="21"/>
                <w:szCs w:val="21"/>
                <w:highlight w:val="none"/>
                <w:lang w:val="en-US" w:eastAsia="zh-CN"/>
              </w:rPr>
              <w:t>3</w:t>
            </w:r>
            <w:r>
              <w:rPr>
                <w:rFonts w:hint="eastAsia" w:ascii="仿宋" w:hAnsi="仿宋" w:eastAsia="仿宋" w:cs="宋体"/>
                <w:sz w:val="21"/>
                <w:szCs w:val="21"/>
                <w:highlight w:val="none"/>
              </w:rPr>
              <w:t>月末</w:t>
            </w:r>
            <w:r>
              <w:rPr>
                <w:rFonts w:hint="eastAsia" w:ascii="仿宋" w:hAnsi="仿宋" w:eastAsia="仿宋" w:cs="宋体"/>
                <w:sz w:val="21"/>
                <w:szCs w:val="21"/>
                <w:highlight w:val="none"/>
                <w:lang w:val="en-US" w:eastAsia="zh-CN"/>
              </w:rPr>
              <w:t>各项贷款增速</w:t>
            </w:r>
          </w:p>
          <w:p w14:paraId="39D24A50">
            <w:pPr>
              <w:spacing w:line="300" w:lineRule="auto"/>
              <w:jc w:val="center"/>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rPr>
              <w:t>（</w:t>
            </w:r>
            <w:r>
              <w:rPr>
                <w:rFonts w:hint="eastAsia" w:ascii="仿宋" w:hAnsi="仿宋" w:eastAsia="仿宋" w:cs="宋体"/>
                <w:sz w:val="21"/>
                <w:szCs w:val="21"/>
                <w:highlight w:val="none"/>
                <w:lang w:val="en-US" w:eastAsia="zh-CN"/>
              </w:rPr>
              <w:t>15</w:t>
            </w:r>
            <w:r>
              <w:rPr>
                <w:rFonts w:hint="eastAsia" w:ascii="仿宋" w:hAnsi="仿宋" w:eastAsia="仿宋" w:cs="宋体"/>
                <w:sz w:val="21"/>
                <w:szCs w:val="21"/>
                <w:highlight w:val="none"/>
              </w:rPr>
              <w:t>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885AD98">
            <w:pPr>
              <w:spacing w:line="300" w:lineRule="auto"/>
              <w:jc w:val="center"/>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15分</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42276B7E">
            <w:pPr>
              <w:spacing w:line="300" w:lineRule="auto"/>
              <w:jc w:val="both"/>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由市人行提供的</w:t>
            </w:r>
            <w:r>
              <w:rPr>
                <w:rFonts w:hint="eastAsia" w:ascii="仿宋" w:hAnsi="仿宋" w:eastAsia="仿宋" w:cs="宋体"/>
                <w:sz w:val="21"/>
                <w:szCs w:val="21"/>
                <w:highlight w:val="none"/>
              </w:rPr>
              <w:t>202</w:t>
            </w:r>
            <w:r>
              <w:rPr>
                <w:rFonts w:hint="eastAsia" w:ascii="仿宋" w:hAnsi="仿宋" w:eastAsia="仿宋" w:cs="宋体"/>
                <w:sz w:val="21"/>
                <w:szCs w:val="21"/>
                <w:highlight w:val="none"/>
                <w:lang w:val="en-US" w:eastAsia="zh-CN"/>
              </w:rPr>
              <w:t>5</w:t>
            </w:r>
            <w:r>
              <w:rPr>
                <w:rFonts w:hint="eastAsia" w:ascii="仿宋" w:hAnsi="仿宋" w:eastAsia="仿宋" w:cs="宋体"/>
                <w:sz w:val="21"/>
                <w:szCs w:val="21"/>
                <w:highlight w:val="none"/>
              </w:rPr>
              <w:t>年</w:t>
            </w:r>
            <w:r>
              <w:rPr>
                <w:rFonts w:hint="eastAsia" w:ascii="仿宋" w:hAnsi="仿宋" w:eastAsia="仿宋" w:cs="宋体"/>
                <w:sz w:val="21"/>
                <w:szCs w:val="21"/>
                <w:highlight w:val="none"/>
                <w:lang w:val="en-US" w:eastAsia="zh-CN"/>
              </w:rPr>
              <w:t>3</w:t>
            </w:r>
            <w:r>
              <w:rPr>
                <w:rFonts w:hint="eastAsia" w:ascii="仿宋" w:hAnsi="仿宋" w:eastAsia="仿宋" w:cs="宋体"/>
                <w:sz w:val="21"/>
                <w:szCs w:val="21"/>
                <w:highlight w:val="none"/>
              </w:rPr>
              <w:t>月末当年本外币贷款</w:t>
            </w:r>
            <w:r>
              <w:rPr>
                <w:rFonts w:hint="eastAsia" w:ascii="仿宋" w:hAnsi="仿宋" w:eastAsia="仿宋" w:cs="宋体"/>
                <w:sz w:val="21"/>
                <w:szCs w:val="21"/>
                <w:highlight w:val="none"/>
                <w:lang w:val="en-US" w:eastAsia="zh-CN"/>
              </w:rPr>
              <w:t>增速</w:t>
            </w:r>
            <w:r>
              <w:rPr>
                <w:rFonts w:hint="eastAsia" w:ascii="仿宋" w:hAnsi="仿宋" w:eastAsia="仿宋" w:cs="宋体"/>
                <w:sz w:val="21"/>
                <w:szCs w:val="21"/>
                <w:highlight w:val="none"/>
              </w:rPr>
              <w:t>:</w:t>
            </w:r>
            <w:r>
              <w:rPr>
                <w:rFonts w:hint="eastAsia" w:ascii="仿宋" w:hAnsi="仿宋" w:eastAsia="仿宋" w:cs="宋体"/>
                <w:sz w:val="21"/>
                <w:szCs w:val="21"/>
                <w:highlight w:val="none"/>
                <w:lang w:val="en-US" w:eastAsia="zh-CN"/>
              </w:rPr>
              <w:t>投标人各项贷款余额同比增速最高者得满分，其他投标人每下降一个位次扣3分，扣完为止</w:t>
            </w:r>
            <w:r>
              <w:rPr>
                <w:rFonts w:hint="eastAsia" w:ascii="仿宋" w:hAnsi="仿宋" w:eastAsia="仿宋" w:cs="宋体"/>
                <w:sz w:val="21"/>
                <w:szCs w:val="21"/>
                <w:highlight w:val="none"/>
              </w:rPr>
              <w:t>。</w:t>
            </w:r>
          </w:p>
        </w:tc>
      </w:tr>
      <w:tr w14:paraId="7F010745">
        <w:tblPrEx>
          <w:tblCellMar>
            <w:top w:w="0" w:type="dxa"/>
            <w:left w:w="0" w:type="dxa"/>
            <w:bottom w:w="0" w:type="dxa"/>
            <w:right w:w="0" w:type="dxa"/>
          </w:tblCellMar>
        </w:tblPrEx>
        <w:trPr>
          <w:trHeight w:val="1201" w:hRule="atLeast"/>
        </w:trPr>
        <w:tc>
          <w:tcPr>
            <w:tcW w:w="1609" w:type="dxa"/>
            <w:tcBorders>
              <w:top w:val="single" w:color="auto" w:sz="4" w:space="0"/>
              <w:left w:val="single" w:color="auto" w:sz="4" w:space="0"/>
              <w:bottom w:val="single" w:color="auto" w:sz="4" w:space="0"/>
              <w:right w:val="single" w:color="auto" w:sz="4" w:space="0"/>
            </w:tcBorders>
            <w:noWrap w:val="0"/>
            <w:vAlign w:val="center"/>
          </w:tcPr>
          <w:p w14:paraId="5CFDF91A">
            <w:pPr>
              <w:spacing w:line="300"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服务水平</w:t>
            </w:r>
          </w:p>
          <w:p w14:paraId="5E0FAC38">
            <w:pPr>
              <w:spacing w:line="300"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r>
              <w:rPr>
                <w:rFonts w:hint="eastAsia" w:ascii="仿宋" w:hAnsi="仿宋" w:eastAsia="仿宋" w:cs="宋体"/>
                <w:sz w:val="21"/>
                <w:szCs w:val="21"/>
                <w:highlight w:val="none"/>
                <w:lang w:val="en-US"/>
              </w:rPr>
              <w:t>1</w:t>
            </w:r>
            <w:r>
              <w:rPr>
                <w:rFonts w:hint="eastAsia" w:ascii="仿宋" w:hAnsi="仿宋" w:eastAsia="仿宋" w:cs="宋体"/>
                <w:sz w:val="21"/>
                <w:szCs w:val="21"/>
                <w:highlight w:val="none"/>
                <w:lang w:val="en-US" w:eastAsia="zh-CN"/>
              </w:rPr>
              <w:t>0</w:t>
            </w:r>
            <w:r>
              <w:rPr>
                <w:rFonts w:hint="eastAsia" w:ascii="仿宋" w:hAnsi="仿宋" w:eastAsia="仿宋" w:cs="宋体"/>
                <w:sz w:val="21"/>
                <w:szCs w:val="21"/>
                <w:highlight w:val="none"/>
              </w:rPr>
              <w:t>分）</w:t>
            </w:r>
          </w:p>
        </w:tc>
        <w:tc>
          <w:tcPr>
            <w:tcW w:w="1880" w:type="dxa"/>
            <w:tcBorders>
              <w:top w:val="single" w:color="000000" w:sz="4" w:space="0"/>
              <w:left w:val="single" w:color="auto" w:sz="4" w:space="0"/>
              <w:bottom w:val="single" w:color="000000" w:sz="4" w:space="0"/>
              <w:right w:val="single" w:color="000000" w:sz="4" w:space="0"/>
            </w:tcBorders>
            <w:noWrap w:val="0"/>
            <w:vAlign w:val="center"/>
          </w:tcPr>
          <w:p w14:paraId="18C14396">
            <w:pPr>
              <w:spacing w:line="300" w:lineRule="auto"/>
              <w:jc w:val="center"/>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银行账户管理服务能力</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AA8281E">
            <w:pPr>
              <w:spacing w:line="300" w:lineRule="auto"/>
              <w:jc w:val="center"/>
              <w:rPr>
                <w:rFonts w:hint="default"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10分</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13A58B43">
            <w:pPr>
              <w:spacing w:line="300" w:lineRule="auto"/>
              <w:jc w:val="both"/>
              <w:rPr>
                <w:rFonts w:hint="eastAsia" w:ascii="仿宋" w:hAnsi="仿宋" w:eastAsia="仿宋" w:cs="宋体"/>
                <w:sz w:val="21"/>
                <w:szCs w:val="21"/>
                <w:highlight w:val="none"/>
                <w:lang w:val="en-US" w:eastAsia="zh-CN"/>
              </w:rPr>
            </w:pPr>
            <w:bookmarkStart w:id="105" w:name="_GoBack"/>
            <w:r>
              <w:rPr>
                <w:rFonts w:hint="eastAsia" w:ascii="仿宋" w:hAnsi="仿宋" w:eastAsia="仿宋" w:cs="宋体"/>
                <w:sz w:val="21"/>
                <w:szCs w:val="21"/>
                <w:highlight w:val="none"/>
              </w:rPr>
              <w:t>银行的信息系统建设完善(0-2分)、对账服务便捷(0-2分)、分账核算服务健全(0-2分)、服务费用减免(0-2分)、以往提供服务的履约情况(0-2分)。</w:t>
            </w:r>
            <w:bookmarkEnd w:id="105"/>
          </w:p>
        </w:tc>
      </w:tr>
    </w:tbl>
    <w:p w14:paraId="2C93928F">
      <w:pPr>
        <w:spacing w:line="300" w:lineRule="auto"/>
        <w:ind w:firstLine="420" w:firstLineChars="200"/>
        <w:rPr>
          <w:rFonts w:hint="eastAsia" w:ascii="仿宋" w:hAnsi="仿宋" w:eastAsia="仿宋" w:cs="仿宋"/>
          <w:b/>
          <w:szCs w:val="21"/>
          <w:highlight w:val="none"/>
          <w:lang w:eastAsia="zh-CN"/>
        </w:rPr>
      </w:pPr>
      <w:r>
        <w:rPr>
          <w:rFonts w:hint="eastAsia" w:ascii="仿宋" w:hAnsi="仿宋" w:eastAsia="仿宋" w:cs="仿宋"/>
          <w:b/>
          <w:szCs w:val="21"/>
          <w:highlight w:val="none"/>
          <w:lang w:eastAsia="zh-CN"/>
        </w:rPr>
        <w:t>注：上表中“</w:t>
      </w:r>
      <w:r>
        <w:rPr>
          <w:rFonts w:hint="eastAsia" w:ascii="仿宋" w:hAnsi="仿宋" w:eastAsia="仿宋" w:cs="仿宋"/>
          <w:b/>
          <w:bCs/>
          <w:color w:val="auto"/>
          <w:kern w:val="0"/>
          <w:sz w:val="21"/>
          <w:szCs w:val="21"/>
          <w:highlight w:val="none"/>
          <w:lang w:eastAsia="zh-CN"/>
        </w:rPr>
        <w:t>经营状况、经济贡献度”的相关数据由招标单位向相关部门获取后统一提供。</w:t>
      </w:r>
    </w:p>
    <w:p w14:paraId="74AC6727">
      <w:pPr>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lang w:eastAsia="zh-CN"/>
        </w:rPr>
        <w:t>五</w:t>
      </w:r>
      <w:r>
        <w:rPr>
          <w:rFonts w:hint="eastAsia" w:ascii="仿宋" w:hAnsi="仿宋" w:eastAsia="仿宋" w:cs="仿宋"/>
          <w:b/>
          <w:szCs w:val="21"/>
          <w:highlight w:val="none"/>
        </w:rPr>
        <w:t>、</w:t>
      </w:r>
      <w:r>
        <w:rPr>
          <w:rFonts w:hint="eastAsia" w:ascii="仿宋" w:hAnsi="仿宋" w:eastAsia="仿宋" w:cs="仿宋"/>
          <w:b/>
          <w:szCs w:val="21"/>
          <w:highlight w:val="none"/>
          <w:lang w:eastAsia="zh-CN"/>
        </w:rPr>
        <w:t>定标</w:t>
      </w:r>
      <w:r>
        <w:rPr>
          <w:rFonts w:hint="eastAsia" w:ascii="仿宋" w:hAnsi="仿宋" w:eastAsia="仿宋" w:cs="仿宋"/>
          <w:b/>
          <w:szCs w:val="21"/>
          <w:highlight w:val="none"/>
        </w:rPr>
        <w:t>原则</w:t>
      </w:r>
    </w:p>
    <w:p w14:paraId="79451D92">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本次</w:t>
      </w:r>
      <w:r>
        <w:rPr>
          <w:rFonts w:hint="eastAsia" w:ascii="仿宋" w:hAnsi="仿宋" w:eastAsia="仿宋" w:cs="仿宋"/>
          <w:szCs w:val="21"/>
          <w:highlight w:val="none"/>
          <w:lang w:eastAsia="zh-CN"/>
        </w:rPr>
        <w:t>招标</w:t>
      </w:r>
      <w:r>
        <w:rPr>
          <w:rFonts w:hint="eastAsia" w:ascii="仿宋" w:hAnsi="仿宋" w:eastAsia="仿宋" w:cs="仿宋"/>
          <w:szCs w:val="21"/>
          <w:highlight w:val="none"/>
        </w:rPr>
        <w:t>根据评标委员会评分结果，按综合得分由高到低列明</w:t>
      </w:r>
      <w:r>
        <w:rPr>
          <w:rFonts w:hint="eastAsia" w:ascii="仿宋" w:hAnsi="仿宋" w:eastAsia="仿宋" w:cs="仿宋"/>
          <w:szCs w:val="21"/>
          <w:highlight w:val="none"/>
          <w:lang w:eastAsia="zh-CN"/>
        </w:rPr>
        <w:t>投标人</w:t>
      </w:r>
      <w:r>
        <w:rPr>
          <w:rFonts w:hint="eastAsia" w:ascii="仿宋" w:hAnsi="仿宋" w:eastAsia="仿宋" w:cs="仿宋"/>
          <w:szCs w:val="21"/>
          <w:highlight w:val="none"/>
        </w:rPr>
        <w:t>排名情况</w:t>
      </w:r>
      <w:r>
        <w:rPr>
          <w:rFonts w:hint="eastAsia" w:ascii="仿宋" w:hAnsi="仿宋" w:eastAsia="仿宋" w:cs="仿宋"/>
          <w:szCs w:val="21"/>
          <w:highlight w:val="none"/>
          <w:lang w:eastAsia="zh-CN"/>
        </w:rPr>
        <w:t>，确定</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eastAsia="zh-CN"/>
        </w:rPr>
        <w:t>家</w:t>
      </w:r>
      <w:r>
        <w:rPr>
          <w:rFonts w:hint="eastAsia" w:ascii="仿宋" w:hAnsi="仿宋" w:eastAsia="仿宋" w:cs="仿宋"/>
          <w:szCs w:val="21"/>
          <w:highlight w:val="none"/>
        </w:rPr>
        <w:t>中标</w:t>
      </w:r>
      <w:r>
        <w:rPr>
          <w:rFonts w:hint="eastAsia" w:ascii="仿宋" w:hAnsi="仿宋" w:eastAsia="仿宋" w:cs="仿宋"/>
          <w:szCs w:val="21"/>
          <w:highlight w:val="none"/>
          <w:lang w:eastAsia="zh-CN"/>
        </w:rPr>
        <w:t>候选人</w:t>
      </w:r>
      <w:r>
        <w:rPr>
          <w:rFonts w:hint="eastAsia" w:ascii="仿宋" w:hAnsi="仿宋" w:eastAsia="仿宋" w:cs="仿宋"/>
          <w:szCs w:val="21"/>
          <w:highlight w:val="none"/>
        </w:rPr>
        <w:t>，如竞标银行</w:t>
      </w:r>
      <w:r>
        <w:rPr>
          <w:rFonts w:hint="eastAsia" w:ascii="仿宋" w:hAnsi="仿宋" w:eastAsia="仿宋" w:cs="仿宋"/>
          <w:szCs w:val="21"/>
          <w:highlight w:val="none"/>
          <w:lang w:eastAsia="zh-CN"/>
        </w:rPr>
        <w:t>综合</w:t>
      </w:r>
      <w:r>
        <w:rPr>
          <w:rFonts w:hint="eastAsia" w:ascii="仿宋" w:hAnsi="仿宋" w:eastAsia="仿宋" w:cs="仿宋"/>
          <w:szCs w:val="21"/>
          <w:highlight w:val="none"/>
        </w:rPr>
        <w:t>得分相同时，依次按竞标银行利率水平得分、经营状况指标得分、经济贡献度指标得分、服务水平指标得分的高低确定名次。</w:t>
      </w:r>
    </w:p>
    <w:p w14:paraId="044F9348">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招标</w:t>
      </w:r>
      <w:r>
        <w:rPr>
          <w:rFonts w:hint="eastAsia" w:ascii="仿宋" w:hAnsi="仿宋" w:eastAsia="仿宋" w:cs="仿宋"/>
          <w:szCs w:val="21"/>
          <w:highlight w:val="none"/>
        </w:rPr>
        <w:t>代理机构在评标结束后2个工作日内将评标报告送</w:t>
      </w:r>
      <w:r>
        <w:rPr>
          <w:rFonts w:hint="eastAsia" w:ascii="仿宋" w:hAnsi="仿宋" w:eastAsia="仿宋" w:cs="仿宋"/>
          <w:szCs w:val="21"/>
          <w:highlight w:val="none"/>
          <w:lang w:eastAsia="zh-CN"/>
        </w:rPr>
        <w:t>招标人</w:t>
      </w:r>
      <w:r>
        <w:rPr>
          <w:rFonts w:hint="eastAsia" w:ascii="仿宋" w:hAnsi="仿宋" w:eastAsia="仿宋" w:cs="仿宋"/>
          <w:szCs w:val="21"/>
          <w:highlight w:val="none"/>
        </w:rPr>
        <w:t>。</w:t>
      </w:r>
      <w:r>
        <w:rPr>
          <w:rFonts w:hint="eastAsia" w:ascii="仿宋" w:hAnsi="仿宋" w:eastAsia="仿宋" w:cs="仿宋"/>
          <w:szCs w:val="21"/>
          <w:highlight w:val="none"/>
          <w:lang w:eastAsia="zh-CN"/>
        </w:rPr>
        <w:t>招标人</w:t>
      </w:r>
      <w:r>
        <w:rPr>
          <w:rFonts w:hint="eastAsia" w:ascii="仿宋" w:hAnsi="仿宋" w:eastAsia="仿宋" w:cs="仿宋"/>
          <w:szCs w:val="21"/>
          <w:highlight w:val="none"/>
        </w:rPr>
        <w:t>应当自收到评标报告之日起5个工作日内，按评标报告推荐的中标候选人名单确定中标单位。</w:t>
      </w:r>
    </w:p>
    <w:p w14:paraId="58383A52">
      <w:pPr>
        <w:pStyle w:val="13"/>
        <w:spacing w:line="700" w:lineRule="exact"/>
        <w:outlineLvl w:val="0"/>
        <w:rPr>
          <w:rFonts w:hint="eastAsia" w:ascii="仿宋" w:hAnsi="仿宋" w:eastAsia="仿宋" w:cs="仿宋"/>
          <w:sz w:val="30"/>
          <w:szCs w:val="32"/>
          <w:highlight w:val="none"/>
          <w:lang w:val="zh-CN" w:eastAsia="zh-CN"/>
        </w:rPr>
      </w:pPr>
      <w:r>
        <w:rPr>
          <w:rFonts w:hint="eastAsia" w:ascii="仿宋" w:hAnsi="仿宋" w:eastAsia="仿宋" w:cs="仿宋"/>
          <w:szCs w:val="21"/>
          <w:highlight w:val="none"/>
        </w:rPr>
        <w:br w:type="page"/>
      </w:r>
      <w:bookmarkStart w:id="95" w:name="_Toc14610"/>
      <w:bookmarkStart w:id="96" w:name="_Toc27253"/>
      <w:bookmarkStart w:id="97" w:name="_Toc32463_WPSOffice_Level1"/>
      <w:bookmarkStart w:id="98" w:name="_Toc29418"/>
      <w:bookmarkStart w:id="99" w:name="_Toc13425"/>
      <w:bookmarkStart w:id="100" w:name="_Toc12421"/>
      <w:bookmarkStart w:id="101" w:name="_Toc383"/>
      <w:bookmarkStart w:id="102" w:name="_Toc3937"/>
      <w:r>
        <w:rPr>
          <w:rFonts w:hint="eastAsia" w:ascii="仿宋" w:hAnsi="仿宋" w:eastAsia="仿宋" w:cs="仿宋"/>
          <w:sz w:val="30"/>
          <w:szCs w:val="32"/>
          <w:highlight w:val="none"/>
          <w:lang w:val="zh-CN" w:eastAsia="zh-CN"/>
        </w:rPr>
        <w:t>第六章  投标文件相关格式</w:t>
      </w:r>
      <w:bookmarkEnd w:id="95"/>
      <w:bookmarkEnd w:id="96"/>
      <w:bookmarkEnd w:id="97"/>
      <w:bookmarkEnd w:id="98"/>
      <w:bookmarkEnd w:id="99"/>
      <w:bookmarkEnd w:id="100"/>
      <w:bookmarkEnd w:id="101"/>
      <w:bookmarkEnd w:id="102"/>
    </w:p>
    <w:p w14:paraId="14FDE9E1">
      <w:pPr>
        <w:snapToGrid w:val="0"/>
        <w:spacing w:line="500" w:lineRule="exact"/>
        <w:jc w:val="both"/>
        <w:outlineLvl w:val="0"/>
        <w:rPr>
          <w:rStyle w:val="24"/>
          <w:rFonts w:hint="eastAsia" w:ascii="仿宋" w:hAnsi="仿宋" w:eastAsia="仿宋" w:cs="仿宋"/>
          <w:sz w:val="24"/>
          <w:szCs w:val="24"/>
        </w:rPr>
      </w:pPr>
    </w:p>
    <w:p w14:paraId="2331DAA7">
      <w:pPr>
        <w:snapToGrid w:val="0"/>
        <w:jc w:val="left"/>
        <w:rPr>
          <w:rFonts w:hint="eastAsia" w:ascii="仿宋" w:hAnsi="仿宋" w:eastAsia="仿宋" w:cs="仿宋"/>
          <w:b/>
          <w:sz w:val="24"/>
          <w:highlight w:val="none"/>
        </w:rPr>
      </w:pPr>
      <w:bookmarkStart w:id="103" w:name="附件1"/>
      <w:r>
        <w:rPr>
          <w:rFonts w:hint="eastAsia" w:ascii="仿宋" w:hAnsi="仿宋" w:eastAsia="仿宋" w:cs="仿宋"/>
          <w:b/>
          <w:sz w:val="24"/>
          <w:highlight w:val="none"/>
        </w:rPr>
        <w:t>附件1-1</w:t>
      </w:r>
      <w:bookmarkEnd w:id="103"/>
    </w:p>
    <w:p w14:paraId="6AB9B379">
      <w:pPr>
        <w:spacing w:line="500" w:lineRule="exact"/>
        <w:jc w:val="center"/>
        <w:rPr>
          <w:rFonts w:hint="eastAsia" w:ascii="仿宋" w:hAnsi="仿宋" w:eastAsia="仿宋" w:cs="仿宋"/>
          <w:b/>
          <w:bCs/>
          <w:kern w:val="0"/>
          <w:sz w:val="30"/>
          <w:szCs w:val="30"/>
          <w:highlight w:val="none"/>
        </w:rPr>
      </w:pPr>
    </w:p>
    <w:p w14:paraId="1ABB210A">
      <w:pPr>
        <w:spacing w:line="500" w:lineRule="exact"/>
        <w:jc w:val="center"/>
        <w:rPr>
          <w:rFonts w:hint="eastAsia" w:ascii="仿宋" w:hAnsi="仿宋" w:eastAsia="仿宋" w:cs="仿宋"/>
          <w:b/>
          <w:bCs/>
          <w:kern w:val="0"/>
          <w:sz w:val="30"/>
          <w:szCs w:val="30"/>
          <w:highlight w:val="none"/>
          <w:lang w:eastAsia="zh-CN"/>
        </w:rPr>
      </w:pPr>
      <w:r>
        <w:rPr>
          <w:rFonts w:hint="eastAsia" w:ascii="仿宋" w:hAnsi="仿宋" w:eastAsia="仿宋" w:cs="仿宋"/>
          <w:b/>
          <w:bCs/>
          <w:kern w:val="0"/>
          <w:sz w:val="30"/>
          <w:szCs w:val="30"/>
          <w:highlight w:val="none"/>
          <w:lang w:eastAsia="zh-CN"/>
        </w:rPr>
        <w:t>法定代表人（单位负责人）身份证明</w:t>
      </w:r>
    </w:p>
    <w:p w14:paraId="15117B96">
      <w:pPr>
        <w:widowControl/>
        <w:spacing w:line="420" w:lineRule="atLeast"/>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w:t>
      </w:r>
    </w:p>
    <w:p w14:paraId="232CB218">
      <w:pPr>
        <w:widowControl/>
        <w:spacing w:line="420" w:lineRule="atLeast"/>
        <w:ind w:firstLine="48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1DE1E471">
      <w:pPr>
        <w:widowControl/>
        <w:spacing w:line="420" w:lineRule="atLeast"/>
        <w:ind w:firstLine="1080"/>
        <w:rPr>
          <w:rFonts w:hint="eastAsia" w:ascii="仿宋" w:hAnsi="仿宋" w:eastAsia="仿宋" w:cs="仿宋"/>
          <w:kern w:val="0"/>
          <w:szCs w:val="21"/>
          <w:highlight w:val="none"/>
        </w:rPr>
      </w:pPr>
      <w:r>
        <w:rPr>
          <w:rFonts w:hint="eastAsia" w:ascii="仿宋" w:hAnsi="仿宋" w:eastAsia="仿宋" w:cs="仿宋"/>
          <w:kern w:val="0"/>
          <w:szCs w:val="21"/>
          <w:highlight w:val="none"/>
        </w:rPr>
        <w:t>单位名称：</w:t>
      </w:r>
      <w:r>
        <w:rPr>
          <w:rFonts w:hint="eastAsia" w:ascii="仿宋" w:hAnsi="仿宋" w:eastAsia="仿宋" w:cs="仿宋"/>
          <w:kern w:val="0"/>
          <w:szCs w:val="21"/>
          <w:highlight w:val="none"/>
          <w:u w:val="single"/>
        </w:rPr>
        <w:t xml:space="preserve">                                               </w:t>
      </w:r>
    </w:p>
    <w:p w14:paraId="37F74826">
      <w:pPr>
        <w:widowControl/>
        <w:spacing w:line="420" w:lineRule="atLeast"/>
        <w:ind w:firstLine="108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单位性质：</w:t>
      </w:r>
      <w:r>
        <w:rPr>
          <w:rFonts w:hint="eastAsia" w:ascii="仿宋" w:hAnsi="仿宋" w:eastAsia="仿宋" w:cs="仿宋"/>
          <w:kern w:val="0"/>
          <w:szCs w:val="21"/>
          <w:highlight w:val="none"/>
          <w:u w:val="single"/>
        </w:rPr>
        <w:t xml:space="preserve">                                               </w:t>
      </w:r>
    </w:p>
    <w:p w14:paraId="715B4055">
      <w:pPr>
        <w:widowControl/>
        <w:spacing w:line="420" w:lineRule="atLeast"/>
        <w:ind w:firstLine="108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地    址：</w:t>
      </w:r>
      <w:r>
        <w:rPr>
          <w:rFonts w:hint="eastAsia" w:ascii="仿宋" w:hAnsi="仿宋" w:eastAsia="仿宋" w:cs="仿宋"/>
          <w:kern w:val="0"/>
          <w:szCs w:val="21"/>
          <w:highlight w:val="none"/>
          <w:u w:val="single"/>
        </w:rPr>
        <w:t xml:space="preserve">                                               </w:t>
      </w:r>
    </w:p>
    <w:p w14:paraId="03E6EB6D">
      <w:pPr>
        <w:widowControl/>
        <w:spacing w:line="420" w:lineRule="atLeast"/>
        <w:ind w:firstLine="1080"/>
        <w:rPr>
          <w:rFonts w:hint="eastAsia" w:ascii="仿宋" w:hAnsi="仿宋" w:eastAsia="仿宋" w:cs="仿宋"/>
          <w:kern w:val="0"/>
          <w:szCs w:val="21"/>
          <w:highlight w:val="none"/>
        </w:rPr>
      </w:pPr>
      <w:r>
        <w:rPr>
          <w:rFonts w:hint="eastAsia" w:ascii="仿宋" w:hAnsi="仿宋" w:eastAsia="仿宋" w:cs="仿宋"/>
          <w:kern w:val="0"/>
          <w:szCs w:val="21"/>
          <w:highlight w:val="none"/>
        </w:rPr>
        <w:t>成立时间：</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年</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月</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日</w:t>
      </w:r>
    </w:p>
    <w:p w14:paraId="70F96C5E">
      <w:pPr>
        <w:widowControl/>
        <w:spacing w:line="420" w:lineRule="atLeast"/>
        <w:ind w:firstLine="108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经营期限：</w:t>
      </w:r>
      <w:r>
        <w:rPr>
          <w:rFonts w:hint="eastAsia" w:ascii="仿宋" w:hAnsi="仿宋" w:eastAsia="仿宋" w:cs="仿宋"/>
          <w:kern w:val="0"/>
          <w:szCs w:val="21"/>
          <w:highlight w:val="none"/>
          <w:u w:val="single"/>
        </w:rPr>
        <w:t xml:space="preserve">                                               </w:t>
      </w:r>
    </w:p>
    <w:p w14:paraId="4BE12648">
      <w:pPr>
        <w:widowControl/>
        <w:spacing w:line="420" w:lineRule="atLeast"/>
        <w:ind w:firstLine="108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姓    名：</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性    别：</w:t>
      </w:r>
      <w:r>
        <w:rPr>
          <w:rFonts w:hint="eastAsia" w:ascii="仿宋" w:hAnsi="仿宋" w:eastAsia="仿宋" w:cs="仿宋"/>
          <w:kern w:val="0"/>
          <w:szCs w:val="21"/>
          <w:highlight w:val="none"/>
          <w:u w:val="single"/>
        </w:rPr>
        <w:t xml:space="preserve">            </w:t>
      </w:r>
    </w:p>
    <w:p w14:paraId="7DDD63D5">
      <w:pPr>
        <w:widowControl/>
        <w:spacing w:line="420" w:lineRule="atLeast"/>
        <w:ind w:firstLine="108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年    龄：</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职    务：</w:t>
      </w:r>
      <w:r>
        <w:rPr>
          <w:rFonts w:hint="eastAsia" w:ascii="仿宋" w:hAnsi="仿宋" w:eastAsia="仿宋" w:cs="仿宋"/>
          <w:kern w:val="0"/>
          <w:szCs w:val="21"/>
          <w:highlight w:val="none"/>
          <w:u w:val="single"/>
        </w:rPr>
        <w:t xml:space="preserve">            </w:t>
      </w:r>
    </w:p>
    <w:p w14:paraId="51576BFD">
      <w:pPr>
        <w:widowControl/>
        <w:spacing w:line="420" w:lineRule="atLeast"/>
        <w:ind w:firstLine="1080"/>
        <w:rPr>
          <w:rFonts w:hint="eastAsia" w:ascii="仿宋" w:hAnsi="仿宋" w:eastAsia="仿宋" w:cs="仿宋"/>
          <w:kern w:val="0"/>
          <w:szCs w:val="21"/>
          <w:highlight w:val="none"/>
        </w:rPr>
      </w:pPr>
      <w:r>
        <w:rPr>
          <w:rFonts w:hint="eastAsia" w:ascii="仿宋" w:hAnsi="仿宋" w:eastAsia="仿宋" w:cs="仿宋"/>
          <w:kern w:val="0"/>
          <w:szCs w:val="21"/>
          <w:highlight w:val="none"/>
        </w:rPr>
        <w:t>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（投标人名称）的</w:t>
      </w:r>
      <w:r>
        <w:rPr>
          <w:rFonts w:hint="eastAsia" w:ascii="仿宋" w:hAnsi="仿宋" w:eastAsia="仿宋" w:cs="仿宋"/>
          <w:kern w:val="0"/>
          <w:szCs w:val="21"/>
          <w:highlight w:val="none"/>
          <w:lang w:eastAsia="zh-CN"/>
        </w:rPr>
        <w:t>法定代表人（单位负责人）</w:t>
      </w:r>
      <w:r>
        <w:rPr>
          <w:rFonts w:hint="eastAsia" w:ascii="仿宋" w:hAnsi="仿宋" w:eastAsia="仿宋" w:cs="仿宋"/>
          <w:kern w:val="0"/>
          <w:szCs w:val="21"/>
          <w:highlight w:val="none"/>
        </w:rPr>
        <w:t>。</w:t>
      </w:r>
    </w:p>
    <w:p w14:paraId="16B5A84E">
      <w:pPr>
        <w:widowControl/>
        <w:spacing w:line="420" w:lineRule="atLeast"/>
        <w:ind w:firstLine="1080"/>
        <w:rPr>
          <w:rFonts w:hint="eastAsia" w:ascii="仿宋" w:hAnsi="仿宋" w:eastAsia="仿宋" w:cs="仿宋"/>
          <w:kern w:val="0"/>
          <w:szCs w:val="21"/>
          <w:highlight w:val="none"/>
        </w:rPr>
      </w:pPr>
      <w:r>
        <w:rPr>
          <w:rFonts w:hint="eastAsia" w:ascii="仿宋" w:hAnsi="仿宋" w:eastAsia="仿宋" w:cs="仿宋"/>
          <w:kern w:val="0"/>
          <w:szCs w:val="21"/>
          <w:highlight w:val="none"/>
        </w:rPr>
        <w:t>特此证明。</w:t>
      </w:r>
    </w:p>
    <w:p w14:paraId="41CB6CED">
      <w:pPr>
        <w:widowControl/>
        <w:spacing w:line="420" w:lineRule="atLeast"/>
        <w:ind w:firstLine="1080"/>
        <w:rPr>
          <w:rFonts w:hint="eastAsia" w:ascii="仿宋" w:hAnsi="仿宋" w:eastAsia="仿宋" w:cs="仿宋"/>
          <w:kern w:val="0"/>
          <w:szCs w:val="21"/>
          <w:highlight w:val="none"/>
        </w:rPr>
      </w:pPr>
    </w:p>
    <w:p w14:paraId="1D1040CE">
      <w:pPr>
        <w:widowControl/>
        <w:spacing w:line="420" w:lineRule="atLeast"/>
        <w:ind w:firstLine="1080"/>
        <w:rPr>
          <w:rFonts w:hint="eastAsia" w:ascii="仿宋" w:hAnsi="仿宋" w:eastAsia="仿宋" w:cs="仿宋"/>
          <w:kern w:val="0"/>
          <w:szCs w:val="21"/>
          <w:highlight w:val="none"/>
        </w:rPr>
      </w:pPr>
    </w:p>
    <w:p w14:paraId="0CCEC719">
      <w:pPr>
        <w:spacing w:line="500" w:lineRule="exact"/>
        <w:jc w:val="right"/>
        <w:rPr>
          <w:rFonts w:hint="eastAsia" w:ascii="仿宋" w:hAnsi="仿宋" w:eastAsia="仿宋" w:cs="仿宋"/>
          <w:kern w:val="0"/>
          <w:szCs w:val="21"/>
          <w:highlight w:val="none"/>
        </w:rPr>
      </w:pPr>
      <w:r>
        <w:rPr>
          <w:rFonts w:hint="eastAsia" w:ascii="仿宋" w:hAnsi="仿宋" w:eastAsia="仿宋" w:cs="仿宋"/>
          <w:kern w:val="0"/>
          <w:szCs w:val="21"/>
          <w:highlight w:val="none"/>
        </w:rPr>
        <w:t>投标人名称：</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（盖章）</w:t>
      </w:r>
    </w:p>
    <w:p w14:paraId="5FAFFD7A">
      <w:pPr>
        <w:spacing w:line="500" w:lineRule="exact"/>
        <w:jc w:val="right"/>
        <w:rPr>
          <w:rFonts w:hint="eastAsia" w:ascii="仿宋" w:hAnsi="仿宋" w:eastAsia="仿宋" w:cs="仿宋"/>
          <w:kern w:val="0"/>
          <w:szCs w:val="21"/>
          <w:highlight w:val="none"/>
        </w:rPr>
      </w:pPr>
      <w:r>
        <w:rPr>
          <w:rFonts w:hint="eastAsia" w:ascii="仿宋" w:hAnsi="仿宋" w:eastAsia="仿宋" w:cs="仿宋"/>
          <w:kern w:val="0"/>
          <w:szCs w:val="21"/>
          <w:highlight w:val="none"/>
        </w:rPr>
        <w:t>日期：</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年</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月</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 xml:space="preserve">日 </w:t>
      </w:r>
    </w:p>
    <w:p w14:paraId="2D9A5B21">
      <w:pPr>
        <w:widowControl/>
        <w:spacing w:line="420" w:lineRule="atLeast"/>
        <w:jc w:val="center"/>
        <w:rPr>
          <w:rFonts w:hint="eastAsia" w:ascii="仿宋" w:hAnsi="仿宋" w:eastAsia="仿宋" w:cs="仿宋"/>
          <w:kern w:val="0"/>
          <w:szCs w:val="21"/>
          <w:highlight w:val="none"/>
        </w:rPr>
      </w:pPr>
    </w:p>
    <w:p w14:paraId="6CDD0ECF">
      <w:pPr>
        <w:spacing w:line="360" w:lineRule="auto"/>
        <w:jc w:val="left"/>
        <w:rPr>
          <w:rFonts w:hint="eastAsia" w:ascii="仿宋" w:hAnsi="仿宋" w:eastAsia="仿宋" w:cs="仿宋"/>
          <w:b/>
          <w:bCs/>
          <w:szCs w:val="21"/>
        </w:rPr>
      </w:pPr>
      <w:r>
        <w:rPr>
          <w:rFonts w:hint="eastAsia" w:ascii="仿宋" w:hAnsi="仿宋" w:eastAsia="仿宋" w:cs="仿宋"/>
          <w:sz w:val="21"/>
        </w:rPr>
        <mc:AlternateContent>
          <mc:Choice Requires="wps">
            <w:drawing>
              <wp:anchor distT="0" distB="0" distL="114300" distR="114300" simplePos="0" relativeHeight="251659264" behindDoc="0" locked="0" layoutInCell="1" allowOverlap="1">
                <wp:simplePos x="0" y="0"/>
                <wp:positionH relativeFrom="column">
                  <wp:posOffset>173990</wp:posOffset>
                </wp:positionH>
                <wp:positionV relativeFrom="paragraph">
                  <wp:posOffset>274320</wp:posOffset>
                </wp:positionV>
                <wp:extent cx="2734310" cy="2634615"/>
                <wp:effectExtent l="4445" t="4445" r="23495" b="8890"/>
                <wp:wrapNone/>
                <wp:docPr id="15" name="矩形 15"/>
                <wp:cNvGraphicFramePr/>
                <a:graphic xmlns:a="http://schemas.openxmlformats.org/drawingml/2006/main">
                  <a:graphicData uri="http://schemas.microsoft.com/office/word/2010/wordprocessingShape">
                    <wps:wsp>
                      <wps:cNvSpPr/>
                      <wps:spPr>
                        <a:xfrm>
                          <a:off x="0" y="0"/>
                          <a:ext cx="2785745" cy="2868930"/>
                        </a:xfrm>
                        <a:prstGeom prst="rect">
                          <a:avLst/>
                        </a:prstGeom>
                        <a:solidFill>
                          <a:srgbClr val="FFFFFF"/>
                        </a:solidFill>
                        <a:ln w="3175" cap="flat" cmpd="sng" algn="ctr">
                          <a:solidFill>
                            <a:srgbClr val="000000"/>
                          </a:solidFill>
                          <a:prstDash val="solid"/>
                        </a:ln>
                        <a:effectLst/>
                      </wps:spPr>
                      <wps:txbx>
                        <w:txbxContent>
                          <w:p w14:paraId="0E587EFC"/>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pt;margin-top:21.6pt;height:207.45pt;width:215.3pt;z-index:251659264;v-text-anchor:middle;mso-width-relative:page;mso-height-relative:page;" fillcolor="#FFFFFF" filled="t" stroked="t" coordsize="21600,21600" o:gfxdata="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RQGEfZAAAACQEAAA8AAAAAAAAAAQAgAAAAIgAAAGRycy9k&#10;b3ducmV2LnhtbFBLAQIUABQAAAAIAIdO4kDpapo8cwIAAPgEAAAOAAAAAAAAAAEAIAAAACgBAABk&#10;cnMvZTJvRG9jLnhtbFBLBQYAAAAABgAGAFkBAAANBgAAAAA=&#10;">
                <v:fill on="t" focussize="0,0"/>
                <v:stroke weight="0.25pt" color="#000000" joinstyle="round"/>
                <v:imagedata o:title=""/>
                <o:lock v:ext="edit" aspectratio="f"/>
                <v:textbox>
                  <w:txbxContent>
                    <w:p w14:paraId="0E587EFC"/>
                  </w:txbxContent>
                </v:textbox>
              </v:rect>
            </w:pict>
          </mc:Fallback>
        </mc:AlternateContent>
      </w:r>
      <w:r>
        <w:rPr>
          <w:rFonts w:hint="eastAsia" w:ascii="仿宋" w:hAnsi="仿宋" w:eastAsia="仿宋" w:cs="仿宋"/>
          <w:sz w:val="21"/>
        </w:rPr>
        <mc:AlternateContent>
          <mc:Choice Requires="wps">
            <w:drawing>
              <wp:anchor distT="0" distB="0" distL="114300" distR="114300" simplePos="0" relativeHeight="251660288" behindDoc="0" locked="0" layoutInCell="1" allowOverlap="1">
                <wp:simplePos x="0" y="0"/>
                <wp:positionH relativeFrom="column">
                  <wp:posOffset>3164840</wp:posOffset>
                </wp:positionH>
                <wp:positionV relativeFrom="paragraph">
                  <wp:posOffset>262890</wp:posOffset>
                </wp:positionV>
                <wp:extent cx="2749550" cy="2658110"/>
                <wp:effectExtent l="4445" t="4445" r="8255" b="23495"/>
                <wp:wrapNone/>
                <wp:docPr id="16" name="矩形 16"/>
                <wp:cNvGraphicFramePr/>
                <a:graphic xmlns:a="http://schemas.openxmlformats.org/drawingml/2006/main">
                  <a:graphicData uri="http://schemas.microsoft.com/office/word/2010/wordprocessingShape">
                    <wps:wsp>
                      <wps:cNvSpPr/>
                      <wps:spPr>
                        <a:xfrm>
                          <a:off x="0" y="0"/>
                          <a:ext cx="2785745" cy="2868930"/>
                        </a:xfrm>
                        <a:prstGeom prst="rect">
                          <a:avLst/>
                        </a:prstGeom>
                        <a:solidFill>
                          <a:srgbClr val="FFFFFF"/>
                        </a:solidFill>
                        <a:ln w="3175" cap="flat" cmpd="sng" algn="ctr">
                          <a:solidFill>
                            <a:srgbClr val="000000"/>
                          </a:solidFill>
                          <a:prstDash val="solid"/>
                        </a:ln>
                        <a:effectLst/>
                      </wps:spPr>
                      <wps:txbx>
                        <w:txbxContent>
                          <w:p w14:paraId="4871FAFF"/>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9.2pt;margin-top:20.7pt;height:209.3pt;width:216.5pt;z-index:251660288;v-text-anchor:middle;mso-width-relative:page;mso-height-relative:page;" fillcolor="#FFFFFF" filled="t" stroked="t" coordsize="21600,21600" o:gfxdata="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EkRoe2QAAAAoBAAAPAAAAAAAAAAEAIAAAACIAAABkcnMv&#10;ZG93bnJldi54bWxQSwECFAAUAAAACACHTuJA/Pk9/HQCAAD4BAAADgAAAAAAAAABACAAAAAoAQAA&#10;ZHJzL2Uyb0RvYy54bWxQSwUGAAAAAAYABgBZAQAADgYAAAAA&#10;">
                <v:fill on="t" focussize="0,0"/>
                <v:stroke weight="0.25pt" color="#000000" joinstyle="round"/>
                <v:imagedata o:title=""/>
                <o:lock v:ext="edit" aspectratio="f"/>
                <v:textbox>
                  <w:txbxContent>
                    <w:p w14:paraId="4871FAFF"/>
                  </w:txbxContent>
                </v:textbox>
              </v:rect>
            </w:pict>
          </mc:Fallback>
        </mc:AlternateContent>
      </w:r>
      <w:r>
        <w:rPr>
          <w:rFonts w:hint="eastAsia" w:ascii="仿宋" w:hAnsi="仿宋" w:eastAsia="仿宋" w:cs="仿宋"/>
          <w:b/>
          <w:bCs/>
          <w:szCs w:val="21"/>
        </w:rPr>
        <w:t>附</w:t>
      </w:r>
      <w:r>
        <w:rPr>
          <w:rFonts w:hint="eastAsia" w:ascii="仿宋" w:hAnsi="仿宋" w:eastAsia="仿宋" w:cs="仿宋"/>
          <w:b/>
          <w:szCs w:val="21"/>
        </w:rPr>
        <w:t>法定代表人（单位负责人）身份证复印件</w:t>
      </w:r>
    </w:p>
    <w:p w14:paraId="7C19E220">
      <w:pPr>
        <w:snapToGrid w:val="0"/>
        <w:jc w:val="left"/>
        <w:rPr>
          <w:rFonts w:hint="eastAsia" w:ascii="仿宋" w:hAnsi="仿宋" w:eastAsia="仿宋" w:cs="仿宋"/>
          <w:b/>
          <w:bCs/>
          <w:sz w:val="28"/>
          <w:szCs w:val="28"/>
          <w:highlight w:val="none"/>
        </w:rPr>
      </w:pPr>
      <w:r>
        <w:rPr>
          <w:rFonts w:hint="eastAsia" w:ascii="仿宋" w:hAnsi="仿宋" w:eastAsia="仿宋" w:cs="仿宋"/>
          <w:b/>
          <w:bCs/>
          <w:szCs w:val="21"/>
        </w:rPr>
        <w:br w:type="page"/>
      </w:r>
      <w:bookmarkStart w:id="104" w:name="法定代表人授权委托书"/>
      <w:r>
        <w:rPr>
          <w:rFonts w:hint="eastAsia" w:ascii="仿宋" w:hAnsi="仿宋" w:eastAsia="仿宋" w:cs="仿宋"/>
          <w:b/>
          <w:sz w:val="24"/>
          <w:highlight w:val="none"/>
        </w:rPr>
        <w:t>附件1-2</w:t>
      </w:r>
      <w:bookmarkEnd w:id="104"/>
    </w:p>
    <w:p w14:paraId="00C46D71">
      <w:pPr>
        <w:spacing w:line="500" w:lineRule="exact"/>
        <w:jc w:val="center"/>
        <w:rPr>
          <w:rFonts w:hint="eastAsia" w:ascii="仿宋" w:hAnsi="仿宋" w:eastAsia="仿宋" w:cs="仿宋"/>
          <w:b/>
          <w:bCs/>
          <w:sz w:val="28"/>
          <w:szCs w:val="28"/>
          <w:highlight w:val="none"/>
        </w:rPr>
      </w:pPr>
    </w:p>
    <w:p w14:paraId="78DDA884">
      <w:pPr>
        <w:spacing w:line="50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法定代表人（单位负责人）</w:t>
      </w:r>
      <w:r>
        <w:rPr>
          <w:rFonts w:hint="eastAsia" w:ascii="仿宋" w:hAnsi="仿宋" w:eastAsia="仿宋" w:cs="仿宋"/>
          <w:b/>
          <w:bCs/>
          <w:sz w:val="28"/>
          <w:szCs w:val="28"/>
          <w:highlight w:val="none"/>
        </w:rPr>
        <w:t>授权委托书</w:t>
      </w:r>
    </w:p>
    <w:p w14:paraId="2B5018DB">
      <w:pPr>
        <w:keepNext w:val="0"/>
        <w:keepLines w:val="0"/>
        <w:pageBreakBefore w:val="0"/>
        <w:widowControl w:val="0"/>
        <w:kinsoku/>
        <w:overflowPunct/>
        <w:topLinePunct w:val="0"/>
        <w:autoSpaceDE/>
        <w:autoSpaceDN/>
        <w:bidi w:val="0"/>
        <w:adjustRightInd/>
        <w:snapToGrid/>
        <w:spacing w:line="360" w:lineRule="auto"/>
        <w:ind w:firstLine="105" w:firstLineChars="50"/>
        <w:textAlignment w:val="auto"/>
        <w:rPr>
          <w:rFonts w:hint="eastAsia" w:ascii="仿宋" w:hAnsi="仿宋" w:eastAsia="仿宋" w:cs="仿宋"/>
          <w:szCs w:val="21"/>
          <w:highlight w:val="none"/>
          <w:u w:val="none"/>
          <w:lang w:val="en-US" w:eastAsia="zh-CN"/>
        </w:rPr>
      </w:pPr>
    </w:p>
    <w:p w14:paraId="1D05829C">
      <w:pPr>
        <w:keepNext w:val="0"/>
        <w:keepLines w:val="0"/>
        <w:pageBreakBefore w:val="0"/>
        <w:widowControl w:val="0"/>
        <w:kinsoku/>
        <w:overflowPunct/>
        <w:topLinePunct w:val="0"/>
        <w:autoSpaceDE/>
        <w:autoSpaceDN/>
        <w:bidi w:val="0"/>
        <w:adjustRightInd/>
        <w:snapToGrid/>
        <w:spacing w:line="360" w:lineRule="auto"/>
        <w:ind w:firstLine="105" w:firstLineChars="50"/>
        <w:textAlignment w:val="auto"/>
        <w:rPr>
          <w:rFonts w:hint="eastAsia" w:ascii="仿宋" w:hAnsi="仿宋" w:eastAsia="仿宋" w:cs="仿宋"/>
          <w:szCs w:val="21"/>
          <w:highlight w:val="none"/>
          <w:u w:val="single"/>
          <w:lang w:eastAsia="zh-CN"/>
        </w:rPr>
      </w:pPr>
      <w:r>
        <w:rPr>
          <w:rFonts w:hint="eastAsia" w:ascii="仿宋" w:hAnsi="仿宋" w:eastAsia="仿宋" w:cs="仿宋"/>
          <w:szCs w:val="21"/>
          <w:highlight w:val="none"/>
          <w:u w:val="single"/>
          <w:lang w:eastAsia="zh-CN"/>
        </w:rPr>
        <w:t>常山县自然资源和规划局：</w:t>
      </w:r>
    </w:p>
    <w:p w14:paraId="786CE7D3">
      <w:pPr>
        <w:keepNext w:val="0"/>
        <w:keepLines w:val="0"/>
        <w:pageBreakBefore w:val="0"/>
        <w:widowControl w:val="0"/>
        <w:kinsoku/>
        <w:overflowPunct/>
        <w:topLinePunct w:val="0"/>
        <w:autoSpaceDE/>
        <w:autoSpaceDN/>
        <w:bidi w:val="0"/>
        <w:adjustRightInd/>
        <w:snapToGrid/>
        <w:spacing w:line="360" w:lineRule="auto"/>
        <w:ind w:firstLine="105" w:firstLineChars="50"/>
        <w:textAlignment w:val="auto"/>
        <w:rPr>
          <w:rFonts w:hint="eastAsia" w:ascii="仿宋" w:hAnsi="仿宋" w:eastAsia="仿宋" w:cs="仿宋"/>
          <w:szCs w:val="21"/>
          <w:highlight w:val="none"/>
        </w:rPr>
      </w:pPr>
      <w:r>
        <w:rPr>
          <w:rFonts w:hint="eastAsia" w:ascii="仿宋" w:hAnsi="仿宋" w:eastAsia="仿宋" w:cs="仿宋"/>
          <w:szCs w:val="21"/>
          <w:highlight w:val="none"/>
          <w:u w:val="single"/>
          <w:lang w:eastAsia="zh-CN"/>
        </w:rPr>
        <w:t>浙江哲晟工程项目管理有限公司</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1D16EB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我</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（姓名）系</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（投标人名称）的</w:t>
      </w:r>
      <w:r>
        <w:rPr>
          <w:rFonts w:hint="eastAsia" w:ascii="仿宋" w:hAnsi="仿宋" w:eastAsia="仿宋" w:cs="仿宋"/>
          <w:szCs w:val="21"/>
          <w:highlight w:val="none"/>
          <w:lang w:eastAsia="zh-CN"/>
        </w:rPr>
        <w:t>法定代表人（单位负责人）</w:t>
      </w:r>
      <w:r>
        <w:rPr>
          <w:rFonts w:hint="eastAsia" w:ascii="仿宋" w:hAnsi="仿宋" w:eastAsia="仿宋" w:cs="仿宋"/>
          <w:szCs w:val="21"/>
          <w:highlight w:val="none"/>
        </w:rPr>
        <w:t>，现授权委托本单位在职职工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（姓名）以我方的名义参加贵处组织的</w:t>
      </w:r>
      <w:r>
        <w:rPr>
          <w:rFonts w:hint="eastAsia" w:ascii="仿宋" w:hAnsi="仿宋" w:eastAsia="仿宋" w:cs="仿宋"/>
          <w:szCs w:val="21"/>
          <w:highlight w:val="none"/>
          <w:u w:val="single"/>
        </w:rPr>
        <w:t>（项目名称</w:t>
      </w:r>
      <w:r>
        <w:rPr>
          <w:rFonts w:hint="eastAsia" w:ascii="仿宋" w:hAnsi="仿宋" w:eastAsia="仿宋" w:cs="仿宋"/>
          <w:szCs w:val="21"/>
          <w:highlight w:val="none"/>
          <w:u w:val="singl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）（项目编号</w:t>
      </w:r>
      <w:r>
        <w:rPr>
          <w:rFonts w:hint="eastAsia" w:ascii="仿宋" w:hAnsi="仿宋" w:eastAsia="仿宋" w:cs="仿宋"/>
          <w:szCs w:val="21"/>
          <w:highlight w:val="none"/>
          <w:u w:val="singl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w:t>
      </w:r>
      <w:r>
        <w:rPr>
          <w:rFonts w:hint="eastAsia" w:ascii="仿宋" w:hAnsi="仿宋" w:eastAsia="仿宋" w:cs="仿宋"/>
          <w:szCs w:val="21"/>
          <w:highlight w:val="none"/>
        </w:rPr>
        <w:t>的投标活动，并代表我方全权办理针对上述项目的投标文件签署、投标、参加开标会议、签约（如我方中标）等具体事务和签署相关文件。</w:t>
      </w:r>
    </w:p>
    <w:p w14:paraId="638F7F30">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我方对被授权人签名的事项负全部责任。</w:t>
      </w:r>
    </w:p>
    <w:p w14:paraId="6DB8B912">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在撤销授权的书面通知以前，本授权书一直有效。被授权人在授权书有效期内签署的所有文件不因授权的撤销而失效。被授权人无转委托权，特此委托。</w:t>
      </w:r>
    </w:p>
    <w:p w14:paraId="5072239E">
      <w:pPr>
        <w:ind w:firstLine="420" w:firstLineChars="200"/>
        <w:rPr>
          <w:rFonts w:hint="eastAsia" w:ascii="仿宋" w:hAnsi="仿宋" w:eastAsia="仿宋" w:cs="仿宋"/>
          <w:szCs w:val="21"/>
          <w:highlight w:val="none"/>
        </w:rPr>
      </w:pPr>
    </w:p>
    <w:p w14:paraId="54F7755C">
      <w:pPr>
        <w:spacing w:line="500" w:lineRule="exact"/>
        <w:rPr>
          <w:rFonts w:hint="eastAsia" w:ascii="仿宋" w:hAnsi="仿宋" w:eastAsia="仿宋" w:cs="仿宋"/>
          <w:szCs w:val="21"/>
          <w:highlight w:val="none"/>
          <w:u w:val="single"/>
        </w:rPr>
      </w:pPr>
      <w:r>
        <w:rPr>
          <w:rFonts w:hint="eastAsia" w:ascii="仿宋" w:hAnsi="仿宋" w:eastAsia="仿宋" w:cs="仿宋"/>
          <w:szCs w:val="21"/>
          <w:highlight w:val="none"/>
        </w:rPr>
        <w:t>被授权人签字：</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职务：</w:t>
      </w:r>
      <w:r>
        <w:rPr>
          <w:rFonts w:hint="eastAsia" w:ascii="仿宋" w:hAnsi="仿宋" w:eastAsia="仿宋" w:cs="仿宋"/>
          <w:szCs w:val="21"/>
          <w:highlight w:val="none"/>
          <w:u w:val="single"/>
        </w:rPr>
        <w:t xml:space="preserve">            </w:t>
      </w:r>
    </w:p>
    <w:p w14:paraId="1DCD8E7B">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被授权人身份证号码：</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0FCA489E">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联系电话：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手机：</w:t>
      </w:r>
      <w:r>
        <w:rPr>
          <w:rFonts w:hint="eastAsia" w:ascii="仿宋" w:hAnsi="仿宋" w:eastAsia="仿宋" w:cs="仿宋"/>
          <w:szCs w:val="21"/>
          <w:highlight w:val="none"/>
          <w:u w:val="single"/>
        </w:rPr>
        <w:t xml:space="preserve">                   </w:t>
      </w:r>
    </w:p>
    <w:p w14:paraId="0DB33E99">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投标人名称：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（盖章）</w:t>
      </w:r>
    </w:p>
    <w:p w14:paraId="637D1CDA">
      <w:pPr>
        <w:spacing w:line="500" w:lineRule="exact"/>
        <w:rPr>
          <w:rFonts w:hint="eastAsia" w:ascii="仿宋" w:hAnsi="仿宋" w:eastAsia="仿宋" w:cs="仿宋"/>
          <w:szCs w:val="21"/>
          <w:highlight w:val="none"/>
        </w:rPr>
      </w:pPr>
      <w:r>
        <w:rPr>
          <w:rFonts w:hint="eastAsia" w:ascii="仿宋" w:hAnsi="仿宋" w:eastAsia="仿宋" w:cs="仿宋"/>
          <w:szCs w:val="21"/>
          <w:highlight w:val="none"/>
          <w:lang w:eastAsia="zh-CN"/>
        </w:rPr>
        <w:t>法定代表人（单位负责人）</w:t>
      </w:r>
      <w:r>
        <w:rPr>
          <w:rFonts w:hint="eastAsia" w:ascii="仿宋" w:hAnsi="仿宋" w:eastAsia="仿宋" w:cs="仿宋"/>
          <w:szCs w:val="21"/>
          <w:highlight w:val="none"/>
        </w:rPr>
        <w:t>签字：</w:t>
      </w:r>
      <w:r>
        <w:rPr>
          <w:rFonts w:hint="eastAsia" w:ascii="仿宋" w:hAnsi="仿宋" w:eastAsia="仿宋" w:cs="仿宋"/>
          <w:szCs w:val="21"/>
          <w:highlight w:val="none"/>
          <w:u w:val="single"/>
        </w:rPr>
        <w:t xml:space="preserve">             </w:t>
      </w:r>
    </w:p>
    <w:p w14:paraId="240CA62A">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42C7FB6C">
      <w:pPr>
        <w:rPr>
          <w:rFonts w:hint="eastAsia" w:ascii="仿宋" w:hAnsi="仿宋" w:eastAsia="仿宋" w:cs="仿宋"/>
          <w:b/>
          <w:szCs w:val="21"/>
          <w:lang w:eastAsia="zh-CN"/>
        </w:rPr>
      </w:pPr>
    </w:p>
    <w:p w14:paraId="6A2EF22C">
      <w:pPr>
        <w:rPr>
          <w:rFonts w:hint="eastAsia" w:ascii="仿宋" w:hAnsi="仿宋" w:eastAsia="仿宋" w:cs="仿宋"/>
        </w:rPr>
      </w:pPr>
      <w:r>
        <w:rPr>
          <w:rFonts w:hint="eastAsia" w:ascii="仿宋" w:hAnsi="仿宋" w:eastAsia="仿宋" w:cs="仿宋"/>
          <w:b/>
          <w:szCs w:val="21"/>
          <w:lang w:eastAsia="zh-CN"/>
        </w:rPr>
        <w:t>所需附件：</w:t>
      </w:r>
      <w:r>
        <w:rPr>
          <w:rFonts w:hint="eastAsia" w:ascii="仿宋" w:hAnsi="仿宋" w:eastAsia="仿宋" w:cs="仿宋"/>
          <w:b/>
          <w:szCs w:val="21"/>
        </w:rPr>
        <w:t>法定代表人（单位负责人）</w:t>
      </w:r>
      <w:r>
        <w:rPr>
          <w:rFonts w:hint="eastAsia" w:ascii="仿宋" w:hAnsi="仿宋" w:eastAsia="仿宋" w:cs="仿宋"/>
          <w:b/>
          <w:szCs w:val="21"/>
          <w:lang w:eastAsia="zh-CN"/>
        </w:rPr>
        <w:t>及授权代理人身份证复印件</w:t>
      </w:r>
      <w:r>
        <w:rPr>
          <w:rFonts w:hint="eastAsia" w:ascii="仿宋" w:hAnsi="仿宋" w:eastAsia="仿宋" w:cs="仿宋"/>
          <w:b/>
          <w:szCs w:val="21"/>
        </w:rPr>
        <w:br w:type="page"/>
      </w:r>
    </w:p>
    <w:p w14:paraId="04885045">
      <w:pPr>
        <w:spacing w:line="360" w:lineRule="auto"/>
        <w:jc w:val="left"/>
        <w:rPr>
          <w:rFonts w:hint="eastAsia" w:ascii="仿宋" w:hAnsi="仿宋" w:eastAsia="仿宋" w:cs="仿宋"/>
          <w:b/>
          <w:szCs w:val="21"/>
          <w:lang w:eastAsia="zh-CN"/>
        </w:rPr>
      </w:pPr>
      <w:r>
        <w:rPr>
          <w:rFonts w:hint="eastAsia" w:ascii="仿宋" w:hAnsi="仿宋" w:eastAsia="仿宋" w:cs="仿宋"/>
          <w:b/>
          <w:szCs w:val="21"/>
        </w:rPr>
        <w:t>法定代表人（单位负责人）身份证</w:t>
      </w:r>
      <w:r>
        <w:rPr>
          <w:rFonts w:hint="eastAsia" w:ascii="仿宋" w:hAnsi="仿宋" w:eastAsia="仿宋" w:cs="仿宋"/>
          <w:b/>
          <w:szCs w:val="21"/>
          <w:lang w:eastAsia="zh-CN"/>
        </w:rPr>
        <w:t>复印件</w:t>
      </w:r>
    </w:p>
    <w:p w14:paraId="471CAC0C">
      <w:pPr>
        <w:spacing w:line="360" w:lineRule="auto"/>
        <w:jc w:val="left"/>
        <w:rPr>
          <w:rFonts w:hint="eastAsia" w:ascii="仿宋" w:hAnsi="仿宋" w:eastAsia="仿宋" w:cs="仿宋"/>
          <w:b/>
          <w:szCs w:val="21"/>
          <w:lang w:eastAsia="zh-CN"/>
        </w:rPr>
      </w:pPr>
      <w:r>
        <w:rPr>
          <w:rFonts w:hint="eastAsia" w:ascii="仿宋" w:hAnsi="仿宋" w:eastAsia="仿宋" w:cs="仿宋"/>
          <w:sz w:val="21"/>
        </w:rPr>
        <mc:AlternateContent>
          <mc:Choice Requires="wps">
            <w:drawing>
              <wp:anchor distT="0" distB="0" distL="114300" distR="114300" simplePos="0" relativeHeight="251661312" behindDoc="0" locked="0" layoutInCell="1" allowOverlap="1">
                <wp:simplePos x="0" y="0"/>
                <wp:positionH relativeFrom="column">
                  <wp:posOffset>-179705</wp:posOffset>
                </wp:positionH>
                <wp:positionV relativeFrom="paragraph">
                  <wp:posOffset>135890</wp:posOffset>
                </wp:positionV>
                <wp:extent cx="2988310" cy="3130550"/>
                <wp:effectExtent l="4445" t="5080" r="17145" b="7620"/>
                <wp:wrapNone/>
                <wp:docPr id="4" name="矩形 4"/>
                <wp:cNvGraphicFramePr/>
                <a:graphic xmlns:a="http://schemas.openxmlformats.org/drawingml/2006/main">
                  <a:graphicData uri="http://schemas.microsoft.com/office/word/2010/wordprocessingShape">
                    <wps:wsp>
                      <wps:cNvSpPr/>
                      <wps:spPr>
                        <a:xfrm>
                          <a:off x="798830" y="8623935"/>
                          <a:ext cx="2988310" cy="3130550"/>
                        </a:xfrm>
                        <a:prstGeom prst="rect">
                          <a:avLst/>
                        </a:prstGeom>
                        <a:solidFill>
                          <a:srgbClr val="FFFFFF"/>
                        </a:solidFill>
                        <a:ln w="3175" cap="flat" cmpd="sng" algn="ctr">
                          <a:solidFill>
                            <a:srgbClr val="000000"/>
                          </a:solidFill>
                          <a:prstDash val="solid"/>
                        </a:ln>
                        <a:effectLst/>
                      </wps:spPr>
                      <wps:txbx>
                        <w:txbxContent>
                          <w:p w14:paraId="15FDA1BB"/>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5pt;margin-top:10.7pt;height:246.5pt;width:235.3pt;z-index:251661312;v-text-anchor:middle;mso-width-relative:page;mso-height-relative:page;" fillcolor="#FFFFFF" filled="t" stroked="t" coordsize="21600,21600" o:gfxdata="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ZEYRHaAAAACgEAAA8AAAAAAAAAAQAgAAAA&#10;IgAAAGRycy9kb3ducmV2LnhtbFBLAQIUABQAAAAIAIdO4kBaphhyewIAAAEFAAAOAAAAAAAAAAEA&#10;IAAAACkBAABkcnMvZTJvRG9jLnhtbFBLBQYAAAAABgAGAFkBAAAWBgAAAAA=&#10;">
                <v:fill on="t" focussize="0,0"/>
                <v:stroke weight="0.25pt" color="#000000" joinstyle="round"/>
                <v:imagedata o:title=""/>
                <o:lock v:ext="edit" aspectratio="f"/>
                <v:textbox>
                  <w:txbxContent>
                    <w:p w14:paraId="15FDA1BB"/>
                  </w:txbxContent>
                </v:textbox>
              </v:rect>
            </w:pict>
          </mc:Fallback>
        </mc:AlternateContent>
      </w:r>
      <w:r>
        <w:rPr>
          <w:rFonts w:hint="eastAsia" w:ascii="仿宋" w:hAnsi="仿宋" w:eastAsia="仿宋" w:cs="仿宋"/>
          <w:sz w:val="21"/>
        </w:rPr>
        <mc:AlternateContent>
          <mc:Choice Requires="wps">
            <w:drawing>
              <wp:anchor distT="0" distB="0" distL="114300" distR="114300" simplePos="0" relativeHeight="251662336" behindDoc="0" locked="0" layoutInCell="1" allowOverlap="1">
                <wp:simplePos x="0" y="0"/>
                <wp:positionH relativeFrom="column">
                  <wp:posOffset>3100070</wp:posOffset>
                </wp:positionH>
                <wp:positionV relativeFrom="paragraph">
                  <wp:posOffset>140335</wp:posOffset>
                </wp:positionV>
                <wp:extent cx="2988310" cy="3130550"/>
                <wp:effectExtent l="4445" t="5080" r="17145" b="7620"/>
                <wp:wrapNone/>
                <wp:docPr id="12" name="矩形 12"/>
                <wp:cNvGraphicFramePr/>
                <a:graphic xmlns:a="http://schemas.openxmlformats.org/drawingml/2006/main">
                  <a:graphicData uri="http://schemas.microsoft.com/office/word/2010/wordprocessingShape">
                    <wps:wsp>
                      <wps:cNvSpPr/>
                      <wps:spPr>
                        <a:xfrm>
                          <a:off x="0" y="0"/>
                          <a:ext cx="2988310" cy="3130550"/>
                        </a:xfrm>
                        <a:prstGeom prst="rect">
                          <a:avLst/>
                        </a:prstGeom>
                        <a:solidFill>
                          <a:srgbClr val="FFFFFF"/>
                        </a:solid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4.1pt;margin-top:11.05pt;height:246.5pt;width:235.3pt;z-index:251662336;v-text-anchor:middle;mso-width-relative:page;mso-height-relative:page;" fillcolor="#FFFFFF" filled="t" stroked="t" coordsize="21600,21600" o:gfxdata="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uG/GtoAAAAKAQAADwAAAAAAAAABACAAAAAiAAAAZHJzL2Rvd25yZXYu&#10;eG1sUEsBAhQAFAAAAAgAh07iQJe8ZdBrAgAA7QQAAA4AAAAAAAAAAQAgAAAAKQEAAGRycy9lMm9E&#10;b2MueG1sUEsFBgAAAAAGAAYAWQEAAAYGAAAAAA==&#10;">
                <v:fill on="t" focussize="0,0"/>
                <v:stroke weight="0.25pt" color="#000000" joinstyle="round"/>
                <v:imagedata o:title=""/>
                <o:lock v:ext="edit" aspectratio="f"/>
              </v:rect>
            </w:pict>
          </mc:Fallback>
        </mc:AlternateContent>
      </w:r>
    </w:p>
    <w:p w14:paraId="65CA079D">
      <w:pPr>
        <w:spacing w:line="360" w:lineRule="auto"/>
        <w:jc w:val="left"/>
        <w:rPr>
          <w:rFonts w:hint="eastAsia" w:ascii="仿宋" w:hAnsi="仿宋" w:eastAsia="仿宋" w:cs="仿宋"/>
          <w:b/>
          <w:szCs w:val="21"/>
          <w:lang w:eastAsia="zh-CN"/>
        </w:rPr>
      </w:pPr>
    </w:p>
    <w:p w14:paraId="0CD88BDA">
      <w:pPr>
        <w:spacing w:line="360" w:lineRule="auto"/>
        <w:jc w:val="left"/>
        <w:rPr>
          <w:rFonts w:hint="eastAsia" w:ascii="仿宋" w:hAnsi="仿宋" w:eastAsia="仿宋" w:cs="仿宋"/>
          <w:b/>
          <w:szCs w:val="21"/>
          <w:lang w:eastAsia="zh-CN"/>
        </w:rPr>
      </w:pPr>
    </w:p>
    <w:p w14:paraId="08C9ECE9">
      <w:pPr>
        <w:spacing w:line="360" w:lineRule="auto"/>
        <w:jc w:val="left"/>
        <w:rPr>
          <w:rFonts w:hint="eastAsia" w:ascii="仿宋" w:hAnsi="仿宋" w:eastAsia="仿宋" w:cs="仿宋"/>
          <w:b/>
          <w:szCs w:val="21"/>
          <w:lang w:eastAsia="zh-CN"/>
        </w:rPr>
      </w:pPr>
    </w:p>
    <w:p w14:paraId="6364245A">
      <w:pPr>
        <w:spacing w:line="360" w:lineRule="auto"/>
        <w:jc w:val="left"/>
        <w:rPr>
          <w:rFonts w:hint="eastAsia" w:ascii="仿宋" w:hAnsi="仿宋" w:eastAsia="仿宋" w:cs="仿宋"/>
          <w:b/>
          <w:szCs w:val="21"/>
          <w:lang w:eastAsia="zh-CN"/>
        </w:rPr>
      </w:pPr>
    </w:p>
    <w:p w14:paraId="4AB5067E">
      <w:pPr>
        <w:spacing w:line="360" w:lineRule="auto"/>
        <w:jc w:val="left"/>
        <w:rPr>
          <w:rFonts w:hint="eastAsia" w:ascii="仿宋" w:hAnsi="仿宋" w:eastAsia="仿宋" w:cs="仿宋"/>
          <w:b/>
          <w:szCs w:val="21"/>
          <w:lang w:eastAsia="zh-CN"/>
        </w:rPr>
      </w:pPr>
    </w:p>
    <w:p w14:paraId="2BE65549">
      <w:pPr>
        <w:spacing w:line="360" w:lineRule="auto"/>
        <w:jc w:val="left"/>
        <w:rPr>
          <w:rFonts w:hint="eastAsia" w:ascii="仿宋" w:hAnsi="仿宋" w:eastAsia="仿宋" w:cs="仿宋"/>
          <w:b/>
          <w:szCs w:val="21"/>
          <w:lang w:eastAsia="zh-CN"/>
        </w:rPr>
      </w:pPr>
    </w:p>
    <w:p w14:paraId="425A3E32">
      <w:pPr>
        <w:spacing w:line="360" w:lineRule="auto"/>
        <w:jc w:val="left"/>
        <w:rPr>
          <w:rFonts w:hint="eastAsia" w:ascii="仿宋" w:hAnsi="仿宋" w:eastAsia="仿宋" w:cs="仿宋"/>
          <w:b/>
          <w:szCs w:val="21"/>
          <w:lang w:eastAsia="zh-CN"/>
        </w:rPr>
      </w:pPr>
    </w:p>
    <w:p w14:paraId="3342AEF8">
      <w:pPr>
        <w:spacing w:line="360" w:lineRule="auto"/>
        <w:jc w:val="left"/>
        <w:rPr>
          <w:rFonts w:hint="eastAsia" w:ascii="仿宋" w:hAnsi="仿宋" w:eastAsia="仿宋" w:cs="仿宋"/>
          <w:b/>
          <w:szCs w:val="21"/>
          <w:lang w:eastAsia="zh-CN"/>
        </w:rPr>
      </w:pPr>
    </w:p>
    <w:p w14:paraId="2B7FEABE">
      <w:pPr>
        <w:spacing w:line="360" w:lineRule="auto"/>
        <w:jc w:val="left"/>
        <w:rPr>
          <w:rFonts w:hint="eastAsia" w:ascii="仿宋" w:hAnsi="仿宋" w:eastAsia="仿宋" w:cs="仿宋"/>
          <w:b/>
          <w:szCs w:val="21"/>
          <w:lang w:eastAsia="zh-CN"/>
        </w:rPr>
      </w:pPr>
    </w:p>
    <w:p w14:paraId="02C6FBED">
      <w:pPr>
        <w:spacing w:line="360" w:lineRule="auto"/>
        <w:jc w:val="left"/>
        <w:rPr>
          <w:rFonts w:hint="eastAsia" w:ascii="仿宋" w:hAnsi="仿宋" w:eastAsia="仿宋" w:cs="仿宋"/>
          <w:b/>
          <w:szCs w:val="21"/>
        </w:rPr>
      </w:pPr>
      <w:r>
        <w:rPr>
          <w:rFonts w:hint="eastAsia" w:ascii="仿宋" w:hAnsi="仿宋" w:eastAsia="仿宋" w:cs="仿宋"/>
          <w:b/>
          <w:szCs w:val="21"/>
        </w:rPr>
        <w:t>授权代理人身份证</w:t>
      </w:r>
      <w:r>
        <w:rPr>
          <w:rFonts w:hint="eastAsia" w:ascii="仿宋" w:hAnsi="仿宋" w:eastAsia="仿宋" w:cs="仿宋"/>
          <w:b/>
          <w:szCs w:val="21"/>
          <w:lang w:eastAsia="zh-CN"/>
        </w:rPr>
        <w:t>复印件</w:t>
      </w:r>
    </w:p>
    <w:p w14:paraId="1E017996">
      <w:pPr>
        <w:spacing w:line="500" w:lineRule="exact"/>
        <w:rPr>
          <w:rFonts w:hint="eastAsia" w:ascii="仿宋" w:hAnsi="仿宋" w:eastAsia="仿宋" w:cs="仿宋"/>
          <w:b/>
          <w:sz w:val="24"/>
          <w:highlight w:val="none"/>
          <w:lang w:val="en-US" w:eastAsia="zh-CN"/>
        </w:rPr>
      </w:pPr>
      <w:r>
        <w:rPr>
          <w:rFonts w:hint="eastAsia" w:ascii="仿宋" w:hAnsi="仿宋" w:eastAsia="仿宋" w:cs="仿宋"/>
          <w:sz w:val="21"/>
        </w:rPr>
        <mc:AlternateContent>
          <mc:Choice Requires="wps">
            <w:drawing>
              <wp:anchor distT="0" distB="0" distL="114300" distR="114300" simplePos="0" relativeHeight="251664384" behindDoc="0" locked="0" layoutInCell="1" allowOverlap="1">
                <wp:simplePos x="0" y="0"/>
                <wp:positionH relativeFrom="column">
                  <wp:posOffset>3140075</wp:posOffset>
                </wp:positionH>
                <wp:positionV relativeFrom="paragraph">
                  <wp:posOffset>34290</wp:posOffset>
                </wp:positionV>
                <wp:extent cx="2988310" cy="3130550"/>
                <wp:effectExtent l="4445" t="5080" r="17145" b="7620"/>
                <wp:wrapNone/>
                <wp:docPr id="14" name="矩形 14"/>
                <wp:cNvGraphicFramePr/>
                <a:graphic xmlns:a="http://schemas.openxmlformats.org/drawingml/2006/main">
                  <a:graphicData uri="http://schemas.microsoft.com/office/word/2010/wordprocessingShape">
                    <wps:wsp>
                      <wps:cNvSpPr/>
                      <wps:spPr>
                        <a:xfrm>
                          <a:off x="0" y="0"/>
                          <a:ext cx="2988310" cy="3130550"/>
                        </a:xfrm>
                        <a:prstGeom prst="rect">
                          <a:avLst/>
                        </a:prstGeom>
                        <a:solidFill>
                          <a:srgbClr val="FFFFFF"/>
                        </a:solidFill>
                        <a:ln w="3175" cap="flat" cmpd="sng" algn="ctr">
                          <a:solidFill>
                            <a:srgbClr val="000000"/>
                          </a:solidFill>
                          <a:prstDash val="solid"/>
                        </a:ln>
                        <a:effectLst/>
                      </wps:spPr>
                      <wps:txbx>
                        <w:txbxContent>
                          <w:p w14:paraId="4AE6BCB6"/>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25pt;margin-top:2.7pt;height:246.5pt;width:235.3pt;z-index:251664384;v-text-anchor:middle;mso-width-relative:page;mso-height-relative:page;" fillcolor="#FFFFFF" filled="t" stroked="t" coordsize="21600,21600" o:gfxdata="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4aGXrNkAAAAJAQAADwAAAAAAAAABACAAAAAiAAAAZHJzL2Rv&#10;d25yZXYueG1sUEsBAhQAFAAAAAgAh07iQGmvGqpyAgAA+AQAAA4AAAAAAAAAAQAgAAAAKAEAAGRy&#10;cy9lMm9Eb2MueG1sUEsFBgAAAAAGAAYAWQEAAAwGAAAAAA==&#10;">
                <v:fill on="t" focussize="0,0"/>
                <v:stroke weight="0.25pt" color="#000000" joinstyle="round"/>
                <v:imagedata o:title=""/>
                <o:lock v:ext="edit" aspectratio="f"/>
                <v:textbox>
                  <w:txbxContent>
                    <w:p w14:paraId="4AE6BCB6"/>
                  </w:txbxContent>
                </v:textbox>
              </v:rect>
            </w:pict>
          </mc:Fallback>
        </mc:AlternateContent>
      </w:r>
      <w:r>
        <w:rPr>
          <w:rFonts w:hint="eastAsia" w:ascii="仿宋" w:hAnsi="仿宋" w:eastAsia="仿宋" w:cs="仿宋"/>
          <w:sz w:val="21"/>
        </w:rPr>
        <mc:AlternateContent>
          <mc:Choice Requires="wps">
            <w:drawing>
              <wp:anchor distT="0" distB="0" distL="114300" distR="114300" simplePos="0" relativeHeight="251663360" behindDoc="0" locked="0" layoutInCell="1" allowOverlap="1">
                <wp:simplePos x="0" y="0"/>
                <wp:positionH relativeFrom="column">
                  <wp:posOffset>-137795</wp:posOffset>
                </wp:positionH>
                <wp:positionV relativeFrom="paragraph">
                  <wp:posOffset>30480</wp:posOffset>
                </wp:positionV>
                <wp:extent cx="2988310" cy="3130550"/>
                <wp:effectExtent l="4445" t="5080" r="17145" b="7620"/>
                <wp:wrapNone/>
                <wp:docPr id="13" name="矩形 13"/>
                <wp:cNvGraphicFramePr/>
                <a:graphic xmlns:a="http://schemas.openxmlformats.org/drawingml/2006/main">
                  <a:graphicData uri="http://schemas.microsoft.com/office/word/2010/wordprocessingShape">
                    <wps:wsp>
                      <wps:cNvSpPr/>
                      <wps:spPr>
                        <a:xfrm>
                          <a:off x="0" y="0"/>
                          <a:ext cx="2988310" cy="3130550"/>
                        </a:xfrm>
                        <a:prstGeom prst="rect">
                          <a:avLst/>
                        </a:prstGeom>
                        <a:solidFill>
                          <a:srgbClr val="FFFFFF"/>
                        </a:solidFill>
                        <a:ln w="3175" cap="flat" cmpd="sng" algn="ctr">
                          <a:solidFill>
                            <a:srgbClr val="000000"/>
                          </a:solidFill>
                          <a:prstDash val="solid"/>
                        </a:ln>
                        <a:effectLst/>
                      </wps:spPr>
                      <wps:txbx>
                        <w:txbxContent>
                          <w:p w14:paraId="4EB7AA12"/>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5pt;margin-top:2.4pt;height:246.5pt;width:235.3pt;z-index:251663360;v-text-anchor:middle;mso-width-relative:page;mso-height-relative:page;" fillcolor="#FFFFFF" filled="t" stroked="t" coordsize="21600,21600" o:gfxdata="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jgr8vaAAAACQEAAA8AAAAAAAAAAQAgAAAAIgAAAGRycy9k&#10;b3ducmV2LnhtbFBLAQIUABQAAAAIAIdO4kDxAUawcgIAAPgEAAAOAAAAAAAAAAEAIAAAACkBAABk&#10;cnMvZTJvRG9jLnhtbFBLBQYAAAAABgAGAFkBAAANBgAAAAA=&#10;">
                <v:fill on="t" focussize="0,0"/>
                <v:stroke weight="0.25pt" color="#000000" joinstyle="round"/>
                <v:imagedata o:title=""/>
                <o:lock v:ext="edit" aspectratio="f"/>
                <v:textbox>
                  <w:txbxContent>
                    <w:p w14:paraId="4EB7AA12"/>
                  </w:txbxContent>
                </v:textbox>
              </v:rect>
            </w:pict>
          </mc:Fallback>
        </mc:AlternateContent>
      </w:r>
      <w:r>
        <w:rPr>
          <w:rFonts w:hint="eastAsia" w:ascii="仿宋" w:hAnsi="仿宋" w:eastAsia="仿宋" w:cs="仿宋"/>
          <w:b/>
          <w:szCs w:val="21"/>
        </w:rPr>
        <w:br w:type="page"/>
      </w:r>
      <w:r>
        <w:rPr>
          <w:rFonts w:hint="eastAsia" w:ascii="仿宋" w:hAnsi="仿宋" w:eastAsia="仿宋" w:cs="仿宋"/>
          <w:b/>
          <w:sz w:val="24"/>
          <w:highlight w:val="none"/>
          <w:lang w:eastAsia="zh-CN"/>
        </w:rPr>
        <w:t>附件</w:t>
      </w:r>
      <w:r>
        <w:rPr>
          <w:rFonts w:hint="eastAsia" w:ascii="仿宋" w:hAnsi="仿宋" w:eastAsia="仿宋" w:cs="仿宋"/>
          <w:b/>
          <w:sz w:val="24"/>
          <w:highlight w:val="none"/>
          <w:lang w:val="en-US" w:eastAsia="zh-CN"/>
        </w:rPr>
        <w:t>2</w:t>
      </w:r>
    </w:p>
    <w:p w14:paraId="40234C43">
      <w:pPr>
        <w:snapToGrid w:val="0"/>
        <w:spacing w:line="360" w:lineRule="auto"/>
        <w:jc w:val="center"/>
        <w:rPr>
          <w:rFonts w:hint="eastAsia" w:ascii="仿宋" w:hAnsi="仿宋" w:eastAsia="仿宋" w:cs="仿宋"/>
          <w:b/>
          <w:bCs/>
          <w:sz w:val="28"/>
          <w:szCs w:val="28"/>
          <w:highlight w:val="none"/>
        </w:rPr>
      </w:pPr>
    </w:p>
    <w:p w14:paraId="4FEDA23F">
      <w:pPr>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招标</w:t>
      </w:r>
      <w:r>
        <w:rPr>
          <w:rFonts w:hint="eastAsia" w:ascii="仿宋" w:hAnsi="仿宋" w:eastAsia="仿宋" w:cs="仿宋"/>
          <w:b/>
          <w:bCs/>
          <w:sz w:val="28"/>
          <w:szCs w:val="28"/>
          <w:highlight w:val="none"/>
        </w:rPr>
        <w:t>活动</w:t>
      </w:r>
      <w:r>
        <w:rPr>
          <w:rFonts w:hint="eastAsia" w:ascii="仿宋" w:hAnsi="仿宋" w:eastAsia="仿宋" w:cs="仿宋"/>
          <w:b/>
          <w:bCs/>
          <w:sz w:val="28"/>
          <w:szCs w:val="28"/>
          <w:highlight w:val="none"/>
          <w:lang w:val="en-US" w:eastAsia="zh-CN"/>
        </w:rPr>
        <w:t>近三</w:t>
      </w:r>
      <w:r>
        <w:rPr>
          <w:rFonts w:hint="eastAsia" w:ascii="仿宋" w:hAnsi="仿宋" w:eastAsia="仿宋" w:cs="仿宋"/>
          <w:b/>
          <w:bCs/>
          <w:sz w:val="28"/>
          <w:szCs w:val="28"/>
          <w:highlight w:val="none"/>
        </w:rPr>
        <w:t>年内在经营活动中无重大违法违规记录及重大违约事件</w:t>
      </w:r>
    </w:p>
    <w:p w14:paraId="7F4D29E1">
      <w:pPr>
        <w:snapToGrid w:val="0"/>
        <w:spacing w:line="360" w:lineRule="auto"/>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的声明书</w:t>
      </w:r>
    </w:p>
    <w:p w14:paraId="611AFEAA">
      <w:pPr>
        <w:spacing w:line="360" w:lineRule="auto"/>
        <w:rPr>
          <w:rFonts w:hint="eastAsia" w:ascii="仿宋" w:hAnsi="仿宋" w:eastAsia="仿宋" w:cs="仿宋"/>
          <w:szCs w:val="21"/>
          <w:highlight w:val="none"/>
        </w:rPr>
      </w:pPr>
    </w:p>
    <w:p w14:paraId="32A126F3">
      <w:pPr>
        <w:pStyle w:val="7"/>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lang w:eastAsia="zh-CN"/>
        </w:rPr>
        <w:t>常山县自然资源和规划局</w:t>
      </w:r>
      <w:r>
        <w:rPr>
          <w:rFonts w:hint="eastAsia" w:ascii="仿宋" w:hAnsi="仿宋" w:eastAsia="仿宋" w:cs="仿宋"/>
          <w:szCs w:val="21"/>
          <w:highlight w:val="none"/>
        </w:rPr>
        <w:t>：</w:t>
      </w:r>
    </w:p>
    <w:p w14:paraId="49651F50">
      <w:pPr>
        <w:pStyle w:val="2"/>
        <w:spacing w:after="0" w:line="360" w:lineRule="auto"/>
        <w:rPr>
          <w:rFonts w:hint="eastAsia" w:ascii="仿宋" w:hAnsi="仿宋" w:eastAsia="仿宋" w:cs="仿宋"/>
          <w:szCs w:val="21"/>
          <w:highlight w:val="none"/>
        </w:rPr>
      </w:pPr>
      <w:r>
        <w:rPr>
          <w:rFonts w:hint="eastAsia" w:ascii="仿宋" w:hAnsi="仿宋" w:eastAsia="仿宋" w:cs="仿宋"/>
          <w:szCs w:val="21"/>
          <w:highlight w:val="none"/>
          <w:u w:val="single"/>
          <w:lang w:eastAsia="zh-CN"/>
        </w:rPr>
        <w:t>浙江哲晟工程项目管理有限公司</w:t>
      </w:r>
      <w:r>
        <w:rPr>
          <w:rFonts w:hint="eastAsia" w:ascii="仿宋" w:hAnsi="仿宋" w:eastAsia="仿宋" w:cs="仿宋"/>
          <w:szCs w:val="21"/>
          <w:highlight w:val="none"/>
        </w:rPr>
        <w:t>：</w:t>
      </w:r>
    </w:p>
    <w:p w14:paraId="5E1F10F1">
      <w:pPr>
        <w:pStyle w:val="2"/>
        <w:spacing w:after="0"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我单位近三年内</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自投标截止时间往前追溯三年</w:t>
      </w:r>
      <w:r>
        <w:rPr>
          <w:rFonts w:hint="eastAsia" w:ascii="仿宋" w:hAnsi="仿宋" w:eastAsia="仿宋" w:cs="仿宋"/>
          <w:szCs w:val="21"/>
          <w:highlight w:val="none"/>
          <w:lang w:eastAsia="zh-CN"/>
        </w:rPr>
        <w:t>）</w:t>
      </w:r>
      <w:r>
        <w:rPr>
          <w:rFonts w:hint="eastAsia" w:ascii="仿宋" w:hAnsi="仿宋" w:eastAsia="仿宋" w:cs="仿宋"/>
          <w:szCs w:val="21"/>
          <w:highlight w:val="none"/>
        </w:rPr>
        <w:t>，在经营活动中无重大违法违规记录及重大违约事件，特此声明。</w:t>
      </w:r>
    </w:p>
    <w:p w14:paraId="5505BF2E">
      <w:pPr>
        <w:pStyle w:val="2"/>
        <w:spacing w:after="0" w:line="360" w:lineRule="auto"/>
        <w:ind w:firstLine="420" w:firstLineChars="200"/>
        <w:rPr>
          <w:rFonts w:hint="eastAsia" w:ascii="仿宋" w:hAnsi="仿宋" w:eastAsia="仿宋" w:cs="仿宋"/>
          <w:szCs w:val="21"/>
          <w:highlight w:val="none"/>
        </w:rPr>
      </w:pPr>
      <w:r>
        <w:rPr>
          <w:rFonts w:hint="eastAsia" w:ascii="仿宋" w:hAnsi="仿宋" w:eastAsia="仿宋" w:cs="仿宋"/>
          <w:b w:val="0"/>
          <w:bCs w:val="0"/>
          <w:szCs w:val="21"/>
          <w:highlight w:val="none"/>
        </w:rPr>
        <w:t>若</w:t>
      </w:r>
      <w:r>
        <w:rPr>
          <w:rFonts w:hint="eastAsia" w:ascii="仿宋" w:hAnsi="仿宋" w:eastAsia="仿宋" w:cs="仿宋"/>
          <w:b w:val="0"/>
          <w:bCs w:val="0"/>
          <w:szCs w:val="21"/>
          <w:highlight w:val="none"/>
          <w:lang w:eastAsia="zh-CN"/>
        </w:rPr>
        <w:t>招标人</w:t>
      </w:r>
      <w:r>
        <w:rPr>
          <w:rFonts w:hint="eastAsia" w:ascii="仿宋" w:hAnsi="仿宋" w:eastAsia="仿宋" w:cs="仿宋"/>
          <w:b w:val="0"/>
          <w:bCs w:val="0"/>
          <w:szCs w:val="21"/>
          <w:highlight w:val="none"/>
        </w:rPr>
        <w:t>或</w:t>
      </w:r>
      <w:r>
        <w:rPr>
          <w:rFonts w:hint="eastAsia" w:ascii="仿宋" w:hAnsi="仿宋" w:eastAsia="仿宋" w:cs="仿宋"/>
          <w:b w:val="0"/>
          <w:bCs w:val="0"/>
          <w:szCs w:val="21"/>
          <w:highlight w:val="none"/>
          <w:lang w:eastAsia="zh-CN"/>
        </w:rPr>
        <w:t>招标代理机构</w:t>
      </w:r>
      <w:r>
        <w:rPr>
          <w:rFonts w:hint="eastAsia" w:ascii="仿宋" w:hAnsi="仿宋" w:eastAsia="仿宋" w:cs="仿宋"/>
          <w:b w:val="0"/>
          <w:bCs w:val="0"/>
          <w:szCs w:val="21"/>
          <w:highlight w:val="none"/>
        </w:rPr>
        <w:t>在本项目</w:t>
      </w:r>
      <w:r>
        <w:rPr>
          <w:rFonts w:hint="eastAsia" w:ascii="仿宋" w:hAnsi="仿宋" w:eastAsia="仿宋" w:cs="仿宋"/>
          <w:b w:val="0"/>
          <w:bCs w:val="0"/>
          <w:szCs w:val="21"/>
          <w:highlight w:val="none"/>
          <w:lang w:eastAsia="zh-CN"/>
        </w:rPr>
        <w:t>招标</w:t>
      </w:r>
      <w:r>
        <w:rPr>
          <w:rFonts w:hint="eastAsia" w:ascii="仿宋" w:hAnsi="仿宋" w:eastAsia="仿宋" w:cs="仿宋"/>
          <w:b w:val="0"/>
          <w:bCs w:val="0"/>
          <w:szCs w:val="21"/>
          <w:highlight w:val="none"/>
        </w:rPr>
        <w:t>过程中发现我单位近三年内在经营活动中</w:t>
      </w:r>
      <w:r>
        <w:rPr>
          <w:rFonts w:hint="eastAsia" w:ascii="仿宋" w:hAnsi="仿宋" w:eastAsia="仿宋" w:cs="仿宋"/>
          <w:b w:val="0"/>
          <w:bCs w:val="0"/>
          <w:szCs w:val="21"/>
          <w:highlight w:val="none"/>
          <w:lang w:eastAsia="zh-CN"/>
        </w:rPr>
        <w:t>存在</w:t>
      </w:r>
      <w:r>
        <w:rPr>
          <w:rFonts w:hint="eastAsia" w:ascii="仿宋" w:hAnsi="仿宋" w:eastAsia="仿宋" w:cs="仿宋"/>
          <w:b w:val="0"/>
          <w:bCs w:val="0"/>
          <w:szCs w:val="21"/>
          <w:highlight w:val="none"/>
        </w:rPr>
        <w:t>重大违法违规记录</w:t>
      </w:r>
      <w:r>
        <w:rPr>
          <w:rFonts w:hint="eastAsia" w:ascii="仿宋" w:hAnsi="仿宋" w:eastAsia="仿宋" w:cs="仿宋"/>
          <w:b w:val="0"/>
          <w:bCs w:val="0"/>
          <w:szCs w:val="21"/>
          <w:highlight w:val="none"/>
          <w:lang w:eastAsia="zh-CN"/>
        </w:rPr>
        <w:t>或</w:t>
      </w:r>
      <w:r>
        <w:rPr>
          <w:rFonts w:hint="eastAsia" w:ascii="仿宋" w:hAnsi="仿宋" w:eastAsia="仿宋" w:cs="仿宋"/>
          <w:b w:val="0"/>
          <w:bCs w:val="0"/>
          <w:szCs w:val="21"/>
          <w:highlight w:val="none"/>
        </w:rPr>
        <w:t>重大违约事件</w:t>
      </w:r>
      <w:r>
        <w:rPr>
          <w:rFonts w:hint="eastAsia" w:ascii="仿宋" w:hAnsi="仿宋" w:eastAsia="仿宋" w:cs="仿宋"/>
          <w:b w:val="0"/>
          <w:bCs w:val="0"/>
          <w:szCs w:val="21"/>
          <w:highlight w:val="none"/>
          <w:lang w:eastAsia="zh-CN"/>
        </w:rPr>
        <w:t>的</w:t>
      </w:r>
      <w:r>
        <w:rPr>
          <w:rFonts w:hint="eastAsia" w:ascii="仿宋" w:hAnsi="仿宋" w:eastAsia="仿宋" w:cs="仿宋"/>
          <w:b w:val="0"/>
          <w:bCs w:val="0"/>
          <w:szCs w:val="21"/>
          <w:highlight w:val="none"/>
        </w:rPr>
        <w:t>，我单位将</w:t>
      </w:r>
      <w:r>
        <w:rPr>
          <w:rFonts w:hint="eastAsia" w:ascii="仿宋" w:hAnsi="仿宋" w:eastAsia="仿宋" w:cs="仿宋"/>
          <w:szCs w:val="21"/>
          <w:highlight w:val="none"/>
        </w:rPr>
        <w:t>无条件地退出本项目的</w:t>
      </w:r>
      <w:r>
        <w:rPr>
          <w:rFonts w:hint="eastAsia" w:ascii="仿宋" w:hAnsi="仿宋" w:eastAsia="仿宋" w:cs="仿宋"/>
          <w:szCs w:val="21"/>
          <w:highlight w:val="none"/>
          <w:lang w:eastAsia="zh-CN"/>
        </w:rPr>
        <w:t>招标</w:t>
      </w:r>
      <w:r>
        <w:rPr>
          <w:rFonts w:hint="eastAsia" w:ascii="仿宋" w:hAnsi="仿宋" w:eastAsia="仿宋" w:cs="仿宋"/>
          <w:szCs w:val="21"/>
          <w:highlight w:val="none"/>
        </w:rPr>
        <w:t>活动，并承担因此引起的一切后果。</w:t>
      </w:r>
    </w:p>
    <w:p w14:paraId="0AADA76D">
      <w:pPr>
        <w:pStyle w:val="2"/>
        <w:spacing w:after="0" w:line="360" w:lineRule="auto"/>
        <w:ind w:firstLine="420" w:firstLineChars="200"/>
        <w:rPr>
          <w:rFonts w:hint="eastAsia" w:ascii="仿宋" w:hAnsi="仿宋" w:eastAsia="仿宋" w:cs="仿宋"/>
          <w:szCs w:val="21"/>
          <w:highlight w:val="none"/>
        </w:rPr>
      </w:pPr>
    </w:p>
    <w:p w14:paraId="4A389CBC">
      <w:pPr>
        <w:pStyle w:val="2"/>
        <w:spacing w:after="0" w:line="360" w:lineRule="auto"/>
        <w:ind w:firstLine="420" w:firstLineChars="200"/>
        <w:rPr>
          <w:rFonts w:hint="eastAsia" w:ascii="仿宋" w:hAnsi="仿宋" w:eastAsia="仿宋" w:cs="仿宋"/>
          <w:szCs w:val="21"/>
          <w:highlight w:val="none"/>
        </w:rPr>
      </w:pPr>
    </w:p>
    <w:p w14:paraId="20FAF322">
      <w:pPr>
        <w:snapToGrid w:val="0"/>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rPr>
        <w:t xml:space="preserve">投标人名称（盖章）： </w:t>
      </w:r>
      <w:r>
        <w:rPr>
          <w:rFonts w:hint="eastAsia" w:ascii="仿宋" w:hAnsi="仿宋" w:eastAsia="仿宋" w:cs="仿宋"/>
          <w:szCs w:val="21"/>
          <w:highlight w:val="none"/>
          <w:u w:val="single"/>
        </w:rPr>
        <w:t xml:space="preserve">            </w:t>
      </w:r>
    </w:p>
    <w:p w14:paraId="5C5ED3DD">
      <w:pPr>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75D3EFC7">
      <w:pPr>
        <w:spacing w:line="600" w:lineRule="exact"/>
        <w:jc w:val="left"/>
        <w:rPr>
          <w:rStyle w:val="24"/>
          <w:rFonts w:hint="eastAsia" w:ascii="仿宋" w:hAnsi="仿宋" w:eastAsia="仿宋" w:cs="仿宋"/>
          <w:b/>
          <w:bCs w:val="0"/>
          <w:sz w:val="24"/>
          <w:szCs w:val="24"/>
          <w:lang w:val="en-US"/>
        </w:rPr>
      </w:pPr>
      <w:r>
        <w:rPr>
          <w:rStyle w:val="24"/>
          <w:rFonts w:hint="eastAsia" w:ascii="仿宋" w:hAnsi="仿宋" w:eastAsia="仿宋" w:cs="仿宋"/>
          <w:b w:val="0"/>
          <w:sz w:val="24"/>
          <w:szCs w:val="24"/>
        </w:rPr>
        <w:br w:type="page"/>
      </w:r>
      <w:r>
        <w:rPr>
          <w:rStyle w:val="24"/>
          <w:rFonts w:hint="eastAsia" w:ascii="仿宋" w:hAnsi="仿宋" w:eastAsia="仿宋" w:cs="仿宋"/>
          <w:b/>
          <w:bCs w:val="0"/>
          <w:sz w:val="24"/>
          <w:szCs w:val="24"/>
        </w:rPr>
        <w:t>附件</w:t>
      </w:r>
      <w:r>
        <w:rPr>
          <w:rStyle w:val="24"/>
          <w:rFonts w:hint="eastAsia" w:ascii="仿宋" w:hAnsi="仿宋" w:eastAsia="仿宋" w:cs="仿宋"/>
          <w:b/>
          <w:bCs w:val="0"/>
          <w:sz w:val="24"/>
          <w:szCs w:val="24"/>
          <w:lang w:val="en-US"/>
        </w:rPr>
        <w:t>3</w:t>
      </w:r>
    </w:p>
    <w:p w14:paraId="3DDDF7CF">
      <w:pPr>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廉政承诺书</w:t>
      </w:r>
    </w:p>
    <w:p w14:paraId="7809EB82">
      <w:pPr>
        <w:spacing w:line="520" w:lineRule="exact"/>
        <w:rPr>
          <w:rFonts w:hint="eastAsia" w:ascii="仿宋" w:hAnsi="仿宋" w:eastAsia="仿宋" w:cs="仿宋"/>
          <w:bCs/>
          <w:kern w:val="0"/>
          <w:sz w:val="21"/>
          <w:szCs w:val="21"/>
          <w:highlight w:val="none"/>
          <w:u w:val="single"/>
          <w:lang w:eastAsia="zh-CN"/>
        </w:rPr>
      </w:pPr>
      <w:r>
        <w:rPr>
          <w:rFonts w:hint="eastAsia" w:ascii="仿宋" w:hAnsi="仿宋" w:eastAsia="仿宋" w:cs="仿宋"/>
          <w:bCs/>
          <w:kern w:val="0"/>
          <w:sz w:val="21"/>
          <w:szCs w:val="21"/>
          <w:u w:val="single"/>
          <w:lang w:eastAsia="zh-CN"/>
        </w:rPr>
        <w:t>常山县自然资源和规划局</w:t>
      </w:r>
      <w:r>
        <w:rPr>
          <w:rFonts w:hint="eastAsia" w:ascii="仿宋" w:hAnsi="仿宋" w:eastAsia="仿宋" w:cs="仿宋"/>
          <w:bCs/>
          <w:kern w:val="0"/>
          <w:sz w:val="21"/>
          <w:szCs w:val="21"/>
          <w:highlight w:val="none"/>
          <w:u w:val="single"/>
          <w:lang w:eastAsia="zh-CN"/>
        </w:rPr>
        <w:t>：</w:t>
      </w:r>
    </w:p>
    <w:p w14:paraId="2F977AFD">
      <w:pPr>
        <w:spacing w:line="520" w:lineRule="exact"/>
        <w:ind w:firstLine="420" w:firstLineChars="200"/>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根据《财政部关于进一步加强财政部门和预算单位资金存放管理的指导意见》（财库﹝2017﹞76号）</w:t>
      </w:r>
      <w:r>
        <w:rPr>
          <w:rFonts w:hint="eastAsia" w:ascii="仿宋" w:hAnsi="仿宋" w:eastAsia="仿宋" w:cs="仿宋"/>
          <w:sz w:val="24"/>
          <w:highlight w:val="none"/>
        </w:rPr>
        <w:t>《</w:t>
      </w:r>
      <w:r>
        <w:rPr>
          <w:rFonts w:hint="eastAsia" w:ascii="仿宋" w:hAnsi="仿宋" w:eastAsia="仿宋" w:cs="仿宋"/>
          <w:bCs/>
          <w:kern w:val="0"/>
          <w:sz w:val="21"/>
          <w:szCs w:val="21"/>
          <w:highlight w:val="none"/>
        </w:rPr>
        <w:t>常山县行政事业单位公款竞争性存放管理办法》(常</w:t>
      </w:r>
      <w:r>
        <w:rPr>
          <w:rFonts w:hint="eastAsia" w:ascii="仿宋" w:hAnsi="仿宋" w:eastAsia="仿宋" w:cs="仿宋"/>
          <w:bCs/>
          <w:kern w:val="0"/>
          <w:sz w:val="21"/>
          <w:szCs w:val="21"/>
          <w:highlight w:val="none"/>
          <w:lang w:eastAsia="zh-CN"/>
        </w:rPr>
        <w:t>财预执</w:t>
      </w:r>
      <w:r>
        <w:rPr>
          <w:rFonts w:hint="eastAsia" w:ascii="仿宋" w:hAnsi="仿宋" w:eastAsia="仿宋" w:cs="仿宋"/>
          <w:bCs/>
          <w:kern w:val="0"/>
          <w:sz w:val="21"/>
          <w:szCs w:val="21"/>
          <w:highlight w:val="none"/>
        </w:rPr>
        <w:t>〔20</w:t>
      </w:r>
      <w:r>
        <w:rPr>
          <w:rFonts w:hint="eastAsia" w:ascii="仿宋" w:hAnsi="仿宋" w:eastAsia="仿宋" w:cs="仿宋"/>
          <w:bCs/>
          <w:kern w:val="0"/>
          <w:sz w:val="21"/>
          <w:szCs w:val="21"/>
          <w:highlight w:val="none"/>
          <w:lang w:val="en-US" w:eastAsia="zh-CN"/>
        </w:rPr>
        <w:t>22</w:t>
      </w:r>
      <w:r>
        <w:rPr>
          <w:rFonts w:hint="eastAsia" w:ascii="仿宋" w:hAnsi="仿宋" w:eastAsia="仿宋" w:cs="仿宋"/>
          <w:bCs/>
          <w:kern w:val="0"/>
          <w:sz w:val="21"/>
          <w:szCs w:val="21"/>
          <w:highlight w:val="none"/>
        </w:rPr>
        <w:t>〕</w:t>
      </w:r>
      <w:r>
        <w:rPr>
          <w:rFonts w:hint="eastAsia" w:ascii="仿宋" w:hAnsi="仿宋" w:eastAsia="仿宋" w:cs="仿宋"/>
          <w:bCs/>
          <w:kern w:val="0"/>
          <w:sz w:val="21"/>
          <w:szCs w:val="21"/>
          <w:highlight w:val="none"/>
          <w:lang w:val="en-US" w:eastAsia="zh-CN"/>
        </w:rPr>
        <w:t>3</w:t>
      </w:r>
      <w:r>
        <w:rPr>
          <w:rFonts w:hint="eastAsia" w:ascii="仿宋" w:hAnsi="仿宋" w:eastAsia="仿宋" w:cs="仿宋"/>
          <w:bCs/>
          <w:kern w:val="0"/>
          <w:sz w:val="21"/>
          <w:szCs w:val="21"/>
          <w:highlight w:val="none"/>
        </w:rPr>
        <w:t>号)相关规定，现就本行参加贵单位</w:t>
      </w:r>
      <w:r>
        <w:rPr>
          <w:rFonts w:hint="eastAsia" w:ascii="仿宋" w:hAnsi="仿宋" w:eastAsia="仿宋" w:cs="仿宋"/>
          <w:bCs/>
          <w:kern w:val="0"/>
          <w:sz w:val="21"/>
          <w:szCs w:val="21"/>
          <w:highlight w:val="none"/>
          <w:lang w:eastAsia="zh-CN"/>
        </w:rPr>
        <w:t xml:space="preserve">常山县测绘服务中心2025年公款存放招标项目  </w:t>
      </w:r>
      <w:r>
        <w:rPr>
          <w:rFonts w:hint="eastAsia" w:ascii="仿宋" w:hAnsi="仿宋" w:eastAsia="仿宋" w:cs="仿宋"/>
          <w:color w:val="auto"/>
          <w:kern w:val="0"/>
          <w:szCs w:val="21"/>
          <w:highlight w:val="none"/>
          <w:lang w:eastAsia="zh-CN"/>
        </w:rPr>
        <w:t>公款</w:t>
      </w:r>
      <w:r>
        <w:rPr>
          <w:rFonts w:hint="eastAsia" w:ascii="仿宋" w:hAnsi="仿宋" w:eastAsia="仿宋" w:cs="仿宋"/>
          <w:bCs/>
          <w:kern w:val="0"/>
          <w:sz w:val="21"/>
          <w:szCs w:val="21"/>
          <w:highlight w:val="none"/>
        </w:rPr>
        <w:t>竞争性存放作出如下承诺：</w:t>
      </w:r>
    </w:p>
    <w:p w14:paraId="2594EA7D">
      <w:pPr>
        <w:spacing w:line="520" w:lineRule="exact"/>
        <w:ind w:firstLine="420" w:firstLineChars="200"/>
        <w:rPr>
          <w:rFonts w:hint="eastAsia" w:ascii="仿宋" w:hAnsi="仿宋" w:eastAsia="仿宋" w:cs="仿宋"/>
          <w:bCs/>
          <w:kern w:val="0"/>
          <w:sz w:val="21"/>
          <w:szCs w:val="21"/>
        </w:rPr>
      </w:pPr>
      <w:r>
        <w:rPr>
          <w:rFonts w:hint="eastAsia" w:ascii="仿宋" w:hAnsi="仿宋" w:eastAsia="仿宋" w:cs="仿宋"/>
          <w:bCs/>
          <w:kern w:val="0"/>
          <w:sz w:val="21"/>
          <w:szCs w:val="21"/>
          <w:highlight w:val="none"/>
        </w:rPr>
        <w:t>1</w:t>
      </w:r>
      <w:r>
        <w:rPr>
          <w:rFonts w:hint="eastAsia" w:ascii="仿宋" w:hAnsi="仿宋" w:eastAsia="仿宋" w:cs="仿宋"/>
          <w:bCs/>
          <w:kern w:val="0"/>
          <w:sz w:val="21"/>
          <w:szCs w:val="21"/>
          <w:highlight w:val="none"/>
          <w:lang w:val="en-US" w:eastAsia="zh-CN"/>
        </w:rPr>
        <w:t>.</w:t>
      </w:r>
      <w:r>
        <w:rPr>
          <w:rFonts w:hint="eastAsia" w:ascii="仿宋" w:hAnsi="仿宋" w:eastAsia="仿宋" w:cs="仿宋"/>
          <w:bCs/>
          <w:kern w:val="0"/>
          <w:sz w:val="21"/>
          <w:szCs w:val="21"/>
          <w:highlight w:val="none"/>
        </w:rPr>
        <w:t>不向贵单位负责</w:t>
      </w:r>
      <w:r>
        <w:rPr>
          <w:rFonts w:hint="eastAsia" w:ascii="仿宋" w:hAnsi="仿宋" w:eastAsia="仿宋" w:cs="仿宋"/>
          <w:bCs/>
          <w:kern w:val="0"/>
          <w:sz w:val="21"/>
          <w:szCs w:val="21"/>
          <w:highlight w:val="none"/>
          <w:lang w:eastAsia="zh-CN"/>
        </w:rPr>
        <w:t>公款存放</w:t>
      </w:r>
      <w:r>
        <w:rPr>
          <w:rFonts w:hint="eastAsia" w:ascii="仿宋" w:hAnsi="仿宋" w:eastAsia="仿宋" w:cs="仿宋"/>
          <w:color w:val="auto"/>
          <w:kern w:val="0"/>
          <w:szCs w:val="21"/>
          <w:lang w:eastAsia="zh-CN"/>
        </w:rPr>
        <w:t>管理</w:t>
      </w:r>
      <w:r>
        <w:rPr>
          <w:rFonts w:hint="eastAsia" w:ascii="仿宋" w:hAnsi="仿宋" w:eastAsia="仿宋" w:cs="仿宋"/>
          <w:bCs/>
          <w:kern w:val="0"/>
          <w:sz w:val="21"/>
          <w:szCs w:val="21"/>
        </w:rPr>
        <w:t>的领导及相关人员进行利益输送；</w:t>
      </w:r>
    </w:p>
    <w:p w14:paraId="57A8883A">
      <w:pPr>
        <w:spacing w:line="520" w:lineRule="exact"/>
        <w:ind w:firstLine="420" w:firstLineChars="200"/>
        <w:rPr>
          <w:rFonts w:hint="eastAsia" w:ascii="仿宋" w:hAnsi="仿宋" w:eastAsia="仿宋" w:cs="仿宋"/>
          <w:bCs/>
          <w:kern w:val="0"/>
          <w:sz w:val="21"/>
          <w:szCs w:val="21"/>
        </w:rPr>
      </w:pPr>
      <w:r>
        <w:rPr>
          <w:rFonts w:hint="eastAsia" w:ascii="仿宋" w:hAnsi="仿宋" w:eastAsia="仿宋" w:cs="仿宋"/>
          <w:bCs/>
          <w:kern w:val="0"/>
          <w:sz w:val="21"/>
          <w:szCs w:val="21"/>
        </w:rPr>
        <w:t>2</w:t>
      </w:r>
      <w:r>
        <w:rPr>
          <w:rFonts w:hint="eastAsia" w:ascii="仿宋" w:hAnsi="仿宋" w:eastAsia="仿宋" w:cs="仿宋"/>
          <w:bCs/>
          <w:kern w:val="0"/>
          <w:sz w:val="21"/>
          <w:szCs w:val="21"/>
          <w:lang w:val="en-US" w:eastAsia="zh-CN"/>
        </w:rPr>
        <w:t>.</w:t>
      </w:r>
      <w:r>
        <w:rPr>
          <w:rFonts w:hint="eastAsia" w:ascii="仿宋" w:hAnsi="仿宋" w:eastAsia="仿宋" w:cs="仿宋"/>
          <w:bCs/>
          <w:kern w:val="0"/>
          <w:sz w:val="21"/>
          <w:szCs w:val="21"/>
        </w:rPr>
        <w:t>不将</w:t>
      </w:r>
      <w:r>
        <w:rPr>
          <w:rFonts w:hint="eastAsia" w:ascii="仿宋" w:hAnsi="仿宋" w:eastAsia="仿宋" w:cs="仿宋"/>
          <w:bCs/>
          <w:kern w:val="0"/>
          <w:sz w:val="21"/>
          <w:szCs w:val="21"/>
          <w:lang w:eastAsia="zh-CN"/>
        </w:rPr>
        <w:t>公款存放</w:t>
      </w:r>
      <w:r>
        <w:rPr>
          <w:rFonts w:hint="eastAsia" w:ascii="仿宋" w:hAnsi="仿宋" w:eastAsia="仿宋" w:cs="仿宋"/>
          <w:bCs/>
          <w:kern w:val="0"/>
          <w:sz w:val="21"/>
          <w:szCs w:val="21"/>
        </w:rPr>
        <w:t>与贵单位负责</w:t>
      </w:r>
      <w:r>
        <w:rPr>
          <w:rFonts w:hint="eastAsia" w:ascii="仿宋" w:hAnsi="仿宋" w:eastAsia="仿宋" w:cs="仿宋"/>
          <w:bCs/>
          <w:kern w:val="0"/>
          <w:sz w:val="21"/>
          <w:szCs w:val="21"/>
          <w:lang w:eastAsia="zh-CN"/>
        </w:rPr>
        <w:t>公款存放</w:t>
      </w:r>
      <w:r>
        <w:rPr>
          <w:rFonts w:hint="eastAsia" w:ascii="仿宋" w:hAnsi="仿宋" w:eastAsia="仿宋" w:cs="仿宋"/>
          <w:sz w:val="21"/>
          <w:szCs w:val="21"/>
          <w:lang w:eastAsia="zh-CN"/>
        </w:rPr>
        <w:t>管理</w:t>
      </w:r>
      <w:r>
        <w:rPr>
          <w:rFonts w:hint="eastAsia" w:ascii="仿宋" w:hAnsi="仿宋" w:eastAsia="仿宋" w:cs="仿宋"/>
          <w:bCs/>
          <w:kern w:val="0"/>
          <w:sz w:val="21"/>
          <w:szCs w:val="21"/>
        </w:rPr>
        <w:t>的领导及相关人员在本行的配偶、子女及其配偶和其他直接利益相关人员的业绩、收入、晋升</w:t>
      </w:r>
      <w:r>
        <w:rPr>
          <w:rFonts w:hint="eastAsia" w:ascii="仿宋" w:hAnsi="仿宋" w:eastAsia="仿宋" w:cs="仿宋"/>
          <w:bCs/>
          <w:kern w:val="0"/>
          <w:sz w:val="21"/>
          <w:szCs w:val="21"/>
          <w:lang w:eastAsia="zh-CN"/>
        </w:rPr>
        <w:t>等利益</w:t>
      </w:r>
      <w:r>
        <w:rPr>
          <w:rFonts w:hint="eastAsia" w:ascii="仿宋" w:hAnsi="仿宋" w:eastAsia="仿宋" w:cs="仿宋"/>
          <w:bCs/>
          <w:kern w:val="0"/>
          <w:sz w:val="21"/>
          <w:szCs w:val="21"/>
        </w:rPr>
        <w:t>挂钩；</w:t>
      </w:r>
    </w:p>
    <w:p w14:paraId="3A803611">
      <w:pPr>
        <w:spacing w:line="520" w:lineRule="exact"/>
        <w:ind w:firstLine="420" w:firstLineChars="200"/>
        <w:rPr>
          <w:rFonts w:hint="eastAsia" w:ascii="仿宋" w:hAnsi="仿宋" w:eastAsia="仿宋" w:cs="仿宋"/>
          <w:bCs/>
          <w:kern w:val="0"/>
          <w:sz w:val="21"/>
          <w:szCs w:val="21"/>
        </w:rPr>
      </w:pPr>
      <w:r>
        <w:rPr>
          <w:rFonts w:hint="eastAsia" w:ascii="仿宋" w:hAnsi="仿宋" w:eastAsia="仿宋" w:cs="仿宋"/>
          <w:sz w:val="21"/>
          <w:szCs w:val="21"/>
        </w:rPr>
        <w:t>3</w:t>
      </w:r>
      <w:r>
        <w:rPr>
          <w:rFonts w:hint="eastAsia" w:ascii="仿宋" w:hAnsi="仿宋" w:eastAsia="仿宋" w:cs="仿宋"/>
          <w:sz w:val="21"/>
          <w:szCs w:val="21"/>
          <w:lang w:val="en-US" w:eastAsia="zh-CN"/>
        </w:rPr>
        <w:t>.</w:t>
      </w:r>
      <w:r>
        <w:rPr>
          <w:rFonts w:hint="eastAsia" w:ascii="仿宋" w:hAnsi="仿宋" w:eastAsia="仿宋" w:cs="仿宋"/>
          <w:sz w:val="21"/>
          <w:szCs w:val="21"/>
        </w:rPr>
        <w:t>严格执行利益回避制度，</w:t>
      </w:r>
      <w:r>
        <w:rPr>
          <w:rFonts w:hint="eastAsia" w:ascii="仿宋" w:hAnsi="仿宋" w:eastAsia="仿宋" w:cs="仿宋"/>
          <w:bCs/>
          <w:kern w:val="0"/>
          <w:sz w:val="21"/>
          <w:szCs w:val="21"/>
        </w:rPr>
        <w:t>贵单位负责</w:t>
      </w:r>
      <w:r>
        <w:rPr>
          <w:rFonts w:hint="eastAsia" w:ascii="仿宋" w:hAnsi="仿宋" w:eastAsia="仿宋" w:cs="仿宋"/>
          <w:bCs/>
          <w:kern w:val="0"/>
          <w:sz w:val="21"/>
          <w:szCs w:val="21"/>
          <w:lang w:eastAsia="zh-CN"/>
        </w:rPr>
        <w:t>公款竞争性存放</w:t>
      </w:r>
      <w:r>
        <w:rPr>
          <w:rFonts w:hint="eastAsia" w:ascii="仿宋" w:hAnsi="仿宋" w:eastAsia="仿宋" w:cs="仿宋"/>
          <w:bCs/>
          <w:kern w:val="0"/>
          <w:sz w:val="21"/>
          <w:szCs w:val="21"/>
        </w:rPr>
        <w:t>相关人员的配偶、子女及其配偶和其他直接利益相关人员为本行工作人员的，不参与</w:t>
      </w:r>
      <w:r>
        <w:rPr>
          <w:rFonts w:hint="eastAsia" w:ascii="仿宋" w:hAnsi="仿宋" w:eastAsia="仿宋" w:cs="仿宋"/>
          <w:sz w:val="21"/>
          <w:szCs w:val="21"/>
          <w:lang w:eastAsia="zh-CN"/>
        </w:rPr>
        <w:t>公款</w:t>
      </w:r>
      <w:r>
        <w:rPr>
          <w:rFonts w:hint="eastAsia" w:ascii="仿宋" w:hAnsi="仿宋" w:eastAsia="仿宋" w:cs="仿宋"/>
          <w:kern w:val="0"/>
          <w:sz w:val="21"/>
          <w:szCs w:val="21"/>
        </w:rPr>
        <w:t>竞争性存放</w:t>
      </w:r>
      <w:r>
        <w:rPr>
          <w:rFonts w:hint="eastAsia" w:ascii="仿宋" w:hAnsi="仿宋" w:eastAsia="仿宋" w:cs="仿宋"/>
          <w:bCs/>
          <w:kern w:val="0"/>
          <w:sz w:val="21"/>
          <w:szCs w:val="21"/>
        </w:rPr>
        <w:t>工作；</w:t>
      </w:r>
    </w:p>
    <w:p w14:paraId="31D249B7">
      <w:pPr>
        <w:spacing w:line="520" w:lineRule="exact"/>
        <w:ind w:firstLine="420" w:firstLineChars="200"/>
        <w:rPr>
          <w:rFonts w:hint="eastAsia" w:ascii="仿宋" w:hAnsi="仿宋" w:eastAsia="仿宋" w:cs="仿宋"/>
          <w:bCs/>
          <w:kern w:val="0"/>
          <w:sz w:val="21"/>
          <w:szCs w:val="21"/>
        </w:rPr>
      </w:pPr>
      <w:r>
        <w:rPr>
          <w:rFonts w:hint="eastAsia" w:ascii="仿宋" w:hAnsi="仿宋" w:eastAsia="仿宋" w:cs="仿宋"/>
          <w:bCs/>
          <w:kern w:val="0"/>
          <w:sz w:val="21"/>
          <w:szCs w:val="21"/>
        </w:rPr>
        <w:t>4</w:t>
      </w:r>
      <w:r>
        <w:rPr>
          <w:rFonts w:hint="eastAsia" w:ascii="仿宋" w:hAnsi="仿宋" w:eastAsia="仿宋" w:cs="仿宋"/>
          <w:bCs/>
          <w:kern w:val="0"/>
          <w:sz w:val="21"/>
          <w:szCs w:val="21"/>
          <w:lang w:val="en-US" w:eastAsia="zh-CN"/>
        </w:rPr>
        <w:t>.</w:t>
      </w:r>
      <w:r>
        <w:rPr>
          <w:rFonts w:hint="eastAsia" w:ascii="仿宋" w:hAnsi="仿宋" w:eastAsia="仿宋" w:cs="仿宋"/>
          <w:bCs/>
          <w:kern w:val="0"/>
          <w:sz w:val="21"/>
          <w:szCs w:val="21"/>
        </w:rPr>
        <w:t>不发生除上述行为之外的其他任何利益输送行为。</w:t>
      </w:r>
    </w:p>
    <w:p w14:paraId="636407CA">
      <w:pPr>
        <w:spacing w:line="520" w:lineRule="exact"/>
        <w:ind w:firstLine="420" w:firstLineChars="200"/>
        <w:rPr>
          <w:rFonts w:hint="eastAsia" w:ascii="仿宋" w:hAnsi="仿宋" w:eastAsia="仿宋" w:cs="仿宋"/>
          <w:bCs/>
          <w:kern w:val="0"/>
          <w:sz w:val="21"/>
          <w:szCs w:val="21"/>
        </w:rPr>
      </w:pPr>
      <w:r>
        <w:rPr>
          <w:rFonts w:hint="eastAsia" w:ascii="仿宋" w:hAnsi="仿宋" w:eastAsia="仿宋" w:cs="仿宋"/>
          <w:bCs/>
          <w:kern w:val="0"/>
          <w:sz w:val="21"/>
          <w:szCs w:val="21"/>
        </w:rPr>
        <w:t>未遵守以上承诺的，本行自愿接受财政部门通报和处理，承担相应的一切后果。</w:t>
      </w:r>
    </w:p>
    <w:p w14:paraId="594232EF">
      <w:pPr>
        <w:pStyle w:val="25"/>
        <w:spacing w:line="520" w:lineRule="exact"/>
        <w:jc w:val="both"/>
        <w:rPr>
          <w:rFonts w:hint="eastAsia" w:ascii="仿宋" w:hAnsi="仿宋" w:eastAsia="仿宋" w:cs="仿宋"/>
          <w:bCs/>
          <w:sz w:val="21"/>
          <w:szCs w:val="21"/>
          <w:lang w:eastAsia="zh-CN"/>
        </w:rPr>
      </w:pPr>
    </w:p>
    <w:p w14:paraId="02D05F0E">
      <w:pPr>
        <w:pStyle w:val="25"/>
        <w:spacing w:line="400" w:lineRule="exact"/>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 xml:space="preserve">     </w:t>
      </w:r>
      <w:r>
        <w:rPr>
          <w:rFonts w:hint="eastAsia" w:ascii="仿宋" w:hAnsi="仿宋" w:eastAsia="仿宋" w:cs="仿宋"/>
          <w:sz w:val="21"/>
          <w:szCs w:val="21"/>
          <w:u w:val="single"/>
          <w:lang w:eastAsia="zh-CN"/>
        </w:rPr>
        <w:t xml:space="preserve">         </w:t>
      </w:r>
      <w:r>
        <w:rPr>
          <w:rFonts w:hint="eastAsia" w:ascii="仿宋" w:hAnsi="仿宋" w:eastAsia="仿宋" w:cs="仿宋"/>
          <w:sz w:val="21"/>
          <w:szCs w:val="21"/>
          <w:lang w:eastAsia="zh-CN"/>
        </w:rPr>
        <w:t>银行（公章）</w:t>
      </w:r>
    </w:p>
    <w:p w14:paraId="7B3D38BA">
      <w:pPr>
        <w:spacing w:line="52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14:paraId="56FA45BB">
      <w:pPr>
        <w:spacing w:line="520" w:lineRule="exact"/>
        <w:rPr>
          <w:rFonts w:hint="eastAsia" w:ascii="仿宋" w:hAnsi="仿宋" w:eastAsia="仿宋" w:cs="仿宋"/>
          <w:kern w:val="0"/>
          <w:sz w:val="21"/>
          <w:szCs w:val="21"/>
        </w:rPr>
      </w:pPr>
      <w:r>
        <w:rPr>
          <w:rFonts w:hint="eastAsia" w:ascii="仿宋" w:hAnsi="仿宋" w:eastAsia="仿宋" w:cs="仿宋"/>
          <w:sz w:val="21"/>
          <w:szCs w:val="21"/>
        </w:rPr>
        <w:t xml:space="preserve">                                        </w:t>
      </w: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 xml:space="preserve">        年    月    日</w:t>
      </w:r>
    </w:p>
    <w:p w14:paraId="682111C6">
      <w:pPr>
        <w:pStyle w:val="26"/>
        <w:spacing w:line="540" w:lineRule="exact"/>
        <w:ind w:firstLine="0" w:firstLineChars="0"/>
        <w:jc w:val="both"/>
        <w:rPr>
          <w:rFonts w:hint="eastAsia" w:ascii="仿宋" w:hAnsi="仿宋" w:eastAsia="仿宋" w:cs="仿宋"/>
        </w:rPr>
      </w:pPr>
    </w:p>
    <w:p w14:paraId="574CE954">
      <w:pPr>
        <w:spacing w:line="600" w:lineRule="exact"/>
        <w:jc w:val="left"/>
        <w:rPr>
          <w:rStyle w:val="24"/>
          <w:rFonts w:hint="eastAsia" w:ascii="仿宋" w:hAnsi="仿宋" w:eastAsia="仿宋" w:cs="仿宋"/>
          <w:b/>
          <w:bCs w:val="0"/>
          <w:sz w:val="24"/>
          <w:szCs w:val="24"/>
          <w:lang w:val="en-US"/>
        </w:rPr>
      </w:pPr>
      <w:r>
        <w:rPr>
          <w:rStyle w:val="24"/>
          <w:rFonts w:hint="eastAsia" w:ascii="仿宋" w:hAnsi="仿宋" w:eastAsia="仿宋" w:cs="仿宋"/>
          <w:b/>
          <w:bCs w:val="0"/>
          <w:sz w:val="24"/>
          <w:szCs w:val="24"/>
        </w:rPr>
        <w:br w:type="page"/>
      </w:r>
      <w:r>
        <w:rPr>
          <w:rStyle w:val="24"/>
          <w:rFonts w:hint="eastAsia" w:ascii="仿宋" w:hAnsi="仿宋" w:eastAsia="仿宋" w:cs="仿宋"/>
          <w:b/>
          <w:bCs w:val="0"/>
          <w:sz w:val="24"/>
          <w:szCs w:val="24"/>
        </w:rPr>
        <w:t>附件</w:t>
      </w:r>
      <w:r>
        <w:rPr>
          <w:rStyle w:val="24"/>
          <w:rFonts w:hint="eastAsia" w:ascii="仿宋" w:hAnsi="仿宋" w:eastAsia="仿宋" w:cs="仿宋"/>
          <w:b/>
          <w:bCs w:val="0"/>
          <w:sz w:val="24"/>
          <w:szCs w:val="24"/>
          <w:lang w:val="en-US"/>
        </w:rPr>
        <w:t>4</w:t>
      </w:r>
    </w:p>
    <w:p w14:paraId="5AE40390">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开标一览表</w:t>
      </w:r>
    </w:p>
    <w:p w14:paraId="3A97F44F">
      <w:pPr>
        <w:jc w:val="center"/>
        <w:rPr>
          <w:rFonts w:hint="eastAsia" w:ascii="仿宋" w:hAnsi="仿宋" w:eastAsia="仿宋" w:cs="仿宋"/>
          <w:b/>
          <w:bCs/>
          <w:sz w:val="28"/>
          <w:szCs w:val="28"/>
          <w:highlight w:val="none"/>
        </w:rPr>
      </w:pPr>
    </w:p>
    <w:p w14:paraId="561BD0F4">
      <w:pPr>
        <w:autoSpaceDE w:val="0"/>
        <w:autoSpaceDN w:val="0"/>
        <w:spacing w:line="360" w:lineRule="auto"/>
        <w:ind w:firstLine="630" w:firstLineChars="300"/>
        <w:rPr>
          <w:rFonts w:hint="eastAsia" w:ascii="仿宋" w:hAnsi="仿宋" w:eastAsia="仿宋" w:cs="仿宋"/>
          <w:szCs w:val="21"/>
          <w:highlight w:val="none"/>
          <w:u w:val="none"/>
          <w:lang w:val="en-US" w:eastAsia="zh-CN"/>
        </w:rPr>
      </w:pPr>
      <w:r>
        <w:rPr>
          <w:rFonts w:hint="eastAsia" w:ascii="仿宋" w:hAnsi="仿宋" w:eastAsia="仿宋" w:cs="仿宋"/>
          <w:szCs w:val="21"/>
          <w:highlight w:val="none"/>
          <w:lang w:val="zh-CN"/>
        </w:rPr>
        <w:t>项目名称：</w:t>
      </w:r>
      <w:r>
        <w:rPr>
          <w:rFonts w:hint="eastAsia" w:ascii="仿宋" w:hAnsi="仿宋" w:eastAsia="仿宋" w:cs="仿宋"/>
          <w:szCs w:val="21"/>
          <w:highlight w:val="none"/>
          <w:u w:val="single"/>
          <w:lang w:val="zh-CN"/>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lang w:val="zh-CN"/>
        </w:rPr>
        <w:t xml:space="preserve">           </w:t>
      </w:r>
      <w:r>
        <w:rPr>
          <w:rFonts w:hint="eastAsia" w:ascii="仿宋" w:hAnsi="仿宋" w:eastAsia="仿宋" w:cs="仿宋"/>
          <w:szCs w:val="21"/>
          <w:highlight w:val="none"/>
          <w:lang w:val="zh-CN"/>
        </w:rPr>
        <w:t xml:space="preserve">               项目编号：</w:t>
      </w:r>
      <w:r>
        <w:rPr>
          <w:rFonts w:hint="eastAsia" w:ascii="仿宋" w:hAnsi="仿宋" w:eastAsia="仿宋" w:cs="仿宋"/>
          <w:szCs w:val="21"/>
          <w:highlight w:val="none"/>
          <w:u w:val="single"/>
          <w:lang w:val="zh-CN"/>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lang w:val="zh-CN"/>
        </w:rPr>
        <w:t xml:space="preserve">            </w:t>
      </w:r>
      <w:r>
        <w:rPr>
          <w:rFonts w:hint="eastAsia" w:ascii="仿宋" w:hAnsi="仿宋" w:eastAsia="仿宋" w:cs="仿宋"/>
          <w:szCs w:val="21"/>
          <w:highlight w:val="none"/>
          <w:u w:val="none"/>
          <w:lang w:val="en-US" w:eastAsia="zh-CN"/>
        </w:rPr>
        <w:t xml:space="preserve">      </w:t>
      </w:r>
    </w:p>
    <w:tbl>
      <w:tblPr>
        <w:tblStyle w:val="14"/>
        <w:tblW w:w="89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1"/>
        <w:gridCol w:w="2003"/>
        <w:gridCol w:w="5975"/>
      </w:tblGrid>
      <w:tr w14:paraId="08C6F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8"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66A37B26">
            <w:pPr>
              <w:pStyle w:val="7"/>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6EC80B21">
            <w:pPr>
              <w:pStyle w:val="7"/>
              <w:jc w:val="center"/>
              <w:rPr>
                <w:rFonts w:hint="eastAsia" w:ascii="仿宋" w:hAnsi="仿宋" w:eastAsia="仿宋" w:cs="仿宋"/>
                <w:b/>
                <w:bCs/>
                <w:szCs w:val="21"/>
                <w:highlight w:val="none"/>
              </w:rPr>
            </w:pPr>
            <w:r>
              <w:rPr>
                <w:rFonts w:hint="eastAsia" w:ascii="仿宋" w:hAnsi="仿宋" w:eastAsia="仿宋" w:cs="仿宋"/>
                <w:b/>
                <w:bCs/>
                <w:szCs w:val="21"/>
                <w:highlight w:val="none"/>
              </w:rPr>
              <w:t>名称</w:t>
            </w:r>
          </w:p>
        </w:tc>
        <w:tc>
          <w:tcPr>
            <w:tcW w:w="5975" w:type="dxa"/>
            <w:tcBorders>
              <w:top w:val="single" w:color="auto" w:sz="4" w:space="0"/>
              <w:left w:val="single" w:color="auto" w:sz="4" w:space="0"/>
              <w:bottom w:val="single" w:color="auto" w:sz="4" w:space="0"/>
              <w:right w:val="single" w:color="auto" w:sz="8" w:space="0"/>
            </w:tcBorders>
            <w:noWrap w:val="0"/>
            <w:vAlign w:val="center"/>
          </w:tcPr>
          <w:p w14:paraId="3DB2BDED">
            <w:pPr>
              <w:pStyle w:val="7"/>
              <w:jc w:val="center"/>
              <w:rPr>
                <w:rFonts w:hint="eastAsia" w:ascii="仿宋" w:hAnsi="仿宋" w:eastAsia="仿宋" w:cs="仿宋"/>
                <w:b/>
                <w:bCs/>
                <w:szCs w:val="21"/>
                <w:highlight w:val="none"/>
              </w:rPr>
            </w:pPr>
            <w:r>
              <w:rPr>
                <w:rFonts w:hint="eastAsia" w:ascii="仿宋" w:hAnsi="仿宋" w:eastAsia="仿宋" w:cs="仿宋"/>
                <w:b/>
                <w:bCs/>
                <w:szCs w:val="21"/>
                <w:highlight w:val="none"/>
              </w:rPr>
              <w:t>内容</w:t>
            </w:r>
          </w:p>
        </w:tc>
      </w:tr>
      <w:tr w14:paraId="4F239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36"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3D04742F">
            <w:pPr>
              <w:pStyle w:val="7"/>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一</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3B387F27">
            <w:pPr>
              <w:pStyle w:val="7"/>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定期存款年利率</w:t>
            </w:r>
          </w:p>
        </w:tc>
        <w:tc>
          <w:tcPr>
            <w:tcW w:w="5975" w:type="dxa"/>
            <w:tcBorders>
              <w:top w:val="single" w:color="auto" w:sz="4" w:space="0"/>
              <w:left w:val="single" w:color="auto" w:sz="4" w:space="0"/>
              <w:bottom w:val="single" w:color="auto" w:sz="4" w:space="0"/>
              <w:right w:val="single" w:color="auto" w:sz="8" w:space="0"/>
            </w:tcBorders>
            <w:noWrap w:val="0"/>
            <w:vAlign w:val="center"/>
          </w:tcPr>
          <w:p w14:paraId="73AD3335">
            <w:pPr>
              <w:pStyle w:val="7"/>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w:t>
            </w:r>
          </w:p>
        </w:tc>
      </w:tr>
    </w:tbl>
    <w:p w14:paraId="569261D6">
      <w:pPr>
        <w:pStyle w:val="7"/>
        <w:rPr>
          <w:rFonts w:hint="eastAsia" w:ascii="仿宋" w:hAnsi="仿宋" w:eastAsia="仿宋" w:cs="仿宋"/>
          <w:szCs w:val="21"/>
          <w:highlight w:val="none"/>
        </w:rPr>
      </w:pPr>
    </w:p>
    <w:p w14:paraId="040E7B9D">
      <w:pPr>
        <w:spacing w:line="360" w:lineRule="auto"/>
        <w:ind w:firstLine="420" w:firstLineChars="200"/>
        <w:textAlignment w:val="baseline"/>
        <w:rPr>
          <w:rStyle w:val="21"/>
          <w:rFonts w:hint="eastAsia" w:ascii="仿宋" w:hAnsi="仿宋" w:eastAsia="仿宋" w:cs="仿宋"/>
          <w:b/>
          <w:bCs/>
          <w:szCs w:val="21"/>
        </w:rPr>
      </w:pPr>
      <w:r>
        <w:rPr>
          <w:rStyle w:val="21"/>
          <w:rFonts w:hint="eastAsia" w:ascii="仿宋" w:hAnsi="仿宋" w:eastAsia="仿宋" w:cs="仿宋"/>
          <w:b/>
          <w:bCs/>
          <w:szCs w:val="21"/>
        </w:rPr>
        <w:t>▲注：</w:t>
      </w:r>
      <w:r>
        <w:rPr>
          <w:rFonts w:hint="eastAsia" w:ascii="仿宋" w:hAnsi="仿宋" w:eastAsia="仿宋" w:cs="仿宋"/>
          <w:b/>
          <w:bCs/>
          <w:szCs w:val="21"/>
        </w:rPr>
        <w:t>定期存款年利率</w:t>
      </w:r>
      <w:r>
        <w:rPr>
          <w:rStyle w:val="21"/>
          <w:rFonts w:hint="eastAsia" w:ascii="仿宋" w:hAnsi="仿宋" w:eastAsia="仿宋" w:cs="仿宋"/>
          <w:b/>
          <w:bCs/>
          <w:szCs w:val="21"/>
        </w:rPr>
        <w:t>报价低于中国人民银行同期同档次存款基准利率，或高于常山县市场利率定价自律机制规定的利率浮动幅度上限的，按无效投标处理。</w:t>
      </w:r>
    </w:p>
    <w:p w14:paraId="3BA40135">
      <w:pPr>
        <w:pStyle w:val="2"/>
        <w:rPr>
          <w:rFonts w:hint="eastAsia" w:ascii="仿宋" w:hAnsi="仿宋" w:eastAsia="仿宋" w:cs="仿宋"/>
        </w:rPr>
      </w:pPr>
    </w:p>
    <w:p w14:paraId="5A6A1812">
      <w:pPr>
        <w:rPr>
          <w:rFonts w:hint="eastAsia" w:ascii="仿宋" w:hAnsi="仿宋" w:eastAsia="仿宋" w:cs="仿宋"/>
          <w:szCs w:val="21"/>
          <w:highlight w:val="none"/>
        </w:rPr>
      </w:pPr>
    </w:p>
    <w:p w14:paraId="29F6ACAB">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投标人名称（盖章） ：</w:t>
      </w:r>
      <w:r>
        <w:rPr>
          <w:rFonts w:hint="eastAsia" w:ascii="仿宋" w:hAnsi="仿宋" w:eastAsia="仿宋" w:cs="仿宋"/>
          <w:szCs w:val="21"/>
          <w:highlight w:val="none"/>
          <w:u w:val="single"/>
        </w:rPr>
        <w:t xml:space="preserve">                          </w:t>
      </w:r>
    </w:p>
    <w:p w14:paraId="295F13C9">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日期：   年   月   日</w:t>
      </w:r>
    </w:p>
    <w:bookmarkEnd w:id="87"/>
    <w:bookmarkEnd w:id="88"/>
    <w:bookmarkEnd w:id="89"/>
    <w:bookmarkEnd w:id="90"/>
    <w:bookmarkEnd w:id="91"/>
    <w:bookmarkEnd w:id="92"/>
    <w:bookmarkEnd w:id="93"/>
    <w:p w14:paraId="39B327D3">
      <w:pPr>
        <w:pStyle w:val="27"/>
        <w:widowControl w:val="0"/>
        <w:snapToGrid w:val="0"/>
        <w:spacing w:line="440" w:lineRule="exact"/>
        <w:jc w:val="both"/>
        <w:rPr>
          <w:rFonts w:hint="eastAsia" w:ascii="仿宋" w:hAnsi="仿宋" w:eastAsia="仿宋" w:cs="仿宋"/>
          <w:b/>
          <w:bCs/>
        </w:rPr>
      </w:pPr>
    </w:p>
    <w:p w14:paraId="1CEFBFB4">
      <w:pPr>
        <w:pStyle w:val="7"/>
        <w:spacing w:line="360" w:lineRule="auto"/>
        <w:rPr>
          <w:rFonts w:hint="eastAsia" w:ascii="仿宋" w:hAnsi="仿宋" w:eastAsia="仿宋" w:cs="仿宋"/>
          <w:b/>
          <w:bCs/>
          <w:sz w:val="24"/>
          <w:szCs w:val="24"/>
          <w:lang w:eastAsia="zh-CN"/>
        </w:rPr>
      </w:pPr>
    </w:p>
    <w:p w14:paraId="2C6F5510"/>
    <w:sectPr>
      <w:footerReference r:id="rId8" w:type="first"/>
      <w:footerReference r:id="rId7" w:type="default"/>
      <w:pgSz w:w="11907" w:h="16840"/>
      <w:pgMar w:top="1559" w:right="893" w:bottom="1134" w:left="1134" w:header="720" w:footer="873" w:gutter="0"/>
      <w:pgNumType w:start="2"/>
      <w:cols w:space="720" w:num="1"/>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F91EE">
    <w:pPr>
      <w:pStyle w:val="8"/>
      <w:jc w:val="center"/>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D22FF">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46DE176">
                          <w:pPr>
                            <w:pStyle w:val="8"/>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14:paraId="446DE176">
                    <w:pPr>
                      <w:pStyle w:val="8"/>
                      <w:jc w:val="center"/>
                    </w:pPr>
                  </w:p>
                </w:txbxContent>
              </v:textbox>
            </v:shape>
          </w:pict>
        </mc:Fallback>
      </mc:AlternateContent>
    </w:r>
  </w:p>
  <w:p w14:paraId="1B298D5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D5E72">
    <w:pPr>
      <w:pStyle w:val="8"/>
      <w:jc w:val="center"/>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56AC55D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HtdM9AAAAADAQAADwAAAAAAAAABACAAAAAiAAAAZHJz&#10;L2Rvd25yZXYueG1sUEsBAhQAFAAAAAgAh07iQNeou7bTAQAApQMAAA4AAAAAAAAAAQAgAAAAHwEA&#10;AGRycy9lMm9Eb2MueG1sUEsFBgAAAAAGAAYAWQEAAGQFAAAAAA==&#10;">
              <v:fill on="f" focussize="0,0"/>
              <v:stroke on="f"/>
              <v:imagedata o:title=""/>
              <o:lock v:ext="edit" aspectratio="f"/>
              <v:textbox inset="0mm,0mm,0mm,0mm" style="mso-fit-shape-to-text:t;">
                <w:txbxContent>
                  <w:p w14:paraId="56AC55D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69</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CC20A">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23779F1">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128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8DPYvOAQAAlw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EGJZQYHfvrx/fTz9+nX&#10;N7JI8nQeKsy695gX+/eux6WZ/IDOxLqXwaQv8iEYR3GPZ3FFHwlPj8rl9eUVJRxD5WW5XF4llOLp&#10;sQ8Q74QzJBk1DTi7LCk7fIQ4pE4pqZZ1t0rrPD9t/3IgZvIUqfOhw2TFftuPdLauOSKbDsdeU4tb&#10;Ton+YFHVtCGTESZjOxl7H9SuzSuU6oF/t4/YRO4tVRhgx8I4r8xu3K20EH/ec9bT/7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vAz2LzgEAAJcDAAAOAAAAAAAAAAEAIAAAAB8BAABkcnMv&#10;ZTJvRG9jLnhtbFBLBQYAAAAABgAGAFkBAABfBQAAAAA=&#10;">
              <v:fill on="f" focussize="0,0"/>
              <v:stroke on="f"/>
              <v:imagedata o:title=""/>
              <o:lock v:ext="edit" aspectratio="f"/>
              <v:textbox inset="0mm,0mm,0mm,0mm" style="mso-fit-shape-to-text:t;">
                <w:txbxContent>
                  <w:p w14:paraId="223779F1">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128</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028BCC5">
                          <w:pPr>
                            <w:pStyle w:val="8"/>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5CUpmzgEAAJcDAAAOAAAAAAAAAAEAIAAAAB8BAABkcnMv&#10;ZTJvRG9jLnhtbFBLBQYAAAAABgAGAFkBAABfBQAAAAA=&#10;">
              <v:fill on="f" focussize="0,0"/>
              <v:stroke on="f"/>
              <v:imagedata o:title=""/>
              <o:lock v:ext="edit" aspectratio="f"/>
              <v:textbox inset="0mm,0mm,0mm,0mm" style="mso-fit-shape-to-text:t;">
                <w:txbxContent>
                  <w:p w14:paraId="2028BCC5">
                    <w:pPr>
                      <w:pStyle w:val="8"/>
                      <w:jc w:val="center"/>
                    </w:pPr>
                  </w:p>
                </w:txbxContent>
              </v:textbox>
            </v:shape>
          </w:pict>
        </mc:Fallback>
      </mc:AlternateContent>
    </w:r>
  </w:p>
  <w:p w14:paraId="6D6FEFB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218F2">
    <w:pPr>
      <w:pStyle w:val="9"/>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D677C">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MDJmYjVmODNlMWNkZDdjZmMyOTk1OGJlYTQzM2IifQ=="/>
  </w:docVars>
  <w:rsids>
    <w:rsidRoot w:val="05720E1A"/>
    <w:rsid w:val="03CD394B"/>
    <w:rsid w:val="03F1200B"/>
    <w:rsid w:val="05720E1A"/>
    <w:rsid w:val="06A90F71"/>
    <w:rsid w:val="06ED6099"/>
    <w:rsid w:val="08275385"/>
    <w:rsid w:val="09E615B5"/>
    <w:rsid w:val="0E7516E0"/>
    <w:rsid w:val="11113AFF"/>
    <w:rsid w:val="11800CCD"/>
    <w:rsid w:val="11FA3B30"/>
    <w:rsid w:val="15C27640"/>
    <w:rsid w:val="16331EF0"/>
    <w:rsid w:val="16793172"/>
    <w:rsid w:val="16AF427A"/>
    <w:rsid w:val="177D4232"/>
    <w:rsid w:val="189D33CC"/>
    <w:rsid w:val="18DF60A5"/>
    <w:rsid w:val="1A3501D9"/>
    <w:rsid w:val="1A57053A"/>
    <w:rsid w:val="1E720DC5"/>
    <w:rsid w:val="1EA0005C"/>
    <w:rsid w:val="1ECE56B2"/>
    <w:rsid w:val="1ED70F5B"/>
    <w:rsid w:val="1FBA4DD8"/>
    <w:rsid w:val="20341F1F"/>
    <w:rsid w:val="22381814"/>
    <w:rsid w:val="263952BC"/>
    <w:rsid w:val="266A7FFF"/>
    <w:rsid w:val="27922F76"/>
    <w:rsid w:val="27D63767"/>
    <w:rsid w:val="2820551F"/>
    <w:rsid w:val="288A7DDB"/>
    <w:rsid w:val="29C73E4C"/>
    <w:rsid w:val="2C9C2318"/>
    <w:rsid w:val="2E480656"/>
    <w:rsid w:val="2F5E4D08"/>
    <w:rsid w:val="2FE813BE"/>
    <w:rsid w:val="30A73E04"/>
    <w:rsid w:val="31164253"/>
    <w:rsid w:val="31956630"/>
    <w:rsid w:val="33161B8C"/>
    <w:rsid w:val="34C06933"/>
    <w:rsid w:val="35D72DC8"/>
    <w:rsid w:val="36B33395"/>
    <w:rsid w:val="397F127E"/>
    <w:rsid w:val="3B6956DB"/>
    <w:rsid w:val="3C0716AA"/>
    <w:rsid w:val="3D4F3714"/>
    <w:rsid w:val="3E44455B"/>
    <w:rsid w:val="3E4858FF"/>
    <w:rsid w:val="3E552D1B"/>
    <w:rsid w:val="3FF97FA7"/>
    <w:rsid w:val="41C15D80"/>
    <w:rsid w:val="42B93F66"/>
    <w:rsid w:val="437861E6"/>
    <w:rsid w:val="47393BBF"/>
    <w:rsid w:val="482F6DDF"/>
    <w:rsid w:val="49AD3B5B"/>
    <w:rsid w:val="4A6718D3"/>
    <w:rsid w:val="4D3D0FA7"/>
    <w:rsid w:val="4DE748E3"/>
    <w:rsid w:val="4E4B13F1"/>
    <w:rsid w:val="4F945E9D"/>
    <w:rsid w:val="500B71A4"/>
    <w:rsid w:val="50630BE6"/>
    <w:rsid w:val="517358CD"/>
    <w:rsid w:val="52DB0260"/>
    <w:rsid w:val="53304E78"/>
    <w:rsid w:val="53E97A54"/>
    <w:rsid w:val="546F7828"/>
    <w:rsid w:val="54D72CAC"/>
    <w:rsid w:val="55263AEF"/>
    <w:rsid w:val="553F0FE9"/>
    <w:rsid w:val="554047D1"/>
    <w:rsid w:val="55A766AB"/>
    <w:rsid w:val="56787D7C"/>
    <w:rsid w:val="56D13ED9"/>
    <w:rsid w:val="58184AF5"/>
    <w:rsid w:val="582E5FCD"/>
    <w:rsid w:val="58F93AEB"/>
    <w:rsid w:val="590D0050"/>
    <w:rsid w:val="59152DD0"/>
    <w:rsid w:val="5AE44879"/>
    <w:rsid w:val="5CCB23A1"/>
    <w:rsid w:val="5D93291A"/>
    <w:rsid w:val="5D983815"/>
    <w:rsid w:val="5E0D2A97"/>
    <w:rsid w:val="5E790C01"/>
    <w:rsid w:val="5EEE6238"/>
    <w:rsid w:val="5F6642C8"/>
    <w:rsid w:val="60F63558"/>
    <w:rsid w:val="635D35B7"/>
    <w:rsid w:val="64025D70"/>
    <w:rsid w:val="640F1D56"/>
    <w:rsid w:val="65CE313A"/>
    <w:rsid w:val="6910587A"/>
    <w:rsid w:val="6BF363DB"/>
    <w:rsid w:val="6D4B75EB"/>
    <w:rsid w:val="6D8141AA"/>
    <w:rsid w:val="6DDE1377"/>
    <w:rsid w:val="6F0F540E"/>
    <w:rsid w:val="6FED0A1D"/>
    <w:rsid w:val="6FF02845"/>
    <w:rsid w:val="70EE3135"/>
    <w:rsid w:val="733768FD"/>
    <w:rsid w:val="735C158F"/>
    <w:rsid w:val="749562D2"/>
    <w:rsid w:val="760E1E57"/>
    <w:rsid w:val="767E1E44"/>
    <w:rsid w:val="771205E0"/>
    <w:rsid w:val="784A4D85"/>
    <w:rsid w:val="79543745"/>
    <w:rsid w:val="7B3152F8"/>
    <w:rsid w:val="7CFB41AB"/>
    <w:rsid w:val="7D1F20BB"/>
    <w:rsid w:val="7E6C397E"/>
    <w:rsid w:val="7E757F75"/>
    <w:rsid w:val="7F053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pPr>
      <w:spacing w:after="120"/>
    </w:pPr>
    <w:rPr>
      <w:rFonts w:ascii="Calibri" w:hAnsi="Calibri"/>
      <w:szCs w:val="22"/>
    </w:rPr>
  </w:style>
  <w:style w:type="paragraph" w:styleId="5">
    <w:name w:val="annotation text"/>
    <w:basedOn w:val="1"/>
    <w:qFormat/>
    <w:uiPriority w:val="0"/>
    <w:pPr>
      <w:jc w:val="left"/>
    </w:pPr>
  </w:style>
  <w:style w:type="paragraph" w:styleId="6">
    <w:name w:val="Body Text Indent"/>
    <w:basedOn w:val="1"/>
    <w:next w:val="1"/>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7">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next w:val="11"/>
    <w:qFormat/>
    <w:uiPriority w:val="0"/>
    <w:pPr>
      <w:widowControl/>
      <w:spacing w:before="100" w:beforeLines="0" w:beforeAutospacing="1" w:after="100" w:afterLines="0" w:afterAutospacing="1"/>
      <w:jc w:val="left"/>
    </w:pPr>
    <w:rPr>
      <w:rFonts w:ascii="宋体" w:hAnsi="宋体"/>
      <w:kern w:val="0"/>
      <w:sz w:val="24"/>
    </w:rPr>
  </w:style>
  <w:style w:type="paragraph" w:styleId="13">
    <w:name w:val="Title"/>
    <w:basedOn w:val="1"/>
    <w:next w:val="1"/>
    <w:qFormat/>
    <w:uiPriority w:val="99"/>
    <w:pPr>
      <w:jc w:val="center"/>
    </w:pPr>
    <w:rPr>
      <w:rFonts w:ascii="Arial" w:hAnsi="Arial"/>
      <w:b/>
      <w:kern w:val="0"/>
      <w:sz w:val="36"/>
      <w:szCs w:val="20"/>
      <w:lang w:eastAsia="en-US"/>
    </w:rPr>
  </w:style>
  <w:style w:type="character" w:styleId="16">
    <w:name w:val="FollowedHyperlink"/>
    <w:basedOn w:val="15"/>
    <w:unhideWhenUsed/>
    <w:qFormat/>
    <w:uiPriority w:val="99"/>
    <w:rPr>
      <w:color w:val="800080"/>
      <w:u w:val="none"/>
    </w:rPr>
  </w:style>
  <w:style w:type="character" w:styleId="17">
    <w:name w:val="Emphasis"/>
    <w:basedOn w:val="15"/>
    <w:qFormat/>
    <w:uiPriority w:val="0"/>
    <w:rPr>
      <w:i/>
    </w:rPr>
  </w:style>
  <w:style w:type="character" w:styleId="18">
    <w:name w:val="Hyperlink"/>
    <w:basedOn w:val="15"/>
    <w:qFormat/>
    <w:uiPriority w:val="99"/>
    <w:rPr>
      <w:color w:val="0000FF"/>
      <w:u w:val="none"/>
    </w:rPr>
  </w:style>
  <w:style w:type="paragraph" w:customStyle="1" w:styleId="19">
    <w:name w:val="章正文"/>
    <w:basedOn w:val="1"/>
    <w:qFormat/>
    <w:uiPriority w:val="0"/>
    <w:pPr>
      <w:spacing w:before="156" w:beforeLines="50" w:after="120" w:afterLines="0" w:line="300" w:lineRule="auto"/>
      <w:ind w:firstLine="480"/>
    </w:pPr>
    <w:rPr>
      <w:rFonts w:ascii="Helvetica" w:hAnsi="Helvetica"/>
      <w:kern w:val="0"/>
      <w:sz w:val="24"/>
    </w:rPr>
  </w:style>
  <w:style w:type="paragraph" w:customStyle="1" w:styleId="20">
    <w:name w:val="表格文字"/>
    <w:basedOn w:val="1"/>
    <w:next w:val="2"/>
    <w:qFormat/>
    <w:uiPriority w:val="0"/>
    <w:pPr>
      <w:adjustRightInd w:val="0"/>
      <w:spacing w:line="420" w:lineRule="atLeast"/>
      <w:textAlignment w:val="baseline"/>
    </w:pPr>
    <w:rPr>
      <w:szCs w:val="24"/>
    </w:rPr>
  </w:style>
  <w:style w:type="character" w:customStyle="1" w:styleId="21">
    <w:name w:val="NormalCharacter"/>
    <w:semiHidden/>
    <w:qFormat/>
    <w:uiPriority w:val="0"/>
    <w:rPr>
      <w:kern w:val="2"/>
      <w:sz w:val="21"/>
      <w:szCs w:val="24"/>
      <w:lang w:val="en-US" w:eastAsia="zh-CN" w:bidi="ar-SA"/>
    </w:rPr>
  </w:style>
  <w:style w:type="character" w:customStyle="1" w:styleId="22">
    <w:name w:val="标题 1 Char"/>
    <w:link w:val="3"/>
    <w:qFormat/>
    <w:uiPriority w:val="0"/>
    <w:rPr>
      <w:b/>
      <w:bCs/>
      <w:kern w:val="44"/>
      <w:sz w:val="44"/>
      <w:szCs w:val="44"/>
    </w:rPr>
  </w:style>
  <w:style w:type="character" w:customStyle="1" w:styleId="23">
    <w:name w:val="15"/>
    <w:qFormat/>
    <w:uiPriority w:val="0"/>
    <w:rPr>
      <w:rFonts w:hint="default" w:ascii="Times New Roman" w:hAnsi="Times New Roman" w:cs="Times New Roman"/>
      <w:b/>
      <w:bCs/>
      <w:sz w:val="20"/>
      <w:szCs w:val="20"/>
    </w:rPr>
  </w:style>
  <w:style w:type="character" w:customStyle="1" w:styleId="24">
    <w:name w:val="标题 2 Char"/>
    <w:qFormat/>
    <w:uiPriority w:val="0"/>
    <w:rPr>
      <w:rFonts w:ascii="Arial" w:hAnsi="Arial" w:eastAsia="黑体"/>
      <w:b/>
      <w:bCs/>
      <w:kern w:val="2"/>
      <w:sz w:val="32"/>
      <w:szCs w:val="32"/>
      <w:lang w:val="en-US" w:eastAsia="zh-CN" w:bidi="ar-SA"/>
    </w:rPr>
  </w:style>
  <w:style w:type="paragraph" w:customStyle="1" w:styleId="25">
    <w:name w:val="Default Text"/>
    <w:basedOn w:val="1"/>
    <w:qFormat/>
    <w:uiPriority w:val="0"/>
    <w:pPr>
      <w:widowControl/>
      <w:jc w:val="left"/>
    </w:pPr>
    <w:rPr>
      <w:rFonts w:ascii="Tahoma" w:hAnsi="Tahoma" w:eastAsia="仿宋_GB2312" w:cs="Tahoma"/>
      <w:kern w:val="0"/>
      <w:sz w:val="24"/>
      <w:szCs w:val="28"/>
      <w:lang w:eastAsia="en-US"/>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7">
    <w:name w:val="纯文本1"/>
    <w:basedOn w:val="28"/>
    <w:qFormat/>
    <w:uiPriority w:val="99"/>
    <w:pPr>
      <w:widowControl/>
      <w:jc w:val="left"/>
    </w:pPr>
    <w:rPr>
      <w:rFonts w:ascii="宋体" w:hAnsi="Courier New" w:cs="宋体"/>
    </w:rPr>
  </w:style>
  <w:style w:type="paragraph" w:customStyle="1" w:styleId="28">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29">
    <w:name w:val="font21"/>
    <w:basedOn w:val="15"/>
    <w:qFormat/>
    <w:uiPriority w:val="0"/>
    <w:rPr>
      <w:rFonts w:hint="default" w:ascii="Times New Roman" w:hAnsi="Times New Roman" w:cs="Times New Roman"/>
      <w:color w:val="000000"/>
      <w:sz w:val="21"/>
      <w:szCs w:val="21"/>
      <w:u w:val="none"/>
    </w:rPr>
  </w:style>
  <w:style w:type="character" w:customStyle="1" w:styleId="30">
    <w:name w:val="font1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11725</Words>
  <Characters>12277</Characters>
  <Lines>0</Lines>
  <Paragraphs>0</Paragraphs>
  <TotalTime>17</TotalTime>
  <ScaleCrop>false</ScaleCrop>
  <LinksUpToDate>false</LinksUpToDate>
  <CharactersWithSpaces>13465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2022-08-25T04:20:00Z</dcterms:created>
  <dc:creator>☃︎</dc:creator>
  <cp:lastModifiedBy>余佳丽</cp:lastModifiedBy>
  <cp:lastPrinted>2025-06-13T09:32:00Z</cp:lastPrinted>
  <dcterms:modified xsi:type="dcterms:W3CDTF">2025-06-16T02:59:37Z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3169E88F600142A9B83BE512792DFE70_13</vt:lpwstr>
  </property>
  <property fmtid="{D5CDD505-2E9C-101B-9397-08002B2CF9AE}" pid="4" name="KSOTemplateDocerSaveRecord">
    <vt:lpwstr>eyJoZGlkIjoiOWQyMDJmYjVmODNlMWNkZDdjZmMyOTk1OGJlYTQzM2IiLCJ1c2VySWQiOiI0NDg2ODUxNDQifQ==</vt:lpwstr>
  </property>
</Properties>
</file>