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42161642">
      <w:pPr>
        <w:spacing w:line="240" w:lineRule="atLeast"/>
        <w:jc w:val="center"/>
        <w:rPr>
          <w:rFonts w:hint="eastAsia" w:ascii="宋体" w:hAnsi="宋体" w:cs="宋体"/>
          <w:b/>
          <w:kern w:val="0"/>
          <w:sz w:val="10"/>
          <w:szCs w:val="10"/>
        </w:rPr>
      </w:pPr>
      <w:r>
        <w:rPr>
          <w:rFonts w:hint="eastAsia" w:ascii="宋体" w:hAnsi="宋体" w:cs="宋体"/>
          <w:b/>
          <w:kern w:val="0"/>
          <w:sz w:val="10"/>
          <w:szCs w:val="10"/>
        </w:rPr>
        <w:tab/>
      </w:r>
    </w:p>
    <w:p w14:paraId="0652B88F">
      <w:pPr>
        <w:jc w:val="center"/>
        <w:rPr>
          <w:rFonts w:ascii="宋体" w:hAnsi="宋体" w:cs="宋体"/>
          <w:b/>
          <w:kern w:val="0"/>
          <w:sz w:val="44"/>
          <w:szCs w:val="44"/>
        </w:rPr>
      </w:pPr>
    </w:p>
    <w:p w14:paraId="3BF98D14">
      <w:pPr>
        <w:jc w:val="center"/>
        <w:rPr>
          <w:rFonts w:hint="eastAsia" w:ascii="宋体" w:hAnsi="宋体" w:cs="宋体"/>
          <w:b/>
          <w:sz w:val="44"/>
          <w:szCs w:val="44"/>
        </w:rPr>
      </w:pPr>
      <w:r>
        <w:rPr>
          <w:rFonts w:hint="eastAsia" w:ascii="宋体" w:hAnsi="宋体" w:cs="宋体"/>
          <w:b/>
          <w:kern w:val="0"/>
          <w:sz w:val="44"/>
          <w:szCs w:val="44"/>
        </w:rPr>
        <w:t>绍兴市上虞区人民政府办公室2025年第一期公款竞争性存放</w:t>
      </w:r>
      <w:r>
        <w:rPr>
          <w:rFonts w:hint="eastAsia" w:ascii="宋体" w:hAnsi="宋体" w:cs="宋体"/>
          <w:b/>
          <w:sz w:val="44"/>
          <w:szCs w:val="44"/>
        </w:rPr>
        <w:t xml:space="preserve">   </w:t>
      </w:r>
    </w:p>
    <w:p w14:paraId="2B242E0E">
      <w:pPr>
        <w:jc w:val="center"/>
        <w:rPr>
          <w:rFonts w:ascii="宋体" w:hAnsi="宋体" w:cs="宋体"/>
          <w:b/>
          <w:sz w:val="52"/>
          <w:szCs w:val="52"/>
          <w:vertAlign w:val="subscript"/>
        </w:rPr>
      </w:pPr>
    </w:p>
    <w:p w14:paraId="6774085E">
      <w:pPr>
        <w:jc w:val="center"/>
        <w:rPr>
          <w:rFonts w:hint="eastAsia" w:ascii="宋体" w:hAnsi="宋体" w:cs="宋体"/>
          <w:b/>
          <w:sz w:val="52"/>
          <w:szCs w:val="52"/>
          <w:vertAlign w:val="subscript"/>
        </w:rPr>
      </w:pPr>
    </w:p>
    <w:p w14:paraId="601D7D3A">
      <w:pPr>
        <w:spacing w:line="360" w:lineRule="auto"/>
        <w:jc w:val="center"/>
        <w:rPr>
          <w:rFonts w:hint="eastAsia" w:ascii="宋体" w:hAnsi="宋体" w:cs="宋体"/>
          <w:b/>
          <w:w w:val="150"/>
          <w:sz w:val="52"/>
        </w:rPr>
      </w:pPr>
      <w:r>
        <w:rPr>
          <w:rFonts w:hint="eastAsia" w:ascii="宋体" w:hAnsi="宋体" w:cs="宋体"/>
          <w:b/>
          <w:w w:val="150"/>
          <w:sz w:val="52"/>
        </w:rPr>
        <w:t>招</w:t>
      </w:r>
    </w:p>
    <w:p w14:paraId="68C78D2D">
      <w:pPr>
        <w:spacing w:line="360" w:lineRule="auto"/>
        <w:jc w:val="center"/>
        <w:rPr>
          <w:rFonts w:hint="eastAsia" w:ascii="宋体" w:hAnsi="宋体" w:cs="宋体"/>
          <w:sz w:val="28"/>
        </w:rPr>
      </w:pPr>
    </w:p>
    <w:p w14:paraId="1E23ACD2">
      <w:pPr>
        <w:spacing w:line="360" w:lineRule="auto"/>
        <w:jc w:val="center"/>
        <w:rPr>
          <w:rFonts w:hint="eastAsia" w:ascii="宋体" w:hAnsi="宋体" w:cs="宋体"/>
          <w:sz w:val="52"/>
        </w:rPr>
      </w:pPr>
      <w:r>
        <w:rPr>
          <w:rFonts w:hint="eastAsia" w:ascii="宋体" w:hAnsi="宋体" w:cs="宋体"/>
          <w:b/>
          <w:w w:val="150"/>
          <w:sz w:val="52"/>
        </w:rPr>
        <w:t>标</w:t>
      </w:r>
    </w:p>
    <w:p w14:paraId="7A393691">
      <w:pPr>
        <w:spacing w:line="360" w:lineRule="auto"/>
        <w:jc w:val="center"/>
        <w:rPr>
          <w:rFonts w:hint="eastAsia" w:ascii="宋体" w:hAnsi="宋体" w:cs="宋体"/>
          <w:sz w:val="28"/>
        </w:rPr>
      </w:pPr>
    </w:p>
    <w:p w14:paraId="0B5AB69E">
      <w:pPr>
        <w:spacing w:line="360" w:lineRule="auto"/>
        <w:jc w:val="center"/>
        <w:rPr>
          <w:rFonts w:hint="eastAsia" w:ascii="宋体" w:hAnsi="宋体" w:cs="宋体"/>
          <w:b/>
          <w:sz w:val="52"/>
        </w:rPr>
      </w:pPr>
      <w:r>
        <w:rPr>
          <w:rFonts w:hint="eastAsia" w:ascii="宋体" w:hAnsi="宋体" w:cs="宋体"/>
          <w:b/>
          <w:w w:val="150"/>
          <w:sz w:val="52"/>
        </w:rPr>
        <w:t>文</w:t>
      </w:r>
    </w:p>
    <w:p w14:paraId="456192F7">
      <w:pPr>
        <w:spacing w:line="360" w:lineRule="auto"/>
        <w:jc w:val="center"/>
        <w:rPr>
          <w:rFonts w:hint="eastAsia" w:ascii="宋体" w:hAnsi="宋体" w:cs="宋体"/>
          <w:sz w:val="28"/>
        </w:rPr>
      </w:pPr>
    </w:p>
    <w:p w14:paraId="0F94025E">
      <w:pPr>
        <w:spacing w:line="360" w:lineRule="auto"/>
        <w:jc w:val="center"/>
        <w:rPr>
          <w:rFonts w:hint="eastAsia" w:ascii="宋体" w:hAnsi="宋体" w:cs="宋体"/>
          <w:sz w:val="52"/>
        </w:rPr>
      </w:pPr>
      <w:r>
        <w:rPr>
          <w:rFonts w:hint="eastAsia" w:ascii="宋体" w:hAnsi="宋体" w:cs="宋体"/>
          <w:b/>
          <w:w w:val="150"/>
          <w:sz w:val="52"/>
        </w:rPr>
        <w:t>件</w:t>
      </w:r>
    </w:p>
    <w:p w14:paraId="2AEF767E">
      <w:pPr>
        <w:jc w:val="center"/>
        <w:rPr>
          <w:rFonts w:hint="eastAsia" w:ascii="宋体" w:hAnsi="宋体" w:cs="宋体"/>
          <w:b/>
          <w:sz w:val="72"/>
        </w:rPr>
      </w:pPr>
    </w:p>
    <w:p w14:paraId="3339A5FD">
      <w:pPr>
        <w:jc w:val="center"/>
        <w:rPr>
          <w:rFonts w:hint="eastAsia" w:ascii="宋体" w:hAnsi="宋体" w:cs="宋体"/>
          <w:b/>
          <w:sz w:val="72"/>
        </w:rPr>
      </w:pPr>
    </w:p>
    <w:p w14:paraId="20CA4DED">
      <w:pPr>
        <w:spacing w:line="360" w:lineRule="auto"/>
        <w:jc w:val="center"/>
        <w:rPr>
          <w:rFonts w:hint="eastAsia" w:ascii="宋体" w:hAnsi="宋体" w:cs="宋体"/>
          <w:b/>
          <w:sz w:val="32"/>
          <w:szCs w:val="32"/>
        </w:rPr>
      </w:pPr>
      <w:r>
        <w:rPr>
          <w:rFonts w:hint="eastAsia" w:ascii="宋体" w:hAnsi="宋体" w:cs="宋体"/>
          <w:b/>
          <w:sz w:val="32"/>
          <w:szCs w:val="32"/>
        </w:rPr>
        <w:t>招标人：绍兴市上虞区人民政府办公室</w:t>
      </w:r>
    </w:p>
    <w:p w14:paraId="0F9B57F6">
      <w:pPr>
        <w:spacing w:line="360" w:lineRule="auto"/>
        <w:jc w:val="center"/>
        <w:rPr>
          <w:rFonts w:hint="eastAsia" w:ascii="宋体" w:hAnsi="宋体" w:cs="宋体"/>
          <w:b/>
          <w:sz w:val="32"/>
          <w:szCs w:val="32"/>
        </w:rPr>
      </w:pPr>
      <w:r>
        <w:rPr>
          <w:rFonts w:hint="eastAsia" w:ascii="宋体" w:hAnsi="宋体" w:cs="宋体"/>
          <w:b/>
          <w:sz w:val="32"/>
          <w:szCs w:val="32"/>
        </w:rPr>
        <w:t>代理机构：浙江宇康工程管理咨询有限公司</w:t>
      </w:r>
    </w:p>
    <w:p w14:paraId="4C5AAD82">
      <w:pPr>
        <w:spacing w:line="360" w:lineRule="auto"/>
        <w:jc w:val="center"/>
        <w:rPr>
          <w:rFonts w:hint="eastAsia" w:ascii="宋体" w:hAnsi="宋体" w:cs="宋体"/>
          <w:b/>
          <w:spacing w:val="40"/>
          <w:sz w:val="32"/>
          <w:szCs w:val="32"/>
        </w:rPr>
      </w:pPr>
      <w:r>
        <w:rPr>
          <w:rFonts w:hint="eastAsia" w:ascii="宋体" w:hAnsi="宋体" w:cs="宋体"/>
          <w:b/>
          <w:spacing w:val="40"/>
          <w:sz w:val="32"/>
          <w:szCs w:val="32"/>
        </w:rPr>
        <w:t>二〇二五年三月</w:t>
      </w:r>
    </w:p>
    <w:p w14:paraId="12F7236A">
      <w:pPr>
        <w:spacing w:line="480" w:lineRule="exact"/>
        <w:jc w:val="center"/>
        <w:rPr>
          <w:rFonts w:hint="eastAsia" w:ascii="宋体" w:hAnsi="宋体" w:cs="宋体"/>
          <w:b/>
          <w:sz w:val="36"/>
        </w:rPr>
        <w:sectPr>
          <w:headerReference r:id="rId5" w:type="first"/>
          <w:footerReference r:id="rId8" w:type="first"/>
          <w:headerReference r:id="rId3" w:type="default"/>
          <w:footerReference r:id="rId6" w:type="default"/>
          <w:headerReference r:id="rId4" w:type="even"/>
          <w:footerReference r:id="rId7" w:type="even"/>
          <w:pgSz w:w="11906" w:h="16838"/>
          <w:pgMar w:top="1588" w:right="1287" w:bottom="1247" w:left="1287" w:header="851" w:footer="992" w:gutter="0"/>
          <w:pgNumType w:start="0"/>
          <w:cols w:space="720" w:num="1"/>
          <w:titlePg/>
          <w:docGrid w:type="lines" w:linePitch="312" w:charSpace="0"/>
        </w:sectPr>
      </w:pPr>
    </w:p>
    <w:p w14:paraId="5733F8B2">
      <w:pPr>
        <w:spacing w:line="480" w:lineRule="exact"/>
        <w:jc w:val="center"/>
        <w:rPr>
          <w:rFonts w:hint="eastAsia" w:ascii="宋体" w:hAnsi="宋体" w:cs="宋体"/>
          <w:b/>
          <w:sz w:val="36"/>
        </w:rPr>
      </w:pPr>
    </w:p>
    <w:p w14:paraId="485DF2CF">
      <w:pPr>
        <w:spacing w:line="480" w:lineRule="exact"/>
        <w:jc w:val="center"/>
        <w:rPr>
          <w:rFonts w:hint="eastAsia" w:ascii="宋体" w:hAnsi="宋体" w:cs="宋体"/>
          <w:b/>
          <w:sz w:val="36"/>
        </w:rPr>
      </w:pPr>
    </w:p>
    <w:p w14:paraId="5808739B">
      <w:pPr>
        <w:spacing w:line="480" w:lineRule="exact"/>
        <w:jc w:val="center"/>
        <w:rPr>
          <w:rFonts w:hint="eastAsia" w:ascii="宋体" w:hAnsi="宋体" w:cs="宋体"/>
          <w:b/>
          <w:sz w:val="36"/>
        </w:rPr>
      </w:pPr>
      <w:r>
        <w:rPr>
          <w:rFonts w:hint="eastAsia" w:ascii="宋体" w:hAnsi="宋体" w:cs="宋体"/>
          <w:b/>
          <w:sz w:val="36"/>
        </w:rPr>
        <w:t>目     录</w:t>
      </w:r>
    </w:p>
    <w:p w14:paraId="2C93F6AE">
      <w:pPr>
        <w:rPr>
          <w:rFonts w:hint="eastAsia" w:ascii="宋体" w:hAnsi="宋体" w:cs="宋体"/>
          <w:b/>
          <w:sz w:val="28"/>
          <w:szCs w:val="24"/>
        </w:rPr>
      </w:pPr>
    </w:p>
    <w:p w14:paraId="7D101044">
      <w:pPr>
        <w:pStyle w:val="32"/>
        <w:tabs>
          <w:tab w:val="right" w:leader="dot" w:pos="8987"/>
        </w:tabs>
        <w:spacing w:line="720" w:lineRule="auto"/>
        <w:rPr>
          <w:rFonts w:hint="eastAsia" w:ascii="宋体" w:hAnsi="宋体" w:cs="宋体"/>
          <w:sz w:val="32"/>
          <w:szCs w:val="32"/>
          <w:lang w:val="en-US" w:eastAsia="zh-CN"/>
        </w:rPr>
      </w:pPr>
      <w:r>
        <w:rPr>
          <w:rFonts w:hint="eastAsia" w:ascii="宋体" w:hAnsi="宋体" w:cs="宋体"/>
          <w:b/>
          <w:sz w:val="24"/>
        </w:rPr>
        <w:fldChar w:fldCharType="begin"/>
      </w:r>
      <w:r>
        <w:rPr>
          <w:rFonts w:hint="eastAsia" w:ascii="宋体" w:hAnsi="宋体" w:cs="宋体"/>
          <w:b/>
          <w:sz w:val="24"/>
        </w:rPr>
        <w:instrText xml:space="preserve"> TOC \o "1-3" \h \z \u </w:instrText>
      </w:r>
      <w:r>
        <w:rPr>
          <w:rFonts w:hint="eastAsia" w:ascii="宋体" w:hAnsi="宋体" w:cs="宋体"/>
          <w:b/>
          <w:sz w:val="24"/>
        </w:rPr>
        <w:fldChar w:fldCharType="separate"/>
      </w:r>
      <w:r>
        <w:fldChar w:fldCharType="begin"/>
      </w:r>
      <w:r>
        <w:instrText xml:space="preserve"> HYPERLINK \l "_Toc486228780" </w:instrText>
      </w:r>
      <w:r>
        <w:fldChar w:fldCharType="separate"/>
      </w:r>
      <w:r>
        <w:rPr>
          <w:rStyle w:val="52"/>
          <w:rFonts w:hint="eastAsia" w:ascii="宋体" w:hAnsi="宋体" w:cs="宋体"/>
          <w:color w:val="auto"/>
          <w:sz w:val="32"/>
          <w:szCs w:val="32"/>
          <w:lang w:val="en-US" w:eastAsia="zh-CN"/>
        </w:rPr>
        <w:t>第一章  公开招标公告</w:t>
      </w:r>
      <w:r>
        <w:rPr>
          <w:rFonts w:hint="eastAsia" w:ascii="宋体" w:hAnsi="宋体" w:cs="宋体"/>
          <w:sz w:val="32"/>
          <w:szCs w:val="32"/>
          <w:lang w:val="en-US" w:eastAsia="zh-CN"/>
        </w:rPr>
        <w:tab/>
      </w:r>
      <w:r>
        <w:rPr>
          <w:rFonts w:hint="eastAsia" w:ascii="宋体" w:hAnsi="宋体" w:cs="宋体"/>
          <w:sz w:val="32"/>
          <w:szCs w:val="32"/>
          <w:lang w:val="en-US" w:eastAsia="zh-CN"/>
        </w:rPr>
        <w:fldChar w:fldCharType="begin"/>
      </w:r>
      <w:r>
        <w:rPr>
          <w:rFonts w:hint="eastAsia" w:ascii="宋体" w:hAnsi="宋体" w:cs="宋体"/>
          <w:sz w:val="32"/>
          <w:szCs w:val="32"/>
          <w:lang w:val="en-US" w:eastAsia="zh-CN"/>
        </w:rPr>
        <w:instrText xml:space="preserve"> PAGEREF _Toc486228780 \h </w:instrText>
      </w:r>
      <w:r>
        <w:rPr>
          <w:rFonts w:hint="eastAsia" w:ascii="宋体" w:hAnsi="宋体" w:cs="宋体"/>
          <w:sz w:val="32"/>
          <w:szCs w:val="32"/>
          <w:lang w:val="en-US" w:eastAsia="zh-CN"/>
        </w:rPr>
        <w:fldChar w:fldCharType="separate"/>
      </w:r>
      <w:r>
        <w:rPr>
          <w:rFonts w:hint="eastAsia" w:ascii="宋体" w:hAnsi="宋体" w:cs="宋体"/>
          <w:sz w:val="32"/>
          <w:szCs w:val="32"/>
          <w:lang w:val="en-US" w:eastAsia="zh-CN"/>
        </w:rPr>
        <w:t>2</w:t>
      </w:r>
      <w:r>
        <w:rPr>
          <w:rFonts w:hint="eastAsia" w:ascii="宋体" w:hAnsi="宋体" w:cs="宋体"/>
          <w:sz w:val="32"/>
          <w:szCs w:val="32"/>
          <w:lang w:val="en-US" w:eastAsia="zh-CN"/>
        </w:rPr>
        <w:fldChar w:fldCharType="end"/>
      </w:r>
      <w:r>
        <w:rPr>
          <w:rFonts w:hint="eastAsia" w:ascii="宋体" w:hAnsi="宋体" w:cs="宋体"/>
          <w:sz w:val="32"/>
          <w:szCs w:val="32"/>
          <w:lang w:val="en-US" w:eastAsia="zh-CN"/>
        </w:rPr>
        <w:fldChar w:fldCharType="end"/>
      </w:r>
    </w:p>
    <w:p w14:paraId="7FC66B18">
      <w:pPr>
        <w:pStyle w:val="32"/>
        <w:tabs>
          <w:tab w:val="right" w:leader="dot" w:pos="8987"/>
        </w:tabs>
        <w:spacing w:line="720" w:lineRule="auto"/>
        <w:rPr>
          <w:rFonts w:hint="eastAsia" w:ascii="宋体" w:hAnsi="宋体" w:cs="宋体"/>
          <w:sz w:val="32"/>
          <w:szCs w:val="32"/>
          <w:lang w:val="en-US" w:eastAsia="zh-CN"/>
        </w:rPr>
      </w:pPr>
      <w:r>
        <w:fldChar w:fldCharType="begin"/>
      </w:r>
      <w:r>
        <w:instrText xml:space="preserve"> HYPERLINK \l "_Toc486228781" </w:instrText>
      </w:r>
      <w:r>
        <w:fldChar w:fldCharType="separate"/>
      </w:r>
      <w:r>
        <w:rPr>
          <w:rStyle w:val="52"/>
          <w:rFonts w:hint="eastAsia" w:ascii="宋体" w:hAnsi="宋体" w:cs="宋体"/>
          <w:color w:val="auto"/>
          <w:sz w:val="32"/>
          <w:szCs w:val="32"/>
          <w:lang w:val="en-US" w:eastAsia="zh-CN"/>
        </w:rPr>
        <w:t>第二章  招标需求</w:t>
      </w:r>
      <w:r>
        <w:rPr>
          <w:rFonts w:hint="eastAsia" w:ascii="宋体" w:hAnsi="宋体" w:cs="宋体"/>
          <w:sz w:val="32"/>
          <w:szCs w:val="32"/>
          <w:lang w:val="en-US" w:eastAsia="zh-CN"/>
        </w:rPr>
        <w:tab/>
      </w:r>
      <w:r>
        <w:rPr>
          <w:rFonts w:hint="eastAsia" w:ascii="宋体" w:hAnsi="宋体" w:cs="宋体"/>
          <w:sz w:val="32"/>
          <w:szCs w:val="32"/>
          <w:lang w:val="en-US" w:eastAsia="zh-CN"/>
        </w:rPr>
        <w:fldChar w:fldCharType="begin"/>
      </w:r>
      <w:r>
        <w:rPr>
          <w:rFonts w:hint="eastAsia" w:ascii="宋体" w:hAnsi="宋体" w:cs="宋体"/>
          <w:sz w:val="32"/>
          <w:szCs w:val="32"/>
          <w:lang w:val="en-US" w:eastAsia="zh-CN"/>
        </w:rPr>
        <w:instrText xml:space="preserve"> PAGEREF _Toc486228781 \h </w:instrText>
      </w:r>
      <w:r>
        <w:rPr>
          <w:rFonts w:hint="eastAsia" w:ascii="宋体" w:hAnsi="宋体" w:cs="宋体"/>
          <w:sz w:val="32"/>
          <w:szCs w:val="32"/>
          <w:lang w:val="en-US" w:eastAsia="zh-CN"/>
        </w:rPr>
        <w:fldChar w:fldCharType="separate"/>
      </w:r>
      <w:r>
        <w:rPr>
          <w:rFonts w:hint="eastAsia" w:ascii="宋体" w:hAnsi="宋体" w:cs="宋体"/>
          <w:sz w:val="32"/>
          <w:szCs w:val="32"/>
          <w:lang w:val="en-US" w:eastAsia="zh-CN"/>
        </w:rPr>
        <w:t>5</w:t>
      </w:r>
      <w:r>
        <w:rPr>
          <w:rFonts w:hint="eastAsia" w:ascii="宋体" w:hAnsi="宋体" w:cs="宋体"/>
          <w:sz w:val="32"/>
          <w:szCs w:val="32"/>
          <w:lang w:val="en-US" w:eastAsia="zh-CN"/>
        </w:rPr>
        <w:fldChar w:fldCharType="end"/>
      </w:r>
      <w:r>
        <w:rPr>
          <w:rFonts w:hint="eastAsia" w:ascii="宋体" w:hAnsi="宋体" w:cs="宋体"/>
          <w:sz w:val="32"/>
          <w:szCs w:val="32"/>
          <w:lang w:val="en-US" w:eastAsia="zh-CN"/>
        </w:rPr>
        <w:fldChar w:fldCharType="end"/>
      </w:r>
    </w:p>
    <w:p w14:paraId="3634D02E">
      <w:pPr>
        <w:pStyle w:val="32"/>
        <w:tabs>
          <w:tab w:val="right" w:leader="dot" w:pos="8987"/>
        </w:tabs>
        <w:spacing w:line="720" w:lineRule="auto"/>
        <w:rPr>
          <w:rFonts w:hint="eastAsia" w:ascii="宋体" w:hAnsi="宋体" w:cs="宋体"/>
          <w:sz w:val="32"/>
          <w:szCs w:val="32"/>
          <w:lang w:val="en-US" w:eastAsia="zh-CN"/>
        </w:rPr>
      </w:pPr>
      <w:r>
        <w:fldChar w:fldCharType="begin"/>
      </w:r>
      <w:r>
        <w:instrText xml:space="preserve"> HYPERLINK \l "_Toc486228782" </w:instrText>
      </w:r>
      <w:r>
        <w:fldChar w:fldCharType="separate"/>
      </w:r>
      <w:r>
        <w:rPr>
          <w:rStyle w:val="52"/>
          <w:rFonts w:hint="eastAsia" w:ascii="宋体" w:hAnsi="宋体" w:cs="宋体"/>
          <w:color w:val="auto"/>
          <w:sz w:val="32"/>
          <w:szCs w:val="32"/>
          <w:lang w:val="en-US" w:eastAsia="zh-CN"/>
        </w:rPr>
        <w:t xml:space="preserve">第三章 </w:t>
      </w:r>
      <w:r>
        <w:rPr>
          <w:rStyle w:val="52"/>
          <w:rFonts w:ascii="宋体" w:hAnsi="宋体" w:cs="宋体"/>
          <w:color w:val="auto"/>
          <w:sz w:val="32"/>
          <w:szCs w:val="32"/>
          <w:lang w:val="en-US" w:eastAsia="zh-CN"/>
        </w:rPr>
        <w:t xml:space="preserve"> </w:t>
      </w:r>
      <w:r>
        <w:rPr>
          <w:rStyle w:val="52"/>
          <w:rFonts w:hint="eastAsia" w:ascii="宋体" w:hAnsi="宋体" w:cs="宋体"/>
          <w:color w:val="auto"/>
          <w:sz w:val="32"/>
          <w:szCs w:val="32"/>
          <w:lang w:val="en-US" w:eastAsia="zh-CN"/>
        </w:rPr>
        <w:t>投标人须知</w:t>
      </w:r>
      <w:r>
        <w:rPr>
          <w:rFonts w:hint="eastAsia" w:ascii="宋体" w:hAnsi="宋体" w:cs="宋体"/>
          <w:sz w:val="32"/>
          <w:szCs w:val="32"/>
          <w:lang w:val="en-US" w:eastAsia="zh-CN"/>
        </w:rPr>
        <w:tab/>
      </w:r>
      <w:r>
        <w:rPr>
          <w:rFonts w:hint="eastAsia" w:ascii="宋体" w:hAnsi="宋体" w:cs="宋体"/>
          <w:sz w:val="32"/>
          <w:szCs w:val="32"/>
          <w:lang w:val="en-US" w:eastAsia="zh-CN"/>
        </w:rPr>
        <w:fldChar w:fldCharType="begin"/>
      </w:r>
      <w:r>
        <w:rPr>
          <w:rFonts w:hint="eastAsia" w:ascii="宋体" w:hAnsi="宋体" w:cs="宋体"/>
          <w:sz w:val="32"/>
          <w:szCs w:val="32"/>
          <w:lang w:val="en-US" w:eastAsia="zh-CN"/>
        </w:rPr>
        <w:instrText xml:space="preserve"> PAGEREF _Toc486228782 \h </w:instrText>
      </w:r>
      <w:r>
        <w:rPr>
          <w:rFonts w:hint="eastAsia" w:ascii="宋体" w:hAnsi="宋体" w:cs="宋体"/>
          <w:sz w:val="32"/>
          <w:szCs w:val="32"/>
          <w:lang w:val="en-US" w:eastAsia="zh-CN"/>
        </w:rPr>
        <w:fldChar w:fldCharType="separate"/>
      </w:r>
      <w:r>
        <w:rPr>
          <w:rFonts w:hint="eastAsia" w:ascii="宋体" w:hAnsi="宋体" w:cs="宋体"/>
          <w:sz w:val="32"/>
          <w:szCs w:val="32"/>
          <w:lang w:val="en-US" w:eastAsia="zh-CN"/>
        </w:rPr>
        <w:t>7</w:t>
      </w:r>
      <w:r>
        <w:rPr>
          <w:rFonts w:hint="eastAsia" w:ascii="宋体" w:hAnsi="宋体" w:cs="宋体"/>
          <w:sz w:val="32"/>
          <w:szCs w:val="32"/>
          <w:lang w:val="en-US" w:eastAsia="zh-CN"/>
        </w:rPr>
        <w:fldChar w:fldCharType="end"/>
      </w:r>
      <w:r>
        <w:rPr>
          <w:rFonts w:hint="eastAsia" w:ascii="宋体" w:hAnsi="宋体" w:cs="宋体"/>
          <w:sz w:val="32"/>
          <w:szCs w:val="32"/>
          <w:lang w:val="en-US" w:eastAsia="zh-CN"/>
        </w:rPr>
        <w:fldChar w:fldCharType="end"/>
      </w:r>
    </w:p>
    <w:p w14:paraId="20F88FC6">
      <w:pPr>
        <w:pStyle w:val="32"/>
        <w:tabs>
          <w:tab w:val="right" w:leader="dot" w:pos="8987"/>
        </w:tabs>
        <w:spacing w:line="720" w:lineRule="auto"/>
        <w:rPr>
          <w:rFonts w:hint="eastAsia" w:ascii="宋体" w:hAnsi="宋体" w:cs="宋体"/>
          <w:sz w:val="32"/>
          <w:szCs w:val="32"/>
          <w:lang w:val="en-US" w:eastAsia="zh-CN"/>
        </w:rPr>
      </w:pPr>
      <w:r>
        <w:fldChar w:fldCharType="begin"/>
      </w:r>
      <w:r>
        <w:instrText xml:space="preserve"> HYPERLINK \l "_Toc486228811" </w:instrText>
      </w:r>
      <w:r>
        <w:fldChar w:fldCharType="separate"/>
      </w:r>
      <w:r>
        <w:rPr>
          <w:rStyle w:val="52"/>
          <w:rFonts w:hint="eastAsia" w:ascii="宋体" w:hAnsi="宋体" w:cs="宋体"/>
          <w:color w:val="auto"/>
          <w:sz w:val="32"/>
          <w:szCs w:val="32"/>
          <w:lang w:val="en-US" w:eastAsia="zh-CN"/>
        </w:rPr>
        <w:t>第四章  评</w:t>
      </w:r>
      <w:bookmarkStart w:id="0" w:name="_Hlt486228897"/>
      <w:r>
        <w:rPr>
          <w:rStyle w:val="52"/>
          <w:rFonts w:hint="eastAsia" w:ascii="宋体" w:hAnsi="宋体" w:cs="宋体"/>
          <w:color w:val="auto"/>
          <w:sz w:val="32"/>
          <w:szCs w:val="32"/>
          <w:lang w:val="en-US" w:eastAsia="zh-CN"/>
        </w:rPr>
        <w:t>标</w:t>
      </w:r>
      <w:bookmarkEnd w:id="0"/>
      <w:r>
        <w:rPr>
          <w:rStyle w:val="52"/>
          <w:rFonts w:hint="eastAsia" w:ascii="宋体" w:hAnsi="宋体" w:cs="宋体"/>
          <w:color w:val="auto"/>
          <w:sz w:val="32"/>
          <w:szCs w:val="32"/>
          <w:lang w:val="en-US" w:eastAsia="zh-CN"/>
        </w:rPr>
        <w:t>办法及评分标准</w:t>
      </w:r>
      <w:r>
        <w:rPr>
          <w:rFonts w:hint="eastAsia" w:ascii="宋体" w:hAnsi="宋体" w:cs="宋体"/>
          <w:sz w:val="32"/>
          <w:szCs w:val="32"/>
          <w:lang w:val="en-US" w:eastAsia="zh-CN"/>
        </w:rPr>
        <w:tab/>
      </w:r>
      <w:r>
        <w:rPr>
          <w:rFonts w:hint="eastAsia" w:ascii="宋体" w:hAnsi="宋体" w:cs="宋体"/>
          <w:sz w:val="32"/>
          <w:szCs w:val="32"/>
          <w:lang w:val="en-US" w:eastAsia="zh-CN"/>
        </w:rPr>
        <w:fldChar w:fldCharType="begin"/>
      </w:r>
      <w:r>
        <w:rPr>
          <w:rFonts w:hint="eastAsia" w:ascii="宋体" w:hAnsi="宋体" w:cs="宋体"/>
          <w:sz w:val="32"/>
          <w:szCs w:val="32"/>
          <w:lang w:val="en-US" w:eastAsia="zh-CN"/>
        </w:rPr>
        <w:instrText xml:space="preserve"> PAGEREF _Toc486228811 \h </w:instrText>
      </w:r>
      <w:r>
        <w:rPr>
          <w:rFonts w:hint="eastAsia" w:ascii="宋体" w:hAnsi="宋体" w:cs="宋体"/>
          <w:sz w:val="32"/>
          <w:szCs w:val="32"/>
          <w:lang w:val="en-US" w:eastAsia="zh-CN"/>
        </w:rPr>
        <w:fldChar w:fldCharType="separate"/>
      </w:r>
      <w:r>
        <w:rPr>
          <w:rFonts w:hint="eastAsia" w:ascii="宋体" w:hAnsi="宋体" w:cs="宋体"/>
          <w:sz w:val="32"/>
          <w:szCs w:val="32"/>
          <w:lang w:val="en-US" w:eastAsia="zh-CN"/>
        </w:rPr>
        <w:t>16</w:t>
      </w:r>
      <w:r>
        <w:rPr>
          <w:rFonts w:hint="eastAsia" w:ascii="宋体" w:hAnsi="宋体" w:cs="宋体"/>
          <w:sz w:val="32"/>
          <w:szCs w:val="32"/>
          <w:lang w:val="en-US" w:eastAsia="zh-CN"/>
        </w:rPr>
        <w:fldChar w:fldCharType="end"/>
      </w:r>
      <w:r>
        <w:rPr>
          <w:rFonts w:hint="eastAsia" w:ascii="宋体" w:hAnsi="宋体" w:cs="宋体"/>
          <w:sz w:val="32"/>
          <w:szCs w:val="32"/>
          <w:lang w:val="en-US" w:eastAsia="zh-CN"/>
        </w:rPr>
        <w:fldChar w:fldCharType="end"/>
      </w:r>
    </w:p>
    <w:p w14:paraId="0FB905E8">
      <w:pPr>
        <w:pStyle w:val="32"/>
        <w:tabs>
          <w:tab w:val="right" w:leader="dot" w:pos="8987"/>
        </w:tabs>
        <w:spacing w:line="720" w:lineRule="auto"/>
        <w:rPr>
          <w:rFonts w:hint="eastAsia" w:ascii="宋体" w:hAnsi="宋体" w:cs="宋体"/>
          <w:szCs w:val="24"/>
          <w:lang w:val="en-US" w:eastAsia="zh-CN"/>
        </w:rPr>
      </w:pPr>
      <w:r>
        <w:fldChar w:fldCharType="begin"/>
      </w:r>
      <w:r>
        <w:instrText xml:space="preserve"> HYPERLINK \l "_Toc486228813" </w:instrText>
      </w:r>
      <w:r>
        <w:fldChar w:fldCharType="separate"/>
      </w:r>
      <w:r>
        <w:rPr>
          <w:rStyle w:val="52"/>
          <w:rFonts w:hint="eastAsia" w:ascii="宋体" w:hAnsi="宋体" w:cs="宋体"/>
          <w:color w:val="auto"/>
          <w:sz w:val="32"/>
          <w:szCs w:val="32"/>
          <w:lang w:val="en-US" w:eastAsia="zh-CN"/>
        </w:rPr>
        <w:t>第五章　投标文件格式</w:t>
      </w:r>
      <w:r>
        <w:rPr>
          <w:rFonts w:hint="eastAsia" w:ascii="宋体" w:hAnsi="宋体" w:cs="宋体"/>
          <w:sz w:val="32"/>
          <w:szCs w:val="32"/>
          <w:lang w:val="en-US" w:eastAsia="zh-CN"/>
        </w:rPr>
        <w:tab/>
      </w:r>
      <w:r>
        <w:rPr>
          <w:rFonts w:hint="eastAsia" w:ascii="宋体" w:hAnsi="宋体" w:cs="宋体"/>
          <w:sz w:val="32"/>
          <w:szCs w:val="32"/>
          <w:lang w:val="en-US" w:eastAsia="zh-CN"/>
        </w:rPr>
        <w:fldChar w:fldCharType="begin"/>
      </w:r>
      <w:r>
        <w:rPr>
          <w:rFonts w:hint="eastAsia" w:ascii="宋体" w:hAnsi="宋体" w:cs="宋体"/>
          <w:sz w:val="32"/>
          <w:szCs w:val="32"/>
          <w:lang w:val="en-US" w:eastAsia="zh-CN"/>
        </w:rPr>
        <w:instrText xml:space="preserve"> PAGEREF _Toc486228813 \h </w:instrText>
      </w:r>
      <w:r>
        <w:rPr>
          <w:rFonts w:hint="eastAsia" w:ascii="宋体" w:hAnsi="宋体" w:cs="宋体"/>
          <w:sz w:val="32"/>
          <w:szCs w:val="32"/>
          <w:lang w:val="en-US" w:eastAsia="zh-CN"/>
        </w:rPr>
        <w:fldChar w:fldCharType="separate"/>
      </w:r>
      <w:r>
        <w:rPr>
          <w:rFonts w:hint="eastAsia" w:ascii="宋体" w:hAnsi="宋体" w:cs="宋体"/>
          <w:sz w:val="32"/>
          <w:szCs w:val="32"/>
          <w:lang w:val="en-US" w:eastAsia="zh-CN"/>
        </w:rPr>
        <w:t>17</w:t>
      </w:r>
      <w:r>
        <w:rPr>
          <w:rFonts w:hint="eastAsia" w:ascii="宋体" w:hAnsi="宋体" w:cs="宋体"/>
          <w:sz w:val="32"/>
          <w:szCs w:val="32"/>
          <w:lang w:val="en-US" w:eastAsia="zh-CN"/>
        </w:rPr>
        <w:fldChar w:fldCharType="end"/>
      </w:r>
      <w:r>
        <w:rPr>
          <w:rFonts w:hint="eastAsia" w:ascii="宋体" w:hAnsi="宋体" w:cs="宋体"/>
          <w:sz w:val="32"/>
          <w:szCs w:val="32"/>
          <w:lang w:val="en-US" w:eastAsia="zh-CN"/>
        </w:rPr>
        <w:fldChar w:fldCharType="end"/>
      </w:r>
    </w:p>
    <w:p w14:paraId="6BB93B38">
      <w:pPr>
        <w:pStyle w:val="37"/>
        <w:rPr>
          <w:rFonts w:hint="eastAsia" w:cs="宋体"/>
          <w:b/>
          <w:sz w:val="24"/>
        </w:rPr>
      </w:pPr>
      <w:r>
        <w:rPr>
          <w:rFonts w:hint="eastAsia" w:cs="宋体"/>
          <w:b/>
          <w:sz w:val="24"/>
        </w:rPr>
        <w:fldChar w:fldCharType="end"/>
      </w:r>
    </w:p>
    <w:p w14:paraId="186BF0BF">
      <w:pPr>
        <w:jc w:val="center"/>
        <w:rPr>
          <w:rFonts w:hint="eastAsia" w:ascii="宋体" w:hAnsi="宋体" w:cs="宋体"/>
          <w:b/>
          <w:sz w:val="32"/>
        </w:rPr>
      </w:pPr>
    </w:p>
    <w:p w14:paraId="138BF2F5">
      <w:pPr>
        <w:pStyle w:val="40"/>
        <w:rPr>
          <w:rFonts w:hint="eastAsia" w:ascii="宋体" w:hAnsi="宋体" w:cs="宋体"/>
        </w:rPr>
        <w:sectPr>
          <w:footerReference r:id="rId9" w:type="default"/>
          <w:pgSz w:w="11906" w:h="16838"/>
          <w:pgMar w:top="1247" w:right="1287" w:bottom="1247" w:left="1622" w:header="851" w:footer="992" w:gutter="0"/>
          <w:pgNumType w:start="1"/>
          <w:cols w:space="720" w:num="1"/>
          <w:docGrid w:type="lines" w:linePitch="312" w:charSpace="0"/>
        </w:sectPr>
      </w:pPr>
      <w:bookmarkStart w:id="1" w:name="_Toc415478477"/>
      <w:bookmarkStart w:id="2" w:name="_Toc115756014"/>
    </w:p>
    <w:bookmarkEnd w:id="1"/>
    <w:bookmarkEnd w:id="2"/>
    <w:p w14:paraId="3B22C18A">
      <w:pPr>
        <w:pStyle w:val="25"/>
        <w:snapToGrid w:val="0"/>
        <w:spacing w:after="120"/>
        <w:jc w:val="center"/>
        <w:outlineLvl w:val="0"/>
        <w:rPr>
          <w:rFonts w:hint="eastAsia" w:hAnsi="宋体" w:cs="宋体"/>
          <w:b/>
          <w:sz w:val="36"/>
          <w:szCs w:val="36"/>
        </w:rPr>
      </w:pPr>
      <w:bookmarkStart w:id="3" w:name="_Toc439593974"/>
      <w:bookmarkStart w:id="4" w:name="_Toc486228780"/>
      <w:bookmarkStart w:id="5" w:name="_Toc115756015"/>
      <w:bookmarkStart w:id="6" w:name="_Toc415478478"/>
      <w:r>
        <w:rPr>
          <w:rFonts w:hint="eastAsia" w:hAnsi="宋体" w:cs="宋体"/>
          <w:b/>
          <w:sz w:val="36"/>
          <w:szCs w:val="36"/>
        </w:rPr>
        <w:t>第一章  绍兴市上虞区人民政府办公室2025年第一期公款竞争性存放招标公告</w:t>
      </w:r>
      <w:bookmarkEnd w:id="3"/>
      <w:bookmarkEnd w:id="4"/>
    </w:p>
    <w:p w14:paraId="700812B6">
      <w:pPr>
        <w:adjustRightInd w:val="0"/>
        <w:snapToGrid w:val="0"/>
        <w:spacing w:line="360" w:lineRule="auto"/>
        <w:jc w:val="center"/>
        <w:rPr>
          <w:rFonts w:hint="eastAsia" w:ascii="宋体" w:hAnsi="宋体" w:cs="宋体"/>
          <w:sz w:val="24"/>
          <w:szCs w:val="24"/>
        </w:rPr>
      </w:pPr>
      <w:r>
        <w:rPr>
          <w:rFonts w:hint="eastAsia" w:ascii="宋体" w:hAnsi="宋体" w:cs="宋体"/>
          <w:sz w:val="24"/>
          <w:szCs w:val="24"/>
        </w:rPr>
        <w:t>公告日期：2025年</w:t>
      </w:r>
      <w:r>
        <w:rPr>
          <w:rFonts w:hint="eastAsia" w:ascii="宋体" w:hAnsi="宋体" w:cs="宋体"/>
          <w:sz w:val="24"/>
          <w:szCs w:val="24"/>
          <w:lang w:val="en-US" w:eastAsia="zh-CN"/>
        </w:rPr>
        <w:t>3</w:t>
      </w:r>
      <w:r>
        <w:rPr>
          <w:rFonts w:hint="eastAsia" w:ascii="宋体" w:hAnsi="宋体" w:cs="宋体"/>
          <w:sz w:val="24"/>
          <w:szCs w:val="24"/>
        </w:rPr>
        <w:t>月</w:t>
      </w:r>
      <w:r>
        <w:rPr>
          <w:rFonts w:hint="eastAsia" w:ascii="宋体" w:hAnsi="宋体" w:cs="宋体"/>
          <w:sz w:val="24"/>
          <w:szCs w:val="24"/>
          <w:lang w:val="en-US" w:eastAsia="zh-CN"/>
        </w:rPr>
        <w:t>27</w:t>
      </w:r>
      <w:r>
        <w:rPr>
          <w:rFonts w:hint="eastAsia" w:ascii="宋体" w:hAnsi="宋体" w:cs="宋体"/>
          <w:sz w:val="24"/>
          <w:szCs w:val="24"/>
        </w:rPr>
        <w:t>日</w:t>
      </w:r>
    </w:p>
    <w:p w14:paraId="37539B72">
      <w:pPr>
        <w:adjustRightInd w:val="0"/>
        <w:snapToGrid w:val="0"/>
        <w:spacing w:line="360" w:lineRule="auto"/>
        <w:ind w:firstLine="480" w:firstLineChars="200"/>
        <w:jc w:val="left"/>
        <w:rPr>
          <w:rFonts w:ascii="宋体" w:hAnsi="宋体" w:cs="宋体"/>
          <w:sz w:val="24"/>
          <w:szCs w:val="24"/>
        </w:rPr>
      </w:pPr>
      <w:r>
        <w:rPr>
          <w:rFonts w:hint="eastAsia" w:ascii="宋体" w:hAnsi="宋体" w:cs="宋体"/>
          <w:sz w:val="24"/>
          <w:szCs w:val="24"/>
        </w:rPr>
        <w:t>根据《关于防止领导干部在公款存放方面发生利益冲突和利益输送的办法》《绍兴市上虞区行政事业单位公款竞争性存放管理办法》（虞政办发【2021】38号）规定，决定开展公款存放招标工作，欢迎符合条件的银行机构参加投标。</w:t>
      </w:r>
    </w:p>
    <w:p w14:paraId="1B31364F">
      <w:pPr>
        <w:snapToGrid w:val="0"/>
        <w:spacing w:line="360" w:lineRule="auto"/>
        <w:ind w:firstLine="470" w:firstLineChars="195"/>
        <w:rPr>
          <w:rFonts w:ascii="宋体" w:hAnsi="宋体" w:cs="宋体"/>
          <w:b/>
          <w:sz w:val="24"/>
          <w:szCs w:val="24"/>
        </w:rPr>
      </w:pPr>
      <w:r>
        <w:rPr>
          <w:rFonts w:hint="eastAsia" w:ascii="宋体" w:hAnsi="宋体" w:cs="宋体"/>
          <w:b/>
          <w:sz w:val="24"/>
          <w:szCs w:val="24"/>
        </w:rPr>
        <w:t>一、招标人名称：</w:t>
      </w:r>
    </w:p>
    <w:p w14:paraId="3D141B72">
      <w:pPr>
        <w:snapToGrid w:val="0"/>
        <w:spacing w:line="360" w:lineRule="auto"/>
        <w:ind w:firstLine="468" w:firstLineChars="195"/>
        <w:rPr>
          <w:rFonts w:hint="eastAsia" w:ascii="宋体" w:hAnsi="宋体" w:cs="宋体"/>
          <w:sz w:val="24"/>
          <w:szCs w:val="24"/>
        </w:rPr>
      </w:pPr>
      <w:r>
        <w:rPr>
          <w:rFonts w:hint="eastAsia" w:ascii="宋体" w:hAnsi="宋体" w:cs="宋体"/>
          <w:sz w:val="24"/>
          <w:szCs w:val="24"/>
        </w:rPr>
        <w:t>绍兴市上虞区人民政府办公室</w:t>
      </w:r>
    </w:p>
    <w:p w14:paraId="77E67580">
      <w:pPr>
        <w:snapToGrid w:val="0"/>
        <w:spacing w:line="360" w:lineRule="auto"/>
        <w:ind w:firstLine="470" w:firstLineChars="195"/>
        <w:rPr>
          <w:rFonts w:ascii="宋体" w:hAnsi="宋体" w:cs="宋体"/>
          <w:b/>
          <w:sz w:val="24"/>
          <w:szCs w:val="24"/>
        </w:rPr>
      </w:pPr>
      <w:r>
        <w:rPr>
          <w:rFonts w:hint="eastAsia" w:ascii="宋体" w:hAnsi="宋体" w:cs="宋体"/>
          <w:b/>
          <w:sz w:val="24"/>
          <w:szCs w:val="24"/>
        </w:rPr>
        <w:t>二、招标项目名称：</w:t>
      </w:r>
    </w:p>
    <w:p w14:paraId="2EDFE124">
      <w:pPr>
        <w:snapToGrid w:val="0"/>
        <w:spacing w:line="360" w:lineRule="auto"/>
        <w:ind w:firstLine="468" w:firstLineChars="195"/>
        <w:rPr>
          <w:rFonts w:hint="eastAsia" w:ascii="宋体" w:hAnsi="宋体" w:cs="宋体"/>
          <w:sz w:val="24"/>
          <w:szCs w:val="24"/>
        </w:rPr>
      </w:pPr>
      <w:r>
        <w:rPr>
          <w:rFonts w:hint="eastAsia" w:ascii="宋体" w:hAnsi="宋体" w:cs="宋体"/>
          <w:sz w:val="24"/>
          <w:szCs w:val="24"/>
        </w:rPr>
        <w:t>2025年第一期公款竞争性存放</w:t>
      </w:r>
    </w:p>
    <w:p w14:paraId="498122A7">
      <w:pPr>
        <w:snapToGrid w:val="0"/>
        <w:spacing w:line="360" w:lineRule="auto"/>
        <w:ind w:firstLine="470" w:firstLineChars="195"/>
        <w:rPr>
          <w:rFonts w:ascii="宋体" w:hAnsi="宋体" w:cs="宋体"/>
          <w:sz w:val="24"/>
          <w:szCs w:val="24"/>
        </w:rPr>
      </w:pPr>
      <w:r>
        <w:rPr>
          <w:rFonts w:hint="eastAsia" w:ascii="宋体" w:hAnsi="宋体" w:cs="宋体"/>
          <w:b/>
          <w:sz w:val="24"/>
          <w:szCs w:val="24"/>
        </w:rPr>
        <w:t>三、项目编号：</w:t>
      </w:r>
      <w:r>
        <w:rPr>
          <w:rFonts w:hint="eastAsia" w:ascii="宋体" w:hAnsi="宋体" w:cs="宋体"/>
          <w:sz w:val="24"/>
          <w:szCs w:val="24"/>
        </w:rPr>
        <w:t>YKCF2025008</w:t>
      </w:r>
    </w:p>
    <w:p w14:paraId="1F610494">
      <w:pPr>
        <w:snapToGrid w:val="0"/>
        <w:spacing w:line="360" w:lineRule="auto"/>
        <w:ind w:firstLine="470" w:firstLineChars="195"/>
        <w:rPr>
          <w:rFonts w:ascii="宋体" w:hAnsi="宋体" w:cs="宋体"/>
          <w:b/>
          <w:sz w:val="24"/>
          <w:szCs w:val="24"/>
        </w:rPr>
      </w:pPr>
      <w:r>
        <w:rPr>
          <w:rFonts w:hint="eastAsia" w:ascii="宋体" w:hAnsi="宋体" w:cs="宋体"/>
          <w:b/>
          <w:sz w:val="24"/>
          <w:szCs w:val="24"/>
        </w:rPr>
        <w:t>四、招标项目内容：</w:t>
      </w:r>
    </w:p>
    <w:tbl>
      <w:tblPr>
        <w:tblStyle w:val="42"/>
        <w:tblW w:w="965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043"/>
        <w:gridCol w:w="3238"/>
        <w:gridCol w:w="2475"/>
        <w:gridCol w:w="1901"/>
      </w:tblGrid>
      <w:tr w14:paraId="200D4E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8" w:hRule="atLeast"/>
          <w:jc w:val="center"/>
        </w:trPr>
        <w:tc>
          <w:tcPr>
            <w:tcW w:w="2043" w:type="dxa"/>
            <w:tcBorders>
              <w:top w:val="single" w:color="auto" w:sz="4" w:space="0"/>
              <w:left w:val="single" w:color="auto" w:sz="4" w:space="0"/>
              <w:bottom w:val="single" w:color="auto" w:sz="4" w:space="0"/>
              <w:right w:val="single" w:color="auto" w:sz="4" w:space="0"/>
            </w:tcBorders>
            <w:vAlign w:val="center"/>
          </w:tcPr>
          <w:p w14:paraId="3E76CA30">
            <w:pPr>
              <w:spacing w:line="360" w:lineRule="auto"/>
              <w:jc w:val="center"/>
              <w:rPr>
                <w:rFonts w:hint="eastAsia" w:ascii="宋体" w:hAnsi="宋体" w:cs="宋体"/>
                <w:kern w:val="0"/>
                <w:sz w:val="24"/>
                <w:szCs w:val="24"/>
              </w:rPr>
            </w:pPr>
            <w:r>
              <w:rPr>
                <w:rFonts w:hint="eastAsia" w:ascii="宋体" w:hAnsi="宋体" w:cs="宋体"/>
                <w:kern w:val="0"/>
                <w:sz w:val="24"/>
                <w:szCs w:val="24"/>
              </w:rPr>
              <w:t>序号</w:t>
            </w:r>
          </w:p>
        </w:tc>
        <w:tc>
          <w:tcPr>
            <w:tcW w:w="3238" w:type="dxa"/>
            <w:tcBorders>
              <w:top w:val="single" w:color="auto" w:sz="4" w:space="0"/>
              <w:left w:val="single" w:color="auto" w:sz="4" w:space="0"/>
              <w:bottom w:val="single" w:color="auto" w:sz="4" w:space="0"/>
              <w:right w:val="single" w:color="auto" w:sz="4" w:space="0"/>
            </w:tcBorders>
            <w:vAlign w:val="center"/>
          </w:tcPr>
          <w:p w14:paraId="77D51E9E">
            <w:pPr>
              <w:spacing w:line="360" w:lineRule="auto"/>
              <w:jc w:val="center"/>
              <w:rPr>
                <w:rFonts w:hint="eastAsia" w:ascii="宋体" w:hAnsi="宋体" w:cs="宋体"/>
                <w:kern w:val="0"/>
                <w:sz w:val="24"/>
                <w:szCs w:val="24"/>
              </w:rPr>
            </w:pPr>
            <w:r>
              <w:rPr>
                <w:rFonts w:hint="eastAsia" w:ascii="宋体" w:hAnsi="宋体" w:cs="宋体"/>
                <w:kern w:val="0"/>
                <w:sz w:val="24"/>
                <w:szCs w:val="24"/>
              </w:rPr>
              <w:t>存放金额（万元）</w:t>
            </w:r>
          </w:p>
        </w:tc>
        <w:tc>
          <w:tcPr>
            <w:tcW w:w="2475" w:type="dxa"/>
            <w:tcBorders>
              <w:top w:val="single" w:color="auto" w:sz="4" w:space="0"/>
              <w:left w:val="single" w:color="auto" w:sz="4" w:space="0"/>
              <w:bottom w:val="single" w:color="auto" w:sz="4" w:space="0"/>
            </w:tcBorders>
            <w:vAlign w:val="center"/>
          </w:tcPr>
          <w:p w14:paraId="4CC60518">
            <w:pPr>
              <w:spacing w:line="360" w:lineRule="auto"/>
              <w:jc w:val="center"/>
              <w:rPr>
                <w:rFonts w:hint="eastAsia" w:ascii="宋体" w:hAnsi="宋体" w:cs="宋体"/>
                <w:kern w:val="0"/>
                <w:sz w:val="24"/>
                <w:szCs w:val="24"/>
              </w:rPr>
            </w:pPr>
            <w:r>
              <w:rPr>
                <w:rFonts w:hint="eastAsia" w:ascii="宋体" w:hAnsi="宋体" w:cs="宋体"/>
                <w:kern w:val="0"/>
                <w:sz w:val="24"/>
                <w:szCs w:val="24"/>
              </w:rPr>
              <w:t>期限</w:t>
            </w:r>
          </w:p>
        </w:tc>
        <w:tc>
          <w:tcPr>
            <w:tcW w:w="1901" w:type="dxa"/>
            <w:tcBorders>
              <w:top w:val="single" w:color="auto" w:sz="4" w:space="0"/>
              <w:left w:val="single" w:color="auto" w:sz="4" w:space="0"/>
              <w:bottom w:val="single" w:color="auto" w:sz="4" w:space="0"/>
              <w:right w:val="single" w:color="auto" w:sz="4" w:space="0"/>
            </w:tcBorders>
            <w:vAlign w:val="center"/>
          </w:tcPr>
          <w:p w14:paraId="65596FD4">
            <w:pPr>
              <w:spacing w:line="360" w:lineRule="auto"/>
              <w:jc w:val="center"/>
              <w:rPr>
                <w:rFonts w:hint="eastAsia" w:ascii="宋体" w:hAnsi="宋体" w:cs="宋体"/>
                <w:kern w:val="0"/>
                <w:sz w:val="24"/>
                <w:szCs w:val="24"/>
              </w:rPr>
            </w:pPr>
            <w:r>
              <w:rPr>
                <w:rFonts w:hint="eastAsia" w:ascii="宋体" w:hAnsi="宋体" w:cs="宋体"/>
                <w:kern w:val="0"/>
                <w:sz w:val="24"/>
                <w:szCs w:val="24"/>
              </w:rPr>
              <w:t>拟定银行</w:t>
            </w:r>
          </w:p>
        </w:tc>
      </w:tr>
      <w:tr w14:paraId="2E15F0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6" w:hRule="atLeast"/>
          <w:jc w:val="center"/>
        </w:trPr>
        <w:tc>
          <w:tcPr>
            <w:tcW w:w="2043" w:type="dxa"/>
            <w:tcBorders>
              <w:top w:val="single" w:color="auto" w:sz="4" w:space="0"/>
              <w:left w:val="single" w:color="auto" w:sz="4" w:space="0"/>
              <w:bottom w:val="single" w:color="auto" w:sz="4" w:space="0"/>
              <w:right w:val="single" w:color="auto" w:sz="4" w:space="0"/>
            </w:tcBorders>
            <w:vAlign w:val="center"/>
          </w:tcPr>
          <w:p w14:paraId="1671F48B">
            <w:pPr>
              <w:spacing w:line="360" w:lineRule="auto"/>
              <w:jc w:val="center"/>
              <w:rPr>
                <w:rFonts w:ascii="宋体" w:hAnsi="宋体" w:cs="宋体"/>
                <w:kern w:val="0"/>
                <w:sz w:val="24"/>
                <w:szCs w:val="24"/>
              </w:rPr>
            </w:pPr>
            <w:r>
              <w:rPr>
                <w:rFonts w:hint="eastAsia" w:ascii="宋体" w:hAnsi="宋体" w:cs="宋体"/>
                <w:kern w:val="0"/>
                <w:sz w:val="24"/>
                <w:szCs w:val="24"/>
              </w:rPr>
              <w:t>标段一</w:t>
            </w:r>
          </w:p>
        </w:tc>
        <w:tc>
          <w:tcPr>
            <w:tcW w:w="3238" w:type="dxa"/>
            <w:tcBorders>
              <w:top w:val="single" w:color="auto" w:sz="4" w:space="0"/>
              <w:left w:val="single" w:color="auto" w:sz="4" w:space="0"/>
              <w:bottom w:val="single" w:color="auto" w:sz="4" w:space="0"/>
              <w:right w:val="single" w:color="auto" w:sz="4" w:space="0"/>
            </w:tcBorders>
            <w:vAlign w:val="center"/>
          </w:tcPr>
          <w:p w14:paraId="016DAAD7">
            <w:pPr>
              <w:spacing w:line="360" w:lineRule="auto"/>
              <w:jc w:val="center"/>
              <w:rPr>
                <w:rFonts w:ascii="宋体" w:hAnsi="宋体" w:cs="宋体"/>
                <w:kern w:val="0"/>
                <w:sz w:val="24"/>
                <w:szCs w:val="24"/>
              </w:rPr>
            </w:pPr>
            <w:r>
              <w:rPr>
                <w:rFonts w:hint="eastAsia" w:ascii="宋体" w:hAnsi="宋体" w:cs="宋体"/>
                <w:kern w:val="0"/>
                <w:sz w:val="24"/>
                <w:szCs w:val="24"/>
              </w:rPr>
              <w:t>1800</w:t>
            </w:r>
          </w:p>
        </w:tc>
        <w:tc>
          <w:tcPr>
            <w:tcW w:w="2475" w:type="dxa"/>
            <w:tcBorders>
              <w:top w:val="single" w:color="auto" w:sz="4" w:space="0"/>
              <w:left w:val="single" w:color="auto" w:sz="4" w:space="0"/>
              <w:bottom w:val="single" w:color="auto" w:sz="4" w:space="0"/>
            </w:tcBorders>
            <w:vAlign w:val="center"/>
          </w:tcPr>
          <w:p w14:paraId="62427EA6">
            <w:pPr>
              <w:spacing w:line="360" w:lineRule="auto"/>
              <w:jc w:val="center"/>
              <w:rPr>
                <w:rFonts w:hint="eastAsia" w:ascii="宋体" w:hAnsi="宋体" w:cs="宋体"/>
                <w:kern w:val="0"/>
                <w:sz w:val="24"/>
                <w:szCs w:val="24"/>
              </w:rPr>
            </w:pPr>
            <w:r>
              <w:rPr>
                <w:rFonts w:hint="eastAsia" w:ascii="宋体" w:hAnsi="宋体" w:cs="宋体"/>
                <w:kern w:val="0"/>
                <w:sz w:val="24"/>
                <w:szCs w:val="24"/>
              </w:rPr>
              <w:t>存入之日起一年</w:t>
            </w:r>
          </w:p>
        </w:tc>
        <w:tc>
          <w:tcPr>
            <w:tcW w:w="1901" w:type="dxa"/>
            <w:tcBorders>
              <w:top w:val="single" w:color="auto" w:sz="4" w:space="0"/>
              <w:left w:val="single" w:color="auto" w:sz="4" w:space="0"/>
              <w:bottom w:val="single" w:color="auto" w:sz="4" w:space="0"/>
              <w:right w:val="single" w:color="auto" w:sz="4" w:space="0"/>
            </w:tcBorders>
            <w:vAlign w:val="center"/>
          </w:tcPr>
          <w:p w14:paraId="219D1EB2">
            <w:pPr>
              <w:spacing w:line="360" w:lineRule="auto"/>
              <w:jc w:val="center"/>
              <w:rPr>
                <w:rFonts w:hint="eastAsia" w:ascii="宋体" w:hAnsi="宋体" w:cs="宋体"/>
                <w:kern w:val="0"/>
                <w:sz w:val="24"/>
                <w:szCs w:val="24"/>
              </w:rPr>
            </w:pPr>
            <w:r>
              <w:rPr>
                <w:rFonts w:hint="eastAsia" w:ascii="宋体" w:hAnsi="宋体" w:cs="宋体"/>
                <w:kern w:val="0"/>
                <w:sz w:val="24"/>
                <w:szCs w:val="24"/>
              </w:rPr>
              <w:t>1家</w:t>
            </w:r>
          </w:p>
        </w:tc>
      </w:tr>
      <w:tr w14:paraId="7ED510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6" w:hRule="atLeast"/>
          <w:jc w:val="center"/>
        </w:trPr>
        <w:tc>
          <w:tcPr>
            <w:tcW w:w="2043" w:type="dxa"/>
            <w:tcBorders>
              <w:top w:val="single" w:color="auto" w:sz="4" w:space="0"/>
              <w:left w:val="single" w:color="auto" w:sz="4" w:space="0"/>
              <w:bottom w:val="single" w:color="auto" w:sz="4" w:space="0"/>
              <w:right w:val="single" w:color="auto" w:sz="4" w:space="0"/>
            </w:tcBorders>
            <w:vAlign w:val="center"/>
          </w:tcPr>
          <w:p w14:paraId="5E4F00F0">
            <w:pPr>
              <w:spacing w:line="360" w:lineRule="auto"/>
              <w:jc w:val="center"/>
              <w:rPr>
                <w:rFonts w:hint="eastAsia" w:ascii="宋体" w:hAnsi="宋体" w:cs="宋体"/>
                <w:kern w:val="0"/>
                <w:sz w:val="24"/>
                <w:szCs w:val="24"/>
              </w:rPr>
            </w:pPr>
            <w:r>
              <w:rPr>
                <w:rFonts w:hint="eastAsia" w:ascii="宋体" w:hAnsi="宋体" w:cs="宋体"/>
                <w:kern w:val="0"/>
                <w:sz w:val="24"/>
                <w:szCs w:val="24"/>
              </w:rPr>
              <w:t>标段二</w:t>
            </w:r>
          </w:p>
        </w:tc>
        <w:tc>
          <w:tcPr>
            <w:tcW w:w="3238" w:type="dxa"/>
            <w:tcBorders>
              <w:top w:val="single" w:color="auto" w:sz="4" w:space="0"/>
              <w:left w:val="single" w:color="auto" w:sz="4" w:space="0"/>
              <w:bottom w:val="single" w:color="auto" w:sz="4" w:space="0"/>
              <w:right w:val="single" w:color="auto" w:sz="4" w:space="0"/>
            </w:tcBorders>
            <w:vAlign w:val="center"/>
          </w:tcPr>
          <w:p w14:paraId="096AC958">
            <w:pPr>
              <w:spacing w:line="360" w:lineRule="auto"/>
              <w:jc w:val="center"/>
              <w:rPr>
                <w:rFonts w:ascii="宋体" w:hAnsi="宋体" w:cs="宋体"/>
                <w:kern w:val="0"/>
                <w:sz w:val="24"/>
                <w:szCs w:val="24"/>
              </w:rPr>
            </w:pPr>
            <w:r>
              <w:rPr>
                <w:rFonts w:hint="eastAsia" w:ascii="宋体" w:hAnsi="宋体" w:cs="宋体"/>
                <w:kern w:val="0"/>
                <w:sz w:val="24"/>
                <w:szCs w:val="24"/>
              </w:rPr>
              <w:t>1700</w:t>
            </w:r>
          </w:p>
        </w:tc>
        <w:tc>
          <w:tcPr>
            <w:tcW w:w="2475" w:type="dxa"/>
            <w:tcBorders>
              <w:top w:val="single" w:color="auto" w:sz="4" w:space="0"/>
              <w:left w:val="single" w:color="auto" w:sz="4" w:space="0"/>
              <w:bottom w:val="single" w:color="auto" w:sz="4" w:space="0"/>
            </w:tcBorders>
            <w:vAlign w:val="center"/>
          </w:tcPr>
          <w:p w14:paraId="66C29029">
            <w:pPr>
              <w:spacing w:line="360" w:lineRule="auto"/>
              <w:jc w:val="center"/>
              <w:rPr>
                <w:rFonts w:hint="eastAsia" w:ascii="宋体" w:hAnsi="宋体" w:cs="宋体"/>
                <w:kern w:val="0"/>
                <w:sz w:val="24"/>
                <w:szCs w:val="24"/>
              </w:rPr>
            </w:pPr>
            <w:r>
              <w:rPr>
                <w:rFonts w:hint="eastAsia" w:ascii="宋体" w:hAnsi="宋体" w:cs="宋体"/>
                <w:kern w:val="0"/>
                <w:sz w:val="24"/>
                <w:szCs w:val="24"/>
              </w:rPr>
              <w:t>存入之日起一年</w:t>
            </w:r>
          </w:p>
        </w:tc>
        <w:tc>
          <w:tcPr>
            <w:tcW w:w="1901" w:type="dxa"/>
            <w:tcBorders>
              <w:top w:val="single" w:color="auto" w:sz="4" w:space="0"/>
              <w:left w:val="single" w:color="auto" w:sz="4" w:space="0"/>
              <w:bottom w:val="single" w:color="auto" w:sz="4" w:space="0"/>
              <w:right w:val="single" w:color="auto" w:sz="4" w:space="0"/>
            </w:tcBorders>
            <w:vAlign w:val="center"/>
          </w:tcPr>
          <w:p w14:paraId="20D28DF8">
            <w:pPr>
              <w:spacing w:line="360" w:lineRule="auto"/>
              <w:jc w:val="center"/>
              <w:rPr>
                <w:rFonts w:hint="eastAsia" w:ascii="宋体" w:hAnsi="宋体" w:cs="宋体"/>
                <w:kern w:val="0"/>
                <w:sz w:val="24"/>
                <w:szCs w:val="24"/>
              </w:rPr>
            </w:pPr>
            <w:r>
              <w:rPr>
                <w:rFonts w:hint="eastAsia" w:ascii="宋体" w:hAnsi="宋体" w:cs="宋体"/>
                <w:kern w:val="0"/>
                <w:sz w:val="24"/>
                <w:szCs w:val="24"/>
              </w:rPr>
              <w:t>1家</w:t>
            </w:r>
          </w:p>
        </w:tc>
      </w:tr>
    </w:tbl>
    <w:p w14:paraId="676D6B4F">
      <w:pPr>
        <w:snapToGrid w:val="0"/>
        <w:spacing w:line="360" w:lineRule="auto"/>
        <w:ind w:firstLine="495"/>
        <w:rPr>
          <w:rFonts w:hint="eastAsia" w:ascii="宋体" w:hAnsi="宋体" w:cs="宋体"/>
          <w:b/>
          <w:sz w:val="24"/>
          <w:szCs w:val="24"/>
        </w:rPr>
      </w:pPr>
    </w:p>
    <w:p w14:paraId="331A37EA">
      <w:pPr>
        <w:snapToGrid w:val="0"/>
        <w:spacing w:line="360" w:lineRule="auto"/>
        <w:ind w:firstLine="495"/>
        <w:rPr>
          <w:rFonts w:ascii="宋体" w:hAnsi="宋体" w:cs="宋体"/>
          <w:b/>
          <w:bCs/>
          <w:sz w:val="24"/>
          <w:szCs w:val="24"/>
        </w:rPr>
      </w:pPr>
      <w:r>
        <w:rPr>
          <w:rFonts w:hint="eastAsia" w:ascii="宋体" w:hAnsi="宋体" w:cs="宋体"/>
          <w:b/>
          <w:sz w:val="24"/>
          <w:szCs w:val="24"/>
        </w:rPr>
        <w:t>五、</w:t>
      </w:r>
      <w:r>
        <w:rPr>
          <w:rFonts w:hint="eastAsia" w:ascii="宋体" w:hAnsi="宋体" w:cs="宋体"/>
          <w:b/>
          <w:bCs/>
          <w:sz w:val="24"/>
          <w:szCs w:val="24"/>
        </w:rPr>
        <w:t>投标人资格要求：</w:t>
      </w:r>
    </w:p>
    <w:p w14:paraId="640CDDFD">
      <w:pPr>
        <w:snapToGrid w:val="0"/>
        <w:spacing w:line="360" w:lineRule="auto"/>
        <w:ind w:firstLine="480" w:firstLineChars="200"/>
        <w:jc w:val="left"/>
        <w:outlineLvl w:val="0"/>
        <w:rPr>
          <w:rFonts w:hint="eastAsia" w:ascii="宋体" w:hAnsi="宋体" w:cs="宋体"/>
          <w:sz w:val="24"/>
          <w:szCs w:val="24"/>
        </w:rPr>
      </w:pPr>
      <w:r>
        <w:rPr>
          <w:rFonts w:hint="eastAsia" w:ascii="宋体" w:hAnsi="宋体" w:cs="宋体"/>
          <w:sz w:val="24"/>
          <w:szCs w:val="24"/>
        </w:rPr>
        <w:t>（一）投标人应符合《绍兴市上虞区行政事业单位公款竞争性存放管理办法》第十四条规定，具备承担招标项目的能力，具体包括：</w:t>
      </w:r>
    </w:p>
    <w:p w14:paraId="364A016A">
      <w:pPr>
        <w:snapToGrid w:val="0"/>
        <w:spacing w:line="360" w:lineRule="auto"/>
        <w:ind w:firstLine="480" w:firstLineChars="200"/>
        <w:jc w:val="left"/>
        <w:outlineLvl w:val="0"/>
        <w:rPr>
          <w:rFonts w:hint="eastAsia" w:ascii="宋体" w:hAnsi="宋体" w:cs="宋体"/>
          <w:sz w:val="24"/>
          <w:szCs w:val="24"/>
        </w:rPr>
      </w:pPr>
      <w:r>
        <w:rPr>
          <w:rFonts w:hint="eastAsia" w:ascii="宋体" w:hAnsi="宋体" w:cs="宋体"/>
          <w:sz w:val="24"/>
          <w:szCs w:val="24"/>
        </w:rPr>
        <w:t>1、在区范围内设有分支机构；</w:t>
      </w:r>
    </w:p>
    <w:p w14:paraId="415FDF42">
      <w:pPr>
        <w:snapToGrid w:val="0"/>
        <w:spacing w:line="360" w:lineRule="auto"/>
        <w:ind w:firstLine="480" w:firstLineChars="200"/>
        <w:jc w:val="left"/>
        <w:outlineLvl w:val="0"/>
        <w:rPr>
          <w:rFonts w:hint="eastAsia" w:ascii="宋体" w:hAnsi="宋体" w:cs="宋体"/>
          <w:sz w:val="24"/>
          <w:szCs w:val="24"/>
        </w:rPr>
      </w:pPr>
      <w:r>
        <w:rPr>
          <w:rFonts w:hint="eastAsia" w:ascii="宋体" w:hAnsi="宋体" w:cs="宋体"/>
          <w:sz w:val="24"/>
          <w:szCs w:val="24"/>
        </w:rPr>
        <w:t>2、依法开展经营活动，近三年内在经营活动中无重大违法违规记录及重大违约事件；</w:t>
      </w:r>
    </w:p>
    <w:p w14:paraId="7A5E99E6">
      <w:pPr>
        <w:snapToGrid w:val="0"/>
        <w:spacing w:line="360" w:lineRule="auto"/>
        <w:ind w:firstLine="480" w:firstLineChars="200"/>
        <w:jc w:val="left"/>
        <w:outlineLvl w:val="0"/>
        <w:rPr>
          <w:rFonts w:hint="eastAsia" w:ascii="宋体" w:hAnsi="宋体" w:cs="宋体"/>
          <w:sz w:val="24"/>
          <w:szCs w:val="24"/>
        </w:rPr>
      </w:pPr>
      <w:r>
        <w:rPr>
          <w:rFonts w:hint="eastAsia" w:ascii="宋体" w:hAnsi="宋体" w:cs="宋体"/>
          <w:sz w:val="24"/>
          <w:szCs w:val="24"/>
        </w:rPr>
        <w:t>3、纳入人民银行综合评价的银行，人民银行上年度综合评价应达到B级及以上，不纳入人民银行综合评价范围的银行不受此限制。</w:t>
      </w:r>
    </w:p>
    <w:p w14:paraId="417D7F3D">
      <w:pPr>
        <w:snapToGrid w:val="0"/>
        <w:spacing w:line="360" w:lineRule="auto"/>
        <w:ind w:firstLine="480" w:firstLineChars="200"/>
        <w:jc w:val="left"/>
        <w:outlineLvl w:val="0"/>
        <w:rPr>
          <w:rFonts w:hint="eastAsia" w:ascii="宋体" w:hAnsi="宋体" w:cs="宋体"/>
          <w:sz w:val="24"/>
          <w:szCs w:val="24"/>
        </w:rPr>
      </w:pPr>
      <w:r>
        <w:rPr>
          <w:rFonts w:hint="eastAsia" w:ascii="宋体" w:hAnsi="宋体" w:cs="宋体"/>
          <w:sz w:val="24"/>
          <w:szCs w:val="24"/>
        </w:rPr>
        <w:t>（二）本项目不接受联合体投标。</w:t>
      </w:r>
    </w:p>
    <w:p w14:paraId="60842D2C">
      <w:pPr>
        <w:spacing w:line="360" w:lineRule="auto"/>
        <w:ind w:firstLine="482" w:firstLineChars="200"/>
        <w:rPr>
          <w:rFonts w:ascii="宋体" w:hAnsi="宋体" w:cs="宋体"/>
          <w:b/>
          <w:sz w:val="24"/>
          <w:szCs w:val="24"/>
        </w:rPr>
      </w:pPr>
      <w:r>
        <w:rPr>
          <w:rFonts w:hint="eastAsia" w:ascii="宋体" w:hAnsi="宋体" w:cs="宋体"/>
          <w:b/>
          <w:sz w:val="24"/>
          <w:szCs w:val="24"/>
        </w:rPr>
        <w:t>注：以上条件请投标人仔细阅读资格要求并自查。本项目采用资格后审方式，评标时由评标委员会对资格进行评审。投标时投标文件中请附招标文件要求的所有资格证明材料。</w:t>
      </w:r>
    </w:p>
    <w:p w14:paraId="1B3296F8">
      <w:pPr>
        <w:spacing w:line="360" w:lineRule="auto"/>
        <w:ind w:firstLine="482" w:firstLineChars="200"/>
        <w:rPr>
          <w:rFonts w:hint="eastAsia" w:ascii="宋体" w:hAnsi="宋体" w:cs="宋体"/>
          <w:b/>
          <w:sz w:val="24"/>
          <w:szCs w:val="24"/>
        </w:rPr>
      </w:pPr>
      <w:r>
        <w:rPr>
          <w:rFonts w:hint="eastAsia" w:ascii="宋体" w:hAnsi="宋体" w:cs="宋体"/>
          <w:b/>
          <w:sz w:val="24"/>
          <w:szCs w:val="24"/>
        </w:rPr>
        <w:t>六、获取采购文件：</w:t>
      </w:r>
    </w:p>
    <w:p w14:paraId="3012B7E9">
      <w:pPr>
        <w:adjustRightInd w:val="0"/>
        <w:spacing w:line="360" w:lineRule="auto"/>
        <w:ind w:firstLine="480" w:firstLineChars="200"/>
        <w:rPr>
          <w:rFonts w:hint="eastAsia" w:ascii="宋体" w:hAnsi="宋体" w:cs="宋体"/>
          <w:sz w:val="24"/>
        </w:rPr>
      </w:pPr>
      <w:bookmarkStart w:id="7" w:name="报名开始时间1"/>
      <w:r>
        <w:rPr>
          <w:rFonts w:ascii="宋体" w:hAnsi="宋体" w:cs="宋体"/>
          <w:sz w:val="24"/>
        </w:rPr>
        <w:t>1</w:t>
      </w:r>
      <w:r>
        <w:rPr>
          <w:rFonts w:hint="eastAsia" w:ascii="宋体" w:hAnsi="宋体" w:cs="宋体"/>
          <w:sz w:val="24"/>
        </w:rPr>
        <w:t>、获取采购文件时间:</w:t>
      </w:r>
      <w:bookmarkEnd w:id="7"/>
      <w:r>
        <w:rPr>
          <w:rFonts w:hint="eastAsia" w:ascii="宋体" w:hAnsi="宋体" w:cs="宋体"/>
          <w:sz w:val="24"/>
        </w:rPr>
        <w:t>2025年</w:t>
      </w:r>
      <w:r>
        <w:rPr>
          <w:rFonts w:hint="eastAsia" w:ascii="宋体" w:hAnsi="宋体" w:cs="宋体"/>
          <w:sz w:val="24"/>
          <w:lang w:val="en-US" w:eastAsia="zh-CN"/>
        </w:rPr>
        <w:t>4</w:t>
      </w:r>
      <w:r>
        <w:rPr>
          <w:rFonts w:hint="eastAsia" w:ascii="宋体" w:hAnsi="宋体" w:cs="宋体"/>
          <w:sz w:val="24"/>
        </w:rPr>
        <w:t>月</w:t>
      </w:r>
      <w:r>
        <w:rPr>
          <w:rFonts w:hint="eastAsia" w:ascii="宋体" w:hAnsi="宋体" w:cs="宋体"/>
          <w:sz w:val="24"/>
          <w:lang w:val="en-US" w:eastAsia="zh-CN"/>
        </w:rPr>
        <w:t>8</w:t>
      </w:r>
      <w:r>
        <w:rPr>
          <w:rFonts w:hint="eastAsia" w:ascii="宋体" w:hAnsi="宋体" w:cs="宋体"/>
          <w:sz w:val="24"/>
        </w:rPr>
        <w:t>日9:30之前获取。</w:t>
      </w:r>
    </w:p>
    <w:p w14:paraId="39257EDF">
      <w:pPr>
        <w:wordWrap w:val="0"/>
        <w:adjustRightInd w:val="0"/>
        <w:spacing w:line="360" w:lineRule="auto"/>
        <w:ind w:firstLine="480" w:firstLineChars="200"/>
        <w:rPr>
          <w:rFonts w:hint="eastAsia" w:ascii="宋体" w:hAnsi="宋体" w:cs="宋体"/>
          <w:sz w:val="24"/>
        </w:rPr>
      </w:pPr>
      <w:r>
        <w:rPr>
          <w:rFonts w:ascii="宋体" w:hAnsi="宋体" w:cs="宋体"/>
          <w:sz w:val="24"/>
        </w:rPr>
        <w:t>2</w:t>
      </w:r>
      <w:r>
        <w:rPr>
          <w:rFonts w:hint="eastAsia" w:ascii="宋体" w:hAnsi="宋体" w:cs="宋体"/>
          <w:sz w:val="24"/>
        </w:rPr>
        <w:t>、获取采购文件方式：供应商登陆政采云平台https://www.zhengcaiyun.cn/，在线申请获取采购文件。</w:t>
      </w:r>
    </w:p>
    <w:p w14:paraId="19A7D4FE">
      <w:pPr>
        <w:adjustRightInd w:val="0"/>
        <w:spacing w:line="360" w:lineRule="auto"/>
        <w:ind w:firstLine="480" w:firstLineChars="200"/>
        <w:rPr>
          <w:rFonts w:hint="eastAsia" w:ascii="宋体" w:hAnsi="宋体" w:cs="宋体"/>
          <w:sz w:val="24"/>
        </w:rPr>
      </w:pPr>
      <w:r>
        <w:rPr>
          <w:rFonts w:ascii="宋体" w:hAnsi="宋体" w:cs="宋体"/>
          <w:sz w:val="24"/>
        </w:rPr>
        <w:t>3</w:t>
      </w:r>
      <w:r>
        <w:rPr>
          <w:rFonts w:hint="eastAsia" w:ascii="宋体" w:hAnsi="宋体" w:cs="宋体"/>
          <w:sz w:val="24"/>
        </w:rPr>
        <w:t>、提示：</w:t>
      </w:r>
    </w:p>
    <w:p w14:paraId="01D70085">
      <w:pPr>
        <w:adjustRightInd w:val="0"/>
        <w:spacing w:line="360" w:lineRule="auto"/>
        <w:ind w:firstLine="480" w:firstLineChars="200"/>
        <w:rPr>
          <w:rFonts w:hint="eastAsia" w:ascii="宋体" w:hAnsi="宋体" w:cs="宋体"/>
          <w:sz w:val="24"/>
        </w:rPr>
      </w:pPr>
      <w:r>
        <w:rPr>
          <w:rFonts w:hint="eastAsia" w:ascii="宋体" w:hAnsi="宋体" w:cs="宋体"/>
          <w:sz w:val="24"/>
        </w:rPr>
        <w:t>①将拒绝接受未获取采购文件供应商的投标文件。</w:t>
      </w:r>
    </w:p>
    <w:p w14:paraId="2C2C54B5">
      <w:pPr>
        <w:adjustRightInd w:val="0"/>
        <w:spacing w:line="360" w:lineRule="auto"/>
        <w:ind w:firstLine="480" w:firstLineChars="200"/>
        <w:rPr>
          <w:rFonts w:hint="eastAsia" w:ascii="宋体" w:hAnsi="宋体" w:cs="宋体"/>
          <w:sz w:val="24"/>
        </w:rPr>
      </w:pPr>
      <w:r>
        <w:rPr>
          <w:rFonts w:hint="eastAsia" w:ascii="宋体" w:hAnsi="宋体" w:cs="宋体"/>
          <w:sz w:val="24"/>
        </w:rPr>
        <w:t>②招标文件及更正补充公告请自行登录浙江政府采购网，在采购公告页面中下载。</w:t>
      </w:r>
    </w:p>
    <w:p w14:paraId="23E6A004">
      <w:pPr>
        <w:spacing w:line="360" w:lineRule="auto"/>
        <w:ind w:firstLine="482" w:firstLineChars="200"/>
        <w:rPr>
          <w:rFonts w:hint="eastAsia" w:ascii="宋体" w:hAnsi="宋体" w:cs="宋体"/>
          <w:b/>
          <w:sz w:val="24"/>
          <w:szCs w:val="24"/>
        </w:rPr>
      </w:pPr>
      <w:r>
        <w:rPr>
          <w:rFonts w:hint="eastAsia" w:ascii="宋体" w:hAnsi="宋体" w:cs="宋体"/>
          <w:b/>
          <w:sz w:val="24"/>
          <w:szCs w:val="24"/>
        </w:rPr>
        <w:t>七、投标与开标注意事项</w:t>
      </w:r>
    </w:p>
    <w:p w14:paraId="2B3F5388">
      <w:pPr>
        <w:adjustRightInd w:val="0"/>
        <w:spacing w:line="360" w:lineRule="auto"/>
        <w:ind w:firstLine="480" w:firstLineChars="200"/>
        <w:rPr>
          <w:rFonts w:hint="eastAsia" w:ascii="宋体" w:hAnsi="宋体" w:cs="宋体"/>
          <w:sz w:val="24"/>
        </w:rPr>
      </w:pPr>
      <w:r>
        <w:rPr>
          <w:rFonts w:hint="eastAsia" w:ascii="宋体" w:hAnsi="宋体" w:cs="宋体"/>
          <w:sz w:val="24"/>
        </w:rPr>
        <w:t>1、本项目实行网上投标，采用电子投标文件，若供应商参与投标，自行承担投标一切费用。</w:t>
      </w:r>
    </w:p>
    <w:p w14:paraId="2A4FB52C">
      <w:pPr>
        <w:adjustRightInd w:val="0"/>
        <w:spacing w:line="360" w:lineRule="auto"/>
        <w:ind w:firstLine="480" w:firstLineChars="200"/>
        <w:rPr>
          <w:rFonts w:hint="eastAsia" w:ascii="宋体" w:hAnsi="宋体" w:cs="宋体"/>
          <w:sz w:val="24"/>
        </w:rPr>
      </w:pPr>
      <w:r>
        <w:rPr>
          <w:rFonts w:hint="eastAsia" w:ascii="宋体" w:hAnsi="宋体" w:cs="宋体"/>
          <w:sz w:val="24"/>
        </w:rPr>
        <w:t>2、标前准备：各供应商应在开标前应确保成为浙江省政府采购网正式注册入库供应商，并完成CA数字证书办理。因未注册入库、未办理CA数字证书等原因造成无法投标或投标失败等后果由供应商自行承担。</w:t>
      </w:r>
    </w:p>
    <w:p w14:paraId="06E7B0C7">
      <w:pPr>
        <w:adjustRightInd w:val="0"/>
        <w:spacing w:line="360" w:lineRule="auto"/>
        <w:ind w:firstLine="480" w:firstLineChars="200"/>
        <w:rPr>
          <w:rFonts w:hint="eastAsia" w:ascii="宋体" w:hAnsi="宋体" w:cs="宋体"/>
          <w:sz w:val="24"/>
        </w:rPr>
      </w:pPr>
      <w:r>
        <w:rPr>
          <w:rFonts w:hint="eastAsia" w:ascii="宋体" w:hAnsi="宋体" w:cs="宋体"/>
          <w:sz w:val="24"/>
        </w:rPr>
        <w:t>供应商将政采云电子交易客户端下载、安装完成后，可通过账号密码或CA登录客户端进行投标文件制作。在使用政采云投标客户端时，建议使用WIN7及以上操作系统。</w:t>
      </w:r>
    </w:p>
    <w:p w14:paraId="3D2A4635">
      <w:pPr>
        <w:adjustRightInd w:val="0"/>
        <w:spacing w:line="360" w:lineRule="auto"/>
        <w:ind w:firstLine="480" w:firstLineChars="200"/>
        <w:rPr>
          <w:rFonts w:hint="eastAsia" w:ascii="宋体" w:hAnsi="宋体" w:cs="宋体"/>
          <w:sz w:val="24"/>
        </w:rPr>
      </w:pPr>
      <w:r>
        <w:rPr>
          <w:rFonts w:hint="eastAsia" w:ascii="宋体" w:hAnsi="宋体" w:cs="宋体"/>
          <w:sz w:val="24"/>
        </w:rPr>
        <w:t>注：供应商先要申领CA，取得CA后需要在政采云平台进行绑定，CA相关操作可参考《CA管理学习专题》。完成CA数字证书办理在资料齐全的情况下预计7个工作日左右，建议供应商获取招标文件后立即办理。</w:t>
      </w:r>
    </w:p>
    <w:p w14:paraId="1FBB0403">
      <w:pPr>
        <w:adjustRightInd w:val="0"/>
        <w:spacing w:line="360" w:lineRule="auto"/>
        <w:ind w:firstLine="480" w:firstLineChars="200"/>
        <w:rPr>
          <w:rFonts w:hint="eastAsia" w:ascii="宋体" w:hAnsi="宋体" w:cs="宋体"/>
          <w:sz w:val="24"/>
        </w:rPr>
      </w:pPr>
      <w:r>
        <w:rPr>
          <w:rFonts w:hint="eastAsia" w:ascii="宋体" w:hAnsi="宋体" w:cs="宋体"/>
          <w:sz w:val="24"/>
        </w:rPr>
        <w:t>《CA管理学习专题》：</w:t>
      </w:r>
    </w:p>
    <w:p w14:paraId="5D407AFE">
      <w:pPr>
        <w:adjustRightInd w:val="0"/>
        <w:spacing w:line="360" w:lineRule="auto"/>
        <w:ind w:firstLine="480" w:firstLineChars="200"/>
        <w:rPr>
          <w:rFonts w:hint="eastAsia" w:ascii="宋体" w:hAnsi="宋体" w:cs="宋体"/>
          <w:sz w:val="24"/>
        </w:rPr>
      </w:pPr>
      <w:r>
        <w:rPr>
          <w:rFonts w:hint="eastAsia" w:ascii="宋体" w:hAnsi="宋体" w:cs="宋体"/>
          <w:sz w:val="24"/>
        </w:rPr>
        <w:t>https://edu.zcygov.cn/luban/ca?utm=web-government-front.380aac0a.0.0.fc2b6aa0b6e211ebbdb0dd007730dd44</w:t>
      </w:r>
    </w:p>
    <w:p w14:paraId="4E88CBB1">
      <w:pPr>
        <w:adjustRightInd w:val="0"/>
        <w:spacing w:line="360" w:lineRule="auto"/>
        <w:ind w:firstLine="480" w:firstLineChars="200"/>
        <w:rPr>
          <w:rFonts w:hint="eastAsia" w:ascii="宋体" w:hAnsi="宋体" w:cs="宋体"/>
          <w:sz w:val="24"/>
        </w:rPr>
      </w:pPr>
      <w:r>
        <w:rPr>
          <w:rFonts w:hint="eastAsia" w:ascii="宋体" w:hAnsi="宋体" w:cs="宋体"/>
          <w:sz w:val="24"/>
        </w:rPr>
        <w:t>《CA驱动和申领流程》:</w:t>
      </w:r>
    </w:p>
    <w:p w14:paraId="7653F74B">
      <w:pPr>
        <w:adjustRightInd w:val="0"/>
        <w:spacing w:line="360" w:lineRule="auto"/>
        <w:ind w:firstLine="480" w:firstLineChars="200"/>
        <w:rPr>
          <w:rFonts w:hint="eastAsia" w:ascii="宋体" w:hAnsi="宋体" w:cs="宋体"/>
          <w:sz w:val="24"/>
        </w:rPr>
      </w:pPr>
      <w:r>
        <w:rPr>
          <w:rFonts w:hint="eastAsia" w:ascii="宋体" w:hAnsi="宋体" w:cs="宋体"/>
          <w:sz w:val="24"/>
        </w:rPr>
        <w:t>http://zfcg.czt.zj.gov.cn/bidClientTemplate/2019-05-27/12945.html</w:t>
      </w:r>
    </w:p>
    <w:p w14:paraId="25EEA8F4">
      <w:pPr>
        <w:adjustRightInd w:val="0"/>
        <w:spacing w:line="360" w:lineRule="auto"/>
        <w:ind w:firstLine="480" w:firstLineChars="200"/>
        <w:rPr>
          <w:rFonts w:hint="eastAsia" w:ascii="宋体" w:hAnsi="宋体" w:cs="宋体"/>
          <w:sz w:val="24"/>
        </w:rPr>
      </w:pPr>
      <w:r>
        <w:rPr>
          <w:rFonts w:hint="eastAsia" w:ascii="宋体" w:hAnsi="宋体" w:cs="宋体"/>
          <w:sz w:val="24"/>
        </w:rPr>
        <w:t>3、投标文件制作：</w:t>
      </w:r>
    </w:p>
    <w:p w14:paraId="6C8AD82E">
      <w:pPr>
        <w:adjustRightInd w:val="0"/>
        <w:spacing w:line="360" w:lineRule="auto"/>
        <w:ind w:firstLine="480" w:firstLineChars="200"/>
        <w:rPr>
          <w:rFonts w:hint="eastAsia" w:ascii="宋体" w:hAnsi="宋体" w:cs="宋体"/>
          <w:sz w:val="24"/>
        </w:rPr>
      </w:pPr>
      <w:r>
        <w:rPr>
          <w:rFonts w:hint="eastAsia" w:ascii="宋体" w:hAnsi="宋体" w:cs="宋体"/>
          <w:sz w:val="24"/>
        </w:rPr>
        <w:t>应按照本项目招标文件和政采云平台的要求编制、加密并递交投标文件。供应商在使用系统进行投标的过程中遇到涉及平台使用的任何问题，可致电政采云平台技术支持热线咨询，联系方式：95763。</w:t>
      </w:r>
    </w:p>
    <w:p w14:paraId="561148AE">
      <w:pPr>
        <w:adjustRightInd w:val="0"/>
        <w:spacing w:line="360" w:lineRule="auto"/>
        <w:ind w:firstLine="480" w:firstLineChars="200"/>
        <w:rPr>
          <w:rFonts w:hint="eastAsia" w:ascii="宋体" w:hAnsi="宋体" w:cs="宋体"/>
          <w:sz w:val="24"/>
        </w:rPr>
      </w:pPr>
      <w:r>
        <w:rPr>
          <w:rFonts w:hint="eastAsia" w:ascii="宋体" w:hAnsi="宋体" w:cs="宋体"/>
          <w:sz w:val="24"/>
        </w:rPr>
        <w:t>投标人通过“政采云”平台电子投标工具制作投标文件。</w:t>
      </w:r>
    </w:p>
    <w:p w14:paraId="5DC9EA83">
      <w:pPr>
        <w:adjustRightInd w:val="0"/>
        <w:spacing w:line="360" w:lineRule="auto"/>
        <w:ind w:firstLine="480" w:firstLineChars="200"/>
        <w:rPr>
          <w:rFonts w:hint="eastAsia" w:ascii="宋体" w:hAnsi="宋体" w:cs="宋体"/>
          <w:sz w:val="24"/>
        </w:rPr>
      </w:pPr>
      <w:r>
        <w:rPr>
          <w:rFonts w:hint="eastAsia" w:ascii="宋体" w:hAnsi="宋体" w:cs="宋体"/>
          <w:sz w:val="24"/>
        </w:rPr>
        <w:t>《电子投标工具》：</w:t>
      </w:r>
    </w:p>
    <w:p w14:paraId="246361D4">
      <w:pPr>
        <w:adjustRightInd w:val="0"/>
        <w:spacing w:line="360" w:lineRule="auto"/>
        <w:ind w:firstLine="480" w:firstLineChars="200"/>
        <w:rPr>
          <w:rFonts w:hint="eastAsia" w:ascii="宋体" w:hAnsi="宋体" w:cs="宋体"/>
          <w:sz w:val="24"/>
        </w:rPr>
      </w:pPr>
      <w:r>
        <w:rPr>
          <w:rFonts w:hint="eastAsia" w:ascii="宋体" w:hAnsi="宋体" w:cs="宋体"/>
          <w:sz w:val="24"/>
        </w:rPr>
        <w:t>http://zfcg.czt.zj.gov.cn/bidClientTemplate/2019-09-24/12975.html</w:t>
      </w:r>
    </w:p>
    <w:p w14:paraId="4B0B2E69">
      <w:pPr>
        <w:adjustRightInd w:val="0"/>
        <w:spacing w:line="360" w:lineRule="auto"/>
        <w:ind w:firstLine="480" w:firstLineChars="200"/>
        <w:rPr>
          <w:rFonts w:hint="eastAsia" w:ascii="宋体" w:hAnsi="宋体" w:cs="宋体"/>
          <w:sz w:val="24"/>
        </w:rPr>
      </w:pPr>
      <w:r>
        <w:rPr>
          <w:rFonts w:hint="eastAsia" w:ascii="宋体" w:hAnsi="宋体" w:cs="宋体"/>
          <w:sz w:val="24"/>
        </w:rPr>
        <w:t>《供应商-政府采购项目电子交易操作指南》：(需登录账号后查看)</w:t>
      </w:r>
    </w:p>
    <w:p w14:paraId="0DE9E1C4">
      <w:pPr>
        <w:adjustRightInd w:val="0"/>
        <w:spacing w:line="360" w:lineRule="auto"/>
        <w:ind w:firstLine="480" w:firstLineChars="200"/>
        <w:rPr>
          <w:rFonts w:hint="eastAsia" w:ascii="宋体" w:hAnsi="宋体" w:cs="宋体"/>
          <w:sz w:val="24"/>
        </w:rPr>
      </w:pPr>
      <w:r>
        <w:rPr>
          <w:rFonts w:hint="eastAsia" w:ascii="宋体" w:hAnsi="宋体" w:cs="宋体"/>
          <w:sz w:val="24"/>
        </w:rPr>
        <w:t>https://service.zcygov.cn/#/knowledges/tree?tag=AG1DtGwBFdiHxlNdhY0r</w:t>
      </w:r>
    </w:p>
    <w:p w14:paraId="7A81091E">
      <w:pPr>
        <w:adjustRightInd w:val="0"/>
        <w:spacing w:line="360" w:lineRule="auto"/>
        <w:ind w:firstLine="480" w:firstLineChars="200"/>
        <w:rPr>
          <w:rFonts w:hint="eastAsia" w:ascii="宋体" w:hAnsi="宋体" w:cs="宋体"/>
          <w:sz w:val="24"/>
        </w:rPr>
      </w:pPr>
      <w:r>
        <w:rPr>
          <w:rFonts w:hint="eastAsia" w:ascii="宋体" w:hAnsi="宋体" w:cs="宋体"/>
          <w:sz w:val="24"/>
        </w:rPr>
        <w:t>4、供应商在法定质疑期内应一次性提出针对同一采购程序环节的质疑。否则质疑将不予受理。</w:t>
      </w:r>
    </w:p>
    <w:p w14:paraId="69EEDAA9">
      <w:pPr>
        <w:adjustRightInd w:val="0"/>
        <w:spacing w:line="360" w:lineRule="auto"/>
        <w:ind w:firstLine="480" w:firstLineChars="200"/>
        <w:rPr>
          <w:rFonts w:ascii="宋体" w:hAnsi="宋体" w:cs="宋体"/>
          <w:sz w:val="24"/>
        </w:rPr>
      </w:pPr>
      <w:r>
        <w:rPr>
          <w:rFonts w:hint="eastAsia" w:ascii="宋体" w:hAnsi="宋体" w:cs="宋体"/>
          <w:sz w:val="24"/>
        </w:rPr>
        <w:t>5、投标人可指派授权代表递交备份文件，授权代表递交备份文件需携带法定代表人授权书原件，于投标截止时间前到达开标地点递交。</w:t>
      </w:r>
    </w:p>
    <w:p w14:paraId="4AB7E968">
      <w:pPr>
        <w:spacing w:line="360" w:lineRule="auto"/>
        <w:ind w:firstLine="482" w:firstLineChars="200"/>
        <w:rPr>
          <w:rFonts w:hint="eastAsia" w:ascii="宋体" w:hAnsi="宋体" w:cs="宋体"/>
          <w:b/>
          <w:sz w:val="24"/>
          <w:szCs w:val="24"/>
        </w:rPr>
      </w:pPr>
      <w:r>
        <w:rPr>
          <w:rFonts w:hint="eastAsia" w:ascii="宋体" w:hAnsi="宋体" w:cs="宋体"/>
          <w:b/>
          <w:sz w:val="24"/>
          <w:szCs w:val="24"/>
        </w:rPr>
        <w:t>八、投标截止时间及要求：</w:t>
      </w:r>
      <w:r>
        <w:rPr>
          <w:rFonts w:hint="eastAsia" w:ascii="宋体" w:hAnsi="宋体" w:cs="宋体"/>
          <w:sz w:val="24"/>
          <w:szCs w:val="24"/>
          <w:u w:val="single"/>
        </w:rPr>
        <w:t xml:space="preserve"> 2025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4</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8</w:t>
      </w:r>
      <w:r>
        <w:rPr>
          <w:rFonts w:hint="eastAsia" w:ascii="宋体" w:hAnsi="宋体" w:cs="宋体"/>
          <w:sz w:val="24"/>
          <w:szCs w:val="24"/>
          <w:u w:val="single"/>
        </w:rPr>
        <w:t xml:space="preserve"> </w:t>
      </w:r>
      <w:r>
        <w:rPr>
          <w:rFonts w:hint="eastAsia" w:ascii="宋体" w:hAnsi="宋体" w:cs="宋体"/>
          <w:sz w:val="24"/>
          <w:szCs w:val="24"/>
        </w:rPr>
        <w:t>日</w:t>
      </w:r>
      <w:r>
        <w:rPr>
          <w:rFonts w:hint="eastAsia" w:ascii="宋体" w:hAnsi="宋体" w:cs="宋体"/>
          <w:sz w:val="24"/>
          <w:szCs w:val="24"/>
          <w:u w:val="single"/>
        </w:rPr>
        <w:t xml:space="preserve"> 9 </w:t>
      </w:r>
      <w:r>
        <w:rPr>
          <w:rFonts w:hint="eastAsia" w:ascii="宋体" w:hAnsi="宋体" w:cs="宋体"/>
          <w:sz w:val="24"/>
          <w:szCs w:val="24"/>
        </w:rPr>
        <w:t>时</w:t>
      </w:r>
      <w:r>
        <w:rPr>
          <w:rFonts w:hint="eastAsia" w:ascii="宋体" w:hAnsi="宋体" w:cs="宋体"/>
          <w:sz w:val="24"/>
          <w:szCs w:val="24"/>
          <w:u w:val="single"/>
        </w:rPr>
        <w:t xml:space="preserve"> 30 </w:t>
      </w:r>
      <w:r>
        <w:rPr>
          <w:rFonts w:hint="eastAsia" w:ascii="宋体" w:hAnsi="宋体" w:cs="宋体"/>
          <w:sz w:val="24"/>
          <w:szCs w:val="24"/>
        </w:rPr>
        <w:t>分整</w:t>
      </w:r>
      <w:r>
        <w:rPr>
          <w:rFonts w:hint="eastAsia" w:ascii="宋体" w:hAnsi="宋体" w:cs="宋体"/>
          <w:kern w:val="0"/>
          <w:sz w:val="24"/>
          <w:szCs w:val="24"/>
        </w:rPr>
        <w:t>之前将电子磋商响应文件上传到“政采云”平台。</w:t>
      </w:r>
    </w:p>
    <w:p w14:paraId="51C17E21">
      <w:pPr>
        <w:spacing w:line="360" w:lineRule="auto"/>
        <w:ind w:firstLine="482" w:firstLineChars="200"/>
        <w:rPr>
          <w:rFonts w:hint="eastAsia" w:ascii="宋体" w:hAnsi="宋体" w:cs="宋体"/>
          <w:sz w:val="24"/>
          <w:szCs w:val="24"/>
        </w:rPr>
      </w:pPr>
      <w:r>
        <w:rPr>
          <w:rFonts w:hint="eastAsia" w:ascii="宋体" w:hAnsi="宋体" w:cs="宋体"/>
          <w:b/>
          <w:sz w:val="24"/>
          <w:szCs w:val="24"/>
        </w:rPr>
        <w:t>九、递交投标文件时间及地点：</w:t>
      </w:r>
      <w:bookmarkStart w:id="8" w:name="B30_开标地点"/>
      <w:r>
        <w:rPr>
          <w:rFonts w:hint="eastAsia" w:ascii="宋体" w:hAnsi="宋体" w:cs="宋体"/>
          <w:sz w:val="24"/>
          <w:szCs w:val="24"/>
          <w:u w:val="single"/>
        </w:rPr>
        <w:t xml:space="preserve"> 2025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4</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8</w:t>
      </w:r>
      <w:r>
        <w:rPr>
          <w:rFonts w:hint="eastAsia" w:ascii="宋体" w:hAnsi="宋体" w:cs="宋体"/>
          <w:sz w:val="24"/>
          <w:szCs w:val="24"/>
          <w:u w:val="single"/>
        </w:rPr>
        <w:t xml:space="preserve"> </w:t>
      </w:r>
      <w:r>
        <w:rPr>
          <w:rFonts w:hint="eastAsia" w:ascii="宋体" w:hAnsi="宋体" w:cs="宋体"/>
          <w:sz w:val="24"/>
          <w:szCs w:val="24"/>
        </w:rPr>
        <w:t>日</w:t>
      </w:r>
      <w:r>
        <w:rPr>
          <w:rFonts w:hint="eastAsia" w:ascii="宋体" w:hAnsi="宋体" w:cs="宋体"/>
          <w:sz w:val="24"/>
          <w:szCs w:val="24"/>
          <w:u w:val="single"/>
        </w:rPr>
        <w:t xml:space="preserve"> 9 </w:t>
      </w:r>
      <w:r>
        <w:rPr>
          <w:rFonts w:hint="eastAsia" w:ascii="宋体" w:hAnsi="宋体" w:cs="宋体"/>
          <w:sz w:val="24"/>
          <w:szCs w:val="24"/>
        </w:rPr>
        <w:t>时</w:t>
      </w:r>
      <w:r>
        <w:rPr>
          <w:rFonts w:hint="eastAsia" w:ascii="宋体" w:hAnsi="宋体" w:cs="宋体"/>
          <w:sz w:val="24"/>
          <w:szCs w:val="24"/>
          <w:u w:val="single"/>
        </w:rPr>
        <w:t xml:space="preserve"> 30 </w:t>
      </w:r>
      <w:r>
        <w:rPr>
          <w:rFonts w:hint="eastAsia" w:ascii="宋体" w:hAnsi="宋体" w:cs="宋体"/>
          <w:sz w:val="24"/>
          <w:szCs w:val="24"/>
        </w:rPr>
        <w:t>分整在浙江宇康工程管理咨询有限公司开标室开标。</w:t>
      </w:r>
      <w:bookmarkEnd w:id="8"/>
    </w:p>
    <w:p w14:paraId="2640F9BF">
      <w:pPr>
        <w:adjustRightInd w:val="0"/>
        <w:spacing w:line="360" w:lineRule="auto"/>
        <w:ind w:firstLine="480" w:firstLineChars="200"/>
        <w:rPr>
          <w:rFonts w:hint="eastAsia" w:ascii="宋体" w:hAnsi="宋体" w:cs="宋体"/>
          <w:kern w:val="0"/>
          <w:sz w:val="24"/>
          <w:szCs w:val="24"/>
        </w:rPr>
      </w:pPr>
      <w:r>
        <w:rPr>
          <w:rFonts w:hint="eastAsia" w:ascii="宋体" w:hAnsi="宋体" w:cs="宋体"/>
          <w:sz w:val="24"/>
          <w:szCs w:val="24"/>
        </w:rPr>
        <w:t>本次开标不提供现场视频。</w:t>
      </w:r>
    </w:p>
    <w:p w14:paraId="6B4CF0B9">
      <w:pPr>
        <w:tabs>
          <w:tab w:val="left" w:pos="4830"/>
        </w:tabs>
        <w:adjustRightInd w:val="0"/>
        <w:spacing w:line="360" w:lineRule="auto"/>
        <w:ind w:firstLine="480" w:firstLineChars="200"/>
        <w:rPr>
          <w:rFonts w:hint="eastAsia" w:ascii="宋体" w:hAnsi="宋体" w:cs="宋体"/>
          <w:sz w:val="24"/>
        </w:rPr>
      </w:pPr>
      <w:r>
        <w:rPr>
          <w:rFonts w:hint="eastAsia" w:ascii="宋体" w:hAnsi="宋体" w:cs="宋体"/>
          <w:sz w:val="24"/>
        </w:rPr>
        <w:t>十、联系方式：</w:t>
      </w:r>
    </w:p>
    <w:p w14:paraId="2F089159">
      <w:pPr>
        <w:adjustRightInd w:val="0"/>
        <w:spacing w:line="360" w:lineRule="auto"/>
        <w:ind w:firstLine="480" w:firstLineChars="200"/>
        <w:rPr>
          <w:rFonts w:hint="eastAsia" w:ascii="宋体" w:hAnsi="宋体" w:cs="宋体"/>
          <w:sz w:val="24"/>
          <w:szCs w:val="24"/>
        </w:rPr>
      </w:pPr>
      <w:r>
        <w:rPr>
          <w:rFonts w:hint="eastAsia" w:ascii="宋体" w:hAnsi="宋体" w:cs="宋体"/>
          <w:sz w:val="24"/>
          <w:szCs w:val="24"/>
        </w:rPr>
        <w:t>1．采购代理机构名称：浙江宇康工程管理咨询有限公司</w:t>
      </w:r>
    </w:p>
    <w:p w14:paraId="321B5180">
      <w:pPr>
        <w:adjustRightInd w:val="0"/>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项目联系人：苗黎               </w:t>
      </w:r>
    </w:p>
    <w:p w14:paraId="410DB3DB">
      <w:pPr>
        <w:adjustRightInd w:val="0"/>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项目联系方式：13757586169              </w:t>
      </w:r>
    </w:p>
    <w:p w14:paraId="54029CAB">
      <w:pPr>
        <w:adjustRightInd w:val="0"/>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地址：绍兴市上虞区百官街道江东北路588号百官广场30楼  </w:t>
      </w:r>
    </w:p>
    <w:p w14:paraId="1B694A42">
      <w:pPr>
        <w:adjustRightInd w:val="0"/>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2．采购人名称：绍兴市上虞区人民政府办公室 </w:t>
      </w:r>
    </w:p>
    <w:p w14:paraId="4BA1452D">
      <w:pPr>
        <w:adjustRightInd w:val="0"/>
        <w:spacing w:line="360" w:lineRule="auto"/>
        <w:ind w:firstLine="480" w:firstLineChars="200"/>
        <w:rPr>
          <w:rFonts w:hint="eastAsia" w:ascii="宋体" w:hAnsi="宋体" w:eastAsia="宋体" w:cs="宋体"/>
          <w:sz w:val="24"/>
          <w:szCs w:val="24"/>
          <w:lang w:val="en-US" w:eastAsia="zh-CN"/>
        </w:rPr>
      </w:pPr>
      <w:r>
        <w:rPr>
          <w:rFonts w:hint="eastAsia" w:ascii="宋体" w:hAnsi="宋体" w:cs="宋体"/>
          <w:sz w:val="24"/>
          <w:szCs w:val="24"/>
        </w:rPr>
        <w:t>项目联系人：</w:t>
      </w:r>
      <w:r>
        <w:rPr>
          <w:rFonts w:hint="eastAsia" w:ascii="宋体" w:hAnsi="宋体" w:cs="宋体"/>
          <w:sz w:val="24"/>
          <w:szCs w:val="24"/>
          <w:lang w:eastAsia="zh-CN"/>
        </w:rPr>
        <w:t>谢女士</w:t>
      </w:r>
      <w:bookmarkStart w:id="52" w:name="_GoBack"/>
      <w:bookmarkEnd w:id="52"/>
    </w:p>
    <w:p w14:paraId="06AF2C05">
      <w:pPr>
        <w:adjustRightInd w:val="0"/>
        <w:spacing w:line="360" w:lineRule="auto"/>
        <w:ind w:firstLine="480" w:firstLineChars="200"/>
        <w:rPr>
          <w:rFonts w:hint="default" w:ascii="宋体" w:hAnsi="宋体" w:eastAsia="宋体" w:cs="宋体"/>
          <w:sz w:val="24"/>
          <w:lang w:val="en-US" w:eastAsia="zh-CN"/>
        </w:rPr>
      </w:pPr>
      <w:r>
        <w:rPr>
          <w:rFonts w:hint="eastAsia" w:ascii="宋体" w:hAnsi="宋体" w:cs="宋体"/>
          <w:sz w:val="24"/>
          <w:szCs w:val="24"/>
        </w:rPr>
        <w:t>项目联系方式：</w:t>
      </w:r>
      <w:r>
        <w:rPr>
          <w:rFonts w:hint="eastAsia" w:ascii="宋体" w:hAnsi="宋体" w:cs="宋体"/>
          <w:sz w:val="24"/>
          <w:szCs w:val="24"/>
          <w:lang w:val="en-US" w:eastAsia="zh-CN"/>
        </w:rPr>
        <w:t>0575-82191268</w:t>
      </w:r>
    </w:p>
    <w:p w14:paraId="1C17C0FC">
      <w:pPr>
        <w:adjustRightInd w:val="0"/>
        <w:spacing w:line="360" w:lineRule="auto"/>
        <w:ind w:firstLine="480" w:firstLineChars="200"/>
        <w:rPr>
          <w:rFonts w:hint="eastAsia" w:ascii="宋体" w:hAnsi="宋体" w:cs="宋体"/>
          <w:sz w:val="24"/>
          <w:szCs w:val="24"/>
        </w:rPr>
      </w:pPr>
      <w:r>
        <w:rPr>
          <w:rFonts w:hint="eastAsia" w:ascii="宋体" w:hAnsi="宋体" w:cs="宋体"/>
          <w:sz w:val="24"/>
          <w:szCs w:val="24"/>
        </w:rPr>
        <w:t>地址：绍兴市上虞区市民大道987号</w:t>
      </w:r>
    </w:p>
    <w:p w14:paraId="3B80E2BA">
      <w:pPr>
        <w:adjustRightInd w:val="0"/>
        <w:spacing w:line="360" w:lineRule="auto"/>
        <w:ind w:firstLine="480" w:firstLineChars="200"/>
        <w:rPr>
          <w:rFonts w:hint="eastAsia" w:ascii="宋体" w:hAnsi="宋体" w:cs="宋体"/>
          <w:sz w:val="24"/>
          <w:szCs w:val="24"/>
        </w:rPr>
      </w:pPr>
      <w:r>
        <w:rPr>
          <w:rFonts w:hint="eastAsia" w:ascii="宋体" w:hAnsi="宋体" w:cs="宋体"/>
          <w:sz w:val="24"/>
          <w:szCs w:val="24"/>
        </w:rPr>
        <w:t>3．同级监督管理部门名称：</w:t>
      </w:r>
    </w:p>
    <w:p w14:paraId="6EE6157D">
      <w:pPr>
        <w:adjustRightInd w:val="0"/>
        <w:spacing w:line="360" w:lineRule="auto"/>
        <w:ind w:firstLine="480" w:firstLineChars="200"/>
        <w:rPr>
          <w:rFonts w:hint="eastAsia" w:ascii="宋体" w:hAnsi="宋体" w:cs="宋体"/>
          <w:sz w:val="24"/>
          <w:szCs w:val="24"/>
        </w:rPr>
      </w:pPr>
      <w:r>
        <w:rPr>
          <w:rFonts w:hint="eastAsia" w:ascii="宋体" w:hAnsi="宋体" w:cs="宋体"/>
          <w:sz w:val="24"/>
          <w:szCs w:val="24"/>
        </w:rPr>
        <w:t>联系人：杨先生</w:t>
      </w:r>
    </w:p>
    <w:p w14:paraId="79E7BC08">
      <w:pPr>
        <w:adjustRightInd w:val="0"/>
        <w:spacing w:line="360" w:lineRule="auto"/>
        <w:ind w:firstLine="480" w:firstLineChars="200"/>
        <w:rPr>
          <w:rFonts w:ascii="宋体" w:hAnsi="宋体" w:cs="宋体"/>
          <w:sz w:val="24"/>
          <w:szCs w:val="24"/>
        </w:rPr>
      </w:pPr>
      <w:r>
        <w:rPr>
          <w:rFonts w:hint="eastAsia" w:ascii="宋体" w:hAnsi="宋体" w:cs="宋体"/>
          <w:sz w:val="24"/>
          <w:szCs w:val="24"/>
        </w:rPr>
        <w:t>监督投诉电话：0575-80270812</w:t>
      </w:r>
    </w:p>
    <w:p w14:paraId="36122BF2">
      <w:pPr>
        <w:adjustRightInd w:val="0"/>
        <w:spacing w:line="360" w:lineRule="auto"/>
        <w:ind w:firstLine="480" w:firstLineChars="200"/>
        <w:rPr>
          <w:rFonts w:ascii="宋体" w:hAnsi="宋体" w:cs="宋体"/>
          <w:sz w:val="24"/>
          <w:szCs w:val="24"/>
        </w:rPr>
      </w:pPr>
      <w:r>
        <w:rPr>
          <w:rFonts w:hint="eastAsia" w:ascii="宋体" w:hAnsi="宋体" w:cs="宋体"/>
          <w:sz w:val="24"/>
          <w:szCs w:val="24"/>
        </w:rPr>
        <w:t>传真：0575-82213055</w:t>
      </w:r>
    </w:p>
    <w:p w14:paraId="298B3199">
      <w:pPr>
        <w:adjustRightInd w:val="0"/>
        <w:spacing w:line="360" w:lineRule="auto"/>
        <w:ind w:firstLine="480" w:firstLineChars="200"/>
        <w:rPr>
          <w:rFonts w:hint="eastAsia" w:ascii="宋体" w:hAnsi="宋体" w:cs="宋体"/>
          <w:sz w:val="24"/>
          <w:szCs w:val="24"/>
        </w:rPr>
      </w:pPr>
      <w:r>
        <w:rPr>
          <w:rFonts w:hint="eastAsia" w:ascii="宋体" w:hAnsi="宋体" w:cs="宋体"/>
          <w:sz w:val="24"/>
          <w:szCs w:val="24"/>
        </w:rPr>
        <w:t>地址：绍兴市上虞区体育场路18号</w:t>
      </w:r>
    </w:p>
    <w:p w14:paraId="2774C2FA">
      <w:pPr>
        <w:adjustRightInd w:val="0"/>
        <w:snapToGrid w:val="0"/>
        <w:spacing w:line="360" w:lineRule="auto"/>
        <w:jc w:val="left"/>
        <w:rPr>
          <w:rFonts w:hint="eastAsia" w:ascii="宋体" w:hAnsi="宋体" w:cs="宋体"/>
          <w:sz w:val="28"/>
          <w:szCs w:val="28"/>
        </w:rPr>
      </w:pPr>
    </w:p>
    <w:p w14:paraId="18EA0D37">
      <w:pPr>
        <w:pStyle w:val="2"/>
        <w:spacing w:before="156" w:after="156"/>
        <w:ind w:left="568" w:hanging="568"/>
        <w:rPr>
          <w:rFonts w:hint="eastAsia" w:ascii="宋体" w:hAnsi="宋体" w:cs="宋体"/>
          <w:sz w:val="28"/>
          <w:szCs w:val="28"/>
        </w:rPr>
      </w:pPr>
    </w:p>
    <w:p w14:paraId="0A3DD172">
      <w:pPr>
        <w:pStyle w:val="2"/>
        <w:spacing w:before="156" w:after="156"/>
        <w:ind w:left="568" w:hanging="568"/>
        <w:rPr>
          <w:rFonts w:hint="eastAsia" w:ascii="宋体" w:hAnsi="宋体" w:cs="宋体"/>
          <w:sz w:val="28"/>
          <w:szCs w:val="28"/>
        </w:rPr>
      </w:pPr>
    </w:p>
    <w:p w14:paraId="11364559">
      <w:pPr>
        <w:pStyle w:val="2"/>
        <w:spacing w:before="156" w:after="156"/>
        <w:ind w:left="568" w:hanging="568"/>
        <w:rPr>
          <w:rFonts w:hint="eastAsia" w:ascii="宋体" w:hAnsi="宋体" w:cs="宋体"/>
          <w:sz w:val="28"/>
          <w:szCs w:val="28"/>
        </w:rPr>
      </w:pPr>
    </w:p>
    <w:bookmarkEnd w:id="5"/>
    <w:bookmarkEnd w:id="6"/>
    <w:p w14:paraId="7C625F2D">
      <w:pPr>
        <w:pStyle w:val="40"/>
        <w:jc w:val="both"/>
        <w:rPr>
          <w:rFonts w:hint="eastAsia" w:ascii="宋体" w:hAnsi="宋体" w:cs="宋体"/>
        </w:rPr>
      </w:pPr>
      <w:r>
        <w:rPr>
          <w:rFonts w:hint="eastAsia" w:ascii="宋体" w:hAnsi="宋体" w:cs="宋体"/>
        </w:rPr>
        <w:t xml:space="preserve">                   </w:t>
      </w:r>
      <w:bookmarkStart w:id="9" w:name="_Toc486228781"/>
      <w:r>
        <w:rPr>
          <w:rFonts w:hint="eastAsia" w:ascii="宋体" w:hAnsi="宋体" w:cs="宋体"/>
        </w:rPr>
        <w:t>第二章  招标需求</w:t>
      </w:r>
      <w:bookmarkEnd w:id="9"/>
    </w:p>
    <w:p w14:paraId="2D7EECC1">
      <w:pPr>
        <w:spacing w:line="360" w:lineRule="auto"/>
        <w:rPr>
          <w:rFonts w:hint="eastAsia" w:ascii="宋体" w:hAnsi="宋体" w:cs="宋体"/>
          <w:b/>
          <w:sz w:val="24"/>
        </w:rPr>
      </w:pPr>
      <w:r>
        <w:rPr>
          <w:rFonts w:hint="eastAsia" w:ascii="宋体" w:hAnsi="宋体" w:cs="宋体"/>
          <w:b/>
          <w:sz w:val="24"/>
        </w:rPr>
        <w:t>一、项目名称</w:t>
      </w:r>
    </w:p>
    <w:p w14:paraId="1AB86BB1">
      <w:pPr>
        <w:spacing w:line="360" w:lineRule="auto"/>
        <w:ind w:firstLine="360" w:firstLineChars="150"/>
        <w:rPr>
          <w:rFonts w:hint="eastAsia" w:ascii="宋体" w:hAnsi="宋体" w:cs="宋体"/>
          <w:sz w:val="24"/>
        </w:rPr>
      </w:pPr>
      <w:r>
        <w:rPr>
          <w:rFonts w:hint="eastAsia" w:ascii="宋体" w:hAnsi="宋体" w:cs="宋体"/>
          <w:sz w:val="24"/>
        </w:rPr>
        <w:t>绍兴市上虞区人民政府办公室2025年第一期公款竞争性存放</w:t>
      </w:r>
    </w:p>
    <w:p w14:paraId="3EAA6A46">
      <w:pPr>
        <w:spacing w:line="360" w:lineRule="auto"/>
        <w:rPr>
          <w:rFonts w:hint="eastAsia" w:ascii="宋体" w:hAnsi="宋体" w:cs="宋体"/>
          <w:b/>
          <w:sz w:val="24"/>
        </w:rPr>
      </w:pPr>
      <w:r>
        <w:rPr>
          <w:rFonts w:hint="eastAsia" w:ascii="宋体" w:hAnsi="宋体" w:cs="宋体"/>
          <w:b/>
          <w:sz w:val="24"/>
        </w:rPr>
        <w:t>二、招标内容</w:t>
      </w:r>
    </w:p>
    <w:p w14:paraId="44A834C9">
      <w:pPr>
        <w:spacing w:line="360" w:lineRule="auto"/>
        <w:ind w:firstLine="360" w:firstLineChars="150"/>
        <w:rPr>
          <w:rFonts w:hint="eastAsia" w:ascii="宋体" w:hAnsi="宋体" w:cs="宋体"/>
          <w:sz w:val="24"/>
        </w:rPr>
      </w:pPr>
      <w:bookmarkStart w:id="10" w:name="_Toc26223"/>
      <w:bookmarkStart w:id="11" w:name="_Toc26904"/>
      <w:r>
        <w:rPr>
          <w:rFonts w:hint="eastAsia" w:ascii="宋体" w:hAnsi="宋体" w:cs="宋体"/>
          <w:sz w:val="24"/>
        </w:rPr>
        <w:t>2025年第一期公款竞争性存放</w:t>
      </w:r>
    </w:p>
    <w:p w14:paraId="68E570FD">
      <w:pPr>
        <w:spacing w:line="360" w:lineRule="auto"/>
        <w:rPr>
          <w:rFonts w:hint="eastAsia" w:ascii="宋体" w:hAnsi="宋体" w:cs="宋体"/>
          <w:b/>
          <w:sz w:val="24"/>
        </w:rPr>
      </w:pPr>
      <w:r>
        <w:rPr>
          <w:rFonts w:hint="eastAsia" w:ascii="宋体" w:hAnsi="宋体" w:cs="宋体"/>
          <w:b/>
          <w:sz w:val="24"/>
        </w:rPr>
        <w:t>三、服务要求</w:t>
      </w:r>
    </w:p>
    <w:p w14:paraId="677A21C0">
      <w:pPr>
        <w:spacing w:line="360" w:lineRule="auto"/>
        <w:ind w:firstLine="360" w:firstLineChars="150"/>
        <w:rPr>
          <w:rFonts w:hint="eastAsia" w:ascii="宋体" w:hAnsi="宋体" w:cs="宋体"/>
          <w:sz w:val="24"/>
        </w:rPr>
      </w:pPr>
      <w:r>
        <w:rPr>
          <w:rFonts w:hint="eastAsia" w:ascii="宋体" w:hAnsi="宋体" w:cs="宋体"/>
          <w:sz w:val="24"/>
        </w:rPr>
        <w:t>1、具备先进的信息反馈系统，能够及时、全面、准确的反映代管资金账户的业务信息。</w:t>
      </w:r>
    </w:p>
    <w:p w14:paraId="11A20F76">
      <w:pPr>
        <w:spacing w:line="360" w:lineRule="auto"/>
        <w:ind w:firstLine="360" w:firstLineChars="150"/>
        <w:rPr>
          <w:rFonts w:hint="eastAsia" w:ascii="宋体" w:hAnsi="宋体" w:cs="宋体"/>
          <w:sz w:val="24"/>
        </w:rPr>
      </w:pPr>
      <w:r>
        <w:rPr>
          <w:rFonts w:hint="eastAsia" w:ascii="宋体" w:hAnsi="宋体" w:cs="宋体"/>
          <w:sz w:val="24"/>
        </w:rPr>
        <w:t>2、双方在签订委托合同后由中标银行协助办理所有定期存款相关手续。</w:t>
      </w:r>
    </w:p>
    <w:p w14:paraId="0D9B7D1B">
      <w:pPr>
        <w:spacing w:line="360" w:lineRule="auto"/>
        <w:ind w:firstLine="360" w:firstLineChars="150"/>
        <w:rPr>
          <w:rFonts w:hint="eastAsia" w:ascii="宋体" w:hAnsi="宋体" w:cs="宋体"/>
          <w:sz w:val="24"/>
        </w:rPr>
      </w:pPr>
      <w:r>
        <w:rPr>
          <w:rFonts w:hint="eastAsia" w:ascii="宋体" w:hAnsi="宋体" w:cs="宋体"/>
          <w:sz w:val="24"/>
        </w:rPr>
        <w:t>3、中标银行收到存入资金后向招标单位开具存款证明。</w:t>
      </w:r>
    </w:p>
    <w:p w14:paraId="749742CE">
      <w:pPr>
        <w:spacing w:line="360" w:lineRule="auto"/>
        <w:ind w:firstLine="360" w:firstLineChars="150"/>
        <w:rPr>
          <w:rFonts w:hint="eastAsia" w:ascii="宋体" w:hAnsi="宋体" w:cs="宋体"/>
          <w:sz w:val="24"/>
        </w:rPr>
      </w:pPr>
      <w:r>
        <w:rPr>
          <w:rFonts w:hint="eastAsia" w:ascii="宋体" w:hAnsi="宋体" w:cs="宋体"/>
          <w:sz w:val="24"/>
        </w:rPr>
        <w:t>4、主动上门服务，及时准确地与招标单位对账，并按支付管理要求及时清算资金。</w:t>
      </w:r>
    </w:p>
    <w:p w14:paraId="2B3C1FD9">
      <w:pPr>
        <w:spacing w:line="360" w:lineRule="auto"/>
        <w:ind w:firstLine="360" w:firstLineChars="150"/>
        <w:rPr>
          <w:rFonts w:hint="eastAsia" w:ascii="宋体" w:hAnsi="宋体" w:cs="宋体"/>
          <w:sz w:val="24"/>
        </w:rPr>
      </w:pPr>
      <w:r>
        <w:rPr>
          <w:rFonts w:hint="eastAsia" w:ascii="宋体" w:hAnsi="宋体" w:cs="宋体"/>
          <w:sz w:val="24"/>
        </w:rPr>
        <w:t>5、中标银行需要指派一名工作专员负责与招标单位进行工作对接。</w:t>
      </w:r>
    </w:p>
    <w:p w14:paraId="56BCCB19">
      <w:pPr>
        <w:spacing w:line="360" w:lineRule="auto"/>
        <w:ind w:firstLine="360" w:firstLineChars="150"/>
        <w:rPr>
          <w:rFonts w:hint="eastAsia" w:ascii="宋体" w:hAnsi="宋体" w:cs="宋体"/>
          <w:sz w:val="24"/>
        </w:rPr>
      </w:pPr>
      <w:r>
        <w:rPr>
          <w:rFonts w:hint="eastAsia" w:ascii="宋体" w:hAnsi="宋体" w:cs="宋体"/>
          <w:sz w:val="24"/>
        </w:rPr>
        <w:t>6、及时做好绍兴市上虞区人民政府办公室提出的其他服务要求。</w:t>
      </w:r>
    </w:p>
    <w:p w14:paraId="212CC288">
      <w:pPr>
        <w:spacing w:line="360" w:lineRule="auto"/>
        <w:rPr>
          <w:rFonts w:hint="eastAsia" w:ascii="宋体" w:hAnsi="宋体" w:cs="宋体"/>
          <w:sz w:val="24"/>
        </w:rPr>
      </w:pPr>
      <w:r>
        <w:rPr>
          <w:rFonts w:hint="eastAsia" w:ascii="宋体" w:hAnsi="宋体" w:cs="宋体"/>
          <w:b/>
          <w:sz w:val="24"/>
        </w:rPr>
        <w:t>四、业务办理</w:t>
      </w:r>
    </w:p>
    <w:p w14:paraId="0B39617D">
      <w:pPr>
        <w:spacing w:line="360" w:lineRule="auto"/>
        <w:ind w:firstLine="360" w:firstLineChars="150"/>
        <w:rPr>
          <w:rFonts w:hint="eastAsia" w:ascii="宋体" w:hAnsi="宋体" w:cs="宋体"/>
          <w:sz w:val="24"/>
        </w:rPr>
      </w:pPr>
      <w:r>
        <w:rPr>
          <w:rFonts w:ascii="宋体" w:hAnsi="宋体" w:cs="宋体"/>
          <w:sz w:val="24"/>
        </w:rPr>
        <w:t>中标单位按规定办理相关定存服务</w:t>
      </w:r>
      <w:r>
        <w:rPr>
          <w:rFonts w:hint="eastAsia" w:ascii="宋体" w:hAnsi="宋体" w:cs="宋体"/>
          <w:sz w:val="24"/>
        </w:rPr>
        <w:t>（投标银行需与资金存放网点一致，不得转移）</w:t>
      </w:r>
    </w:p>
    <w:p w14:paraId="1F2C83FC">
      <w:pPr>
        <w:spacing w:line="360" w:lineRule="auto"/>
        <w:rPr>
          <w:rFonts w:hint="eastAsia" w:ascii="宋体" w:hAnsi="宋体" w:cs="宋体"/>
          <w:b/>
          <w:sz w:val="24"/>
        </w:rPr>
      </w:pPr>
      <w:bookmarkStart w:id="12" w:name="_Toc434586596"/>
      <w:bookmarkStart w:id="13" w:name="_Toc433710245"/>
      <w:r>
        <w:rPr>
          <w:rFonts w:hint="eastAsia" w:ascii="宋体" w:hAnsi="宋体" w:cs="宋体"/>
          <w:b/>
          <w:sz w:val="24"/>
        </w:rPr>
        <w:t>五、</w:t>
      </w:r>
      <w:bookmarkEnd w:id="12"/>
      <w:bookmarkEnd w:id="13"/>
      <w:r>
        <w:rPr>
          <w:rFonts w:hint="eastAsia" w:ascii="宋体" w:hAnsi="宋体" w:cs="宋体"/>
          <w:b/>
          <w:sz w:val="24"/>
        </w:rPr>
        <w:t>中标行出现以下行为的，将取消其开户和资金存放资格</w:t>
      </w:r>
    </w:p>
    <w:p w14:paraId="2375E633">
      <w:pPr>
        <w:spacing w:line="360" w:lineRule="auto"/>
        <w:ind w:firstLine="360" w:firstLineChars="150"/>
        <w:rPr>
          <w:rFonts w:hint="eastAsia" w:ascii="宋体" w:hAnsi="宋体" w:cs="宋体"/>
          <w:sz w:val="24"/>
        </w:rPr>
      </w:pPr>
      <w:r>
        <w:rPr>
          <w:rFonts w:hint="eastAsia" w:ascii="宋体" w:hAnsi="宋体" w:cs="宋体"/>
          <w:sz w:val="24"/>
        </w:rPr>
        <w:t>1、定期存放银行出现以下情形之一的，行政事业单位应及时收回定期存款，并有权拒绝其在以后2年内参与本单位公款竞争性存放：</w:t>
      </w:r>
    </w:p>
    <w:p w14:paraId="5B2A4AD1">
      <w:pPr>
        <w:spacing w:line="360" w:lineRule="auto"/>
        <w:ind w:firstLine="360" w:firstLineChars="150"/>
        <w:rPr>
          <w:rFonts w:hint="eastAsia" w:ascii="宋体" w:hAnsi="宋体" w:cs="宋体"/>
          <w:sz w:val="24"/>
        </w:rPr>
      </w:pPr>
      <w:r>
        <w:rPr>
          <w:rFonts w:hint="eastAsia" w:ascii="宋体" w:hAnsi="宋体" w:cs="宋体"/>
          <w:sz w:val="24"/>
        </w:rPr>
        <w:t>（一）出现资金安全事故、重大违法违规情况或财务状况恶化的；</w:t>
      </w:r>
    </w:p>
    <w:p w14:paraId="00AEB8BC">
      <w:pPr>
        <w:spacing w:line="360" w:lineRule="auto"/>
        <w:ind w:firstLine="360" w:firstLineChars="150"/>
        <w:rPr>
          <w:rFonts w:hint="eastAsia" w:ascii="宋体" w:hAnsi="宋体" w:cs="宋体"/>
          <w:sz w:val="24"/>
        </w:rPr>
      </w:pPr>
      <w:r>
        <w:rPr>
          <w:rFonts w:hint="eastAsia" w:ascii="宋体" w:hAnsi="宋体" w:cs="宋体"/>
          <w:sz w:val="24"/>
        </w:rPr>
        <w:t>（二）人民银行综合评价等级降低后低于资格要求标准，监管部门认为存在较大运营风险的；</w:t>
      </w:r>
    </w:p>
    <w:p w14:paraId="20C4D70C">
      <w:pPr>
        <w:spacing w:line="360" w:lineRule="auto"/>
        <w:ind w:firstLine="360" w:firstLineChars="150"/>
        <w:rPr>
          <w:rFonts w:hint="eastAsia" w:ascii="宋体" w:hAnsi="宋体" w:cs="宋体"/>
          <w:sz w:val="24"/>
        </w:rPr>
      </w:pPr>
      <w:r>
        <w:rPr>
          <w:rFonts w:hint="eastAsia" w:ascii="宋体" w:hAnsi="宋体" w:cs="宋体"/>
          <w:sz w:val="24"/>
        </w:rPr>
        <w:t>（三）进行不正当投标的；</w:t>
      </w:r>
    </w:p>
    <w:p w14:paraId="2B94B997">
      <w:pPr>
        <w:spacing w:line="360" w:lineRule="auto"/>
        <w:ind w:firstLine="360" w:firstLineChars="150"/>
        <w:rPr>
          <w:rFonts w:hint="eastAsia" w:ascii="宋体" w:hAnsi="宋体" w:cs="宋体"/>
          <w:sz w:val="24"/>
        </w:rPr>
      </w:pPr>
      <w:r>
        <w:rPr>
          <w:rFonts w:hint="eastAsia" w:ascii="宋体" w:hAnsi="宋体" w:cs="宋体"/>
          <w:sz w:val="24"/>
        </w:rPr>
        <w:t>（四）没有按照中标协议承诺履行相应的责任和义务；</w:t>
      </w:r>
    </w:p>
    <w:p w14:paraId="7DA8D9F7">
      <w:pPr>
        <w:spacing w:line="360" w:lineRule="auto"/>
        <w:ind w:firstLine="360" w:firstLineChars="150"/>
        <w:rPr>
          <w:rFonts w:hint="eastAsia" w:ascii="宋体" w:hAnsi="宋体" w:cs="宋体"/>
          <w:sz w:val="24"/>
        </w:rPr>
      </w:pPr>
      <w:r>
        <w:rPr>
          <w:rFonts w:hint="eastAsia" w:ascii="宋体" w:hAnsi="宋体" w:cs="宋体"/>
          <w:sz w:val="24"/>
        </w:rPr>
        <w:t>（五）不能按规定将到期存款本息足额缴入单位账户的；</w:t>
      </w:r>
    </w:p>
    <w:p w14:paraId="512AE75D">
      <w:pPr>
        <w:spacing w:line="360" w:lineRule="auto"/>
        <w:ind w:firstLine="360" w:firstLineChars="150"/>
        <w:rPr>
          <w:rFonts w:hint="eastAsia" w:ascii="宋体" w:hAnsi="宋体" w:cs="宋体"/>
          <w:sz w:val="24"/>
        </w:rPr>
      </w:pPr>
      <w:r>
        <w:rPr>
          <w:rFonts w:hint="eastAsia" w:ascii="宋体" w:hAnsi="宋体" w:cs="宋体"/>
          <w:sz w:val="24"/>
        </w:rPr>
        <w:t>（六）存在其他妨害资金安全行为的。</w:t>
      </w:r>
    </w:p>
    <w:p w14:paraId="23496A5B">
      <w:pPr>
        <w:spacing w:line="360" w:lineRule="auto"/>
        <w:ind w:firstLine="361" w:firstLineChars="150"/>
        <w:rPr>
          <w:rFonts w:hint="eastAsia" w:ascii="宋体" w:hAnsi="宋体" w:cs="宋体"/>
          <w:b/>
          <w:sz w:val="24"/>
        </w:rPr>
      </w:pPr>
      <w:r>
        <w:rPr>
          <w:rFonts w:hint="eastAsia" w:ascii="宋体" w:hAnsi="宋体" w:cs="宋体"/>
          <w:b/>
          <w:sz w:val="24"/>
        </w:rPr>
        <w:t>七、</w:t>
      </w:r>
      <w:r>
        <w:rPr>
          <w:rFonts w:hint="eastAsia" w:ascii="宋体" w:hAnsi="宋体" w:cs="宋体"/>
          <w:b/>
          <w:kern w:val="0"/>
          <w:sz w:val="24"/>
          <w:szCs w:val="24"/>
        </w:rPr>
        <w:t>定期存款的计息规则</w:t>
      </w:r>
    </w:p>
    <w:p w14:paraId="7A26B15A">
      <w:pPr>
        <w:widowControl/>
        <w:adjustRightInd w:val="0"/>
        <w:spacing w:line="360" w:lineRule="auto"/>
        <w:ind w:firstLine="600"/>
        <w:rPr>
          <w:rFonts w:hint="eastAsia" w:ascii="宋体" w:hAnsi="宋体" w:cs="宋体"/>
          <w:kern w:val="0"/>
          <w:sz w:val="24"/>
          <w:szCs w:val="24"/>
        </w:rPr>
      </w:pPr>
      <w:r>
        <w:rPr>
          <w:rFonts w:hint="eastAsia" w:ascii="宋体" w:hAnsi="宋体" w:cs="宋体"/>
          <w:kern w:val="0"/>
          <w:sz w:val="24"/>
          <w:szCs w:val="24"/>
        </w:rPr>
        <w:t>1、存款到期支取：按中标资金定期存放利率及存放资金量以到帐日期计息，到期一次还本付息。</w:t>
      </w:r>
    </w:p>
    <w:p w14:paraId="71B532A0">
      <w:pPr>
        <w:widowControl/>
        <w:adjustRightInd w:val="0"/>
        <w:spacing w:line="360" w:lineRule="auto"/>
        <w:ind w:firstLine="628" w:firstLineChars="262"/>
        <w:rPr>
          <w:rFonts w:hint="eastAsia" w:ascii="宋体" w:hAnsi="宋体" w:cs="宋体"/>
          <w:kern w:val="0"/>
          <w:sz w:val="24"/>
          <w:szCs w:val="24"/>
        </w:rPr>
      </w:pPr>
      <w:r>
        <w:rPr>
          <w:rFonts w:hint="eastAsia" w:ascii="宋体" w:hAnsi="宋体" w:cs="宋体"/>
          <w:kern w:val="0"/>
          <w:sz w:val="24"/>
          <w:szCs w:val="24"/>
        </w:rPr>
        <w:t>2、存款提前支取：提前支取部分按照中国人民银行规定的活期利率计息，留存部分按照中标利率计息。</w:t>
      </w:r>
    </w:p>
    <w:p w14:paraId="35AFB52E">
      <w:pPr>
        <w:spacing w:line="360" w:lineRule="auto"/>
        <w:ind w:firstLine="361" w:firstLineChars="150"/>
        <w:rPr>
          <w:rFonts w:hint="eastAsia" w:ascii="宋体" w:hAnsi="宋体" w:cs="宋体"/>
          <w:b/>
          <w:sz w:val="24"/>
        </w:rPr>
      </w:pPr>
      <w:r>
        <w:rPr>
          <w:rFonts w:hint="eastAsia" w:ascii="宋体" w:hAnsi="宋体" w:cs="宋体"/>
          <w:b/>
          <w:sz w:val="24"/>
        </w:rPr>
        <w:t>八、服务期限及其它</w:t>
      </w:r>
    </w:p>
    <w:p w14:paraId="6625743B">
      <w:pPr>
        <w:spacing w:line="360" w:lineRule="auto"/>
        <w:ind w:firstLine="360" w:firstLineChars="150"/>
        <w:rPr>
          <w:rFonts w:hint="eastAsia" w:ascii="宋体" w:hAnsi="宋体" w:cs="宋体"/>
          <w:sz w:val="24"/>
        </w:rPr>
      </w:pPr>
      <w:r>
        <w:rPr>
          <w:rFonts w:hint="eastAsia" w:ascii="宋体" w:hAnsi="宋体" w:cs="宋体"/>
          <w:sz w:val="24"/>
        </w:rPr>
        <w:t>1、合同执行期间如遇上级重大政策调整、机构撤并等需要撤销有关银行账户时，协议无条件自然终止。执行期间发现存在利益冲突和利益输送现象，或发生其他重大违法违规问题可能影响存款存放安全等，无条件收回存款。</w:t>
      </w:r>
    </w:p>
    <w:p w14:paraId="56CF695B">
      <w:pPr>
        <w:spacing w:line="360" w:lineRule="auto"/>
        <w:ind w:firstLine="360" w:firstLineChars="150"/>
        <w:rPr>
          <w:rFonts w:hint="eastAsia" w:ascii="宋体" w:hAnsi="宋体" w:cs="宋体"/>
          <w:sz w:val="24"/>
        </w:rPr>
      </w:pPr>
      <w:r>
        <w:rPr>
          <w:rFonts w:hint="eastAsia" w:ascii="宋体" w:hAnsi="宋体" w:cs="宋体"/>
          <w:sz w:val="24"/>
        </w:rPr>
        <w:t>2、招标单位因资金紧急需提前使用，中标银行应全力配合。</w:t>
      </w:r>
      <w:bookmarkEnd w:id="10"/>
      <w:bookmarkEnd w:id="11"/>
    </w:p>
    <w:p w14:paraId="7AC39EFF">
      <w:pPr>
        <w:spacing w:line="360" w:lineRule="auto"/>
        <w:ind w:firstLine="360" w:firstLineChars="150"/>
        <w:rPr>
          <w:rFonts w:ascii="宋体" w:hAnsi="宋体" w:cs="宋体"/>
          <w:sz w:val="24"/>
        </w:rPr>
      </w:pPr>
      <w:r>
        <w:rPr>
          <w:rFonts w:hint="eastAsia" w:ascii="宋体" w:hAnsi="宋体" w:cs="宋体"/>
          <w:sz w:val="24"/>
        </w:rPr>
        <w:t>3、本项目招标代理费由中标单位支付，每个标段支付5000元，在领取中标通知书前付清。</w:t>
      </w:r>
    </w:p>
    <w:p w14:paraId="57E84224">
      <w:pPr>
        <w:spacing w:line="360" w:lineRule="auto"/>
        <w:ind w:firstLine="542" w:firstLineChars="150"/>
        <w:rPr>
          <w:rFonts w:hint="eastAsia" w:ascii="宋体" w:hAnsi="宋体" w:cs="宋体"/>
          <w:b/>
          <w:sz w:val="36"/>
          <w:szCs w:val="36"/>
        </w:rPr>
      </w:pPr>
    </w:p>
    <w:p w14:paraId="5B23223B">
      <w:pPr>
        <w:snapToGrid w:val="0"/>
        <w:jc w:val="center"/>
        <w:rPr>
          <w:rFonts w:hint="eastAsia" w:ascii="宋体" w:hAnsi="宋体" w:cs="宋体"/>
          <w:b/>
          <w:sz w:val="36"/>
          <w:szCs w:val="36"/>
        </w:rPr>
      </w:pPr>
    </w:p>
    <w:p w14:paraId="65D734C9">
      <w:pPr>
        <w:snapToGrid w:val="0"/>
        <w:jc w:val="center"/>
        <w:rPr>
          <w:rFonts w:hint="eastAsia" w:ascii="宋体" w:hAnsi="宋体" w:cs="宋体"/>
          <w:b/>
          <w:sz w:val="36"/>
          <w:szCs w:val="36"/>
        </w:rPr>
      </w:pPr>
    </w:p>
    <w:p w14:paraId="38A47065">
      <w:pPr>
        <w:snapToGrid w:val="0"/>
        <w:jc w:val="center"/>
        <w:rPr>
          <w:rFonts w:hint="eastAsia" w:ascii="宋体" w:hAnsi="宋体" w:cs="宋体"/>
          <w:b/>
          <w:sz w:val="36"/>
          <w:szCs w:val="36"/>
        </w:rPr>
      </w:pPr>
    </w:p>
    <w:p w14:paraId="47930932">
      <w:pPr>
        <w:snapToGrid w:val="0"/>
        <w:jc w:val="center"/>
        <w:rPr>
          <w:rFonts w:hint="eastAsia" w:ascii="宋体" w:hAnsi="宋体" w:cs="宋体"/>
          <w:b/>
          <w:sz w:val="36"/>
          <w:szCs w:val="36"/>
        </w:rPr>
      </w:pPr>
    </w:p>
    <w:p w14:paraId="090F0369">
      <w:pPr>
        <w:snapToGrid w:val="0"/>
        <w:jc w:val="center"/>
        <w:rPr>
          <w:rFonts w:hint="eastAsia" w:ascii="宋体" w:hAnsi="宋体" w:cs="宋体"/>
          <w:b/>
          <w:sz w:val="36"/>
          <w:szCs w:val="36"/>
        </w:rPr>
      </w:pPr>
    </w:p>
    <w:p w14:paraId="51DE9A96">
      <w:pPr>
        <w:snapToGrid w:val="0"/>
        <w:jc w:val="center"/>
        <w:rPr>
          <w:rFonts w:hint="eastAsia" w:ascii="宋体" w:hAnsi="宋体" w:cs="宋体"/>
          <w:b/>
          <w:sz w:val="36"/>
          <w:szCs w:val="36"/>
        </w:rPr>
      </w:pPr>
    </w:p>
    <w:p w14:paraId="62C2E8E4">
      <w:pPr>
        <w:snapToGrid w:val="0"/>
        <w:jc w:val="center"/>
        <w:rPr>
          <w:rFonts w:hint="eastAsia" w:ascii="宋体" w:hAnsi="宋体" w:cs="宋体"/>
          <w:b/>
          <w:sz w:val="36"/>
          <w:szCs w:val="36"/>
        </w:rPr>
      </w:pPr>
    </w:p>
    <w:p w14:paraId="24928E7E">
      <w:pPr>
        <w:snapToGrid w:val="0"/>
        <w:jc w:val="center"/>
        <w:rPr>
          <w:rFonts w:hint="eastAsia" w:ascii="宋体" w:hAnsi="宋体" w:cs="宋体"/>
          <w:b/>
          <w:sz w:val="36"/>
          <w:szCs w:val="36"/>
        </w:rPr>
      </w:pPr>
    </w:p>
    <w:p w14:paraId="1BFD6511">
      <w:pPr>
        <w:snapToGrid w:val="0"/>
        <w:jc w:val="center"/>
        <w:rPr>
          <w:rFonts w:hint="eastAsia" w:ascii="宋体" w:hAnsi="宋体" w:cs="宋体"/>
          <w:b/>
          <w:sz w:val="36"/>
          <w:szCs w:val="36"/>
        </w:rPr>
      </w:pPr>
    </w:p>
    <w:p w14:paraId="01C165E7">
      <w:pPr>
        <w:snapToGrid w:val="0"/>
        <w:jc w:val="center"/>
        <w:rPr>
          <w:rFonts w:hint="eastAsia" w:ascii="宋体" w:hAnsi="宋体" w:cs="宋体"/>
          <w:b/>
          <w:sz w:val="36"/>
          <w:szCs w:val="36"/>
        </w:rPr>
      </w:pPr>
    </w:p>
    <w:p w14:paraId="6C38BCDB">
      <w:pPr>
        <w:snapToGrid w:val="0"/>
        <w:jc w:val="center"/>
        <w:rPr>
          <w:rFonts w:hint="eastAsia" w:ascii="宋体" w:hAnsi="宋体" w:cs="宋体"/>
          <w:b/>
          <w:sz w:val="36"/>
          <w:szCs w:val="36"/>
        </w:rPr>
      </w:pPr>
    </w:p>
    <w:p w14:paraId="0D027AAA">
      <w:pPr>
        <w:snapToGrid w:val="0"/>
        <w:rPr>
          <w:rFonts w:ascii="宋体" w:hAnsi="宋体" w:cs="宋体"/>
          <w:b/>
          <w:sz w:val="36"/>
          <w:szCs w:val="36"/>
        </w:rPr>
      </w:pPr>
    </w:p>
    <w:p w14:paraId="5AD3EBA7">
      <w:pPr>
        <w:snapToGrid w:val="0"/>
        <w:rPr>
          <w:rFonts w:hint="eastAsia" w:ascii="宋体" w:hAnsi="宋体" w:cs="宋体"/>
          <w:b/>
          <w:sz w:val="36"/>
          <w:szCs w:val="36"/>
        </w:rPr>
      </w:pPr>
    </w:p>
    <w:p w14:paraId="1FB519FD">
      <w:pPr>
        <w:snapToGrid w:val="0"/>
        <w:rPr>
          <w:rFonts w:hint="eastAsia" w:ascii="宋体" w:hAnsi="宋体" w:cs="宋体"/>
          <w:b/>
          <w:sz w:val="36"/>
          <w:szCs w:val="36"/>
        </w:rPr>
      </w:pPr>
    </w:p>
    <w:p w14:paraId="2BC5277A">
      <w:pPr>
        <w:snapToGrid w:val="0"/>
        <w:rPr>
          <w:rFonts w:hint="eastAsia" w:ascii="宋体" w:hAnsi="宋体" w:cs="宋体"/>
          <w:b/>
          <w:sz w:val="36"/>
          <w:szCs w:val="36"/>
        </w:rPr>
      </w:pPr>
    </w:p>
    <w:p w14:paraId="49DAE07C">
      <w:pPr>
        <w:snapToGrid w:val="0"/>
        <w:rPr>
          <w:rFonts w:hint="eastAsia" w:ascii="宋体" w:hAnsi="宋体" w:cs="宋体"/>
          <w:b/>
          <w:sz w:val="36"/>
          <w:szCs w:val="36"/>
        </w:rPr>
      </w:pPr>
    </w:p>
    <w:p w14:paraId="30346B69">
      <w:pPr>
        <w:snapToGrid w:val="0"/>
        <w:rPr>
          <w:rFonts w:hint="eastAsia" w:ascii="宋体" w:hAnsi="宋体" w:cs="宋体"/>
          <w:b/>
          <w:sz w:val="36"/>
          <w:szCs w:val="36"/>
        </w:rPr>
      </w:pPr>
    </w:p>
    <w:p w14:paraId="7B2FFC7B">
      <w:pPr>
        <w:snapToGrid w:val="0"/>
        <w:rPr>
          <w:rFonts w:hint="eastAsia" w:ascii="宋体" w:hAnsi="宋体" w:cs="宋体"/>
          <w:b/>
          <w:sz w:val="36"/>
          <w:szCs w:val="36"/>
        </w:rPr>
      </w:pPr>
    </w:p>
    <w:p w14:paraId="74AE56A5">
      <w:pPr>
        <w:snapToGrid w:val="0"/>
        <w:rPr>
          <w:rFonts w:hint="eastAsia" w:ascii="宋体" w:hAnsi="宋体" w:cs="宋体"/>
          <w:b/>
          <w:sz w:val="36"/>
          <w:szCs w:val="36"/>
        </w:rPr>
      </w:pPr>
    </w:p>
    <w:p w14:paraId="62237C60">
      <w:pPr>
        <w:snapToGrid w:val="0"/>
        <w:rPr>
          <w:rFonts w:hint="eastAsia" w:ascii="宋体" w:hAnsi="宋体" w:cs="宋体"/>
          <w:b/>
          <w:sz w:val="36"/>
          <w:szCs w:val="36"/>
        </w:rPr>
      </w:pPr>
    </w:p>
    <w:p w14:paraId="76ECBA19">
      <w:pPr>
        <w:pStyle w:val="2"/>
        <w:spacing w:before="156" w:after="156"/>
        <w:rPr>
          <w:rFonts w:hint="eastAsia"/>
        </w:rPr>
      </w:pPr>
    </w:p>
    <w:p w14:paraId="79AA92B4">
      <w:pPr>
        <w:pStyle w:val="40"/>
        <w:rPr>
          <w:rFonts w:hint="eastAsia" w:ascii="宋体" w:hAnsi="宋体" w:cs="宋体"/>
        </w:rPr>
      </w:pPr>
      <w:bookmarkStart w:id="14" w:name="_Toc486228782"/>
      <w:r>
        <w:rPr>
          <w:rFonts w:hint="eastAsia" w:ascii="宋体" w:hAnsi="宋体" w:cs="宋体"/>
        </w:rPr>
        <w:t>第三章  投标人须知</w:t>
      </w:r>
      <w:bookmarkEnd w:id="14"/>
    </w:p>
    <w:tbl>
      <w:tblPr>
        <w:tblStyle w:val="42"/>
        <w:tblW w:w="9538"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66"/>
        <w:gridCol w:w="1853"/>
        <w:gridCol w:w="7019"/>
      </w:tblGrid>
      <w:tr w14:paraId="3B90A4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827" w:hRule="atLeast"/>
          <w:tblHeader/>
          <w:jc w:val="center"/>
        </w:trPr>
        <w:tc>
          <w:tcPr>
            <w:tcW w:w="666" w:type="dxa"/>
            <w:tcBorders>
              <w:top w:val="double" w:color="auto" w:sz="4" w:space="0"/>
            </w:tcBorders>
            <w:vAlign w:val="center"/>
          </w:tcPr>
          <w:p w14:paraId="50942738">
            <w:pPr>
              <w:snapToGrid w:val="0"/>
              <w:jc w:val="center"/>
              <w:rPr>
                <w:rFonts w:ascii="宋体"/>
                <w:b/>
                <w:bCs/>
                <w:snapToGrid w:val="0"/>
              </w:rPr>
            </w:pPr>
            <w:r>
              <w:rPr>
                <w:rFonts w:hint="eastAsia" w:ascii="宋体" w:hAnsi="宋体" w:cs="宋体"/>
                <w:b/>
                <w:bCs/>
                <w:snapToGrid w:val="0"/>
              </w:rPr>
              <w:t>序号</w:t>
            </w:r>
          </w:p>
        </w:tc>
        <w:tc>
          <w:tcPr>
            <w:tcW w:w="1853" w:type="dxa"/>
            <w:tcBorders>
              <w:top w:val="double" w:color="auto" w:sz="4" w:space="0"/>
            </w:tcBorders>
            <w:vAlign w:val="center"/>
          </w:tcPr>
          <w:p w14:paraId="3B2E014A">
            <w:pPr>
              <w:snapToGrid w:val="0"/>
              <w:jc w:val="center"/>
              <w:rPr>
                <w:rFonts w:ascii="宋体"/>
                <w:b/>
                <w:bCs/>
                <w:snapToGrid w:val="0"/>
              </w:rPr>
            </w:pPr>
            <w:r>
              <w:rPr>
                <w:rFonts w:hint="eastAsia" w:ascii="宋体" w:hAnsi="宋体" w:cs="宋体"/>
                <w:b/>
                <w:bCs/>
                <w:snapToGrid w:val="0"/>
              </w:rPr>
              <w:t>项目</w:t>
            </w:r>
          </w:p>
        </w:tc>
        <w:tc>
          <w:tcPr>
            <w:tcW w:w="7019" w:type="dxa"/>
            <w:tcBorders>
              <w:top w:val="double" w:color="auto" w:sz="4" w:space="0"/>
            </w:tcBorders>
            <w:vAlign w:val="center"/>
          </w:tcPr>
          <w:p w14:paraId="7C9C0F51">
            <w:pPr>
              <w:snapToGrid w:val="0"/>
              <w:jc w:val="center"/>
              <w:rPr>
                <w:rFonts w:ascii="宋体"/>
                <w:b/>
                <w:bCs/>
                <w:snapToGrid w:val="0"/>
              </w:rPr>
            </w:pPr>
            <w:r>
              <w:rPr>
                <w:rFonts w:hint="eastAsia" w:ascii="宋体" w:hAnsi="宋体" w:cs="宋体"/>
                <w:b/>
                <w:bCs/>
                <w:snapToGrid w:val="0"/>
              </w:rPr>
              <w:t>内容</w:t>
            </w:r>
          </w:p>
        </w:tc>
      </w:tr>
      <w:tr w14:paraId="2FA509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59" w:hRule="atLeast"/>
          <w:jc w:val="center"/>
        </w:trPr>
        <w:tc>
          <w:tcPr>
            <w:tcW w:w="666" w:type="dxa"/>
            <w:vAlign w:val="center"/>
          </w:tcPr>
          <w:p w14:paraId="3ADB1EDC">
            <w:pPr>
              <w:snapToGrid w:val="0"/>
              <w:jc w:val="center"/>
              <w:rPr>
                <w:rFonts w:ascii="宋体"/>
                <w:snapToGrid w:val="0"/>
              </w:rPr>
            </w:pPr>
            <w:r>
              <w:rPr>
                <w:rFonts w:ascii="宋体" w:hAnsi="宋体" w:cs="宋体"/>
                <w:snapToGrid w:val="0"/>
              </w:rPr>
              <w:t>1</w:t>
            </w:r>
          </w:p>
        </w:tc>
        <w:tc>
          <w:tcPr>
            <w:tcW w:w="1853" w:type="dxa"/>
            <w:vAlign w:val="center"/>
          </w:tcPr>
          <w:p w14:paraId="4327CF89">
            <w:pPr>
              <w:snapToGrid w:val="0"/>
              <w:jc w:val="center"/>
              <w:rPr>
                <w:rFonts w:ascii="宋体"/>
                <w:snapToGrid w:val="0"/>
              </w:rPr>
            </w:pPr>
            <w:r>
              <w:rPr>
                <w:rFonts w:hint="eastAsia" w:ascii="宋体" w:hAnsi="宋体" w:cs="宋体"/>
                <w:snapToGrid w:val="0"/>
              </w:rPr>
              <w:t>项目名称</w:t>
            </w:r>
          </w:p>
        </w:tc>
        <w:tc>
          <w:tcPr>
            <w:tcW w:w="7019" w:type="dxa"/>
            <w:vAlign w:val="center"/>
          </w:tcPr>
          <w:p w14:paraId="566AB577">
            <w:pPr>
              <w:snapToGrid w:val="0"/>
              <w:ind w:firstLine="420" w:firstLineChars="200"/>
              <w:rPr>
                <w:rFonts w:hint="eastAsia" w:ascii="宋体" w:hAnsi="宋体" w:cs="宋体"/>
                <w:snapToGrid w:val="0"/>
              </w:rPr>
            </w:pPr>
            <w:r>
              <w:rPr>
                <w:rFonts w:hint="eastAsia" w:ascii="宋体" w:hAnsi="宋体" w:cs="宋体"/>
                <w:snapToGrid w:val="0"/>
              </w:rPr>
              <w:t>绍兴市上虞区人民政府办公室2025年第一期公款竞争性存放</w:t>
            </w:r>
          </w:p>
        </w:tc>
      </w:tr>
      <w:tr w14:paraId="2B3B0D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0" w:hRule="atLeast"/>
          <w:jc w:val="center"/>
        </w:trPr>
        <w:tc>
          <w:tcPr>
            <w:tcW w:w="666" w:type="dxa"/>
            <w:vAlign w:val="center"/>
          </w:tcPr>
          <w:p w14:paraId="4FCEE40E">
            <w:pPr>
              <w:snapToGrid w:val="0"/>
              <w:jc w:val="center"/>
              <w:rPr>
                <w:rFonts w:hint="eastAsia" w:ascii="宋体"/>
                <w:snapToGrid w:val="0"/>
              </w:rPr>
            </w:pPr>
            <w:r>
              <w:rPr>
                <w:rFonts w:ascii="宋体" w:hAnsi="宋体" w:cs="宋体"/>
                <w:snapToGrid w:val="0"/>
              </w:rPr>
              <w:t xml:space="preserve">                                                                                                   </w:t>
            </w:r>
            <w:r>
              <w:rPr>
                <w:rFonts w:hint="eastAsia" w:ascii="宋体" w:hAnsi="宋体" w:cs="宋体"/>
                <w:snapToGrid w:val="0"/>
              </w:rPr>
              <w:t>2</w:t>
            </w:r>
          </w:p>
        </w:tc>
        <w:tc>
          <w:tcPr>
            <w:tcW w:w="1853" w:type="dxa"/>
            <w:vAlign w:val="center"/>
          </w:tcPr>
          <w:p w14:paraId="5C9F7E44">
            <w:pPr>
              <w:snapToGrid w:val="0"/>
              <w:jc w:val="center"/>
              <w:rPr>
                <w:rFonts w:ascii="宋体"/>
                <w:snapToGrid w:val="0"/>
              </w:rPr>
            </w:pPr>
            <w:r>
              <w:rPr>
                <w:rFonts w:hint="eastAsia" w:ascii="宋体" w:hAnsi="宋体" w:cs="宋体"/>
                <w:snapToGrid w:val="0"/>
              </w:rPr>
              <w:t>资格审查方式</w:t>
            </w:r>
          </w:p>
        </w:tc>
        <w:tc>
          <w:tcPr>
            <w:tcW w:w="7019" w:type="dxa"/>
            <w:vAlign w:val="center"/>
          </w:tcPr>
          <w:p w14:paraId="5AD971C1">
            <w:pPr>
              <w:snapToGrid w:val="0"/>
              <w:ind w:firstLine="420" w:firstLineChars="200"/>
              <w:rPr>
                <w:rFonts w:ascii="宋体"/>
                <w:snapToGrid w:val="0"/>
              </w:rPr>
            </w:pPr>
            <w:r>
              <w:rPr>
                <w:rFonts w:hint="eastAsia" w:ascii="宋体" w:hAnsi="宋体" w:cs="宋体"/>
                <w:snapToGrid w:val="0"/>
              </w:rPr>
              <w:t>资格审查是指开标后，评标小组将依据法律法规和招标文件的规定对供应商的资格进行审查。</w:t>
            </w:r>
          </w:p>
        </w:tc>
      </w:tr>
      <w:tr w14:paraId="7DB91E4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22" w:hRule="atLeast"/>
          <w:jc w:val="center"/>
        </w:trPr>
        <w:tc>
          <w:tcPr>
            <w:tcW w:w="666" w:type="dxa"/>
            <w:vAlign w:val="center"/>
          </w:tcPr>
          <w:p w14:paraId="2DEDA02A">
            <w:pPr>
              <w:snapToGrid w:val="0"/>
              <w:jc w:val="center"/>
              <w:rPr>
                <w:rFonts w:hint="eastAsia" w:ascii="宋体"/>
                <w:snapToGrid w:val="0"/>
              </w:rPr>
            </w:pPr>
            <w:r>
              <w:rPr>
                <w:rFonts w:hint="eastAsia" w:ascii="宋体" w:hAnsi="宋体" w:cs="宋体"/>
                <w:snapToGrid w:val="0"/>
              </w:rPr>
              <w:t>3</w:t>
            </w:r>
          </w:p>
        </w:tc>
        <w:tc>
          <w:tcPr>
            <w:tcW w:w="1853" w:type="dxa"/>
            <w:vAlign w:val="center"/>
          </w:tcPr>
          <w:p w14:paraId="79511BBF">
            <w:pPr>
              <w:snapToGrid w:val="0"/>
              <w:jc w:val="center"/>
              <w:rPr>
                <w:rFonts w:ascii="宋体"/>
                <w:snapToGrid w:val="0"/>
              </w:rPr>
            </w:pPr>
            <w:r>
              <w:rPr>
                <w:rFonts w:hint="eastAsia" w:ascii="宋体" w:hAnsi="宋体" w:cs="宋体"/>
                <w:snapToGrid w:val="0"/>
              </w:rPr>
              <w:t>询问</w:t>
            </w:r>
          </w:p>
        </w:tc>
        <w:tc>
          <w:tcPr>
            <w:tcW w:w="7019" w:type="dxa"/>
            <w:vAlign w:val="center"/>
          </w:tcPr>
          <w:p w14:paraId="48925FA7">
            <w:pPr>
              <w:snapToGrid w:val="0"/>
              <w:ind w:firstLine="420" w:firstLineChars="200"/>
              <w:rPr>
                <w:rFonts w:ascii="宋体"/>
                <w:snapToGrid w:val="0"/>
              </w:rPr>
            </w:pPr>
            <w:r>
              <w:rPr>
                <w:rFonts w:hint="eastAsia" w:ascii="宋体" w:hAnsi="宋体" w:cs="宋体"/>
                <w:snapToGrid w:val="0"/>
              </w:rPr>
              <w:t>供应商对竞争性存放采购活动事项有疑问的，可以向采购机构提出询问，采购人或者招标代理机构应当在</w:t>
            </w:r>
            <w:r>
              <w:rPr>
                <w:rFonts w:ascii="宋体" w:hAnsi="宋体" w:cs="宋体"/>
                <w:snapToGrid w:val="0"/>
              </w:rPr>
              <w:t>3</w:t>
            </w:r>
            <w:r>
              <w:rPr>
                <w:rFonts w:hint="eastAsia" w:ascii="宋体" w:hAnsi="宋体" w:cs="宋体"/>
                <w:snapToGrid w:val="0"/>
              </w:rPr>
              <w:t>个工作日内对供应商依法提出的询问作出答复，但答复的内容不得涉及商业秘密。</w:t>
            </w:r>
          </w:p>
        </w:tc>
      </w:tr>
      <w:tr w14:paraId="2FDED2B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396" w:hRule="atLeast"/>
          <w:jc w:val="center"/>
        </w:trPr>
        <w:tc>
          <w:tcPr>
            <w:tcW w:w="666" w:type="dxa"/>
            <w:vAlign w:val="center"/>
          </w:tcPr>
          <w:p w14:paraId="3121C04C">
            <w:pPr>
              <w:snapToGrid w:val="0"/>
              <w:jc w:val="center"/>
              <w:rPr>
                <w:rFonts w:hint="eastAsia" w:ascii="宋体"/>
                <w:snapToGrid w:val="0"/>
              </w:rPr>
            </w:pPr>
            <w:r>
              <w:rPr>
                <w:rFonts w:hint="eastAsia" w:ascii="宋体" w:hAnsi="宋体" w:cs="宋体"/>
                <w:snapToGrid w:val="0"/>
              </w:rPr>
              <w:t>4</w:t>
            </w:r>
          </w:p>
        </w:tc>
        <w:tc>
          <w:tcPr>
            <w:tcW w:w="1853" w:type="dxa"/>
            <w:vAlign w:val="center"/>
          </w:tcPr>
          <w:p w14:paraId="78A16817">
            <w:pPr>
              <w:snapToGrid w:val="0"/>
              <w:jc w:val="center"/>
              <w:rPr>
                <w:rFonts w:ascii="宋体"/>
                <w:snapToGrid w:val="0"/>
              </w:rPr>
            </w:pPr>
            <w:r>
              <w:rPr>
                <w:rFonts w:hint="eastAsia" w:ascii="宋体" w:hAnsi="宋体" w:cs="宋体"/>
                <w:snapToGrid w:val="0"/>
              </w:rPr>
              <w:t>招标文件的澄清与修改</w:t>
            </w:r>
          </w:p>
        </w:tc>
        <w:tc>
          <w:tcPr>
            <w:tcW w:w="7019" w:type="dxa"/>
            <w:vAlign w:val="center"/>
          </w:tcPr>
          <w:p w14:paraId="6C1D2757">
            <w:pPr>
              <w:snapToGrid w:val="0"/>
              <w:ind w:firstLine="420" w:firstLineChars="200"/>
              <w:rPr>
                <w:rFonts w:ascii="宋体"/>
                <w:snapToGrid w:val="0"/>
              </w:rPr>
            </w:pPr>
            <w:r>
              <w:rPr>
                <w:rFonts w:hint="eastAsia" w:ascii="宋体" w:hAnsi="宋体" w:cs="宋体"/>
                <w:snapToGrid w:val="0"/>
              </w:rPr>
              <w:t>采购单位可以对已发出的招标文件进行必要澄清或者修改，澄清或者修改的内容可能影响投标文件编制的，应当在提交首次投标文件截止时间至少</w:t>
            </w:r>
            <w:r>
              <w:rPr>
                <w:rFonts w:ascii="宋体" w:hAnsi="宋体" w:cs="宋体"/>
                <w:snapToGrid w:val="0"/>
              </w:rPr>
              <w:t>5</w:t>
            </w:r>
            <w:r>
              <w:rPr>
                <w:rFonts w:hint="eastAsia" w:ascii="宋体" w:hAnsi="宋体" w:cs="宋体"/>
                <w:snapToGrid w:val="0"/>
              </w:rPr>
              <w:t>日前，在招标公告发布的媒体上发布更正公告。本项目招标文件和补充（答疑、澄清）、修改文件等请自行登录浙江政府采购网查看。</w:t>
            </w:r>
          </w:p>
        </w:tc>
      </w:tr>
      <w:tr w14:paraId="5F40AB9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61" w:hRule="atLeast"/>
          <w:jc w:val="center"/>
        </w:trPr>
        <w:tc>
          <w:tcPr>
            <w:tcW w:w="666" w:type="dxa"/>
            <w:vAlign w:val="center"/>
          </w:tcPr>
          <w:p w14:paraId="3B4FAE43">
            <w:pPr>
              <w:snapToGrid w:val="0"/>
              <w:jc w:val="center"/>
              <w:rPr>
                <w:rFonts w:hint="eastAsia" w:ascii="宋体"/>
                <w:snapToGrid w:val="0"/>
              </w:rPr>
            </w:pPr>
            <w:r>
              <w:rPr>
                <w:rFonts w:hint="eastAsia" w:ascii="宋体" w:hAnsi="宋体" w:cs="宋体"/>
                <w:snapToGrid w:val="0"/>
              </w:rPr>
              <w:t>5</w:t>
            </w:r>
          </w:p>
        </w:tc>
        <w:tc>
          <w:tcPr>
            <w:tcW w:w="1853" w:type="dxa"/>
            <w:vAlign w:val="center"/>
          </w:tcPr>
          <w:p w14:paraId="55A85727">
            <w:pPr>
              <w:snapToGrid w:val="0"/>
              <w:jc w:val="center"/>
              <w:rPr>
                <w:rFonts w:ascii="宋体"/>
                <w:snapToGrid w:val="0"/>
              </w:rPr>
            </w:pPr>
            <w:r>
              <w:rPr>
                <w:rFonts w:hint="eastAsia" w:ascii="宋体" w:hAnsi="宋体" w:cs="宋体"/>
                <w:snapToGrid w:val="0"/>
              </w:rPr>
              <w:t>投标响应文件组成</w:t>
            </w:r>
          </w:p>
        </w:tc>
        <w:tc>
          <w:tcPr>
            <w:tcW w:w="7019" w:type="dxa"/>
            <w:vAlign w:val="center"/>
          </w:tcPr>
          <w:p w14:paraId="3FC180C1">
            <w:pPr>
              <w:snapToGrid w:val="0"/>
              <w:ind w:firstLine="420" w:firstLineChars="200"/>
              <w:rPr>
                <w:rFonts w:ascii="宋体"/>
                <w:snapToGrid w:val="0"/>
              </w:rPr>
            </w:pPr>
            <w:r>
              <w:rPr>
                <w:rFonts w:hint="eastAsia" w:ascii="宋体" w:hAnsi="宋体" w:cs="宋体"/>
                <w:snapToGrid w:val="0"/>
              </w:rPr>
              <w:t>供应商向采购人递交的投标文件由资格文件、资信技术文件、商务文件三部分组成。</w:t>
            </w:r>
          </w:p>
        </w:tc>
      </w:tr>
      <w:tr w14:paraId="1DBC5D4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9" w:hRule="atLeast"/>
          <w:jc w:val="center"/>
        </w:trPr>
        <w:tc>
          <w:tcPr>
            <w:tcW w:w="666" w:type="dxa"/>
            <w:vAlign w:val="center"/>
          </w:tcPr>
          <w:p w14:paraId="14DA3543">
            <w:pPr>
              <w:snapToGrid w:val="0"/>
              <w:jc w:val="center"/>
              <w:rPr>
                <w:rFonts w:hint="eastAsia" w:ascii="宋体"/>
                <w:snapToGrid w:val="0"/>
              </w:rPr>
            </w:pPr>
            <w:r>
              <w:rPr>
                <w:rFonts w:hint="eastAsia" w:ascii="宋体" w:hAnsi="宋体" w:cs="宋体"/>
                <w:snapToGrid w:val="0"/>
              </w:rPr>
              <w:t>6</w:t>
            </w:r>
          </w:p>
        </w:tc>
        <w:tc>
          <w:tcPr>
            <w:tcW w:w="1853" w:type="dxa"/>
            <w:vAlign w:val="center"/>
          </w:tcPr>
          <w:p w14:paraId="32C1D3E9">
            <w:pPr>
              <w:snapToGrid w:val="0"/>
              <w:jc w:val="center"/>
              <w:rPr>
                <w:rFonts w:ascii="宋体"/>
                <w:snapToGrid w:val="0"/>
              </w:rPr>
            </w:pPr>
            <w:r>
              <w:rPr>
                <w:rFonts w:hint="eastAsia" w:ascii="宋体" w:hAnsi="宋体" w:cs="宋体"/>
                <w:snapToGrid w:val="0"/>
              </w:rPr>
              <w:t>评标办法</w:t>
            </w:r>
          </w:p>
        </w:tc>
        <w:tc>
          <w:tcPr>
            <w:tcW w:w="7019" w:type="dxa"/>
            <w:vAlign w:val="center"/>
          </w:tcPr>
          <w:p w14:paraId="64C6AD37">
            <w:pPr>
              <w:snapToGrid w:val="0"/>
              <w:ind w:firstLine="420" w:firstLineChars="200"/>
              <w:rPr>
                <w:rFonts w:ascii="宋体"/>
                <w:snapToGrid w:val="0"/>
              </w:rPr>
            </w:pPr>
            <w:r>
              <w:rPr>
                <w:rFonts w:hint="eastAsia" w:ascii="宋体" w:hAnsi="宋体" w:cs="宋体"/>
                <w:snapToGrid w:val="0"/>
              </w:rPr>
              <w:t>综合评分法</w:t>
            </w:r>
          </w:p>
        </w:tc>
      </w:tr>
      <w:tr w14:paraId="04F6FB5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22" w:hRule="atLeast"/>
          <w:jc w:val="center"/>
        </w:trPr>
        <w:tc>
          <w:tcPr>
            <w:tcW w:w="666" w:type="dxa"/>
            <w:vAlign w:val="center"/>
          </w:tcPr>
          <w:p w14:paraId="1A4E5E27">
            <w:pPr>
              <w:snapToGrid w:val="0"/>
              <w:jc w:val="center"/>
              <w:rPr>
                <w:rFonts w:hint="eastAsia" w:ascii="宋体"/>
                <w:snapToGrid w:val="0"/>
              </w:rPr>
            </w:pPr>
            <w:r>
              <w:rPr>
                <w:rFonts w:hint="eastAsia" w:ascii="宋体" w:hAnsi="宋体" w:cs="宋体"/>
                <w:snapToGrid w:val="0"/>
              </w:rPr>
              <w:t>7</w:t>
            </w:r>
          </w:p>
        </w:tc>
        <w:tc>
          <w:tcPr>
            <w:tcW w:w="1853" w:type="dxa"/>
            <w:vAlign w:val="center"/>
          </w:tcPr>
          <w:p w14:paraId="75C0B0F0">
            <w:pPr>
              <w:snapToGrid w:val="0"/>
              <w:jc w:val="center"/>
              <w:rPr>
                <w:rFonts w:ascii="宋体"/>
                <w:snapToGrid w:val="0"/>
              </w:rPr>
            </w:pPr>
            <w:r>
              <w:rPr>
                <w:rFonts w:hint="eastAsia" w:ascii="宋体" w:hAnsi="宋体" w:cs="宋体"/>
                <w:snapToGrid w:val="0"/>
              </w:rPr>
              <w:t>投标响应文件递交地址及截止时间</w:t>
            </w:r>
          </w:p>
        </w:tc>
        <w:tc>
          <w:tcPr>
            <w:tcW w:w="7019" w:type="dxa"/>
            <w:vAlign w:val="center"/>
          </w:tcPr>
          <w:p w14:paraId="6337A2D8">
            <w:pPr>
              <w:snapToGrid w:val="0"/>
              <w:ind w:firstLine="420" w:firstLineChars="200"/>
              <w:rPr>
                <w:rFonts w:ascii="宋体"/>
              </w:rPr>
            </w:pPr>
            <w:r>
              <w:rPr>
                <w:rFonts w:hint="eastAsia" w:ascii="宋体" w:hAnsi="宋体" w:cs="宋体"/>
                <w:snapToGrid w:val="0"/>
              </w:rPr>
              <w:t>详见招标公告</w:t>
            </w:r>
          </w:p>
        </w:tc>
      </w:tr>
      <w:tr w14:paraId="50747A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0" w:hRule="atLeast"/>
          <w:jc w:val="center"/>
        </w:trPr>
        <w:tc>
          <w:tcPr>
            <w:tcW w:w="666" w:type="dxa"/>
            <w:vAlign w:val="center"/>
          </w:tcPr>
          <w:p w14:paraId="3F6C793C">
            <w:pPr>
              <w:snapToGrid w:val="0"/>
              <w:jc w:val="center"/>
              <w:rPr>
                <w:rFonts w:hint="eastAsia" w:ascii="宋体"/>
                <w:snapToGrid w:val="0"/>
              </w:rPr>
            </w:pPr>
            <w:r>
              <w:rPr>
                <w:rFonts w:hint="eastAsia" w:ascii="宋体" w:hAnsi="宋体" w:cs="宋体"/>
                <w:snapToGrid w:val="0"/>
              </w:rPr>
              <w:t>8</w:t>
            </w:r>
          </w:p>
        </w:tc>
        <w:tc>
          <w:tcPr>
            <w:tcW w:w="1853" w:type="dxa"/>
            <w:vAlign w:val="center"/>
          </w:tcPr>
          <w:p w14:paraId="0EE9582C">
            <w:pPr>
              <w:snapToGrid w:val="0"/>
              <w:jc w:val="center"/>
              <w:rPr>
                <w:rFonts w:ascii="宋体"/>
                <w:snapToGrid w:val="0"/>
              </w:rPr>
            </w:pPr>
            <w:r>
              <w:rPr>
                <w:rFonts w:hint="eastAsia" w:ascii="宋体" w:hAnsi="宋体" w:cs="宋体"/>
                <w:snapToGrid w:val="0"/>
              </w:rPr>
              <w:t>开标时间、地点</w:t>
            </w:r>
          </w:p>
        </w:tc>
        <w:tc>
          <w:tcPr>
            <w:tcW w:w="7019" w:type="dxa"/>
            <w:vAlign w:val="center"/>
          </w:tcPr>
          <w:p w14:paraId="68E1A69F">
            <w:pPr>
              <w:snapToGrid w:val="0"/>
              <w:ind w:firstLine="420" w:firstLineChars="200"/>
              <w:rPr>
                <w:rFonts w:ascii="宋体"/>
                <w:snapToGrid w:val="0"/>
              </w:rPr>
            </w:pPr>
            <w:r>
              <w:rPr>
                <w:rFonts w:hint="eastAsia" w:ascii="宋体" w:hAnsi="宋体" w:cs="宋体"/>
                <w:snapToGrid w:val="0"/>
              </w:rPr>
              <w:t>开标时间：</w:t>
            </w:r>
            <w:r>
              <w:rPr>
                <w:rFonts w:hint="eastAsia" w:ascii="宋体" w:hAnsi="宋体" w:cs="宋体"/>
              </w:rPr>
              <w:t>详见招标公告</w:t>
            </w:r>
          </w:p>
          <w:p w14:paraId="3019A3FB">
            <w:pPr>
              <w:snapToGrid w:val="0"/>
              <w:ind w:firstLine="420" w:firstLineChars="200"/>
              <w:rPr>
                <w:rFonts w:ascii="宋体"/>
              </w:rPr>
            </w:pPr>
            <w:r>
              <w:rPr>
                <w:rFonts w:hint="eastAsia" w:ascii="宋体" w:hAnsi="宋体" w:cs="宋体"/>
                <w:snapToGrid w:val="0"/>
              </w:rPr>
              <w:t>开标地点：</w:t>
            </w:r>
            <w:r>
              <w:rPr>
                <w:rFonts w:hint="eastAsia" w:ascii="宋体" w:hAnsi="宋体" w:cs="宋体"/>
              </w:rPr>
              <w:t>详见招标公告</w:t>
            </w:r>
          </w:p>
        </w:tc>
      </w:tr>
      <w:tr w14:paraId="21AF8F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22" w:hRule="atLeast"/>
          <w:jc w:val="center"/>
        </w:trPr>
        <w:tc>
          <w:tcPr>
            <w:tcW w:w="666" w:type="dxa"/>
            <w:vAlign w:val="center"/>
          </w:tcPr>
          <w:p w14:paraId="66B84383">
            <w:pPr>
              <w:snapToGrid w:val="0"/>
              <w:jc w:val="center"/>
              <w:rPr>
                <w:rFonts w:hint="eastAsia" w:ascii="宋体"/>
                <w:snapToGrid w:val="0"/>
              </w:rPr>
            </w:pPr>
            <w:r>
              <w:rPr>
                <w:rFonts w:hint="eastAsia" w:ascii="宋体" w:hAnsi="宋体" w:cs="宋体"/>
                <w:snapToGrid w:val="0"/>
              </w:rPr>
              <w:t>9</w:t>
            </w:r>
          </w:p>
        </w:tc>
        <w:tc>
          <w:tcPr>
            <w:tcW w:w="1853" w:type="dxa"/>
            <w:vAlign w:val="center"/>
          </w:tcPr>
          <w:p w14:paraId="76248235">
            <w:pPr>
              <w:snapToGrid w:val="0"/>
              <w:jc w:val="center"/>
              <w:rPr>
                <w:rFonts w:ascii="宋体"/>
                <w:snapToGrid w:val="0"/>
              </w:rPr>
            </w:pPr>
            <w:r>
              <w:rPr>
                <w:rFonts w:hint="eastAsia" w:ascii="宋体" w:hAnsi="宋体" w:cs="宋体"/>
                <w:snapToGrid w:val="0"/>
              </w:rPr>
              <w:t>投标响应文件有效期</w:t>
            </w:r>
          </w:p>
        </w:tc>
        <w:tc>
          <w:tcPr>
            <w:tcW w:w="7019" w:type="dxa"/>
            <w:vAlign w:val="center"/>
          </w:tcPr>
          <w:p w14:paraId="03C250FC">
            <w:pPr>
              <w:snapToGrid w:val="0"/>
              <w:ind w:firstLine="420" w:firstLineChars="200"/>
              <w:rPr>
                <w:rFonts w:ascii="宋体"/>
                <w:snapToGrid w:val="0"/>
              </w:rPr>
            </w:pPr>
            <w:r>
              <w:rPr>
                <w:rFonts w:hint="eastAsia" w:ascii="宋体" w:hAnsi="宋体" w:cs="宋体"/>
                <w:snapToGrid w:val="0"/>
              </w:rPr>
              <w:t>响应文件有效期为从提交投标文件的截止之日起</w:t>
            </w:r>
            <w:r>
              <w:rPr>
                <w:rFonts w:ascii="宋体" w:hAnsi="宋体" w:cs="宋体"/>
                <w:snapToGrid w:val="0"/>
              </w:rPr>
              <w:t>90</w:t>
            </w:r>
            <w:r>
              <w:rPr>
                <w:rFonts w:hint="eastAsia" w:ascii="宋体" w:hAnsi="宋体" w:cs="宋体"/>
                <w:snapToGrid w:val="0"/>
              </w:rPr>
              <w:t>天。供应商的投标文件中承诺的投标文件有效期少于招标文件中载明的投标文件有效期的，投标无效。</w:t>
            </w:r>
          </w:p>
        </w:tc>
      </w:tr>
      <w:tr w14:paraId="7EA1053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96" w:hRule="atLeast"/>
          <w:jc w:val="center"/>
        </w:trPr>
        <w:tc>
          <w:tcPr>
            <w:tcW w:w="666" w:type="dxa"/>
            <w:vAlign w:val="center"/>
          </w:tcPr>
          <w:p w14:paraId="1EDBE1AE">
            <w:pPr>
              <w:snapToGrid w:val="0"/>
              <w:jc w:val="center"/>
              <w:rPr>
                <w:rFonts w:hint="eastAsia" w:ascii="宋体"/>
                <w:snapToGrid w:val="0"/>
              </w:rPr>
            </w:pPr>
            <w:r>
              <w:rPr>
                <w:rFonts w:ascii="宋体" w:hAnsi="宋体" w:cs="宋体"/>
                <w:snapToGrid w:val="0"/>
              </w:rPr>
              <w:t>1</w:t>
            </w:r>
            <w:r>
              <w:rPr>
                <w:rFonts w:hint="eastAsia" w:ascii="宋体" w:hAnsi="宋体" w:cs="宋体"/>
                <w:snapToGrid w:val="0"/>
              </w:rPr>
              <w:t>0</w:t>
            </w:r>
          </w:p>
        </w:tc>
        <w:tc>
          <w:tcPr>
            <w:tcW w:w="1853" w:type="dxa"/>
            <w:vAlign w:val="center"/>
          </w:tcPr>
          <w:p w14:paraId="0C7B138C">
            <w:pPr>
              <w:snapToGrid w:val="0"/>
              <w:jc w:val="center"/>
              <w:rPr>
                <w:rFonts w:ascii="宋体"/>
                <w:snapToGrid w:val="0"/>
              </w:rPr>
            </w:pPr>
            <w:r>
              <w:rPr>
                <w:rFonts w:hint="eastAsia" w:ascii="宋体" w:hAnsi="宋体" w:cs="宋体"/>
                <w:snapToGrid w:val="0"/>
              </w:rPr>
              <w:t>招标公告及成交结果公告发布媒体</w:t>
            </w:r>
          </w:p>
        </w:tc>
        <w:tc>
          <w:tcPr>
            <w:tcW w:w="7019" w:type="dxa"/>
            <w:vAlign w:val="center"/>
          </w:tcPr>
          <w:p w14:paraId="2F2C82F5">
            <w:pPr>
              <w:pStyle w:val="25"/>
              <w:snapToGrid w:val="0"/>
              <w:ind w:firstLine="420" w:firstLineChars="200"/>
              <w:rPr>
                <w:rFonts w:hAnsi="宋体"/>
              </w:rPr>
            </w:pPr>
            <w:r>
              <w:rPr>
                <w:rFonts w:hint="eastAsia" w:hAnsi="宋体"/>
              </w:rPr>
              <w:t>浙江省政府采购网</w:t>
            </w:r>
          </w:p>
        </w:tc>
      </w:tr>
    </w:tbl>
    <w:p w14:paraId="08DB1630">
      <w:pPr>
        <w:snapToGrid w:val="0"/>
        <w:spacing w:beforeLines="50" w:afterLines="50"/>
        <w:jc w:val="center"/>
        <w:rPr>
          <w:rFonts w:hint="eastAsia" w:ascii="宋体" w:hAnsi="宋体" w:cs="宋体"/>
          <w:b/>
          <w:sz w:val="28"/>
          <w:szCs w:val="28"/>
        </w:rPr>
      </w:pPr>
    </w:p>
    <w:p w14:paraId="7FAE087C">
      <w:pPr>
        <w:snapToGrid w:val="0"/>
        <w:spacing w:beforeLines="50" w:afterLines="50"/>
        <w:jc w:val="center"/>
        <w:rPr>
          <w:rFonts w:hint="eastAsia" w:ascii="宋体" w:hAnsi="宋体" w:cs="宋体"/>
          <w:b/>
          <w:sz w:val="28"/>
          <w:szCs w:val="28"/>
        </w:rPr>
      </w:pPr>
    </w:p>
    <w:p w14:paraId="64BFD560">
      <w:pPr>
        <w:pStyle w:val="2"/>
        <w:spacing w:before="156" w:after="156"/>
        <w:rPr>
          <w:rFonts w:hint="eastAsia"/>
        </w:rPr>
      </w:pPr>
    </w:p>
    <w:p w14:paraId="3BF77203">
      <w:pPr>
        <w:pStyle w:val="2"/>
        <w:spacing w:before="156" w:after="156"/>
        <w:rPr>
          <w:rFonts w:hint="eastAsia"/>
        </w:rPr>
      </w:pPr>
    </w:p>
    <w:p w14:paraId="23A883B9">
      <w:pPr>
        <w:snapToGrid w:val="0"/>
        <w:spacing w:beforeLines="50" w:afterLines="50"/>
        <w:jc w:val="center"/>
        <w:rPr>
          <w:rFonts w:hint="eastAsia" w:ascii="宋体" w:hAnsi="宋体" w:cs="宋体"/>
          <w:b/>
          <w:sz w:val="28"/>
          <w:szCs w:val="28"/>
        </w:rPr>
      </w:pPr>
      <w:r>
        <w:rPr>
          <w:rFonts w:hint="eastAsia" w:ascii="宋体" w:hAnsi="宋体" w:cs="宋体"/>
          <w:b/>
          <w:sz w:val="28"/>
          <w:szCs w:val="28"/>
        </w:rPr>
        <w:t>一   总  则</w:t>
      </w:r>
    </w:p>
    <w:p w14:paraId="6A7D0E65">
      <w:pPr>
        <w:snapToGrid w:val="0"/>
        <w:spacing w:line="360" w:lineRule="auto"/>
        <w:ind w:firstLine="482" w:firstLineChars="200"/>
        <w:jc w:val="left"/>
        <w:outlineLvl w:val="1"/>
        <w:rPr>
          <w:rFonts w:hint="eastAsia" w:ascii="宋体" w:hAnsi="宋体" w:cs="宋体"/>
          <w:b/>
          <w:sz w:val="24"/>
        </w:rPr>
      </w:pPr>
      <w:bookmarkStart w:id="15" w:name="_Toc486228783"/>
      <w:r>
        <w:rPr>
          <w:rFonts w:hint="eastAsia" w:ascii="宋体" w:hAnsi="宋体" w:cs="宋体"/>
          <w:b/>
          <w:sz w:val="24"/>
          <w:szCs w:val="24"/>
        </w:rPr>
        <w:t>（一） 适用范围</w:t>
      </w:r>
      <w:bookmarkEnd w:id="15"/>
    </w:p>
    <w:p w14:paraId="3625E749">
      <w:pPr>
        <w:snapToGrid w:val="0"/>
        <w:spacing w:line="360" w:lineRule="auto"/>
        <w:ind w:firstLine="480" w:firstLineChars="200"/>
        <w:jc w:val="left"/>
        <w:rPr>
          <w:rFonts w:hint="eastAsia" w:ascii="宋体" w:hAnsi="宋体" w:cs="宋体"/>
          <w:sz w:val="24"/>
        </w:rPr>
      </w:pPr>
      <w:r>
        <w:rPr>
          <w:rFonts w:hint="eastAsia" w:ascii="宋体" w:hAnsi="宋体" w:cs="宋体"/>
          <w:sz w:val="24"/>
          <w:szCs w:val="24"/>
        </w:rPr>
        <w:t>本招标文件适用于本次公款竞争性存放项目的招标、投标、评标、定标、验收、合同履约、付款等行为（法律、法规另有规定的，从其规定）。</w:t>
      </w:r>
    </w:p>
    <w:p w14:paraId="3C560F6B">
      <w:pPr>
        <w:snapToGrid w:val="0"/>
        <w:spacing w:line="360" w:lineRule="auto"/>
        <w:ind w:firstLine="482" w:firstLineChars="200"/>
        <w:jc w:val="left"/>
        <w:outlineLvl w:val="1"/>
        <w:rPr>
          <w:rFonts w:hint="eastAsia" w:ascii="宋体" w:hAnsi="宋体" w:cs="宋体"/>
          <w:b/>
          <w:sz w:val="24"/>
        </w:rPr>
      </w:pPr>
      <w:bookmarkStart w:id="16" w:name="_Toc486228784"/>
      <w:r>
        <w:rPr>
          <w:rFonts w:hint="eastAsia" w:ascii="宋体" w:hAnsi="宋体" w:cs="宋体"/>
          <w:b/>
          <w:sz w:val="24"/>
          <w:szCs w:val="24"/>
        </w:rPr>
        <w:t>（二）定义</w:t>
      </w:r>
      <w:bookmarkEnd w:id="16"/>
    </w:p>
    <w:p w14:paraId="7E643D85">
      <w:pPr>
        <w:snapToGrid w:val="0"/>
        <w:spacing w:line="360" w:lineRule="auto"/>
        <w:ind w:firstLine="480" w:firstLineChars="200"/>
        <w:jc w:val="left"/>
        <w:rPr>
          <w:rFonts w:hint="eastAsia" w:ascii="宋体" w:hAnsi="宋体" w:cs="宋体"/>
          <w:sz w:val="24"/>
        </w:rPr>
      </w:pPr>
      <w:r>
        <w:rPr>
          <w:rFonts w:hint="eastAsia" w:ascii="宋体" w:hAnsi="宋体" w:cs="宋体"/>
          <w:sz w:val="24"/>
          <w:szCs w:val="24"/>
        </w:rPr>
        <w:t>1.招标单位系指组织本次招标的代理机构（“招标人”）和招标单位。</w:t>
      </w:r>
    </w:p>
    <w:p w14:paraId="2DCE7376">
      <w:pPr>
        <w:snapToGrid w:val="0"/>
        <w:spacing w:line="360" w:lineRule="auto"/>
        <w:ind w:firstLine="480" w:firstLineChars="200"/>
        <w:jc w:val="left"/>
        <w:rPr>
          <w:rFonts w:hint="eastAsia" w:ascii="宋体" w:hAnsi="宋体" w:cs="宋体"/>
          <w:sz w:val="24"/>
        </w:rPr>
      </w:pPr>
      <w:r>
        <w:rPr>
          <w:rFonts w:hint="eastAsia" w:ascii="宋体" w:hAnsi="宋体" w:cs="宋体"/>
          <w:sz w:val="24"/>
          <w:szCs w:val="24"/>
        </w:rPr>
        <w:t>2.“投标人”系指向招标方提交投标文件的单位或个人。</w:t>
      </w:r>
    </w:p>
    <w:p w14:paraId="55A91B10">
      <w:pPr>
        <w:snapToGrid w:val="0"/>
        <w:spacing w:line="360" w:lineRule="auto"/>
        <w:ind w:firstLine="480" w:firstLineChars="200"/>
        <w:jc w:val="left"/>
        <w:rPr>
          <w:rFonts w:hint="eastAsia" w:ascii="宋体" w:hAnsi="宋体" w:cs="宋体"/>
          <w:sz w:val="24"/>
        </w:rPr>
      </w:pPr>
      <w:r>
        <w:rPr>
          <w:rFonts w:hint="eastAsia" w:ascii="宋体" w:hAnsi="宋体" w:cs="宋体"/>
          <w:sz w:val="24"/>
          <w:szCs w:val="24"/>
        </w:rPr>
        <w:t>3.“项目”系指投标人按招标文件规定向招标人提供的产品和服务。</w:t>
      </w:r>
    </w:p>
    <w:p w14:paraId="30B164BD">
      <w:pPr>
        <w:snapToGrid w:val="0"/>
        <w:spacing w:line="360" w:lineRule="auto"/>
        <w:ind w:firstLine="480" w:firstLineChars="200"/>
        <w:jc w:val="left"/>
        <w:rPr>
          <w:rFonts w:hint="eastAsia" w:ascii="宋体" w:hAnsi="宋体" w:cs="宋体"/>
          <w:sz w:val="24"/>
        </w:rPr>
      </w:pPr>
      <w:r>
        <w:rPr>
          <w:rFonts w:hint="eastAsia" w:ascii="宋体" w:hAnsi="宋体" w:cs="宋体"/>
          <w:sz w:val="24"/>
          <w:szCs w:val="24"/>
        </w:rPr>
        <w:t>4.“书面形式”包括信函、传真、电报等。</w:t>
      </w:r>
    </w:p>
    <w:p w14:paraId="4A91913E">
      <w:pPr>
        <w:snapToGrid w:val="0"/>
        <w:spacing w:line="360" w:lineRule="auto"/>
        <w:ind w:firstLine="482" w:firstLineChars="200"/>
        <w:jc w:val="left"/>
        <w:outlineLvl w:val="1"/>
        <w:rPr>
          <w:rFonts w:hint="eastAsia" w:ascii="宋体" w:hAnsi="宋体" w:cs="宋体"/>
          <w:b/>
          <w:sz w:val="24"/>
        </w:rPr>
      </w:pPr>
      <w:bookmarkStart w:id="17" w:name="_Toc486228785"/>
      <w:r>
        <w:rPr>
          <w:rFonts w:hint="eastAsia" w:ascii="宋体" w:hAnsi="宋体" w:cs="宋体"/>
          <w:b/>
          <w:sz w:val="24"/>
          <w:szCs w:val="24"/>
        </w:rPr>
        <w:t>（三）招标方式</w:t>
      </w:r>
      <w:bookmarkEnd w:id="17"/>
    </w:p>
    <w:p w14:paraId="05D638EA">
      <w:pPr>
        <w:snapToGrid w:val="0"/>
        <w:spacing w:line="360" w:lineRule="auto"/>
        <w:ind w:firstLine="480" w:firstLineChars="200"/>
        <w:jc w:val="left"/>
        <w:rPr>
          <w:rFonts w:hint="eastAsia" w:ascii="宋体" w:hAnsi="宋体" w:cs="宋体"/>
          <w:sz w:val="24"/>
        </w:rPr>
      </w:pPr>
      <w:r>
        <w:rPr>
          <w:rFonts w:hint="eastAsia" w:ascii="宋体" w:hAnsi="宋体" w:cs="宋体"/>
          <w:sz w:val="24"/>
          <w:szCs w:val="24"/>
        </w:rPr>
        <w:t>本次招标采用公开招标方式进行。</w:t>
      </w:r>
    </w:p>
    <w:p w14:paraId="6F1CC8BE">
      <w:pPr>
        <w:snapToGrid w:val="0"/>
        <w:spacing w:line="360" w:lineRule="auto"/>
        <w:ind w:firstLine="482" w:firstLineChars="200"/>
        <w:jc w:val="left"/>
        <w:outlineLvl w:val="1"/>
        <w:rPr>
          <w:rFonts w:hint="eastAsia" w:ascii="宋体" w:hAnsi="宋体" w:cs="宋体"/>
          <w:b/>
          <w:sz w:val="24"/>
        </w:rPr>
      </w:pPr>
      <w:bookmarkStart w:id="18" w:name="_Toc486228786"/>
      <w:r>
        <w:rPr>
          <w:rFonts w:hint="eastAsia" w:ascii="宋体" w:hAnsi="宋体" w:cs="宋体"/>
          <w:b/>
          <w:sz w:val="24"/>
          <w:szCs w:val="24"/>
        </w:rPr>
        <w:t>（四）投标委托</w:t>
      </w:r>
      <w:bookmarkEnd w:id="18"/>
    </w:p>
    <w:p w14:paraId="25E49342">
      <w:pPr>
        <w:snapToGrid w:val="0"/>
        <w:spacing w:line="360" w:lineRule="auto"/>
        <w:ind w:firstLine="464" w:firstLineChars="200"/>
        <w:jc w:val="left"/>
        <w:rPr>
          <w:rFonts w:hint="eastAsia" w:ascii="宋体" w:hAnsi="宋体" w:cs="宋体"/>
          <w:spacing w:val="-4"/>
          <w:sz w:val="24"/>
          <w:szCs w:val="24"/>
        </w:rPr>
      </w:pPr>
      <w:r>
        <w:rPr>
          <w:rFonts w:hint="eastAsia" w:ascii="宋体" w:hAnsi="宋体" w:cs="宋体"/>
          <w:spacing w:val="-4"/>
          <w:sz w:val="24"/>
          <w:szCs w:val="24"/>
        </w:rPr>
        <w:t>投标人代表须携带有效身份证件。如投标人代表不是法定代表人（负责人），须有法定代表人（负责人）出具的授权委托书（正本用原件，副本用复印件，格式见第四部分）。</w:t>
      </w:r>
    </w:p>
    <w:p w14:paraId="33A85253">
      <w:pPr>
        <w:snapToGrid w:val="0"/>
        <w:spacing w:line="360" w:lineRule="auto"/>
        <w:ind w:firstLine="482" w:firstLineChars="200"/>
        <w:jc w:val="left"/>
        <w:outlineLvl w:val="1"/>
        <w:rPr>
          <w:rFonts w:hint="eastAsia" w:ascii="宋体" w:hAnsi="宋体" w:cs="宋体"/>
          <w:b/>
          <w:sz w:val="24"/>
        </w:rPr>
      </w:pPr>
      <w:bookmarkStart w:id="19" w:name="_Toc486228787"/>
      <w:r>
        <w:rPr>
          <w:rFonts w:hint="eastAsia" w:ascii="宋体" w:hAnsi="宋体" w:cs="宋体"/>
          <w:b/>
          <w:sz w:val="24"/>
          <w:szCs w:val="24"/>
        </w:rPr>
        <w:t>（五）投标费用</w:t>
      </w:r>
      <w:bookmarkEnd w:id="19"/>
    </w:p>
    <w:p w14:paraId="0D64D2EE">
      <w:pPr>
        <w:snapToGrid w:val="0"/>
        <w:spacing w:line="360" w:lineRule="auto"/>
        <w:ind w:firstLine="480" w:firstLineChars="200"/>
        <w:jc w:val="left"/>
        <w:rPr>
          <w:rFonts w:hint="eastAsia" w:ascii="宋体" w:hAnsi="宋体" w:cs="宋体"/>
          <w:sz w:val="24"/>
        </w:rPr>
      </w:pPr>
      <w:r>
        <w:rPr>
          <w:rFonts w:hint="eastAsia" w:ascii="宋体" w:hAnsi="宋体" w:cs="宋体"/>
          <w:sz w:val="24"/>
          <w:szCs w:val="24"/>
        </w:rPr>
        <w:t>不论投标结果如何，投标人均应自行承担所有与投标有关的全部费用（招标文件有相关规定除外）。</w:t>
      </w:r>
    </w:p>
    <w:p w14:paraId="2A5AAE39">
      <w:pPr>
        <w:snapToGrid w:val="0"/>
        <w:spacing w:line="360" w:lineRule="auto"/>
        <w:ind w:firstLine="482" w:firstLineChars="200"/>
        <w:jc w:val="left"/>
        <w:rPr>
          <w:rFonts w:hint="eastAsia" w:ascii="宋体" w:hAnsi="宋体" w:cs="宋体"/>
          <w:b/>
          <w:sz w:val="24"/>
        </w:rPr>
      </w:pPr>
      <w:r>
        <w:rPr>
          <w:rFonts w:hint="eastAsia" w:ascii="宋体" w:hAnsi="宋体" w:cs="宋体"/>
          <w:b/>
          <w:sz w:val="24"/>
          <w:szCs w:val="24"/>
        </w:rPr>
        <w:t>（六）联合体投标</w:t>
      </w:r>
    </w:p>
    <w:p w14:paraId="183041F0">
      <w:pPr>
        <w:snapToGri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本项目不接受联合体投标。</w:t>
      </w:r>
    </w:p>
    <w:p w14:paraId="43881FCB">
      <w:pPr>
        <w:snapToGrid w:val="0"/>
        <w:spacing w:line="360" w:lineRule="auto"/>
        <w:ind w:firstLine="482" w:firstLineChars="200"/>
        <w:jc w:val="left"/>
        <w:outlineLvl w:val="1"/>
        <w:rPr>
          <w:rFonts w:hint="eastAsia" w:ascii="宋体" w:hAnsi="宋体" w:cs="宋体"/>
          <w:b/>
          <w:sz w:val="24"/>
          <w:szCs w:val="24"/>
        </w:rPr>
      </w:pPr>
      <w:bookmarkStart w:id="20" w:name="_Toc486228788"/>
      <w:r>
        <w:rPr>
          <w:rFonts w:hint="eastAsia" w:ascii="宋体" w:hAnsi="宋体" w:cs="宋体"/>
          <w:b/>
          <w:sz w:val="24"/>
          <w:szCs w:val="24"/>
        </w:rPr>
        <w:t>（七）特别说明：</w:t>
      </w:r>
      <w:bookmarkEnd w:id="20"/>
    </w:p>
    <w:p w14:paraId="218B275F">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1.投标人投标所使用的资格、信誉、荣誉、业绩与企业认证必须为投标单位所拥有。投标人投标所使用的招标项目实施人员必须为投标单位员工。</w:t>
      </w:r>
    </w:p>
    <w:p w14:paraId="3ECC85A0">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2.投标人应仔细阅读招标文件的所有内容，按照招标文件的要求提交投标文件，并对所提供的全部资料的真实性承担法律责任。</w:t>
      </w:r>
    </w:p>
    <w:p w14:paraId="040D1B79">
      <w:pPr>
        <w:snapToGrid w:val="0"/>
        <w:spacing w:line="360" w:lineRule="auto"/>
        <w:ind w:firstLine="480" w:firstLineChars="200"/>
        <w:rPr>
          <w:rFonts w:hint="eastAsia" w:ascii="宋体" w:hAnsi="宋体" w:cs="宋体"/>
          <w:b/>
          <w:sz w:val="24"/>
          <w:szCs w:val="24"/>
        </w:rPr>
      </w:pPr>
      <w:r>
        <w:rPr>
          <w:rFonts w:hint="eastAsia" w:ascii="宋体" w:hAnsi="宋体" w:cs="宋体"/>
          <w:sz w:val="24"/>
          <w:szCs w:val="24"/>
        </w:rPr>
        <w:t>3.投标人在投标活动中提供任何虚假材料,其投标无效，并报监管部门查处；中标后发现的,中标人须依照《中华人民共和国消费者权益保护法》第49条之规定双倍赔偿招标人，且民事赔偿并不免除违法投标人的行政与刑事责任。</w:t>
      </w:r>
    </w:p>
    <w:p w14:paraId="580B6AB1">
      <w:pPr>
        <w:snapToGrid w:val="0"/>
        <w:spacing w:line="360" w:lineRule="auto"/>
        <w:ind w:firstLine="482" w:firstLineChars="200"/>
        <w:outlineLvl w:val="1"/>
        <w:rPr>
          <w:rFonts w:hint="eastAsia" w:ascii="宋体" w:hAnsi="宋体" w:cs="宋体"/>
          <w:b/>
          <w:bCs/>
          <w:sz w:val="24"/>
          <w:szCs w:val="24"/>
        </w:rPr>
      </w:pPr>
      <w:bookmarkStart w:id="21" w:name="_Toc486228789"/>
      <w:r>
        <w:rPr>
          <w:rFonts w:hint="eastAsia" w:ascii="宋体" w:hAnsi="宋体" w:cs="宋体"/>
          <w:b/>
          <w:bCs/>
          <w:sz w:val="24"/>
          <w:szCs w:val="24"/>
        </w:rPr>
        <w:t>（八）质疑和投诉</w:t>
      </w:r>
      <w:bookmarkEnd w:id="21"/>
    </w:p>
    <w:p w14:paraId="1C30EFDB">
      <w:pPr>
        <w:snapToGrid w:val="0"/>
        <w:spacing w:line="360" w:lineRule="auto"/>
        <w:ind w:firstLine="480" w:firstLineChars="200"/>
        <w:rPr>
          <w:rFonts w:hint="eastAsia" w:ascii="宋体" w:hAnsi="宋体" w:cs="宋体"/>
          <w:bCs/>
          <w:sz w:val="24"/>
          <w:szCs w:val="24"/>
        </w:rPr>
      </w:pPr>
      <w:r>
        <w:rPr>
          <w:rFonts w:hint="eastAsia" w:ascii="宋体" w:hAnsi="宋体" w:cs="宋体"/>
          <w:bCs/>
          <w:sz w:val="24"/>
          <w:szCs w:val="24"/>
        </w:rPr>
        <w:t>1.投标人认为招标文件、招标过程或中标结果使自己的合法权益受到损害的，应当在知道或者应知其权益受到损害之日起七个工作日内，以书面形式向招标人、招标代理机构提出质疑。</w:t>
      </w:r>
      <w:r>
        <w:rPr>
          <w:rFonts w:hint="eastAsia" w:ascii="宋体" w:hAnsi="宋体" w:cs="宋体"/>
          <w:sz w:val="24"/>
          <w:szCs w:val="24"/>
        </w:rPr>
        <w:t>投标人对招标单位的质疑答复不满意或者招</w:t>
      </w:r>
      <w:r>
        <w:rPr>
          <w:rFonts w:hint="eastAsia" w:ascii="宋体" w:hAnsi="宋体" w:cs="宋体"/>
          <w:bCs/>
          <w:sz w:val="24"/>
          <w:szCs w:val="24"/>
        </w:rPr>
        <w:t>标单位未在规定时间内作出答复的，可以在答复期满后十五个工作日内向同级监管部门投诉。</w:t>
      </w:r>
    </w:p>
    <w:p w14:paraId="4D4DECA8">
      <w:pPr>
        <w:snapToGrid w:val="0"/>
        <w:spacing w:line="360" w:lineRule="auto"/>
        <w:ind w:firstLine="480" w:firstLineChars="200"/>
        <w:rPr>
          <w:rFonts w:hint="eastAsia" w:ascii="宋体" w:hAnsi="宋体" w:cs="宋体"/>
          <w:bCs/>
          <w:sz w:val="24"/>
          <w:szCs w:val="24"/>
        </w:rPr>
      </w:pPr>
      <w:r>
        <w:rPr>
          <w:rFonts w:hint="eastAsia" w:ascii="宋体" w:hAnsi="宋体" w:cs="宋体"/>
          <w:bCs/>
          <w:sz w:val="24"/>
          <w:szCs w:val="24"/>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14:paraId="57CA78C1">
      <w:pPr>
        <w:snapToGrid w:val="0"/>
        <w:spacing w:line="360" w:lineRule="auto"/>
        <w:ind w:firstLine="562" w:firstLineChars="200"/>
        <w:jc w:val="center"/>
        <w:outlineLvl w:val="1"/>
        <w:rPr>
          <w:rFonts w:hint="eastAsia" w:ascii="宋体" w:hAnsi="宋体" w:cs="宋体"/>
          <w:b/>
          <w:sz w:val="28"/>
          <w:szCs w:val="28"/>
        </w:rPr>
      </w:pPr>
      <w:bookmarkStart w:id="22" w:name="_Toc486228790"/>
      <w:r>
        <w:rPr>
          <w:rFonts w:hint="eastAsia" w:ascii="宋体" w:hAnsi="宋体" w:cs="宋体"/>
          <w:b/>
          <w:sz w:val="28"/>
          <w:szCs w:val="28"/>
        </w:rPr>
        <w:t>二  招标文件</w:t>
      </w:r>
      <w:bookmarkEnd w:id="22"/>
    </w:p>
    <w:p w14:paraId="2D7F369B">
      <w:pPr>
        <w:snapToGrid w:val="0"/>
        <w:spacing w:line="360" w:lineRule="auto"/>
        <w:ind w:firstLine="562" w:firstLineChars="200"/>
        <w:outlineLvl w:val="1"/>
        <w:rPr>
          <w:rFonts w:hint="eastAsia" w:ascii="宋体" w:hAnsi="宋体" w:cs="宋体"/>
          <w:b/>
          <w:sz w:val="28"/>
          <w:szCs w:val="28"/>
        </w:rPr>
      </w:pPr>
      <w:bookmarkStart w:id="23" w:name="_Toc470015696"/>
      <w:bookmarkStart w:id="24" w:name="_Toc486228791"/>
      <w:bookmarkStart w:id="25" w:name="_Toc470015788"/>
      <w:r>
        <w:rPr>
          <w:rFonts w:hint="eastAsia" w:ascii="宋体" w:hAnsi="宋体" w:cs="宋体"/>
          <w:b/>
          <w:sz w:val="28"/>
          <w:szCs w:val="28"/>
        </w:rPr>
        <w:t>（一）招标文件的构成。本招标文件由以下部份组成：</w:t>
      </w:r>
      <w:bookmarkEnd w:id="23"/>
      <w:bookmarkEnd w:id="24"/>
      <w:bookmarkEnd w:id="25"/>
    </w:p>
    <w:p w14:paraId="6F08ED90">
      <w:pPr>
        <w:snapToGrid w:val="0"/>
        <w:spacing w:line="360" w:lineRule="auto"/>
        <w:ind w:firstLine="480" w:firstLineChars="200"/>
        <w:jc w:val="left"/>
        <w:rPr>
          <w:rFonts w:hint="eastAsia" w:ascii="宋体" w:hAnsi="宋体" w:cs="宋体"/>
          <w:sz w:val="24"/>
        </w:rPr>
      </w:pPr>
      <w:r>
        <w:rPr>
          <w:rFonts w:hint="eastAsia" w:ascii="宋体" w:hAnsi="宋体" w:cs="宋体"/>
          <w:sz w:val="24"/>
          <w:szCs w:val="24"/>
        </w:rPr>
        <w:t>1.招标公告</w:t>
      </w:r>
    </w:p>
    <w:p w14:paraId="795F120E">
      <w:pPr>
        <w:snapToGrid w:val="0"/>
        <w:spacing w:line="360" w:lineRule="auto"/>
        <w:ind w:firstLine="480" w:firstLineChars="200"/>
        <w:jc w:val="left"/>
        <w:rPr>
          <w:rFonts w:hint="eastAsia" w:ascii="宋体" w:hAnsi="宋体" w:cs="宋体"/>
          <w:sz w:val="24"/>
        </w:rPr>
      </w:pPr>
      <w:r>
        <w:rPr>
          <w:rFonts w:hint="eastAsia" w:ascii="宋体" w:hAnsi="宋体" w:cs="宋体"/>
          <w:sz w:val="24"/>
          <w:szCs w:val="24"/>
        </w:rPr>
        <w:t>2.招标需求</w:t>
      </w:r>
    </w:p>
    <w:p w14:paraId="4D426F28">
      <w:pPr>
        <w:snapToGrid w:val="0"/>
        <w:spacing w:line="360" w:lineRule="auto"/>
        <w:ind w:firstLine="480" w:firstLineChars="200"/>
        <w:jc w:val="left"/>
        <w:rPr>
          <w:rFonts w:hint="eastAsia" w:ascii="宋体" w:hAnsi="宋体" w:cs="宋体"/>
          <w:sz w:val="24"/>
        </w:rPr>
      </w:pPr>
      <w:r>
        <w:rPr>
          <w:rFonts w:hint="eastAsia" w:ascii="宋体" w:hAnsi="宋体" w:cs="宋体"/>
          <w:sz w:val="24"/>
          <w:szCs w:val="24"/>
        </w:rPr>
        <w:t>3.投标人须知</w:t>
      </w:r>
    </w:p>
    <w:p w14:paraId="35ADE41E">
      <w:pPr>
        <w:snapToGrid w:val="0"/>
        <w:spacing w:line="360" w:lineRule="auto"/>
        <w:ind w:firstLine="480" w:firstLineChars="200"/>
        <w:jc w:val="left"/>
        <w:rPr>
          <w:rFonts w:hint="eastAsia" w:ascii="宋体" w:hAnsi="宋体" w:cs="宋体"/>
          <w:sz w:val="24"/>
        </w:rPr>
      </w:pPr>
      <w:r>
        <w:rPr>
          <w:rFonts w:hint="eastAsia" w:ascii="宋体" w:hAnsi="宋体" w:cs="宋体"/>
          <w:sz w:val="24"/>
          <w:szCs w:val="24"/>
        </w:rPr>
        <w:t>4.评标办法及标准</w:t>
      </w:r>
    </w:p>
    <w:p w14:paraId="2A7C5AF3">
      <w:pPr>
        <w:snapToGrid w:val="0"/>
        <w:spacing w:line="360" w:lineRule="auto"/>
        <w:ind w:firstLine="480" w:firstLineChars="200"/>
        <w:jc w:val="left"/>
        <w:rPr>
          <w:rFonts w:hint="eastAsia" w:ascii="宋体" w:hAnsi="宋体" w:cs="宋体"/>
          <w:sz w:val="24"/>
          <w:szCs w:val="24"/>
        </w:rPr>
      </w:pPr>
      <w:r>
        <w:rPr>
          <w:rFonts w:ascii="宋体" w:hAnsi="宋体" w:cs="宋体"/>
          <w:sz w:val="24"/>
          <w:szCs w:val="24"/>
        </w:rPr>
        <w:t>5</w:t>
      </w:r>
      <w:r>
        <w:rPr>
          <w:rFonts w:hint="eastAsia" w:ascii="宋体" w:hAnsi="宋体" w:cs="宋体"/>
          <w:sz w:val="24"/>
          <w:szCs w:val="24"/>
        </w:rPr>
        <w:t>.投标文件格式</w:t>
      </w:r>
    </w:p>
    <w:p w14:paraId="5905C45D">
      <w:pPr>
        <w:snapToGrid w:val="0"/>
        <w:spacing w:line="360" w:lineRule="auto"/>
        <w:ind w:firstLine="480" w:firstLineChars="200"/>
        <w:jc w:val="left"/>
        <w:rPr>
          <w:rFonts w:hint="eastAsia" w:ascii="宋体" w:hAnsi="宋体" w:cs="宋体"/>
          <w:sz w:val="24"/>
        </w:rPr>
      </w:pPr>
      <w:r>
        <w:rPr>
          <w:rFonts w:ascii="宋体" w:hAnsi="宋体" w:cs="宋体"/>
          <w:sz w:val="24"/>
          <w:szCs w:val="24"/>
        </w:rPr>
        <w:t>6</w:t>
      </w:r>
      <w:r>
        <w:rPr>
          <w:rFonts w:hint="eastAsia" w:ascii="宋体" w:hAnsi="宋体" w:cs="宋体"/>
          <w:sz w:val="24"/>
          <w:szCs w:val="24"/>
        </w:rPr>
        <w:t>.本项目招标文件的澄清、答复、修改、补充的内容（如有）</w:t>
      </w:r>
    </w:p>
    <w:p w14:paraId="172B7A48">
      <w:pPr>
        <w:snapToGrid w:val="0"/>
        <w:spacing w:line="360" w:lineRule="auto"/>
        <w:ind w:firstLine="482" w:firstLineChars="200"/>
        <w:jc w:val="left"/>
        <w:rPr>
          <w:rFonts w:hint="eastAsia" w:ascii="宋体" w:hAnsi="宋体" w:cs="宋体"/>
          <w:b/>
          <w:sz w:val="24"/>
        </w:rPr>
      </w:pPr>
      <w:r>
        <w:rPr>
          <w:rFonts w:hint="eastAsia" w:ascii="宋体" w:hAnsi="宋体" w:cs="宋体"/>
          <w:b/>
          <w:sz w:val="24"/>
          <w:szCs w:val="24"/>
        </w:rPr>
        <w:t>（二）投标人的风险</w:t>
      </w:r>
    </w:p>
    <w:p w14:paraId="47C1CA2A">
      <w:pPr>
        <w:snapToGrid w:val="0"/>
        <w:spacing w:line="360" w:lineRule="auto"/>
        <w:ind w:firstLine="480" w:firstLineChars="200"/>
        <w:jc w:val="left"/>
        <w:rPr>
          <w:rFonts w:hint="eastAsia" w:ascii="宋体" w:hAnsi="宋体" w:cs="宋体"/>
          <w:sz w:val="24"/>
        </w:rPr>
      </w:pPr>
      <w:r>
        <w:rPr>
          <w:rFonts w:hint="eastAsia" w:ascii="宋体" w:hAnsi="宋体" w:cs="宋体"/>
          <w:sz w:val="24"/>
          <w:szCs w:val="24"/>
        </w:rPr>
        <w:t>投标人没有按照招标文件要求提供全部资料，或者投标人没有对招标文件在各方面作出实质性响应是投标人的风险，并可能导致其投标被拒绝。</w:t>
      </w:r>
    </w:p>
    <w:p w14:paraId="565C2998">
      <w:pPr>
        <w:tabs>
          <w:tab w:val="left" w:pos="720"/>
        </w:tabs>
        <w:snapToGrid w:val="0"/>
        <w:spacing w:line="360" w:lineRule="auto"/>
        <w:ind w:firstLine="482" w:firstLineChars="200"/>
        <w:jc w:val="left"/>
        <w:rPr>
          <w:rFonts w:hint="eastAsia" w:ascii="宋体" w:hAnsi="宋体" w:cs="宋体"/>
          <w:b/>
          <w:kern w:val="0"/>
          <w:sz w:val="24"/>
          <w:szCs w:val="24"/>
        </w:rPr>
      </w:pPr>
      <w:r>
        <w:rPr>
          <w:rFonts w:hint="eastAsia" w:ascii="宋体" w:hAnsi="宋体" w:cs="宋体"/>
          <w:b/>
          <w:kern w:val="0"/>
          <w:sz w:val="24"/>
          <w:szCs w:val="24"/>
        </w:rPr>
        <w:t xml:space="preserve">（三）招标文件的澄清与修改 </w:t>
      </w:r>
    </w:p>
    <w:p w14:paraId="67AB246F">
      <w:pPr>
        <w:snapToGrid w:val="0"/>
        <w:spacing w:line="360" w:lineRule="auto"/>
        <w:ind w:firstLine="480" w:firstLineChars="200"/>
        <w:outlineLvl w:val="1"/>
        <w:rPr>
          <w:rFonts w:hint="eastAsia" w:ascii="宋体" w:hAnsi="宋体" w:cs="宋体"/>
          <w:sz w:val="24"/>
          <w:szCs w:val="24"/>
        </w:rPr>
      </w:pPr>
      <w:bookmarkStart w:id="26" w:name="_Toc486228792"/>
      <w:bookmarkStart w:id="27" w:name="_Toc470015789"/>
      <w:bookmarkStart w:id="28" w:name="_Toc470015697"/>
      <w:r>
        <w:rPr>
          <w:rFonts w:hint="eastAsia" w:ascii="宋体" w:hAnsi="宋体" w:cs="宋体"/>
          <w:sz w:val="24"/>
          <w:szCs w:val="24"/>
        </w:rPr>
        <w:t>1.投标人应认真阅读本招标文件，发现其中有误或有不合理要求的，投标人必须在投标截止5日前以书面形式要求招标单位澄清。招标代理机构对已发出的招标文件进行必要澄清、答复、修改或补充的，应当在招标文件要求提交投标文件截止时间三日前，在财政部门指定的政府采购信息发布媒体上发布更正公告，并以书面形式通知所有招标文件收受人。</w:t>
      </w:r>
      <w:bookmarkEnd w:id="26"/>
    </w:p>
    <w:p w14:paraId="76198ED8">
      <w:pPr>
        <w:snapToGrid w:val="0"/>
        <w:spacing w:line="360" w:lineRule="auto"/>
        <w:ind w:firstLine="480" w:firstLineChars="200"/>
        <w:outlineLvl w:val="1"/>
        <w:rPr>
          <w:rFonts w:hint="eastAsia" w:ascii="宋体" w:hAnsi="宋体" w:cs="宋体"/>
          <w:sz w:val="24"/>
          <w:szCs w:val="24"/>
        </w:rPr>
      </w:pPr>
      <w:bookmarkStart w:id="29" w:name="_Toc486228793"/>
      <w:r>
        <w:rPr>
          <w:rFonts w:hint="eastAsia" w:ascii="宋体" w:hAnsi="宋体" w:cs="宋体"/>
          <w:sz w:val="24"/>
          <w:szCs w:val="24"/>
        </w:rPr>
        <w:t>2.招标代理机构必须以书面形式答复投标人要求澄清的问题，并将不包含问题来源的答复书面通知所有购买招标文件的投标人；除书面答复以外的其他澄清方式及澄清内容均无效。</w:t>
      </w:r>
      <w:bookmarkEnd w:id="29"/>
    </w:p>
    <w:p w14:paraId="6591432A">
      <w:pPr>
        <w:snapToGrid w:val="0"/>
        <w:spacing w:line="360" w:lineRule="auto"/>
        <w:ind w:firstLine="480" w:firstLineChars="200"/>
        <w:outlineLvl w:val="1"/>
        <w:rPr>
          <w:rFonts w:hint="eastAsia" w:ascii="宋体" w:hAnsi="宋体" w:cs="宋体"/>
          <w:sz w:val="24"/>
          <w:szCs w:val="24"/>
        </w:rPr>
      </w:pPr>
      <w:bookmarkStart w:id="30" w:name="_Toc486228794"/>
      <w:r>
        <w:rPr>
          <w:rFonts w:hint="eastAsia" w:ascii="宋体" w:hAnsi="宋体" w:cs="宋体"/>
          <w:sz w:val="24"/>
          <w:szCs w:val="24"/>
        </w:rPr>
        <w:t>3.招标文件澄清、答复、修改、补充的内容为招标文件的组成部分。当招标文件与招标文件的答复、澄清、修改、补充通知就同一内容的表述不一致时，以最后发出的书面文件为准。</w:t>
      </w:r>
      <w:bookmarkEnd w:id="30"/>
    </w:p>
    <w:p w14:paraId="25FD6375">
      <w:pPr>
        <w:snapToGrid w:val="0"/>
        <w:spacing w:line="360" w:lineRule="auto"/>
        <w:ind w:firstLine="480" w:firstLineChars="200"/>
        <w:outlineLvl w:val="1"/>
        <w:rPr>
          <w:rFonts w:hint="eastAsia" w:ascii="宋体" w:hAnsi="宋体" w:cs="宋体"/>
          <w:sz w:val="24"/>
          <w:szCs w:val="24"/>
        </w:rPr>
      </w:pPr>
      <w:bookmarkStart w:id="31" w:name="_Toc486228795"/>
      <w:r>
        <w:rPr>
          <w:rFonts w:hint="eastAsia" w:ascii="宋体" w:hAnsi="宋体" w:cs="宋体"/>
          <w:sz w:val="24"/>
          <w:szCs w:val="24"/>
        </w:rPr>
        <w:t>4.招标文件的澄清、答复、修改或补充都应该通过本代理机构以法定形式发布，招标人非通过本机构，不得擅自澄清、答复、修改或补充招标文件。</w:t>
      </w:r>
      <w:bookmarkEnd w:id="27"/>
      <w:bookmarkEnd w:id="28"/>
      <w:bookmarkEnd w:id="31"/>
    </w:p>
    <w:p w14:paraId="6EFFA775">
      <w:pPr>
        <w:snapToGrid w:val="0"/>
        <w:spacing w:line="360" w:lineRule="auto"/>
        <w:ind w:firstLine="562" w:firstLineChars="200"/>
        <w:outlineLvl w:val="1"/>
        <w:rPr>
          <w:rFonts w:hint="eastAsia" w:ascii="宋体" w:hAnsi="宋体" w:cs="宋体"/>
          <w:b/>
          <w:sz w:val="28"/>
          <w:szCs w:val="28"/>
        </w:rPr>
      </w:pPr>
      <w:bookmarkStart w:id="32" w:name="_Toc486228796"/>
      <w:r>
        <w:rPr>
          <w:rFonts w:hint="eastAsia" w:ascii="宋体" w:hAnsi="宋体" w:cs="宋体"/>
          <w:b/>
          <w:sz w:val="28"/>
          <w:szCs w:val="28"/>
        </w:rPr>
        <w:t>三、投标文件的编制</w:t>
      </w:r>
      <w:bookmarkEnd w:id="32"/>
    </w:p>
    <w:p w14:paraId="1C90621E">
      <w:pPr>
        <w:snapToGrid w:val="0"/>
        <w:spacing w:line="400" w:lineRule="exact"/>
        <w:ind w:firstLine="472" w:firstLineChars="196"/>
        <w:jc w:val="left"/>
        <w:outlineLvl w:val="0"/>
        <w:rPr>
          <w:rFonts w:hint="eastAsia" w:ascii="宋体" w:hAnsi="宋体" w:cs="宋体"/>
          <w:b/>
          <w:sz w:val="24"/>
        </w:rPr>
      </w:pPr>
      <w:bookmarkStart w:id="33" w:name="_Toc486228797"/>
      <w:r>
        <w:rPr>
          <w:rFonts w:hint="eastAsia" w:ascii="宋体" w:hAnsi="宋体" w:cs="宋体"/>
          <w:b/>
          <w:sz w:val="24"/>
          <w:szCs w:val="24"/>
        </w:rPr>
        <w:t>（一）投标文件的组成</w:t>
      </w:r>
      <w:bookmarkEnd w:id="33"/>
    </w:p>
    <w:p w14:paraId="4FCAA03E">
      <w:pPr>
        <w:snapToGri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投标文件由资格文件、资信技术文件、商务文件三部分组成。</w:t>
      </w:r>
    </w:p>
    <w:p w14:paraId="176BBD9B">
      <w:pPr>
        <w:snapToGri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1.资格文件</w:t>
      </w:r>
    </w:p>
    <w:p w14:paraId="501B1BD9">
      <w:pPr>
        <w:snapToGrid w:val="0"/>
        <w:spacing w:line="360" w:lineRule="auto"/>
        <w:ind w:firstLine="480" w:firstLineChars="200"/>
        <w:jc w:val="left"/>
        <w:outlineLvl w:val="0"/>
        <w:rPr>
          <w:rFonts w:hint="eastAsia" w:ascii="宋体" w:hAnsi="宋体" w:cs="宋体"/>
          <w:sz w:val="24"/>
          <w:szCs w:val="24"/>
        </w:rPr>
      </w:pPr>
      <w:r>
        <w:rPr>
          <w:rFonts w:hint="eastAsia" w:ascii="宋体" w:hAnsi="宋体" w:cs="宋体"/>
          <w:sz w:val="24"/>
          <w:szCs w:val="24"/>
        </w:rPr>
        <w:t>①有效期内的营业执照副本复印件；</w:t>
      </w:r>
    </w:p>
    <w:p w14:paraId="1E8A0C7D">
      <w:pPr>
        <w:snapToGrid w:val="0"/>
        <w:spacing w:line="360" w:lineRule="auto"/>
        <w:ind w:firstLine="480" w:firstLineChars="200"/>
        <w:jc w:val="left"/>
        <w:outlineLvl w:val="0"/>
        <w:rPr>
          <w:rFonts w:hint="eastAsia" w:ascii="宋体" w:hAnsi="宋体" w:cs="宋体"/>
          <w:sz w:val="24"/>
          <w:szCs w:val="24"/>
        </w:rPr>
      </w:pPr>
      <w:r>
        <w:rPr>
          <w:rFonts w:hint="eastAsia" w:ascii="宋体" w:hAnsi="宋体" w:cs="宋体"/>
          <w:sz w:val="24"/>
          <w:szCs w:val="24"/>
        </w:rPr>
        <w:t>②报名人身份证复印件；</w:t>
      </w:r>
    </w:p>
    <w:p w14:paraId="0A0CEC3E">
      <w:pPr>
        <w:snapToGrid w:val="0"/>
        <w:spacing w:line="360" w:lineRule="auto"/>
        <w:ind w:firstLine="480" w:firstLineChars="200"/>
        <w:jc w:val="left"/>
        <w:outlineLvl w:val="0"/>
        <w:rPr>
          <w:rFonts w:hint="eastAsia" w:ascii="宋体" w:hAnsi="宋体" w:cs="宋体"/>
          <w:sz w:val="24"/>
          <w:szCs w:val="24"/>
        </w:rPr>
      </w:pPr>
      <w:r>
        <w:rPr>
          <w:rFonts w:hint="eastAsia" w:ascii="宋体" w:hAnsi="宋体" w:cs="宋体"/>
          <w:sz w:val="24"/>
          <w:szCs w:val="24"/>
        </w:rPr>
        <w:t>③法人代表身份证复印件、相关资质证明复印件；</w:t>
      </w:r>
    </w:p>
    <w:p w14:paraId="2BC5044E">
      <w:pPr>
        <w:snapToGrid w:val="0"/>
        <w:spacing w:line="360" w:lineRule="auto"/>
        <w:ind w:firstLine="480" w:firstLineChars="200"/>
        <w:jc w:val="left"/>
        <w:outlineLvl w:val="0"/>
        <w:rPr>
          <w:rFonts w:hint="eastAsia" w:ascii="宋体" w:hAnsi="宋体" w:cs="宋体"/>
          <w:sz w:val="24"/>
          <w:szCs w:val="24"/>
        </w:rPr>
      </w:pPr>
      <w:r>
        <w:rPr>
          <w:rFonts w:hint="eastAsia" w:ascii="宋体" w:hAnsi="宋体" w:cs="宋体"/>
          <w:sz w:val="24"/>
          <w:szCs w:val="24"/>
        </w:rPr>
        <w:t>④法定代表人（负责人）授权书(格式见附件)。</w:t>
      </w:r>
    </w:p>
    <w:p w14:paraId="0E1DDECD">
      <w:pPr>
        <w:snapToGrid w:val="0"/>
        <w:spacing w:line="360" w:lineRule="auto"/>
        <w:ind w:firstLine="480" w:firstLineChars="200"/>
        <w:jc w:val="left"/>
        <w:outlineLvl w:val="0"/>
        <w:rPr>
          <w:rFonts w:hint="eastAsia" w:ascii="宋体" w:hAnsi="宋体" w:cs="宋体"/>
          <w:sz w:val="24"/>
          <w:szCs w:val="24"/>
        </w:rPr>
      </w:pPr>
      <w:r>
        <w:rPr>
          <w:rFonts w:hint="eastAsia" w:ascii="宋体" w:hAnsi="宋体" w:cs="宋体"/>
          <w:sz w:val="24"/>
          <w:szCs w:val="24"/>
        </w:rPr>
        <w:t>2.资信技术文件</w:t>
      </w:r>
    </w:p>
    <w:p w14:paraId="04EC0EB4">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①投标声明书（格式见附件）；</w:t>
      </w:r>
    </w:p>
    <w:p w14:paraId="57EB471C">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②投标方情况简介；</w:t>
      </w:r>
    </w:p>
    <w:p w14:paraId="2365260F">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③廉政承诺书（格式见附件）；</w:t>
      </w:r>
    </w:p>
    <w:p w14:paraId="00C62B1F">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④评标办法中需要提供的材料；</w:t>
      </w:r>
    </w:p>
    <w:p w14:paraId="01AE2161">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⑤投标人需要说明的其他事项（格式自拟）。</w:t>
      </w:r>
    </w:p>
    <w:p w14:paraId="6B941D4B">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3.商务文件</w:t>
      </w:r>
    </w:p>
    <w:p w14:paraId="0D3A297E">
      <w:pPr>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①投标函（格式见附件）； </w:t>
      </w:r>
    </w:p>
    <w:p w14:paraId="1CAC59D7">
      <w:pPr>
        <w:spacing w:line="360" w:lineRule="auto"/>
        <w:ind w:firstLine="480" w:firstLineChars="200"/>
        <w:rPr>
          <w:rFonts w:hint="eastAsia" w:ascii="宋体" w:hAnsi="宋体" w:cs="宋体"/>
          <w:sz w:val="24"/>
          <w:szCs w:val="24"/>
        </w:rPr>
      </w:pPr>
      <w:r>
        <w:rPr>
          <w:rFonts w:hint="eastAsia" w:ascii="宋体" w:hAnsi="宋体" w:cs="宋体"/>
          <w:sz w:val="24"/>
          <w:szCs w:val="24"/>
        </w:rPr>
        <w:t>②报价表（格式见附件）；</w:t>
      </w:r>
    </w:p>
    <w:p w14:paraId="7B5CFDD8">
      <w:pPr>
        <w:spacing w:line="360" w:lineRule="auto"/>
        <w:ind w:firstLine="480" w:firstLineChars="200"/>
        <w:rPr>
          <w:rFonts w:hint="eastAsia" w:ascii="宋体" w:hAnsi="宋体" w:cs="宋体"/>
          <w:sz w:val="24"/>
          <w:szCs w:val="24"/>
        </w:rPr>
      </w:pPr>
      <w:r>
        <w:rPr>
          <w:rFonts w:hint="eastAsia" w:ascii="宋体" w:hAnsi="宋体" w:cs="宋体"/>
          <w:sz w:val="24"/>
          <w:szCs w:val="24"/>
        </w:rPr>
        <w:t>③投标人针对报价需要说明的其他文件和说明（格式自拟）。</w:t>
      </w:r>
    </w:p>
    <w:p w14:paraId="0C223C19">
      <w:pPr>
        <w:snapToGrid w:val="0"/>
        <w:spacing w:line="360" w:lineRule="auto"/>
        <w:ind w:firstLine="472" w:firstLineChars="196"/>
        <w:jc w:val="left"/>
        <w:outlineLvl w:val="0"/>
        <w:rPr>
          <w:rFonts w:hint="eastAsia" w:ascii="宋体" w:hAnsi="宋体" w:cs="宋体"/>
          <w:b/>
          <w:sz w:val="24"/>
          <w:szCs w:val="24"/>
        </w:rPr>
      </w:pPr>
      <w:bookmarkStart w:id="34" w:name="_Toc486228798"/>
      <w:r>
        <w:rPr>
          <w:rFonts w:hint="eastAsia" w:ascii="宋体" w:hAnsi="宋体" w:cs="宋体"/>
          <w:b/>
          <w:sz w:val="24"/>
          <w:szCs w:val="24"/>
        </w:rPr>
        <w:t>注：上述资料线上投标需加盖单位电子公章。</w:t>
      </w:r>
    </w:p>
    <w:p w14:paraId="70E79751">
      <w:pPr>
        <w:snapToGrid w:val="0"/>
        <w:spacing w:line="360" w:lineRule="auto"/>
        <w:ind w:firstLine="482" w:firstLineChars="200"/>
        <w:jc w:val="left"/>
        <w:outlineLvl w:val="0"/>
        <w:rPr>
          <w:rFonts w:hint="eastAsia" w:ascii="宋体" w:hAnsi="宋体" w:cs="宋体"/>
          <w:b/>
          <w:sz w:val="24"/>
        </w:rPr>
      </w:pPr>
      <w:r>
        <w:rPr>
          <w:rFonts w:hint="eastAsia" w:ascii="宋体" w:hAnsi="宋体" w:cs="宋体"/>
          <w:b/>
          <w:sz w:val="24"/>
          <w:szCs w:val="24"/>
        </w:rPr>
        <w:t>（二）投标文件的语言及计量</w:t>
      </w:r>
      <w:bookmarkEnd w:id="34"/>
    </w:p>
    <w:p w14:paraId="56E4270D">
      <w:pPr>
        <w:snapToGrid w:val="0"/>
        <w:spacing w:line="360" w:lineRule="auto"/>
        <w:ind w:firstLine="480" w:firstLineChars="200"/>
        <w:jc w:val="left"/>
        <w:rPr>
          <w:rFonts w:hint="eastAsia" w:ascii="宋体" w:hAnsi="宋体" w:cs="宋体"/>
          <w:sz w:val="24"/>
        </w:rPr>
      </w:pPr>
      <w:r>
        <w:rPr>
          <w:rFonts w:hint="eastAsia" w:ascii="宋体" w:hAnsi="宋体" w:cs="宋体"/>
          <w:sz w:val="24"/>
          <w:szCs w:val="24"/>
        </w:rPr>
        <w:t>1投标文件以及投标方与招标方就有关投标事宜的所有来往函电，均应以中文汉语书写。除签名、盖章、专用名称等特殊情形外，以中文汉语以外的文字表述的投标文件视同未提供。</w:t>
      </w:r>
    </w:p>
    <w:p w14:paraId="56F949B8">
      <w:pPr>
        <w:snapToGrid w:val="0"/>
        <w:spacing w:line="360" w:lineRule="auto"/>
        <w:ind w:firstLine="480" w:firstLineChars="200"/>
        <w:jc w:val="left"/>
        <w:rPr>
          <w:rFonts w:hint="eastAsia" w:ascii="宋体" w:hAnsi="宋体" w:cs="宋体"/>
          <w:sz w:val="24"/>
        </w:rPr>
      </w:pPr>
      <w:r>
        <w:rPr>
          <w:rFonts w:hint="eastAsia" w:ascii="宋体" w:hAnsi="宋体" w:cs="宋体"/>
          <w:sz w:val="24"/>
          <w:szCs w:val="24"/>
        </w:rPr>
        <w:t>2投标计量单位，招标文件已有明确规定的，使用招标文件规定的计量单位；招标文件没有规定的，应采用中华人民共和国法定计量单位（货币单位：人民币元），否则视同未响应。</w:t>
      </w:r>
    </w:p>
    <w:p w14:paraId="44201427">
      <w:pPr>
        <w:snapToGrid w:val="0"/>
        <w:spacing w:line="360" w:lineRule="auto"/>
        <w:ind w:firstLine="482" w:firstLineChars="200"/>
        <w:jc w:val="left"/>
        <w:outlineLvl w:val="0"/>
        <w:rPr>
          <w:rFonts w:hint="eastAsia" w:ascii="宋体" w:hAnsi="宋体" w:cs="宋体"/>
          <w:b/>
          <w:sz w:val="24"/>
          <w:szCs w:val="24"/>
        </w:rPr>
      </w:pPr>
      <w:bookmarkStart w:id="35" w:name="_Toc486228799"/>
      <w:r>
        <w:rPr>
          <w:rFonts w:hint="eastAsia" w:ascii="宋体" w:hAnsi="宋体" w:cs="宋体"/>
          <w:b/>
          <w:sz w:val="24"/>
          <w:szCs w:val="24"/>
        </w:rPr>
        <w:t>（三）投标报价</w:t>
      </w:r>
      <w:bookmarkEnd w:id="35"/>
    </w:p>
    <w:p w14:paraId="6254C0FC">
      <w:pPr>
        <w:snapToGri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1.投标报价应按招标文件中相关附表格式填写。</w:t>
      </w:r>
    </w:p>
    <w:p w14:paraId="522C6254">
      <w:pPr>
        <w:snapToGri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2.投标报价是履行合同的各项服务及相关费用。</w:t>
      </w:r>
    </w:p>
    <w:p w14:paraId="3B5C63C4">
      <w:pPr>
        <w:tabs>
          <w:tab w:val="left" w:pos="525"/>
        </w:tabs>
        <w:snapToGrid w:val="0"/>
        <w:spacing w:line="360" w:lineRule="auto"/>
        <w:ind w:firstLine="480" w:firstLineChars="200"/>
        <w:jc w:val="left"/>
        <w:rPr>
          <w:rFonts w:hint="eastAsia" w:ascii="宋体" w:hAnsi="宋体" w:cs="宋体"/>
          <w:sz w:val="24"/>
        </w:rPr>
      </w:pPr>
      <w:r>
        <w:rPr>
          <w:rFonts w:hint="eastAsia" w:ascii="宋体" w:hAnsi="宋体" w:cs="宋体"/>
          <w:sz w:val="24"/>
          <w:szCs w:val="24"/>
        </w:rPr>
        <w:t>3.投标文件只允许有一个报价，有选择的或有条件的报价将不予接受。</w:t>
      </w:r>
    </w:p>
    <w:p w14:paraId="4A83412F">
      <w:pPr>
        <w:snapToGrid w:val="0"/>
        <w:spacing w:line="360" w:lineRule="auto"/>
        <w:ind w:firstLine="482" w:firstLineChars="200"/>
        <w:jc w:val="left"/>
        <w:outlineLvl w:val="0"/>
        <w:rPr>
          <w:rFonts w:hint="eastAsia" w:ascii="宋体" w:hAnsi="宋体" w:cs="宋体"/>
          <w:b/>
          <w:sz w:val="24"/>
          <w:szCs w:val="24"/>
        </w:rPr>
      </w:pPr>
      <w:bookmarkStart w:id="36" w:name="_Toc486228800"/>
      <w:r>
        <w:rPr>
          <w:rFonts w:hint="eastAsia" w:ascii="宋体" w:hAnsi="宋体" w:cs="宋体"/>
          <w:b/>
          <w:sz w:val="24"/>
          <w:szCs w:val="24"/>
        </w:rPr>
        <w:t>（四）投标文件的有效期</w:t>
      </w:r>
      <w:bookmarkEnd w:id="36"/>
    </w:p>
    <w:p w14:paraId="5CA55D09">
      <w:pPr>
        <w:tabs>
          <w:tab w:val="left" w:pos="720"/>
        </w:tabs>
        <w:snapToGrid w:val="0"/>
        <w:spacing w:line="360" w:lineRule="auto"/>
        <w:ind w:firstLine="480" w:firstLineChars="200"/>
        <w:jc w:val="left"/>
        <w:rPr>
          <w:rFonts w:hint="eastAsia" w:ascii="宋体" w:hAnsi="宋体" w:cs="宋体"/>
          <w:kern w:val="0"/>
          <w:sz w:val="24"/>
          <w:szCs w:val="24"/>
        </w:rPr>
      </w:pPr>
      <w:r>
        <w:rPr>
          <w:rFonts w:hint="eastAsia" w:ascii="宋体" w:hAnsi="宋体" w:cs="宋体"/>
          <w:kern w:val="0"/>
          <w:sz w:val="24"/>
          <w:szCs w:val="24"/>
        </w:rPr>
        <w:t>1.自投标截止日起</w:t>
      </w:r>
      <w:r>
        <w:rPr>
          <w:rFonts w:hint="eastAsia" w:ascii="宋体" w:hAnsi="宋体" w:cs="宋体"/>
          <w:kern w:val="0"/>
          <w:sz w:val="24"/>
          <w:szCs w:val="24"/>
          <w:u w:val="single"/>
        </w:rPr>
        <w:t xml:space="preserve"> 90</w:t>
      </w:r>
      <w:r>
        <w:rPr>
          <w:rFonts w:hint="eastAsia" w:ascii="宋体" w:hAnsi="宋体" w:cs="宋体"/>
          <w:kern w:val="0"/>
          <w:sz w:val="24"/>
          <w:szCs w:val="24"/>
        </w:rPr>
        <w:t>天投标文件应保持有效。有效期不足的投标文件将被拒绝。</w:t>
      </w:r>
    </w:p>
    <w:p w14:paraId="72A40264">
      <w:pPr>
        <w:tabs>
          <w:tab w:val="left" w:pos="720"/>
        </w:tabs>
        <w:snapToGrid w:val="0"/>
        <w:spacing w:line="360" w:lineRule="auto"/>
        <w:ind w:firstLine="480" w:firstLineChars="200"/>
        <w:jc w:val="left"/>
        <w:rPr>
          <w:rFonts w:hint="eastAsia" w:ascii="宋体" w:hAnsi="宋体" w:cs="宋体"/>
          <w:kern w:val="0"/>
          <w:sz w:val="24"/>
          <w:szCs w:val="24"/>
        </w:rPr>
      </w:pPr>
      <w:r>
        <w:rPr>
          <w:rFonts w:hint="eastAsia" w:ascii="宋体" w:hAnsi="宋体" w:cs="宋体"/>
          <w:kern w:val="0"/>
          <w:sz w:val="24"/>
          <w:szCs w:val="24"/>
        </w:rPr>
        <w:t>2.在特殊情况下，招标人可与投标人协商延长投标书的有效期，这种要求和答复均以书面形式进行。</w:t>
      </w:r>
    </w:p>
    <w:p w14:paraId="0D491A5E">
      <w:pPr>
        <w:snapToGrid w:val="0"/>
        <w:spacing w:line="360" w:lineRule="auto"/>
        <w:ind w:firstLine="480" w:firstLineChars="200"/>
        <w:jc w:val="left"/>
        <w:outlineLvl w:val="0"/>
        <w:rPr>
          <w:rFonts w:hint="eastAsia" w:ascii="宋体" w:hAnsi="宋体" w:cs="宋体"/>
          <w:b/>
          <w:sz w:val="24"/>
          <w:szCs w:val="24"/>
        </w:rPr>
      </w:pPr>
      <w:bookmarkStart w:id="37" w:name="_Toc470015706"/>
      <w:bookmarkStart w:id="38" w:name="_Toc470015798"/>
      <w:bookmarkStart w:id="39" w:name="_Toc486228802"/>
      <w:r>
        <w:rPr>
          <w:rFonts w:hint="eastAsia" w:ascii="宋体" w:hAnsi="宋体" w:cs="宋体"/>
          <w:sz w:val="24"/>
          <w:szCs w:val="24"/>
        </w:rPr>
        <w:t>3.中标人的投标文件自开标之日起至合同履行完毕止均应保持有效。</w:t>
      </w:r>
      <w:bookmarkEnd w:id="37"/>
      <w:bookmarkEnd w:id="38"/>
      <w:bookmarkEnd w:id="39"/>
    </w:p>
    <w:p w14:paraId="604F0075">
      <w:pPr>
        <w:snapToGrid w:val="0"/>
        <w:spacing w:line="360" w:lineRule="auto"/>
        <w:ind w:firstLine="482" w:firstLineChars="200"/>
        <w:jc w:val="left"/>
        <w:outlineLvl w:val="0"/>
        <w:rPr>
          <w:rFonts w:hint="eastAsia" w:ascii="宋体" w:hAnsi="宋体" w:cs="宋体"/>
          <w:b/>
          <w:sz w:val="24"/>
        </w:rPr>
      </w:pPr>
      <w:bookmarkStart w:id="40" w:name="_Toc486228803"/>
      <w:r>
        <w:rPr>
          <w:rFonts w:hint="eastAsia" w:ascii="宋体" w:hAnsi="宋体" w:cs="宋体"/>
          <w:b/>
          <w:sz w:val="24"/>
          <w:szCs w:val="24"/>
        </w:rPr>
        <w:t>（五）投标文件的签署</w:t>
      </w:r>
      <w:bookmarkEnd w:id="40"/>
    </w:p>
    <w:p w14:paraId="40717085">
      <w:pPr>
        <w:snapToGrid w:val="0"/>
        <w:spacing w:line="360" w:lineRule="auto"/>
        <w:ind w:firstLine="480" w:firstLineChars="200"/>
        <w:jc w:val="left"/>
        <w:rPr>
          <w:rFonts w:hint="eastAsia" w:ascii="宋体" w:hAnsi="宋体" w:cs="宋体"/>
          <w:sz w:val="24"/>
        </w:rPr>
      </w:pPr>
      <w:r>
        <w:rPr>
          <w:rFonts w:hint="eastAsia" w:ascii="宋体" w:hAnsi="宋体" w:cs="宋体"/>
          <w:sz w:val="24"/>
          <w:szCs w:val="24"/>
        </w:rPr>
        <w:t>1.投标文件须由投标人在规定位置盖章并由法定代表人（负责人）或法定代表人（负责人）的授权委托人签署，投标人应写全称。</w:t>
      </w:r>
    </w:p>
    <w:p w14:paraId="5E16277A">
      <w:pPr>
        <w:snapToGrid w:val="0"/>
        <w:spacing w:line="360" w:lineRule="auto"/>
        <w:ind w:firstLine="480" w:firstLineChars="200"/>
        <w:jc w:val="left"/>
      </w:pPr>
      <w:r>
        <w:rPr>
          <w:rFonts w:hint="eastAsia" w:ascii="宋体" w:hAnsi="宋体" w:cs="宋体"/>
          <w:sz w:val="24"/>
          <w:szCs w:val="24"/>
        </w:rPr>
        <w:t>2.投标文件不得涂改，若有修改错漏处，须加盖单位公章和法定代表人（负责人）或授权委托人签字或盖章。投标文件因字迹潦草或表达不清所引起的后果由投标人负责。</w:t>
      </w:r>
    </w:p>
    <w:p w14:paraId="1162346D">
      <w:pPr>
        <w:snapToGrid w:val="0"/>
        <w:spacing w:line="360" w:lineRule="auto"/>
        <w:ind w:firstLine="482" w:firstLineChars="200"/>
        <w:jc w:val="left"/>
        <w:outlineLvl w:val="0"/>
        <w:rPr>
          <w:rFonts w:hint="eastAsia" w:ascii="宋体" w:hAnsi="宋体" w:cs="宋体"/>
          <w:b/>
          <w:sz w:val="24"/>
          <w:szCs w:val="24"/>
        </w:rPr>
      </w:pPr>
      <w:bookmarkStart w:id="41" w:name="_Toc486228804"/>
      <w:r>
        <w:rPr>
          <w:rFonts w:hint="eastAsia" w:ascii="宋体" w:hAnsi="宋体" w:cs="宋体"/>
          <w:b/>
          <w:sz w:val="24"/>
          <w:szCs w:val="24"/>
        </w:rPr>
        <w:t>（六）投标文件的递交、修改和撤回</w:t>
      </w:r>
      <w:bookmarkEnd w:id="41"/>
    </w:p>
    <w:p w14:paraId="79D4CDA1">
      <w:pPr>
        <w:pStyle w:val="25"/>
        <w:spacing w:line="360" w:lineRule="auto"/>
        <w:ind w:firstLine="482" w:firstLineChars="200"/>
        <w:rPr>
          <w:rFonts w:hint="eastAsia" w:hAnsi="宋体" w:cs="宋体"/>
          <w:b/>
          <w:sz w:val="24"/>
          <w:szCs w:val="24"/>
        </w:rPr>
      </w:pPr>
      <w:r>
        <w:rPr>
          <w:rFonts w:hint="eastAsia" w:hAnsi="宋体" w:cs="宋体"/>
          <w:b/>
          <w:sz w:val="24"/>
          <w:szCs w:val="24"/>
        </w:rPr>
        <w:t>1.投标截止期</w:t>
      </w:r>
    </w:p>
    <w:p w14:paraId="79882848">
      <w:pPr>
        <w:snapToGri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1.1投标文件必须在规定的投标截止时间前在政采云系统内完成传输，以纸质、电报、电话、传真形式的投标概不接受。为应对投标文件解密失败等异常情况，投标人可指派授权代表在投标截止时间之前到达开标地点提交备份文件。</w:t>
      </w:r>
    </w:p>
    <w:p w14:paraId="16DEF993">
      <w:pPr>
        <w:snapToGri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1.2采购人因故推迟投标截止时间，将以公告形式通知。在这种情况下，采购人和投标人的权利和义务将受到新的截止时间的约束。</w:t>
      </w:r>
    </w:p>
    <w:p w14:paraId="0151B69C">
      <w:pPr>
        <w:pStyle w:val="25"/>
        <w:spacing w:line="360" w:lineRule="auto"/>
        <w:ind w:firstLine="482" w:firstLineChars="200"/>
        <w:rPr>
          <w:rFonts w:hint="eastAsia" w:hAnsi="宋体" w:cs="宋体"/>
          <w:b/>
          <w:sz w:val="24"/>
          <w:szCs w:val="24"/>
        </w:rPr>
      </w:pPr>
      <w:r>
        <w:rPr>
          <w:rFonts w:hint="eastAsia" w:hAnsi="宋体" w:cs="宋体"/>
          <w:b/>
          <w:sz w:val="24"/>
          <w:szCs w:val="24"/>
        </w:rPr>
        <w:t>2.投标文件的修改、撤销</w:t>
      </w:r>
    </w:p>
    <w:p w14:paraId="75A6ED18">
      <w:pPr>
        <w:snapToGri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w:t>
      </w:r>
    </w:p>
    <w:p w14:paraId="621F2126">
      <w:pPr>
        <w:snapToGrid w:val="0"/>
        <w:spacing w:line="360" w:lineRule="auto"/>
        <w:ind w:firstLine="482" w:firstLineChars="200"/>
        <w:outlineLvl w:val="2"/>
        <w:rPr>
          <w:rFonts w:hint="eastAsia" w:ascii="宋体" w:hAnsi="宋体" w:cs="宋体"/>
          <w:b/>
          <w:sz w:val="24"/>
        </w:rPr>
      </w:pPr>
      <w:bookmarkStart w:id="42" w:name="_Toc486228805"/>
      <w:r>
        <w:rPr>
          <w:rFonts w:hint="eastAsia" w:ascii="宋体" w:hAnsi="宋体" w:cs="宋体"/>
          <w:b/>
          <w:sz w:val="24"/>
          <w:szCs w:val="24"/>
        </w:rPr>
        <w:t>（七）投标无效的情形</w:t>
      </w:r>
      <w:bookmarkEnd w:id="42"/>
    </w:p>
    <w:p w14:paraId="76C070CD">
      <w:pPr>
        <w:snapToGrid w:val="0"/>
        <w:spacing w:line="360" w:lineRule="auto"/>
        <w:ind w:firstLine="482" w:firstLineChars="200"/>
        <w:rPr>
          <w:rFonts w:hint="eastAsia" w:ascii="宋体" w:hAnsi="宋体" w:cs="宋体"/>
          <w:bCs/>
          <w:sz w:val="24"/>
        </w:rPr>
      </w:pPr>
      <w:r>
        <w:rPr>
          <w:rFonts w:hint="eastAsia" w:ascii="宋体" w:hAnsi="宋体" w:cs="宋体"/>
          <w:b/>
          <w:bCs/>
          <w:sz w:val="24"/>
          <w:szCs w:val="24"/>
        </w:rPr>
        <w:t>实质上没有响应招标文件要求的投标将被视为无效投标。</w:t>
      </w:r>
      <w:r>
        <w:rPr>
          <w:rFonts w:hint="eastAsia" w:ascii="宋体" w:hAnsi="宋体" w:cs="宋体"/>
          <w:bCs/>
          <w:sz w:val="24"/>
          <w:szCs w:val="24"/>
        </w:rPr>
        <w:t>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3B22B65E">
      <w:pPr>
        <w:snapToGrid w:val="0"/>
        <w:spacing w:line="360" w:lineRule="auto"/>
        <w:ind w:firstLine="482" w:firstLineChars="200"/>
        <w:rPr>
          <w:rFonts w:hint="eastAsia" w:ascii="宋体" w:hAnsi="宋体" w:cs="宋体"/>
          <w:b/>
          <w:bCs/>
          <w:sz w:val="24"/>
        </w:rPr>
      </w:pPr>
      <w:r>
        <w:rPr>
          <w:rFonts w:hint="eastAsia" w:ascii="宋体" w:hAnsi="宋体" w:cs="宋体"/>
          <w:b/>
          <w:bCs/>
          <w:sz w:val="24"/>
          <w:szCs w:val="24"/>
        </w:rPr>
        <w:t>1.在符合性审查和商务评审时，如发现下列情形之一的，投标文件将被视为无效：</w:t>
      </w:r>
    </w:p>
    <w:p w14:paraId="30857587">
      <w:pPr>
        <w:snapToGrid w:val="0"/>
        <w:spacing w:line="360" w:lineRule="auto"/>
        <w:ind w:firstLine="480" w:firstLineChars="200"/>
        <w:rPr>
          <w:rFonts w:hint="eastAsia" w:ascii="宋体" w:hAnsi="宋体" w:cs="宋体"/>
          <w:sz w:val="24"/>
        </w:rPr>
      </w:pPr>
      <w:r>
        <w:rPr>
          <w:rFonts w:hint="eastAsia" w:ascii="宋体" w:hAnsi="宋体" w:cs="宋体"/>
          <w:sz w:val="24"/>
          <w:szCs w:val="24"/>
        </w:rPr>
        <w:t>（1）超出经营范围投标的；</w:t>
      </w:r>
    </w:p>
    <w:p w14:paraId="097F11BC">
      <w:pPr>
        <w:snapToGrid w:val="0"/>
        <w:spacing w:line="360" w:lineRule="auto"/>
        <w:ind w:firstLine="480" w:firstLineChars="200"/>
        <w:rPr>
          <w:rFonts w:hint="eastAsia" w:ascii="宋体" w:hAnsi="宋体" w:cs="宋体"/>
          <w:sz w:val="24"/>
        </w:rPr>
      </w:pPr>
      <w:r>
        <w:rPr>
          <w:rFonts w:hint="eastAsia" w:ascii="宋体" w:hAnsi="宋体" w:cs="宋体"/>
          <w:sz w:val="24"/>
          <w:szCs w:val="24"/>
        </w:rPr>
        <w:t>（2）资格证明文件不全的，或者不符合招标文件标明的资格要求的；</w:t>
      </w:r>
    </w:p>
    <w:p w14:paraId="65AF4ED7">
      <w:pPr>
        <w:snapToGrid w:val="0"/>
        <w:spacing w:line="360" w:lineRule="auto"/>
        <w:ind w:firstLine="480" w:firstLineChars="200"/>
        <w:rPr>
          <w:rFonts w:hint="eastAsia" w:ascii="宋体" w:hAnsi="宋体" w:cs="宋体"/>
          <w:bCs/>
          <w:kern w:val="0"/>
          <w:sz w:val="24"/>
        </w:rPr>
      </w:pPr>
      <w:r>
        <w:rPr>
          <w:rFonts w:hint="eastAsia" w:ascii="宋体" w:hAnsi="宋体" w:cs="宋体"/>
          <w:sz w:val="24"/>
          <w:szCs w:val="24"/>
        </w:rPr>
        <w:t>（3）投标文件无法定代表人（负责人）或授权委托人签字或盖章,或未</w:t>
      </w:r>
      <w:r>
        <w:rPr>
          <w:rFonts w:hint="eastAsia" w:ascii="宋体" w:hAnsi="宋体" w:cs="宋体"/>
          <w:bCs/>
          <w:kern w:val="0"/>
          <w:sz w:val="24"/>
          <w:szCs w:val="24"/>
        </w:rPr>
        <w:t>提供法定代表人（负责人）授权委托书、投标声明书或者填写项目不齐全的；</w:t>
      </w:r>
    </w:p>
    <w:p w14:paraId="3942AE61">
      <w:pPr>
        <w:snapToGrid w:val="0"/>
        <w:spacing w:line="360" w:lineRule="auto"/>
        <w:ind w:firstLine="480" w:firstLineChars="200"/>
        <w:rPr>
          <w:rFonts w:hint="eastAsia" w:ascii="宋体" w:hAnsi="宋体" w:cs="宋体"/>
          <w:sz w:val="24"/>
        </w:rPr>
      </w:pPr>
      <w:r>
        <w:rPr>
          <w:rFonts w:hint="eastAsia" w:ascii="宋体" w:hAnsi="宋体" w:cs="宋体"/>
          <w:sz w:val="24"/>
          <w:szCs w:val="24"/>
        </w:rPr>
        <w:t xml:space="preserve">（4）投标代表人未能出具身份证明或与法定代表人（负责人）授权委托人身份不符的； </w:t>
      </w:r>
    </w:p>
    <w:p w14:paraId="7E51324D">
      <w:pPr>
        <w:snapToGrid w:val="0"/>
        <w:spacing w:line="360" w:lineRule="auto"/>
        <w:ind w:firstLine="464" w:firstLineChars="200"/>
        <w:rPr>
          <w:rFonts w:hint="eastAsia" w:ascii="宋体" w:hAnsi="宋体" w:cs="宋体"/>
          <w:snapToGrid w:val="0"/>
          <w:spacing w:val="-4"/>
          <w:sz w:val="24"/>
          <w:szCs w:val="24"/>
        </w:rPr>
      </w:pPr>
      <w:r>
        <w:rPr>
          <w:rFonts w:hint="eastAsia" w:ascii="宋体" w:hAnsi="宋体" w:cs="宋体"/>
          <w:spacing w:val="-4"/>
          <w:sz w:val="24"/>
        </w:rPr>
        <w:t>（</w:t>
      </w:r>
      <w:r>
        <w:rPr>
          <w:rFonts w:hint="eastAsia" w:ascii="宋体" w:hAnsi="宋体" w:cs="宋体"/>
          <w:snapToGrid w:val="0"/>
          <w:spacing w:val="-4"/>
          <w:sz w:val="24"/>
          <w:szCs w:val="24"/>
        </w:rPr>
        <w:t>5）</w:t>
      </w:r>
      <w:r>
        <w:rPr>
          <w:rFonts w:hint="eastAsia" w:ascii="宋体" w:hAnsi="宋体" w:cs="宋体"/>
          <w:spacing w:val="-4"/>
          <w:sz w:val="24"/>
        </w:rPr>
        <w:t>投标文件格式不规范、项目不齐全或者内容虚假的；</w:t>
      </w:r>
    </w:p>
    <w:p w14:paraId="7D603CA8">
      <w:pPr>
        <w:snapToGrid w:val="0"/>
        <w:spacing w:line="360" w:lineRule="auto"/>
        <w:ind w:firstLine="464" w:firstLineChars="200"/>
        <w:rPr>
          <w:rFonts w:hint="eastAsia" w:ascii="宋体" w:hAnsi="宋体" w:cs="宋体"/>
          <w:snapToGrid w:val="0"/>
          <w:spacing w:val="-4"/>
          <w:sz w:val="24"/>
          <w:szCs w:val="24"/>
        </w:rPr>
      </w:pPr>
      <w:r>
        <w:rPr>
          <w:rFonts w:hint="eastAsia" w:ascii="宋体" w:hAnsi="宋体" w:cs="宋体"/>
          <w:spacing w:val="-4"/>
          <w:sz w:val="24"/>
        </w:rPr>
        <w:t>（6）投标文件的实质性内容未使用中文表述、意思表述不明确、前后矛盾或者使用计量单位不符合招标文件要求的（经评标委员会认定并允许其当场更正的笔误除外）；</w:t>
      </w:r>
    </w:p>
    <w:p w14:paraId="501F6656">
      <w:pPr>
        <w:snapToGrid w:val="0"/>
        <w:spacing w:line="360" w:lineRule="auto"/>
        <w:ind w:firstLine="464" w:firstLineChars="200"/>
        <w:rPr>
          <w:rFonts w:hint="eastAsia" w:ascii="宋体" w:hAnsi="宋体" w:cs="宋体"/>
          <w:snapToGrid w:val="0"/>
          <w:spacing w:val="-4"/>
          <w:sz w:val="24"/>
          <w:szCs w:val="24"/>
        </w:rPr>
      </w:pPr>
      <w:r>
        <w:rPr>
          <w:rFonts w:hint="eastAsia" w:ascii="宋体" w:hAnsi="宋体" w:cs="宋体"/>
          <w:spacing w:val="-4"/>
          <w:sz w:val="24"/>
        </w:rPr>
        <w:t>（</w:t>
      </w:r>
      <w:r>
        <w:rPr>
          <w:rFonts w:hint="eastAsia" w:ascii="宋体" w:hAnsi="宋体" w:cs="宋体"/>
          <w:snapToGrid w:val="0"/>
          <w:spacing w:val="-4"/>
          <w:sz w:val="24"/>
          <w:szCs w:val="24"/>
        </w:rPr>
        <w:t>7）符合性审查中出现存款利率的；</w:t>
      </w:r>
    </w:p>
    <w:p w14:paraId="41B5E5C2">
      <w:pPr>
        <w:snapToGrid w:val="0"/>
        <w:spacing w:line="360" w:lineRule="auto"/>
        <w:ind w:firstLine="464" w:firstLineChars="200"/>
        <w:rPr>
          <w:rFonts w:hint="eastAsia" w:ascii="宋体" w:hAnsi="宋体" w:cs="宋体"/>
          <w:spacing w:val="-4"/>
          <w:sz w:val="24"/>
        </w:rPr>
      </w:pPr>
      <w:r>
        <w:rPr>
          <w:rFonts w:hint="eastAsia" w:ascii="宋体" w:hAnsi="宋体" w:cs="宋体"/>
          <w:snapToGrid w:val="0"/>
          <w:spacing w:val="-4"/>
          <w:sz w:val="24"/>
          <w:szCs w:val="24"/>
        </w:rPr>
        <w:t>（8）</w:t>
      </w:r>
      <w:r>
        <w:rPr>
          <w:rFonts w:hint="eastAsia" w:ascii="宋体" w:hAnsi="宋体" w:cs="宋体"/>
          <w:spacing w:val="-4"/>
          <w:sz w:val="24"/>
        </w:rPr>
        <w:t>未实质性响应招标文件要求或者投标文件有招标方不能接受的附加条件的。</w:t>
      </w:r>
    </w:p>
    <w:p w14:paraId="014A00EC">
      <w:pPr>
        <w:snapToGrid w:val="0"/>
        <w:spacing w:line="360" w:lineRule="auto"/>
        <w:ind w:firstLine="466" w:firstLineChars="200"/>
        <w:rPr>
          <w:rFonts w:hint="eastAsia" w:ascii="宋体" w:hAnsi="宋体" w:cs="宋体"/>
          <w:b/>
          <w:bCs/>
          <w:spacing w:val="-4"/>
          <w:sz w:val="24"/>
        </w:rPr>
      </w:pPr>
      <w:r>
        <w:rPr>
          <w:rFonts w:hint="eastAsia" w:ascii="宋体" w:hAnsi="宋体" w:cs="宋体"/>
          <w:b/>
          <w:bCs/>
          <w:spacing w:val="-4"/>
          <w:sz w:val="24"/>
        </w:rPr>
        <w:t>2.在技术评审时，如发现下列情形之一的，投标文件将被视为无效：</w:t>
      </w:r>
    </w:p>
    <w:p w14:paraId="5754F9D1">
      <w:pPr>
        <w:snapToGrid w:val="0"/>
        <w:spacing w:line="360" w:lineRule="auto"/>
        <w:ind w:firstLine="464" w:firstLineChars="200"/>
        <w:rPr>
          <w:rFonts w:hint="eastAsia" w:ascii="宋体" w:hAnsi="宋体" w:cs="宋体"/>
          <w:spacing w:val="-4"/>
          <w:sz w:val="24"/>
        </w:rPr>
      </w:pPr>
      <w:r>
        <w:rPr>
          <w:rFonts w:hint="eastAsia" w:ascii="宋体" w:hAnsi="宋体" w:cs="宋体"/>
          <w:spacing w:val="-4"/>
          <w:sz w:val="24"/>
        </w:rPr>
        <w:t>（1）投标文件标明的响应或偏离与事实不符或虚假投标的；</w:t>
      </w:r>
    </w:p>
    <w:p w14:paraId="5CD724B3">
      <w:pPr>
        <w:snapToGrid w:val="0"/>
        <w:spacing w:line="360" w:lineRule="auto"/>
        <w:ind w:firstLine="464" w:firstLineChars="200"/>
        <w:rPr>
          <w:rFonts w:hint="eastAsia" w:ascii="宋体" w:hAnsi="宋体" w:cs="宋体"/>
          <w:spacing w:val="-4"/>
          <w:sz w:val="24"/>
        </w:rPr>
      </w:pPr>
      <w:r>
        <w:rPr>
          <w:rFonts w:hint="eastAsia" w:ascii="宋体" w:hAnsi="宋体" w:cs="宋体"/>
          <w:spacing w:val="-4"/>
          <w:sz w:val="24"/>
        </w:rPr>
        <w:t>（2）投标技术方案不明确，存在一个或一个以上备选（替代）投标方案的；</w:t>
      </w:r>
    </w:p>
    <w:p w14:paraId="5F327935">
      <w:pPr>
        <w:snapToGrid w:val="0"/>
        <w:spacing w:line="360" w:lineRule="auto"/>
        <w:ind w:firstLine="466" w:firstLineChars="200"/>
        <w:rPr>
          <w:rFonts w:hint="eastAsia" w:ascii="宋体" w:hAnsi="宋体" w:cs="宋体"/>
          <w:b/>
          <w:bCs/>
          <w:spacing w:val="-4"/>
          <w:sz w:val="24"/>
        </w:rPr>
      </w:pPr>
      <w:r>
        <w:rPr>
          <w:rFonts w:hint="eastAsia" w:ascii="宋体" w:hAnsi="宋体" w:cs="宋体"/>
          <w:b/>
          <w:bCs/>
          <w:spacing w:val="-4"/>
          <w:sz w:val="24"/>
        </w:rPr>
        <w:t>3.在报价评审时，如发现下列情形之一的，投标文件将被视为无效：</w:t>
      </w:r>
    </w:p>
    <w:p w14:paraId="49906F0A">
      <w:pPr>
        <w:snapToGrid w:val="0"/>
        <w:spacing w:line="360" w:lineRule="auto"/>
        <w:ind w:firstLine="464" w:firstLineChars="200"/>
        <w:rPr>
          <w:rFonts w:hint="eastAsia" w:ascii="宋体" w:hAnsi="宋体" w:cs="宋体"/>
          <w:spacing w:val="-4"/>
          <w:sz w:val="24"/>
        </w:rPr>
      </w:pPr>
      <w:r>
        <w:rPr>
          <w:rFonts w:hint="eastAsia" w:ascii="宋体" w:hAnsi="宋体" w:cs="宋体"/>
          <w:spacing w:val="-4"/>
          <w:sz w:val="24"/>
        </w:rPr>
        <w:t>（1）未采用人民币报价或者未按照招标文件标明的币种报价的；</w:t>
      </w:r>
    </w:p>
    <w:p w14:paraId="45714884">
      <w:pPr>
        <w:snapToGrid w:val="0"/>
        <w:spacing w:line="360" w:lineRule="auto"/>
        <w:ind w:firstLine="464" w:firstLineChars="200"/>
        <w:rPr>
          <w:rFonts w:hint="eastAsia" w:ascii="宋体" w:hAnsi="宋体" w:cs="宋体"/>
          <w:spacing w:val="-4"/>
          <w:sz w:val="24"/>
        </w:rPr>
      </w:pPr>
      <w:r>
        <w:rPr>
          <w:rFonts w:hint="eastAsia" w:ascii="宋体" w:hAnsi="宋体" w:cs="宋体"/>
          <w:spacing w:val="-4"/>
          <w:sz w:val="24"/>
        </w:rPr>
        <w:t xml:space="preserve">（2）投标报价具有选择性，或者开标价格与投标文件承诺的优惠（折扣）价格不一致的。                                                                                               </w:t>
      </w:r>
    </w:p>
    <w:p w14:paraId="26CC7FBA">
      <w:pPr>
        <w:snapToGrid w:val="0"/>
        <w:spacing w:line="360" w:lineRule="auto"/>
        <w:ind w:firstLine="466" w:firstLineChars="200"/>
        <w:rPr>
          <w:rFonts w:hint="eastAsia" w:ascii="宋体" w:hAnsi="宋体" w:cs="宋体"/>
          <w:b/>
          <w:spacing w:val="-4"/>
          <w:sz w:val="24"/>
        </w:rPr>
      </w:pPr>
      <w:r>
        <w:rPr>
          <w:rFonts w:hint="eastAsia" w:ascii="宋体" w:hAnsi="宋体" w:cs="宋体"/>
          <w:b/>
          <w:spacing w:val="-4"/>
          <w:sz w:val="24"/>
        </w:rPr>
        <w:t>4.被拒绝的投标文件为无效。</w:t>
      </w:r>
    </w:p>
    <w:p w14:paraId="3195D74F">
      <w:pPr>
        <w:snapToGrid w:val="0"/>
        <w:spacing w:line="400" w:lineRule="exact"/>
        <w:ind w:firstLine="535" w:firstLineChars="196"/>
        <w:outlineLvl w:val="1"/>
        <w:rPr>
          <w:rFonts w:hint="eastAsia" w:ascii="宋体" w:hAnsi="宋体" w:cs="宋体"/>
          <w:b/>
          <w:spacing w:val="-4"/>
          <w:sz w:val="28"/>
          <w:szCs w:val="28"/>
        </w:rPr>
      </w:pPr>
    </w:p>
    <w:p w14:paraId="45978B71">
      <w:pPr>
        <w:snapToGrid w:val="0"/>
        <w:spacing w:line="400" w:lineRule="exact"/>
        <w:ind w:firstLine="535" w:firstLineChars="196"/>
        <w:jc w:val="center"/>
        <w:outlineLvl w:val="1"/>
        <w:rPr>
          <w:rFonts w:hint="eastAsia" w:ascii="宋体" w:hAnsi="宋体" w:cs="宋体"/>
          <w:b/>
          <w:snapToGrid w:val="0"/>
          <w:spacing w:val="-4"/>
          <w:sz w:val="28"/>
          <w:szCs w:val="28"/>
        </w:rPr>
      </w:pPr>
      <w:bookmarkStart w:id="43" w:name="_Toc486228806"/>
      <w:r>
        <w:rPr>
          <w:rFonts w:hint="eastAsia" w:ascii="宋体" w:hAnsi="宋体" w:cs="宋体"/>
          <w:b/>
          <w:spacing w:val="-4"/>
          <w:sz w:val="28"/>
          <w:szCs w:val="28"/>
        </w:rPr>
        <w:t>四、开标</w:t>
      </w:r>
      <w:bookmarkEnd w:id="43"/>
    </w:p>
    <w:p w14:paraId="6B123E3D">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1.在投标截止时间前按规定提交投标文件的投标人在三家（含）以上的，由采购人或采购代理机构组织进行开标。</w:t>
      </w:r>
    </w:p>
    <w:p w14:paraId="67B9EE53">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2.采购人按招标文件规定的时间、地点公开开标。开标仪式由采购人或采购代理机构主持及有关人员参加。</w:t>
      </w:r>
    </w:p>
    <w:p w14:paraId="43A64A1C">
      <w:pPr>
        <w:snapToGrid w:val="0"/>
        <w:spacing w:line="360" w:lineRule="auto"/>
        <w:ind w:firstLine="480" w:firstLineChars="200"/>
        <w:rPr>
          <w:rFonts w:ascii="宋体" w:hAnsi="宋体" w:cs="宋体"/>
          <w:b/>
          <w:bCs/>
          <w:sz w:val="24"/>
          <w:szCs w:val="24"/>
        </w:rPr>
      </w:pPr>
      <w:r>
        <w:rPr>
          <w:rFonts w:hint="eastAsia" w:ascii="宋体" w:hAnsi="宋体" w:cs="宋体"/>
          <w:sz w:val="24"/>
          <w:szCs w:val="24"/>
        </w:rPr>
        <w:t>3.本项目需递交电子投标文件。采用电子投标，投标人可自行准备备份文件，电子投标文件正常解锁，则U盘退还；电子投标文件解锁失败，则由代理机构将U盘中的备份文件上传，该U盘由代理机构保存。</w:t>
      </w:r>
    </w:p>
    <w:p w14:paraId="4C107778">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4.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0FCBBA81">
      <w:pPr>
        <w:snapToGrid w:val="0"/>
        <w:spacing w:before="156" w:after="156" w:line="400" w:lineRule="exact"/>
        <w:ind w:left="842" w:leftChars="267" w:hanging="281" w:hangingChars="100"/>
        <w:jc w:val="center"/>
        <w:outlineLvl w:val="1"/>
        <w:rPr>
          <w:rFonts w:hint="eastAsia" w:ascii="宋体" w:hAnsi="宋体" w:cs="宋体"/>
          <w:b/>
          <w:sz w:val="28"/>
          <w:szCs w:val="28"/>
        </w:rPr>
      </w:pPr>
      <w:bookmarkStart w:id="44" w:name="_Toc486228807"/>
      <w:r>
        <w:rPr>
          <w:rFonts w:hint="eastAsia" w:ascii="宋体" w:hAnsi="宋体" w:cs="宋体"/>
          <w:b/>
          <w:sz w:val="28"/>
          <w:szCs w:val="28"/>
        </w:rPr>
        <w:t>五、资格审查</w:t>
      </w:r>
    </w:p>
    <w:p w14:paraId="55754699">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1.开标后，采购人或采购代理机构将依法对投标人的资格进行审查；</w:t>
      </w:r>
    </w:p>
    <w:p w14:paraId="5287F47A">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2.采购人或采购代理机构依据法律法规和招标文件的规定，对投标人的基本资格条件、特定资格条件进行审查。</w:t>
      </w:r>
    </w:p>
    <w:p w14:paraId="0482BD18">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3.采购人或采购代理机构将通过“信用中国”网站(www.creditchina.gov.cn)、中国政府采购网(www.ccgp.gov.cn)渠道查询投标人开标后评标前的信用记录，经查询投标人列入失信被执行人名单、重大税收违法案件当事人名单、政府采购严重违法失信行为记录名单的，其投标无效；</w:t>
      </w:r>
    </w:p>
    <w:p w14:paraId="21B35FC9">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4.采购人或采购代理机构出具《投标人资格审查意见表》，投标人未按照招标文件要求提供与基本资格条件、特定资格条件相应的有效资格证明材料的，视为投标人不具备招标文件中规定的资格要求，其投标无效。</w:t>
      </w:r>
    </w:p>
    <w:p w14:paraId="438A984C">
      <w:pPr>
        <w:pStyle w:val="6"/>
        <w:rPr>
          <w:rFonts w:hint="eastAsia"/>
        </w:rPr>
      </w:pPr>
    </w:p>
    <w:p w14:paraId="61969398">
      <w:pPr>
        <w:snapToGrid w:val="0"/>
        <w:spacing w:before="156" w:after="156" w:line="400" w:lineRule="exact"/>
        <w:ind w:left="842" w:leftChars="267" w:hanging="281" w:hangingChars="100"/>
        <w:jc w:val="center"/>
        <w:outlineLvl w:val="1"/>
        <w:rPr>
          <w:rFonts w:hint="eastAsia" w:ascii="宋体" w:hAnsi="宋体" w:cs="宋体"/>
          <w:b/>
          <w:sz w:val="28"/>
          <w:szCs w:val="28"/>
        </w:rPr>
      </w:pPr>
      <w:r>
        <w:rPr>
          <w:rFonts w:hint="eastAsia" w:ascii="宋体" w:hAnsi="宋体" w:cs="宋体"/>
          <w:b/>
          <w:sz w:val="28"/>
          <w:szCs w:val="28"/>
        </w:rPr>
        <w:t>六、评标</w:t>
      </w:r>
      <w:bookmarkEnd w:id="44"/>
    </w:p>
    <w:p w14:paraId="1A1D3236">
      <w:pPr>
        <w:snapToGrid w:val="0"/>
        <w:spacing w:line="360" w:lineRule="auto"/>
        <w:ind w:firstLine="482" w:firstLineChars="200"/>
        <w:rPr>
          <w:rFonts w:hint="eastAsia" w:ascii="宋体" w:hAnsi="宋体" w:cs="宋体"/>
          <w:b/>
          <w:sz w:val="24"/>
          <w:szCs w:val="24"/>
        </w:rPr>
      </w:pPr>
      <w:r>
        <w:rPr>
          <w:rFonts w:hint="eastAsia" w:ascii="宋体" w:hAnsi="宋体" w:cs="宋体"/>
          <w:b/>
          <w:sz w:val="24"/>
          <w:szCs w:val="24"/>
        </w:rPr>
        <w:t>（一）组建评标委员会</w:t>
      </w:r>
    </w:p>
    <w:p w14:paraId="08C06D07">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本项目评标委员会按《绍兴市上虞区人民政府办公室关于印发上虞区行政事业单位公款竞争性存放管理办法的通知》（虞政办发【2021】38号）相关要求，组建评标委员会。</w:t>
      </w:r>
    </w:p>
    <w:p w14:paraId="179B14B3">
      <w:pPr>
        <w:snapToGrid w:val="0"/>
        <w:spacing w:line="360" w:lineRule="auto"/>
        <w:ind w:firstLine="482" w:firstLineChars="200"/>
        <w:rPr>
          <w:rFonts w:hint="eastAsia" w:ascii="宋体" w:hAnsi="宋体" w:cs="宋体"/>
          <w:b/>
          <w:sz w:val="24"/>
          <w:szCs w:val="24"/>
        </w:rPr>
      </w:pPr>
      <w:r>
        <w:rPr>
          <w:rFonts w:hint="eastAsia" w:ascii="宋体" w:hAnsi="宋体" w:cs="宋体"/>
          <w:b/>
          <w:sz w:val="24"/>
          <w:szCs w:val="24"/>
        </w:rPr>
        <w:t>（二）评标的方式</w:t>
      </w:r>
    </w:p>
    <w:p w14:paraId="16A655DB">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本项目采用公开方式评标，评标的依据为招标文件和投标文件。</w:t>
      </w:r>
    </w:p>
    <w:p w14:paraId="1E89D64F">
      <w:pPr>
        <w:snapToGrid w:val="0"/>
        <w:spacing w:line="360" w:lineRule="auto"/>
        <w:ind w:firstLine="482" w:firstLineChars="200"/>
        <w:rPr>
          <w:rFonts w:hint="eastAsia" w:ascii="宋体" w:hAnsi="宋体" w:cs="宋体"/>
          <w:b/>
          <w:sz w:val="24"/>
          <w:szCs w:val="24"/>
        </w:rPr>
      </w:pPr>
      <w:r>
        <w:rPr>
          <w:rFonts w:hint="eastAsia" w:ascii="宋体" w:hAnsi="宋体" w:cs="宋体"/>
          <w:b/>
          <w:sz w:val="24"/>
          <w:szCs w:val="24"/>
        </w:rPr>
        <w:t>（三）</w:t>
      </w:r>
      <w:r>
        <w:rPr>
          <w:rFonts w:hint="eastAsia" w:ascii="宋体" w:hAnsi="宋体" w:cs="宋体"/>
          <w:b/>
          <w:bCs/>
          <w:sz w:val="24"/>
          <w:szCs w:val="24"/>
        </w:rPr>
        <w:t>评标程序</w:t>
      </w:r>
    </w:p>
    <w:p w14:paraId="4E999A4E">
      <w:pPr>
        <w:snapToGrid w:val="0"/>
        <w:spacing w:line="360" w:lineRule="auto"/>
        <w:ind w:firstLine="480" w:firstLineChars="200"/>
        <w:rPr>
          <w:rFonts w:hint="eastAsia" w:ascii="宋体" w:hAnsi="宋体" w:cs="宋体"/>
          <w:sz w:val="24"/>
        </w:rPr>
      </w:pPr>
      <w:r>
        <w:rPr>
          <w:rFonts w:hint="eastAsia" w:ascii="宋体" w:hAnsi="宋体" w:cs="宋体"/>
          <w:sz w:val="24"/>
        </w:rPr>
        <w:t>1.资格审查</w:t>
      </w:r>
    </w:p>
    <w:p w14:paraId="7ABA4A36">
      <w:pPr>
        <w:snapToGrid w:val="0"/>
        <w:spacing w:line="360" w:lineRule="auto"/>
        <w:ind w:firstLine="480" w:firstLineChars="200"/>
        <w:rPr>
          <w:rFonts w:hint="eastAsia" w:ascii="宋体" w:hAnsi="宋体" w:cs="宋体"/>
          <w:sz w:val="24"/>
        </w:rPr>
      </w:pPr>
      <w:r>
        <w:rPr>
          <w:rFonts w:hint="eastAsia" w:ascii="宋体" w:hAnsi="宋体" w:cs="宋体"/>
          <w:sz w:val="24"/>
        </w:rPr>
        <w:t>公开招标采购项目开标结束后，评标委员会应当依法对投标人的资格进行审查，对审查发现无效的进行必要的询标，结束后公布无效投标的投标人名单、投标无效的原因。</w:t>
      </w:r>
    </w:p>
    <w:p w14:paraId="5140F41B">
      <w:pPr>
        <w:snapToGrid w:val="0"/>
        <w:spacing w:line="360" w:lineRule="auto"/>
        <w:ind w:firstLine="480" w:firstLineChars="200"/>
        <w:rPr>
          <w:rFonts w:hint="eastAsia" w:ascii="宋体" w:hAnsi="宋体" w:cs="宋体"/>
          <w:sz w:val="24"/>
        </w:rPr>
      </w:pPr>
      <w:r>
        <w:rPr>
          <w:rFonts w:hint="eastAsia" w:ascii="宋体" w:hAnsi="宋体" w:cs="宋体"/>
          <w:sz w:val="24"/>
        </w:rPr>
        <w:t>2.符合性审查</w:t>
      </w:r>
    </w:p>
    <w:p w14:paraId="52AC9487">
      <w:pPr>
        <w:snapToGrid w:val="0"/>
        <w:spacing w:line="360" w:lineRule="auto"/>
        <w:ind w:firstLine="480" w:firstLineChars="200"/>
        <w:rPr>
          <w:rFonts w:hint="eastAsia" w:ascii="宋体" w:hAnsi="宋体" w:cs="宋体"/>
          <w:sz w:val="24"/>
        </w:rPr>
      </w:pPr>
      <w:r>
        <w:rPr>
          <w:rFonts w:hint="eastAsia" w:ascii="宋体" w:hAnsi="宋体" w:cs="宋体"/>
          <w:sz w:val="24"/>
        </w:rPr>
        <w:t>（1）评标委员会审查投标文件的实质性内容是否符合招标文件的实质性要求。</w:t>
      </w:r>
    </w:p>
    <w:p w14:paraId="5E9E3C80">
      <w:pPr>
        <w:snapToGrid w:val="0"/>
        <w:spacing w:line="360" w:lineRule="auto"/>
        <w:ind w:firstLine="480" w:firstLineChars="200"/>
        <w:rPr>
          <w:rFonts w:hint="eastAsia" w:ascii="宋体" w:hAnsi="宋体" w:cs="宋体"/>
          <w:sz w:val="24"/>
        </w:rPr>
      </w:pPr>
      <w:r>
        <w:rPr>
          <w:rFonts w:hint="eastAsia" w:ascii="宋体" w:hAnsi="宋体" w:cs="宋体"/>
          <w:sz w:val="24"/>
        </w:rPr>
        <w:t>（2）评标委员会将根据投标人的投标文件进行审查、核对,如有疑问,将对投标人进行询标,投标人要向评标委员会澄清有关问题,并最终以书面形式进行答复。</w:t>
      </w:r>
    </w:p>
    <w:p w14:paraId="2D92AB06">
      <w:pPr>
        <w:snapToGrid w:val="0"/>
        <w:spacing w:line="360" w:lineRule="auto"/>
        <w:ind w:firstLine="480" w:firstLineChars="200"/>
        <w:rPr>
          <w:rFonts w:hint="eastAsia" w:ascii="宋体" w:hAnsi="宋体" w:cs="宋体"/>
          <w:sz w:val="24"/>
        </w:rPr>
      </w:pPr>
      <w:r>
        <w:rPr>
          <w:rFonts w:hint="eastAsia" w:ascii="宋体" w:hAnsi="宋体" w:cs="宋体"/>
          <w:sz w:val="24"/>
        </w:rPr>
        <w:t>投标人代表未到场或者拒绝澄清或者澄清的内容改变了投标文件的实质性内容的，评标委员会有权对该投标文件作出不利于投标人的评判。</w:t>
      </w:r>
    </w:p>
    <w:p w14:paraId="2227EB3C">
      <w:pPr>
        <w:snapToGrid w:val="0"/>
        <w:spacing w:line="360" w:lineRule="auto"/>
        <w:ind w:firstLine="480" w:firstLineChars="200"/>
        <w:rPr>
          <w:rFonts w:hint="eastAsia" w:ascii="宋体" w:hAnsi="宋体" w:cs="宋体"/>
          <w:sz w:val="24"/>
        </w:rPr>
      </w:pPr>
      <w:r>
        <w:rPr>
          <w:rFonts w:hint="eastAsia" w:ascii="宋体" w:hAnsi="宋体" w:cs="宋体"/>
          <w:sz w:val="24"/>
        </w:rPr>
        <w:t>（3）各投标人的商务资信与技术文件得分为所有评标委员会成员的独立评分结果汇总数的算术平均值，由指定专人进行计算复核。</w:t>
      </w:r>
    </w:p>
    <w:p w14:paraId="67EC06FE">
      <w:pPr>
        <w:snapToGrid w:val="0"/>
        <w:spacing w:line="360" w:lineRule="auto"/>
        <w:ind w:firstLine="480" w:firstLineChars="200"/>
        <w:rPr>
          <w:rFonts w:hint="eastAsia" w:ascii="宋体" w:hAnsi="宋体" w:cs="宋体"/>
          <w:sz w:val="24"/>
        </w:rPr>
      </w:pPr>
      <w:r>
        <w:rPr>
          <w:rFonts w:hint="eastAsia" w:ascii="宋体" w:hAnsi="宋体" w:cs="宋体"/>
          <w:sz w:val="24"/>
        </w:rPr>
        <w:t>（4）评标委员会对各部分得分进行汇总，得出本项目最终得分。</w:t>
      </w:r>
    </w:p>
    <w:p w14:paraId="1647540F">
      <w:pPr>
        <w:snapToGrid w:val="0"/>
        <w:spacing w:line="360" w:lineRule="auto"/>
        <w:ind w:firstLine="480" w:firstLineChars="200"/>
        <w:rPr>
          <w:rFonts w:hint="eastAsia" w:ascii="宋体" w:hAnsi="宋体" w:cs="宋体"/>
          <w:sz w:val="24"/>
        </w:rPr>
      </w:pPr>
      <w:r>
        <w:rPr>
          <w:rFonts w:hint="eastAsia" w:ascii="宋体" w:hAnsi="宋体" w:cs="宋体"/>
          <w:sz w:val="24"/>
        </w:rPr>
        <w:t>（5）评标委员会完成评标后，按评标原则推荐中标候选人，同时起草评标报告。</w:t>
      </w:r>
    </w:p>
    <w:p w14:paraId="4E82A9FE">
      <w:pPr>
        <w:snapToGrid w:val="0"/>
        <w:spacing w:line="360" w:lineRule="auto"/>
        <w:ind w:firstLine="482" w:firstLineChars="200"/>
        <w:rPr>
          <w:rFonts w:hint="eastAsia" w:ascii="宋体" w:hAnsi="宋体" w:cs="宋体"/>
          <w:b/>
          <w:sz w:val="24"/>
        </w:rPr>
      </w:pPr>
      <w:r>
        <w:rPr>
          <w:rFonts w:hint="eastAsia" w:ascii="宋体" w:hAnsi="宋体" w:cs="宋体"/>
          <w:b/>
          <w:sz w:val="24"/>
          <w:szCs w:val="24"/>
        </w:rPr>
        <w:t>（四）澄清问题的形式</w:t>
      </w:r>
    </w:p>
    <w:p w14:paraId="34AFB0F8">
      <w:pPr>
        <w:pStyle w:val="77"/>
        <w:spacing w:line="360" w:lineRule="auto"/>
        <w:ind w:firstLine="480" w:firstLineChars="200"/>
        <w:rPr>
          <w:rFonts w:hint="eastAsia" w:ascii="宋体" w:hAnsi="宋体" w:cs="宋体"/>
          <w:sz w:val="24"/>
          <w:szCs w:val="24"/>
          <w:lang w:val="en-US"/>
        </w:rPr>
      </w:pPr>
      <w:r>
        <w:rPr>
          <w:rFonts w:hint="eastAsia" w:ascii="宋体" w:hAnsi="宋体" w:cs="宋体"/>
          <w:sz w:val="24"/>
          <w:szCs w:val="24"/>
          <w:lang w:val="en-US"/>
        </w:rPr>
        <w:t>评审过程中若需要供应商对投标文件作出澄清、说明或者补正的，评审小组可要求供应商在合理期限内通过线上询标澄清或电子邮件（389103404@qq.com）等书面形式的方式作出澄清、说明或者补正。评审小组给予供应商提交澄清、说明或补正的时间不得少于半小时，供应商已经明确表示澄清、说明或补正完毕的除外。投标供应商应在开标期间保持电话畅通，如未及时接听电话或超出澄清、说明或补正时间的，视为放弃澄清、说明或补正的权利。</w:t>
      </w:r>
    </w:p>
    <w:p w14:paraId="4736A40B">
      <w:pPr>
        <w:snapToGrid w:val="0"/>
        <w:spacing w:line="360" w:lineRule="auto"/>
        <w:ind w:firstLine="482" w:firstLineChars="200"/>
        <w:rPr>
          <w:rFonts w:hint="eastAsia" w:ascii="宋体" w:hAnsi="宋体" w:cs="宋体"/>
          <w:b/>
          <w:sz w:val="24"/>
          <w:szCs w:val="24"/>
        </w:rPr>
      </w:pPr>
      <w:r>
        <w:rPr>
          <w:rFonts w:hint="eastAsia" w:ascii="宋体" w:hAnsi="宋体" w:cs="宋体"/>
          <w:b/>
          <w:sz w:val="24"/>
          <w:szCs w:val="24"/>
        </w:rPr>
        <w:t>（五）错误修正</w:t>
      </w:r>
    </w:p>
    <w:p w14:paraId="5E484152">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投标文件如果出现计算或表达上的错误，修正错误的原则如下：</w:t>
      </w:r>
    </w:p>
    <w:p w14:paraId="4F02D722">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1.投标文件的大写金额和小写金额不一致的，以大写金额为准；</w:t>
      </w:r>
    </w:p>
    <w:p w14:paraId="20799D7B">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2.对不同文字文本投标文件的解释发生异议的，以中文文本为准。</w:t>
      </w:r>
    </w:p>
    <w:p w14:paraId="086C9335">
      <w:pPr>
        <w:snapToGrid w:val="0"/>
        <w:spacing w:line="360" w:lineRule="auto"/>
        <w:ind w:firstLine="482" w:firstLineChars="200"/>
        <w:rPr>
          <w:rFonts w:hint="eastAsia" w:ascii="宋体" w:hAnsi="宋体" w:cs="宋体"/>
          <w:b/>
          <w:bCs/>
          <w:sz w:val="24"/>
          <w:szCs w:val="24"/>
        </w:rPr>
      </w:pPr>
      <w:r>
        <w:rPr>
          <w:rFonts w:hint="eastAsia" w:ascii="宋体" w:hAnsi="宋体" w:cs="宋体"/>
          <w:b/>
          <w:bCs/>
          <w:sz w:val="24"/>
          <w:szCs w:val="24"/>
        </w:rPr>
        <w:t>按上述修正错误的原则及方法调整或修正投标文件的投标报价，投标人同意并签字确认后，调整后的投标报价对投标人具有约束作用。如果投标人不接受修正后的报价，则其投标将作为无效投标处理。</w:t>
      </w:r>
    </w:p>
    <w:p w14:paraId="0DFB6A09">
      <w:pPr>
        <w:tabs>
          <w:tab w:val="left" w:pos="630"/>
        </w:tabs>
        <w:snapToGrid w:val="0"/>
        <w:spacing w:line="360" w:lineRule="auto"/>
        <w:ind w:firstLine="482" w:firstLineChars="200"/>
        <w:rPr>
          <w:rFonts w:hint="eastAsia" w:ascii="宋体" w:hAnsi="宋体" w:cs="宋体"/>
          <w:b/>
          <w:sz w:val="24"/>
          <w:szCs w:val="24"/>
        </w:rPr>
      </w:pPr>
      <w:r>
        <w:rPr>
          <w:rFonts w:hint="eastAsia" w:ascii="宋体" w:hAnsi="宋体" w:cs="宋体"/>
          <w:b/>
          <w:sz w:val="24"/>
          <w:szCs w:val="24"/>
        </w:rPr>
        <w:t>（六）评标原则和评标办法</w:t>
      </w:r>
    </w:p>
    <w:p w14:paraId="1219AC59">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05B0D834">
      <w:pPr>
        <w:snapToGrid w:val="0"/>
        <w:spacing w:line="360" w:lineRule="auto"/>
        <w:ind w:firstLine="480" w:firstLineChars="200"/>
        <w:rPr>
          <w:rFonts w:hint="eastAsia" w:ascii="宋体" w:hAnsi="宋体" w:cs="宋体"/>
          <w:szCs w:val="24"/>
        </w:rPr>
      </w:pPr>
      <w:r>
        <w:rPr>
          <w:rFonts w:hint="eastAsia" w:ascii="宋体" w:hAnsi="宋体" w:cs="宋体"/>
          <w:sz w:val="24"/>
          <w:szCs w:val="24"/>
        </w:rPr>
        <w:t>2.评标办法。本项目评标办法是</w:t>
      </w:r>
      <w:r>
        <w:rPr>
          <w:rFonts w:hint="eastAsia" w:ascii="宋体" w:hAnsi="宋体" w:cs="宋体"/>
          <w:sz w:val="24"/>
          <w:szCs w:val="24"/>
          <w:u w:val="single"/>
        </w:rPr>
        <w:t>综合评分法</w:t>
      </w:r>
      <w:r>
        <w:rPr>
          <w:rFonts w:hint="eastAsia" w:ascii="宋体" w:hAnsi="宋体" w:cs="宋体"/>
          <w:sz w:val="24"/>
          <w:szCs w:val="24"/>
        </w:rPr>
        <w:t>，具体评标内容及评分标准等详见《第四章：评标办法及评分标准》。</w:t>
      </w:r>
    </w:p>
    <w:p w14:paraId="3491A8EB">
      <w:pPr>
        <w:snapToGrid w:val="0"/>
        <w:spacing w:line="360" w:lineRule="auto"/>
        <w:ind w:firstLine="482" w:firstLineChars="200"/>
        <w:rPr>
          <w:rFonts w:hint="eastAsia" w:ascii="宋体" w:hAnsi="宋体" w:cs="宋体"/>
          <w:b/>
          <w:sz w:val="24"/>
          <w:szCs w:val="24"/>
        </w:rPr>
      </w:pPr>
      <w:r>
        <w:rPr>
          <w:rFonts w:hint="eastAsia" w:ascii="宋体" w:hAnsi="宋体" w:cs="宋体"/>
          <w:b/>
          <w:sz w:val="24"/>
          <w:szCs w:val="24"/>
        </w:rPr>
        <w:t>（七）评标过程的监控</w:t>
      </w:r>
    </w:p>
    <w:p w14:paraId="63B18EF0">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本项目评标过程实行全程录音、录像监控，进行现场监督，投标人在评标过程中所进行的试图影响评标结果的不公正活动，可能导致其投标被拒绝。</w:t>
      </w:r>
    </w:p>
    <w:p w14:paraId="65778F8F">
      <w:pPr>
        <w:snapToGrid w:val="0"/>
        <w:spacing w:before="156" w:after="156" w:line="400" w:lineRule="exact"/>
        <w:ind w:firstLine="551" w:firstLineChars="196"/>
        <w:jc w:val="center"/>
        <w:outlineLvl w:val="1"/>
        <w:rPr>
          <w:rFonts w:hint="eastAsia" w:ascii="宋体" w:hAnsi="宋体" w:cs="宋体"/>
          <w:b/>
          <w:sz w:val="28"/>
          <w:szCs w:val="28"/>
        </w:rPr>
      </w:pPr>
      <w:bookmarkStart w:id="45" w:name="_Toc486228808"/>
      <w:r>
        <w:rPr>
          <w:rFonts w:hint="eastAsia" w:ascii="宋体" w:hAnsi="宋体" w:cs="宋体"/>
          <w:b/>
          <w:sz w:val="28"/>
          <w:szCs w:val="28"/>
        </w:rPr>
        <w:t>六、定标</w:t>
      </w:r>
      <w:bookmarkEnd w:id="45"/>
    </w:p>
    <w:p w14:paraId="4CBD8DE9">
      <w:pPr>
        <w:snapToGrid w:val="0"/>
        <w:spacing w:line="360" w:lineRule="auto"/>
        <w:ind w:firstLine="482" w:firstLineChars="200"/>
        <w:rPr>
          <w:rFonts w:hint="eastAsia" w:ascii="宋体" w:hAnsi="宋体" w:cs="宋体"/>
          <w:b/>
          <w:bCs/>
          <w:sz w:val="24"/>
        </w:rPr>
      </w:pPr>
      <w:r>
        <w:rPr>
          <w:rFonts w:hint="eastAsia" w:ascii="宋体" w:hAnsi="宋体" w:cs="宋体"/>
          <w:b/>
          <w:bCs/>
          <w:sz w:val="24"/>
          <w:szCs w:val="24"/>
        </w:rPr>
        <w:t>（一）确定中标人。本项目由招标人（或招标人事先授权评标委员会）确定中标人。</w:t>
      </w:r>
    </w:p>
    <w:p w14:paraId="63AD3F57">
      <w:pPr>
        <w:snapToGrid w:val="0"/>
        <w:spacing w:line="360" w:lineRule="auto"/>
        <w:ind w:firstLine="480" w:firstLineChars="200"/>
        <w:rPr>
          <w:rFonts w:hint="eastAsia" w:ascii="宋体" w:hAnsi="宋体" w:cs="宋体"/>
          <w:sz w:val="24"/>
        </w:rPr>
      </w:pPr>
      <w:r>
        <w:rPr>
          <w:rFonts w:hint="eastAsia" w:ascii="宋体" w:hAnsi="宋体" w:cs="宋体"/>
          <w:sz w:val="24"/>
          <w:szCs w:val="24"/>
        </w:rPr>
        <w:t>1.招标代理机构在评标结束后2个工作日内将评标报告交招标人确认，同时在发布招标公告的网站上对评标结果进行公示。</w:t>
      </w:r>
    </w:p>
    <w:p w14:paraId="07EA8429">
      <w:pPr>
        <w:snapToGrid w:val="0"/>
        <w:spacing w:line="360" w:lineRule="auto"/>
        <w:ind w:firstLine="480" w:firstLineChars="200"/>
        <w:rPr>
          <w:rFonts w:hint="eastAsia" w:ascii="宋体" w:hAnsi="宋体" w:cs="宋体"/>
          <w:sz w:val="24"/>
        </w:rPr>
      </w:pPr>
      <w:r>
        <w:rPr>
          <w:rFonts w:hint="eastAsia" w:ascii="宋体" w:hAnsi="宋体" w:cs="宋体"/>
          <w:sz w:val="24"/>
          <w:szCs w:val="24"/>
        </w:rPr>
        <w:t>2.投标人对评标结果无异议的，招标人应在收到评标报告后5个工作日内对评标结果进行确认。如有投标人对评标结果提出质疑的，招标人可在质疑处理完毕后确定中标人。</w:t>
      </w:r>
    </w:p>
    <w:p w14:paraId="0C2DF44B">
      <w:pPr>
        <w:snapToGrid w:val="0"/>
        <w:spacing w:line="360" w:lineRule="auto"/>
        <w:ind w:firstLine="480" w:firstLineChars="200"/>
        <w:rPr>
          <w:rFonts w:hint="eastAsia" w:ascii="宋体" w:hAnsi="宋体" w:cs="宋体"/>
          <w:sz w:val="24"/>
        </w:rPr>
      </w:pPr>
      <w:r>
        <w:rPr>
          <w:rFonts w:hint="eastAsia" w:ascii="宋体" w:hAnsi="宋体" w:cs="宋体"/>
          <w:sz w:val="24"/>
          <w:szCs w:val="24"/>
        </w:rPr>
        <w:t>3.招标人依法确定中标人后2个工作日内，招标代理机构以书面形式发出《中标通知书》,并同时在相关网站上发布中标公告。</w:t>
      </w:r>
    </w:p>
    <w:p w14:paraId="1BDC7586">
      <w:pPr>
        <w:snapToGrid w:val="0"/>
        <w:spacing w:line="360" w:lineRule="auto"/>
        <w:ind w:firstLine="562" w:firstLineChars="200"/>
        <w:outlineLvl w:val="1"/>
        <w:rPr>
          <w:rFonts w:hint="eastAsia" w:ascii="宋体" w:hAnsi="宋体" w:cs="宋体"/>
          <w:b/>
          <w:sz w:val="28"/>
          <w:szCs w:val="28"/>
        </w:rPr>
      </w:pPr>
      <w:bookmarkStart w:id="46" w:name="_Toc486228809"/>
      <w:r>
        <w:rPr>
          <w:rFonts w:hint="eastAsia" w:ascii="宋体" w:hAnsi="宋体" w:cs="宋体"/>
          <w:b/>
          <w:sz w:val="28"/>
          <w:szCs w:val="28"/>
        </w:rPr>
        <w:t>七、合同授予</w:t>
      </w:r>
      <w:bookmarkEnd w:id="46"/>
    </w:p>
    <w:p w14:paraId="45A61FF2">
      <w:pPr>
        <w:snapToGrid w:val="0"/>
        <w:spacing w:line="360" w:lineRule="auto"/>
        <w:ind w:firstLine="482" w:firstLineChars="200"/>
        <w:rPr>
          <w:rFonts w:hint="eastAsia" w:ascii="宋体" w:hAnsi="宋体" w:cs="宋体"/>
          <w:b/>
          <w:bCs/>
          <w:sz w:val="24"/>
        </w:rPr>
      </w:pPr>
      <w:r>
        <w:rPr>
          <w:rFonts w:hint="eastAsia" w:ascii="宋体" w:hAnsi="宋体" w:cs="宋体"/>
          <w:b/>
          <w:bCs/>
          <w:sz w:val="24"/>
          <w:szCs w:val="24"/>
        </w:rPr>
        <w:t>（一）签订合同</w:t>
      </w:r>
    </w:p>
    <w:p w14:paraId="636252C5">
      <w:pPr>
        <w:snapToGrid w:val="0"/>
        <w:spacing w:line="360" w:lineRule="auto"/>
        <w:ind w:firstLine="480" w:firstLineChars="200"/>
        <w:rPr>
          <w:rFonts w:hint="eastAsia" w:ascii="宋体" w:hAnsi="宋体" w:cs="宋体"/>
          <w:sz w:val="24"/>
        </w:rPr>
      </w:pPr>
      <w:r>
        <w:rPr>
          <w:rFonts w:hint="eastAsia" w:ascii="宋体" w:hAnsi="宋体" w:cs="宋体"/>
          <w:sz w:val="24"/>
          <w:szCs w:val="24"/>
        </w:rPr>
        <w:t>1.招标人与中标人应当在《中标通知书》规定的时间内签订合同，招标人对合同内容进行审查，如发现与招标结果和投标承诺内容不一致的，予以纠正。</w:t>
      </w:r>
    </w:p>
    <w:p w14:paraId="074C287E">
      <w:pPr>
        <w:snapToGrid w:val="0"/>
        <w:spacing w:line="360" w:lineRule="auto"/>
        <w:ind w:firstLine="480" w:firstLineChars="200"/>
        <w:rPr>
          <w:rFonts w:hint="eastAsia" w:ascii="宋体" w:hAnsi="宋体" w:cs="宋体"/>
          <w:sz w:val="24"/>
        </w:rPr>
      </w:pPr>
      <w:r>
        <w:rPr>
          <w:rFonts w:hint="eastAsia" w:ascii="宋体" w:hAnsi="宋体" w:cs="宋体"/>
          <w:sz w:val="24"/>
          <w:szCs w:val="24"/>
        </w:rPr>
        <w:t>2.中标人拖延、拒签合同的,将被取消中标资格。</w:t>
      </w:r>
    </w:p>
    <w:p w14:paraId="2CF5BEB8">
      <w:pPr>
        <w:pStyle w:val="25"/>
        <w:snapToGrid w:val="0"/>
        <w:spacing w:line="360" w:lineRule="auto"/>
        <w:ind w:firstLine="482" w:firstLineChars="200"/>
        <w:outlineLvl w:val="2"/>
        <w:rPr>
          <w:rFonts w:hint="eastAsia" w:hAnsi="宋体" w:cs="宋体"/>
          <w:b/>
          <w:bCs/>
          <w:sz w:val="24"/>
          <w:szCs w:val="24"/>
        </w:rPr>
      </w:pPr>
      <w:bookmarkStart w:id="47" w:name="_Toc486228810"/>
      <w:bookmarkStart w:id="48" w:name="_Toc439594008"/>
      <w:r>
        <w:rPr>
          <w:rFonts w:hint="eastAsia" w:hAnsi="宋体" w:cs="宋体"/>
          <w:b/>
          <w:bCs/>
          <w:sz w:val="24"/>
          <w:szCs w:val="24"/>
        </w:rPr>
        <w:t>（二）合同签订时间</w:t>
      </w:r>
      <w:bookmarkEnd w:id="47"/>
      <w:bookmarkEnd w:id="48"/>
    </w:p>
    <w:p w14:paraId="1651BEA3">
      <w:pPr>
        <w:snapToGri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中标人应在中标通知书发出后7个工作日内签订合同。</w:t>
      </w:r>
    </w:p>
    <w:p w14:paraId="3B7934F5">
      <w:pPr>
        <w:pStyle w:val="40"/>
        <w:rPr>
          <w:rFonts w:hint="eastAsia" w:ascii="宋体" w:hAnsi="宋体" w:cs="宋体"/>
        </w:rPr>
      </w:pPr>
      <w:bookmarkStart w:id="49" w:name="_Toc486228811"/>
    </w:p>
    <w:p w14:paraId="5D724242">
      <w:pPr>
        <w:pStyle w:val="40"/>
        <w:rPr>
          <w:rFonts w:hint="eastAsia" w:ascii="宋体" w:hAnsi="宋体" w:cs="宋体"/>
        </w:rPr>
      </w:pPr>
      <w:r>
        <w:rPr>
          <w:rFonts w:hint="eastAsia" w:ascii="宋体" w:hAnsi="宋体" w:cs="宋体"/>
        </w:rPr>
        <w:br w:type="page"/>
      </w:r>
      <w:r>
        <w:rPr>
          <w:rFonts w:hint="eastAsia" w:ascii="宋体" w:hAnsi="宋体" w:cs="宋体"/>
        </w:rPr>
        <w:t>第四章  评标办法及评分标准</w:t>
      </w:r>
      <w:bookmarkEnd w:id="49"/>
    </w:p>
    <w:p w14:paraId="2018FCCE">
      <w:pPr>
        <w:autoSpaceDE w:val="0"/>
        <w:autoSpaceDN w:val="0"/>
        <w:adjustRightInd w:val="0"/>
        <w:spacing w:line="360" w:lineRule="auto"/>
        <w:ind w:firstLine="480" w:firstLineChars="200"/>
        <w:rPr>
          <w:rFonts w:hint="eastAsia" w:ascii="宋体" w:hAnsi="宋体" w:cs="宋体"/>
          <w:b/>
          <w:bCs/>
          <w:sz w:val="24"/>
          <w:szCs w:val="24"/>
          <w:lang w:val="zh-CN"/>
        </w:rPr>
      </w:pPr>
      <w:r>
        <w:rPr>
          <w:rFonts w:hint="eastAsia" w:ascii="宋体" w:hAnsi="宋体" w:cs="宋体"/>
          <w:sz w:val="24"/>
          <w:szCs w:val="24"/>
          <w:lang w:val="zh-CN"/>
        </w:rPr>
        <w:t>根据《关于防止领导干部在公款存放方面发生利益冲突和利益输送的办法》《绍兴市上虞区行政事业单位公款竞争性存放管理办法》（虞政办发【2021】38号）规定，结合本次招标实际需求，按照公平、公正、科学择优的原则，特制定本评标办法。</w:t>
      </w:r>
    </w:p>
    <w:p w14:paraId="6DDF430B">
      <w:pPr>
        <w:autoSpaceDE w:val="0"/>
        <w:autoSpaceDN w:val="0"/>
        <w:adjustRightInd w:val="0"/>
        <w:spacing w:line="360" w:lineRule="auto"/>
        <w:ind w:firstLine="482" w:firstLineChars="200"/>
        <w:rPr>
          <w:rFonts w:hint="eastAsia" w:ascii="宋体" w:hAnsi="宋体" w:cs="宋体"/>
          <w:b/>
          <w:bCs/>
          <w:sz w:val="24"/>
          <w:szCs w:val="24"/>
          <w:lang w:val="zh-CN"/>
        </w:rPr>
      </w:pPr>
      <w:r>
        <w:rPr>
          <w:rFonts w:hint="eastAsia" w:ascii="宋体" w:hAnsi="宋体" w:cs="宋体"/>
          <w:b/>
          <w:bCs/>
          <w:sz w:val="24"/>
          <w:szCs w:val="24"/>
          <w:lang w:val="zh-CN"/>
        </w:rPr>
        <w:t>一、评标办法</w:t>
      </w:r>
    </w:p>
    <w:p w14:paraId="7FD20921">
      <w:pPr>
        <w:autoSpaceDE w:val="0"/>
        <w:autoSpaceDN w:val="0"/>
        <w:adjustRightInd w:val="0"/>
        <w:spacing w:line="360" w:lineRule="auto"/>
        <w:ind w:firstLine="480" w:firstLineChars="200"/>
        <w:rPr>
          <w:rFonts w:hint="eastAsia" w:ascii="宋体" w:hAnsi="宋体" w:cs="宋体"/>
          <w:kern w:val="0"/>
          <w:sz w:val="24"/>
          <w:szCs w:val="24"/>
          <w:lang w:val="zh-CN"/>
        </w:rPr>
      </w:pPr>
      <w:r>
        <w:rPr>
          <w:rFonts w:hint="eastAsia" w:ascii="宋体" w:hAnsi="宋体" w:cs="宋体"/>
          <w:kern w:val="0"/>
          <w:sz w:val="24"/>
          <w:szCs w:val="24"/>
          <w:lang w:val="zh-CN"/>
        </w:rPr>
        <w:t>本评标办法采用综合评分法，是指在最大限度地满足招标文件实质要求前提下，按照招标文件中规定的各项因素进行综合评审后，以综合得分由高到低</w:t>
      </w:r>
      <w:r>
        <w:rPr>
          <w:rFonts w:hint="eastAsia" w:ascii="宋体" w:hAnsi="宋体" w:cs="宋体"/>
          <w:sz w:val="24"/>
          <w:szCs w:val="24"/>
        </w:rPr>
        <w:t>推荐为</w:t>
      </w:r>
      <w:r>
        <w:rPr>
          <w:rFonts w:hint="eastAsia" w:ascii="宋体" w:hAnsi="宋体" w:cs="宋体"/>
          <w:kern w:val="0"/>
          <w:sz w:val="24"/>
          <w:szCs w:val="24"/>
          <w:lang w:val="zh-CN"/>
        </w:rPr>
        <w:t>中标候选供应商的评标办法。</w:t>
      </w:r>
    </w:p>
    <w:p w14:paraId="7EDB4906">
      <w:pPr>
        <w:autoSpaceDE w:val="0"/>
        <w:autoSpaceDN w:val="0"/>
        <w:adjustRightInd w:val="0"/>
        <w:spacing w:line="360" w:lineRule="auto"/>
        <w:ind w:firstLine="480" w:firstLineChars="200"/>
        <w:rPr>
          <w:rFonts w:hint="eastAsia" w:ascii="宋体" w:hAnsi="宋体" w:cs="宋体"/>
          <w:sz w:val="24"/>
          <w:szCs w:val="24"/>
          <w:lang w:val="zh-CN"/>
        </w:rPr>
      </w:pPr>
      <w:r>
        <w:rPr>
          <w:rFonts w:hint="eastAsia" w:ascii="宋体" w:hAnsi="宋体" w:cs="宋体"/>
          <w:kern w:val="0"/>
          <w:sz w:val="24"/>
          <w:szCs w:val="24"/>
          <w:lang w:val="zh-CN"/>
        </w:rPr>
        <w:t>对进入综合评审的投标人的投标文件进行符合性审查，凡投标文件实质性不符合有关规定和不响应招标文件要求的，经评标委员会认定后作为无效标处理。</w:t>
      </w:r>
    </w:p>
    <w:p w14:paraId="17F8B9CF">
      <w:pPr>
        <w:autoSpaceDE w:val="0"/>
        <w:autoSpaceDN w:val="0"/>
        <w:adjustRightInd w:val="0"/>
        <w:spacing w:line="360" w:lineRule="auto"/>
        <w:ind w:firstLine="482" w:firstLineChars="200"/>
        <w:rPr>
          <w:rFonts w:hint="eastAsia" w:ascii="宋体" w:hAnsi="宋体" w:cs="宋体"/>
          <w:b/>
          <w:bCs/>
          <w:sz w:val="24"/>
          <w:szCs w:val="24"/>
          <w:lang w:val="zh-CN"/>
        </w:rPr>
      </w:pPr>
      <w:r>
        <w:rPr>
          <w:rFonts w:hint="eastAsia" w:ascii="宋体" w:hAnsi="宋体" w:cs="宋体"/>
          <w:b/>
          <w:bCs/>
          <w:sz w:val="24"/>
          <w:szCs w:val="24"/>
          <w:lang w:val="zh-CN"/>
        </w:rPr>
        <w:t>二、确定中标候选人</w:t>
      </w:r>
    </w:p>
    <w:p w14:paraId="34223084">
      <w:pPr>
        <w:autoSpaceDE w:val="0"/>
        <w:autoSpaceDN w:val="0"/>
        <w:snapToGrid w:val="0"/>
        <w:spacing w:line="360" w:lineRule="auto"/>
        <w:ind w:firstLine="480" w:firstLineChars="200"/>
        <w:rPr>
          <w:rFonts w:hint="eastAsia" w:ascii="宋体" w:hAnsi="宋体" w:cs="宋体"/>
          <w:sz w:val="24"/>
          <w:szCs w:val="24"/>
        </w:rPr>
      </w:pPr>
      <w:r>
        <w:rPr>
          <w:rFonts w:hint="eastAsia" w:ascii="宋体" w:hAnsi="宋体" w:cs="宋体"/>
          <w:bCs/>
          <w:sz w:val="24"/>
          <w:szCs w:val="24"/>
          <w:lang w:val="zh-CN"/>
        </w:rPr>
        <w:t>本次采购共选择</w:t>
      </w:r>
      <w:r>
        <w:rPr>
          <w:rFonts w:hint="eastAsia" w:ascii="宋体" w:hAnsi="宋体" w:cs="宋体"/>
          <w:bCs/>
          <w:sz w:val="24"/>
          <w:szCs w:val="24"/>
        </w:rPr>
        <w:t>2</w:t>
      </w:r>
      <w:r>
        <w:rPr>
          <w:rFonts w:hint="eastAsia" w:ascii="宋体" w:hAnsi="宋体" w:cs="宋体"/>
          <w:bCs/>
          <w:sz w:val="24"/>
          <w:szCs w:val="24"/>
          <w:lang w:val="zh-CN"/>
        </w:rPr>
        <w:t>家银行进行资金存放，排名第一名中标第一标段，排名第二名中标第二标段。</w:t>
      </w:r>
      <w:r>
        <w:rPr>
          <w:rFonts w:hint="eastAsia" w:ascii="宋体" w:hAnsi="宋体" w:cs="宋体"/>
          <w:sz w:val="24"/>
          <w:szCs w:val="24"/>
        </w:rPr>
        <w:t>本项目采用综合评标法，评标委员会对所有投标人进行综合评审，根据各项评分指标的得分汇总计算确定综合得分，按照得分高低排序，排名第1的为标段一的中标候选人，排名第2的为标段二的中标候选人。如综合得分相同，则存款年利率报价得分高者为先；如综合得分和存款年利率报价得分均相同，则抽签确定排序。</w:t>
      </w:r>
    </w:p>
    <w:p w14:paraId="3BD41881">
      <w:pPr>
        <w:pStyle w:val="77"/>
        <w:spacing w:line="360" w:lineRule="auto"/>
        <w:ind w:firstLine="480" w:firstLineChars="200"/>
        <w:rPr>
          <w:rFonts w:hint="eastAsia" w:ascii="宋体" w:hAnsi="宋体" w:cs="宋体"/>
          <w:sz w:val="24"/>
          <w:szCs w:val="24"/>
        </w:rPr>
      </w:pPr>
      <w:r>
        <w:rPr>
          <w:rFonts w:hint="eastAsia" w:ascii="宋体" w:hAnsi="宋体" w:cs="宋体"/>
          <w:sz w:val="24"/>
          <w:szCs w:val="24"/>
        </w:rPr>
        <w:t>如发生中标单位放弃</w:t>
      </w:r>
      <w:r>
        <w:rPr>
          <w:rFonts w:hint="eastAsia" w:ascii="宋体" w:hAnsi="宋体" w:cs="宋体"/>
          <w:sz w:val="24"/>
          <w:szCs w:val="24"/>
          <w:lang w:val="en-US"/>
        </w:rPr>
        <w:t>中标</w:t>
      </w:r>
      <w:r>
        <w:rPr>
          <w:rFonts w:hint="eastAsia" w:ascii="宋体" w:hAnsi="宋体" w:cs="宋体"/>
          <w:sz w:val="24"/>
          <w:szCs w:val="24"/>
        </w:rPr>
        <w:t>的情形，则由排序的下一名接替，直至所有标项选择完毕。</w:t>
      </w:r>
    </w:p>
    <w:p w14:paraId="57A8776F">
      <w:pPr>
        <w:autoSpaceDE w:val="0"/>
        <w:autoSpaceDN w:val="0"/>
        <w:adjustRightInd w:val="0"/>
        <w:spacing w:line="360" w:lineRule="auto"/>
        <w:ind w:firstLine="482" w:firstLineChars="200"/>
        <w:rPr>
          <w:rFonts w:hint="eastAsia" w:ascii="宋体" w:hAnsi="宋体" w:cs="宋体"/>
          <w:b/>
          <w:bCs/>
          <w:sz w:val="24"/>
          <w:szCs w:val="24"/>
          <w:lang w:val="zh-CN"/>
        </w:rPr>
      </w:pPr>
      <w:r>
        <w:rPr>
          <w:rFonts w:hint="eastAsia" w:ascii="宋体" w:hAnsi="宋体" w:cs="宋体"/>
          <w:b/>
          <w:bCs/>
          <w:sz w:val="24"/>
          <w:szCs w:val="24"/>
          <w:lang w:val="zh-CN"/>
        </w:rPr>
        <w:t>三、评标细则</w:t>
      </w:r>
    </w:p>
    <w:p w14:paraId="711F8857">
      <w:pPr>
        <w:autoSpaceDE w:val="0"/>
        <w:autoSpaceDN w:val="0"/>
        <w:adjustRightInd w:val="0"/>
        <w:spacing w:line="360" w:lineRule="auto"/>
        <w:ind w:firstLine="482" w:firstLineChars="200"/>
        <w:rPr>
          <w:rFonts w:hint="eastAsia" w:ascii="宋体" w:hAnsi="宋体" w:cs="宋体"/>
          <w:b/>
          <w:bCs/>
          <w:kern w:val="0"/>
          <w:sz w:val="24"/>
          <w:szCs w:val="24"/>
          <w:lang w:val="zh-CN"/>
        </w:rPr>
      </w:pPr>
      <w:r>
        <w:rPr>
          <w:rFonts w:hint="eastAsia" w:ascii="宋体" w:hAnsi="宋体" w:cs="宋体"/>
          <w:b/>
          <w:bCs/>
          <w:sz w:val="24"/>
          <w:szCs w:val="24"/>
        </w:rPr>
        <w:t>本评标办法采用百分制综合评估法资信技术文件70分，商务文件30分</w:t>
      </w:r>
      <w:r>
        <w:rPr>
          <w:rFonts w:hint="eastAsia" w:ascii="宋体" w:hAnsi="宋体" w:cs="宋体"/>
          <w:b/>
          <w:bCs/>
          <w:kern w:val="0"/>
          <w:sz w:val="24"/>
          <w:szCs w:val="24"/>
          <w:lang w:val="zh-CN"/>
        </w:rPr>
        <w:t>。</w:t>
      </w:r>
    </w:p>
    <w:p w14:paraId="4940F8E2">
      <w:pPr>
        <w:autoSpaceDE w:val="0"/>
        <w:autoSpaceDN w:val="0"/>
        <w:adjustRightInd w:val="0"/>
        <w:spacing w:line="360" w:lineRule="auto"/>
        <w:ind w:firstLine="482" w:firstLineChars="200"/>
        <w:rPr>
          <w:rFonts w:hint="eastAsia" w:ascii="宋体" w:hAnsi="宋体" w:cs="宋体"/>
          <w:b/>
          <w:bCs/>
          <w:sz w:val="24"/>
          <w:szCs w:val="24"/>
          <w:lang w:val="zh-CN"/>
        </w:rPr>
      </w:pPr>
      <w:r>
        <w:rPr>
          <w:rFonts w:hint="eastAsia" w:ascii="宋体" w:hAnsi="宋体" w:cs="宋体"/>
          <w:b/>
          <w:bCs/>
          <w:sz w:val="24"/>
          <w:szCs w:val="24"/>
          <w:lang w:val="zh-CN"/>
        </w:rPr>
        <w:t>各投标人的综合得分=资信技术文件得分+</w:t>
      </w:r>
      <w:r>
        <w:rPr>
          <w:rFonts w:hint="eastAsia" w:ascii="宋体" w:hAnsi="宋体" w:cs="宋体"/>
          <w:b/>
          <w:sz w:val="24"/>
          <w:szCs w:val="24"/>
        </w:rPr>
        <w:t>商务文件得分。</w:t>
      </w:r>
    </w:p>
    <w:p w14:paraId="16B0C7C1">
      <w:pPr>
        <w:spacing w:line="360" w:lineRule="auto"/>
        <w:ind w:firstLine="480" w:firstLineChars="200"/>
        <w:rPr>
          <w:rFonts w:hint="eastAsia" w:ascii="宋体" w:hAnsi="宋体" w:cs="宋体"/>
          <w:sz w:val="24"/>
          <w:szCs w:val="24"/>
        </w:rPr>
      </w:pPr>
      <w:r>
        <w:rPr>
          <w:rFonts w:hint="eastAsia" w:ascii="宋体" w:hAnsi="宋体" w:cs="宋体"/>
          <w:kern w:val="0"/>
          <w:sz w:val="24"/>
          <w:szCs w:val="24"/>
          <w:lang w:val="zh-CN"/>
        </w:rPr>
        <w:t>商务与技术文件的评分：对各投标人的商务与技术文件经充分审核、询标后，对实质性要求符合招标文件的投标文件评委进行集体讨论，确定投标人对招标文件的响应程度等，在规定分值内由评委自行评定打分。各投标人商务与技术文件得分按照</w:t>
      </w:r>
      <w:r>
        <w:rPr>
          <w:rFonts w:hint="eastAsia" w:ascii="宋体" w:hAnsi="宋体" w:cs="宋体"/>
          <w:sz w:val="24"/>
          <w:szCs w:val="24"/>
        </w:rPr>
        <w:t>评标委员会所有成员评分合计数的算术平均值计算，计算公式为：</w:t>
      </w:r>
    </w:p>
    <w:p w14:paraId="31B2E945">
      <w:pPr>
        <w:autoSpaceDE w:val="0"/>
        <w:autoSpaceDN w:val="0"/>
        <w:adjustRightInd w:val="0"/>
        <w:spacing w:line="360" w:lineRule="auto"/>
        <w:ind w:firstLine="480" w:firstLineChars="200"/>
        <w:rPr>
          <w:rFonts w:hint="eastAsia" w:ascii="宋体" w:hAnsi="宋体" w:cs="宋体"/>
          <w:sz w:val="24"/>
          <w:szCs w:val="24"/>
        </w:rPr>
      </w:pPr>
      <w:r>
        <w:rPr>
          <w:rFonts w:hint="eastAsia" w:ascii="宋体" w:hAnsi="宋体" w:cs="宋体"/>
          <w:kern w:val="0"/>
          <w:sz w:val="24"/>
          <w:szCs w:val="24"/>
          <w:lang w:val="zh-CN"/>
        </w:rPr>
        <w:t>商务与技术文件</w:t>
      </w:r>
      <w:r>
        <w:rPr>
          <w:rFonts w:hint="eastAsia" w:ascii="宋体" w:hAnsi="宋体" w:cs="宋体"/>
          <w:sz w:val="24"/>
          <w:szCs w:val="24"/>
        </w:rPr>
        <w:t>得分=评标委员会所有成员评分合计数/评标委员会人数</w:t>
      </w:r>
      <w:r>
        <w:rPr>
          <w:rFonts w:hint="eastAsia" w:ascii="宋体" w:hAnsi="宋体" w:cs="宋体"/>
          <w:kern w:val="0"/>
          <w:sz w:val="24"/>
          <w:szCs w:val="24"/>
          <w:lang w:val="zh-CN"/>
        </w:rPr>
        <w:t>（所有分值计算小数点后保留两位，第三位四舍五入）。</w:t>
      </w:r>
    </w:p>
    <w:p w14:paraId="516AA73A">
      <w:pPr>
        <w:autoSpaceDE w:val="0"/>
        <w:autoSpaceDN w:val="0"/>
        <w:snapToGrid w:val="0"/>
        <w:spacing w:line="360" w:lineRule="auto"/>
        <w:ind w:firstLine="482" w:firstLineChars="200"/>
        <w:rPr>
          <w:rFonts w:hint="eastAsia" w:ascii="宋体" w:hAnsi="宋体" w:cs="宋体"/>
          <w:b/>
          <w:sz w:val="24"/>
          <w:szCs w:val="24"/>
        </w:rPr>
      </w:pPr>
      <w:r>
        <w:rPr>
          <w:rFonts w:hint="eastAsia" w:ascii="宋体" w:hAnsi="宋体" w:cs="宋体"/>
          <w:b/>
          <w:sz w:val="24"/>
          <w:szCs w:val="24"/>
        </w:rPr>
        <w:t>（一）资格文件、资信技术文件、</w:t>
      </w:r>
      <w:r>
        <w:rPr>
          <w:rFonts w:hint="eastAsia" w:ascii="宋体" w:hAnsi="宋体" w:cs="宋体"/>
          <w:b/>
          <w:bCs/>
          <w:sz w:val="24"/>
          <w:szCs w:val="24"/>
        </w:rPr>
        <w:t>商务文件</w:t>
      </w:r>
      <w:r>
        <w:rPr>
          <w:rFonts w:hint="eastAsia" w:ascii="宋体" w:hAnsi="宋体" w:cs="宋体"/>
          <w:b/>
          <w:sz w:val="24"/>
          <w:szCs w:val="24"/>
        </w:rPr>
        <w:t>。</w:t>
      </w:r>
    </w:p>
    <w:p w14:paraId="0AC46402">
      <w:pPr>
        <w:autoSpaceDE w:val="0"/>
        <w:autoSpaceDN w:val="0"/>
        <w:snapToGrid w:val="0"/>
        <w:spacing w:line="360" w:lineRule="auto"/>
        <w:ind w:firstLine="482" w:firstLineChars="200"/>
        <w:rPr>
          <w:rFonts w:hint="eastAsia" w:ascii="宋体" w:hAnsi="宋体" w:cs="宋体"/>
          <w:b/>
          <w:sz w:val="24"/>
          <w:szCs w:val="24"/>
        </w:rPr>
      </w:pPr>
      <w:r>
        <w:rPr>
          <w:rFonts w:hint="eastAsia" w:ascii="宋体" w:hAnsi="宋体" w:cs="宋体"/>
          <w:b/>
          <w:sz w:val="24"/>
          <w:szCs w:val="24"/>
        </w:rPr>
        <w:t>1、资格文件资格审查（如发现有不符合下列条款的，投标文件将作无效标处理）</w:t>
      </w:r>
    </w:p>
    <w:p w14:paraId="0A2C921E">
      <w:pPr>
        <w:autoSpaceDE w:val="0"/>
        <w:autoSpaceDN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（1）授权委托书的合法性；</w:t>
      </w:r>
    </w:p>
    <w:p w14:paraId="4BD29845">
      <w:pPr>
        <w:autoSpaceDE w:val="0"/>
        <w:autoSpaceDN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（2）投标人资格条件审查。</w:t>
      </w:r>
    </w:p>
    <w:p w14:paraId="7882350B">
      <w:pPr>
        <w:autoSpaceDE w:val="0"/>
        <w:autoSpaceDN w:val="0"/>
        <w:adjustRightInd w:val="0"/>
        <w:spacing w:line="360" w:lineRule="auto"/>
        <w:ind w:firstLine="482" w:firstLineChars="200"/>
        <w:rPr>
          <w:rFonts w:hint="eastAsia" w:ascii="宋体" w:hAnsi="宋体" w:cs="宋体"/>
          <w:b/>
          <w:sz w:val="24"/>
          <w:szCs w:val="24"/>
          <w:lang w:val="zh-CN"/>
        </w:rPr>
      </w:pPr>
      <w:r>
        <w:rPr>
          <w:rFonts w:hint="eastAsia" w:ascii="宋体" w:hAnsi="宋体" w:cs="宋体"/>
          <w:b/>
          <w:sz w:val="24"/>
          <w:szCs w:val="24"/>
        </w:rPr>
        <w:t>2</w:t>
      </w:r>
      <w:r>
        <w:rPr>
          <w:rFonts w:hint="eastAsia" w:ascii="宋体" w:hAnsi="宋体" w:cs="宋体"/>
          <w:b/>
          <w:sz w:val="24"/>
          <w:szCs w:val="24"/>
          <w:lang w:val="zh-CN"/>
        </w:rPr>
        <w:t>、资信技术文件符合性审查（</w:t>
      </w:r>
      <w:r>
        <w:rPr>
          <w:rFonts w:hint="eastAsia" w:ascii="宋体" w:hAnsi="宋体" w:cs="宋体"/>
          <w:b/>
          <w:bCs/>
          <w:kern w:val="0"/>
          <w:sz w:val="24"/>
          <w:szCs w:val="24"/>
        </w:rPr>
        <w:t>如发现有不符合下列条款的，投标文件将作无效标处理</w:t>
      </w:r>
      <w:r>
        <w:rPr>
          <w:rFonts w:hint="eastAsia" w:ascii="宋体" w:hAnsi="宋体" w:cs="宋体"/>
          <w:b/>
          <w:sz w:val="24"/>
          <w:szCs w:val="24"/>
          <w:lang w:val="zh-CN"/>
        </w:rPr>
        <w:t>）</w:t>
      </w:r>
    </w:p>
    <w:p w14:paraId="1DF9CB63">
      <w:pPr>
        <w:autoSpaceDE w:val="0"/>
        <w:autoSpaceDN w:val="0"/>
        <w:snapToGrid w:val="0"/>
        <w:spacing w:line="360" w:lineRule="auto"/>
        <w:ind w:firstLine="480" w:firstLineChars="200"/>
        <w:rPr>
          <w:rFonts w:hint="eastAsia" w:ascii="宋体" w:hAnsi="宋体" w:cs="宋体"/>
          <w:sz w:val="24"/>
          <w:szCs w:val="24"/>
          <w:lang w:val="zh-CN"/>
        </w:rPr>
      </w:pPr>
      <w:r>
        <w:rPr>
          <w:rFonts w:hint="eastAsia" w:ascii="宋体" w:hAnsi="宋体" w:cs="宋体"/>
          <w:sz w:val="24"/>
          <w:szCs w:val="24"/>
        </w:rPr>
        <w:t>（1）</w:t>
      </w:r>
      <w:r>
        <w:rPr>
          <w:rFonts w:hint="eastAsia" w:ascii="宋体" w:hAnsi="宋体" w:cs="宋体"/>
          <w:sz w:val="24"/>
          <w:szCs w:val="24"/>
          <w:lang w:val="zh-CN"/>
        </w:rPr>
        <w:t>“商务与技术文件”按招标文件编制，字迹清晰可辩，文件签署、盖章齐全；</w:t>
      </w:r>
    </w:p>
    <w:p w14:paraId="14BD19E5">
      <w:pPr>
        <w:autoSpaceDE w:val="0"/>
        <w:autoSpaceDN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（2）投标文件中技术与服务满足招标文件采购需求的实质性要求；</w:t>
      </w:r>
    </w:p>
    <w:p w14:paraId="40740D10">
      <w:pPr>
        <w:autoSpaceDE w:val="0"/>
        <w:autoSpaceDN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（3）招标文件其他实质性要求或规定。</w:t>
      </w:r>
    </w:p>
    <w:p w14:paraId="6D3CDCB1">
      <w:pPr>
        <w:autoSpaceDE w:val="0"/>
        <w:autoSpaceDN w:val="0"/>
        <w:adjustRightInd w:val="0"/>
        <w:spacing w:line="360" w:lineRule="auto"/>
        <w:ind w:firstLine="482" w:firstLineChars="200"/>
        <w:rPr>
          <w:rFonts w:hint="eastAsia" w:ascii="宋体" w:hAnsi="宋体" w:cs="宋体"/>
          <w:b/>
          <w:sz w:val="24"/>
          <w:szCs w:val="24"/>
          <w:lang w:val="zh-CN"/>
        </w:rPr>
      </w:pPr>
      <w:r>
        <w:rPr>
          <w:rFonts w:hint="eastAsia" w:ascii="宋体" w:hAnsi="宋体" w:cs="宋体"/>
          <w:b/>
          <w:sz w:val="24"/>
          <w:szCs w:val="24"/>
        </w:rPr>
        <w:t>3</w:t>
      </w:r>
      <w:r>
        <w:rPr>
          <w:rFonts w:hint="eastAsia" w:ascii="宋体" w:hAnsi="宋体" w:cs="宋体"/>
          <w:b/>
          <w:sz w:val="24"/>
          <w:szCs w:val="24"/>
          <w:lang w:val="zh-CN"/>
        </w:rPr>
        <w:t>、商务文件的评审（</w:t>
      </w:r>
      <w:r>
        <w:rPr>
          <w:rFonts w:hint="eastAsia" w:ascii="宋体" w:hAnsi="宋体" w:cs="宋体"/>
          <w:b/>
          <w:bCs/>
          <w:kern w:val="0"/>
          <w:sz w:val="24"/>
          <w:szCs w:val="24"/>
        </w:rPr>
        <w:t>如发现有不符合下列条款的，投标文件将作无效标处理</w:t>
      </w:r>
      <w:r>
        <w:rPr>
          <w:rFonts w:hint="eastAsia" w:ascii="宋体" w:hAnsi="宋体" w:cs="宋体"/>
          <w:b/>
          <w:sz w:val="24"/>
          <w:szCs w:val="24"/>
          <w:lang w:val="zh-CN"/>
        </w:rPr>
        <w:t>）</w:t>
      </w:r>
    </w:p>
    <w:p w14:paraId="150730EB">
      <w:pPr>
        <w:autoSpaceDE w:val="0"/>
        <w:autoSpaceDN w:val="0"/>
        <w:snapToGrid w:val="0"/>
        <w:spacing w:line="360" w:lineRule="auto"/>
        <w:ind w:firstLine="480" w:firstLineChars="200"/>
        <w:rPr>
          <w:rFonts w:hint="eastAsia" w:ascii="宋体" w:hAnsi="宋体" w:cs="宋体"/>
          <w:sz w:val="24"/>
          <w:szCs w:val="24"/>
          <w:lang w:val="zh-CN"/>
        </w:rPr>
      </w:pPr>
      <w:r>
        <w:rPr>
          <w:rFonts w:hint="eastAsia" w:ascii="宋体" w:hAnsi="宋体" w:cs="宋体"/>
          <w:sz w:val="24"/>
          <w:szCs w:val="24"/>
        </w:rPr>
        <w:t>（1）</w:t>
      </w:r>
      <w:r>
        <w:rPr>
          <w:rFonts w:hint="eastAsia" w:ascii="宋体" w:hAnsi="宋体" w:cs="宋体"/>
          <w:sz w:val="24"/>
          <w:szCs w:val="24"/>
          <w:lang w:val="zh-CN"/>
        </w:rPr>
        <w:t>商务文件内容是否提供完整，签署、盖章是否齐全；</w:t>
      </w:r>
    </w:p>
    <w:p w14:paraId="4B88B4A2">
      <w:pPr>
        <w:autoSpaceDE w:val="0"/>
        <w:autoSpaceDN w:val="0"/>
        <w:snapToGrid w:val="0"/>
        <w:spacing w:line="360" w:lineRule="auto"/>
        <w:ind w:firstLine="480" w:firstLineChars="200"/>
        <w:rPr>
          <w:rFonts w:hint="eastAsia" w:ascii="宋体" w:hAnsi="宋体" w:cs="宋体"/>
          <w:sz w:val="24"/>
          <w:szCs w:val="24"/>
          <w:lang w:val="zh-CN"/>
        </w:rPr>
      </w:pPr>
      <w:r>
        <w:rPr>
          <w:rFonts w:hint="eastAsia" w:ascii="宋体" w:hAnsi="宋体" w:cs="宋体"/>
          <w:sz w:val="24"/>
          <w:szCs w:val="24"/>
        </w:rPr>
        <w:t>（2）</w:t>
      </w:r>
      <w:r>
        <w:rPr>
          <w:rFonts w:hint="eastAsia" w:ascii="宋体" w:hAnsi="宋体" w:cs="宋体"/>
          <w:sz w:val="24"/>
          <w:szCs w:val="24"/>
          <w:lang w:val="zh-CN"/>
        </w:rPr>
        <w:t>《报价一览表》是否按规定的格式填写完整；</w:t>
      </w:r>
    </w:p>
    <w:p w14:paraId="72E8B03C">
      <w:pPr>
        <w:autoSpaceDE w:val="0"/>
        <w:autoSpaceDN w:val="0"/>
        <w:adjustRightInd w:val="0"/>
        <w:spacing w:line="360" w:lineRule="auto"/>
        <w:ind w:firstLine="482" w:firstLineChars="200"/>
        <w:rPr>
          <w:rFonts w:hint="eastAsia" w:ascii="宋体" w:hAnsi="宋体" w:cs="宋体"/>
          <w:b/>
          <w:sz w:val="24"/>
          <w:szCs w:val="24"/>
          <w:lang w:val="zh-CN"/>
        </w:rPr>
      </w:pPr>
      <w:r>
        <w:rPr>
          <w:rFonts w:hint="eastAsia" w:ascii="宋体" w:hAnsi="宋体" w:cs="宋体"/>
          <w:b/>
          <w:bCs/>
          <w:sz w:val="24"/>
          <w:szCs w:val="24"/>
        </w:rPr>
        <w:t>4、</w:t>
      </w:r>
      <w:r>
        <w:rPr>
          <w:rFonts w:hint="eastAsia" w:ascii="宋体" w:hAnsi="宋体" w:cs="宋体"/>
          <w:b/>
          <w:sz w:val="24"/>
          <w:szCs w:val="24"/>
          <w:lang w:val="zh-CN"/>
        </w:rPr>
        <w:t>错误修正</w:t>
      </w:r>
    </w:p>
    <w:p w14:paraId="7F2AD298">
      <w:pPr>
        <w:autoSpaceDE w:val="0"/>
        <w:autoSpaceDN w:val="0"/>
        <w:adjustRightInd w:val="0"/>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报价评审时发现计算有误及其它错误的，将按下述原则修正：</w:t>
      </w:r>
    </w:p>
    <w:p w14:paraId="1E8A2BFB">
      <w:pPr>
        <w:widowControl/>
        <w:adjustRightInd w:val="0"/>
        <w:snapToGrid w:val="0"/>
        <w:spacing w:line="360" w:lineRule="auto"/>
        <w:ind w:firstLine="480" w:firstLineChars="200"/>
        <w:rPr>
          <w:rFonts w:hint="eastAsia" w:ascii="宋体" w:hAnsi="宋体" w:cs="宋体"/>
          <w:kern w:val="0"/>
          <w:sz w:val="24"/>
          <w:szCs w:val="24"/>
        </w:rPr>
      </w:pPr>
      <w:r>
        <w:rPr>
          <w:rFonts w:hint="eastAsia" w:ascii="宋体" w:hAnsi="宋体" w:cs="宋体"/>
          <w:kern w:val="0"/>
          <w:sz w:val="24"/>
          <w:szCs w:val="24"/>
        </w:rPr>
        <w:t>①投标文件的大写金额和小写金额不一致的，以大写金额为准；</w:t>
      </w:r>
    </w:p>
    <w:p w14:paraId="28C53427">
      <w:pPr>
        <w:widowControl/>
        <w:adjustRightInd w:val="0"/>
        <w:snapToGrid w:val="0"/>
        <w:spacing w:line="360" w:lineRule="auto"/>
        <w:ind w:firstLine="480" w:firstLineChars="200"/>
        <w:rPr>
          <w:rFonts w:hint="eastAsia" w:ascii="宋体" w:hAnsi="宋体" w:cs="宋体"/>
          <w:kern w:val="0"/>
          <w:sz w:val="24"/>
          <w:szCs w:val="24"/>
        </w:rPr>
      </w:pPr>
      <w:r>
        <w:rPr>
          <w:rFonts w:hint="eastAsia" w:ascii="宋体" w:hAnsi="宋体" w:cs="宋体"/>
          <w:kern w:val="0"/>
          <w:sz w:val="24"/>
          <w:szCs w:val="24"/>
        </w:rPr>
        <w:t>②对不同文字文本投标文件的解释发生异议的，以中文文本为准。</w:t>
      </w:r>
    </w:p>
    <w:p w14:paraId="5404045E">
      <w:pPr>
        <w:autoSpaceDE w:val="0"/>
        <w:autoSpaceDN w:val="0"/>
        <w:adjustRightInd w:val="0"/>
        <w:spacing w:line="360" w:lineRule="auto"/>
        <w:ind w:firstLine="480" w:firstLineChars="200"/>
        <w:rPr>
          <w:rFonts w:hint="eastAsia" w:ascii="宋体" w:hAnsi="宋体" w:cs="宋体"/>
          <w:sz w:val="24"/>
          <w:szCs w:val="24"/>
        </w:rPr>
      </w:pPr>
      <w:r>
        <w:rPr>
          <w:rFonts w:hint="eastAsia" w:ascii="宋体" w:hAnsi="宋体" w:cs="宋体"/>
          <w:kern w:val="0"/>
          <w:sz w:val="24"/>
          <w:szCs w:val="24"/>
        </w:rPr>
        <w:t>评标委员会将按上述修正错误的原则调整或修正投标文件中的投标报价，投标人同意并签字确认后，调整后的投标报价对投标人具有约束作用。如投标人不接受修正后的报价，则其投标作无效标处理。</w:t>
      </w:r>
    </w:p>
    <w:p w14:paraId="356DAEF7">
      <w:pPr>
        <w:widowControl/>
        <w:spacing w:line="360" w:lineRule="auto"/>
        <w:ind w:firstLine="482" w:firstLineChars="200"/>
        <w:outlineLvl w:val="0"/>
        <w:rPr>
          <w:rFonts w:hint="eastAsia" w:ascii="宋体" w:hAnsi="宋体" w:cs="宋体"/>
          <w:b/>
          <w:bCs/>
          <w:kern w:val="0"/>
          <w:sz w:val="24"/>
          <w:szCs w:val="24"/>
        </w:rPr>
      </w:pPr>
      <w:r>
        <w:rPr>
          <w:rFonts w:hint="eastAsia" w:ascii="宋体" w:hAnsi="宋体" w:cs="宋体"/>
          <w:b/>
          <w:bCs/>
          <w:sz w:val="24"/>
          <w:szCs w:val="24"/>
        </w:rPr>
        <w:t>注：如各竞标银行提供的数据与评分依据不一致的，以评分依据中载明的单位提供的数据为准。</w:t>
      </w:r>
    </w:p>
    <w:p w14:paraId="1732C4F8">
      <w:pPr>
        <w:pStyle w:val="40"/>
        <w:spacing w:before="0" w:after="0" w:line="360" w:lineRule="exact"/>
        <w:ind w:firstLine="354" w:firstLineChars="147"/>
        <w:jc w:val="both"/>
        <w:rPr>
          <w:rFonts w:hint="eastAsia" w:ascii="宋体" w:hAnsi="宋体" w:cs="宋体"/>
          <w:bCs w:val="0"/>
          <w:sz w:val="24"/>
          <w:szCs w:val="24"/>
        </w:rPr>
      </w:pPr>
      <w:bookmarkStart w:id="50" w:name="_Toc486228813"/>
      <w:r>
        <w:rPr>
          <w:rFonts w:hint="eastAsia" w:ascii="宋体" w:hAnsi="宋体" w:cs="宋体"/>
          <w:bCs w:val="0"/>
          <w:sz w:val="24"/>
          <w:szCs w:val="24"/>
        </w:rPr>
        <w:t>（二）资信技术文件评标内容及标准（70分）</w:t>
      </w:r>
    </w:p>
    <w:tbl>
      <w:tblPr>
        <w:tblStyle w:val="42"/>
        <w:tblW w:w="10146"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204"/>
        <w:gridCol w:w="1229"/>
        <w:gridCol w:w="6647"/>
        <w:gridCol w:w="1066"/>
      </w:tblGrid>
      <w:tr w14:paraId="478448E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29" w:hRule="atLeast"/>
          <w:tblHeader/>
          <w:jc w:val="center"/>
        </w:trPr>
        <w:tc>
          <w:tcPr>
            <w:tcW w:w="2433" w:type="dxa"/>
            <w:gridSpan w:val="2"/>
            <w:vAlign w:val="center"/>
          </w:tcPr>
          <w:p w14:paraId="36A5F394">
            <w:pPr>
              <w:widowControl/>
              <w:jc w:val="center"/>
              <w:rPr>
                <w:rFonts w:ascii="宋体" w:hAnsi="宋体" w:cs="宋体"/>
                <w:b/>
                <w:kern w:val="0"/>
                <w:sz w:val="24"/>
                <w:szCs w:val="24"/>
              </w:rPr>
            </w:pPr>
            <w:r>
              <w:rPr>
                <w:rFonts w:hint="eastAsia" w:ascii="宋体" w:hAnsi="宋体" w:cs="宋体"/>
                <w:b/>
                <w:kern w:val="0"/>
                <w:sz w:val="24"/>
                <w:szCs w:val="24"/>
              </w:rPr>
              <w:t>评分项目</w:t>
            </w:r>
          </w:p>
        </w:tc>
        <w:tc>
          <w:tcPr>
            <w:tcW w:w="6647" w:type="dxa"/>
            <w:vAlign w:val="center"/>
          </w:tcPr>
          <w:p w14:paraId="576690AC">
            <w:pPr>
              <w:widowControl/>
              <w:jc w:val="center"/>
              <w:rPr>
                <w:rFonts w:ascii="宋体" w:hAnsi="宋体" w:cs="宋体"/>
                <w:b/>
                <w:kern w:val="0"/>
                <w:sz w:val="24"/>
                <w:szCs w:val="24"/>
              </w:rPr>
            </w:pPr>
            <w:r>
              <w:rPr>
                <w:rFonts w:hint="eastAsia" w:ascii="宋体" w:hAnsi="宋体" w:cs="宋体"/>
                <w:b/>
                <w:kern w:val="0"/>
                <w:sz w:val="24"/>
                <w:szCs w:val="24"/>
              </w:rPr>
              <w:t>评审细则</w:t>
            </w:r>
          </w:p>
        </w:tc>
        <w:tc>
          <w:tcPr>
            <w:tcW w:w="1066" w:type="dxa"/>
            <w:vAlign w:val="center"/>
          </w:tcPr>
          <w:p w14:paraId="1D85D75D">
            <w:pPr>
              <w:widowControl/>
              <w:jc w:val="center"/>
              <w:rPr>
                <w:rFonts w:ascii="宋体" w:hAnsi="宋体" w:cs="宋体"/>
                <w:b/>
                <w:kern w:val="0"/>
                <w:sz w:val="24"/>
                <w:szCs w:val="24"/>
              </w:rPr>
            </w:pPr>
            <w:r>
              <w:rPr>
                <w:rFonts w:hint="eastAsia" w:ascii="宋体" w:hAnsi="宋体" w:cs="宋体"/>
                <w:b/>
                <w:kern w:val="0"/>
                <w:sz w:val="24"/>
                <w:szCs w:val="24"/>
              </w:rPr>
              <w:t>分值</w:t>
            </w:r>
          </w:p>
        </w:tc>
      </w:tr>
      <w:tr w14:paraId="2A501A6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16" w:hRule="atLeast"/>
          <w:jc w:val="center"/>
        </w:trPr>
        <w:tc>
          <w:tcPr>
            <w:tcW w:w="1204" w:type="dxa"/>
            <w:vMerge w:val="restart"/>
            <w:vAlign w:val="center"/>
          </w:tcPr>
          <w:p w14:paraId="08EDA75F">
            <w:pPr>
              <w:snapToGrid w:val="0"/>
              <w:spacing w:line="360" w:lineRule="auto"/>
              <w:jc w:val="center"/>
              <w:rPr>
                <w:rFonts w:ascii="宋体" w:hAnsi="宋体" w:cs="宋体"/>
                <w:kern w:val="0"/>
                <w:szCs w:val="21"/>
              </w:rPr>
            </w:pPr>
            <w:r>
              <w:rPr>
                <w:rFonts w:hint="eastAsia" w:ascii="宋体" w:hAnsi="宋体" w:cs="宋体"/>
                <w:szCs w:val="21"/>
              </w:rPr>
              <w:t>资信</w:t>
            </w:r>
            <w:r>
              <w:rPr>
                <w:rFonts w:hint="eastAsia" w:ascii="宋体" w:hAnsi="宋体" w:cs="宋体"/>
                <w:kern w:val="0"/>
                <w:szCs w:val="21"/>
              </w:rPr>
              <w:t>及技术分</w:t>
            </w:r>
          </w:p>
          <w:p w14:paraId="206F5087">
            <w:pPr>
              <w:snapToGrid w:val="0"/>
              <w:spacing w:line="360" w:lineRule="auto"/>
              <w:jc w:val="center"/>
              <w:rPr>
                <w:rFonts w:ascii="宋体" w:hAnsi="宋体" w:cs="宋体"/>
                <w:szCs w:val="21"/>
              </w:rPr>
            </w:pPr>
            <w:r>
              <w:rPr>
                <w:rFonts w:hint="eastAsia" w:ascii="宋体" w:hAnsi="宋体" w:cs="宋体"/>
                <w:kern w:val="0"/>
                <w:szCs w:val="21"/>
              </w:rPr>
              <w:t>（70分）</w:t>
            </w:r>
          </w:p>
        </w:tc>
        <w:tc>
          <w:tcPr>
            <w:tcW w:w="1229" w:type="dxa"/>
            <w:vMerge w:val="restart"/>
            <w:vAlign w:val="center"/>
          </w:tcPr>
          <w:p w14:paraId="465CF5C5">
            <w:pPr>
              <w:jc w:val="center"/>
              <w:rPr>
                <w:rFonts w:ascii="宋体" w:hAnsi="宋体" w:cs="宋体"/>
                <w:szCs w:val="21"/>
              </w:rPr>
            </w:pPr>
            <w:r>
              <w:rPr>
                <w:rFonts w:hint="eastAsia" w:ascii="宋体" w:hAnsi="宋体" w:cs="宋体"/>
                <w:szCs w:val="21"/>
              </w:rPr>
              <w:t>经营状况(30分)</w:t>
            </w:r>
          </w:p>
        </w:tc>
        <w:tc>
          <w:tcPr>
            <w:tcW w:w="6647" w:type="dxa"/>
            <w:tcBorders>
              <w:bottom w:val="single" w:color="auto" w:sz="4" w:space="0"/>
            </w:tcBorders>
            <w:vAlign w:val="center"/>
          </w:tcPr>
          <w:p w14:paraId="7C53C557">
            <w:pPr>
              <w:widowControl/>
              <w:jc w:val="left"/>
              <w:rPr>
                <w:rFonts w:ascii="宋体" w:hAnsi="宋体" w:cs="宋体"/>
                <w:kern w:val="0"/>
                <w:szCs w:val="21"/>
              </w:rPr>
            </w:pPr>
            <w:r>
              <w:rPr>
                <w:rFonts w:hint="eastAsia" w:ascii="宋体" w:hAnsi="宋体" w:cs="宋体"/>
                <w:kern w:val="0"/>
                <w:szCs w:val="21"/>
              </w:rPr>
              <w:t>（1）内控水平：截止2023年12月31日，人行综合评价进行打分。（以财政出具的考核结果为准）</w:t>
            </w:r>
          </w:p>
        </w:tc>
        <w:tc>
          <w:tcPr>
            <w:tcW w:w="1066" w:type="dxa"/>
            <w:tcBorders>
              <w:bottom w:val="single" w:color="auto" w:sz="4" w:space="0"/>
            </w:tcBorders>
            <w:vAlign w:val="center"/>
          </w:tcPr>
          <w:p w14:paraId="4040F1BC">
            <w:pPr>
              <w:widowControl/>
              <w:jc w:val="center"/>
              <w:rPr>
                <w:rFonts w:ascii="宋体" w:hAnsi="宋体" w:cs="宋体"/>
                <w:kern w:val="0"/>
                <w:szCs w:val="21"/>
              </w:rPr>
            </w:pPr>
            <w:r>
              <w:rPr>
                <w:rFonts w:hint="eastAsia" w:ascii="宋体" w:hAnsi="宋体" w:cs="宋体"/>
                <w:kern w:val="0"/>
                <w:szCs w:val="21"/>
              </w:rPr>
              <w:t>6-8</w:t>
            </w:r>
          </w:p>
        </w:tc>
      </w:tr>
      <w:tr w14:paraId="5F5433A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016" w:hRule="atLeast"/>
          <w:jc w:val="center"/>
        </w:trPr>
        <w:tc>
          <w:tcPr>
            <w:tcW w:w="1204" w:type="dxa"/>
            <w:vMerge w:val="continue"/>
            <w:vAlign w:val="center"/>
          </w:tcPr>
          <w:p w14:paraId="29B44EFC">
            <w:pPr>
              <w:snapToGrid w:val="0"/>
              <w:spacing w:line="360" w:lineRule="auto"/>
              <w:jc w:val="center"/>
              <w:rPr>
                <w:rFonts w:ascii="宋体" w:hAnsi="宋体" w:cs="宋体"/>
                <w:szCs w:val="21"/>
              </w:rPr>
            </w:pPr>
          </w:p>
        </w:tc>
        <w:tc>
          <w:tcPr>
            <w:tcW w:w="1229" w:type="dxa"/>
            <w:vMerge w:val="continue"/>
            <w:vAlign w:val="center"/>
          </w:tcPr>
          <w:p w14:paraId="34971987">
            <w:pPr>
              <w:jc w:val="center"/>
              <w:rPr>
                <w:rFonts w:ascii="宋体" w:hAnsi="宋体" w:cs="宋体"/>
                <w:szCs w:val="21"/>
              </w:rPr>
            </w:pPr>
          </w:p>
        </w:tc>
        <w:tc>
          <w:tcPr>
            <w:tcW w:w="6647" w:type="dxa"/>
            <w:tcBorders>
              <w:bottom w:val="single" w:color="auto" w:sz="4" w:space="0"/>
            </w:tcBorders>
            <w:vAlign w:val="center"/>
          </w:tcPr>
          <w:p w14:paraId="00985201">
            <w:pPr>
              <w:widowControl/>
              <w:rPr>
                <w:rFonts w:ascii="宋体" w:hAnsi="宋体" w:cs="宋体"/>
                <w:kern w:val="0"/>
                <w:szCs w:val="21"/>
              </w:rPr>
            </w:pPr>
            <w:r>
              <w:rPr>
                <w:rFonts w:hint="eastAsia" w:ascii="宋体" w:hAnsi="宋体" w:cs="宋体"/>
                <w:kern w:val="0"/>
                <w:szCs w:val="21"/>
              </w:rPr>
              <w:t>（2）运营状况：截至2023年12月31日，存贷款增速和余额按全区银行，排名第1-3名得12分，第4-6名得11分，第7-9名得10分，其他得9分。（以财政出具的考核结果为准）</w:t>
            </w:r>
          </w:p>
        </w:tc>
        <w:tc>
          <w:tcPr>
            <w:tcW w:w="1066" w:type="dxa"/>
            <w:tcBorders>
              <w:bottom w:val="single" w:color="auto" w:sz="4" w:space="0"/>
            </w:tcBorders>
            <w:vAlign w:val="center"/>
          </w:tcPr>
          <w:p w14:paraId="2EFA2AFC">
            <w:pPr>
              <w:widowControl/>
              <w:jc w:val="center"/>
              <w:rPr>
                <w:rFonts w:ascii="宋体" w:hAnsi="宋体" w:cs="宋体"/>
                <w:kern w:val="0"/>
                <w:szCs w:val="21"/>
              </w:rPr>
            </w:pPr>
            <w:r>
              <w:rPr>
                <w:rFonts w:hint="eastAsia" w:ascii="宋体" w:hAnsi="宋体" w:cs="宋体"/>
                <w:kern w:val="0"/>
                <w:szCs w:val="21"/>
                <w:lang w:val="en-US" w:eastAsia="zh-CN"/>
              </w:rPr>
              <w:t>9</w:t>
            </w:r>
            <w:r>
              <w:rPr>
                <w:rFonts w:hint="eastAsia" w:ascii="宋体" w:hAnsi="宋体" w:cs="宋体"/>
                <w:kern w:val="0"/>
                <w:szCs w:val="21"/>
              </w:rPr>
              <w:t>-12</w:t>
            </w:r>
          </w:p>
        </w:tc>
      </w:tr>
      <w:tr w14:paraId="4B72FD1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006" w:hRule="atLeast"/>
          <w:jc w:val="center"/>
        </w:trPr>
        <w:tc>
          <w:tcPr>
            <w:tcW w:w="1204" w:type="dxa"/>
            <w:vMerge w:val="continue"/>
            <w:vAlign w:val="center"/>
          </w:tcPr>
          <w:p w14:paraId="5AC00888">
            <w:pPr>
              <w:snapToGrid w:val="0"/>
              <w:spacing w:line="360" w:lineRule="auto"/>
              <w:jc w:val="center"/>
              <w:rPr>
                <w:rFonts w:ascii="宋体" w:hAnsi="宋体" w:cs="宋体"/>
                <w:szCs w:val="21"/>
              </w:rPr>
            </w:pPr>
          </w:p>
        </w:tc>
        <w:tc>
          <w:tcPr>
            <w:tcW w:w="1229" w:type="dxa"/>
            <w:vMerge w:val="continue"/>
            <w:vAlign w:val="center"/>
          </w:tcPr>
          <w:p w14:paraId="33E74C7B">
            <w:pPr>
              <w:jc w:val="center"/>
              <w:rPr>
                <w:rFonts w:ascii="宋体" w:hAnsi="宋体" w:cs="宋体"/>
                <w:szCs w:val="21"/>
              </w:rPr>
            </w:pPr>
          </w:p>
        </w:tc>
        <w:tc>
          <w:tcPr>
            <w:tcW w:w="6647" w:type="dxa"/>
            <w:tcBorders>
              <w:bottom w:val="single" w:color="auto" w:sz="4" w:space="0"/>
            </w:tcBorders>
            <w:vAlign w:val="center"/>
          </w:tcPr>
          <w:p w14:paraId="68F5E5A3">
            <w:pPr>
              <w:widowControl/>
              <w:rPr>
                <w:rFonts w:hint="eastAsia" w:ascii="宋体" w:hAnsi="宋体" w:cs="宋体"/>
                <w:kern w:val="0"/>
                <w:szCs w:val="21"/>
              </w:rPr>
            </w:pPr>
            <w:r>
              <w:rPr>
                <w:rFonts w:hint="eastAsia" w:ascii="宋体" w:hAnsi="宋体" w:cs="宋体"/>
                <w:kern w:val="0"/>
                <w:szCs w:val="21"/>
              </w:rPr>
              <w:t>（3）运营状况：截至2023年12月31日，利润总额按全区银行排名，第1-3名得10分，第4-6名得9分，第7-9名得8分，其他得7分。（以财政出具的考核结果为准）</w:t>
            </w:r>
          </w:p>
        </w:tc>
        <w:tc>
          <w:tcPr>
            <w:tcW w:w="1066" w:type="dxa"/>
            <w:tcBorders>
              <w:bottom w:val="single" w:color="auto" w:sz="4" w:space="0"/>
            </w:tcBorders>
            <w:vAlign w:val="center"/>
          </w:tcPr>
          <w:p w14:paraId="26942EE9">
            <w:pPr>
              <w:widowControl/>
              <w:jc w:val="center"/>
              <w:rPr>
                <w:rFonts w:ascii="宋体" w:hAnsi="宋体" w:cs="宋体"/>
                <w:kern w:val="0"/>
                <w:szCs w:val="21"/>
              </w:rPr>
            </w:pPr>
            <w:r>
              <w:rPr>
                <w:rFonts w:hint="eastAsia" w:ascii="宋体" w:hAnsi="宋体" w:cs="宋体"/>
                <w:kern w:val="0"/>
                <w:szCs w:val="21"/>
                <w:lang w:val="en-US" w:eastAsia="zh-CN"/>
              </w:rPr>
              <w:t>7</w:t>
            </w:r>
            <w:r>
              <w:rPr>
                <w:rFonts w:hint="eastAsia" w:ascii="宋体" w:hAnsi="宋体" w:cs="宋体"/>
                <w:kern w:val="0"/>
                <w:szCs w:val="21"/>
              </w:rPr>
              <w:t>-10</w:t>
            </w:r>
          </w:p>
        </w:tc>
      </w:tr>
      <w:tr w14:paraId="44D4F09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1" w:hRule="atLeast"/>
          <w:jc w:val="center"/>
        </w:trPr>
        <w:tc>
          <w:tcPr>
            <w:tcW w:w="1204" w:type="dxa"/>
            <w:vMerge w:val="continue"/>
            <w:vAlign w:val="center"/>
          </w:tcPr>
          <w:p w14:paraId="2432CF6A">
            <w:pPr>
              <w:widowControl/>
              <w:jc w:val="center"/>
              <w:rPr>
                <w:rFonts w:ascii="宋体" w:hAnsi="宋体" w:cs="宋体"/>
                <w:color w:val="FF0000"/>
                <w:szCs w:val="21"/>
              </w:rPr>
            </w:pPr>
          </w:p>
        </w:tc>
        <w:tc>
          <w:tcPr>
            <w:tcW w:w="1229" w:type="dxa"/>
            <w:vMerge w:val="restart"/>
            <w:vAlign w:val="center"/>
          </w:tcPr>
          <w:p w14:paraId="664D560C">
            <w:pPr>
              <w:widowControl/>
              <w:jc w:val="center"/>
              <w:rPr>
                <w:rFonts w:ascii="宋体" w:hAnsi="宋体" w:cs="宋体"/>
                <w:kern w:val="0"/>
                <w:szCs w:val="21"/>
              </w:rPr>
            </w:pPr>
            <w:r>
              <w:rPr>
                <w:rFonts w:hint="eastAsia" w:ascii="宋体" w:hAnsi="宋体" w:cs="宋体"/>
                <w:kern w:val="0"/>
                <w:szCs w:val="21"/>
              </w:rPr>
              <w:t>经济贡献（30分）</w:t>
            </w:r>
          </w:p>
        </w:tc>
        <w:tc>
          <w:tcPr>
            <w:tcW w:w="6647" w:type="dxa"/>
            <w:tcBorders>
              <w:bottom w:val="single" w:color="auto" w:sz="4" w:space="0"/>
            </w:tcBorders>
            <w:vAlign w:val="center"/>
          </w:tcPr>
          <w:p w14:paraId="4F09C878">
            <w:pPr>
              <w:spacing w:line="360" w:lineRule="exact"/>
              <w:jc w:val="left"/>
              <w:rPr>
                <w:rFonts w:ascii="宋体" w:hAnsi="宋体" w:cs="宋体"/>
                <w:kern w:val="0"/>
                <w:szCs w:val="21"/>
              </w:rPr>
            </w:pPr>
            <w:r>
              <w:rPr>
                <w:rFonts w:hint="eastAsia" w:ascii="宋体" w:hAnsi="宋体" w:cs="宋体"/>
                <w:kern w:val="0"/>
                <w:szCs w:val="21"/>
              </w:rPr>
              <w:t>（1）截止2023年12月31日，2023年度的区政府评价结果进行打分。（以财政提供的数据为准）</w:t>
            </w:r>
          </w:p>
        </w:tc>
        <w:tc>
          <w:tcPr>
            <w:tcW w:w="1066" w:type="dxa"/>
            <w:tcBorders>
              <w:bottom w:val="single" w:color="auto" w:sz="4" w:space="0"/>
            </w:tcBorders>
            <w:vAlign w:val="center"/>
          </w:tcPr>
          <w:p w14:paraId="0A7D0BAA">
            <w:pPr>
              <w:widowControl/>
              <w:jc w:val="center"/>
              <w:rPr>
                <w:rFonts w:ascii="宋体" w:hAnsi="宋体" w:cs="宋体"/>
                <w:kern w:val="0"/>
                <w:szCs w:val="21"/>
              </w:rPr>
            </w:pPr>
            <w:r>
              <w:rPr>
                <w:rFonts w:hint="eastAsia" w:ascii="宋体" w:hAnsi="宋体" w:cs="宋体"/>
                <w:kern w:val="0"/>
                <w:szCs w:val="21"/>
              </w:rPr>
              <w:t>2-4</w:t>
            </w:r>
          </w:p>
        </w:tc>
      </w:tr>
      <w:tr w14:paraId="053AF74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1" w:hRule="atLeast"/>
          <w:jc w:val="center"/>
        </w:trPr>
        <w:tc>
          <w:tcPr>
            <w:tcW w:w="1204" w:type="dxa"/>
            <w:vMerge w:val="continue"/>
            <w:vAlign w:val="center"/>
          </w:tcPr>
          <w:p w14:paraId="2A9728DF">
            <w:pPr>
              <w:widowControl/>
              <w:jc w:val="center"/>
              <w:rPr>
                <w:rFonts w:ascii="宋体" w:hAnsi="宋体" w:cs="宋体"/>
                <w:color w:val="FF0000"/>
                <w:szCs w:val="21"/>
              </w:rPr>
            </w:pPr>
          </w:p>
        </w:tc>
        <w:tc>
          <w:tcPr>
            <w:tcW w:w="1229" w:type="dxa"/>
            <w:vMerge w:val="continue"/>
            <w:vAlign w:val="center"/>
          </w:tcPr>
          <w:p w14:paraId="1C601755">
            <w:pPr>
              <w:widowControl/>
              <w:jc w:val="center"/>
              <w:rPr>
                <w:rFonts w:ascii="宋体" w:hAnsi="宋体" w:cs="宋体"/>
                <w:bCs/>
                <w:szCs w:val="21"/>
              </w:rPr>
            </w:pPr>
          </w:p>
        </w:tc>
        <w:tc>
          <w:tcPr>
            <w:tcW w:w="6647" w:type="dxa"/>
            <w:tcBorders>
              <w:bottom w:val="single" w:color="auto" w:sz="4" w:space="0"/>
            </w:tcBorders>
            <w:vAlign w:val="center"/>
          </w:tcPr>
          <w:p w14:paraId="22AAA798">
            <w:pPr>
              <w:spacing w:line="360" w:lineRule="exact"/>
              <w:jc w:val="left"/>
              <w:rPr>
                <w:rFonts w:ascii="宋体" w:hAnsi="宋体" w:cs="宋体"/>
                <w:szCs w:val="21"/>
              </w:rPr>
            </w:pPr>
            <w:r>
              <w:rPr>
                <w:rFonts w:hint="eastAsia" w:ascii="宋体" w:hAnsi="宋体" w:cs="宋体"/>
                <w:kern w:val="0"/>
                <w:szCs w:val="21"/>
              </w:rPr>
              <w:t>（2）截止2023年12月31日，2023年度的</w:t>
            </w:r>
            <w:r>
              <w:rPr>
                <w:rFonts w:hint="eastAsia" w:ascii="宋体" w:hAnsi="宋体" w:cs="宋体"/>
                <w:szCs w:val="21"/>
              </w:rPr>
              <w:t>纳税总额（留区部分，不含社保基金）</w:t>
            </w:r>
            <w:r>
              <w:rPr>
                <w:rFonts w:hint="eastAsia" w:ascii="宋体" w:hAnsi="宋体" w:cs="宋体"/>
                <w:kern w:val="0"/>
                <w:szCs w:val="21"/>
              </w:rPr>
              <w:t>按全区银行</w:t>
            </w:r>
            <w:r>
              <w:rPr>
                <w:rFonts w:hint="eastAsia" w:ascii="宋体" w:hAnsi="宋体" w:cs="宋体"/>
                <w:szCs w:val="21"/>
              </w:rPr>
              <w:t>排名</w:t>
            </w:r>
            <w:r>
              <w:rPr>
                <w:rFonts w:hint="eastAsia" w:ascii="宋体" w:hAnsi="宋体" w:cs="宋体"/>
                <w:kern w:val="0"/>
                <w:szCs w:val="21"/>
              </w:rPr>
              <w:t>，第1-3名得8分，第4-6名得7分，第7-9名得6分，其他得5分。（以财政提供的数据为准）</w:t>
            </w:r>
          </w:p>
        </w:tc>
        <w:tc>
          <w:tcPr>
            <w:tcW w:w="1066" w:type="dxa"/>
            <w:tcBorders>
              <w:bottom w:val="single" w:color="auto" w:sz="4" w:space="0"/>
            </w:tcBorders>
            <w:vAlign w:val="center"/>
          </w:tcPr>
          <w:p w14:paraId="09894BE1">
            <w:pPr>
              <w:widowControl/>
              <w:jc w:val="center"/>
              <w:rPr>
                <w:rFonts w:ascii="宋体" w:hAnsi="宋体" w:cs="宋体"/>
                <w:szCs w:val="21"/>
              </w:rPr>
            </w:pPr>
            <w:r>
              <w:rPr>
                <w:rFonts w:hint="eastAsia" w:ascii="宋体" w:hAnsi="宋体" w:cs="宋体"/>
                <w:szCs w:val="21"/>
              </w:rPr>
              <w:t>5-8</w:t>
            </w:r>
          </w:p>
        </w:tc>
      </w:tr>
      <w:tr w14:paraId="3170707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1" w:hRule="atLeast"/>
          <w:jc w:val="center"/>
        </w:trPr>
        <w:tc>
          <w:tcPr>
            <w:tcW w:w="1204" w:type="dxa"/>
            <w:vMerge w:val="continue"/>
            <w:vAlign w:val="center"/>
          </w:tcPr>
          <w:p w14:paraId="0E13A195">
            <w:pPr>
              <w:widowControl/>
              <w:jc w:val="center"/>
              <w:rPr>
                <w:rFonts w:ascii="宋体" w:hAnsi="宋体" w:cs="宋体"/>
                <w:color w:val="FF0000"/>
                <w:szCs w:val="21"/>
              </w:rPr>
            </w:pPr>
          </w:p>
        </w:tc>
        <w:tc>
          <w:tcPr>
            <w:tcW w:w="1229" w:type="dxa"/>
            <w:vMerge w:val="continue"/>
            <w:vAlign w:val="center"/>
          </w:tcPr>
          <w:p w14:paraId="76F7C8A6">
            <w:pPr>
              <w:widowControl/>
              <w:jc w:val="center"/>
              <w:rPr>
                <w:rFonts w:ascii="宋体" w:hAnsi="宋体" w:cs="宋体"/>
                <w:bCs/>
                <w:szCs w:val="21"/>
              </w:rPr>
            </w:pPr>
          </w:p>
        </w:tc>
        <w:tc>
          <w:tcPr>
            <w:tcW w:w="6647" w:type="dxa"/>
            <w:tcBorders>
              <w:bottom w:val="single" w:color="auto" w:sz="4" w:space="0"/>
            </w:tcBorders>
            <w:vAlign w:val="center"/>
          </w:tcPr>
          <w:p w14:paraId="529CDAB3">
            <w:pPr>
              <w:spacing w:line="360" w:lineRule="exact"/>
              <w:jc w:val="left"/>
              <w:rPr>
                <w:rFonts w:hint="eastAsia" w:ascii="宋体" w:hAnsi="宋体" w:cs="宋体"/>
                <w:kern w:val="0"/>
                <w:szCs w:val="21"/>
              </w:rPr>
            </w:pPr>
            <w:r>
              <w:rPr>
                <w:rFonts w:hint="eastAsia" w:ascii="宋体" w:hAnsi="宋体" w:cs="宋体"/>
                <w:kern w:val="0"/>
                <w:szCs w:val="21"/>
              </w:rPr>
              <w:t>（3）截止2023年12月31日，2023年度的</w:t>
            </w:r>
            <w:r>
              <w:rPr>
                <w:rFonts w:hint="eastAsia" w:ascii="宋体" w:hAnsi="宋体" w:cs="宋体"/>
                <w:szCs w:val="21"/>
              </w:rPr>
              <w:t>税收增长率（留区部分，不含社保基金）</w:t>
            </w:r>
            <w:r>
              <w:rPr>
                <w:rFonts w:hint="eastAsia" w:ascii="宋体" w:hAnsi="宋体" w:cs="宋体"/>
                <w:kern w:val="0"/>
                <w:szCs w:val="21"/>
              </w:rPr>
              <w:t>按全区银行</w:t>
            </w:r>
            <w:r>
              <w:rPr>
                <w:rFonts w:hint="eastAsia" w:ascii="宋体" w:hAnsi="宋体" w:cs="宋体"/>
                <w:szCs w:val="21"/>
              </w:rPr>
              <w:t>排名</w:t>
            </w:r>
            <w:r>
              <w:rPr>
                <w:rFonts w:hint="eastAsia" w:ascii="宋体" w:hAnsi="宋体" w:cs="宋体"/>
                <w:kern w:val="0"/>
                <w:szCs w:val="21"/>
              </w:rPr>
              <w:t>，第1-3名得8分，第4-6名得7分，第7-9名得6分，其他得5分。（以财政提供的数据为准）</w:t>
            </w:r>
          </w:p>
        </w:tc>
        <w:tc>
          <w:tcPr>
            <w:tcW w:w="1066" w:type="dxa"/>
            <w:tcBorders>
              <w:bottom w:val="single" w:color="auto" w:sz="4" w:space="0"/>
            </w:tcBorders>
            <w:vAlign w:val="center"/>
          </w:tcPr>
          <w:p w14:paraId="3EBB0989">
            <w:pPr>
              <w:widowControl/>
              <w:jc w:val="center"/>
              <w:rPr>
                <w:rFonts w:ascii="宋体" w:hAnsi="宋体" w:cs="宋体"/>
                <w:kern w:val="0"/>
                <w:szCs w:val="21"/>
              </w:rPr>
            </w:pPr>
            <w:r>
              <w:rPr>
                <w:rFonts w:hint="eastAsia" w:ascii="宋体" w:hAnsi="宋体" w:cs="宋体"/>
                <w:kern w:val="0"/>
                <w:szCs w:val="21"/>
              </w:rPr>
              <w:t>5-8</w:t>
            </w:r>
          </w:p>
        </w:tc>
      </w:tr>
      <w:tr w14:paraId="2EF68B8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1" w:hRule="atLeast"/>
          <w:jc w:val="center"/>
        </w:trPr>
        <w:tc>
          <w:tcPr>
            <w:tcW w:w="1204" w:type="dxa"/>
            <w:vMerge w:val="continue"/>
            <w:vAlign w:val="center"/>
          </w:tcPr>
          <w:p w14:paraId="086BDEC7">
            <w:pPr>
              <w:widowControl/>
              <w:jc w:val="center"/>
              <w:rPr>
                <w:rFonts w:ascii="宋体" w:hAnsi="宋体" w:cs="宋体"/>
                <w:color w:val="FF0000"/>
                <w:szCs w:val="21"/>
              </w:rPr>
            </w:pPr>
          </w:p>
        </w:tc>
        <w:tc>
          <w:tcPr>
            <w:tcW w:w="1229" w:type="dxa"/>
            <w:vMerge w:val="continue"/>
            <w:vAlign w:val="center"/>
          </w:tcPr>
          <w:p w14:paraId="073117F1">
            <w:pPr>
              <w:widowControl/>
              <w:jc w:val="center"/>
              <w:rPr>
                <w:rFonts w:ascii="宋体" w:hAnsi="宋体" w:cs="宋体"/>
                <w:bCs/>
                <w:szCs w:val="21"/>
              </w:rPr>
            </w:pPr>
          </w:p>
        </w:tc>
        <w:tc>
          <w:tcPr>
            <w:tcW w:w="6647" w:type="dxa"/>
            <w:tcBorders>
              <w:bottom w:val="single" w:color="auto" w:sz="4" w:space="0"/>
            </w:tcBorders>
            <w:vAlign w:val="center"/>
          </w:tcPr>
          <w:p w14:paraId="63AF7262">
            <w:pPr>
              <w:spacing w:line="360" w:lineRule="exact"/>
              <w:jc w:val="left"/>
              <w:rPr>
                <w:rFonts w:hint="eastAsia" w:ascii="宋体" w:hAnsi="宋体" w:cs="宋体"/>
                <w:kern w:val="0"/>
                <w:szCs w:val="21"/>
              </w:rPr>
            </w:pPr>
            <w:r>
              <w:rPr>
                <w:rFonts w:hint="eastAsia" w:ascii="宋体" w:hAnsi="宋体" w:cs="宋体"/>
                <w:kern w:val="0"/>
                <w:szCs w:val="21"/>
              </w:rPr>
              <w:t>（4）截止2023年12月31日，2023年度的经济贡献按全区银行排名，第1-3名得8分，第4-6名得7分，第7-9名得6分，其他得5分。（以财政提供的数据为准）</w:t>
            </w:r>
          </w:p>
        </w:tc>
        <w:tc>
          <w:tcPr>
            <w:tcW w:w="1066" w:type="dxa"/>
            <w:tcBorders>
              <w:bottom w:val="single" w:color="auto" w:sz="4" w:space="0"/>
            </w:tcBorders>
            <w:vAlign w:val="center"/>
          </w:tcPr>
          <w:p w14:paraId="4864A425">
            <w:pPr>
              <w:widowControl/>
              <w:jc w:val="center"/>
              <w:rPr>
                <w:rFonts w:ascii="宋体" w:hAnsi="宋体" w:cs="宋体"/>
                <w:kern w:val="0"/>
                <w:szCs w:val="21"/>
              </w:rPr>
            </w:pPr>
            <w:r>
              <w:rPr>
                <w:rFonts w:hint="eastAsia" w:ascii="宋体" w:hAnsi="宋体" w:cs="宋体"/>
                <w:kern w:val="0"/>
                <w:szCs w:val="21"/>
              </w:rPr>
              <w:t>5-8</w:t>
            </w:r>
          </w:p>
        </w:tc>
      </w:tr>
      <w:tr w14:paraId="0A4BD6D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65" w:hRule="atLeast"/>
          <w:jc w:val="center"/>
        </w:trPr>
        <w:tc>
          <w:tcPr>
            <w:tcW w:w="1204" w:type="dxa"/>
            <w:vMerge w:val="continue"/>
            <w:vAlign w:val="center"/>
          </w:tcPr>
          <w:p w14:paraId="796793D0">
            <w:pPr>
              <w:widowControl/>
              <w:jc w:val="center"/>
              <w:rPr>
                <w:rFonts w:ascii="宋体" w:hAnsi="宋体" w:cs="宋体"/>
                <w:color w:val="FF0000"/>
                <w:szCs w:val="21"/>
              </w:rPr>
            </w:pPr>
          </w:p>
        </w:tc>
        <w:tc>
          <w:tcPr>
            <w:tcW w:w="1229" w:type="dxa"/>
            <w:vMerge w:val="continue"/>
            <w:vAlign w:val="center"/>
          </w:tcPr>
          <w:p w14:paraId="72F00878">
            <w:pPr>
              <w:widowControl/>
              <w:jc w:val="center"/>
              <w:rPr>
                <w:rFonts w:ascii="宋体" w:hAnsi="宋体" w:cs="宋体"/>
                <w:bCs/>
                <w:szCs w:val="21"/>
              </w:rPr>
            </w:pPr>
          </w:p>
        </w:tc>
        <w:tc>
          <w:tcPr>
            <w:tcW w:w="6647" w:type="dxa"/>
            <w:tcBorders>
              <w:bottom w:val="single" w:color="auto" w:sz="4" w:space="0"/>
            </w:tcBorders>
            <w:vAlign w:val="center"/>
          </w:tcPr>
          <w:p w14:paraId="0C2C6D16">
            <w:pPr>
              <w:spacing w:line="360" w:lineRule="exact"/>
              <w:jc w:val="left"/>
              <w:rPr>
                <w:rFonts w:hint="eastAsia" w:ascii="宋体" w:hAnsi="宋体" w:cs="宋体"/>
                <w:kern w:val="0"/>
                <w:szCs w:val="21"/>
              </w:rPr>
            </w:pPr>
            <w:r>
              <w:rPr>
                <w:rFonts w:hint="eastAsia" w:ascii="宋体" w:hAnsi="宋体" w:cs="宋体"/>
                <w:kern w:val="0"/>
                <w:szCs w:val="21"/>
              </w:rPr>
              <w:t>（5）2024年度对上虞区金融支持经济发展，评价结果为一等奖的得2分、二等奖的得1分，其余不得分。（以金融办相关证明文件为准）</w:t>
            </w:r>
          </w:p>
        </w:tc>
        <w:tc>
          <w:tcPr>
            <w:tcW w:w="1066" w:type="dxa"/>
            <w:tcBorders>
              <w:bottom w:val="single" w:color="auto" w:sz="4" w:space="0"/>
            </w:tcBorders>
            <w:vAlign w:val="center"/>
          </w:tcPr>
          <w:p w14:paraId="31C6A7FA">
            <w:pPr>
              <w:widowControl/>
              <w:jc w:val="center"/>
              <w:rPr>
                <w:rFonts w:ascii="宋体" w:hAnsi="宋体" w:cs="宋体"/>
                <w:kern w:val="0"/>
                <w:szCs w:val="21"/>
              </w:rPr>
            </w:pPr>
            <w:r>
              <w:rPr>
                <w:rFonts w:hint="eastAsia" w:ascii="宋体" w:hAnsi="宋体" w:cs="宋体"/>
                <w:kern w:val="0"/>
                <w:szCs w:val="21"/>
              </w:rPr>
              <w:t>0-2</w:t>
            </w:r>
          </w:p>
        </w:tc>
      </w:tr>
      <w:tr w14:paraId="5502CA6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1" w:hRule="atLeast"/>
          <w:jc w:val="center"/>
        </w:trPr>
        <w:tc>
          <w:tcPr>
            <w:tcW w:w="1204" w:type="dxa"/>
            <w:vMerge w:val="continue"/>
            <w:vAlign w:val="center"/>
          </w:tcPr>
          <w:p w14:paraId="7CA3B325">
            <w:pPr>
              <w:widowControl/>
              <w:jc w:val="center"/>
              <w:rPr>
                <w:rFonts w:ascii="宋体" w:hAnsi="宋体" w:cs="宋体"/>
                <w:color w:val="FF0000"/>
                <w:szCs w:val="21"/>
              </w:rPr>
            </w:pPr>
          </w:p>
        </w:tc>
        <w:tc>
          <w:tcPr>
            <w:tcW w:w="1229" w:type="dxa"/>
            <w:vMerge w:val="restart"/>
            <w:vAlign w:val="center"/>
          </w:tcPr>
          <w:p w14:paraId="62162AE5">
            <w:pPr>
              <w:widowControl/>
              <w:jc w:val="center"/>
              <w:rPr>
                <w:rFonts w:hint="eastAsia" w:ascii="宋体" w:hAnsi="宋体" w:cs="宋体"/>
                <w:bCs/>
                <w:szCs w:val="21"/>
              </w:rPr>
            </w:pPr>
            <w:r>
              <w:rPr>
                <w:rFonts w:hint="eastAsia" w:ascii="宋体" w:hAnsi="宋体" w:cs="宋体"/>
                <w:bCs/>
                <w:szCs w:val="21"/>
              </w:rPr>
              <w:t>服务水平（10分）</w:t>
            </w:r>
          </w:p>
        </w:tc>
        <w:tc>
          <w:tcPr>
            <w:tcW w:w="6647" w:type="dxa"/>
            <w:tcBorders>
              <w:bottom w:val="single" w:color="auto" w:sz="4" w:space="0"/>
            </w:tcBorders>
            <w:vAlign w:val="center"/>
          </w:tcPr>
          <w:p w14:paraId="0E22FE10">
            <w:pPr>
              <w:widowControl/>
              <w:jc w:val="left"/>
              <w:rPr>
                <w:rFonts w:hint="eastAsia" w:ascii="宋体" w:hAnsi="宋体" w:cs="宋体"/>
                <w:kern w:val="0"/>
                <w:szCs w:val="21"/>
              </w:rPr>
            </w:pPr>
            <w:r>
              <w:rPr>
                <w:rFonts w:hint="eastAsia" w:ascii="宋体" w:hAnsi="宋体" w:cs="宋体"/>
                <w:kern w:val="0"/>
                <w:szCs w:val="21"/>
              </w:rPr>
              <w:t>（1）根据中标人需要，在中标当日或接招标人通知后3个工作日内完成利率审批，次日（含）前开始计息的得5分。（以出具承诺函为评分标准）</w:t>
            </w:r>
          </w:p>
        </w:tc>
        <w:tc>
          <w:tcPr>
            <w:tcW w:w="1066" w:type="dxa"/>
            <w:tcBorders>
              <w:bottom w:val="single" w:color="auto" w:sz="4" w:space="0"/>
            </w:tcBorders>
            <w:vAlign w:val="center"/>
          </w:tcPr>
          <w:p w14:paraId="7791B4A1">
            <w:pPr>
              <w:widowControl/>
              <w:jc w:val="center"/>
              <w:rPr>
                <w:rFonts w:hint="eastAsia" w:ascii="宋体" w:hAnsi="宋体" w:cs="宋体"/>
                <w:kern w:val="0"/>
                <w:szCs w:val="21"/>
              </w:rPr>
            </w:pPr>
            <w:r>
              <w:rPr>
                <w:rFonts w:hint="eastAsia" w:ascii="宋体" w:hAnsi="宋体" w:cs="宋体"/>
                <w:kern w:val="0"/>
                <w:szCs w:val="21"/>
              </w:rPr>
              <w:t>0-5</w:t>
            </w:r>
          </w:p>
        </w:tc>
      </w:tr>
      <w:tr w14:paraId="3B2FD7C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1" w:hRule="atLeast"/>
          <w:jc w:val="center"/>
        </w:trPr>
        <w:tc>
          <w:tcPr>
            <w:tcW w:w="1204" w:type="dxa"/>
            <w:vMerge w:val="continue"/>
            <w:vAlign w:val="center"/>
          </w:tcPr>
          <w:p w14:paraId="1A7416BD">
            <w:pPr>
              <w:widowControl/>
              <w:jc w:val="center"/>
              <w:rPr>
                <w:rFonts w:ascii="宋体" w:hAnsi="宋体" w:cs="宋体"/>
                <w:color w:val="FF0000"/>
                <w:szCs w:val="21"/>
              </w:rPr>
            </w:pPr>
          </w:p>
        </w:tc>
        <w:tc>
          <w:tcPr>
            <w:tcW w:w="1229" w:type="dxa"/>
            <w:vMerge w:val="continue"/>
            <w:vAlign w:val="center"/>
          </w:tcPr>
          <w:p w14:paraId="562B7047">
            <w:pPr>
              <w:widowControl/>
              <w:jc w:val="center"/>
              <w:rPr>
                <w:rFonts w:ascii="宋体" w:hAnsi="宋体" w:cs="宋体"/>
                <w:bCs/>
                <w:szCs w:val="21"/>
              </w:rPr>
            </w:pPr>
          </w:p>
        </w:tc>
        <w:tc>
          <w:tcPr>
            <w:tcW w:w="6647" w:type="dxa"/>
            <w:tcBorders>
              <w:bottom w:val="single" w:color="auto" w:sz="4" w:space="0"/>
            </w:tcBorders>
            <w:vAlign w:val="center"/>
          </w:tcPr>
          <w:p w14:paraId="5A0E10EB">
            <w:pPr>
              <w:rPr>
                <w:rFonts w:hint="eastAsia" w:ascii="宋体" w:hAnsi="宋体" w:cs="宋体"/>
                <w:szCs w:val="21"/>
              </w:rPr>
            </w:pPr>
            <w:r>
              <w:rPr>
                <w:rFonts w:hint="eastAsia" w:ascii="宋体" w:hAnsi="宋体" w:cs="宋体"/>
                <w:kern w:val="0"/>
                <w:szCs w:val="21"/>
              </w:rPr>
              <w:t>（2）招标人需要提前支取部分存款时，中标人可以提供1次提前支取次数且留存部分按照中标利率计息的得5分，不能提前支取的0分。（以出具承诺函为评分标准</w:t>
            </w:r>
            <w:r>
              <w:rPr>
                <w:rFonts w:ascii="宋体" w:hAnsi="宋体" w:cs="宋体"/>
                <w:kern w:val="0"/>
                <w:szCs w:val="21"/>
              </w:rPr>
              <w:t>）</w:t>
            </w:r>
          </w:p>
        </w:tc>
        <w:tc>
          <w:tcPr>
            <w:tcW w:w="1066" w:type="dxa"/>
            <w:tcBorders>
              <w:bottom w:val="single" w:color="auto" w:sz="4" w:space="0"/>
            </w:tcBorders>
            <w:vAlign w:val="center"/>
          </w:tcPr>
          <w:p w14:paraId="132F59F3">
            <w:pPr>
              <w:widowControl/>
              <w:jc w:val="center"/>
              <w:rPr>
                <w:rFonts w:hint="eastAsia" w:ascii="宋体" w:hAnsi="宋体" w:cs="宋体"/>
                <w:szCs w:val="21"/>
              </w:rPr>
            </w:pPr>
            <w:r>
              <w:rPr>
                <w:rFonts w:hint="eastAsia" w:ascii="宋体" w:hAnsi="宋体" w:cs="宋体"/>
                <w:kern w:val="0"/>
                <w:szCs w:val="21"/>
              </w:rPr>
              <w:t>0-5</w:t>
            </w:r>
          </w:p>
        </w:tc>
      </w:tr>
    </w:tbl>
    <w:p w14:paraId="1932DAF1">
      <w:pPr>
        <w:pStyle w:val="40"/>
        <w:jc w:val="left"/>
        <w:rPr>
          <w:rFonts w:hint="eastAsia" w:ascii="宋体" w:hAnsi="宋体" w:cs="宋体"/>
        </w:rPr>
      </w:pPr>
      <w:r>
        <w:rPr>
          <w:rFonts w:hint="eastAsia" w:ascii="宋体" w:hAnsi="宋体" w:cs="宋体"/>
          <w:bCs w:val="0"/>
          <w:sz w:val="24"/>
          <w:szCs w:val="24"/>
        </w:rPr>
        <w:t>（三）商务文件评标内容及标准（30分）</w:t>
      </w:r>
    </w:p>
    <w:tbl>
      <w:tblPr>
        <w:tblStyle w:val="42"/>
        <w:tblW w:w="10146"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204"/>
        <w:gridCol w:w="1415"/>
        <w:gridCol w:w="6461"/>
        <w:gridCol w:w="1066"/>
      </w:tblGrid>
      <w:tr w14:paraId="64EAB0B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29" w:hRule="atLeast"/>
          <w:tblHeader/>
          <w:jc w:val="center"/>
        </w:trPr>
        <w:tc>
          <w:tcPr>
            <w:tcW w:w="2619" w:type="dxa"/>
            <w:gridSpan w:val="2"/>
            <w:vAlign w:val="center"/>
          </w:tcPr>
          <w:p w14:paraId="465A8819">
            <w:pPr>
              <w:widowControl/>
              <w:jc w:val="center"/>
              <w:rPr>
                <w:rFonts w:ascii="宋体" w:hAnsi="宋体" w:cs="宋体"/>
                <w:b/>
                <w:kern w:val="0"/>
                <w:sz w:val="24"/>
                <w:szCs w:val="24"/>
              </w:rPr>
            </w:pPr>
            <w:r>
              <w:rPr>
                <w:rFonts w:hint="eastAsia" w:ascii="宋体" w:hAnsi="宋体" w:cs="宋体"/>
                <w:b/>
                <w:kern w:val="0"/>
                <w:sz w:val="24"/>
                <w:szCs w:val="24"/>
              </w:rPr>
              <w:t>评分项目</w:t>
            </w:r>
          </w:p>
        </w:tc>
        <w:tc>
          <w:tcPr>
            <w:tcW w:w="6461" w:type="dxa"/>
            <w:vAlign w:val="center"/>
          </w:tcPr>
          <w:p w14:paraId="7B870A54">
            <w:pPr>
              <w:widowControl/>
              <w:jc w:val="center"/>
              <w:rPr>
                <w:rFonts w:ascii="宋体" w:hAnsi="宋体" w:cs="宋体"/>
                <w:b/>
                <w:kern w:val="0"/>
                <w:sz w:val="24"/>
                <w:szCs w:val="24"/>
              </w:rPr>
            </w:pPr>
            <w:r>
              <w:rPr>
                <w:rFonts w:hint="eastAsia" w:ascii="宋体" w:hAnsi="宋体" w:cs="宋体"/>
                <w:b/>
                <w:kern w:val="0"/>
                <w:sz w:val="24"/>
                <w:szCs w:val="24"/>
              </w:rPr>
              <w:t>评审细则</w:t>
            </w:r>
          </w:p>
        </w:tc>
        <w:tc>
          <w:tcPr>
            <w:tcW w:w="1066" w:type="dxa"/>
            <w:vAlign w:val="center"/>
          </w:tcPr>
          <w:p w14:paraId="04669B45">
            <w:pPr>
              <w:widowControl/>
              <w:jc w:val="center"/>
              <w:rPr>
                <w:rFonts w:ascii="宋体" w:hAnsi="宋体" w:cs="宋体"/>
                <w:b/>
                <w:kern w:val="0"/>
                <w:sz w:val="24"/>
                <w:szCs w:val="24"/>
              </w:rPr>
            </w:pPr>
            <w:r>
              <w:rPr>
                <w:rFonts w:hint="eastAsia" w:ascii="宋体" w:hAnsi="宋体" w:cs="宋体"/>
                <w:b/>
                <w:kern w:val="0"/>
                <w:sz w:val="24"/>
                <w:szCs w:val="24"/>
              </w:rPr>
              <w:t>分值</w:t>
            </w:r>
          </w:p>
        </w:tc>
      </w:tr>
      <w:tr w14:paraId="65BD516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360" w:hRule="atLeast"/>
          <w:jc w:val="center"/>
        </w:trPr>
        <w:tc>
          <w:tcPr>
            <w:tcW w:w="1204" w:type="dxa"/>
            <w:vAlign w:val="center"/>
          </w:tcPr>
          <w:p w14:paraId="1F9DE168">
            <w:pPr>
              <w:jc w:val="center"/>
              <w:rPr>
                <w:rFonts w:ascii="宋体" w:hAnsi="宋体" w:cs="宋体"/>
                <w:szCs w:val="21"/>
              </w:rPr>
            </w:pPr>
            <w:r>
              <w:rPr>
                <w:rFonts w:hint="eastAsia" w:ascii="宋体" w:hAnsi="宋体" w:cs="宋体"/>
                <w:szCs w:val="21"/>
              </w:rPr>
              <w:t>商务分</w:t>
            </w:r>
          </w:p>
          <w:p w14:paraId="0B793EA4">
            <w:pPr>
              <w:jc w:val="center"/>
              <w:rPr>
                <w:rFonts w:ascii="宋体" w:hAnsi="宋体" w:cs="宋体"/>
                <w:szCs w:val="21"/>
              </w:rPr>
            </w:pPr>
            <w:r>
              <w:rPr>
                <w:rFonts w:hint="eastAsia" w:ascii="宋体" w:hAnsi="宋体" w:cs="宋体"/>
                <w:bCs/>
                <w:szCs w:val="21"/>
              </w:rPr>
              <w:t>（30分）</w:t>
            </w:r>
          </w:p>
        </w:tc>
        <w:tc>
          <w:tcPr>
            <w:tcW w:w="1415" w:type="dxa"/>
            <w:vAlign w:val="center"/>
          </w:tcPr>
          <w:p w14:paraId="24B0960E">
            <w:pPr>
              <w:widowControl/>
              <w:jc w:val="center"/>
              <w:rPr>
                <w:rFonts w:ascii="宋体" w:hAnsi="宋体" w:cs="宋体"/>
                <w:kern w:val="0"/>
                <w:szCs w:val="21"/>
              </w:rPr>
            </w:pPr>
            <w:r>
              <w:rPr>
                <w:rFonts w:hint="eastAsia" w:ascii="宋体" w:hAnsi="宋体" w:cs="宋体"/>
                <w:kern w:val="0"/>
                <w:szCs w:val="21"/>
              </w:rPr>
              <w:t>定期存款利率（30分）</w:t>
            </w:r>
          </w:p>
        </w:tc>
        <w:tc>
          <w:tcPr>
            <w:tcW w:w="6461" w:type="dxa"/>
            <w:tcBorders>
              <w:top w:val="single" w:color="auto" w:sz="4" w:space="0"/>
            </w:tcBorders>
            <w:vAlign w:val="center"/>
          </w:tcPr>
          <w:p w14:paraId="28E7AE81">
            <w:pPr>
              <w:widowControl/>
              <w:jc w:val="left"/>
              <w:rPr>
                <w:rFonts w:hint="default" w:ascii="宋体" w:hAnsi="宋体" w:eastAsia="宋体" w:cs="宋体"/>
                <w:kern w:val="0"/>
                <w:szCs w:val="21"/>
                <w:lang w:val="en-US" w:eastAsia="zh-CN"/>
              </w:rPr>
            </w:pPr>
            <w:r>
              <w:rPr>
                <w:rFonts w:hint="eastAsia" w:ascii="宋体" w:hAnsi="宋体" w:cs="宋体"/>
                <w:kern w:val="0"/>
                <w:szCs w:val="21"/>
              </w:rPr>
              <w:t>（1）投标人按中国人民银行规定定期存款基准利率执行标准，投标利率需符合行业内相关规定。</w:t>
            </w:r>
            <w:r>
              <w:rPr>
                <w:rFonts w:hint="eastAsia" w:ascii="宋体" w:hAnsi="宋体" w:cs="宋体"/>
                <w:kern w:val="0"/>
                <w:szCs w:val="21"/>
              </w:rPr>
              <w:br w:type="textWrapping"/>
            </w:r>
            <w:r>
              <w:rPr>
                <w:rFonts w:hint="eastAsia" w:ascii="宋体" w:hAnsi="宋体" w:cs="宋体"/>
                <w:kern w:val="0"/>
                <w:szCs w:val="21"/>
              </w:rPr>
              <w:t>（2）本项目的定期存款基准利率为按中国人民银行规定的1.5%；</w:t>
            </w:r>
            <w:r>
              <w:rPr>
                <w:rFonts w:hint="eastAsia" w:ascii="宋体" w:hAnsi="宋体" w:cs="宋体"/>
                <w:kern w:val="0"/>
                <w:szCs w:val="21"/>
              </w:rPr>
              <w:br w:type="textWrapping"/>
            </w:r>
            <w:r>
              <w:rPr>
                <w:rFonts w:hint="eastAsia" w:ascii="宋体" w:hAnsi="宋体" w:cs="宋体"/>
                <w:kern w:val="0"/>
                <w:szCs w:val="21"/>
              </w:rPr>
              <w:t>（3）利率指标得分计算方法：存款年利率较基准利率加基点数最高的得满分30分，其他投标银行与最高加基点数相比，每相差5个BP扣</w:t>
            </w:r>
            <w:r>
              <w:rPr>
                <w:rFonts w:hint="eastAsia" w:ascii="宋体" w:hAnsi="宋体" w:cs="宋体"/>
                <w:kern w:val="0"/>
                <w:szCs w:val="21"/>
                <w:lang w:val="en-US" w:eastAsia="zh-CN"/>
              </w:rPr>
              <w:t>0.2</w:t>
            </w:r>
            <w:r>
              <w:rPr>
                <w:rFonts w:hint="eastAsia" w:ascii="宋体" w:hAnsi="宋体" w:cs="宋体"/>
                <w:kern w:val="0"/>
                <w:szCs w:val="21"/>
              </w:rPr>
              <w:t>分即其他投标银行得分=30-（最高加点数-投标银行加点数</w:t>
            </w:r>
            <w:r>
              <w:rPr>
                <w:rFonts w:ascii="宋体" w:hAnsi="宋体" w:cs="宋体"/>
                <w:kern w:val="0"/>
                <w:szCs w:val="21"/>
              </w:rPr>
              <w:t>）</w:t>
            </w:r>
            <w:r>
              <w:rPr>
                <w:rFonts w:hint="eastAsia" w:ascii="宋体" w:hAnsi="宋体" w:cs="宋体"/>
                <w:kern w:val="0"/>
                <w:szCs w:val="21"/>
              </w:rPr>
              <w:t>/5*</w:t>
            </w:r>
            <w:r>
              <w:rPr>
                <w:rFonts w:hint="eastAsia" w:ascii="宋体" w:hAnsi="宋体" w:cs="宋体"/>
                <w:kern w:val="0"/>
                <w:szCs w:val="21"/>
                <w:lang w:val="en-US" w:eastAsia="zh-CN"/>
              </w:rPr>
              <w:t>0.2</w:t>
            </w:r>
          </w:p>
        </w:tc>
        <w:tc>
          <w:tcPr>
            <w:tcW w:w="1066" w:type="dxa"/>
            <w:tcBorders>
              <w:top w:val="single" w:color="auto" w:sz="4" w:space="0"/>
            </w:tcBorders>
            <w:vAlign w:val="center"/>
          </w:tcPr>
          <w:p w14:paraId="4645CF61">
            <w:pPr>
              <w:widowControl/>
              <w:jc w:val="center"/>
              <w:rPr>
                <w:rFonts w:ascii="宋体" w:hAnsi="宋体" w:cs="宋体"/>
                <w:kern w:val="0"/>
                <w:szCs w:val="21"/>
              </w:rPr>
            </w:pPr>
            <w:r>
              <w:rPr>
                <w:rFonts w:hint="eastAsia" w:ascii="宋体" w:hAnsi="宋体" w:cs="宋体"/>
                <w:kern w:val="0"/>
                <w:szCs w:val="21"/>
              </w:rPr>
              <w:t>30</w:t>
            </w:r>
          </w:p>
        </w:tc>
      </w:tr>
    </w:tbl>
    <w:p w14:paraId="2FF6C281">
      <w:pPr>
        <w:pStyle w:val="40"/>
        <w:rPr>
          <w:rFonts w:hint="eastAsia" w:ascii="宋体" w:hAnsi="宋体" w:cs="宋体"/>
        </w:rPr>
      </w:pPr>
    </w:p>
    <w:p w14:paraId="5A028883">
      <w:pPr>
        <w:pStyle w:val="40"/>
        <w:rPr>
          <w:rFonts w:hint="eastAsia" w:ascii="宋体" w:hAnsi="宋体" w:cs="宋体"/>
        </w:rPr>
      </w:pPr>
    </w:p>
    <w:p w14:paraId="6A1F5B44">
      <w:pPr>
        <w:pStyle w:val="40"/>
        <w:rPr>
          <w:rFonts w:hint="eastAsia" w:ascii="宋体" w:hAnsi="宋体" w:cs="宋体"/>
        </w:rPr>
      </w:pPr>
    </w:p>
    <w:p w14:paraId="44A2A1CC">
      <w:pPr>
        <w:pStyle w:val="40"/>
        <w:rPr>
          <w:rFonts w:hint="eastAsia" w:ascii="宋体" w:hAnsi="宋体" w:cs="宋体"/>
        </w:rPr>
      </w:pPr>
    </w:p>
    <w:p w14:paraId="31EA938E">
      <w:pPr>
        <w:pStyle w:val="40"/>
        <w:rPr>
          <w:rFonts w:hint="eastAsia" w:ascii="宋体" w:hAnsi="宋体" w:cs="宋体"/>
        </w:rPr>
      </w:pPr>
    </w:p>
    <w:bookmarkEnd w:id="50"/>
    <w:p w14:paraId="65439CCB">
      <w:pPr>
        <w:pStyle w:val="7"/>
        <w:ind w:left="0" w:leftChars="0" w:firstLine="0"/>
        <w:jc w:val="center"/>
        <w:rPr>
          <w:rFonts w:hint="eastAsia" w:ascii="宋体" w:hAnsi="宋体" w:cs="宋体"/>
          <w:b/>
          <w:bCs/>
          <w:sz w:val="32"/>
          <w:szCs w:val="32"/>
        </w:rPr>
      </w:pPr>
      <w:r>
        <w:rPr>
          <w:rFonts w:hint="eastAsia" w:ascii="宋体" w:hAnsi="宋体" w:cs="宋体"/>
          <w:b/>
          <w:bCs/>
          <w:sz w:val="32"/>
          <w:szCs w:val="32"/>
        </w:rPr>
        <w:t>第五章　投标文件格式</w:t>
      </w:r>
    </w:p>
    <w:p w14:paraId="43342F37">
      <w:pPr>
        <w:pStyle w:val="5"/>
        <w:spacing w:line="500" w:lineRule="exact"/>
        <w:ind w:firstLine="562" w:firstLineChars="200"/>
        <w:jc w:val="left"/>
        <w:rPr>
          <w:rFonts w:ascii="宋体" w:hAnsi="宋体" w:cs="宋体"/>
          <w:b/>
          <w:sz w:val="28"/>
          <w:szCs w:val="28"/>
        </w:rPr>
      </w:pPr>
      <w:bookmarkStart w:id="51" w:name="_Toc401735225"/>
      <w:bookmarkEnd w:id="51"/>
    </w:p>
    <w:p w14:paraId="48837A7D">
      <w:pPr>
        <w:spacing w:line="360" w:lineRule="auto"/>
        <w:jc w:val="center"/>
        <w:rPr>
          <w:rFonts w:hint="eastAsia" w:ascii="宋体" w:hAnsi="宋体" w:cs="宋体"/>
          <w:sz w:val="28"/>
          <w:szCs w:val="28"/>
        </w:rPr>
      </w:pPr>
      <w:r>
        <w:rPr>
          <w:rFonts w:hint="eastAsia" w:ascii="宋体" w:hAnsi="宋体" w:cs="宋体"/>
          <w:b/>
          <w:spacing w:val="40"/>
          <w:sz w:val="28"/>
          <w:szCs w:val="28"/>
        </w:rPr>
        <w:t>绍兴市上虞区人民政府办公室2025年第一期公款竞争性存放</w:t>
      </w:r>
      <w:r>
        <w:rPr>
          <w:rFonts w:hint="eastAsia" w:ascii="宋体" w:hAnsi="宋体" w:cs="宋体"/>
          <w:sz w:val="28"/>
          <w:szCs w:val="28"/>
        </w:rPr>
        <w:t xml:space="preserve"> </w:t>
      </w:r>
      <w:r>
        <w:rPr>
          <w:rFonts w:hint="eastAsia" w:ascii="宋体" w:hAnsi="宋体" w:cs="宋体"/>
          <w:b/>
          <w:bCs/>
          <w:kern w:val="0"/>
          <w:sz w:val="24"/>
          <w:szCs w:val="24"/>
        </w:rPr>
        <w:t xml:space="preserve"> </w:t>
      </w:r>
    </w:p>
    <w:p w14:paraId="2E523A30">
      <w:pPr>
        <w:spacing w:after="100" w:afterAutospacing="1" w:line="600" w:lineRule="exact"/>
        <w:ind w:right="-108"/>
        <w:jc w:val="center"/>
        <w:rPr>
          <w:rFonts w:hint="eastAsia" w:ascii="宋体" w:hAnsi="宋体" w:cs="宋体"/>
          <w:b/>
          <w:spacing w:val="40"/>
          <w:sz w:val="56"/>
          <w:szCs w:val="44"/>
        </w:rPr>
      </w:pPr>
    </w:p>
    <w:p w14:paraId="77D0F6DD">
      <w:pPr>
        <w:pStyle w:val="4"/>
        <w:rPr>
          <w:rFonts w:hint="eastAsia"/>
        </w:rPr>
      </w:pPr>
    </w:p>
    <w:p w14:paraId="7DA37D19">
      <w:pPr>
        <w:spacing w:after="100" w:afterAutospacing="1" w:line="600" w:lineRule="exact"/>
        <w:ind w:right="-108"/>
        <w:jc w:val="center"/>
        <w:rPr>
          <w:rFonts w:hint="eastAsia" w:ascii="宋体" w:hAnsi="宋体" w:cs="宋体"/>
          <w:b/>
          <w:spacing w:val="40"/>
          <w:sz w:val="56"/>
          <w:szCs w:val="44"/>
        </w:rPr>
      </w:pPr>
      <w:r>
        <w:rPr>
          <w:rFonts w:hint="eastAsia" w:ascii="宋体" w:hAnsi="宋体" w:cs="宋体"/>
          <w:b/>
          <w:spacing w:val="40"/>
          <w:sz w:val="56"/>
          <w:szCs w:val="44"/>
        </w:rPr>
        <w:t>资</w:t>
      </w:r>
    </w:p>
    <w:p w14:paraId="3F3D5BC4">
      <w:pPr>
        <w:spacing w:after="100" w:afterAutospacing="1" w:line="600" w:lineRule="exact"/>
        <w:ind w:right="-108"/>
        <w:jc w:val="center"/>
        <w:rPr>
          <w:rFonts w:hint="eastAsia" w:ascii="宋体" w:hAnsi="宋体" w:cs="宋体"/>
          <w:b/>
          <w:spacing w:val="40"/>
          <w:sz w:val="56"/>
          <w:szCs w:val="44"/>
        </w:rPr>
      </w:pPr>
      <w:r>
        <w:rPr>
          <w:rFonts w:hint="eastAsia" w:ascii="宋体" w:hAnsi="宋体" w:cs="宋体"/>
          <w:b/>
          <w:spacing w:val="40"/>
          <w:sz w:val="56"/>
          <w:szCs w:val="44"/>
        </w:rPr>
        <w:t>格</w:t>
      </w:r>
    </w:p>
    <w:p w14:paraId="410A3B54">
      <w:pPr>
        <w:spacing w:after="100" w:afterAutospacing="1" w:line="600" w:lineRule="exact"/>
        <w:ind w:right="-108"/>
        <w:jc w:val="center"/>
        <w:rPr>
          <w:rFonts w:hint="eastAsia" w:ascii="宋体" w:hAnsi="宋体" w:cs="宋体"/>
          <w:b/>
          <w:spacing w:val="40"/>
          <w:sz w:val="56"/>
          <w:szCs w:val="44"/>
        </w:rPr>
      </w:pPr>
      <w:r>
        <w:rPr>
          <w:rFonts w:hint="eastAsia" w:ascii="宋体" w:hAnsi="宋体" w:cs="宋体"/>
          <w:b/>
          <w:spacing w:val="40"/>
          <w:sz w:val="56"/>
          <w:szCs w:val="44"/>
        </w:rPr>
        <w:t>文</w:t>
      </w:r>
    </w:p>
    <w:p w14:paraId="5231EC13">
      <w:pPr>
        <w:spacing w:after="100" w:afterAutospacing="1" w:line="600" w:lineRule="exact"/>
        <w:ind w:right="-108"/>
        <w:jc w:val="center"/>
        <w:rPr>
          <w:rFonts w:hint="eastAsia" w:ascii="宋体" w:hAnsi="宋体" w:cs="宋体"/>
          <w:b/>
          <w:spacing w:val="40"/>
          <w:sz w:val="56"/>
          <w:szCs w:val="44"/>
        </w:rPr>
      </w:pPr>
      <w:r>
        <w:rPr>
          <w:rFonts w:hint="eastAsia" w:ascii="宋体" w:hAnsi="宋体" w:cs="宋体"/>
          <w:b/>
          <w:spacing w:val="40"/>
          <w:sz w:val="56"/>
          <w:szCs w:val="44"/>
        </w:rPr>
        <w:t>件</w:t>
      </w:r>
    </w:p>
    <w:p w14:paraId="5BCDC6FC">
      <w:pPr>
        <w:spacing w:line="600" w:lineRule="exact"/>
        <w:ind w:right="532" w:firstLine="560" w:firstLineChars="200"/>
        <w:rPr>
          <w:rFonts w:hint="eastAsia" w:ascii="宋体" w:hAnsi="宋体" w:cs="宋体"/>
          <w:sz w:val="28"/>
          <w:szCs w:val="28"/>
        </w:rPr>
      </w:pPr>
    </w:p>
    <w:p w14:paraId="2D089AB8">
      <w:pPr>
        <w:pStyle w:val="4"/>
        <w:rPr>
          <w:rFonts w:hint="eastAsia"/>
        </w:rPr>
      </w:pPr>
    </w:p>
    <w:p w14:paraId="3B839812">
      <w:pPr>
        <w:spacing w:line="600" w:lineRule="exact"/>
        <w:ind w:right="532" w:firstLine="560" w:firstLineChars="200"/>
        <w:rPr>
          <w:rFonts w:hint="eastAsia" w:ascii="宋体" w:hAnsi="宋体" w:cs="宋体"/>
          <w:sz w:val="28"/>
          <w:szCs w:val="28"/>
        </w:rPr>
      </w:pPr>
      <w:r>
        <w:rPr>
          <w:rFonts w:hint="eastAsia" w:ascii="宋体" w:hAnsi="宋体" w:cs="宋体"/>
          <w:sz w:val="28"/>
          <w:szCs w:val="28"/>
        </w:rPr>
        <w:t>单位全称（公章）：</w:t>
      </w:r>
    </w:p>
    <w:p w14:paraId="495A5506">
      <w:pPr>
        <w:spacing w:line="600" w:lineRule="exact"/>
        <w:ind w:right="532" w:firstLine="560" w:firstLineChars="200"/>
        <w:rPr>
          <w:rFonts w:hint="eastAsia" w:ascii="宋体" w:hAnsi="宋体" w:cs="宋体"/>
          <w:sz w:val="28"/>
          <w:szCs w:val="28"/>
        </w:rPr>
      </w:pPr>
      <w:r>
        <w:rPr>
          <w:rFonts w:hint="eastAsia" w:ascii="宋体" w:hAnsi="宋体" w:cs="宋体"/>
          <w:sz w:val="28"/>
          <w:szCs w:val="28"/>
        </w:rPr>
        <w:t>地    址：</w:t>
      </w:r>
    </w:p>
    <w:p w14:paraId="08F8E8B4">
      <w:pPr>
        <w:pStyle w:val="5"/>
        <w:spacing w:line="500" w:lineRule="exact"/>
        <w:ind w:firstLine="560" w:firstLineChars="200"/>
        <w:jc w:val="left"/>
        <w:rPr>
          <w:rFonts w:ascii="宋体" w:hAnsi="宋体" w:cs="宋体"/>
          <w:b/>
          <w:sz w:val="28"/>
          <w:szCs w:val="28"/>
        </w:rPr>
      </w:pPr>
      <w:r>
        <w:rPr>
          <w:rFonts w:hint="eastAsia" w:ascii="宋体" w:hAnsi="宋体" w:cs="宋体"/>
          <w:sz w:val="28"/>
          <w:szCs w:val="28"/>
        </w:rPr>
        <w:t>时    间：</w:t>
      </w:r>
      <w:r>
        <w:rPr>
          <w:rFonts w:ascii="宋体" w:hAnsi="宋体" w:cs="宋体"/>
          <w:b/>
          <w:sz w:val="28"/>
          <w:szCs w:val="28"/>
        </w:rPr>
        <w:br w:type="textWrapping"/>
      </w:r>
    </w:p>
    <w:p w14:paraId="4D925698">
      <w:pPr>
        <w:pStyle w:val="6"/>
        <w:rPr>
          <w:rFonts w:ascii="宋体" w:hAnsi="宋体" w:cs="宋体"/>
          <w:b/>
          <w:sz w:val="28"/>
          <w:szCs w:val="28"/>
        </w:rPr>
      </w:pPr>
    </w:p>
    <w:p w14:paraId="0AD3D113">
      <w:pPr>
        <w:pStyle w:val="10"/>
        <w:adjustRightInd w:val="0"/>
        <w:ind w:left="0" w:firstLine="0" w:firstLineChars="0"/>
        <w:jc w:val="center"/>
        <w:rPr>
          <w:rFonts w:hint="eastAsia" w:ascii="宋体" w:hAnsi="宋体" w:cs="宋体"/>
          <w:b/>
          <w:sz w:val="36"/>
          <w:szCs w:val="36"/>
        </w:rPr>
      </w:pPr>
    </w:p>
    <w:p w14:paraId="7CFC33C3">
      <w:pPr>
        <w:pStyle w:val="10"/>
        <w:adjustRightInd w:val="0"/>
        <w:ind w:left="0" w:firstLine="0" w:firstLineChars="0"/>
        <w:jc w:val="center"/>
        <w:rPr>
          <w:rFonts w:hint="eastAsia" w:ascii="宋体" w:hAnsi="宋体" w:cs="宋体"/>
          <w:b/>
          <w:sz w:val="36"/>
          <w:szCs w:val="36"/>
        </w:rPr>
      </w:pPr>
    </w:p>
    <w:p w14:paraId="0D0D9861">
      <w:pPr>
        <w:pStyle w:val="10"/>
        <w:adjustRightInd w:val="0"/>
        <w:ind w:left="0" w:firstLine="0" w:firstLineChars="0"/>
        <w:jc w:val="center"/>
        <w:rPr>
          <w:rFonts w:hint="eastAsia" w:ascii="宋体" w:hAnsi="宋体" w:cs="宋体"/>
          <w:b/>
          <w:sz w:val="36"/>
          <w:szCs w:val="36"/>
        </w:rPr>
      </w:pPr>
    </w:p>
    <w:p w14:paraId="3D1BF09E">
      <w:pPr>
        <w:pStyle w:val="10"/>
        <w:adjustRightInd w:val="0"/>
        <w:ind w:left="0" w:firstLine="0" w:firstLineChars="0"/>
        <w:jc w:val="center"/>
        <w:rPr>
          <w:rFonts w:hint="eastAsia" w:ascii="宋体" w:hAnsi="宋体" w:cs="宋体"/>
          <w:b/>
          <w:sz w:val="36"/>
          <w:szCs w:val="36"/>
        </w:rPr>
      </w:pPr>
    </w:p>
    <w:p w14:paraId="42A2826C">
      <w:pPr>
        <w:pStyle w:val="10"/>
        <w:adjustRightInd w:val="0"/>
        <w:ind w:left="0" w:firstLine="0" w:firstLineChars="0"/>
        <w:jc w:val="center"/>
        <w:rPr>
          <w:rFonts w:hint="eastAsia"/>
          <w:sz w:val="36"/>
          <w:szCs w:val="36"/>
        </w:rPr>
      </w:pPr>
      <w:r>
        <w:rPr>
          <w:rFonts w:hint="eastAsia" w:ascii="宋体" w:hAnsi="宋体" w:cs="宋体"/>
          <w:b/>
          <w:sz w:val="36"/>
          <w:szCs w:val="36"/>
        </w:rPr>
        <w:t>目录</w:t>
      </w:r>
    </w:p>
    <w:p w14:paraId="257D0D6B">
      <w:pPr>
        <w:pStyle w:val="10"/>
        <w:ind w:left="0" w:firstLine="480"/>
        <w:rPr>
          <w:rFonts w:hint="eastAsia" w:ascii="宋体" w:hAnsi="宋体" w:cs="宋体"/>
          <w:bCs/>
          <w:sz w:val="24"/>
          <w:szCs w:val="24"/>
        </w:rPr>
      </w:pPr>
    </w:p>
    <w:p w14:paraId="68C2BEF0">
      <w:pPr>
        <w:pStyle w:val="10"/>
        <w:ind w:left="0" w:firstLine="480"/>
        <w:rPr>
          <w:rFonts w:hint="eastAsia" w:ascii="宋体" w:hAnsi="宋体" w:cs="宋体"/>
          <w:bCs/>
          <w:sz w:val="24"/>
          <w:szCs w:val="24"/>
        </w:rPr>
      </w:pPr>
      <w:r>
        <w:rPr>
          <w:rFonts w:hint="eastAsia" w:ascii="宋体" w:hAnsi="宋体" w:cs="宋体"/>
          <w:bCs/>
          <w:sz w:val="24"/>
          <w:szCs w:val="24"/>
        </w:rPr>
        <w:t>（1）有效期内的营业执照副本扫描件；</w:t>
      </w:r>
    </w:p>
    <w:p w14:paraId="321163F5">
      <w:pPr>
        <w:spacing w:line="360" w:lineRule="auto"/>
        <w:ind w:firstLine="480" w:firstLineChars="200"/>
        <w:rPr>
          <w:rFonts w:hint="eastAsia" w:ascii="宋体" w:hAnsi="宋体" w:cs="宋体"/>
          <w:bCs/>
          <w:sz w:val="24"/>
          <w:szCs w:val="24"/>
        </w:rPr>
      </w:pPr>
      <w:r>
        <w:rPr>
          <w:rFonts w:hint="eastAsia" w:ascii="宋体" w:hAnsi="宋体" w:cs="宋体"/>
          <w:bCs/>
          <w:sz w:val="24"/>
          <w:szCs w:val="24"/>
        </w:rPr>
        <w:t>（2）报名人身份证扫描件；</w:t>
      </w:r>
    </w:p>
    <w:p w14:paraId="66DB47F3">
      <w:pPr>
        <w:pStyle w:val="4"/>
        <w:spacing w:before="0" w:after="0" w:line="360" w:lineRule="auto"/>
        <w:ind w:firstLine="480" w:firstLineChars="200"/>
        <w:rPr>
          <w:rFonts w:hint="eastAsia" w:ascii="宋体" w:hAnsi="宋体" w:cs="宋体"/>
          <w:b w:val="0"/>
          <w:sz w:val="24"/>
          <w:szCs w:val="24"/>
        </w:rPr>
      </w:pPr>
      <w:r>
        <w:rPr>
          <w:rFonts w:hint="eastAsia" w:ascii="宋体" w:hAnsi="宋体" w:cs="宋体"/>
          <w:b w:val="0"/>
          <w:sz w:val="24"/>
          <w:szCs w:val="24"/>
        </w:rPr>
        <w:t>（3）法人代表身份证、相关资质证明文件扫描件；</w:t>
      </w:r>
    </w:p>
    <w:p w14:paraId="30F56E88">
      <w:pPr>
        <w:pStyle w:val="4"/>
        <w:spacing w:before="0" w:after="0" w:line="360" w:lineRule="auto"/>
        <w:ind w:firstLine="480" w:firstLineChars="200"/>
        <w:rPr>
          <w:rFonts w:hint="eastAsia" w:ascii="宋体" w:hAnsi="宋体" w:cs="宋体"/>
          <w:b w:val="0"/>
          <w:sz w:val="24"/>
          <w:szCs w:val="24"/>
        </w:rPr>
      </w:pPr>
      <w:r>
        <w:rPr>
          <w:rFonts w:hint="eastAsia" w:ascii="宋体" w:hAnsi="宋体" w:cs="宋体"/>
          <w:b w:val="0"/>
          <w:sz w:val="24"/>
          <w:szCs w:val="24"/>
        </w:rPr>
        <w:t>（4）法定代表人（负责人）授权书（格式见附件）。</w:t>
      </w:r>
    </w:p>
    <w:p w14:paraId="379278C9">
      <w:pPr>
        <w:pStyle w:val="5"/>
        <w:rPr>
          <w:rFonts w:ascii="宋体" w:hAnsi="宋体" w:cs="宋体"/>
          <w:b/>
          <w:sz w:val="28"/>
          <w:szCs w:val="28"/>
        </w:rPr>
      </w:pPr>
    </w:p>
    <w:p w14:paraId="0E728B99">
      <w:pPr>
        <w:pStyle w:val="6"/>
        <w:rPr>
          <w:rFonts w:ascii="宋体" w:hAnsi="宋体" w:cs="宋体"/>
          <w:b/>
          <w:sz w:val="28"/>
          <w:szCs w:val="28"/>
        </w:rPr>
      </w:pPr>
    </w:p>
    <w:p w14:paraId="4889152B">
      <w:pPr>
        <w:pStyle w:val="7"/>
        <w:rPr>
          <w:rFonts w:ascii="宋体" w:hAnsi="宋体" w:cs="宋体"/>
          <w:b/>
          <w:sz w:val="28"/>
          <w:szCs w:val="28"/>
        </w:rPr>
      </w:pPr>
    </w:p>
    <w:p w14:paraId="41B17F37">
      <w:pPr>
        <w:pStyle w:val="8"/>
        <w:ind w:firstLine="281"/>
        <w:rPr>
          <w:rFonts w:ascii="宋体" w:hAnsi="宋体" w:cs="宋体"/>
          <w:b/>
          <w:sz w:val="28"/>
          <w:szCs w:val="28"/>
        </w:rPr>
      </w:pPr>
    </w:p>
    <w:p w14:paraId="5E3A31BD">
      <w:pPr>
        <w:pStyle w:val="10"/>
        <w:ind w:firstLine="562"/>
        <w:rPr>
          <w:rFonts w:ascii="宋体" w:hAnsi="宋体" w:cs="宋体"/>
          <w:b/>
          <w:sz w:val="28"/>
          <w:szCs w:val="28"/>
        </w:rPr>
      </w:pPr>
    </w:p>
    <w:p w14:paraId="0A9B250F">
      <w:pPr>
        <w:rPr>
          <w:rFonts w:ascii="宋体" w:hAnsi="宋体" w:cs="宋体"/>
          <w:b/>
          <w:sz w:val="28"/>
          <w:szCs w:val="28"/>
        </w:rPr>
      </w:pPr>
    </w:p>
    <w:p w14:paraId="46452150">
      <w:pPr>
        <w:pStyle w:val="4"/>
        <w:rPr>
          <w:rFonts w:ascii="宋体" w:hAnsi="宋体" w:cs="宋体"/>
          <w:b w:val="0"/>
          <w:sz w:val="28"/>
          <w:szCs w:val="28"/>
        </w:rPr>
      </w:pPr>
    </w:p>
    <w:p w14:paraId="7A838A6A">
      <w:pPr>
        <w:pStyle w:val="5"/>
        <w:rPr>
          <w:rFonts w:ascii="宋体" w:hAnsi="宋体" w:cs="宋体"/>
          <w:b/>
          <w:sz w:val="28"/>
          <w:szCs w:val="28"/>
        </w:rPr>
      </w:pPr>
    </w:p>
    <w:p w14:paraId="2335E97A">
      <w:pPr>
        <w:pStyle w:val="6"/>
        <w:rPr>
          <w:rFonts w:ascii="宋体" w:hAnsi="宋体" w:cs="宋体"/>
          <w:b/>
          <w:sz w:val="28"/>
          <w:szCs w:val="28"/>
        </w:rPr>
      </w:pPr>
    </w:p>
    <w:p w14:paraId="745E4F4F">
      <w:pPr>
        <w:pStyle w:val="7"/>
        <w:rPr>
          <w:rFonts w:ascii="宋体" w:hAnsi="宋体" w:cs="宋体"/>
          <w:b/>
          <w:sz w:val="28"/>
          <w:szCs w:val="28"/>
        </w:rPr>
      </w:pPr>
    </w:p>
    <w:p w14:paraId="5B3FAFDD">
      <w:pPr>
        <w:pStyle w:val="8"/>
        <w:ind w:firstLine="281"/>
        <w:rPr>
          <w:rFonts w:ascii="宋体" w:hAnsi="宋体" w:cs="宋体"/>
          <w:b/>
          <w:sz w:val="28"/>
          <w:szCs w:val="28"/>
        </w:rPr>
      </w:pPr>
    </w:p>
    <w:p w14:paraId="4B046C5B">
      <w:pPr>
        <w:pStyle w:val="10"/>
        <w:ind w:firstLine="562"/>
        <w:rPr>
          <w:rFonts w:ascii="宋体" w:hAnsi="宋体" w:cs="宋体"/>
          <w:b/>
          <w:sz w:val="28"/>
          <w:szCs w:val="28"/>
        </w:rPr>
      </w:pPr>
    </w:p>
    <w:p w14:paraId="6600E473">
      <w:pPr>
        <w:rPr>
          <w:rFonts w:ascii="宋体" w:hAnsi="宋体" w:cs="宋体"/>
          <w:b/>
          <w:sz w:val="28"/>
          <w:szCs w:val="28"/>
        </w:rPr>
      </w:pPr>
    </w:p>
    <w:p w14:paraId="21DE6A42">
      <w:pPr>
        <w:pStyle w:val="4"/>
      </w:pPr>
    </w:p>
    <w:p w14:paraId="494558D1">
      <w:pPr>
        <w:snapToGrid w:val="0"/>
        <w:spacing w:beforeLines="50" w:after="50" w:line="480" w:lineRule="auto"/>
        <w:jc w:val="center"/>
        <w:rPr>
          <w:rFonts w:hint="eastAsia" w:ascii="宋体" w:hAnsi="宋体" w:cs="宋体"/>
          <w:b/>
          <w:sz w:val="24"/>
        </w:rPr>
      </w:pPr>
      <w:r>
        <w:rPr>
          <w:rFonts w:hint="eastAsia" w:ascii="宋体" w:hAnsi="宋体" w:cs="宋体"/>
          <w:b/>
          <w:sz w:val="24"/>
          <w:szCs w:val="24"/>
        </w:rPr>
        <w:t>法定代表人（负责人）授权委托书</w:t>
      </w:r>
    </w:p>
    <w:p w14:paraId="6ED16D55">
      <w:pPr>
        <w:snapToGrid w:val="0"/>
        <w:spacing w:beforeLines="50" w:after="50" w:line="360" w:lineRule="exact"/>
        <w:rPr>
          <w:rFonts w:hint="eastAsia" w:ascii="宋体" w:hAnsi="宋体" w:cs="宋体"/>
          <w:sz w:val="24"/>
          <w:szCs w:val="24"/>
        </w:rPr>
      </w:pPr>
      <w:r>
        <w:rPr>
          <w:rFonts w:hint="eastAsia" w:ascii="宋体" w:hAnsi="宋体" w:cs="宋体"/>
          <w:sz w:val="24"/>
          <w:szCs w:val="24"/>
        </w:rPr>
        <w:t xml:space="preserve">致：绍兴市上虞区人民政府办公室： </w:t>
      </w:r>
    </w:p>
    <w:p w14:paraId="796171E8">
      <w:pPr>
        <w:snapToGrid w:val="0"/>
        <w:spacing w:beforeLines="50" w:after="50" w:line="360" w:lineRule="exact"/>
        <w:rPr>
          <w:rFonts w:hint="eastAsia" w:ascii="宋体" w:hAnsi="宋体" w:cs="宋体"/>
          <w:sz w:val="24"/>
          <w:szCs w:val="24"/>
        </w:rPr>
      </w:pPr>
      <w:r>
        <w:rPr>
          <w:rFonts w:hint="eastAsia" w:ascii="宋体" w:hAnsi="宋体" w:cs="宋体"/>
          <w:sz w:val="24"/>
          <w:szCs w:val="24"/>
        </w:rPr>
        <w:t xml:space="preserve">    浙江宇康工程管理咨询有限公司：</w:t>
      </w:r>
    </w:p>
    <w:p w14:paraId="18344FEA">
      <w:pPr>
        <w:snapToGrid w:val="0"/>
        <w:spacing w:beforeLines="50" w:after="50" w:line="360" w:lineRule="auto"/>
        <w:ind w:firstLine="720" w:firstLineChars="300"/>
        <w:rPr>
          <w:rFonts w:hint="eastAsia" w:ascii="宋体" w:hAnsi="宋体" w:cs="宋体"/>
          <w:sz w:val="24"/>
          <w:szCs w:val="24"/>
          <w:u w:val="single"/>
        </w:rPr>
      </w:pPr>
      <w:r>
        <w:rPr>
          <w:rFonts w:hint="eastAsia" w:ascii="宋体" w:hAnsi="宋体" w:cs="宋体"/>
          <w:sz w:val="24"/>
          <w:szCs w:val="24"/>
        </w:rPr>
        <w:t xml:space="preserve">我 </w:t>
      </w:r>
      <w:r>
        <w:rPr>
          <w:rFonts w:hint="eastAsia" w:ascii="宋体" w:hAnsi="宋体" w:cs="宋体"/>
          <w:sz w:val="24"/>
          <w:szCs w:val="24"/>
          <w:u w:val="single"/>
        </w:rPr>
        <w:t xml:space="preserve">              </w:t>
      </w:r>
      <w:r>
        <w:rPr>
          <w:rFonts w:hint="eastAsia" w:ascii="宋体" w:hAnsi="宋体" w:cs="宋体"/>
          <w:sz w:val="24"/>
          <w:szCs w:val="24"/>
        </w:rPr>
        <w:t>（姓名）系</w:t>
      </w:r>
      <w:r>
        <w:rPr>
          <w:rFonts w:hint="eastAsia" w:ascii="宋体" w:hAnsi="宋体" w:cs="宋体"/>
          <w:sz w:val="24"/>
          <w:szCs w:val="24"/>
          <w:u w:val="single"/>
        </w:rPr>
        <w:t xml:space="preserve">             </w:t>
      </w:r>
      <w:r>
        <w:rPr>
          <w:rFonts w:hint="eastAsia" w:ascii="宋体" w:hAnsi="宋体" w:cs="宋体"/>
          <w:sz w:val="24"/>
          <w:szCs w:val="24"/>
        </w:rPr>
        <w:t xml:space="preserve">（投标人名称）的法定代表人（负责人），现授权委托本单位在职职工 </w:t>
      </w:r>
      <w:r>
        <w:rPr>
          <w:rFonts w:hint="eastAsia" w:ascii="宋体" w:hAnsi="宋体" w:cs="宋体"/>
          <w:sz w:val="24"/>
          <w:szCs w:val="24"/>
          <w:u w:val="single"/>
        </w:rPr>
        <w:t xml:space="preserve">              </w:t>
      </w:r>
      <w:r>
        <w:rPr>
          <w:rFonts w:hint="eastAsia" w:ascii="宋体" w:hAnsi="宋体" w:cs="宋体"/>
          <w:sz w:val="24"/>
          <w:szCs w:val="24"/>
        </w:rPr>
        <w:t>（姓名）以我方的名义参加</w:t>
      </w:r>
    </w:p>
    <w:p w14:paraId="5DE70747">
      <w:pPr>
        <w:snapToGrid w:val="0"/>
        <w:spacing w:beforeLines="50" w:after="50" w:line="360" w:lineRule="auto"/>
        <w:rPr>
          <w:rFonts w:hint="eastAsia" w:ascii="宋体" w:hAnsi="宋体" w:cs="宋体"/>
          <w:sz w:val="24"/>
        </w:rPr>
      </w:pPr>
      <w:r>
        <w:rPr>
          <w:rFonts w:hint="eastAsia" w:ascii="宋体" w:hAnsi="宋体" w:cs="宋体"/>
          <w:sz w:val="24"/>
          <w:szCs w:val="24"/>
          <w:u w:val="single"/>
        </w:rPr>
        <w:t xml:space="preserve">          </w:t>
      </w:r>
      <w:r>
        <w:rPr>
          <w:rFonts w:hint="eastAsia" w:ascii="宋体" w:hAnsi="宋体" w:cs="宋体"/>
          <w:sz w:val="24"/>
          <w:szCs w:val="24"/>
        </w:rPr>
        <w:t>项目的投标活动，并代表我方全权办理针对上述项目的投标、开标、评标、签约等具体事务和签署相关文件。</w:t>
      </w:r>
    </w:p>
    <w:p w14:paraId="4CEFEB4F">
      <w:pPr>
        <w:snapToGrid w:val="0"/>
        <w:spacing w:beforeLines="50" w:after="50" w:line="360" w:lineRule="auto"/>
        <w:rPr>
          <w:rFonts w:hint="eastAsia" w:ascii="宋体" w:hAnsi="宋体" w:cs="宋体"/>
          <w:sz w:val="24"/>
        </w:rPr>
      </w:pPr>
      <w:r>
        <w:rPr>
          <w:rFonts w:hint="eastAsia" w:ascii="宋体" w:hAnsi="宋体" w:cs="宋体"/>
          <w:sz w:val="24"/>
          <w:szCs w:val="24"/>
        </w:rPr>
        <w:t xml:space="preserve">    我方对被授权人的签名事项负全部责任。</w:t>
      </w:r>
    </w:p>
    <w:p w14:paraId="2357E633">
      <w:pPr>
        <w:snapToGrid w:val="0"/>
        <w:spacing w:beforeLines="50" w:after="50" w:line="360" w:lineRule="auto"/>
        <w:ind w:firstLine="480"/>
        <w:rPr>
          <w:rFonts w:hint="eastAsia" w:ascii="宋体" w:hAnsi="宋体" w:cs="宋体"/>
          <w:sz w:val="24"/>
        </w:rPr>
      </w:pPr>
      <w:r>
        <w:rPr>
          <w:rFonts w:hint="eastAsia" w:ascii="宋体" w:hAnsi="宋体" w:cs="宋体"/>
          <w:sz w:val="24"/>
          <w:szCs w:val="24"/>
          <w:u w:val="single"/>
        </w:rPr>
        <w:t>在撤销授权的书面通知以前，本授权书一直有效</w:t>
      </w:r>
      <w:r>
        <w:rPr>
          <w:rFonts w:hint="eastAsia" w:ascii="宋体" w:hAnsi="宋体" w:cs="宋体"/>
          <w:sz w:val="24"/>
          <w:szCs w:val="24"/>
        </w:rPr>
        <w:t>。被授权人在授权书有效期内签署的所有文件不因授权的撤销而失效。</w:t>
      </w:r>
    </w:p>
    <w:p w14:paraId="39F79CDA">
      <w:pPr>
        <w:snapToGrid w:val="0"/>
        <w:spacing w:beforeLines="50" w:after="50" w:line="360" w:lineRule="auto"/>
        <w:ind w:firstLine="480"/>
        <w:rPr>
          <w:rFonts w:hint="eastAsia" w:ascii="宋体" w:hAnsi="宋体" w:cs="宋体"/>
          <w:sz w:val="24"/>
        </w:rPr>
      </w:pPr>
      <w:r>
        <w:rPr>
          <w:rFonts w:hint="eastAsia" w:ascii="宋体" w:hAnsi="宋体" w:cs="宋体"/>
          <w:sz w:val="24"/>
          <w:szCs w:val="24"/>
        </w:rPr>
        <w:t>被授权人无转委托权，特此委托。</w:t>
      </w:r>
    </w:p>
    <w:p w14:paraId="158FB808">
      <w:pPr>
        <w:snapToGrid w:val="0"/>
        <w:spacing w:beforeLines="50" w:after="50" w:line="360" w:lineRule="auto"/>
        <w:rPr>
          <w:rFonts w:hint="eastAsia" w:ascii="宋体" w:hAnsi="宋体" w:cs="宋体"/>
          <w:sz w:val="24"/>
        </w:rPr>
      </w:pPr>
    </w:p>
    <w:p w14:paraId="16B4DE7C">
      <w:pPr>
        <w:snapToGrid w:val="0"/>
        <w:spacing w:beforeLines="50" w:after="50" w:line="360" w:lineRule="auto"/>
        <w:rPr>
          <w:rFonts w:hint="eastAsia" w:ascii="宋体" w:hAnsi="宋体" w:cs="宋体"/>
          <w:sz w:val="24"/>
          <w:u w:val="single"/>
        </w:rPr>
      </w:pPr>
      <w:r>
        <w:rPr>
          <w:rFonts w:hint="eastAsia" w:ascii="宋体" w:hAnsi="宋体" w:cs="宋体"/>
          <w:sz w:val="24"/>
          <w:szCs w:val="24"/>
        </w:rPr>
        <w:t>被授权人签名或电子盖章：</w:t>
      </w:r>
      <w:r>
        <w:rPr>
          <w:rFonts w:hint="eastAsia" w:ascii="宋体" w:hAnsi="宋体" w:cs="宋体"/>
          <w:sz w:val="24"/>
          <w:szCs w:val="24"/>
          <w:u w:val="single"/>
        </w:rPr>
        <w:t xml:space="preserve">      </w:t>
      </w:r>
      <w:r>
        <w:rPr>
          <w:rFonts w:hint="eastAsia" w:ascii="宋体" w:hAnsi="宋体" w:cs="宋体"/>
          <w:sz w:val="24"/>
          <w:szCs w:val="24"/>
        </w:rPr>
        <w:t xml:space="preserve">    法定代表人（负责人）签名或电子盖章：</w:t>
      </w:r>
      <w:r>
        <w:rPr>
          <w:rFonts w:hint="eastAsia" w:ascii="宋体" w:hAnsi="宋体" w:cs="宋体"/>
          <w:sz w:val="24"/>
          <w:szCs w:val="24"/>
          <w:u w:val="single"/>
        </w:rPr>
        <w:t xml:space="preserve">          </w:t>
      </w:r>
    </w:p>
    <w:p w14:paraId="299204EE">
      <w:pPr>
        <w:snapToGrid w:val="0"/>
        <w:spacing w:beforeLines="50" w:after="50" w:line="360" w:lineRule="auto"/>
        <w:ind w:firstLine="960" w:firstLineChars="400"/>
        <w:rPr>
          <w:rFonts w:hint="eastAsia" w:ascii="宋体" w:hAnsi="宋体" w:cs="宋体"/>
          <w:sz w:val="24"/>
        </w:rPr>
      </w:pPr>
      <w:r>
        <w:rPr>
          <w:rFonts w:hint="eastAsia" w:ascii="宋体" w:hAnsi="宋体" w:cs="宋体"/>
          <w:sz w:val="24"/>
          <w:szCs w:val="24"/>
        </w:rPr>
        <w:t>职务：</w:t>
      </w:r>
      <w:r>
        <w:rPr>
          <w:rFonts w:hint="eastAsia" w:ascii="宋体" w:hAnsi="宋体" w:cs="宋体"/>
          <w:sz w:val="24"/>
          <w:szCs w:val="24"/>
          <w:u w:val="single"/>
        </w:rPr>
        <w:t xml:space="preserve">           </w:t>
      </w:r>
      <w:r>
        <w:rPr>
          <w:rFonts w:hint="eastAsia" w:ascii="宋体" w:hAnsi="宋体" w:cs="宋体"/>
          <w:sz w:val="24"/>
          <w:szCs w:val="24"/>
        </w:rPr>
        <w:t xml:space="preserve">                                    职务：</w:t>
      </w:r>
      <w:r>
        <w:rPr>
          <w:rFonts w:hint="eastAsia" w:ascii="宋体" w:hAnsi="宋体" w:cs="宋体"/>
          <w:sz w:val="24"/>
          <w:szCs w:val="24"/>
          <w:u w:val="single"/>
        </w:rPr>
        <w:t xml:space="preserve">           </w:t>
      </w:r>
    </w:p>
    <w:p w14:paraId="1A6A9C80">
      <w:pPr>
        <w:snapToGrid w:val="0"/>
        <w:spacing w:beforeLines="50" w:after="50" w:line="360" w:lineRule="auto"/>
        <w:rPr>
          <w:rFonts w:hint="eastAsia" w:ascii="宋体" w:hAnsi="宋体" w:cs="宋体"/>
          <w:sz w:val="24"/>
        </w:rPr>
      </w:pPr>
      <w:r>
        <w:rPr>
          <w:rFonts w:hint="eastAsia" w:ascii="宋体" w:hAnsi="宋体" w:cs="宋体"/>
          <w:sz w:val="24"/>
          <w:szCs w:val="24"/>
        </w:rPr>
        <w:t>被授权人身份证号码：</w:t>
      </w:r>
      <w:r>
        <w:rPr>
          <w:rFonts w:hint="eastAsia" w:ascii="宋体" w:hAnsi="宋体" w:cs="宋体"/>
          <w:sz w:val="24"/>
          <w:szCs w:val="24"/>
          <w:u w:val="single"/>
        </w:rPr>
        <w:t xml:space="preserve">                             </w:t>
      </w:r>
      <w:r>
        <w:rPr>
          <w:rFonts w:hint="eastAsia" w:ascii="宋体" w:hAnsi="宋体" w:cs="宋体"/>
          <w:sz w:val="24"/>
          <w:szCs w:val="24"/>
        </w:rPr>
        <w:t xml:space="preserve"> </w:t>
      </w:r>
    </w:p>
    <w:p w14:paraId="00CBFBF8">
      <w:pPr>
        <w:snapToGrid w:val="0"/>
        <w:spacing w:beforeLines="50" w:after="50" w:line="360" w:lineRule="auto"/>
        <w:rPr>
          <w:rFonts w:hint="eastAsia" w:ascii="宋体" w:hAnsi="宋体" w:cs="宋体"/>
          <w:sz w:val="24"/>
        </w:rPr>
      </w:pPr>
      <w:r>
        <w:rPr>
          <w:rFonts w:hint="eastAsia" w:ascii="宋体" w:hAnsi="宋体" w:cs="宋体"/>
          <w:sz w:val="24"/>
          <w:szCs w:val="24"/>
        </w:rPr>
        <w:t xml:space="preserve">                                     投标人公章：</w:t>
      </w:r>
    </w:p>
    <w:p w14:paraId="779901F4">
      <w:pPr>
        <w:snapToGrid w:val="0"/>
        <w:spacing w:beforeLines="50" w:after="50" w:line="360" w:lineRule="auto"/>
        <w:jc w:val="center"/>
        <w:rPr>
          <w:rFonts w:hint="eastAsia" w:ascii="宋体" w:hAnsi="宋体" w:cs="宋体"/>
          <w:sz w:val="24"/>
        </w:rPr>
      </w:pPr>
      <w:r>
        <w:rPr>
          <w:rFonts w:hint="eastAsia" w:ascii="宋体" w:hAnsi="宋体" w:cs="宋体"/>
          <w:sz w:val="24"/>
          <w:szCs w:val="24"/>
        </w:rPr>
        <w:t xml:space="preserve">                                        年    月    日</w:t>
      </w:r>
    </w:p>
    <w:p w14:paraId="59DE00A8">
      <w:pPr>
        <w:snapToGrid w:val="0"/>
        <w:spacing w:beforeLines="50" w:after="50" w:line="360" w:lineRule="auto"/>
        <w:rPr>
          <w:rFonts w:hint="eastAsia" w:ascii="宋体" w:hAnsi="宋体" w:cs="宋体"/>
          <w:szCs w:val="24"/>
        </w:rPr>
      </w:pPr>
    </w:p>
    <w:p w14:paraId="7E9DF702">
      <w:pPr>
        <w:snapToGrid w:val="0"/>
        <w:spacing w:beforeLines="50" w:after="50" w:line="360" w:lineRule="auto"/>
        <w:rPr>
          <w:rFonts w:hint="eastAsia" w:ascii="宋体" w:hAnsi="宋体" w:cs="宋体"/>
          <w:sz w:val="24"/>
          <w:szCs w:val="24"/>
        </w:rPr>
      </w:pPr>
      <w:r>
        <w:rPr>
          <w:rFonts w:hint="eastAsia" w:ascii="宋体" w:hAnsi="宋体" w:cs="宋体"/>
          <w:sz w:val="24"/>
          <w:szCs w:val="24"/>
        </w:rPr>
        <w:t>法人（负责人）身份证（正反面）扫描件：</w:t>
      </w:r>
    </w:p>
    <w:p w14:paraId="2165C4A3">
      <w:pPr>
        <w:pStyle w:val="8"/>
        <w:ind w:firstLine="0" w:firstLineChars="0"/>
        <w:rPr>
          <w:rFonts w:ascii="宋体" w:hAnsi="宋体" w:cs="宋体"/>
          <w:b/>
          <w:sz w:val="28"/>
          <w:szCs w:val="28"/>
        </w:rPr>
      </w:pPr>
      <w:r>
        <w:rPr>
          <w:rFonts w:hint="eastAsia" w:ascii="宋体" w:hAnsi="宋体" w:cs="宋体"/>
          <w:sz w:val="24"/>
        </w:rPr>
        <w:t>授权代表身份证（正反面）扫描件：</w:t>
      </w:r>
    </w:p>
    <w:p w14:paraId="7C576BF5">
      <w:pPr>
        <w:pStyle w:val="10"/>
        <w:ind w:firstLine="562"/>
        <w:rPr>
          <w:rFonts w:ascii="宋体" w:hAnsi="宋体" w:cs="宋体"/>
          <w:b/>
          <w:sz w:val="28"/>
          <w:szCs w:val="28"/>
        </w:rPr>
      </w:pPr>
    </w:p>
    <w:p w14:paraId="748193CC">
      <w:pPr>
        <w:rPr>
          <w:rFonts w:ascii="宋体" w:hAnsi="宋体" w:cs="宋体"/>
          <w:b/>
          <w:sz w:val="28"/>
          <w:szCs w:val="28"/>
        </w:rPr>
      </w:pPr>
    </w:p>
    <w:p w14:paraId="429D5A9D">
      <w:pPr>
        <w:pStyle w:val="6"/>
        <w:rPr>
          <w:rFonts w:hint="eastAsia"/>
        </w:rPr>
      </w:pPr>
    </w:p>
    <w:p w14:paraId="735E8CE3">
      <w:pPr>
        <w:pStyle w:val="7"/>
        <w:rPr>
          <w:rFonts w:hint="eastAsia"/>
        </w:rPr>
      </w:pPr>
    </w:p>
    <w:p w14:paraId="7E46B026">
      <w:pPr>
        <w:pStyle w:val="8"/>
        <w:ind w:firstLine="210"/>
        <w:rPr>
          <w:rFonts w:hint="eastAsia"/>
        </w:rPr>
      </w:pPr>
    </w:p>
    <w:p w14:paraId="6C892443">
      <w:pPr>
        <w:pStyle w:val="10"/>
        <w:ind w:firstLine="360"/>
        <w:rPr>
          <w:rFonts w:hint="eastAsia"/>
        </w:rPr>
      </w:pPr>
    </w:p>
    <w:p w14:paraId="69854AA7">
      <w:pPr>
        <w:ind w:right="-110" w:firstLine="640"/>
        <w:jc w:val="center"/>
        <w:rPr>
          <w:rFonts w:hint="eastAsia" w:ascii="宋体" w:hAnsi="宋体" w:cs="宋体"/>
          <w:b/>
          <w:spacing w:val="40"/>
          <w:sz w:val="28"/>
          <w:szCs w:val="28"/>
        </w:rPr>
      </w:pPr>
    </w:p>
    <w:p w14:paraId="486C8D52">
      <w:pPr>
        <w:spacing w:line="360" w:lineRule="auto"/>
        <w:jc w:val="center"/>
        <w:rPr>
          <w:rFonts w:hint="eastAsia" w:ascii="宋体" w:hAnsi="宋体" w:cs="宋体"/>
          <w:sz w:val="28"/>
          <w:szCs w:val="28"/>
        </w:rPr>
      </w:pPr>
      <w:r>
        <w:rPr>
          <w:rFonts w:hint="eastAsia" w:ascii="宋体" w:hAnsi="宋体" w:cs="宋体"/>
          <w:b/>
          <w:spacing w:val="40"/>
          <w:sz w:val="28"/>
          <w:szCs w:val="28"/>
        </w:rPr>
        <w:t>绍兴市上虞区人民政府办公室2025年第一期公款竞争性存放</w:t>
      </w:r>
      <w:r>
        <w:rPr>
          <w:rFonts w:hint="eastAsia" w:ascii="宋体" w:hAnsi="宋体" w:cs="宋体"/>
          <w:sz w:val="28"/>
          <w:szCs w:val="28"/>
        </w:rPr>
        <w:t xml:space="preserve"> </w:t>
      </w:r>
      <w:r>
        <w:rPr>
          <w:rFonts w:hint="eastAsia" w:ascii="宋体" w:hAnsi="宋体" w:cs="宋体"/>
          <w:b/>
          <w:bCs/>
          <w:kern w:val="0"/>
          <w:sz w:val="24"/>
          <w:szCs w:val="24"/>
        </w:rPr>
        <w:t xml:space="preserve"> </w:t>
      </w:r>
    </w:p>
    <w:p w14:paraId="688F2969">
      <w:pPr>
        <w:spacing w:after="100" w:afterAutospacing="1" w:line="600" w:lineRule="exact"/>
        <w:ind w:right="-108"/>
        <w:jc w:val="center"/>
        <w:rPr>
          <w:rFonts w:hint="eastAsia" w:ascii="宋体" w:hAnsi="宋体" w:cs="宋体"/>
          <w:b/>
          <w:spacing w:val="40"/>
          <w:sz w:val="56"/>
          <w:szCs w:val="44"/>
        </w:rPr>
      </w:pPr>
    </w:p>
    <w:p w14:paraId="082D2BB4">
      <w:pPr>
        <w:pStyle w:val="4"/>
        <w:rPr>
          <w:rFonts w:hint="eastAsia"/>
        </w:rPr>
      </w:pPr>
    </w:p>
    <w:p w14:paraId="10CA9D2A">
      <w:pPr>
        <w:spacing w:after="100" w:afterAutospacing="1" w:line="600" w:lineRule="exact"/>
        <w:ind w:right="-108"/>
        <w:jc w:val="center"/>
        <w:rPr>
          <w:rFonts w:hint="eastAsia" w:ascii="宋体" w:hAnsi="宋体" w:cs="宋体"/>
          <w:b/>
          <w:spacing w:val="40"/>
          <w:sz w:val="56"/>
          <w:szCs w:val="44"/>
        </w:rPr>
      </w:pPr>
      <w:r>
        <w:rPr>
          <w:rFonts w:hint="eastAsia" w:ascii="宋体" w:hAnsi="宋体" w:cs="宋体"/>
          <w:b/>
          <w:spacing w:val="40"/>
          <w:sz w:val="56"/>
          <w:szCs w:val="44"/>
        </w:rPr>
        <w:t>资</w:t>
      </w:r>
    </w:p>
    <w:p w14:paraId="36E1B8D3">
      <w:pPr>
        <w:spacing w:after="100" w:afterAutospacing="1" w:line="600" w:lineRule="exact"/>
        <w:ind w:right="-108"/>
        <w:jc w:val="center"/>
        <w:rPr>
          <w:rFonts w:hint="eastAsia" w:ascii="宋体" w:hAnsi="宋体" w:cs="宋体"/>
          <w:b/>
          <w:spacing w:val="40"/>
          <w:sz w:val="56"/>
          <w:szCs w:val="44"/>
        </w:rPr>
      </w:pPr>
      <w:r>
        <w:rPr>
          <w:rFonts w:hint="eastAsia" w:ascii="宋体" w:hAnsi="宋体" w:cs="宋体"/>
          <w:b/>
          <w:spacing w:val="40"/>
          <w:sz w:val="56"/>
          <w:szCs w:val="44"/>
        </w:rPr>
        <w:t>信</w:t>
      </w:r>
    </w:p>
    <w:p w14:paraId="7B93CE38">
      <w:pPr>
        <w:spacing w:after="100" w:afterAutospacing="1" w:line="600" w:lineRule="exact"/>
        <w:ind w:right="-108"/>
        <w:jc w:val="center"/>
        <w:rPr>
          <w:rFonts w:hint="eastAsia" w:ascii="宋体" w:hAnsi="宋体" w:cs="宋体"/>
          <w:b/>
          <w:spacing w:val="40"/>
          <w:sz w:val="56"/>
          <w:szCs w:val="44"/>
        </w:rPr>
      </w:pPr>
      <w:r>
        <w:rPr>
          <w:rFonts w:hint="eastAsia" w:ascii="宋体" w:hAnsi="宋体" w:cs="宋体"/>
          <w:b/>
          <w:spacing w:val="40"/>
          <w:sz w:val="56"/>
          <w:szCs w:val="44"/>
        </w:rPr>
        <w:t>技</w:t>
      </w:r>
    </w:p>
    <w:p w14:paraId="32CBB715">
      <w:pPr>
        <w:spacing w:after="100" w:afterAutospacing="1" w:line="600" w:lineRule="exact"/>
        <w:ind w:right="-108"/>
        <w:jc w:val="center"/>
        <w:rPr>
          <w:rFonts w:hint="eastAsia" w:ascii="宋体" w:hAnsi="宋体" w:cs="宋体"/>
          <w:b/>
          <w:spacing w:val="40"/>
          <w:sz w:val="56"/>
          <w:szCs w:val="44"/>
        </w:rPr>
      </w:pPr>
      <w:r>
        <w:rPr>
          <w:rFonts w:hint="eastAsia" w:ascii="宋体" w:hAnsi="宋体" w:cs="宋体"/>
          <w:b/>
          <w:spacing w:val="40"/>
          <w:sz w:val="56"/>
          <w:szCs w:val="44"/>
        </w:rPr>
        <w:t>术</w:t>
      </w:r>
    </w:p>
    <w:p w14:paraId="2D72ECC2">
      <w:pPr>
        <w:spacing w:after="100" w:afterAutospacing="1" w:line="600" w:lineRule="exact"/>
        <w:ind w:right="-108"/>
        <w:jc w:val="center"/>
        <w:rPr>
          <w:rFonts w:hint="eastAsia" w:ascii="宋体" w:hAnsi="宋体" w:cs="宋体"/>
          <w:b/>
          <w:spacing w:val="40"/>
          <w:sz w:val="56"/>
          <w:szCs w:val="44"/>
        </w:rPr>
      </w:pPr>
      <w:r>
        <w:rPr>
          <w:rFonts w:hint="eastAsia" w:ascii="宋体" w:hAnsi="宋体" w:cs="宋体"/>
          <w:b/>
          <w:spacing w:val="40"/>
          <w:sz w:val="56"/>
          <w:szCs w:val="44"/>
        </w:rPr>
        <w:t>标</w:t>
      </w:r>
    </w:p>
    <w:p w14:paraId="70B10B4D">
      <w:pPr>
        <w:spacing w:after="100" w:afterAutospacing="1" w:line="600" w:lineRule="exact"/>
        <w:ind w:right="-108"/>
        <w:jc w:val="center"/>
        <w:rPr>
          <w:rFonts w:hint="eastAsia" w:ascii="宋体" w:hAnsi="宋体" w:cs="宋体"/>
          <w:b/>
          <w:spacing w:val="40"/>
          <w:sz w:val="56"/>
          <w:szCs w:val="44"/>
        </w:rPr>
      </w:pPr>
    </w:p>
    <w:p w14:paraId="2A0FDAEC">
      <w:pPr>
        <w:pStyle w:val="4"/>
        <w:rPr>
          <w:rFonts w:hint="eastAsia"/>
        </w:rPr>
      </w:pPr>
    </w:p>
    <w:p w14:paraId="29034EF5">
      <w:pPr>
        <w:spacing w:line="600" w:lineRule="exact"/>
        <w:ind w:right="532" w:firstLine="560" w:firstLineChars="200"/>
        <w:rPr>
          <w:rFonts w:hint="eastAsia" w:ascii="宋体" w:hAnsi="宋体" w:cs="宋体"/>
          <w:sz w:val="28"/>
          <w:szCs w:val="28"/>
        </w:rPr>
      </w:pPr>
      <w:r>
        <w:rPr>
          <w:rFonts w:hint="eastAsia" w:ascii="宋体" w:hAnsi="宋体" w:cs="宋体"/>
          <w:sz w:val="28"/>
          <w:szCs w:val="28"/>
        </w:rPr>
        <w:t>单位全称（公章）：</w:t>
      </w:r>
    </w:p>
    <w:p w14:paraId="24CF90E2">
      <w:pPr>
        <w:spacing w:line="600" w:lineRule="exact"/>
        <w:ind w:right="532" w:firstLine="560" w:firstLineChars="200"/>
        <w:rPr>
          <w:rFonts w:hint="eastAsia" w:ascii="宋体" w:hAnsi="宋体" w:cs="宋体"/>
          <w:sz w:val="28"/>
          <w:szCs w:val="28"/>
        </w:rPr>
      </w:pPr>
      <w:r>
        <w:rPr>
          <w:rFonts w:hint="eastAsia" w:ascii="宋体" w:hAnsi="宋体" w:cs="宋体"/>
          <w:sz w:val="28"/>
          <w:szCs w:val="28"/>
        </w:rPr>
        <w:t>地    址：</w:t>
      </w:r>
    </w:p>
    <w:p w14:paraId="13A7F3FA">
      <w:pPr>
        <w:spacing w:line="600" w:lineRule="exact"/>
        <w:ind w:right="532" w:firstLine="560" w:firstLineChars="200"/>
        <w:rPr>
          <w:rFonts w:hint="eastAsia" w:ascii="宋体" w:hAnsi="宋体" w:cs="宋体"/>
          <w:sz w:val="28"/>
          <w:szCs w:val="28"/>
        </w:rPr>
      </w:pPr>
      <w:r>
        <w:rPr>
          <w:rFonts w:hint="eastAsia" w:ascii="宋体" w:hAnsi="宋体" w:cs="宋体"/>
          <w:sz w:val="28"/>
          <w:szCs w:val="28"/>
        </w:rPr>
        <w:t>时    间：</w:t>
      </w:r>
    </w:p>
    <w:p w14:paraId="215055E3">
      <w:pPr>
        <w:spacing w:line="600" w:lineRule="exact"/>
        <w:ind w:right="532" w:firstLine="560" w:firstLineChars="200"/>
        <w:rPr>
          <w:rFonts w:hint="eastAsia" w:ascii="宋体" w:hAnsi="宋体" w:cs="宋体"/>
          <w:sz w:val="28"/>
          <w:szCs w:val="28"/>
        </w:rPr>
      </w:pPr>
    </w:p>
    <w:p w14:paraId="3F029DF8">
      <w:pPr>
        <w:spacing w:line="600" w:lineRule="exact"/>
        <w:ind w:right="532" w:firstLine="560" w:firstLineChars="200"/>
        <w:rPr>
          <w:rFonts w:hint="eastAsia" w:ascii="宋体" w:hAnsi="宋体" w:cs="宋体"/>
          <w:sz w:val="28"/>
          <w:szCs w:val="28"/>
        </w:rPr>
      </w:pPr>
    </w:p>
    <w:p w14:paraId="0D508610">
      <w:pPr>
        <w:spacing w:line="600" w:lineRule="exact"/>
        <w:ind w:right="532" w:firstLine="560" w:firstLineChars="200"/>
        <w:rPr>
          <w:rFonts w:hint="eastAsia" w:ascii="宋体" w:hAnsi="宋体" w:cs="宋体"/>
          <w:sz w:val="28"/>
          <w:szCs w:val="28"/>
        </w:rPr>
      </w:pPr>
    </w:p>
    <w:p w14:paraId="33E101D9">
      <w:pPr>
        <w:adjustRightInd w:val="0"/>
        <w:snapToGrid w:val="0"/>
        <w:spacing w:beforeLines="100" w:line="480" w:lineRule="atLeast"/>
        <w:jc w:val="center"/>
        <w:rPr>
          <w:rFonts w:hint="eastAsia" w:ascii="宋体" w:hAnsi="宋体" w:cs="宋体"/>
          <w:b/>
          <w:sz w:val="36"/>
          <w:szCs w:val="36"/>
        </w:rPr>
      </w:pPr>
    </w:p>
    <w:p w14:paraId="07AFEB24">
      <w:pPr>
        <w:adjustRightInd w:val="0"/>
        <w:snapToGrid w:val="0"/>
        <w:spacing w:beforeLines="100" w:line="480" w:lineRule="atLeast"/>
        <w:jc w:val="center"/>
        <w:rPr>
          <w:rFonts w:hint="eastAsia" w:ascii="宋体" w:hAnsi="宋体" w:cs="宋体"/>
          <w:b/>
          <w:sz w:val="36"/>
          <w:szCs w:val="36"/>
        </w:rPr>
      </w:pPr>
      <w:r>
        <w:rPr>
          <w:rFonts w:hint="eastAsia" w:ascii="宋体" w:hAnsi="宋体" w:cs="宋体"/>
          <w:b/>
          <w:sz w:val="36"/>
          <w:szCs w:val="36"/>
        </w:rPr>
        <w:t>目   录</w:t>
      </w:r>
    </w:p>
    <w:p w14:paraId="14744245">
      <w:pPr>
        <w:adjustRightInd w:val="0"/>
        <w:snapToGrid w:val="0"/>
        <w:spacing w:beforeLines="100" w:line="480" w:lineRule="atLeast"/>
        <w:rPr>
          <w:rFonts w:hint="eastAsia" w:ascii="宋体" w:hAnsi="宋体" w:cs="宋体"/>
          <w:b/>
          <w:sz w:val="36"/>
          <w:szCs w:val="36"/>
        </w:rPr>
      </w:pPr>
    </w:p>
    <w:p w14:paraId="27B21BAE">
      <w:pPr>
        <w:snapToGrid w:val="0"/>
        <w:spacing w:before="50" w:after="50" w:line="360" w:lineRule="auto"/>
        <w:rPr>
          <w:rFonts w:hint="eastAsia" w:ascii="宋体" w:hAnsi="宋体" w:cs="宋体"/>
          <w:sz w:val="24"/>
          <w:szCs w:val="24"/>
        </w:rPr>
      </w:pPr>
      <w:r>
        <w:rPr>
          <w:rFonts w:hint="eastAsia" w:ascii="宋体" w:hAnsi="宋体" w:cs="宋体"/>
          <w:sz w:val="24"/>
          <w:szCs w:val="24"/>
        </w:rPr>
        <w:t>（1）投标声明书（格式见附件）；</w:t>
      </w:r>
    </w:p>
    <w:p w14:paraId="110473D9">
      <w:pPr>
        <w:snapToGrid w:val="0"/>
        <w:spacing w:before="50" w:after="50" w:line="360" w:lineRule="auto"/>
        <w:rPr>
          <w:rFonts w:hint="eastAsia" w:ascii="宋体" w:hAnsi="宋体" w:cs="宋体"/>
          <w:sz w:val="24"/>
          <w:szCs w:val="24"/>
        </w:rPr>
      </w:pPr>
      <w:r>
        <w:rPr>
          <w:rFonts w:hint="eastAsia" w:ascii="宋体" w:hAnsi="宋体" w:cs="宋体"/>
          <w:sz w:val="24"/>
          <w:szCs w:val="24"/>
        </w:rPr>
        <w:t>（2）投标方情况简介；</w:t>
      </w:r>
    </w:p>
    <w:p w14:paraId="74DDD605">
      <w:pPr>
        <w:snapToGrid w:val="0"/>
        <w:spacing w:before="50" w:after="50" w:line="360" w:lineRule="auto"/>
        <w:rPr>
          <w:rFonts w:hint="eastAsia" w:ascii="宋体" w:hAnsi="宋体" w:cs="宋体"/>
          <w:sz w:val="24"/>
          <w:szCs w:val="24"/>
        </w:rPr>
      </w:pPr>
      <w:r>
        <w:rPr>
          <w:rFonts w:hint="eastAsia" w:ascii="宋体" w:hAnsi="宋体" w:cs="宋体"/>
          <w:sz w:val="24"/>
          <w:szCs w:val="24"/>
        </w:rPr>
        <w:t>（3）廉政承诺书（格式见附件）；</w:t>
      </w:r>
    </w:p>
    <w:p w14:paraId="38D07A11">
      <w:pPr>
        <w:snapToGrid w:val="0"/>
        <w:spacing w:before="50" w:after="50" w:line="360" w:lineRule="auto"/>
        <w:rPr>
          <w:rFonts w:hint="eastAsia" w:ascii="宋体" w:hAnsi="宋体" w:cs="宋体"/>
          <w:sz w:val="24"/>
          <w:szCs w:val="24"/>
        </w:rPr>
      </w:pPr>
      <w:r>
        <w:rPr>
          <w:rFonts w:hint="eastAsia" w:ascii="宋体" w:hAnsi="宋体" w:cs="宋体"/>
          <w:sz w:val="24"/>
          <w:szCs w:val="24"/>
        </w:rPr>
        <w:t>（4）评标办法中需要提供的材料；</w:t>
      </w:r>
    </w:p>
    <w:p w14:paraId="7A4730FC">
      <w:pPr>
        <w:snapToGrid w:val="0"/>
        <w:spacing w:before="50" w:after="50" w:line="360" w:lineRule="auto"/>
        <w:rPr>
          <w:rFonts w:hint="eastAsia" w:ascii="宋体" w:hAnsi="宋体" w:cs="宋体"/>
          <w:sz w:val="24"/>
          <w:szCs w:val="24"/>
        </w:rPr>
      </w:pPr>
      <w:r>
        <w:rPr>
          <w:rFonts w:hint="eastAsia" w:ascii="宋体" w:hAnsi="宋体" w:cs="宋体"/>
          <w:sz w:val="24"/>
          <w:szCs w:val="24"/>
        </w:rPr>
        <w:t>（5）投标人需要说明的其他事项（格式自拟）。</w:t>
      </w:r>
    </w:p>
    <w:p w14:paraId="0A789D97">
      <w:pPr>
        <w:snapToGrid w:val="0"/>
        <w:spacing w:before="50" w:after="50" w:line="360" w:lineRule="auto"/>
        <w:rPr>
          <w:rFonts w:hint="eastAsia" w:ascii="宋体" w:hAnsi="宋体" w:cs="宋体"/>
          <w:sz w:val="24"/>
          <w:szCs w:val="24"/>
        </w:rPr>
      </w:pPr>
    </w:p>
    <w:p w14:paraId="6BF8FF18">
      <w:pPr>
        <w:snapToGrid w:val="0"/>
        <w:spacing w:before="50" w:after="50" w:line="360" w:lineRule="auto"/>
        <w:rPr>
          <w:rFonts w:hint="eastAsia" w:ascii="宋体" w:hAnsi="宋体" w:cs="宋体"/>
          <w:sz w:val="24"/>
          <w:szCs w:val="24"/>
        </w:rPr>
      </w:pPr>
      <w:r>
        <w:rPr>
          <w:rFonts w:hint="eastAsia" w:ascii="宋体" w:hAnsi="宋体" w:cs="宋体"/>
          <w:sz w:val="24"/>
          <w:szCs w:val="24"/>
        </w:rPr>
        <w:t>（注：扫描件应加盖投标人电子公章）</w:t>
      </w:r>
    </w:p>
    <w:p w14:paraId="5FCF905F">
      <w:pPr>
        <w:snapToGrid w:val="0"/>
        <w:spacing w:before="50" w:after="50" w:line="360" w:lineRule="auto"/>
        <w:rPr>
          <w:rFonts w:hint="eastAsia" w:ascii="宋体" w:hAnsi="宋体" w:cs="宋体"/>
          <w:b/>
          <w:szCs w:val="21"/>
        </w:rPr>
      </w:pPr>
    </w:p>
    <w:p w14:paraId="45C97122">
      <w:pPr>
        <w:snapToGrid w:val="0"/>
        <w:spacing w:beforeLines="50" w:after="50"/>
        <w:jc w:val="center"/>
        <w:rPr>
          <w:rFonts w:hint="eastAsia" w:ascii="宋体" w:hAnsi="宋体" w:cs="宋体"/>
          <w:b/>
          <w:sz w:val="30"/>
          <w:szCs w:val="24"/>
        </w:rPr>
      </w:pPr>
    </w:p>
    <w:p w14:paraId="62145C32">
      <w:pPr>
        <w:snapToGrid w:val="0"/>
        <w:spacing w:beforeLines="50" w:after="50"/>
        <w:jc w:val="center"/>
        <w:rPr>
          <w:rFonts w:hint="eastAsia" w:ascii="宋体" w:hAnsi="宋体" w:cs="宋体"/>
          <w:b/>
          <w:sz w:val="30"/>
          <w:szCs w:val="24"/>
        </w:rPr>
      </w:pPr>
    </w:p>
    <w:p w14:paraId="0ACA5179">
      <w:pPr>
        <w:snapToGrid w:val="0"/>
        <w:spacing w:beforeLines="50" w:after="50"/>
        <w:jc w:val="center"/>
        <w:rPr>
          <w:rFonts w:hint="eastAsia" w:ascii="宋体" w:hAnsi="宋体" w:cs="宋体"/>
          <w:b/>
          <w:sz w:val="30"/>
          <w:szCs w:val="24"/>
        </w:rPr>
      </w:pPr>
    </w:p>
    <w:p w14:paraId="0A71976D">
      <w:pPr>
        <w:snapToGrid w:val="0"/>
        <w:spacing w:beforeLines="50" w:after="50"/>
        <w:jc w:val="center"/>
        <w:rPr>
          <w:rFonts w:hint="eastAsia" w:ascii="宋体" w:hAnsi="宋体" w:cs="宋体"/>
          <w:b/>
          <w:sz w:val="30"/>
          <w:szCs w:val="24"/>
        </w:rPr>
      </w:pPr>
    </w:p>
    <w:p w14:paraId="700E36EE">
      <w:pPr>
        <w:snapToGrid w:val="0"/>
        <w:spacing w:beforeLines="50" w:after="50"/>
        <w:jc w:val="center"/>
        <w:rPr>
          <w:rFonts w:hint="eastAsia" w:ascii="宋体" w:hAnsi="宋体" w:cs="宋体"/>
          <w:b/>
          <w:sz w:val="30"/>
          <w:szCs w:val="24"/>
        </w:rPr>
      </w:pPr>
    </w:p>
    <w:p w14:paraId="02C8EAD1">
      <w:pPr>
        <w:snapToGrid w:val="0"/>
        <w:spacing w:beforeLines="50" w:after="50"/>
        <w:jc w:val="center"/>
        <w:rPr>
          <w:rFonts w:hint="eastAsia" w:ascii="宋体" w:hAnsi="宋体" w:cs="宋体"/>
          <w:b/>
          <w:sz w:val="30"/>
          <w:szCs w:val="24"/>
        </w:rPr>
      </w:pPr>
    </w:p>
    <w:p w14:paraId="3D469944">
      <w:pPr>
        <w:snapToGrid w:val="0"/>
        <w:spacing w:beforeLines="50" w:after="50"/>
        <w:jc w:val="center"/>
        <w:rPr>
          <w:rFonts w:hint="eastAsia" w:ascii="宋体" w:hAnsi="宋体" w:cs="宋体"/>
          <w:b/>
          <w:sz w:val="30"/>
          <w:szCs w:val="24"/>
        </w:rPr>
      </w:pPr>
    </w:p>
    <w:p w14:paraId="151417C7">
      <w:pPr>
        <w:snapToGrid w:val="0"/>
        <w:spacing w:beforeLines="50" w:after="50"/>
        <w:jc w:val="center"/>
        <w:rPr>
          <w:rFonts w:hint="eastAsia" w:ascii="宋体" w:hAnsi="宋体" w:cs="宋体"/>
          <w:b/>
          <w:sz w:val="30"/>
          <w:szCs w:val="24"/>
        </w:rPr>
      </w:pPr>
    </w:p>
    <w:p w14:paraId="73951B7A">
      <w:pPr>
        <w:snapToGrid w:val="0"/>
        <w:spacing w:beforeLines="50" w:after="50"/>
        <w:jc w:val="center"/>
        <w:rPr>
          <w:rFonts w:hint="eastAsia" w:ascii="宋体" w:hAnsi="宋体" w:cs="宋体"/>
          <w:b/>
          <w:sz w:val="30"/>
          <w:szCs w:val="24"/>
        </w:rPr>
      </w:pPr>
    </w:p>
    <w:p w14:paraId="628FC28B">
      <w:pPr>
        <w:snapToGrid w:val="0"/>
        <w:spacing w:beforeLines="50" w:after="50"/>
        <w:jc w:val="center"/>
        <w:rPr>
          <w:rFonts w:hint="eastAsia" w:ascii="宋体" w:hAnsi="宋体" w:cs="宋体"/>
          <w:b/>
          <w:sz w:val="30"/>
          <w:szCs w:val="24"/>
        </w:rPr>
      </w:pPr>
    </w:p>
    <w:p w14:paraId="54606090">
      <w:pPr>
        <w:snapToGrid w:val="0"/>
        <w:spacing w:beforeLines="50" w:after="50"/>
        <w:jc w:val="center"/>
        <w:rPr>
          <w:rFonts w:hint="eastAsia" w:ascii="宋体" w:hAnsi="宋体" w:cs="宋体"/>
          <w:b/>
          <w:sz w:val="30"/>
          <w:szCs w:val="24"/>
        </w:rPr>
      </w:pPr>
    </w:p>
    <w:p w14:paraId="34E9A776">
      <w:pPr>
        <w:snapToGrid w:val="0"/>
        <w:spacing w:beforeLines="50" w:after="50"/>
        <w:jc w:val="center"/>
        <w:rPr>
          <w:rFonts w:hint="eastAsia" w:ascii="宋体" w:hAnsi="宋体" w:cs="宋体"/>
          <w:b/>
          <w:sz w:val="30"/>
          <w:szCs w:val="24"/>
        </w:rPr>
      </w:pPr>
    </w:p>
    <w:p w14:paraId="395F20B9">
      <w:pPr>
        <w:snapToGrid w:val="0"/>
        <w:spacing w:beforeLines="50" w:after="50"/>
        <w:jc w:val="center"/>
        <w:rPr>
          <w:rFonts w:hint="eastAsia" w:ascii="宋体" w:hAnsi="宋体" w:cs="宋体"/>
          <w:b/>
          <w:sz w:val="30"/>
          <w:szCs w:val="24"/>
        </w:rPr>
      </w:pPr>
    </w:p>
    <w:p w14:paraId="6F131C85">
      <w:pPr>
        <w:snapToGrid w:val="0"/>
        <w:spacing w:beforeLines="50" w:after="50"/>
        <w:jc w:val="center"/>
        <w:rPr>
          <w:rFonts w:hint="eastAsia" w:ascii="宋体" w:hAnsi="宋体" w:cs="宋体"/>
          <w:b/>
          <w:sz w:val="30"/>
          <w:szCs w:val="24"/>
        </w:rPr>
      </w:pPr>
    </w:p>
    <w:p w14:paraId="7B5EA849">
      <w:pPr>
        <w:snapToGrid w:val="0"/>
        <w:spacing w:beforeLines="50" w:after="50"/>
        <w:jc w:val="center"/>
        <w:rPr>
          <w:rFonts w:hint="eastAsia" w:ascii="宋体" w:hAnsi="宋体" w:cs="宋体"/>
          <w:b/>
          <w:sz w:val="30"/>
          <w:szCs w:val="24"/>
        </w:rPr>
      </w:pPr>
    </w:p>
    <w:p w14:paraId="70868FFC">
      <w:pPr>
        <w:snapToGrid w:val="0"/>
        <w:spacing w:beforeLines="50" w:after="50"/>
        <w:jc w:val="center"/>
        <w:rPr>
          <w:rFonts w:hint="eastAsia" w:ascii="宋体" w:hAnsi="宋体" w:cs="宋体"/>
          <w:b/>
          <w:sz w:val="30"/>
          <w:szCs w:val="24"/>
        </w:rPr>
      </w:pPr>
      <w:r>
        <w:rPr>
          <w:rFonts w:hint="eastAsia" w:ascii="宋体" w:hAnsi="宋体" w:cs="宋体"/>
          <w:b/>
          <w:sz w:val="30"/>
          <w:szCs w:val="24"/>
        </w:rPr>
        <w:t>投标声明书</w:t>
      </w:r>
    </w:p>
    <w:p w14:paraId="198E29B6">
      <w:pPr>
        <w:snapToGrid w:val="0"/>
        <w:spacing w:beforeLines="50" w:after="50"/>
        <w:jc w:val="center"/>
        <w:rPr>
          <w:rFonts w:hint="eastAsia" w:ascii="宋体" w:hAnsi="宋体" w:cs="宋体"/>
          <w:b/>
          <w:sz w:val="24"/>
        </w:rPr>
      </w:pPr>
    </w:p>
    <w:p w14:paraId="695E3B45">
      <w:pPr>
        <w:snapToGrid w:val="0"/>
        <w:spacing w:beforeLines="50" w:after="50" w:line="360" w:lineRule="exact"/>
        <w:rPr>
          <w:rFonts w:hint="eastAsia" w:ascii="宋体" w:hAnsi="宋体" w:cs="宋体"/>
          <w:sz w:val="24"/>
          <w:szCs w:val="24"/>
        </w:rPr>
      </w:pPr>
      <w:r>
        <w:rPr>
          <w:rFonts w:hint="eastAsia" w:ascii="宋体" w:hAnsi="宋体" w:cs="宋体"/>
          <w:sz w:val="24"/>
          <w:szCs w:val="24"/>
        </w:rPr>
        <w:t xml:space="preserve">致：绍兴市上虞区人民政府办公室： </w:t>
      </w:r>
    </w:p>
    <w:p w14:paraId="4A453A19">
      <w:pPr>
        <w:snapToGrid w:val="0"/>
        <w:spacing w:beforeLines="50" w:after="50" w:line="360" w:lineRule="exact"/>
        <w:rPr>
          <w:rFonts w:hint="eastAsia" w:ascii="宋体" w:hAnsi="宋体" w:cs="宋体"/>
          <w:sz w:val="24"/>
          <w:szCs w:val="24"/>
        </w:rPr>
      </w:pPr>
      <w:r>
        <w:rPr>
          <w:rFonts w:hint="eastAsia" w:ascii="宋体" w:hAnsi="宋体" w:cs="宋体"/>
          <w:sz w:val="24"/>
          <w:szCs w:val="24"/>
        </w:rPr>
        <w:t xml:space="preserve">    浙江宇康工程管理咨询有限公司：</w:t>
      </w:r>
    </w:p>
    <w:p w14:paraId="054188EB">
      <w:pPr>
        <w:snapToGrid w:val="0"/>
        <w:spacing w:beforeLines="50" w:after="50" w:line="360" w:lineRule="auto"/>
        <w:ind w:firstLine="720" w:firstLineChars="300"/>
        <w:rPr>
          <w:rFonts w:hint="eastAsia" w:ascii="宋体" w:hAnsi="宋体" w:cs="宋体"/>
          <w:sz w:val="24"/>
        </w:rPr>
      </w:pPr>
      <w:r>
        <w:rPr>
          <w:rFonts w:hint="eastAsia" w:ascii="宋体" w:hAnsi="宋体" w:cs="宋体"/>
          <w:sz w:val="24"/>
          <w:szCs w:val="24"/>
          <w:u w:val="single"/>
        </w:rPr>
        <w:t xml:space="preserve">                      </w:t>
      </w:r>
      <w:r>
        <w:rPr>
          <w:rFonts w:hint="eastAsia" w:ascii="宋体" w:hAnsi="宋体" w:cs="宋体"/>
          <w:sz w:val="24"/>
          <w:szCs w:val="24"/>
        </w:rPr>
        <w:t>（投标人名称）系中华人民共和国合法企业，经营地址</w:t>
      </w:r>
      <w:r>
        <w:rPr>
          <w:rFonts w:hint="eastAsia" w:ascii="宋体" w:hAnsi="宋体" w:cs="宋体"/>
          <w:sz w:val="24"/>
          <w:szCs w:val="24"/>
          <w:u w:val="single"/>
        </w:rPr>
        <w:t xml:space="preserve">                          </w:t>
      </w:r>
      <w:r>
        <w:rPr>
          <w:rFonts w:hint="eastAsia" w:ascii="宋体" w:hAnsi="宋体" w:cs="宋体"/>
          <w:sz w:val="24"/>
          <w:szCs w:val="24"/>
        </w:rPr>
        <w:t>。</w:t>
      </w:r>
    </w:p>
    <w:p w14:paraId="1BB9FB57">
      <w:pPr>
        <w:snapToGrid w:val="0"/>
        <w:spacing w:beforeLines="50" w:after="50" w:line="360" w:lineRule="auto"/>
        <w:ind w:firstLine="645"/>
        <w:rPr>
          <w:rFonts w:hint="eastAsia" w:ascii="宋体" w:hAnsi="宋体" w:cs="宋体"/>
          <w:sz w:val="24"/>
        </w:rPr>
      </w:pPr>
      <w:r>
        <w:rPr>
          <w:rFonts w:hint="eastAsia" w:ascii="宋体" w:hAnsi="宋体" w:cs="宋体"/>
          <w:sz w:val="24"/>
          <w:szCs w:val="24"/>
        </w:rPr>
        <w:t>我</w:t>
      </w:r>
      <w:r>
        <w:rPr>
          <w:rFonts w:hint="eastAsia" w:ascii="宋体" w:hAnsi="宋体" w:cs="宋体"/>
          <w:sz w:val="24"/>
          <w:szCs w:val="24"/>
          <w:u w:val="single"/>
        </w:rPr>
        <w:t xml:space="preserve">           </w:t>
      </w:r>
      <w:r>
        <w:rPr>
          <w:rFonts w:hint="eastAsia" w:ascii="宋体" w:hAnsi="宋体" w:cs="宋体"/>
          <w:sz w:val="24"/>
          <w:szCs w:val="24"/>
        </w:rPr>
        <w:t>（姓名）系</w:t>
      </w:r>
      <w:r>
        <w:rPr>
          <w:rFonts w:hint="eastAsia" w:ascii="宋体" w:hAnsi="宋体" w:cs="宋体"/>
          <w:sz w:val="24"/>
          <w:szCs w:val="24"/>
          <w:u w:val="single"/>
        </w:rPr>
        <w:t xml:space="preserve">               </w:t>
      </w:r>
      <w:r>
        <w:rPr>
          <w:rFonts w:hint="eastAsia" w:ascii="宋体" w:hAnsi="宋体" w:cs="宋体"/>
          <w:sz w:val="24"/>
          <w:szCs w:val="24"/>
        </w:rPr>
        <w:t>（投标人名称）的法定代表人（负责人），我方愿意参加贵方组织的</w:t>
      </w:r>
      <w:r>
        <w:rPr>
          <w:rFonts w:hint="eastAsia" w:ascii="宋体" w:hAnsi="宋体" w:cs="宋体"/>
          <w:sz w:val="24"/>
          <w:szCs w:val="24"/>
          <w:u w:val="single"/>
        </w:rPr>
        <w:t xml:space="preserve">                </w:t>
      </w:r>
      <w:r>
        <w:rPr>
          <w:rFonts w:hint="eastAsia" w:ascii="宋体" w:hAnsi="宋体" w:cs="宋体"/>
          <w:sz w:val="24"/>
          <w:szCs w:val="24"/>
        </w:rPr>
        <w:t>项目的投标，为便于贵方公正、择优地确定中标人及其服务，我方就本次投标有关事项郑重声明如下：</w:t>
      </w:r>
    </w:p>
    <w:p w14:paraId="2539FFA8">
      <w:pPr>
        <w:snapToGrid w:val="0"/>
        <w:spacing w:line="360" w:lineRule="auto"/>
        <w:ind w:firstLine="480" w:firstLineChars="200"/>
        <w:rPr>
          <w:rFonts w:hint="eastAsia" w:ascii="宋体" w:hAnsi="宋体" w:cs="宋体"/>
          <w:sz w:val="24"/>
        </w:rPr>
      </w:pPr>
      <w:r>
        <w:rPr>
          <w:rFonts w:hint="eastAsia" w:ascii="宋体" w:hAnsi="宋体" w:cs="宋体"/>
          <w:sz w:val="24"/>
          <w:szCs w:val="24"/>
        </w:rPr>
        <w:t>1.我方向贵方提交的所有投标文件、资料都是准确的和真实的。</w:t>
      </w:r>
    </w:p>
    <w:p w14:paraId="29F37221">
      <w:pPr>
        <w:snapToGrid w:val="0"/>
        <w:spacing w:beforeLines="50" w:line="360" w:lineRule="auto"/>
        <w:ind w:firstLine="480" w:firstLineChars="200"/>
        <w:rPr>
          <w:rFonts w:hint="eastAsia" w:ascii="宋体" w:hAnsi="宋体" w:cs="宋体"/>
          <w:sz w:val="24"/>
        </w:rPr>
      </w:pPr>
      <w:r>
        <w:rPr>
          <w:rFonts w:hint="eastAsia" w:ascii="宋体" w:hAnsi="宋体" w:cs="宋体"/>
          <w:sz w:val="24"/>
          <w:szCs w:val="24"/>
        </w:rPr>
        <w:t>2.我方不是招标人的附属机构；在获知本项目采购信息后，与招标人聘请的为此项目提供咨询服务的公司及其附属机构没有任何联系。</w:t>
      </w:r>
    </w:p>
    <w:p w14:paraId="6DCCEA31">
      <w:pPr>
        <w:snapToGrid w:val="0"/>
        <w:spacing w:line="360" w:lineRule="auto"/>
        <w:ind w:firstLine="464" w:firstLineChars="200"/>
        <w:rPr>
          <w:rFonts w:hint="eastAsia" w:ascii="宋体" w:hAnsi="宋体" w:cs="宋体"/>
          <w:spacing w:val="-4"/>
          <w:sz w:val="24"/>
        </w:rPr>
      </w:pPr>
      <w:r>
        <w:rPr>
          <w:rFonts w:hint="eastAsia" w:ascii="宋体" w:hAnsi="宋体" w:cs="宋体"/>
          <w:spacing w:val="-4"/>
          <w:sz w:val="24"/>
        </w:rPr>
        <w:t>3.我方及由本人担任法定代表人（负责人）的其他机构最近三年内被通报或者被处罚的违法行为有：</w:t>
      </w:r>
    </w:p>
    <w:p w14:paraId="38E91711">
      <w:pPr>
        <w:snapToGrid w:val="0"/>
        <w:spacing w:beforeLines="50" w:line="360" w:lineRule="auto"/>
        <w:ind w:firstLine="480" w:firstLineChars="200"/>
        <w:rPr>
          <w:rFonts w:hint="eastAsia" w:ascii="宋体" w:hAnsi="宋体" w:cs="宋体"/>
          <w:sz w:val="24"/>
          <w:u w:val="single"/>
        </w:rPr>
      </w:pPr>
      <w:r>
        <w:rPr>
          <w:rFonts w:hint="eastAsia" w:ascii="宋体" w:hAnsi="宋体" w:cs="宋体"/>
          <w:sz w:val="24"/>
          <w:szCs w:val="24"/>
          <w:u w:val="single"/>
        </w:rPr>
        <w:t>　　　　　　　　　　　　　　　　　　　　　　　　　　　</w:t>
      </w:r>
    </w:p>
    <w:p w14:paraId="585AC836">
      <w:pPr>
        <w:snapToGrid w:val="0"/>
        <w:spacing w:beforeLines="50" w:line="360" w:lineRule="auto"/>
        <w:ind w:firstLine="480" w:firstLineChars="200"/>
        <w:rPr>
          <w:rFonts w:hint="eastAsia" w:ascii="宋体" w:hAnsi="宋体" w:cs="宋体"/>
          <w:sz w:val="24"/>
          <w:u w:val="single"/>
        </w:rPr>
      </w:pPr>
      <w:r>
        <w:rPr>
          <w:rFonts w:hint="eastAsia" w:ascii="宋体" w:hAnsi="宋体" w:cs="宋体"/>
          <w:sz w:val="24"/>
          <w:szCs w:val="24"/>
          <w:u w:val="single"/>
        </w:rPr>
        <w:t>　　　　　　　　　　　　　　　　　　　　　　　　　　　</w:t>
      </w:r>
    </w:p>
    <w:p w14:paraId="6C2C9DDA">
      <w:pPr>
        <w:snapToGrid w:val="0"/>
        <w:spacing w:line="360" w:lineRule="auto"/>
        <w:ind w:firstLine="480" w:firstLineChars="200"/>
        <w:rPr>
          <w:rFonts w:hint="eastAsia" w:ascii="宋体" w:hAnsi="宋体" w:cs="宋体"/>
          <w:sz w:val="24"/>
        </w:rPr>
      </w:pPr>
      <w:r>
        <w:rPr>
          <w:rFonts w:hint="eastAsia" w:ascii="宋体" w:hAnsi="宋体" w:cs="宋体"/>
          <w:sz w:val="24"/>
          <w:szCs w:val="24"/>
        </w:rPr>
        <w:t>4.以上事项如有虚假或隐瞒，我方愿意承担一切后果，并不再寻求任何旨在减轻或免除法律责任的辩解。</w:t>
      </w:r>
    </w:p>
    <w:p w14:paraId="3C5C3D0D">
      <w:pPr>
        <w:tabs>
          <w:tab w:val="left" w:pos="939"/>
        </w:tabs>
        <w:snapToGrid w:val="0"/>
        <w:spacing w:line="360" w:lineRule="auto"/>
        <w:ind w:left="773" w:leftChars="150" w:hanging="458" w:hangingChars="191"/>
        <w:rPr>
          <w:rFonts w:hint="eastAsia" w:ascii="宋体" w:hAnsi="宋体" w:cs="宋体"/>
          <w:sz w:val="24"/>
          <w:szCs w:val="24"/>
        </w:rPr>
      </w:pPr>
    </w:p>
    <w:p w14:paraId="775EF86F">
      <w:pPr>
        <w:snapToGrid w:val="0"/>
        <w:spacing w:beforeLines="50" w:line="360" w:lineRule="auto"/>
        <w:ind w:firstLine="200"/>
        <w:rPr>
          <w:rFonts w:hint="eastAsia" w:ascii="宋体" w:hAnsi="宋体" w:cs="宋体"/>
          <w:sz w:val="24"/>
        </w:rPr>
      </w:pPr>
    </w:p>
    <w:p w14:paraId="3A834011">
      <w:pPr>
        <w:snapToGrid w:val="0"/>
        <w:spacing w:beforeLines="50" w:line="360" w:lineRule="auto"/>
        <w:ind w:firstLine="200"/>
        <w:rPr>
          <w:rFonts w:hint="eastAsia" w:ascii="宋体" w:hAnsi="宋体" w:cs="宋体"/>
          <w:sz w:val="24"/>
          <w:u w:val="single"/>
        </w:rPr>
      </w:pPr>
      <w:r>
        <w:rPr>
          <w:rFonts w:hint="eastAsia" w:ascii="宋体" w:hAnsi="宋体" w:cs="宋体"/>
          <w:sz w:val="24"/>
          <w:szCs w:val="24"/>
        </w:rPr>
        <w:t>法定代表人（负责人）签字或电子盖章：</w:t>
      </w:r>
      <w:r>
        <w:rPr>
          <w:rFonts w:hint="eastAsia" w:ascii="宋体" w:hAnsi="宋体" w:cs="宋体"/>
          <w:sz w:val="24"/>
          <w:szCs w:val="24"/>
          <w:u w:val="single"/>
        </w:rPr>
        <w:t xml:space="preserve">             </w:t>
      </w:r>
    </w:p>
    <w:p w14:paraId="1D0014C2">
      <w:pPr>
        <w:snapToGrid w:val="0"/>
        <w:spacing w:beforeLines="50" w:after="50" w:line="360" w:lineRule="auto"/>
        <w:ind w:firstLine="240" w:firstLineChars="100"/>
        <w:rPr>
          <w:rFonts w:hint="eastAsia" w:ascii="宋体" w:hAnsi="宋体" w:cs="宋体"/>
          <w:sz w:val="24"/>
        </w:rPr>
      </w:pPr>
      <w:r>
        <w:rPr>
          <w:rFonts w:hint="eastAsia" w:ascii="宋体" w:hAnsi="宋体" w:cs="宋体"/>
          <w:sz w:val="24"/>
          <w:szCs w:val="24"/>
        </w:rPr>
        <w:t>投标人电子公章：</w:t>
      </w:r>
      <w:r>
        <w:rPr>
          <w:rFonts w:hint="eastAsia" w:ascii="宋体" w:hAnsi="宋体" w:cs="宋体"/>
          <w:sz w:val="24"/>
          <w:szCs w:val="24"/>
          <w:u w:val="single"/>
        </w:rPr>
        <w:t xml:space="preserve">               </w:t>
      </w:r>
      <w:r>
        <w:rPr>
          <w:rFonts w:hint="eastAsia" w:ascii="宋体" w:hAnsi="宋体" w:cs="宋体"/>
          <w:sz w:val="24"/>
          <w:szCs w:val="24"/>
        </w:rPr>
        <w:t xml:space="preserve">                      年    月    日</w:t>
      </w:r>
    </w:p>
    <w:p w14:paraId="294B75F7">
      <w:pPr>
        <w:snapToGrid w:val="0"/>
        <w:spacing w:beforeLines="50" w:after="50" w:line="360" w:lineRule="auto"/>
        <w:ind w:firstLine="4800" w:firstLineChars="2000"/>
        <w:rPr>
          <w:rFonts w:hint="eastAsia" w:ascii="宋体" w:hAnsi="宋体" w:cs="宋体"/>
          <w:sz w:val="24"/>
        </w:rPr>
      </w:pPr>
    </w:p>
    <w:p w14:paraId="0DB850B3">
      <w:pPr>
        <w:snapToGrid w:val="0"/>
        <w:spacing w:before="50" w:afterLines="50"/>
        <w:jc w:val="left"/>
        <w:rPr>
          <w:rFonts w:hint="eastAsia" w:ascii="宋体" w:hAnsi="宋体" w:cs="宋体"/>
          <w:sz w:val="24"/>
          <w:szCs w:val="24"/>
        </w:rPr>
      </w:pPr>
    </w:p>
    <w:p w14:paraId="69BF1775">
      <w:pPr>
        <w:snapToGrid w:val="0"/>
        <w:spacing w:before="50" w:afterLines="50"/>
        <w:jc w:val="left"/>
        <w:rPr>
          <w:rFonts w:hint="eastAsia" w:ascii="宋体" w:hAnsi="宋体" w:cs="宋体"/>
          <w:sz w:val="24"/>
          <w:szCs w:val="24"/>
        </w:rPr>
      </w:pPr>
    </w:p>
    <w:p w14:paraId="2EE5E43E">
      <w:pPr>
        <w:snapToGrid w:val="0"/>
        <w:spacing w:before="50" w:afterLines="50"/>
        <w:jc w:val="left"/>
        <w:rPr>
          <w:rFonts w:hint="eastAsia" w:ascii="宋体" w:hAnsi="宋体" w:cs="宋体"/>
          <w:sz w:val="24"/>
          <w:szCs w:val="24"/>
        </w:rPr>
      </w:pPr>
    </w:p>
    <w:p w14:paraId="6142FBF2">
      <w:pPr>
        <w:spacing w:line="500" w:lineRule="exact"/>
        <w:ind w:firstLine="792" w:firstLineChars="180"/>
        <w:jc w:val="center"/>
        <w:rPr>
          <w:rFonts w:hint="eastAsia" w:ascii="黑体" w:hAnsi="宋体" w:eastAsia="黑体"/>
          <w:sz w:val="44"/>
          <w:szCs w:val="44"/>
        </w:rPr>
      </w:pPr>
    </w:p>
    <w:p w14:paraId="2403DDA6">
      <w:pPr>
        <w:spacing w:line="500" w:lineRule="exact"/>
        <w:ind w:firstLine="792" w:firstLineChars="180"/>
        <w:jc w:val="center"/>
        <w:rPr>
          <w:rFonts w:hint="eastAsia" w:ascii="黑体" w:hAnsi="宋体" w:eastAsia="黑体"/>
          <w:sz w:val="44"/>
          <w:szCs w:val="44"/>
        </w:rPr>
      </w:pPr>
      <w:r>
        <w:rPr>
          <w:rFonts w:hint="eastAsia" w:ascii="黑体" w:hAnsi="宋体" w:eastAsia="黑体"/>
          <w:sz w:val="44"/>
          <w:szCs w:val="44"/>
        </w:rPr>
        <w:t>廉政承诺书</w:t>
      </w:r>
    </w:p>
    <w:p w14:paraId="082F5C9F">
      <w:pPr>
        <w:spacing w:line="500" w:lineRule="exact"/>
        <w:jc w:val="center"/>
        <w:rPr>
          <w:rFonts w:hint="eastAsia" w:ascii="仿宋_GB2312" w:hAnsi="仿宋_GB2312" w:eastAsia="仿宋_GB2312" w:cs="仿宋_GB2312"/>
          <w:sz w:val="32"/>
          <w:szCs w:val="32"/>
        </w:rPr>
      </w:pPr>
    </w:p>
    <w:p w14:paraId="5BF05991">
      <w:pPr>
        <w:spacing w:line="560" w:lineRule="exact"/>
        <w:rPr>
          <w:rFonts w:hint="eastAsia" w:ascii="宋体" w:hAnsi="宋体" w:cs="仿宋_GB2312"/>
          <w:sz w:val="24"/>
          <w:szCs w:val="24"/>
        </w:rPr>
      </w:pPr>
      <w:r>
        <w:rPr>
          <w:rFonts w:hint="eastAsia" w:ascii="宋体" w:hAnsi="宋体" w:cs="仿宋_GB2312"/>
          <w:sz w:val="24"/>
          <w:szCs w:val="24"/>
          <w:u w:val="single"/>
        </w:rPr>
        <w:t xml:space="preserve">              </w:t>
      </w:r>
      <w:r>
        <w:rPr>
          <w:rFonts w:hint="eastAsia" w:ascii="宋体" w:hAnsi="宋体" w:cs="仿宋_GB2312"/>
          <w:sz w:val="24"/>
          <w:szCs w:val="24"/>
        </w:rPr>
        <w:t>部门（单位）：</w:t>
      </w:r>
    </w:p>
    <w:p w14:paraId="1B9B68F5">
      <w:pPr>
        <w:spacing w:line="560" w:lineRule="exact"/>
        <w:rPr>
          <w:rFonts w:hint="eastAsia" w:ascii="宋体" w:hAnsi="宋体" w:cs="仿宋_GB2312"/>
          <w:sz w:val="24"/>
          <w:szCs w:val="24"/>
        </w:rPr>
      </w:pPr>
      <w:r>
        <w:rPr>
          <w:rFonts w:hint="eastAsia" w:ascii="宋体" w:hAnsi="宋体" w:cs="仿宋_GB2312"/>
          <w:sz w:val="24"/>
          <w:szCs w:val="24"/>
        </w:rPr>
        <w:t xml:space="preserve">    根据《财政部关于进一步加强财政部门和预算单位资金存放管理的指导意见》（财库〔2017〕76号）、《</w:t>
      </w:r>
      <w:r>
        <w:rPr>
          <w:rFonts w:hint="eastAsia" w:ascii="宋体" w:hAnsi="宋体"/>
          <w:sz w:val="24"/>
          <w:szCs w:val="24"/>
        </w:rPr>
        <w:t>关于进一步规范行政事业单位公款竞争性存放管理的通知</w:t>
      </w:r>
      <w:r>
        <w:rPr>
          <w:rFonts w:hint="eastAsia" w:ascii="宋体" w:hAnsi="宋体" w:cs="仿宋_GB2312"/>
          <w:bCs/>
          <w:sz w:val="24"/>
          <w:szCs w:val="24"/>
        </w:rPr>
        <w:t>》（</w:t>
      </w:r>
      <w:r>
        <w:rPr>
          <w:rFonts w:hint="eastAsia" w:ascii="宋体" w:hAnsi="宋体"/>
          <w:sz w:val="24"/>
          <w:szCs w:val="24"/>
        </w:rPr>
        <w:t>虞政办发〔2018〕218号</w:t>
      </w:r>
      <w:r>
        <w:rPr>
          <w:rFonts w:hint="eastAsia" w:ascii="宋体" w:hAnsi="宋体" w:cs="仿宋_GB2312"/>
          <w:bCs/>
          <w:sz w:val="24"/>
          <w:szCs w:val="24"/>
        </w:rPr>
        <w:t>）</w:t>
      </w:r>
      <w:r>
        <w:rPr>
          <w:rFonts w:hint="eastAsia" w:ascii="宋体" w:hAnsi="宋体" w:cs="仿宋_GB2312"/>
          <w:sz w:val="24"/>
          <w:szCs w:val="24"/>
        </w:rPr>
        <w:t>相关规定，现就本行参加贵单位第</w:t>
      </w:r>
      <w:r>
        <w:rPr>
          <w:rFonts w:hint="eastAsia" w:ascii="宋体" w:hAnsi="宋体" w:cs="仿宋_GB2312"/>
          <w:sz w:val="24"/>
          <w:szCs w:val="24"/>
          <w:u w:val="single"/>
        </w:rPr>
        <w:t xml:space="preserve">    </w:t>
      </w:r>
      <w:r>
        <w:rPr>
          <w:rFonts w:hint="eastAsia" w:ascii="宋体" w:hAnsi="宋体" w:cs="仿宋_GB2312"/>
          <w:sz w:val="24"/>
          <w:szCs w:val="24"/>
        </w:rPr>
        <w:t>标段公款竞争性存放作出如下承诺：</w:t>
      </w:r>
    </w:p>
    <w:p w14:paraId="2D13F61C">
      <w:pPr>
        <w:spacing w:line="560" w:lineRule="exact"/>
        <w:rPr>
          <w:rFonts w:hint="eastAsia" w:ascii="宋体" w:hAnsi="宋体" w:cs="仿宋_GB2312"/>
          <w:sz w:val="24"/>
          <w:szCs w:val="24"/>
        </w:rPr>
      </w:pPr>
      <w:r>
        <w:rPr>
          <w:rFonts w:hint="eastAsia" w:ascii="宋体" w:hAnsi="宋体" w:cs="仿宋_GB2312"/>
          <w:sz w:val="24"/>
          <w:szCs w:val="24"/>
        </w:rPr>
        <w:t xml:space="preserve">    1.不向贵单位负责公款存放管理的领导及相关人员进行利益输送；</w:t>
      </w:r>
    </w:p>
    <w:p w14:paraId="2B0549A0">
      <w:pPr>
        <w:spacing w:line="560" w:lineRule="exact"/>
        <w:ind w:firstLine="480" w:firstLineChars="200"/>
        <w:rPr>
          <w:rFonts w:hint="eastAsia" w:ascii="宋体" w:hAnsi="宋体" w:cs="仿宋_GB2312"/>
          <w:sz w:val="24"/>
          <w:szCs w:val="24"/>
        </w:rPr>
      </w:pPr>
      <w:r>
        <w:rPr>
          <w:rFonts w:hint="eastAsia" w:ascii="宋体" w:hAnsi="宋体" w:cs="仿宋_GB2312"/>
          <w:sz w:val="24"/>
          <w:szCs w:val="24"/>
        </w:rPr>
        <w:t>2.不将公款存放与贵单位负责公款存放管理的领导及相关人员在本行</w:t>
      </w:r>
      <w:r>
        <w:rPr>
          <w:rFonts w:hint="eastAsia" w:ascii="宋体" w:hAnsi="宋体" w:cs="仿宋"/>
          <w:sz w:val="24"/>
          <w:szCs w:val="24"/>
        </w:rPr>
        <w:t>的配偶、子女及其配偶和其他直接利益相关人员</w:t>
      </w:r>
      <w:r>
        <w:rPr>
          <w:rFonts w:hint="eastAsia" w:ascii="宋体" w:hAnsi="宋体" w:cs="仿宋_GB2312"/>
          <w:sz w:val="24"/>
          <w:szCs w:val="24"/>
        </w:rPr>
        <w:t>的业绩、收入、晋升等利益挂钩；</w:t>
      </w:r>
    </w:p>
    <w:p w14:paraId="0A9BFA1F">
      <w:pPr>
        <w:spacing w:line="560" w:lineRule="exact"/>
        <w:ind w:firstLine="480" w:firstLineChars="200"/>
        <w:rPr>
          <w:rFonts w:hint="eastAsia" w:ascii="宋体" w:hAnsi="宋体" w:cs="仿宋"/>
          <w:sz w:val="24"/>
          <w:szCs w:val="24"/>
        </w:rPr>
      </w:pPr>
      <w:r>
        <w:rPr>
          <w:rFonts w:hint="eastAsia" w:ascii="宋体" w:hAnsi="宋体" w:cs="仿宋_GB2312"/>
          <w:sz w:val="24"/>
          <w:szCs w:val="24"/>
        </w:rPr>
        <w:t>3.</w:t>
      </w:r>
      <w:r>
        <w:rPr>
          <w:rFonts w:hint="eastAsia" w:ascii="宋体" w:hAnsi="宋体" w:cs="仿宋"/>
          <w:sz w:val="24"/>
          <w:szCs w:val="24"/>
        </w:rPr>
        <w:t>严格执行利益回避制度，贵单位负责公款竞争性存放相关人员的配偶、子女及其配偶和其他直接利益相关人员为本行工作人员的，不参与公款竞争性存放工作；</w:t>
      </w:r>
    </w:p>
    <w:p w14:paraId="62973E06">
      <w:pPr>
        <w:spacing w:line="560" w:lineRule="exact"/>
        <w:rPr>
          <w:rFonts w:hint="eastAsia" w:ascii="宋体" w:hAnsi="宋体" w:cs="仿宋_GB2312"/>
          <w:sz w:val="24"/>
          <w:szCs w:val="24"/>
        </w:rPr>
      </w:pPr>
      <w:r>
        <w:rPr>
          <w:rFonts w:hint="eastAsia" w:ascii="宋体" w:hAnsi="宋体" w:cs="仿宋_GB2312"/>
          <w:sz w:val="24"/>
          <w:szCs w:val="24"/>
        </w:rPr>
        <w:t xml:space="preserve">    4.不发生除上述行为之外的其他任何利益输送行为。</w:t>
      </w:r>
    </w:p>
    <w:p w14:paraId="2844D219">
      <w:pPr>
        <w:spacing w:line="560" w:lineRule="exact"/>
        <w:ind w:firstLine="360" w:firstLineChars="150"/>
        <w:rPr>
          <w:rFonts w:hint="eastAsia" w:ascii="宋体" w:hAnsi="宋体" w:cs="仿宋_GB2312"/>
          <w:sz w:val="24"/>
          <w:szCs w:val="24"/>
        </w:rPr>
      </w:pPr>
      <w:r>
        <w:rPr>
          <w:rFonts w:hint="eastAsia" w:ascii="宋体" w:hAnsi="宋体" w:cs="仿宋_GB2312"/>
          <w:sz w:val="24"/>
          <w:szCs w:val="24"/>
        </w:rPr>
        <w:t>未遵守以上承诺的，本行自愿接受财政部门通报和处理，承担相应的一切后果。</w:t>
      </w:r>
    </w:p>
    <w:p w14:paraId="48600CBF">
      <w:pPr>
        <w:spacing w:line="560" w:lineRule="exact"/>
        <w:ind w:firstLine="630"/>
        <w:rPr>
          <w:rFonts w:hint="eastAsia" w:ascii="宋体" w:hAnsi="宋体" w:cs="仿宋_GB2312"/>
          <w:sz w:val="24"/>
          <w:szCs w:val="24"/>
        </w:rPr>
      </w:pPr>
    </w:p>
    <w:p w14:paraId="22BB602F">
      <w:pPr>
        <w:spacing w:line="560" w:lineRule="exact"/>
        <w:jc w:val="right"/>
        <w:rPr>
          <w:rFonts w:hint="eastAsia" w:ascii="宋体" w:hAnsi="宋体" w:cs="仿宋_GB2312"/>
          <w:sz w:val="24"/>
          <w:szCs w:val="24"/>
        </w:rPr>
      </w:pPr>
      <w:r>
        <w:rPr>
          <w:rFonts w:hint="eastAsia" w:ascii="宋体" w:hAnsi="宋体" w:cs="仿宋_GB2312"/>
          <w:sz w:val="24"/>
          <w:szCs w:val="24"/>
        </w:rPr>
        <w:t xml:space="preserve">                                  </w:t>
      </w:r>
      <w:r>
        <w:rPr>
          <w:rFonts w:hint="eastAsia" w:ascii="宋体" w:hAnsi="宋体" w:cs="仿宋_GB2312"/>
          <w:sz w:val="24"/>
          <w:szCs w:val="24"/>
          <w:u w:val="single"/>
        </w:rPr>
        <w:t xml:space="preserve">       </w:t>
      </w:r>
      <w:r>
        <w:rPr>
          <w:rFonts w:hint="eastAsia" w:ascii="宋体" w:hAnsi="宋体" w:cs="仿宋_GB2312"/>
          <w:sz w:val="24"/>
          <w:szCs w:val="24"/>
        </w:rPr>
        <w:t>银行（电子公章）</w:t>
      </w:r>
    </w:p>
    <w:p w14:paraId="0D046CD1">
      <w:pPr>
        <w:spacing w:line="500" w:lineRule="exact"/>
        <w:jc w:val="right"/>
        <w:rPr>
          <w:rFonts w:hint="eastAsia" w:ascii="宋体" w:hAnsi="宋体" w:cs="仿宋_GB2312"/>
          <w:sz w:val="24"/>
          <w:szCs w:val="24"/>
        </w:rPr>
      </w:pPr>
      <w:r>
        <w:rPr>
          <w:rFonts w:hint="eastAsia" w:ascii="宋体" w:hAnsi="宋体" w:cs="仿宋_GB2312"/>
          <w:sz w:val="24"/>
          <w:szCs w:val="24"/>
        </w:rPr>
        <w:t xml:space="preserve">                                   </w:t>
      </w:r>
      <w:r>
        <w:rPr>
          <w:rFonts w:hint="eastAsia" w:ascii="宋体" w:hAnsi="宋体" w:cs="仿宋_GB2312"/>
          <w:sz w:val="24"/>
          <w:szCs w:val="24"/>
          <w:u w:val="single"/>
        </w:rPr>
        <w:t xml:space="preserve">     </w:t>
      </w:r>
      <w:r>
        <w:rPr>
          <w:rFonts w:hint="eastAsia" w:ascii="宋体" w:hAnsi="宋体" w:cs="仿宋_GB2312"/>
          <w:sz w:val="24"/>
          <w:szCs w:val="24"/>
        </w:rPr>
        <w:t>年</w:t>
      </w:r>
      <w:r>
        <w:rPr>
          <w:rFonts w:hint="eastAsia" w:ascii="宋体" w:hAnsi="宋体" w:cs="仿宋_GB2312"/>
          <w:sz w:val="24"/>
          <w:szCs w:val="24"/>
          <w:u w:val="single"/>
        </w:rPr>
        <w:t xml:space="preserve">  </w:t>
      </w:r>
      <w:r>
        <w:rPr>
          <w:rFonts w:hint="eastAsia" w:ascii="宋体" w:hAnsi="宋体" w:cs="仿宋_GB2312"/>
          <w:sz w:val="24"/>
          <w:szCs w:val="24"/>
        </w:rPr>
        <w:t>月</w:t>
      </w:r>
      <w:r>
        <w:rPr>
          <w:rFonts w:hint="eastAsia" w:ascii="宋体" w:hAnsi="宋体" w:cs="仿宋_GB2312"/>
          <w:sz w:val="24"/>
          <w:szCs w:val="24"/>
          <w:u w:val="single"/>
        </w:rPr>
        <w:t xml:space="preserve">  </w:t>
      </w:r>
      <w:r>
        <w:rPr>
          <w:rFonts w:hint="eastAsia" w:ascii="宋体" w:hAnsi="宋体" w:cs="仿宋_GB2312"/>
          <w:sz w:val="24"/>
          <w:szCs w:val="24"/>
        </w:rPr>
        <w:t>日</w:t>
      </w:r>
    </w:p>
    <w:p w14:paraId="6A0938C4">
      <w:pPr>
        <w:snapToGrid w:val="0"/>
        <w:spacing w:beforeLines="50" w:after="50" w:line="360" w:lineRule="auto"/>
        <w:rPr>
          <w:rFonts w:hint="eastAsia" w:ascii="宋体" w:hAnsi="宋体" w:cs="宋体"/>
          <w:sz w:val="24"/>
          <w:szCs w:val="24"/>
        </w:rPr>
      </w:pPr>
    </w:p>
    <w:p w14:paraId="53FB0E60">
      <w:pPr>
        <w:snapToGrid w:val="0"/>
        <w:spacing w:beforeLines="50" w:after="50" w:line="360" w:lineRule="auto"/>
        <w:rPr>
          <w:rFonts w:hint="eastAsia" w:ascii="宋体" w:hAnsi="宋体" w:cs="宋体"/>
          <w:sz w:val="24"/>
          <w:szCs w:val="24"/>
        </w:rPr>
      </w:pPr>
    </w:p>
    <w:p w14:paraId="4700B367">
      <w:pPr>
        <w:snapToGrid w:val="0"/>
        <w:spacing w:beforeLines="50" w:after="50" w:line="360" w:lineRule="auto"/>
        <w:rPr>
          <w:rFonts w:hint="eastAsia" w:ascii="宋体" w:hAnsi="宋体" w:cs="宋体"/>
          <w:sz w:val="24"/>
          <w:szCs w:val="24"/>
        </w:rPr>
      </w:pPr>
    </w:p>
    <w:p w14:paraId="64238B4F">
      <w:pPr>
        <w:snapToGrid w:val="0"/>
        <w:spacing w:beforeLines="50" w:after="50" w:line="360" w:lineRule="auto"/>
        <w:rPr>
          <w:rFonts w:hint="eastAsia" w:ascii="宋体" w:hAnsi="宋体" w:cs="宋体"/>
          <w:sz w:val="24"/>
          <w:szCs w:val="24"/>
        </w:rPr>
      </w:pPr>
    </w:p>
    <w:p w14:paraId="6A10C31D">
      <w:pPr>
        <w:snapToGrid w:val="0"/>
        <w:spacing w:beforeLines="50" w:after="50" w:line="360" w:lineRule="auto"/>
        <w:rPr>
          <w:rFonts w:hint="eastAsia" w:ascii="宋体" w:hAnsi="宋体" w:cs="宋体"/>
          <w:sz w:val="24"/>
          <w:szCs w:val="24"/>
        </w:rPr>
      </w:pPr>
    </w:p>
    <w:p w14:paraId="487413A1">
      <w:pPr>
        <w:snapToGrid w:val="0"/>
        <w:spacing w:beforeLines="50" w:after="50" w:line="360" w:lineRule="auto"/>
        <w:rPr>
          <w:rFonts w:hint="eastAsia" w:ascii="宋体" w:hAnsi="宋体" w:cs="宋体"/>
          <w:sz w:val="24"/>
          <w:szCs w:val="24"/>
        </w:rPr>
      </w:pPr>
    </w:p>
    <w:p w14:paraId="1E1B1C6D">
      <w:pPr>
        <w:snapToGrid w:val="0"/>
        <w:spacing w:beforeLines="50" w:after="50" w:line="360" w:lineRule="auto"/>
        <w:rPr>
          <w:rFonts w:hint="eastAsia" w:ascii="宋体" w:hAnsi="宋体" w:cs="宋体"/>
          <w:sz w:val="24"/>
          <w:szCs w:val="24"/>
        </w:rPr>
      </w:pPr>
    </w:p>
    <w:p w14:paraId="04B47EFD">
      <w:pPr>
        <w:snapToGrid w:val="0"/>
        <w:spacing w:beforeLines="50" w:after="50"/>
        <w:ind w:firstLine="562" w:firstLineChars="200"/>
        <w:jc w:val="right"/>
        <w:rPr>
          <w:rFonts w:hint="eastAsia" w:ascii="宋体" w:hAnsi="宋体" w:cs="宋体"/>
          <w:b/>
          <w:sz w:val="28"/>
          <w:szCs w:val="28"/>
        </w:rPr>
      </w:pPr>
      <w:r>
        <w:rPr>
          <w:rFonts w:hint="eastAsia" w:ascii="宋体" w:hAnsi="宋体" w:cs="宋体"/>
          <w:b/>
          <w:sz w:val="28"/>
          <w:szCs w:val="28"/>
        </w:rPr>
        <w:t xml:space="preserve">          </w:t>
      </w:r>
    </w:p>
    <w:p w14:paraId="32238F0A">
      <w:pPr>
        <w:ind w:right="-110"/>
        <w:jc w:val="center"/>
        <w:rPr>
          <w:rFonts w:hint="eastAsia" w:ascii="宋体" w:hAnsi="宋体" w:cs="宋体"/>
          <w:spacing w:val="40"/>
          <w:sz w:val="28"/>
          <w:szCs w:val="28"/>
        </w:rPr>
      </w:pPr>
    </w:p>
    <w:p w14:paraId="1BA81549">
      <w:pPr>
        <w:spacing w:after="100" w:afterAutospacing="1" w:line="360" w:lineRule="auto"/>
        <w:jc w:val="center"/>
        <w:rPr>
          <w:rFonts w:hint="eastAsia" w:ascii="宋体" w:hAnsi="宋体" w:cs="宋体"/>
          <w:b/>
          <w:spacing w:val="40"/>
          <w:sz w:val="28"/>
          <w:szCs w:val="28"/>
        </w:rPr>
      </w:pPr>
      <w:r>
        <w:rPr>
          <w:rFonts w:hint="eastAsia" w:ascii="宋体" w:hAnsi="宋体" w:cs="宋体"/>
          <w:b/>
          <w:spacing w:val="40"/>
          <w:sz w:val="28"/>
          <w:szCs w:val="28"/>
        </w:rPr>
        <w:t>绍兴市上虞区人民政府办公室2025年第一期公款竞争性存放</w:t>
      </w:r>
    </w:p>
    <w:p w14:paraId="61EDC45F">
      <w:pPr>
        <w:ind w:right="-110" w:firstLine="640"/>
        <w:jc w:val="center"/>
        <w:rPr>
          <w:rFonts w:hint="eastAsia" w:ascii="宋体" w:hAnsi="宋体" w:cs="宋体"/>
          <w:sz w:val="28"/>
          <w:szCs w:val="28"/>
        </w:rPr>
      </w:pPr>
      <w:r>
        <w:rPr>
          <w:rFonts w:hint="eastAsia" w:ascii="宋体" w:hAnsi="宋体" w:cs="宋体"/>
          <w:sz w:val="28"/>
          <w:szCs w:val="28"/>
        </w:rPr>
        <w:t xml:space="preserve"> </w:t>
      </w:r>
    </w:p>
    <w:p w14:paraId="710E50C0">
      <w:pPr>
        <w:spacing w:after="100" w:afterAutospacing="1" w:line="800" w:lineRule="exact"/>
        <w:ind w:right="-108"/>
        <w:jc w:val="center"/>
        <w:rPr>
          <w:rFonts w:hint="eastAsia" w:ascii="宋体" w:hAnsi="宋体" w:cs="宋体"/>
          <w:b/>
          <w:spacing w:val="40"/>
          <w:sz w:val="84"/>
          <w:szCs w:val="84"/>
        </w:rPr>
      </w:pPr>
    </w:p>
    <w:p w14:paraId="11F4635C">
      <w:pPr>
        <w:spacing w:after="100" w:afterAutospacing="1" w:line="360" w:lineRule="auto"/>
        <w:ind w:right="-108"/>
        <w:jc w:val="center"/>
        <w:rPr>
          <w:rFonts w:hint="eastAsia" w:ascii="宋体" w:hAnsi="宋体" w:cs="宋体"/>
          <w:b/>
          <w:spacing w:val="40"/>
          <w:sz w:val="84"/>
          <w:szCs w:val="84"/>
        </w:rPr>
      </w:pPr>
      <w:r>
        <w:rPr>
          <w:rFonts w:hint="eastAsia" w:ascii="宋体" w:hAnsi="宋体" w:cs="宋体"/>
          <w:b/>
          <w:spacing w:val="40"/>
          <w:sz w:val="84"/>
          <w:szCs w:val="84"/>
        </w:rPr>
        <w:t>商</w:t>
      </w:r>
    </w:p>
    <w:p w14:paraId="0B46D0F2">
      <w:pPr>
        <w:spacing w:after="100" w:afterAutospacing="1" w:line="360" w:lineRule="auto"/>
        <w:ind w:right="-108"/>
        <w:jc w:val="center"/>
        <w:rPr>
          <w:rFonts w:hint="eastAsia" w:ascii="宋体" w:hAnsi="宋体" w:cs="宋体"/>
          <w:b/>
          <w:spacing w:val="40"/>
          <w:sz w:val="84"/>
          <w:szCs w:val="84"/>
        </w:rPr>
      </w:pPr>
      <w:r>
        <w:rPr>
          <w:rFonts w:hint="eastAsia" w:ascii="宋体" w:hAnsi="宋体" w:cs="宋体"/>
          <w:b/>
          <w:spacing w:val="40"/>
          <w:sz w:val="84"/>
          <w:szCs w:val="84"/>
        </w:rPr>
        <w:t>务</w:t>
      </w:r>
    </w:p>
    <w:p w14:paraId="64DE81A2">
      <w:pPr>
        <w:spacing w:after="100" w:afterAutospacing="1" w:line="360" w:lineRule="auto"/>
        <w:ind w:right="-108"/>
        <w:jc w:val="center"/>
        <w:rPr>
          <w:rFonts w:hint="eastAsia" w:ascii="宋体" w:hAnsi="宋体" w:cs="宋体"/>
          <w:b/>
          <w:spacing w:val="40"/>
          <w:sz w:val="84"/>
          <w:szCs w:val="84"/>
        </w:rPr>
      </w:pPr>
      <w:r>
        <w:rPr>
          <w:rFonts w:hint="eastAsia" w:ascii="宋体" w:hAnsi="宋体" w:cs="宋体"/>
          <w:b/>
          <w:spacing w:val="40"/>
          <w:sz w:val="84"/>
          <w:szCs w:val="84"/>
        </w:rPr>
        <w:t>文</w:t>
      </w:r>
    </w:p>
    <w:p w14:paraId="25EC587E">
      <w:pPr>
        <w:spacing w:after="100" w:afterAutospacing="1" w:line="360" w:lineRule="auto"/>
        <w:ind w:right="-108"/>
        <w:jc w:val="center"/>
        <w:rPr>
          <w:rFonts w:hint="eastAsia" w:ascii="宋体" w:hAnsi="宋体" w:cs="宋体"/>
          <w:b/>
          <w:spacing w:val="40"/>
          <w:sz w:val="84"/>
          <w:szCs w:val="84"/>
        </w:rPr>
      </w:pPr>
      <w:r>
        <w:rPr>
          <w:rFonts w:hint="eastAsia" w:ascii="宋体" w:hAnsi="宋体" w:cs="宋体"/>
          <w:b/>
          <w:spacing w:val="40"/>
          <w:sz w:val="84"/>
          <w:szCs w:val="84"/>
        </w:rPr>
        <w:t>件</w:t>
      </w:r>
    </w:p>
    <w:p w14:paraId="2CC71C14">
      <w:pPr>
        <w:spacing w:line="500" w:lineRule="exact"/>
        <w:ind w:right="532"/>
        <w:jc w:val="center"/>
        <w:rPr>
          <w:rFonts w:hint="eastAsia" w:ascii="宋体" w:hAnsi="宋体" w:cs="宋体"/>
          <w:sz w:val="36"/>
          <w:szCs w:val="36"/>
        </w:rPr>
      </w:pPr>
    </w:p>
    <w:p w14:paraId="433F3CE9">
      <w:pPr>
        <w:spacing w:line="560" w:lineRule="exact"/>
        <w:ind w:right="532"/>
        <w:rPr>
          <w:rFonts w:hint="eastAsia" w:ascii="宋体" w:hAnsi="宋体" w:cs="宋体"/>
          <w:sz w:val="28"/>
          <w:szCs w:val="28"/>
        </w:rPr>
      </w:pPr>
      <w:r>
        <w:rPr>
          <w:rFonts w:hint="eastAsia" w:ascii="宋体" w:hAnsi="宋体" w:cs="宋体"/>
          <w:sz w:val="28"/>
          <w:szCs w:val="28"/>
        </w:rPr>
        <w:t>单位全称（公章）：</w:t>
      </w:r>
    </w:p>
    <w:p w14:paraId="0EFEE6AC">
      <w:pPr>
        <w:spacing w:line="560" w:lineRule="exact"/>
        <w:ind w:right="-108"/>
        <w:rPr>
          <w:rFonts w:hint="eastAsia" w:ascii="宋体" w:hAnsi="宋体" w:cs="宋体"/>
          <w:sz w:val="28"/>
          <w:szCs w:val="28"/>
        </w:rPr>
      </w:pPr>
      <w:r>
        <w:rPr>
          <w:rFonts w:hint="eastAsia" w:ascii="宋体" w:hAnsi="宋体" w:cs="宋体"/>
          <w:sz w:val="28"/>
          <w:szCs w:val="28"/>
        </w:rPr>
        <w:t>地    址：</w:t>
      </w:r>
    </w:p>
    <w:p w14:paraId="42318B35">
      <w:pPr>
        <w:spacing w:line="560" w:lineRule="exact"/>
        <w:ind w:right="-108"/>
        <w:rPr>
          <w:rFonts w:hint="eastAsia" w:ascii="宋体" w:hAnsi="宋体" w:cs="宋体"/>
          <w:sz w:val="28"/>
          <w:szCs w:val="28"/>
        </w:rPr>
      </w:pPr>
      <w:r>
        <w:rPr>
          <w:rFonts w:hint="eastAsia" w:ascii="宋体" w:hAnsi="宋体" w:cs="宋体"/>
          <w:sz w:val="28"/>
          <w:szCs w:val="28"/>
        </w:rPr>
        <w:t>时    间：</w:t>
      </w:r>
    </w:p>
    <w:p w14:paraId="0F07F192">
      <w:pPr>
        <w:snapToGrid w:val="0"/>
        <w:ind w:leftChars="-1190" w:hanging="2499" w:hangingChars="781"/>
        <w:jc w:val="center"/>
        <w:rPr>
          <w:rFonts w:hint="eastAsia" w:ascii="宋体" w:hAnsi="宋体" w:cs="宋体"/>
          <w:sz w:val="32"/>
          <w:szCs w:val="32"/>
        </w:rPr>
      </w:pPr>
    </w:p>
    <w:p w14:paraId="68C08515">
      <w:pPr>
        <w:snapToGrid w:val="0"/>
        <w:ind w:leftChars="-1190" w:hanging="2499" w:hangingChars="781"/>
        <w:jc w:val="center"/>
        <w:rPr>
          <w:rFonts w:hint="eastAsia" w:ascii="宋体" w:hAnsi="宋体" w:cs="宋体"/>
          <w:sz w:val="32"/>
          <w:szCs w:val="32"/>
        </w:rPr>
      </w:pPr>
    </w:p>
    <w:p w14:paraId="06ED36F7">
      <w:pPr>
        <w:snapToGrid w:val="0"/>
        <w:ind w:left="10" w:leftChars="-1190" w:hanging="2509" w:hangingChars="781"/>
        <w:jc w:val="center"/>
        <w:rPr>
          <w:rFonts w:ascii="宋体" w:hAnsi="宋体" w:cs="宋体"/>
          <w:b/>
          <w:sz w:val="32"/>
          <w:szCs w:val="32"/>
        </w:rPr>
      </w:pPr>
    </w:p>
    <w:p w14:paraId="035503CF">
      <w:pPr>
        <w:snapToGrid w:val="0"/>
        <w:ind w:left="10" w:leftChars="-1190" w:hanging="2509" w:hangingChars="781"/>
        <w:jc w:val="center"/>
        <w:rPr>
          <w:rFonts w:hint="eastAsia" w:ascii="宋体" w:hAnsi="宋体" w:cs="宋体"/>
          <w:b/>
          <w:sz w:val="32"/>
          <w:szCs w:val="32"/>
        </w:rPr>
      </w:pPr>
    </w:p>
    <w:p w14:paraId="1CAD2861">
      <w:pPr>
        <w:snapToGrid w:val="0"/>
        <w:ind w:left="10" w:leftChars="-1190" w:hanging="2509" w:hangingChars="781"/>
        <w:jc w:val="center"/>
        <w:rPr>
          <w:rFonts w:hint="eastAsia" w:ascii="宋体" w:hAnsi="宋体" w:cs="宋体"/>
          <w:b/>
          <w:sz w:val="32"/>
          <w:szCs w:val="32"/>
        </w:rPr>
      </w:pPr>
    </w:p>
    <w:p w14:paraId="13A7E5AF">
      <w:pPr>
        <w:snapToGrid w:val="0"/>
        <w:jc w:val="center"/>
        <w:rPr>
          <w:rFonts w:hint="eastAsia" w:ascii="宋体" w:hAnsi="宋体" w:cs="宋体"/>
          <w:b/>
          <w:sz w:val="32"/>
          <w:szCs w:val="32"/>
        </w:rPr>
      </w:pPr>
    </w:p>
    <w:p w14:paraId="3359AB50">
      <w:pPr>
        <w:snapToGrid w:val="0"/>
        <w:jc w:val="center"/>
        <w:rPr>
          <w:rFonts w:hint="eastAsia" w:ascii="宋体" w:hAnsi="宋体" w:cs="宋体"/>
          <w:b/>
          <w:sz w:val="32"/>
          <w:szCs w:val="32"/>
        </w:rPr>
      </w:pPr>
    </w:p>
    <w:p w14:paraId="15A4333B">
      <w:pPr>
        <w:snapToGrid w:val="0"/>
        <w:jc w:val="center"/>
        <w:rPr>
          <w:rFonts w:hint="eastAsia" w:ascii="宋体" w:hAnsi="宋体" w:cs="宋体"/>
          <w:b/>
          <w:sz w:val="32"/>
          <w:szCs w:val="32"/>
        </w:rPr>
      </w:pPr>
      <w:r>
        <w:rPr>
          <w:rFonts w:hint="eastAsia" w:ascii="宋体" w:hAnsi="宋体" w:cs="宋体"/>
          <w:b/>
          <w:sz w:val="32"/>
          <w:szCs w:val="32"/>
        </w:rPr>
        <w:t>目录</w:t>
      </w:r>
    </w:p>
    <w:p w14:paraId="0C533AF9">
      <w:pPr>
        <w:snapToGrid w:val="0"/>
        <w:spacing w:line="360" w:lineRule="auto"/>
        <w:jc w:val="left"/>
        <w:rPr>
          <w:rFonts w:hint="eastAsia" w:ascii="宋体" w:hAnsi="宋体" w:cs="宋体"/>
          <w:szCs w:val="21"/>
        </w:rPr>
      </w:pPr>
    </w:p>
    <w:p w14:paraId="4BF48BBA">
      <w:pPr>
        <w:snapToGrid w:val="0"/>
        <w:spacing w:line="360" w:lineRule="auto"/>
        <w:jc w:val="left"/>
        <w:rPr>
          <w:rFonts w:hint="eastAsia" w:ascii="宋体" w:hAnsi="宋体" w:cs="宋体"/>
          <w:szCs w:val="21"/>
        </w:rPr>
      </w:pPr>
      <w:r>
        <w:rPr>
          <w:rFonts w:hint="eastAsia" w:ascii="宋体" w:hAnsi="宋体" w:cs="宋体"/>
          <w:szCs w:val="21"/>
        </w:rPr>
        <w:t xml:space="preserve">（1）投标函（格式见附件）； </w:t>
      </w:r>
    </w:p>
    <w:p w14:paraId="32A0E250">
      <w:pPr>
        <w:snapToGrid w:val="0"/>
        <w:spacing w:line="360" w:lineRule="auto"/>
        <w:jc w:val="left"/>
        <w:rPr>
          <w:rFonts w:hint="eastAsia" w:ascii="宋体" w:hAnsi="宋体" w:cs="宋体"/>
          <w:szCs w:val="21"/>
        </w:rPr>
      </w:pPr>
      <w:r>
        <w:rPr>
          <w:rFonts w:hint="eastAsia" w:ascii="宋体" w:hAnsi="宋体" w:cs="宋体"/>
          <w:szCs w:val="21"/>
        </w:rPr>
        <w:t>（2）报价表（格式见附件）；</w:t>
      </w:r>
    </w:p>
    <w:p w14:paraId="3088460C">
      <w:pPr>
        <w:snapToGrid w:val="0"/>
        <w:spacing w:line="360" w:lineRule="auto"/>
        <w:jc w:val="left"/>
        <w:rPr>
          <w:rFonts w:hint="eastAsia" w:ascii="宋体" w:hAnsi="宋体" w:cs="宋体"/>
          <w:szCs w:val="21"/>
        </w:rPr>
      </w:pPr>
      <w:r>
        <w:rPr>
          <w:rFonts w:hint="eastAsia" w:ascii="宋体" w:hAnsi="宋体" w:cs="宋体"/>
          <w:szCs w:val="21"/>
        </w:rPr>
        <w:t>（3）投标人针对报价需要说明的其他文件和说明（格式自拟）。</w:t>
      </w:r>
    </w:p>
    <w:p w14:paraId="49F91523">
      <w:pPr>
        <w:snapToGrid w:val="0"/>
        <w:spacing w:line="360" w:lineRule="auto"/>
        <w:jc w:val="left"/>
        <w:rPr>
          <w:rFonts w:hint="eastAsia" w:ascii="宋体" w:hAnsi="宋体" w:cs="宋体"/>
          <w:szCs w:val="21"/>
        </w:rPr>
      </w:pPr>
    </w:p>
    <w:p w14:paraId="48700A3C">
      <w:pPr>
        <w:snapToGrid w:val="0"/>
        <w:spacing w:line="360" w:lineRule="auto"/>
        <w:jc w:val="left"/>
        <w:rPr>
          <w:rFonts w:hint="eastAsia" w:ascii="宋体" w:hAnsi="宋体" w:cs="宋体"/>
          <w:szCs w:val="21"/>
        </w:rPr>
      </w:pPr>
    </w:p>
    <w:p w14:paraId="6E13334A">
      <w:pPr>
        <w:snapToGrid w:val="0"/>
        <w:spacing w:line="360" w:lineRule="auto"/>
        <w:jc w:val="left"/>
        <w:rPr>
          <w:rFonts w:hint="eastAsia" w:ascii="宋体" w:hAnsi="宋体" w:cs="宋体"/>
          <w:szCs w:val="21"/>
        </w:rPr>
      </w:pPr>
    </w:p>
    <w:p w14:paraId="08CA8250">
      <w:pPr>
        <w:snapToGrid w:val="0"/>
        <w:spacing w:line="360" w:lineRule="auto"/>
        <w:jc w:val="left"/>
        <w:rPr>
          <w:rFonts w:hint="eastAsia" w:ascii="宋体" w:hAnsi="宋体" w:cs="宋体"/>
          <w:szCs w:val="21"/>
        </w:rPr>
      </w:pPr>
    </w:p>
    <w:p w14:paraId="430E98FE">
      <w:pPr>
        <w:snapToGrid w:val="0"/>
        <w:spacing w:line="360" w:lineRule="auto"/>
        <w:jc w:val="left"/>
        <w:rPr>
          <w:rFonts w:hint="eastAsia" w:ascii="宋体" w:hAnsi="宋体" w:cs="宋体"/>
          <w:szCs w:val="21"/>
        </w:rPr>
      </w:pPr>
    </w:p>
    <w:p w14:paraId="689B3EE1">
      <w:pPr>
        <w:snapToGrid w:val="0"/>
        <w:spacing w:line="360" w:lineRule="auto"/>
        <w:jc w:val="left"/>
        <w:rPr>
          <w:rFonts w:hint="eastAsia" w:ascii="宋体" w:hAnsi="宋体" w:cs="宋体"/>
          <w:szCs w:val="21"/>
        </w:rPr>
      </w:pPr>
    </w:p>
    <w:p w14:paraId="24BD5403">
      <w:pPr>
        <w:snapToGrid w:val="0"/>
        <w:spacing w:line="360" w:lineRule="auto"/>
        <w:jc w:val="left"/>
        <w:rPr>
          <w:rFonts w:hint="eastAsia" w:ascii="宋体" w:hAnsi="宋体" w:cs="宋体"/>
          <w:szCs w:val="21"/>
        </w:rPr>
      </w:pPr>
    </w:p>
    <w:p w14:paraId="3ADDEFBB">
      <w:pPr>
        <w:snapToGrid w:val="0"/>
        <w:spacing w:line="360" w:lineRule="auto"/>
        <w:jc w:val="left"/>
        <w:rPr>
          <w:rFonts w:hint="eastAsia" w:ascii="宋体" w:hAnsi="宋体" w:cs="宋体"/>
          <w:szCs w:val="21"/>
        </w:rPr>
      </w:pPr>
    </w:p>
    <w:p w14:paraId="2BBE4B5A">
      <w:pPr>
        <w:snapToGrid w:val="0"/>
        <w:spacing w:line="360" w:lineRule="auto"/>
        <w:jc w:val="left"/>
        <w:rPr>
          <w:rFonts w:hint="eastAsia" w:ascii="宋体" w:hAnsi="宋体" w:cs="宋体"/>
          <w:szCs w:val="21"/>
        </w:rPr>
      </w:pPr>
    </w:p>
    <w:p w14:paraId="6672268D">
      <w:pPr>
        <w:snapToGrid w:val="0"/>
        <w:spacing w:line="360" w:lineRule="auto"/>
        <w:jc w:val="left"/>
        <w:rPr>
          <w:rFonts w:hint="eastAsia" w:ascii="宋体" w:hAnsi="宋体" w:cs="宋体"/>
          <w:szCs w:val="21"/>
        </w:rPr>
      </w:pPr>
    </w:p>
    <w:p w14:paraId="3FDC44E5">
      <w:pPr>
        <w:snapToGrid w:val="0"/>
        <w:spacing w:line="360" w:lineRule="auto"/>
        <w:jc w:val="left"/>
        <w:rPr>
          <w:rFonts w:hint="eastAsia" w:ascii="宋体" w:hAnsi="宋体" w:cs="宋体"/>
          <w:szCs w:val="21"/>
        </w:rPr>
      </w:pPr>
    </w:p>
    <w:p w14:paraId="5FBF23DF">
      <w:pPr>
        <w:snapToGrid w:val="0"/>
        <w:spacing w:line="360" w:lineRule="auto"/>
        <w:jc w:val="left"/>
        <w:rPr>
          <w:rFonts w:hint="eastAsia" w:ascii="宋体" w:hAnsi="宋体" w:cs="宋体"/>
          <w:szCs w:val="21"/>
        </w:rPr>
      </w:pPr>
    </w:p>
    <w:p w14:paraId="62CEED19">
      <w:pPr>
        <w:snapToGrid w:val="0"/>
        <w:spacing w:line="360" w:lineRule="auto"/>
        <w:jc w:val="left"/>
        <w:rPr>
          <w:rFonts w:hint="eastAsia" w:ascii="宋体" w:hAnsi="宋体" w:cs="宋体"/>
          <w:szCs w:val="21"/>
        </w:rPr>
      </w:pPr>
    </w:p>
    <w:p w14:paraId="5613BC79">
      <w:pPr>
        <w:snapToGrid w:val="0"/>
        <w:spacing w:line="360" w:lineRule="auto"/>
        <w:jc w:val="left"/>
        <w:rPr>
          <w:rFonts w:hint="eastAsia" w:ascii="宋体" w:hAnsi="宋体" w:cs="宋体"/>
          <w:szCs w:val="21"/>
        </w:rPr>
      </w:pPr>
    </w:p>
    <w:p w14:paraId="534E75F5">
      <w:pPr>
        <w:snapToGrid w:val="0"/>
        <w:spacing w:line="360" w:lineRule="auto"/>
        <w:jc w:val="left"/>
        <w:rPr>
          <w:rFonts w:hint="eastAsia" w:ascii="宋体" w:hAnsi="宋体" w:cs="宋体"/>
          <w:szCs w:val="21"/>
        </w:rPr>
      </w:pPr>
    </w:p>
    <w:p w14:paraId="5F97269D">
      <w:pPr>
        <w:snapToGrid w:val="0"/>
        <w:spacing w:line="360" w:lineRule="auto"/>
        <w:jc w:val="left"/>
        <w:rPr>
          <w:rFonts w:hint="eastAsia" w:ascii="宋体" w:hAnsi="宋体" w:cs="宋体"/>
          <w:szCs w:val="21"/>
        </w:rPr>
      </w:pPr>
    </w:p>
    <w:p w14:paraId="394FB137">
      <w:pPr>
        <w:snapToGrid w:val="0"/>
        <w:spacing w:line="360" w:lineRule="auto"/>
        <w:jc w:val="left"/>
        <w:rPr>
          <w:rFonts w:hint="eastAsia" w:ascii="宋体" w:hAnsi="宋体" w:cs="宋体"/>
          <w:szCs w:val="21"/>
        </w:rPr>
      </w:pPr>
    </w:p>
    <w:p w14:paraId="597CB0A8">
      <w:pPr>
        <w:snapToGrid w:val="0"/>
        <w:spacing w:line="360" w:lineRule="auto"/>
        <w:jc w:val="left"/>
        <w:rPr>
          <w:rFonts w:hint="eastAsia" w:ascii="宋体" w:hAnsi="宋体" w:cs="宋体"/>
          <w:szCs w:val="21"/>
        </w:rPr>
      </w:pPr>
    </w:p>
    <w:p w14:paraId="3888AFB7">
      <w:pPr>
        <w:snapToGrid w:val="0"/>
        <w:spacing w:line="360" w:lineRule="auto"/>
        <w:jc w:val="left"/>
        <w:rPr>
          <w:rFonts w:hint="eastAsia" w:ascii="宋体" w:hAnsi="宋体" w:cs="宋体"/>
          <w:szCs w:val="21"/>
        </w:rPr>
      </w:pPr>
    </w:p>
    <w:p w14:paraId="4C07E6C5">
      <w:pPr>
        <w:snapToGrid w:val="0"/>
        <w:spacing w:line="360" w:lineRule="auto"/>
        <w:jc w:val="left"/>
        <w:rPr>
          <w:rFonts w:hint="eastAsia" w:ascii="宋体" w:hAnsi="宋体" w:cs="宋体"/>
          <w:szCs w:val="21"/>
        </w:rPr>
      </w:pPr>
    </w:p>
    <w:p w14:paraId="5BDD4CBF">
      <w:pPr>
        <w:snapToGrid w:val="0"/>
        <w:spacing w:line="360" w:lineRule="auto"/>
        <w:jc w:val="left"/>
        <w:rPr>
          <w:rFonts w:hint="eastAsia" w:ascii="宋体" w:hAnsi="宋体" w:cs="宋体"/>
          <w:szCs w:val="21"/>
        </w:rPr>
      </w:pPr>
    </w:p>
    <w:p w14:paraId="314BF0F2">
      <w:pPr>
        <w:snapToGrid w:val="0"/>
        <w:spacing w:line="360" w:lineRule="auto"/>
        <w:jc w:val="left"/>
        <w:rPr>
          <w:rFonts w:hint="eastAsia" w:ascii="宋体" w:hAnsi="宋体" w:cs="宋体"/>
          <w:szCs w:val="21"/>
        </w:rPr>
      </w:pPr>
    </w:p>
    <w:p w14:paraId="435A845F">
      <w:pPr>
        <w:snapToGrid w:val="0"/>
        <w:spacing w:line="360" w:lineRule="auto"/>
        <w:jc w:val="left"/>
        <w:rPr>
          <w:rFonts w:hint="eastAsia" w:ascii="宋体" w:hAnsi="宋体" w:cs="宋体"/>
          <w:szCs w:val="21"/>
        </w:rPr>
      </w:pPr>
    </w:p>
    <w:p w14:paraId="642A5292">
      <w:pPr>
        <w:snapToGrid w:val="0"/>
        <w:spacing w:line="360" w:lineRule="auto"/>
        <w:jc w:val="left"/>
        <w:rPr>
          <w:rFonts w:hint="eastAsia" w:ascii="宋体" w:hAnsi="宋体" w:cs="宋体"/>
          <w:szCs w:val="21"/>
        </w:rPr>
      </w:pPr>
    </w:p>
    <w:p w14:paraId="1E991806">
      <w:pPr>
        <w:snapToGrid w:val="0"/>
        <w:spacing w:line="360" w:lineRule="auto"/>
        <w:jc w:val="left"/>
        <w:rPr>
          <w:rFonts w:hint="eastAsia" w:ascii="宋体" w:hAnsi="宋体" w:cs="宋体"/>
          <w:szCs w:val="21"/>
        </w:rPr>
      </w:pPr>
    </w:p>
    <w:p w14:paraId="33381631">
      <w:pPr>
        <w:snapToGrid w:val="0"/>
        <w:spacing w:line="360" w:lineRule="auto"/>
        <w:jc w:val="left"/>
        <w:rPr>
          <w:rFonts w:hint="eastAsia" w:ascii="宋体" w:hAnsi="宋体" w:cs="宋体"/>
          <w:szCs w:val="21"/>
        </w:rPr>
      </w:pPr>
    </w:p>
    <w:p w14:paraId="12B43441">
      <w:pPr>
        <w:snapToGrid w:val="0"/>
        <w:spacing w:beforeLines="50" w:after="50"/>
        <w:jc w:val="center"/>
        <w:rPr>
          <w:rFonts w:hint="eastAsia" w:ascii="宋体" w:hAnsi="宋体" w:cs="宋体"/>
          <w:b/>
          <w:sz w:val="24"/>
          <w:szCs w:val="24"/>
        </w:rPr>
      </w:pPr>
    </w:p>
    <w:p w14:paraId="039B6BDD">
      <w:pPr>
        <w:snapToGrid w:val="0"/>
        <w:spacing w:beforeLines="50" w:after="50"/>
        <w:jc w:val="center"/>
        <w:rPr>
          <w:rFonts w:hint="eastAsia" w:ascii="宋体" w:hAnsi="宋体" w:cs="宋体"/>
          <w:b/>
          <w:sz w:val="24"/>
          <w:szCs w:val="24"/>
        </w:rPr>
      </w:pPr>
    </w:p>
    <w:p w14:paraId="48643745">
      <w:pPr>
        <w:snapToGrid w:val="0"/>
        <w:spacing w:beforeLines="50" w:after="50"/>
        <w:jc w:val="center"/>
        <w:rPr>
          <w:rFonts w:hint="eastAsia" w:ascii="宋体" w:hAnsi="宋体" w:cs="宋体"/>
          <w:b/>
          <w:sz w:val="24"/>
        </w:rPr>
      </w:pPr>
      <w:r>
        <w:rPr>
          <w:rFonts w:hint="eastAsia" w:ascii="宋体" w:hAnsi="宋体" w:cs="宋体"/>
          <w:b/>
          <w:sz w:val="24"/>
          <w:szCs w:val="24"/>
        </w:rPr>
        <w:t>投 标 函</w:t>
      </w:r>
    </w:p>
    <w:p w14:paraId="4641E653">
      <w:pPr>
        <w:snapToGrid w:val="0"/>
        <w:spacing w:line="360" w:lineRule="auto"/>
        <w:rPr>
          <w:rFonts w:hint="eastAsia" w:ascii="宋体" w:hAnsi="宋体" w:cs="宋体"/>
          <w:sz w:val="24"/>
          <w:szCs w:val="24"/>
        </w:rPr>
      </w:pPr>
      <w:r>
        <w:rPr>
          <w:rFonts w:hint="eastAsia" w:ascii="宋体" w:hAnsi="宋体" w:cs="宋体"/>
          <w:sz w:val="24"/>
          <w:szCs w:val="24"/>
        </w:rPr>
        <w:t>致：_______ （招标单位名称）：</w:t>
      </w:r>
    </w:p>
    <w:p w14:paraId="5B942C64">
      <w:pPr>
        <w:snapToGrid w:val="0"/>
        <w:spacing w:line="360" w:lineRule="auto"/>
        <w:ind w:firstLine="480"/>
        <w:rPr>
          <w:rFonts w:hint="eastAsia" w:ascii="宋体" w:hAnsi="宋体" w:cs="宋体"/>
          <w:sz w:val="24"/>
          <w:szCs w:val="24"/>
        </w:rPr>
      </w:pPr>
      <w:r>
        <w:rPr>
          <w:rFonts w:hint="eastAsia" w:ascii="宋体" w:hAnsi="宋体" w:cs="宋体"/>
          <w:sz w:val="24"/>
          <w:szCs w:val="24"/>
        </w:rPr>
        <w:t>根据贵方为</w:t>
      </w:r>
      <w:r>
        <w:rPr>
          <w:rFonts w:hint="eastAsia" w:ascii="宋体" w:hAnsi="宋体" w:cs="宋体"/>
          <w:sz w:val="24"/>
          <w:szCs w:val="24"/>
          <w:u w:val="single"/>
        </w:rPr>
        <w:t xml:space="preserve">                             </w:t>
      </w:r>
      <w:r>
        <w:rPr>
          <w:rFonts w:hint="eastAsia" w:ascii="宋体" w:hAnsi="宋体" w:cs="宋体"/>
          <w:sz w:val="24"/>
          <w:szCs w:val="24"/>
        </w:rPr>
        <w:t>项目的招标公告/投标邀请书</w:t>
      </w:r>
    </w:p>
    <w:p w14:paraId="6E30C148">
      <w:pPr>
        <w:snapToGrid w:val="0"/>
        <w:spacing w:line="360" w:lineRule="auto"/>
        <w:rPr>
          <w:rFonts w:hint="eastAsia" w:ascii="宋体" w:hAnsi="宋体" w:cs="宋体"/>
          <w:sz w:val="24"/>
          <w:szCs w:val="24"/>
        </w:rPr>
      </w:pPr>
      <w:r>
        <w:rPr>
          <w:rFonts w:hint="eastAsia" w:ascii="宋体" w:hAnsi="宋体" w:cs="宋体"/>
          <w:sz w:val="24"/>
          <w:szCs w:val="24"/>
        </w:rPr>
        <w:t>（项目编号：</w:t>
      </w:r>
      <w:r>
        <w:rPr>
          <w:rFonts w:hint="eastAsia" w:ascii="宋体" w:hAnsi="宋体" w:cs="宋体"/>
          <w:sz w:val="24"/>
          <w:szCs w:val="24"/>
          <w:u w:val="single"/>
        </w:rPr>
        <w:t xml:space="preserve">        </w:t>
      </w:r>
      <w:r>
        <w:rPr>
          <w:rFonts w:hint="eastAsia" w:ascii="宋体" w:hAnsi="宋体" w:cs="宋体"/>
          <w:sz w:val="24"/>
          <w:szCs w:val="24"/>
        </w:rPr>
        <w:t>），签字代表______（全名）经正式授权并代表投标人</w:t>
      </w:r>
      <w:r>
        <w:rPr>
          <w:rFonts w:hint="eastAsia" w:ascii="宋体" w:hAnsi="宋体" w:cs="宋体"/>
          <w:sz w:val="24"/>
          <w:szCs w:val="24"/>
          <w:u w:val="single"/>
        </w:rPr>
        <w:t xml:space="preserve">      </w:t>
      </w:r>
    </w:p>
    <w:p w14:paraId="4C7C227B">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据此函，签字代表宣布同意如下：</w:t>
      </w:r>
    </w:p>
    <w:p w14:paraId="783E6366">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1.投标人已详细审查全部“招标文件”，包括修改文件（如有的话）以及全部参考资料和有关附件，已经了解我方对于招标文件、招标过程、招标结果有依法进行询问、质疑、投诉的权利及相关渠道和要求。</w:t>
      </w:r>
    </w:p>
    <w:p w14:paraId="09CF6A99">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2.投标人在投标之前已经与贵方进行了充分的沟通，完全理解并接受招标文件的各项规定和要求，对招标文件的合理性、合法性不再有异议。</w:t>
      </w:r>
    </w:p>
    <w:p w14:paraId="5BFB3601">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3.本投标有效期自开标日起 ______日。</w:t>
      </w:r>
    </w:p>
    <w:p w14:paraId="264C4B5C">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4.如中标，本投标文件至本项目合同履行完毕止均保持有效，本投标人将按“招标文件”及政府采购法律、法规的规定履行合同责任和义务。</w:t>
      </w:r>
    </w:p>
    <w:p w14:paraId="1CCAEF48">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5.投标人同意按照贵方要求提供与投标有关的一切数据或资料。</w:t>
      </w:r>
    </w:p>
    <w:p w14:paraId="5CB3E032">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6.与本投标有关的一切正式往来信函请寄：</w:t>
      </w:r>
    </w:p>
    <w:p w14:paraId="64A2BF03">
      <w:pPr>
        <w:snapToGrid w:val="0"/>
        <w:spacing w:line="360" w:lineRule="auto"/>
        <w:rPr>
          <w:rFonts w:hint="eastAsia" w:ascii="宋体" w:hAnsi="宋体" w:cs="宋体"/>
          <w:sz w:val="24"/>
          <w:szCs w:val="24"/>
        </w:rPr>
      </w:pPr>
      <w:r>
        <w:rPr>
          <w:rFonts w:hint="eastAsia" w:ascii="宋体" w:hAnsi="宋体" w:cs="宋体"/>
          <w:sz w:val="24"/>
          <w:szCs w:val="24"/>
        </w:rPr>
        <w:t>地址：_____________邮编：__________   电话：______________</w:t>
      </w:r>
    </w:p>
    <w:p w14:paraId="531D1985">
      <w:pPr>
        <w:snapToGrid w:val="0"/>
        <w:spacing w:line="360" w:lineRule="auto"/>
        <w:rPr>
          <w:rFonts w:hint="eastAsia" w:ascii="宋体" w:hAnsi="宋体" w:cs="宋体"/>
          <w:sz w:val="24"/>
          <w:szCs w:val="24"/>
        </w:rPr>
      </w:pPr>
      <w:r>
        <w:rPr>
          <w:rFonts w:hint="eastAsia" w:ascii="宋体" w:hAnsi="宋体" w:cs="宋体"/>
          <w:sz w:val="24"/>
          <w:szCs w:val="24"/>
        </w:rPr>
        <w:t>传真：______________投标人代表姓名 ___________  职务：____________</w:t>
      </w:r>
    </w:p>
    <w:p w14:paraId="1CBAEDF3">
      <w:pPr>
        <w:snapToGrid w:val="0"/>
        <w:spacing w:line="360" w:lineRule="auto"/>
        <w:rPr>
          <w:rFonts w:hint="eastAsia" w:ascii="宋体" w:hAnsi="宋体" w:cs="宋体"/>
          <w:sz w:val="24"/>
          <w:szCs w:val="24"/>
        </w:rPr>
      </w:pPr>
      <w:r>
        <w:rPr>
          <w:rFonts w:hint="eastAsia" w:ascii="宋体" w:hAnsi="宋体" w:cs="宋体"/>
          <w:sz w:val="24"/>
          <w:szCs w:val="24"/>
        </w:rPr>
        <w:t>投标人名称(电子公章):___________________</w:t>
      </w:r>
    </w:p>
    <w:p w14:paraId="69F17446">
      <w:pPr>
        <w:snapToGrid w:val="0"/>
        <w:spacing w:line="360" w:lineRule="auto"/>
        <w:rPr>
          <w:rFonts w:hint="eastAsia" w:ascii="宋体" w:hAnsi="宋体" w:cs="宋体"/>
          <w:sz w:val="30"/>
        </w:rPr>
      </w:pPr>
      <w:r>
        <w:rPr>
          <w:rFonts w:hint="eastAsia" w:ascii="宋体" w:hAnsi="宋体" w:cs="宋体"/>
          <w:sz w:val="24"/>
          <w:szCs w:val="24"/>
        </w:rPr>
        <w:t>授权代表签字或电子盖章:___________              日期:_____年___月___日</w:t>
      </w:r>
    </w:p>
    <w:p w14:paraId="558B7357">
      <w:pPr>
        <w:snapToGrid w:val="0"/>
        <w:spacing w:before="295" w:after="295"/>
        <w:rPr>
          <w:rFonts w:hint="eastAsia" w:ascii="宋体" w:hAnsi="宋体" w:cs="宋体"/>
          <w:sz w:val="24"/>
          <w:szCs w:val="24"/>
        </w:rPr>
      </w:pPr>
    </w:p>
    <w:p w14:paraId="6224EAF7">
      <w:pPr>
        <w:spacing w:line="500" w:lineRule="exact"/>
        <w:ind w:firstLine="420" w:firstLineChars="200"/>
        <w:rPr>
          <w:rFonts w:hint="eastAsia" w:ascii="宋体" w:hAnsi="宋体" w:cs="宋体"/>
          <w:szCs w:val="24"/>
        </w:rPr>
      </w:pPr>
    </w:p>
    <w:p w14:paraId="73A12593">
      <w:pPr>
        <w:spacing w:line="500" w:lineRule="exact"/>
        <w:ind w:firstLine="420" w:firstLineChars="200"/>
        <w:rPr>
          <w:rFonts w:hint="eastAsia" w:ascii="宋体" w:hAnsi="宋体" w:cs="宋体"/>
          <w:szCs w:val="24"/>
        </w:rPr>
      </w:pPr>
    </w:p>
    <w:p w14:paraId="16DB18E9">
      <w:pPr>
        <w:spacing w:line="500" w:lineRule="exact"/>
        <w:ind w:firstLine="420" w:firstLineChars="200"/>
        <w:rPr>
          <w:rFonts w:hint="eastAsia" w:ascii="宋体" w:hAnsi="宋体" w:cs="宋体"/>
          <w:szCs w:val="24"/>
        </w:rPr>
      </w:pPr>
    </w:p>
    <w:p w14:paraId="23409DDC">
      <w:pPr>
        <w:spacing w:line="500" w:lineRule="exact"/>
        <w:ind w:firstLine="420" w:firstLineChars="200"/>
        <w:rPr>
          <w:rFonts w:hint="eastAsia" w:ascii="宋体" w:hAnsi="宋体" w:cs="宋体"/>
          <w:szCs w:val="24"/>
        </w:rPr>
      </w:pPr>
    </w:p>
    <w:p w14:paraId="40955257">
      <w:pPr>
        <w:spacing w:line="500" w:lineRule="exact"/>
        <w:ind w:firstLine="420" w:firstLineChars="200"/>
        <w:rPr>
          <w:rFonts w:hint="eastAsia" w:ascii="宋体" w:hAnsi="宋体" w:cs="宋体"/>
          <w:szCs w:val="24"/>
        </w:rPr>
      </w:pPr>
    </w:p>
    <w:p w14:paraId="65BB2C0A">
      <w:pPr>
        <w:spacing w:line="500" w:lineRule="exact"/>
        <w:ind w:firstLine="420" w:firstLineChars="200"/>
        <w:rPr>
          <w:rFonts w:ascii="宋体" w:hAnsi="宋体" w:cs="宋体"/>
          <w:szCs w:val="24"/>
        </w:rPr>
      </w:pPr>
    </w:p>
    <w:p w14:paraId="2F55CBFB">
      <w:pPr>
        <w:spacing w:line="500" w:lineRule="exact"/>
        <w:ind w:firstLine="420" w:firstLineChars="200"/>
        <w:rPr>
          <w:rFonts w:ascii="宋体" w:hAnsi="宋体" w:cs="宋体"/>
          <w:szCs w:val="24"/>
        </w:rPr>
      </w:pPr>
    </w:p>
    <w:p w14:paraId="6E35709F">
      <w:pPr>
        <w:spacing w:line="500" w:lineRule="exact"/>
        <w:ind w:firstLine="420" w:firstLineChars="200"/>
        <w:rPr>
          <w:rFonts w:hint="eastAsia" w:ascii="宋体" w:hAnsi="宋体" w:cs="宋体"/>
          <w:szCs w:val="24"/>
        </w:rPr>
      </w:pPr>
    </w:p>
    <w:p w14:paraId="11AD3E3A">
      <w:pPr>
        <w:spacing w:line="500" w:lineRule="exact"/>
        <w:ind w:firstLine="588" w:firstLineChars="196"/>
        <w:jc w:val="center"/>
        <w:rPr>
          <w:rFonts w:hint="eastAsia" w:ascii="宋体" w:hAnsi="宋体" w:cs="宋体"/>
          <w:sz w:val="30"/>
          <w:szCs w:val="30"/>
        </w:rPr>
      </w:pPr>
    </w:p>
    <w:p w14:paraId="1D4A7E4F">
      <w:pPr>
        <w:spacing w:line="500" w:lineRule="exact"/>
        <w:ind w:firstLine="588" w:firstLineChars="196"/>
        <w:jc w:val="center"/>
        <w:rPr>
          <w:rFonts w:hint="eastAsia" w:ascii="宋体" w:hAnsi="宋体" w:cs="宋体"/>
          <w:sz w:val="30"/>
          <w:szCs w:val="30"/>
        </w:rPr>
      </w:pPr>
      <w:r>
        <w:rPr>
          <w:rFonts w:hint="eastAsia" w:ascii="宋体" w:hAnsi="宋体" w:cs="宋体"/>
          <w:sz w:val="30"/>
          <w:szCs w:val="30"/>
        </w:rPr>
        <w:t>绍兴市上虞区人民政府办公室2025年第一期公款竞争性存放报价表</w:t>
      </w:r>
    </w:p>
    <w:p w14:paraId="479875DE">
      <w:pPr>
        <w:spacing w:line="500" w:lineRule="exact"/>
        <w:ind w:firstLine="2354" w:firstLineChars="981"/>
        <w:jc w:val="center"/>
        <w:rPr>
          <w:rFonts w:hint="eastAsia" w:ascii="宋体" w:hAnsi="宋体" w:cs="宋体"/>
          <w:b/>
          <w:szCs w:val="24"/>
        </w:rPr>
      </w:pPr>
      <w:r>
        <w:rPr>
          <w:rFonts w:hint="eastAsia" w:ascii="宋体" w:hAnsi="宋体" w:cs="宋体"/>
          <w:sz w:val="24"/>
          <w:szCs w:val="24"/>
        </w:rPr>
        <w:t>编号：</w:t>
      </w:r>
      <w:r>
        <w:rPr>
          <w:rFonts w:hint="eastAsia" w:ascii="宋体" w:hAnsi="宋体" w:cs="宋体"/>
          <w:sz w:val="24"/>
          <w:szCs w:val="24"/>
          <w:u w:val="single"/>
        </w:rPr>
        <w:t xml:space="preserve">       </w:t>
      </w:r>
      <w:r>
        <w:rPr>
          <w:rFonts w:ascii="宋体" w:hAnsi="宋体" w:cs="宋体"/>
          <w:sz w:val="24"/>
          <w:szCs w:val="24"/>
          <w:u w:val="single"/>
        </w:rPr>
        <w:t xml:space="preserve"> </w:t>
      </w:r>
    </w:p>
    <w:p w14:paraId="09CB368D">
      <w:pPr>
        <w:spacing w:line="400" w:lineRule="exact"/>
        <w:rPr>
          <w:rFonts w:hint="eastAsia" w:ascii="宋体" w:hAnsi="宋体" w:cs="宋体"/>
          <w:sz w:val="24"/>
          <w:szCs w:val="24"/>
          <w:u w:val="single"/>
        </w:rPr>
      </w:pPr>
    </w:p>
    <w:p w14:paraId="69C2D1C5">
      <w:pPr>
        <w:spacing w:line="400" w:lineRule="exact"/>
        <w:rPr>
          <w:rFonts w:hint="eastAsia" w:ascii="宋体" w:hAnsi="宋体" w:cs="宋体"/>
          <w:sz w:val="24"/>
          <w:szCs w:val="24"/>
        </w:rPr>
      </w:pPr>
      <w:r>
        <w:rPr>
          <w:rFonts w:hint="eastAsia" w:ascii="宋体" w:hAnsi="宋体" w:cs="宋体"/>
          <w:sz w:val="24"/>
          <w:szCs w:val="24"/>
        </w:rPr>
        <w:t>我单位承诺：本投标书由我单位授权经办人填写，内容真实、准确、完整。</w:t>
      </w:r>
    </w:p>
    <w:p w14:paraId="719216FA">
      <w:pPr>
        <w:spacing w:line="400" w:lineRule="exact"/>
        <w:rPr>
          <w:rFonts w:hint="eastAsia" w:ascii="宋体" w:hAnsi="宋体" w:cs="宋体"/>
          <w:sz w:val="24"/>
          <w:szCs w:val="24"/>
        </w:rPr>
      </w:pPr>
      <w:r>
        <w:rPr>
          <w:rFonts w:hint="eastAsia" w:ascii="宋体" w:hAnsi="宋体" w:cs="宋体"/>
          <w:sz w:val="24"/>
          <w:szCs w:val="24"/>
        </w:rPr>
        <w:t>投标方名称：__________________________________</w:t>
      </w:r>
    </w:p>
    <w:p w14:paraId="660B45AD">
      <w:pPr>
        <w:spacing w:line="400" w:lineRule="exact"/>
        <w:rPr>
          <w:rFonts w:hint="eastAsia" w:ascii="宋体" w:hAnsi="宋体" w:cs="宋体"/>
          <w:sz w:val="24"/>
          <w:szCs w:val="24"/>
        </w:rPr>
      </w:pPr>
      <w:r>
        <w:rPr>
          <w:rFonts w:hint="eastAsia" w:ascii="宋体" w:hAnsi="宋体" w:cs="宋体"/>
          <w:sz w:val="24"/>
          <w:szCs w:val="24"/>
        </w:rPr>
        <w:t>联系人：_________ 联系电话：_________</w:t>
      </w:r>
    </w:p>
    <w:p w14:paraId="3C3EB905">
      <w:pPr>
        <w:pStyle w:val="2"/>
        <w:spacing w:before="156" w:after="156"/>
        <w:rPr>
          <w:rFonts w:hint="eastAsia"/>
        </w:rPr>
      </w:pPr>
    </w:p>
    <w:tbl>
      <w:tblPr>
        <w:tblStyle w:val="4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78"/>
        <w:gridCol w:w="5505"/>
        <w:gridCol w:w="2157"/>
      </w:tblGrid>
      <w:tr w14:paraId="4EEACE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7" w:hRule="atLeast"/>
          <w:jc w:val="center"/>
        </w:trPr>
        <w:tc>
          <w:tcPr>
            <w:tcW w:w="1678" w:type="dxa"/>
            <w:tcBorders>
              <w:top w:val="single" w:color="auto" w:sz="4" w:space="0"/>
              <w:left w:val="single" w:color="auto" w:sz="4" w:space="0"/>
              <w:bottom w:val="single" w:color="auto" w:sz="4" w:space="0"/>
              <w:right w:val="single" w:color="auto" w:sz="4" w:space="0"/>
            </w:tcBorders>
            <w:vAlign w:val="center"/>
          </w:tcPr>
          <w:p w14:paraId="1D1288E2">
            <w:pPr>
              <w:snapToGrid w:val="0"/>
              <w:spacing w:line="460" w:lineRule="exact"/>
              <w:jc w:val="center"/>
              <w:rPr>
                <w:rFonts w:hint="eastAsia" w:ascii="宋体" w:hAnsi="宋体" w:cs="宋体"/>
                <w:b/>
                <w:sz w:val="24"/>
                <w:szCs w:val="24"/>
              </w:rPr>
            </w:pPr>
            <w:r>
              <w:rPr>
                <w:rFonts w:hint="eastAsia" w:ascii="宋体" w:hAnsi="宋体" w:cs="宋体"/>
                <w:b/>
                <w:sz w:val="24"/>
                <w:szCs w:val="24"/>
              </w:rPr>
              <w:t>项 目</w:t>
            </w:r>
          </w:p>
        </w:tc>
        <w:tc>
          <w:tcPr>
            <w:tcW w:w="5505" w:type="dxa"/>
            <w:tcBorders>
              <w:top w:val="single" w:color="auto" w:sz="4" w:space="0"/>
              <w:left w:val="single" w:color="auto" w:sz="4" w:space="0"/>
              <w:bottom w:val="single" w:color="auto" w:sz="4" w:space="0"/>
              <w:right w:val="single" w:color="auto" w:sz="4" w:space="0"/>
            </w:tcBorders>
            <w:vAlign w:val="center"/>
          </w:tcPr>
          <w:p w14:paraId="4819A788">
            <w:pPr>
              <w:snapToGrid w:val="0"/>
              <w:spacing w:line="460" w:lineRule="exact"/>
              <w:jc w:val="center"/>
              <w:rPr>
                <w:rFonts w:hint="eastAsia" w:ascii="宋体" w:hAnsi="宋体" w:cs="宋体"/>
                <w:b/>
                <w:sz w:val="24"/>
                <w:szCs w:val="24"/>
              </w:rPr>
            </w:pPr>
            <w:r>
              <w:rPr>
                <w:rFonts w:hint="eastAsia" w:ascii="宋体" w:hAnsi="宋体" w:cs="宋体"/>
                <w:b/>
                <w:sz w:val="24"/>
                <w:szCs w:val="24"/>
              </w:rPr>
              <w:t>详细说明</w:t>
            </w:r>
          </w:p>
        </w:tc>
        <w:tc>
          <w:tcPr>
            <w:tcW w:w="2157" w:type="dxa"/>
            <w:tcBorders>
              <w:top w:val="single" w:color="auto" w:sz="4" w:space="0"/>
              <w:left w:val="single" w:color="auto" w:sz="4" w:space="0"/>
              <w:bottom w:val="single" w:color="auto" w:sz="4" w:space="0"/>
              <w:right w:val="single" w:color="auto" w:sz="4" w:space="0"/>
            </w:tcBorders>
            <w:vAlign w:val="center"/>
          </w:tcPr>
          <w:p w14:paraId="12C90852">
            <w:pPr>
              <w:snapToGrid w:val="0"/>
              <w:spacing w:line="460" w:lineRule="exact"/>
              <w:jc w:val="center"/>
              <w:rPr>
                <w:rFonts w:hint="eastAsia" w:ascii="宋体" w:hAnsi="宋体" w:cs="宋体"/>
                <w:b/>
                <w:sz w:val="24"/>
                <w:szCs w:val="24"/>
              </w:rPr>
            </w:pPr>
            <w:r>
              <w:rPr>
                <w:rFonts w:hint="eastAsia" w:ascii="宋体" w:hAnsi="宋体" w:cs="宋体"/>
                <w:sz w:val="24"/>
              </w:rPr>
              <w:t>定期存款基准利率+BP数</w:t>
            </w:r>
          </w:p>
        </w:tc>
      </w:tr>
      <w:tr w14:paraId="0776F7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45" w:hRule="atLeast"/>
          <w:jc w:val="center"/>
        </w:trPr>
        <w:tc>
          <w:tcPr>
            <w:tcW w:w="1678" w:type="dxa"/>
            <w:tcBorders>
              <w:top w:val="single" w:color="auto" w:sz="4" w:space="0"/>
              <w:left w:val="single" w:color="auto" w:sz="4" w:space="0"/>
              <w:right w:val="single" w:color="auto" w:sz="4" w:space="0"/>
            </w:tcBorders>
            <w:vAlign w:val="center"/>
          </w:tcPr>
          <w:p w14:paraId="6C92B35B">
            <w:pPr>
              <w:snapToGrid w:val="0"/>
              <w:spacing w:line="400" w:lineRule="exact"/>
              <w:rPr>
                <w:rFonts w:hint="eastAsia" w:ascii="宋体" w:hAnsi="宋体" w:cs="宋体"/>
                <w:sz w:val="24"/>
                <w:szCs w:val="24"/>
              </w:rPr>
            </w:pPr>
            <w:r>
              <w:rPr>
                <w:rFonts w:hint="eastAsia" w:ascii="宋体" w:hAnsi="宋体" w:cs="宋体"/>
                <w:sz w:val="24"/>
              </w:rPr>
              <w:t>绍兴市上虞区人民政府办公室2025年第一期公款竞争性存放</w:t>
            </w:r>
          </w:p>
        </w:tc>
        <w:tc>
          <w:tcPr>
            <w:tcW w:w="5505" w:type="dxa"/>
            <w:tcBorders>
              <w:top w:val="single" w:color="auto" w:sz="4" w:space="0"/>
              <w:left w:val="single" w:color="auto" w:sz="4" w:space="0"/>
              <w:right w:val="single" w:color="auto" w:sz="4" w:space="0"/>
            </w:tcBorders>
            <w:vAlign w:val="center"/>
          </w:tcPr>
          <w:p w14:paraId="378E389A">
            <w:pPr>
              <w:widowControl/>
              <w:jc w:val="left"/>
              <w:rPr>
                <w:rFonts w:hint="eastAsia" w:ascii="宋体" w:hAnsi="宋体" w:cs="宋体"/>
                <w:sz w:val="24"/>
              </w:rPr>
            </w:pPr>
            <w:r>
              <w:rPr>
                <w:rFonts w:hint="eastAsia" w:ascii="宋体" w:hAnsi="宋体" w:cs="宋体"/>
                <w:sz w:val="24"/>
              </w:rPr>
              <w:t>投标人按中国人民银行规定定期存款基准利率上浮百分比描述定期存款利率执行标准，投标利率需符合行业内相关规定。</w:t>
            </w:r>
          </w:p>
        </w:tc>
        <w:tc>
          <w:tcPr>
            <w:tcW w:w="2157" w:type="dxa"/>
            <w:tcBorders>
              <w:top w:val="single" w:color="auto" w:sz="4" w:space="0"/>
              <w:left w:val="single" w:color="auto" w:sz="4" w:space="0"/>
              <w:bottom w:val="single" w:color="auto" w:sz="4" w:space="0"/>
              <w:right w:val="single" w:color="auto" w:sz="4" w:space="0"/>
            </w:tcBorders>
            <w:vAlign w:val="center"/>
          </w:tcPr>
          <w:p w14:paraId="00263653">
            <w:pPr>
              <w:snapToGrid w:val="0"/>
              <w:spacing w:line="460" w:lineRule="exact"/>
              <w:jc w:val="center"/>
              <w:rPr>
                <w:rFonts w:hint="eastAsia" w:ascii="宋体" w:hAnsi="宋体" w:cs="宋体"/>
                <w:b/>
                <w:sz w:val="24"/>
                <w:szCs w:val="24"/>
              </w:rPr>
            </w:pPr>
          </w:p>
        </w:tc>
      </w:tr>
    </w:tbl>
    <w:p w14:paraId="7E8266A5">
      <w:pPr>
        <w:snapToGrid w:val="0"/>
        <w:spacing w:line="360" w:lineRule="auto"/>
        <w:jc w:val="left"/>
        <w:rPr>
          <w:rFonts w:ascii="宋体" w:hAnsi="宋体" w:cs="宋体"/>
          <w:sz w:val="24"/>
          <w:szCs w:val="24"/>
        </w:rPr>
      </w:pPr>
    </w:p>
    <w:p w14:paraId="6EC6D8EE">
      <w:pPr>
        <w:snapToGrid w:val="0"/>
        <w:spacing w:line="360" w:lineRule="auto"/>
        <w:jc w:val="left"/>
        <w:rPr>
          <w:rFonts w:hint="eastAsia" w:ascii="宋体" w:hAnsi="宋体" w:cs="宋体"/>
          <w:sz w:val="24"/>
          <w:szCs w:val="24"/>
        </w:rPr>
      </w:pPr>
      <w:r>
        <w:rPr>
          <w:rFonts w:hint="eastAsia" w:ascii="宋体" w:hAnsi="宋体" w:cs="宋体"/>
          <w:sz w:val="24"/>
          <w:szCs w:val="24"/>
        </w:rPr>
        <w:t>注: 1、报价一经涂改，应在涂改处加盖单位公章或者由法定代表人或授权委托人签字或盖章，否则其投标作无效标处理。</w:t>
      </w:r>
    </w:p>
    <w:p w14:paraId="053022E8">
      <w:pPr>
        <w:snapToGrid w:val="0"/>
        <w:spacing w:line="360" w:lineRule="auto"/>
        <w:jc w:val="left"/>
        <w:rPr>
          <w:rFonts w:hint="eastAsia" w:ascii="宋体" w:hAnsi="宋体" w:cs="宋体"/>
          <w:sz w:val="24"/>
          <w:szCs w:val="24"/>
        </w:rPr>
      </w:pPr>
      <w:r>
        <w:rPr>
          <w:rFonts w:hint="eastAsia" w:ascii="宋体" w:hAnsi="宋体" w:cs="宋体"/>
          <w:sz w:val="24"/>
          <w:szCs w:val="24"/>
        </w:rPr>
        <w:t>2、招标人不接受某一标项中有2个(含)以上的报价或方案，若供应商在此表中有2个（含）以上的报价或方案，其投标作无效标处理。</w:t>
      </w:r>
    </w:p>
    <w:p w14:paraId="5CEE3EAB">
      <w:pPr>
        <w:tabs>
          <w:tab w:val="left" w:pos="0"/>
        </w:tabs>
        <w:spacing w:line="500" w:lineRule="exact"/>
        <w:ind w:firstLine="480" w:firstLineChars="200"/>
        <w:jc w:val="left"/>
        <w:rPr>
          <w:rFonts w:hint="eastAsia" w:ascii="宋体" w:hAnsi="宋体" w:cs="宋体"/>
          <w:sz w:val="24"/>
        </w:rPr>
      </w:pPr>
    </w:p>
    <w:p w14:paraId="6720E87A">
      <w:pPr>
        <w:tabs>
          <w:tab w:val="left" w:pos="0"/>
        </w:tabs>
        <w:spacing w:line="500" w:lineRule="exact"/>
        <w:ind w:firstLine="480" w:firstLineChars="200"/>
        <w:jc w:val="left"/>
        <w:rPr>
          <w:rFonts w:hint="eastAsia" w:ascii="宋体" w:hAnsi="宋体" w:cs="宋体"/>
          <w:sz w:val="24"/>
        </w:rPr>
      </w:pPr>
      <w:r>
        <w:rPr>
          <w:rFonts w:hint="eastAsia" w:ascii="宋体" w:hAnsi="宋体" w:cs="宋体"/>
          <w:sz w:val="24"/>
        </w:rPr>
        <w:t>法定代表人或其授权代理人签字或电子盖章：</w:t>
      </w:r>
    </w:p>
    <w:p w14:paraId="41BE1C6E">
      <w:pPr>
        <w:tabs>
          <w:tab w:val="left" w:pos="0"/>
        </w:tabs>
        <w:spacing w:line="500" w:lineRule="exact"/>
        <w:ind w:firstLine="480" w:firstLineChars="200"/>
        <w:jc w:val="left"/>
        <w:rPr>
          <w:rFonts w:hint="eastAsia" w:ascii="宋体" w:hAnsi="宋体" w:cs="宋体"/>
          <w:sz w:val="24"/>
        </w:rPr>
      </w:pPr>
    </w:p>
    <w:p w14:paraId="1DB32B70">
      <w:pPr>
        <w:pStyle w:val="5"/>
        <w:spacing w:line="500" w:lineRule="exact"/>
        <w:ind w:firstLine="0"/>
        <w:jc w:val="center"/>
        <w:rPr>
          <w:rFonts w:hint="eastAsia" w:ascii="宋体" w:hAnsi="宋体" w:cs="宋体"/>
          <w:b/>
          <w:sz w:val="28"/>
          <w:szCs w:val="28"/>
        </w:rPr>
      </w:pPr>
      <w:r>
        <w:rPr>
          <w:rFonts w:hint="eastAsia" w:ascii="宋体" w:hAnsi="宋体" w:cs="宋体"/>
          <w:sz w:val="24"/>
        </w:rPr>
        <w:t>日期：     年  月  日</w:t>
      </w:r>
    </w:p>
    <w:p w14:paraId="1C453A05">
      <w:pPr>
        <w:spacing w:line="500" w:lineRule="exact"/>
        <w:rPr>
          <w:rFonts w:hint="eastAsia" w:ascii="宋体" w:hAnsi="宋体" w:cs="宋体"/>
          <w:sz w:val="44"/>
          <w:szCs w:val="44"/>
        </w:rPr>
      </w:pPr>
    </w:p>
    <w:sectPr>
      <w:footerReference r:id="rId10" w:type="default"/>
      <w:pgSz w:w="11906" w:h="16838"/>
      <w:pgMar w:top="1304" w:right="1474" w:bottom="1304" w:left="1474"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AvantGarde Bk BT">
    <w:altName w:val="Arial"/>
    <w:panose1 w:val="00000000000000000000"/>
    <w:charset w:val="00"/>
    <w:family w:val="swiss"/>
    <w:pitch w:val="default"/>
    <w:sig w:usb0="00000000" w:usb1="00000000" w:usb2="00000000" w:usb3="00000000" w:csb0="00000011" w:csb1="00000000"/>
  </w:font>
  <w:font w:name="Verdana">
    <w:panose1 w:val="020B0604030504040204"/>
    <w:charset w:val="00"/>
    <w:family w:val="swiss"/>
    <w:pitch w:val="default"/>
    <w:sig w:usb0="A10006FF" w:usb1="4000205B" w:usb2="00000010" w:usb3="00000000" w:csb0="2000019F" w:csb1="00000000"/>
  </w:font>
  <w:font w:name="华文细黑">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长城仿宋">
    <w:altName w:val="Times New Roman"/>
    <w:panose1 w:val="00000000000000000000"/>
    <w:charset w:val="00"/>
    <w:family w:val="auto"/>
    <w:pitch w:val="default"/>
    <w:sig w:usb0="00000000" w:usb1="00000000" w:usb2="00000000" w:usb3="00000000" w:csb0="00040001" w:csb1="00000000"/>
  </w:font>
  <w:font w:name="Helvetica">
    <w:altName w:val="Arial"/>
    <w:panose1 w:val="020B0604020202020204"/>
    <w:charset w:val="00"/>
    <w:family w:val="swiss"/>
    <w:pitch w:val="default"/>
    <w:sig w:usb0="00000000" w:usb1="00000000"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EFB9E">
    <w:pPr>
      <w:pStyle w:val="30"/>
    </w:pPr>
    <w:r>
      <w:rPr>
        <w:lang w:val="zh-CN"/>
      </w:rPr>
      <w:t>[键入文字]</w:t>
    </w:r>
  </w:p>
  <w:p w14:paraId="0708D5F6">
    <w:pPr>
      <w:pStyle w:val="30"/>
      <w:jc w:val="center"/>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7BB6AB">
    <w:pPr>
      <w:pStyle w:val="30"/>
      <w:tabs>
        <w:tab w:val="center" w:pos="4666"/>
        <w:tab w:val="right" w:pos="9332"/>
        <w:tab w:val="clear" w:pos="4153"/>
        <w:tab w:val="clear" w:pos="8306"/>
      </w:tabs>
      <w:ind w:right="360"/>
    </w:pPr>
    <w:r>
      <w:rPr>
        <w:lang w:val="zh-CN"/>
      </w:rPr>
      <w:t>[键入文字]</w:t>
    </w:r>
    <w:r>
      <w:t xml:space="preserve"> </w:t>
    </w:r>
    <w:r>
      <w:rPr>
        <w:lang w:val="zh-CN"/>
      </w:rPr>
      <w:t>[键入文字]</w:t>
    </w:r>
    <w:r>
      <w:t xml:space="preserve"> </w:t>
    </w:r>
    <w:r>
      <w:rPr>
        <w:lang w:val="zh-CN"/>
      </w:rPr>
      <w:t>[键入文字]</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3E0C83">
    <w:pPr>
      <w:pStyle w:val="3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DC6C81">
    <w:pPr>
      <w:pStyle w:val="30"/>
      <w:rPr>
        <w:rFonts w:hint="eastAsia"/>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2EFBA4">
    <w:pPr>
      <w:pStyle w:val="30"/>
      <w:ind w:right="360" w:firstLine="360"/>
    </w:pPr>
    <w:r>
      <w:pict>
        <v:shape id="_x0000_s4097" o:spid="_x0000_s4097" o:spt="202" type="#_x0000_t202" style="position:absolute;left:0pt;margin-top:0pt;height:11.65pt;width:76.55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14:paraId="2B79657B">
                <w:pPr>
                  <w:snapToGrid w:val="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lang w:val="en-US" w:eastAsia="zh-CN"/>
                  </w:rPr>
                  <w:t>29</w:t>
                </w:r>
                <w:r>
                  <w:rPr>
                    <w:sz w:val="18"/>
                  </w:rPr>
                  <w:fldChar w:fldCharType="end"/>
                </w:r>
                <w:r>
                  <w:rPr>
                    <w:sz w:val="18"/>
                  </w:rPr>
                  <w:t xml:space="preserve"> 页 共 </w:t>
                </w:r>
                <w:r>
                  <w:rPr>
                    <w:rFonts w:hint="eastAsia"/>
                    <w:sz w:val="18"/>
                  </w:rPr>
                  <w:t xml:space="preserve">24 </w:t>
                </w:r>
                <w:r>
                  <w:rPr>
                    <w:sz w:val="18"/>
                  </w:rPr>
                  <w:t>页</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83D81B">
    <w:pPr>
      <w:pStyle w:val="31"/>
      <w:jc w:val="left"/>
      <w:rPr>
        <w:rFonts w:hint="eastAsia"/>
      </w:rPr>
    </w:pPr>
    <w:r>
      <w:rPr>
        <w:rFonts w:hint="eastAsia"/>
      </w:rPr>
      <w:t>绍兴市上虞区人民政府办公室2025年第一期公款竞争性存放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D96502">
    <w:pPr>
      <w:pStyle w:val="3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35044">
    <w:pPr>
      <w:pStyle w:val="31"/>
      <w:jc w:val="left"/>
    </w:pPr>
    <w:r>
      <w:rPr>
        <w:rFonts w:hint="eastAsia"/>
      </w:rPr>
      <w:t>绍兴市上虞区人民政府办公室2025年第一期公款竞争性存放</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7E"/>
    <w:multiLevelType w:val="singleLevel"/>
    <w:tmpl w:val="FFFFFF7E"/>
    <w:lvl w:ilvl="0" w:tentative="0">
      <w:start w:val="1"/>
      <w:numFmt w:val="decimal"/>
      <w:pStyle w:val="22"/>
      <w:lvlText w:val="%1."/>
      <w:lvlJc w:val="left"/>
      <w:pPr>
        <w:tabs>
          <w:tab w:val="left" w:pos="1200"/>
        </w:tabs>
        <w:ind w:left="1200" w:hanging="360"/>
      </w:pPr>
    </w:lvl>
  </w:abstractNum>
  <w:abstractNum w:abstractNumId="1">
    <w:nsid w:val="00000004"/>
    <w:multiLevelType w:val="multilevel"/>
    <w:tmpl w:val="00000004"/>
    <w:lvl w:ilvl="0" w:tentative="0">
      <w:start w:val="1"/>
      <w:numFmt w:val="decimal"/>
      <w:pStyle w:val="157"/>
      <w:lvlText w:val="%1."/>
      <w:lvlJc w:val="left"/>
      <w:pPr>
        <w:tabs>
          <w:tab w:val="left" w:pos="902"/>
        </w:tabs>
        <w:ind w:left="902" w:hanging="420"/>
      </w:pPr>
    </w:lvl>
    <w:lvl w:ilvl="1" w:tentative="0">
      <w:start w:val="1"/>
      <w:numFmt w:val="lowerLetter"/>
      <w:lvlText w:val="%2)"/>
      <w:lvlJc w:val="left"/>
      <w:pPr>
        <w:tabs>
          <w:tab w:val="left" w:pos="1322"/>
        </w:tabs>
        <w:ind w:left="1322" w:hanging="420"/>
      </w:pPr>
    </w:lvl>
    <w:lvl w:ilvl="2" w:tentative="0">
      <w:start w:val="1"/>
      <w:numFmt w:val="lowerRoman"/>
      <w:lvlText w:val="%3."/>
      <w:lvlJc w:val="right"/>
      <w:pPr>
        <w:tabs>
          <w:tab w:val="left" w:pos="1742"/>
        </w:tabs>
        <w:ind w:left="1742" w:hanging="420"/>
      </w:pPr>
    </w:lvl>
    <w:lvl w:ilvl="3" w:tentative="0">
      <w:start w:val="1"/>
      <w:numFmt w:val="decimal"/>
      <w:lvlText w:val="%4."/>
      <w:lvlJc w:val="left"/>
      <w:pPr>
        <w:tabs>
          <w:tab w:val="left" w:pos="2162"/>
        </w:tabs>
        <w:ind w:left="2162" w:hanging="420"/>
      </w:pPr>
    </w:lvl>
    <w:lvl w:ilvl="4" w:tentative="0">
      <w:start w:val="1"/>
      <w:numFmt w:val="lowerLetter"/>
      <w:lvlText w:val="%5)"/>
      <w:lvlJc w:val="left"/>
      <w:pPr>
        <w:tabs>
          <w:tab w:val="left" w:pos="2582"/>
        </w:tabs>
        <w:ind w:left="2582" w:hanging="420"/>
      </w:pPr>
    </w:lvl>
    <w:lvl w:ilvl="5" w:tentative="0">
      <w:start w:val="1"/>
      <w:numFmt w:val="lowerRoman"/>
      <w:pStyle w:val="94"/>
      <w:lvlText w:val="%6."/>
      <w:lvlJc w:val="right"/>
      <w:pPr>
        <w:tabs>
          <w:tab w:val="left" w:pos="3002"/>
        </w:tabs>
        <w:ind w:left="3002" w:hanging="420"/>
      </w:pPr>
    </w:lvl>
    <w:lvl w:ilvl="6" w:tentative="0">
      <w:start w:val="1"/>
      <w:numFmt w:val="decimal"/>
      <w:lvlText w:val="%7."/>
      <w:lvlJc w:val="left"/>
      <w:pPr>
        <w:tabs>
          <w:tab w:val="left" w:pos="3422"/>
        </w:tabs>
        <w:ind w:left="3422" w:hanging="420"/>
      </w:pPr>
    </w:lvl>
    <w:lvl w:ilvl="7" w:tentative="0">
      <w:start w:val="1"/>
      <w:numFmt w:val="lowerLetter"/>
      <w:lvlText w:val="%8)"/>
      <w:lvlJc w:val="left"/>
      <w:pPr>
        <w:tabs>
          <w:tab w:val="left" w:pos="3842"/>
        </w:tabs>
        <w:ind w:left="3842" w:hanging="420"/>
      </w:pPr>
    </w:lvl>
    <w:lvl w:ilvl="8" w:tentative="0">
      <w:start w:val="1"/>
      <w:numFmt w:val="lowerRoman"/>
      <w:lvlText w:val="%9."/>
      <w:lvlJc w:val="right"/>
      <w:pPr>
        <w:tabs>
          <w:tab w:val="left" w:pos="4262"/>
        </w:tabs>
        <w:ind w:left="4262" w:hanging="420"/>
      </w:pPr>
    </w:lvl>
  </w:abstractNum>
  <w:abstractNum w:abstractNumId="2">
    <w:nsid w:val="40042D1A"/>
    <w:multiLevelType w:val="multilevel"/>
    <w:tmpl w:val="40042D1A"/>
    <w:lvl w:ilvl="0" w:tentative="0">
      <w:start w:val="1"/>
      <w:numFmt w:val="bullet"/>
      <w:pStyle w:val="16"/>
      <w:lvlText w:val=""/>
      <w:lvlJc w:val="left"/>
      <w:pPr>
        <w:tabs>
          <w:tab w:val="left" w:pos="930"/>
        </w:tabs>
        <w:ind w:left="930" w:hanging="420"/>
      </w:pPr>
      <w:rPr>
        <w:rFonts w:hint="default" w:ascii="Wingdings" w:hAnsi="Wingdings"/>
      </w:rPr>
    </w:lvl>
    <w:lvl w:ilvl="1" w:tentative="0">
      <w:start w:val="1"/>
      <w:numFmt w:val="bullet"/>
      <w:lvlText w:val=""/>
      <w:lvlJc w:val="left"/>
      <w:pPr>
        <w:tabs>
          <w:tab w:val="left" w:pos="1350"/>
        </w:tabs>
        <w:ind w:left="1350" w:hanging="420"/>
      </w:pPr>
      <w:rPr>
        <w:rFonts w:hint="default" w:ascii="Wingdings" w:hAnsi="Wingdings"/>
      </w:rPr>
    </w:lvl>
    <w:lvl w:ilvl="2" w:tentative="0">
      <w:start w:val="1"/>
      <w:numFmt w:val="bullet"/>
      <w:lvlText w:val=""/>
      <w:lvlJc w:val="left"/>
      <w:pPr>
        <w:tabs>
          <w:tab w:val="left" w:pos="1770"/>
        </w:tabs>
        <w:ind w:left="1770" w:hanging="420"/>
      </w:pPr>
      <w:rPr>
        <w:rFonts w:hint="default" w:ascii="Wingdings" w:hAnsi="Wingdings"/>
      </w:rPr>
    </w:lvl>
    <w:lvl w:ilvl="3" w:tentative="0">
      <w:start w:val="1"/>
      <w:numFmt w:val="bullet"/>
      <w:lvlText w:val=""/>
      <w:lvlJc w:val="left"/>
      <w:pPr>
        <w:tabs>
          <w:tab w:val="left" w:pos="2190"/>
        </w:tabs>
        <w:ind w:left="2190" w:hanging="420"/>
      </w:pPr>
      <w:rPr>
        <w:rFonts w:hint="default" w:ascii="Wingdings" w:hAnsi="Wingdings"/>
      </w:rPr>
    </w:lvl>
    <w:lvl w:ilvl="4" w:tentative="0">
      <w:start w:val="1"/>
      <w:numFmt w:val="bullet"/>
      <w:lvlText w:val=""/>
      <w:lvlJc w:val="left"/>
      <w:pPr>
        <w:tabs>
          <w:tab w:val="left" w:pos="2610"/>
        </w:tabs>
        <w:ind w:left="2610" w:hanging="420"/>
      </w:pPr>
      <w:rPr>
        <w:rFonts w:hint="default" w:ascii="Wingdings" w:hAnsi="Wingdings"/>
      </w:rPr>
    </w:lvl>
    <w:lvl w:ilvl="5" w:tentative="0">
      <w:start w:val="1"/>
      <w:numFmt w:val="bullet"/>
      <w:lvlText w:val=""/>
      <w:lvlJc w:val="left"/>
      <w:pPr>
        <w:tabs>
          <w:tab w:val="left" w:pos="3030"/>
        </w:tabs>
        <w:ind w:left="3030" w:hanging="420"/>
      </w:pPr>
      <w:rPr>
        <w:rFonts w:hint="default" w:ascii="Wingdings" w:hAnsi="Wingdings"/>
      </w:rPr>
    </w:lvl>
    <w:lvl w:ilvl="6" w:tentative="0">
      <w:start w:val="1"/>
      <w:numFmt w:val="bullet"/>
      <w:lvlText w:val=""/>
      <w:lvlJc w:val="left"/>
      <w:pPr>
        <w:tabs>
          <w:tab w:val="left" w:pos="3450"/>
        </w:tabs>
        <w:ind w:left="3450" w:hanging="420"/>
      </w:pPr>
      <w:rPr>
        <w:rFonts w:hint="default" w:ascii="Wingdings" w:hAnsi="Wingdings"/>
      </w:rPr>
    </w:lvl>
    <w:lvl w:ilvl="7" w:tentative="0">
      <w:start w:val="1"/>
      <w:numFmt w:val="bullet"/>
      <w:lvlText w:val=""/>
      <w:lvlJc w:val="left"/>
      <w:pPr>
        <w:tabs>
          <w:tab w:val="left" w:pos="3870"/>
        </w:tabs>
        <w:ind w:left="3870" w:hanging="420"/>
      </w:pPr>
      <w:rPr>
        <w:rFonts w:hint="default" w:ascii="Wingdings" w:hAnsi="Wingdings"/>
      </w:rPr>
    </w:lvl>
    <w:lvl w:ilvl="8" w:tentative="0">
      <w:start w:val="1"/>
      <w:numFmt w:val="bullet"/>
      <w:lvlText w:val=""/>
      <w:lvlJc w:val="left"/>
      <w:pPr>
        <w:tabs>
          <w:tab w:val="left" w:pos="4290"/>
        </w:tabs>
        <w:ind w:left="4290" w:hanging="420"/>
      </w:pPr>
      <w:rPr>
        <w:rFonts w:hint="default" w:ascii="Wingdings" w:hAnsi="Wingdings"/>
      </w:rPr>
    </w:lvl>
  </w:abstractNum>
  <w:abstractNum w:abstractNumId="3">
    <w:nsid w:val="550BD868"/>
    <w:multiLevelType w:val="singleLevel"/>
    <w:tmpl w:val="550BD868"/>
    <w:lvl w:ilvl="0" w:tentative="0">
      <w:start w:val="2"/>
      <w:numFmt w:val="decimal"/>
      <w:pStyle w:val="125"/>
      <w:suff w:val="nothing"/>
      <w:lvlText w:val="（%1）"/>
      <w:lvlJc w:val="left"/>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HorizontalSpacing w:val="105"/>
  <w:drawingGridVerticalSpacing w:val="156"/>
  <w:doNotShadeFormData w:val="1"/>
  <w:noPunctuationKerning w:val="1"/>
  <w:characterSpacingControl w:val="compressPunctuation"/>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GYwNzU3MzYzMmZkNTMxYTZkOTY4ZTQ2YzA1MjFjMzMifQ=="/>
  </w:docVars>
  <w:rsids>
    <w:rsidRoot w:val="00172A27"/>
    <w:rsid w:val="000131A8"/>
    <w:rsid w:val="000138DD"/>
    <w:rsid w:val="000201CE"/>
    <w:rsid w:val="00025FCF"/>
    <w:rsid w:val="000325BB"/>
    <w:rsid w:val="00032804"/>
    <w:rsid w:val="0003487A"/>
    <w:rsid w:val="00034CE0"/>
    <w:rsid w:val="00036B6F"/>
    <w:rsid w:val="0004377E"/>
    <w:rsid w:val="00045B3D"/>
    <w:rsid w:val="00051777"/>
    <w:rsid w:val="00052902"/>
    <w:rsid w:val="000544F9"/>
    <w:rsid w:val="00055E20"/>
    <w:rsid w:val="0005656E"/>
    <w:rsid w:val="00063ECE"/>
    <w:rsid w:val="00065F47"/>
    <w:rsid w:val="0007130C"/>
    <w:rsid w:val="000729F8"/>
    <w:rsid w:val="000828CA"/>
    <w:rsid w:val="00087FB9"/>
    <w:rsid w:val="00093342"/>
    <w:rsid w:val="0009596B"/>
    <w:rsid w:val="000A14A9"/>
    <w:rsid w:val="000A3E0D"/>
    <w:rsid w:val="000A4DEE"/>
    <w:rsid w:val="000B65BA"/>
    <w:rsid w:val="000C0209"/>
    <w:rsid w:val="000D0F21"/>
    <w:rsid w:val="000D4382"/>
    <w:rsid w:val="000D4A84"/>
    <w:rsid w:val="000D4E9B"/>
    <w:rsid w:val="000E48BD"/>
    <w:rsid w:val="000F6003"/>
    <w:rsid w:val="00102ABC"/>
    <w:rsid w:val="00113DCB"/>
    <w:rsid w:val="0012076A"/>
    <w:rsid w:val="00124A9C"/>
    <w:rsid w:val="00125D28"/>
    <w:rsid w:val="001422AC"/>
    <w:rsid w:val="00142A41"/>
    <w:rsid w:val="0015205E"/>
    <w:rsid w:val="00153D5D"/>
    <w:rsid w:val="0015540D"/>
    <w:rsid w:val="001578F1"/>
    <w:rsid w:val="00157E44"/>
    <w:rsid w:val="00161021"/>
    <w:rsid w:val="001615F6"/>
    <w:rsid w:val="0017099C"/>
    <w:rsid w:val="00174B2E"/>
    <w:rsid w:val="00174C6B"/>
    <w:rsid w:val="00181965"/>
    <w:rsid w:val="00184016"/>
    <w:rsid w:val="0018654F"/>
    <w:rsid w:val="001A1E4C"/>
    <w:rsid w:val="001A2E6A"/>
    <w:rsid w:val="001B20DF"/>
    <w:rsid w:val="001B3416"/>
    <w:rsid w:val="001B431B"/>
    <w:rsid w:val="001B6B4C"/>
    <w:rsid w:val="001B789F"/>
    <w:rsid w:val="001C11DB"/>
    <w:rsid w:val="001C5096"/>
    <w:rsid w:val="001D684A"/>
    <w:rsid w:val="001E3442"/>
    <w:rsid w:val="001E5EF7"/>
    <w:rsid w:val="001F57B9"/>
    <w:rsid w:val="00202864"/>
    <w:rsid w:val="0020426F"/>
    <w:rsid w:val="00204E50"/>
    <w:rsid w:val="00225C63"/>
    <w:rsid w:val="0023054D"/>
    <w:rsid w:val="00230FEC"/>
    <w:rsid w:val="00242FEC"/>
    <w:rsid w:val="002536DA"/>
    <w:rsid w:val="0026772E"/>
    <w:rsid w:val="00274EE1"/>
    <w:rsid w:val="002853EC"/>
    <w:rsid w:val="0028624F"/>
    <w:rsid w:val="00290523"/>
    <w:rsid w:val="002A4B5D"/>
    <w:rsid w:val="002B154F"/>
    <w:rsid w:val="002B6562"/>
    <w:rsid w:val="002B7605"/>
    <w:rsid w:val="002D1BBF"/>
    <w:rsid w:val="002D708E"/>
    <w:rsid w:val="002F6ACA"/>
    <w:rsid w:val="003071B4"/>
    <w:rsid w:val="00311F7C"/>
    <w:rsid w:val="00316834"/>
    <w:rsid w:val="00330195"/>
    <w:rsid w:val="0033127F"/>
    <w:rsid w:val="00333355"/>
    <w:rsid w:val="003344B2"/>
    <w:rsid w:val="003346CE"/>
    <w:rsid w:val="00336729"/>
    <w:rsid w:val="00340718"/>
    <w:rsid w:val="003416DC"/>
    <w:rsid w:val="00343C27"/>
    <w:rsid w:val="0035290F"/>
    <w:rsid w:val="00365578"/>
    <w:rsid w:val="0037480F"/>
    <w:rsid w:val="0037668E"/>
    <w:rsid w:val="00380C0F"/>
    <w:rsid w:val="00386364"/>
    <w:rsid w:val="003878A4"/>
    <w:rsid w:val="003902C6"/>
    <w:rsid w:val="00393D2C"/>
    <w:rsid w:val="0039729A"/>
    <w:rsid w:val="003A007C"/>
    <w:rsid w:val="003C08B8"/>
    <w:rsid w:val="003C3404"/>
    <w:rsid w:val="003C376C"/>
    <w:rsid w:val="003C46EF"/>
    <w:rsid w:val="003E1384"/>
    <w:rsid w:val="003E30DB"/>
    <w:rsid w:val="003E5114"/>
    <w:rsid w:val="003E5EEE"/>
    <w:rsid w:val="003F48E5"/>
    <w:rsid w:val="00403614"/>
    <w:rsid w:val="00406F91"/>
    <w:rsid w:val="004206B1"/>
    <w:rsid w:val="00422CD3"/>
    <w:rsid w:val="00423C6D"/>
    <w:rsid w:val="00435AB1"/>
    <w:rsid w:val="0044378F"/>
    <w:rsid w:val="004562E3"/>
    <w:rsid w:val="004640B7"/>
    <w:rsid w:val="00464CC3"/>
    <w:rsid w:val="004666E8"/>
    <w:rsid w:val="004673A0"/>
    <w:rsid w:val="0047412E"/>
    <w:rsid w:val="004A2852"/>
    <w:rsid w:val="004A72C1"/>
    <w:rsid w:val="004B1B2B"/>
    <w:rsid w:val="004B2BDE"/>
    <w:rsid w:val="004B3C80"/>
    <w:rsid w:val="004B6ED5"/>
    <w:rsid w:val="004D13C6"/>
    <w:rsid w:val="004D147C"/>
    <w:rsid w:val="004D1A6A"/>
    <w:rsid w:val="00502C6B"/>
    <w:rsid w:val="00503963"/>
    <w:rsid w:val="0051775F"/>
    <w:rsid w:val="00521F7D"/>
    <w:rsid w:val="005316F5"/>
    <w:rsid w:val="00533C79"/>
    <w:rsid w:val="0053645F"/>
    <w:rsid w:val="00537E12"/>
    <w:rsid w:val="00540DFF"/>
    <w:rsid w:val="00541EA4"/>
    <w:rsid w:val="00542943"/>
    <w:rsid w:val="00547929"/>
    <w:rsid w:val="00547AA7"/>
    <w:rsid w:val="00550C1B"/>
    <w:rsid w:val="005559E3"/>
    <w:rsid w:val="0056465B"/>
    <w:rsid w:val="00580A2A"/>
    <w:rsid w:val="005859C3"/>
    <w:rsid w:val="005955CD"/>
    <w:rsid w:val="005971EE"/>
    <w:rsid w:val="005A648A"/>
    <w:rsid w:val="005B31A0"/>
    <w:rsid w:val="005B62BF"/>
    <w:rsid w:val="005B6360"/>
    <w:rsid w:val="005E04CE"/>
    <w:rsid w:val="005E6948"/>
    <w:rsid w:val="005E7541"/>
    <w:rsid w:val="006056FB"/>
    <w:rsid w:val="00612E3A"/>
    <w:rsid w:val="00613FBC"/>
    <w:rsid w:val="0062310E"/>
    <w:rsid w:val="0062508B"/>
    <w:rsid w:val="00632BFF"/>
    <w:rsid w:val="00643C3F"/>
    <w:rsid w:val="00650C7F"/>
    <w:rsid w:val="006700A4"/>
    <w:rsid w:val="00670194"/>
    <w:rsid w:val="00675D28"/>
    <w:rsid w:val="00675D77"/>
    <w:rsid w:val="0068248F"/>
    <w:rsid w:val="00687022"/>
    <w:rsid w:val="00690896"/>
    <w:rsid w:val="006927DD"/>
    <w:rsid w:val="006A6952"/>
    <w:rsid w:val="006A7ABA"/>
    <w:rsid w:val="006C4279"/>
    <w:rsid w:val="006C4EA5"/>
    <w:rsid w:val="006C6750"/>
    <w:rsid w:val="006C78B5"/>
    <w:rsid w:val="006F1F43"/>
    <w:rsid w:val="006F2BB3"/>
    <w:rsid w:val="006F7266"/>
    <w:rsid w:val="00703306"/>
    <w:rsid w:val="007177D9"/>
    <w:rsid w:val="00717D57"/>
    <w:rsid w:val="00723A0F"/>
    <w:rsid w:val="00723B44"/>
    <w:rsid w:val="00723CC2"/>
    <w:rsid w:val="007252FB"/>
    <w:rsid w:val="00730603"/>
    <w:rsid w:val="00734FE3"/>
    <w:rsid w:val="0074159E"/>
    <w:rsid w:val="00742E6D"/>
    <w:rsid w:val="00743442"/>
    <w:rsid w:val="00753D36"/>
    <w:rsid w:val="0077372A"/>
    <w:rsid w:val="00776479"/>
    <w:rsid w:val="0077651C"/>
    <w:rsid w:val="007844B8"/>
    <w:rsid w:val="007A2A12"/>
    <w:rsid w:val="007B0A4F"/>
    <w:rsid w:val="007B1EF6"/>
    <w:rsid w:val="007B7D25"/>
    <w:rsid w:val="007B7E6F"/>
    <w:rsid w:val="007C4F98"/>
    <w:rsid w:val="007C5880"/>
    <w:rsid w:val="007C5C25"/>
    <w:rsid w:val="007D1446"/>
    <w:rsid w:val="007D21CB"/>
    <w:rsid w:val="007D2EEE"/>
    <w:rsid w:val="007D49DC"/>
    <w:rsid w:val="007D4A55"/>
    <w:rsid w:val="007D51FC"/>
    <w:rsid w:val="007E503E"/>
    <w:rsid w:val="007E74EE"/>
    <w:rsid w:val="007F125E"/>
    <w:rsid w:val="00801B21"/>
    <w:rsid w:val="0080436E"/>
    <w:rsid w:val="008230F7"/>
    <w:rsid w:val="00823BAA"/>
    <w:rsid w:val="0082402A"/>
    <w:rsid w:val="0084034F"/>
    <w:rsid w:val="0084724E"/>
    <w:rsid w:val="00856852"/>
    <w:rsid w:val="00863F10"/>
    <w:rsid w:val="008651B0"/>
    <w:rsid w:val="00880E8E"/>
    <w:rsid w:val="008817E9"/>
    <w:rsid w:val="008834C7"/>
    <w:rsid w:val="00884114"/>
    <w:rsid w:val="00895279"/>
    <w:rsid w:val="008B162D"/>
    <w:rsid w:val="008B1CC8"/>
    <w:rsid w:val="008B3BD9"/>
    <w:rsid w:val="008D0E2A"/>
    <w:rsid w:val="008E0475"/>
    <w:rsid w:val="008E25A2"/>
    <w:rsid w:val="008E3C7E"/>
    <w:rsid w:val="008E4764"/>
    <w:rsid w:val="008E5A46"/>
    <w:rsid w:val="0090137E"/>
    <w:rsid w:val="00901B92"/>
    <w:rsid w:val="009065E3"/>
    <w:rsid w:val="00907F44"/>
    <w:rsid w:val="00917078"/>
    <w:rsid w:val="0091732E"/>
    <w:rsid w:val="00930FFC"/>
    <w:rsid w:val="00933A33"/>
    <w:rsid w:val="009440C3"/>
    <w:rsid w:val="00946A0D"/>
    <w:rsid w:val="0095028D"/>
    <w:rsid w:val="00951D17"/>
    <w:rsid w:val="00952534"/>
    <w:rsid w:val="009537F5"/>
    <w:rsid w:val="00957649"/>
    <w:rsid w:val="00964AA2"/>
    <w:rsid w:val="009675E1"/>
    <w:rsid w:val="00972E24"/>
    <w:rsid w:val="00982EE7"/>
    <w:rsid w:val="00983B67"/>
    <w:rsid w:val="00985E58"/>
    <w:rsid w:val="00990A8B"/>
    <w:rsid w:val="00991AF0"/>
    <w:rsid w:val="00992E1E"/>
    <w:rsid w:val="00995F14"/>
    <w:rsid w:val="009B29FB"/>
    <w:rsid w:val="009C0C6D"/>
    <w:rsid w:val="009D750B"/>
    <w:rsid w:val="009E0964"/>
    <w:rsid w:val="009E22B0"/>
    <w:rsid w:val="009E4FBA"/>
    <w:rsid w:val="00A0400E"/>
    <w:rsid w:val="00A07423"/>
    <w:rsid w:val="00A11732"/>
    <w:rsid w:val="00A21EAF"/>
    <w:rsid w:val="00A241CC"/>
    <w:rsid w:val="00A254B0"/>
    <w:rsid w:val="00A32186"/>
    <w:rsid w:val="00A34C01"/>
    <w:rsid w:val="00A4628A"/>
    <w:rsid w:val="00A638B2"/>
    <w:rsid w:val="00A67DB7"/>
    <w:rsid w:val="00A71761"/>
    <w:rsid w:val="00A72536"/>
    <w:rsid w:val="00A814BD"/>
    <w:rsid w:val="00A8437D"/>
    <w:rsid w:val="00A95F0C"/>
    <w:rsid w:val="00A9715A"/>
    <w:rsid w:val="00A9734C"/>
    <w:rsid w:val="00AB15FD"/>
    <w:rsid w:val="00AB7D2D"/>
    <w:rsid w:val="00AC2DD5"/>
    <w:rsid w:val="00AC5DBE"/>
    <w:rsid w:val="00AC62C2"/>
    <w:rsid w:val="00AD1BDC"/>
    <w:rsid w:val="00AE02B7"/>
    <w:rsid w:val="00AE3E7F"/>
    <w:rsid w:val="00AE4D79"/>
    <w:rsid w:val="00AF4699"/>
    <w:rsid w:val="00AF70AB"/>
    <w:rsid w:val="00B114CE"/>
    <w:rsid w:val="00B15F0E"/>
    <w:rsid w:val="00B1692A"/>
    <w:rsid w:val="00B31EBE"/>
    <w:rsid w:val="00B32487"/>
    <w:rsid w:val="00B349BA"/>
    <w:rsid w:val="00B41086"/>
    <w:rsid w:val="00B42E96"/>
    <w:rsid w:val="00B44344"/>
    <w:rsid w:val="00B4604F"/>
    <w:rsid w:val="00B479AA"/>
    <w:rsid w:val="00B51E3D"/>
    <w:rsid w:val="00B631BF"/>
    <w:rsid w:val="00B67BED"/>
    <w:rsid w:val="00B8340F"/>
    <w:rsid w:val="00B849D9"/>
    <w:rsid w:val="00B90560"/>
    <w:rsid w:val="00BA1E06"/>
    <w:rsid w:val="00BB52E8"/>
    <w:rsid w:val="00BB5491"/>
    <w:rsid w:val="00BB77F7"/>
    <w:rsid w:val="00BD0038"/>
    <w:rsid w:val="00BD5953"/>
    <w:rsid w:val="00BD711F"/>
    <w:rsid w:val="00BE0ACB"/>
    <w:rsid w:val="00BE256C"/>
    <w:rsid w:val="00BE616F"/>
    <w:rsid w:val="00BF3A12"/>
    <w:rsid w:val="00C03948"/>
    <w:rsid w:val="00C04029"/>
    <w:rsid w:val="00C05B08"/>
    <w:rsid w:val="00C07265"/>
    <w:rsid w:val="00C10EB9"/>
    <w:rsid w:val="00C10F25"/>
    <w:rsid w:val="00C22A0C"/>
    <w:rsid w:val="00C262A4"/>
    <w:rsid w:val="00C26869"/>
    <w:rsid w:val="00C36203"/>
    <w:rsid w:val="00C45757"/>
    <w:rsid w:val="00C461F1"/>
    <w:rsid w:val="00C46520"/>
    <w:rsid w:val="00C52F7E"/>
    <w:rsid w:val="00C55245"/>
    <w:rsid w:val="00C57EEA"/>
    <w:rsid w:val="00C71D1E"/>
    <w:rsid w:val="00C74AB1"/>
    <w:rsid w:val="00C76836"/>
    <w:rsid w:val="00C82FE8"/>
    <w:rsid w:val="00C87AAF"/>
    <w:rsid w:val="00C94A57"/>
    <w:rsid w:val="00CA558B"/>
    <w:rsid w:val="00CA59A9"/>
    <w:rsid w:val="00CA6005"/>
    <w:rsid w:val="00CB17AA"/>
    <w:rsid w:val="00CC3A79"/>
    <w:rsid w:val="00CC4978"/>
    <w:rsid w:val="00CC4AF1"/>
    <w:rsid w:val="00CC59DD"/>
    <w:rsid w:val="00CD6787"/>
    <w:rsid w:val="00CE286B"/>
    <w:rsid w:val="00CE60CB"/>
    <w:rsid w:val="00CE6D9E"/>
    <w:rsid w:val="00CF69D1"/>
    <w:rsid w:val="00D01460"/>
    <w:rsid w:val="00D03FE5"/>
    <w:rsid w:val="00D2471D"/>
    <w:rsid w:val="00D254B6"/>
    <w:rsid w:val="00D31930"/>
    <w:rsid w:val="00D33F2A"/>
    <w:rsid w:val="00D45C89"/>
    <w:rsid w:val="00D4638B"/>
    <w:rsid w:val="00D647D6"/>
    <w:rsid w:val="00D65B81"/>
    <w:rsid w:val="00D719AB"/>
    <w:rsid w:val="00D75FE1"/>
    <w:rsid w:val="00D9108D"/>
    <w:rsid w:val="00D91242"/>
    <w:rsid w:val="00D94449"/>
    <w:rsid w:val="00D9741E"/>
    <w:rsid w:val="00DA677B"/>
    <w:rsid w:val="00DB2C38"/>
    <w:rsid w:val="00DB537D"/>
    <w:rsid w:val="00DC0635"/>
    <w:rsid w:val="00DC4E4E"/>
    <w:rsid w:val="00DC5EC2"/>
    <w:rsid w:val="00DD5A53"/>
    <w:rsid w:val="00DD692E"/>
    <w:rsid w:val="00DE4893"/>
    <w:rsid w:val="00DF4E25"/>
    <w:rsid w:val="00E00E03"/>
    <w:rsid w:val="00E0693D"/>
    <w:rsid w:val="00E21E42"/>
    <w:rsid w:val="00E22858"/>
    <w:rsid w:val="00E22B6E"/>
    <w:rsid w:val="00E4462E"/>
    <w:rsid w:val="00E51A9C"/>
    <w:rsid w:val="00E6717E"/>
    <w:rsid w:val="00E70B89"/>
    <w:rsid w:val="00E74D47"/>
    <w:rsid w:val="00E755BB"/>
    <w:rsid w:val="00E90FE7"/>
    <w:rsid w:val="00E92BF9"/>
    <w:rsid w:val="00E96D05"/>
    <w:rsid w:val="00EB53DA"/>
    <w:rsid w:val="00EC5948"/>
    <w:rsid w:val="00ED7B26"/>
    <w:rsid w:val="00ED7C4A"/>
    <w:rsid w:val="00EF0B9C"/>
    <w:rsid w:val="00EF753D"/>
    <w:rsid w:val="00F00229"/>
    <w:rsid w:val="00F017E8"/>
    <w:rsid w:val="00F0558A"/>
    <w:rsid w:val="00F23EF5"/>
    <w:rsid w:val="00F247D0"/>
    <w:rsid w:val="00F278AC"/>
    <w:rsid w:val="00F33D5F"/>
    <w:rsid w:val="00F33FBB"/>
    <w:rsid w:val="00F40AEF"/>
    <w:rsid w:val="00F47B2E"/>
    <w:rsid w:val="00F5724B"/>
    <w:rsid w:val="00F70082"/>
    <w:rsid w:val="00F70789"/>
    <w:rsid w:val="00F83883"/>
    <w:rsid w:val="00F84564"/>
    <w:rsid w:val="00F924E9"/>
    <w:rsid w:val="00F948B5"/>
    <w:rsid w:val="00FB2553"/>
    <w:rsid w:val="00FB351F"/>
    <w:rsid w:val="00FB4C02"/>
    <w:rsid w:val="00FC3AA6"/>
    <w:rsid w:val="00FD0193"/>
    <w:rsid w:val="00FD0C5A"/>
    <w:rsid w:val="00FD1133"/>
    <w:rsid w:val="00FD26A2"/>
    <w:rsid w:val="00FE5DCA"/>
    <w:rsid w:val="00FF2CA7"/>
    <w:rsid w:val="01515C33"/>
    <w:rsid w:val="01AB59F3"/>
    <w:rsid w:val="01DB6127"/>
    <w:rsid w:val="01EA5991"/>
    <w:rsid w:val="039268A9"/>
    <w:rsid w:val="03C24D40"/>
    <w:rsid w:val="04227563"/>
    <w:rsid w:val="05D9530D"/>
    <w:rsid w:val="06550E4B"/>
    <w:rsid w:val="06B75424"/>
    <w:rsid w:val="078B23C2"/>
    <w:rsid w:val="07C35693"/>
    <w:rsid w:val="089416E2"/>
    <w:rsid w:val="08CA18BD"/>
    <w:rsid w:val="09C53944"/>
    <w:rsid w:val="09E60A59"/>
    <w:rsid w:val="0AB570CD"/>
    <w:rsid w:val="0AD83203"/>
    <w:rsid w:val="0AEF054D"/>
    <w:rsid w:val="0B30303F"/>
    <w:rsid w:val="0C927B9F"/>
    <w:rsid w:val="0D1D3A97"/>
    <w:rsid w:val="0E303356"/>
    <w:rsid w:val="0EB70DE8"/>
    <w:rsid w:val="0EDE2A9A"/>
    <w:rsid w:val="0F043D9D"/>
    <w:rsid w:val="0F612670"/>
    <w:rsid w:val="0F762B27"/>
    <w:rsid w:val="0F763172"/>
    <w:rsid w:val="0FBC79A5"/>
    <w:rsid w:val="1240297E"/>
    <w:rsid w:val="12EE615C"/>
    <w:rsid w:val="12FD254C"/>
    <w:rsid w:val="136C1882"/>
    <w:rsid w:val="148845C4"/>
    <w:rsid w:val="15324E58"/>
    <w:rsid w:val="1548367B"/>
    <w:rsid w:val="15AA1C40"/>
    <w:rsid w:val="16092E0B"/>
    <w:rsid w:val="16554D10"/>
    <w:rsid w:val="17E7717C"/>
    <w:rsid w:val="17F9703E"/>
    <w:rsid w:val="18157E8A"/>
    <w:rsid w:val="18F93A80"/>
    <w:rsid w:val="19121FD6"/>
    <w:rsid w:val="19370613"/>
    <w:rsid w:val="193B75B9"/>
    <w:rsid w:val="195C14A3"/>
    <w:rsid w:val="19CB746B"/>
    <w:rsid w:val="19D5440C"/>
    <w:rsid w:val="1A273826"/>
    <w:rsid w:val="1A4E5A90"/>
    <w:rsid w:val="1A750A6F"/>
    <w:rsid w:val="1BC434B3"/>
    <w:rsid w:val="1BE153AB"/>
    <w:rsid w:val="1BF6798D"/>
    <w:rsid w:val="1C0E117B"/>
    <w:rsid w:val="1C5648D0"/>
    <w:rsid w:val="1CCC3395"/>
    <w:rsid w:val="1CFB7E44"/>
    <w:rsid w:val="1D1C5285"/>
    <w:rsid w:val="1D432ADC"/>
    <w:rsid w:val="1DA23D0D"/>
    <w:rsid w:val="1DA653DA"/>
    <w:rsid w:val="1DA67191"/>
    <w:rsid w:val="1E60507D"/>
    <w:rsid w:val="1F533349"/>
    <w:rsid w:val="1FF25448"/>
    <w:rsid w:val="20135A02"/>
    <w:rsid w:val="20245B9E"/>
    <w:rsid w:val="20E86DCA"/>
    <w:rsid w:val="212B094E"/>
    <w:rsid w:val="22F4634C"/>
    <w:rsid w:val="23206139"/>
    <w:rsid w:val="23FF13A9"/>
    <w:rsid w:val="2414623A"/>
    <w:rsid w:val="25A27F73"/>
    <w:rsid w:val="26291199"/>
    <w:rsid w:val="2640266F"/>
    <w:rsid w:val="271954A2"/>
    <w:rsid w:val="27275ACB"/>
    <w:rsid w:val="27BA21B7"/>
    <w:rsid w:val="27F1110D"/>
    <w:rsid w:val="28627896"/>
    <w:rsid w:val="287D208C"/>
    <w:rsid w:val="289B7FFA"/>
    <w:rsid w:val="29495A35"/>
    <w:rsid w:val="29BF3AB4"/>
    <w:rsid w:val="29DF6FD3"/>
    <w:rsid w:val="2A7C19A5"/>
    <w:rsid w:val="2B9142D1"/>
    <w:rsid w:val="2CCA5809"/>
    <w:rsid w:val="2CCC7445"/>
    <w:rsid w:val="2CF76969"/>
    <w:rsid w:val="2D6A0D07"/>
    <w:rsid w:val="2D7323D2"/>
    <w:rsid w:val="2DEC1544"/>
    <w:rsid w:val="2ECD0FDC"/>
    <w:rsid w:val="2F5C0409"/>
    <w:rsid w:val="2F77098D"/>
    <w:rsid w:val="2FC45BFA"/>
    <w:rsid w:val="30FC5E4A"/>
    <w:rsid w:val="312115AB"/>
    <w:rsid w:val="31292209"/>
    <w:rsid w:val="31992E3D"/>
    <w:rsid w:val="331B3743"/>
    <w:rsid w:val="35D07049"/>
    <w:rsid w:val="35F04FF6"/>
    <w:rsid w:val="360565BD"/>
    <w:rsid w:val="363E4F6E"/>
    <w:rsid w:val="36B97ADD"/>
    <w:rsid w:val="373B7AF0"/>
    <w:rsid w:val="37ED5C91"/>
    <w:rsid w:val="382013B7"/>
    <w:rsid w:val="3901650E"/>
    <w:rsid w:val="395F496C"/>
    <w:rsid w:val="39F11978"/>
    <w:rsid w:val="3A251566"/>
    <w:rsid w:val="3A711271"/>
    <w:rsid w:val="3B082DE1"/>
    <w:rsid w:val="3B0F47DD"/>
    <w:rsid w:val="3C5F6A31"/>
    <w:rsid w:val="3D3E6FF6"/>
    <w:rsid w:val="3E682833"/>
    <w:rsid w:val="3F5641ED"/>
    <w:rsid w:val="3FCB6A32"/>
    <w:rsid w:val="412A3AB2"/>
    <w:rsid w:val="415A1A5A"/>
    <w:rsid w:val="41736037"/>
    <w:rsid w:val="421A63D3"/>
    <w:rsid w:val="424B51C7"/>
    <w:rsid w:val="43165D28"/>
    <w:rsid w:val="431C567C"/>
    <w:rsid w:val="435766B4"/>
    <w:rsid w:val="451E56DB"/>
    <w:rsid w:val="46253830"/>
    <w:rsid w:val="46AA40EF"/>
    <w:rsid w:val="486F624E"/>
    <w:rsid w:val="49134F35"/>
    <w:rsid w:val="491C0184"/>
    <w:rsid w:val="493C54A0"/>
    <w:rsid w:val="497D5737"/>
    <w:rsid w:val="4B886879"/>
    <w:rsid w:val="4BB335AD"/>
    <w:rsid w:val="4C30227E"/>
    <w:rsid w:val="4C6664FB"/>
    <w:rsid w:val="4D53613E"/>
    <w:rsid w:val="4D556A88"/>
    <w:rsid w:val="4E3E0B9C"/>
    <w:rsid w:val="4E56357E"/>
    <w:rsid w:val="4E7F1CC2"/>
    <w:rsid w:val="4F351E8F"/>
    <w:rsid w:val="4F6C1739"/>
    <w:rsid w:val="5021770B"/>
    <w:rsid w:val="50600BDF"/>
    <w:rsid w:val="51AF1C09"/>
    <w:rsid w:val="524D7FBF"/>
    <w:rsid w:val="527C7F5F"/>
    <w:rsid w:val="5286514B"/>
    <w:rsid w:val="52D66524"/>
    <w:rsid w:val="54524927"/>
    <w:rsid w:val="551D0015"/>
    <w:rsid w:val="552D196B"/>
    <w:rsid w:val="55456CB4"/>
    <w:rsid w:val="5578406B"/>
    <w:rsid w:val="558F4081"/>
    <w:rsid w:val="55A559A5"/>
    <w:rsid w:val="56524E22"/>
    <w:rsid w:val="56AC543C"/>
    <w:rsid w:val="577E46FF"/>
    <w:rsid w:val="57C267BD"/>
    <w:rsid w:val="580F1457"/>
    <w:rsid w:val="581A27A0"/>
    <w:rsid w:val="58205520"/>
    <w:rsid w:val="58274EEF"/>
    <w:rsid w:val="58665A40"/>
    <w:rsid w:val="597075D0"/>
    <w:rsid w:val="5AAB79F0"/>
    <w:rsid w:val="5B21787C"/>
    <w:rsid w:val="5B395F26"/>
    <w:rsid w:val="5C955FBD"/>
    <w:rsid w:val="5CB45551"/>
    <w:rsid w:val="5D622861"/>
    <w:rsid w:val="5DCC6A58"/>
    <w:rsid w:val="5DEB4AF4"/>
    <w:rsid w:val="5E226FC9"/>
    <w:rsid w:val="5E2F0501"/>
    <w:rsid w:val="5E4B50D6"/>
    <w:rsid w:val="60657744"/>
    <w:rsid w:val="60796041"/>
    <w:rsid w:val="60A52CFD"/>
    <w:rsid w:val="60D62EB6"/>
    <w:rsid w:val="616B7AA3"/>
    <w:rsid w:val="62922CE3"/>
    <w:rsid w:val="62D82F16"/>
    <w:rsid w:val="63780255"/>
    <w:rsid w:val="648F7B03"/>
    <w:rsid w:val="649015CE"/>
    <w:rsid w:val="64F1206D"/>
    <w:rsid w:val="64F5250B"/>
    <w:rsid w:val="6568400C"/>
    <w:rsid w:val="66CB71D9"/>
    <w:rsid w:val="675143EC"/>
    <w:rsid w:val="67A07D7A"/>
    <w:rsid w:val="67AA2913"/>
    <w:rsid w:val="68246BFD"/>
    <w:rsid w:val="68810CAA"/>
    <w:rsid w:val="69F57CE4"/>
    <w:rsid w:val="6A1A3E14"/>
    <w:rsid w:val="6A434220"/>
    <w:rsid w:val="6B825B5B"/>
    <w:rsid w:val="6C152AE5"/>
    <w:rsid w:val="6C4933A6"/>
    <w:rsid w:val="6C5C0714"/>
    <w:rsid w:val="6D834127"/>
    <w:rsid w:val="6DAC13C5"/>
    <w:rsid w:val="6DED0A18"/>
    <w:rsid w:val="6F516A80"/>
    <w:rsid w:val="6F5930E6"/>
    <w:rsid w:val="6F653D83"/>
    <w:rsid w:val="6F670AA8"/>
    <w:rsid w:val="71593474"/>
    <w:rsid w:val="718D5B68"/>
    <w:rsid w:val="72B86DE6"/>
    <w:rsid w:val="72CC5EC7"/>
    <w:rsid w:val="7337106B"/>
    <w:rsid w:val="73793C03"/>
    <w:rsid w:val="73951E16"/>
    <w:rsid w:val="740D7D73"/>
    <w:rsid w:val="74645311"/>
    <w:rsid w:val="74712818"/>
    <w:rsid w:val="74EC45FF"/>
    <w:rsid w:val="75CB06B8"/>
    <w:rsid w:val="76430DF0"/>
    <w:rsid w:val="76AD7DBE"/>
    <w:rsid w:val="770073E6"/>
    <w:rsid w:val="773A2220"/>
    <w:rsid w:val="77B85277"/>
    <w:rsid w:val="78AE679B"/>
    <w:rsid w:val="794467B8"/>
    <w:rsid w:val="797846B3"/>
    <w:rsid w:val="7A0518AB"/>
    <w:rsid w:val="7A344A7E"/>
    <w:rsid w:val="7B5353D8"/>
    <w:rsid w:val="7BD81EC9"/>
    <w:rsid w:val="7C15268D"/>
    <w:rsid w:val="7C8617DD"/>
    <w:rsid w:val="7CAD0B17"/>
    <w:rsid w:val="7CAD4FBB"/>
    <w:rsid w:val="7D467C64"/>
    <w:rsid w:val="7DA5450A"/>
    <w:rsid w:val="7DFD389D"/>
    <w:rsid w:val="7E070777"/>
    <w:rsid w:val="7F265B0D"/>
    <w:rsid w:val="7FBA3C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39" w:semiHidden="0" w:name="toc 4"/>
    <w:lsdException w:unhideWhenUsed="0" w:uiPriority="39" w:semiHidden="0" w:name="toc 5"/>
    <w:lsdException w:qFormat="1" w:unhideWhenUsed="0" w:uiPriority="0" w:semiHidden="0" w:name="toc 6"/>
    <w:lsdException w:unhideWhenUsed="0" w:uiPriority="39" w:semiHidden="0" w:name="toc 7"/>
    <w:lsdException w:unhideWhenUsed="0" w:uiPriority="39" w:semiHidden="0" w:name="toc 8"/>
    <w:lsdException w:unhideWhenUsed="0" w:uiPriority="39"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iPriority="99"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58"/>
    <w:qFormat/>
    <w:uiPriority w:val="0"/>
    <w:pPr>
      <w:keepNext/>
      <w:keepLines/>
      <w:spacing w:before="340" w:after="330" w:line="578" w:lineRule="auto"/>
      <w:outlineLvl w:val="0"/>
    </w:pPr>
    <w:rPr>
      <w:rFonts w:ascii="Calibri" w:hAnsi="Calibri"/>
      <w:b/>
      <w:bCs/>
      <w:kern w:val="44"/>
      <w:sz w:val="44"/>
      <w:szCs w:val="44"/>
    </w:rPr>
  </w:style>
  <w:style w:type="paragraph" w:styleId="4">
    <w:name w:val="heading 2"/>
    <w:basedOn w:val="1"/>
    <w:next w:val="5"/>
    <w:link w:val="59"/>
    <w:qFormat/>
    <w:uiPriority w:val="0"/>
    <w:pPr>
      <w:keepNext/>
      <w:keepLines/>
      <w:spacing w:before="260" w:after="260" w:line="416" w:lineRule="auto"/>
      <w:outlineLvl w:val="1"/>
    </w:pPr>
    <w:rPr>
      <w:rFonts w:ascii="Cambria" w:hAnsi="Cambria"/>
      <w:b/>
      <w:bCs/>
      <w:sz w:val="32"/>
      <w:szCs w:val="32"/>
    </w:rPr>
  </w:style>
  <w:style w:type="paragraph" w:styleId="11">
    <w:name w:val="heading 3"/>
    <w:basedOn w:val="1"/>
    <w:next w:val="1"/>
    <w:link w:val="64"/>
    <w:qFormat/>
    <w:uiPriority w:val="0"/>
    <w:pPr>
      <w:keepNext/>
      <w:keepLines/>
      <w:spacing w:before="260" w:after="260" w:line="416" w:lineRule="auto"/>
      <w:outlineLvl w:val="2"/>
    </w:pPr>
    <w:rPr>
      <w:rFonts w:ascii="Calibri" w:hAnsi="Calibri"/>
      <w:b/>
      <w:bCs/>
      <w:sz w:val="32"/>
      <w:szCs w:val="32"/>
    </w:rPr>
  </w:style>
  <w:style w:type="paragraph" w:styleId="12">
    <w:name w:val="heading 4"/>
    <w:basedOn w:val="1"/>
    <w:next w:val="1"/>
    <w:link w:val="65"/>
    <w:qFormat/>
    <w:uiPriority w:val="0"/>
    <w:pPr>
      <w:keepNext/>
      <w:keepLines/>
      <w:spacing w:before="280" w:after="290" w:line="376" w:lineRule="auto"/>
      <w:outlineLvl w:val="3"/>
    </w:pPr>
    <w:rPr>
      <w:rFonts w:ascii="Arial" w:hAnsi="Arial" w:eastAsia="黑体"/>
      <w:b/>
      <w:bCs/>
      <w:sz w:val="28"/>
      <w:szCs w:val="28"/>
    </w:rPr>
  </w:style>
  <w:style w:type="paragraph" w:styleId="13">
    <w:name w:val="heading 5"/>
    <w:basedOn w:val="1"/>
    <w:next w:val="1"/>
    <w:link w:val="66"/>
    <w:qFormat/>
    <w:uiPriority w:val="0"/>
    <w:pPr>
      <w:keepNext/>
      <w:keepLines/>
      <w:spacing w:before="280" w:after="290" w:line="376" w:lineRule="auto"/>
      <w:outlineLvl w:val="4"/>
    </w:pPr>
    <w:rPr>
      <w:b/>
      <w:bCs/>
      <w:sz w:val="28"/>
      <w:szCs w:val="28"/>
    </w:rPr>
  </w:style>
  <w:style w:type="paragraph" w:styleId="14">
    <w:name w:val="heading 6"/>
    <w:basedOn w:val="1"/>
    <w:next w:val="1"/>
    <w:qFormat/>
    <w:uiPriority w:val="0"/>
    <w:pPr>
      <w:keepNext/>
      <w:keepLines/>
      <w:spacing w:before="240" w:after="64" w:line="317" w:lineRule="auto"/>
      <w:outlineLvl w:val="5"/>
    </w:pPr>
    <w:rPr>
      <w:rFonts w:ascii="Arial" w:hAnsi="Arial" w:eastAsia="黑体"/>
      <w:b/>
      <w:bCs/>
      <w:sz w:val="24"/>
      <w:szCs w:val="24"/>
    </w:rPr>
  </w:style>
  <w:style w:type="paragraph" w:styleId="15">
    <w:name w:val="heading 7"/>
    <w:basedOn w:val="1"/>
    <w:next w:val="1"/>
    <w:qFormat/>
    <w:uiPriority w:val="0"/>
    <w:pPr>
      <w:keepNext/>
      <w:keepLines/>
      <w:spacing w:before="240" w:after="64" w:line="320" w:lineRule="auto"/>
      <w:outlineLvl w:val="6"/>
    </w:pPr>
    <w:rPr>
      <w:b/>
      <w:bCs/>
      <w:sz w:val="24"/>
      <w:szCs w:val="24"/>
    </w:rPr>
  </w:style>
  <w:style w:type="character" w:default="1" w:styleId="43">
    <w:name w:val="Default Paragraph Font"/>
    <w:qFormat/>
    <w:uiPriority w:val="0"/>
    <w:rPr>
      <w:szCs w:val="20"/>
    </w:rPr>
  </w:style>
  <w:style w:type="table" w:default="1" w:styleId="42">
    <w:name w:val="Normal Table"/>
    <w:unhideWhenUsed/>
    <w:uiPriority w:val="99"/>
    <w:tblPr>
      <w:tblCellMar>
        <w:top w:w="0" w:type="dxa"/>
        <w:left w:w="108" w:type="dxa"/>
        <w:bottom w:w="0" w:type="dxa"/>
        <w:right w:w="108" w:type="dxa"/>
      </w:tblCellMar>
    </w:tblPr>
  </w:style>
  <w:style w:type="paragraph" w:styleId="2">
    <w:name w:val="Block Text"/>
    <w:basedOn w:val="1"/>
    <w:qFormat/>
    <w:uiPriority w:val="99"/>
    <w:pPr>
      <w:spacing w:beforeLines="50" w:afterLines="50"/>
      <w:ind w:left="426" w:right="-11" w:hanging="426" w:hangingChars="203"/>
    </w:pPr>
    <w:rPr>
      <w:rFonts w:eastAsia="楷体_GB2312"/>
    </w:rPr>
  </w:style>
  <w:style w:type="paragraph" w:styleId="5">
    <w:name w:val="Normal Indent"/>
    <w:basedOn w:val="1"/>
    <w:next w:val="6"/>
    <w:link w:val="60"/>
    <w:qFormat/>
    <w:uiPriority w:val="0"/>
    <w:pPr>
      <w:ind w:firstLine="420"/>
    </w:pPr>
    <w:rPr>
      <w:sz w:val="14"/>
    </w:rPr>
  </w:style>
  <w:style w:type="paragraph" w:styleId="6">
    <w:name w:val="Body Text Indent"/>
    <w:basedOn w:val="1"/>
    <w:next w:val="7"/>
    <w:link w:val="61"/>
    <w:qFormat/>
    <w:uiPriority w:val="0"/>
    <w:pPr>
      <w:spacing w:after="120"/>
      <w:ind w:left="420" w:leftChars="200"/>
    </w:pPr>
  </w:style>
  <w:style w:type="paragraph" w:styleId="7">
    <w:name w:val="Body Text First Indent 2"/>
    <w:basedOn w:val="6"/>
    <w:next w:val="8"/>
    <w:qFormat/>
    <w:uiPriority w:val="0"/>
    <w:pPr>
      <w:ind w:firstLine="420"/>
    </w:pPr>
  </w:style>
  <w:style w:type="paragraph" w:styleId="8">
    <w:name w:val="Body Text First Indent"/>
    <w:basedOn w:val="9"/>
    <w:next w:val="10"/>
    <w:link w:val="63"/>
    <w:qFormat/>
    <w:uiPriority w:val="0"/>
    <w:pPr>
      <w:ind w:firstLine="420" w:firstLineChars="100"/>
    </w:pPr>
    <w:rPr>
      <w:szCs w:val="24"/>
    </w:rPr>
  </w:style>
  <w:style w:type="paragraph" w:styleId="9">
    <w:name w:val="Body Text"/>
    <w:basedOn w:val="1"/>
    <w:next w:val="8"/>
    <w:link w:val="62"/>
    <w:qFormat/>
    <w:uiPriority w:val="0"/>
    <w:pPr>
      <w:spacing w:after="120"/>
    </w:pPr>
  </w:style>
  <w:style w:type="paragraph" w:styleId="10">
    <w:name w:val="toc 6"/>
    <w:basedOn w:val="1"/>
    <w:next w:val="1"/>
    <w:qFormat/>
    <w:uiPriority w:val="0"/>
    <w:pPr>
      <w:spacing w:line="360" w:lineRule="auto"/>
      <w:ind w:left="1200" w:firstLine="200" w:firstLineChars="200"/>
      <w:jc w:val="left"/>
    </w:pPr>
    <w:rPr>
      <w:rFonts w:ascii="Calibri" w:hAnsi="Calibri" w:cs="Calibri"/>
      <w:sz w:val="18"/>
      <w:szCs w:val="18"/>
    </w:rPr>
  </w:style>
  <w:style w:type="paragraph" w:styleId="16">
    <w:name w:val="List Number"/>
    <w:basedOn w:val="1"/>
    <w:qFormat/>
    <w:uiPriority w:val="0"/>
    <w:pPr>
      <w:numPr>
        <w:ilvl w:val="0"/>
        <w:numId w:val="1"/>
      </w:numPr>
      <w:contextualSpacing/>
    </w:pPr>
  </w:style>
  <w:style w:type="paragraph" w:styleId="17">
    <w:name w:val="caption"/>
    <w:basedOn w:val="1"/>
    <w:next w:val="1"/>
    <w:qFormat/>
    <w:uiPriority w:val="0"/>
    <w:pPr>
      <w:spacing w:before="152" w:after="160"/>
    </w:pPr>
    <w:rPr>
      <w:rFonts w:ascii="Arial" w:hAnsi="Arial" w:eastAsia="黑体" w:cs="Arial"/>
      <w:sz w:val="20"/>
    </w:rPr>
  </w:style>
  <w:style w:type="paragraph" w:styleId="18">
    <w:name w:val="Document Map"/>
    <w:basedOn w:val="1"/>
    <w:link w:val="67"/>
    <w:qFormat/>
    <w:uiPriority w:val="0"/>
    <w:pPr>
      <w:shd w:val="clear" w:color="auto" w:fill="000080"/>
    </w:pPr>
    <w:rPr>
      <w:shd w:val="clear" w:color="auto" w:fill="000080"/>
    </w:rPr>
  </w:style>
  <w:style w:type="paragraph" w:styleId="19">
    <w:name w:val="annotation text"/>
    <w:basedOn w:val="1"/>
    <w:link w:val="68"/>
    <w:qFormat/>
    <w:uiPriority w:val="0"/>
    <w:pPr>
      <w:jc w:val="left"/>
    </w:pPr>
  </w:style>
  <w:style w:type="paragraph" w:styleId="20">
    <w:name w:val="Salutation"/>
    <w:basedOn w:val="1"/>
    <w:next w:val="1"/>
    <w:link w:val="69"/>
    <w:qFormat/>
    <w:uiPriority w:val="0"/>
    <w:rPr>
      <w:rFonts w:ascii="宋体" w:eastAsia="仿宋_GB2312"/>
    </w:rPr>
  </w:style>
  <w:style w:type="paragraph" w:styleId="21">
    <w:name w:val="Body Text 3"/>
    <w:basedOn w:val="1"/>
    <w:link w:val="70"/>
    <w:qFormat/>
    <w:uiPriority w:val="0"/>
    <w:pPr>
      <w:snapToGrid w:val="0"/>
      <w:spacing w:before="50" w:after="50"/>
    </w:pPr>
    <w:rPr>
      <w:rFonts w:hAnsi="宋体" w:eastAsia="仿宋_GB2312"/>
      <w:b/>
      <w:bCs/>
      <w:sz w:val="24"/>
    </w:rPr>
  </w:style>
  <w:style w:type="paragraph" w:styleId="22">
    <w:name w:val="List Number 3"/>
    <w:basedOn w:val="1"/>
    <w:qFormat/>
    <w:uiPriority w:val="0"/>
    <w:pPr>
      <w:numPr>
        <w:ilvl w:val="0"/>
        <w:numId w:val="2"/>
      </w:numPr>
    </w:pPr>
    <w:rPr>
      <w:szCs w:val="24"/>
    </w:rPr>
  </w:style>
  <w:style w:type="paragraph" w:styleId="23">
    <w:name w:val="List 2"/>
    <w:basedOn w:val="1"/>
    <w:qFormat/>
    <w:uiPriority w:val="0"/>
    <w:pPr>
      <w:ind w:left="100" w:leftChars="200" w:hanging="200" w:hangingChars="200"/>
      <w:contextualSpacing/>
    </w:pPr>
  </w:style>
  <w:style w:type="paragraph" w:styleId="24">
    <w:name w:val="toc 3"/>
    <w:basedOn w:val="1"/>
    <w:next w:val="1"/>
    <w:qFormat/>
    <w:uiPriority w:val="39"/>
    <w:pPr>
      <w:ind w:left="840" w:leftChars="400"/>
    </w:pPr>
  </w:style>
  <w:style w:type="paragraph" w:styleId="25">
    <w:name w:val="Plain Text"/>
    <w:basedOn w:val="1"/>
    <w:next w:val="1"/>
    <w:link w:val="71"/>
    <w:qFormat/>
    <w:uiPriority w:val="0"/>
    <w:rPr>
      <w:rFonts w:ascii="宋体" w:hAnsi="Courier New"/>
    </w:rPr>
  </w:style>
  <w:style w:type="paragraph" w:styleId="26">
    <w:name w:val="Date"/>
    <w:basedOn w:val="1"/>
    <w:next w:val="1"/>
    <w:qFormat/>
    <w:uiPriority w:val="0"/>
    <w:pPr>
      <w:ind w:left="100" w:leftChars="2500"/>
    </w:pPr>
  </w:style>
  <w:style w:type="paragraph" w:styleId="27">
    <w:name w:val="Body Text Indent 2"/>
    <w:basedOn w:val="1"/>
    <w:qFormat/>
    <w:uiPriority w:val="0"/>
    <w:pPr>
      <w:spacing w:after="120" w:line="480" w:lineRule="auto"/>
      <w:ind w:left="420" w:leftChars="200"/>
    </w:pPr>
  </w:style>
  <w:style w:type="paragraph" w:styleId="28">
    <w:name w:val="endnote text"/>
    <w:basedOn w:val="1"/>
    <w:qFormat/>
    <w:uiPriority w:val="0"/>
    <w:pPr>
      <w:snapToGrid w:val="0"/>
      <w:jc w:val="left"/>
    </w:pPr>
  </w:style>
  <w:style w:type="paragraph" w:styleId="29">
    <w:name w:val="Balloon Text"/>
    <w:basedOn w:val="1"/>
    <w:qFormat/>
    <w:uiPriority w:val="0"/>
    <w:rPr>
      <w:sz w:val="18"/>
      <w:szCs w:val="18"/>
    </w:rPr>
  </w:style>
  <w:style w:type="paragraph" w:styleId="30">
    <w:name w:val="footer"/>
    <w:basedOn w:val="1"/>
    <w:link w:val="72"/>
    <w:qFormat/>
    <w:uiPriority w:val="99"/>
    <w:pPr>
      <w:tabs>
        <w:tab w:val="center" w:pos="4153"/>
        <w:tab w:val="right" w:pos="8306"/>
      </w:tabs>
      <w:snapToGrid w:val="0"/>
      <w:jc w:val="left"/>
    </w:pPr>
    <w:rPr>
      <w:sz w:val="18"/>
    </w:rPr>
  </w:style>
  <w:style w:type="paragraph" w:styleId="31">
    <w:name w:val="header"/>
    <w:basedOn w:val="1"/>
    <w:link w:val="73"/>
    <w:qFormat/>
    <w:uiPriority w:val="99"/>
    <w:pPr>
      <w:pBdr>
        <w:bottom w:val="single" w:color="auto" w:sz="6" w:space="1"/>
      </w:pBdr>
      <w:tabs>
        <w:tab w:val="center" w:pos="4153"/>
        <w:tab w:val="right" w:pos="8306"/>
      </w:tabs>
      <w:snapToGrid w:val="0"/>
      <w:jc w:val="center"/>
    </w:pPr>
    <w:rPr>
      <w:sz w:val="18"/>
    </w:rPr>
  </w:style>
  <w:style w:type="paragraph" w:styleId="32">
    <w:name w:val="toc 1"/>
    <w:basedOn w:val="1"/>
    <w:next w:val="1"/>
    <w:qFormat/>
    <w:uiPriority w:val="39"/>
  </w:style>
  <w:style w:type="paragraph" w:styleId="33">
    <w:name w:val="List"/>
    <w:basedOn w:val="1"/>
    <w:qFormat/>
    <w:uiPriority w:val="0"/>
    <w:pPr>
      <w:ind w:left="200" w:hanging="200" w:hangingChars="200"/>
    </w:pPr>
    <w:rPr>
      <w:sz w:val="28"/>
      <w:szCs w:val="24"/>
    </w:rPr>
  </w:style>
  <w:style w:type="paragraph" w:styleId="34">
    <w:name w:val="Body Text Indent 3"/>
    <w:basedOn w:val="1"/>
    <w:qFormat/>
    <w:uiPriority w:val="0"/>
    <w:pPr>
      <w:spacing w:after="120"/>
      <w:ind w:left="420" w:leftChars="200"/>
    </w:pPr>
    <w:rPr>
      <w:sz w:val="16"/>
      <w:szCs w:val="16"/>
    </w:rPr>
  </w:style>
  <w:style w:type="paragraph" w:styleId="35">
    <w:name w:val="table of figures"/>
    <w:basedOn w:val="1"/>
    <w:next w:val="1"/>
    <w:qFormat/>
    <w:uiPriority w:val="0"/>
    <w:pPr>
      <w:ind w:leftChars="200" w:hanging="200" w:hangingChars="200"/>
    </w:pPr>
  </w:style>
  <w:style w:type="paragraph" w:styleId="36">
    <w:name w:val="toc 2"/>
    <w:basedOn w:val="1"/>
    <w:next w:val="1"/>
    <w:qFormat/>
    <w:uiPriority w:val="39"/>
    <w:pPr>
      <w:ind w:left="420" w:leftChars="200"/>
    </w:pPr>
  </w:style>
  <w:style w:type="paragraph" w:styleId="37">
    <w:name w:val="Body Text 2"/>
    <w:basedOn w:val="1"/>
    <w:link w:val="74"/>
    <w:qFormat/>
    <w:uiPriority w:val="0"/>
    <w:pPr>
      <w:adjustRightInd w:val="0"/>
      <w:snapToGrid w:val="0"/>
      <w:spacing w:line="480" w:lineRule="atLeast"/>
    </w:pPr>
    <w:rPr>
      <w:rFonts w:ascii="宋体" w:hAnsi="宋体"/>
      <w:sz w:val="28"/>
    </w:rPr>
  </w:style>
  <w:style w:type="paragraph" w:styleId="38">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39">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40">
    <w:name w:val="Title"/>
    <w:basedOn w:val="1"/>
    <w:link w:val="75"/>
    <w:qFormat/>
    <w:uiPriority w:val="0"/>
    <w:pPr>
      <w:spacing w:before="240" w:after="60"/>
      <w:jc w:val="center"/>
      <w:outlineLvl w:val="0"/>
    </w:pPr>
    <w:rPr>
      <w:rFonts w:ascii="Arial" w:hAnsi="Arial"/>
      <w:b/>
      <w:bCs/>
      <w:sz w:val="32"/>
      <w:szCs w:val="32"/>
    </w:rPr>
  </w:style>
  <w:style w:type="paragraph" w:styleId="41">
    <w:name w:val="annotation subject"/>
    <w:basedOn w:val="19"/>
    <w:next w:val="19"/>
    <w:link w:val="76"/>
    <w:qFormat/>
    <w:uiPriority w:val="0"/>
    <w:rPr>
      <w:b/>
      <w:bCs/>
    </w:rPr>
  </w:style>
  <w:style w:type="character" w:styleId="44">
    <w:name w:val="Strong"/>
    <w:qFormat/>
    <w:uiPriority w:val="0"/>
    <w:rPr>
      <w:b/>
      <w:bCs/>
    </w:rPr>
  </w:style>
  <w:style w:type="character" w:styleId="45">
    <w:name w:val="page number"/>
    <w:basedOn w:val="43"/>
    <w:qFormat/>
    <w:uiPriority w:val="0"/>
  </w:style>
  <w:style w:type="character" w:styleId="46">
    <w:name w:val="FollowedHyperlink"/>
    <w:qFormat/>
    <w:uiPriority w:val="0"/>
    <w:rPr>
      <w:color w:val="800080"/>
      <w:szCs w:val="20"/>
      <w:u w:val="none"/>
    </w:rPr>
  </w:style>
  <w:style w:type="character" w:styleId="47">
    <w:name w:val="Emphasis"/>
    <w:qFormat/>
    <w:uiPriority w:val="0"/>
    <w:rPr>
      <w:i/>
      <w:iCs/>
    </w:rPr>
  </w:style>
  <w:style w:type="character" w:styleId="48">
    <w:name w:val="HTML Definition"/>
    <w:qFormat/>
    <w:uiPriority w:val="0"/>
    <w:rPr>
      <w:szCs w:val="20"/>
    </w:rPr>
  </w:style>
  <w:style w:type="character" w:styleId="49">
    <w:name w:val="HTML Typewriter"/>
    <w:qFormat/>
    <w:uiPriority w:val="0"/>
    <w:rPr>
      <w:rFonts w:ascii="monospace" w:hAnsi="monospace" w:eastAsia="monospace" w:cs="monospace"/>
      <w:sz w:val="20"/>
      <w:szCs w:val="20"/>
    </w:rPr>
  </w:style>
  <w:style w:type="character" w:styleId="50">
    <w:name w:val="HTML Acronym"/>
    <w:basedOn w:val="43"/>
    <w:qFormat/>
    <w:uiPriority w:val="0"/>
  </w:style>
  <w:style w:type="character" w:styleId="51">
    <w:name w:val="HTML Variable"/>
    <w:qFormat/>
    <w:uiPriority w:val="0"/>
    <w:rPr>
      <w:szCs w:val="20"/>
    </w:rPr>
  </w:style>
  <w:style w:type="character" w:styleId="52">
    <w:name w:val="Hyperlink"/>
    <w:qFormat/>
    <w:uiPriority w:val="99"/>
    <w:rPr>
      <w:color w:val="0368A8"/>
      <w:szCs w:val="20"/>
      <w:u w:val="none"/>
    </w:rPr>
  </w:style>
  <w:style w:type="character" w:styleId="53">
    <w:name w:val="HTML Code"/>
    <w:qFormat/>
    <w:uiPriority w:val="0"/>
    <w:rPr>
      <w:rFonts w:hint="default" w:ascii="monospace" w:hAnsi="monospace" w:eastAsia="monospace" w:cs="monospace"/>
      <w:sz w:val="20"/>
      <w:szCs w:val="20"/>
    </w:rPr>
  </w:style>
  <w:style w:type="character" w:styleId="54">
    <w:name w:val="annotation reference"/>
    <w:qFormat/>
    <w:uiPriority w:val="0"/>
    <w:rPr>
      <w:sz w:val="21"/>
      <w:szCs w:val="21"/>
    </w:rPr>
  </w:style>
  <w:style w:type="character" w:styleId="55">
    <w:name w:val="HTML Cite"/>
    <w:qFormat/>
    <w:uiPriority w:val="0"/>
    <w:rPr>
      <w:szCs w:val="20"/>
    </w:rPr>
  </w:style>
  <w:style w:type="character" w:styleId="56">
    <w:name w:val="HTML Keyboard"/>
    <w:qFormat/>
    <w:uiPriority w:val="0"/>
    <w:rPr>
      <w:rFonts w:hint="default" w:ascii="monospace" w:hAnsi="monospace" w:eastAsia="monospace" w:cs="monospace"/>
      <w:sz w:val="20"/>
      <w:szCs w:val="20"/>
    </w:rPr>
  </w:style>
  <w:style w:type="character" w:styleId="57">
    <w:name w:val="HTML Sample"/>
    <w:qFormat/>
    <w:uiPriority w:val="0"/>
    <w:rPr>
      <w:rFonts w:hint="default" w:ascii="monospace" w:hAnsi="monospace" w:eastAsia="monospace" w:cs="monospace"/>
      <w:szCs w:val="20"/>
    </w:rPr>
  </w:style>
  <w:style w:type="character" w:customStyle="1" w:styleId="58">
    <w:name w:val="标题 1 Char"/>
    <w:link w:val="3"/>
    <w:qFormat/>
    <w:uiPriority w:val="0"/>
    <w:rPr>
      <w:rFonts w:ascii="Calibri" w:hAnsi="Calibri"/>
      <w:b/>
      <w:bCs/>
      <w:kern w:val="44"/>
      <w:sz w:val="44"/>
      <w:szCs w:val="44"/>
    </w:rPr>
  </w:style>
  <w:style w:type="character" w:customStyle="1" w:styleId="59">
    <w:name w:val="标题 2 Char"/>
    <w:link w:val="4"/>
    <w:qFormat/>
    <w:uiPriority w:val="0"/>
    <w:rPr>
      <w:rFonts w:ascii="Cambria" w:hAnsi="Cambria"/>
      <w:b/>
      <w:bCs/>
      <w:kern w:val="2"/>
      <w:sz w:val="32"/>
      <w:szCs w:val="32"/>
    </w:rPr>
  </w:style>
  <w:style w:type="character" w:customStyle="1" w:styleId="60">
    <w:name w:val="正文缩进 Char"/>
    <w:link w:val="5"/>
    <w:qFormat/>
    <w:uiPriority w:val="0"/>
    <w:rPr>
      <w:kern w:val="2"/>
      <w:sz w:val="14"/>
    </w:rPr>
  </w:style>
  <w:style w:type="character" w:customStyle="1" w:styleId="61">
    <w:name w:val="正文文本缩进 Char"/>
    <w:link w:val="6"/>
    <w:qFormat/>
    <w:uiPriority w:val="0"/>
    <w:rPr>
      <w:kern w:val="2"/>
      <w:sz w:val="21"/>
    </w:rPr>
  </w:style>
  <w:style w:type="character" w:customStyle="1" w:styleId="62">
    <w:name w:val="正文文本 Char"/>
    <w:link w:val="9"/>
    <w:qFormat/>
    <w:uiPriority w:val="0"/>
    <w:rPr>
      <w:kern w:val="2"/>
      <w:sz w:val="21"/>
    </w:rPr>
  </w:style>
  <w:style w:type="character" w:customStyle="1" w:styleId="63">
    <w:name w:val="正文首行缩进 Char"/>
    <w:link w:val="8"/>
    <w:qFormat/>
    <w:uiPriority w:val="0"/>
    <w:rPr>
      <w:kern w:val="2"/>
      <w:sz w:val="21"/>
      <w:szCs w:val="24"/>
    </w:rPr>
  </w:style>
  <w:style w:type="character" w:customStyle="1" w:styleId="64">
    <w:name w:val="标题 3 Char"/>
    <w:link w:val="11"/>
    <w:qFormat/>
    <w:uiPriority w:val="0"/>
    <w:rPr>
      <w:rFonts w:ascii="Calibri" w:hAnsi="Calibri"/>
      <w:b/>
      <w:bCs/>
      <w:kern w:val="2"/>
      <w:sz w:val="32"/>
      <w:szCs w:val="32"/>
    </w:rPr>
  </w:style>
  <w:style w:type="character" w:customStyle="1" w:styleId="65">
    <w:name w:val="标题 4 Char"/>
    <w:link w:val="12"/>
    <w:qFormat/>
    <w:uiPriority w:val="0"/>
    <w:rPr>
      <w:rFonts w:ascii="Arial" w:hAnsi="Arial" w:eastAsia="黑体"/>
      <w:b/>
      <w:bCs/>
      <w:kern w:val="2"/>
      <w:sz w:val="28"/>
      <w:szCs w:val="28"/>
    </w:rPr>
  </w:style>
  <w:style w:type="character" w:customStyle="1" w:styleId="66">
    <w:name w:val="标题 5 Char"/>
    <w:link w:val="13"/>
    <w:qFormat/>
    <w:uiPriority w:val="0"/>
    <w:rPr>
      <w:b/>
      <w:bCs/>
      <w:kern w:val="2"/>
      <w:sz w:val="28"/>
      <w:szCs w:val="28"/>
    </w:rPr>
  </w:style>
  <w:style w:type="character" w:customStyle="1" w:styleId="67">
    <w:name w:val="文档结构图 Char"/>
    <w:link w:val="18"/>
    <w:qFormat/>
    <w:uiPriority w:val="0"/>
    <w:rPr>
      <w:kern w:val="2"/>
      <w:sz w:val="21"/>
      <w:shd w:val="clear" w:color="auto" w:fill="000080"/>
    </w:rPr>
  </w:style>
  <w:style w:type="character" w:customStyle="1" w:styleId="68">
    <w:name w:val="批注文字 Char"/>
    <w:link w:val="19"/>
    <w:qFormat/>
    <w:uiPriority w:val="0"/>
    <w:rPr>
      <w:kern w:val="2"/>
      <w:sz w:val="21"/>
    </w:rPr>
  </w:style>
  <w:style w:type="character" w:customStyle="1" w:styleId="69">
    <w:name w:val="称呼 Char"/>
    <w:link w:val="20"/>
    <w:qFormat/>
    <w:uiPriority w:val="0"/>
    <w:rPr>
      <w:rFonts w:ascii="宋体" w:eastAsia="仿宋_GB2312"/>
      <w:kern w:val="2"/>
      <w:sz w:val="21"/>
      <w:szCs w:val="20"/>
    </w:rPr>
  </w:style>
  <w:style w:type="character" w:customStyle="1" w:styleId="70">
    <w:name w:val="正文文本 3 Char"/>
    <w:link w:val="21"/>
    <w:qFormat/>
    <w:uiPriority w:val="0"/>
    <w:rPr>
      <w:rFonts w:hAnsi="宋体" w:eastAsia="仿宋_GB2312"/>
      <w:b/>
      <w:bCs/>
      <w:kern w:val="2"/>
      <w:sz w:val="24"/>
      <w:szCs w:val="20"/>
    </w:rPr>
  </w:style>
  <w:style w:type="character" w:customStyle="1" w:styleId="71">
    <w:name w:val="纯文本 Char"/>
    <w:link w:val="25"/>
    <w:qFormat/>
    <w:uiPriority w:val="0"/>
    <w:rPr>
      <w:rFonts w:ascii="宋体" w:hAnsi="Courier New" w:eastAsia="宋体"/>
      <w:kern w:val="2"/>
      <w:sz w:val="21"/>
      <w:lang w:val="en-US" w:eastAsia="zh-CN" w:bidi="ar-SA"/>
    </w:rPr>
  </w:style>
  <w:style w:type="character" w:customStyle="1" w:styleId="72">
    <w:name w:val="页脚 Char"/>
    <w:link w:val="30"/>
    <w:qFormat/>
    <w:uiPriority w:val="99"/>
    <w:rPr>
      <w:kern w:val="2"/>
      <w:sz w:val="18"/>
    </w:rPr>
  </w:style>
  <w:style w:type="character" w:customStyle="1" w:styleId="73">
    <w:name w:val="页眉 Char"/>
    <w:link w:val="31"/>
    <w:qFormat/>
    <w:uiPriority w:val="99"/>
    <w:rPr>
      <w:kern w:val="2"/>
      <w:sz w:val="18"/>
    </w:rPr>
  </w:style>
  <w:style w:type="character" w:customStyle="1" w:styleId="74">
    <w:name w:val="正文文本 2 Char"/>
    <w:link w:val="37"/>
    <w:qFormat/>
    <w:uiPriority w:val="0"/>
    <w:rPr>
      <w:rFonts w:ascii="宋体" w:hAnsi="宋体" w:eastAsia="宋体"/>
      <w:kern w:val="2"/>
      <w:sz w:val="28"/>
      <w:lang w:val="en-US" w:eastAsia="zh-CN" w:bidi="ar-SA"/>
    </w:rPr>
  </w:style>
  <w:style w:type="character" w:customStyle="1" w:styleId="75">
    <w:name w:val="标题 Char"/>
    <w:link w:val="40"/>
    <w:qFormat/>
    <w:uiPriority w:val="0"/>
    <w:rPr>
      <w:rFonts w:ascii="Arial" w:hAnsi="Arial" w:cs="Arial"/>
      <w:b/>
      <w:bCs/>
      <w:kern w:val="2"/>
      <w:sz w:val="32"/>
      <w:szCs w:val="32"/>
    </w:rPr>
  </w:style>
  <w:style w:type="character" w:customStyle="1" w:styleId="76">
    <w:name w:val="批注主题 Char"/>
    <w:link w:val="41"/>
    <w:qFormat/>
    <w:uiPriority w:val="0"/>
    <w:rPr>
      <w:b/>
      <w:bCs/>
      <w:kern w:val="2"/>
      <w:sz w:val="21"/>
    </w:rPr>
  </w:style>
  <w:style w:type="paragraph" w:customStyle="1" w:styleId="77">
    <w:name w:val="首行缩进"/>
    <w:basedOn w:val="1"/>
    <w:qFormat/>
    <w:uiPriority w:val="0"/>
    <w:rPr>
      <w:lang w:val="zh-CN"/>
    </w:rPr>
  </w:style>
  <w:style w:type="character" w:customStyle="1" w:styleId="78">
    <w:name w:val="标题 3 Char1"/>
    <w:qFormat/>
    <w:uiPriority w:val="0"/>
    <w:rPr>
      <w:rFonts w:ascii="仿宋_GB2312" w:eastAsia="仿宋_GB2312"/>
      <w:b/>
      <w:bCs/>
      <w:kern w:val="2"/>
      <w:sz w:val="30"/>
    </w:rPr>
  </w:style>
  <w:style w:type="character" w:customStyle="1" w:styleId="79">
    <w:name w:val="样式 黑体 加粗"/>
    <w:qFormat/>
    <w:uiPriority w:val="0"/>
    <w:rPr>
      <w:rFonts w:ascii="宋体" w:hAnsi="宋体" w:eastAsia="黑体"/>
      <w:bCs/>
      <w:sz w:val="28"/>
    </w:rPr>
  </w:style>
  <w:style w:type="character" w:customStyle="1" w:styleId="80">
    <w:name w:val="style11"/>
    <w:qFormat/>
    <w:uiPriority w:val="0"/>
    <w:rPr>
      <w:b/>
      <w:bCs/>
      <w:color w:val="C21616"/>
      <w:sz w:val="36"/>
      <w:szCs w:val="36"/>
    </w:rPr>
  </w:style>
  <w:style w:type="character" w:customStyle="1" w:styleId="81">
    <w:name w:val="正文2 Char Char"/>
    <w:link w:val="82"/>
    <w:qFormat/>
    <w:uiPriority w:val="0"/>
    <w:rPr>
      <w:rFonts w:ascii="仿宋_GB2312" w:hAnsi="AvantGarde Bk BT" w:eastAsia="仿宋_GB2312"/>
      <w:sz w:val="28"/>
    </w:rPr>
  </w:style>
  <w:style w:type="paragraph" w:customStyle="1" w:styleId="82">
    <w:name w:val="正文2"/>
    <w:basedOn w:val="26"/>
    <w:link w:val="81"/>
    <w:qFormat/>
    <w:uiPriority w:val="0"/>
    <w:pPr>
      <w:ind w:left="0" w:leftChars="0"/>
    </w:pPr>
    <w:rPr>
      <w:rFonts w:ascii="仿宋_GB2312" w:hAnsi="AvantGarde Bk BT" w:eastAsia="仿宋_GB2312"/>
      <w:kern w:val="0"/>
      <w:sz w:val="28"/>
    </w:rPr>
  </w:style>
  <w:style w:type="character" w:customStyle="1" w:styleId="83">
    <w:name w:val="mark"/>
    <w:basedOn w:val="43"/>
    <w:qFormat/>
    <w:uiPriority w:val="0"/>
  </w:style>
  <w:style w:type="character" w:customStyle="1" w:styleId="84">
    <w:name w:val=" Char Char5"/>
    <w:qFormat/>
    <w:uiPriority w:val="0"/>
    <w:rPr>
      <w:rFonts w:ascii="宋体" w:hAnsi="宋体" w:eastAsia="宋体"/>
      <w:kern w:val="2"/>
      <w:sz w:val="28"/>
      <w:lang w:val="en-US" w:eastAsia="zh-CN" w:bidi="ar-SA"/>
    </w:rPr>
  </w:style>
  <w:style w:type="character" w:customStyle="1" w:styleId="85">
    <w:name w:val="15"/>
    <w:qFormat/>
    <w:uiPriority w:val="0"/>
    <w:rPr>
      <w:rFonts w:ascii="Verdana" w:hAnsi="Verdana" w:cs="Times New Roman"/>
      <w:color w:val="C90000"/>
      <w:sz w:val="18"/>
    </w:rPr>
  </w:style>
  <w:style w:type="character" w:customStyle="1" w:styleId="86">
    <w:name w:val="样式 宋体 小四 粉红"/>
    <w:qFormat/>
    <w:uiPriority w:val="0"/>
    <w:rPr>
      <w:rFonts w:ascii="宋体" w:hAnsi="宋体"/>
      <w:color w:val="auto"/>
      <w:sz w:val="24"/>
      <w:szCs w:val="24"/>
    </w:rPr>
  </w:style>
  <w:style w:type="character" w:customStyle="1" w:styleId="87">
    <w:name w:val="表格 Char Char"/>
    <w:link w:val="88"/>
    <w:qFormat/>
    <w:uiPriority w:val="0"/>
    <w:rPr>
      <w:rFonts w:ascii="华文细黑" w:hAnsi="华文细黑"/>
      <w:sz w:val="21"/>
    </w:rPr>
  </w:style>
  <w:style w:type="paragraph" w:customStyle="1" w:styleId="88">
    <w:name w:val="表格"/>
    <w:basedOn w:val="1"/>
    <w:link w:val="87"/>
    <w:qFormat/>
    <w:uiPriority w:val="0"/>
    <w:pPr>
      <w:jc w:val="center"/>
      <w:textAlignment w:val="center"/>
    </w:pPr>
    <w:rPr>
      <w:rFonts w:ascii="华文细黑" w:hAnsi="华文细黑"/>
      <w:kern w:val="0"/>
    </w:rPr>
  </w:style>
  <w:style w:type="character" w:customStyle="1" w:styleId="89">
    <w:name w:val="纯文本 Char1"/>
    <w:qFormat/>
    <w:uiPriority w:val="0"/>
    <w:rPr>
      <w:rFonts w:ascii="宋体" w:hAnsi="Courier New" w:eastAsia="宋体" w:cs="Courier New"/>
      <w:kern w:val="2"/>
      <w:sz w:val="21"/>
      <w:szCs w:val="21"/>
      <w:lang w:val="en-US" w:eastAsia="zh-CN" w:bidi="ar-SA"/>
    </w:rPr>
  </w:style>
  <w:style w:type="character" w:customStyle="1" w:styleId="90">
    <w:name w:val="总规--正文 Char Char"/>
    <w:link w:val="91"/>
    <w:qFormat/>
    <w:uiPriority w:val="0"/>
    <w:rPr>
      <w:rFonts w:hAnsi="宋体" w:eastAsia="宋体" w:cs="宋体"/>
      <w:kern w:val="2"/>
      <w:sz w:val="24"/>
      <w:lang w:val="en-US" w:eastAsia="zh-CN" w:bidi="ar-SA"/>
    </w:rPr>
  </w:style>
  <w:style w:type="paragraph" w:customStyle="1" w:styleId="91">
    <w:name w:val="总规--正文"/>
    <w:basedOn w:val="1"/>
    <w:link w:val="90"/>
    <w:qFormat/>
    <w:uiPriority w:val="0"/>
    <w:pPr>
      <w:spacing w:line="360" w:lineRule="auto"/>
      <w:ind w:firstLine="480" w:firstLineChars="200"/>
    </w:pPr>
    <w:rPr>
      <w:rFonts w:hAnsi="宋体" w:cs="宋体"/>
      <w:sz w:val="24"/>
    </w:rPr>
  </w:style>
  <w:style w:type="character" w:customStyle="1" w:styleId="92">
    <w:name w:val="ca-1"/>
    <w:basedOn w:val="43"/>
    <w:qFormat/>
    <w:uiPriority w:val="0"/>
  </w:style>
  <w:style w:type="character" w:customStyle="1" w:styleId="93">
    <w:name w:val="样式2 Char Char"/>
    <w:link w:val="94"/>
    <w:qFormat/>
    <w:uiPriority w:val="0"/>
    <w:rPr>
      <w:rFonts w:ascii="Arial" w:hAnsi="Arial"/>
      <w:b/>
      <w:bCs/>
      <w:color w:val="000000"/>
      <w:sz w:val="28"/>
      <w:szCs w:val="24"/>
    </w:rPr>
  </w:style>
  <w:style w:type="paragraph" w:customStyle="1" w:styleId="94">
    <w:name w:val="样式2"/>
    <w:basedOn w:val="14"/>
    <w:link w:val="93"/>
    <w:qFormat/>
    <w:uiPriority w:val="0"/>
    <w:pPr>
      <w:numPr>
        <w:ilvl w:val="5"/>
        <w:numId w:val="3"/>
      </w:numPr>
      <w:adjustRightInd w:val="0"/>
      <w:spacing w:before="120" w:after="60" w:line="240" w:lineRule="auto"/>
      <w:jc w:val="left"/>
      <w:textAlignment w:val="baseline"/>
    </w:pPr>
    <w:rPr>
      <w:rFonts w:eastAsia="宋体"/>
      <w:color w:val="000000"/>
      <w:kern w:val="0"/>
      <w:sz w:val="28"/>
    </w:rPr>
  </w:style>
  <w:style w:type="character" w:customStyle="1" w:styleId="95">
    <w:name w:val="标题 2 Char Char"/>
    <w:qFormat/>
    <w:uiPriority w:val="0"/>
    <w:rPr>
      <w:rFonts w:ascii="Cambria" w:hAnsi="Cambria" w:eastAsia="宋体" w:cs="Times New Roman"/>
      <w:b/>
      <w:bCs/>
      <w:kern w:val="2"/>
      <w:sz w:val="32"/>
      <w:szCs w:val="32"/>
    </w:rPr>
  </w:style>
  <w:style w:type="character" w:customStyle="1" w:styleId="96">
    <w:name w:val="apple-style-span"/>
    <w:basedOn w:val="43"/>
    <w:qFormat/>
    <w:uiPriority w:val="0"/>
  </w:style>
  <w:style w:type="character" w:customStyle="1" w:styleId="97">
    <w:name w:val="text1"/>
    <w:qFormat/>
    <w:uiPriority w:val="0"/>
    <w:rPr>
      <w:sz w:val="24"/>
      <w:szCs w:val="24"/>
    </w:rPr>
  </w:style>
  <w:style w:type="character" w:customStyle="1" w:styleId="98">
    <w:name w:val="张伟正文 Char Char"/>
    <w:link w:val="99"/>
    <w:qFormat/>
    <w:uiPriority w:val="0"/>
    <w:rPr>
      <w:rFonts w:eastAsia="宋体"/>
      <w:kern w:val="2"/>
      <w:sz w:val="18"/>
      <w:szCs w:val="18"/>
      <w:lang w:val="en-US" w:eastAsia="zh-CN" w:bidi="ar-SA"/>
    </w:rPr>
  </w:style>
  <w:style w:type="paragraph" w:customStyle="1" w:styleId="99">
    <w:name w:val="张伟正文"/>
    <w:basedOn w:val="1"/>
    <w:link w:val="98"/>
    <w:qFormat/>
    <w:uiPriority w:val="0"/>
    <w:pPr>
      <w:spacing w:line="280" w:lineRule="exact"/>
      <w:ind w:firstLine="420"/>
    </w:pPr>
    <w:rPr>
      <w:sz w:val="18"/>
      <w:szCs w:val="18"/>
    </w:rPr>
  </w:style>
  <w:style w:type="character" w:customStyle="1" w:styleId="100">
    <w:name w:val="Char Char2"/>
    <w:qFormat/>
    <w:uiPriority w:val="0"/>
    <w:rPr>
      <w:rFonts w:ascii="宋体" w:hAnsi="宋体" w:eastAsia="宋体"/>
      <w:kern w:val="2"/>
      <w:sz w:val="28"/>
      <w:szCs w:val="20"/>
      <w:lang w:val="en-US" w:eastAsia="zh-CN" w:bidi="ar-SA"/>
    </w:rPr>
  </w:style>
  <w:style w:type="character" w:customStyle="1" w:styleId="101">
    <w:name w:val="无间隔 Char"/>
    <w:link w:val="102"/>
    <w:qFormat/>
    <w:uiPriority w:val="1"/>
    <w:rPr>
      <w:rFonts w:ascii="Calibri" w:hAnsi="Calibri"/>
      <w:sz w:val="22"/>
      <w:szCs w:val="22"/>
      <w:lang w:val="en-US" w:eastAsia="zh-CN" w:bidi="ar-SA"/>
    </w:rPr>
  </w:style>
  <w:style w:type="paragraph" w:styleId="102">
    <w:name w:val="No Spacing"/>
    <w:link w:val="101"/>
    <w:qFormat/>
    <w:uiPriority w:val="1"/>
    <w:rPr>
      <w:rFonts w:ascii="Calibri" w:hAnsi="Calibri" w:eastAsia="宋体" w:cs="Times New Roman"/>
      <w:sz w:val="22"/>
      <w:szCs w:val="22"/>
      <w:lang w:val="en-US" w:eastAsia="zh-CN" w:bidi="ar-SA"/>
    </w:rPr>
  </w:style>
  <w:style w:type="paragraph" w:customStyle="1" w:styleId="103">
    <w:name w:val="List Paragraph1"/>
    <w:qFormat/>
    <w:uiPriority w:val="99"/>
    <w:pPr>
      <w:ind w:firstLine="420" w:firstLineChars="200"/>
    </w:pPr>
    <w:rPr>
      <w:rFonts w:ascii="Times New Roman" w:hAnsi="Times New Roman" w:eastAsia="宋体" w:cs="Times New Roman"/>
      <w:lang w:val="en-US" w:eastAsia="zh-CN" w:bidi="ar-SA"/>
    </w:rPr>
  </w:style>
  <w:style w:type="paragraph" w:customStyle="1" w:styleId="104">
    <w:name w:val="Revision"/>
    <w:semiHidden/>
    <w:qFormat/>
    <w:uiPriority w:val="99"/>
    <w:rPr>
      <w:rFonts w:ascii="Times New Roman" w:hAnsi="Times New Roman" w:eastAsia="宋体" w:cs="Times New Roman"/>
      <w:kern w:val="2"/>
      <w:sz w:val="21"/>
      <w:lang w:val="en-US" w:eastAsia="zh-CN" w:bidi="ar-SA"/>
    </w:rPr>
  </w:style>
  <w:style w:type="paragraph" w:customStyle="1" w:styleId="105">
    <w:name w:val="7 Char Char Char Char"/>
    <w:basedOn w:val="1"/>
    <w:qFormat/>
    <w:uiPriority w:val="0"/>
    <w:pPr>
      <w:spacing w:line="360" w:lineRule="auto"/>
      <w:ind w:firstLine="200" w:firstLineChars="200"/>
    </w:pPr>
  </w:style>
  <w:style w:type="paragraph" w:customStyle="1" w:styleId="106">
    <w:name w:val="Char1 Char Char Char"/>
    <w:basedOn w:val="1"/>
    <w:qFormat/>
    <w:uiPriority w:val="0"/>
    <w:rPr>
      <w:rFonts w:eastAsia="仿宋_GB2312"/>
      <w:sz w:val="28"/>
      <w:szCs w:val="24"/>
    </w:rPr>
  </w:style>
  <w:style w:type="paragraph" w:customStyle="1" w:styleId="107">
    <w:name w:val="样式 列表编号 + 段后: 0.5 行"/>
    <w:basedOn w:val="16"/>
    <w:qFormat/>
    <w:uiPriority w:val="0"/>
    <w:pPr>
      <w:widowControl/>
      <w:numPr>
        <w:ilvl w:val="0"/>
        <w:numId w:val="0"/>
      </w:numPr>
      <w:spacing w:after="120"/>
      <w:ind w:left="840" w:hanging="420"/>
      <w:jc w:val="left"/>
    </w:pPr>
    <w:rPr>
      <w:rFonts w:cs="宋体"/>
      <w:kern w:val="0"/>
      <w:sz w:val="24"/>
    </w:rPr>
  </w:style>
  <w:style w:type="paragraph" w:customStyle="1" w:styleId="108">
    <w:name w:val=" Char"/>
    <w:basedOn w:val="1"/>
    <w:qFormat/>
    <w:uiPriority w:val="0"/>
    <w:pPr>
      <w:spacing w:beforeLines="50" w:afterLines="50"/>
    </w:pPr>
    <w:rPr>
      <w:rFonts w:ascii="Tahoma" w:hAnsi="Tahoma"/>
      <w:sz w:val="24"/>
    </w:rPr>
  </w:style>
  <w:style w:type="paragraph" w:customStyle="1" w:styleId="109">
    <w:name w:val="正文－恩普"/>
    <w:basedOn w:val="5"/>
    <w:qFormat/>
    <w:uiPriority w:val="0"/>
    <w:pPr>
      <w:widowControl/>
      <w:spacing w:afterLines="50" w:line="360" w:lineRule="auto"/>
      <w:ind w:firstLine="480" w:firstLineChars="200"/>
      <w:jc w:val="left"/>
    </w:pPr>
    <w:rPr>
      <w:kern w:val="0"/>
      <w:sz w:val="24"/>
    </w:rPr>
  </w:style>
  <w:style w:type="paragraph" w:customStyle="1" w:styleId="110">
    <w:name w:val="3小节"/>
    <w:basedOn w:val="1"/>
    <w:qFormat/>
    <w:uiPriority w:val="0"/>
    <w:pPr>
      <w:spacing w:before="200" w:line="360" w:lineRule="auto"/>
      <w:ind w:firstLine="200" w:firstLineChars="200"/>
      <w:outlineLvl w:val="2"/>
    </w:pPr>
    <w:rPr>
      <w:rFonts w:eastAsia="黑体"/>
      <w:sz w:val="28"/>
    </w:rPr>
  </w:style>
  <w:style w:type="paragraph" w:customStyle="1" w:styleId="111">
    <w:name w:val="文档正文"/>
    <w:basedOn w:val="1"/>
    <w:qFormat/>
    <w:uiPriority w:val="0"/>
    <w:pPr>
      <w:adjustRightInd w:val="0"/>
      <w:spacing w:line="312" w:lineRule="atLeast"/>
      <w:ind w:firstLine="567"/>
    </w:pPr>
    <w:rPr>
      <w:rFonts w:ascii="长城仿宋" w:eastAsia="长城仿宋"/>
      <w:kern w:val="0"/>
      <w:sz w:val="28"/>
    </w:rPr>
  </w:style>
  <w:style w:type="paragraph" w:customStyle="1" w:styleId="112">
    <w:name w:val="默认段落字体 Para Char Char Char Char Char Char Char Char Char Char Char Char Char"/>
    <w:basedOn w:val="18"/>
    <w:qFormat/>
    <w:uiPriority w:val="0"/>
    <w:rPr>
      <w:rFonts w:ascii="Tahoma" w:hAnsi="Tahoma" w:cs="Tahoma"/>
      <w:sz w:val="24"/>
      <w:szCs w:val="24"/>
      <w:shd w:val="clear" w:color="auto" w:fill="auto"/>
    </w:rPr>
  </w:style>
  <w:style w:type="paragraph" w:customStyle="1" w:styleId="113">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14">
    <w:name w:val=" Char Char Char Char"/>
    <w:basedOn w:val="1"/>
    <w:qFormat/>
    <w:uiPriority w:val="0"/>
    <w:pPr>
      <w:widowControl/>
      <w:spacing w:line="400" w:lineRule="exact"/>
      <w:outlineLvl w:val="1"/>
    </w:pPr>
    <w:rPr>
      <w:rFonts w:ascii="Verdana" w:hAnsi="Verdana"/>
      <w:b/>
      <w:kern w:val="0"/>
      <w:sz w:val="24"/>
      <w:szCs w:val="24"/>
      <w:lang w:eastAsia="en-US"/>
    </w:rPr>
  </w:style>
  <w:style w:type="paragraph" w:customStyle="1" w:styleId="115">
    <w:name w:val="_Style 90"/>
    <w:next w:val="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6">
    <w:name w:val="样式 表格正文 + 两端对齐"/>
    <w:basedOn w:val="1"/>
    <w:qFormat/>
    <w:uiPriority w:val="0"/>
    <w:pPr>
      <w:spacing w:line="300" w:lineRule="auto"/>
    </w:pPr>
    <w:rPr>
      <w:sz w:val="24"/>
    </w:rPr>
  </w:style>
  <w:style w:type="paragraph" w:customStyle="1" w:styleId="117">
    <w:name w:val="9正文"/>
    <w:basedOn w:val="1"/>
    <w:qFormat/>
    <w:uiPriority w:val="0"/>
    <w:pPr>
      <w:spacing w:afterLines="50" w:line="360" w:lineRule="auto"/>
      <w:ind w:firstLine="480" w:firstLineChars="200"/>
      <w:textAlignment w:val="center"/>
    </w:pPr>
    <w:rPr>
      <w:sz w:val="24"/>
      <w:szCs w:val="24"/>
    </w:rPr>
  </w:style>
  <w:style w:type="paragraph" w:customStyle="1" w:styleId="118">
    <w:name w:val="p16"/>
    <w:basedOn w:val="1"/>
    <w:qFormat/>
    <w:uiPriority w:val="0"/>
    <w:pPr>
      <w:widowControl/>
      <w:snapToGrid w:val="0"/>
      <w:spacing w:line="480" w:lineRule="atLeast"/>
    </w:pPr>
    <w:rPr>
      <w:rFonts w:ascii="宋体" w:hAnsi="宋体" w:cs="宋体"/>
      <w:kern w:val="0"/>
      <w:sz w:val="28"/>
      <w:szCs w:val="28"/>
    </w:rPr>
  </w:style>
  <w:style w:type="paragraph" w:customStyle="1" w:styleId="119">
    <w:name w:val="1 Char Char Char Char"/>
    <w:basedOn w:val="1"/>
    <w:qFormat/>
    <w:uiPriority w:val="0"/>
    <w:rPr>
      <w:rFonts w:ascii="Tahoma" w:hAnsi="Tahoma"/>
      <w:sz w:val="24"/>
    </w:rPr>
  </w:style>
  <w:style w:type="paragraph" w:customStyle="1" w:styleId="120">
    <w:name w:val="Char"/>
    <w:basedOn w:val="1"/>
    <w:qFormat/>
    <w:uiPriority w:val="0"/>
    <w:rPr>
      <w:rFonts w:ascii="Tahoma" w:hAnsi="Tahoma"/>
      <w:sz w:val="24"/>
    </w:rPr>
  </w:style>
  <w:style w:type="paragraph" w:customStyle="1" w:styleId="121">
    <w:name w:val="_Style 8"/>
    <w:basedOn w:val="1"/>
    <w:qFormat/>
    <w:uiPriority w:val="0"/>
    <w:pPr>
      <w:widowControl/>
      <w:spacing w:after="160" w:line="240" w:lineRule="exact"/>
      <w:jc w:val="left"/>
    </w:pPr>
  </w:style>
  <w:style w:type="paragraph" w:customStyle="1" w:styleId="122">
    <w:name w:val="_Style 22"/>
    <w:basedOn w:val="1"/>
    <w:qFormat/>
    <w:uiPriority w:val="0"/>
    <w:rPr>
      <w:szCs w:val="24"/>
    </w:rPr>
  </w:style>
  <w:style w:type="paragraph" w:customStyle="1" w:styleId="123">
    <w:name w:val="1"/>
    <w:basedOn w:val="1"/>
    <w:qFormat/>
    <w:uiPriority w:val="0"/>
    <w:pPr>
      <w:widowControl/>
      <w:spacing w:after="160" w:line="240" w:lineRule="exact"/>
      <w:jc w:val="left"/>
    </w:pPr>
  </w:style>
  <w:style w:type="paragraph" w:customStyle="1" w:styleId="124">
    <w:name w:val="p17"/>
    <w:basedOn w:val="1"/>
    <w:qFormat/>
    <w:uiPriority w:val="0"/>
    <w:pPr>
      <w:widowControl/>
      <w:spacing w:after="120"/>
      <w:ind w:left="420"/>
    </w:pPr>
    <w:rPr>
      <w:kern w:val="0"/>
      <w:szCs w:val="21"/>
    </w:rPr>
  </w:style>
  <w:style w:type="paragraph" w:customStyle="1" w:styleId="125">
    <w:name w:val="样式4"/>
    <w:basedOn w:val="1"/>
    <w:qFormat/>
    <w:uiPriority w:val="0"/>
    <w:pPr>
      <w:numPr>
        <w:ilvl w:val="0"/>
        <w:numId w:val="4"/>
      </w:numPr>
      <w:spacing w:line="500" w:lineRule="exact"/>
      <w:jc w:val="left"/>
    </w:pPr>
    <w:rPr>
      <w:rFonts w:ascii="宋体" w:hAnsi="宋体"/>
      <w:b/>
      <w:bCs/>
      <w:color w:val="000000"/>
      <w:sz w:val="24"/>
      <w:szCs w:val="24"/>
    </w:rPr>
  </w:style>
  <w:style w:type="paragraph" w:customStyle="1" w:styleId="126">
    <w:name w:val="样式5"/>
    <w:basedOn w:val="1"/>
    <w:qFormat/>
    <w:uiPriority w:val="0"/>
    <w:pPr>
      <w:spacing w:line="360" w:lineRule="auto"/>
      <w:ind w:firstLine="200" w:firstLineChars="200"/>
      <w:jc w:val="left"/>
    </w:pPr>
    <w:rPr>
      <w:sz w:val="24"/>
      <w:szCs w:val="24"/>
    </w:rPr>
  </w:style>
  <w:style w:type="paragraph" w:customStyle="1" w:styleId="127">
    <w:name w:val="Char Char Char1 Char Char Char Char Char Char Char Char Char Char Char Char Char"/>
    <w:basedOn w:val="18"/>
    <w:qFormat/>
    <w:uiPriority w:val="0"/>
  </w:style>
  <w:style w:type="paragraph" w:customStyle="1" w:styleId="128">
    <w:name w:val="Char Char Char"/>
    <w:basedOn w:val="1"/>
    <w:qFormat/>
    <w:uiPriority w:val="0"/>
    <w:rPr>
      <w:rFonts w:ascii="Tahoma" w:hAnsi="Tahoma"/>
      <w:sz w:val="24"/>
    </w:rPr>
  </w:style>
  <w:style w:type="paragraph" w:customStyle="1" w:styleId="129">
    <w:name w:val="pa-1"/>
    <w:basedOn w:val="1"/>
    <w:qFormat/>
    <w:uiPriority w:val="0"/>
    <w:pPr>
      <w:widowControl/>
      <w:spacing w:before="150" w:after="150"/>
      <w:jc w:val="left"/>
    </w:pPr>
    <w:rPr>
      <w:rFonts w:ascii="宋体" w:hAnsi="宋体" w:cs="宋体"/>
      <w:kern w:val="0"/>
      <w:sz w:val="24"/>
      <w:szCs w:val="24"/>
    </w:rPr>
  </w:style>
  <w:style w:type="paragraph" w:customStyle="1" w:styleId="130">
    <w:name w:val="Char Char1"/>
    <w:basedOn w:val="1"/>
    <w:qFormat/>
    <w:uiPriority w:val="0"/>
    <w:pPr>
      <w:widowControl/>
      <w:spacing w:after="160" w:line="240" w:lineRule="exact"/>
      <w:jc w:val="left"/>
    </w:pPr>
  </w:style>
  <w:style w:type="paragraph" w:customStyle="1" w:styleId="131">
    <w:name w:val="GP正文(无首行缩进)"/>
    <w:qFormat/>
    <w:uiPriority w:val="0"/>
    <w:pPr>
      <w:widowControl w:val="0"/>
      <w:spacing w:line="360" w:lineRule="auto"/>
    </w:pPr>
    <w:rPr>
      <w:rFonts w:ascii="Times New Roman" w:hAnsi="Times New Roman" w:eastAsia="宋体" w:cs="Times New Roman"/>
      <w:kern w:val="2"/>
      <w:sz w:val="24"/>
      <w:szCs w:val="21"/>
      <w:lang w:val="en-US" w:eastAsia="zh-CN" w:bidi="ar-SA"/>
    </w:rPr>
  </w:style>
  <w:style w:type="paragraph" w:customStyle="1" w:styleId="132">
    <w:name w:val="Plain Text"/>
    <w:basedOn w:val="113"/>
    <w:qFormat/>
    <w:uiPriority w:val="0"/>
    <w:rPr>
      <w:rFonts w:ascii="宋体" w:hAnsi="Courier New"/>
      <w:sz w:val="24"/>
    </w:rPr>
  </w:style>
  <w:style w:type="paragraph" w:customStyle="1" w:styleId="133">
    <w:name w:val="样式 标题 6 + 黑色"/>
    <w:basedOn w:val="14"/>
    <w:qFormat/>
    <w:uiPriority w:val="0"/>
    <w:pPr>
      <w:numPr>
        <w:ilvl w:val="5"/>
        <w:numId w:val="3"/>
      </w:numPr>
      <w:adjustRightInd w:val="0"/>
      <w:spacing w:before="120" w:after="60" w:line="320" w:lineRule="atLeast"/>
      <w:jc w:val="left"/>
      <w:textAlignment w:val="baseline"/>
    </w:pPr>
    <w:rPr>
      <w:rFonts w:eastAsia="宋体"/>
      <w:color w:val="000000"/>
      <w:kern w:val="0"/>
      <w:sz w:val="28"/>
    </w:rPr>
  </w:style>
  <w:style w:type="paragraph" w:customStyle="1" w:styleId="134">
    <w:name w:val="Table Contents"/>
    <w:basedOn w:val="1"/>
    <w:qFormat/>
    <w:uiPriority w:val="0"/>
    <w:pPr>
      <w:suppressAutoHyphens/>
      <w:autoSpaceDE w:val="0"/>
      <w:spacing w:after="120"/>
      <w:jc w:val="left"/>
    </w:pPr>
    <w:rPr>
      <w:rFonts w:ascii="Helvetica" w:hAnsi="Helvetica"/>
      <w:kern w:val="1"/>
      <w:sz w:val="20"/>
      <w:lang w:eastAsia="zh-CN"/>
    </w:rPr>
  </w:style>
  <w:style w:type="paragraph" w:customStyle="1" w:styleId="135">
    <w:name w:val="表内文字"/>
    <w:basedOn w:val="1"/>
    <w:qFormat/>
    <w:uiPriority w:val="0"/>
    <w:pPr>
      <w:tabs>
        <w:tab w:val="left" w:pos="1418"/>
      </w:tabs>
      <w:spacing w:line="360" w:lineRule="auto"/>
      <w:jc w:val="center"/>
    </w:pPr>
    <w:rPr>
      <w:rFonts w:ascii="仿宋_GB2312" w:eastAsia="仿宋_GB2312"/>
      <w:spacing w:val="-20"/>
      <w:kern w:val="0"/>
      <w:sz w:val="24"/>
      <w:szCs w:val="24"/>
    </w:rPr>
  </w:style>
  <w:style w:type="paragraph" w:customStyle="1" w:styleId="136">
    <w:name w:val="默认段落字体 Para Char Char Char Char Char Char Char"/>
    <w:basedOn w:val="1"/>
    <w:qFormat/>
    <w:uiPriority w:val="0"/>
    <w:rPr>
      <w:rFonts w:ascii="Tahoma" w:hAnsi="Tahoma"/>
      <w:sz w:val="24"/>
    </w:rPr>
  </w:style>
  <w:style w:type="paragraph" w:customStyle="1" w:styleId="137">
    <w:name w:val=" Char Char1"/>
    <w:basedOn w:val="1"/>
    <w:qFormat/>
    <w:uiPriority w:val="0"/>
    <w:pPr>
      <w:widowControl/>
      <w:spacing w:after="160" w:line="240" w:lineRule="exact"/>
      <w:jc w:val="left"/>
    </w:pPr>
  </w:style>
  <w:style w:type="paragraph" w:customStyle="1" w:styleId="138">
    <w:name w:val="Body Text"/>
    <w:basedOn w:val="1"/>
    <w:qFormat/>
    <w:uiPriority w:val="0"/>
    <w:pPr>
      <w:spacing w:after="120"/>
    </w:pPr>
    <w:rPr>
      <w:szCs w:val="24"/>
    </w:rPr>
  </w:style>
  <w:style w:type="paragraph" w:customStyle="1" w:styleId="139">
    <w:name w:val="List Paragraph2"/>
    <w:basedOn w:val="1"/>
    <w:qFormat/>
    <w:uiPriority w:val="0"/>
    <w:pPr>
      <w:ind w:firstLine="420" w:firstLineChars="200"/>
    </w:pPr>
    <w:rPr>
      <w:rFonts w:ascii="Calibri" w:hAnsi="Calibri"/>
      <w:szCs w:val="22"/>
    </w:rPr>
  </w:style>
  <w:style w:type="paragraph" w:customStyle="1" w:styleId="140">
    <w:name w:val="正文段"/>
    <w:basedOn w:val="1"/>
    <w:qFormat/>
    <w:uiPriority w:val="0"/>
    <w:pPr>
      <w:widowControl/>
      <w:snapToGrid w:val="0"/>
      <w:spacing w:afterLines="50"/>
      <w:ind w:firstLine="200" w:firstLineChars="200"/>
    </w:pPr>
    <w:rPr>
      <w:kern w:val="0"/>
      <w:sz w:val="24"/>
    </w:rPr>
  </w:style>
  <w:style w:type="paragraph" w:styleId="141">
    <w:name w:val="List Paragraph"/>
    <w:basedOn w:val="1"/>
    <w:qFormat/>
    <w:uiPriority w:val="99"/>
    <w:pPr>
      <w:ind w:firstLine="420" w:firstLineChars="200"/>
    </w:pPr>
    <w:rPr>
      <w:rFonts w:ascii="Calibri" w:hAnsi="Calibri"/>
      <w:szCs w:val="22"/>
    </w:rPr>
  </w:style>
  <w:style w:type="paragraph" w:customStyle="1" w:styleId="142">
    <w:name w:val="p20"/>
    <w:basedOn w:val="1"/>
    <w:qFormat/>
    <w:uiPriority w:val="0"/>
    <w:pPr>
      <w:widowControl/>
      <w:spacing w:before="100" w:after="100"/>
      <w:jc w:val="left"/>
    </w:pPr>
    <w:rPr>
      <w:rFonts w:ascii="宋体" w:hAnsi="宋体" w:cs="宋体"/>
      <w:kern w:val="0"/>
      <w:sz w:val="24"/>
      <w:szCs w:val="24"/>
    </w:rPr>
  </w:style>
  <w:style w:type="paragraph" w:customStyle="1" w:styleId="143">
    <w:name w:val="Normal Indent"/>
    <w:basedOn w:val="1"/>
    <w:qFormat/>
    <w:uiPriority w:val="0"/>
    <w:pPr>
      <w:ind w:firstLine="420" w:firstLineChars="200"/>
    </w:pPr>
    <w:rPr>
      <w:szCs w:val="24"/>
    </w:rPr>
  </w:style>
  <w:style w:type="paragraph" w:customStyle="1" w:styleId="144">
    <w:name w:val=" Char Char Char1 Char Char Char Char Char Char Char Char Char Char Char Char Char Char Char Char Char Char Char"/>
    <w:basedOn w:val="1"/>
    <w:qFormat/>
    <w:uiPriority w:val="0"/>
    <w:rPr>
      <w:szCs w:val="24"/>
    </w:rPr>
  </w:style>
  <w:style w:type="paragraph" w:customStyle="1" w:styleId="145">
    <w:name w:val="Char Char Char2 Char"/>
    <w:basedOn w:val="1"/>
    <w:qFormat/>
    <w:uiPriority w:val="0"/>
    <w:pPr>
      <w:numPr>
        <w:ilvl w:val="0"/>
        <w:numId w:val="3"/>
      </w:numPr>
      <w:tabs>
        <w:tab w:val="left" w:pos="810"/>
        <w:tab w:val="clear" w:pos="902"/>
      </w:tabs>
    </w:pPr>
    <w:rPr>
      <w:szCs w:val="24"/>
    </w:rPr>
  </w:style>
  <w:style w:type="paragraph" w:customStyle="1" w:styleId="146">
    <w:name w:val="默认段落字体 Para Char Char Char Char"/>
    <w:basedOn w:val="1"/>
    <w:qFormat/>
    <w:uiPriority w:val="0"/>
    <w:rPr>
      <w:rFonts w:ascii="Arial" w:hAnsi="Arial" w:cs="Arial"/>
      <w:szCs w:val="21"/>
    </w:rPr>
  </w:style>
  <w:style w:type="paragraph" w:customStyle="1" w:styleId="147">
    <w:name w:val="此正文"/>
    <w:basedOn w:val="1"/>
    <w:qFormat/>
    <w:uiPriority w:val="0"/>
    <w:pPr>
      <w:spacing w:line="360" w:lineRule="auto"/>
      <w:ind w:firstLine="200" w:firstLineChars="200"/>
    </w:pPr>
    <w:rPr>
      <w:sz w:val="24"/>
    </w:rPr>
  </w:style>
  <w:style w:type="paragraph" w:customStyle="1" w:styleId="148">
    <w:name w:val=" Char Char Char Char Char Char"/>
    <w:basedOn w:val="1"/>
    <w:qFormat/>
    <w:uiPriority w:val="0"/>
    <w:pPr>
      <w:spacing w:line="360" w:lineRule="auto"/>
      <w:ind w:firstLine="200" w:firstLineChars="200"/>
    </w:pPr>
    <w:rPr>
      <w:sz w:val="24"/>
      <w:szCs w:val="24"/>
    </w:rPr>
  </w:style>
  <w:style w:type="paragraph" w:customStyle="1" w:styleId="149">
    <w:name w:val="默认段落字体 Para Char Char Char Char Char Char Char Char Char1 Char Char Char Char"/>
    <w:basedOn w:val="1"/>
    <w:qFormat/>
    <w:uiPriority w:val="0"/>
    <w:rPr>
      <w:rFonts w:ascii="Tahoma" w:hAnsi="Tahoma"/>
      <w:sz w:val="24"/>
    </w:rPr>
  </w:style>
  <w:style w:type="paragraph" w:customStyle="1" w:styleId="150">
    <w:name w:val="Char Char Char1 Char8"/>
    <w:basedOn w:val="1"/>
    <w:unhideWhenUsed/>
    <w:qFormat/>
    <w:uiPriority w:val="99"/>
    <w:pPr>
      <w:spacing w:line="360" w:lineRule="auto"/>
      <w:ind w:firstLine="200" w:firstLineChars="200"/>
    </w:pPr>
    <w:rPr>
      <w:rFonts w:hint="eastAsia" w:ascii="宋体" w:hAnsi="宋体"/>
      <w:sz w:val="24"/>
    </w:rPr>
  </w:style>
  <w:style w:type="paragraph" w:customStyle="1" w:styleId="151">
    <w:name w:val="样式6"/>
    <w:basedOn w:val="1"/>
    <w:qFormat/>
    <w:uiPriority w:val="0"/>
    <w:pPr>
      <w:spacing w:line="360" w:lineRule="auto"/>
      <w:ind w:firstLine="200" w:firstLineChars="200"/>
      <w:jc w:val="left"/>
    </w:pPr>
    <w:rPr>
      <w:sz w:val="24"/>
      <w:szCs w:val="24"/>
    </w:rPr>
  </w:style>
  <w:style w:type="paragraph" w:customStyle="1" w:styleId="152">
    <w:name w:val="p0"/>
    <w:basedOn w:val="1"/>
    <w:qFormat/>
    <w:uiPriority w:val="99"/>
    <w:pPr>
      <w:widowControl/>
    </w:pPr>
    <w:rPr>
      <w:kern w:val="0"/>
      <w:szCs w:val="21"/>
    </w:rPr>
  </w:style>
  <w:style w:type="paragraph" w:customStyle="1" w:styleId="153">
    <w:name w:val=" Char1 Char Char Char"/>
    <w:basedOn w:val="1"/>
    <w:qFormat/>
    <w:uiPriority w:val="0"/>
    <w:rPr>
      <w:szCs w:val="24"/>
    </w:rPr>
  </w:style>
  <w:style w:type="paragraph" w:customStyle="1" w:styleId="154">
    <w:name w:val="Normal New New"/>
    <w:qFormat/>
    <w:uiPriority w:val="0"/>
    <w:pPr>
      <w:widowControl w:val="0"/>
      <w:spacing w:line="312" w:lineRule="auto"/>
      <w:jc w:val="both"/>
    </w:pPr>
    <w:rPr>
      <w:rFonts w:hint="eastAsia" w:ascii="Times New Roman" w:hAnsi="Times New Roman" w:eastAsia="宋体" w:cs="Times New Roman"/>
      <w:kern w:val="2"/>
      <w:sz w:val="21"/>
      <w:lang w:val="en-US" w:eastAsia="zh-CN" w:bidi="ar-SA"/>
    </w:rPr>
  </w:style>
  <w:style w:type="paragraph" w:customStyle="1" w:styleId="155">
    <w:name w:val="tabletext"/>
    <w:basedOn w:val="1"/>
    <w:qFormat/>
    <w:uiPriority w:val="99"/>
    <w:pPr>
      <w:widowControl/>
      <w:spacing w:before="100" w:beforeAutospacing="1" w:after="100" w:afterAutospacing="1"/>
      <w:jc w:val="left"/>
    </w:pPr>
    <w:rPr>
      <w:rFonts w:ascii="宋体" w:hAnsi="宋体" w:cs="宋体"/>
      <w:kern w:val="0"/>
      <w:sz w:val="24"/>
      <w:szCs w:val="24"/>
      <w:lang w:eastAsia="en-US" w:bidi="en-US"/>
    </w:rPr>
  </w:style>
  <w:style w:type="paragraph" w:customStyle="1" w:styleId="15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57">
    <w:name w:val="标题4"/>
    <w:basedOn w:val="1"/>
    <w:qFormat/>
    <w:uiPriority w:val="0"/>
    <w:pPr>
      <w:numPr>
        <w:ilvl w:val="0"/>
        <w:numId w:val="3"/>
      </w:numPr>
      <w:spacing w:beforeLines="50" w:afterLines="50" w:line="360" w:lineRule="auto"/>
    </w:pPr>
    <w:rPr>
      <w:sz w:val="24"/>
      <w:szCs w:val="21"/>
    </w:rPr>
  </w:style>
  <w:style w:type="paragraph" w:customStyle="1" w:styleId="158">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59">
    <w:name w:val=" Char Char Char1 Char Char Char Char Char Char Char Char Char Char Char Char Char Char Char Char Char Char Char Char Char Char Char Char"/>
    <w:basedOn w:val="1"/>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luogongtao</Company>
  <Pages>30</Pages>
  <Words>10519</Words>
  <Characters>11219</Characters>
  <Lines>24</Lines>
  <Paragraphs>31</Paragraphs>
  <TotalTime>118</TotalTime>
  <ScaleCrop>false</ScaleCrop>
  <LinksUpToDate>false</LinksUpToDate>
  <CharactersWithSpaces>11546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2025-03-24T05:42:00Z</dcterms:created>
  <dc:creator>dp</dc:creator>
  <cp:lastModifiedBy>大森林</cp:lastModifiedBy>
  <cp:lastPrinted>2025-02-20T03:11:00Z</cp:lastPrinted>
  <dcterms:modified xsi:type="dcterms:W3CDTF">2025-03-27T04:04:12Z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5AC5E65B552D4F54B9F36214157F6A3C_13</vt:lpwstr>
  </property>
  <property fmtid="{D5CDD505-2E9C-101B-9397-08002B2CF9AE}" pid="4" name="KSOTemplateDocerSaveRecord">
    <vt:lpwstr>eyJoZGlkIjoiOGYwNzU3MzYzMmZkNTMxYTZkOTY4ZTQ2YzA1MjFjMzMiLCJ1c2VySWQiOiI4MjgyMzY5NjMifQ==</vt:lpwstr>
  </property>
</Properties>
</file>