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EB9FC">
      <w:pPr>
        <w:spacing w:before="120" w:beforeLines="50"/>
        <w:jc w:val="center"/>
        <w:rPr>
          <w:rFonts w:hint="eastAsia" w:ascii="仿宋" w:hAnsi="仿宋" w:eastAsia="仿宋" w:cs="仿宋"/>
          <w:b/>
          <w:color w:val="auto"/>
          <w:sz w:val="48"/>
          <w:szCs w:val="48"/>
        </w:rPr>
      </w:pPr>
    </w:p>
    <w:p w14:paraId="6D3942DF">
      <w:pPr>
        <w:spacing w:before="120" w:beforeLines="50" w:after="120" w:afterLines="50" w:line="360" w:lineRule="auto"/>
        <w:ind w:right="-108"/>
        <w:jc w:val="center"/>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嵊州市人力资源和社会保障局专用账户开立项目</w:t>
      </w:r>
    </w:p>
    <w:p w14:paraId="057DDDEE">
      <w:pPr>
        <w:spacing w:before="120" w:beforeLines="50" w:after="120" w:afterLines="50" w:line="360" w:lineRule="auto"/>
        <w:ind w:right="-108"/>
        <w:jc w:val="center"/>
        <w:rPr>
          <w:rFonts w:hint="default" w:ascii="宋体" w:hAnsi="宋体" w:eastAsia="宋体" w:cs="宋体"/>
          <w:b/>
          <w:bCs/>
          <w:color w:val="auto"/>
          <w:sz w:val="28"/>
          <w:szCs w:val="28"/>
          <w:lang w:val="en-US" w:eastAsia="zh-CN"/>
        </w:rPr>
      </w:pPr>
      <w:r>
        <w:rPr>
          <w:rFonts w:hint="eastAsia" w:ascii="宋体" w:hAnsi="宋体" w:cs="宋体"/>
          <w:b/>
          <w:bCs/>
          <w:color w:val="auto"/>
          <w:sz w:val="28"/>
          <w:szCs w:val="28"/>
        </w:rPr>
        <w:t>项目编号：</w:t>
      </w:r>
      <w:r>
        <w:rPr>
          <w:rFonts w:hint="eastAsia" w:ascii="宋体" w:hAnsi="宋体" w:cs="宋体"/>
          <w:b/>
          <w:bCs/>
          <w:color w:val="auto"/>
          <w:sz w:val="28"/>
          <w:szCs w:val="28"/>
          <w:lang w:eastAsia="zh-CN"/>
        </w:rPr>
        <w:t>SXWH2025-6-6</w:t>
      </w:r>
    </w:p>
    <w:p w14:paraId="211CE362">
      <w:pPr>
        <w:ind w:right="-108"/>
        <w:jc w:val="both"/>
        <w:rPr>
          <w:rFonts w:hint="eastAsia" w:ascii="宋体" w:hAnsi="宋体" w:cs="宋体"/>
          <w:color w:val="auto"/>
          <w:spacing w:val="40"/>
          <w:sz w:val="84"/>
          <w:szCs w:val="84"/>
        </w:rPr>
      </w:pPr>
    </w:p>
    <w:p w14:paraId="0AB2CE2D">
      <w:pPr>
        <w:rPr>
          <w:rFonts w:hint="eastAsia"/>
          <w:color w:val="auto"/>
        </w:rPr>
      </w:pPr>
    </w:p>
    <w:p w14:paraId="74045963">
      <w:pPr>
        <w:ind w:right="-108"/>
        <w:jc w:val="center"/>
        <w:rPr>
          <w:rFonts w:hint="eastAsia" w:ascii="宋体" w:hAnsi="宋体" w:cs="宋体"/>
          <w:color w:val="auto"/>
          <w:spacing w:val="40"/>
          <w:sz w:val="84"/>
          <w:szCs w:val="84"/>
        </w:rPr>
      </w:pPr>
      <w:r>
        <w:rPr>
          <w:rFonts w:hint="eastAsia" w:ascii="宋体" w:hAnsi="宋体" w:cs="宋体"/>
          <w:color w:val="auto"/>
          <w:spacing w:val="40"/>
          <w:sz w:val="84"/>
          <w:szCs w:val="84"/>
        </w:rPr>
        <w:t>招</w:t>
      </w:r>
    </w:p>
    <w:p w14:paraId="004ED533">
      <w:pPr>
        <w:ind w:right="-108"/>
        <w:jc w:val="center"/>
        <w:rPr>
          <w:rFonts w:hint="eastAsia" w:ascii="宋体" w:hAnsi="宋体" w:cs="宋体"/>
          <w:color w:val="auto"/>
          <w:spacing w:val="40"/>
          <w:sz w:val="84"/>
          <w:szCs w:val="84"/>
        </w:rPr>
      </w:pPr>
      <w:r>
        <w:rPr>
          <w:rFonts w:hint="eastAsia" w:ascii="宋体" w:hAnsi="宋体" w:cs="宋体"/>
          <w:color w:val="auto"/>
          <w:spacing w:val="40"/>
          <w:sz w:val="84"/>
          <w:szCs w:val="84"/>
        </w:rPr>
        <w:t>标</w:t>
      </w:r>
    </w:p>
    <w:p w14:paraId="690314C6">
      <w:pPr>
        <w:ind w:right="-108"/>
        <w:jc w:val="center"/>
        <w:rPr>
          <w:rFonts w:hint="eastAsia" w:ascii="宋体" w:hAnsi="宋体" w:cs="宋体"/>
          <w:color w:val="auto"/>
          <w:spacing w:val="40"/>
          <w:sz w:val="84"/>
          <w:szCs w:val="84"/>
        </w:rPr>
      </w:pPr>
      <w:r>
        <w:rPr>
          <w:rFonts w:hint="eastAsia" w:ascii="宋体" w:hAnsi="宋体" w:cs="宋体"/>
          <w:color w:val="auto"/>
          <w:spacing w:val="40"/>
          <w:sz w:val="84"/>
          <w:szCs w:val="84"/>
        </w:rPr>
        <w:t>文</w:t>
      </w:r>
    </w:p>
    <w:p w14:paraId="115888C1">
      <w:pPr>
        <w:ind w:right="-108"/>
        <w:jc w:val="center"/>
        <w:rPr>
          <w:rFonts w:hint="eastAsia" w:ascii="宋体" w:hAnsi="宋体" w:cs="宋体"/>
          <w:color w:val="auto"/>
          <w:spacing w:val="40"/>
          <w:sz w:val="84"/>
          <w:szCs w:val="84"/>
        </w:rPr>
      </w:pPr>
      <w:r>
        <w:rPr>
          <w:rFonts w:hint="eastAsia" w:ascii="宋体" w:hAnsi="宋体" w:cs="宋体"/>
          <w:color w:val="auto"/>
          <w:spacing w:val="40"/>
          <w:sz w:val="84"/>
          <w:szCs w:val="84"/>
        </w:rPr>
        <w:t>件</w:t>
      </w:r>
    </w:p>
    <w:p w14:paraId="22F6C0B8">
      <w:pPr>
        <w:snapToGrid w:val="0"/>
        <w:spacing w:before="120" w:beforeLines="50" w:line="360" w:lineRule="auto"/>
        <w:rPr>
          <w:rFonts w:hint="eastAsia" w:ascii="宋体" w:hAnsi="宋体" w:cs="宋体"/>
          <w:b/>
          <w:bCs/>
          <w:color w:val="auto"/>
          <w:w w:val="95"/>
          <w:sz w:val="32"/>
          <w:szCs w:val="32"/>
        </w:rPr>
      </w:pPr>
      <w:r>
        <w:rPr>
          <w:rFonts w:hint="eastAsia" w:ascii="宋体" w:hAnsi="宋体" w:cs="宋体"/>
          <w:b/>
          <w:bCs/>
          <w:color w:val="auto"/>
          <w:w w:val="95"/>
          <w:sz w:val="32"/>
          <w:szCs w:val="32"/>
        </w:rPr>
        <w:t xml:space="preserve">    </w:t>
      </w:r>
    </w:p>
    <w:p w14:paraId="08B0EEEC">
      <w:pPr>
        <w:rPr>
          <w:rFonts w:hint="eastAsia"/>
          <w:color w:val="auto"/>
        </w:rPr>
      </w:pPr>
    </w:p>
    <w:p w14:paraId="22269602">
      <w:pPr>
        <w:snapToGrid w:val="0"/>
        <w:spacing w:before="120" w:beforeLines="50" w:line="360" w:lineRule="auto"/>
        <w:rPr>
          <w:rFonts w:hint="eastAsia" w:ascii="宋体" w:hAnsi="宋体" w:cs="宋体"/>
          <w:b/>
          <w:bCs/>
          <w:color w:val="auto"/>
          <w:w w:val="95"/>
          <w:sz w:val="32"/>
          <w:szCs w:val="32"/>
        </w:rPr>
      </w:pPr>
    </w:p>
    <w:p w14:paraId="089D230F">
      <w:pPr>
        <w:snapToGrid w:val="0"/>
        <w:spacing w:before="120" w:beforeLines="50" w:line="360" w:lineRule="auto"/>
        <w:rPr>
          <w:rFonts w:hint="eastAsia" w:ascii="宋体" w:hAnsi="宋体" w:eastAsia="宋体" w:cs="宋体"/>
          <w:b/>
          <w:color w:val="auto"/>
          <w:sz w:val="32"/>
          <w:szCs w:val="32"/>
          <w:lang w:eastAsia="zh-CN"/>
        </w:rPr>
      </w:pPr>
      <w:r>
        <w:rPr>
          <w:rFonts w:hint="eastAsia" w:ascii="宋体" w:hAnsi="宋体" w:cs="宋体"/>
          <w:b/>
          <w:bCs/>
          <w:color w:val="auto"/>
          <w:w w:val="95"/>
          <w:sz w:val="32"/>
          <w:szCs w:val="32"/>
        </w:rPr>
        <w:t xml:space="preserve">         招标单位：</w:t>
      </w:r>
      <w:r>
        <w:rPr>
          <w:rFonts w:hint="eastAsia" w:ascii="宋体" w:hAnsi="宋体" w:cs="宋体"/>
          <w:b/>
          <w:color w:val="auto"/>
          <w:sz w:val="32"/>
          <w:szCs w:val="32"/>
          <w:lang w:eastAsia="zh-CN"/>
        </w:rPr>
        <w:t>嵊州市人力资源和社会保障局</w:t>
      </w:r>
    </w:p>
    <w:p w14:paraId="24750AEA">
      <w:pPr>
        <w:snapToGrid w:val="0"/>
        <w:spacing w:before="120" w:beforeLines="50" w:line="360" w:lineRule="auto"/>
        <w:rPr>
          <w:rFonts w:hint="eastAsia" w:ascii="宋体" w:hAnsi="宋体" w:eastAsia="宋体" w:cs="宋体"/>
          <w:b/>
          <w:bCs/>
          <w:color w:val="auto"/>
          <w:w w:val="95"/>
          <w:sz w:val="32"/>
          <w:szCs w:val="32"/>
          <w:lang w:eastAsia="zh-CN"/>
        </w:rPr>
      </w:pPr>
      <w:r>
        <w:rPr>
          <w:rFonts w:hint="eastAsia" w:ascii="宋体" w:hAnsi="宋体" w:cs="宋体"/>
          <w:b/>
          <w:bCs/>
          <w:color w:val="auto"/>
          <w:w w:val="95"/>
          <w:sz w:val="32"/>
          <w:szCs w:val="32"/>
        </w:rPr>
        <w:t xml:space="preserve">         代理机构：</w:t>
      </w:r>
      <w:r>
        <w:rPr>
          <w:rFonts w:hint="eastAsia" w:ascii="宋体" w:hAnsi="宋体" w:cs="宋体"/>
          <w:b/>
          <w:bCs/>
          <w:color w:val="auto"/>
          <w:w w:val="95"/>
          <w:sz w:val="32"/>
          <w:szCs w:val="32"/>
          <w:lang w:eastAsia="zh-CN"/>
        </w:rPr>
        <w:t>绍兴市文汇项目管理有限公司</w:t>
      </w:r>
    </w:p>
    <w:p w14:paraId="770B49F9">
      <w:pPr>
        <w:snapToGrid w:val="0"/>
        <w:spacing w:before="120" w:beforeLines="50" w:line="360" w:lineRule="auto"/>
        <w:rPr>
          <w:rFonts w:hint="eastAsia" w:ascii="宋体" w:hAnsi="宋体" w:cs="宋体"/>
          <w:b/>
          <w:bCs/>
          <w:color w:val="auto"/>
          <w:w w:val="95"/>
          <w:sz w:val="32"/>
          <w:szCs w:val="32"/>
        </w:rPr>
      </w:pPr>
      <w:r>
        <w:rPr>
          <w:rFonts w:hint="eastAsia" w:ascii="宋体" w:hAnsi="宋体" w:cs="宋体"/>
          <w:b/>
          <w:bCs/>
          <w:color w:val="auto"/>
          <w:w w:val="95"/>
          <w:sz w:val="32"/>
          <w:szCs w:val="32"/>
        </w:rPr>
        <w:t xml:space="preserve">         日    期: 20</w:t>
      </w:r>
      <w:r>
        <w:rPr>
          <w:rFonts w:hint="eastAsia" w:ascii="宋体" w:hAnsi="宋体" w:cs="宋体"/>
          <w:b/>
          <w:bCs/>
          <w:color w:val="auto"/>
          <w:w w:val="95"/>
          <w:sz w:val="32"/>
          <w:szCs w:val="32"/>
          <w:lang w:val="en-US" w:eastAsia="zh-CN"/>
        </w:rPr>
        <w:t>25</w:t>
      </w:r>
      <w:r>
        <w:rPr>
          <w:rFonts w:hint="eastAsia" w:ascii="宋体" w:hAnsi="宋体" w:cs="宋体"/>
          <w:b/>
          <w:bCs/>
          <w:color w:val="auto"/>
          <w:w w:val="95"/>
          <w:sz w:val="32"/>
          <w:szCs w:val="32"/>
        </w:rPr>
        <w:t>年</w:t>
      </w:r>
      <w:r>
        <w:rPr>
          <w:rFonts w:hint="eastAsia" w:ascii="宋体" w:hAnsi="宋体" w:cs="宋体"/>
          <w:b/>
          <w:bCs/>
          <w:color w:val="auto"/>
          <w:w w:val="95"/>
          <w:sz w:val="32"/>
          <w:szCs w:val="32"/>
          <w:lang w:val="en-US" w:eastAsia="zh-CN"/>
        </w:rPr>
        <w:t>6</w:t>
      </w:r>
      <w:r>
        <w:rPr>
          <w:rFonts w:hint="eastAsia" w:ascii="宋体" w:hAnsi="宋体" w:cs="宋体"/>
          <w:b/>
          <w:bCs/>
          <w:color w:val="auto"/>
          <w:w w:val="95"/>
          <w:sz w:val="32"/>
          <w:szCs w:val="32"/>
        </w:rPr>
        <w:t>月</w:t>
      </w:r>
    </w:p>
    <w:p w14:paraId="40A9A9F5">
      <w:pPr>
        <w:pStyle w:val="5"/>
        <w:spacing w:before="0" w:beforeLines="0" w:after="0" w:afterLines="0" w:line="460" w:lineRule="exact"/>
        <w:jc w:val="center"/>
        <w:rPr>
          <w:rFonts w:hint="eastAsia" w:hAnsi="宋体" w:cs="宋体"/>
          <w:b/>
          <w:color w:val="auto"/>
          <w:sz w:val="44"/>
          <w:szCs w:val="44"/>
        </w:rPr>
        <w:sectPr>
          <w:headerReference r:id="rId3" w:type="default"/>
          <w:footerReference r:id="rId4" w:type="default"/>
          <w:pgSz w:w="11906" w:h="16838"/>
          <w:pgMar w:top="1474" w:right="1797" w:bottom="1247" w:left="1797" w:header="851" w:footer="851" w:gutter="0"/>
          <w:pgNumType w:fmt="decimal" w:start="1"/>
          <w:cols w:space="720" w:num="1"/>
          <w:docGrid w:linePitch="312" w:charSpace="0"/>
        </w:sectPr>
      </w:pPr>
    </w:p>
    <w:p w14:paraId="0C7CED13">
      <w:pPr>
        <w:pStyle w:val="5"/>
        <w:spacing w:before="0" w:beforeLines="0" w:after="0" w:afterLines="0" w:line="460" w:lineRule="exact"/>
        <w:jc w:val="center"/>
        <w:rPr>
          <w:rFonts w:hint="eastAsia" w:hAnsi="宋体" w:cs="宋体"/>
          <w:b/>
          <w:color w:val="auto"/>
          <w:sz w:val="44"/>
          <w:szCs w:val="44"/>
        </w:rPr>
      </w:pPr>
      <w:r>
        <w:rPr>
          <w:rFonts w:hint="eastAsia" w:hAnsi="宋体" w:cs="宋体"/>
          <w:b/>
          <w:color w:val="auto"/>
          <w:sz w:val="44"/>
          <w:szCs w:val="44"/>
        </w:rPr>
        <w:t>目    录</w:t>
      </w:r>
    </w:p>
    <w:p w14:paraId="02A86DA5">
      <w:pPr>
        <w:pStyle w:val="5"/>
        <w:spacing w:before="0" w:beforeLines="0" w:after="0" w:afterLines="0" w:line="460" w:lineRule="exact"/>
        <w:rPr>
          <w:rFonts w:hint="eastAsia" w:ascii="仿宋" w:hAnsi="仿宋" w:eastAsia="仿宋" w:cs="仿宋"/>
          <w:color w:val="auto"/>
          <w:sz w:val="32"/>
          <w:szCs w:val="32"/>
        </w:rPr>
      </w:pPr>
    </w:p>
    <w:p w14:paraId="543A4058">
      <w:pPr>
        <w:spacing w:line="360" w:lineRule="auto"/>
        <w:ind w:left="165"/>
        <w:rPr>
          <w:rFonts w:hint="eastAsia" w:ascii="宋体" w:hAnsi="宋体" w:cs="宋体"/>
          <w:color w:val="auto"/>
          <w:sz w:val="32"/>
          <w:szCs w:val="32"/>
        </w:rPr>
      </w:pPr>
      <w:r>
        <w:rPr>
          <w:rFonts w:hint="eastAsia" w:ascii="宋体" w:hAnsi="宋体" w:cs="宋体"/>
          <w:color w:val="auto"/>
          <w:sz w:val="32"/>
          <w:szCs w:val="32"/>
        </w:rPr>
        <w:t>第一章    招标公告</w:t>
      </w:r>
    </w:p>
    <w:p w14:paraId="3BB0F774">
      <w:pPr>
        <w:spacing w:line="360" w:lineRule="auto"/>
        <w:ind w:left="165"/>
        <w:rPr>
          <w:rFonts w:hint="eastAsia" w:ascii="宋体" w:hAnsi="宋体" w:cs="宋体"/>
          <w:color w:val="auto"/>
          <w:sz w:val="32"/>
          <w:szCs w:val="32"/>
        </w:rPr>
      </w:pPr>
      <w:r>
        <w:rPr>
          <w:rFonts w:hint="eastAsia" w:ascii="宋体" w:hAnsi="宋体" w:cs="宋体"/>
          <w:color w:val="auto"/>
          <w:sz w:val="32"/>
          <w:szCs w:val="32"/>
        </w:rPr>
        <w:t>第二章    投标人须知</w:t>
      </w:r>
    </w:p>
    <w:p w14:paraId="2F502A72">
      <w:pPr>
        <w:spacing w:line="360" w:lineRule="auto"/>
        <w:ind w:left="165"/>
        <w:rPr>
          <w:rFonts w:hint="eastAsia" w:ascii="宋体" w:hAnsi="宋体" w:cs="宋体"/>
          <w:color w:val="auto"/>
          <w:sz w:val="32"/>
          <w:szCs w:val="32"/>
        </w:rPr>
      </w:pPr>
      <w:r>
        <w:rPr>
          <w:rFonts w:hint="eastAsia" w:ascii="宋体" w:hAnsi="宋体" w:cs="宋体"/>
          <w:color w:val="auto"/>
          <w:sz w:val="32"/>
          <w:szCs w:val="32"/>
        </w:rPr>
        <w:t>第三章    招标需求</w:t>
      </w:r>
    </w:p>
    <w:p w14:paraId="440C6884">
      <w:pPr>
        <w:spacing w:line="360" w:lineRule="auto"/>
        <w:ind w:left="165"/>
        <w:rPr>
          <w:rFonts w:hint="eastAsia" w:ascii="宋体" w:hAnsi="宋体" w:cs="宋体"/>
          <w:color w:val="auto"/>
          <w:sz w:val="32"/>
          <w:szCs w:val="32"/>
        </w:rPr>
      </w:pPr>
      <w:r>
        <w:rPr>
          <w:rFonts w:hint="eastAsia" w:ascii="宋体" w:hAnsi="宋体" w:cs="宋体"/>
          <w:color w:val="auto"/>
          <w:sz w:val="32"/>
          <w:szCs w:val="32"/>
        </w:rPr>
        <w:t>第四章    评标办法及评分标准</w:t>
      </w:r>
    </w:p>
    <w:p w14:paraId="18AFF91A">
      <w:pPr>
        <w:spacing w:line="360" w:lineRule="auto"/>
        <w:ind w:left="165"/>
        <w:rPr>
          <w:rFonts w:hint="eastAsia" w:ascii="宋体" w:hAnsi="宋体" w:cs="宋体"/>
          <w:color w:val="auto"/>
          <w:sz w:val="32"/>
          <w:szCs w:val="32"/>
        </w:rPr>
      </w:pPr>
      <w:r>
        <w:rPr>
          <w:rFonts w:hint="eastAsia" w:ascii="宋体" w:hAnsi="宋体" w:cs="宋体"/>
          <w:color w:val="auto"/>
          <w:sz w:val="32"/>
          <w:szCs w:val="32"/>
        </w:rPr>
        <w:t>第</w:t>
      </w:r>
      <w:r>
        <w:rPr>
          <w:rFonts w:hint="eastAsia" w:ascii="宋体" w:hAnsi="宋体" w:cs="宋体"/>
          <w:color w:val="auto"/>
          <w:sz w:val="32"/>
          <w:szCs w:val="32"/>
          <w:lang w:eastAsia="zh-CN"/>
        </w:rPr>
        <w:t>五</w:t>
      </w:r>
      <w:r>
        <w:rPr>
          <w:rFonts w:hint="eastAsia" w:ascii="宋体" w:hAnsi="宋体" w:cs="宋体"/>
          <w:color w:val="auto"/>
          <w:sz w:val="32"/>
          <w:szCs w:val="32"/>
        </w:rPr>
        <w:t>章    投标文件格式（附件）</w:t>
      </w:r>
    </w:p>
    <w:p w14:paraId="4D7CF55F">
      <w:pPr>
        <w:pStyle w:val="5"/>
        <w:snapToGrid w:val="0"/>
        <w:spacing w:before="0" w:beforeLines="0" w:after="0" w:afterLines="0" w:line="460" w:lineRule="exact"/>
        <w:jc w:val="center"/>
        <w:outlineLvl w:val="0"/>
        <w:rPr>
          <w:rFonts w:hint="eastAsia" w:hAnsi="宋体" w:cs="宋体"/>
          <w:b/>
          <w:color w:val="auto"/>
          <w:sz w:val="30"/>
          <w:szCs w:val="30"/>
        </w:rPr>
      </w:pPr>
      <w:r>
        <w:rPr>
          <w:rFonts w:hint="eastAsia" w:hAnsi="宋体" w:cs="宋体"/>
          <w:color w:val="auto"/>
          <w:sz w:val="32"/>
          <w:szCs w:val="32"/>
        </w:rPr>
        <w:br w:type="page"/>
      </w:r>
      <w:r>
        <w:rPr>
          <w:rFonts w:hint="eastAsia" w:hAnsi="宋体" w:cs="宋体"/>
          <w:b/>
          <w:color w:val="auto"/>
          <w:sz w:val="36"/>
          <w:szCs w:val="36"/>
        </w:rPr>
        <w:t>第一章  招标公告</w:t>
      </w:r>
    </w:p>
    <w:p w14:paraId="04FA28AA">
      <w:pPr>
        <w:pStyle w:val="15"/>
        <w:widowControl w:val="0"/>
        <w:adjustRightInd w:val="0"/>
        <w:spacing w:after="0" w:afterLines="0" w:line="400" w:lineRule="exact"/>
        <w:ind w:firstLine="584"/>
        <w:rPr>
          <w:rFonts w:hint="eastAsia" w:ascii="宋体" w:hAnsi="宋体" w:cs="宋体"/>
          <w:color w:val="auto"/>
          <w:sz w:val="30"/>
          <w:szCs w:val="30"/>
        </w:rPr>
      </w:pPr>
    </w:p>
    <w:p w14:paraId="5C068033">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rPr>
      </w:pPr>
      <w:bookmarkStart w:id="0" w:name="_Toc14045"/>
      <w:bookmarkStart w:id="1" w:name="_Toc33718201"/>
      <w:r>
        <w:rPr>
          <w:rFonts w:hint="eastAsia" w:ascii="宋体" w:hAnsi="宋体" w:eastAsia="宋体" w:cs="宋体"/>
          <w:color w:val="auto"/>
          <w:sz w:val="24"/>
          <w:szCs w:val="24"/>
          <w:lang w:val="en-US" w:eastAsia="zh-CN"/>
        </w:rPr>
        <w:t>为进一步规范市级预算单位银行账户管理，强化财政资金监管</w:t>
      </w:r>
      <w:r>
        <w:rPr>
          <w:rFonts w:hint="eastAsia" w:ascii="宋体" w:hAnsi="宋体" w:eastAsia="宋体" w:cs="宋体"/>
          <w:color w:val="auto"/>
          <w:sz w:val="24"/>
          <w:szCs w:val="24"/>
        </w:rPr>
        <w:t>，根</w:t>
      </w:r>
      <w:bookmarkStart w:id="2" w:name="filetype1_2"/>
      <w:r>
        <w:rPr>
          <w:rFonts w:hint="eastAsia" w:ascii="宋体" w:hAnsi="宋体" w:eastAsia="宋体" w:cs="宋体"/>
          <w:color w:val="auto"/>
          <w:sz w:val="24"/>
          <w:szCs w:val="24"/>
          <w:lang w:eastAsia="zh-CN"/>
        </w:rPr>
        <w:t>据</w:t>
      </w:r>
      <w:r>
        <w:rPr>
          <w:rFonts w:hint="eastAsia" w:ascii="宋体" w:hAnsi="宋体" w:eastAsia="宋体" w:cs="宋体"/>
          <w:color w:val="auto"/>
          <w:sz w:val="24"/>
          <w:szCs w:val="24"/>
        </w:rPr>
        <w:t>嵊财预执</w:t>
      </w:r>
      <w:bookmarkEnd w:id="2"/>
      <w:bookmarkStart w:id="3" w:name="year1_2"/>
      <w:r>
        <w:rPr>
          <w:rFonts w:hint="eastAsia" w:ascii="宋体" w:hAnsi="宋体" w:eastAsia="宋体" w:cs="宋体"/>
          <w:color w:val="auto"/>
          <w:sz w:val="24"/>
          <w:szCs w:val="24"/>
        </w:rPr>
        <w:t>〔2016〕</w:t>
      </w:r>
      <w:r>
        <w:rPr>
          <w:rFonts w:hint="eastAsia" w:ascii="宋体" w:hAnsi="宋体" w:eastAsia="宋体" w:cs="宋体"/>
          <w:color w:val="auto"/>
          <w:sz w:val="24"/>
          <w:szCs w:val="24"/>
          <w:lang w:val="en-US" w:eastAsia="zh-CN"/>
        </w:rPr>
        <w:t>41号文件</w:t>
      </w:r>
      <w:bookmarkEnd w:id="3"/>
      <w:r>
        <w:rPr>
          <w:rFonts w:hint="eastAsia" w:ascii="宋体" w:hAnsi="宋体" w:eastAsia="宋体" w:cs="宋体"/>
          <w:color w:val="auto"/>
          <w:sz w:val="24"/>
          <w:szCs w:val="24"/>
          <w:lang w:val="en-US" w:eastAsia="zh-CN"/>
        </w:rPr>
        <w:t>规定,</w:t>
      </w:r>
      <w:r>
        <w:rPr>
          <w:rFonts w:hint="eastAsia" w:ascii="宋体" w:hAnsi="宋体" w:eastAsia="宋体" w:cs="宋体"/>
          <w:color w:val="auto"/>
          <w:sz w:val="24"/>
          <w:szCs w:val="24"/>
        </w:rPr>
        <w:t>决定开展</w:t>
      </w:r>
      <w:r>
        <w:rPr>
          <w:rFonts w:hint="eastAsia" w:ascii="宋体" w:hAnsi="宋体" w:cs="宋体"/>
          <w:color w:val="auto"/>
          <w:sz w:val="24"/>
          <w:szCs w:val="24"/>
          <w:lang w:eastAsia="zh-CN"/>
        </w:rPr>
        <w:t>嵊州市人力资源和社会保障局专用账户开立项目</w:t>
      </w:r>
      <w:r>
        <w:rPr>
          <w:rFonts w:hint="eastAsia" w:ascii="宋体" w:hAnsi="宋体" w:eastAsia="宋体" w:cs="宋体"/>
          <w:color w:val="auto"/>
          <w:sz w:val="24"/>
          <w:szCs w:val="24"/>
        </w:rPr>
        <w:t>公开招标工作，欢迎符合投标人资格的银行业金融机构前来投标。现将有关事项公告如下：</w:t>
      </w:r>
    </w:p>
    <w:p w14:paraId="45559599">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一、</w:t>
      </w:r>
      <w:bookmarkEnd w:id="0"/>
      <w:r>
        <w:rPr>
          <w:rFonts w:hint="eastAsia" w:ascii="宋体" w:hAnsi="宋体" w:eastAsia="宋体" w:cs="宋体"/>
          <w:b/>
          <w:bCs/>
          <w:color w:val="auto"/>
          <w:sz w:val="24"/>
          <w:szCs w:val="24"/>
          <w:lang w:eastAsia="zh-CN"/>
        </w:rPr>
        <w:t>招标人名称：</w:t>
      </w:r>
      <w:r>
        <w:rPr>
          <w:rFonts w:hint="eastAsia" w:ascii="宋体" w:hAnsi="宋体" w:cs="宋体"/>
          <w:color w:val="auto"/>
          <w:sz w:val="24"/>
          <w:szCs w:val="24"/>
          <w:lang w:eastAsia="zh-CN"/>
        </w:rPr>
        <w:t>嵊州市人力资源和社会保障局</w:t>
      </w:r>
    </w:p>
    <w:p w14:paraId="00B2C1E4">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二、招标项目名称：</w:t>
      </w:r>
      <w:r>
        <w:rPr>
          <w:rFonts w:hint="eastAsia" w:ascii="宋体" w:hAnsi="宋体" w:cs="宋体"/>
          <w:color w:val="auto"/>
          <w:sz w:val="24"/>
          <w:szCs w:val="24"/>
          <w:lang w:eastAsia="zh-CN"/>
        </w:rPr>
        <w:t>嵊州市人力资源和社会保障局专用账户开立项目</w:t>
      </w:r>
      <w:r>
        <w:rPr>
          <w:rFonts w:hint="eastAsia" w:ascii="宋体" w:hAnsi="宋体" w:eastAsia="宋体" w:cs="宋体"/>
          <w:color w:val="auto"/>
          <w:sz w:val="24"/>
          <w:szCs w:val="24"/>
        </w:rPr>
        <w:t xml:space="preserve">                                      </w:t>
      </w:r>
    </w:p>
    <w:p w14:paraId="444066FF">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三、项目编号：</w:t>
      </w:r>
      <w:r>
        <w:rPr>
          <w:rFonts w:hint="eastAsia" w:ascii="宋体" w:hAnsi="宋体" w:cs="宋体"/>
          <w:b w:val="0"/>
          <w:bCs w:val="0"/>
          <w:color w:val="auto"/>
          <w:sz w:val="24"/>
          <w:szCs w:val="24"/>
          <w:lang w:val="en-US" w:eastAsia="zh-CN"/>
        </w:rPr>
        <w:t>SXWH2025-6-6</w:t>
      </w:r>
    </w:p>
    <w:p w14:paraId="03B4082E">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四、招标项目内容：</w:t>
      </w:r>
      <w:r>
        <w:rPr>
          <w:rFonts w:hint="eastAsia" w:ascii="宋体" w:hAnsi="宋体" w:eastAsia="宋体" w:cs="宋体"/>
          <w:color w:val="auto"/>
          <w:sz w:val="24"/>
          <w:szCs w:val="24"/>
          <w:lang w:val="en-US" w:eastAsia="zh-CN"/>
        </w:rPr>
        <w:t>     </w:t>
      </w:r>
      <w:r>
        <w:rPr>
          <w:rFonts w:hint="eastAsia" w:ascii="宋体" w:hAnsi="宋体" w:eastAsia="宋体" w:cs="宋体"/>
          <w:color w:val="auto"/>
          <w:sz w:val="24"/>
          <w:szCs w:val="24"/>
        </w:rPr>
        <w:t xml:space="preserve">      </w:t>
      </w:r>
    </w:p>
    <w:p w14:paraId="66DA4E1F">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嵊州市人力资源和社会保障局专用账户开立项目</w:t>
      </w:r>
    </w:p>
    <w:p w14:paraId="098072F6">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五</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投标人</w:t>
      </w:r>
      <w:r>
        <w:rPr>
          <w:rFonts w:hint="eastAsia" w:ascii="宋体" w:hAnsi="宋体" w:eastAsia="宋体" w:cs="宋体"/>
          <w:b/>
          <w:bCs/>
          <w:color w:val="auto"/>
          <w:sz w:val="24"/>
          <w:szCs w:val="24"/>
        </w:rPr>
        <w:t>资格要求</w:t>
      </w:r>
    </w:p>
    <w:p w14:paraId="2301088C">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投标人应属于</w:t>
      </w:r>
      <w:r>
        <w:rPr>
          <w:rFonts w:hint="eastAsia" w:ascii="宋体" w:hAnsi="宋体" w:eastAsia="宋体" w:cs="宋体"/>
          <w:color w:val="auto"/>
          <w:sz w:val="24"/>
          <w:szCs w:val="24"/>
        </w:rPr>
        <w:t>在中华人民共和国境内依法设立的国有商业银行、股份制商业银行、邮政储蓄银行、城市商业银行、农村信用合作联社、农村商业银行、农村合作银行及政策性银行。银行参与投标应符合以下条件</w:t>
      </w:r>
      <w:r>
        <w:rPr>
          <w:rFonts w:hint="eastAsia" w:ascii="宋体" w:hAnsi="宋体" w:eastAsia="宋体" w:cs="宋体"/>
          <w:color w:val="auto"/>
          <w:sz w:val="24"/>
          <w:szCs w:val="24"/>
          <w:lang w:val="en-US" w:eastAsia="zh-CN"/>
        </w:rPr>
        <w:t>：</w:t>
      </w:r>
    </w:p>
    <w:p w14:paraId="39844BD7">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（1）在嵊州市行政区域内设有分支机构；</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（2）依法开展经营活动，近3年内在经营活动中无重大违法违规记录及重大违约事件；</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）参与投标的银行必须为嵊州市内一级银行，且只能一个主体参与，不接受联合体投标。 </w:t>
      </w:r>
    </w:p>
    <w:p w14:paraId="7D85C0A5">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六</w:t>
      </w:r>
      <w:r>
        <w:rPr>
          <w:rFonts w:hint="eastAsia" w:ascii="宋体" w:hAnsi="宋体" w:eastAsia="宋体" w:cs="宋体"/>
          <w:b/>
          <w:bCs/>
          <w:color w:val="auto"/>
          <w:sz w:val="24"/>
          <w:szCs w:val="24"/>
        </w:rPr>
        <w:t>、获取（下载）采购文件</w:t>
      </w:r>
      <w:bookmarkStart w:id="157" w:name="_GoBack"/>
      <w:bookmarkEnd w:id="157"/>
    </w:p>
    <w:p w14:paraId="30F44CB4">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1.时间：</w:t>
      </w:r>
      <w:r>
        <w:rPr>
          <w:rFonts w:hint="eastAsia" w:ascii="宋体" w:hAnsi="宋体" w:eastAsia="宋体" w:cs="宋体"/>
          <w:color w:val="auto"/>
          <w:sz w:val="24"/>
          <w:szCs w:val="24"/>
          <w:lang w:val="en-US" w:eastAsia="zh-CN"/>
        </w:rPr>
        <w:t>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年</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18</w:t>
      </w:r>
      <w:r>
        <w:rPr>
          <w:rFonts w:hint="eastAsia" w:ascii="宋体" w:hAnsi="宋体" w:eastAsia="宋体" w:cs="宋体"/>
          <w:color w:val="auto"/>
          <w:sz w:val="24"/>
          <w:szCs w:val="24"/>
          <w:lang w:val="en-US" w:eastAsia="zh-CN"/>
        </w:rPr>
        <w:t>日</w:t>
      </w:r>
      <w:r>
        <w:rPr>
          <w:rFonts w:hint="eastAsia" w:ascii="宋体" w:hAnsi="宋体" w:eastAsia="宋体" w:cs="宋体"/>
          <w:color w:val="auto"/>
          <w:sz w:val="24"/>
          <w:szCs w:val="24"/>
        </w:rPr>
        <w:t>至202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26</w:t>
      </w:r>
      <w:r>
        <w:rPr>
          <w:rFonts w:hint="eastAsia" w:ascii="宋体" w:hAnsi="宋体" w:eastAsia="宋体" w:cs="宋体"/>
          <w:color w:val="auto"/>
          <w:sz w:val="24"/>
          <w:szCs w:val="24"/>
        </w:rPr>
        <w:t>日，每天上午00:00至12:00，下午12:00至23:59（北京时间，线上获取法定节假日均可，线下获取文件法定节假日除外）</w:t>
      </w:r>
    </w:p>
    <w:p w14:paraId="4B8975F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2.地点（网址）：政府采购云平台（https://login.zcygov.cn） </w:t>
      </w:r>
    </w:p>
    <w:p w14:paraId="4546255D">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3.方式：供应商登录政采云平台https://www.zcygov.cn/在线申请获取采购文件（进入“公款竞争性存放”应用，在获取采购文件菜单中选择项目，申请获取采购文件）。  </w:t>
      </w:r>
    </w:p>
    <w:p w14:paraId="4A2AFBC5">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4.售价（元）：0  </w:t>
      </w:r>
    </w:p>
    <w:p w14:paraId="1940B353">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bCs/>
          <w:color w:val="auto"/>
          <w:sz w:val="24"/>
          <w:szCs w:val="24"/>
        </w:rPr>
      </w:pPr>
      <w:bookmarkStart w:id="4" w:name="_Toc208"/>
      <w:bookmarkStart w:id="5" w:name="_Toc413"/>
      <w:r>
        <w:rPr>
          <w:rFonts w:hint="eastAsia" w:ascii="宋体" w:hAnsi="宋体" w:eastAsia="宋体" w:cs="宋体"/>
          <w:b/>
          <w:bCs/>
          <w:color w:val="auto"/>
          <w:sz w:val="24"/>
          <w:szCs w:val="24"/>
          <w:lang w:eastAsia="zh-CN"/>
        </w:rPr>
        <w:t>七</w:t>
      </w:r>
      <w:r>
        <w:rPr>
          <w:rFonts w:hint="eastAsia" w:ascii="宋体" w:hAnsi="宋体" w:eastAsia="宋体" w:cs="宋体"/>
          <w:b/>
          <w:bCs/>
          <w:color w:val="auto"/>
          <w:sz w:val="24"/>
          <w:szCs w:val="24"/>
        </w:rPr>
        <w:t>、提交投标文件截止时间、开标时间和地点</w:t>
      </w:r>
      <w:bookmarkEnd w:id="4"/>
      <w:bookmarkEnd w:id="5"/>
    </w:p>
    <w:p w14:paraId="654D61A0">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1.提交投标文件截止时间：202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26</w:t>
      </w:r>
      <w:r>
        <w:rPr>
          <w:rFonts w:hint="eastAsia" w:ascii="宋体" w:hAnsi="宋体" w:eastAsia="宋体" w:cs="宋体"/>
          <w:color w:val="auto"/>
          <w:sz w:val="24"/>
          <w:szCs w:val="24"/>
        </w:rPr>
        <w:t>日</w:t>
      </w:r>
      <w:r>
        <w:rPr>
          <w:rFonts w:hint="eastAsia" w:ascii="宋体" w:hAnsi="宋体" w:cs="宋体"/>
          <w:color w:val="auto"/>
          <w:sz w:val="24"/>
          <w:szCs w:val="24"/>
          <w:lang w:val="en-US" w:eastAsia="zh-CN"/>
        </w:rPr>
        <w:t>14</w:t>
      </w:r>
      <w:r>
        <w:rPr>
          <w:rFonts w:hint="eastAsia" w:ascii="宋体" w:hAnsi="宋体" w:eastAsia="宋体" w:cs="宋体"/>
          <w:color w:val="auto"/>
          <w:sz w:val="24"/>
          <w:szCs w:val="24"/>
        </w:rPr>
        <w:t>:30时（北京时间）</w:t>
      </w:r>
    </w:p>
    <w:p w14:paraId="46F3BC27">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2.投标地点（网址）：通过“政府采购云平台（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"http://zfcg.czt.zj.gov.cn/"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http://zfcg.czt.zj.gov.cn/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）”实行在线投标响应</w:t>
      </w:r>
    </w:p>
    <w:p w14:paraId="585F542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3.开标时间：202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26</w:t>
      </w:r>
      <w:r>
        <w:rPr>
          <w:rFonts w:hint="eastAsia" w:ascii="宋体" w:hAnsi="宋体" w:eastAsia="宋体" w:cs="宋体"/>
          <w:color w:val="auto"/>
          <w:sz w:val="24"/>
          <w:szCs w:val="24"/>
        </w:rPr>
        <w:t>日</w:t>
      </w:r>
      <w:r>
        <w:rPr>
          <w:rFonts w:hint="eastAsia" w:ascii="宋体" w:hAnsi="宋体" w:cs="宋体"/>
          <w:color w:val="auto"/>
          <w:sz w:val="24"/>
          <w:szCs w:val="24"/>
          <w:lang w:val="en-US" w:eastAsia="zh-CN"/>
        </w:rPr>
        <w:t>14</w:t>
      </w:r>
      <w:r>
        <w:rPr>
          <w:rFonts w:hint="eastAsia" w:ascii="宋体" w:hAnsi="宋体" w:eastAsia="宋体" w:cs="宋体"/>
          <w:color w:val="auto"/>
          <w:sz w:val="24"/>
          <w:szCs w:val="24"/>
        </w:rPr>
        <w:t>:30时（北京时间） </w:t>
      </w:r>
    </w:p>
    <w:p w14:paraId="1CFA549B">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4.开标地点（网址）：通过“政府采购云平台（http://zfcg.czt.zj.gov.cn/）”实行在线解密。</w:t>
      </w:r>
    </w:p>
    <w:p w14:paraId="0D536B6F">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报名时需要提交的资料： </w:t>
      </w:r>
    </w:p>
    <w:p w14:paraId="2D852FA5">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w:t>
      </w:r>
      <w:r>
        <w:rPr>
          <w:rFonts w:hint="eastAsia" w:ascii="宋体" w:hAnsi="宋体" w:eastAsia="宋体" w:cs="宋体"/>
          <w:color w:val="auto"/>
          <w:sz w:val="24"/>
          <w:szCs w:val="24"/>
        </w:rPr>
        <w:t>有效的中华人民共和国金融许可证、营业执照复印件（加盖单位公章）；</w:t>
      </w:r>
    </w:p>
    <w:p w14:paraId="7DD1ADD2">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w:t>
      </w:r>
      <w:r>
        <w:rPr>
          <w:rFonts w:hint="eastAsia" w:ascii="宋体" w:hAnsi="宋体" w:eastAsia="宋体" w:cs="宋体"/>
          <w:color w:val="auto"/>
          <w:sz w:val="24"/>
          <w:szCs w:val="24"/>
        </w:rPr>
        <w:t>授权委托书、报名人有效身份证件复印件（加盖单位公章）； </w:t>
      </w:r>
    </w:p>
    <w:p w14:paraId="5D351E6C">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八</w:t>
      </w:r>
      <w:r>
        <w:rPr>
          <w:rFonts w:hint="eastAsia" w:ascii="宋体" w:hAnsi="宋体" w:eastAsia="宋体" w:cs="宋体"/>
          <w:b/>
          <w:bCs/>
          <w:color w:val="auto"/>
          <w:sz w:val="24"/>
          <w:szCs w:val="24"/>
        </w:rPr>
        <w:t>、其他补充事宜</w:t>
      </w:r>
    </w:p>
    <w:p w14:paraId="5FB0EA01">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（一）在线投标响应（电子投标）说明 </w:t>
      </w:r>
    </w:p>
    <w:p w14:paraId="64CF33F4">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1.本项目采用公款竞争性存放网上招标；</w:t>
      </w:r>
    </w:p>
    <w:p w14:paraId="3501AB45">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应在投标报名前提交政府采购云平台（https://www.zcygov.cn/）银行入驻申请并成为公款存放正式供应商，否则无法参与线上公款竞争性存放业务。如未进行银行入驻，请登录以下网址https://middle.zcygov.cn/v-settle-front/registry?settleCategory=1&amp;entranceType=50（银行入驻注册页面） 完成入驻；</w:t>
      </w:r>
    </w:p>
    <w:p w14:paraId="16412238">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网上电子投标具体流程详见操作指南：登录政府采购云平台（https://www.zcygov.cn/），从首页-服务中心-帮助文档-公款竞争性存放-操作流程，查看文档。 </w:t>
      </w:r>
    </w:p>
    <w:p w14:paraId="2633AC3F">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九</w:t>
      </w:r>
      <w:r>
        <w:rPr>
          <w:rFonts w:hint="eastAsia" w:ascii="宋体" w:hAnsi="宋体" w:eastAsia="宋体" w:cs="宋体"/>
          <w:b/>
          <w:bCs/>
          <w:color w:val="auto"/>
          <w:sz w:val="24"/>
          <w:szCs w:val="24"/>
        </w:rPr>
        <w:t>、联系</w:t>
      </w:r>
      <w:r>
        <w:rPr>
          <w:rFonts w:hint="eastAsia" w:ascii="宋体" w:hAnsi="宋体" w:eastAsia="宋体" w:cs="宋体"/>
          <w:b/>
          <w:bCs/>
          <w:color w:val="auto"/>
          <w:sz w:val="24"/>
          <w:szCs w:val="24"/>
          <w:lang w:eastAsia="zh-CN"/>
        </w:rPr>
        <w:t>方式</w:t>
      </w:r>
      <w:r>
        <w:rPr>
          <w:rFonts w:hint="eastAsia" w:ascii="宋体" w:hAnsi="宋体" w:eastAsia="宋体" w:cs="宋体"/>
          <w:color w:val="auto"/>
          <w:sz w:val="24"/>
          <w:szCs w:val="24"/>
        </w:rPr>
        <w:t>　</w:t>
      </w:r>
      <w:bookmarkEnd w:id="1"/>
    </w:p>
    <w:p w14:paraId="65B3861E">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采购人名称：</w:t>
      </w:r>
      <w:r>
        <w:rPr>
          <w:rFonts w:hint="eastAsia" w:ascii="宋体" w:hAnsi="宋体" w:cs="宋体"/>
          <w:color w:val="auto"/>
          <w:sz w:val="24"/>
          <w:szCs w:val="24"/>
          <w:lang w:eastAsia="zh-CN"/>
        </w:rPr>
        <w:t>嵊州市人力资源和社会保障局</w:t>
      </w:r>
    </w:p>
    <w:p w14:paraId="3AA054B6">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val="en-US" w:eastAsia="zh-CN"/>
        </w:rPr>
        <w:t xml:space="preserve">嵊州市长丰路100号 </w:t>
      </w:r>
    </w:p>
    <w:p w14:paraId="4AE93CBA">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cs="宋体"/>
          <w:color w:val="auto"/>
          <w:sz w:val="24"/>
          <w:szCs w:val="24"/>
          <w:lang w:val="en-US" w:eastAsia="zh-CN"/>
        </w:rPr>
        <w:t>相女士</w:t>
      </w:r>
      <w:r>
        <w:rPr>
          <w:rFonts w:hint="eastAsia" w:ascii="宋体" w:hAnsi="宋体" w:eastAsia="宋体" w:cs="宋体"/>
          <w:color w:val="auto"/>
          <w:sz w:val="24"/>
          <w:szCs w:val="24"/>
          <w:lang w:val="en-US" w:eastAsia="zh-CN"/>
        </w:rPr>
        <w:t xml:space="preserve"> </w:t>
      </w:r>
    </w:p>
    <w:p w14:paraId="2B8DCDF6">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联系电话：</w:t>
      </w:r>
      <w:r>
        <w:rPr>
          <w:rFonts w:hint="eastAsia" w:ascii="宋体" w:hAnsi="宋体" w:cs="宋体"/>
          <w:color w:val="auto"/>
          <w:sz w:val="24"/>
          <w:szCs w:val="24"/>
          <w:lang w:val="en-US" w:eastAsia="zh-CN"/>
        </w:rPr>
        <w:t>0575-83184376</w:t>
      </w:r>
    </w:p>
    <w:p w14:paraId="152A4A2B">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2.采购代理机构名称：</w:t>
      </w:r>
      <w:r>
        <w:rPr>
          <w:rFonts w:hint="eastAsia" w:ascii="宋体" w:hAnsi="宋体" w:eastAsia="宋体" w:cs="宋体"/>
          <w:color w:val="auto"/>
          <w:sz w:val="24"/>
          <w:szCs w:val="24"/>
          <w:lang w:eastAsia="zh-CN"/>
        </w:rPr>
        <w:t>绍兴市文汇项目管理有限公司</w:t>
      </w:r>
    </w:p>
    <w:p w14:paraId="1ADFF736">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地址：嵊州市官河南路</w:t>
      </w:r>
      <w:r>
        <w:rPr>
          <w:rFonts w:hint="eastAsia" w:ascii="宋体" w:hAnsi="宋体" w:eastAsia="宋体" w:cs="宋体"/>
          <w:color w:val="auto"/>
          <w:sz w:val="24"/>
          <w:szCs w:val="24"/>
          <w:lang w:val="en-US" w:eastAsia="zh-CN"/>
        </w:rPr>
        <w:t>339号量子芯座11楼1105室</w:t>
      </w:r>
    </w:p>
    <w:p w14:paraId="52C9D061">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cs="宋体"/>
          <w:color w:val="auto"/>
          <w:sz w:val="24"/>
          <w:szCs w:val="24"/>
          <w:lang w:val="en-US" w:eastAsia="zh-CN"/>
        </w:rPr>
        <w:t>小章</w:t>
      </w:r>
    </w:p>
    <w:p w14:paraId="769858CD">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bCs w:val="0"/>
          <w:color w:val="auto"/>
          <w:szCs w:val="36"/>
          <w:highlight w:val="none"/>
          <w:lang w:val="en-US" w:eastAsia="zh-CN"/>
        </w:rPr>
      </w:pPr>
      <w:r>
        <w:rPr>
          <w:rFonts w:hint="eastAsia" w:ascii="宋体" w:hAnsi="宋体" w:eastAsia="宋体" w:cs="宋体"/>
          <w:color w:val="auto"/>
          <w:sz w:val="24"/>
          <w:szCs w:val="24"/>
        </w:rPr>
        <w:t>联系电话：0575-83</w:t>
      </w:r>
      <w:r>
        <w:rPr>
          <w:rFonts w:hint="eastAsia" w:ascii="宋体" w:hAnsi="宋体" w:eastAsia="宋体" w:cs="宋体"/>
          <w:color w:val="auto"/>
          <w:sz w:val="24"/>
          <w:szCs w:val="24"/>
          <w:lang w:val="en-US" w:eastAsia="zh-CN"/>
        </w:rPr>
        <w:t>275561</w:t>
      </w:r>
    </w:p>
    <w:p w14:paraId="5526FB23">
      <w:pPr>
        <w:adjustRightInd w:val="0"/>
        <w:snapToGrid w:val="0"/>
        <w:spacing w:line="400" w:lineRule="exact"/>
        <w:jc w:val="both"/>
        <w:rPr>
          <w:rFonts w:hint="eastAsia" w:ascii="宋体" w:hAnsi="宋体" w:cs="宋体"/>
          <w:color w:val="auto"/>
          <w:sz w:val="24"/>
          <w:szCs w:val="24"/>
        </w:rPr>
      </w:pPr>
    </w:p>
    <w:p w14:paraId="78C4CA28">
      <w:pPr>
        <w:adjustRightInd w:val="0"/>
        <w:snapToGrid w:val="0"/>
        <w:spacing w:line="360" w:lineRule="auto"/>
        <w:jc w:val="center"/>
        <w:rPr>
          <w:rFonts w:hint="eastAsia" w:ascii="仿宋" w:hAnsi="仿宋" w:eastAsia="仿宋" w:cs="仿宋"/>
          <w:b/>
          <w:color w:val="auto"/>
          <w:sz w:val="36"/>
          <w:szCs w:val="36"/>
        </w:rPr>
      </w:pPr>
      <w:r>
        <w:rPr>
          <w:rFonts w:hint="eastAsia" w:hAnsi="宋体" w:cs="宋体"/>
          <w:b/>
          <w:color w:val="auto"/>
          <w:sz w:val="36"/>
          <w:szCs w:val="36"/>
        </w:rPr>
        <w:br w:type="page"/>
      </w:r>
      <w:r>
        <w:rPr>
          <w:rFonts w:hint="eastAsia" w:hAnsi="宋体" w:cs="宋体"/>
          <w:b/>
          <w:color w:val="auto"/>
          <w:sz w:val="36"/>
          <w:szCs w:val="36"/>
        </w:rPr>
        <w:t>第二章  投标人须知</w:t>
      </w:r>
    </w:p>
    <w:p w14:paraId="7D3E03A3">
      <w:pPr>
        <w:spacing w:line="400" w:lineRule="exact"/>
        <w:jc w:val="center"/>
        <w:outlineLvl w:val="1"/>
        <w:rPr>
          <w:rFonts w:hint="eastAsia" w:ascii="宋体" w:hAnsi="宋体" w:cs="宋体"/>
          <w:color w:val="auto"/>
          <w:kern w:val="2"/>
          <w:sz w:val="30"/>
          <w:szCs w:val="30"/>
          <w:highlight w:val="none"/>
        </w:rPr>
      </w:pPr>
      <w:bookmarkStart w:id="6" w:name="_Toc536462751"/>
      <w:r>
        <w:rPr>
          <w:rFonts w:hint="eastAsia" w:ascii="宋体" w:hAnsi="宋体" w:cs="宋体"/>
          <w:b/>
          <w:bCs/>
          <w:color w:val="auto"/>
          <w:kern w:val="2"/>
          <w:sz w:val="30"/>
          <w:szCs w:val="30"/>
          <w:highlight w:val="none"/>
        </w:rPr>
        <w:t>前附表</w:t>
      </w:r>
      <w:bookmarkEnd w:id="6"/>
    </w:p>
    <w:tbl>
      <w:tblPr>
        <w:tblStyle w:val="12"/>
        <w:tblW w:w="9318" w:type="dxa"/>
        <w:tblInd w:w="2" w:type="dxa"/>
        <w:tblLayout w:type="fixed"/>
        <w:tblCellMar>
          <w:top w:w="0" w:type="dxa"/>
          <w:left w:w="108" w:type="dxa"/>
          <w:bottom w:w="0" w:type="dxa"/>
          <w:right w:w="108" w:type="dxa"/>
        </w:tblCellMar>
      </w:tblPr>
      <w:tblGrid>
        <w:gridCol w:w="788"/>
        <w:gridCol w:w="1644"/>
        <w:gridCol w:w="6886"/>
      </w:tblGrid>
      <w:tr w14:paraId="74D3506E">
        <w:tblPrEx>
          <w:tblCellMar>
            <w:top w:w="0" w:type="dxa"/>
            <w:left w:w="108" w:type="dxa"/>
            <w:bottom w:w="0" w:type="dxa"/>
            <w:right w:w="108" w:type="dxa"/>
          </w:tblCellMar>
        </w:tblPrEx>
        <w:trPr>
          <w:trHeight w:val="486" w:hRule="atLeast"/>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56BFD1CD">
            <w:pPr>
              <w:keepNext w:val="0"/>
              <w:keepLines w:val="0"/>
              <w:pageBreakBefore w:val="0"/>
              <w:kinsoku/>
              <w:wordWrap/>
              <w:overflowPunct/>
              <w:topLinePunct w:val="0"/>
              <w:bidi w:val="0"/>
              <w:spacing w:line="360" w:lineRule="exact"/>
              <w:ind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4D4932F4">
            <w:pPr>
              <w:keepNext w:val="0"/>
              <w:keepLines w:val="0"/>
              <w:pageBreakBefore w:val="0"/>
              <w:kinsoku/>
              <w:wordWrap/>
              <w:overflowPunct/>
              <w:topLinePunct w:val="0"/>
              <w:bidi w:val="0"/>
              <w:spacing w:line="360" w:lineRule="exact"/>
              <w:ind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名  称</w:t>
            </w:r>
          </w:p>
        </w:tc>
        <w:tc>
          <w:tcPr>
            <w:tcW w:w="6886" w:type="dxa"/>
            <w:tcBorders>
              <w:top w:val="single" w:color="000000" w:sz="4" w:space="0"/>
              <w:left w:val="single" w:color="000000" w:sz="4" w:space="0"/>
              <w:bottom w:val="single" w:color="000000" w:sz="4" w:space="0"/>
              <w:right w:val="single" w:color="000000" w:sz="4" w:space="0"/>
            </w:tcBorders>
            <w:noWrap w:val="0"/>
            <w:vAlign w:val="center"/>
          </w:tcPr>
          <w:p w14:paraId="3835A147">
            <w:pPr>
              <w:keepNext w:val="0"/>
              <w:keepLines w:val="0"/>
              <w:pageBreakBefore w:val="0"/>
              <w:kinsoku/>
              <w:wordWrap/>
              <w:overflowPunct/>
              <w:topLinePunct w:val="0"/>
              <w:bidi w:val="0"/>
              <w:spacing w:line="360" w:lineRule="exact"/>
              <w:ind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内   容</w:t>
            </w:r>
          </w:p>
        </w:tc>
      </w:tr>
      <w:tr w14:paraId="53A6BFAC">
        <w:tblPrEx>
          <w:tblCellMar>
            <w:top w:w="0" w:type="dxa"/>
            <w:left w:w="108" w:type="dxa"/>
            <w:bottom w:w="0" w:type="dxa"/>
            <w:right w:w="108" w:type="dxa"/>
          </w:tblCellMar>
        </w:tblPrEx>
        <w:trPr>
          <w:trHeight w:val="600" w:hRule="atLeast"/>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18C667E7">
            <w:pPr>
              <w:keepNext w:val="0"/>
              <w:keepLines w:val="0"/>
              <w:pageBreakBefore w:val="0"/>
              <w:kinsoku/>
              <w:wordWrap/>
              <w:overflowPunct/>
              <w:topLinePunct w:val="0"/>
              <w:bidi w:val="0"/>
              <w:spacing w:line="360" w:lineRule="exact"/>
              <w:ind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6B2CE5A1">
            <w:pPr>
              <w:keepNext w:val="0"/>
              <w:keepLines w:val="0"/>
              <w:pageBreakBefore w:val="0"/>
              <w:kinsoku/>
              <w:wordWrap/>
              <w:overflowPunct/>
              <w:topLinePunct w:val="0"/>
              <w:bidi w:val="0"/>
              <w:spacing w:line="360" w:lineRule="exact"/>
              <w:ind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项目名称</w:t>
            </w:r>
          </w:p>
        </w:tc>
        <w:tc>
          <w:tcPr>
            <w:tcW w:w="6886" w:type="dxa"/>
            <w:tcBorders>
              <w:top w:val="single" w:color="000000" w:sz="4" w:space="0"/>
              <w:left w:val="single" w:color="000000" w:sz="4" w:space="0"/>
              <w:bottom w:val="single" w:color="000000" w:sz="4" w:space="0"/>
              <w:right w:val="single" w:color="000000" w:sz="4" w:space="0"/>
            </w:tcBorders>
            <w:noWrap w:val="0"/>
            <w:vAlign w:val="center"/>
          </w:tcPr>
          <w:p w14:paraId="16B0F9EE">
            <w:pPr>
              <w:keepNext w:val="0"/>
              <w:keepLines w:val="0"/>
              <w:pageBreakBefore w:val="0"/>
              <w:kinsoku/>
              <w:wordWrap/>
              <w:overflowPunct/>
              <w:topLinePunct w:val="0"/>
              <w:bidi w:val="0"/>
              <w:spacing w:line="360" w:lineRule="exact"/>
              <w:ind w:firstLine="0" w:firstLineChars="0"/>
              <w:rPr>
                <w:rFonts w:hint="eastAsia" w:ascii="宋体" w:hAnsi="宋体" w:eastAsia="宋体" w:cs="宋体"/>
                <w:color w:val="auto"/>
                <w:kern w:val="2"/>
                <w:sz w:val="24"/>
                <w:szCs w:val="24"/>
                <w:highlight w:val="none"/>
              </w:rPr>
            </w:pPr>
            <w:r>
              <w:rPr>
                <w:rFonts w:hint="eastAsia" w:ascii="宋体" w:hAnsi="宋体" w:cs="宋体"/>
                <w:color w:val="auto"/>
                <w:sz w:val="24"/>
                <w:szCs w:val="24"/>
                <w:lang w:eastAsia="zh-CN"/>
              </w:rPr>
              <w:t>嵊州市人力资源和社会保障局专用账户开立项目</w:t>
            </w:r>
            <w:r>
              <w:rPr>
                <w:rFonts w:hint="eastAsia" w:ascii="宋体" w:hAnsi="宋体" w:eastAsia="宋体" w:cs="宋体"/>
                <w:color w:val="auto"/>
                <w:sz w:val="24"/>
                <w:szCs w:val="24"/>
                <w:highlight w:val="none"/>
              </w:rPr>
              <w:t xml:space="preserve"> </w:t>
            </w:r>
          </w:p>
        </w:tc>
      </w:tr>
      <w:tr w14:paraId="166007AD">
        <w:tblPrEx>
          <w:tblCellMar>
            <w:top w:w="0" w:type="dxa"/>
            <w:left w:w="108" w:type="dxa"/>
            <w:bottom w:w="0" w:type="dxa"/>
            <w:right w:w="108" w:type="dxa"/>
          </w:tblCellMar>
        </w:tblPrEx>
        <w:trPr>
          <w:trHeight w:val="560" w:hRule="atLeast"/>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467199E1">
            <w:pPr>
              <w:keepNext w:val="0"/>
              <w:keepLines w:val="0"/>
              <w:pageBreakBefore w:val="0"/>
              <w:kinsoku/>
              <w:wordWrap/>
              <w:overflowPunct/>
              <w:topLinePunct w:val="0"/>
              <w:bidi w:val="0"/>
              <w:spacing w:line="360" w:lineRule="exact"/>
              <w:ind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4F22FD52">
            <w:pPr>
              <w:keepNext w:val="0"/>
              <w:keepLines w:val="0"/>
              <w:pageBreakBefore w:val="0"/>
              <w:kinsoku/>
              <w:wordWrap/>
              <w:overflowPunct/>
              <w:topLinePunct w:val="0"/>
              <w:bidi w:val="0"/>
              <w:spacing w:line="360" w:lineRule="exact"/>
              <w:ind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采购人</w:t>
            </w:r>
          </w:p>
        </w:tc>
        <w:tc>
          <w:tcPr>
            <w:tcW w:w="6886" w:type="dxa"/>
            <w:tcBorders>
              <w:top w:val="single" w:color="000000" w:sz="4" w:space="0"/>
              <w:left w:val="single" w:color="000000" w:sz="4" w:space="0"/>
              <w:bottom w:val="single" w:color="000000" w:sz="4" w:space="0"/>
              <w:right w:val="single" w:color="000000" w:sz="4" w:space="0"/>
            </w:tcBorders>
            <w:noWrap w:val="0"/>
            <w:vAlign w:val="center"/>
          </w:tcPr>
          <w:p w14:paraId="71FB9F0A">
            <w:pPr>
              <w:keepNext w:val="0"/>
              <w:keepLines w:val="0"/>
              <w:pageBreakBefore w:val="0"/>
              <w:kinsoku/>
              <w:wordWrap/>
              <w:overflowPunct/>
              <w:topLinePunct w:val="0"/>
              <w:bidi w:val="0"/>
              <w:spacing w:line="360" w:lineRule="exact"/>
              <w:ind w:firstLine="0" w:firstLineChars="0"/>
              <w:rPr>
                <w:rFonts w:hint="eastAsia" w:ascii="宋体" w:hAnsi="宋体" w:eastAsia="宋体" w:cs="宋体"/>
                <w:color w:val="auto"/>
                <w:kern w:val="2"/>
                <w:sz w:val="24"/>
                <w:szCs w:val="24"/>
                <w:highlight w:val="none"/>
                <w:lang w:eastAsia="zh-CN"/>
              </w:rPr>
            </w:pPr>
            <w:r>
              <w:rPr>
                <w:rFonts w:hint="eastAsia" w:ascii="宋体" w:hAnsi="宋体" w:cs="宋体"/>
                <w:color w:val="auto"/>
                <w:sz w:val="24"/>
                <w:szCs w:val="24"/>
                <w:highlight w:val="none"/>
                <w:lang w:eastAsia="zh-CN"/>
              </w:rPr>
              <w:t>嵊州市人力资源和社会保障局</w:t>
            </w:r>
          </w:p>
        </w:tc>
      </w:tr>
      <w:tr w14:paraId="18F94132">
        <w:tblPrEx>
          <w:tblCellMar>
            <w:top w:w="0" w:type="dxa"/>
            <w:left w:w="108" w:type="dxa"/>
            <w:bottom w:w="0" w:type="dxa"/>
            <w:right w:w="108" w:type="dxa"/>
          </w:tblCellMar>
        </w:tblPrEx>
        <w:trPr>
          <w:trHeight w:val="655" w:hRule="atLeast"/>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14B33172">
            <w:pPr>
              <w:keepNext w:val="0"/>
              <w:keepLines w:val="0"/>
              <w:pageBreakBefore w:val="0"/>
              <w:kinsoku/>
              <w:wordWrap/>
              <w:overflowPunct/>
              <w:topLinePunct w:val="0"/>
              <w:bidi w:val="0"/>
              <w:spacing w:line="360" w:lineRule="exact"/>
              <w:ind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6DB565BC">
            <w:pPr>
              <w:keepNext w:val="0"/>
              <w:keepLines w:val="0"/>
              <w:pageBreakBefore w:val="0"/>
              <w:kinsoku/>
              <w:wordWrap/>
              <w:overflowPunct/>
              <w:topLinePunct w:val="0"/>
              <w:bidi w:val="0"/>
              <w:spacing w:line="360" w:lineRule="exact"/>
              <w:ind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投标报价</w:t>
            </w:r>
          </w:p>
        </w:tc>
        <w:tc>
          <w:tcPr>
            <w:tcW w:w="6886" w:type="dxa"/>
            <w:tcBorders>
              <w:top w:val="single" w:color="000000" w:sz="4" w:space="0"/>
              <w:left w:val="single" w:color="000000" w:sz="4" w:space="0"/>
              <w:bottom w:val="single" w:color="000000" w:sz="4" w:space="0"/>
              <w:right w:val="single" w:color="000000" w:sz="4" w:space="0"/>
            </w:tcBorders>
            <w:noWrap w:val="0"/>
            <w:vAlign w:val="center"/>
          </w:tcPr>
          <w:p w14:paraId="439DDF78">
            <w:pPr>
              <w:keepNext w:val="0"/>
              <w:keepLines w:val="0"/>
              <w:pageBreakBefore w:val="0"/>
              <w:kinsoku/>
              <w:wordWrap/>
              <w:overflowPunct/>
              <w:topLinePunct w:val="0"/>
              <w:bidi w:val="0"/>
              <w:spacing w:line="360" w:lineRule="exact"/>
              <w:ind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不论投标结果如何，投标人均应自行承担所有与投标有关的全部费用。</w:t>
            </w:r>
          </w:p>
        </w:tc>
      </w:tr>
      <w:tr w14:paraId="77528757">
        <w:tblPrEx>
          <w:tblCellMar>
            <w:top w:w="0" w:type="dxa"/>
            <w:left w:w="108" w:type="dxa"/>
            <w:bottom w:w="0" w:type="dxa"/>
            <w:right w:w="108" w:type="dxa"/>
          </w:tblCellMar>
        </w:tblPrEx>
        <w:trPr>
          <w:trHeight w:val="1905" w:hRule="atLeast"/>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4DC49BC9">
            <w:pPr>
              <w:keepNext w:val="0"/>
              <w:keepLines w:val="0"/>
              <w:pageBreakBefore w:val="0"/>
              <w:kinsoku/>
              <w:wordWrap/>
              <w:overflowPunct/>
              <w:topLinePunct w:val="0"/>
              <w:bidi w:val="0"/>
              <w:spacing w:line="360" w:lineRule="exact"/>
              <w:ind w:firstLine="0" w:firstLineChars="0"/>
              <w:jc w:val="center"/>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4</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1267A962">
            <w:pPr>
              <w:keepNext w:val="0"/>
              <w:keepLines w:val="0"/>
              <w:pageBreakBefore w:val="0"/>
              <w:kinsoku/>
              <w:wordWrap/>
              <w:overflowPunct/>
              <w:topLinePunct w:val="0"/>
              <w:bidi w:val="0"/>
              <w:spacing w:line="360" w:lineRule="exact"/>
              <w:ind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rPr>
              <w:t>答疑</w:t>
            </w:r>
            <w:r>
              <w:rPr>
                <w:rFonts w:hint="eastAsia" w:ascii="宋体" w:hAnsi="宋体" w:eastAsia="宋体" w:cs="宋体"/>
                <w:color w:val="auto"/>
                <w:kern w:val="0"/>
                <w:sz w:val="24"/>
                <w:szCs w:val="24"/>
                <w:highlight w:val="none"/>
                <w:lang w:val="en-US" w:eastAsia="zh-CN"/>
              </w:rPr>
              <w:t>与</w:t>
            </w:r>
            <w:r>
              <w:rPr>
                <w:rFonts w:hint="eastAsia" w:ascii="宋体" w:hAnsi="宋体" w:eastAsia="宋体" w:cs="宋体"/>
                <w:color w:val="auto"/>
                <w:kern w:val="2"/>
                <w:sz w:val="24"/>
                <w:szCs w:val="24"/>
                <w:highlight w:val="none"/>
              </w:rPr>
              <w:t>澄清</w:t>
            </w:r>
          </w:p>
        </w:tc>
        <w:tc>
          <w:tcPr>
            <w:tcW w:w="6886" w:type="dxa"/>
            <w:tcBorders>
              <w:top w:val="single" w:color="000000" w:sz="4" w:space="0"/>
              <w:left w:val="single" w:color="000000" w:sz="4" w:space="0"/>
              <w:bottom w:val="single" w:color="000000" w:sz="4" w:space="0"/>
              <w:right w:val="single" w:color="000000" w:sz="4" w:space="0"/>
            </w:tcBorders>
            <w:noWrap w:val="0"/>
            <w:vAlign w:val="center"/>
          </w:tcPr>
          <w:p w14:paraId="7B07A9B9">
            <w:pPr>
              <w:keepNext w:val="0"/>
              <w:keepLines w:val="0"/>
              <w:pageBreakBefore w:val="0"/>
              <w:kinsoku/>
              <w:wordWrap/>
              <w:overflowPunct/>
              <w:topLinePunct w:val="0"/>
              <w:bidi w:val="0"/>
              <w:spacing w:line="360" w:lineRule="exact"/>
              <w:ind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投标人如认为招标文件表述不清晰、存在歧视性、排他性或者其他违法内容的，应当于投标截止时间5天前以书面形式要求招标采购单位作出书面解释、澄清或者向招标采购单位提出书面质疑，招标人或招标代理机构将统一答复，答疑内容是招标文件的组成部分，并将以</w:t>
            </w:r>
            <w:r>
              <w:rPr>
                <w:rFonts w:hint="eastAsia" w:ascii="宋体" w:hAnsi="宋体" w:eastAsia="宋体" w:cs="宋体"/>
                <w:color w:val="auto"/>
                <w:sz w:val="24"/>
                <w:szCs w:val="24"/>
                <w:highlight w:val="none"/>
                <w:lang w:val="en-US" w:eastAsia="zh-CN"/>
              </w:rPr>
              <w:t>公告或</w:t>
            </w:r>
            <w:r>
              <w:rPr>
                <w:rFonts w:hint="eastAsia" w:ascii="宋体" w:hAnsi="宋体" w:eastAsia="宋体" w:cs="宋体"/>
                <w:color w:val="auto"/>
                <w:sz w:val="24"/>
                <w:szCs w:val="24"/>
                <w:highlight w:val="none"/>
              </w:rPr>
              <w:t>书面形式送达所有已报名的投标人</w:t>
            </w:r>
            <w:r>
              <w:rPr>
                <w:rFonts w:hint="eastAsia" w:ascii="宋体" w:hAnsi="宋体" w:eastAsia="宋体" w:cs="宋体"/>
                <w:bCs/>
                <w:color w:val="auto"/>
                <w:sz w:val="24"/>
                <w:szCs w:val="24"/>
                <w:highlight w:val="none"/>
              </w:rPr>
              <w:t>。</w:t>
            </w:r>
          </w:p>
        </w:tc>
      </w:tr>
      <w:tr w14:paraId="173EA471">
        <w:tblPrEx>
          <w:tblCellMar>
            <w:top w:w="0" w:type="dxa"/>
            <w:left w:w="108" w:type="dxa"/>
            <w:bottom w:w="0" w:type="dxa"/>
            <w:right w:w="108" w:type="dxa"/>
          </w:tblCellMar>
        </w:tblPrEx>
        <w:trPr>
          <w:trHeight w:val="1958" w:hRule="atLeast"/>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1F476B41">
            <w:pPr>
              <w:keepNext w:val="0"/>
              <w:keepLines w:val="0"/>
              <w:pageBreakBefore w:val="0"/>
              <w:kinsoku/>
              <w:wordWrap/>
              <w:overflowPunct/>
              <w:topLinePunct w:val="0"/>
              <w:bidi w:val="0"/>
              <w:spacing w:line="360" w:lineRule="exact"/>
              <w:ind w:firstLine="0" w:firstLineChars="0"/>
              <w:jc w:val="center"/>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5</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6E796314">
            <w:pPr>
              <w:keepNext w:val="0"/>
              <w:keepLines w:val="0"/>
              <w:pageBreakBefore w:val="0"/>
              <w:kinsoku/>
              <w:wordWrap/>
              <w:overflowPunct/>
              <w:topLinePunct w:val="0"/>
              <w:bidi w:val="0"/>
              <w:adjustRightInd/>
              <w:spacing w:line="360" w:lineRule="exact"/>
              <w:ind w:firstLine="0" w:firstLineChars="0"/>
              <w:jc w:val="center"/>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bCs/>
                <w:color w:val="auto"/>
                <w:kern w:val="0"/>
                <w:sz w:val="24"/>
                <w:szCs w:val="24"/>
                <w:highlight w:val="none"/>
              </w:rPr>
              <w:t>投标文件的签章形式</w:t>
            </w:r>
          </w:p>
        </w:tc>
        <w:tc>
          <w:tcPr>
            <w:tcW w:w="6886" w:type="dxa"/>
            <w:tcBorders>
              <w:top w:val="single" w:color="000000" w:sz="4" w:space="0"/>
              <w:left w:val="single" w:color="000000" w:sz="4" w:space="0"/>
              <w:bottom w:val="single" w:color="000000" w:sz="4" w:space="0"/>
              <w:right w:val="single" w:color="000000" w:sz="4" w:space="0"/>
            </w:tcBorders>
            <w:noWrap w:val="0"/>
            <w:vAlign w:val="center"/>
          </w:tcPr>
          <w:p w14:paraId="229BBF33">
            <w:pPr>
              <w:keepNext w:val="0"/>
              <w:keepLines w:val="0"/>
              <w:pageBreakBefore w:val="0"/>
              <w:kinsoku/>
              <w:wordWrap/>
              <w:overflowPunct/>
              <w:topLinePunct w:val="0"/>
              <w:bidi w:val="0"/>
              <w:adjustRightInd/>
              <w:spacing w:line="360" w:lineRule="exact"/>
              <w:ind w:firstLine="0" w:firstLineChars="0"/>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1.按“投标文件格式”中提供的格式进行签字盖章；</w:t>
            </w:r>
          </w:p>
          <w:p w14:paraId="0E2E89A5">
            <w:pPr>
              <w:keepNext w:val="0"/>
              <w:keepLines w:val="0"/>
              <w:pageBreakBefore w:val="0"/>
              <w:kinsoku/>
              <w:wordWrap/>
              <w:overflowPunct/>
              <w:topLinePunct w:val="0"/>
              <w:bidi w:val="0"/>
              <w:adjustRightInd/>
              <w:spacing w:line="360" w:lineRule="exact"/>
              <w:ind w:firstLine="0" w:firstLineChars="0"/>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2.投标文件的签章：</w:t>
            </w:r>
            <w:r>
              <w:rPr>
                <w:rFonts w:hint="eastAsia" w:ascii="宋体" w:hAnsi="宋体" w:eastAsia="宋体" w:cs="宋体"/>
                <w:b/>
                <w:bCs/>
                <w:color w:val="auto"/>
                <w:sz w:val="24"/>
                <w:szCs w:val="24"/>
                <w:highlight w:val="none"/>
                <w:lang w:val="en-US" w:eastAsia="zh-CN" w:bidi="ar-SA"/>
              </w:rPr>
              <w:t>公章须使用电子签章或加盖公章</w:t>
            </w:r>
            <w:r>
              <w:rPr>
                <w:rFonts w:hint="eastAsia" w:ascii="宋体" w:hAnsi="宋体" w:eastAsia="宋体" w:cs="宋体"/>
                <w:color w:val="auto"/>
                <w:sz w:val="24"/>
                <w:szCs w:val="24"/>
                <w:highlight w:val="none"/>
                <w:lang w:val="en-US" w:eastAsia="zh-CN" w:bidi="ar-SA"/>
              </w:rPr>
              <w:t>，可书面签字盖章后扫描至电子投标文件中上传；</w:t>
            </w:r>
          </w:p>
          <w:p w14:paraId="03E8DE51">
            <w:pPr>
              <w:keepNext w:val="0"/>
              <w:keepLines w:val="0"/>
              <w:pageBreakBefore w:val="0"/>
              <w:kinsoku/>
              <w:wordWrap/>
              <w:overflowPunct/>
              <w:topLinePunct w:val="0"/>
              <w:bidi w:val="0"/>
              <w:adjustRightInd/>
              <w:spacing w:line="360" w:lineRule="exact"/>
              <w:ind w:firstLine="0" w:firstLineChars="0"/>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3.开标后，相关信息记录确认、澄清说明、回复等内容及电子签章或者加盖公章后上传的相关文件，均认可。</w:t>
            </w:r>
          </w:p>
        </w:tc>
      </w:tr>
      <w:tr w14:paraId="06F242EA">
        <w:tblPrEx>
          <w:tblCellMar>
            <w:top w:w="0" w:type="dxa"/>
            <w:left w:w="108" w:type="dxa"/>
            <w:bottom w:w="0" w:type="dxa"/>
            <w:right w:w="108" w:type="dxa"/>
          </w:tblCellMar>
        </w:tblPrEx>
        <w:trPr>
          <w:trHeight w:val="287" w:hRule="atLeast"/>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7892831C">
            <w:pPr>
              <w:keepNext w:val="0"/>
              <w:keepLines w:val="0"/>
              <w:pageBreakBefore w:val="0"/>
              <w:kinsoku/>
              <w:wordWrap/>
              <w:overflowPunct/>
              <w:topLinePunct w:val="0"/>
              <w:bidi w:val="0"/>
              <w:spacing w:line="360" w:lineRule="exact"/>
              <w:ind w:firstLine="0" w:firstLineChars="0"/>
              <w:jc w:val="center"/>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6</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48F6A616">
            <w:pPr>
              <w:keepNext w:val="0"/>
              <w:keepLines w:val="0"/>
              <w:pageBreakBefore w:val="0"/>
              <w:kinsoku/>
              <w:wordWrap/>
              <w:overflowPunct/>
              <w:topLinePunct w:val="0"/>
              <w:bidi w:val="0"/>
              <w:adjustRightInd/>
              <w:snapToGrid w:val="0"/>
              <w:spacing w:line="360" w:lineRule="exact"/>
              <w:ind w:left="0" w:lef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资格审查方式</w:t>
            </w:r>
          </w:p>
        </w:tc>
        <w:tc>
          <w:tcPr>
            <w:tcW w:w="6886" w:type="dxa"/>
            <w:tcBorders>
              <w:top w:val="single" w:color="000000" w:sz="4" w:space="0"/>
              <w:left w:val="single" w:color="000000" w:sz="4" w:space="0"/>
              <w:bottom w:val="single" w:color="000000" w:sz="4" w:space="0"/>
              <w:right w:val="single" w:color="000000" w:sz="4" w:space="0"/>
            </w:tcBorders>
            <w:noWrap w:val="0"/>
            <w:vAlign w:val="center"/>
          </w:tcPr>
          <w:p w14:paraId="4D72C904">
            <w:pPr>
              <w:keepNext w:val="0"/>
              <w:keepLines w:val="0"/>
              <w:pageBreakBefore w:val="0"/>
              <w:kinsoku/>
              <w:wordWrap/>
              <w:overflowPunct/>
              <w:topLinePunct w:val="0"/>
              <w:bidi w:val="0"/>
              <w:snapToGrid w:val="0"/>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本项目资格审查方式采用资格后审</w:t>
            </w:r>
          </w:p>
          <w:p w14:paraId="2087F3EF">
            <w:pPr>
              <w:keepNext w:val="0"/>
              <w:keepLines w:val="0"/>
              <w:pageBreakBefore w:val="0"/>
              <w:kinsoku/>
              <w:wordWrap/>
              <w:overflowPunct/>
              <w:topLinePunct w:val="0"/>
              <w:autoSpaceDE w:val="0"/>
              <w:autoSpaceDN w:val="0"/>
              <w:bidi w:val="0"/>
              <w:adjustRightInd/>
              <w:snapToGrid w:val="0"/>
              <w:spacing w:line="360" w:lineRule="exact"/>
              <w:ind w:left="0" w:leftChars="0" w:firstLine="0" w:firstLineChars="0"/>
              <w:textAlignment w:val="bottom"/>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资格后审是指在开标后由评标委员会根据招标文件的规定对投标人进行的资格审查，资格后审不合格的投标人，由评标委员会对其投标作否决处理。</w:t>
            </w:r>
          </w:p>
        </w:tc>
      </w:tr>
      <w:tr w14:paraId="673EDC46">
        <w:tblPrEx>
          <w:tblCellMar>
            <w:top w:w="0" w:type="dxa"/>
            <w:left w:w="108" w:type="dxa"/>
            <w:bottom w:w="0" w:type="dxa"/>
            <w:right w:w="108" w:type="dxa"/>
          </w:tblCellMar>
        </w:tblPrEx>
        <w:trPr>
          <w:trHeight w:val="287" w:hRule="atLeast"/>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0F08FC93">
            <w:pPr>
              <w:keepNext w:val="0"/>
              <w:keepLines w:val="0"/>
              <w:pageBreakBefore w:val="0"/>
              <w:kinsoku/>
              <w:wordWrap/>
              <w:overflowPunct/>
              <w:topLinePunct w:val="0"/>
              <w:bidi w:val="0"/>
              <w:spacing w:line="360" w:lineRule="exact"/>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4276DB17">
            <w:pPr>
              <w:keepNext w:val="0"/>
              <w:keepLines w:val="0"/>
              <w:pageBreakBefore w:val="0"/>
              <w:kinsoku/>
              <w:wordWrap/>
              <w:overflowPunct/>
              <w:topLinePunct w:val="0"/>
              <w:bidi w:val="0"/>
              <w:adjustRightInd/>
              <w:snapToGrid w:val="0"/>
              <w:spacing w:line="360" w:lineRule="exact"/>
              <w:ind w:left="0" w:leftChars="0" w:firstLine="0" w:firstLineChars="0"/>
              <w:jc w:val="center"/>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投标文件的接收</w:t>
            </w:r>
          </w:p>
        </w:tc>
        <w:tc>
          <w:tcPr>
            <w:tcW w:w="6886" w:type="dxa"/>
            <w:tcBorders>
              <w:top w:val="single" w:color="000000" w:sz="4" w:space="0"/>
              <w:left w:val="single" w:color="000000" w:sz="4" w:space="0"/>
              <w:bottom w:val="single" w:color="000000" w:sz="4" w:space="0"/>
              <w:right w:val="single" w:color="000000" w:sz="4" w:space="0"/>
            </w:tcBorders>
            <w:noWrap w:val="0"/>
            <w:vAlign w:val="center"/>
          </w:tcPr>
          <w:p w14:paraId="453233AC">
            <w:pPr>
              <w:keepNext w:val="0"/>
              <w:keepLines w:val="0"/>
              <w:pageBreakBefore w:val="0"/>
              <w:kinsoku/>
              <w:wordWrap/>
              <w:overflowPunct/>
              <w:topLinePunct w:val="0"/>
              <w:autoSpaceDE w:val="0"/>
              <w:autoSpaceDN w:val="0"/>
              <w:bidi w:val="0"/>
              <w:adjustRightInd/>
              <w:snapToGrid w:val="0"/>
              <w:spacing w:line="360" w:lineRule="exact"/>
              <w:ind w:left="0" w:leftChars="0" w:firstLine="0" w:firstLineChars="0"/>
              <w:textAlignment w:val="bottom"/>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62F6F3E4">
            <w:pPr>
              <w:keepNext w:val="0"/>
              <w:keepLines w:val="0"/>
              <w:pageBreakBefore w:val="0"/>
              <w:kinsoku/>
              <w:wordWrap/>
              <w:overflowPunct/>
              <w:topLinePunct w:val="0"/>
              <w:autoSpaceDE w:val="0"/>
              <w:autoSpaceDN w:val="0"/>
              <w:bidi w:val="0"/>
              <w:adjustRightInd/>
              <w:snapToGrid w:val="0"/>
              <w:spacing w:line="360" w:lineRule="exact"/>
              <w:ind w:left="0" w:leftChars="0" w:firstLine="0" w:firstLineChars="0"/>
              <w:textAlignment w:val="bottom"/>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
              </w:rPr>
              <w:t>注：</w:t>
            </w:r>
            <w:r>
              <w:rPr>
                <w:rFonts w:hint="eastAsia" w:ascii="宋体" w:hAnsi="宋体" w:eastAsia="宋体" w:cs="宋体"/>
                <w:b/>
                <w:bCs/>
                <w:color w:val="auto"/>
                <w:sz w:val="24"/>
                <w:szCs w:val="24"/>
                <w:highlight w:val="none"/>
                <w:lang w:bidi="ar"/>
              </w:rPr>
              <w:t>如中标，中标人需提供纸质投标文件至少三份</w:t>
            </w:r>
            <w:r>
              <w:rPr>
                <w:rFonts w:hint="eastAsia" w:ascii="宋体" w:hAnsi="宋体" w:eastAsia="宋体" w:cs="宋体"/>
                <w:b/>
                <w:bCs/>
                <w:color w:val="auto"/>
                <w:sz w:val="24"/>
                <w:szCs w:val="24"/>
                <w:highlight w:val="none"/>
                <w:lang w:eastAsia="zh-CN" w:bidi="ar"/>
              </w:rPr>
              <w:t>（</w:t>
            </w:r>
            <w:r>
              <w:rPr>
                <w:rFonts w:hint="eastAsia" w:ascii="宋体" w:hAnsi="宋体" w:eastAsia="宋体" w:cs="宋体"/>
                <w:b/>
                <w:bCs/>
                <w:color w:val="auto"/>
                <w:sz w:val="24"/>
                <w:szCs w:val="24"/>
                <w:highlight w:val="none"/>
                <w:lang w:val="en-US" w:eastAsia="zh-CN" w:bidi="ar"/>
              </w:rPr>
              <w:t>一正两副</w:t>
            </w:r>
            <w:r>
              <w:rPr>
                <w:rFonts w:hint="eastAsia" w:ascii="宋体" w:hAnsi="宋体" w:eastAsia="宋体" w:cs="宋体"/>
                <w:b/>
                <w:bCs/>
                <w:color w:val="auto"/>
                <w:sz w:val="24"/>
                <w:szCs w:val="24"/>
                <w:highlight w:val="none"/>
                <w:lang w:eastAsia="zh-CN" w:bidi="ar"/>
              </w:rPr>
              <w:t>）</w:t>
            </w:r>
            <w:r>
              <w:rPr>
                <w:rFonts w:hint="eastAsia" w:ascii="宋体" w:hAnsi="宋体" w:eastAsia="宋体" w:cs="宋体"/>
                <w:b/>
                <w:bCs/>
                <w:color w:val="auto"/>
                <w:sz w:val="24"/>
                <w:szCs w:val="24"/>
                <w:highlight w:val="none"/>
                <w:lang w:bidi="ar"/>
              </w:rPr>
              <w:t>。内容需与电子投标文件完全一致，标明页码，如与电子投标文件不符将影响中标人领取中标通知书。</w:t>
            </w:r>
          </w:p>
        </w:tc>
      </w:tr>
      <w:tr w14:paraId="7DA1C9AA">
        <w:tblPrEx>
          <w:tblCellMar>
            <w:top w:w="0" w:type="dxa"/>
            <w:left w:w="108" w:type="dxa"/>
            <w:bottom w:w="0" w:type="dxa"/>
            <w:right w:w="108" w:type="dxa"/>
          </w:tblCellMar>
        </w:tblPrEx>
        <w:trPr>
          <w:trHeight w:val="510" w:hRule="atLeast"/>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2CE0F06E">
            <w:pPr>
              <w:keepNext w:val="0"/>
              <w:keepLines w:val="0"/>
              <w:pageBreakBefore w:val="0"/>
              <w:kinsoku/>
              <w:wordWrap/>
              <w:overflowPunct/>
              <w:topLinePunct w:val="0"/>
              <w:bidi w:val="0"/>
              <w:spacing w:line="360" w:lineRule="exact"/>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2E13779A">
            <w:pPr>
              <w:keepNext w:val="0"/>
              <w:keepLines w:val="0"/>
              <w:pageBreakBefore w:val="0"/>
              <w:kinsoku/>
              <w:wordWrap/>
              <w:overflowPunct/>
              <w:topLinePunct w:val="0"/>
              <w:autoSpaceDE w:val="0"/>
              <w:autoSpaceDN w:val="0"/>
              <w:bidi w:val="0"/>
              <w:snapToGrid w:val="0"/>
              <w:spacing w:line="360" w:lineRule="exact"/>
              <w:ind w:firstLine="0" w:firstLineChars="0"/>
              <w:jc w:val="center"/>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投标有效期</w:t>
            </w:r>
          </w:p>
        </w:tc>
        <w:tc>
          <w:tcPr>
            <w:tcW w:w="6886" w:type="dxa"/>
            <w:tcBorders>
              <w:top w:val="single" w:color="000000" w:sz="4" w:space="0"/>
              <w:left w:val="single" w:color="000000" w:sz="4" w:space="0"/>
              <w:bottom w:val="single" w:color="000000" w:sz="4" w:space="0"/>
              <w:right w:val="single" w:color="000000" w:sz="4" w:space="0"/>
            </w:tcBorders>
            <w:noWrap w:val="0"/>
            <w:vAlign w:val="center"/>
          </w:tcPr>
          <w:p w14:paraId="0FBCCDF5">
            <w:pPr>
              <w:keepNext w:val="0"/>
              <w:keepLines w:val="0"/>
              <w:pageBreakBefore w:val="0"/>
              <w:kinsoku/>
              <w:wordWrap/>
              <w:overflowPunct/>
              <w:topLinePunct w:val="0"/>
              <w:autoSpaceDE w:val="0"/>
              <w:autoSpaceDN w:val="0"/>
              <w:bidi w:val="0"/>
              <w:snapToGrid w:val="0"/>
              <w:spacing w:line="360" w:lineRule="exact"/>
              <w:ind w:firstLine="0" w:firstLineChars="0"/>
              <w:jc w:val="left"/>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投标截止时间后90天内应保持投标文件有效</w:t>
            </w:r>
            <w:r>
              <w:rPr>
                <w:rFonts w:hint="eastAsia" w:ascii="宋体" w:hAnsi="宋体" w:eastAsia="宋体" w:cs="宋体"/>
                <w:color w:val="auto"/>
                <w:sz w:val="24"/>
                <w:szCs w:val="24"/>
                <w:highlight w:val="none"/>
                <w:lang w:eastAsia="zh-CN"/>
              </w:rPr>
              <w:t>。</w:t>
            </w:r>
          </w:p>
        </w:tc>
      </w:tr>
      <w:tr w14:paraId="7478D395">
        <w:tblPrEx>
          <w:tblCellMar>
            <w:top w:w="0" w:type="dxa"/>
            <w:left w:w="108" w:type="dxa"/>
            <w:bottom w:w="0" w:type="dxa"/>
            <w:right w:w="108" w:type="dxa"/>
          </w:tblCellMar>
        </w:tblPrEx>
        <w:trPr>
          <w:trHeight w:val="1131" w:hRule="atLeast"/>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77B6DDA7">
            <w:pPr>
              <w:keepNext w:val="0"/>
              <w:keepLines w:val="0"/>
              <w:pageBreakBefore w:val="0"/>
              <w:kinsoku/>
              <w:wordWrap/>
              <w:overflowPunct/>
              <w:topLinePunct w:val="0"/>
              <w:bidi w:val="0"/>
              <w:spacing w:line="360" w:lineRule="exac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9</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5C3E7FCD">
            <w:pPr>
              <w:keepNext w:val="0"/>
              <w:keepLines w:val="0"/>
              <w:pageBreakBefore w:val="0"/>
              <w:suppressLineNumbers w:val="0"/>
              <w:kinsoku/>
              <w:wordWrap/>
              <w:overflowPunct/>
              <w:topLinePunct w:val="0"/>
              <w:autoSpaceDE w:val="0"/>
              <w:autoSpaceDN w:val="0"/>
              <w:bidi w:val="0"/>
              <w:snapToGrid w:val="0"/>
              <w:spacing w:before="0" w:beforeAutospacing="0" w:after="0" w:afterAutospacing="0" w:line="400" w:lineRule="exact"/>
              <w:ind w:left="0" w:leftChars="0" w:right="0" w:rightChars="0"/>
              <w:jc w:val="center"/>
              <w:textAlignment w:val="bottom"/>
              <w:rPr>
                <w:rFonts w:hint="eastAsia" w:ascii="宋体" w:hAnsi="宋体" w:eastAsia="宋体" w:cs="宋体"/>
                <w:color w:val="auto"/>
                <w:kern w:val="2"/>
                <w:sz w:val="24"/>
                <w:szCs w:val="24"/>
                <w:highlight w:val="none"/>
              </w:rPr>
            </w:pPr>
            <w:r>
              <w:rPr>
                <w:rFonts w:hint="eastAsia" w:ascii="宋体" w:hAnsi="宋体" w:eastAsia="宋体" w:cs="宋体"/>
                <w:color w:val="auto"/>
                <w:sz w:val="24"/>
                <w:highlight w:val="none"/>
              </w:rPr>
              <w:t>提交投标文件截止时间、开标时间和地点</w:t>
            </w:r>
          </w:p>
        </w:tc>
        <w:tc>
          <w:tcPr>
            <w:tcW w:w="6886" w:type="dxa"/>
            <w:tcBorders>
              <w:top w:val="single" w:color="000000" w:sz="4" w:space="0"/>
              <w:left w:val="single" w:color="000000" w:sz="4" w:space="0"/>
              <w:bottom w:val="single" w:color="000000" w:sz="4" w:space="0"/>
              <w:right w:val="single" w:color="000000" w:sz="4" w:space="0"/>
            </w:tcBorders>
            <w:noWrap w:val="0"/>
            <w:vAlign w:val="center"/>
          </w:tcPr>
          <w:p w14:paraId="11D3D223">
            <w:pPr>
              <w:keepNext w:val="0"/>
              <w:keepLines w:val="0"/>
              <w:pageBreakBefore w:val="0"/>
              <w:suppressLineNumbers w:val="0"/>
              <w:kinsoku/>
              <w:wordWrap/>
              <w:overflowPunct/>
              <w:topLinePunct w:val="0"/>
              <w:autoSpaceDE w:val="0"/>
              <w:autoSpaceDN w:val="0"/>
              <w:bidi w:val="0"/>
              <w:snapToGrid w:val="0"/>
              <w:spacing w:before="0" w:beforeAutospacing="0" w:after="0" w:afterAutospacing="0" w:line="400" w:lineRule="exact"/>
              <w:ind w:left="0" w:leftChars="0" w:right="0" w:rightChars="0"/>
              <w:textAlignment w:val="bottom"/>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highlight w:val="none"/>
              </w:rPr>
              <w:t>详见“招标公告”</w:t>
            </w:r>
          </w:p>
        </w:tc>
      </w:tr>
      <w:tr w14:paraId="2D46BEF5">
        <w:tblPrEx>
          <w:tblCellMar>
            <w:top w:w="0" w:type="dxa"/>
            <w:left w:w="108" w:type="dxa"/>
            <w:bottom w:w="0" w:type="dxa"/>
            <w:right w:w="108" w:type="dxa"/>
          </w:tblCellMar>
        </w:tblPrEx>
        <w:trPr>
          <w:trHeight w:val="1287" w:hRule="atLeast"/>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2C6BB7B4">
            <w:pPr>
              <w:keepNext w:val="0"/>
              <w:keepLines w:val="0"/>
              <w:pageBreakBefore w:val="0"/>
              <w:kinsoku/>
              <w:wordWrap/>
              <w:overflowPunct/>
              <w:topLinePunct w:val="0"/>
              <w:bidi w:val="0"/>
              <w:spacing w:line="360" w:lineRule="exact"/>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0</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6A7BA925">
            <w:pPr>
              <w:keepNext w:val="0"/>
              <w:keepLines w:val="0"/>
              <w:pageBreakBefore w:val="0"/>
              <w:kinsoku/>
              <w:wordWrap/>
              <w:overflowPunct/>
              <w:topLinePunct w:val="0"/>
              <w:bidi w:val="0"/>
              <w:spacing w:line="360" w:lineRule="exact"/>
              <w:ind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中标公告及通知</w:t>
            </w:r>
          </w:p>
        </w:tc>
        <w:tc>
          <w:tcPr>
            <w:tcW w:w="6886" w:type="dxa"/>
            <w:tcBorders>
              <w:top w:val="single" w:color="000000" w:sz="4" w:space="0"/>
              <w:left w:val="single" w:color="000000" w:sz="4" w:space="0"/>
              <w:bottom w:val="single" w:color="000000" w:sz="4" w:space="0"/>
              <w:right w:val="single" w:color="000000" w:sz="4" w:space="0"/>
            </w:tcBorders>
            <w:noWrap w:val="0"/>
            <w:vAlign w:val="center"/>
          </w:tcPr>
          <w:p w14:paraId="1ECD6030">
            <w:pPr>
              <w:keepNext w:val="0"/>
              <w:keepLines w:val="0"/>
              <w:pageBreakBefore w:val="0"/>
              <w:kinsoku/>
              <w:wordWrap/>
              <w:overflowPunct/>
              <w:topLinePunct w:val="0"/>
              <w:bidi w:val="0"/>
              <w:spacing w:line="360" w:lineRule="exact"/>
              <w:ind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评标结束结果经采购人确认后2个工作日内，在</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浙江政府采购网</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和“嵊州市公共资源交易网”</w:t>
            </w:r>
            <w:r>
              <w:rPr>
                <w:rFonts w:hint="eastAsia" w:ascii="宋体" w:hAnsi="宋体" w:eastAsia="宋体" w:cs="宋体"/>
                <w:color w:val="auto"/>
                <w:kern w:val="2"/>
                <w:sz w:val="24"/>
                <w:szCs w:val="24"/>
                <w:highlight w:val="none"/>
              </w:rPr>
              <w:t>发布中标公告，</w:t>
            </w:r>
            <w:r>
              <w:rPr>
                <w:rFonts w:hint="eastAsia" w:ascii="宋体" w:hAnsi="宋体" w:eastAsia="宋体" w:cs="宋体"/>
                <w:color w:val="auto"/>
                <w:sz w:val="24"/>
                <w:szCs w:val="24"/>
                <w:highlight w:val="none"/>
              </w:rPr>
              <w:t>并向中标方签发书面《中标通知书》</w:t>
            </w:r>
            <w:r>
              <w:rPr>
                <w:rFonts w:hint="eastAsia" w:ascii="宋体" w:hAnsi="宋体" w:eastAsia="宋体" w:cs="宋体"/>
                <w:color w:val="auto"/>
                <w:kern w:val="2"/>
                <w:sz w:val="24"/>
                <w:szCs w:val="24"/>
                <w:highlight w:val="none"/>
              </w:rPr>
              <w:t>。</w:t>
            </w:r>
          </w:p>
        </w:tc>
      </w:tr>
      <w:tr w14:paraId="3AE5544B">
        <w:tblPrEx>
          <w:tblCellMar>
            <w:top w:w="0" w:type="dxa"/>
            <w:left w:w="108" w:type="dxa"/>
            <w:bottom w:w="0" w:type="dxa"/>
            <w:right w:w="108" w:type="dxa"/>
          </w:tblCellMar>
        </w:tblPrEx>
        <w:trPr>
          <w:trHeight w:val="674" w:hRule="atLeast"/>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6CD4E1B9">
            <w:pPr>
              <w:keepNext w:val="0"/>
              <w:keepLines w:val="0"/>
              <w:pageBreakBefore w:val="0"/>
              <w:kinsoku/>
              <w:wordWrap/>
              <w:overflowPunct/>
              <w:topLinePunct w:val="0"/>
              <w:bidi w:val="0"/>
              <w:spacing w:line="360" w:lineRule="exact"/>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1</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33D006F5">
            <w:pPr>
              <w:keepNext w:val="0"/>
              <w:keepLines w:val="0"/>
              <w:pageBreakBefore w:val="0"/>
              <w:kinsoku/>
              <w:wordWrap/>
              <w:overflowPunct/>
              <w:topLinePunct w:val="0"/>
              <w:bidi w:val="0"/>
              <w:spacing w:line="360" w:lineRule="exact"/>
              <w:ind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签订合同时间</w:t>
            </w:r>
          </w:p>
        </w:tc>
        <w:tc>
          <w:tcPr>
            <w:tcW w:w="6886" w:type="dxa"/>
            <w:tcBorders>
              <w:top w:val="single" w:color="000000" w:sz="4" w:space="0"/>
              <w:left w:val="single" w:color="000000" w:sz="4" w:space="0"/>
              <w:bottom w:val="single" w:color="000000" w:sz="4" w:space="0"/>
              <w:right w:val="single" w:color="000000" w:sz="4" w:space="0"/>
            </w:tcBorders>
            <w:noWrap w:val="0"/>
            <w:vAlign w:val="center"/>
          </w:tcPr>
          <w:p w14:paraId="01999DA9">
            <w:pPr>
              <w:keepNext w:val="0"/>
              <w:keepLines w:val="0"/>
              <w:pageBreakBefore w:val="0"/>
              <w:kinsoku/>
              <w:wordWrap/>
              <w:overflowPunct/>
              <w:topLinePunct w:val="0"/>
              <w:bidi w:val="0"/>
              <w:spacing w:line="360" w:lineRule="exact"/>
              <w:ind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中标通知书发出后30日内。</w:t>
            </w:r>
          </w:p>
        </w:tc>
      </w:tr>
      <w:tr w14:paraId="11F2F73B">
        <w:tblPrEx>
          <w:tblCellMar>
            <w:top w:w="0" w:type="dxa"/>
            <w:left w:w="108" w:type="dxa"/>
            <w:bottom w:w="0" w:type="dxa"/>
            <w:right w:w="108" w:type="dxa"/>
          </w:tblCellMar>
        </w:tblPrEx>
        <w:trPr>
          <w:trHeight w:val="1182" w:hRule="atLeast"/>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5D50090E">
            <w:pPr>
              <w:keepNext w:val="0"/>
              <w:keepLines w:val="0"/>
              <w:pageBreakBefore w:val="0"/>
              <w:kinsoku/>
              <w:wordWrap/>
              <w:overflowPunct/>
              <w:topLinePunct w:val="0"/>
              <w:bidi w:val="0"/>
              <w:spacing w:line="360" w:lineRule="exact"/>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2</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551DB023">
            <w:pPr>
              <w:keepNext w:val="0"/>
              <w:keepLines w:val="0"/>
              <w:pageBreakBefore w:val="0"/>
              <w:kinsoku/>
              <w:wordWrap/>
              <w:overflowPunct/>
              <w:topLinePunct w:val="0"/>
              <w:bidi w:val="0"/>
              <w:spacing w:line="360" w:lineRule="exact"/>
              <w:ind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bCs/>
                <w:color w:val="auto"/>
                <w:sz w:val="24"/>
                <w:szCs w:val="24"/>
                <w:highlight w:val="none"/>
              </w:rPr>
              <w:t>招标代理服务费</w:t>
            </w:r>
          </w:p>
        </w:tc>
        <w:tc>
          <w:tcPr>
            <w:tcW w:w="6886" w:type="dxa"/>
            <w:tcBorders>
              <w:top w:val="single" w:color="000000" w:sz="4" w:space="0"/>
              <w:left w:val="single" w:color="000000" w:sz="4" w:space="0"/>
              <w:bottom w:val="single" w:color="000000" w:sz="4" w:space="0"/>
              <w:right w:val="single" w:color="000000" w:sz="4" w:space="0"/>
            </w:tcBorders>
            <w:noWrap w:val="0"/>
            <w:vAlign w:val="center"/>
          </w:tcPr>
          <w:p w14:paraId="28DB9E2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0" w:firstLineChars="0"/>
              <w:jc w:val="left"/>
              <w:textAlignment w:val="auto"/>
              <w:rPr>
                <w:rFonts w:hint="eastAsia" w:ascii="宋体" w:hAnsi="宋体" w:eastAsia="宋体" w:cs="宋体"/>
                <w:color w:val="auto"/>
                <w:kern w:val="2"/>
                <w:sz w:val="24"/>
                <w:szCs w:val="24"/>
                <w:highlight w:val="yellow"/>
              </w:rPr>
            </w:pPr>
            <w:r>
              <w:rPr>
                <w:rFonts w:hint="eastAsia" w:ascii="宋体" w:hAnsi="宋体" w:eastAsia="宋体" w:cs="宋体"/>
                <w:color w:val="auto"/>
                <w:kern w:val="2"/>
                <w:sz w:val="24"/>
                <w:szCs w:val="24"/>
                <w:highlight w:val="none"/>
              </w:rPr>
              <w:t>本项目代理服务费及其他费用共计</w:t>
            </w:r>
            <w:r>
              <w:rPr>
                <w:rFonts w:hint="eastAsia" w:ascii="宋体" w:hAnsi="宋体" w:cs="宋体"/>
                <w:color w:val="auto"/>
                <w:kern w:val="2"/>
                <w:sz w:val="24"/>
                <w:szCs w:val="24"/>
                <w:highlight w:val="none"/>
                <w:lang w:val="en-US" w:eastAsia="zh-CN"/>
              </w:rPr>
              <w:t>6000</w:t>
            </w:r>
            <w:r>
              <w:rPr>
                <w:rFonts w:hint="eastAsia" w:ascii="宋体" w:hAnsi="宋体" w:eastAsia="宋体" w:cs="宋体"/>
                <w:color w:val="auto"/>
                <w:kern w:val="2"/>
                <w:sz w:val="24"/>
                <w:szCs w:val="24"/>
                <w:highlight w:val="none"/>
                <w:lang w:val="en-US" w:eastAsia="zh-CN"/>
              </w:rPr>
              <w:t>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highlight w:val="none"/>
              </w:rPr>
              <w:t>中标（成交）供应商在领取中标（成交）通知书时支付</w:t>
            </w:r>
            <w:r>
              <w:rPr>
                <w:rFonts w:hint="eastAsia" w:ascii="宋体" w:hAnsi="宋体" w:eastAsia="宋体" w:cs="宋体"/>
                <w:color w:val="auto"/>
                <w:kern w:val="2"/>
                <w:sz w:val="24"/>
                <w:szCs w:val="24"/>
                <w:highlight w:val="none"/>
              </w:rPr>
              <w:t>。</w:t>
            </w:r>
          </w:p>
          <w:p w14:paraId="44FD00D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0" w:firstLineChars="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公司名称：绍兴市文汇项目管理有限公司</w:t>
            </w:r>
          </w:p>
          <w:p w14:paraId="4BDA52E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0" w:firstLineChars="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开户行：工商银行嵊州支行</w:t>
            </w:r>
          </w:p>
          <w:p w14:paraId="383FB09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0" w:firstLineChars="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账  号：1211026009200820957</w:t>
            </w:r>
          </w:p>
        </w:tc>
      </w:tr>
      <w:tr w14:paraId="0B89FFD8">
        <w:tblPrEx>
          <w:tblCellMar>
            <w:top w:w="0" w:type="dxa"/>
            <w:left w:w="108" w:type="dxa"/>
            <w:bottom w:w="0" w:type="dxa"/>
            <w:right w:w="108" w:type="dxa"/>
          </w:tblCellMar>
        </w:tblPrEx>
        <w:trPr>
          <w:trHeight w:val="680" w:hRule="atLeast"/>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29C5A48C">
            <w:pPr>
              <w:keepNext w:val="0"/>
              <w:keepLines w:val="0"/>
              <w:pageBreakBefore w:val="0"/>
              <w:kinsoku/>
              <w:wordWrap/>
              <w:overflowPunct/>
              <w:topLinePunct w:val="0"/>
              <w:bidi w:val="0"/>
              <w:spacing w:line="360" w:lineRule="exact"/>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3</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786EA357">
            <w:pPr>
              <w:keepNext w:val="0"/>
              <w:keepLines w:val="0"/>
              <w:pageBreakBefore w:val="0"/>
              <w:kinsoku/>
              <w:wordWrap/>
              <w:overflowPunct/>
              <w:topLinePunct w:val="0"/>
              <w:bidi w:val="0"/>
              <w:spacing w:line="360" w:lineRule="exact"/>
              <w:ind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保证金</w:t>
            </w:r>
          </w:p>
        </w:tc>
        <w:tc>
          <w:tcPr>
            <w:tcW w:w="6886" w:type="dxa"/>
            <w:tcBorders>
              <w:top w:val="single" w:color="000000" w:sz="4" w:space="0"/>
              <w:left w:val="single" w:color="000000" w:sz="4" w:space="0"/>
              <w:bottom w:val="single" w:color="000000" w:sz="4" w:space="0"/>
              <w:right w:val="single" w:color="000000" w:sz="4" w:space="0"/>
            </w:tcBorders>
            <w:noWrap w:val="0"/>
            <w:vAlign w:val="center"/>
          </w:tcPr>
          <w:p w14:paraId="7F448FE0">
            <w:pPr>
              <w:keepNext w:val="0"/>
              <w:keepLines w:val="0"/>
              <w:pageBreakBefore w:val="0"/>
              <w:kinsoku/>
              <w:wordWrap/>
              <w:overflowPunct/>
              <w:topLinePunct w:val="0"/>
              <w:bidi w:val="0"/>
              <w:spacing w:line="360" w:lineRule="exact"/>
              <w:ind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本项目无需缴纳投标保证金及履约保证金。</w:t>
            </w:r>
          </w:p>
        </w:tc>
      </w:tr>
      <w:tr w14:paraId="6017A06D">
        <w:tblPrEx>
          <w:tblCellMar>
            <w:top w:w="0" w:type="dxa"/>
            <w:left w:w="108" w:type="dxa"/>
            <w:bottom w:w="0" w:type="dxa"/>
            <w:right w:w="108" w:type="dxa"/>
          </w:tblCellMar>
        </w:tblPrEx>
        <w:trPr>
          <w:trHeight w:val="746" w:hRule="atLeast"/>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7ED2392D">
            <w:pPr>
              <w:keepNext w:val="0"/>
              <w:keepLines w:val="0"/>
              <w:pageBreakBefore w:val="0"/>
              <w:kinsoku/>
              <w:wordWrap/>
              <w:overflowPunct/>
              <w:topLinePunct w:val="0"/>
              <w:bidi w:val="0"/>
              <w:spacing w:line="360" w:lineRule="exact"/>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4</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230DECC0">
            <w:pPr>
              <w:keepNext w:val="0"/>
              <w:keepLines w:val="0"/>
              <w:pageBreakBefore w:val="0"/>
              <w:kinsoku/>
              <w:wordWrap/>
              <w:overflowPunct/>
              <w:topLinePunct w:val="0"/>
              <w:bidi w:val="0"/>
              <w:spacing w:line="360" w:lineRule="exact"/>
              <w:ind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解释权</w:t>
            </w:r>
          </w:p>
        </w:tc>
        <w:tc>
          <w:tcPr>
            <w:tcW w:w="6886" w:type="dxa"/>
            <w:tcBorders>
              <w:top w:val="single" w:color="000000" w:sz="4" w:space="0"/>
              <w:left w:val="single" w:color="000000" w:sz="4" w:space="0"/>
              <w:bottom w:val="single" w:color="000000" w:sz="4" w:space="0"/>
              <w:right w:val="single" w:color="000000" w:sz="4" w:space="0"/>
            </w:tcBorders>
            <w:noWrap w:val="0"/>
            <w:vAlign w:val="center"/>
          </w:tcPr>
          <w:p w14:paraId="27243D58">
            <w:pPr>
              <w:keepNext w:val="0"/>
              <w:keepLines w:val="0"/>
              <w:pageBreakBefore w:val="0"/>
              <w:kinsoku/>
              <w:wordWrap/>
              <w:overflowPunct/>
              <w:topLinePunct w:val="0"/>
              <w:bidi w:val="0"/>
              <w:spacing w:line="360" w:lineRule="exact"/>
              <w:ind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本招标文件的解释权属于采购人和采购代理机构。</w:t>
            </w:r>
          </w:p>
        </w:tc>
      </w:tr>
      <w:tr w14:paraId="17A550AA">
        <w:tblPrEx>
          <w:tblCellMar>
            <w:top w:w="0" w:type="dxa"/>
            <w:left w:w="108" w:type="dxa"/>
            <w:bottom w:w="0" w:type="dxa"/>
            <w:right w:w="108" w:type="dxa"/>
          </w:tblCellMar>
        </w:tblPrEx>
        <w:trPr>
          <w:trHeight w:val="6148" w:hRule="atLeast"/>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6BFFD94F">
            <w:pPr>
              <w:keepNext w:val="0"/>
              <w:keepLines w:val="0"/>
              <w:pageBreakBefore w:val="0"/>
              <w:kinsoku/>
              <w:wordWrap/>
              <w:overflowPunct/>
              <w:topLinePunct w:val="0"/>
              <w:bidi w:val="0"/>
              <w:spacing w:line="360" w:lineRule="exact"/>
              <w:ind w:firstLine="0" w:firstLineChars="0"/>
              <w:jc w:val="center"/>
              <w:rPr>
                <w:rFonts w:hint="default" w:ascii="宋体" w:hAnsi="宋体" w:eastAsia="宋体" w:cs="宋体"/>
                <w:color w:val="auto"/>
                <w:kern w:val="2"/>
                <w:sz w:val="24"/>
                <w:szCs w:val="24"/>
                <w:highlight w:val="none"/>
                <w:lang w:val="en-US" w:eastAsia="zh-CN"/>
              </w:rPr>
            </w:pPr>
            <w:bookmarkStart w:id="7" w:name="_Toc536462752"/>
            <w:r>
              <w:rPr>
                <w:rFonts w:hint="eastAsia" w:ascii="宋体" w:hAnsi="宋体" w:eastAsia="宋体" w:cs="宋体"/>
                <w:color w:val="auto"/>
                <w:kern w:val="2"/>
                <w:sz w:val="24"/>
                <w:szCs w:val="24"/>
                <w:highlight w:val="none"/>
                <w:lang w:val="en-US" w:eastAsia="zh-CN"/>
              </w:rPr>
              <w:t>1</w:t>
            </w:r>
            <w:r>
              <w:rPr>
                <w:rFonts w:hint="eastAsia" w:ascii="宋体" w:hAnsi="宋体" w:cs="宋体"/>
                <w:color w:val="auto"/>
                <w:kern w:val="2"/>
                <w:sz w:val="24"/>
                <w:szCs w:val="24"/>
                <w:highlight w:val="none"/>
                <w:lang w:val="en-US" w:eastAsia="zh-CN"/>
              </w:rPr>
              <w:t>5</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079CC757">
            <w:pPr>
              <w:keepNext w:val="0"/>
              <w:keepLines w:val="0"/>
              <w:pageBreakBefore w:val="0"/>
              <w:kinsoku/>
              <w:wordWrap/>
              <w:overflowPunct/>
              <w:topLinePunct w:val="0"/>
              <w:bidi w:val="0"/>
              <w:spacing w:line="360" w:lineRule="exact"/>
              <w:ind w:firstLine="0" w:firstLine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snapToGrid w:val="0"/>
                <w:color w:val="auto"/>
                <w:kern w:val="0"/>
                <w:sz w:val="24"/>
                <w:szCs w:val="24"/>
                <w:highlight w:val="none"/>
              </w:rPr>
              <w:t>投标文件的编制</w:t>
            </w:r>
          </w:p>
        </w:tc>
        <w:tc>
          <w:tcPr>
            <w:tcW w:w="6886" w:type="dxa"/>
            <w:tcBorders>
              <w:top w:val="single" w:color="000000" w:sz="4" w:space="0"/>
              <w:left w:val="single" w:color="000000" w:sz="4" w:space="0"/>
              <w:bottom w:val="single" w:color="000000" w:sz="4" w:space="0"/>
              <w:right w:val="single" w:color="000000" w:sz="4" w:space="0"/>
            </w:tcBorders>
            <w:noWrap w:val="0"/>
            <w:vAlign w:val="center"/>
          </w:tcPr>
          <w:p w14:paraId="1702C095">
            <w:pPr>
              <w:keepNext w:val="0"/>
              <w:keepLines w:val="0"/>
              <w:pageBreakBefore w:val="0"/>
              <w:widowControl/>
              <w:kinsoku/>
              <w:wordWrap/>
              <w:overflowPunct/>
              <w:topLinePunct w:val="0"/>
              <w:bidi w:val="0"/>
              <w:adjustRightInd w:val="0"/>
              <w:snapToGrid w:val="0"/>
              <w:spacing w:line="360" w:lineRule="exact"/>
              <w:ind w:firstLine="0" w:firstLineChars="0"/>
              <w:jc w:val="left"/>
              <w:rPr>
                <w:rFonts w:hint="eastAsia" w:ascii="宋体" w:hAnsi="宋体" w:eastAsia="宋体" w:cs="宋体"/>
                <w:b/>
                <w:bCs/>
                <w:color w:val="auto"/>
                <w:kern w:val="2"/>
                <w:sz w:val="24"/>
                <w:szCs w:val="24"/>
                <w:highlight w:val="none"/>
              </w:rPr>
            </w:pPr>
            <w:r>
              <w:rPr>
                <w:rFonts w:hint="eastAsia" w:ascii="宋体" w:hAnsi="宋体" w:cs="宋体"/>
                <w:b/>
                <w:bCs/>
                <w:color w:val="auto"/>
                <w:kern w:val="2"/>
                <w:sz w:val="24"/>
                <w:szCs w:val="24"/>
                <w:highlight w:val="none"/>
                <w:lang w:val="en-US" w:eastAsia="zh-CN"/>
              </w:rPr>
              <w:t>账户开立项目</w:t>
            </w:r>
            <w:r>
              <w:rPr>
                <w:rFonts w:hint="eastAsia" w:ascii="宋体" w:hAnsi="宋体" w:eastAsia="宋体" w:cs="宋体"/>
                <w:b/>
                <w:bCs/>
                <w:color w:val="auto"/>
                <w:kern w:val="2"/>
                <w:sz w:val="24"/>
                <w:szCs w:val="24"/>
                <w:highlight w:val="none"/>
              </w:rPr>
              <w:t>操作指南内容如下：</w:t>
            </w:r>
          </w:p>
          <w:p w14:paraId="5E4113BB">
            <w:pPr>
              <w:keepNext w:val="0"/>
              <w:keepLines w:val="0"/>
              <w:pageBreakBefore w:val="0"/>
              <w:widowControl/>
              <w:kinsoku/>
              <w:wordWrap/>
              <w:overflowPunct/>
              <w:topLinePunct w:val="0"/>
              <w:bidi w:val="0"/>
              <w:adjustRightInd w:val="0"/>
              <w:snapToGrid w:val="0"/>
              <w:spacing w:line="360" w:lineRule="exact"/>
              <w:ind w:firstLine="0" w:firstLineChars="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1、岗位权限配置</w:t>
            </w:r>
          </w:p>
          <w:p w14:paraId="270AA654">
            <w:pPr>
              <w:keepNext w:val="0"/>
              <w:keepLines w:val="0"/>
              <w:pageBreakBefore w:val="0"/>
              <w:widowControl/>
              <w:kinsoku/>
              <w:wordWrap/>
              <w:overflowPunct/>
              <w:topLinePunct w:val="0"/>
              <w:bidi w:val="0"/>
              <w:adjustRightInd w:val="0"/>
              <w:snapToGrid w:val="0"/>
              <w:spacing w:line="360" w:lineRule="exact"/>
              <w:ind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为了避免页面存在兼容性问题，建议使用谷歌 Chrome 或 360 浏览器操作。</w:t>
            </w:r>
          </w:p>
          <w:p w14:paraId="4B73C7FE">
            <w:pPr>
              <w:keepNext w:val="0"/>
              <w:keepLines w:val="0"/>
              <w:pageBreakBefore w:val="0"/>
              <w:widowControl/>
              <w:kinsoku/>
              <w:wordWrap/>
              <w:overflowPunct/>
              <w:topLinePunct w:val="0"/>
              <w:bidi w:val="0"/>
              <w:spacing w:line="360" w:lineRule="exact"/>
              <w:ind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投标银行在操作公款竞争性存放的岗位以及权限说明。（岗位即代表功能权限，可操作菜单的权限，根据本单位的规定，勾选对应岗位权限）</w:t>
            </w:r>
          </w:p>
          <w:p w14:paraId="56264F04">
            <w:pPr>
              <w:keepNext w:val="0"/>
              <w:keepLines w:val="0"/>
              <w:pageBreakBefore w:val="0"/>
              <w:widowControl/>
              <w:kinsoku/>
              <w:wordWrap/>
              <w:overflowPunct/>
              <w:topLinePunct w:val="0"/>
              <w:bidi w:val="0"/>
              <w:spacing w:line="360" w:lineRule="exact"/>
              <w:ind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菜单路径：用户中心—系统管理—员工管理</w:t>
            </w:r>
          </w:p>
          <w:p w14:paraId="371E6B09">
            <w:pPr>
              <w:keepNext w:val="0"/>
              <w:keepLines w:val="0"/>
              <w:pageBreakBefore w:val="0"/>
              <w:widowControl/>
              <w:kinsoku/>
              <w:wordWrap/>
              <w:overflowPunct/>
              <w:topLinePunct w:val="0"/>
              <w:bidi w:val="0"/>
              <w:spacing w:line="360" w:lineRule="exact"/>
              <w:ind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1）在员工管理页面找到经办人员的信息，点击【更多】-【岗位】。</w:t>
            </w:r>
          </w:p>
          <w:p w14:paraId="441633BA">
            <w:pPr>
              <w:keepNext w:val="0"/>
              <w:keepLines w:val="0"/>
              <w:pageBreakBefore w:val="0"/>
              <w:widowControl/>
              <w:kinsoku/>
              <w:wordWrap/>
              <w:overflowPunct/>
              <w:topLinePunct w:val="0"/>
              <w:bidi w:val="0"/>
              <w:spacing w:line="360" w:lineRule="exact"/>
              <w:ind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2）在页面详情页点击【编辑】按钮。</w:t>
            </w:r>
          </w:p>
          <w:p w14:paraId="46739689">
            <w:pPr>
              <w:keepNext w:val="0"/>
              <w:keepLines w:val="0"/>
              <w:pageBreakBefore w:val="0"/>
              <w:widowControl/>
              <w:kinsoku/>
              <w:wordWrap/>
              <w:overflowPunct/>
              <w:topLinePunct w:val="0"/>
              <w:bidi w:val="0"/>
              <w:spacing w:line="360" w:lineRule="exact"/>
              <w:ind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3）勾选对应岗位所需要分配的功能，完成后点击【保存修改】。</w:t>
            </w:r>
          </w:p>
          <w:p w14:paraId="528B2006">
            <w:pPr>
              <w:keepNext w:val="0"/>
              <w:keepLines w:val="0"/>
              <w:pageBreakBefore w:val="0"/>
              <w:widowControl/>
              <w:kinsoku/>
              <w:wordWrap/>
              <w:overflowPunct/>
              <w:topLinePunct w:val="0"/>
              <w:bidi w:val="0"/>
              <w:spacing w:line="360" w:lineRule="exact"/>
              <w:ind w:firstLine="0" w:firstLineChars="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2、项目报名</w:t>
            </w:r>
          </w:p>
          <w:p w14:paraId="47784253">
            <w:pPr>
              <w:keepNext w:val="0"/>
              <w:keepLines w:val="0"/>
              <w:pageBreakBefore w:val="0"/>
              <w:widowControl/>
              <w:kinsoku/>
              <w:wordWrap/>
              <w:overflowPunct/>
              <w:topLinePunct w:val="0"/>
              <w:bidi w:val="0"/>
              <w:spacing w:line="360" w:lineRule="exact"/>
              <w:ind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招标代理机构发布招标公告后，符合报名要求的银行，可参与报名。菜单路径：用户中心—公款竞争性存放—竞标项目</w:t>
            </w:r>
          </w:p>
          <w:p w14:paraId="5772A485">
            <w:pPr>
              <w:keepNext w:val="0"/>
              <w:keepLines w:val="0"/>
              <w:pageBreakBefore w:val="0"/>
              <w:widowControl/>
              <w:kinsoku/>
              <w:wordWrap/>
              <w:overflowPunct/>
              <w:topLinePunct w:val="0"/>
              <w:bidi w:val="0"/>
              <w:spacing w:line="360" w:lineRule="exact"/>
              <w:ind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1）在“竞标项目-进行中”标签页下，选择状态为“未报名”的项目，点击操作栏【报名】按钮，进行报名。</w:t>
            </w:r>
          </w:p>
          <w:p w14:paraId="67C2A5DE">
            <w:pPr>
              <w:keepNext w:val="0"/>
              <w:keepLines w:val="0"/>
              <w:pageBreakBefore w:val="0"/>
              <w:widowControl/>
              <w:kinsoku/>
              <w:wordWrap/>
              <w:overflowPunct/>
              <w:topLinePunct w:val="0"/>
              <w:bidi w:val="0"/>
              <w:spacing w:line="360" w:lineRule="exact"/>
              <w:ind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2）进入报名信息页面，确认符合报名要求的银行，填写报名信息带“*”的为必填项。</w:t>
            </w:r>
          </w:p>
          <w:p w14:paraId="6523FCD7">
            <w:pPr>
              <w:keepNext w:val="0"/>
              <w:keepLines w:val="0"/>
              <w:pageBreakBefore w:val="0"/>
              <w:widowControl/>
              <w:kinsoku/>
              <w:wordWrap/>
              <w:overflowPunct/>
              <w:topLinePunct w:val="0"/>
              <w:bidi w:val="0"/>
              <w:spacing w:line="360" w:lineRule="exact"/>
              <w:ind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【填写注意事项】</w:t>
            </w:r>
          </w:p>
          <w:p w14:paraId="4D6F9852">
            <w:pPr>
              <w:keepNext w:val="0"/>
              <w:keepLines w:val="0"/>
              <w:pageBreakBefore w:val="0"/>
              <w:widowControl/>
              <w:kinsoku/>
              <w:wordWrap/>
              <w:overflowPunct/>
              <w:topLinePunct w:val="0"/>
              <w:bidi w:val="0"/>
              <w:spacing w:line="360" w:lineRule="exact"/>
              <w:ind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查看整个报名流程以及当前进度。</w:t>
            </w:r>
          </w:p>
          <w:p w14:paraId="5718B821">
            <w:pPr>
              <w:keepNext w:val="0"/>
              <w:keepLines w:val="0"/>
              <w:pageBreakBefore w:val="0"/>
              <w:widowControl/>
              <w:kinsoku/>
              <w:wordWrap/>
              <w:overflowPunct/>
              <w:topLinePunct w:val="0"/>
              <w:bidi w:val="0"/>
              <w:spacing w:line="360" w:lineRule="exact"/>
              <w:ind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点击【项目信息】，展开后查看项目信息中的基本信息、银行报名要求、开标评标时间地址。</w:t>
            </w:r>
          </w:p>
          <w:p w14:paraId="0983BDE8">
            <w:pPr>
              <w:keepNext w:val="0"/>
              <w:keepLines w:val="0"/>
              <w:pageBreakBefore w:val="0"/>
              <w:widowControl/>
              <w:kinsoku/>
              <w:wordWrap/>
              <w:overflowPunct/>
              <w:topLinePunct w:val="0"/>
              <w:bidi w:val="0"/>
              <w:spacing w:line="360" w:lineRule="exact"/>
              <w:ind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填写投标人基本信息。</w:t>
            </w:r>
          </w:p>
          <w:p w14:paraId="51B50AB0">
            <w:pPr>
              <w:keepNext w:val="0"/>
              <w:keepLines w:val="0"/>
              <w:pageBreakBefore w:val="0"/>
              <w:widowControl/>
              <w:kinsoku/>
              <w:wordWrap/>
              <w:overflowPunct/>
              <w:topLinePunct w:val="0"/>
              <w:bidi w:val="0"/>
              <w:spacing w:line="360" w:lineRule="exact"/>
              <w:ind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对该项目的报名要求进行响应，上传对应响应材料，响应材料请以PDF格式上传。</w:t>
            </w:r>
          </w:p>
          <w:p w14:paraId="315E67CF">
            <w:pPr>
              <w:keepNext w:val="0"/>
              <w:keepLines w:val="0"/>
              <w:pageBreakBefore w:val="0"/>
              <w:widowControl/>
              <w:kinsoku/>
              <w:wordWrap/>
              <w:overflowPunct/>
              <w:topLinePunct w:val="0"/>
              <w:bidi w:val="0"/>
              <w:spacing w:line="360" w:lineRule="exact"/>
              <w:ind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选择需要报名的标项，开启表示参与报名该标项，反之则不参与。对该标项的报名要求进行响应，上传对应响应材料，响应材料请以PDF格式上传。</w:t>
            </w:r>
          </w:p>
          <w:p w14:paraId="33B7679E">
            <w:pPr>
              <w:keepNext w:val="0"/>
              <w:keepLines w:val="0"/>
              <w:pageBreakBefore w:val="0"/>
              <w:widowControl/>
              <w:kinsoku/>
              <w:wordWrap/>
              <w:overflowPunct/>
              <w:topLinePunct w:val="0"/>
              <w:bidi w:val="0"/>
              <w:spacing w:line="360" w:lineRule="exact"/>
              <w:ind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如有相关附件可进行上传。</w:t>
            </w:r>
          </w:p>
          <w:p w14:paraId="75489A7B">
            <w:pPr>
              <w:keepNext w:val="0"/>
              <w:keepLines w:val="0"/>
              <w:pageBreakBefore w:val="0"/>
              <w:widowControl/>
              <w:kinsoku/>
              <w:wordWrap/>
              <w:overflowPunct/>
              <w:topLinePunct w:val="0"/>
              <w:bidi w:val="0"/>
              <w:spacing w:line="360" w:lineRule="exact"/>
              <w:ind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确认报名信息后，点击【保存】。</w:t>
            </w:r>
          </w:p>
          <w:p w14:paraId="3E428666">
            <w:pPr>
              <w:keepNext w:val="0"/>
              <w:keepLines w:val="0"/>
              <w:pageBreakBefore w:val="0"/>
              <w:widowControl/>
              <w:kinsoku/>
              <w:wordWrap/>
              <w:overflowPunct/>
              <w:topLinePunct w:val="0"/>
              <w:bidi w:val="0"/>
              <w:spacing w:line="360" w:lineRule="exact"/>
              <w:ind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3）弹框提示“网上报名提交确认与承诺”，确认报名，勾选“我同意以上承诺”，点击【继续】。</w:t>
            </w:r>
          </w:p>
          <w:p w14:paraId="2613DC72">
            <w:pPr>
              <w:keepNext w:val="0"/>
              <w:keepLines w:val="0"/>
              <w:pageBreakBefore w:val="0"/>
              <w:widowControl/>
              <w:kinsoku/>
              <w:wordWrap/>
              <w:overflowPunct/>
              <w:topLinePunct w:val="0"/>
              <w:bidi w:val="0"/>
              <w:spacing w:line="360" w:lineRule="exact"/>
              <w:ind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完成状态：在“竞标项目-进行中”标签页下显示状态为“报名审核中”，招标代理机构审核通过后，投标银行可进行投标；如审核不通过被退回，投标银行可根据招标代理机构的审核意见修改后再次提交。</w:t>
            </w:r>
          </w:p>
          <w:p w14:paraId="40437DC1">
            <w:pPr>
              <w:keepNext w:val="0"/>
              <w:keepLines w:val="0"/>
              <w:pageBreakBefore w:val="0"/>
              <w:widowControl/>
              <w:kinsoku/>
              <w:wordWrap/>
              <w:overflowPunct/>
              <w:topLinePunct w:val="0"/>
              <w:bidi w:val="0"/>
              <w:spacing w:line="360" w:lineRule="exact"/>
              <w:ind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【提示】如招标代理机构设置线上获取，报名后可获取招标文件。</w:t>
            </w:r>
          </w:p>
          <w:p w14:paraId="33FA53C9">
            <w:pPr>
              <w:keepNext w:val="0"/>
              <w:keepLines w:val="0"/>
              <w:pageBreakBefore w:val="0"/>
              <w:widowControl/>
              <w:kinsoku/>
              <w:wordWrap/>
              <w:overflowPunct/>
              <w:topLinePunct w:val="0"/>
              <w:bidi w:val="0"/>
              <w:spacing w:line="360" w:lineRule="exact"/>
              <w:ind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3、在线投标</w:t>
            </w:r>
          </w:p>
          <w:p w14:paraId="3E9C4ADF">
            <w:pPr>
              <w:keepNext w:val="0"/>
              <w:keepLines w:val="0"/>
              <w:pageBreakBefore w:val="0"/>
              <w:widowControl/>
              <w:kinsoku/>
              <w:wordWrap/>
              <w:overflowPunct/>
              <w:topLinePunct w:val="0"/>
              <w:bidi w:val="0"/>
              <w:spacing w:line="360" w:lineRule="exact"/>
              <w:ind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到达投标时间后，银行可通政采云平台进行投标。</w:t>
            </w:r>
          </w:p>
          <w:p w14:paraId="7A6F8C42">
            <w:pPr>
              <w:keepNext w:val="0"/>
              <w:keepLines w:val="0"/>
              <w:pageBreakBefore w:val="0"/>
              <w:widowControl/>
              <w:kinsoku/>
              <w:wordWrap/>
              <w:overflowPunct/>
              <w:topLinePunct w:val="0"/>
              <w:bidi w:val="0"/>
              <w:spacing w:line="360" w:lineRule="exact"/>
              <w:ind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【提示】投标和投标信息确认两个步骤操作时间共30分钟，银行务必在规定的30分钟内完成，否则视为投标逾期。</w:t>
            </w:r>
          </w:p>
          <w:p w14:paraId="5D9F2317">
            <w:pPr>
              <w:keepNext w:val="0"/>
              <w:keepLines w:val="0"/>
              <w:pageBreakBefore w:val="0"/>
              <w:widowControl/>
              <w:kinsoku/>
              <w:wordWrap/>
              <w:overflowPunct/>
              <w:topLinePunct w:val="0"/>
              <w:bidi w:val="0"/>
              <w:spacing w:line="360" w:lineRule="exact"/>
              <w:ind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菜单路径：用户中心—公款竞争性存放—竞标项目</w:t>
            </w:r>
          </w:p>
          <w:p w14:paraId="4FA9E9F4">
            <w:pPr>
              <w:keepNext w:val="0"/>
              <w:keepLines w:val="0"/>
              <w:pageBreakBefore w:val="0"/>
              <w:widowControl/>
              <w:kinsoku/>
              <w:wordWrap/>
              <w:overflowPunct/>
              <w:topLinePunct w:val="0"/>
              <w:bidi w:val="0"/>
              <w:spacing w:line="360" w:lineRule="exact"/>
              <w:ind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1）在“竞标项目-进行中”标签页下，选择状态为“待投标”的项目，点击操作栏【投标】按钮，进行投标。</w:t>
            </w:r>
          </w:p>
          <w:p w14:paraId="24A0194D">
            <w:pPr>
              <w:keepNext w:val="0"/>
              <w:keepLines w:val="0"/>
              <w:pageBreakBefore w:val="0"/>
              <w:widowControl/>
              <w:kinsoku/>
              <w:wordWrap/>
              <w:overflowPunct/>
              <w:topLinePunct w:val="0"/>
              <w:bidi w:val="0"/>
              <w:spacing w:line="360" w:lineRule="exact"/>
              <w:ind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2）为避免银行在30分钟内无法完成项目投标与投标信息确认，银行报名审核通过后，可先将投标信息维护好，并点击【保存】，暂存投标信息，项目到达投标时间后，只需提交投标信息以及确认投标信息。</w:t>
            </w:r>
          </w:p>
          <w:p w14:paraId="2C553BFB">
            <w:pPr>
              <w:keepNext w:val="0"/>
              <w:keepLines w:val="0"/>
              <w:pageBreakBefore w:val="0"/>
              <w:widowControl/>
              <w:kinsoku/>
              <w:wordWrap/>
              <w:overflowPunct/>
              <w:topLinePunct w:val="0"/>
              <w:bidi w:val="0"/>
              <w:spacing w:line="360" w:lineRule="exact"/>
              <w:ind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3）到达投标时间后，银行进入投标信息页面。</w:t>
            </w:r>
          </w:p>
          <w:p w14:paraId="59CEED3B">
            <w:pPr>
              <w:keepNext w:val="0"/>
              <w:keepLines w:val="0"/>
              <w:pageBreakBefore w:val="0"/>
              <w:widowControl/>
              <w:kinsoku/>
              <w:wordWrap/>
              <w:overflowPunct/>
              <w:topLinePunct w:val="0"/>
              <w:bidi w:val="0"/>
              <w:spacing w:line="360" w:lineRule="exact"/>
              <w:ind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【填写注意事项】</w:t>
            </w:r>
          </w:p>
          <w:p w14:paraId="693675E6">
            <w:pPr>
              <w:keepNext w:val="0"/>
              <w:keepLines w:val="0"/>
              <w:pageBreakBefore w:val="0"/>
              <w:widowControl/>
              <w:kinsoku/>
              <w:wordWrap/>
              <w:overflowPunct/>
              <w:topLinePunct w:val="0"/>
              <w:bidi w:val="0"/>
              <w:spacing w:line="360" w:lineRule="exact"/>
              <w:ind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注意投标结束时间。</w:t>
            </w:r>
          </w:p>
          <w:p w14:paraId="33383576">
            <w:pPr>
              <w:keepNext w:val="0"/>
              <w:keepLines w:val="0"/>
              <w:pageBreakBefore w:val="0"/>
              <w:widowControl/>
              <w:kinsoku/>
              <w:wordWrap/>
              <w:overflowPunct/>
              <w:topLinePunct w:val="0"/>
              <w:bidi w:val="0"/>
              <w:spacing w:line="360" w:lineRule="exact"/>
              <w:ind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选择对应的标项填写投标信息。</w:t>
            </w:r>
          </w:p>
          <w:p w14:paraId="37F2647B">
            <w:pPr>
              <w:keepNext w:val="0"/>
              <w:keepLines w:val="0"/>
              <w:pageBreakBefore w:val="0"/>
              <w:widowControl/>
              <w:kinsoku/>
              <w:wordWrap/>
              <w:overflowPunct/>
              <w:topLinePunct w:val="0"/>
              <w:bidi w:val="0"/>
              <w:spacing w:line="360" w:lineRule="exact"/>
              <w:ind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对各审查项进行响应，响应文件必须以 PDF 格式上传，对上传文件进行签章或纸质投标文件盖章并扫描上传。</w:t>
            </w:r>
          </w:p>
          <w:p w14:paraId="7C568663">
            <w:pPr>
              <w:keepNext w:val="0"/>
              <w:keepLines w:val="0"/>
              <w:pageBreakBefore w:val="0"/>
              <w:widowControl/>
              <w:kinsoku/>
              <w:wordWrap/>
              <w:overflowPunct/>
              <w:topLinePunct w:val="0"/>
              <w:bidi w:val="0"/>
              <w:spacing w:line="360" w:lineRule="exact"/>
              <w:ind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指标来源分为：财政部门提供、招标单位提供和银行投标三种。财政部门提供的指标由省厅录入，招标单位提供的指标由招标代理机构录入；银行投标的指标需在线进行响应。</w:t>
            </w:r>
          </w:p>
          <w:p w14:paraId="619AF87D">
            <w:pPr>
              <w:keepNext w:val="0"/>
              <w:keepLines w:val="0"/>
              <w:pageBreakBefore w:val="0"/>
              <w:widowControl/>
              <w:kinsoku/>
              <w:wordWrap/>
              <w:overflowPunct/>
              <w:topLinePunct w:val="0"/>
              <w:bidi w:val="0"/>
              <w:spacing w:line="360" w:lineRule="exact"/>
              <w:ind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主观分的响应内容，银行需以PDF文件形式进行响应，对上传文件进行签章或纸质投标文件盖章并扫描上传。</w:t>
            </w:r>
          </w:p>
          <w:p w14:paraId="3F0F5820">
            <w:pPr>
              <w:keepNext w:val="0"/>
              <w:keepLines w:val="0"/>
              <w:pageBreakBefore w:val="0"/>
              <w:widowControl/>
              <w:kinsoku/>
              <w:wordWrap/>
              <w:overflowPunct/>
              <w:topLinePunct w:val="0"/>
              <w:bidi w:val="0"/>
              <w:spacing w:line="360" w:lineRule="exact"/>
              <w:ind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客观分的响应内容银行可直接填写。</w:t>
            </w:r>
          </w:p>
          <w:p w14:paraId="1517A56C">
            <w:pPr>
              <w:keepNext w:val="0"/>
              <w:keepLines w:val="0"/>
              <w:pageBreakBefore w:val="0"/>
              <w:widowControl/>
              <w:kinsoku/>
              <w:wordWrap/>
              <w:overflowPunct/>
              <w:topLinePunct w:val="0"/>
              <w:bidi w:val="0"/>
              <w:spacing w:line="360" w:lineRule="exact"/>
              <w:ind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4）确认投标信息无误，点击右上角【提交】。</w:t>
            </w:r>
          </w:p>
          <w:p w14:paraId="3589F8F6">
            <w:pPr>
              <w:keepNext w:val="0"/>
              <w:keepLines w:val="0"/>
              <w:pageBreakBefore w:val="0"/>
              <w:widowControl/>
              <w:kinsoku/>
              <w:wordWrap/>
              <w:overflowPunct/>
              <w:topLinePunct w:val="0"/>
              <w:bidi w:val="0"/>
              <w:spacing w:line="360" w:lineRule="exact"/>
              <w:ind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5）在弹框里选择内部审核人员，点击【确定】。【提示】在投标截止时间前需完成投标确认，通过后才视为投标成功。</w:t>
            </w:r>
          </w:p>
          <w:p w14:paraId="2E0C7CD9">
            <w:pPr>
              <w:keepNext w:val="0"/>
              <w:keepLines w:val="0"/>
              <w:pageBreakBefore w:val="0"/>
              <w:widowControl/>
              <w:kinsoku/>
              <w:wordWrap/>
              <w:overflowPunct/>
              <w:topLinePunct w:val="0"/>
              <w:bidi w:val="0"/>
              <w:spacing w:line="360" w:lineRule="exact"/>
              <w:ind w:firstLine="0" w:firstLineChars="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4、投标信息确认</w:t>
            </w:r>
          </w:p>
          <w:p w14:paraId="31CF3999">
            <w:pPr>
              <w:keepNext w:val="0"/>
              <w:keepLines w:val="0"/>
              <w:pageBreakBefore w:val="0"/>
              <w:widowControl/>
              <w:kinsoku/>
              <w:wordWrap/>
              <w:overflowPunct/>
              <w:topLinePunct w:val="0"/>
              <w:bidi w:val="0"/>
              <w:spacing w:line="360" w:lineRule="exact"/>
              <w:ind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银行投标完成，需确认投标信息后才视为投标成功。</w:t>
            </w:r>
          </w:p>
          <w:p w14:paraId="1A4DC374">
            <w:pPr>
              <w:keepNext w:val="0"/>
              <w:keepLines w:val="0"/>
              <w:pageBreakBefore w:val="0"/>
              <w:widowControl/>
              <w:kinsoku/>
              <w:wordWrap/>
              <w:overflowPunct/>
              <w:topLinePunct w:val="0"/>
              <w:bidi w:val="0"/>
              <w:spacing w:line="360" w:lineRule="exact"/>
              <w:ind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【提示】投标和投标信息确认两步操作时间共30分钟，银行务必在规定的30分钟内完成，否则视为投标逾期。</w:t>
            </w:r>
          </w:p>
          <w:p w14:paraId="3EF1CB7C">
            <w:pPr>
              <w:keepNext w:val="0"/>
              <w:keepLines w:val="0"/>
              <w:pageBreakBefore w:val="0"/>
              <w:widowControl/>
              <w:kinsoku/>
              <w:wordWrap/>
              <w:overflowPunct/>
              <w:topLinePunct w:val="0"/>
              <w:bidi w:val="0"/>
              <w:spacing w:line="360" w:lineRule="exact"/>
              <w:ind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菜单路径：用户中心—公款竞争性存放—竞标项目</w:t>
            </w:r>
          </w:p>
          <w:p w14:paraId="6AF183CE">
            <w:pPr>
              <w:keepNext w:val="0"/>
              <w:keepLines w:val="0"/>
              <w:pageBreakBefore w:val="0"/>
              <w:widowControl/>
              <w:kinsoku/>
              <w:wordWrap/>
              <w:overflowPunct/>
              <w:topLinePunct w:val="0"/>
              <w:bidi w:val="0"/>
              <w:spacing w:line="360" w:lineRule="exact"/>
              <w:ind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1）在“竞标项目-进行中”标签页下，选择状态为“待确认”的项目，点击操作栏【确认】。</w:t>
            </w:r>
          </w:p>
          <w:p w14:paraId="03EB7FE3">
            <w:pPr>
              <w:keepNext w:val="0"/>
              <w:keepLines w:val="0"/>
              <w:pageBreakBefore w:val="0"/>
              <w:widowControl/>
              <w:kinsoku/>
              <w:wordWrap/>
              <w:overflowPunct/>
              <w:topLinePunct w:val="0"/>
              <w:bidi w:val="0"/>
              <w:spacing w:line="360" w:lineRule="exact"/>
              <w:ind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2）系统跳转至投标信息确认页面，查看对应标项投标信息。</w:t>
            </w:r>
          </w:p>
          <w:p w14:paraId="5132AE9E">
            <w:pPr>
              <w:keepNext w:val="0"/>
              <w:keepLines w:val="0"/>
              <w:pageBreakBefore w:val="0"/>
              <w:widowControl/>
              <w:kinsoku/>
              <w:wordWrap/>
              <w:overflowPunct/>
              <w:topLinePunct w:val="0"/>
              <w:bidi w:val="0"/>
              <w:spacing w:line="360" w:lineRule="exact"/>
              <w:ind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3）如确认投标信息无误后，点击右上角【确认】。</w:t>
            </w:r>
          </w:p>
          <w:p w14:paraId="072F525A">
            <w:pPr>
              <w:keepNext w:val="0"/>
              <w:keepLines w:val="0"/>
              <w:pageBreakBefore w:val="0"/>
              <w:widowControl/>
              <w:kinsoku/>
              <w:wordWrap/>
              <w:overflowPunct/>
              <w:topLinePunct w:val="0"/>
              <w:bidi w:val="0"/>
              <w:spacing w:line="360" w:lineRule="exact"/>
              <w:ind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4）在弹框里确认结果选择【同意】，投标成功。</w:t>
            </w:r>
          </w:p>
          <w:p w14:paraId="0B5E0957">
            <w:pPr>
              <w:keepNext w:val="0"/>
              <w:keepLines w:val="0"/>
              <w:pageBreakBefore w:val="0"/>
              <w:widowControl/>
              <w:kinsoku/>
              <w:wordWrap/>
              <w:overflowPunct/>
              <w:topLinePunct w:val="0"/>
              <w:bidi w:val="0"/>
              <w:spacing w:line="360" w:lineRule="exact"/>
              <w:ind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5）如对投标信息有异议，确认结果选择【不同意】并填写确认意见，回退至投标环节，修改信息。完成状态：银行投标成功后，在“竞标项目-进行中”标签页下显示状态为“待开标”。</w:t>
            </w:r>
          </w:p>
          <w:p w14:paraId="1BE71DD3">
            <w:pPr>
              <w:keepNext w:val="0"/>
              <w:keepLines w:val="0"/>
              <w:pageBreakBefore w:val="0"/>
              <w:widowControl/>
              <w:kinsoku/>
              <w:wordWrap/>
              <w:overflowPunct/>
              <w:topLinePunct w:val="0"/>
              <w:bidi w:val="0"/>
              <w:spacing w:line="360" w:lineRule="exact"/>
              <w:ind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【提示】在投标截止时间之前，银行可“撤回”投标，项目到达开标时间后，银行可点击“查看”，查看开标情况。</w:t>
            </w:r>
          </w:p>
          <w:p w14:paraId="489D5F9B">
            <w:pPr>
              <w:keepNext w:val="0"/>
              <w:keepLines w:val="0"/>
              <w:pageBreakBefore w:val="0"/>
              <w:widowControl/>
              <w:kinsoku/>
              <w:wordWrap/>
              <w:overflowPunct/>
              <w:topLinePunct w:val="0"/>
              <w:bidi w:val="0"/>
              <w:spacing w:line="360" w:lineRule="exact"/>
              <w:ind w:firstLine="0" w:firstLineChars="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5、查看开标结果</w:t>
            </w:r>
          </w:p>
          <w:p w14:paraId="1BDCE427">
            <w:pPr>
              <w:keepNext w:val="0"/>
              <w:keepLines w:val="0"/>
              <w:pageBreakBefore w:val="0"/>
              <w:widowControl/>
              <w:kinsoku/>
              <w:wordWrap/>
              <w:overflowPunct/>
              <w:topLinePunct w:val="0"/>
              <w:bidi w:val="0"/>
              <w:spacing w:line="360" w:lineRule="exact"/>
              <w:ind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开标结果出来后，投标银行可通过政采云平台查看投标结果。</w:t>
            </w:r>
          </w:p>
          <w:p w14:paraId="6AEDEA63">
            <w:pPr>
              <w:keepNext w:val="0"/>
              <w:keepLines w:val="0"/>
              <w:pageBreakBefore w:val="0"/>
              <w:widowControl/>
              <w:kinsoku/>
              <w:wordWrap/>
              <w:overflowPunct/>
              <w:topLinePunct w:val="0"/>
              <w:bidi w:val="0"/>
              <w:spacing w:line="360" w:lineRule="exact"/>
              <w:ind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菜单路径：用户中心—公款竞争性存放—竞标项目</w:t>
            </w:r>
          </w:p>
          <w:p w14:paraId="4DD55B3B">
            <w:pPr>
              <w:keepNext w:val="0"/>
              <w:keepLines w:val="0"/>
              <w:pageBreakBefore w:val="0"/>
              <w:widowControl/>
              <w:kinsoku/>
              <w:wordWrap/>
              <w:overflowPunct/>
              <w:topLinePunct w:val="0"/>
              <w:bidi w:val="0"/>
              <w:spacing w:line="360" w:lineRule="exact"/>
              <w:ind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1）在“竞标项目-全部”标签页下，可通过项目状态查看是否中标，如投标银行有中标，项目状态为“已中标”，反之，项目状态为“未中标”，点击右边操作栏【查看】按钮，查看开标结果。</w:t>
            </w:r>
          </w:p>
          <w:p w14:paraId="3C80F1E1">
            <w:pPr>
              <w:keepNext w:val="0"/>
              <w:keepLines w:val="0"/>
              <w:pageBreakBefore w:val="0"/>
              <w:kinsoku/>
              <w:wordWrap/>
              <w:overflowPunct/>
              <w:topLinePunct w:val="0"/>
              <w:bidi w:val="0"/>
              <w:spacing w:line="360" w:lineRule="exact"/>
              <w:ind w:firstLine="0" w:firstLine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2）在详情页，查看开标结果具体信息，如是中标单位，可点击右上角【查看中标公告】按钮，系统自动链接至浙江政府采购网查看公告信息</w:t>
            </w:r>
            <w:r>
              <w:rPr>
                <w:rFonts w:hint="eastAsia" w:ascii="宋体" w:hAnsi="宋体" w:eastAsia="宋体" w:cs="宋体"/>
                <w:color w:val="auto"/>
                <w:kern w:val="2"/>
                <w:sz w:val="24"/>
                <w:szCs w:val="24"/>
                <w:highlight w:val="none"/>
                <w:lang w:eastAsia="zh-CN"/>
              </w:rPr>
              <w:t>。</w:t>
            </w:r>
          </w:p>
        </w:tc>
      </w:tr>
      <w:tr w14:paraId="0F23E9F7">
        <w:tblPrEx>
          <w:tblCellMar>
            <w:top w:w="0" w:type="dxa"/>
            <w:left w:w="108" w:type="dxa"/>
            <w:bottom w:w="0" w:type="dxa"/>
            <w:right w:w="108" w:type="dxa"/>
          </w:tblCellMar>
        </w:tblPrEx>
        <w:trPr>
          <w:trHeight w:val="1185" w:hRule="atLeast"/>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497B5963">
            <w:pPr>
              <w:keepNext w:val="0"/>
              <w:keepLines w:val="0"/>
              <w:pageBreakBefore w:val="0"/>
              <w:kinsoku/>
              <w:wordWrap/>
              <w:overflowPunct/>
              <w:topLinePunct w:val="0"/>
              <w:bidi w:val="0"/>
              <w:spacing w:line="360" w:lineRule="exact"/>
              <w:ind w:firstLine="0" w:firstLineChars="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w:t>
            </w:r>
            <w:r>
              <w:rPr>
                <w:rFonts w:hint="eastAsia" w:ascii="宋体" w:hAnsi="宋体" w:cs="宋体"/>
                <w:color w:val="auto"/>
                <w:kern w:val="2"/>
                <w:sz w:val="24"/>
                <w:szCs w:val="24"/>
                <w:highlight w:val="none"/>
                <w:lang w:val="en-US" w:eastAsia="zh-CN"/>
              </w:rPr>
              <w:t>6</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4E31B602">
            <w:pPr>
              <w:keepNext w:val="0"/>
              <w:keepLines w:val="0"/>
              <w:pageBreakBefore w:val="0"/>
              <w:kinsoku/>
              <w:wordWrap/>
              <w:overflowPunct/>
              <w:topLinePunct w:val="0"/>
              <w:bidi w:val="0"/>
              <w:spacing w:line="360" w:lineRule="exact"/>
              <w:ind w:firstLine="0" w:firstLine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特别说明</w:t>
            </w:r>
          </w:p>
        </w:tc>
        <w:tc>
          <w:tcPr>
            <w:tcW w:w="6886" w:type="dxa"/>
            <w:tcBorders>
              <w:top w:val="single" w:color="000000" w:sz="4" w:space="0"/>
              <w:left w:val="single" w:color="000000" w:sz="4" w:space="0"/>
              <w:bottom w:val="single" w:color="000000" w:sz="4" w:space="0"/>
              <w:right w:val="single" w:color="000000" w:sz="4" w:space="0"/>
            </w:tcBorders>
            <w:noWrap w:val="0"/>
            <w:vAlign w:val="center"/>
          </w:tcPr>
          <w:p w14:paraId="1BBE6A17">
            <w:pPr>
              <w:keepNext w:val="0"/>
              <w:keepLines w:val="0"/>
              <w:pageBreakBefore w:val="0"/>
              <w:kinsoku/>
              <w:wordWrap/>
              <w:overflowPunct/>
              <w:topLinePunct w:val="0"/>
              <w:bidi w:val="0"/>
              <w:spacing w:line="360" w:lineRule="exact"/>
              <w:ind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关于电子投标的特别说明：</w:t>
            </w:r>
          </w:p>
          <w:p w14:paraId="2BB678B3">
            <w:pPr>
              <w:keepNext w:val="0"/>
              <w:keepLines w:val="0"/>
              <w:pageBreakBefore w:val="0"/>
              <w:kinsoku/>
              <w:wordWrap/>
              <w:overflowPunct/>
              <w:topLinePunct w:val="0"/>
              <w:bidi w:val="0"/>
              <w:spacing w:line="360" w:lineRule="exact"/>
              <w:ind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本文件中规定的程序与政采云系统程序有出入的，一律以政采云系统中的程序为准。</w:t>
            </w:r>
          </w:p>
        </w:tc>
      </w:tr>
      <w:tr w14:paraId="2146D7EF">
        <w:tblPrEx>
          <w:tblCellMar>
            <w:top w:w="0" w:type="dxa"/>
            <w:left w:w="108" w:type="dxa"/>
            <w:bottom w:w="0" w:type="dxa"/>
            <w:right w:w="108" w:type="dxa"/>
          </w:tblCellMar>
        </w:tblPrEx>
        <w:trPr>
          <w:trHeight w:val="609" w:hRule="atLeast"/>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25880F93">
            <w:pPr>
              <w:keepNext w:val="0"/>
              <w:keepLines w:val="0"/>
              <w:pageBreakBefore w:val="0"/>
              <w:kinsoku/>
              <w:wordWrap/>
              <w:overflowPunct/>
              <w:topLinePunct w:val="0"/>
              <w:bidi w:val="0"/>
              <w:spacing w:line="360" w:lineRule="exact"/>
              <w:ind w:firstLine="0" w:firstLineChars="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w:t>
            </w:r>
            <w:r>
              <w:rPr>
                <w:rFonts w:hint="eastAsia" w:ascii="宋体" w:hAnsi="宋体" w:cs="宋体"/>
                <w:color w:val="auto"/>
                <w:kern w:val="2"/>
                <w:sz w:val="24"/>
                <w:szCs w:val="24"/>
                <w:highlight w:val="none"/>
                <w:lang w:val="en-US" w:eastAsia="zh-CN"/>
              </w:rPr>
              <w:t>7</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0E6CE8FF">
            <w:pPr>
              <w:keepNext w:val="0"/>
              <w:keepLines w:val="0"/>
              <w:pageBreakBefore w:val="0"/>
              <w:kinsoku/>
              <w:wordWrap/>
              <w:overflowPunct/>
              <w:topLinePunct w:val="0"/>
              <w:bidi w:val="0"/>
              <w:spacing w:line="360" w:lineRule="exact"/>
              <w:ind w:firstLine="0" w:firstLineChars="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其他</w:t>
            </w:r>
          </w:p>
        </w:tc>
        <w:tc>
          <w:tcPr>
            <w:tcW w:w="6886" w:type="dxa"/>
            <w:tcBorders>
              <w:top w:val="single" w:color="000000" w:sz="4" w:space="0"/>
              <w:left w:val="single" w:color="000000" w:sz="4" w:space="0"/>
              <w:bottom w:val="single" w:color="000000" w:sz="4" w:space="0"/>
              <w:right w:val="single" w:color="000000" w:sz="4" w:space="0"/>
            </w:tcBorders>
            <w:noWrap w:val="0"/>
            <w:vAlign w:val="center"/>
          </w:tcPr>
          <w:p w14:paraId="1E019BBB">
            <w:pPr>
              <w:keepNext w:val="0"/>
              <w:keepLines w:val="0"/>
              <w:pageBreakBefore w:val="0"/>
              <w:kinsoku/>
              <w:wordWrap/>
              <w:overflowPunct/>
              <w:topLinePunct w:val="0"/>
              <w:bidi w:val="0"/>
              <w:spacing w:line="360" w:lineRule="exact"/>
              <w:ind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存放银行出现以下情形之一的，行政事业单位应及时收回</w:t>
            </w:r>
            <w:r>
              <w:rPr>
                <w:rFonts w:hint="eastAsia" w:ascii="宋体" w:hAnsi="宋体" w:cs="宋体"/>
                <w:color w:val="auto"/>
                <w:kern w:val="2"/>
                <w:sz w:val="24"/>
                <w:szCs w:val="24"/>
                <w:highlight w:val="none"/>
                <w:lang w:val="en-US" w:eastAsia="zh-CN"/>
              </w:rPr>
              <w:t>协定</w:t>
            </w:r>
            <w:r>
              <w:rPr>
                <w:rFonts w:hint="eastAsia" w:ascii="宋体" w:hAnsi="宋体" w:eastAsia="宋体" w:cs="宋体"/>
                <w:color w:val="auto"/>
                <w:kern w:val="2"/>
                <w:sz w:val="24"/>
                <w:szCs w:val="24"/>
                <w:highlight w:val="none"/>
              </w:rPr>
              <w:t>存款，并有权拒绝其在以后2年内参与本单位</w:t>
            </w:r>
            <w:r>
              <w:rPr>
                <w:rFonts w:hint="eastAsia" w:ascii="宋体" w:hAnsi="宋体" w:cs="宋体"/>
                <w:color w:val="auto"/>
                <w:kern w:val="2"/>
                <w:sz w:val="24"/>
                <w:szCs w:val="24"/>
                <w:highlight w:val="none"/>
                <w:lang w:val="en-US" w:eastAsia="zh-CN"/>
              </w:rPr>
              <w:t>账户开立项目</w:t>
            </w:r>
            <w:r>
              <w:rPr>
                <w:rFonts w:hint="eastAsia" w:ascii="宋体" w:hAnsi="宋体" w:eastAsia="宋体" w:cs="宋体"/>
                <w:color w:val="auto"/>
                <w:kern w:val="2"/>
                <w:sz w:val="24"/>
                <w:szCs w:val="24"/>
                <w:highlight w:val="none"/>
              </w:rPr>
              <w:t>：</w:t>
            </w:r>
          </w:p>
          <w:p w14:paraId="2EDF55CF">
            <w:pPr>
              <w:keepNext w:val="0"/>
              <w:keepLines w:val="0"/>
              <w:pageBreakBefore w:val="0"/>
              <w:kinsoku/>
              <w:wordWrap/>
              <w:overflowPunct/>
              <w:topLinePunct w:val="0"/>
              <w:bidi w:val="0"/>
              <w:spacing w:line="360" w:lineRule="exact"/>
              <w:ind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（一）出现资金安全事故、重大违法违规情况或财务状况恶化的；</w:t>
            </w:r>
          </w:p>
          <w:p w14:paraId="2CBDD1AF">
            <w:pPr>
              <w:keepNext w:val="0"/>
              <w:keepLines w:val="0"/>
              <w:pageBreakBefore w:val="0"/>
              <w:kinsoku/>
              <w:wordWrap/>
              <w:overflowPunct/>
              <w:topLinePunct w:val="0"/>
              <w:bidi w:val="0"/>
              <w:spacing w:line="360" w:lineRule="exact"/>
              <w:ind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（二）人民银行综合评价等级降低后低于</w:t>
            </w:r>
            <w:r>
              <w:rPr>
                <w:rFonts w:hint="eastAsia" w:ascii="宋体" w:hAnsi="宋体" w:eastAsia="宋体" w:cs="宋体"/>
                <w:bCs/>
                <w:color w:val="auto"/>
                <w:kern w:val="2"/>
                <w:sz w:val="24"/>
                <w:szCs w:val="24"/>
                <w:highlight w:val="none"/>
              </w:rPr>
              <w:t>嵊政办发〔2022〕</w:t>
            </w:r>
            <w:r>
              <w:rPr>
                <w:rFonts w:hint="eastAsia" w:ascii="宋体" w:hAnsi="宋体" w:eastAsia="宋体" w:cs="宋体"/>
                <w:bCs/>
                <w:color w:val="auto"/>
                <w:kern w:val="2"/>
                <w:sz w:val="24"/>
                <w:szCs w:val="24"/>
                <w:highlight w:val="none"/>
                <w:lang w:val="en-US" w:eastAsia="zh-CN"/>
              </w:rPr>
              <w:t>134</w:t>
            </w:r>
            <w:r>
              <w:rPr>
                <w:rFonts w:hint="eastAsia" w:ascii="宋体" w:hAnsi="宋体" w:eastAsia="宋体" w:cs="宋体"/>
                <w:bCs/>
                <w:color w:val="auto"/>
                <w:kern w:val="2"/>
                <w:sz w:val="24"/>
                <w:szCs w:val="24"/>
                <w:highlight w:val="none"/>
              </w:rPr>
              <w:t>号</w:t>
            </w:r>
            <w:r>
              <w:rPr>
                <w:rFonts w:hint="eastAsia" w:ascii="宋体" w:hAnsi="宋体" w:eastAsia="宋体" w:cs="宋体"/>
                <w:color w:val="auto"/>
                <w:kern w:val="2"/>
                <w:sz w:val="24"/>
                <w:szCs w:val="24"/>
                <w:highlight w:val="none"/>
              </w:rPr>
              <w:t>第十四点明确标准，监管部门认为存在较大运营风险的；</w:t>
            </w:r>
          </w:p>
          <w:p w14:paraId="367B1FEF">
            <w:pPr>
              <w:keepNext w:val="0"/>
              <w:keepLines w:val="0"/>
              <w:pageBreakBefore w:val="0"/>
              <w:kinsoku/>
              <w:wordWrap/>
              <w:overflowPunct/>
              <w:topLinePunct w:val="0"/>
              <w:bidi w:val="0"/>
              <w:spacing w:line="360" w:lineRule="exact"/>
              <w:ind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（三）进行不正当投标的；</w:t>
            </w:r>
          </w:p>
          <w:p w14:paraId="6DAD2F3A">
            <w:pPr>
              <w:keepNext w:val="0"/>
              <w:keepLines w:val="0"/>
              <w:pageBreakBefore w:val="0"/>
              <w:kinsoku/>
              <w:wordWrap/>
              <w:overflowPunct/>
              <w:topLinePunct w:val="0"/>
              <w:bidi w:val="0"/>
              <w:spacing w:line="360" w:lineRule="exact"/>
              <w:ind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（四）没有按照中标协议承诺履行相应的责任和义务的；</w:t>
            </w:r>
          </w:p>
          <w:p w14:paraId="0EE221A8">
            <w:pPr>
              <w:keepNext w:val="0"/>
              <w:keepLines w:val="0"/>
              <w:pageBreakBefore w:val="0"/>
              <w:kinsoku/>
              <w:wordWrap/>
              <w:overflowPunct/>
              <w:topLinePunct w:val="0"/>
              <w:bidi w:val="0"/>
              <w:spacing w:line="360" w:lineRule="exact"/>
              <w:ind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（五）不能按规定将到期存款本息足额缴入单位账户的；</w:t>
            </w:r>
          </w:p>
          <w:p w14:paraId="0E6723AD">
            <w:pPr>
              <w:keepNext w:val="0"/>
              <w:keepLines w:val="0"/>
              <w:pageBreakBefore w:val="0"/>
              <w:kinsoku/>
              <w:wordWrap/>
              <w:overflowPunct/>
              <w:topLinePunct w:val="0"/>
              <w:bidi w:val="0"/>
              <w:spacing w:line="360" w:lineRule="exact"/>
              <w:ind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（六）存在其他妨害资金安全行为的。</w:t>
            </w:r>
          </w:p>
        </w:tc>
      </w:tr>
    </w:tbl>
    <w:p w14:paraId="474588D2">
      <w:pPr>
        <w:pStyle w:val="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firstLine="482" w:firstLineChars="200"/>
        <w:textAlignment w:val="auto"/>
        <w:outlineLvl w:val="1"/>
        <w:rPr>
          <w:rFonts w:hint="eastAsia" w:cs="宋体"/>
          <w:b/>
          <w:color w:val="auto"/>
          <w:highlight w:val="none"/>
        </w:rPr>
      </w:pPr>
      <w:bookmarkStart w:id="8" w:name="_Toc330215254"/>
      <w:bookmarkEnd w:id="8"/>
      <w:bookmarkStart w:id="9" w:name="_Toc381971526"/>
      <w:bookmarkEnd w:id="9"/>
      <w:bookmarkStart w:id="10" w:name="_Toc330215452"/>
      <w:bookmarkEnd w:id="10"/>
      <w:bookmarkStart w:id="11" w:name="_Toc330212058"/>
      <w:bookmarkEnd w:id="11"/>
      <w:bookmarkStart w:id="12" w:name="_Toc446245354"/>
      <w:bookmarkEnd w:id="12"/>
      <w:bookmarkStart w:id="13" w:name="_Toc330214699"/>
      <w:bookmarkEnd w:id="13"/>
      <w:bookmarkStart w:id="14" w:name="_Toc330214827"/>
      <w:bookmarkEnd w:id="14"/>
      <w:r>
        <w:rPr>
          <w:rFonts w:hint="eastAsia" w:cs="宋体"/>
          <w:b/>
          <w:color w:val="auto"/>
          <w:highlight w:val="none"/>
        </w:rPr>
        <w:t>一、总  则</w:t>
      </w:r>
      <w:bookmarkEnd w:id="7"/>
    </w:p>
    <w:p w14:paraId="3FD9B2EA">
      <w:pPr>
        <w:keepNext w:val="0"/>
        <w:keepLines w:val="0"/>
        <w:pageBreakBefore w:val="0"/>
        <w:widowControl w:val="0"/>
        <w:kinsoku/>
        <w:wordWrap/>
        <w:overflowPunct/>
        <w:topLinePunct w:val="0"/>
        <w:autoSpaceDE/>
        <w:autoSpaceDN/>
        <w:bidi w:val="0"/>
        <w:spacing w:line="460" w:lineRule="exact"/>
        <w:ind w:firstLine="482" w:firstLineChars="200"/>
        <w:jc w:val="left"/>
        <w:textAlignment w:val="auto"/>
        <w:outlineLvl w:val="2"/>
        <w:rPr>
          <w:rFonts w:hint="eastAsia" w:ascii="宋体" w:hAnsi="宋体" w:cs="宋体"/>
          <w:b/>
          <w:color w:val="auto"/>
          <w:kern w:val="2"/>
          <w:sz w:val="24"/>
          <w:highlight w:val="none"/>
        </w:rPr>
      </w:pPr>
      <w:bookmarkStart w:id="15" w:name="_Toc330214700"/>
      <w:bookmarkEnd w:id="15"/>
      <w:bookmarkStart w:id="16" w:name="_Toc330214828"/>
      <w:bookmarkEnd w:id="16"/>
      <w:bookmarkStart w:id="17" w:name="_Toc330212059"/>
      <w:bookmarkEnd w:id="17"/>
      <w:bookmarkStart w:id="18" w:name="_Toc446245355"/>
      <w:bookmarkEnd w:id="18"/>
      <w:bookmarkStart w:id="19" w:name="_Toc330215453"/>
      <w:bookmarkEnd w:id="19"/>
      <w:bookmarkStart w:id="20" w:name="_Toc381971527"/>
      <w:bookmarkEnd w:id="20"/>
      <w:bookmarkStart w:id="21" w:name="_Toc330215255"/>
      <w:bookmarkEnd w:id="21"/>
      <w:r>
        <w:rPr>
          <w:rFonts w:hint="eastAsia" w:ascii="宋体" w:hAnsi="宋体" w:cs="宋体"/>
          <w:b/>
          <w:color w:val="auto"/>
          <w:kern w:val="2"/>
          <w:sz w:val="24"/>
          <w:highlight w:val="none"/>
        </w:rPr>
        <w:t>（一） 适用范围</w:t>
      </w:r>
    </w:p>
    <w:p w14:paraId="2B7CBACE">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cs="宋体"/>
          <w:color w:val="auto"/>
          <w:kern w:val="2"/>
          <w:sz w:val="24"/>
          <w:highlight w:val="none"/>
        </w:rPr>
      </w:pPr>
      <w:r>
        <w:rPr>
          <w:rFonts w:hint="eastAsia" w:ascii="宋体" w:hAnsi="宋体" w:cs="宋体"/>
          <w:color w:val="auto"/>
          <w:kern w:val="2"/>
          <w:sz w:val="24"/>
          <w:highlight w:val="none"/>
        </w:rPr>
        <w:t>仅适用于本次招标文件中采购项目的的招标、投标、评标、定标、验收、合同履约、付款等行为（法律、法规另有规定的，从其规定）。</w:t>
      </w:r>
    </w:p>
    <w:p w14:paraId="36BAFD16">
      <w:pPr>
        <w:keepNext w:val="0"/>
        <w:keepLines w:val="0"/>
        <w:pageBreakBefore w:val="0"/>
        <w:widowControl w:val="0"/>
        <w:kinsoku/>
        <w:wordWrap/>
        <w:overflowPunct/>
        <w:topLinePunct w:val="0"/>
        <w:autoSpaceDE/>
        <w:autoSpaceDN/>
        <w:bidi w:val="0"/>
        <w:spacing w:line="460" w:lineRule="exact"/>
        <w:ind w:firstLine="482" w:firstLineChars="200"/>
        <w:jc w:val="left"/>
        <w:textAlignment w:val="auto"/>
        <w:outlineLvl w:val="2"/>
        <w:rPr>
          <w:rFonts w:hint="eastAsia" w:ascii="宋体" w:hAnsi="宋体" w:cs="宋体"/>
          <w:b/>
          <w:color w:val="auto"/>
          <w:kern w:val="2"/>
          <w:sz w:val="24"/>
          <w:highlight w:val="none"/>
        </w:rPr>
      </w:pPr>
      <w:bookmarkStart w:id="22" w:name="_Toc330215256"/>
      <w:bookmarkEnd w:id="22"/>
      <w:bookmarkStart w:id="23" w:name="_Toc330214701"/>
      <w:bookmarkEnd w:id="23"/>
      <w:bookmarkStart w:id="24" w:name="_Toc330214829"/>
      <w:bookmarkEnd w:id="24"/>
      <w:bookmarkStart w:id="25" w:name="_Toc330215454"/>
      <w:bookmarkEnd w:id="25"/>
      <w:bookmarkStart w:id="26" w:name="_Toc330212060"/>
      <w:bookmarkEnd w:id="26"/>
      <w:bookmarkStart w:id="27" w:name="_Toc446245356"/>
      <w:bookmarkEnd w:id="27"/>
      <w:bookmarkStart w:id="28" w:name="_Toc381971528"/>
      <w:bookmarkEnd w:id="28"/>
      <w:r>
        <w:rPr>
          <w:rFonts w:hint="eastAsia" w:ascii="宋体" w:hAnsi="宋体" w:cs="宋体"/>
          <w:b/>
          <w:color w:val="auto"/>
          <w:kern w:val="2"/>
          <w:sz w:val="24"/>
          <w:highlight w:val="none"/>
        </w:rPr>
        <w:t>（二）定义</w:t>
      </w:r>
    </w:p>
    <w:p w14:paraId="355761FD">
      <w:pPr>
        <w:keepNext w:val="0"/>
        <w:keepLines w:val="0"/>
        <w:pageBreakBefore w:val="0"/>
        <w:widowControl w:val="0"/>
        <w:kinsoku/>
        <w:wordWrap/>
        <w:overflowPunct/>
        <w:topLinePunct w:val="0"/>
        <w:autoSpaceDE/>
        <w:autoSpaceDN/>
        <w:bidi w:val="0"/>
        <w:snapToGrid w:val="0"/>
        <w:spacing w:line="460" w:lineRule="exact"/>
        <w:ind w:firstLine="480" w:firstLineChars="200"/>
        <w:jc w:val="left"/>
        <w:textAlignment w:val="auto"/>
        <w:rPr>
          <w:rFonts w:hint="eastAsia" w:ascii="宋体" w:hAnsi="宋体"/>
          <w:color w:val="auto"/>
          <w:sz w:val="24"/>
          <w:highlight w:val="none"/>
        </w:rPr>
      </w:pPr>
      <w:bookmarkStart w:id="29" w:name="_Toc330212063"/>
      <w:bookmarkEnd w:id="29"/>
      <w:bookmarkStart w:id="30" w:name="_Toc330215457"/>
      <w:bookmarkEnd w:id="30"/>
      <w:bookmarkStart w:id="31" w:name="_Toc330214704"/>
      <w:bookmarkEnd w:id="31"/>
      <w:bookmarkStart w:id="32" w:name="_Toc381971531"/>
      <w:bookmarkEnd w:id="32"/>
      <w:bookmarkStart w:id="33" w:name="_Toc446245359"/>
      <w:bookmarkEnd w:id="33"/>
      <w:bookmarkStart w:id="34" w:name="_Toc330215259"/>
      <w:bookmarkEnd w:id="34"/>
      <w:bookmarkStart w:id="35" w:name="_Toc330214832"/>
      <w:bookmarkEnd w:id="35"/>
      <w:r>
        <w:rPr>
          <w:rFonts w:hint="eastAsia" w:ascii="宋体" w:hAnsi="宋体" w:cs="Arial"/>
          <w:color w:val="auto"/>
          <w:sz w:val="24"/>
          <w:highlight w:val="none"/>
        </w:rPr>
        <w:t>1.</w:t>
      </w:r>
      <w:r>
        <w:rPr>
          <w:rFonts w:hint="eastAsia" w:ascii="宋体" w:hAnsi="宋体"/>
          <w:color w:val="auto"/>
          <w:sz w:val="24"/>
          <w:highlight w:val="none"/>
        </w:rPr>
        <w:t>“招标人”系指组织本次招标的招标单位(或采购人/采购单位)。</w:t>
      </w:r>
    </w:p>
    <w:p w14:paraId="42B44592">
      <w:pPr>
        <w:keepNext w:val="0"/>
        <w:keepLines w:val="0"/>
        <w:pageBreakBefore w:val="0"/>
        <w:widowControl w:val="0"/>
        <w:kinsoku/>
        <w:wordWrap/>
        <w:overflowPunct/>
        <w:topLinePunct w:val="0"/>
        <w:autoSpaceDE/>
        <w:autoSpaceDN/>
        <w:bidi w:val="0"/>
        <w:snapToGrid w:val="0"/>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2.“投标人”系</w:t>
      </w:r>
      <w:r>
        <w:rPr>
          <w:rFonts w:ascii="宋体" w:hAnsi="宋体"/>
          <w:color w:val="auto"/>
          <w:sz w:val="24"/>
          <w:highlight w:val="none"/>
        </w:rPr>
        <w:t>指响应本次招标的投标银行</w:t>
      </w:r>
      <w:r>
        <w:rPr>
          <w:rFonts w:hint="eastAsia" w:ascii="宋体" w:hAnsi="宋体"/>
          <w:color w:val="auto"/>
          <w:sz w:val="24"/>
          <w:highlight w:val="none"/>
        </w:rPr>
        <w:t>。</w:t>
      </w:r>
    </w:p>
    <w:p w14:paraId="006E9806">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cs="Arial"/>
          <w:color w:val="auto"/>
          <w:sz w:val="24"/>
          <w:highlight w:val="none"/>
        </w:rPr>
      </w:pPr>
      <w:r>
        <w:rPr>
          <w:rFonts w:hint="eastAsia" w:ascii="宋体" w:hAnsi="宋体" w:cs="Arial"/>
          <w:color w:val="auto"/>
          <w:sz w:val="24"/>
          <w:highlight w:val="none"/>
        </w:rPr>
        <w:t>3.“产品”系指供方按招标文件规定，须向采购人提供的一切设备、保险、税金、备品备件、工具、手册及其它有关技术资料和材料。</w:t>
      </w:r>
    </w:p>
    <w:p w14:paraId="62E02AF0">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cs="Arial"/>
          <w:color w:val="auto"/>
          <w:sz w:val="24"/>
          <w:highlight w:val="none"/>
        </w:rPr>
      </w:pPr>
      <w:r>
        <w:rPr>
          <w:rFonts w:hint="eastAsia" w:ascii="宋体" w:hAnsi="宋体" w:cs="Arial"/>
          <w:color w:val="auto"/>
          <w:sz w:val="24"/>
          <w:highlight w:val="none"/>
        </w:rPr>
        <w:t>4.“服务”系指</w:t>
      </w:r>
      <w:r>
        <w:rPr>
          <w:rFonts w:ascii="宋体" w:hAnsi="宋体"/>
          <w:color w:val="auto"/>
          <w:sz w:val="24"/>
          <w:highlight w:val="none"/>
        </w:rPr>
        <w:t>招标文件规定投标人须提供的利息支付及相关服务的义务</w:t>
      </w:r>
      <w:r>
        <w:rPr>
          <w:rFonts w:hint="eastAsia" w:ascii="宋体" w:hAnsi="宋体" w:cs="Arial"/>
          <w:color w:val="auto"/>
          <w:sz w:val="24"/>
          <w:highlight w:val="none"/>
        </w:rPr>
        <w:t>。</w:t>
      </w:r>
    </w:p>
    <w:p w14:paraId="620169C4">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cs="Arial"/>
          <w:color w:val="auto"/>
          <w:sz w:val="24"/>
          <w:highlight w:val="none"/>
        </w:rPr>
      </w:pPr>
      <w:r>
        <w:rPr>
          <w:rFonts w:hint="eastAsia" w:ascii="宋体" w:hAnsi="宋体" w:cs="Arial"/>
          <w:color w:val="auto"/>
          <w:sz w:val="24"/>
          <w:highlight w:val="none"/>
        </w:rPr>
        <w:t>5.“项目”系指投标人按招标文件规定向采购人提供的产品和服务。</w:t>
      </w:r>
    </w:p>
    <w:p w14:paraId="2E87CB00">
      <w:pPr>
        <w:keepNext w:val="0"/>
        <w:keepLines w:val="0"/>
        <w:pageBreakBefore w:val="0"/>
        <w:widowControl w:val="0"/>
        <w:kinsoku/>
        <w:wordWrap/>
        <w:overflowPunct/>
        <w:topLinePunct w:val="0"/>
        <w:autoSpaceDE/>
        <w:autoSpaceDN/>
        <w:bidi w:val="0"/>
        <w:spacing w:line="460" w:lineRule="exact"/>
        <w:ind w:firstLine="482" w:firstLineChars="200"/>
        <w:jc w:val="left"/>
        <w:textAlignment w:val="auto"/>
        <w:outlineLvl w:val="1"/>
        <w:rPr>
          <w:rFonts w:hint="eastAsia" w:ascii="宋体" w:hAnsi="宋体" w:cs="宋体"/>
          <w:b/>
          <w:color w:val="auto"/>
          <w:kern w:val="2"/>
          <w:sz w:val="24"/>
          <w:szCs w:val="20"/>
          <w:highlight w:val="none"/>
        </w:rPr>
      </w:pPr>
      <w:bookmarkStart w:id="36" w:name="_Toc536462753"/>
      <w:r>
        <w:rPr>
          <w:rFonts w:hint="eastAsia" w:ascii="宋体" w:hAnsi="宋体" w:cs="宋体"/>
          <w:b/>
          <w:color w:val="auto"/>
          <w:kern w:val="2"/>
          <w:sz w:val="24"/>
          <w:highlight w:val="none"/>
        </w:rPr>
        <w:t>（三）招标方式</w:t>
      </w:r>
      <w:bookmarkEnd w:id="36"/>
    </w:p>
    <w:p w14:paraId="5E883182">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eastAsia" w:ascii="宋体" w:hAnsi="宋体" w:cs="宋体"/>
          <w:color w:val="auto"/>
          <w:kern w:val="2"/>
          <w:sz w:val="24"/>
          <w:szCs w:val="20"/>
          <w:highlight w:val="none"/>
        </w:rPr>
      </w:pPr>
      <w:r>
        <w:rPr>
          <w:rFonts w:hint="eastAsia" w:ascii="宋体" w:hAnsi="宋体" w:cs="宋体"/>
          <w:color w:val="auto"/>
          <w:kern w:val="2"/>
          <w:sz w:val="24"/>
          <w:highlight w:val="none"/>
        </w:rPr>
        <w:t>本次招标采用公开招标方式进行。</w:t>
      </w:r>
    </w:p>
    <w:p w14:paraId="2FA3500F">
      <w:pPr>
        <w:keepNext w:val="0"/>
        <w:keepLines w:val="0"/>
        <w:pageBreakBefore w:val="0"/>
        <w:widowControl w:val="0"/>
        <w:kinsoku/>
        <w:wordWrap/>
        <w:overflowPunct/>
        <w:topLinePunct w:val="0"/>
        <w:autoSpaceDE/>
        <w:autoSpaceDN/>
        <w:bidi w:val="0"/>
        <w:spacing w:line="460" w:lineRule="exact"/>
        <w:ind w:firstLine="482" w:firstLineChars="200"/>
        <w:jc w:val="left"/>
        <w:textAlignment w:val="auto"/>
        <w:outlineLvl w:val="1"/>
        <w:rPr>
          <w:rFonts w:hint="eastAsia" w:ascii="宋体" w:hAnsi="宋体" w:cs="宋体"/>
          <w:b/>
          <w:color w:val="auto"/>
          <w:kern w:val="2"/>
          <w:sz w:val="24"/>
          <w:szCs w:val="20"/>
          <w:highlight w:val="none"/>
        </w:rPr>
      </w:pPr>
      <w:bookmarkStart w:id="37" w:name="_Toc536462754"/>
      <w:r>
        <w:rPr>
          <w:rFonts w:hint="eastAsia" w:ascii="宋体" w:hAnsi="宋体" w:cs="宋体"/>
          <w:b/>
          <w:color w:val="auto"/>
          <w:kern w:val="2"/>
          <w:sz w:val="24"/>
          <w:highlight w:val="none"/>
        </w:rPr>
        <w:t>（四）投标委托</w:t>
      </w:r>
      <w:bookmarkEnd w:id="37"/>
    </w:p>
    <w:p w14:paraId="4E2ACAFC">
      <w:pPr>
        <w:keepNext w:val="0"/>
        <w:keepLines w:val="0"/>
        <w:pageBreakBefore w:val="0"/>
        <w:widowControl w:val="0"/>
        <w:kinsoku/>
        <w:wordWrap/>
        <w:overflowPunct/>
        <w:topLinePunct w:val="0"/>
        <w:autoSpaceDE/>
        <w:autoSpaceDN/>
        <w:bidi w:val="0"/>
        <w:spacing w:line="460" w:lineRule="exact"/>
        <w:ind w:firstLine="464" w:firstLineChars="200"/>
        <w:jc w:val="left"/>
        <w:textAlignment w:val="auto"/>
        <w:rPr>
          <w:rFonts w:hint="eastAsia" w:ascii="宋体" w:hAnsi="宋体" w:cs="宋体"/>
          <w:color w:val="auto"/>
          <w:spacing w:val="-4"/>
          <w:kern w:val="2"/>
          <w:sz w:val="24"/>
          <w:highlight w:val="none"/>
        </w:rPr>
      </w:pPr>
      <w:r>
        <w:rPr>
          <w:rFonts w:hint="eastAsia" w:ascii="宋体" w:hAnsi="宋体" w:cs="宋体"/>
          <w:color w:val="auto"/>
          <w:spacing w:val="-4"/>
          <w:kern w:val="2"/>
          <w:sz w:val="24"/>
          <w:highlight w:val="none"/>
        </w:rPr>
        <w:t>投标人代表应当携带有效身份证件。如投标人代表不是法定代表人</w:t>
      </w:r>
      <w:r>
        <w:rPr>
          <w:rFonts w:hint="eastAsia" w:ascii="宋体" w:hAnsi="宋体" w:cs="宋体"/>
          <w:color w:val="auto"/>
          <w:spacing w:val="-4"/>
          <w:kern w:val="2"/>
          <w:sz w:val="24"/>
          <w:highlight w:val="none"/>
          <w:lang w:eastAsia="zh-CN"/>
        </w:rPr>
        <w:t>（</w:t>
      </w:r>
      <w:r>
        <w:rPr>
          <w:rFonts w:hint="eastAsia" w:ascii="宋体" w:hAnsi="宋体" w:cs="宋体"/>
          <w:color w:val="auto"/>
          <w:spacing w:val="-4"/>
          <w:kern w:val="2"/>
          <w:sz w:val="24"/>
          <w:highlight w:val="none"/>
          <w:lang w:val="en-US" w:eastAsia="zh-CN"/>
        </w:rPr>
        <w:t>或单位负责人）</w:t>
      </w:r>
      <w:r>
        <w:rPr>
          <w:rFonts w:hint="eastAsia" w:ascii="宋体" w:hAnsi="宋体" w:cs="宋体"/>
          <w:color w:val="auto"/>
          <w:spacing w:val="-4"/>
          <w:kern w:val="2"/>
          <w:sz w:val="24"/>
          <w:highlight w:val="none"/>
        </w:rPr>
        <w:t>，投标文件应当提供法定代表人</w:t>
      </w:r>
      <w:r>
        <w:rPr>
          <w:rFonts w:hint="eastAsia" w:ascii="宋体" w:hAnsi="宋体" w:cs="宋体"/>
          <w:b w:val="0"/>
          <w:bCs/>
          <w:color w:val="auto"/>
          <w:kern w:val="2"/>
          <w:sz w:val="24"/>
          <w:szCs w:val="24"/>
          <w:highlight w:val="none"/>
          <w:lang w:eastAsia="zh-CN"/>
        </w:rPr>
        <w:t>（</w:t>
      </w:r>
      <w:r>
        <w:rPr>
          <w:rFonts w:hint="eastAsia" w:ascii="宋体" w:hAnsi="宋体" w:cs="宋体"/>
          <w:b w:val="0"/>
          <w:bCs/>
          <w:color w:val="auto"/>
          <w:kern w:val="2"/>
          <w:sz w:val="24"/>
          <w:szCs w:val="24"/>
          <w:highlight w:val="none"/>
          <w:lang w:val="en-US" w:eastAsia="zh-CN"/>
        </w:rPr>
        <w:t>或</w:t>
      </w:r>
      <w:r>
        <w:rPr>
          <w:rFonts w:hint="eastAsia" w:ascii="宋体" w:hAnsi="宋体" w:cs="宋体"/>
          <w:b w:val="0"/>
          <w:bCs/>
          <w:color w:val="auto"/>
          <w:kern w:val="2"/>
          <w:sz w:val="24"/>
          <w:szCs w:val="24"/>
          <w:highlight w:val="none"/>
          <w:lang w:eastAsia="zh-CN"/>
        </w:rPr>
        <w:t>单位负责人）</w:t>
      </w:r>
      <w:r>
        <w:rPr>
          <w:rFonts w:hint="eastAsia" w:ascii="宋体" w:hAnsi="宋体" w:cs="宋体"/>
          <w:color w:val="auto"/>
          <w:spacing w:val="-4"/>
          <w:kern w:val="2"/>
          <w:sz w:val="24"/>
          <w:highlight w:val="none"/>
        </w:rPr>
        <w:t>出具的授权委托书（格式见第六章）。</w:t>
      </w:r>
    </w:p>
    <w:p w14:paraId="4429D175">
      <w:pPr>
        <w:keepNext w:val="0"/>
        <w:keepLines w:val="0"/>
        <w:pageBreakBefore w:val="0"/>
        <w:widowControl w:val="0"/>
        <w:kinsoku/>
        <w:wordWrap/>
        <w:overflowPunct/>
        <w:topLinePunct w:val="0"/>
        <w:autoSpaceDE/>
        <w:autoSpaceDN/>
        <w:bidi w:val="0"/>
        <w:spacing w:line="460" w:lineRule="exact"/>
        <w:ind w:firstLine="482" w:firstLineChars="200"/>
        <w:jc w:val="left"/>
        <w:textAlignment w:val="auto"/>
        <w:outlineLvl w:val="1"/>
        <w:rPr>
          <w:rFonts w:hint="eastAsia" w:ascii="宋体" w:hAnsi="宋体" w:cs="宋体"/>
          <w:b/>
          <w:color w:val="auto"/>
          <w:kern w:val="2"/>
          <w:sz w:val="24"/>
          <w:szCs w:val="20"/>
          <w:highlight w:val="none"/>
        </w:rPr>
      </w:pPr>
      <w:bookmarkStart w:id="38" w:name="_Toc536462755"/>
      <w:r>
        <w:rPr>
          <w:rFonts w:hint="eastAsia" w:ascii="宋体" w:hAnsi="宋体" w:cs="宋体"/>
          <w:b/>
          <w:color w:val="auto"/>
          <w:kern w:val="2"/>
          <w:sz w:val="24"/>
          <w:highlight w:val="none"/>
        </w:rPr>
        <w:t>（五）投标费用</w:t>
      </w:r>
      <w:bookmarkEnd w:id="38"/>
    </w:p>
    <w:p w14:paraId="46F83156">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eastAsia" w:ascii="宋体" w:hAnsi="宋体" w:cs="宋体"/>
          <w:color w:val="auto"/>
          <w:kern w:val="2"/>
          <w:sz w:val="24"/>
          <w:highlight w:val="none"/>
        </w:rPr>
      </w:pPr>
      <w:r>
        <w:rPr>
          <w:rFonts w:hint="eastAsia" w:ascii="宋体" w:hAnsi="宋体" w:cs="宋体"/>
          <w:color w:val="auto"/>
          <w:kern w:val="2"/>
          <w:sz w:val="24"/>
          <w:highlight w:val="none"/>
        </w:rPr>
        <w:t>不论投标结果如何，投标人均应自行承担所有与投标有关的全部费用</w:t>
      </w:r>
      <w:r>
        <w:rPr>
          <w:rFonts w:hint="eastAsia" w:ascii="宋体" w:hAnsi="宋体" w:cs="宋体"/>
          <w:color w:val="auto"/>
          <w:sz w:val="24"/>
          <w:highlight w:val="none"/>
        </w:rPr>
        <w:t>招标文件有其他相关规定除外</w:t>
      </w:r>
      <w:r>
        <w:rPr>
          <w:rFonts w:hint="eastAsia" w:ascii="宋体" w:hAnsi="宋体" w:cs="宋体"/>
          <w:color w:val="auto"/>
          <w:kern w:val="2"/>
          <w:sz w:val="24"/>
          <w:highlight w:val="none"/>
        </w:rPr>
        <w:t>。</w:t>
      </w:r>
    </w:p>
    <w:p w14:paraId="78A82ED1">
      <w:pPr>
        <w:keepNext w:val="0"/>
        <w:keepLines w:val="0"/>
        <w:pageBreakBefore w:val="0"/>
        <w:widowControl w:val="0"/>
        <w:tabs>
          <w:tab w:val="left" w:pos="18483"/>
        </w:tabs>
        <w:kinsoku/>
        <w:wordWrap/>
        <w:overflowPunct/>
        <w:topLinePunct w:val="0"/>
        <w:autoSpaceDE/>
        <w:autoSpaceDN/>
        <w:bidi w:val="0"/>
        <w:spacing w:line="460" w:lineRule="exact"/>
        <w:ind w:firstLine="482" w:firstLineChars="200"/>
        <w:jc w:val="left"/>
        <w:textAlignment w:val="auto"/>
        <w:rPr>
          <w:rFonts w:hint="eastAsia" w:ascii="宋体" w:hAnsi="宋体" w:eastAsia="宋体" w:cs="宋体"/>
          <w:b/>
          <w:color w:val="auto"/>
          <w:kern w:val="2"/>
          <w:sz w:val="24"/>
          <w:szCs w:val="20"/>
          <w:highlight w:val="none"/>
          <w:lang w:eastAsia="zh-CN"/>
        </w:rPr>
      </w:pPr>
      <w:r>
        <w:rPr>
          <w:rFonts w:hint="eastAsia" w:ascii="宋体" w:hAnsi="宋体" w:cs="宋体"/>
          <w:b/>
          <w:color w:val="auto"/>
          <w:kern w:val="2"/>
          <w:sz w:val="24"/>
          <w:highlight w:val="none"/>
        </w:rPr>
        <w:t>（六）联合体投标</w:t>
      </w:r>
      <w:r>
        <w:rPr>
          <w:rFonts w:hint="eastAsia" w:ascii="宋体" w:hAnsi="宋体" w:cs="宋体"/>
          <w:b/>
          <w:color w:val="auto"/>
          <w:kern w:val="2"/>
          <w:sz w:val="24"/>
          <w:highlight w:val="none"/>
          <w:lang w:eastAsia="zh-CN"/>
        </w:rPr>
        <w:tab/>
      </w:r>
    </w:p>
    <w:p w14:paraId="29004321">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eastAsia" w:ascii="宋体" w:hAnsi="宋体" w:cs="宋体"/>
          <w:color w:val="auto"/>
          <w:kern w:val="2"/>
          <w:sz w:val="24"/>
          <w:highlight w:val="none"/>
        </w:rPr>
      </w:pPr>
      <w:r>
        <w:rPr>
          <w:rFonts w:hint="eastAsia" w:ascii="宋体" w:hAnsi="宋体" w:cs="宋体"/>
          <w:color w:val="auto"/>
          <w:kern w:val="2"/>
          <w:sz w:val="24"/>
          <w:highlight w:val="none"/>
        </w:rPr>
        <w:t>本项目不接受联合体投标。</w:t>
      </w:r>
    </w:p>
    <w:p w14:paraId="16F41165">
      <w:pPr>
        <w:keepNext w:val="0"/>
        <w:keepLines w:val="0"/>
        <w:pageBreakBefore w:val="0"/>
        <w:widowControl w:val="0"/>
        <w:kinsoku/>
        <w:wordWrap/>
        <w:overflowPunct/>
        <w:topLinePunct w:val="0"/>
        <w:autoSpaceDE/>
        <w:autoSpaceDN/>
        <w:bidi w:val="0"/>
        <w:spacing w:line="460" w:lineRule="exact"/>
        <w:ind w:firstLine="482" w:firstLineChars="200"/>
        <w:jc w:val="left"/>
        <w:textAlignment w:val="auto"/>
        <w:rPr>
          <w:rFonts w:hint="eastAsia" w:ascii="宋体" w:hAnsi="宋体" w:cs="宋体"/>
          <w:b/>
          <w:color w:val="auto"/>
          <w:kern w:val="2"/>
          <w:sz w:val="24"/>
          <w:szCs w:val="20"/>
          <w:highlight w:val="none"/>
        </w:rPr>
      </w:pPr>
      <w:r>
        <w:rPr>
          <w:rFonts w:hint="eastAsia" w:ascii="宋体" w:hAnsi="宋体" w:cs="宋体"/>
          <w:b/>
          <w:color w:val="auto"/>
          <w:kern w:val="2"/>
          <w:sz w:val="24"/>
          <w:szCs w:val="20"/>
          <w:highlight w:val="none"/>
        </w:rPr>
        <w:t>（七）转包与分包</w:t>
      </w:r>
    </w:p>
    <w:p w14:paraId="792EFE18">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eastAsia" w:ascii="宋体" w:hAnsi="宋体" w:cs="宋体"/>
          <w:color w:val="auto"/>
          <w:kern w:val="2"/>
          <w:sz w:val="24"/>
          <w:szCs w:val="20"/>
          <w:highlight w:val="none"/>
        </w:rPr>
      </w:pPr>
      <w:r>
        <w:rPr>
          <w:rFonts w:hint="eastAsia" w:ascii="宋体" w:hAnsi="宋体" w:cs="宋体"/>
          <w:color w:val="auto"/>
          <w:kern w:val="2"/>
          <w:sz w:val="24"/>
          <w:szCs w:val="20"/>
          <w:highlight w:val="none"/>
        </w:rPr>
        <w:t>本项目不允许转包和分包。</w:t>
      </w:r>
    </w:p>
    <w:p w14:paraId="14928BC4">
      <w:pPr>
        <w:keepNext w:val="0"/>
        <w:keepLines w:val="0"/>
        <w:pageBreakBefore w:val="0"/>
        <w:widowControl w:val="0"/>
        <w:kinsoku/>
        <w:wordWrap/>
        <w:overflowPunct/>
        <w:topLinePunct w:val="0"/>
        <w:autoSpaceDE/>
        <w:autoSpaceDN/>
        <w:bidi w:val="0"/>
        <w:spacing w:line="460" w:lineRule="exact"/>
        <w:ind w:firstLine="482" w:firstLineChars="200"/>
        <w:jc w:val="left"/>
        <w:textAlignment w:val="auto"/>
        <w:outlineLvl w:val="2"/>
        <w:rPr>
          <w:rFonts w:hint="eastAsia" w:ascii="宋体" w:hAnsi="宋体" w:cs="宋体"/>
          <w:b/>
          <w:color w:val="auto"/>
          <w:kern w:val="2"/>
          <w:sz w:val="24"/>
          <w:highlight w:val="none"/>
        </w:rPr>
      </w:pPr>
      <w:r>
        <w:rPr>
          <w:rFonts w:hint="eastAsia" w:ascii="宋体" w:hAnsi="宋体" w:cs="宋体"/>
          <w:b/>
          <w:color w:val="auto"/>
          <w:kern w:val="2"/>
          <w:sz w:val="24"/>
          <w:highlight w:val="none"/>
        </w:rPr>
        <w:t>（八）</w:t>
      </w:r>
      <w:bookmarkStart w:id="39" w:name="_Toc330214706"/>
      <w:bookmarkEnd w:id="39"/>
      <w:bookmarkStart w:id="40" w:name="_Toc446245361"/>
      <w:bookmarkEnd w:id="40"/>
      <w:bookmarkStart w:id="41" w:name="_Toc330214834"/>
      <w:bookmarkEnd w:id="41"/>
      <w:bookmarkStart w:id="42" w:name="_Toc330212065"/>
      <w:bookmarkEnd w:id="42"/>
      <w:bookmarkStart w:id="43" w:name="_Toc381971533"/>
      <w:bookmarkEnd w:id="43"/>
      <w:bookmarkStart w:id="44" w:name="_Toc330215261"/>
      <w:bookmarkEnd w:id="44"/>
      <w:bookmarkStart w:id="45" w:name="_Toc330215459"/>
      <w:bookmarkEnd w:id="45"/>
      <w:r>
        <w:rPr>
          <w:rFonts w:hint="eastAsia" w:ascii="宋体" w:hAnsi="宋体" w:cs="宋体"/>
          <w:b/>
          <w:color w:val="auto"/>
          <w:kern w:val="2"/>
          <w:sz w:val="24"/>
          <w:highlight w:val="none"/>
        </w:rPr>
        <w:t>质疑</w:t>
      </w:r>
    </w:p>
    <w:p w14:paraId="32CC5E2B">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cs="宋体"/>
          <w:bCs/>
          <w:color w:val="auto"/>
          <w:kern w:val="2"/>
          <w:sz w:val="24"/>
          <w:highlight w:val="none"/>
        </w:rPr>
      </w:pPr>
      <w:r>
        <w:rPr>
          <w:rFonts w:hint="eastAsia" w:ascii="宋体" w:hAnsi="宋体" w:cs="宋体"/>
          <w:bCs/>
          <w:color w:val="auto"/>
          <w:kern w:val="2"/>
          <w:sz w:val="24"/>
          <w:highlight w:val="none"/>
        </w:rPr>
        <w:t>1.投标人认为招标过程或中标结果使自己的合法权益受到损害的，应当在中标结果公示之日起七个工作日内，以书面形式</w:t>
      </w:r>
      <w:r>
        <w:rPr>
          <w:rFonts w:hint="eastAsia" w:ascii="宋体" w:hAnsi="宋体" w:cs="宋体"/>
          <w:bCs/>
          <w:color w:val="auto"/>
          <w:kern w:val="2"/>
          <w:sz w:val="24"/>
          <w:highlight w:val="none"/>
          <w:lang w:val="en-US" w:eastAsia="zh-CN"/>
        </w:rPr>
        <w:t>一次性</w:t>
      </w:r>
      <w:r>
        <w:rPr>
          <w:rFonts w:hint="eastAsia" w:ascii="宋体" w:hAnsi="宋体" w:cs="宋体"/>
          <w:bCs/>
          <w:color w:val="auto"/>
          <w:kern w:val="2"/>
          <w:sz w:val="24"/>
          <w:highlight w:val="none"/>
        </w:rPr>
        <w:t>提出质疑。</w:t>
      </w:r>
    </w:p>
    <w:p w14:paraId="6F15F58F">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cs="宋体"/>
          <w:color w:val="auto"/>
          <w:spacing w:val="-4"/>
          <w:kern w:val="2"/>
          <w:sz w:val="24"/>
          <w:szCs w:val="20"/>
          <w:highlight w:val="none"/>
        </w:rPr>
      </w:pPr>
      <w:r>
        <w:rPr>
          <w:rFonts w:hint="eastAsia" w:ascii="宋体" w:hAnsi="宋体" w:cs="宋体"/>
          <w:bCs/>
          <w:color w:val="auto"/>
          <w:kern w:val="2"/>
          <w:sz w:val="24"/>
          <w:highlight w:val="none"/>
        </w:rPr>
        <w:t>2.质疑应当采用加盖投标人公章的书面形式，质疑书应明确阐述招标过程或中标结果中使自己合法权益受到损害的实质性内容，提供相关事实、依据和证据及其来源或线索，便于有关单位调查、答复和处理，否则，将不予受理。</w:t>
      </w:r>
    </w:p>
    <w:p w14:paraId="076DE23F">
      <w:pPr>
        <w:pStyle w:val="5"/>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firstLine="482" w:firstLineChars="200"/>
        <w:textAlignment w:val="auto"/>
        <w:outlineLvl w:val="1"/>
        <w:rPr>
          <w:rFonts w:hint="eastAsia"/>
          <w:b/>
          <w:color w:val="auto"/>
          <w:highlight w:val="none"/>
        </w:rPr>
      </w:pPr>
      <w:bookmarkStart w:id="46" w:name="_Toc514938673"/>
      <w:bookmarkStart w:id="47" w:name="_Toc510614921"/>
      <w:bookmarkStart w:id="48" w:name="_Toc517896501"/>
      <w:bookmarkStart w:id="49" w:name="_Toc504504533"/>
      <w:bookmarkStart w:id="50" w:name="_Toc536462756"/>
      <w:r>
        <w:rPr>
          <w:rFonts w:hint="eastAsia"/>
          <w:b/>
          <w:color w:val="auto"/>
          <w:highlight w:val="none"/>
        </w:rPr>
        <w:t>二、 招标文件</w:t>
      </w:r>
      <w:bookmarkEnd w:id="46"/>
      <w:bookmarkEnd w:id="47"/>
      <w:bookmarkEnd w:id="48"/>
      <w:bookmarkEnd w:id="49"/>
      <w:bookmarkEnd w:id="50"/>
    </w:p>
    <w:p w14:paraId="04793232">
      <w:pPr>
        <w:keepNext w:val="0"/>
        <w:keepLines w:val="0"/>
        <w:pageBreakBefore w:val="0"/>
        <w:widowControl w:val="0"/>
        <w:kinsoku/>
        <w:wordWrap/>
        <w:overflowPunct/>
        <w:topLinePunct w:val="0"/>
        <w:autoSpaceDE/>
        <w:autoSpaceDN/>
        <w:bidi w:val="0"/>
        <w:snapToGrid w:val="0"/>
        <w:spacing w:line="460" w:lineRule="exact"/>
        <w:ind w:firstLine="482" w:firstLineChars="200"/>
        <w:jc w:val="left"/>
        <w:textAlignment w:val="auto"/>
        <w:outlineLvl w:val="2"/>
        <w:rPr>
          <w:rFonts w:hint="eastAsia" w:ascii="宋体" w:hAnsi="宋体"/>
          <w:b/>
          <w:color w:val="auto"/>
          <w:sz w:val="24"/>
          <w:highlight w:val="none"/>
        </w:rPr>
      </w:pPr>
      <w:bookmarkStart w:id="51" w:name="_Toc381971534"/>
      <w:bookmarkStart w:id="52" w:name="_Toc504504534"/>
      <w:bookmarkStart w:id="53" w:name="_Toc517896502"/>
      <w:bookmarkStart w:id="54" w:name="_Toc330214707"/>
      <w:bookmarkStart w:id="55" w:name="_Toc330215262"/>
      <w:bookmarkStart w:id="56" w:name="_Toc330215460"/>
      <w:bookmarkStart w:id="57" w:name="_Toc330212066"/>
      <w:bookmarkStart w:id="58" w:name="_Toc330214835"/>
      <w:r>
        <w:rPr>
          <w:rFonts w:hint="eastAsia" w:ascii="宋体" w:hAnsi="宋体"/>
          <w:b/>
          <w:color w:val="auto"/>
          <w:sz w:val="24"/>
          <w:highlight w:val="none"/>
        </w:rPr>
        <w:t>（一）招标文件的构成</w:t>
      </w:r>
      <w:bookmarkEnd w:id="51"/>
      <w:bookmarkEnd w:id="52"/>
      <w:bookmarkEnd w:id="53"/>
    </w:p>
    <w:p w14:paraId="4FC730D6">
      <w:pPr>
        <w:keepNext w:val="0"/>
        <w:keepLines w:val="0"/>
        <w:pageBreakBefore w:val="0"/>
        <w:widowControl w:val="0"/>
        <w:kinsoku/>
        <w:wordWrap/>
        <w:overflowPunct/>
        <w:topLinePunct w:val="0"/>
        <w:autoSpaceDE/>
        <w:autoSpaceDN/>
        <w:bidi w:val="0"/>
        <w:snapToGrid w:val="0"/>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本招标文件由以下</w:t>
      </w:r>
      <w:r>
        <w:rPr>
          <w:rFonts w:hint="eastAsia" w:ascii="宋体" w:hAnsi="宋体"/>
          <w:color w:val="auto"/>
          <w:sz w:val="24"/>
          <w:highlight w:val="none"/>
          <w:lang w:val="en-US" w:eastAsia="zh-CN"/>
        </w:rPr>
        <w:t>部分</w:t>
      </w:r>
      <w:r>
        <w:rPr>
          <w:rFonts w:hint="eastAsia" w:ascii="宋体" w:hAnsi="宋体"/>
          <w:color w:val="auto"/>
          <w:sz w:val="24"/>
          <w:highlight w:val="none"/>
        </w:rPr>
        <w:t>组成：</w:t>
      </w:r>
      <w:bookmarkEnd w:id="54"/>
      <w:bookmarkEnd w:id="55"/>
      <w:bookmarkEnd w:id="56"/>
      <w:bookmarkEnd w:id="57"/>
      <w:bookmarkEnd w:id="58"/>
    </w:p>
    <w:p w14:paraId="7D67A057">
      <w:pPr>
        <w:pStyle w:val="8"/>
        <w:keepNext w:val="0"/>
        <w:keepLines w:val="0"/>
        <w:pageBreakBefore w:val="0"/>
        <w:widowControl w:val="0"/>
        <w:tabs>
          <w:tab w:val="left" w:pos="7793"/>
        </w:tabs>
        <w:kinsoku/>
        <w:wordWrap/>
        <w:overflowPunct/>
        <w:topLinePunct w:val="0"/>
        <w:autoSpaceDE/>
        <w:autoSpaceDN/>
        <w:bidi w:val="0"/>
        <w:spacing w:before="0" w:after="0" w:line="460" w:lineRule="exact"/>
        <w:ind w:firstLine="480" w:firstLineChars="200"/>
        <w:textAlignment w:val="auto"/>
        <w:rPr>
          <w:rFonts w:hint="eastAsia" w:ascii="宋体" w:hAnsi="宋体" w:eastAsia="宋体"/>
          <w:b w:val="0"/>
          <w:caps w:val="0"/>
          <w:color w:val="auto"/>
          <w:sz w:val="24"/>
          <w:szCs w:val="24"/>
          <w:highlight w:val="none"/>
          <w:lang w:eastAsia="zh-CN"/>
        </w:rPr>
      </w:pPr>
      <w:r>
        <w:rPr>
          <w:rFonts w:ascii="宋体" w:hAnsi="宋体"/>
          <w:b w:val="0"/>
          <w:caps w:val="0"/>
          <w:color w:val="auto"/>
          <w:sz w:val="24"/>
          <w:szCs w:val="24"/>
          <w:highlight w:val="none"/>
        </w:rPr>
        <w:fldChar w:fldCharType="begin"/>
      </w:r>
      <w:r>
        <w:rPr>
          <w:rFonts w:ascii="宋体" w:hAnsi="宋体"/>
          <w:b w:val="0"/>
          <w:caps w:val="0"/>
          <w:color w:val="auto"/>
          <w:sz w:val="24"/>
          <w:szCs w:val="24"/>
          <w:highlight w:val="none"/>
        </w:rPr>
        <w:instrText xml:space="preserve"> HYPERLINK \l "_Toc443642941" </w:instrText>
      </w:r>
      <w:r>
        <w:rPr>
          <w:rFonts w:ascii="宋体" w:hAnsi="宋体"/>
          <w:b w:val="0"/>
          <w:caps w:val="0"/>
          <w:color w:val="auto"/>
          <w:sz w:val="24"/>
          <w:szCs w:val="24"/>
          <w:highlight w:val="none"/>
        </w:rPr>
        <w:fldChar w:fldCharType="separate"/>
      </w:r>
      <w:r>
        <w:rPr>
          <w:rFonts w:hint="eastAsia" w:ascii="宋体" w:hAnsi="宋体"/>
          <w:b w:val="0"/>
          <w:caps w:val="0"/>
          <w:color w:val="auto"/>
          <w:sz w:val="24"/>
          <w:szCs w:val="24"/>
          <w:highlight w:val="none"/>
        </w:rPr>
        <w:t>1.公开招标采购公告</w:t>
      </w:r>
      <w:r>
        <w:rPr>
          <w:rFonts w:ascii="宋体" w:hAnsi="宋体"/>
          <w:b w:val="0"/>
          <w:caps w:val="0"/>
          <w:color w:val="auto"/>
          <w:sz w:val="24"/>
          <w:szCs w:val="24"/>
          <w:highlight w:val="none"/>
        </w:rPr>
        <w:fldChar w:fldCharType="end"/>
      </w:r>
      <w:r>
        <w:rPr>
          <w:rFonts w:hint="eastAsia" w:ascii="宋体" w:hAnsi="宋体"/>
          <w:b w:val="0"/>
          <w:caps w:val="0"/>
          <w:color w:val="auto"/>
          <w:sz w:val="24"/>
          <w:szCs w:val="24"/>
          <w:highlight w:val="none"/>
          <w:lang w:eastAsia="zh-CN"/>
        </w:rPr>
        <w:t>；</w:t>
      </w:r>
      <w:r>
        <w:rPr>
          <w:rFonts w:hint="eastAsia" w:ascii="宋体" w:hAnsi="宋体"/>
          <w:b w:val="0"/>
          <w:caps w:val="0"/>
          <w:color w:val="auto"/>
          <w:sz w:val="24"/>
          <w:szCs w:val="24"/>
          <w:highlight w:val="none"/>
          <w:lang w:eastAsia="zh-CN"/>
        </w:rPr>
        <w:tab/>
      </w:r>
    </w:p>
    <w:p w14:paraId="6F887213">
      <w:pPr>
        <w:pStyle w:val="8"/>
        <w:keepNext w:val="0"/>
        <w:keepLines w:val="0"/>
        <w:pageBreakBefore w:val="0"/>
        <w:widowControl w:val="0"/>
        <w:tabs>
          <w:tab w:val="right" w:leader="dot" w:pos="8478"/>
        </w:tabs>
        <w:kinsoku/>
        <w:wordWrap/>
        <w:overflowPunct/>
        <w:topLinePunct w:val="0"/>
        <w:autoSpaceDE/>
        <w:autoSpaceDN/>
        <w:bidi w:val="0"/>
        <w:spacing w:before="0" w:after="0" w:line="460" w:lineRule="exact"/>
        <w:ind w:firstLine="480" w:firstLineChars="200"/>
        <w:textAlignment w:val="auto"/>
        <w:rPr>
          <w:rFonts w:hint="eastAsia" w:ascii="宋体" w:hAnsi="宋体" w:eastAsia="宋体"/>
          <w:b w:val="0"/>
          <w:caps w:val="0"/>
          <w:color w:val="auto"/>
          <w:sz w:val="24"/>
          <w:szCs w:val="24"/>
          <w:highlight w:val="none"/>
          <w:lang w:eastAsia="zh-CN"/>
        </w:rPr>
      </w:pPr>
      <w:r>
        <w:rPr>
          <w:rFonts w:ascii="宋体" w:hAnsi="宋体"/>
          <w:b w:val="0"/>
          <w:caps w:val="0"/>
          <w:color w:val="auto"/>
          <w:sz w:val="24"/>
          <w:szCs w:val="24"/>
          <w:highlight w:val="none"/>
        </w:rPr>
        <w:fldChar w:fldCharType="begin"/>
      </w:r>
      <w:r>
        <w:rPr>
          <w:rFonts w:ascii="宋体" w:hAnsi="宋体"/>
          <w:b w:val="0"/>
          <w:caps w:val="0"/>
          <w:color w:val="auto"/>
          <w:sz w:val="24"/>
          <w:szCs w:val="24"/>
          <w:highlight w:val="none"/>
        </w:rPr>
        <w:instrText xml:space="preserve"> HYPERLINK \l "_Toc443642942" </w:instrText>
      </w:r>
      <w:r>
        <w:rPr>
          <w:rFonts w:ascii="宋体" w:hAnsi="宋体"/>
          <w:b w:val="0"/>
          <w:caps w:val="0"/>
          <w:color w:val="auto"/>
          <w:sz w:val="24"/>
          <w:szCs w:val="24"/>
          <w:highlight w:val="none"/>
        </w:rPr>
        <w:fldChar w:fldCharType="separate"/>
      </w:r>
      <w:r>
        <w:rPr>
          <w:rFonts w:hint="eastAsia" w:ascii="宋体" w:hAnsi="宋体"/>
          <w:b w:val="0"/>
          <w:caps w:val="0"/>
          <w:color w:val="auto"/>
          <w:sz w:val="24"/>
          <w:szCs w:val="24"/>
          <w:highlight w:val="none"/>
        </w:rPr>
        <w:t>2.投标人须知</w:t>
      </w:r>
      <w:r>
        <w:rPr>
          <w:rFonts w:ascii="宋体" w:hAnsi="宋体"/>
          <w:b w:val="0"/>
          <w:caps w:val="0"/>
          <w:color w:val="auto"/>
          <w:sz w:val="24"/>
          <w:szCs w:val="24"/>
          <w:highlight w:val="none"/>
        </w:rPr>
        <w:fldChar w:fldCharType="end"/>
      </w:r>
      <w:r>
        <w:rPr>
          <w:rFonts w:hint="eastAsia" w:ascii="宋体" w:hAnsi="宋体"/>
          <w:b w:val="0"/>
          <w:caps w:val="0"/>
          <w:color w:val="auto"/>
          <w:sz w:val="24"/>
          <w:szCs w:val="24"/>
          <w:highlight w:val="none"/>
          <w:lang w:eastAsia="zh-CN"/>
        </w:rPr>
        <w:t>；</w:t>
      </w:r>
    </w:p>
    <w:p w14:paraId="4E496EFA">
      <w:pPr>
        <w:pStyle w:val="8"/>
        <w:keepNext w:val="0"/>
        <w:keepLines w:val="0"/>
        <w:pageBreakBefore w:val="0"/>
        <w:widowControl w:val="0"/>
        <w:tabs>
          <w:tab w:val="right" w:leader="dot" w:pos="8478"/>
        </w:tabs>
        <w:kinsoku/>
        <w:wordWrap/>
        <w:overflowPunct/>
        <w:topLinePunct w:val="0"/>
        <w:autoSpaceDE/>
        <w:autoSpaceDN/>
        <w:bidi w:val="0"/>
        <w:spacing w:before="0" w:after="0" w:line="460" w:lineRule="exact"/>
        <w:ind w:firstLine="480" w:firstLineChars="200"/>
        <w:textAlignment w:val="auto"/>
        <w:rPr>
          <w:rFonts w:hint="eastAsia" w:ascii="宋体" w:hAnsi="宋体" w:eastAsia="宋体"/>
          <w:b w:val="0"/>
          <w:caps w:val="0"/>
          <w:color w:val="auto"/>
          <w:sz w:val="24"/>
          <w:szCs w:val="24"/>
          <w:highlight w:val="none"/>
          <w:lang w:eastAsia="zh-CN"/>
        </w:rPr>
      </w:pPr>
      <w:r>
        <w:rPr>
          <w:rFonts w:ascii="宋体" w:hAnsi="宋体"/>
          <w:b w:val="0"/>
          <w:caps w:val="0"/>
          <w:color w:val="auto"/>
          <w:sz w:val="24"/>
          <w:szCs w:val="24"/>
          <w:highlight w:val="none"/>
        </w:rPr>
        <w:fldChar w:fldCharType="begin"/>
      </w:r>
      <w:r>
        <w:rPr>
          <w:rFonts w:ascii="宋体" w:hAnsi="宋体"/>
          <w:b w:val="0"/>
          <w:caps w:val="0"/>
          <w:color w:val="auto"/>
          <w:sz w:val="24"/>
          <w:szCs w:val="24"/>
          <w:highlight w:val="none"/>
        </w:rPr>
        <w:instrText xml:space="preserve"> HYPERLINK \l "_Toc443642950" </w:instrText>
      </w:r>
      <w:r>
        <w:rPr>
          <w:rFonts w:ascii="宋体" w:hAnsi="宋体"/>
          <w:b w:val="0"/>
          <w:caps w:val="0"/>
          <w:color w:val="auto"/>
          <w:sz w:val="24"/>
          <w:szCs w:val="24"/>
          <w:highlight w:val="none"/>
        </w:rPr>
        <w:fldChar w:fldCharType="separate"/>
      </w:r>
      <w:r>
        <w:rPr>
          <w:rFonts w:hint="eastAsia" w:ascii="宋体" w:hAnsi="宋体"/>
          <w:b w:val="0"/>
          <w:caps w:val="0"/>
          <w:color w:val="auto"/>
          <w:sz w:val="24"/>
          <w:szCs w:val="24"/>
          <w:highlight w:val="none"/>
        </w:rPr>
        <w:t>3.招标项目内容及要求</w:t>
      </w:r>
      <w:r>
        <w:rPr>
          <w:rFonts w:ascii="宋体" w:hAnsi="宋体"/>
          <w:b w:val="0"/>
          <w:caps w:val="0"/>
          <w:color w:val="auto"/>
          <w:sz w:val="24"/>
          <w:szCs w:val="24"/>
          <w:highlight w:val="none"/>
        </w:rPr>
        <w:fldChar w:fldCharType="end"/>
      </w:r>
      <w:r>
        <w:rPr>
          <w:rFonts w:hint="eastAsia" w:ascii="宋体" w:hAnsi="宋体"/>
          <w:b w:val="0"/>
          <w:caps w:val="0"/>
          <w:color w:val="auto"/>
          <w:sz w:val="24"/>
          <w:szCs w:val="24"/>
          <w:highlight w:val="none"/>
          <w:lang w:eastAsia="zh-CN"/>
        </w:rPr>
        <w:t>；</w:t>
      </w:r>
    </w:p>
    <w:p w14:paraId="625FA841">
      <w:pPr>
        <w:pStyle w:val="8"/>
        <w:keepNext w:val="0"/>
        <w:keepLines w:val="0"/>
        <w:pageBreakBefore w:val="0"/>
        <w:widowControl w:val="0"/>
        <w:tabs>
          <w:tab w:val="right" w:leader="dot" w:pos="8478"/>
        </w:tabs>
        <w:kinsoku/>
        <w:wordWrap/>
        <w:overflowPunct/>
        <w:topLinePunct w:val="0"/>
        <w:autoSpaceDE/>
        <w:autoSpaceDN/>
        <w:bidi w:val="0"/>
        <w:spacing w:before="0" w:after="0" w:line="460" w:lineRule="exact"/>
        <w:ind w:firstLine="480" w:firstLineChars="200"/>
        <w:textAlignment w:val="auto"/>
        <w:rPr>
          <w:rFonts w:hint="eastAsia" w:ascii="宋体" w:hAnsi="宋体" w:eastAsia="宋体"/>
          <w:b w:val="0"/>
          <w:caps w:val="0"/>
          <w:color w:val="auto"/>
          <w:sz w:val="24"/>
          <w:szCs w:val="24"/>
          <w:highlight w:val="none"/>
          <w:lang w:eastAsia="zh-CN"/>
        </w:rPr>
      </w:pPr>
      <w:r>
        <w:rPr>
          <w:rFonts w:ascii="宋体" w:hAnsi="宋体"/>
          <w:b w:val="0"/>
          <w:caps w:val="0"/>
          <w:color w:val="auto"/>
          <w:sz w:val="24"/>
          <w:szCs w:val="24"/>
          <w:highlight w:val="none"/>
        </w:rPr>
        <w:fldChar w:fldCharType="begin"/>
      </w:r>
      <w:r>
        <w:rPr>
          <w:rFonts w:ascii="宋体" w:hAnsi="宋体"/>
          <w:b w:val="0"/>
          <w:caps w:val="0"/>
          <w:color w:val="auto"/>
          <w:sz w:val="24"/>
          <w:szCs w:val="24"/>
          <w:highlight w:val="none"/>
        </w:rPr>
        <w:instrText xml:space="preserve"> HYPERLINK \l "_Toc443642961" </w:instrText>
      </w:r>
      <w:r>
        <w:rPr>
          <w:rFonts w:ascii="宋体" w:hAnsi="宋体"/>
          <w:b w:val="0"/>
          <w:caps w:val="0"/>
          <w:color w:val="auto"/>
          <w:sz w:val="24"/>
          <w:szCs w:val="24"/>
          <w:highlight w:val="none"/>
        </w:rPr>
        <w:fldChar w:fldCharType="separate"/>
      </w:r>
      <w:r>
        <w:rPr>
          <w:rFonts w:hint="eastAsia" w:ascii="宋体" w:hAnsi="宋体"/>
          <w:b w:val="0"/>
          <w:caps w:val="0"/>
          <w:color w:val="auto"/>
          <w:sz w:val="24"/>
          <w:szCs w:val="24"/>
          <w:highlight w:val="none"/>
        </w:rPr>
        <w:t>4.</w:t>
      </w:r>
      <w:r>
        <w:rPr>
          <w:rFonts w:ascii="宋体" w:hAnsi="宋体"/>
          <w:b w:val="0"/>
          <w:caps w:val="0"/>
          <w:color w:val="auto"/>
          <w:sz w:val="24"/>
          <w:szCs w:val="24"/>
          <w:highlight w:val="none"/>
        </w:rPr>
        <w:t>评标办法</w:t>
      </w:r>
      <w:r>
        <w:rPr>
          <w:rFonts w:hint="eastAsia" w:ascii="宋体" w:hAnsi="宋体"/>
          <w:b w:val="0"/>
          <w:caps w:val="0"/>
          <w:color w:val="auto"/>
          <w:sz w:val="24"/>
          <w:szCs w:val="24"/>
          <w:highlight w:val="none"/>
        </w:rPr>
        <w:t>及评分标准</w:t>
      </w:r>
      <w:r>
        <w:rPr>
          <w:rFonts w:ascii="宋体" w:hAnsi="宋体"/>
          <w:b w:val="0"/>
          <w:caps w:val="0"/>
          <w:color w:val="auto"/>
          <w:sz w:val="24"/>
          <w:szCs w:val="24"/>
          <w:highlight w:val="none"/>
        </w:rPr>
        <w:fldChar w:fldCharType="end"/>
      </w:r>
      <w:r>
        <w:rPr>
          <w:rFonts w:hint="eastAsia" w:ascii="宋体" w:hAnsi="宋体"/>
          <w:b w:val="0"/>
          <w:caps w:val="0"/>
          <w:color w:val="auto"/>
          <w:sz w:val="24"/>
          <w:szCs w:val="24"/>
          <w:highlight w:val="none"/>
          <w:lang w:eastAsia="zh-CN"/>
        </w:rPr>
        <w:t>；</w:t>
      </w:r>
    </w:p>
    <w:p w14:paraId="7EA112EB">
      <w:pPr>
        <w:pStyle w:val="8"/>
        <w:keepNext w:val="0"/>
        <w:keepLines w:val="0"/>
        <w:pageBreakBefore w:val="0"/>
        <w:widowControl w:val="0"/>
        <w:tabs>
          <w:tab w:val="right" w:leader="dot" w:pos="8478"/>
        </w:tabs>
        <w:kinsoku/>
        <w:wordWrap/>
        <w:overflowPunct/>
        <w:topLinePunct w:val="0"/>
        <w:autoSpaceDE/>
        <w:autoSpaceDN/>
        <w:bidi w:val="0"/>
        <w:spacing w:before="0" w:after="0" w:line="460" w:lineRule="exact"/>
        <w:ind w:firstLine="480" w:firstLineChars="200"/>
        <w:textAlignment w:val="auto"/>
        <w:rPr>
          <w:rFonts w:hint="eastAsia" w:ascii="宋体" w:hAnsi="宋体" w:eastAsia="宋体"/>
          <w:b w:val="0"/>
          <w:caps w:val="0"/>
          <w:color w:val="auto"/>
          <w:sz w:val="24"/>
          <w:szCs w:val="24"/>
          <w:highlight w:val="none"/>
          <w:lang w:eastAsia="zh-CN"/>
        </w:rPr>
      </w:pPr>
      <w:r>
        <w:rPr>
          <w:rFonts w:ascii="宋体" w:hAnsi="宋体"/>
          <w:b w:val="0"/>
          <w:caps w:val="0"/>
          <w:color w:val="auto"/>
          <w:sz w:val="24"/>
          <w:szCs w:val="24"/>
          <w:highlight w:val="none"/>
        </w:rPr>
        <w:fldChar w:fldCharType="begin"/>
      </w:r>
      <w:r>
        <w:rPr>
          <w:rFonts w:ascii="宋体" w:hAnsi="宋体"/>
          <w:b w:val="0"/>
          <w:caps w:val="0"/>
          <w:color w:val="auto"/>
          <w:sz w:val="24"/>
          <w:szCs w:val="24"/>
          <w:highlight w:val="none"/>
        </w:rPr>
        <w:instrText xml:space="preserve"> HYPERLINK \l "_Toc443642971" </w:instrText>
      </w:r>
      <w:r>
        <w:rPr>
          <w:rFonts w:ascii="宋体" w:hAnsi="宋体"/>
          <w:b w:val="0"/>
          <w:caps w:val="0"/>
          <w:color w:val="auto"/>
          <w:sz w:val="24"/>
          <w:szCs w:val="24"/>
          <w:highlight w:val="none"/>
        </w:rPr>
        <w:fldChar w:fldCharType="separate"/>
      </w:r>
      <w:r>
        <w:rPr>
          <w:rFonts w:hint="eastAsia" w:ascii="宋体" w:hAnsi="宋体"/>
          <w:b w:val="0"/>
          <w:caps w:val="0"/>
          <w:color w:val="auto"/>
          <w:sz w:val="24"/>
          <w:szCs w:val="24"/>
          <w:highlight w:val="none"/>
        </w:rPr>
        <w:t>5.采购合同主要条款指引</w:t>
      </w:r>
      <w:r>
        <w:rPr>
          <w:rFonts w:ascii="宋体" w:hAnsi="宋体"/>
          <w:b w:val="0"/>
          <w:caps w:val="0"/>
          <w:color w:val="auto"/>
          <w:sz w:val="24"/>
          <w:szCs w:val="24"/>
          <w:highlight w:val="none"/>
        </w:rPr>
        <w:fldChar w:fldCharType="end"/>
      </w:r>
      <w:r>
        <w:rPr>
          <w:rFonts w:hint="eastAsia" w:ascii="宋体" w:hAnsi="宋体"/>
          <w:b w:val="0"/>
          <w:caps w:val="0"/>
          <w:color w:val="auto"/>
          <w:sz w:val="24"/>
          <w:szCs w:val="24"/>
          <w:highlight w:val="none"/>
          <w:lang w:eastAsia="zh-CN"/>
        </w:rPr>
        <w:t>；</w:t>
      </w:r>
    </w:p>
    <w:p w14:paraId="6CD9A545">
      <w:pPr>
        <w:keepNext w:val="0"/>
        <w:keepLines w:val="0"/>
        <w:pageBreakBefore w:val="0"/>
        <w:widowControl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6.附件——响应文件格式</w:t>
      </w:r>
      <w:r>
        <w:rPr>
          <w:rFonts w:hint="eastAsia" w:ascii="宋体" w:hAnsi="宋体"/>
          <w:color w:val="auto"/>
          <w:sz w:val="24"/>
          <w:highlight w:val="none"/>
          <w:lang w:eastAsia="zh-CN"/>
        </w:rPr>
        <w:t>。</w:t>
      </w:r>
    </w:p>
    <w:p w14:paraId="401C31ED">
      <w:pPr>
        <w:keepNext w:val="0"/>
        <w:keepLines w:val="0"/>
        <w:pageBreakBefore w:val="0"/>
        <w:widowControl w:val="0"/>
        <w:kinsoku/>
        <w:wordWrap/>
        <w:overflowPunct/>
        <w:topLinePunct w:val="0"/>
        <w:autoSpaceDE/>
        <w:autoSpaceDN/>
        <w:bidi w:val="0"/>
        <w:snapToGrid w:val="0"/>
        <w:spacing w:line="460" w:lineRule="exact"/>
        <w:ind w:firstLine="482" w:firstLineChars="200"/>
        <w:jc w:val="left"/>
        <w:textAlignment w:val="auto"/>
        <w:rPr>
          <w:rFonts w:hint="eastAsia" w:ascii="宋体" w:hAnsi="宋体"/>
          <w:b/>
          <w:bCs/>
          <w:color w:val="auto"/>
          <w:sz w:val="24"/>
          <w:highlight w:val="none"/>
        </w:rPr>
      </w:pPr>
      <w:bookmarkStart w:id="59" w:name="_Toc330214836"/>
      <w:bookmarkStart w:id="60" w:name="_Toc330212067"/>
      <w:bookmarkStart w:id="61" w:name="_Toc504504535"/>
      <w:bookmarkStart w:id="62" w:name="_Toc381971535"/>
      <w:bookmarkStart w:id="63" w:name="_Toc330215263"/>
      <w:bookmarkStart w:id="64" w:name="_Toc330215461"/>
      <w:bookmarkStart w:id="65" w:name="_Toc330214708"/>
      <w:bookmarkStart w:id="66" w:name="_Toc517896503"/>
      <w:r>
        <w:rPr>
          <w:rFonts w:hint="eastAsia" w:ascii="宋体" w:hAnsi="宋体"/>
          <w:b/>
          <w:bCs/>
          <w:color w:val="auto"/>
          <w:sz w:val="24"/>
          <w:highlight w:val="none"/>
        </w:rPr>
        <w:t>（二）投标人的风险</w:t>
      </w:r>
      <w:bookmarkEnd w:id="59"/>
      <w:bookmarkEnd w:id="60"/>
      <w:bookmarkEnd w:id="61"/>
      <w:bookmarkEnd w:id="62"/>
      <w:bookmarkEnd w:id="63"/>
      <w:bookmarkEnd w:id="64"/>
      <w:bookmarkEnd w:id="65"/>
      <w:bookmarkEnd w:id="66"/>
    </w:p>
    <w:p w14:paraId="311FA2C0">
      <w:pPr>
        <w:keepNext w:val="0"/>
        <w:keepLines w:val="0"/>
        <w:pageBreakBefore w:val="0"/>
        <w:widowControl w:val="0"/>
        <w:kinsoku/>
        <w:wordWrap/>
        <w:overflowPunct/>
        <w:topLinePunct w:val="0"/>
        <w:autoSpaceDE/>
        <w:autoSpaceDN/>
        <w:bidi w:val="0"/>
        <w:snapToGrid w:val="0"/>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投标人没有按照招标文件要求提供全部资料，或者投标人没有对招标文件在各方面作出实质性响应是投标人的风险，并可能导致其投标被拒绝。</w:t>
      </w:r>
    </w:p>
    <w:p w14:paraId="7D97786F">
      <w:pPr>
        <w:keepNext w:val="0"/>
        <w:keepLines w:val="0"/>
        <w:pageBreakBefore w:val="0"/>
        <w:widowControl w:val="0"/>
        <w:kinsoku/>
        <w:wordWrap/>
        <w:overflowPunct/>
        <w:topLinePunct w:val="0"/>
        <w:autoSpaceDE/>
        <w:autoSpaceDN/>
        <w:bidi w:val="0"/>
        <w:snapToGrid w:val="0"/>
        <w:spacing w:line="460" w:lineRule="exact"/>
        <w:ind w:firstLine="482" w:firstLineChars="200"/>
        <w:jc w:val="left"/>
        <w:textAlignment w:val="auto"/>
        <w:rPr>
          <w:rFonts w:hint="eastAsia" w:ascii="宋体" w:hAnsi="宋体"/>
          <w:b/>
          <w:bCs/>
          <w:color w:val="auto"/>
          <w:sz w:val="24"/>
          <w:highlight w:val="none"/>
        </w:rPr>
      </w:pPr>
      <w:bookmarkStart w:id="67" w:name="_Toc330214709"/>
      <w:bookmarkStart w:id="68" w:name="_Toc517896504"/>
      <w:bookmarkStart w:id="69" w:name="_Toc381971536"/>
      <w:bookmarkStart w:id="70" w:name="_Toc330212068"/>
      <w:bookmarkStart w:id="71" w:name="_Toc504504536"/>
      <w:bookmarkStart w:id="72" w:name="_Toc330215264"/>
      <w:bookmarkStart w:id="73" w:name="_Toc330215462"/>
      <w:bookmarkStart w:id="74" w:name="_Toc330214837"/>
      <w:r>
        <w:rPr>
          <w:rFonts w:hint="eastAsia" w:ascii="宋体" w:hAnsi="宋体"/>
          <w:b/>
          <w:bCs/>
          <w:color w:val="auto"/>
          <w:sz w:val="24"/>
          <w:highlight w:val="none"/>
        </w:rPr>
        <w:t>（三）招标文件的澄清与修改</w:t>
      </w:r>
      <w:bookmarkEnd w:id="67"/>
      <w:bookmarkEnd w:id="68"/>
      <w:bookmarkEnd w:id="69"/>
      <w:bookmarkEnd w:id="70"/>
      <w:bookmarkEnd w:id="71"/>
      <w:bookmarkEnd w:id="72"/>
      <w:bookmarkEnd w:id="73"/>
      <w:bookmarkEnd w:id="74"/>
      <w:r>
        <w:rPr>
          <w:rFonts w:hint="eastAsia" w:ascii="宋体" w:hAnsi="宋体"/>
          <w:b/>
          <w:bCs/>
          <w:color w:val="auto"/>
          <w:sz w:val="24"/>
          <w:highlight w:val="none"/>
        </w:rPr>
        <w:t xml:space="preserve"> </w:t>
      </w:r>
    </w:p>
    <w:p w14:paraId="442D1F01">
      <w:pPr>
        <w:keepNext w:val="0"/>
        <w:keepLines w:val="0"/>
        <w:pageBreakBefore w:val="0"/>
        <w:widowControl w:val="0"/>
        <w:kinsoku/>
        <w:wordWrap/>
        <w:overflowPunct/>
        <w:topLinePunct w:val="0"/>
        <w:autoSpaceDE/>
        <w:autoSpaceDN/>
        <w:bidi w:val="0"/>
        <w:snapToGrid w:val="0"/>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1.投标人应认真阅读本招标文件，发现其中有误或有要求不合理的，投标人必须在投标须知前附表规定的招标文件答疑与澄清截止时间前以书面形式要求招标采购单位澄清。</w:t>
      </w:r>
    </w:p>
    <w:p w14:paraId="645B3C42">
      <w:pPr>
        <w:keepNext w:val="0"/>
        <w:keepLines w:val="0"/>
        <w:pageBreakBefore w:val="0"/>
        <w:widowControl w:val="0"/>
        <w:kinsoku/>
        <w:wordWrap/>
        <w:overflowPunct/>
        <w:topLinePunct w:val="0"/>
        <w:autoSpaceDE/>
        <w:autoSpaceDN/>
        <w:bidi w:val="0"/>
        <w:snapToGrid w:val="0"/>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2.招标采购单位必须以书面形式答复投标人要求澄清的问题，并将不包含问题来源的答复书面通知所有购买招标文件的投标人。</w:t>
      </w:r>
    </w:p>
    <w:p w14:paraId="6928D9DD">
      <w:pPr>
        <w:keepNext w:val="0"/>
        <w:keepLines w:val="0"/>
        <w:pageBreakBefore w:val="0"/>
        <w:widowControl w:val="0"/>
        <w:kinsoku/>
        <w:wordWrap/>
        <w:overflowPunct/>
        <w:topLinePunct w:val="0"/>
        <w:autoSpaceDE/>
        <w:autoSpaceDN/>
        <w:bidi w:val="0"/>
        <w:snapToGrid w:val="0"/>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3.招标采购单位对已发出的招标文件进行必要澄清、答复、修改或补充的，</w:t>
      </w:r>
      <w:r>
        <w:rPr>
          <w:rFonts w:hint="eastAsia" w:ascii="宋体" w:hAnsi="宋体" w:eastAsia="宋体" w:cs="宋体"/>
          <w:color w:val="auto"/>
          <w:sz w:val="24"/>
          <w:szCs w:val="24"/>
          <w:highlight w:val="none"/>
        </w:rPr>
        <w:t>招标代理机构将在规定的时间内</w:t>
      </w:r>
      <w:r>
        <w:rPr>
          <w:rFonts w:hint="eastAsia" w:ascii="宋体" w:hAnsi="宋体"/>
          <w:color w:val="auto"/>
          <w:sz w:val="24"/>
          <w:highlight w:val="none"/>
        </w:rPr>
        <w:t>，</w:t>
      </w:r>
      <w:r>
        <w:rPr>
          <w:rFonts w:hint="eastAsia" w:ascii="宋体" w:hAnsi="宋体" w:eastAsia="宋体" w:cs="宋体"/>
          <w:color w:val="auto"/>
          <w:sz w:val="24"/>
          <w:szCs w:val="24"/>
          <w:highlight w:val="none"/>
        </w:rPr>
        <w:t>财政部门指定的政府采购信息发布媒体上发布更正公告</w:t>
      </w:r>
      <w:r>
        <w:rPr>
          <w:rFonts w:hint="eastAsia" w:ascii="宋体" w:hAnsi="宋体"/>
          <w:color w:val="auto"/>
          <w:sz w:val="24"/>
          <w:highlight w:val="none"/>
        </w:rPr>
        <w:t>，并以</w:t>
      </w:r>
      <w:r>
        <w:rPr>
          <w:rFonts w:hint="eastAsia" w:ascii="宋体" w:hAnsi="宋体"/>
          <w:color w:val="auto"/>
          <w:sz w:val="24"/>
          <w:highlight w:val="none"/>
          <w:lang w:val="en-US" w:eastAsia="zh-CN"/>
        </w:rPr>
        <w:t>公告或</w:t>
      </w:r>
      <w:r>
        <w:rPr>
          <w:rFonts w:hint="eastAsia" w:ascii="宋体" w:hAnsi="宋体"/>
          <w:color w:val="auto"/>
          <w:sz w:val="24"/>
          <w:highlight w:val="none"/>
        </w:rPr>
        <w:t>书面形式通知所有招标文件收受人。</w:t>
      </w:r>
    </w:p>
    <w:p w14:paraId="4A6BBA28">
      <w:pPr>
        <w:keepNext w:val="0"/>
        <w:keepLines w:val="0"/>
        <w:pageBreakBefore w:val="0"/>
        <w:widowControl w:val="0"/>
        <w:kinsoku/>
        <w:wordWrap/>
        <w:overflowPunct/>
        <w:topLinePunct w:val="0"/>
        <w:autoSpaceDE/>
        <w:autoSpaceDN/>
        <w:bidi w:val="0"/>
        <w:snapToGrid w:val="0"/>
        <w:spacing w:line="460" w:lineRule="exact"/>
        <w:ind w:firstLine="480" w:firstLineChars="200"/>
        <w:jc w:val="left"/>
        <w:textAlignment w:val="auto"/>
        <w:rPr>
          <w:rFonts w:hint="eastAsia" w:ascii="宋体" w:hAnsi="宋体" w:cs="宋体"/>
          <w:color w:val="auto"/>
          <w:spacing w:val="-4"/>
          <w:kern w:val="2"/>
          <w:sz w:val="24"/>
          <w:szCs w:val="20"/>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.招标文件澄清、答复、修改、补充的内容为招标文件的组成部分。当招标文件与招标文件的答复、澄清、修改、补充通知就同一内容的表述不一致时，以最后发出的书面文件为准。</w:t>
      </w:r>
    </w:p>
    <w:p w14:paraId="4BD1FC5E">
      <w:pPr>
        <w:pStyle w:val="5"/>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firstLine="482" w:firstLineChars="200"/>
        <w:textAlignment w:val="auto"/>
        <w:outlineLvl w:val="1"/>
        <w:rPr>
          <w:rFonts w:hint="eastAsia"/>
          <w:b/>
          <w:color w:val="auto"/>
          <w:highlight w:val="none"/>
        </w:rPr>
      </w:pPr>
      <w:bookmarkStart w:id="75" w:name="_Toc446245374"/>
      <w:bookmarkEnd w:id="75"/>
      <w:bookmarkStart w:id="76" w:name="_Toc330215465"/>
      <w:bookmarkEnd w:id="76"/>
      <w:bookmarkStart w:id="77" w:name="_Toc381971539"/>
      <w:bookmarkEnd w:id="77"/>
      <w:bookmarkStart w:id="78" w:name="_Toc330212071"/>
      <w:bookmarkEnd w:id="78"/>
      <w:bookmarkStart w:id="79" w:name="_Toc330215267"/>
      <w:bookmarkEnd w:id="79"/>
      <w:bookmarkStart w:id="80" w:name="_Toc446245383"/>
      <w:bookmarkEnd w:id="80"/>
      <w:bookmarkStart w:id="81" w:name="_Toc381971537"/>
      <w:bookmarkEnd w:id="81"/>
      <w:bookmarkStart w:id="82" w:name="_Toc330214712"/>
      <w:bookmarkEnd w:id="82"/>
      <w:bookmarkStart w:id="83" w:name="_Toc400959730"/>
      <w:bookmarkEnd w:id="83"/>
      <w:bookmarkStart w:id="84" w:name="_Toc330214840"/>
      <w:bookmarkEnd w:id="84"/>
      <w:bookmarkStart w:id="85" w:name="_Toc446245379"/>
      <w:bookmarkEnd w:id="85"/>
      <w:bookmarkStart w:id="86" w:name="_Toc446048422"/>
      <w:bookmarkEnd w:id="86"/>
      <w:bookmarkStart w:id="87" w:name="_Toc504504537"/>
      <w:bookmarkStart w:id="88" w:name="_Toc510614922"/>
      <w:bookmarkStart w:id="89" w:name="_Toc536462757"/>
      <w:bookmarkStart w:id="90" w:name="_Toc517896505"/>
      <w:bookmarkStart w:id="91" w:name="_Toc514938674"/>
      <w:bookmarkStart w:id="92" w:name="_Toc514938675"/>
      <w:bookmarkStart w:id="93" w:name="_Toc510614923"/>
      <w:bookmarkStart w:id="94" w:name="_Toc504504566"/>
      <w:bookmarkStart w:id="95" w:name="_Toc517896515"/>
      <w:r>
        <w:rPr>
          <w:rFonts w:hint="eastAsia"/>
          <w:b/>
          <w:color w:val="auto"/>
          <w:highlight w:val="none"/>
        </w:rPr>
        <w:t>三、投标文件的编制</w:t>
      </w:r>
      <w:bookmarkEnd w:id="87"/>
      <w:bookmarkEnd w:id="88"/>
      <w:bookmarkEnd w:id="89"/>
      <w:bookmarkEnd w:id="90"/>
      <w:bookmarkEnd w:id="91"/>
    </w:p>
    <w:p w14:paraId="3D485E7C">
      <w:pPr>
        <w:keepNext w:val="0"/>
        <w:keepLines w:val="0"/>
        <w:pageBreakBefore w:val="0"/>
        <w:widowControl w:val="0"/>
        <w:kinsoku/>
        <w:wordWrap/>
        <w:overflowPunct/>
        <w:topLinePunct w:val="0"/>
        <w:autoSpaceDE/>
        <w:autoSpaceDN/>
        <w:bidi w:val="0"/>
        <w:snapToGrid w:val="0"/>
        <w:spacing w:line="460" w:lineRule="exact"/>
        <w:ind w:firstLine="482" w:firstLineChars="200"/>
        <w:jc w:val="left"/>
        <w:textAlignment w:val="auto"/>
        <w:outlineLvl w:val="2"/>
        <w:rPr>
          <w:rFonts w:hint="eastAsia" w:ascii="宋体" w:hAnsi="宋体"/>
          <w:b/>
          <w:bCs/>
          <w:color w:val="auto"/>
          <w:sz w:val="24"/>
          <w:highlight w:val="none"/>
          <w:lang w:bidi="ar"/>
        </w:rPr>
      </w:pPr>
      <w:bookmarkStart w:id="96" w:name="_Toc177824943"/>
      <w:bookmarkStart w:id="97" w:name="_Toc517896506"/>
      <w:bookmarkStart w:id="98" w:name="_Toc177825124"/>
      <w:bookmarkStart w:id="99" w:name="_Toc177870546"/>
      <w:bookmarkStart w:id="100" w:name="_Toc177824876"/>
      <w:r>
        <w:rPr>
          <w:rFonts w:hint="eastAsia" w:ascii="宋体" w:hAnsi="宋体"/>
          <w:b/>
          <w:color w:val="auto"/>
          <w:sz w:val="24"/>
          <w:highlight w:val="none"/>
        </w:rPr>
        <w:t>（一）投标文件的组成</w:t>
      </w:r>
      <w:bookmarkEnd w:id="96"/>
      <w:bookmarkEnd w:id="97"/>
      <w:bookmarkEnd w:id="98"/>
      <w:bookmarkEnd w:id="99"/>
      <w:bookmarkEnd w:id="100"/>
    </w:p>
    <w:p w14:paraId="77DC9224">
      <w:pPr>
        <w:keepNext w:val="0"/>
        <w:keepLines w:val="0"/>
        <w:pageBreakBefore w:val="0"/>
        <w:widowControl w:val="0"/>
        <w:kinsoku/>
        <w:wordWrap/>
        <w:overflowPunct/>
        <w:topLinePunct w:val="0"/>
        <w:autoSpaceDE/>
        <w:autoSpaceDN/>
        <w:bidi w:val="0"/>
        <w:snapToGrid w:val="0"/>
        <w:spacing w:line="460" w:lineRule="exact"/>
        <w:ind w:left="420" w:leftChars="20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（1）评分索引表（格式见附件）</w:t>
      </w:r>
      <w:r>
        <w:rPr>
          <w:rFonts w:hint="eastAsia" w:ascii="宋体" w:hAnsi="宋体"/>
          <w:color w:val="auto"/>
          <w:sz w:val="24"/>
          <w:highlight w:val="none"/>
          <w:lang w:eastAsia="zh-CN"/>
        </w:rPr>
        <w:t>；</w:t>
      </w:r>
    </w:p>
    <w:p w14:paraId="007EC595">
      <w:pPr>
        <w:keepNext w:val="0"/>
        <w:keepLines w:val="0"/>
        <w:pageBreakBefore w:val="0"/>
        <w:widowControl w:val="0"/>
        <w:kinsoku/>
        <w:wordWrap/>
        <w:overflowPunct/>
        <w:topLinePunct w:val="0"/>
        <w:autoSpaceDE/>
        <w:autoSpaceDN/>
        <w:bidi w:val="0"/>
        <w:snapToGrid w:val="0"/>
        <w:spacing w:line="460" w:lineRule="exact"/>
        <w:ind w:left="420" w:leftChars="200"/>
        <w:jc w:val="left"/>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rPr>
        <w:t>（2）开标一览表（格式见附件）</w:t>
      </w:r>
      <w:r>
        <w:rPr>
          <w:rFonts w:hint="eastAsia" w:ascii="宋体" w:hAnsi="宋体"/>
          <w:color w:val="auto"/>
          <w:sz w:val="24"/>
          <w:highlight w:val="none"/>
          <w:lang w:eastAsia="zh-CN"/>
        </w:rPr>
        <w:t>；</w:t>
      </w:r>
    </w:p>
    <w:p w14:paraId="75C049F8">
      <w:pPr>
        <w:keepNext w:val="0"/>
        <w:keepLines w:val="0"/>
        <w:pageBreakBefore w:val="0"/>
        <w:widowControl w:val="0"/>
        <w:kinsoku/>
        <w:wordWrap/>
        <w:overflowPunct/>
        <w:topLinePunct w:val="0"/>
        <w:autoSpaceDE/>
        <w:autoSpaceDN/>
        <w:bidi w:val="0"/>
        <w:snapToGrid w:val="0"/>
        <w:spacing w:line="460" w:lineRule="exact"/>
        <w:ind w:left="420" w:leftChars="200"/>
        <w:jc w:val="left"/>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rPr>
        <w:t>（3）投标函（格式见附件）；</w:t>
      </w:r>
    </w:p>
    <w:p w14:paraId="2609147C">
      <w:pPr>
        <w:keepNext w:val="0"/>
        <w:keepLines w:val="0"/>
        <w:pageBreakBefore w:val="0"/>
        <w:widowControl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lang w:eastAsia="zh-CN"/>
        </w:rPr>
        <w:t>单位负责人）</w:t>
      </w:r>
      <w:r>
        <w:rPr>
          <w:rFonts w:hint="eastAsia" w:ascii="宋体" w:hAnsi="宋体" w:eastAsia="宋体" w:cs="宋体"/>
          <w:color w:val="auto"/>
          <w:sz w:val="24"/>
          <w:szCs w:val="24"/>
          <w:highlight w:val="none"/>
        </w:rPr>
        <w:t>身份证明书</w:t>
      </w:r>
      <w:r>
        <w:rPr>
          <w:rFonts w:hint="eastAsia" w:ascii="宋体" w:hAnsi="宋体"/>
          <w:color w:val="auto"/>
          <w:sz w:val="24"/>
          <w:highlight w:val="none"/>
        </w:rPr>
        <w:t>、授权委托书及授权代理人有效身份证明（若委托）(格式见附件)；</w:t>
      </w:r>
    </w:p>
    <w:p w14:paraId="65E8D77A">
      <w:pPr>
        <w:keepNext w:val="0"/>
        <w:keepLines w:val="0"/>
        <w:pageBreakBefore w:val="0"/>
        <w:widowControl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）提供有效的营业执照复印件并加盖公司公章；事业单位的，则提供有效的《事业单位法人证书》副本复印件并加盖单位公章；自然人的，则提供有效的身份证复印件并签字；</w:t>
      </w:r>
    </w:p>
    <w:p w14:paraId="61CB7156">
      <w:pPr>
        <w:keepNext w:val="0"/>
        <w:keepLines w:val="0"/>
        <w:pageBreakBefore w:val="0"/>
        <w:widowControl w:val="0"/>
        <w:kinsoku/>
        <w:wordWrap/>
        <w:overflowPunct/>
        <w:topLinePunct w:val="0"/>
        <w:autoSpaceDE/>
        <w:autoSpaceDN/>
        <w:bidi w:val="0"/>
        <w:snapToGrid w:val="0"/>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）提供</w:t>
      </w:r>
      <w:r>
        <w:rPr>
          <w:rFonts w:hint="eastAsia" w:ascii="宋体" w:hAnsi="宋体" w:cs="宋体"/>
          <w:bCs/>
          <w:color w:val="auto"/>
          <w:sz w:val="24"/>
          <w:highlight w:val="none"/>
          <w:lang w:bidi="ar"/>
        </w:rPr>
        <w:t>有效的中华人民共和国金融许可证</w:t>
      </w:r>
      <w:r>
        <w:rPr>
          <w:rFonts w:hint="eastAsia" w:ascii="宋体" w:hAnsi="宋体" w:cs="宋体"/>
          <w:bCs/>
          <w:color w:val="auto"/>
          <w:sz w:val="24"/>
          <w:highlight w:val="none"/>
          <w:lang w:val="en-US" w:eastAsia="zh-CN" w:bidi="ar"/>
        </w:rPr>
        <w:t>复印件</w:t>
      </w:r>
      <w:r>
        <w:rPr>
          <w:rFonts w:hint="eastAsia" w:ascii="宋体" w:hAnsi="宋体" w:cs="宋体"/>
          <w:bCs/>
          <w:color w:val="auto"/>
          <w:sz w:val="24"/>
          <w:highlight w:val="none"/>
          <w:lang w:bidi="ar"/>
        </w:rPr>
        <w:t>；</w:t>
      </w:r>
    </w:p>
    <w:p w14:paraId="57ACE042">
      <w:pPr>
        <w:keepNext w:val="0"/>
        <w:keepLines w:val="0"/>
        <w:pageBreakBefore w:val="0"/>
        <w:widowControl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olor w:val="auto"/>
          <w:sz w:val="24"/>
          <w:highlight w:val="none"/>
          <w:lang w:eastAsia="zh-CN"/>
        </w:rPr>
      </w:pPr>
      <w:r>
        <w:rPr>
          <w:rFonts w:hint="eastAsia" w:ascii="宋体" w:hAnsi="宋体"/>
          <w:bCs/>
          <w:color w:val="auto"/>
          <w:sz w:val="24"/>
          <w:highlight w:val="none"/>
          <w:lang w:bidi="ar"/>
        </w:rPr>
        <w:t>（</w:t>
      </w:r>
      <w:r>
        <w:rPr>
          <w:rFonts w:hint="eastAsia" w:ascii="宋体" w:hAnsi="宋体"/>
          <w:bCs/>
          <w:color w:val="auto"/>
          <w:sz w:val="24"/>
          <w:highlight w:val="none"/>
          <w:lang w:val="en-US" w:eastAsia="zh-CN" w:bidi="ar"/>
        </w:rPr>
        <w:t>7</w:t>
      </w:r>
      <w:r>
        <w:rPr>
          <w:rFonts w:hint="eastAsia" w:ascii="宋体" w:hAnsi="宋体"/>
          <w:bCs/>
          <w:color w:val="auto"/>
          <w:sz w:val="24"/>
          <w:highlight w:val="none"/>
          <w:lang w:bidi="ar"/>
        </w:rPr>
        <w:t>）廉政承诺书</w:t>
      </w:r>
      <w:r>
        <w:rPr>
          <w:rFonts w:hint="eastAsia" w:ascii="宋体" w:hAnsi="宋体"/>
          <w:color w:val="auto"/>
          <w:sz w:val="24"/>
          <w:highlight w:val="none"/>
        </w:rPr>
        <w:t>（格式见附件）</w:t>
      </w:r>
      <w:r>
        <w:rPr>
          <w:rFonts w:hint="eastAsia" w:ascii="宋体" w:hAnsi="宋体"/>
          <w:color w:val="auto"/>
          <w:sz w:val="24"/>
          <w:highlight w:val="none"/>
          <w:lang w:eastAsia="zh-CN"/>
        </w:rPr>
        <w:t>；</w:t>
      </w:r>
    </w:p>
    <w:p w14:paraId="6AF3B6F7">
      <w:pPr>
        <w:keepNext w:val="0"/>
        <w:keepLines w:val="0"/>
        <w:pageBreakBefore w:val="0"/>
        <w:widowControl w:val="0"/>
        <w:kinsoku/>
        <w:wordWrap/>
        <w:overflowPunct/>
        <w:topLinePunct w:val="0"/>
        <w:autoSpaceDE/>
        <w:autoSpaceDN/>
        <w:bidi w:val="0"/>
        <w:snapToGrid w:val="0"/>
        <w:spacing w:line="460" w:lineRule="exact"/>
        <w:ind w:firstLine="480" w:firstLineChars="200"/>
        <w:jc w:val="left"/>
        <w:textAlignment w:val="auto"/>
        <w:rPr>
          <w:rFonts w:hint="eastAsia" w:ascii="宋体" w:hAnsi="宋体"/>
          <w:bCs/>
          <w:color w:val="auto"/>
          <w:sz w:val="24"/>
          <w:highlight w:val="none"/>
          <w:lang w:bidi="ar"/>
        </w:rPr>
      </w:pPr>
      <w:r>
        <w:rPr>
          <w:rFonts w:hint="eastAsia" w:ascii="宋体" w:hAnsi="宋体"/>
          <w:bCs/>
          <w:color w:val="auto"/>
          <w:sz w:val="24"/>
          <w:highlight w:val="none"/>
          <w:lang w:bidi="ar"/>
        </w:rPr>
        <w:t>（</w:t>
      </w:r>
      <w:r>
        <w:rPr>
          <w:rFonts w:hint="eastAsia" w:ascii="宋体" w:hAnsi="宋体"/>
          <w:bCs/>
          <w:color w:val="auto"/>
          <w:sz w:val="24"/>
          <w:highlight w:val="none"/>
          <w:lang w:val="en-US" w:eastAsia="zh-CN" w:bidi="ar"/>
        </w:rPr>
        <w:t>8</w:t>
      </w:r>
      <w:r>
        <w:rPr>
          <w:rFonts w:hint="eastAsia" w:ascii="宋体" w:hAnsi="宋体"/>
          <w:bCs/>
          <w:color w:val="auto"/>
          <w:sz w:val="24"/>
          <w:highlight w:val="none"/>
          <w:lang w:bidi="ar"/>
        </w:rPr>
        <w:t>）</w:t>
      </w:r>
      <w:r>
        <w:rPr>
          <w:rFonts w:hint="eastAsia" w:ascii="宋体" w:hAnsi="宋体" w:cs="宋体"/>
          <w:color w:val="auto"/>
          <w:sz w:val="24"/>
          <w:highlight w:val="none"/>
        </w:rPr>
        <w:t>服务水平（</w:t>
      </w:r>
      <w:r>
        <w:rPr>
          <w:rFonts w:hint="eastAsia" w:ascii="宋体" w:hAnsi="宋体"/>
          <w:bCs/>
          <w:color w:val="auto"/>
          <w:sz w:val="24"/>
          <w:highlight w:val="none"/>
          <w:lang w:bidi="ar"/>
        </w:rPr>
        <w:t>格式自拟）；</w:t>
      </w:r>
    </w:p>
    <w:p w14:paraId="460C3E69">
      <w:pPr>
        <w:keepNext w:val="0"/>
        <w:keepLines w:val="0"/>
        <w:pageBreakBefore w:val="0"/>
        <w:widowControl w:val="0"/>
        <w:kinsoku/>
        <w:wordWrap/>
        <w:overflowPunct/>
        <w:topLinePunct w:val="0"/>
        <w:autoSpaceDE/>
        <w:autoSpaceDN/>
        <w:bidi w:val="0"/>
        <w:snapToGrid w:val="0"/>
        <w:spacing w:line="460" w:lineRule="exact"/>
        <w:ind w:firstLine="480" w:firstLineChars="200"/>
        <w:jc w:val="left"/>
        <w:textAlignment w:val="auto"/>
        <w:rPr>
          <w:rFonts w:hint="eastAsia" w:ascii="宋体" w:hAnsi="宋体"/>
          <w:bCs/>
          <w:color w:val="auto"/>
          <w:sz w:val="24"/>
          <w:highlight w:val="none"/>
          <w:lang w:bidi="ar"/>
        </w:rPr>
      </w:pPr>
      <w:r>
        <w:rPr>
          <w:rFonts w:hint="eastAsia" w:ascii="宋体" w:hAnsi="宋体"/>
          <w:bCs/>
          <w:color w:val="auto"/>
          <w:sz w:val="24"/>
          <w:highlight w:val="none"/>
          <w:lang w:bidi="ar"/>
        </w:rPr>
        <w:t>（</w:t>
      </w:r>
      <w:r>
        <w:rPr>
          <w:rFonts w:hint="eastAsia" w:ascii="宋体" w:hAnsi="宋体"/>
          <w:bCs/>
          <w:color w:val="auto"/>
          <w:sz w:val="24"/>
          <w:highlight w:val="none"/>
          <w:lang w:val="en-US" w:eastAsia="zh-CN" w:bidi="ar"/>
        </w:rPr>
        <w:t>9</w:t>
      </w:r>
      <w:r>
        <w:rPr>
          <w:rFonts w:hint="eastAsia" w:ascii="宋体" w:hAnsi="宋体"/>
          <w:bCs/>
          <w:color w:val="auto"/>
          <w:sz w:val="24"/>
          <w:highlight w:val="none"/>
          <w:lang w:bidi="ar"/>
        </w:rPr>
        <w:t>）类似业绩证明材料（</w:t>
      </w:r>
      <w:r>
        <w:rPr>
          <w:rFonts w:hint="eastAsia" w:ascii="宋体" w:hAnsi="宋体"/>
          <w:bCs/>
          <w:color w:val="auto"/>
          <w:sz w:val="24"/>
          <w:highlight w:val="none"/>
          <w:lang w:val="en-US" w:eastAsia="zh-CN" w:bidi="ar"/>
        </w:rPr>
        <w:t>提供</w:t>
      </w:r>
      <w:r>
        <w:rPr>
          <w:rFonts w:hint="eastAsia" w:ascii="宋体" w:hAnsi="宋体"/>
          <w:bCs/>
          <w:color w:val="auto"/>
          <w:sz w:val="24"/>
          <w:highlight w:val="none"/>
          <w:lang w:bidi="ar"/>
        </w:rPr>
        <w:t>中标通知书和合同协议书）；</w:t>
      </w:r>
    </w:p>
    <w:p w14:paraId="074F581A">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bCs/>
          <w:color w:val="auto"/>
          <w:sz w:val="24"/>
          <w:highlight w:val="none"/>
          <w:lang w:bidi="ar"/>
        </w:rPr>
      </w:pPr>
      <w:r>
        <w:rPr>
          <w:rFonts w:hint="eastAsia" w:ascii="宋体" w:hAnsi="宋体"/>
          <w:bCs/>
          <w:color w:val="auto"/>
          <w:sz w:val="24"/>
          <w:highlight w:val="none"/>
          <w:lang w:bidi="ar"/>
        </w:rPr>
        <w:t>（</w:t>
      </w:r>
      <w:r>
        <w:rPr>
          <w:rFonts w:hint="eastAsia" w:ascii="宋体" w:hAnsi="宋体"/>
          <w:bCs/>
          <w:color w:val="auto"/>
          <w:sz w:val="24"/>
          <w:highlight w:val="none"/>
          <w:lang w:val="en-US" w:eastAsia="zh-CN" w:bidi="ar"/>
        </w:rPr>
        <w:t>10</w:t>
      </w:r>
      <w:r>
        <w:rPr>
          <w:rFonts w:hint="eastAsia" w:ascii="宋体" w:hAnsi="宋体"/>
          <w:bCs/>
          <w:color w:val="auto"/>
          <w:sz w:val="24"/>
          <w:highlight w:val="none"/>
          <w:lang w:bidi="ar"/>
        </w:rPr>
        <w:t>）投标人针对本项评标有关的其他证明材料（如有）；</w:t>
      </w:r>
    </w:p>
    <w:p w14:paraId="71DD9F1D">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b/>
          <w:bCs/>
          <w:color w:val="auto"/>
          <w:sz w:val="24"/>
          <w:highlight w:val="none"/>
        </w:rPr>
      </w:pPr>
      <w:r>
        <w:rPr>
          <w:rFonts w:hint="eastAsia" w:ascii="宋体" w:hAnsi="宋体"/>
          <w:bCs/>
          <w:color w:val="auto"/>
          <w:sz w:val="24"/>
          <w:highlight w:val="none"/>
          <w:lang w:bidi="ar"/>
        </w:rPr>
        <w:t>注：所有</w:t>
      </w:r>
      <w:r>
        <w:rPr>
          <w:rFonts w:hint="eastAsia" w:ascii="宋体" w:hAnsi="宋体"/>
          <w:bCs/>
          <w:color w:val="auto"/>
          <w:sz w:val="24"/>
          <w:highlight w:val="none"/>
          <w:lang w:val="en-US" w:eastAsia="zh-CN" w:bidi="ar"/>
        </w:rPr>
        <w:t>扫描件或</w:t>
      </w:r>
      <w:r>
        <w:rPr>
          <w:rFonts w:hint="eastAsia" w:ascii="宋体" w:hAnsi="宋体"/>
          <w:bCs/>
          <w:color w:val="auto"/>
          <w:sz w:val="24"/>
          <w:highlight w:val="none"/>
          <w:lang w:bidi="ar"/>
        </w:rPr>
        <w:t>复印件在提供时仔细检查当期是否有效，并加盖电子签章</w:t>
      </w:r>
      <w:r>
        <w:rPr>
          <w:rFonts w:hint="eastAsia" w:ascii="宋体" w:hAnsi="宋体"/>
          <w:bCs/>
          <w:color w:val="auto"/>
          <w:sz w:val="24"/>
          <w:highlight w:val="none"/>
          <w:lang w:val="en-US" w:eastAsia="zh-CN" w:bidi="ar"/>
        </w:rPr>
        <w:t>或</w:t>
      </w:r>
      <w:r>
        <w:rPr>
          <w:rFonts w:hint="eastAsia" w:ascii="宋体" w:hAnsi="宋体"/>
          <w:bCs/>
          <w:color w:val="auto"/>
          <w:sz w:val="24"/>
          <w:highlight w:val="none"/>
          <w:lang w:bidi="ar"/>
        </w:rPr>
        <w:t>单位公章。</w:t>
      </w:r>
    </w:p>
    <w:p w14:paraId="635D5424">
      <w:pPr>
        <w:keepNext w:val="0"/>
        <w:keepLines w:val="0"/>
        <w:pageBreakBefore w:val="0"/>
        <w:widowControl w:val="0"/>
        <w:kinsoku/>
        <w:wordWrap/>
        <w:overflowPunct/>
        <w:topLinePunct w:val="0"/>
        <w:autoSpaceDE/>
        <w:autoSpaceDN/>
        <w:bidi w:val="0"/>
        <w:snapToGrid w:val="0"/>
        <w:spacing w:line="460" w:lineRule="exact"/>
        <w:ind w:firstLine="482" w:firstLineChars="200"/>
        <w:jc w:val="left"/>
        <w:textAlignment w:val="auto"/>
        <w:outlineLvl w:val="2"/>
        <w:rPr>
          <w:rFonts w:hint="eastAsia" w:ascii="宋体" w:hAnsi="宋体"/>
          <w:b/>
          <w:color w:val="auto"/>
          <w:sz w:val="24"/>
          <w:highlight w:val="none"/>
        </w:rPr>
      </w:pPr>
      <w:bookmarkStart w:id="101" w:name="_Toc517896507"/>
      <w:bookmarkStart w:id="102" w:name="_Toc504504538"/>
      <w:r>
        <w:rPr>
          <w:rFonts w:hint="eastAsia" w:ascii="宋体" w:hAnsi="宋体"/>
          <w:b/>
          <w:color w:val="auto"/>
          <w:sz w:val="24"/>
          <w:highlight w:val="none"/>
        </w:rPr>
        <w:t>（二）投标文件的语言及计量</w:t>
      </w:r>
      <w:bookmarkEnd w:id="101"/>
      <w:bookmarkEnd w:id="102"/>
    </w:p>
    <w:p w14:paraId="564B4D82">
      <w:pPr>
        <w:keepNext w:val="0"/>
        <w:keepLines w:val="0"/>
        <w:pageBreakBefore w:val="0"/>
        <w:widowControl w:val="0"/>
        <w:kinsoku/>
        <w:wordWrap/>
        <w:overflowPunct/>
        <w:topLinePunct w:val="0"/>
        <w:autoSpaceDE/>
        <w:autoSpaceDN/>
        <w:bidi w:val="0"/>
        <w:snapToGrid w:val="0"/>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1.投标文件以及投标人与招标方就有关投标事宜的所有来往函电，均应以中文汉语书写。除签名、盖章、专用名称等特殊情形外，以中文汉语以外的文字表述的投标文件视同未提供。</w:t>
      </w:r>
    </w:p>
    <w:p w14:paraId="3D19601E">
      <w:pPr>
        <w:keepNext w:val="0"/>
        <w:keepLines w:val="0"/>
        <w:pageBreakBefore w:val="0"/>
        <w:widowControl w:val="0"/>
        <w:kinsoku/>
        <w:wordWrap/>
        <w:overflowPunct/>
        <w:topLinePunct w:val="0"/>
        <w:autoSpaceDE/>
        <w:autoSpaceDN/>
        <w:bidi w:val="0"/>
        <w:snapToGrid w:val="0"/>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2.投标计量单位，招标文件已有明确规定的，使用招标文件规定的计量单位；招标文件没有规定的，应采用中华人民共和国法定计量单位（货币单位：人民币元），否则视同未响应。</w:t>
      </w:r>
    </w:p>
    <w:p w14:paraId="3E14BBE3">
      <w:pPr>
        <w:keepNext w:val="0"/>
        <w:keepLines w:val="0"/>
        <w:pageBreakBefore w:val="0"/>
        <w:widowControl w:val="0"/>
        <w:kinsoku/>
        <w:wordWrap/>
        <w:overflowPunct/>
        <w:topLinePunct w:val="0"/>
        <w:autoSpaceDE/>
        <w:autoSpaceDN/>
        <w:bidi w:val="0"/>
        <w:snapToGrid w:val="0"/>
        <w:spacing w:line="460" w:lineRule="exact"/>
        <w:ind w:firstLine="482" w:firstLineChars="200"/>
        <w:jc w:val="left"/>
        <w:textAlignment w:val="auto"/>
        <w:outlineLvl w:val="2"/>
        <w:rPr>
          <w:rFonts w:hint="eastAsia" w:ascii="宋体" w:hAnsi="宋体"/>
          <w:b/>
          <w:color w:val="auto"/>
          <w:sz w:val="24"/>
          <w:highlight w:val="none"/>
        </w:rPr>
      </w:pPr>
      <w:bookmarkStart w:id="103" w:name="_Toc504504539"/>
      <w:bookmarkStart w:id="104" w:name="_Toc517896508"/>
      <w:r>
        <w:rPr>
          <w:rFonts w:hint="eastAsia" w:ascii="宋体" w:hAnsi="宋体"/>
          <w:b/>
          <w:color w:val="auto"/>
          <w:sz w:val="24"/>
          <w:highlight w:val="none"/>
        </w:rPr>
        <w:t>（三）投标报价</w:t>
      </w:r>
      <w:bookmarkEnd w:id="103"/>
      <w:bookmarkEnd w:id="104"/>
    </w:p>
    <w:p w14:paraId="7588C082">
      <w:pPr>
        <w:keepNext w:val="0"/>
        <w:keepLines w:val="0"/>
        <w:pageBreakBefore w:val="0"/>
        <w:widowControl w:val="0"/>
        <w:kinsoku/>
        <w:wordWrap/>
        <w:overflowPunct/>
        <w:topLinePunct w:val="0"/>
        <w:autoSpaceDE/>
        <w:autoSpaceDN/>
        <w:bidi w:val="0"/>
        <w:snapToGrid w:val="0"/>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1.投标报价应按招标文件中相关附表格式填写。</w:t>
      </w:r>
    </w:p>
    <w:p w14:paraId="38589A98">
      <w:pPr>
        <w:keepNext w:val="0"/>
        <w:keepLines w:val="0"/>
        <w:pageBreakBefore w:val="0"/>
        <w:widowControl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2.投标报价是履行合同的最终价格，即完成本项目服务内容和要求所产生的所有费用</w:t>
      </w:r>
      <w:r>
        <w:rPr>
          <w:rFonts w:hint="eastAsia" w:ascii="宋体" w:hAnsi="宋体"/>
          <w:color w:val="auto"/>
          <w:sz w:val="24"/>
          <w:highlight w:val="none"/>
          <w:lang w:eastAsia="zh-CN"/>
        </w:rPr>
        <w:t>。</w:t>
      </w:r>
    </w:p>
    <w:p w14:paraId="5E423E92">
      <w:pPr>
        <w:keepNext w:val="0"/>
        <w:keepLines w:val="0"/>
        <w:pageBreakBefore w:val="0"/>
        <w:widowControl w:val="0"/>
        <w:kinsoku/>
        <w:wordWrap/>
        <w:overflowPunct/>
        <w:topLinePunct w:val="0"/>
        <w:autoSpaceDE/>
        <w:autoSpaceDN/>
        <w:bidi w:val="0"/>
        <w:snapToGrid w:val="0"/>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3.投标文件只允许有一个报价，有选择的报价将不予接受。</w:t>
      </w:r>
    </w:p>
    <w:p w14:paraId="0C2E40F5">
      <w:pPr>
        <w:keepNext w:val="0"/>
        <w:keepLines w:val="0"/>
        <w:pageBreakBefore w:val="0"/>
        <w:widowControl w:val="0"/>
        <w:kinsoku/>
        <w:wordWrap/>
        <w:overflowPunct/>
        <w:topLinePunct w:val="0"/>
        <w:autoSpaceDE/>
        <w:autoSpaceDN/>
        <w:bidi w:val="0"/>
        <w:snapToGrid w:val="0"/>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4.投标人应充分考虑因各种原因可能发生的费用。对没有填报的费用，招标人认为所有费用已包含在总价中，除合同条款另有规定外，不得进行调整。</w:t>
      </w:r>
    </w:p>
    <w:p w14:paraId="1E785C83">
      <w:pPr>
        <w:keepNext w:val="0"/>
        <w:keepLines w:val="0"/>
        <w:pageBreakBefore w:val="0"/>
        <w:widowControl w:val="0"/>
        <w:kinsoku/>
        <w:wordWrap/>
        <w:overflowPunct/>
        <w:topLinePunct w:val="0"/>
        <w:autoSpaceDE/>
        <w:autoSpaceDN/>
        <w:bidi w:val="0"/>
        <w:snapToGrid w:val="0"/>
        <w:spacing w:line="460" w:lineRule="exact"/>
        <w:ind w:firstLine="480" w:firstLineChars="200"/>
        <w:jc w:val="left"/>
        <w:textAlignment w:val="auto"/>
        <w:rPr>
          <w:rFonts w:hint="eastAsia" w:ascii="宋体" w:hAnsi="宋体"/>
          <w:bCs/>
          <w:color w:val="auto"/>
          <w:sz w:val="24"/>
          <w:highlight w:val="none"/>
        </w:rPr>
      </w:pPr>
      <w:r>
        <w:rPr>
          <w:rFonts w:hint="eastAsia" w:ascii="宋体" w:hAnsi="宋体"/>
          <w:bCs/>
          <w:color w:val="auto"/>
          <w:sz w:val="24"/>
          <w:highlight w:val="none"/>
        </w:rPr>
        <w:t>5.投标报价必须合理，经评委认定为明显不合理的报价将被取消中标资格。</w:t>
      </w:r>
    </w:p>
    <w:p w14:paraId="1CB56DE0">
      <w:pPr>
        <w:keepNext w:val="0"/>
        <w:keepLines w:val="0"/>
        <w:pageBreakBefore w:val="0"/>
        <w:widowControl w:val="0"/>
        <w:kinsoku/>
        <w:wordWrap/>
        <w:overflowPunct/>
        <w:topLinePunct w:val="0"/>
        <w:autoSpaceDE/>
        <w:autoSpaceDN/>
        <w:bidi w:val="0"/>
        <w:snapToGrid w:val="0"/>
        <w:spacing w:line="460" w:lineRule="exact"/>
        <w:ind w:firstLine="482" w:firstLineChars="200"/>
        <w:jc w:val="left"/>
        <w:textAlignment w:val="auto"/>
        <w:outlineLvl w:val="2"/>
        <w:rPr>
          <w:rFonts w:hint="eastAsia" w:ascii="宋体" w:hAnsi="宋体"/>
          <w:b/>
          <w:color w:val="auto"/>
          <w:sz w:val="24"/>
          <w:highlight w:val="none"/>
        </w:rPr>
      </w:pPr>
      <w:bookmarkStart w:id="105" w:name="_Toc517896509"/>
      <w:bookmarkStart w:id="106" w:name="_Toc504504540"/>
      <w:r>
        <w:rPr>
          <w:rFonts w:hint="eastAsia" w:ascii="宋体" w:hAnsi="宋体"/>
          <w:b/>
          <w:color w:val="auto"/>
          <w:sz w:val="24"/>
          <w:highlight w:val="none"/>
        </w:rPr>
        <w:t>（四）投标文件的有效期</w:t>
      </w:r>
      <w:bookmarkEnd w:id="105"/>
      <w:bookmarkEnd w:id="106"/>
    </w:p>
    <w:p w14:paraId="02DA90D2">
      <w:pPr>
        <w:keepNext w:val="0"/>
        <w:keepLines w:val="0"/>
        <w:pageBreakBefore w:val="0"/>
        <w:widowControl w:val="0"/>
        <w:kinsoku/>
        <w:wordWrap/>
        <w:overflowPunct/>
        <w:topLinePunct w:val="0"/>
        <w:autoSpaceDE/>
        <w:autoSpaceDN/>
        <w:bidi w:val="0"/>
        <w:snapToGrid w:val="0"/>
        <w:spacing w:line="460" w:lineRule="exact"/>
        <w:ind w:firstLine="480" w:firstLineChars="200"/>
        <w:jc w:val="left"/>
        <w:textAlignment w:val="auto"/>
        <w:rPr>
          <w:rFonts w:hint="eastAsia" w:ascii="宋体" w:hAnsi="宋体"/>
          <w:color w:val="auto"/>
          <w:sz w:val="24"/>
          <w:highlight w:val="none"/>
        </w:rPr>
      </w:pPr>
      <w:r>
        <w:rPr>
          <w:rFonts w:hint="eastAsia" w:ascii="宋体" w:hAnsi="宋体" w:cs="宋体"/>
          <w:color w:val="auto"/>
          <w:sz w:val="24"/>
          <w:highlight w:val="none"/>
        </w:rPr>
        <w:t xml:space="preserve"> </w:t>
      </w:r>
      <w:r>
        <w:rPr>
          <w:rFonts w:hint="eastAsia" w:ascii="宋体" w:hAnsi="宋体"/>
          <w:color w:val="auto"/>
          <w:sz w:val="24"/>
          <w:highlight w:val="none"/>
        </w:rPr>
        <w:t>1.自投标截止日起90天内投标文件应保持有效。有效期不足的投标文件将被拒绝。</w:t>
      </w:r>
    </w:p>
    <w:p w14:paraId="65E1E564">
      <w:pPr>
        <w:keepNext w:val="0"/>
        <w:keepLines w:val="0"/>
        <w:pageBreakBefore w:val="0"/>
        <w:widowControl w:val="0"/>
        <w:kinsoku/>
        <w:wordWrap/>
        <w:overflowPunct/>
        <w:topLinePunct w:val="0"/>
        <w:autoSpaceDE/>
        <w:autoSpaceDN/>
        <w:bidi w:val="0"/>
        <w:snapToGrid w:val="0"/>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 xml:space="preserve"> 2.在特殊情况下，招标人可与投标人协商延长投标书的有效期，这种要求和答复均以书面形式进行。</w:t>
      </w:r>
    </w:p>
    <w:p w14:paraId="1E1B1566">
      <w:pPr>
        <w:keepNext w:val="0"/>
        <w:keepLines w:val="0"/>
        <w:pageBreakBefore w:val="0"/>
        <w:widowControl w:val="0"/>
        <w:kinsoku/>
        <w:wordWrap/>
        <w:overflowPunct/>
        <w:topLinePunct w:val="0"/>
        <w:autoSpaceDE/>
        <w:autoSpaceDN/>
        <w:bidi w:val="0"/>
        <w:snapToGrid w:val="0"/>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 xml:space="preserve"> 3.投标人可拒绝接受延期要求。同意延长有效期的投标人，不能修改投标文件。 </w:t>
      </w:r>
    </w:p>
    <w:p w14:paraId="1D2F1574">
      <w:pPr>
        <w:keepNext w:val="0"/>
        <w:keepLines w:val="0"/>
        <w:pageBreakBefore w:val="0"/>
        <w:widowControl w:val="0"/>
        <w:kinsoku/>
        <w:wordWrap/>
        <w:overflowPunct/>
        <w:topLinePunct w:val="0"/>
        <w:autoSpaceDE/>
        <w:autoSpaceDN/>
        <w:bidi w:val="0"/>
        <w:snapToGrid w:val="0"/>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 xml:space="preserve"> 4.中标供应商的投标文件自开标之日起至合同履行完毕止均应保持有效。</w:t>
      </w:r>
    </w:p>
    <w:p w14:paraId="7D09D1E5">
      <w:pPr>
        <w:keepNext w:val="0"/>
        <w:keepLines w:val="0"/>
        <w:pageBreakBefore w:val="0"/>
        <w:widowControl w:val="0"/>
        <w:kinsoku/>
        <w:wordWrap/>
        <w:overflowPunct/>
        <w:topLinePunct w:val="0"/>
        <w:autoSpaceDE/>
        <w:autoSpaceDN/>
        <w:bidi w:val="0"/>
        <w:snapToGrid w:val="0"/>
        <w:spacing w:line="460" w:lineRule="exact"/>
        <w:ind w:firstLine="482" w:firstLineChars="200"/>
        <w:jc w:val="left"/>
        <w:textAlignment w:val="auto"/>
        <w:outlineLvl w:val="2"/>
        <w:rPr>
          <w:rFonts w:hint="default" w:ascii="宋体" w:hAnsi="宋体" w:eastAsia="宋体" w:cs="宋体"/>
          <w:b/>
          <w:color w:val="auto"/>
          <w:sz w:val="24"/>
          <w:highlight w:val="none"/>
          <w:lang w:val="en-US" w:eastAsia="zh-CN"/>
        </w:rPr>
      </w:pPr>
      <w:bookmarkStart w:id="107" w:name="_Toc517896511"/>
      <w:bookmarkStart w:id="108" w:name="_Toc504504549"/>
      <w:r>
        <w:rPr>
          <w:rFonts w:hint="eastAsia" w:ascii="宋体" w:hAnsi="宋体"/>
          <w:b/>
          <w:color w:val="auto"/>
          <w:sz w:val="24"/>
          <w:highlight w:val="none"/>
        </w:rPr>
        <w:t>（五）投标文件的签署</w:t>
      </w:r>
      <w:bookmarkEnd w:id="107"/>
      <w:bookmarkEnd w:id="108"/>
      <w:r>
        <w:rPr>
          <w:rFonts w:hint="eastAsia" w:ascii="宋体" w:hAnsi="宋体"/>
          <w:b/>
          <w:color w:val="auto"/>
          <w:sz w:val="24"/>
          <w:highlight w:val="none"/>
          <w:lang w:eastAsia="zh-CN"/>
        </w:rPr>
        <w:t>、</w:t>
      </w:r>
      <w:r>
        <w:rPr>
          <w:rFonts w:hint="eastAsia" w:ascii="宋体" w:hAnsi="宋体"/>
          <w:b/>
          <w:color w:val="auto"/>
          <w:sz w:val="24"/>
          <w:highlight w:val="none"/>
          <w:lang w:val="en-US" w:eastAsia="zh-CN"/>
        </w:rPr>
        <w:t>盖章</w:t>
      </w:r>
    </w:p>
    <w:p w14:paraId="036776A2">
      <w:pPr>
        <w:keepNext w:val="0"/>
        <w:keepLines w:val="0"/>
        <w:pageBreakBefore w:val="0"/>
        <w:widowControl w:val="0"/>
        <w:kinsoku/>
        <w:wordWrap/>
        <w:overflowPunct/>
        <w:topLinePunct w:val="0"/>
        <w:autoSpaceDE/>
        <w:autoSpaceDN/>
        <w:bidi w:val="0"/>
        <w:snapToGrid w:val="0"/>
        <w:spacing w:line="460" w:lineRule="exact"/>
        <w:ind w:firstLine="480" w:firstLineChars="200"/>
        <w:jc w:val="left"/>
        <w:textAlignment w:val="auto"/>
        <w:rPr>
          <w:rFonts w:hint="eastAsia" w:ascii="宋体" w:hAnsi="宋体" w:cs="宋体"/>
          <w:bCs/>
          <w:color w:val="auto"/>
          <w:sz w:val="24"/>
          <w:highlight w:val="none"/>
        </w:rPr>
      </w:pPr>
      <w:r>
        <w:rPr>
          <w:rFonts w:hint="eastAsia" w:ascii="宋体" w:hAnsi="宋体" w:cs="宋体"/>
          <w:bCs/>
          <w:color w:val="auto"/>
          <w:sz w:val="24"/>
          <w:highlight w:val="none"/>
        </w:rPr>
        <w:t>1.投标人应按照招标文件和政府采购云平台的要求，根据投标文件的组成规定的内容及顺序通过政采云电子交易客户端（政采云投标客户端）编制加密投标文件或在线直接上传已盖章的投标文件（PDF版本），投标文件内容不完整、编排混乱导致投标文件被误读、漏读或者查找不到相关内容的，是投标人的责任。如因投标人原因提前泄露投标报价，是投标人的责任。</w:t>
      </w:r>
    </w:p>
    <w:p w14:paraId="499C6198">
      <w:pPr>
        <w:keepNext w:val="0"/>
        <w:keepLines w:val="0"/>
        <w:pageBreakBefore w:val="0"/>
        <w:widowControl w:val="0"/>
        <w:kinsoku/>
        <w:wordWrap/>
        <w:overflowPunct/>
        <w:topLinePunct w:val="0"/>
        <w:autoSpaceDE/>
        <w:autoSpaceDN/>
        <w:bidi w:val="0"/>
        <w:snapToGrid w:val="0"/>
        <w:spacing w:line="460" w:lineRule="exact"/>
        <w:ind w:firstLine="480" w:firstLineChars="200"/>
        <w:jc w:val="left"/>
        <w:textAlignment w:val="auto"/>
        <w:rPr>
          <w:rFonts w:hint="eastAsia" w:ascii="宋体" w:hAnsi="宋体" w:cs="宋体"/>
          <w:bCs/>
          <w:color w:val="auto"/>
          <w:sz w:val="24"/>
          <w:highlight w:val="none"/>
        </w:rPr>
      </w:pPr>
      <w:r>
        <w:rPr>
          <w:rFonts w:hint="eastAsia" w:ascii="宋体" w:hAnsi="宋体" w:cs="宋体"/>
          <w:bCs/>
          <w:color w:val="auto"/>
          <w:sz w:val="24"/>
          <w:highlight w:val="none"/>
        </w:rPr>
        <w:t>2.投标文件须由投标人在规定位置加盖公章</w:t>
      </w:r>
      <w:r>
        <w:rPr>
          <w:rFonts w:hint="eastAsia" w:ascii="宋体" w:hAnsi="宋体" w:cs="宋体"/>
          <w:bCs/>
          <w:color w:val="auto"/>
          <w:sz w:val="24"/>
          <w:highlight w:val="none"/>
          <w:lang w:val="en-US" w:eastAsia="zh-CN"/>
        </w:rPr>
        <w:t>或电子签章</w:t>
      </w:r>
      <w:r>
        <w:rPr>
          <w:rFonts w:hint="eastAsia" w:ascii="宋体" w:hAnsi="宋体" w:cs="宋体"/>
          <w:bCs/>
          <w:color w:val="auto"/>
          <w:sz w:val="24"/>
          <w:highlight w:val="none"/>
        </w:rPr>
        <w:t>并由投标人授权代表签署，投标人应写全称。</w:t>
      </w:r>
    </w:p>
    <w:p w14:paraId="795BA036">
      <w:pPr>
        <w:keepNext w:val="0"/>
        <w:keepLines w:val="0"/>
        <w:pageBreakBefore w:val="0"/>
        <w:widowControl w:val="0"/>
        <w:kinsoku/>
        <w:wordWrap/>
        <w:overflowPunct/>
        <w:topLinePunct w:val="0"/>
        <w:autoSpaceDE/>
        <w:autoSpaceDN/>
        <w:bidi w:val="0"/>
        <w:snapToGrid w:val="0"/>
        <w:spacing w:line="460" w:lineRule="exact"/>
        <w:ind w:firstLine="480" w:firstLineChars="200"/>
        <w:jc w:val="left"/>
        <w:textAlignment w:val="auto"/>
        <w:rPr>
          <w:rFonts w:hint="eastAsia" w:ascii="宋体" w:hAnsi="宋体" w:cs="宋体"/>
          <w:bCs/>
          <w:color w:val="auto"/>
          <w:sz w:val="24"/>
          <w:highlight w:val="none"/>
        </w:rPr>
      </w:pPr>
      <w:r>
        <w:rPr>
          <w:rFonts w:hint="eastAsia" w:ascii="宋体" w:hAnsi="宋体" w:cs="宋体"/>
          <w:bCs/>
          <w:color w:val="auto"/>
          <w:sz w:val="24"/>
          <w:highlight w:val="none"/>
        </w:rPr>
        <w:t>3.投标文件不得涂改，若有修改错漏处，须由投标人授权代表签字并加盖公章</w:t>
      </w:r>
      <w:r>
        <w:rPr>
          <w:rFonts w:hint="eastAsia" w:ascii="宋体" w:hAnsi="宋体" w:cs="宋体"/>
          <w:bCs/>
          <w:color w:val="auto"/>
          <w:sz w:val="24"/>
          <w:highlight w:val="none"/>
          <w:lang w:val="en-US" w:eastAsia="zh-CN"/>
        </w:rPr>
        <w:t>或电子签章</w:t>
      </w:r>
      <w:r>
        <w:rPr>
          <w:rFonts w:hint="eastAsia" w:ascii="宋体" w:hAnsi="宋体" w:cs="宋体"/>
          <w:bCs/>
          <w:color w:val="auto"/>
          <w:sz w:val="24"/>
          <w:highlight w:val="none"/>
        </w:rPr>
        <w:t>。投标文件因表达不清所引起的后果由投标人负责。</w:t>
      </w:r>
    </w:p>
    <w:p w14:paraId="6356E1B3">
      <w:pPr>
        <w:keepNext w:val="0"/>
        <w:keepLines w:val="0"/>
        <w:pageBreakBefore w:val="0"/>
        <w:widowControl w:val="0"/>
        <w:kinsoku/>
        <w:wordWrap/>
        <w:overflowPunct/>
        <w:topLinePunct w:val="0"/>
        <w:autoSpaceDE/>
        <w:autoSpaceDN/>
        <w:bidi w:val="0"/>
        <w:snapToGrid w:val="0"/>
        <w:spacing w:line="460" w:lineRule="exact"/>
        <w:ind w:firstLine="480" w:firstLineChars="200"/>
        <w:jc w:val="left"/>
        <w:textAlignment w:val="auto"/>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4.招标文件对投标文件签署、盖章的要求适用于电子签名。</w:t>
      </w:r>
    </w:p>
    <w:p w14:paraId="3A600355">
      <w:pPr>
        <w:keepNext w:val="0"/>
        <w:keepLines w:val="0"/>
        <w:pageBreakBefore w:val="0"/>
        <w:widowControl w:val="0"/>
        <w:kinsoku/>
        <w:wordWrap/>
        <w:overflowPunct/>
        <w:topLinePunct w:val="0"/>
        <w:autoSpaceDE/>
        <w:autoSpaceDN/>
        <w:bidi w:val="0"/>
        <w:snapToGrid w:val="0"/>
        <w:spacing w:line="460" w:lineRule="exact"/>
        <w:ind w:firstLine="482" w:firstLineChars="200"/>
        <w:jc w:val="left"/>
        <w:textAlignment w:val="auto"/>
        <w:outlineLvl w:val="2"/>
        <w:rPr>
          <w:rFonts w:hint="eastAsia" w:ascii="宋体" w:hAnsi="宋体"/>
          <w:b/>
          <w:color w:val="auto"/>
          <w:sz w:val="24"/>
          <w:highlight w:val="none"/>
        </w:rPr>
      </w:pPr>
      <w:bookmarkStart w:id="109" w:name="_Toc517896512"/>
      <w:bookmarkStart w:id="110" w:name="_Toc504504558"/>
      <w:r>
        <w:rPr>
          <w:rFonts w:hint="eastAsia" w:ascii="宋体" w:hAnsi="宋体"/>
          <w:b/>
          <w:color w:val="auto"/>
          <w:sz w:val="24"/>
          <w:highlight w:val="none"/>
        </w:rPr>
        <w:t>（六）投标文件的递交、修改和撤回</w:t>
      </w:r>
      <w:bookmarkEnd w:id="109"/>
      <w:bookmarkEnd w:id="110"/>
    </w:p>
    <w:p w14:paraId="22C1B03E">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szCs w:val="22"/>
          <w:highlight w:val="none"/>
        </w:rPr>
        <w:t xml:space="preserve"> </w:t>
      </w:r>
      <w:r>
        <w:rPr>
          <w:rFonts w:hint="eastAsia" w:ascii="宋体" w:hAnsi="宋体" w:eastAsia="宋体" w:cs="宋体"/>
          <w:color w:val="auto"/>
          <w:sz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p>
    <w:p w14:paraId="4BD1CFFF">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cs="宋体"/>
          <w:color w:val="auto"/>
          <w:sz w:val="24"/>
          <w:highlight w:val="none"/>
        </w:rPr>
      </w:pPr>
      <w:r>
        <w:rPr>
          <w:rFonts w:hint="eastAsia" w:ascii="宋体" w:hAnsi="宋体" w:eastAsia="宋体" w:cs="宋体"/>
          <w:color w:val="auto"/>
          <w:sz w:val="24"/>
          <w:highlight w:val="none"/>
        </w:rPr>
        <w:t>2.采购人和采购代理机构可通过修改招标文件酌情延长投标截止日期，在此情况下，投标人的所有权利和义务以及投标人的投标截止日期均应以延长后新的截止日期为准。</w:t>
      </w:r>
    </w:p>
    <w:p w14:paraId="4361CA26">
      <w:pPr>
        <w:keepNext w:val="0"/>
        <w:keepLines w:val="0"/>
        <w:pageBreakBefore w:val="0"/>
        <w:widowControl w:val="0"/>
        <w:kinsoku/>
        <w:wordWrap/>
        <w:overflowPunct/>
        <w:topLinePunct w:val="0"/>
        <w:autoSpaceDE/>
        <w:autoSpaceDN/>
        <w:bidi w:val="0"/>
        <w:snapToGrid w:val="0"/>
        <w:spacing w:line="460" w:lineRule="exact"/>
        <w:ind w:firstLine="482" w:firstLineChars="200"/>
        <w:jc w:val="left"/>
        <w:textAlignment w:val="auto"/>
        <w:outlineLvl w:val="2"/>
        <w:rPr>
          <w:rFonts w:hint="eastAsia" w:ascii="宋体" w:hAnsi="宋体"/>
          <w:b/>
          <w:color w:val="auto"/>
          <w:sz w:val="24"/>
          <w:highlight w:val="none"/>
        </w:rPr>
      </w:pPr>
      <w:bookmarkStart w:id="111" w:name="_Toc504504559"/>
      <w:bookmarkStart w:id="112" w:name="_Toc517896513"/>
      <w:r>
        <w:rPr>
          <w:rFonts w:hint="eastAsia" w:ascii="宋体" w:hAnsi="宋体"/>
          <w:b/>
          <w:color w:val="auto"/>
          <w:sz w:val="24"/>
          <w:highlight w:val="none"/>
        </w:rPr>
        <w:t>（七）投标无效的情形</w:t>
      </w:r>
      <w:bookmarkEnd w:id="111"/>
      <w:bookmarkEnd w:id="112"/>
    </w:p>
    <w:p w14:paraId="78ABC34F">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实质上没有响应招标文件要求的投标将被视为无效投标。如发现下列情形之一的，投标文件将被视为无效：</w:t>
      </w:r>
    </w:p>
    <w:p w14:paraId="554EA293">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snapToGrid w:val="0"/>
          <w:color w:val="auto"/>
          <w:kern w:val="0"/>
          <w:sz w:val="24"/>
          <w:highlight w:val="none"/>
          <w:lang w:val="en-US" w:eastAsia="zh-CN"/>
        </w:rPr>
      </w:pPr>
      <w:r>
        <w:rPr>
          <w:rFonts w:hint="eastAsia" w:ascii="宋体" w:hAnsi="宋体"/>
          <w:snapToGrid w:val="0"/>
          <w:color w:val="auto"/>
          <w:kern w:val="0"/>
          <w:sz w:val="24"/>
          <w:highlight w:val="none"/>
          <w:lang w:val="en-US" w:eastAsia="zh-CN"/>
        </w:rPr>
        <w:t>1.投标文件未有效授权，法定代表人授权委托书等填写不完整或有涂改未按规定签名盖章的；</w:t>
      </w:r>
    </w:p>
    <w:p w14:paraId="1520BD5A">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snapToGrid w:val="0"/>
          <w:color w:val="auto"/>
          <w:kern w:val="0"/>
          <w:sz w:val="24"/>
          <w:highlight w:val="none"/>
          <w:lang w:val="en-US" w:eastAsia="zh-CN"/>
        </w:rPr>
        <w:t>2.</w:t>
      </w:r>
      <w:r>
        <w:rPr>
          <w:rFonts w:ascii="宋体" w:hAnsi="宋体"/>
          <w:snapToGrid w:val="0"/>
          <w:color w:val="auto"/>
          <w:kern w:val="0"/>
          <w:sz w:val="24"/>
          <w:highlight w:val="none"/>
        </w:rPr>
        <w:t>投标文件</w:t>
      </w:r>
      <w:r>
        <w:rPr>
          <w:rFonts w:hint="eastAsia" w:ascii="宋体" w:hAnsi="宋体"/>
          <w:snapToGrid w:val="0"/>
          <w:color w:val="auto"/>
          <w:kern w:val="0"/>
          <w:sz w:val="24"/>
          <w:highlight w:val="none"/>
        </w:rPr>
        <w:t>未按招标文件要求</w:t>
      </w:r>
      <w:r>
        <w:rPr>
          <w:rFonts w:ascii="宋体" w:hAnsi="宋体"/>
          <w:snapToGrid w:val="0"/>
          <w:color w:val="auto"/>
          <w:kern w:val="0"/>
          <w:sz w:val="24"/>
          <w:highlight w:val="none"/>
        </w:rPr>
        <w:t>签字</w:t>
      </w:r>
      <w:r>
        <w:rPr>
          <w:rFonts w:hint="eastAsia" w:ascii="宋体" w:hAnsi="宋体"/>
          <w:snapToGrid w:val="0"/>
          <w:color w:val="auto"/>
          <w:kern w:val="0"/>
          <w:sz w:val="24"/>
          <w:highlight w:val="none"/>
        </w:rPr>
        <w:t>或盖章的</w:t>
      </w:r>
      <w:r>
        <w:rPr>
          <w:rFonts w:hint="eastAsia" w:ascii="宋体" w:hAnsi="宋体"/>
          <w:snapToGrid w:val="0"/>
          <w:color w:val="auto"/>
          <w:kern w:val="0"/>
          <w:sz w:val="24"/>
          <w:highlight w:val="none"/>
          <w:lang w:eastAsia="zh-CN"/>
        </w:rPr>
        <w:t>；</w:t>
      </w:r>
    </w:p>
    <w:p w14:paraId="49CCE07E">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投标方未能提供合格的资格文件；</w:t>
      </w:r>
    </w:p>
    <w:p w14:paraId="4051105D">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ascii="宋体" w:hAnsi="宋体"/>
          <w:snapToGrid w:val="0"/>
          <w:color w:val="auto"/>
          <w:kern w:val="0"/>
          <w:sz w:val="24"/>
          <w:highlight w:val="none"/>
        </w:rPr>
        <w:t>投标文件的关键内容字迹模糊、无法辨认,或者投标文件中经修正的内容字迹模糊难以</w:t>
      </w:r>
      <w:r>
        <w:rPr>
          <w:rFonts w:hint="eastAsia" w:ascii="宋体" w:hAnsi="宋体"/>
          <w:snapToGrid w:val="0"/>
          <w:color w:val="auto"/>
          <w:kern w:val="0"/>
          <w:sz w:val="24"/>
          <w:highlight w:val="none"/>
        </w:rPr>
        <w:t>辨认，</w:t>
      </w:r>
      <w:r>
        <w:rPr>
          <w:rFonts w:ascii="宋体" w:hAnsi="宋体"/>
          <w:snapToGrid w:val="0"/>
          <w:color w:val="auto"/>
          <w:kern w:val="0"/>
          <w:sz w:val="24"/>
          <w:highlight w:val="none"/>
        </w:rPr>
        <w:t>或者修改处未按规定签名盖章的</w:t>
      </w:r>
      <w:r>
        <w:rPr>
          <w:rFonts w:hint="eastAsia" w:ascii="宋体" w:hAnsi="宋体"/>
          <w:snapToGrid w:val="0"/>
          <w:color w:val="auto"/>
          <w:kern w:val="0"/>
          <w:sz w:val="24"/>
          <w:highlight w:val="none"/>
          <w:lang w:eastAsia="zh-CN"/>
        </w:rPr>
        <w:t>；</w:t>
      </w:r>
    </w:p>
    <w:p w14:paraId="2C502600">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与招标文件有重大偏离的投标文件；</w:t>
      </w:r>
    </w:p>
    <w:p w14:paraId="53C9FC52">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cs="宋体"/>
          <w:color w:val="auto"/>
          <w:sz w:val="24"/>
          <w:highlight w:val="none"/>
        </w:rPr>
      </w:pPr>
      <w:r>
        <w:rPr>
          <w:rFonts w:hint="eastAsia" w:ascii="宋体" w:hAnsi="宋体" w:cs="宋体"/>
          <w:snapToGrid w:val="0"/>
          <w:color w:val="auto"/>
          <w:sz w:val="24"/>
          <w:highlight w:val="none"/>
          <w:lang w:val="en-US" w:eastAsia="zh-CN"/>
        </w:rPr>
        <w:t>6.</w:t>
      </w:r>
      <w:r>
        <w:rPr>
          <w:rFonts w:hint="eastAsia" w:ascii="宋体" w:hAnsi="宋体" w:cs="宋体"/>
          <w:color w:val="auto"/>
          <w:sz w:val="24"/>
          <w:highlight w:val="none"/>
        </w:rPr>
        <w:t>标项以赠送方式投标的、对一个标项提供两个投标方案或两个报价的；</w:t>
      </w:r>
    </w:p>
    <w:p w14:paraId="2A56486C">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不符合报价文件规定要求的；</w:t>
      </w:r>
    </w:p>
    <w:p w14:paraId="7CDD9510">
      <w:pPr>
        <w:pStyle w:val="3"/>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 xml:space="preserve">不符合法律、法规和本招标文件规定的其他实质性要求的。                                                                                            </w:t>
      </w:r>
    </w:p>
    <w:p w14:paraId="7B552328">
      <w:pPr>
        <w:pStyle w:val="3"/>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 xml:space="preserve">法律、法规和招标文件规定的其他无效标情形。                                                                                          </w:t>
      </w:r>
    </w:p>
    <w:p w14:paraId="4A993984">
      <w:pPr>
        <w:pStyle w:val="3"/>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187C52F6">
      <w:pPr>
        <w:keepNext w:val="0"/>
        <w:keepLines w:val="0"/>
        <w:pageBreakBefore w:val="0"/>
        <w:widowControl w:val="0"/>
        <w:kinsoku/>
        <w:wordWrap/>
        <w:overflowPunct/>
        <w:topLinePunct w:val="0"/>
        <w:autoSpaceDE/>
        <w:autoSpaceDN/>
        <w:bidi w:val="0"/>
        <w:snapToGrid w:val="0"/>
        <w:spacing w:line="460" w:lineRule="exact"/>
        <w:ind w:firstLine="482" w:firstLineChars="200"/>
        <w:jc w:val="left"/>
        <w:textAlignment w:val="auto"/>
        <w:outlineLvl w:val="2"/>
        <w:rPr>
          <w:rFonts w:hint="eastAsia" w:ascii="宋体" w:hAnsi="宋体"/>
          <w:b/>
          <w:color w:val="auto"/>
          <w:sz w:val="24"/>
          <w:highlight w:val="none"/>
        </w:rPr>
      </w:pPr>
      <w:bookmarkStart w:id="113" w:name="_Toc517896514"/>
      <w:bookmarkStart w:id="114" w:name="_Toc504504560"/>
      <w:r>
        <w:rPr>
          <w:rFonts w:hint="eastAsia" w:ascii="宋体" w:hAnsi="宋体"/>
          <w:b/>
          <w:color w:val="auto"/>
          <w:sz w:val="24"/>
          <w:highlight w:val="none"/>
        </w:rPr>
        <w:t>（八）</w:t>
      </w:r>
      <w:bookmarkStart w:id="115" w:name="_Toc107820050"/>
      <w:bookmarkStart w:id="116" w:name="_Toc170792769"/>
      <w:r>
        <w:rPr>
          <w:rFonts w:hint="eastAsia" w:ascii="宋体" w:hAnsi="宋体"/>
          <w:b/>
          <w:color w:val="auto"/>
          <w:sz w:val="24"/>
          <w:highlight w:val="none"/>
        </w:rPr>
        <w:t>废标的情形</w:t>
      </w:r>
      <w:bookmarkEnd w:id="113"/>
      <w:bookmarkEnd w:id="114"/>
    </w:p>
    <w:p w14:paraId="4F88A622">
      <w:pPr>
        <w:pStyle w:val="3"/>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cs="宋体"/>
          <w:color w:val="auto"/>
          <w:sz w:val="24"/>
          <w:szCs w:val="24"/>
          <w:highlight w:val="none"/>
        </w:rPr>
      </w:pPr>
      <w:bookmarkStart w:id="117" w:name="_Toc504504486"/>
      <w:bookmarkStart w:id="118" w:name="_Toc504504561"/>
      <w:r>
        <w:rPr>
          <w:rFonts w:hint="eastAsia" w:ascii="宋体" w:hAnsi="宋体" w:cs="宋体"/>
          <w:color w:val="auto"/>
          <w:sz w:val="24"/>
          <w:szCs w:val="24"/>
          <w:highlight w:val="none"/>
        </w:rPr>
        <w:t>在招标采购中，出现下列情形之一的，应予废标：</w:t>
      </w:r>
      <w:bookmarkEnd w:id="117"/>
      <w:bookmarkEnd w:id="118"/>
    </w:p>
    <w:p w14:paraId="46229565">
      <w:pPr>
        <w:pStyle w:val="3"/>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cs="宋体"/>
          <w:color w:val="auto"/>
          <w:sz w:val="24"/>
          <w:szCs w:val="24"/>
          <w:highlight w:val="none"/>
        </w:rPr>
      </w:pPr>
      <w:bookmarkStart w:id="119" w:name="_Toc504504487"/>
      <w:bookmarkStart w:id="120" w:name="_Toc504504562"/>
      <w:r>
        <w:rPr>
          <w:rFonts w:hint="eastAsia" w:ascii="宋体" w:hAnsi="宋体" w:cs="宋体"/>
          <w:color w:val="auto"/>
          <w:sz w:val="24"/>
          <w:szCs w:val="24"/>
          <w:highlight w:val="none"/>
        </w:rPr>
        <w:t>1.符合专业条件的投标人或者对招标文件作实质性响应的投标人不足三家的；</w:t>
      </w:r>
      <w:bookmarkEnd w:id="119"/>
      <w:bookmarkEnd w:id="120"/>
    </w:p>
    <w:p w14:paraId="7BA8CAC2">
      <w:pPr>
        <w:pStyle w:val="3"/>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cs="宋体"/>
          <w:color w:val="auto"/>
          <w:sz w:val="24"/>
          <w:szCs w:val="24"/>
          <w:highlight w:val="none"/>
        </w:rPr>
      </w:pPr>
      <w:bookmarkStart w:id="121" w:name="_Toc504504488"/>
      <w:bookmarkStart w:id="122" w:name="_Toc504504563"/>
      <w:r>
        <w:rPr>
          <w:rFonts w:hint="eastAsia" w:ascii="宋体" w:hAnsi="宋体" w:cs="宋体"/>
          <w:color w:val="auto"/>
          <w:sz w:val="24"/>
          <w:szCs w:val="24"/>
          <w:highlight w:val="none"/>
        </w:rPr>
        <w:t>2.出现影响采购公正的违法、违规行为的；</w:t>
      </w:r>
      <w:bookmarkEnd w:id="121"/>
      <w:bookmarkEnd w:id="122"/>
    </w:p>
    <w:p w14:paraId="25332020">
      <w:pPr>
        <w:pStyle w:val="3"/>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cs="宋体"/>
          <w:color w:val="auto"/>
          <w:sz w:val="24"/>
          <w:szCs w:val="24"/>
          <w:highlight w:val="none"/>
        </w:rPr>
      </w:pPr>
      <w:bookmarkStart w:id="123" w:name="_Toc504504489"/>
      <w:bookmarkStart w:id="124" w:name="_Toc504504564"/>
      <w:r>
        <w:rPr>
          <w:rFonts w:hint="eastAsia" w:ascii="宋体" w:hAnsi="宋体" w:cs="宋体"/>
          <w:color w:val="auto"/>
          <w:sz w:val="24"/>
          <w:szCs w:val="24"/>
          <w:highlight w:val="none"/>
        </w:rPr>
        <w:t>3.投标人的报价均超过了采购预算，采购人不能支付的；</w:t>
      </w:r>
      <w:bookmarkEnd w:id="123"/>
      <w:bookmarkEnd w:id="124"/>
    </w:p>
    <w:p w14:paraId="2996289C">
      <w:pPr>
        <w:pStyle w:val="3"/>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cs="宋体"/>
          <w:color w:val="auto"/>
          <w:sz w:val="24"/>
          <w:szCs w:val="24"/>
          <w:highlight w:val="none"/>
        </w:rPr>
      </w:pPr>
      <w:bookmarkStart w:id="125" w:name="_Toc504504490"/>
      <w:bookmarkStart w:id="126" w:name="_Toc504504565"/>
      <w:r>
        <w:rPr>
          <w:rFonts w:hint="eastAsia" w:ascii="宋体" w:hAnsi="宋体" w:cs="宋体"/>
          <w:color w:val="auto"/>
          <w:sz w:val="24"/>
          <w:szCs w:val="24"/>
          <w:highlight w:val="none"/>
        </w:rPr>
        <w:t>4.因重大变故，采购任务取消的。</w:t>
      </w:r>
      <w:bookmarkEnd w:id="125"/>
      <w:bookmarkEnd w:id="126"/>
    </w:p>
    <w:bookmarkEnd w:id="115"/>
    <w:bookmarkEnd w:id="116"/>
    <w:p w14:paraId="4F9F1ADD">
      <w:pPr>
        <w:pStyle w:val="4"/>
        <w:keepNext w:val="0"/>
        <w:keepLines w:val="0"/>
        <w:pageBreakBefore w:val="0"/>
        <w:widowControl w:val="0"/>
        <w:kinsoku/>
        <w:wordWrap/>
        <w:overflowPunct/>
        <w:topLinePunct w:val="0"/>
        <w:autoSpaceDE/>
        <w:autoSpaceDN/>
        <w:bidi w:val="0"/>
        <w:snapToGrid w:val="0"/>
        <w:spacing w:after="0" w:line="460" w:lineRule="exact"/>
        <w:ind w:left="0" w:leftChars="0" w:firstLine="466" w:firstLineChars="200"/>
        <w:textAlignment w:val="auto"/>
        <w:outlineLvl w:val="1"/>
        <w:rPr>
          <w:rFonts w:hint="eastAsia" w:hAnsi="宋体"/>
          <w:b/>
          <w:snapToGrid w:val="0"/>
          <w:color w:val="auto"/>
          <w:highlight w:val="none"/>
        </w:rPr>
      </w:pPr>
      <w:bookmarkStart w:id="127" w:name="_Toc536462758"/>
      <w:r>
        <w:rPr>
          <w:rFonts w:hint="eastAsia" w:hAnsi="宋体"/>
          <w:b/>
          <w:color w:val="auto"/>
          <w:sz w:val="24"/>
          <w:highlight w:val="none"/>
        </w:rPr>
        <w:t>四、开标</w:t>
      </w:r>
      <w:bookmarkEnd w:id="92"/>
      <w:bookmarkEnd w:id="93"/>
      <w:bookmarkEnd w:id="94"/>
      <w:bookmarkEnd w:id="95"/>
      <w:bookmarkEnd w:id="127"/>
    </w:p>
    <w:p w14:paraId="3DE9832B">
      <w:pPr>
        <w:pStyle w:val="3"/>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1.采购代理机构按照招标文件规定的时间通过电子交易平台组织开标。</w:t>
      </w:r>
    </w:p>
    <w:p w14:paraId="3A4AC3B4">
      <w:pPr>
        <w:pStyle w:val="3"/>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2.投标人代表</w:t>
      </w:r>
      <w:r>
        <w:rPr>
          <w:rFonts w:hint="eastAsia" w:ascii="宋体" w:hAnsi="宋体" w:cs="宋体"/>
          <w:color w:val="auto"/>
          <w:sz w:val="24"/>
          <w:szCs w:val="24"/>
          <w:highlight w:val="none"/>
          <w:lang w:val="en-US" w:eastAsia="zh-CN"/>
        </w:rPr>
        <w:t>在规定时间内</w:t>
      </w:r>
      <w:r>
        <w:rPr>
          <w:rFonts w:hint="eastAsia" w:ascii="宋体" w:hAnsi="宋体" w:cs="宋体"/>
          <w:color w:val="auto"/>
          <w:sz w:val="24"/>
          <w:szCs w:val="24"/>
          <w:highlight w:val="none"/>
        </w:rPr>
        <w:t>在线投标。</w:t>
      </w:r>
    </w:p>
    <w:p w14:paraId="36B2E12A">
      <w:pPr>
        <w:pStyle w:val="3"/>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3.在投标截止期内投标银行少于3家的，取消当期招标工作，延后重新招标。</w:t>
      </w:r>
    </w:p>
    <w:p w14:paraId="5E461BBB">
      <w:pPr>
        <w:pStyle w:val="3"/>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4.开标程序：</w:t>
      </w:r>
    </w:p>
    <w:p w14:paraId="702E7D18">
      <w:pPr>
        <w:pStyle w:val="3"/>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4.1 采购人将于前附表规定的时间和地点公开开标。若采购人按本须知规定，通过修改采购文件更改了开标时间和地点的，以后者为准。</w:t>
      </w:r>
    </w:p>
    <w:p w14:paraId="452E2B17">
      <w:pPr>
        <w:pStyle w:val="3"/>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4.2开评标期间，</w:t>
      </w:r>
      <w:r>
        <w:rPr>
          <w:rFonts w:hint="eastAsia" w:ascii="宋体" w:hAnsi="宋体" w:cs="宋体"/>
          <w:color w:val="auto"/>
          <w:sz w:val="24"/>
          <w:szCs w:val="24"/>
          <w:highlight w:val="none"/>
          <w:lang w:val="en-US" w:eastAsia="zh-CN"/>
        </w:rPr>
        <w:t>投标人</w:t>
      </w:r>
      <w:r>
        <w:rPr>
          <w:rFonts w:hint="eastAsia" w:ascii="宋体" w:hAnsi="宋体" w:cs="宋体"/>
          <w:color w:val="auto"/>
          <w:sz w:val="24"/>
          <w:szCs w:val="24"/>
          <w:highlight w:val="none"/>
        </w:rPr>
        <w:t>代表应在线操作，并关注政采云有关信息公布、澄清等情况。</w:t>
      </w:r>
    </w:p>
    <w:p w14:paraId="29B08FC9">
      <w:pPr>
        <w:pStyle w:val="5"/>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firstLine="482" w:firstLineChars="200"/>
        <w:textAlignment w:val="auto"/>
        <w:outlineLvl w:val="1"/>
        <w:rPr>
          <w:rFonts w:hint="default" w:eastAsia="宋体"/>
          <w:b/>
          <w:color w:val="auto"/>
          <w:highlight w:val="none"/>
          <w:lang w:val="en-US" w:eastAsia="zh-CN"/>
        </w:rPr>
      </w:pPr>
      <w:bookmarkStart w:id="128" w:name="_Toc504504573"/>
      <w:bookmarkStart w:id="129" w:name="_Toc510614925"/>
      <w:bookmarkStart w:id="130" w:name="_Toc536462760"/>
      <w:bookmarkStart w:id="131" w:name="_Toc517896519"/>
      <w:bookmarkStart w:id="132" w:name="_Toc514938677"/>
      <w:r>
        <w:rPr>
          <w:rFonts w:hint="eastAsia"/>
          <w:b/>
          <w:color w:val="auto"/>
          <w:highlight w:val="none"/>
          <w:lang w:val="en-US" w:eastAsia="zh-CN"/>
        </w:rPr>
        <w:t>五、情况说明</w:t>
      </w:r>
    </w:p>
    <w:p w14:paraId="410D416A">
      <w:pPr>
        <w:pStyle w:val="5"/>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firstLine="480" w:firstLineChars="200"/>
        <w:textAlignment w:val="auto"/>
        <w:outlineLvl w:val="1"/>
        <w:rPr>
          <w:rFonts w:hint="eastAsia"/>
          <w:b w:val="0"/>
          <w:bCs/>
          <w:color w:val="auto"/>
          <w:highlight w:val="none"/>
        </w:rPr>
      </w:pPr>
      <w:r>
        <w:rPr>
          <w:rFonts w:hint="eastAsia"/>
          <w:b w:val="0"/>
          <w:bCs/>
          <w:color w:val="auto"/>
          <w:highlight w:val="none"/>
        </w:rPr>
        <w:t>采购过程中出现以下情形，导致电子交易平台无法正常运行，或者无法保证电子交易的公平、公正和安全时，采购组织机构可中止电子交易活动：</w:t>
      </w:r>
    </w:p>
    <w:p w14:paraId="2FE83847">
      <w:pPr>
        <w:pStyle w:val="5"/>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firstLine="480" w:firstLineChars="200"/>
        <w:textAlignment w:val="auto"/>
        <w:outlineLvl w:val="1"/>
        <w:rPr>
          <w:rFonts w:hint="eastAsia"/>
          <w:b w:val="0"/>
          <w:bCs/>
          <w:color w:val="auto"/>
          <w:highlight w:val="none"/>
        </w:rPr>
      </w:pPr>
      <w:r>
        <w:rPr>
          <w:rFonts w:hint="eastAsia"/>
          <w:b w:val="0"/>
          <w:bCs/>
          <w:color w:val="auto"/>
          <w:highlight w:val="none"/>
        </w:rPr>
        <w:t xml:space="preserve">1）电子交易平台发生故障而无法登录访问的； </w:t>
      </w:r>
    </w:p>
    <w:p w14:paraId="700470FC">
      <w:pPr>
        <w:pStyle w:val="5"/>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firstLine="480" w:firstLineChars="200"/>
        <w:textAlignment w:val="auto"/>
        <w:outlineLvl w:val="1"/>
        <w:rPr>
          <w:rFonts w:hint="eastAsia"/>
          <w:b w:val="0"/>
          <w:bCs/>
          <w:color w:val="auto"/>
          <w:highlight w:val="none"/>
        </w:rPr>
      </w:pPr>
      <w:r>
        <w:rPr>
          <w:rFonts w:hint="eastAsia"/>
          <w:b w:val="0"/>
          <w:bCs/>
          <w:color w:val="auto"/>
          <w:highlight w:val="none"/>
        </w:rPr>
        <w:t>2）电子交易平台应用或数据库出现错误，不能进行正常操作的；</w:t>
      </w:r>
    </w:p>
    <w:p w14:paraId="349520B5">
      <w:pPr>
        <w:pStyle w:val="5"/>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firstLine="480" w:firstLineChars="200"/>
        <w:textAlignment w:val="auto"/>
        <w:outlineLvl w:val="1"/>
        <w:rPr>
          <w:rFonts w:hint="eastAsia"/>
          <w:b w:val="0"/>
          <w:bCs/>
          <w:color w:val="auto"/>
          <w:highlight w:val="none"/>
        </w:rPr>
      </w:pPr>
      <w:r>
        <w:rPr>
          <w:rFonts w:hint="eastAsia"/>
          <w:b w:val="0"/>
          <w:bCs/>
          <w:color w:val="auto"/>
          <w:highlight w:val="none"/>
        </w:rPr>
        <w:t>3）电子交易平台发现严重安全漏洞，有潜在泄密危险的；</w:t>
      </w:r>
    </w:p>
    <w:p w14:paraId="72385DF1">
      <w:pPr>
        <w:pStyle w:val="5"/>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firstLine="480" w:firstLineChars="200"/>
        <w:textAlignment w:val="auto"/>
        <w:outlineLvl w:val="1"/>
        <w:rPr>
          <w:rFonts w:hint="eastAsia"/>
          <w:b w:val="0"/>
          <w:bCs/>
          <w:color w:val="auto"/>
          <w:highlight w:val="none"/>
        </w:rPr>
      </w:pPr>
      <w:r>
        <w:rPr>
          <w:rFonts w:hint="eastAsia"/>
          <w:b w:val="0"/>
          <w:bCs/>
          <w:color w:val="auto"/>
          <w:highlight w:val="none"/>
        </w:rPr>
        <w:t xml:space="preserve">4）病毒发作导致不能进行正常操作的； </w:t>
      </w:r>
    </w:p>
    <w:p w14:paraId="3CE51275">
      <w:pPr>
        <w:pStyle w:val="5"/>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firstLine="480" w:firstLineChars="200"/>
        <w:textAlignment w:val="auto"/>
        <w:outlineLvl w:val="1"/>
        <w:rPr>
          <w:rFonts w:hint="eastAsia"/>
          <w:b/>
          <w:color w:val="auto"/>
          <w:highlight w:val="none"/>
        </w:rPr>
      </w:pPr>
      <w:r>
        <w:rPr>
          <w:rFonts w:hint="eastAsia"/>
          <w:b w:val="0"/>
          <w:bCs/>
          <w:color w:val="auto"/>
          <w:highlight w:val="none"/>
        </w:rPr>
        <w:t>5）其他无法保证电子交易的公平、公正和安全的情况。</w:t>
      </w:r>
    </w:p>
    <w:p w14:paraId="65471D7D">
      <w:pPr>
        <w:pStyle w:val="5"/>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firstLine="482" w:firstLineChars="200"/>
        <w:textAlignment w:val="auto"/>
        <w:outlineLvl w:val="1"/>
        <w:rPr>
          <w:rFonts w:hint="eastAsia"/>
          <w:b/>
          <w:color w:val="auto"/>
          <w:highlight w:val="none"/>
        </w:rPr>
      </w:pPr>
      <w:r>
        <w:rPr>
          <w:rFonts w:hint="eastAsia"/>
          <w:b/>
          <w:color w:val="auto"/>
          <w:highlight w:val="none"/>
          <w:lang w:val="en-US" w:eastAsia="zh-CN"/>
        </w:rPr>
        <w:t>六</w:t>
      </w:r>
      <w:r>
        <w:rPr>
          <w:rFonts w:hint="eastAsia"/>
          <w:b/>
          <w:color w:val="auto"/>
          <w:highlight w:val="none"/>
        </w:rPr>
        <w:t>、评标</w:t>
      </w:r>
      <w:bookmarkEnd w:id="128"/>
      <w:bookmarkEnd w:id="129"/>
      <w:bookmarkEnd w:id="130"/>
      <w:bookmarkEnd w:id="131"/>
      <w:bookmarkEnd w:id="132"/>
    </w:p>
    <w:p w14:paraId="4A69BF2E">
      <w:pPr>
        <w:keepNext w:val="0"/>
        <w:keepLines w:val="0"/>
        <w:pageBreakBefore w:val="0"/>
        <w:widowControl w:val="0"/>
        <w:kinsoku/>
        <w:wordWrap/>
        <w:overflowPunct/>
        <w:topLinePunct w:val="0"/>
        <w:autoSpaceDE/>
        <w:autoSpaceDN/>
        <w:bidi w:val="0"/>
        <w:snapToGrid w:val="0"/>
        <w:spacing w:line="460" w:lineRule="exact"/>
        <w:ind w:firstLine="482" w:firstLineChars="200"/>
        <w:jc w:val="left"/>
        <w:textAlignment w:val="auto"/>
        <w:outlineLvl w:val="2"/>
        <w:rPr>
          <w:rFonts w:hint="eastAsia" w:ascii="宋体" w:hAnsi="宋体"/>
          <w:b/>
          <w:color w:val="auto"/>
          <w:sz w:val="24"/>
          <w:highlight w:val="none"/>
        </w:rPr>
      </w:pPr>
      <w:bookmarkStart w:id="133" w:name="_Toc517896520"/>
      <w:r>
        <w:rPr>
          <w:rFonts w:hint="eastAsia" w:ascii="宋体" w:hAnsi="宋体"/>
          <w:b/>
          <w:color w:val="auto"/>
          <w:sz w:val="24"/>
          <w:highlight w:val="none"/>
        </w:rPr>
        <w:t>（一）组建评标委员会</w:t>
      </w:r>
      <w:bookmarkEnd w:id="133"/>
    </w:p>
    <w:p w14:paraId="4AB83EA4">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账户开立项目</w:t>
      </w:r>
      <w:r>
        <w:rPr>
          <w:rFonts w:hint="eastAsia" w:ascii="宋体" w:hAnsi="宋体" w:cs="Arial"/>
          <w:color w:val="auto"/>
          <w:sz w:val="24"/>
          <w:highlight w:val="none"/>
        </w:rPr>
        <w:t>应按规定建立</w:t>
      </w:r>
      <w:r>
        <w:rPr>
          <w:rFonts w:hint="eastAsia" w:ascii="宋体" w:hAnsi="宋体" w:cs="Arial"/>
          <w:color w:val="auto"/>
          <w:sz w:val="24"/>
          <w:highlight w:val="none"/>
          <w:lang w:val="en-US" w:eastAsia="zh-CN"/>
        </w:rPr>
        <w:t>5</w:t>
      </w:r>
      <w:r>
        <w:rPr>
          <w:rFonts w:hint="eastAsia" w:ascii="宋体" w:hAnsi="宋体" w:cs="Arial"/>
          <w:color w:val="auto"/>
          <w:sz w:val="24"/>
          <w:highlight w:val="none"/>
        </w:rPr>
        <w:t>人及以上单数人员组成的评选委员会，评选委员会应当由单位内部成员和外部专家共同组成。外部专家比例不低于60%，可从市级单位公款竞争性</w:t>
      </w:r>
      <w:r>
        <w:rPr>
          <w:rFonts w:hint="eastAsia" w:ascii="宋体" w:hAnsi="宋体" w:cs="Arial"/>
          <w:color w:val="auto"/>
          <w:sz w:val="24"/>
          <w:highlight w:val="none"/>
          <w:lang w:val="en-US" w:eastAsia="zh-CN"/>
        </w:rPr>
        <w:t>存</w:t>
      </w:r>
      <w:r>
        <w:rPr>
          <w:rFonts w:hint="eastAsia" w:ascii="宋体" w:hAnsi="宋体" w:cs="Arial"/>
          <w:color w:val="auto"/>
          <w:sz w:val="24"/>
          <w:highlight w:val="none"/>
        </w:rPr>
        <w:t>放评审专家库中抽取。</w:t>
      </w:r>
    </w:p>
    <w:p w14:paraId="40799F6B">
      <w:pPr>
        <w:keepNext w:val="0"/>
        <w:keepLines w:val="0"/>
        <w:pageBreakBefore w:val="0"/>
        <w:widowControl w:val="0"/>
        <w:kinsoku/>
        <w:wordWrap/>
        <w:overflowPunct/>
        <w:topLinePunct w:val="0"/>
        <w:autoSpaceDE/>
        <w:autoSpaceDN/>
        <w:bidi w:val="0"/>
        <w:snapToGrid w:val="0"/>
        <w:spacing w:line="460" w:lineRule="exact"/>
        <w:ind w:firstLine="482" w:firstLineChars="200"/>
        <w:jc w:val="left"/>
        <w:textAlignment w:val="auto"/>
        <w:outlineLvl w:val="2"/>
        <w:rPr>
          <w:rFonts w:hint="eastAsia" w:ascii="宋体" w:hAnsi="宋体"/>
          <w:b/>
          <w:color w:val="auto"/>
          <w:sz w:val="24"/>
          <w:highlight w:val="none"/>
        </w:rPr>
      </w:pPr>
      <w:bookmarkStart w:id="134" w:name="_Toc517896521"/>
      <w:r>
        <w:rPr>
          <w:rFonts w:hint="eastAsia" w:ascii="宋体" w:hAnsi="宋体"/>
          <w:b/>
          <w:color w:val="auto"/>
          <w:sz w:val="24"/>
          <w:highlight w:val="none"/>
        </w:rPr>
        <w:t>（二）评标的方式</w:t>
      </w:r>
      <w:bookmarkEnd w:id="134"/>
    </w:p>
    <w:p w14:paraId="009488B4">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本项目采用不公开方式评标，评标的依据为招标文件和投标文件。</w:t>
      </w:r>
    </w:p>
    <w:p w14:paraId="39F0DEBD">
      <w:pPr>
        <w:keepNext w:val="0"/>
        <w:keepLines w:val="0"/>
        <w:pageBreakBefore w:val="0"/>
        <w:widowControl w:val="0"/>
        <w:kinsoku/>
        <w:wordWrap/>
        <w:overflowPunct/>
        <w:topLinePunct w:val="0"/>
        <w:autoSpaceDE/>
        <w:autoSpaceDN/>
        <w:bidi w:val="0"/>
        <w:snapToGrid w:val="0"/>
        <w:spacing w:line="460" w:lineRule="exact"/>
        <w:ind w:firstLine="482" w:firstLineChars="200"/>
        <w:jc w:val="left"/>
        <w:textAlignment w:val="auto"/>
        <w:outlineLvl w:val="2"/>
        <w:rPr>
          <w:rFonts w:hint="eastAsia" w:ascii="宋体" w:hAnsi="宋体"/>
          <w:b/>
          <w:color w:val="auto"/>
          <w:sz w:val="24"/>
          <w:highlight w:val="none"/>
        </w:rPr>
      </w:pPr>
      <w:bookmarkStart w:id="135" w:name="_Toc517896522"/>
      <w:r>
        <w:rPr>
          <w:rFonts w:hint="eastAsia" w:ascii="宋体" w:hAnsi="宋体"/>
          <w:b/>
          <w:color w:val="auto"/>
          <w:sz w:val="24"/>
          <w:highlight w:val="none"/>
        </w:rPr>
        <w:t>（三）评标程序</w:t>
      </w:r>
      <w:bookmarkEnd w:id="135"/>
    </w:p>
    <w:p w14:paraId="2577B05F">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1.在评审专家中推选评审小组组长。</w:t>
      </w:r>
    </w:p>
    <w:p w14:paraId="6F5C0348">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评审小组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6025A046">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3.评审人员对各供应商投标文件的有效性、完整性和响应程度进行审查，确定是否对招标文件作出了实质性响应。</w:t>
      </w:r>
      <w:r>
        <w:rPr>
          <w:rFonts w:hint="eastAsia" w:ascii="宋体" w:hAnsi="宋体"/>
          <w:b/>
          <w:color w:val="auto"/>
          <w:sz w:val="24"/>
          <w:highlight w:val="none"/>
        </w:rPr>
        <w:t>实质上没有响应招标文件要求的投标将被视为无效投标，不再进入下一阶段的评审。</w:t>
      </w:r>
    </w:p>
    <w:p w14:paraId="51C023E5">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4.评审人员按招标文件规定的评审方法和评审标准，依法独立对供应商投标文件进行评估、比较，并给予评价或打分，不受任何单位和个人的干预。</w:t>
      </w:r>
    </w:p>
    <w:p w14:paraId="4CAF2959">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5.各投标人的技术得分为所有评委的有效评分的算术平均数，由指定专人进行计算复核。</w:t>
      </w:r>
    </w:p>
    <w:p w14:paraId="7258F4D7">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6.评标委员会完成评标后,评委对各部分得分汇总,计算出本项目最终得分。评标委员会按评标原则推荐中标候选人，同时起草评标报告。</w:t>
      </w:r>
    </w:p>
    <w:p w14:paraId="3D2AE03A">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7.为体现</w:t>
      </w:r>
      <w:r>
        <w:rPr>
          <w:rFonts w:hint="eastAsia" w:ascii="宋体" w:hAnsi="宋体"/>
          <w:color w:val="auto"/>
          <w:sz w:val="24"/>
          <w:highlight w:val="none"/>
          <w:lang w:val="en-US" w:eastAsia="zh-CN"/>
        </w:rPr>
        <w:t>账户开立项目</w:t>
      </w:r>
      <w:r>
        <w:rPr>
          <w:rFonts w:hint="eastAsia" w:ascii="宋体" w:hAnsi="宋体"/>
          <w:color w:val="auto"/>
          <w:sz w:val="24"/>
          <w:highlight w:val="none"/>
        </w:rPr>
        <w:t>竞争性，对招标文件作实质性响应的投标银行须大于中标银行数量，且不得少于3家。</w:t>
      </w:r>
    </w:p>
    <w:p w14:paraId="51B9D6BF">
      <w:pPr>
        <w:keepNext w:val="0"/>
        <w:keepLines w:val="0"/>
        <w:pageBreakBefore w:val="0"/>
        <w:widowControl w:val="0"/>
        <w:kinsoku/>
        <w:wordWrap/>
        <w:overflowPunct/>
        <w:topLinePunct w:val="0"/>
        <w:autoSpaceDE/>
        <w:autoSpaceDN/>
        <w:bidi w:val="0"/>
        <w:snapToGrid w:val="0"/>
        <w:spacing w:line="460" w:lineRule="exact"/>
        <w:ind w:firstLine="482" w:firstLineChars="200"/>
        <w:jc w:val="left"/>
        <w:textAlignment w:val="auto"/>
        <w:outlineLvl w:val="2"/>
        <w:rPr>
          <w:rFonts w:hint="eastAsia" w:ascii="宋体" w:hAnsi="宋体"/>
          <w:b/>
          <w:color w:val="auto"/>
          <w:sz w:val="24"/>
          <w:highlight w:val="none"/>
        </w:rPr>
      </w:pPr>
      <w:bookmarkStart w:id="136" w:name="_Toc517896523"/>
      <w:r>
        <w:rPr>
          <w:rFonts w:hint="eastAsia" w:ascii="宋体" w:hAnsi="宋体"/>
          <w:b/>
          <w:color w:val="auto"/>
          <w:sz w:val="24"/>
          <w:highlight w:val="none"/>
        </w:rPr>
        <w:t>（四）澄清问题的形式</w:t>
      </w:r>
      <w:bookmarkEnd w:id="136"/>
    </w:p>
    <w:p w14:paraId="44A02993">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b/>
          <w:bCs/>
          <w:color w:val="auto"/>
          <w:sz w:val="24"/>
          <w:highlight w:val="none"/>
        </w:rPr>
      </w:pPr>
      <w:r>
        <w:rPr>
          <w:rFonts w:hint="eastAsia" w:ascii="宋体" w:hAnsi="宋体"/>
          <w:color w:val="auto"/>
          <w:sz w:val="24"/>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3E1CA2F9">
      <w:pPr>
        <w:keepNext w:val="0"/>
        <w:keepLines w:val="0"/>
        <w:pageBreakBefore w:val="0"/>
        <w:widowControl w:val="0"/>
        <w:kinsoku/>
        <w:wordWrap/>
        <w:overflowPunct/>
        <w:topLinePunct w:val="0"/>
        <w:autoSpaceDE/>
        <w:autoSpaceDN/>
        <w:bidi w:val="0"/>
        <w:snapToGrid w:val="0"/>
        <w:spacing w:line="460" w:lineRule="exact"/>
        <w:ind w:firstLine="482" w:firstLineChars="200"/>
        <w:jc w:val="left"/>
        <w:textAlignment w:val="auto"/>
        <w:outlineLvl w:val="2"/>
        <w:rPr>
          <w:rFonts w:hint="eastAsia" w:ascii="宋体" w:hAnsi="宋体"/>
          <w:b/>
          <w:color w:val="auto"/>
          <w:sz w:val="24"/>
          <w:highlight w:val="none"/>
        </w:rPr>
      </w:pPr>
      <w:bookmarkStart w:id="137" w:name="_Toc517896525"/>
      <w:r>
        <w:rPr>
          <w:rFonts w:hint="eastAsia" w:ascii="宋体" w:hAnsi="宋体"/>
          <w:b/>
          <w:color w:val="auto"/>
          <w:sz w:val="24"/>
          <w:highlight w:val="none"/>
        </w:rPr>
        <w:t>（</w:t>
      </w:r>
      <w:r>
        <w:rPr>
          <w:rFonts w:hint="eastAsia" w:ascii="宋体" w:hAnsi="宋体"/>
          <w:b/>
          <w:color w:val="auto"/>
          <w:sz w:val="24"/>
          <w:highlight w:val="none"/>
          <w:lang w:val="en-US" w:eastAsia="zh-CN"/>
        </w:rPr>
        <w:t>五</w:t>
      </w:r>
      <w:r>
        <w:rPr>
          <w:rFonts w:hint="eastAsia" w:ascii="宋体" w:hAnsi="宋体"/>
          <w:b/>
          <w:color w:val="auto"/>
          <w:sz w:val="24"/>
          <w:highlight w:val="none"/>
        </w:rPr>
        <w:t>）评标原则</w:t>
      </w:r>
      <w:bookmarkEnd w:id="137"/>
    </w:p>
    <w:p w14:paraId="13577011">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评标委员会必须公平、公正、客观，不带任何倾向性和启发性；不得向外界透露任何与评标有关的内容；任何单位和个人不得干扰、影响评标的正常进行；评标委员会及有关工作人员不得私下与投标人接触。</w:t>
      </w:r>
    </w:p>
    <w:p w14:paraId="39C0CAB8">
      <w:pPr>
        <w:pStyle w:val="5"/>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firstLine="482" w:firstLineChars="200"/>
        <w:textAlignment w:val="auto"/>
        <w:outlineLvl w:val="1"/>
        <w:rPr>
          <w:rFonts w:hint="eastAsia"/>
          <w:b/>
          <w:color w:val="auto"/>
          <w:highlight w:val="none"/>
        </w:rPr>
      </w:pPr>
      <w:bookmarkStart w:id="138" w:name="_Toc504504574"/>
      <w:bookmarkStart w:id="139" w:name="_Toc517896526"/>
      <w:bookmarkStart w:id="140" w:name="_Toc536462761"/>
      <w:bookmarkStart w:id="141" w:name="_Toc514938678"/>
      <w:bookmarkStart w:id="142" w:name="_Toc510614926"/>
      <w:r>
        <w:rPr>
          <w:rFonts w:hint="eastAsia"/>
          <w:b/>
          <w:color w:val="auto"/>
          <w:highlight w:val="none"/>
          <w:lang w:val="en-US" w:eastAsia="zh-CN"/>
        </w:rPr>
        <w:t>七</w:t>
      </w:r>
      <w:r>
        <w:rPr>
          <w:rFonts w:hint="eastAsia"/>
          <w:b/>
          <w:color w:val="auto"/>
          <w:highlight w:val="none"/>
        </w:rPr>
        <w:t>、定标</w:t>
      </w:r>
      <w:bookmarkEnd w:id="138"/>
      <w:bookmarkEnd w:id="139"/>
      <w:bookmarkEnd w:id="140"/>
      <w:bookmarkEnd w:id="141"/>
      <w:bookmarkEnd w:id="142"/>
    </w:p>
    <w:p w14:paraId="69E5341D">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1.本项目由评标委员会推荐中标供应商，采购代理机构在评标结束后2个工作日内将评标报告交采购人确认。</w:t>
      </w:r>
    </w:p>
    <w:p w14:paraId="2255B1F3">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2.采购人应当自收到评标报告之日起5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14:paraId="4D3456E4">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3.采购结果经采购人确认后，</w:t>
      </w:r>
      <w:r>
        <w:rPr>
          <w:rFonts w:hint="eastAsia" w:ascii="宋体" w:hAnsi="宋体"/>
          <w:color w:val="auto"/>
          <w:sz w:val="24"/>
          <w:highlight w:val="none"/>
          <w:lang w:val="en-US" w:eastAsia="zh-CN"/>
        </w:rPr>
        <w:t>采购代理机构</w:t>
      </w:r>
      <w:r>
        <w:rPr>
          <w:rFonts w:hint="eastAsia" w:ascii="宋体" w:hAnsi="宋体"/>
          <w:color w:val="auto"/>
          <w:sz w:val="24"/>
          <w:highlight w:val="none"/>
        </w:rPr>
        <w:t>将于2个工作日内在</w:t>
      </w:r>
      <w:r>
        <w:rPr>
          <w:rFonts w:hint="eastAsia" w:ascii="宋体" w:hAnsi="宋体" w:cs="宋体"/>
          <w:color w:val="auto"/>
          <w:kern w:val="2"/>
          <w:sz w:val="24"/>
          <w:szCs w:val="20"/>
          <w:highlight w:val="none"/>
          <w:lang w:eastAsia="zh-CN"/>
        </w:rPr>
        <w:t>“</w:t>
      </w:r>
      <w:r>
        <w:rPr>
          <w:rFonts w:hint="eastAsia" w:ascii="宋体" w:hAnsi="宋体" w:cs="宋体"/>
          <w:color w:val="auto"/>
          <w:kern w:val="2"/>
          <w:sz w:val="24"/>
          <w:szCs w:val="20"/>
          <w:highlight w:val="none"/>
        </w:rPr>
        <w:t>浙江政府采购网</w:t>
      </w:r>
      <w:r>
        <w:rPr>
          <w:rFonts w:hint="eastAsia" w:ascii="宋体" w:hAnsi="宋体" w:cs="宋体"/>
          <w:color w:val="auto"/>
          <w:kern w:val="2"/>
          <w:sz w:val="24"/>
          <w:szCs w:val="20"/>
          <w:highlight w:val="none"/>
          <w:lang w:eastAsia="zh-CN"/>
        </w:rPr>
        <w:t>”</w:t>
      </w:r>
      <w:r>
        <w:rPr>
          <w:rFonts w:hint="eastAsia" w:ascii="宋体" w:hAnsi="宋体" w:cs="宋体"/>
          <w:color w:val="auto"/>
          <w:kern w:val="2"/>
          <w:sz w:val="24"/>
          <w:szCs w:val="20"/>
          <w:highlight w:val="none"/>
          <w:lang w:val="en-US" w:eastAsia="zh-CN"/>
        </w:rPr>
        <w:t>和“嵊州市公共资源交易网”</w:t>
      </w:r>
      <w:r>
        <w:rPr>
          <w:rFonts w:hint="eastAsia" w:ascii="宋体" w:hAnsi="宋体"/>
          <w:color w:val="auto"/>
          <w:sz w:val="24"/>
          <w:highlight w:val="none"/>
        </w:rPr>
        <w:t>发布中标公告，并向中标方签发书面《中标通知书》。</w:t>
      </w:r>
    </w:p>
    <w:p w14:paraId="0BE5F12C">
      <w:pPr>
        <w:pStyle w:val="5"/>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firstLine="482" w:firstLineChars="200"/>
        <w:textAlignment w:val="auto"/>
        <w:outlineLvl w:val="1"/>
        <w:rPr>
          <w:rFonts w:hint="eastAsia"/>
          <w:b/>
          <w:color w:val="auto"/>
          <w:highlight w:val="none"/>
        </w:rPr>
      </w:pPr>
      <w:bookmarkStart w:id="143" w:name="_Toc517896527"/>
      <w:bookmarkStart w:id="144" w:name="_Toc504504575"/>
      <w:bookmarkStart w:id="145" w:name="_Toc514938679"/>
      <w:bookmarkStart w:id="146" w:name="_Toc536462762"/>
      <w:bookmarkStart w:id="147" w:name="_Toc510614927"/>
      <w:r>
        <w:rPr>
          <w:rFonts w:hint="eastAsia"/>
          <w:b/>
          <w:color w:val="auto"/>
          <w:highlight w:val="none"/>
          <w:lang w:val="en-US" w:eastAsia="zh-CN"/>
        </w:rPr>
        <w:t>八</w:t>
      </w:r>
      <w:r>
        <w:rPr>
          <w:rFonts w:hint="eastAsia"/>
          <w:b/>
          <w:color w:val="auto"/>
          <w:highlight w:val="none"/>
        </w:rPr>
        <w:t>、合同授予</w:t>
      </w:r>
      <w:bookmarkEnd w:id="143"/>
      <w:bookmarkEnd w:id="144"/>
      <w:bookmarkEnd w:id="145"/>
      <w:bookmarkEnd w:id="146"/>
      <w:bookmarkEnd w:id="147"/>
    </w:p>
    <w:p w14:paraId="2940776F">
      <w:pPr>
        <w:keepNext w:val="0"/>
        <w:keepLines w:val="0"/>
        <w:pageBreakBefore w:val="0"/>
        <w:widowControl w:val="0"/>
        <w:kinsoku/>
        <w:wordWrap/>
        <w:overflowPunct/>
        <w:topLinePunct w:val="0"/>
        <w:autoSpaceDE/>
        <w:autoSpaceDN/>
        <w:bidi w:val="0"/>
        <w:snapToGrid w:val="0"/>
        <w:spacing w:line="460" w:lineRule="exact"/>
        <w:ind w:firstLine="482" w:firstLineChars="200"/>
        <w:jc w:val="left"/>
        <w:textAlignment w:val="auto"/>
        <w:outlineLvl w:val="2"/>
        <w:rPr>
          <w:rFonts w:hint="eastAsia" w:ascii="宋体" w:hAnsi="宋体"/>
          <w:b/>
          <w:color w:val="auto"/>
          <w:sz w:val="24"/>
          <w:highlight w:val="none"/>
        </w:rPr>
      </w:pPr>
      <w:bookmarkStart w:id="148" w:name="_Toc517896528"/>
      <w:bookmarkStart w:id="149" w:name="_Toc504504576"/>
      <w:r>
        <w:rPr>
          <w:rFonts w:hint="eastAsia" w:ascii="宋体" w:hAnsi="宋体"/>
          <w:b/>
          <w:color w:val="auto"/>
          <w:sz w:val="24"/>
          <w:highlight w:val="none"/>
        </w:rPr>
        <w:t>（一）签订合同</w:t>
      </w:r>
      <w:bookmarkEnd w:id="148"/>
      <w:bookmarkEnd w:id="149"/>
    </w:p>
    <w:p w14:paraId="6429FAF7">
      <w:pPr>
        <w:pStyle w:val="16"/>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firstLine="480" w:firstLineChars="200"/>
        <w:textAlignment w:val="auto"/>
        <w:rPr>
          <w:rFonts w:hint="eastAsia" w:ascii="宋体" w:hAnsi="宋体" w:eastAsia="宋体" w:cs="Times New Roman"/>
          <w:color w:val="auto"/>
          <w:spacing w:val="0"/>
          <w:kern w:val="2"/>
          <w:sz w:val="24"/>
          <w:szCs w:val="22"/>
          <w:highlight w:val="none"/>
          <w:lang w:val="en-US" w:eastAsia="zh-CN" w:bidi="ar-SA"/>
        </w:rPr>
      </w:pPr>
      <w:r>
        <w:rPr>
          <w:rFonts w:hint="eastAsia" w:ascii="宋体" w:hAnsi="宋体" w:eastAsia="宋体" w:cs="Times New Roman"/>
          <w:color w:val="auto"/>
          <w:spacing w:val="0"/>
          <w:kern w:val="2"/>
          <w:sz w:val="24"/>
          <w:szCs w:val="22"/>
          <w:highlight w:val="none"/>
          <w:lang w:val="en-US" w:eastAsia="zh-CN" w:bidi="ar-SA"/>
        </w:rPr>
        <w:t>1.采购人与中标单位应当在《中标通知书》发出之日起30日内签订合同。</w:t>
      </w:r>
    </w:p>
    <w:p w14:paraId="126F144B">
      <w:pPr>
        <w:keepNext w:val="0"/>
        <w:keepLines w:val="0"/>
        <w:pageBreakBefore w:val="0"/>
        <w:widowControl w:val="0"/>
        <w:kinsoku/>
        <w:wordWrap/>
        <w:overflowPunct/>
        <w:topLinePunct w:val="0"/>
        <w:autoSpaceDE/>
        <w:autoSpaceDN/>
        <w:bidi w:val="0"/>
        <w:snapToGrid w:val="0"/>
        <w:spacing w:line="460" w:lineRule="exact"/>
        <w:ind w:firstLine="480"/>
        <w:jc w:val="left"/>
        <w:textAlignment w:val="auto"/>
        <w:rPr>
          <w:rFonts w:hint="eastAsia" w:ascii="宋体" w:hAnsi="宋体"/>
          <w:color w:val="auto"/>
          <w:sz w:val="24"/>
          <w:highlight w:val="none"/>
        </w:rPr>
      </w:pPr>
      <w:bookmarkStart w:id="150" w:name="_Toc504504577"/>
      <w:bookmarkStart w:id="151" w:name="_Toc517896529"/>
      <w:r>
        <w:rPr>
          <w:rFonts w:hint="eastAsia" w:ascii="宋体" w:hAnsi="宋体"/>
          <w:color w:val="auto"/>
          <w:sz w:val="24"/>
          <w:highlight w:val="none"/>
        </w:rPr>
        <w:t>2.所签订的合同不得对采购文件确定的事项和中标单位投标文件作实质性修改。采购代理机构将根据采购人的委托，对合同内容进行审查，如发现与采购结果和投标承诺内容不一致的，将予以纠正。</w:t>
      </w:r>
    </w:p>
    <w:p w14:paraId="20A3A968">
      <w:pPr>
        <w:keepNext w:val="0"/>
        <w:keepLines w:val="0"/>
        <w:pageBreakBefore w:val="0"/>
        <w:widowControl w:val="0"/>
        <w:kinsoku/>
        <w:wordWrap/>
        <w:overflowPunct/>
        <w:topLinePunct w:val="0"/>
        <w:autoSpaceDE/>
        <w:autoSpaceDN/>
        <w:bidi w:val="0"/>
        <w:snapToGrid w:val="0"/>
        <w:spacing w:line="460" w:lineRule="exact"/>
        <w:ind w:firstLine="480"/>
        <w:jc w:val="left"/>
        <w:textAlignment w:val="auto"/>
        <w:rPr>
          <w:rFonts w:hint="eastAsia" w:ascii="宋体" w:hAnsi="宋体"/>
          <w:color w:val="auto"/>
          <w:sz w:val="24"/>
          <w:highlight w:val="none"/>
        </w:rPr>
      </w:pPr>
      <w:r>
        <w:rPr>
          <w:rFonts w:hint="eastAsia" w:ascii="宋体" w:hAnsi="宋体"/>
          <w:color w:val="auto"/>
          <w:sz w:val="24"/>
          <w:highlight w:val="none"/>
        </w:rPr>
        <w:t>3.中标单位拒绝与采购人签订合同的，须向采购人进行赔偿（赔偿用于支付采购代理服务费、专家评审费、其他采购组织费用、补偿采购人损失，同时采购人、采购代理机构将对其失信行为上报至监督管理部门对其依法处理。</w:t>
      </w:r>
    </w:p>
    <w:p w14:paraId="1F9D04C4">
      <w:pPr>
        <w:keepNext w:val="0"/>
        <w:keepLines w:val="0"/>
        <w:pageBreakBefore w:val="0"/>
        <w:widowControl w:val="0"/>
        <w:kinsoku/>
        <w:wordWrap/>
        <w:overflowPunct/>
        <w:topLinePunct w:val="0"/>
        <w:autoSpaceDE/>
        <w:autoSpaceDN/>
        <w:bidi w:val="0"/>
        <w:snapToGrid w:val="0"/>
        <w:spacing w:line="460" w:lineRule="exact"/>
        <w:ind w:firstLine="480"/>
        <w:jc w:val="left"/>
        <w:textAlignment w:val="auto"/>
        <w:rPr>
          <w:rFonts w:hint="eastAsia" w:ascii="宋体" w:hAnsi="宋体"/>
          <w:color w:val="auto"/>
          <w:sz w:val="24"/>
          <w:highlight w:val="none"/>
        </w:rPr>
      </w:pPr>
      <w:r>
        <w:rPr>
          <w:rFonts w:hint="eastAsia" w:ascii="宋体" w:hAnsi="宋体"/>
          <w:color w:val="auto"/>
          <w:sz w:val="24"/>
          <w:highlight w:val="none"/>
        </w:rPr>
        <w:t>4.原中标单位拒绝与采购人签订合同后，采购人可以按照评审报告推荐的中标或者成交候选人名单排序，确定下一候选人为中标单位，也可以重新开展采购活动。</w:t>
      </w:r>
    </w:p>
    <w:p w14:paraId="22AD0CE3">
      <w:pPr>
        <w:keepNext w:val="0"/>
        <w:keepLines w:val="0"/>
        <w:pageBreakBefore w:val="0"/>
        <w:widowControl w:val="0"/>
        <w:kinsoku/>
        <w:wordWrap/>
        <w:overflowPunct/>
        <w:topLinePunct w:val="0"/>
        <w:autoSpaceDE/>
        <w:autoSpaceDN/>
        <w:bidi w:val="0"/>
        <w:snapToGrid w:val="0"/>
        <w:spacing w:line="460" w:lineRule="exact"/>
        <w:ind w:firstLine="482" w:firstLineChars="200"/>
        <w:jc w:val="left"/>
        <w:textAlignment w:val="auto"/>
        <w:outlineLvl w:val="2"/>
        <w:rPr>
          <w:rFonts w:hint="eastAsia" w:ascii="宋体" w:hAnsi="宋体"/>
          <w:b/>
          <w:color w:val="auto"/>
          <w:sz w:val="24"/>
          <w:highlight w:val="none"/>
        </w:rPr>
      </w:pPr>
      <w:r>
        <w:rPr>
          <w:rFonts w:hint="eastAsia" w:ascii="宋体" w:hAnsi="宋体"/>
          <w:b/>
          <w:color w:val="auto"/>
          <w:sz w:val="24"/>
          <w:highlight w:val="none"/>
        </w:rPr>
        <w:t>（二）合同签订时间</w:t>
      </w:r>
      <w:bookmarkEnd w:id="150"/>
      <w:bookmarkEnd w:id="151"/>
    </w:p>
    <w:p w14:paraId="471EA82D">
      <w:pPr>
        <w:keepNext w:val="0"/>
        <w:keepLines w:val="0"/>
        <w:pageBreakBefore w:val="0"/>
        <w:widowControl w:val="0"/>
        <w:kinsoku/>
        <w:wordWrap/>
        <w:overflowPunct/>
        <w:topLinePunct w:val="0"/>
        <w:autoSpaceDE/>
        <w:autoSpaceDN/>
        <w:bidi w:val="0"/>
        <w:snapToGrid w:val="0"/>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中标供应商应在中标通知书发出之日起30日内与采购人签订合同。</w:t>
      </w:r>
    </w:p>
    <w:p w14:paraId="31B23B5E">
      <w:pPr>
        <w:pStyle w:val="5"/>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firstLine="482" w:firstLineChars="200"/>
        <w:textAlignment w:val="auto"/>
        <w:outlineLvl w:val="1"/>
        <w:rPr>
          <w:rFonts w:hint="eastAsia"/>
          <w:b/>
          <w:color w:val="auto"/>
          <w:highlight w:val="none"/>
        </w:rPr>
      </w:pPr>
      <w:bookmarkStart w:id="152" w:name="_Toc504504579"/>
      <w:bookmarkStart w:id="153" w:name="_Toc514938680"/>
      <w:bookmarkStart w:id="154" w:name="_Toc536462763"/>
      <w:bookmarkStart w:id="155" w:name="_Toc510614928"/>
      <w:bookmarkStart w:id="156" w:name="_Toc517896531"/>
      <w:r>
        <w:rPr>
          <w:rFonts w:hint="eastAsia"/>
          <w:b/>
          <w:color w:val="auto"/>
          <w:highlight w:val="none"/>
          <w:lang w:val="en-US" w:eastAsia="zh-CN"/>
        </w:rPr>
        <w:t>九</w:t>
      </w:r>
      <w:r>
        <w:rPr>
          <w:rFonts w:hint="eastAsia"/>
          <w:b/>
          <w:color w:val="auto"/>
          <w:highlight w:val="none"/>
        </w:rPr>
        <w:t>、款项的结算</w:t>
      </w:r>
      <w:bookmarkEnd w:id="152"/>
      <w:bookmarkEnd w:id="153"/>
      <w:bookmarkEnd w:id="154"/>
      <w:bookmarkEnd w:id="155"/>
      <w:bookmarkEnd w:id="156"/>
    </w:p>
    <w:p w14:paraId="721FFEBD">
      <w:pPr>
        <w:keepNext w:val="0"/>
        <w:keepLines w:val="0"/>
        <w:pageBreakBefore w:val="0"/>
        <w:widowControl w:val="0"/>
        <w:kinsoku/>
        <w:wordWrap/>
        <w:overflowPunct/>
        <w:topLinePunct w:val="0"/>
        <w:autoSpaceDE/>
        <w:autoSpaceDN/>
        <w:bidi w:val="0"/>
        <w:spacing w:line="460" w:lineRule="exact"/>
        <w:ind w:firstLine="480" w:firstLineChars="200"/>
        <w:jc w:val="both"/>
        <w:textAlignment w:val="auto"/>
        <w:rPr>
          <w:rFonts w:hint="eastAsia" w:ascii="宋体" w:hAnsi="宋体" w:cs="宋体"/>
          <w:b/>
          <w:color w:val="auto"/>
          <w:sz w:val="36"/>
          <w:szCs w:val="36"/>
        </w:rPr>
      </w:pPr>
      <w:r>
        <w:rPr>
          <w:rFonts w:hint="eastAsia" w:ascii="宋体" w:hAnsi="宋体"/>
          <w:color w:val="auto"/>
          <w:sz w:val="24"/>
          <w:highlight w:val="none"/>
        </w:rPr>
        <w:t>按照前面前附表的有关规定结算</w:t>
      </w:r>
    </w:p>
    <w:p w14:paraId="39D0FD93">
      <w:pPr>
        <w:spacing w:line="360" w:lineRule="auto"/>
        <w:jc w:val="both"/>
        <w:rPr>
          <w:rFonts w:hint="eastAsia" w:ascii="宋体" w:hAnsi="宋体" w:cs="宋体"/>
          <w:b/>
          <w:color w:val="auto"/>
          <w:sz w:val="36"/>
          <w:szCs w:val="36"/>
        </w:rPr>
      </w:pPr>
    </w:p>
    <w:p w14:paraId="50DAD367">
      <w:pPr>
        <w:spacing w:line="360" w:lineRule="auto"/>
        <w:jc w:val="both"/>
        <w:rPr>
          <w:rFonts w:hint="eastAsia" w:ascii="宋体" w:hAnsi="宋体" w:cs="宋体"/>
          <w:b/>
          <w:color w:val="auto"/>
          <w:sz w:val="36"/>
          <w:szCs w:val="36"/>
        </w:rPr>
      </w:pPr>
    </w:p>
    <w:p w14:paraId="70E0C91B">
      <w:pPr>
        <w:numPr>
          <w:ilvl w:val="0"/>
          <w:numId w:val="2"/>
        </w:numPr>
        <w:spacing w:line="360" w:lineRule="auto"/>
        <w:jc w:val="center"/>
        <w:rPr>
          <w:rFonts w:hint="eastAsia" w:ascii="宋体" w:hAnsi="宋体" w:cs="宋体"/>
          <w:b/>
          <w:color w:val="auto"/>
          <w:spacing w:val="40"/>
          <w:kern w:val="0"/>
          <w:sz w:val="36"/>
          <w:szCs w:val="36"/>
        </w:rPr>
      </w:pPr>
      <w:r>
        <w:rPr>
          <w:rFonts w:hint="eastAsia" w:ascii="宋体" w:hAnsi="宋体" w:cs="宋体"/>
          <w:b/>
          <w:color w:val="auto"/>
          <w:sz w:val="36"/>
          <w:szCs w:val="36"/>
        </w:rPr>
        <w:br w:type="page"/>
      </w:r>
      <w:r>
        <w:rPr>
          <w:rFonts w:hint="eastAsia" w:ascii="宋体" w:hAnsi="宋体" w:cs="宋体"/>
          <w:b/>
          <w:color w:val="auto"/>
          <w:sz w:val="36"/>
          <w:szCs w:val="36"/>
        </w:rPr>
        <w:t xml:space="preserve"> </w:t>
      </w:r>
      <w:r>
        <w:rPr>
          <w:rFonts w:hint="eastAsia" w:ascii="宋体" w:hAnsi="宋体" w:cs="宋体"/>
          <w:b/>
          <w:color w:val="auto"/>
          <w:sz w:val="36"/>
          <w:szCs w:val="36"/>
          <w:highlight w:val="none"/>
        </w:rPr>
        <w:t>招标项目内容及要求</w:t>
      </w:r>
    </w:p>
    <w:p w14:paraId="7F2E6F0D">
      <w:pPr>
        <w:keepNext w:val="0"/>
        <w:keepLines w:val="0"/>
        <w:pageBreakBefore w:val="0"/>
        <w:widowControl w:val="0"/>
        <w:kinsoku/>
        <w:wordWrap/>
        <w:overflowPunct/>
        <w:topLinePunct w:val="0"/>
        <w:autoSpaceDE/>
        <w:autoSpaceDN/>
        <w:bidi w:val="0"/>
        <w:adjustRightInd w:val="0"/>
        <w:snapToGrid w:val="0"/>
        <w:spacing w:line="600" w:lineRule="exact"/>
        <w:ind w:firstLine="482" w:firstLineChars="200"/>
        <w:textAlignment w:val="auto"/>
        <w:rPr>
          <w:rFonts w:hint="eastAsia"/>
          <w:b/>
          <w:bCs/>
          <w:color w:val="auto"/>
          <w:sz w:val="24"/>
          <w:szCs w:val="24"/>
          <w:lang w:eastAsia="zh-CN"/>
        </w:rPr>
      </w:pPr>
      <w:r>
        <w:rPr>
          <w:rFonts w:hint="eastAsia"/>
          <w:b/>
          <w:bCs/>
          <w:color w:val="auto"/>
          <w:sz w:val="24"/>
          <w:szCs w:val="24"/>
          <w:lang w:eastAsia="zh-CN"/>
        </w:rPr>
        <w:t>一、招标内容</w:t>
      </w:r>
    </w:p>
    <w:p w14:paraId="6DA35AF7">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color w:val="auto"/>
          <w:sz w:val="24"/>
          <w:szCs w:val="24"/>
        </w:rPr>
      </w:pPr>
      <w:r>
        <w:rPr>
          <w:rFonts w:hint="eastAsia"/>
          <w:color w:val="auto"/>
          <w:sz w:val="24"/>
          <w:szCs w:val="24"/>
          <w:lang w:val="en-US" w:eastAsia="zh-CN"/>
        </w:rPr>
        <w:t>项目名称：</w:t>
      </w:r>
      <w:r>
        <w:rPr>
          <w:rFonts w:hint="eastAsia" w:ascii="宋体" w:hAnsi="宋体" w:cs="宋体"/>
          <w:color w:val="auto"/>
          <w:sz w:val="24"/>
          <w:szCs w:val="24"/>
          <w:lang w:eastAsia="zh-CN"/>
        </w:rPr>
        <w:t>嵊州市人力资源和社会保障局专用账户开立项目</w:t>
      </w:r>
      <w:r>
        <w:rPr>
          <w:rFonts w:hint="eastAsia"/>
          <w:color w:val="auto"/>
          <w:sz w:val="24"/>
          <w:szCs w:val="24"/>
        </w:rPr>
        <w:t xml:space="preserve"> </w:t>
      </w:r>
    </w:p>
    <w:p w14:paraId="0B60D9AD">
      <w:pPr>
        <w:keepNext w:val="0"/>
        <w:keepLines w:val="0"/>
        <w:pageBreakBefore w:val="0"/>
        <w:widowControl w:val="0"/>
        <w:kinsoku/>
        <w:wordWrap/>
        <w:overflowPunct/>
        <w:topLinePunct w:val="0"/>
        <w:autoSpaceDE/>
        <w:autoSpaceDN/>
        <w:bidi w:val="0"/>
        <w:adjustRightInd w:val="0"/>
        <w:snapToGrid w:val="0"/>
        <w:spacing w:line="600" w:lineRule="exact"/>
        <w:ind w:firstLine="482" w:firstLineChars="200"/>
        <w:textAlignment w:val="auto"/>
        <w:rPr>
          <w:rFonts w:hint="eastAsia" w:ascii="宋体" w:hAnsi="宋体" w:cs="宋体"/>
          <w:b/>
          <w:bCs/>
          <w:color w:val="auto"/>
          <w:sz w:val="24"/>
          <w:szCs w:val="24"/>
        </w:rPr>
      </w:pPr>
      <w:r>
        <w:rPr>
          <w:rFonts w:hint="eastAsia" w:ascii="宋体" w:hAnsi="宋体" w:cs="宋体"/>
          <w:b/>
          <w:bCs/>
          <w:color w:val="auto"/>
          <w:sz w:val="24"/>
          <w:szCs w:val="24"/>
          <w:lang w:eastAsia="zh-CN"/>
        </w:rPr>
        <w:t>二</w:t>
      </w:r>
      <w:r>
        <w:rPr>
          <w:rFonts w:hint="eastAsia" w:ascii="宋体" w:hAnsi="宋体" w:cs="宋体"/>
          <w:b/>
          <w:bCs/>
          <w:color w:val="auto"/>
          <w:sz w:val="24"/>
          <w:szCs w:val="24"/>
        </w:rPr>
        <w:t>、投标人的</w:t>
      </w:r>
      <w:r>
        <w:rPr>
          <w:rFonts w:hint="eastAsia" w:ascii="宋体" w:hAnsi="宋体" w:cs="宋体"/>
          <w:b/>
          <w:bCs/>
          <w:color w:val="auto"/>
          <w:sz w:val="24"/>
          <w:szCs w:val="24"/>
          <w:lang w:eastAsia="zh-CN"/>
        </w:rPr>
        <w:t>具体</w:t>
      </w:r>
      <w:r>
        <w:rPr>
          <w:rFonts w:hint="eastAsia" w:ascii="宋体" w:hAnsi="宋体" w:cs="宋体"/>
          <w:b/>
          <w:bCs/>
          <w:color w:val="auto"/>
          <w:sz w:val="24"/>
          <w:szCs w:val="24"/>
        </w:rPr>
        <w:t>要求</w:t>
      </w:r>
    </w:p>
    <w:p w14:paraId="3F3DF3CC">
      <w:pPr>
        <w:keepNext w:val="0"/>
        <w:keepLines w:val="0"/>
        <w:pageBreakBefore w:val="0"/>
        <w:widowControl w:val="0"/>
        <w:kinsoku/>
        <w:wordWrap/>
        <w:overflowPunct/>
        <w:topLinePunct w:val="0"/>
        <w:autoSpaceDE/>
        <w:autoSpaceDN/>
        <w:bidi w:val="0"/>
        <w:spacing w:line="500" w:lineRule="exact"/>
        <w:ind w:firstLine="600" w:firstLineChars="25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投标人应属于</w:t>
      </w:r>
      <w:r>
        <w:rPr>
          <w:rFonts w:hint="eastAsia" w:ascii="宋体" w:hAnsi="宋体"/>
          <w:color w:val="auto"/>
          <w:sz w:val="24"/>
          <w:highlight w:val="none"/>
        </w:rPr>
        <w:t>在中华人民共和国境内依法设立的国有商业银行、股份制商业银行、邮政储蓄银行、城市商业银行、农村信用合作联社、农村商业银行、农村合作银行及政策性银行。银行参与投标应符合以下条件</w:t>
      </w:r>
      <w:r>
        <w:rPr>
          <w:rFonts w:hint="eastAsia" w:ascii="宋体" w:hAnsi="宋体"/>
          <w:color w:val="auto"/>
          <w:sz w:val="24"/>
          <w:highlight w:val="none"/>
          <w:lang w:val="en-US" w:eastAsia="zh-CN"/>
        </w:rPr>
        <w:t>：</w:t>
      </w:r>
    </w:p>
    <w:p w14:paraId="08DB1058">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（1）在嵊州市行政区域内设有分支机构；</w:t>
      </w:r>
      <w:r>
        <w:rPr>
          <w:rFonts w:hint="eastAsia" w:ascii="宋体" w:hAnsi="宋体"/>
          <w:color w:val="auto"/>
          <w:sz w:val="24"/>
          <w:highlight w:val="none"/>
          <w:lang w:val="en-US" w:eastAsia="zh-CN"/>
        </w:rPr>
        <w:br w:type="textWrapping"/>
      </w:r>
      <w:r>
        <w:rPr>
          <w:rFonts w:hint="eastAsia" w:ascii="宋体" w:hAnsi="宋体"/>
          <w:color w:val="auto"/>
          <w:sz w:val="24"/>
          <w:highlight w:val="none"/>
          <w:lang w:val="en-US" w:eastAsia="zh-CN"/>
        </w:rPr>
        <w:t xml:space="preserve">    （2）依法开展经营活动，近3年内在经营活动中无重大违法违规记录及重大违约事件；</w:t>
      </w:r>
      <w:r>
        <w:rPr>
          <w:rFonts w:hint="eastAsia" w:ascii="宋体" w:hAnsi="宋体"/>
          <w:color w:val="auto"/>
          <w:sz w:val="24"/>
          <w:highlight w:val="none"/>
          <w:lang w:val="en-US" w:eastAsia="zh-CN"/>
        </w:rPr>
        <w:br w:type="textWrapping"/>
      </w:r>
      <w:r>
        <w:rPr>
          <w:rFonts w:hint="eastAsia" w:ascii="宋体" w:hAnsi="宋体"/>
          <w:color w:val="auto"/>
          <w:sz w:val="24"/>
          <w:highlight w:val="none"/>
          <w:lang w:val="en-US" w:eastAsia="zh-CN"/>
        </w:rPr>
        <w:t xml:space="preserve">    （3）参与投标的银行必须为嵊州市内一级银行，且只能一个主体参与，不接受联合体投标。</w:t>
      </w:r>
    </w:p>
    <w:p w14:paraId="79113973">
      <w:pPr>
        <w:keepNext w:val="0"/>
        <w:keepLines w:val="0"/>
        <w:pageBreakBefore w:val="0"/>
        <w:widowControl w:val="0"/>
        <w:kinsoku/>
        <w:wordWrap/>
        <w:overflowPunct/>
        <w:topLinePunct w:val="0"/>
        <w:autoSpaceDE/>
        <w:autoSpaceDN/>
        <w:bidi w:val="0"/>
        <w:adjustRightInd w:val="0"/>
        <w:snapToGrid w:val="0"/>
        <w:spacing w:line="600" w:lineRule="exact"/>
        <w:ind w:firstLine="482" w:firstLineChars="200"/>
        <w:textAlignment w:val="auto"/>
        <w:rPr>
          <w:rFonts w:hint="eastAsia" w:ascii="宋体" w:hAnsi="宋体" w:cs="宋体"/>
          <w:b/>
          <w:bCs/>
          <w:color w:val="auto"/>
          <w:sz w:val="24"/>
          <w:szCs w:val="24"/>
        </w:rPr>
      </w:pPr>
      <w:r>
        <w:rPr>
          <w:rFonts w:hint="eastAsia" w:ascii="宋体" w:hAnsi="宋体" w:cs="宋体"/>
          <w:b/>
          <w:bCs/>
          <w:color w:val="auto"/>
          <w:sz w:val="24"/>
          <w:szCs w:val="24"/>
        </w:rPr>
        <w:t>三、考核指标</w:t>
      </w:r>
    </w:p>
    <w:p w14:paraId="551AECC3">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eastAsia="zh-CN"/>
        </w:rPr>
        <w:t>嵊州市人力资源和社会保障局专用账户开立项目</w:t>
      </w:r>
      <w:r>
        <w:rPr>
          <w:rFonts w:hint="eastAsia" w:ascii="宋体" w:hAnsi="宋体"/>
          <w:color w:val="auto"/>
          <w:sz w:val="24"/>
        </w:rPr>
        <w:t>公开招标采用综合评分法进行评分。评分指标和评分标准遵循客观、公正、科学的原则设置，具体包括经营状况、服务水平、利率水平、贡献度等方面指标，符合参加投标银行指标考核得分分值是本次中标的依据。</w:t>
      </w:r>
    </w:p>
    <w:p w14:paraId="476A9E1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color w:val="auto"/>
          <w:sz w:val="24"/>
          <w:szCs w:val="24"/>
          <w:lang w:val="en-US" w:eastAsia="zh-CN"/>
        </w:rPr>
      </w:pPr>
    </w:p>
    <w:p w14:paraId="6AB40E2C">
      <w:pPr>
        <w:pStyle w:val="5"/>
        <w:snapToGrid w:val="0"/>
        <w:spacing w:before="0" w:beforeLines="0" w:after="0" w:afterLines="0" w:line="360" w:lineRule="auto"/>
        <w:jc w:val="center"/>
        <w:outlineLvl w:val="0"/>
        <w:rPr>
          <w:rFonts w:hint="eastAsia" w:hAnsi="宋体" w:cs="宋体"/>
          <w:b/>
          <w:color w:val="auto"/>
          <w:sz w:val="36"/>
          <w:szCs w:val="36"/>
        </w:rPr>
      </w:pPr>
      <w:r>
        <w:rPr>
          <w:rFonts w:hint="eastAsia" w:hAnsi="宋体" w:cs="宋体"/>
          <w:b/>
          <w:color w:val="auto"/>
          <w:sz w:val="36"/>
          <w:szCs w:val="36"/>
        </w:rPr>
        <w:br w:type="page"/>
      </w:r>
      <w:r>
        <w:rPr>
          <w:rFonts w:hint="eastAsia" w:hAnsi="宋体" w:cs="宋体"/>
          <w:b/>
          <w:color w:val="auto"/>
          <w:sz w:val="36"/>
          <w:szCs w:val="36"/>
        </w:rPr>
        <w:t>第四章  评标办法及评分标准</w:t>
      </w:r>
    </w:p>
    <w:p w14:paraId="2B9ACEFB">
      <w:pPr>
        <w:pStyle w:val="5"/>
        <w:snapToGrid w:val="0"/>
        <w:spacing w:before="0" w:beforeLines="0" w:after="0" w:afterLines="0" w:line="560" w:lineRule="exact"/>
        <w:jc w:val="left"/>
        <w:outlineLvl w:val="0"/>
        <w:rPr>
          <w:rFonts w:hint="eastAsia" w:hAnsi="宋体" w:cs="宋体"/>
          <w:b/>
          <w:color w:val="auto"/>
        </w:rPr>
      </w:pPr>
      <w:r>
        <w:rPr>
          <w:rFonts w:hint="eastAsia" w:hAnsi="宋体" w:cs="宋体"/>
          <w:b/>
          <w:color w:val="auto"/>
        </w:rPr>
        <w:t>一、总则</w:t>
      </w:r>
    </w:p>
    <w:p w14:paraId="12555E5D">
      <w:pPr>
        <w:adjustRightInd w:val="0"/>
        <w:snapToGrid w:val="0"/>
        <w:spacing w:line="560" w:lineRule="exact"/>
        <w:ind w:firstLine="480" w:firstLineChars="200"/>
        <w:rPr>
          <w:rFonts w:hint="eastAsia" w:ascii="宋体" w:hAnsi="宋体" w:cs="宋体"/>
          <w:b w:val="0"/>
          <w:bCs/>
          <w:color w:val="auto"/>
          <w:sz w:val="24"/>
          <w:szCs w:val="24"/>
        </w:rPr>
      </w:pPr>
      <w:r>
        <w:rPr>
          <w:rFonts w:hint="eastAsia" w:ascii="宋体" w:hAnsi="宋体" w:cs="宋体"/>
          <w:b w:val="0"/>
          <w:bCs/>
          <w:color w:val="auto"/>
          <w:sz w:val="24"/>
          <w:szCs w:val="24"/>
        </w:rPr>
        <w:t>本次评标采用综合评分法，总分为100分。以综合评分第一名的为中标银行。合格投标人的评标得分为各项目汇总得分，中标候选人按评标总得分由高到低顺序排列，得分相同的，</w:t>
      </w:r>
      <w:r>
        <w:rPr>
          <w:rFonts w:hint="eastAsia" w:ascii="宋体" w:hAnsi="宋体" w:cs="宋体"/>
          <w:color w:val="auto"/>
          <w:kern w:val="1"/>
          <w:sz w:val="24"/>
          <w:highlight w:val="none"/>
        </w:rPr>
        <w:t>依次按存款利率、经济贡献度、服务水平经营状况</w:t>
      </w:r>
      <w:r>
        <w:rPr>
          <w:rFonts w:hint="eastAsia" w:ascii="宋体" w:hAnsi="宋体" w:cs="宋体"/>
          <w:b w:val="0"/>
          <w:bCs/>
          <w:color w:val="auto"/>
          <w:sz w:val="24"/>
          <w:szCs w:val="24"/>
        </w:rPr>
        <w:t>得分由高到低顺序排列；</w:t>
      </w:r>
      <w:r>
        <w:rPr>
          <w:rFonts w:hint="eastAsia" w:ascii="宋体" w:hAnsi="宋体" w:cs="宋体"/>
          <w:color w:val="auto"/>
          <w:kern w:val="1"/>
          <w:sz w:val="24"/>
          <w:highlight w:val="none"/>
        </w:rPr>
        <w:t>若均相同</w:t>
      </w:r>
      <w:r>
        <w:rPr>
          <w:rFonts w:hint="eastAsia" w:ascii="宋体" w:hAnsi="宋体" w:cs="宋体"/>
          <w:b w:val="0"/>
          <w:bCs/>
          <w:color w:val="auto"/>
          <w:sz w:val="24"/>
          <w:szCs w:val="24"/>
        </w:rPr>
        <w:t>，由投标人按报名顺序抽取球号最大者为中标单位。评分过程中采用四舍五入法，并保留小数2位。</w:t>
      </w:r>
    </w:p>
    <w:p w14:paraId="3B056618">
      <w:pPr>
        <w:adjustRightInd w:val="0"/>
        <w:snapToGrid w:val="0"/>
        <w:spacing w:line="560" w:lineRule="exact"/>
        <w:rPr>
          <w:rFonts w:hint="eastAsia" w:ascii="宋体" w:hAnsi="宋体" w:cs="宋体"/>
          <w:b/>
          <w:color w:val="auto"/>
          <w:sz w:val="24"/>
          <w:szCs w:val="24"/>
        </w:rPr>
      </w:pPr>
      <w:r>
        <w:rPr>
          <w:rFonts w:hint="eastAsia" w:ascii="宋体" w:hAnsi="宋体" w:cs="宋体"/>
          <w:b/>
          <w:color w:val="auto"/>
          <w:sz w:val="24"/>
          <w:szCs w:val="24"/>
        </w:rPr>
        <w:t>二、分值的计算</w:t>
      </w:r>
    </w:p>
    <w:p w14:paraId="2137B738">
      <w:pPr>
        <w:adjustRightInd w:val="0"/>
        <w:snapToGrid w:val="0"/>
        <w:spacing w:line="560" w:lineRule="exact"/>
        <w:ind w:firstLine="480" w:firstLineChars="20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技术分按照评标委员会成员的独立评分结果汇总后的算术平均分计算，计算公式为：</w:t>
      </w:r>
    </w:p>
    <w:p w14:paraId="6294560A">
      <w:pPr>
        <w:adjustRightInd w:val="0"/>
        <w:snapToGrid w:val="0"/>
        <w:spacing w:line="560" w:lineRule="exact"/>
        <w:ind w:firstLine="480" w:firstLineChars="20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总得分=（评标委员会所有成员评分合计数/评标委员会组成人员数）。</w:t>
      </w:r>
    </w:p>
    <w:p w14:paraId="65750817">
      <w:pPr>
        <w:numPr>
          <w:ilvl w:val="0"/>
          <w:numId w:val="3"/>
        </w:numPr>
        <w:spacing w:line="500" w:lineRule="exact"/>
        <w:rPr>
          <w:rFonts w:hint="eastAsia" w:hAnsi="宋体" w:cs="宋体"/>
          <w:b/>
          <w:bCs/>
          <w:color w:val="auto"/>
          <w:highlight w:val="none"/>
          <w:lang w:val="en-US" w:eastAsia="zh-CN"/>
        </w:rPr>
      </w:pPr>
      <w:r>
        <w:rPr>
          <w:rFonts w:hint="eastAsia" w:ascii="宋体" w:hAnsi="宋体" w:cs="宋体"/>
          <w:b/>
          <w:color w:val="auto"/>
          <w:sz w:val="24"/>
          <w:szCs w:val="24"/>
        </w:rPr>
        <w:t>评标内容及标准</w:t>
      </w:r>
    </w:p>
    <w:tbl>
      <w:tblPr>
        <w:tblStyle w:val="12"/>
        <w:tblW w:w="898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13"/>
        <w:gridCol w:w="1002"/>
        <w:gridCol w:w="1116"/>
        <w:gridCol w:w="5471"/>
        <w:gridCol w:w="784"/>
      </w:tblGrid>
      <w:tr w14:paraId="32C84D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8" w:hRule="atLeast"/>
          <w:tblHeader/>
        </w:trPr>
        <w:tc>
          <w:tcPr>
            <w:tcW w:w="613" w:type="dxa"/>
            <w:tcBorders>
              <w:top w:val="single" w:color="auto" w:sz="4" w:space="0"/>
              <w:left w:val="single" w:color="auto" w:sz="4" w:space="0"/>
              <w:bottom w:val="single" w:color="auto" w:sz="6" w:space="0"/>
              <w:right w:val="single" w:color="auto" w:sz="6" w:space="0"/>
            </w:tcBorders>
            <w:noWrap w:val="0"/>
            <w:vAlign w:val="center"/>
          </w:tcPr>
          <w:p w14:paraId="6D50A658">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118" w:type="dxa"/>
            <w:gridSpan w:val="2"/>
            <w:tcBorders>
              <w:top w:val="single" w:color="auto" w:sz="4" w:space="0"/>
              <w:left w:val="single" w:color="auto" w:sz="4" w:space="0"/>
              <w:bottom w:val="single" w:color="auto" w:sz="6" w:space="0"/>
              <w:right w:val="single" w:color="auto" w:sz="6" w:space="0"/>
            </w:tcBorders>
            <w:noWrap w:val="0"/>
            <w:vAlign w:val="center"/>
          </w:tcPr>
          <w:p w14:paraId="693BE565">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评分项目</w:t>
            </w:r>
          </w:p>
        </w:tc>
        <w:tc>
          <w:tcPr>
            <w:tcW w:w="5471" w:type="dxa"/>
            <w:tcBorders>
              <w:top w:val="single" w:color="auto" w:sz="4" w:space="0"/>
              <w:left w:val="single" w:color="auto" w:sz="6" w:space="0"/>
              <w:bottom w:val="single" w:color="auto" w:sz="6" w:space="0"/>
              <w:right w:val="single" w:color="auto" w:sz="6" w:space="0"/>
            </w:tcBorders>
            <w:noWrap w:val="0"/>
            <w:vAlign w:val="center"/>
          </w:tcPr>
          <w:p w14:paraId="39DF6FDE">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评审细则</w:t>
            </w:r>
          </w:p>
        </w:tc>
        <w:tc>
          <w:tcPr>
            <w:tcW w:w="784" w:type="dxa"/>
            <w:tcBorders>
              <w:top w:val="single" w:color="auto" w:sz="4" w:space="0"/>
              <w:left w:val="single" w:color="auto" w:sz="6" w:space="0"/>
              <w:bottom w:val="single" w:color="auto" w:sz="6" w:space="0"/>
              <w:right w:val="single" w:color="auto" w:sz="4" w:space="0"/>
            </w:tcBorders>
            <w:noWrap w:val="0"/>
            <w:vAlign w:val="center"/>
          </w:tcPr>
          <w:p w14:paraId="3DB4C1D3">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14:paraId="0BA871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58" w:hRule="atLeast"/>
        </w:trPr>
        <w:tc>
          <w:tcPr>
            <w:tcW w:w="613" w:type="dxa"/>
            <w:tcBorders>
              <w:top w:val="single" w:color="auto" w:sz="6" w:space="0"/>
              <w:left w:val="single" w:color="auto" w:sz="4" w:space="0"/>
              <w:right w:val="single" w:color="auto" w:sz="6" w:space="0"/>
            </w:tcBorders>
            <w:noWrap w:val="0"/>
            <w:vAlign w:val="center"/>
          </w:tcPr>
          <w:p w14:paraId="56570804">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c>
          <w:tcPr>
            <w:tcW w:w="1002" w:type="dxa"/>
            <w:tcBorders>
              <w:top w:val="single" w:color="auto" w:sz="6" w:space="0"/>
              <w:left w:val="single" w:color="auto" w:sz="6" w:space="0"/>
              <w:right w:val="single" w:color="auto" w:sz="6" w:space="0"/>
            </w:tcBorders>
            <w:noWrap w:val="0"/>
            <w:vAlign w:val="center"/>
          </w:tcPr>
          <w:p w14:paraId="649B6343">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利率水平（20分）</w:t>
            </w:r>
          </w:p>
        </w:tc>
        <w:tc>
          <w:tcPr>
            <w:tcW w:w="1116" w:type="dxa"/>
            <w:tcBorders>
              <w:top w:val="single" w:color="auto" w:sz="6" w:space="0"/>
              <w:left w:val="single" w:color="auto" w:sz="6" w:space="0"/>
              <w:bottom w:val="single" w:color="auto" w:sz="4" w:space="0"/>
              <w:right w:val="single" w:color="auto" w:sz="6" w:space="0"/>
            </w:tcBorders>
            <w:noWrap w:val="0"/>
            <w:vAlign w:val="center"/>
          </w:tcPr>
          <w:p w14:paraId="0A7665A4">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协定</w:t>
            </w:r>
            <w:r>
              <w:rPr>
                <w:rFonts w:hint="eastAsia" w:ascii="宋体" w:hAnsi="宋体" w:eastAsia="宋体" w:cs="宋体"/>
                <w:b w:val="0"/>
                <w:bCs w:val="0"/>
                <w:color w:val="auto"/>
                <w:kern w:val="2"/>
                <w:sz w:val="24"/>
                <w:szCs w:val="24"/>
                <w:highlight w:val="none"/>
                <w:lang w:val="en-US" w:eastAsia="zh-CN" w:bidi="ar-SA"/>
              </w:rPr>
              <w:t>存款利率</w:t>
            </w:r>
          </w:p>
        </w:tc>
        <w:tc>
          <w:tcPr>
            <w:tcW w:w="5471" w:type="dxa"/>
            <w:tcBorders>
              <w:top w:val="single" w:color="auto" w:sz="6" w:space="0"/>
              <w:left w:val="single" w:color="auto" w:sz="6" w:space="0"/>
              <w:bottom w:val="single" w:color="auto" w:sz="4" w:space="0"/>
              <w:right w:val="single" w:color="auto" w:sz="6" w:space="0"/>
            </w:tcBorders>
            <w:noWrap w:val="0"/>
            <w:vAlign w:val="center"/>
          </w:tcPr>
          <w:p w14:paraId="4E1872B0">
            <w:pPr>
              <w:keepNext w:val="0"/>
              <w:keepLines w:val="0"/>
              <w:pageBreakBefore w:val="0"/>
              <w:widowControl w:val="0"/>
              <w:kinsoku/>
              <w:wordWrap/>
              <w:overflowPunct/>
              <w:topLinePunct w:val="0"/>
              <w:autoSpaceDE/>
              <w:autoSpaceDN/>
              <w:bidi w:val="0"/>
              <w:adjustRightInd/>
              <w:spacing w:line="24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根据省市场利率定价自律机制最新约定，加点</w:t>
            </w:r>
            <w:r>
              <w:rPr>
                <w:rFonts w:hint="eastAsia" w:ascii="宋体" w:hAnsi="宋体" w:cs="宋体"/>
                <w:color w:val="auto"/>
                <w:sz w:val="24"/>
                <w:szCs w:val="24"/>
                <w:highlight w:val="none"/>
                <w:lang w:val="en-US" w:eastAsia="zh-CN"/>
              </w:rPr>
              <w:t>幅度</w:t>
            </w:r>
            <w:r>
              <w:rPr>
                <w:rFonts w:hint="eastAsia" w:ascii="宋体" w:hAnsi="宋体" w:eastAsia="宋体" w:cs="宋体"/>
                <w:color w:val="auto"/>
                <w:sz w:val="24"/>
                <w:szCs w:val="24"/>
                <w:highlight w:val="none"/>
                <w:lang w:val="en-US" w:eastAsia="zh-CN"/>
              </w:rPr>
              <w:t>达各机构最高上限的得20分，加点</w:t>
            </w:r>
            <w:r>
              <w:rPr>
                <w:rFonts w:hint="eastAsia" w:ascii="宋体" w:hAnsi="宋体" w:cs="宋体"/>
                <w:color w:val="auto"/>
                <w:sz w:val="24"/>
                <w:szCs w:val="24"/>
                <w:highlight w:val="none"/>
                <w:lang w:val="en-US" w:eastAsia="zh-CN"/>
              </w:rPr>
              <w:t>幅度</w:t>
            </w:r>
            <w:r>
              <w:rPr>
                <w:rFonts w:hint="eastAsia" w:ascii="宋体" w:hAnsi="宋体" w:eastAsia="宋体" w:cs="宋体"/>
                <w:color w:val="auto"/>
                <w:sz w:val="24"/>
                <w:szCs w:val="24"/>
                <w:highlight w:val="none"/>
                <w:lang w:val="en-US" w:eastAsia="zh-CN"/>
              </w:rPr>
              <w:t>未达到最高上限的不得分。</w:t>
            </w:r>
            <w:r>
              <w:rPr>
                <w:rFonts w:hint="eastAsia" w:ascii="宋体" w:hAnsi="宋体" w:cs="宋体"/>
                <w:color w:val="auto"/>
                <w:sz w:val="24"/>
                <w:szCs w:val="24"/>
                <w:highlight w:val="none"/>
                <w:lang w:val="en-US" w:eastAsia="zh-CN"/>
              </w:rPr>
              <w:t>（本项目协定存款基本存款额度10万元）</w:t>
            </w:r>
          </w:p>
        </w:tc>
        <w:tc>
          <w:tcPr>
            <w:tcW w:w="784" w:type="dxa"/>
            <w:tcBorders>
              <w:top w:val="single" w:color="auto" w:sz="6" w:space="0"/>
              <w:left w:val="single" w:color="auto" w:sz="6" w:space="0"/>
              <w:right w:val="single" w:color="auto" w:sz="4" w:space="0"/>
            </w:tcBorders>
            <w:noWrap w:val="0"/>
            <w:vAlign w:val="center"/>
          </w:tcPr>
          <w:p w14:paraId="6AC371D0">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20分</w:t>
            </w:r>
          </w:p>
        </w:tc>
      </w:tr>
      <w:tr w14:paraId="74FDA4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13" w:type="dxa"/>
            <w:vMerge w:val="restart"/>
            <w:tcBorders>
              <w:left w:val="single" w:color="auto" w:sz="4" w:space="0"/>
              <w:right w:val="single" w:color="auto" w:sz="6" w:space="0"/>
            </w:tcBorders>
            <w:noWrap w:val="0"/>
            <w:vAlign w:val="center"/>
          </w:tcPr>
          <w:p w14:paraId="5B0E074F">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w:t>
            </w:r>
          </w:p>
        </w:tc>
        <w:tc>
          <w:tcPr>
            <w:tcW w:w="1002" w:type="dxa"/>
            <w:vMerge w:val="restart"/>
            <w:tcBorders>
              <w:left w:val="single" w:color="auto" w:sz="6" w:space="0"/>
              <w:right w:val="single" w:color="auto" w:sz="6" w:space="0"/>
            </w:tcBorders>
            <w:noWrap w:val="0"/>
            <w:vAlign w:val="center"/>
          </w:tcPr>
          <w:p w14:paraId="7A785AC7">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经营状况</w:t>
            </w:r>
          </w:p>
          <w:p w14:paraId="0DB3DAA3">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（30分）</w:t>
            </w:r>
          </w:p>
        </w:tc>
        <w:tc>
          <w:tcPr>
            <w:tcW w:w="1116" w:type="dxa"/>
            <w:tcBorders>
              <w:top w:val="single" w:color="auto" w:sz="4" w:space="0"/>
              <w:left w:val="single" w:color="auto" w:sz="6" w:space="0"/>
              <w:right w:val="single" w:color="auto" w:sz="6" w:space="0"/>
            </w:tcBorders>
            <w:noWrap w:val="0"/>
            <w:vAlign w:val="center"/>
          </w:tcPr>
          <w:p w14:paraId="584B3505">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资产质量</w:t>
            </w:r>
          </w:p>
        </w:tc>
        <w:tc>
          <w:tcPr>
            <w:tcW w:w="5471" w:type="dxa"/>
            <w:tcBorders>
              <w:top w:val="single" w:color="auto" w:sz="4" w:space="0"/>
              <w:left w:val="single" w:color="auto" w:sz="6" w:space="0"/>
              <w:right w:val="single" w:color="auto" w:sz="6" w:space="0"/>
            </w:tcBorders>
            <w:noWrap w:val="0"/>
            <w:vAlign w:val="center"/>
          </w:tcPr>
          <w:p w14:paraId="763FBD00">
            <w:pPr>
              <w:keepNext w:val="0"/>
              <w:keepLines w:val="0"/>
              <w:pageBreakBefore w:val="0"/>
              <w:widowControl w:val="0"/>
              <w:kinsoku/>
              <w:wordWrap/>
              <w:overflowPunct/>
              <w:topLinePunct w:val="0"/>
              <w:autoSpaceDE/>
              <w:autoSpaceDN/>
              <w:bidi w:val="0"/>
              <w:adjustRightInd/>
              <w:spacing w:line="24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不良管理排名（2024年12月底），排名第1-2名得3分，第3-4名得</w:t>
            </w: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lang w:val="en-US" w:eastAsia="zh-CN"/>
              </w:rPr>
              <w:t>分，第5-6名得</w:t>
            </w: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lang w:val="en-US" w:eastAsia="zh-CN"/>
              </w:rPr>
              <w:t>分，第7-8名得2.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分，第9名及以后得2.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tc>
        <w:tc>
          <w:tcPr>
            <w:tcW w:w="784" w:type="dxa"/>
            <w:tcBorders>
              <w:top w:val="single" w:color="auto" w:sz="4" w:space="0"/>
              <w:left w:val="single" w:color="auto" w:sz="6" w:space="0"/>
              <w:bottom w:val="single" w:color="auto" w:sz="4" w:space="0"/>
              <w:right w:val="single" w:color="auto" w:sz="4" w:space="0"/>
            </w:tcBorders>
            <w:noWrap w:val="0"/>
            <w:vAlign w:val="center"/>
          </w:tcPr>
          <w:p w14:paraId="1AB5AB37">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r>
      <w:tr w14:paraId="59EBE3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59" w:hRule="atLeast"/>
        </w:trPr>
        <w:tc>
          <w:tcPr>
            <w:tcW w:w="613" w:type="dxa"/>
            <w:vMerge w:val="continue"/>
            <w:tcBorders>
              <w:left w:val="single" w:color="auto" w:sz="4" w:space="0"/>
              <w:right w:val="single" w:color="auto" w:sz="6" w:space="0"/>
            </w:tcBorders>
            <w:noWrap w:val="0"/>
            <w:vAlign w:val="center"/>
          </w:tcPr>
          <w:p w14:paraId="62E760F7">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p>
        </w:tc>
        <w:tc>
          <w:tcPr>
            <w:tcW w:w="1002" w:type="dxa"/>
            <w:vMerge w:val="continue"/>
            <w:tcBorders>
              <w:left w:val="single" w:color="auto" w:sz="6" w:space="0"/>
              <w:right w:val="single" w:color="auto" w:sz="6" w:space="0"/>
            </w:tcBorders>
            <w:noWrap w:val="0"/>
            <w:vAlign w:val="center"/>
          </w:tcPr>
          <w:p w14:paraId="7094AAD3">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p>
        </w:tc>
        <w:tc>
          <w:tcPr>
            <w:tcW w:w="1116" w:type="dxa"/>
            <w:vMerge w:val="restart"/>
            <w:tcBorders>
              <w:top w:val="single" w:color="auto" w:sz="4" w:space="0"/>
              <w:left w:val="single" w:color="auto" w:sz="6" w:space="0"/>
              <w:right w:val="single" w:color="auto" w:sz="6" w:space="0"/>
            </w:tcBorders>
            <w:noWrap w:val="0"/>
            <w:vAlign w:val="center"/>
          </w:tcPr>
          <w:p w14:paraId="22DA31B8">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运营状况</w:t>
            </w:r>
          </w:p>
        </w:tc>
        <w:tc>
          <w:tcPr>
            <w:tcW w:w="5471" w:type="dxa"/>
            <w:tcBorders>
              <w:top w:val="single" w:color="auto" w:sz="4" w:space="0"/>
              <w:left w:val="single" w:color="auto" w:sz="6" w:space="0"/>
              <w:right w:val="single" w:color="auto" w:sz="6" w:space="0"/>
            </w:tcBorders>
            <w:noWrap w:val="0"/>
            <w:vAlign w:val="center"/>
          </w:tcPr>
          <w:p w14:paraId="72E75824">
            <w:pPr>
              <w:keepNext w:val="0"/>
              <w:keepLines w:val="0"/>
              <w:pageBreakBefore w:val="0"/>
              <w:widowControl w:val="0"/>
              <w:kinsoku/>
              <w:wordWrap/>
              <w:overflowPunct/>
              <w:topLinePunct w:val="0"/>
              <w:autoSpaceDE/>
              <w:autoSpaceDN/>
              <w:bidi w:val="0"/>
              <w:adjustRightInd/>
              <w:spacing w:line="24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存贷比排名（2024年12月底）,排名第1-2名得4分，第3-4名得3.</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分，第5-6名得3.</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分，第7-8名得3.</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分，第9名及以后得3.</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tc>
        <w:tc>
          <w:tcPr>
            <w:tcW w:w="784" w:type="dxa"/>
            <w:tcBorders>
              <w:top w:val="single" w:color="auto" w:sz="4" w:space="0"/>
              <w:left w:val="single" w:color="auto" w:sz="6" w:space="0"/>
              <w:right w:val="single" w:color="auto" w:sz="4" w:space="0"/>
            </w:tcBorders>
            <w:noWrap w:val="0"/>
            <w:vAlign w:val="center"/>
          </w:tcPr>
          <w:p w14:paraId="3C4ACE72">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4分</w:t>
            </w:r>
          </w:p>
        </w:tc>
      </w:tr>
      <w:tr w14:paraId="503A76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25" w:hRule="atLeast"/>
        </w:trPr>
        <w:tc>
          <w:tcPr>
            <w:tcW w:w="613" w:type="dxa"/>
            <w:vMerge w:val="continue"/>
            <w:tcBorders>
              <w:left w:val="single" w:color="auto" w:sz="4" w:space="0"/>
              <w:right w:val="single" w:color="auto" w:sz="6" w:space="0"/>
            </w:tcBorders>
            <w:noWrap w:val="0"/>
            <w:vAlign w:val="center"/>
          </w:tcPr>
          <w:p w14:paraId="4970FFC0">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p>
        </w:tc>
        <w:tc>
          <w:tcPr>
            <w:tcW w:w="1002" w:type="dxa"/>
            <w:vMerge w:val="continue"/>
            <w:tcBorders>
              <w:left w:val="single" w:color="auto" w:sz="6" w:space="0"/>
              <w:right w:val="single" w:color="auto" w:sz="6" w:space="0"/>
            </w:tcBorders>
            <w:noWrap w:val="0"/>
            <w:vAlign w:val="center"/>
          </w:tcPr>
          <w:p w14:paraId="31D440E6">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p>
        </w:tc>
        <w:tc>
          <w:tcPr>
            <w:tcW w:w="1116" w:type="dxa"/>
            <w:vMerge w:val="continue"/>
            <w:tcBorders>
              <w:left w:val="single" w:color="auto" w:sz="6" w:space="0"/>
              <w:right w:val="single" w:color="auto" w:sz="6" w:space="0"/>
            </w:tcBorders>
            <w:noWrap w:val="0"/>
            <w:vAlign w:val="center"/>
          </w:tcPr>
          <w:p w14:paraId="40D9DD08">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p>
        </w:tc>
        <w:tc>
          <w:tcPr>
            <w:tcW w:w="5471" w:type="dxa"/>
            <w:tcBorders>
              <w:top w:val="single" w:color="auto" w:sz="4" w:space="0"/>
              <w:left w:val="single" w:color="auto" w:sz="6" w:space="0"/>
              <w:right w:val="single" w:color="auto" w:sz="6" w:space="0"/>
            </w:tcBorders>
            <w:noWrap w:val="0"/>
            <w:vAlign w:val="center"/>
          </w:tcPr>
          <w:p w14:paraId="2FD40DEB">
            <w:pPr>
              <w:keepNext w:val="0"/>
              <w:keepLines w:val="0"/>
              <w:pageBreakBefore w:val="0"/>
              <w:widowControl w:val="0"/>
              <w:kinsoku/>
              <w:wordWrap/>
              <w:overflowPunct/>
              <w:topLinePunct w:val="0"/>
              <w:autoSpaceDE/>
              <w:autoSpaceDN/>
              <w:bidi w:val="0"/>
              <w:adjustRightInd/>
              <w:spacing w:line="24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净利润</w:t>
            </w:r>
            <w:r>
              <w:rPr>
                <w:rFonts w:hint="eastAsia" w:ascii="宋体" w:hAnsi="宋体" w:eastAsia="宋体" w:cs="宋体"/>
                <w:color w:val="auto"/>
                <w:sz w:val="24"/>
                <w:szCs w:val="24"/>
                <w:highlight w:val="none"/>
                <w:lang w:val="en-US" w:eastAsia="zh-CN"/>
              </w:rPr>
              <w:t>排名（202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年12月底）,排名第1-2名得3分，第3-4名得2.</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分，第5-6名得2.</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分，第7-8名得2.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分，第9名及以后得2.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tc>
        <w:tc>
          <w:tcPr>
            <w:tcW w:w="784" w:type="dxa"/>
            <w:tcBorders>
              <w:left w:val="single" w:color="auto" w:sz="6" w:space="0"/>
              <w:right w:val="single" w:color="auto" w:sz="4" w:space="0"/>
            </w:tcBorders>
            <w:noWrap w:val="0"/>
            <w:vAlign w:val="center"/>
          </w:tcPr>
          <w:p w14:paraId="3D73E365">
            <w:pPr>
              <w:keepNext w:val="0"/>
              <w:keepLines w:val="0"/>
              <w:pageBreakBefore w:val="0"/>
              <w:widowControl w:val="0"/>
              <w:kinsoku/>
              <w:wordWrap/>
              <w:overflowPunct/>
              <w:topLinePunct w:val="0"/>
              <w:autoSpaceDE/>
              <w:autoSpaceDN/>
              <w:bidi w:val="0"/>
              <w:adjustRightInd/>
              <w:spacing w:line="24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r>
      <w:tr w14:paraId="4AA25C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2" w:hRule="atLeast"/>
        </w:trPr>
        <w:tc>
          <w:tcPr>
            <w:tcW w:w="613" w:type="dxa"/>
            <w:vMerge w:val="continue"/>
            <w:tcBorders>
              <w:left w:val="single" w:color="auto" w:sz="4" w:space="0"/>
              <w:right w:val="single" w:color="auto" w:sz="6" w:space="0"/>
            </w:tcBorders>
            <w:noWrap w:val="0"/>
            <w:vAlign w:val="center"/>
          </w:tcPr>
          <w:p w14:paraId="2D1C4913">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p>
        </w:tc>
        <w:tc>
          <w:tcPr>
            <w:tcW w:w="1002" w:type="dxa"/>
            <w:vMerge w:val="continue"/>
            <w:tcBorders>
              <w:left w:val="single" w:color="auto" w:sz="6" w:space="0"/>
              <w:right w:val="single" w:color="auto" w:sz="6" w:space="0"/>
            </w:tcBorders>
            <w:noWrap w:val="0"/>
            <w:vAlign w:val="center"/>
          </w:tcPr>
          <w:p w14:paraId="49146D72">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p>
        </w:tc>
        <w:tc>
          <w:tcPr>
            <w:tcW w:w="1116" w:type="dxa"/>
            <w:vMerge w:val="continue"/>
            <w:tcBorders>
              <w:left w:val="single" w:color="auto" w:sz="6" w:space="0"/>
              <w:right w:val="single" w:color="auto" w:sz="6" w:space="0"/>
            </w:tcBorders>
            <w:noWrap w:val="0"/>
            <w:vAlign w:val="center"/>
          </w:tcPr>
          <w:p w14:paraId="70A4D423">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p>
        </w:tc>
        <w:tc>
          <w:tcPr>
            <w:tcW w:w="5471" w:type="dxa"/>
            <w:tcBorders>
              <w:top w:val="single" w:color="auto" w:sz="4" w:space="0"/>
              <w:left w:val="single" w:color="auto" w:sz="6" w:space="0"/>
              <w:right w:val="single" w:color="auto" w:sz="6" w:space="0"/>
            </w:tcBorders>
            <w:noWrap w:val="0"/>
            <w:vAlign w:val="center"/>
          </w:tcPr>
          <w:p w14:paraId="6D59BD33">
            <w:pPr>
              <w:keepNext w:val="0"/>
              <w:keepLines w:val="0"/>
              <w:pageBreakBefore w:val="0"/>
              <w:widowControl w:val="0"/>
              <w:kinsoku/>
              <w:wordWrap/>
              <w:overflowPunct/>
              <w:topLinePunct w:val="0"/>
              <w:autoSpaceDE/>
              <w:autoSpaceDN/>
              <w:bidi w:val="0"/>
              <w:adjustRightInd/>
              <w:spacing w:line="24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净利润</w:t>
            </w:r>
            <w:r>
              <w:rPr>
                <w:rFonts w:hint="eastAsia" w:ascii="宋体" w:hAnsi="宋体" w:eastAsia="宋体" w:cs="宋体"/>
                <w:color w:val="auto"/>
                <w:sz w:val="24"/>
                <w:szCs w:val="24"/>
                <w:highlight w:val="none"/>
                <w:lang w:val="en-US" w:eastAsia="zh-CN"/>
              </w:rPr>
              <w:t>增长率排名（202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年12月底）,排名第1-2名得3分，第3-4名得2.</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分，第5-6名得2.</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分，第7-8名得2.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分，第9名及以后得2.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tc>
        <w:tc>
          <w:tcPr>
            <w:tcW w:w="784" w:type="dxa"/>
            <w:tcBorders>
              <w:left w:val="single" w:color="auto" w:sz="6" w:space="0"/>
              <w:right w:val="single" w:color="auto" w:sz="4" w:space="0"/>
            </w:tcBorders>
            <w:noWrap w:val="0"/>
            <w:vAlign w:val="center"/>
          </w:tcPr>
          <w:p w14:paraId="0E7DE4B8">
            <w:pPr>
              <w:keepNext w:val="0"/>
              <w:keepLines w:val="0"/>
              <w:pageBreakBefore w:val="0"/>
              <w:widowControl w:val="0"/>
              <w:kinsoku/>
              <w:wordWrap/>
              <w:overflowPunct/>
              <w:topLinePunct w:val="0"/>
              <w:autoSpaceDE/>
              <w:autoSpaceDN/>
              <w:bidi w:val="0"/>
              <w:adjustRightInd/>
              <w:spacing w:line="24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r>
      <w:tr w14:paraId="15196D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2" w:hRule="atLeast"/>
        </w:trPr>
        <w:tc>
          <w:tcPr>
            <w:tcW w:w="613" w:type="dxa"/>
            <w:vMerge w:val="continue"/>
            <w:tcBorders>
              <w:left w:val="single" w:color="auto" w:sz="4" w:space="0"/>
              <w:right w:val="single" w:color="auto" w:sz="6" w:space="0"/>
            </w:tcBorders>
            <w:noWrap w:val="0"/>
            <w:vAlign w:val="center"/>
          </w:tcPr>
          <w:p w14:paraId="0AA469FB">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p>
        </w:tc>
        <w:tc>
          <w:tcPr>
            <w:tcW w:w="1002" w:type="dxa"/>
            <w:vMerge w:val="continue"/>
            <w:tcBorders>
              <w:left w:val="single" w:color="auto" w:sz="6" w:space="0"/>
              <w:right w:val="single" w:color="auto" w:sz="6" w:space="0"/>
            </w:tcBorders>
            <w:noWrap w:val="0"/>
            <w:vAlign w:val="center"/>
          </w:tcPr>
          <w:p w14:paraId="660B7F34">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p>
        </w:tc>
        <w:tc>
          <w:tcPr>
            <w:tcW w:w="1116" w:type="dxa"/>
            <w:vMerge w:val="continue"/>
            <w:tcBorders>
              <w:left w:val="single" w:color="auto" w:sz="6" w:space="0"/>
              <w:right w:val="single" w:color="auto" w:sz="6" w:space="0"/>
            </w:tcBorders>
            <w:noWrap w:val="0"/>
            <w:vAlign w:val="center"/>
          </w:tcPr>
          <w:p w14:paraId="5FC1977F">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p>
        </w:tc>
        <w:tc>
          <w:tcPr>
            <w:tcW w:w="5471" w:type="dxa"/>
            <w:tcBorders>
              <w:top w:val="single" w:color="auto" w:sz="4" w:space="0"/>
              <w:left w:val="single" w:color="auto" w:sz="6" w:space="0"/>
              <w:right w:val="single" w:color="auto" w:sz="6" w:space="0"/>
            </w:tcBorders>
            <w:noWrap w:val="0"/>
            <w:vAlign w:val="center"/>
          </w:tcPr>
          <w:p w14:paraId="01876075">
            <w:pPr>
              <w:keepNext w:val="0"/>
              <w:keepLines w:val="0"/>
              <w:pageBreakBefore w:val="0"/>
              <w:widowControl w:val="0"/>
              <w:kinsoku/>
              <w:wordWrap/>
              <w:overflowPunct/>
              <w:topLinePunct w:val="0"/>
              <w:autoSpaceDE/>
              <w:autoSpaceDN/>
              <w:bidi w:val="0"/>
              <w:adjustRightInd/>
              <w:spacing w:line="240" w:lineRule="auto"/>
              <w:ind w:left="0" w:leftChars="0" w:right="0" w:rightChars="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荣获“2024年度优秀金融机构”称号的得5分；荣获“2024年度金融考评优胜奖”称号的得3分。本项最高得5分。</w:t>
            </w:r>
          </w:p>
        </w:tc>
        <w:tc>
          <w:tcPr>
            <w:tcW w:w="784" w:type="dxa"/>
            <w:tcBorders>
              <w:left w:val="single" w:color="auto" w:sz="6" w:space="0"/>
              <w:bottom w:val="single" w:color="auto" w:sz="4" w:space="0"/>
              <w:right w:val="single" w:color="auto" w:sz="4" w:space="0"/>
            </w:tcBorders>
            <w:noWrap w:val="0"/>
            <w:vAlign w:val="center"/>
          </w:tcPr>
          <w:p w14:paraId="38A613B6">
            <w:pPr>
              <w:keepNext w:val="0"/>
              <w:keepLines w:val="0"/>
              <w:pageBreakBefore w:val="0"/>
              <w:widowControl w:val="0"/>
              <w:kinsoku/>
              <w:wordWrap/>
              <w:overflowPunct/>
              <w:topLinePunct w:val="0"/>
              <w:autoSpaceDE/>
              <w:autoSpaceDN/>
              <w:bidi w:val="0"/>
              <w:adjustRightInd/>
              <w:spacing w:line="24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r>
      <w:tr w14:paraId="668B41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75" w:hRule="atLeast"/>
        </w:trPr>
        <w:tc>
          <w:tcPr>
            <w:tcW w:w="613" w:type="dxa"/>
            <w:vMerge w:val="continue"/>
            <w:tcBorders>
              <w:left w:val="single" w:color="auto" w:sz="4" w:space="0"/>
              <w:right w:val="single" w:color="auto" w:sz="6" w:space="0"/>
            </w:tcBorders>
            <w:noWrap w:val="0"/>
            <w:vAlign w:val="center"/>
          </w:tcPr>
          <w:p w14:paraId="245BA469">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p>
        </w:tc>
        <w:tc>
          <w:tcPr>
            <w:tcW w:w="1002" w:type="dxa"/>
            <w:vMerge w:val="continue"/>
            <w:tcBorders>
              <w:left w:val="single" w:color="auto" w:sz="6" w:space="0"/>
              <w:right w:val="single" w:color="auto" w:sz="6" w:space="0"/>
            </w:tcBorders>
            <w:noWrap w:val="0"/>
            <w:vAlign w:val="center"/>
          </w:tcPr>
          <w:p w14:paraId="29A9E180">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p>
        </w:tc>
        <w:tc>
          <w:tcPr>
            <w:tcW w:w="1116" w:type="dxa"/>
            <w:vMerge w:val="restart"/>
            <w:tcBorders>
              <w:top w:val="single" w:color="auto" w:sz="4" w:space="0"/>
              <w:left w:val="single" w:color="auto" w:sz="6" w:space="0"/>
              <w:right w:val="single" w:color="auto" w:sz="6" w:space="0"/>
            </w:tcBorders>
            <w:noWrap w:val="0"/>
            <w:vAlign w:val="center"/>
          </w:tcPr>
          <w:p w14:paraId="598C81AC">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偿付能力</w:t>
            </w:r>
          </w:p>
        </w:tc>
        <w:tc>
          <w:tcPr>
            <w:tcW w:w="5471" w:type="dxa"/>
            <w:tcBorders>
              <w:top w:val="single" w:color="auto" w:sz="4" w:space="0"/>
              <w:left w:val="single" w:color="auto" w:sz="6" w:space="0"/>
              <w:right w:val="single" w:color="auto" w:sz="6" w:space="0"/>
            </w:tcBorders>
            <w:noWrap w:val="0"/>
            <w:vAlign w:val="center"/>
          </w:tcPr>
          <w:p w14:paraId="13CA3020">
            <w:pPr>
              <w:keepNext w:val="0"/>
              <w:keepLines w:val="0"/>
              <w:pageBreakBefore w:val="0"/>
              <w:widowControl w:val="0"/>
              <w:kinsoku/>
              <w:wordWrap/>
              <w:overflowPunct/>
              <w:topLinePunct w:val="0"/>
              <w:autoSpaceDE/>
              <w:autoSpaceDN/>
              <w:bidi w:val="0"/>
              <w:adjustRightInd/>
              <w:spacing w:line="24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拨备覆盖率排名（202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年12月底）,排名第1-2名得3分，第3-4名得2.</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分，第5-6名得2.</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分，第7-8名得2.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分，第9名及以后得2.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tc>
        <w:tc>
          <w:tcPr>
            <w:tcW w:w="784" w:type="dxa"/>
            <w:tcBorders>
              <w:top w:val="single" w:color="auto" w:sz="4" w:space="0"/>
              <w:left w:val="single" w:color="auto" w:sz="6" w:space="0"/>
              <w:right w:val="single" w:color="auto" w:sz="4" w:space="0"/>
            </w:tcBorders>
            <w:noWrap w:val="0"/>
            <w:vAlign w:val="center"/>
          </w:tcPr>
          <w:p w14:paraId="0D51E5FC">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r>
      <w:tr w14:paraId="77DF35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5" w:hRule="atLeast"/>
        </w:trPr>
        <w:tc>
          <w:tcPr>
            <w:tcW w:w="613" w:type="dxa"/>
            <w:vMerge w:val="continue"/>
            <w:tcBorders>
              <w:left w:val="single" w:color="auto" w:sz="4" w:space="0"/>
              <w:right w:val="single" w:color="auto" w:sz="6" w:space="0"/>
            </w:tcBorders>
            <w:noWrap w:val="0"/>
            <w:vAlign w:val="center"/>
          </w:tcPr>
          <w:p w14:paraId="774AD640">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p>
        </w:tc>
        <w:tc>
          <w:tcPr>
            <w:tcW w:w="1002" w:type="dxa"/>
            <w:vMerge w:val="continue"/>
            <w:tcBorders>
              <w:left w:val="single" w:color="auto" w:sz="6" w:space="0"/>
              <w:right w:val="single" w:color="auto" w:sz="6" w:space="0"/>
            </w:tcBorders>
            <w:noWrap w:val="0"/>
            <w:vAlign w:val="center"/>
          </w:tcPr>
          <w:p w14:paraId="5151B058">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p>
        </w:tc>
        <w:tc>
          <w:tcPr>
            <w:tcW w:w="1116" w:type="dxa"/>
            <w:vMerge w:val="continue"/>
            <w:tcBorders>
              <w:left w:val="single" w:color="auto" w:sz="6" w:space="0"/>
              <w:right w:val="single" w:color="auto" w:sz="6" w:space="0"/>
            </w:tcBorders>
            <w:noWrap w:val="0"/>
            <w:vAlign w:val="center"/>
          </w:tcPr>
          <w:p w14:paraId="0837E021">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p>
        </w:tc>
        <w:tc>
          <w:tcPr>
            <w:tcW w:w="5471" w:type="dxa"/>
            <w:tcBorders>
              <w:top w:val="single" w:color="auto" w:sz="4" w:space="0"/>
              <w:left w:val="single" w:color="auto" w:sz="6" w:space="0"/>
              <w:right w:val="single" w:color="auto" w:sz="6" w:space="0"/>
            </w:tcBorders>
            <w:noWrap w:val="0"/>
            <w:vAlign w:val="center"/>
          </w:tcPr>
          <w:p w14:paraId="71E237A8">
            <w:pPr>
              <w:keepNext w:val="0"/>
              <w:keepLines w:val="0"/>
              <w:pageBreakBefore w:val="0"/>
              <w:widowControl w:val="0"/>
              <w:kinsoku/>
              <w:wordWrap/>
              <w:overflowPunct/>
              <w:topLinePunct w:val="0"/>
              <w:autoSpaceDE/>
              <w:autoSpaceDN/>
              <w:bidi w:val="0"/>
              <w:adjustRightInd/>
              <w:spacing w:line="24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资本充足率排名（202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年12月底）,排名第1-2名得3分，第3-4名得2.</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分，第5-6名得2.</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分，第7-8名得2.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分，第9名及以后得2.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tc>
        <w:tc>
          <w:tcPr>
            <w:tcW w:w="784" w:type="dxa"/>
            <w:tcBorders>
              <w:left w:val="single" w:color="auto" w:sz="6" w:space="0"/>
              <w:bottom w:val="single" w:color="auto" w:sz="4" w:space="0"/>
              <w:right w:val="single" w:color="auto" w:sz="4" w:space="0"/>
            </w:tcBorders>
            <w:noWrap w:val="0"/>
            <w:vAlign w:val="center"/>
          </w:tcPr>
          <w:p w14:paraId="34D580BE">
            <w:pPr>
              <w:keepNext w:val="0"/>
              <w:keepLines w:val="0"/>
              <w:pageBreakBefore w:val="0"/>
              <w:widowControl w:val="0"/>
              <w:kinsoku/>
              <w:wordWrap/>
              <w:overflowPunct/>
              <w:topLinePunct w:val="0"/>
              <w:autoSpaceDE/>
              <w:autoSpaceDN/>
              <w:bidi w:val="0"/>
              <w:adjustRightInd/>
              <w:spacing w:line="24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r>
      <w:tr w14:paraId="1DE414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59" w:hRule="atLeast"/>
        </w:trPr>
        <w:tc>
          <w:tcPr>
            <w:tcW w:w="613" w:type="dxa"/>
            <w:vMerge w:val="continue"/>
            <w:tcBorders>
              <w:left w:val="single" w:color="auto" w:sz="4" w:space="0"/>
              <w:right w:val="single" w:color="auto" w:sz="6" w:space="0"/>
            </w:tcBorders>
            <w:noWrap w:val="0"/>
            <w:vAlign w:val="center"/>
          </w:tcPr>
          <w:p w14:paraId="6EAC714B">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p>
        </w:tc>
        <w:tc>
          <w:tcPr>
            <w:tcW w:w="1002" w:type="dxa"/>
            <w:vMerge w:val="continue"/>
            <w:tcBorders>
              <w:left w:val="single" w:color="auto" w:sz="6" w:space="0"/>
              <w:right w:val="single" w:color="auto" w:sz="6" w:space="0"/>
            </w:tcBorders>
            <w:noWrap w:val="0"/>
            <w:vAlign w:val="center"/>
          </w:tcPr>
          <w:p w14:paraId="0C5BDFC2">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p>
        </w:tc>
        <w:tc>
          <w:tcPr>
            <w:tcW w:w="1116" w:type="dxa"/>
            <w:vMerge w:val="restart"/>
            <w:tcBorders>
              <w:left w:val="single" w:color="auto" w:sz="6" w:space="0"/>
              <w:right w:val="single" w:color="auto" w:sz="6" w:space="0"/>
            </w:tcBorders>
            <w:noWrap w:val="0"/>
            <w:vAlign w:val="center"/>
          </w:tcPr>
          <w:p w14:paraId="48CB2D49">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内控水平</w:t>
            </w:r>
          </w:p>
        </w:tc>
        <w:tc>
          <w:tcPr>
            <w:tcW w:w="5471" w:type="dxa"/>
            <w:tcBorders>
              <w:top w:val="single" w:color="auto" w:sz="4" w:space="0"/>
              <w:left w:val="single" w:color="auto" w:sz="6" w:space="0"/>
              <w:right w:val="single" w:color="auto" w:sz="6" w:space="0"/>
            </w:tcBorders>
            <w:noWrap w:val="0"/>
            <w:vAlign w:val="center"/>
          </w:tcPr>
          <w:p w14:paraId="38F463D6">
            <w:pPr>
              <w:keepNext w:val="0"/>
              <w:keepLines w:val="0"/>
              <w:pageBreakBefore w:val="0"/>
              <w:widowControl w:val="0"/>
              <w:kinsoku/>
              <w:wordWrap/>
              <w:overflowPunct/>
              <w:topLinePunct w:val="0"/>
              <w:autoSpaceDE/>
              <w:autoSpaceDN/>
              <w:bidi w:val="0"/>
              <w:adjustRightInd/>
              <w:spacing w:line="240" w:lineRule="auto"/>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highlight w:val="none"/>
              </w:rPr>
              <w:t>净收入同比增量排名</w:t>
            </w:r>
            <w:r>
              <w:rPr>
                <w:rFonts w:hint="eastAsia" w:ascii="宋体" w:hAnsi="宋体" w:eastAsia="宋体" w:cs="宋体"/>
                <w:color w:val="auto"/>
                <w:sz w:val="24"/>
                <w:szCs w:val="24"/>
                <w:highlight w:val="none"/>
                <w:lang w:val="en-US" w:eastAsia="zh-CN"/>
              </w:rPr>
              <w:t>（2024年12月底）,排名第1-2名得3分，第3-4名得2.</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分，第5-6名得2.</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分，第7-8名得2.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分，第9名及以后得2.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tc>
        <w:tc>
          <w:tcPr>
            <w:tcW w:w="784" w:type="dxa"/>
            <w:tcBorders>
              <w:left w:val="single" w:color="auto" w:sz="6" w:space="0"/>
              <w:bottom w:val="single" w:color="auto" w:sz="4" w:space="0"/>
              <w:right w:val="single" w:color="auto" w:sz="4" w:space="0"/>
            </w:tcBorders>
            <w:noWrap w:val="0"/>
            <w:vAlign w:val="center"/>
          </w:tcPr>
          <w:p w14:paraId="472EA875">
            <w:pPr>
              <w:keepNext w:val="0"/>
              <w:keepLines w:val="0"/>
              <w:pageBreakBefore w:val="0"/>
              <w:widowControl w:val="0"/>
              <w:kinsoku/>
              <w:wordWrap/>
              <w:overflowPunct/>
              <w:topLinePunct w:val="0"/>
              <w:autoSpaceDE/>
              <w:autoSpaceDN/>
              <w:bidi w:val="0"/>
              <w:adjustRightInd/>
              <w:spacing w:line="24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r>
      <w:tr w14:paraId="151B0E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7" w:hRule="atLeast"/>
        </w:trPr>
        <w:tc>
          <w:tcPr>
            <w:tcW w:w="613" w:type="dxa"/>
            <w:vMerge w:val="continue"/>
            <w:tcBorders>
              <w:left w:val="single" w:color="auto" w:sz="4" w:space="0"/>
              <w:right w:val="single" w:color="auto" w:sz="6" w:space="0"/>
            </w:tcBorders>
            <w:noWrap w:val="0"/>
            <w:vAlign w:val="center"/>
          </w:tcPr>
          <w:p w14:paraId="4E8112A9">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p>
        </w:tc>
        <w:tc>
          <w:tcPr>
            <w:tcW w:w="1002" w:type="dxa"/>
            <w:vMerge w:val="continue"/>
            <w:tcBorders>
              <w:left w:val="single" w:color="auto" w:sz="6" w:space="0"/>
              <w:right w:val="single" w:color="auto" w:sz="6" w:space="0"/>
            </w:tcBorders>
            <w:noWrap w:val="0"/>
            <w:vAlign w:val="center"/>
          </w:tcPr>
          <w:p w14:paraId="67E76736">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p>
        </w:tc>
        <w:tc>
          <w:tcPr>
            <w:tcW w:w="1116" w:type="dxa"/>
            <w:vMerge w:val="continue"/>
            <w:tcBorders>
              <w:left w:val="single" w:color="auto" w:sz="6" w:space="0"/>
              <w:right w:val="single" w:color="auto" w:sz="6" w:space="0"/>
            </w:tcBorders>
            <w:noWrap w:val="0"/>
            <w:vAlign w:val="center"/>
          </w:tcPr>
          <w:p w14:paraId="60FE944D">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p>
        </w:tc>
        <w:tc>
          <w:tcPr>
            <w:tcW w:w="5471" w:type="dxa"/>
            <w:tcBorders>
              <w:top w:val="single" w:color="auto" w:sz="4" w:space="0"/>
              <w:left w:val="single" w:color="auto" w:sz="6" w:space="0"/>
              <w:right w:val="single" w:color="auto" w:sz="6" w:space="0"/>
            </w:tcBorders>
            <w:noWrap w:val="0"/>
            <w:vAlign w:val="center"/>
          </w:tcPr>
          <w:p w14:paraId="54ACA71B">
            <w:pPr>
              <w:keepNext w:val="0"/>
              <w:keepLines w:val="0"/>
              <w:pageBreakBefore w:val="0"/>
              <w:widowControl w:val="0"/>
              <w:kinsoku/>
              <w:wordWrap/>
              <w:overflowPunct/>
              <w:topLinePunct w:val="0"/>
              <w:autoSpaceDE/>
              <w:autoSpaceDN/>
              <w:bidi w:val="0"/>
              <w:adjustRightInd/>
              <w:spacing w:line="24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净收入同比增速排名（2024年12月底）,排名第1-2名得3分，第3-4名得2.</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分，第5-6名得2.</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分，第7-8名得2.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分，第9名及以后得2.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tc>
        <w:tc>
          <w:tcPr>
            <w:tcW w:w="784" w:type="dxa"/>
            <w:tcBorders>
              <w:top w:val="single" w:color="auto" w:sz="4" w:space="0"/>
              <w:left w:val="single" w:color="auto" w:sz="6" w:space="0"/>
              <w:bottom w:val="single" w:color="auto" w:sz="4" w:space="0"/>
              <w:right w:val="single" w:color="auto" w:sz="4" w:space="0"/>
            </w:tcBorders>
            <w:noWrap w:val="0"/>
            <w:vAlign w:val="center"/>
          </w:tcPr>
          <w:p w14:paraId="48C5EC3A">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r>
      <w:tr w14:paraId="2EC078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52" w:hRule="atLeast"/>
        </w:trPr>
        <w:tc>
          <w:tcPr>
            <w:tcW w:w="613" w:type="dxa"/>
            <w:vMerge w:val="restart"/>
            <w:tcBorders>
              <w:left w:val="single" w:color="auto" w:sz="4" w:space="0"/>
              <w:right w:val="single" w:color="auto" w:sz="6" w:space="0"/>
            </w:tcBorders>
            <w:noWrap w:val="0"/>
            <w:vAlign w:val="center"/>
          </w:tcPr>
          <w:p w14:paraId="405374FD">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w:t>
            </w:r>
          </w:p>
        </w:tc>
        <w:tc>
          <w:tcPr>
            <w:tcW w:w="1002" w:type="dxa"/>
            <w:vMerge w:val="restart"/>
            <w:tcBorders>
              <w:left w:val="single" w:color="auto" w:sz="6" w:space="0"/>
              <w:right w:val="single" w:color="auto" w:sz="6" w:space="0"/>
            </w:tcBorders>
            <w:noWrap w:val="0"/>
            <w:vAlign w:val="center"/>
          </w:tcPr>
          <w:p w14:paraId="39146CF0">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经济贡献度</w:t>
            </w:r>
          </w:p>
          <w:p w14:paraId="1FEA2D2F">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（35分）</w:t>
            </w:r>
          </w:p>
        </w:tc>
        <w:tc>
          <w:tcPr>
            <w:tcW w:w="1116" w:type="dxa"/>
            <w:tcBorders>
              <w:top w:val="single" w:color="auto" w:sz="4" w:space="0"/>
              <w:left w:val="single" w:color="auto" w:sz="6" w:space="0"/>
              <w:right w:val="single" w:color="auto" w:sz="6" w:space="0"/>
            </w:tcBorders>
            <w:noWrap w:val="0"/>
            <w:vAlign w:val="center"/>
          </w:tcPr>
          <w:p w14:paraId="6820EF6D">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支持地方经济社会发展情况</w:t>
            </w:r>
          </w:p>
        </w:tc>
        <w:tc>
          <w:tcPr>
            <w:tcW w:w="5471" w:type="dxa"/>
            <w:tcBorders>
              <w:top w:val="single" w:color="auto" w:sz="4" w:space="0"/>
              <w:left w:val="single" w:color="auto" w:sz="6" w:space="0"/>
              <w:right w:val="single" w:color="auto" w:sz="6" w:space="0"/>
            </w:tcBorders>
            <w:noWrap w:val="0"/>
            <w:vAlign w:val="center"/>
          </w:tcPr>
          <w:p w14:paraId="60A510AE">
            <w:pPr>
              <w:keepNext w:val="0"/>
              <w:keepLines w:val="0"/>
              <w:pageBreakBefore w:val="0"/>
              <w:widowControl w:val="0"/>
              <w:kinsoku/>
              <w:wordWrap/>
              <w:overflowPunct/>
              <w:topLinePunct w:val="0"/>
              <w:autoSpaceDE/>
              <w:autoSpaceDN/>
              <w:bidi w:val="0"/>
              <w:adjustRightInd/>
              <w:spacing w:line="240" w:lineRule="auto"/>
              <w:ind w:left="0" w:leftChars="0" w:right="0" w:rightChars="0"/>
              <w:jc w:val="both"/>
              <w:textAlignment w:val="auto"/>
              <w:rPr>
                <w:rFonts w:hint="eastAsia" w:ascii="宋体" w:hAnsi="宋体" w:eastAsia="宋体" w:cs="宋体"/>
                <w:bCs/>
                <w:color w:val="auto"/>
                <w:w w:val="100"/>
                <w:sz w:val="24"/>
                <w:szCs w:val="24"/>
                <w:highlight w:val="none"/>
                <w:lang w:val="en-US" w:eastAsia="zh-CN"/>
              </w:rPr>
            </w:pPr>
            <w:r>
              <w:rPr>
                <w:rFonts w:hint="eastAsia" w:ascii="宋体" w:hAnsi="宋体" w:eastAsia="宋体" w:cs="宋体"/>
                <w:bCs/>
                <w:color w:val="auto"/>
                <w:w w:val="100"/>
                <w:sz w:val="24"/>
                <w:szCs w:val="24"/>
                <w:highlight w:val="none"/>
                <w:lang w:val="en-US" w:eastAsia="zh-CN"/>
              </w:rPr>
              <w:t>银行业金融机构支持地方经济发展考核排名(2024年12月底)，</w:t>
            </w:r>
            <w:r>
              <w:rPr>
                <w:rFonts w:hint="eastAsia" w:ascii="宋体" w:hAnsi="宋体" w:eastAsia="宋体" w:cs="宋体"/>
                <w:color w:val="auto"/>
                <w:sz w:val="24"/>
                <w:szCs w:val="24"/>
                <w:highlight w:val="none"/>
                <w:lang w:val="en-US" w:eastAsia="zh-CN"/>
              </w:rPr>
              <w:t>排名第1-2名得10分，第3-4名得9分，第5-6名得8分，第7-8名得7分，第9名及以后得6分</w:t>
            </w:r>
            <w:r>
              <w:rPr>
                <w:rFonts w:hint="eastAsia" w:ascii="宋体" w:hAnsi="宋体" w:eastAsia="宋体" w:cs="宋体"/>
                <w:bCs/>
                <w:color w:val="auto"/>
                <w:w w:val="100"/>
                <w:sz w:val="24"/>
                <w:szCs w:val="24"/>
                <w:highlight w:val="none"/>
                <w:lang w:val="en-US" w:eastAsia="zh-CN"/>
              </w:rPr>
              <w:t>。</w:t>
            </w:r>
          </w:p>
        </w:tc>
        <w:tc>
          <w:tcPr>
            <w:tcW w:w="784" w:type="dxa"/>
            <w:tcBorders>
              <w:top w:val="single" w:color="auto" w:sz="4" w:space="0"/>
              <w:left w:val="single" w:color="auto" w:sz="6" w:space="0"/>
              <w:bottom w:val="single" w:color="auto" w:sz="4" w:space="0"/>
              <w:right w:val="single" w:color="auto" w:sz="4" w:space="0"/>
            </w:tcBorders>
            <w:noWrap w:val="0"/>
            <w:vAlign w:val="center"/>
          </w:tcPr>
          <w:p w14:paraId="631F7CD0">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r>
      <w:tr w14:paraId="6DBD13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8" w:hRule="atLeast"/>
        </w:trPr>
        <w:tc>
          <w:tcPr>
            <w:tcW w:w="613" w:type="dxa"/>
            <w:vMerge w:val="continue"/>
            <w:tcBorders>
              <w:left w:val="single" w:color="auto" w:sz="4" w:space="0"/>
              <w:right w:val="single" w:color="auto" w:sz="6" w:space="0"/>
            </w:tcBorders>
            <w:noWrap w:val="0"/>
            <w:vAlign w:val="center"/>
          </w:tcPr>
          <w:p w14:paraId="3DC37B5E">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p>
        </w:tc>
        <w:tc>
          <w:tcPr>
            <w:tcW w:w="1002" w:type="dxa"/>
            <w:vMerge w:val="continue"/>
            <w:tcBorders>
              <w:left w:val="single" w:color="auto" w:sz="6" w:space="0"/>
              <w:right w:val="single" w:color="auto" w:sz="6" w:space="0"/>
            </w:tcBorders>
            <w:noWrap w:val="0"/>
            <w:vAlign w:val="center"/>
          </w:tcPr>
          <w:p w14:paraId="124C2257">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p>
        </w:tc>
        <w:tc>
          <w:tcPr>
            <w:tcW w:w="1116" w:type="dxa"/>
            <w:vMerge w:val="restart"/>
            <w:tcBorders>
              <w:top w:val="single" w:color="auto" w:sz="4" w:space="0"/>
              <w:left w:val="single" w:color="auto" w:sz="6" w:space="0"/>
              <w:right w:val="single" w:color="auto" w:sz="6" w:space="0"/>
            </w:tcBorders>
            <w:noWrap w:val="0"/>
            <w:vAlign w:val="center"/>
          </w:tcPr>
          <w:p w14:paraId="1179A4B3">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贷款情况</w:t>
            </w:r>
          </w:p>
        </w:tc>
        <w:tc>
          <w:tcPr>
            <w:tcW w:w="5471" w:type="dxa"/>
            <w:tcBorders>
              <w:top w:val="single" w:color="auto" w:sz="4" w:space="0"/>
              <w:left w:val="single" w:color="auto" w:sz="6" w:space="0"/>
              <w:right w:val="single" w:color="auto" w:sz="6" w:space="0"/>
            </w:tcBorders>
            <w:noWrap w:val="0"/>
            <w:vAlign w:val="center"/>
          </w:tcPr>
          <w:p w14:paraId="3534C572">
            <w:pPr>
              <w:keepNext w:val="0"/>
              <w:keepLines w:val="0"/>
              <w:pageBreakBefore w:val="0"/>
              <w:widowControl w:val="0"/>
              <w:kinsoku/>
              <w:wordWrap/>
              <w:overflowPunct/>
              <w:topLinePunct w:val="0"/>
              <w:autoSpaceDE/>
              <w:autoSpaceDN/>
              <w:bidi w:val="0"/>
              <w:adjustRightInd/>
              <w:spacing w:line="240" w:lineRule="auto"/>
              <w:ind w:left="0" w:leftChars="0" w:right="0" w:rightChars="0"/>
              <w:jc w:val="both"/>
              <w:textAlignment w:val="auto"/>
              <w:rPr>
                <w:rFonts w:hint="eastAsia" w:ascii="宋体" w:hAnsi="宋体" w:eastAsia="宋体" w:cs="宋体"/>
                <w:b w:val="0"/>
                <w:bCs/>
                <w:color w:val="auto"/>
                <w:w w:val="100"/>
                <w:kern w:val="2"/>
                <w:sz w:val="24"/>
                <w:szCs w:val="24"/>
                <w:highlight w:val="none"/>
                <w:lang w:val="en-US" w:eastAsia="zh-CN" w:bidi="ar-SA"/>
              </w:rPr>
            </w:pPr>
            <w:r>
              <w:rPr>
                <w:rFonts w:hint="eastAsia" w:ascii="宋体" w:hAnsi="宋体" w:eastAsia="宋体" w:cs="宋体"/>
                <w:b w:val="0"/>
                <w:bCs/>
                <w:color w:val="auto"/>
                <w:w w:val="100"/>
                <w:kern w:val="2"/>
                <w:sz w:val="24"/>
                <w:szCs w:val="24"/>
                <w:highlight w:val="none"/>
                <w:lang w:val="en-US" w:eastAsia="zh-CN" w:bidi="ar-SA"/>
              </w:rPr>
              <w:t>贷款月均同比增量排名(2024年12月底)，</w:t>
            </w:r>
            <w:r>
              <w:rPr>
                <w:rFonts w:hint="eastAsia" w:ascii="宋体" w:hAnsi="宋体" w:eastAsia="宋体" w:cs="宋体"/>
                <w:color w:val="auto"/>
                <w:sz w:val="24"/>
                <w:szCs w:val="24"/>
                <w:highlight w:val="none"/>
                <w:lang w:val="en-US" w:eastAsia="zh-CN"/>
              </w:rPr>
              <w:t>排名第1-2名得5分，第3-4名得4.</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分，第5-6名得4.</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分，第7-8名得4.</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分，第9名及以后得4.</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tc>
        <w:tc>
          <w:tcPr>
            <w:tcW w:w="784" w:type="dxa"/>
            <w:tcBorders>
              <w:top w:val="single" w:color="auto" w:sz="4" w:space="0"/>
              <w:left w:val="single" w:color="auto" w:sz="6" w:space="0"/>
              <w:right w:val="single" w:color="auto" w:sz="4" w:space="0"/>
            </w:tcBorders>
            <w:noWrap w:val="0"/>
            <w:vAlign w:val="center"/>
          </w:tcPr>
          <w:p w14:paraId="31F2B306">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r>
      <w:tr w14:paraId="74F27B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613" w:type="dxa"/>
            <w:vMerge w:val="continue"/>
            <w:tcBorders>
              <w:left w:val="single" w:color="auto" w:sz="4" w:space="0"/>
              <w:right w:val="single" w:color="auto" w:sz="6" w:space="0"/>
            </w:tcBorders>
            <w:noWrap w:val="0"/>
            <w:vAlign w:val="center"/>
          </w:tcPr>
          <w:p w14:paraId="5881CE43">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p>
        </w:tc>
        <w:tc>
          <w:tcPr>
            <w:tcW w:w="1002" w:type="dxa"/>
            <w:vMerge w:val="continue"/>
            <w:tcBorders>
              <w:left w:val="single" w:color="auto" w:sz="6" w:space="0"/>
              <w:right w:val="single" w:color="auto" w:sz="6" w:space="0"/>
            </w:tcBorders>
            <w:noWrap w:val="0"/>
            <w:vAlign w:val="center"/>
          </w:tcPr>
          <w:p w14:paraId="5F3308AD">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p>
        </w:tc>
        <w:tc>
          <w:tcPr>
            <w:tcW w:w="1116" w:type="dxa"/>
            <w:vMerge w:val="continue"/>
            <w:tcBorders>
              <w:left w:val="single" w:color="auto" w:sz="6" w:space="0"/>
              <w:right w:val="single" w:color="auto" w:sz="6" w:space="0"/>
            </w:tcBorders>
            <w:noWrap w:val="0"/>
            <w:vAlign w:val="center"/>
          </w:tcPr>
          <w:p w14:paraId="4F1F7140">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p>
        </w:tc>
        <w:tc>
          <w:tcPr>
            <w:tcW w:w="5471" w:type="dxa"/>
            <w:tcBorders>
              <w:top w:val="single" w:color="auto" w:sz="4" w:space="0"/>
              <w:left w:val="single" w:color="auto" w:sz="6" w:space="0"/>
              <w:right w:val="single" w:color="auto" w:sz="6" w:space="0"/>
            </w:tcBorders>
            <w:noWrap w:val="0"/>
            <w:vAlign w:val="center"/>
          </w:tcPr>
          <w:p w14:paraId="2B9A4DF0">
            <w:pPr>
              <w:keepNext w:val="0"/>
              <w:keepLines w:val="0"/>
              <w:pageBreakBefore w:val="0"/>
              <w:widowControl w:val="0"/>
              <w:kinsoku/>
              <w:wordWrap/>
              <w:overflowPunct/>
              <w:topLinePunct w:val="0"/>
              <w:autoSpaceDE/>
              <w:autoSpaceDN/>
              <w:bidi w:val="0"/>
              <w:adjustRightInd/>
              <w:spacing w:line="240" w:lineRule="auto"/>
              <w:ind w:left="0" w:leftChars="0" w:right="0" w:rightChars="0"/>
              <w:jc w:val="both"/>
              <w:textAlignment w:val="auto"/>
              <w:rPr>
                <w:rFonts w:hint="eastAsia" w:ascii="宋体" w:hAnsi="宋体" w:eastAsia="宋体" w:cs="宋体"/>
                <w:b w:val="0"/>
                <w:bCs/>
                <w:color w:val="auto"/>
                <w:w w:val="100"/>
                <w:kern w:val="2"/>
                <w:sz w:val="24"/>
                <w:szCs w:val="24"/>
                <w:highlight w:val="none"/>
                <w:lang w:val="en-US" w:eastAsia="zh-CN" w:bidi="ar-SA"/>
              </w:rPr>
            </w:pPr>
            <w:r>
              <w:rPr>
                <w:rFonts w:hint="eastAsia" w:ascii="宋体" w:hAnsi="宋体" w:eastAsia="宋体" w:cs="宋体"/>
                <w:b w:val="0"/>
                <w:bCs/>
                <w:color w:val="auto"/>
                <w:w w:val="100"/>
                <w:kern w:val="2"/>
                <w:sz w:val="24"/>
                <w:szCs w:val="24"/>
                <w:highlight w:val="none"/>
                <w:lang w:val="en-US" w:eastAsia="zh-CN" w:bidi="ar-SA"/>
              </w:rPr>
              <w:t>贷款月均同比增速排名(2024年12月底)，</w:t>
            </w:r>
            <w:r>
              <w:rPr>
                <w:rFonts w:hint="eastAsia" w:ascii="宋体" w:hAnsi="宋体" w:eastAsia="宋体" w:cs="宋体"/>
                <w:color w:val="auto"/>
                <w:sz w:val="24"/>
                <w:szCs w:val="24"/>
                <w:highlight w:val="none"/>
                <w:lang w:val="en-US" w:eastAsia="zh-CN"/>
              </w:rPr>
              <w:t>排名第1-2名得5分，第3-4名得4.</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分，第5-6名得4.</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分，第7-8名得4.</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分，第9名及以后得4.</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tc>
        <w:tc>
          <w:tcPr>
            <w:tcW w:w="784" w:type="dxa"/>
            <w:tcBorders>
              <w:left w:val="single" w:color="auto" w:sz="6" w:space="0"/>
              <w:bottom w:val="single" w:color="auto" w:sz="4" w:space="0"/>
              <w:right w:val="single" w:color="auto" w:sz="4" w:space="0"/>
            </w:tcBorders>
            <w:noWrap w:val="0"/>
            <w:vAlign w:val="center"/>
          </w:tcPr>
          <w:p w14:paraId="149B19E7">
            <w:pPr>
              <w:keepNext w:val="0"/>
              <w:keepLines w:val="0"/>
              <w:pageBreakBefore w:val="0"/>
              <w:widowControl w:val="0"/>
              <w:kinsoku/>
              <w:wordWrap/>
              <w:overflowPunct/>
              <w:topLinePunct w:val="0"/>
              <w:autoSpaceDE/>
              <w:autoSpaceDN/>
              <w:bidi w:val="0"/>
              <w:adjustRightInd/>
              <w:spacing w:line="240" w:lineRule="auto"/>
              <w:ind w:left="0" w:leftChars="0" w:right="0" w:rightChars="0"/>
              <w:jc w:val="center"/>
              <w:textAlignment w:val="auto"/>
              <w:rPr>
                <w:rFonts w:hint="eastAsia" w:ascii="宋体" w:hAnsi="宋体" w:eastAsia="宋体" w:cs="宋体"/>
                <w:b w:val="0"/>
                <w:bCs/>
                <w:color w:val="auto"/>
                <w:w w:val="100"/>
                <w:kern w:val="2"/>
                <w:sz w:val="24"/>
                <w:szCs w:val="24"/>
                <w:highlight w:val="none"/>
                <w:lang w:val="en-US" w:eastAsia="zh-CN" w:bidi="ar-SA"/>
              </w:rPr>
            </w:pPr>
            <w:r>
              <w:rPr>
                <w:rFonts w:hint="eastAsia" w:ascii="宋体" w:hAnsi="宋体" w:eastAsia="宋体" w:cs="宋体"/>
                <w:b w:val="0"/>
                <w:bCs/>
                <w:color w:val="auto"/>
                <w:w w:val="100"/>
                <w:kern w:val="2"/>
                <w:sz w:val="24"/>
                <w:szCs w:val="24"/>
                <w:highlight w:val="none"/>
                <w:lang w:val="en-US" w:eastAsia="zh-CN" w:bidi="ar-SA"/>
              </w:rPr>
              <w:t>5</w:t>
            </w:r>
            <w:r>
              <w:rPr>
                <w:rFonts w:hint="eastAsia" w:ascii="宋体" w:hAnsi="宋体" w:eastAsia="宋体" w:cs="宋体"/>
                <w:color w:val="auto"/>
                <w:sz w:val="24"/>
                <w:szCs w:val="24"/>
                <w:highlight w:val="none"/>
                <w:lang w:val="en-US" w:eastAsia="zh-CN"/>
              </w:rPr>
              <w:t>分</w:t>
            </w:r>
          </w:p>
        </w:tc>
      </w:tr>
      <w:tr w14:paraId="13B7D9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26" w:hRule="atLeast"/>
        </w:trPr>
        <w:tc>
          <w:tcPr>
            <w:tcW w:w="613" w:type="dxa"/>
            <w:vMerge w:val="continue"/>
            <w:tcBorders>
              <w:left w:val="single" w:color="auto" w:sz="4" w:space="0"/>
              <w:right w:val="single" w:color="auto" w:sz="6" w:space="0"/>
            </w:tcBorders>
            <w:noWrap w:val="0"/>
            <w:vAlign w:val="center"/>
          </w:tcPr>
          <w:p w14:paraId="6A48A439">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p>
        </w:tc>
        <w:tc>
          <w:tcPr>
            <w:tcW w:w="1002" w:type="dxa"/>
            <w:vMerge w:val="continue"/>
            <w:tcBorders>
              <w:left w:val="single" w:color="auto" w:sz="6" w:space="0"/>
              <w:right w:val="single" w:color="auto" w:sz="6" w:space="0"/>
            </w:tcBorders>
            <w:noWrap w:val="0"/>
            <w:vAlign w:val="center"/>
          </w:tcPr>
          <w:p w14:paraId="51431376">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p>
        </w:tc>
        <w:tc>
          <w:tcPr>
            <w:tcW w:w="1116" w:type="dxa"/>
            <w:vMerge w:val="restart"/>
            <w:tcBorders>
              <w:top w:val="single" w:color="auto" w:sz="4" w:space="0"/>
              <w:left w:val="single" w:color="auto" w:sz="6" w:space="0"/>
              <w:right w:val="single" w:color="auto" w:sz="6" w:space="0"/>
            </w:tcBorders>
            <w:noWrap w:val="0"/>
            <w:vAlign w:val="center"/>
          </w:tcPr>
          <w:p w14:paraId="549347FB">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工业贷款情况</w:t>
            </w:r>
          </w:p>
        </w:tc>
        <w:tc>
          <w:tcPr>
            <w:tcW w:w="5471" w:type="dxa"/>
            <w:tcBorders>
              <w:top w:val="single" w:color="auto" w:sz="4" w:space="0"/>
              <w:left w:val="single" w:color="auto" w:sz="6" w:space="0"/>
              <w:right w:val="single" w:color="auto" w:sz="6" w:space="0"/>
            </w:tcBorders>
            <w:noWrap w:val="0"/>
            <w:vAlign w:val="center"/>
          </w:tcPr>
          <w:p w14:paraId="5CD369FA">
            <w:pPr>
              <w:keepNext w:val="0"/>
              <w:keepLines w:val="0"/>
              <w:pageBreakBefore w:val="0"/>
              <w:widowControl w:val="0"/>
              <w:kinsoku/>
              <w:wordWrap/>
              <w:overflowPunct/>
              <w:topLinePunct w:val="0"/>
              <w:autoSpaceDE/>
              <w:autoSpaceDN/>
              <w:bidi w:val="0"/>
              <w:adjustRightInd/>
              <w:spacing w:line="240" w:lineRule="auto"/>
              <w:ind w:left="0" w:leftChars="0" w:right="0" w:rightChars="0"/>
              <w:jc w:val="both"/>
              <w:textAlignment w:val="auto"/>
              <w:rPr>
                <w:rFonts w:hint="eastAsia" w:ascii="宋体" w:hAnsi="宋体" w:eastAsia="宋体" w:cs="宋体"/>
                <w:b w:val="0"/>
                <w:bCs/>
                <w:color w:val="auto"/>
                <w:w w:val="100"/>
                <w:kern w:val="2"/>
                <w:sz w:val="24"/>
                <w:szCs w:val="24"/>
                <w:highlight w:val="none"/>
                <w:lang w:val="en-US" w:eastAsia="zh-CN" w:bidi="ar-SA"/>
              </w:rPr>
            </w:pPr>
            <w:r>
              <w:rPr>
                <w:rFonts w:hint="eastAsia" w:ascii="宋体" w:hAnsi="宋体" w:eastAsia="宋体" w:cs="宋体"/>
                <w:b w:val="0"/>
                <w:bCs/>
                <w:color w:val="auto"/>
                <w:w w:val="100"/>
                <w:kern w:val="2"/>
                <w:sz w:val="24"/>
                <w:szCs w:val="24"/>
                <w:highlight w:val="none"/>
                <w:lang w:val="en-US" w:eastAsia="zh-CN" w:bidi="ar-SA"/>
              </w:rPr>
              <w:t>工业贷款比年初增量排名(2024年12月底),</w:t>
            </w:r>
            <w:r>
              <w:rPr>
                <w:rFonts w:hint="eastAsia" w:ascii="宋体" w:hAnsi="宋体" w:eastAsia="宋体" w:cs="宋体"/>
                <w:color w:val="auto"/>
                <w:sz w:val="24"/>
                <w:szCs w:val="24"/>
                <w:highlight w:val="none"/>
                <w:lang w:val="en-US" w:eastAsia="zh-CN"/>
              </w:rPr>
              <w:t>排名第1-2名得3分，第3-4名得2.</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分，第5-6名得2.</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分，第7-8名得2.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分，第9名及以后得2.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tc>
        <w:tc>
          <w:tcPr>
            <w:tcW w:w="784" w:type="dxa"/>
            <w:tcBorders>
              <w:top w:val="single" w:color="auto" w:sz="4" w:space="0"/>
              <w:left w:val="single" w:color="auto" w:sz="6" w:space="0"/>
              <w:right w:val="single" w:color="auto" w:sz="4" w:space="0"/>
            </w:tcBorders>
            <w:noWrap w:val="0"/>
            <w:vAlign w:val="center"/>
          </w:tcPr>
          <w:p w14:paraId="155302AE">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r>
      <w:tr w14:paraId="6EC456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92" w:hRule="atLeast"/>
        </w:trPr>
        <w:tc>
          <w:tcPr>
            <w:tcW w:w="613" w:type="dxa"/>
            <w:vMerge w:val="continue"/>
            <w:tcBorders>
              <w:left w:val="single" w:color="auto" w:sz="4" w:space="0"/>
              <w:right w:val="single" w:color="auto" w:sz="6" w:space="0"/>
            </w:tcBorders>
            <w:noWrap w:val="0"/>
            <w:vAlign w:val="center"/>
          </w:tcPr>
          <w:p w14:paraId="7AED54AD">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p>
        </w:tc>
        <w:tc>
          <w:tcPr>
            <w:tcW w:w="1002" w:type="dxa"/>
            <w:vMerge w:val="continue"/>
            <w:tcBorders>
              <w:left w:val="single" w:color="auto" w:sz="6" w:space="0"/>
              <w:right w:val="single" w:color="auto" w:sz="6" w:space="0"/>
            </w:tcBorders>
            <w:noWrap w:val="0"/>
            <w:vAlign w:val="center"/>
          </w:tcPr>
          <w:p w14:paraId="31D755BC">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p>
        </w:tc>
        <w:tc>
          <w:tcPr>
            <w:tcW w:w="1116" w:type="dxa"/>
            <w:vMerge w:val="continue"/>
            <w:tcBorders>
              <w:left w:val="single" w:color="auto" w:sz="6" w:space="0"/>
              <w:right w:val="single" w:color="auto" w:sz="6" w:space="0"/>
            </w:tcBorders>
            <w:noWrap w:val="0"/>
            <w:vAlign w:val="center"/>
          </w:tcPr>
          <w:p w14:paraId="7C304E8E">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p>
        </w:tc>
        <w:tc>
          <w:tcPr>
            <w:tcW w:w="5471" w:type="dxa"/>
            <w:tcBorders>
              <w:top w:val="single" w:color="auto" w:sz="4" w:space="0"/>
              <w:left w:val="single" w:color="auto" w:sz="6" w:space="0"/>
              <w:right w:val="single" w:color="auto" w:sz="6" w:space="0"/>
            </w:tcBorders>
            <w:noWrap w:val="0"/>
            <w:vAlign w:val="center"/>
          </w:tcPr>
          <w:p w14:paraId="7258D69F">
            <w:pPr>
              <w:keepNext w:val="0"/>
              <w:keepLines w:val="0"/>
              <w:pageBreakBefore w:val="0"/>
              <w:widowControl w:val="0"/>
              <w:kinsoku/>
              <w:wordWrap/>
              <w:overflowPunct/>
              <w:topLinePunct w:val="0"/>
              <w:autoSpaceDE/>
              <w:autoSpaceDN/>
              <w:bidi w:val="0"/>
              <w:adjustRightInd/>
              <w:spacing w:line="240" w:lineRule="auto"/>
              <w:ind w:left="0" w:leftChars="0" w:right="0" w:rightChars="0"/>
              <w:jc w:val="both"/>
              <w:textAlignment w:val="auto"/>
              <w:rPr>
                <w:rFonts w:hint="eastAsia" w:ascii="宋体" w:hAnsi="宋体" w:eastAsia="宋体" w:cs="宋体"/>
                <w:b w:val="0"/>
                <w:bCs/>
                <w:color w:val="auto"/>
                <w:w w:val="100"/>
                <w:kern w:val="2"/>
                <w:sz w:val="24"/>
                <w:szCs w:val="24"/>
                <w:highlight w:val="none"/>
                <w:lang w:val="en-US" w:eastAsia="zh-CN" w:bidi="ar-SA"/>
              </w:rPr>
            </w:pPr>
            <w:r>
              <w:rPr>
                <w:rFonts w:hint="eastAsia" w:ascii="宋体" w:hAnsi="宋体" w:eastAsia="宋体" w:cs="宋体"/>
                <w:color w:val="auto"/>
                <w:spacing w:val="-6"/>
                <w:kern w:val="3"/>
                <w:sz w:val="24"/>
                <w:szCs w:val="24"/>
                <w:highlight w:val="none"/>
                <w:lang w:val="en-US" w:eastAsia="zh-CN" w:bidi="ar-SA"/>
              </w:rPr>
              <w:t>工业贷款同比增速排名</w:t>
            </w:r>
            <w:r>
              <w:rPr>
                <w:rFonts w:hint="eastAsia" w:ascii="宋体" w:hAnsi="宋体" w:eastAsia="宋体" w:cs="宋体"/>
                <w:b w:val="0"/>
                <w:bCs/>
                <w:color w:val="auto"/>
                <w:w w:val="100"/>
                <w:kern w:val="2"/>
                <w:sz w:val="24"/>
                <w:szCs w:val="24"/>
                <w:highlight w:val="none"/>
                <w:lang w:val="en-US" w:eastAsia="zh-CN" w:bidi="ar-SA"/>
              </w:rPr>
              <w:t>(2024年12月底),</w:t>
            </w:r>
            <w:r>
              <w:rPr>
                <w:rFonts w:hint="eastAsia" w:ascii="宋体" w:hAnsi="宋体" w:eastAsia="宋体" w:cs="宋体"/>
                <w:color w:val="auto"/>
                <w:sz w:val="24"/>
                <w:szCs w:val="24"/>
                <w:highlight w:val="none"/>
                <w:lang w:val="en-US" w:eastAsia="zh-CN"/>
              </w:rPr>
              <w:t>排名第1-2名得3分，第3-4名得2.</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分，第5-6名得2.</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分，第7-8名得2.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分，第9名及以后得2.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tc>
        <w:tc>
          <w:tcPr>
            <w:tcW w:w="784" w:type="dxa"/>
            <w:tcBorders>
              <w:left w:val="single" w:color="auto" w:sz="6" w:space="0"/>
              <w:bottom w:val="single" w:color="auto" w:sz="4" w:space="0"/>
              <w:right w:val="single" w:color="auto" w:sz="4" w:space="0"/>
            </w:tcBorders>
            <w:noWrap w:val="0"/>
            <w:vAlign w:val="center"/>
          </w:tcPr>
          <w:p w14:paraId="56E8E767">
            <w:pPr>
              <w:keepNext w:val="0"/>
              <w:keepLines w:val="0"/>
              <w:pageBreakBefore w:val="0"/>
              <w:widowControl w:val="0"/>
              <w:kinsoku/>
              <w:wordWrap/>
              <w:overflowPunct/>
              <w:topLinePunct w:val="0"/>
              <w:autoSpaceDE/>
              <w:autoSpaceDN/>
              <w:bidi w:val="0"/>
              <w:adjustRightInd/>
              <w:spacing w:line="240" w:lineRule="auto"/>
              <w:ind w:left="0" w:leftChars="0" w:right="0" w:rightChars="0"/>
              <w:jc w:val="center"/>
              <w:textAlignment w:val="auto"/>
              <w:rPr>
                <w:rFonts w:hint="eastAsia" w:ascii="宋体" w:hAnsi="宋体" w:eastAsia="宋体" w:cs="宋体"/>
                <w:b w:val="0"/>
                <w:bCs/>
                <w:color w:val="auto"/>
                <w:w w:val="100"/>
                <w:kern w:val="2"/>
                <w:sz w:val="24"/>
                <w:szCs w:val="24"/>
                <w:highlight w:val="none"/>
                <w:lang w:val="en-US" w:eastAsia="zh-CN" w:bidi="ar-SA"/>
              </w:rPr>
            </w:pPr>
            <w:r>
              <w:rPr>
                <w:rFonts w:hint="eastAsia" w:ascii="宋体" w:hAnsi="宋体" w:eastAsia="宋体" w:cs="宋体"/>
                <w:b w:val="0"/>
                <w:bCs/>
                <w:color w:val="auto"/>
                <w:w w:val="100"/>
                <w:kern w:val="2"/>
                <w:sz w:val="24"/>
                <w:szCs w:val="24"/>
                <w:highlight w:val="none"/>
                <w:lang w:val="en-US" w:eastAsia="zh-CN" w:bidi="ar-SA"/>
              </w:rPr>
              <w:t>3</w:t>
            </w:r>
            <w:r>
              <w:rPr>
                <w:rFonts w:hint="eastAsia" w:ascii="宋体" w:hAnsi="宋体" w:eastAsia="宋体" w:cs="宋体"/>
                <w:color w:val="auto"/>
                <w:sz w:val="24"/>
                <w:szCs w:val="24"/>
                <w:highlight w:val="none"/>
                <w:lang w:val="en-US" w:eastAsia="zh-CN"/>
              </w:rPr>
              <w:t>分</w:t>
            </w:r>
          </w:p>
        </w:tc>
      </w:tr>
      <w:tr w14:paraId="798D09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52" w:hRule="atLeast"/>
        </w:trPr>
        <w:tc>
          <w:tcPr>
            <w:tcW w:w="613" w:type="dxa"/>
            <w:vMerge w:val="continue"/>
            <w:tcBorders>
              <w:left w:val="single" w:color="auto" w:sz="4" w:space="0"/>
              <w:right w:val="single" w:color="auto" w:sz="6" w:space="0"/>
            </w:tcBorders>
            <w:noWrap w:val="0"/>
            <w:vAlign w:val="center"/>
          </w:tcPr>
          <w:p w14:paraId="5F52BE79">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p>
        </w:tc>
        <w:tc>
          <w:tcPr>
            <w:tcW w:w="1002" w:type="dxa"/>
            <w:vMerge w:val="continue"/>
            <w:tcBorders>
              <w:left w:val="single" w:color="auto" w:sz="6" w:space="0"/>
              <w:right w:val="single" w:color="auto" w:sz="6" w:space="0"/>
            </w:tcBorders>
            <w:noWrap w:val="0"/>
            <w:vAlign w:val="center"/>
          </w:tcPr>
          <w:p w14:paraId="3ACE5895">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p>
        </w:tc>
        <w:tc>
          <w:tcPr>
            <w:tcW w:w="1116" w:type="dxa"/>
            <w:vMerge w:val="restart"/>
            <w:tcBorders>
              <w:top w:val="single" w:color="auto" w:sz="4" w:space="0"/>
              <w:left w:val="single" w:color="auto" w:sz="6" w:space="0"/>
              <w:right w:val="single" w:color="auto" w:sz="6" w:space="0"/>
            </w:tcBorders>
            <w:noWrap w:val="0"/>
            <w:vAlign w:val="center"/>
          </w:tcPr>
          <w:p w14:paraId="6F79192C">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助力“共同富裕”建设情况</w:t>
            </w:r>
          </w:p>
        </w:tc>
        <w:tc>
          <w:tcPr>
            <w:tcW w:w="5471" w:type="dxa"/>
            <w:tcBorders>
              <w:top w:val="single" w:color="auto" w:sz="4" w:space="0"/>
              <w:left w:val="single" w:color="auto" w:sz="6" w:space="0"/>
              <w:right w:val="single" w:color="auto" w:sz="6" w:space="0"/>
            </w:tcBorders>
            <w:noWrap w:val="0"/>
            <w:vAlign w:val="center"/>
          </w:tcPr>
          <w:p w14:paraId="04044531">
            <w:pPr>
              <w:keepNext w:val="0"/>
              <w:keepLines w:val="0"/>
              <w:pageBreakBefore w:val="0"/>
              <w:widowControl w:val="0"/>
              <w:kinsoku/>
              <w:wordWrap/>
              <w:overflowPunct/>
              <w:topLinePunct w:val="0"/>
              <w:autoSpaceDE/>
              <w:autoSpaceDN/>
              <w:bidi w:val="0"/>
              <w:adjustRightInd/>
              <w:spacing w:line="240" w:lineRule="auto"/>
              <w:ind w:left="0" w:leftChars="0" w:right="0" w:rightChars="0"/>
              <w:jc w:val="both"/>
              <w:textAlignment w:val="auto"/>
              <w:rPr>
                <w:rFonts w:hint="eastAsia" w:ascii="宋体" w:hAnsi="宋体" w:eastAsia="宋体" w:cs="宋体"/>
                <w:b w:val="0"/>
                <w:bCs/>
                <w:color w:val="auto"/>
                <w:w w:val="100"/>
                <w:kern w:val="2"/>
                <w:sz w:val="24"/>
                <w:szCs w:val="24"/>
                <w:highlight w:val="none"/>
                <w:lang w:val="en-US" w:eastAsia="zh-CN" w:bidi="ar-SA"/>
              </w:rPr>
            </w:pPr>
            <w:r>
              <w:rPr>
                <w:rFonts w:hint="eastAsia" w:ascii="宋体" w:hAnsi="宋体" w:eastAsia="宋体" w:cs="宋体"/>
                <w:color w:val="auto"/>
                <w:spacing w:val="-6"/>
                <w:kern w:val="3"/>
                <w:sz w:val="24"/>
                <w:szCs w:val="24"/>
                <w:highlight w:val="none"/>
                <w:lang w:val="en-US" w:eastAsia="zh-CN" w:bidi="ar-SA"/>
              </w:rPr>
              <w:t>普惠小微企业贷款增量排名</w:t>
            </w:r>
            <w:r>
              <w:rPr>
                <w:rFonts w:hint="eastAsia" w:ascii="宋体" w:hAnsi="宋体" w:eastAsia="宋体" w:cs="宋体"/>
                <w:b w:val="0"/>
                <w:bCs/>
                <w:color w:val="auto"/>
                <w:w w:val="100"/>
                <w:kern w:val="2"/>
                <w:sz w:val="24"/>
                <w:szCs w:val="24"/>
                <w:highlight w:val="none"/>
                <w:lang w:val="en-US" w:eastAsia="zh-CN" w:bidi="ar-SA"/>
              </w:rPr>
              <w:t>（2024年12月底）,</w:t>
            </w:r>
            <w:r>
              <w:rPr>
                <w:rFonts w:hint="eastAsia" w:ascii="宋体" w:hAnsi="宋体" w:eastAsia="宋体" w:cs="宋体"/>
                <w:color w:val="auto"/>
                <w:sz w:val="24"/>
                <w:szCs w:val="24"/>
                <w:highlight w:val="none"/>
                <w:lang w:val="en-US" w:eastAsia="zh-CN"/>
              </w:rPr>
              <w:t>排名第1-2名得3分，第3-4名得2.</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分，第5-6名得2.</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分，第7-8名得2.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分，第9名及以后得2.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tc>
        <w:tc>
          <w:tcPr>
            <w:tcW w:w="784" w:type="dxa"/>
            <w:tcBorders>
              <w:top w:val="single" w:color="auto" w:sz="4" w:space="0"/>
              <w:left w:val="single" w:color="auto" w:sz="6" w:space="0"/>
              <w:right w:val="single" w:color="auto" w:sz="4" w:space="0"/>
            </w:tcBorders>
            <w:noWrap w:val="0"/>
            <w:vAlign w:val="center"/>
          </w:tcPr>
          <w:p w14:paraId="1DC97301">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r>
      <w:tr w14:paraId="45082E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52" w:hRule="atLeast"/>
        </w:trPr>
        <w:tc>
          <w:tcPr>
            <w:tcW w:w="613" w:type="dxa"/>
            <w:vMerge w:val="continue"/>
            <w:tcBorders>
              <w:left w:val="single" w:color="auto" w:sz="4" w:space="0"/>
              <w:right w:val="single" w:color="auto" w:sz="6" w:space="0"/>
            </w:tcBorders>
            <w:noWrap w:val="0"/>
            <w:vAlign w:val="center"/>
          </w:tcPr>
          <w:p w14:paraId="2CEE14FD">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p>
        </w:tc>
        <w:tc>
          <w:tcPr>
            <w:tcW w:w="1002" w:type="dxa"/>
            <w:vMerge w:val="continue"/>
            <w:tcBorders>
              <w:left w:val="single" w:color="auto" w:sz="6" w:space="0"/>
              <w:right w:val="single" w:color="auto" w:sz="6" w:space="0"/>
            </w:tcBorders>
            <w:noWrap w:val="0"/>
            <w:vAlign w:val="center"/>
          </w:tcPr>
          <w:p w14:paraId="75106F61">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p>
        </w:tc>
        <w:tc>
          <w:tcPr>
            <w:tcW w:w="1116" w:type="dxa"/>
            <w:vMerge w:val="continue"/>
            <w:tcBorders>
              <w:left w:val="single" w:color="auto" w:sz="6" w:space="0"/>
              <w:right w:val="single" w:color="auto" w:sz="6" w:space="0"/>
            </w:tcBorders>
            <w:noWrap w:val="0"/>
            <w:vAlign w:val="center"/>
          </w:tcPr>
          <w:p w14:paraId="7C9160D1">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p>
        </w:tc>
        <w:tc>
          <w:tcPr>
            <w:tcW w:w="5471" w:type="dxa"/>
            <w:tcBorders>
              <w:top w:val="single" w:color="auto" w:sz="4" w:space="0"/>
              <w:left w:val="single" w:color="auto" w:sz="6" w:space="0"/>
              <w:right w:val="single" w:color="auto" w:sz="6" w:space="0"/>
            </w:tcBorders>
            <w:noWrap w:val="0"/>
            <w:vAlign w:val="center"/>
          </w:tcPr>
          <w:p w14:paraId="1F5628BB">
            <w:pPr>
              <w:keepNext w:val="0"/>
              <w:keepLines w:val="0"/>
              <w:pageBreakBefore w:val="0"/>
              <w:widowControl w:val="0"/>
              <w:kinsoku/>
              <w:wordWrap/>
              <w:overflowPunct/>
              <w:topLinePunct w:val="0"/>
              <w:autoSpaceDE/>
              <w:autoSpaceDN/>
              <w:bidi w:val="0"/>
              <w:adjustRightInd/>
              <w:spacing w:line="240" w:lineRule="auto"/>
              <w:ind w:left="0" w:leftChars="0" w:right="0" w:rightChars="0"/>
              <w:jc w:val="both"/>
              <w:textAlignment w:val="auto"/>
              <w:rPr>
                <w:rFonts w:hint="eastAsia" w:ascii="宋体" w:hAnsi="宋体" w:eastAsia="宋体" w:cs="宋体"/>
                <w:b w:val="0"/>
                <w:bCs/>
                <w:color w:val="auto"/>
                <w:w w:val="100"/>
                <w:kern w:val="2"/>
                <w:sz w:val="24"/>
                <w:szCs w:val="24"/>
                <w:highlight w:val="none"/>
                <w:lang w:val="en-US" w:eastAsia="zh-CN" w:bidi="ar-SA"/>
              </w:rPr>
            </w:pPr>
            <w:r>
              <w:rPr>
                <w:rFonts w:hint="eastAsia" w:ascii="宋体" w:hAnsi="宋体" w:eastAsia="宋体" w:cs="宋体"/>
                <w:color w:val="auto"/>
                <w:spacing w:val="-6"/>
                <w:kern w:val="3"/>
                <w:sz w:val="24"/>
                <w:szCs w:val="24"/>
                <w:highlight w:val="none"/>
                <w:lang w:val="en-US" w:eastAsia="zh-CN" w:bidi="ar-SA"/>
              </w:rPr>
              <w:t>普惠小微企业贷款增速排名</w:t>
            </w:r>
            <w:r>
              <w:rPr>
                <w:rFonts w:hint="eastAsia" w:ascii="宋体" w:hAnsi="宋体" w:eastAsia="宋体" w:cs="宋体"/>
                <w:b w:val="0"/>
                <w:bCs/>
                <w:color w:val="auto"/>
                <w:w w:val="100"/>
                <w:kern w:val="2"/>
                <w:sz w:val="24"/>
                <w:szCs w:val="24"/>
                <w:highlight w:val="none"/>
                <w:lang w:val="en-US" w:eastAsia="zh-CN" w:bidi="ar-SA"/>
              </w:rPr>
              <w:t>（2024年12月底）,</w:t>
            </w:r>
            <w:r>
              <w:rPr>
                <w:rFonts w:hint="eastAsia" w:ascii="宋体" w:hAnsi="宋体" w:eastAsia="宋体" w:cs="宋体"/>
                <w:color w:val="auto"/>
                <w:sz w:val="24"/>
                <w:szCs w:val="24"/>
                <w:highlight w:val="none"/>
                <w:lang w:val="en-US" w:eastAsia="zh-CN"/>
              </w:rPr>
              <w:t>排名第1-2名得3分，第3-4名得2.</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分，第5-6名得2.</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分，第7-8名得2.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分，第9名及以后得2.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tc>
        <w:tc>
          <w:tcPr>
            <w:tcW w:w="784" w:type="dxa"/>
            <w:tcBorders>
              <w:left w:val="single" w:color="auto" w:sz="6" w:space="0"/>
              <w:bottom w:val="single" w:color="auto" w:sz="4" w:space="0"/>
              <w:right w:val="single" w:color="auto" w:sz="4" w:space="0"/>
            </w:tcBorders>
            <w:noWrap w:val="0"/>
            <w:vAlign w:val="center"/>
          </w:tcPr>
          <w:p w14:paraId="174B4548">
            <w:pPr>
              <w:keepNext w:val="0"/>
              <w:keepLines w:val="0"/>
              <w:pageBreakBefore w:val="0"/>
              <w:widowControl w:val="0"/>
              <w:kinsoku/>
              <w:wordWrap/>
              <w:overflowPunct/>
              <w:topLinePunct w:val="0"/>
              <w:autoSpaceDE/>
              <w:autoSpaceDN/>
              <w:bidi w:val="0"/>
              <w:adjustRightInd/>
              <w:spacing w:line="240" w:lineRule="auto"/>
              <w:ind w:left="0" w:leftChars="0" w:right="0" w:rightChars="0"/>
              <w:jc w:val="center"/>
              <w:textAlignment w:val="auto"/>
              <w:rPr>
                <w:rFonts w:hint="eastAsia" w:ascii="宋体" w:hAnsi="宋体" w:eastAsia="宋体" w:cs="宋体"/>
                <w:b w:val="0"/>
                <w:bCs/>
                <w:color w:val="auto"/>
                <w:w w:val="100"/>
                <w:kern w:val="2"/>
                <w:sz w:val="24"/>
                <w:szCs w:val="24"/>
                <w:highlight w:val="none"/>
                <w:lang w:val="en-US" w:eastAsia="zh-CN" w:bidi="ar-SA"/>
              </w:rPr>
            </w:pPr>
            <w:r>
              <w:rPr>
                <w:rFonts w:hint="eastAsia" w:ascii="宋体" w:hAnsi="宋体" w:eastAsia="宋体" w:cs="宋体"/>
                <w:b w:val="0"/>
                <w:bCs/>
                <w:color w:val="auto"/>
                <w:w w:val="100"/>
                <w:kern w:val="2"/>
                <w:sz w:val="24"/>
                <w:szCs w:val="24"/>
                <w:highlight w:val="none"/>
                <w:lang w:val="en-US" w:eastAsia="zh-CN" w:bidi="ar-SA"/>
              </w:rPr>
              <w:t>3</w:t>
            </w:r>
            <w:r>
              <w:rPr>
                <w:rFonts w:hint="eastAsia" w:ascii="宋体" w:hAnsi="宋体" w:eastAsia="宋体" w:cs="宋体"/>
                <w:color w:val="auto"/>
                <w:sz w:val="24"/>
                <w:szCs w:val="24"/>
                <w:highlight w:val="none"/>
                <w:lang w:val="en-US" w:eastAsia="zh-CN"/>
              </w:rPr>
              <w:t>分</w:t>
            </w:r>
          </w:p>
        </w:tc>
      </w:tr>
      <w:tr w14:paraId="04AC8D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3" w:hRule="atLeast"/>
        </w:trPr>
        <w:tc>
          <w:tcPr>
            <w:tcW w:w="613" w:type="dxa"/>
            <w:vMerge w:val="continue"/>
            <w:tcBorders>
              <w:left w:val="single" w:color="auto" w:sz="4" w:space="0"/>
              <w:right w:val="single" w:color="auto" w:sz="6" w:space="0"/>
            </w:tcBorders>
            <w:noWrap w:val="0"/>
            <w:vAlign w:val="center"/>
          </w:tcPr>
          <w:p w14:paraId="2F4BF37A">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p>
        </w:tc>
        <w:tc>
          <w:tcPr>
            <w:tcW w:w="1002" w:type="dxa"/>
            <w:vMerge w:val="continue"/>
            <w:tcBorders>
              <w:left w:val="single" w:color="auto" w:sz="6" w:space="0"/>
              <w:right w:val="single" w:color="auto" w:sz="6" w:space="0"/>
            </w:tcBorders>
            <w:noWrap w:val="0"/>
            <w:vAlign w:val="center"/>
          </w:tcPr>
          <w:p w14:paraId="39C004D4">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p>
        </w:tc>
        <w:tc>
          <w:tcPr>
            <w:tcW w:w="1116" w:type="dxa"/>
            <w:tcBorders>
              <w:left w:val="single" w:color="auto" w:sz="6" w:space="0"/>
              <w:right w:val="single" w:color="auto" w:sz="6" w:space="0"/>
            </w:tcBorders>
            <w:noWrap w:val="0"/>
            <w:vAlign w:val="center"/>
          </w:tcPr>
          <w:p w14:paraId="35CC8C85">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纳税情况</w:t>
            </w:r>
          </w:p>
        </w:tc>
        <w:tc>
          <w:tcPr>
            <w:tcW w:w="5471" w:type="dxa"/>
            <w:tcBorders>
              <w:top w:val="single" w:color="auto" w:sz="4" w:space="0"/>
              <w:left w:val="single" w:color="auto" w:sz="6" w:space="0"/>
              <w:right w:val="single" w:color="auto" w:sz="6" w:space="0"/>
            </w:tcBorders>
            <w:noWrap w:val="0"/>
            <w:vAlign w:val="center"/>
          </w:tcPr>
          <w:p w14:paraId="579BF4CB">
            <w:pPr>
              <w:keepNext w:val="0"/>
              <w:keepLines w:val="0"/>
              <w:pageBreakBefore w:val="0"/>
              <w:widowControl w:val="0"/>
              <w:kinsoku/>
              <w:wordWrap/>
              <w:overflowPunct/>
              <w:topLinePunct w:val="0"/>
              <w:autoSpaceDE/>
              <w:autoSpaceDN/>
              <w:bidi w:val="0"/>
              <w:adjustRightInd/>
              <w:spacing w:line="240" w:lineRule="auto"/>
              <w:ind w:left="0" w:leftChars="0" w:right="0" w:rightChars="0"/>
              <w:jc w:val="both"/>
              <w:textAlignment w:val="auto"/>
              <w:rPr>
                <w:rFonts w:hint="eastAsia" w:ascii="宋体" w:hAnsi="宋体" w:eastAsia="宋体" w:cs="宋体"/>
                <w:color w:val="auto"/>
                <w:spacing w:val="-6"/>
                <w:kern w:val="3"/>
                <w:sz w:val="24"/>
                <w:szCs w:val="24"/>
                <w:highlight w:val="none"/>
                <w:lang w:val="en-US" w:eastAsia="zh-CN" w:bidi="ar-SA"/>
              </w:rPr>
            </w:pPr>
            <w:r>
              <w:rPr>
                <w:rFonts w:hint="eastAsia" w:ascii="宋体" w:hAnsi="宋体" w:eastAsia="宋体" w:cs="宋体"/>
                <w:color w:val="auto"/>
                <w:spacing w:val="-6"/>
                <w:kern w:val="3"/>
                <w:sz w:val="24"/>
                <w:szCs w:val="24"/>
                <w:highlight w:val="none"/>
                <w:lang w:val="en-US" w:eastAsia="zh-CN" w:bidi="ar-SA"/>
              </w:rPr>
              <w:t>荣获</w:t>
            </w:r>
            <w:r>
              <w:rPr>
                <w:rFonts w:hint="eastAsia" w:ascii="宋体" w:hAnsi="宋体" w:eastAsia="宋体" w:cs="宋体"/>
                <w:color w:val="auto"/>
                <w:spacing w:val="-6"/>
                <w:kern w:val="3"/>
                <w:sz w:val="24"/>
                <w:highlight w:val="none"/>
              </w:rPr>
              <w:t>“2024年度国企金融类纳税20强”称号</w:t>
            </w:r>
            <w:r>
              <w:rPr>
                <w:rFonts w:hint="eastAsia" w:ascii="宋体" w:hAnsi="宋体" w:eastAsia="宋体" w:cs="宋体"/>
                <w:color w:val="auto"/>
                <w:spacing w:val="-6"/>
                <w:kern w:val="3"/>
                <w:sz w:val="24"/>
                <w:highlight w:val="none"/>
                <w:lang w:val="en-US" w:eastAsia="zh-CN"/>
              </w:rPr>
              <w:t>的得3分。</w:t>
            </w:r>
          </w:p>
        </w:tc>
        <w:tc>
          <w:tcPr>
            <w:tcW w:w="784" w:type="dxa"/>
            <w:tcBorders>
              <w:left w:val="single" w:color="auto" w:sz="6" w:space="0"/>
              <w:bottom w:val="single" w:color="auto" w:sz="4" w:space="0"/>
              <w:right w:val="single" w:color="auto" w:sz="4" w:space="0"/>
            </w:tcBorders>
            <w:noWrap w:val="0"/>
            <w:vAlign w:val="center"/>
          </w:tcPr>
          <w:p w14:paraId="1CD3842A">
            <w:pPr>
              <w:keepNext w:val="0"/>
              <w:keepLines w:val="0"/>
              <w:pageBreakBefore w:val="0"/>
              <w:widowControl w:val="0"/>
              <w:kinsoku/>
              <w:wordWrap/>
              <w:overflowPunct/>
              <w:topLinePunct w:val="0"/>
              <w:autoSpaceDE/>
              <w:autoSpaceDN/>
              <w:bidi w:val="0"/>
              <w:adjustRightInd/>
              <w:spacing w:line="240" w:lineRule="auto"/>
              <w:ind w:left="0" w:leftChars="0" w:right="0" w:rightChars="0"/>
              <w:jc w:val="center"/>
              <w:textAlignment w:val="auto"/>
              <w:rPr>
                <w:rFonts w:hint="eastAsia" w:ascii="宋体" w:hAnsi="宋体" w:eastAsia="宋体" w:cs="宋体"/>
                <w:b w:val="0"/>
                <w:bCs/>
                <w:color w:val="auto"/>
                <w:w w:val="100"/>
                <w:kern w:val="2"/>
                <w:sz w:val="24"/>
                <w:szCs w:val="24"/>
                <w:highlight w:val="none"/>
                <w:lang w:val="en-US" w:eastAsia="zh-CN" w:bidi="ar-SA"/>
              </w:rPr>
            </w:pPr>
            <w:r>
              <w:rPr>
                <w:rFonts w:hint="eastAsia" w:ascii="宋体" w:hAnsi="宋体" w:eastAsia="宋体" w:cs="宋体"/>
                <w:b w:val="0"/>
                <w:bCs/>
                <w:color w:val="auto"/>
                <w:w w:val="100"/>
                <w:kern w:val="2"/>
                <w:sz w:val="24"/>
                <w:szCs w:val="24"/>
                <w:highlight w:val="none"/>
                <w:lang w:val="en-US" w:eastAsia="zh-CN" w:bidi="ar-SA"/>
              </w:rPr>
              <w:t>3分</w:t>
            </w:r>
          </w:p>
        </w:tc>
      </w:tr>
      <w:tr w14:paraId="68A889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80" w:hRule="atLeast"/>
        </w:trPr>
        <w:tc>
          <w:tcPr>
            <w:tcW w:w="613" w:type="dxa"/>
            <w:vMerge w:val="restart"/>
            <w:tcBorders>
              <w:left w:val="single" w:color="auto" w:sz="4" w:space="0"/>
              <w:right w:val="single" w:color="auto" w:sz="6" w:space="0"/>
            </w:tcBorders>
            <w:noWrap w:val="0"/>
            <w:vAlign w:val="center"/>
          </w:tcPr>
          <w:p w14:paraId="7EF2E215">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w:t>
            </w:r>
          </w:p>
        </w:tc>
        <w:tc>
          <w:tcPr>
            <w:tcW w:w="1002" w:type="dxa"/>
            <w:vMerge w:val="restart"/>
            <w:tcBorders>
              <w:left w:val="single" w:color="auto" w:sz="6" w:space="0"/>
              <w:right w:val="single" w:color="auto" w:sz="6" w:space="0"/>
            </w:tcBorders>
            <w:noWrap w:val="0"/>
            <w:vAlign w:val="center"/>
          </w:tcPr>
          <w:p w14:paraId="1F37251F">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服务水平</w:t>
            </w:r>
          </w:p>
          <w:p w14:paraId="384D61B4">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（15分）</w:t>
            </w:r>
          </w:p>
        </w:tc>
        <w:tc>
          <w:tcPr>
            <w:tcW w:w="1116" w:type="dxa"/>
            <w:vMerge w:val="restart"/>
            <w:tcBorders>
              <w:top w:val="single" w:color="auto" w:sz="4" w:space="0"/>
              <w:left w:val="single" w:color="auto" w:sz="6" w:space="0"/>
              <w:right w:val="single" w:color="auto" w:sz="6" w:space="0"/>
            </w:tcBorders>
            <w:noWrap w:val="0"/>
            <w:vAlign w:val="center"/>
          </w:tcPr>
          <w:p w14:paraId="646A6CCF">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服务方案</w:t>
            </w:r>
          </w:p>
        </w:tc>
        <w:tc>
          <w:tcPr>
            <w:tcW w:w="5471" w:type="dxa"/>
            <w:tcBorders>
              <w:top w:val="single" w:color="auto" w:sz="4" w:space="0"/>
              <w:left w:val="single" w:color="auto" w:sz="6" w:space="0"/>
              <w:right w:val="single" w:color="auto" w:sz="6" w:space="0"/>
            </w:tcBorders>
            <w:noWrap w:val="0"/>
            <w:vAlign w:val="center"/>
          </w:tcPr>
          <w:p w14:paraId="2C052491">
            <w:pPr>
              <w:keepNext w:val="0"/>
              <w:keepLines w:val="0"/>
              <w:pageBreakBefore w:val="0"/>
              <w:widowControl/>
              <w:kinsoku/>
              <w:wordWrap/>
              <w:overflowPunct/>
              <w:topLinePunct w:val="0"/>
              <w:autoSpaceDE/>
              <w:autoSpaceDN/>
              <w:bidi w:val="0"/>
              <w:adjustRightInd/>
              <w:spacing w:line="240" w:lineRule="auto"/>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比较投标银行提供的服务方案，包括方案是否能够切合实际、安全可行、全面完整，是否具有针对性、保密性、安全性及承诺情况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0-5分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tc>
        <w:tc>
          <w:tcPr>
            <w:tcW w:w="784" w:type="dxa"/>
            <w:tcBorders>
              <w:top w:val="single" w:color="auto" w:sz="4" w:space="0"/>
              <w:left w:val="single" w:color="auto" w:sz="6" w:space="0"/>
              <w:bottom w:val="single" w:color="auto" w:sz="4" w:space="0"/>
              <w:right w:val="single" w:color="auto" w:sz="4" w:space="0"/>
            </w:tcBorders>
            <w:noWrap w:val="0"/>
            <w:vAlign w:val="center"/>
          </w:tcPr>
          <w:p w14:paraId="4BC6ED6E">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w:t>
            </w:r>
            <w:r>
              <w:rPr>
                <w:rFonts w:hint="eastAsia" w:ascii="宋体" w:hAnsi="宋体" w:eastAsia="宋体" w:cs="宋体"/>
                <w:color w:val="auto"/>
                <w:sz w:val="24"/>
                <w:szCs w:val="24"/>
                <w:highlight w:val="none"/>
                <w:lang w:val="en-US" w:eastAsia="zh-CN"/>
              </w:rPr>
              <w:t>分</w:t>
            </w:r>
          </w:p>
        </w:tc>
      </w:tr>
      <w:tr w14:paraId="752BBE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0" w:hRule="atLeast"/>
        </w:trPr>
        <w:tc>
          <w:tcPr>
            <w:tcW w:w="613" w:type="dxa"/>
            <w:vMerge w:val="continue"/>
            <w:tcBorders>
              <w:left w:val="single" w:color="auto" w:sz="4" w:space="0"/>
              <w:right w:val="single" w:color="auto" w:sz="6" w:space="0"/>
            </w:tcBorders>
            <w:noWrap w:val="0"/>
            <w:vAlign w:val="center"/>
          </w:tcPr>
          <w:p w14:paraId="2480792A">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p>
        </w:tc>
        <w:tc>
          <w:tcPr>
            <w:tcW w:w="1002" w:type="dxa"/>
            <w:vMerge w:val="continue"/>
            <w:tcBorders>
              <w:left w:val="single" w:color="auto" w:sz="6" w:space="0"/>
              <w:right w:val="single" w:color="auto" w:sz="6" w:space="0"/>
            </w:tcBorders>
            <w:noWrap w:val="0"/>
            <w:vAlign w:val="center"/>
          </w:tcPr>
          <w:p w14:paraId="0A53D0DD">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p>
        </w:tc>
        <w:tc>
          <w:tcPr>
            <w:tcW w:w="1116" w:type="dxa"/>
            <w:vMerge w:val="continue"/>
            <w:tcBorders>
              <w:left w:val="single" w:color="auto" w:sz="6" w:space="0"/>
              <w:right w:val="single" w:color="auto" w:sz="6" w:space="0"/>
            </w:tcBorders>
            <w:noWrap w:val="0"/>
            <w:vAlign w:val="center"/>
          </w:tcPr>
          <w:p w14:paraId="3F60302E">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p>
        </w:tc>
        <w:tc>
          <w:tcPr>
            <w:tcW w:w="5471" w:type="dxa"/>
            <w:tcBorders>
              <w:top w:val="single" w:color="auto" w:sz="4" w:space="0"/>
              <w:left w:val="single" w:color="auto" w:sz="6" w:space="0"/>
              <w:right w:val="single" w:color="auto" w:sz="6" w:space="0"/>
            </w:tcBorders>
            <w:noWrap w:val="0"/>
            <w:vAlign w:val="center"/>
          </w:tcPr>
          <w:p w14:paraId="4CC4EAB1">
            <w:pPr>
              <w:keepNext w:val="0"/>
              <w:keepLines w:val="0"/>
              <w:pageBreakBefore w:val="0"/>
              <w:widowControl/>
              <w:kinsoku/>
              <w:wordWrap/>
              <w:overflowPunct/>
              <w:topLinePunct w:val="0"/>
              <w:autoSpaceDE/>
              <w:autoSpaceDN/>
              <w:bidi w:val="0"/>
              <w:adjustRightInd/>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说明服务质量的保证措施，是否具有保证项目进度的有效措施以及提供项目实施过程中突发事件处理机制与预案等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0-5分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rPr>
              <w:t>。</w:t>
            </w:r>
          </w:p>
        </w:tc>
        <w:tc>
          <w:tcPr>
            <w:tcW w:w="784" w:type="dxa"/>
            <w:tcBorders>
              <w:top w:val="single" w:color="auto" w:sz="4" w:space="0"/>
              <w:left w:val="single" w:color="auto" w:sz="6" w:space="0"/>
              <w:bottom w:val="single" w:color="auto" w:sz="4" w:space="0"/>
              <w:right w:val="single" w:color="auto" w:sz="4" w:space="0"/>
            </w:tcBorders>
            <w:noWrap w:val="0"/>
            <w:vAlign w:val="center"/>
          </w:tcPr>
          <w:p w14:paraId="37C7BF75">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r>
      <w:tr w14:paraId="63CAF6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62" w:hRule="atLeast"/>
        </w:trPr>
        <w:tc>
          <w:tcPr>
            <w:tcW w:w="613" w:type="dxa"/>
            <w:vMerge w:val="continue"/>
            <w:tcBorders>
              <w:left w:val="single" w:color="auto" w:sz="4" w:space="0"/>
              <w:right w:val="single" w:color="auto" w:sz="6" w:space="0"/>
            </w:tcBorders>
            <w:noWrap w:val="0"/>
            <w:vAlign w:val="center"/>
          </w:tcPr>
          <w:p w14:paraId="3DA954D0">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p>
        </w:tc>
        <w:tc>
          <w:tcPr>
            <w:tcW w:w="1002" w:type="dxa"/>
            <w:vMerge w:val="continue"/>
            <w:tcBorders>
              <w:left w:val="single" w:color="auto" w:sz="6" w:space="0"/>
              <w:right w:val="single" w:color="auto" w:sz="6" w:space="0"/>
            </w:tcBorders>
            <w:noWrap w:val="0"/>
            <w:vAlign w:val="center"/>
          </w:tcPr>
          <w:p w14:paraId="6879B94E">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p>
        </w:tc>
        <w:tc>
          <w:tcPr>
            <w:tcW w:w="1116" w:type="dxa"/>
            <w:tcBorders>
              <w:top w:val="single" w:color="auto" w:sz="4" w:space="0"/>
              <w:left w:val="single" w:color="auto" w:sz="6" w:space="0"/>
              <w:right w:val="single" w:color="auto" w:sz="6" w:space="0"/>
            </w:tcBorders>
            <w:noWrap w:val="0"/>
            <w:vAlign w:val="center"/>
          </w:tcPr>
          <w:p w14:paraId="434A573A">
            <w:pPr>
              <w:keepNext w:val="0"/>
              <w:keepLines w:val="0"/>
              <w:pageBreakBefore w:val="0"/>
              <w:kinsoku/>
              <w:wordWrap/>
              <w:overflowPunct/>
              <w:topLinePunct w:val="0"/>
              <w:autoSpaceDE w:val="0"/>
              <w:autoSpaceDN w:val="0"/>
              <w:bidi w:val="0"/>
              <w:adjustRightInd/>
              <w:snapToGrid w:val="0"/>
              <w:spacing w:line="240" w:lineRule="auto"/>
              <w:ind w:left="0" w:leftChars="0" w:firstLine="0" w:firstLineChars="0"/>
              <w:jc w:val="center"/>
              <w:textAlignment w:val="bottom"/>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存放业绩</w:t>
            </w:r>
          </w:p>
        </w:tc>
        <w:tc>
          <w:tcPr>
            <w:tcW w:w="5471" w:type="dxa"/>
            <w:tcBorders>
              <w:top w:val="single" w:color="auto" w:sz="4" w:space="0"/>
              <w:left w:val="single" w:color="auto" w:sz="6" w:space="0"/>
              <w:right w:val="single" w:color="auto" w:sz="6" w:space="0"/>
            </w:tcBorders>
            <w:noWrap w:val="0"/>
            <w:vAlign w:val="center"/>
          </w:tcPr>
          <w:p w14:paraId="16960509">
            <w:pPr>
              <w:keepNext w:val="0"/>
              <w:keepLines w:val="0"/>
              <w:pageBreakBefore w:val="0"/>
              <w:widowControl/>
              <w:kinsoku/>
              <w:wordWrap/>
              <w:overflowPunct/>
              <w:topLinePunct w:val="0"/>
              <w:autoSpaceDE/>
              <w:autoSpaceDN/>
              <w:bidi w:val="0"/>
              <w:adjustRightInd/>
              <w:spacing w:line="240" w:lineRule="auto"/>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2022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月1日至投标截止前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以合同签订时间为准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承担过竞争性存放（定期）业绩的，每个业绩得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最高为</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（提供中标通知书和合同协议书</w:t>
            </w:r>
            <w:r>
              <w:rPr>
                <w:rFonts w:hint="eastAsia" w:ascii="宋体" w:hAnsi="宋体" w:eastAsia="宋体" w:cs="宋体"/>
                <w:color w:val="auto"/>
                <w:sz w:val="24"/>
                <w:szCs w:val="24"/>
                <w:highlight w:val="none"/>
                <w:lang w:val="en-US" w:eastAsia="zh-CN"/>
              </w:rPr>
              <w:t>扫描件</w:t>
            </w:r>
            <w:r>
              <w:rPr>
                <w:rFonts w:hint="eastAsia" w:ascii="宋体" w:hAnsi="宋体" w:eastAsia="宋体" w:cs="宋体"/>
                <w:color w:val="auto"/>
                <w:sz w:val="24"/>
                <w:szCs w:val="24"/>
                <w:highlight w:val="none"/>
              </w:rPr>
              <w:t>）</w:t>
            </w:r>
          </w:p>
        </w:tc>
        <w:tc>
          <w:tcPr>
            <w:tcW w:w="784" w:type="dxa"/>
            <w:tcBorders>
              <w:top w:val="single" w:color="auto" w:sz="4" w:space="0"/>
              <w:left w:val="single" w:color="auto" w:sz="6" w:space="0"/>
              <w:bottom w:val="single" w:color="auto" w:sz="4" w:space="0"/>
              <w:right w:val="single" w:color="auto" w:sz="4" w:space="0"/>
            </w:tcBorders>
            <w:noWrap w:val="0"/>
            <w:vAlign w:val="center"/>
          </w:tcPr>
          <w:p w14:paraId="53FBBB89">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5分</w:t>
            </w:r>
          </w:p>
        </w:tc>
      </w:tr>
    </w:tbl>
    <w:p w14:paraId="1B80E2F0">
      <w:pPr>
        <w:pStyle w:val="2"/>
        <w:keepNext w:val="0"/>
        <w:keepLines w:val="0"/>
        <w:pageBreakBefore w:val="0"/>
        <w:widowControl w:val="0"/>
        <w:numPr>
          <w:ilvl w:val="0"/>
          <w:numId w:val="0"/>
        </w:numPr>
        <w:tabs>
          <w:tab w:val="left" w:pos="478"/>
          <w:tab w:val="clear" w:pos="432"/>
        </w:tabs>
        <w:kinsoku/>
        <w:wordWrap/>
        <w:overflowPunct/>
        <w:topLinePunct w:val="0"/>
        <w:autoSpaceDE w:val="0"/>
        <w:autoSpaceDN w:val="0"/>
        <w:bidi w:val="0"/>
        <w:adjustRightInd w:val="0"/>
        <w:snapToGrid/>
        <w:spacing w:line="360" w:lineRule="auto"/>
        <w:ind w:leftChars="0"/>
        <w:jc w:val="left"/>
        <w:textAlignment w:val="auto"/>
        <w:rPr>
          <w:rFonts w:hint="eastAsia" w:ascii="宋体" w:hAnsi="宋体" w:eastAsia="宋体" w:cs="宋体"/>
          <w:b/>
          <w:bCs w:val="0"/>
          <w:snapToGrid w:val="0"/>
          <w:color w:val="auto"/>
          <w:kern w:val="0"/>
          <w:sz w:val="24"/>
          <w:szCs w:val="24"/>
          <w:lang w:val="en-US" w:eastAsia="zh-CN"/>
        </w:rPr>
      </w:pPr>
      <w:r>
        <w:rPr>
          <w:rFonts w:hint="eastAsia" w:ascii="宋体" w:hAnsi="宋体" w:eastAsia="宋体" w:cs="宋体"/>
          <w:b/>
          <w:bCs w:val="0"/>
          <w:snapToGrid w:val="0"/>
          <w:color w:val="auto"/>
          <w:kern w:val="0"/>
          <w:sz w:val="24"/>
          <w:szCs w:val="24"/>
          <w:lang w:val="en-US" w:eastAsia="zh-CN"/>
        </w:rPr>
        <w:t>注：经营状况和经济贡献度指标由市金融发展服务中心、市金监局等部门统一提供。</w:t>
      </w:r>
    </w:p>
    <w:p w14:paraId="2B7D6816">
      <w:pPr>
        <w:pStyle w:val="2"/>
        <w:keepNext w:val="0"/>
        <w:keepLines w:val="0"/>
        <w:pageBreakBefore w:val="0"/>
        <w:widowControl w:val="0"/>
        <w:numPr>
          <w:ilvl w:val="0"/>
          <w:numId w:val="0"/>
        </w:numPr>
        <w:tabs>
          <w:tab w:val="left" w:pos="478"/>
          <w:tab w:val="clear" w:pos="432"/>
        </w:tabs>
        <w:kinsoku/>
        <w:wordWrap/>
        <w:overflowPunct/>
        <w:topLinePunct w:val="0"/>
        <w:autoSpaceDE w:val="0"/>
        <w:autoSpaceDN w:val="0"/>
        <w:bidi w:val="0"/>
        <w:adjustRightInd w:val="0"/>
        <w:snapToGrid/>
        <w:spacing w:line="360" w:lineRule="auto"/>
        <w:ind w:leftChars="0"/>
        <w:jc w:val="center"/>
        <w:textAlignment w:val="auto"/>
        <w:rPr>
          <w:rFonts w:hint="eastAsia" w:hAnsi="宋体" w:cs="宋体"/>
          <w:b/>
          <w:color w:val="auto"/>
          <w:szCs w:val="36"/>
        </w:rPr>
      </w:pPr>
      <w:r>
        <w:rPr>
          <w:rFonts w:hint="eastAsia" w:ascii="宋体" w:hAnsi="宋体" w:eastAsia="宋体" w:cs="宋体"/>
          <w:b/>
          <w:bCs w:val="0"/>
          <w:color w:val="auto"/>
          <w:kern w:val="2"/>
          <w:sz w:val="36"/>
          <w:szCs w:val="36"/>
          <w:lang w:val="en-US" w:eastAsia="zh-CN" w:bidi="ar-SA"/>
        </w:rPr>
        <w:br w:type="page"/>
      </w:r>
      <w:r>
        <w:rPr>
          <w:rFonts w:hint="eastAsia" w:ascii="宋体" w:hAnsi="宋体" w:eastAsia="宋体" w:cs="宋体"/>
          <w:b/>
          <w:bCs w:val="0"/>
          <w:color w:val="auto"/>
          <w:kern w:val="2"/>
          <w:sz w:val="36"/>
          <w:szCs w:val="36"/>
          <w:lang w:val="en-US" w:eastAsia="zh-CN" w:bidi="ar-SA"/>
        </w:rPr>
        <w:t>第五部分 采购合同主要条款指引</w:t>
      </w:r>
    </w:p>
    <w:p w14:paraId="5A7CD1C6">
      <w:pPr>
        <w:spacing w:line="460" w:lineRule="exact"/>
        <w:ind w:right="26"/>
        <w:jc w:val="center"/>
        <w:rPr>
          <w:rFonts w:hint="eastAsia" w:cs="宋体"/>
          <w:b/>
          <w:color w:val="auto"/>
          <w:sz w:val="24"/>
          <w:szCs w:val="24"/>
          <w:highlight w:val="none"/>
        </w:rPr>
      </w:pPr>
      <w:r>
        <w:rPr>
          <w:rFonts w:hint="eastAsia" w:cs="宋体"/>
          <w:b/>
          <w:color w:val="auto"/>
          <w:sz w:val="24"/>
          <w:szCs w:val="24"/>
          <w:highlight w:val="none"/>
        </w:rPr>
        <w:t>（本合同为合同样稿，最终稿由双方协商后确定）</w:t>
      </w:r>
    </w:p>
    <w:p w14:paraId="7D904263">
      <w:pPr>
        <w:spacing w:line="5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甲方：</w:t>
      </w:r>
      <w:r>
        <w:rPr>
          <w:rFonts w:hint="eastAsia" w:ascii="宋体" w:hAnsi="宋体" w:cs="宋体"/>
          <w:color w:val="auto"/>
          <w:sz w:val="24"/>
          <w:szCs w:val="24"/>
          <w:lang w:val="en-US" w:eastAsia="zh-CN"/>
        </w:rPr>
        <w:t>嵊州市人力资源和社会保障局</w:t>
      </w:r>
    </w:p>
    <w:p w14:paraId="6ED62655">
      <w:pPr>
        <w:spacing w:line="5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val="en-US" w:eastAsia="zh-CN"/>
        </w:rPr>
        <w:t>嵊州市</w:t>
      </w:r>
      <w:r>
        <w:rPr>
          <w:rFonts w:hint="eastAsia" w:ascii="宋体" w:hAnsi="宋体" w:cs="宋体"/>
          <w:color w:val="auto"/>
          <w:sz w:val="24"/>
          <w:szCs w:val="24"/>
          <w:lang w:val="en-US" w:eastAsia="zh-CN"/>
        </w:rPr>
        <w:t>长丰路100号</w:t>
      </w:r>
    </w:p>
    <w:p w14:paraId="1BB8326D">
      <w:pPr>
        <w:spacing w:line="560" w:lineRule="exact"/>
        <w:rPr>
          <w:rFonts w:hint="eastAsia" w:ascii="宋体" w:hAnsi="宋体" w:eastAsia="宋体" w:cs="宋体"/>
          <w:color w:val="auto"/>
          <w:sz w:val="24"/>
          <w:szCs w:val="24"/>
        </w:rPr>
      </w:pPr>
      <w:r>
        <w:rPr>
          <w:rFonts w:hint="eastAsia" w:ascii="宋体" w:hAnsi="宋体" w:eastAsia="宋体" w:cs="宋体"/>
          <w:color w:val="auto"/>
          <w:sz w:val="24"/>
          <w:szCs w:val="24"/>
        </w:rPr>
        <w:t>乙方：</w:t>
      </w:r>
    </w:p>
    <w:p w14:paraId="7051EA8E">
      <w:pPr>
        <w:spacing w:line="560" w:lineRule="exact"/>
        <w:rPr>
          <w:rFonts w:hint="eastAsia" w:ascii="宋体" w:hAnsi="宋体" w:eastAsia="宋体" w:cs="宋体"/>
          <w:color w:val="auto"/>
          <w:sz w:val="24"/>
          <w:szCs w:val="24"/>
        </w:rPr>
      </w:pPr>
      <w:r>
        <w:rPr>
          <w:rFonts w:hint="eastAsia" w:ascii="宋体" w:hAnsi="宋体" w:eastAsia="宋体" w:cs="宋体"/>
          <w:color w:val="auto"/>
          <w:sz w:val="24"/>
          <w:szCs w:val="24"/>
        </w:rPr>
        <w:t>地址：</w:t>
      </w:r>
    </w:p>
    <w:p w14:paraId="563CEEA8">
      <w:pPr>
        <w:spacing w:line="6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甲乙双方根据</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专用存款账户开立项目招投标结果和招标文件要求，签订本合作协议。</w:t>
      </w:r>
    </w:p>
    <w:p w14:paraId="27B14C1D">
      <w:pPr>
        <w:numPr>
          <w:ilvl w:val="0"/>
          <w:numId w:val="4"/>
        </w:numPr>
        <w:spacing w:line="600" w:lineRule="exact"/>
        <w:rPr>
          <w:rFonts w:hint="eastAsia" w:ascii="宋体" w:hAnsi="宋体" w:eastAsia="宋体" w:cs="宋体"/>
          <w:color w:val="auto"/>
          <w:sz w:val="24"/>
          <w:szCs w:val="24"/>
        </w:rPr>
      </w:pPr>
      <w:r>
        <w:rPr>
          <w:rFonts w:hint="eastAsia" w:ascii="宋体" w:hAnsi="宋体" w:eastAsia="宋体" w:cs="宋体"/>
          <w:color w:val="auto"/>
          <w:sz w:val="24"/>
          <w:szCs w:val="24"/>
        </w:rPr>
        <w:t>双方权利义务：</w:t>
      </w:r>
    </w:p>
    <w:p w14:paraId="7225FDD1">
      <w:pPr>
        <w:spacing w:line="6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（一）合作期自签订合同暂定</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年，期限届满前一个月甲方对乙方的服务质量组织考评，考评结果作为续签的重要依据。</w:t>
      </w:r>
    </w:p>
    <w:p w14:paraId="71EDDE27">
      <w:pPr>
        <w:spacing w:line="6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（二）甲方应在乙方开设户名为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的银行账户。</w:t>
      </w:r>
    </w:p>
    <w:p w14:paraId="565B32DB">
      <w:pPr>
        <w:spacing w:line="6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开户期间，如上级政策调整，按上级政策执行，本协议自行终止。</w:t>
      </w:r>
    </w:p>
    <w:p w14:paraId="71A9D5AD">
      <w:pPr>
        <w:spacing w:line="6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（三）乙方对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专用存款账户的计息标准：账户存款资金</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lang w:eastAsia="zh-CN"/>
        </w:rPr>
        <w:t>万元</w:t>
      </w:r>
      <w:r>
        <w:rPr>
          <w:rFonts w:hint="eastAsia" w:ascii="宋体" w:hAnsi="宋体" w:eastAsia="宋体" w:cs="宋体"/>
          <w:color w:val="auto"/>
          <w:sz w:val="24"/>
          <w:szCs w:val="24"/>
        </w:rPr>
        <w:t>（含）以</w:t>
      </w:r>
      <w:r>
        <w:rPr>
          <w:rFonts w:hint="eastAsia" w:ascii="宋体" w:hAnsi="宋体" w:eastAsia="宋体" w:cs="宋体"/>
          <w:color w:val="auto"/>
          <w:sz w:val="24"/>
          <w:szCs w:val="24"/>
          <w:lang w:eastAsia="zh-CN"/>
        </w:rPr>
        <w:t>中标银行活期挂牌利率</w:t>
      </w:r>
      <w:r>
        <w:rPr>
          <w:rFonts w:hint="eastAsia" w:ascii="宋体" w:hAnsi="宋体" w:eastAsia="宋体" w:cs="宋体"/>
          <w:color w:val="auto"/>
          <w:sz w:val="24"/>
          <w:szCs w:val="24"/>
        </w:rPr>
        <w:t>执行（具体利率根据</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银行公布的活期存款基准利率即时调整）；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none"/>
          <w:lang w:eastAsia="zh-CN"/>
        </w:rPr>
        <w:t>万</w:t>
      </w:r>
      <w:r>
        <w:rPr>
          <w:rFonts w:hint="eastAsia" w:ascii="宋体" w:hAnsi="宋体" w:eastAsia="宋体" w:cs="宋体"/>
          <w:color w:val="auto"/>
          <w:sz w:val="24"/>
          <w:szCs w:val="24"/>
        </w:rPr>
        <w:t>元以上部分按中国人民银行公布的协定存款基准利率上浮</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BP执行（具体利率根据中国人民银行公布的协定期存款基准利率即时调整）。</w:t>
      </w:r>
    </w:p>
    <w:p w14:paraId="71B687C9">
      <w:pPr>
        <w:spacing w:line="6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在开户期间，如银行自律机制规定的利率上浮封顶幅度调整，则中标人给招标人的利率上浮幅度依国家政策作相应调整。</w:t>
      </w:r>
    </w:p>
    <w:p w14:paraId="59BCDB9B">
      <w:pPr>
        <w:spacing w:line="6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）乙方按投标承诺提供相应优质服务。</w:t>
      </w:r>
    </w:p>
    <w:p w14:paraId="487F16A6">
      <w:pPr>
        <w:spacing w:line="6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二、违约责任：</w:t>
      </w:r>
    </w:p>
    <w:p w14:paraId="648BEA69">
      <w:pPr>
        <w:spacing w:line="600" w:lineRule="exact"/>
        <w:ind w:firstLine="360" w:firstLineChars="150"/>
        <w:jc w:val="left"/>
        <w:rPr>
          <w:rFonts w:hint="eastAsia" w:ascii="宋体" w:hAnsi="宋体" w:eastAsia="宋体" w:cs="宋体"/>
          <w:color w:val="auto"/>
          <w:sz w:val="24"/>
          <w:szCs w:val="24"/>
        </w:rPr>
      </w:pPr>
      <w:r>
        <w:rPr>
          <w:rFonts w:hint="eastAsia" w:ascii="宋体" w:hAnsi="宋体" w:eastAsia="宋体" w:cs="宋体"/>
          <w:color w:val="auto"/>
          <w:sz w:val="24"/>
          <w:szCs w:val="24"/>
        </w:rPr>
        <w:t>乙方出现以下情形之一的，甲方有权提前收回存款，重新组织专用存款账户开立项目招标。</w:t>
      </w:r>
    </w:p>
    <w:p w14:paraId="631C96FB">
      <w:pPr>
        <w:spacing w:line="6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（一）出现资金安全事故、重大违法违规情况或财务状况恶化的。</w:t>
      </w:r>
    </w:p>
    <w:p w14:paraId="0DCADFDE">
      <w:pPr>
        <w:spacing w:line="6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（二）人民银行综合评价等级降低后低于B级，监管部门认为存在较大运营风险的。</w:t>
      </w:r>
    </w:p>
    <w:p w14:paraId="1EE34581">
      <w:pPr>
        <w:spacing w:line="6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（三）进行不正当投标的。</w:t>
      </w:r>
    </w:p>
    <w:p w14:paraId="5738CF54">
      <w:pPr>
        <w:spacing w:line="6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（四）没有按照中标协议承诺履行相应的责任和义务的。</w:t>
      </w:r>
    </w:p>
    <w:p w14:paraId="025A1086">
      <w:pPr>
        <w:spacing w:line="6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（五）不能按规定将利息足额存入甲方账户的。</w:t>
      </w:r>
    </w:p>
    <w:p w14:paraId="189BE875">
      <w:pPr>
        <w:spacing w:line="6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（六）在服务考评中考评不合格的。</w:t>
      </w:r>
    </w:p>
    <w:p w14:paraId="4AED2197">
      <w:pPr>
        <w:spacing w:line="6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（七）存在其他妨害资金安全行为的。</w:t>
      </w:r>
    </w:p>
    <w:p w14:paraId="676A43D3">
      <w:pPr>
        <w:spacing w:line="6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三、协议的变更和解除：</w:t>
      </w:r>
    </w:p>
    <w:p w14:paraId="1FA85DFB">
      <w:pPr>
        <w:spacing w:line="6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甲乙任何一方不得擅自变更或解除协议，变更或解除协议须经双方协商一致，并达成书面协议。在投标承诺之外，乙方</w:t>
      </w:r>
      <w:r>
        <w:rPr>
          <w:rFonts w:hint="eastAsia" w:ascii="宋体" w:hAnsi="宋体" w:eastAsia="宋体" w:cs="宋体"/>
          <w:color w:val="auto"/>
          <w:sz w:val="24"/>
          <w:szCs w:val="24"/>
          <w:lang w:eastAsia="zh-CN"/>
        </w:rPr>
        <w:t>对</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存款账户的其他软硬件服务支持根据甲方需要双方另行协商。</w:t>
      </w:r>
    </w:p>
    <w:p w14:paraId="067FBE57">
      <w:pPr>
        <w:spacing w:line="6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四、争议解决：甲乙双方如遇纠纷，应本着互相信任与合作的原则，共同协商解决。不能协商解决的，提交绍兴仲裁委员会进行仲裁。</w:t>
      </w:r>
    </w:p>
    <w:p w14:paraId="25533540">
      <w:pPr>
        <w:spacing w:line="6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五、协议的生效及其他：</w:t>
      </w:r>
    </w:p>
    <w:p w14:paraId="064CC681">
      <w:pPr>
        <w:spacing w:line="6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（一）本协议由双方法定代表人或授权人签字并加盖公章后生效。</w:t>
      </w:r>
    </w:p>
    <w:p w14:paraId="0BCAE86D">
      <w:pPr>
        <w:spacing w:line="6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（二）甲乙双方在签订本合同时都清楚并愿意严格遵守中华人民共和国反贪污贿赂等法律规定。合同关系人应当廉洁自律，不得违反法律法规规定接受不当利益。</w:t>
      </w:r>
    </w:p>
    <w:p w14:paraId="2E27DAB1">
      <w:pPr>
        <w:spacing w:line="6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（三）本协议一式两份，甲、乙双方各执一份。</w:t>
      </w:r>
    </w:p>
    <w:p w14:paraId="04CE9E0F">
      <w:pPr>
        <w:spacing w:line="460" w:lineRule="exact"/>
        <w:ind w:right="26" w:firstLine="465" w:firstLineChars="194"/>
        <w:rPr>
          <w:rFonts w:hint="eastAsia" w:ascii="宋体" w:hAnsi="宋体" w:eastAsia="宋体" w:cs="宋体"/>
          <w:b/>
          <w:bCs/>
          <w:color w:val="auto"/>
          <w:kern w:val="0"/>
          <w:sz w:val="24"/>
          <w:szCs w:val="24"/>
        </w:rPr>
      </w:pPr>
      <w:r>
        <w:rPr>
          <w:rFonts w:hint="eastAsia" w:ascii="宋体" w:hAnsi="宋体" w:eastAsia="宋体" w:cs="宋体"/>
          <w:color w:val="auto"/>
          <w:sz w:val="24"/>
          <w:szCs w:val="24"/>
        </w:rPr>
        <w:t>（四）本协议书未尽事宜，甲、乙双方另行协商。</w:t>
      </w:r>
    </w:p>
    <w:p w14:paraId="14339969">
      <w:pPr>
        <w:spacing w:line="460" w:lineRule="exact"/>
        <w:ind w:firstLine="1068" w:firstLineChars="445"/>
        <w:rPr>
          <w:rFonts w:hint="eastAsia" w:ascii="宋体" w:hAnsi="宋体" w:eastAsia="宋体" w:cs="宋体"/>
          <w:bCs/>
          <w:color w:val="auto"/>
          <w:sz w:val="24"/>
          <w:szCs w:val="24"/>
        </w:rPr>
      </w:pPr>
    </w:p>
    <w:p w14:paraId="11AA2239">
      <w:pPr>
        <w:spacing w:line="600" w:lineRule="exact"/>
        <w:rPr>
          <w:rFonts w:hint="eastAsia" w:ascii="宋体" w:hAnsi="宋体" w:eastAsia="宋体" w:cs="宋体"/>
          <w:color w:val="auto"/>
          <w:sz w:val="24"/>
          <w:szCs w:val="24"/>
        </w:rPr>
      </w:pPr>
    </w:p>
    <w:p w14:paraId="4738743D">
      <w:pPr>
        <w:spacing w:line="600" w:lineRule="exact"/>
        <w:rPr>
          <w:rFonts w:hint="eastAsia" w:ascii="宋体" w:hAnsi="宋体" w:eastAsia="宋体" w:cs="宋体"/>
          <w:color w:val="auto"/>
          <w:sz w:val="24"/>
          <w:szCs w:val="24"/>
        </w:rPr>
      </w:pPr>
      <w:r>
        <w:rPr>
          <w:rFonts w:hint="eastAsia" w:ascii="宋体" w:hAnsi="宋体" w:eastAsia="宋体" w:cs="宋体"/>
          <w:color w:val="auto"/>
          <w:sz w:val="24"/>
          <w:szCs w:val="24"/>
        </w:rPr>
        <w:t>甲方（盖章）：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乙方（盖章）：</w:t>
      </w:r>
    </w:p>
    <w:p w14:paraId="16F45C1E">
      <w:pPr>
        <w:spacing w:line="60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负责人签字</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负责人签字</w:t>
      </w:r>
      <w:r>
        <w:rPr>
          <w:rFonts w:hint="eastAsia" w:ascii="宋体" w:hAnsi="宋体" w:eastAsia="宋体" w:cs="宋体"/>
          <w:color w:val="auto"/>
          <w:sz w:val="24"/>
          <w:szCs w:val="24"/>
        </w:rPr>
        <w:t>：</w:t>
      </w:r>
    </w:p>
    <w:p w14:paraId="43AFCD1B">
      <w:pPr>
        <w:spacing w:line="60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签署日期：   年  月  日</w:t>
      </w:r>
      <w:r>
        <w:rPr>
          <w:rFonts w:hint="eastAsia" w:ascii="宋体" w:hAnsi="宋体" w:eastAsia="宋体" w:cs="宋体"/>
          <w:color w:val="auto"/>
          <w:sz w:val="24"/>
          <w:szCs w:val="24"/>
          <w:lang w:eastAsia="zh-CN"/>
        </w:rPr>
        <w:tab/>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签署日期：   年  月  日</w:t>
      </w:r>
    </w:p>
    <w:p w14:paraId="3CEACD34">
      <w:pPr>
        <w:pStyle w:val="5"/>
        <w:adjustRightInd w:val="0"/>
        <w:snapToGrid w:val="0"/>
        <w:spacing w:before="0" w:beforeLines="0" w:after="0" w:afterLines="0" w:line="460" w:lineRule="exact"/>
        <w:jc w:val="both"/>
        <w:rPr>
          <w:rFonts w:hint="eastAsia" w:hAnsi="宋体" w:cs="宋体"/>
          <w:b/>
          <w:snapToGrid w:val="0"/>
          <w:color w:val="auto"/>
          <w:kern w:val="0"/>
          <w:sz w:val="36"/>
          <w:szCs w:val="36"/>
        </w:rPr>
      </w:pPr>
    </w:p>
    <w:p w14:paraId="1580AD9C">
      <w:pPr>
        <w:pStyle w:val="5"/>
        <w:adjustRightInd w:val="0"/>
        <w:snapToGrid w:val="0"/>
        <w:spacing w:before="0" w:beforeLines="0" w:after="0" w:afterLines="0" w:line="460" w:lineRule="exact"/>
        <w:jc w:val="center"/>
        <w:rPr>
          <w:rFonts w:hint="eastAsia" w:hAnsi="宋体" w:cs="宋体"/>
          <w:b/>
          <w:snapToGrid w:val="0"/>
          <w:color w:val="auto"/>
          <w:kern w:val="0"/>
          <w:sz w:val="36"/>
          <w:szCs w:val="36"/>
        </w:rPr>
      </w:pPr>
    </w:p>
    <w:p w14:paraId="3FC8DFC6">
      <w:pPr>
        <w:pStyle w:val="5"/>
        <w:adjustRightInd w:val="0"/>
        <w:snapToGrid w:val="0"/>
        <w:spacing w:before="0" w:beforeLines="0" w:after="0" w:afterLines="0" w:line="460" w:lineRule="exact"/>
        <w:jc w:val="center"/>
        <w:rPr>
          <w:rFonts w:hint="eastAsia" w:hAnsi="宋体" w:cs="宋体"/>
          <w:b/>
          <w:snapToGrid w:val="0"/>
          <w:color w:val="auto"/>
          <w:kern w:val="0"/>
          <w:sz w:val="36"/>
          <w:szCs w:val="36"/>
        </w:rPr>
      </w:pPr>
    </w:p>
    <w:p w14:paraId="52F9A35B">
      <w:pPr>
        <w:pStyle w:val="5"/>
        <w:adjustRightInd w:val="0"/>
        <w:snapToGrid w:val="0"/>
        <w:spacing w:before="0" w:beforeLines="0" w:after="0" w:afterLines="0" w:line="460" w:lineRule="exact"/>
        <w:jc w:val="center"/>
        <w:rPr>
          <w:rFonts w:hint="eastAsia" w:hAnsi="宋体" w:cs="宋体"/>
          <w:b/>
          <w:snapToGrid w:val="0"/>
          <w:color w:val="auto"/>
          <w:kern w:val="0"/>
          <w:sz w:val="36"/>
          <w:szCs w:val="36"/>
        </w:rPr>
      </w:pPr>
    </w:p>
    <w:p w14:paraId="15B5A46B">
      <w:pPr>
        <w:pStyle w:val="5"/>
        <w:adjustRightInd w:val="0"/>
        <w:snapToGrid w:val="0"/>
        <w:spacing w:before="0" w:beforeLines="0" w:after="0" w:afterLines="0" w:line="460" w:lineRule="exact"/>
        <w:jc w:val="center"/>
        <w:rPr>
          <w:rFonts w:hint="eastAsia" w:hAnsi="宋体" w:cs="宋体"/>
          <w:b/>
          <w:snapToGrid w:val="0"/>
          <w:color w:val="auto"/>
          <w:kern w:val="0"/>
          <w:sz w:val="36"/>
          <w:szCs w:val="36"/>
        </w:rPr>
      </w:pPr>
    </w:p>
    <w:p w14:paraId="0E955FF8">
      <w:pPr>
        <w:pStyle w:val="5"/>
        <w:adjustRightInd w:val="0"/>
        <w:snapToGrid w:val="0"/>
        <w:spacing w:before="0" w:beforeLines="0" w:after="0" w:afterLines="0" w:line="460" w:lineRule="exact"/>
        <w:jc w:val="both"/>
        <w:rPr>
          <w:rFonts w:hint="eastAsia" w:hAnsi="宋体" w:cs="宋体"/>
          <w:b/>
          <w:snapToGrid w:val="0"/>
          <w:color w:val="auto"/>
          <w:kern w:val="0"/>
          <w:sz w:val="36"/>
          <w:szCs w:val="36"/>
        </w:rPr>
      </w:pPr>
    </w:p>
    <w:p w14:paraId="2639E9D4">
      <w:pPr>
        <w:pStyle w:val="5"/>
        <w:adjustRightInd w:val="0"/>
        <w:snapToGrid w:val="0"/>
        <w:spacing w:before="0" w:beforeLines="0" w:after="0" w:afterLines="0" w:line="460" w:lineRule="exact"/>
        <w:jc w:val="both"/>
        <w:rPr>
          <w:rFonts w:hint="eastAsia" w:hAnsi="宋体" w:cs="宋体"/>
          <w:b/>
          <w:snapToGrid w:val="0"/>
          <w:color w:val="auto"/>
          <w:kern w:val="0"/>
          <w:sz w:val="36"/>
          <w:szCs w:val="36"/>
        </w:rPr>
      </w:pPr>
    </w:p>
    <w:p w14:paraId="4DC3CC04">
      <w:pPr>
        <w:pStyle w:val="5"/>
        <w:adjustRightInd w:val="0"/>
        <w:snapToGrid w:val="0"/>
        <w:spacing w:before="0" w:beforeLines="0" w:after="0" w:afterLines="0" w:line="460" w:lineRule="exact"/>
        <w:jc w:val="both"/>
        <w:rPr>
          <w:rFonts w:hint="eastAsia" w:hAnsi="宋体" w:cs="宋体"/>
          <w:b/>
          <w:snapToGrid w:val="0"/>
          <w:color w:val="auto"/>
          <w:kern w:val="0"/>
          <w:sz w:val="36"/>
          <w:szCs w:val="36"/>
        </w:rPr>
      </w:pPr>
    </w:p>
    <w:p w14:paraId="63ED20D9">
      <w:pPr>
        <w:pStyle w:val="5"/>
        <w:adjustRightInd w:val="0"/>
        <w:snapToGrid w:val="0"/>
        <w:spacing w:before="0" w:beforeLines="0" w:after="0" w:afterLines="0" w:line="460" w:lineRule="exact"/>
        <w:jc w:val="both"/>
        <w:rPr>
          <w:rFonts w:hint="eastAsia" w:hAnsi="宋体" w:cs="宋体"/>
          <w:b/>
          <w:snapToGrid w:val="0"/>
          <w:color w:val="auto"/>
          <w:kern w:val="0"/>
          <w:sz w:val="36"/>
          <w:szCs w:val="36"/>
        </w:rPr>
      </w:pPr>
    </w:p>
    <w:p w14:paraId="11E6EF6E">
      <w:pPr>
        <w:pStyle w:val="5"/>
        <w:adjustRightInd w:val="0"/>
        <w:snapToGrid w:val="0"/>
        <w:spacing w:before="0" w:beforeLines="0" w:after="0" w:afterLines="0" w:line="460" w:lineRule="exact"/>
        <w:jc w:val="both"/>
        <w:rPr>
          <w:rFonts w:hint="eastAsia" w:hAnsi="宋体" w:cs="宋体"/>
          <w:b/>
          <w:snapToGrid w:val="0"/>
          <w:color w:val="auto"/>
          <w:kern w:val="0"/>
          <w:sz w:val="36"/>
          <w:szCs w:val="36"/>
        </w:rPr>
      </w:pPr>
    </w:p>
    <w:p w14:paraId="177DCBBF">
      <w:pPr>
        <w:pStyle w:val="5"/>
        <w:adjustRightInd w:val="0"/>
        <w:snapToGrid w:val="0"/>
        <w:spacing w:before="0" w:beforeLines="0" w:after="0" w:afterLines="0" w:line="460" w:lineRule="exact"/>
        <w:jc w:val="both"/>
        <w:rPr>
          <w:rFonts w:hint="eastAsia" w:hAnsi="宋体" w:cs="宋体"/>
          <w:b/>
          <w:snapToGrid w:val="0"/>
          <w:color w:val="auto"/>
          <w:kern w:val="0"/>
          <w:sz w:val="36"/>
          <w:szCs w:val="36"/>
        </w:rPr>
      </w:pPr>
    </w:p>
    <w:p w14:paraId="1C853311">
      <w:pPr>
        <w:pStyle w:val="5"/>
        <w:adjustRightInd w:val="0"/>
        <w:snapToGrid w:val="0"/>
        <w:spacing w:before="0" w:beforeLines="0" w:after="0" w:afterLines="0" w:line="460" w:lineRule="exact"/>
        <w:jc w:val="both"/>
        <w:rPr>
          <w:rFonts w:hint="eastAsia" w:hAnsi="宋体" w:cs="宋体"/>
          <w:b/>
          <w:snapToGrid w:val="0"/>
          <w:color w:val="auto"/>
          <w:kern w:val="0"/>
          <w:sz w:val="36"/>
          <w:szCs w:val="36"/>
        </w:rPr>
      </w:pPr>
    </w:p>
    <w:p w14:paraId="008E01AF">
      <w:pPr>
        <w:pStyle w:val="5"/>
        <w:adjustRightInd w:val="0"/>
        <w:snapToGrid w:val="0"/>
        <w:spacing w:before="0" w:beforeLines="0" w:after="0" w:afterLines="0" w:line="460" w:lineRule="exact"/>
        <w:jc w:val="both"/>
        <w:rPr>
          <w:rFonts w:hint="eastAsia" w:hAnsi="宋体" w:cs="宋体"/>
          <w:b/>
          <w:snapToGrid w:val="0"/>
          <w:color w:val="auto"/>
          <w:kern w:val="0"/>
          <w:sz w:val="36"/>
          <w:szCs w:val="36"/>
        </w:rPr>
      </w:pPr>
    </w:p>
    <w:p w14:paraId="327F998E">
      <w:pPr>
        <w:pStyle w:val="5"/>
        <w:adjustRightInd w:val="0"/>
        <w:snapToGrid w:val="0"/>
        <w:spacing w:before="0" w:beforeLines="0" w:after="0" w:afterLines="0" w:line="460" w:lineRule="exact"/>
        <w:jc w:val="both"/>
        <w:rPr>
          <w:rFonts w:hint="eastAsia" w:hAnsi="宋体" w:cs="宋体"/>
          <w:b/>
          <w:snapToGrid w:val="0"/>
          <w:color w:val="auto"/>
          <w:kern w:val="0"/>
          <w:sz w:val="36"/>
          <w:szCs w:val="36"/>
        </w:rPr>
      </w:pPr>
    </w:p>
    <w:p w14:paraId="73BE28AE">
      <w:pPr>
        <w:pStyle w:val="5"/>
        <w:adjustRightInd w:val="0"/>
        <w:snapToGrid w:val="0"/>
        <w:spacing w:before="0" w:beforeLines="0" w:after="0" w:afterLines="0" w:line="460" w:lineRule="exact"/>
        <w:jc w:val="both"/>
        <w:rPr>
          <w:rFonts w:hint="eastAsia" w:hAnsi="宋体" w:cs="宋体"/>
          <w:b/>
          <w:snapToGrid w:val="0"/>
          <w:color w:val="auto"/>
          <w:kern w:val="0"/>
          <w:sz w:val="36"/>
          <w:szCs w:val="36"/>
        </w:rPr>
      </w:pPr>
    </w:p>
    <w:p w14:paraId="2E9B57AD">
      <w:pPr>
        <w:pStyle w:val="5"/>
        <w:adjustRightInd w:val="0"/>
        <w:snapToGrid w:val="0"/>
        <w:spacing w:before="0" w:beforeLines="0" w:after="0" w:afterLines="0" w:line="460" w:lineRule="exact"/>
        <w:jc w:val="both"/>
        <w:rPr>
          <w:rFonts w:hint="eastAsia" w:hAnsi="宋体" w:cs="宋体"/>
          <w:b/>
          <w:snapToGrid w:val="0"/>
          <w:color w:val="auto"/>
          <w:kern w:val="0"/>
          <w:sz w:val="36"/>
          <w:szCs w:val="36"/>
        </w:rPr>
      </w:pPr>
    </w:p>
    <w:p w14:paraId="5FA55993">
      <w:pPr>
        <w:pStyle w:val="5"/>
        <w:adjustRightInd w:val="0"/>
        <w:snapToGrid w:val="0"/>
        <w:spacing w:before="0" w:beforeLines="0" w:after="0" w:afterLines="0" w:line="460" w:lineRule="exact"/>
        <w:jc w:val="both"/>
        <w:rPr>
          <w:rFonts w:hint="eastAsia" w:hAnsi="宋体" w:cs="宋体"/>
          <w:b/>
          <w:snapToGrid w:val="0"/>
          <w:color w:val="auto"/>
          <w:kern w:val="0"/>
          <w:sz w:val="36"/>
          <w:szCs w:val="36"/>
        </w:rPr>
      </w:pPr>
    </w:p>
    <w:p w14:paraId="61E8D05C">
      <w:pPr>
        <w:pStyle w:val="5"/>
        <w:adjustRightInd w:val="0"/>
        <w:snapToGrid w:val="0"/>
        <w:spacing w:before="0" w:beforeLines="0" w:after="0" w:afterLines="0" w:line="460" w:lineRule="exact"/>
        <w:jc w:val="both"/>
        <w:rPr>
          <w:rFonts w:hint="eastAsia" w:hAnsi="宋体" w:cs="宋体"/>
          <w:b/>
          <w:snapToGrid w:val="0"/>
          <w:color w:val="auto"/>
          <w:kern w:val="0"/>
          <w:sz w:val="36"/>
          <w:szCs w:val="36"/>
        </w:rPr>
      </w:pPr>
    </w:p>
    <w:p w14:paraId="57DC81F4">
      <w:pPr>
        <w:pStyle w:val="5"/>
        <w:adjustRightInd w:val="0"/>
        <w:snapToGrid w:val="0"/>
        <w:spacing w:before="0" w:beforeLines="0" w:after="0" w:afterLines="0" w:line="460" w:lineRule="exact"/>
        <w:jc w:val="both"/>
        <w:rPr>
          <w:rFonts w:hint="eastAsia" w:hAnsi="宋体" w:cs="宋体"/>
          <w:b/>
          <w:snapToGrid w:val="0"/>
          <w:color w:val="auto"/>
          <w:kern w:val="0"/>
          <w:sz w:val="36"/>
          <w:szCs w:val="36"/>
        </w:rPr>
      </w:pPr>
    </w:p>
    <w:p w14:paraId="76C1D5ED">
      <w:pPr>
        <w:pStyle w:val="5"/>
        <w:adjustRightInd w:val="0"/>
        <w:snapToGrid w:val="0"/>
        <w:spacing w:before="0" w:beforeLines="0" w:after="0" w:afterLines="0" w:line="460" w:lineRule="exact"/>
        <w:jc w:val="both"/>
        <w:rPr>
          <w:rFonts w:hint="eastAsia" w:hAnsi="宋体" w:cs="宋体"/>
          <w:b/>
          <w:snapToGrid w:val="0"/>
          <w:color w:val="auto"/>
          <w:kern w:val="0"/>
          <w:sz w:val="36"/>
          <w:szCs w:val="36"/>
        </w:rPr>
      </w:pPr>
    </w:p>
    <w:p w14:paraId="05D9C6BD">
      <w:pPr>
        <w:pStyle w:val="5"/>
        <w:adjustRightInd w:val="0"/>
        <w:snapToGrid w:val="0"/>
        <w:spacing w:before="0" w:beforeLines="0" w:after="0" w:afterLines="0" w:line="460" w:lineRule="exact"/>
        <w:jc w:val="both"/>
        <w:rPr>
          <w:rFonts w:hint="eastAsia" w:hAnsi="宋体" w:cs="宋体"/>
          <w:b/>
          <w:snapToGrid w:val="0"/>
          <w:color w:val="auto"/>
          <w:kern w:val="0"/>
          <w:sz w:val="36"/>
          <w:szCs w:val="36"/>
        </w:rPr>
      </w:pPr>
    </w:p>
    <w:p w14:paraId="3ADA0498">
      <w:pPr>
        <w:pStyle w:val="5"/>
        <w:adjustRightInd w:val="0"/>
        <w:snapToGrid w:val="0"/>
        <w:spacing w:before="0" w:beforeLines="0" w:after="0" w:afterLines="0" w:line="460" w:lineRule="exact"/>
        <w:jc w:val="both"/>
        <w:rPr>
          <w:rFonts w:hint="eastAsia" w:hAnsi="宋体" w:cs="宋体"/>
          <w:b/>
          <w:snapToGrid w:val="0"/>
          <w:color w:val="auto"/>
          <w:kern w:val="0"/>
          <w:sz w:val="36"/>
          <w:szCs w:val="36"/>
        </w:rPr>
      </w:pPr>
    </w:p>
    <w:p w14:paraId="7F0F2C7D">
      <w:pPr>
        <w:pStyle w:val="5"/>
        <w:adjustRightInd w:val="0"/>
        <w:snapToGrid w:val="0"/>
        <w:spacing w:before="0" w:beforeLines="0" w:after="0" w:afterLines="0" w:line="460" w:lineRule="exact"/>
        <w:jc w:val="both"/>
        <w:rPr>
          <w:rFonts w:hint="eastAsia" w:hAnsi="宋体" w:cs="宋体"/>
          <w:b/>
          <w:snapToGrid w:val="0"/>
          <w:color w:val="auto"/>
          <w:kern w:val="0"/>
          <w:sz w:val="36"/>
          <w:szCs w:val="36"/>
        </w:rPr>
      </w:pPr>
    </w:p>
    <w:p w14:paraId="283CDA37">
      <w:pPr>
        <w:pStyle w:val="5"/>
        <w:adjustRightInd w:val="0"/>
        <w:snapToGrid w:val="0"/>
        <w:spacing w:before="0" w:beforeLines="0" w:after="0" w:afterLines="0" w:line="460" w:lineRule="exact"/>
        <w:jc w:val="both"/>
        <w:rPr>
          <w:rFonts w:hint="eastAsia" w:hAnsi="宋体" w:cs="宋体"/>
          <w:b/>
          <w:snapToGrid w:val="0"/>
          <w:color w:val="auto"/>
          <w:kern w:val="0"/>
          <w:sz w:val="36"/>
          <w:szCs w:val="36"/>
        </w:rPr>
      </w:pPr>
    </w:p>
    <w:p w14:paraId="5BD47A99">
      <w:pPr>
        <w:pStyle w:val="5"/>
        <w:adjustRightInd w:val="0"/>
        <w:snapToGrid w:val="0"/>
        <w:spacing w:before="0" w:beforeLines="0" w:after="0" w:afterLines="0" w:line="460" w:lineRule="exact"/>
        <w:jc w:val="both"/>
        <w:rPr>
          <w:rFonts w:hint="eastAsia" w:hAnsi="宋体" w:cs="宋体"/>
          <w:b/>
          <w:snapToGrid w:val="0"/>
          <w:color w:val="auto"/>
          <w:kern w:val="0"/>
          <w:sz w:val="36"/>
          <w:szCs w:val="36"/>
        </w:rPr>
      </w:pPr>
    </w:p>
    <w:p w14:paraId="4198354C">
      <w:pPr>
        <w:pStyle w:val="5"/>
        <w:adjustRightInd w:val="0"/>
        <w:snapToGrid w:val="0"/>
        <w:spacing w:before="0" w:beforeLines="0" w:after="0" w:afterLines="0" w:line="460" w:lineRule="exact"/>
        <w:jc w:val="both"/>
        <w:rPr>
          <w:rFonts w:hint="eastAsia" w:hAnsi="宋体" w:cs="宋体"/>
          <w:b/>
          <w:snapToGrid w:val="0"/>
          <w:color w:val="auto"/>
          <w:kern w:val="0"/>
          <w:sz w:val="36"/>
          <w:szCs w:val="36"/>
        </w:rPr>
      </w:pPr>
    </w:p>
    <w:p w14:paraId="2A8CF43B">
      <w:pPr>
        <w:pStyle w:val="2"/>
        <w:numPr>
          <w:ilvl w:val="0"/>
          <w:numId w:val="5"/>
        </w:numPr>
        <w:bidi w:val="0"/>
        <w:ind w:left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投标文件格式</w:t>
      </w:r>
    </w:p>
    <w:p w14:paraId="497E6B52">
      <w:pPr>
        <w:numPr>
          <w:ilvl w:val="0"/>
          <w:numId w:val="0"/>
        </w:numPr>
        <w:rPr>
          <w:rFonts w:hint="eastAsia"/>
          <w:color w:val="auto"/>
          <w:lang w:val="en-US" w:eastAsia="zh-CN"/>
        </w:rPr>
      </w:pPr>
    </w:p>
    <w:p w14:paraId="10BC84C8">
      <w:pPr>
        <w:pStyle w:val="10"/>
        <w:rPr>
          <w:rFonts w:hint="eastAsia"/>
          <w:color w:val="auto"/>
          <w:lang w:val="en-US" w:eastAsia="zh-CN"/>
        </w:rPr>
      </w:pPr>
    </w:p>
    <w:p w14:paraId="0205AB01">
      <w:pPr>
        <w:snapToGrid w:val="0"/>
        <w:spacing w:line="460" w:lineRule="exact"/>
        <w:ind w:firstLine="1193" w:firstLineChars="396"/>
        <w:rPr>
          <w:rFonts w:hint="eastAsia" w:ascii="宋体" w:hAnsi="宋体" w:cs="宋体"/>
          <w:color w:val="auto"/>
          <w:sz w:val="44"/>
          <w:szCs w:val="44"/>
        </w:rPr>
      </w:pPr>
      <w:r>
        <w:rPr>
          <w:rFonts w:hint="eastAsia" w:ascii="宋体" w:hAnsi="宋体" w:cs="宋体"/>
          <w:b/>
          <w:color w:val="auto"/>
          <w:sz w:val="30"/>
          <w:szCs w:val="30"/>
        </w:rPr>
        <w:t xml:space="preserve">                                     </w:t>
      </w:r>
      <w:r>
        <w:rPr>
          <w:rFonts w:hint="eastAsia" w:ascii="宋体" w:hAnsi="宋体" w:cs="宋体"/>
          <w:bCs/>
          <w:color w:val="auto"/>
          <w:sz w:val="30"/>
          <w:szCs w:val="30"/>
        </w:rPr>
        <w:t>正本(副本)</w:t>
      </w:r>
    </w:p>
    <w:p w14:paraId="33086C9D">
      <w:pPr>
        <w:snapToGrid w:val="0"/>
        <w:spacing w:before="301" w:beforeLines="50" w:after="301" w:afterLines="50" w:line="360" w:lineRule="auto"/>
        <w:jc w:val="center"/>
        <w:rPr>
          <w:rFonts w:hint="eastAsia" w:ascii="宋体" w:hAnsi="宋体" w:cs="宋体"/>
          <w:color w:val="auto"/>
          <w:spacing w:val="40"/>
          <w:sz w:val="44"/>
          <w:szCs w:val="44"/>
        </w:rPr>
      </w:pPr>
      <w:r>
        <w:rPr>
          <w:rFonts w:hint="eastAsia" w:ascii="宋体" w:hAnsi="宋体" w:cs="宋体"/>
          <w:color w:val="auto"/>
          <w:spacing w:val="40"/>
          <w:sz w:val="44"/>
          <w:szCs w:val="44"/>
        </w:rPr>
        <w:t>***项目名称</w:t>
      </w:r>
    </w:p>
    <w:p w14:paraId="61DDB2B3">
      <w:pPr>
        <w:spacing w:before="301" w:beforeLines="50" w:after="301" w:afterLines="50" w:line="360" w:lineRule="auto"/>
        <w:ind w:right="-108"/>
        <w:jc w:val="center"/>
        <w:rPr>
          <w:rFonts w:hint="default" w:ascii="宋体" w:hAnsi="宋体" w:eastAsia="宋体" w:cs="宋体"/>
          <w:color w:val="auto"/>
          <w:sz w:val="36"/>
          <w:szCs w:val="36"/>
          <w:lang w:val="en-US" w:eastAsia="zh-CN"/>
        </w:rPr>
      </w:pPr>
      <w:r>
        <w:rPr>
          <w:rFonts w:hint="eastAsia" w:ascii="宋体" w:hAnsi="宋体" w:cs="宋体"/>
          <w:color w:val="auto"/>
          <w:sz w:val="32"/>
          <w:szCs w:val="32"/>
        </w:rPr>
        <w:t>项目编号：</w:t>
      </w:r>
      <w:r>
        <w:rPr>
          <w:rFonts w:hint="eastAsia" w:ascii="宋体" w:hAnsi="宋体" w:cs="宋体"/>
          <w:color w:val="auto"/>
          <w:sz w:val="32"/>
          <w:szCs w:val="32"/>
          <w:lang w:eastAsia="zh-CN"/>
        </w:rPr>
        <w:t>SXWH2025-6-6</w:t>
      </w:r>
    </w:p>
    <w:p w14:paraId="68A69CB1">
      <w:pPr>
        <w:spacing w:before="301" w:beforeLines="50" w:after="301" w:afterLines="50" w:line="360" w:lineRule="auto"/>
        <w:ind w:right="-108"/>
        <w:jc w:val="center"/>
        <w:rPr>
          <w:rFonts w:hint="eastAsia" w:ascii="宋体" w:hAnsi="宋体" w:cs="宋体"/>
          <w:b/>
          <w:color w:val="auto"/>
          <w:spacing w:val="40"/>
          <w:sz w:val="84"/>
          <w:szCs w:val="84"/>
        </w:rPr>
      </w:pPr>
      <w:r>
        <w:rPr>
          <w:rFonts w:hint="eastAsia" w:ascii="宋体" w:hAnsi="宋体" w:cs="宋体"/>
          <w:b/>
          <w:color w:val="auto"/>
          <w:spacing w:val="40"/>
          <w:sz w:val="84"/>
          <w:szCs w:val="84"/>
        </w:rPr>
        <w:t>投</w:t>
      </w:r>
    </w:p>
    <w:p w14:paraId="3FB5E456">
      <w:pPr>
        <w:spacing w:before="301" w:beforeLines="50" w:after="301" w:afterLines="50" w:line="360" w:lineRule="auto"/>
        <w:ind w:right="-108"/>
        <w:jc w:val="center"/>
        <w:rPr>
          <w:rFonts w:hint="eastAsia" w:ascii="宋体" w:hAnsi="宋体" w:cs="宋体"/>
          <w:b/>
          <w:color w:val="auto"/>
          <w:spacing w:val="40"/>
          <w:sz w:val="84"/>
          <w:szCs w:val="84"/>
        </w:rPr>
      </w:pPr>
      <w:r>
        <w:rPr>
          <w:rFonts w:hint="eastAsia" w:ascii="宋体" w:hAnsi="宋体" w:cs="宋体"/>
          <w:b/>
          <w:color w:val="auto"/>
          <w:spacing w:val="40"/>
          <w:sz w:val="84"/>
          <w:szCs w:val="84"/>
        </w:rPr>
        <w:t>标</w:t>
      </w:r>
    </w:p>
    <w:p w14:paraId="3BF4341A">
      <w:pPr>
        <w:spacing w:before="301" w:beforeLines="50" w:after="301" w:afterLines="50" w:line="360" w:lineRule="auto"/>
        <w:ind w:right="-108"/>
        <w:jc w:val="center"/>
        <w:rPr>
          <w:rFonts w:hint="eastAsia" w:ascii="宋体" w:hAnsi="宋体" w:cs="宋体"/>
          <w:b/>
          <w:color w:val="auto"/>
          <w:spacing w:val="40"/>
          <w:sz w:val="84"/>
          <w:szCs w:val="84"/>
        </w:rPr>
      </w:pPr>
      <w:r>
        <w:rPr>
          <w:rFonts w:hint="eastAsia" w:ascii="宋体" w:hAnsi="宋体" w:cs="宋体"/>
          <w:b/>
          <w:color w:val="auto"/>
          <w:spacing w:val="40"/>
          <w:sz w:val="84"/>
          <w:szCs w:val="84"/>
        </w:rPr>
        <w:t>文</w:t>
      </w:r>
    </w:p>
    <w:p w14:paraId="011533C3">
      <w:pPr>
        <w:spacing w:before="301" w:beforeLines="50" w:after="301" w:afterLines="50" w:line="360" w:lineRule="auto"/>
        <w:ind w:right="-108"/>
        <w:jc w:val="center"/>
        <w:rPr>
          <w:rFonts w:hint="eastAsia" w:ascii="宋体" w:hAnsi="宋体" w:cs="宋体"/>
          <w:b/>
          <w:color w:val="auto"/>
          <w:spacing w:val="40"/>
          <w:sz w:val="84"/>
          <w:szCs w:val="84"/>
        </w:rPr>
      </w:pPr>
      <w:r>
        <w:rPr>
          <w:rFonts w:hint="eastAsia" w:ascii="宋体" w:hAnsi="宋体" w:cs="宋体"/>
          <w:b/>
          <w:color w:val="auto"/>
          <w:spacing w:val="40"/>
          <w:sz w:val="84"/>
          <w:szCs w:val="84"/>
        </w:rPr>
        <w:t>件</w:t>
      </w:r>
    </w:p>
    <w:p w14:paraId="6CEDEAA0">
      <w:pPr>
        <w:spacing w:before="301" w:beforeLines="50" w:after="301" w:afterLines="50" w:line="360" w:lineRule="auto"/>
        <w:ind w:right="532" w:firstLine="640" w:firstLineChars="200"/>
        <w:rPr>
          <w:rFonts w:hint="eastAsia" w:ascii="宋体" w:hAnsi="宋体" w:cs="宋体"/>
          <w:color w:val="auto"/>
          <w:sz w:val="32"/>
          <w:szCs w:val="32"/>
        </w:rPr>
      </w:pPr>
      <w:r>
        <w:rPr>
          <w:rFonts w:hint="eastAsia" w:ascii="宋体" w:hAnsi="宋体" w:cs="宋体"/>
          <w:color w:val="auto"/>
          <w:sz w:val="32"/>
          <w:szCs w:val="32"/>
        </w:rPr>
        <w:t>投标人全称（公章）：</w:t>
      </w:r>
    </w:p>
    <w:p w14:paraId="0507BE7F">
      <w:pPr>
        <w:spacing w:before="301" w:beforeLines="50" w:after="301" w:afterLines="50" w:line="360" w:lineRule="auto"/>
        <w:ind w:right="532" w:firstLine="640" w:firstLineChars="200"/>
        <w:rPr>
          <w:rFonts w:hint="eastAsia" w:ascii="宋体" w:hAnsi="宋体" w:cs="宋体"/>
          <w:color w:val="auto"/>
          <w:sz w:val="32"/>
          <w:szCs w:val="32"/>
        </w:rPr>
      </w:pPr>
      <w:r>
        <w:rPr>
          <w:rFonts w:hint="eastAsia" w:ascii="宋体" w:hAnsi="宋体" w:cs="宋体"/>
          <w:color w:val="auto"/>
          <w:sz w:val="32"/>
          <w:szCs w:val="32"/>
        </w:rPr>
        <w:t>地    址：</w:t>
      </w:r>
    </w:p>
    <w:p w14:paraId="6C924ED4">
      <w:pPr>
        <w:spacing w:before="301" w:beforeLines="50" w:after="301" w:afterLines="50" w:line="360" w:lineRule="auto"/>
        <w:ind w:right="532" w:firstLine="640" w:firstLineChars="200"/>
        <w:rPr>
          <w:rFonts w:hint="eastAsia" w:ascii="宋体" w:hAnsi="宋体" w:cs="宋体"/>
          <w:color w:val="auto"/>
          <w:sz w:val="32"/>
          <w:szCs w:val="32"/>
        </w:rPr>
      </w:pPr>
      <w:r>
        <w:rPr>
          <w:rFonts w:hint="eastAsia" w:ascii="宋体" w:hAnsi="宋体" w:cs="宋体"/>
          <w:color w:val="auto"/>
          <w:sz w:val="32"/>
          <w:szCs w:val="32"/>
        </w:rPr>
        <w:t>时    间：</w:t>
      </w:r>
    </w:p>
    <w:p w14:paraId="4812029B">
      <w:pPr>
        <w:spacing w:line="500" w:lineRule="exact"/>
        <w:jc w:val="left"/>
        <w:rPr>
          <w:rFonts w:hint="eastAsia" w:ascii="宋体" w:hAnsi="宋体" w:cs="宋体"/>
          <w:b/>
          <w:bCs/>
          <w:color w:val="auto"/>
          <w:sz w:val="28"/>
          <w:szCs w:val="28"/>
          <w:highlight w:val="none"/>
        </w:rPr>
      </w:pPr>
    </w:p>
    <w:p w14:paraId="12101327">
      <w:pPr>
        <w:spacing w:line="500" w:lineRule="exact"/>
        <w:jc w:val="left"/>
        <w:rPr>
          <w:rFonts w:hint="eastAsia" w:ascii="宋体" w:hAnsi="宋体" w:cs="宋体"/>
          <w:b/>
          <w:bCs/>
          <w:color w:val="auto"/>
          <w:sz w:val="28"/>
          <w:szCs w:val="28"/>
          <w:highlight w:val="none"/>
        </w:rPr>
      </w:pPr>
    </w:p>
    <w:p w14:paraId="51E12918">
      <w:pPr>
        <w:spacing w:line="500" w:lineRule="exact"/>
        <w:jc w:val="left"/>
        <w:rPr>
          <w:rFonts w:hint="eastAsia" w:ascii="宋体" w:hAnsi="宋体" w:cs="宋体"/>
          <w:b/>
          <w:color w:val="auto"/>
          <w:kern w:val="2"/>
          <w:sz w:val="28"/>
          <w:szCs w:val="28"/>
          <w:highlight w:val="none"/>
        </w:rPr>
      </w:pPr>
      <w:r>
        <w:rPr>
          <w:rFonts w:hint="eastAsia" w:ascii="宋体" w:hAnsi="宋体" w:cs="宋体"/>
          <w:b/>
          <w:bCs/>
          <w:color w:val="auto"/>
          <w:sz w:val="28"/>
          <w:szCs w:val="28"/>
          <w:highlight w:val="none"/>
        </w:rPr>
        <w:t>附件1：</w:t>
      </w:r>
    </w:p>
    <w:p w14:paraId="42EB687B">
      <w:pPr>
        <w:spacing w:before="156" w:beforeLines="50" w:after="720" w:line="460" w:lineRule="exact"/>
        <w:ind w:right="601"/>
        <w:jc w:val="center"/>
        <w:rPr>
          <w:rFonts w:ascii="宋体" w:hAnsi="宋体" w:cs="宋体"/>
          <w:b/>
          <w:color w:val="auto"/>
          <w:sz w:val="28"/>
          <w:szCs w:val="28"/>
          <w:highlight w:val="none"/>
        </w:rPr>
      </w:pPr>
      <w:r>
        <w:rPr>
          <w:rFonts w:hint="eastAsia" w:ascii="宋体" w:hAnsi="宋体" w:cs="宋体"/>
          <w:b/>
          <w:color w:val="auto"/>
          <w:sz w:val="28"/>
          <w:szCs w:val="28"/>
          <w:highlight w:val="none"/>
        </w:rPr>
        <w:t>评分索引表</w:t>
      </w:r>
    </w:p>
    <w:tbl>
      <w:tblPr>
        <w:tblStyle w:val="12"/>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098"/>
        <w:gridCol w:w="2127"/>
        <w:gridCol w:w="992"/>
        <w:gridCol w:w="1276"/>
        <w:gridCol w:w="1134"/>
      </w:tblGrid>
      <w:tr w14:paraId="44BC0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noWrap w:val="0"/>
            <w:vAlign w:val="center"/>
          </w:tcPr>
          <w:p w14:paraId="49DFA47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宋体"/>
                <w:color w:val="auto"/>
                <w:sz w:val="24"/>
                <w:highlight w:val="none"/>
              </w:rPr>
            </w:pPr>
            <w:r>
              <w:rPr>
                <w:rFonts w:ascii="宋体" w:hAnsi="宋体" w:cs="宋体"/>
                <w:color w:val="auto"/>
                <w:sz w:val="24"/>
                <w:highlight w:val="none"/>
              </w:rPr>
              <w:t>序号</w:t>
            </w:r>
          </w:p>
        </w:tc>
        <w:tc>
          <w:tcPr>
            <w:tcW w:w="2098" w:type="dxa"/>
            <w:noWrap w:val="0"/>
            <w:vAlign w:val="center"/>
          </w:tcPr>
          <w:p w14:paraId="163DECA9">
            <w:pPr>
              <w:keepNext w:val="0"/>
              <w:keepLines w:val="0"/>
              <w:pageBreakBefore w:val="0"/>
              <w:widowControl w:val="0"/>
              <w:kinsoku/>
              <w:wordWrap/>
              <w:overflowPunct/>
              <w:topLinePunct w:val="0"/>
              <w:autoSpaceDE/>
              <w:autoSpaceDN/>
              <w:bidi w:val="0"/>
              <w:adjustRightInd/>
              <w:snapToGrid/>
              <w:jc w:val="center"/>
              <w:textAlignment w:val="auto"/>
              <w:rPr>
                <w:rFonts w:ascii="宋体" w:cs="宋体"/>
                <w:color w:val="auto"/>
                <w:sz w:val="24"/>
                <w:highlight w:val="none"/>
              </w:rPr>
            </w:pPr>
            <w:r>
              <w:rPr>
                <w:rFonts w:hint="eastAsia" w:ascii="宋体" w:hAnsi="宋体" w:cs="宋体"/>
                <w:color w:val="auto"/>
                <w:sz w:val="24"/>
                <w:highlight w:val="none"/>
              </w:rPr>
              <w:t>评审内容</w:t>
            </w:r>
          </w:p>
        </w:tc>
        <w:tc>
          <w:tcPr>
            <w:tcW w:w="2127" w:type="dxa"/>
            <w:noWrap w:val="0"/>
            <w:vAlign w:val="center"/>
          </w:tcPr>
          <w:p w14:paraId="74A2E2CB">
            <w:pPr>
              <w:keepNext w:val="0"/>
              <w:keepLines w:val="0"/>
              <w:pageBreakBefore w:val="0"/>
              <w:widowControl w:val="0"/>
              <w:kinsoku/>
              <w:wordWrap/>
              <w:overflowPunct/>
              <w:topLinePunct w:val="0"/>
              <w:autoSpaceDE/>
              <w:autoSpaceDN/>
              <w:bidi w:val="0"/>
              <w:adjustRightInd/>
              <w:snapToGrid/>
              <w:jc w:val="center"/>
              <w:textAlignment w:val="auto"/>
              <w:rPr>
                <w:rFonts w:ascii="宋体" w:cs="宋体"/>
                <w:color w:val="auto"/>
                <w:sz w:val="24"/>
                <w:highlight w:val="none"/>
              </w:rPr>
            </w:pPr>
            <w:r>
              <w:rPr>
                <w:rFonts w:hint="eastAsia" w:ascii="宋体" w:hAnsi="宋体" w:cs="宋体"/>
                <w:color w:val="auto"/>
                <w:sz w:val="24"/>
                <w:highlight w:val="none"/>
              </w:rPr>
              <w:t>评分细则及要求</w:t>
            </w:r>
          </w:p>
        </w:tc>
        <w:tc>
          <w:tcPr>
            <w:tcW w:w="992" w:type="dxa"/>
            <w:noWrap w:val="0"/>
            <w:vAlign w:val="center"/>
          </w:tcPr>
          <w:p w14:paraId="3D4D46B0">
            <w:pPr>
              <w:keepNext w:val="0"/>
              <w:keepLines w:val="0"/>
              <w:pageBreakBefore w:val="0"/>
              <w:widowControl w:val="0"/>
              <w:kinsoku/>
              <w:wordWrap/>
              <w:overflowPunct/>
              <w:topLinePunct w:val="0"/>
              <w:autoSpaceDE/>
              <w:autoSpaceDN/>
              <w:bidi w:val="0"/>
              <w:adjustRightInd/>
              <w:snapToGrid/>
              <w:jc w:val="center"/>
              <w:textAlignment w:val="auto"/>
              <w:rPr>
                <w:rFonts w:ascii="宋体" w:cs="宋体"/>
                <w:color w:val="auto"/>
                <w:sz w:val="24"/>
                <w:highlight w:val="none"/>
              </w:rPr>
            </w:pPr>
            <w:r>
              <w:rPr>
                <w:rFonts w:hint="eastAsia" w:ascii="宋体" w:hAnsi="宋体" w:cs="宋体"/>
                <w:color w:val="auto"/>
                <w:sz w:val="24"/>
                <w:highlight w:val="none"/>
              </w:rPr>
              <w:t>分值</w:t>
            </w:r>
          </w:p>
        </w:tc>
        <w:tc>
          <w:tcPr>
            <w:tcW w:w="1276" w:type="dxa"/>
            <w:noWrap w:val="0"/>
            <w:vAlign w:val="center"/>
          </w:tcPr>
          <w:p w14:paraId="75562BC4">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color w:val="auto"/>
                <w:sz w:val="24"/>
                <w:highlight w:val="none"/>
              </w:rPr>
            </w:pPr>
            <w:r>
              <w:rPr>
                <w:rFonts w:hint="eastAsia" w:ascii="宋体" w:hAnsi="宋体" w:cs="宋体"/>
                <w:color w:val="auto"/>
                <w:sz w:val="24"/>
                <w:highlight w:val="none"/>
              </w:rPr>
              <w:t>对应页码</w:t>
            </w:r>
          </w:p>
        </w:tc>
        <w:tc>
          <w:tcPr>
            <w:tcW w:w="1134" w:type="dxa"/>
            <w:noWrap w:val="0"/>
            <w:vAlign w:val="center"/>
          </w:tcPr>
          <w:p w14:paraId="7679B578">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color w:val="auto"/>
                <w:sz w:val="24"/>
                <w:highlight w:val="none"/>
              </w:rPr>
            </w:pPr>
            <w:r>
              <w:rPr>
                <w:rFonts w:hint="eastAsia" w:ascii="宋体" w:hAnsi="宋体" w:cs="宋体"/>
                <w:color w:val="auto"/>
                <w:sz w:val="24"/>
                <w:highlight w:val="none"/>
              </w:rPr>
              <w:t>自评分</w:t>
            </w:r>
          </w:p>
        </w:tc>
      </w:tr>
      <w:tr w14:paraId="5DA84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noWrap w:val="0"/>
            <w:vAlign w:val="top"/>
          </w:tcPr>
          <w:p w14:paraId="2AC02A3F">
            <w:pPr>
              <w:spacing w:before="156" w:beforeLines="50" w:after="50" w:line="460" w:lineRule="exact"/>
              <w:ind w:right="600"/>
              <w:jc w:val="center"/>
              <w:rPr>
                <w:rFonts w:ascii="宋体" w:hAnsi="宋体" w:cs="宋体"/>
                <w:b/>
                <w:color w:val="auto"/>
                <w:sz w:val="28"/>
                <w:szCs w:val="28"/>
                <w:highlight w:val="none"/>
              </w:rPr>
            </w:pPr>
          </w:p>
        </w:tc>
        <w:tc>
          <w:tcPr>
            <w:tcW w:w="2098" w:type="dxa"/>
            <w:noWrap w:val="0"/>
            <w:vAlign w:val="top"/>
          </w:tcPr>
          <w:p w14:paraId="24AB4BE7">
            <w:pPr>
              <w:spacing w:before="156" w:beforeLines="50" w:after="50" w:line="460" w:lineRule="exact"/>
              <w:ind w:right="600"/>
              <w:jc w:val="center"/>
              <w:rPr>
                <w:rFonts w:ascii="宋体" w:hAnsi="宋体" w:cs="宋体"/>
                <w:b/>
                <w:color w:val="auto"/>
                <w:sz w:val="28"/>
                <w:szCs w:val="28"/>
                <w:highlight w:val="none"/>
              </w:rPr>
            </w:pPr>
          </w:p>
        </w:tc>
        <w:tc>
          <w:tcPr>
            <w:tcW w:w="2127" w:type="dxa"/>
            <w:noWrap w:val="0"/>
            <w:vAlign w:val="top"/>
          </w:tcPr>
          <w:p w14:paraId="520B3A99">
            <w:pPr>
              <w:spacing w:before="156" w:beforeLines="50" w:after="50" w:line="460" w:lineRule="exact"/>
              <w:ind w:right="600"/>
              <w:jc w:val="center"/>
              <w:rPr>
                <w:rFonts w:ascii="宋体" w:hAnsi="宋体" w:cs="宋体"/>
                <w:b/>
                <w:color w:val="auto"/>
                <w:sz w:val="28"/>
                <w:szCs w:val="28"/>
                <w:highlight w:val="none"/>
              </w:rPr>
            </w:pPr>
          </w:p>
        </w:tc>
        <w:tc>
          <w:tcPr>
            <w:tcW w:w="992" w:type="dxa"/>
            <w:noWrap w:val="0"/>
            <w:vAlign w:val="top"/>
          </w:tcPr>
          <w:p w14:paraId="328B01A9">
            <w:pPr>
              <w:spacing w:before="156" w:beforeLines="50" w:after="50" w:line="460" w:lineRule="exact"/>
              <w:ind w:right="600"/>
              <w:jc w:val="center"/>
              <w:rPr>
                <w:rFonts w:ascii="宋体" w:hAnsi="宋体" w:cs="宋体"/>
                <w:b/>
                <w:color w:val="auto"/>
                <w:sz w:val="28"/>
                <w:szCs w:val="28"/>
                <w:highlight w:val="none"/>
              </w:rPr>
            </w:pPr>
          </w:p>
        </w:tc>
        <w:tc>
          <w:tcPr>
            <w:tcW w:w="1276" w:type="dxa"/>
            <w:noWrap w:val="0"/>
            <w:vAlign w:val="top"/>
          </w:tcPr>
          <w:p w14:paraId="28872481">
            <w:pPr>
              <w:spacing w:before="156" w:beforeLines="50" w:after="50" w:line="460" w:lineRule="exact"/>
              <w:ind w:right="600"/>
              <w:jc w:val="center"/>
              <w:rPr>
                <w:rFonts w:ascii="宋体" w:hAnsi="宋体" w:cs="宋体"/>
                <w:b/>
                <w:color w:val="auto"/>
                <w:sz w:val="28"/>
                <w:szCs w:val="28"/>
                <w:highlight w:val="none"/>
              </w:rPr>
            </w:pPr>
          </w:p>
        </w:tc>
        <w:tc>
          <w:tcPr>
            <w:tcW w:w="1134" w:type="dxa"/>
            <w:noWrap w:val="0"/>
            <w:vAlign w:val="top"/>
          </w:tcPr>
          <w:p w14:paraId="4DAC7DDF">
            <w:pPr>
              <w:spacing w:before="156" w:beforeLines="50" w:after="50" w:line="460" w:lineRule="exact"/>
              <w:ind w:right="600"/>
              <w:jc w:val="center"/>
              <w:rPr>
                <w:rFonts w:ascii="宋体" w:hAnsi="宋体" w:cs="宋体"/>
                <w:b/>
                <w:color w:val="auto"/>
                <w:sz w:val="28"/>
                <w:szCs w:val="28"/>
                <w:highlight w:val="none"/>
              </w:rPr>
            </w:pPr>
          </w:p>
        </w:tc>
      </w:tr>
      <w:tr w14:paraId="10D9F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noWrap w:val="0"/>
            <w:vAlign w:val="top"/>
          </w:tcPr>
          <w:p w14:paraId="7541C7B1">
            <w:pPr>
              <w:spacing w:before="156" w:beforeLines="50" w:after="50" w:line="460" w:lineRule="exact"/>
              <w:ind w:right="600"/>
              <w:jc w:val="center"/>
              <w:rPr>
                <w:rFonts w:ascii="宋体" w:hAnsi="宋体" w:cs="宋体"/>
                <w:b/>
                <w:color w:val="auto"/>
                <w:sz w:val="28"/>
                <w:szCs w:val="28"/>
                <w:highlight w:val="none"/>
              </w:rPr>
            </w:pPr>
          </w:p>
        </w:tc>
        <w:tc>
          <w:tcPr>
            <w:tcW w:w="2098" w:type="dxa"/>
            <w:noWrap w:val="0"/>
            <w:vAlign w:val="top"/>
          </w:tcPr>
          <w:p w14:paraId="60F5C80B">
            <w:pPr>
              <w:spacing w:before="156" w:beforeLines="50" w:after="50" w:line="460" w:lineRule="exact"/>
              <w:ind w:right="600"/>
              <w:jc w:val="center"/>
              <w:rPr>
                <w:rFonts w:ascii="宋体" w:hAnsi="宋体" w:cs="宋体"/>
                <w:b/>
                <w:color w:val="auto"/>
                <w:sz w:val="28"/>
                <w:szCs w:val="28"/>
                <w:highlight w:val="none"/>
              </w:rPr>
            </w:pPr>
          </w:p>
        </w:tc>
        <w:tc>
          <w:tcPr>
            <w:tcW w:w="2127" w:type="dxa"/>
            <w:noWrap w:val="0"/>
            <w:vAlign w:val="top"/>
          </w:tcPr>
          <w:p w14:paraId="434DB0A4">
            <w:pPr>
              <w:spacing w:before="156" w:beforeLines="50" w:after="50" w:line="460" w:lineRule="exact"/>
              <w:ind w:right="600"/>
              <w:jc w:val="center"/>
              <w:rPr>
                <w:rFonts w:ascii="宋体" w:hAnsi="宋体" w:cs="宋体"/>
                <w:b/>
                <w:color w:val="auto"/>
                <w:sz w:val="28"/>
                <w:szCs w:val="28"/>
                <w:highlight w:val="none"/>
              </w:rPr>
            </w:pPr>
          </w:p>
        </w:tc>
        <w:tc>
          <w:tcPr>
            <w:tcW w:w="992" w:type="dxa"/>
            <w:noWrap w:val="0"/>
            <w:vAlign w:val="top"/>
          </w:tcPr>
          <w:p w14:paraId="5C5ED025">
            <w:pPr>
              <w:spacing w:before="156" w:beforeLines="50" w:after="50" w:line="460" w:lineRule="exact"/>
              <w:ind w:right="600"/>
              <w:jc w:val="center"/>
              <w:rPr>
                <w:rFonts w:ascii="宋体" w:hAnsi="宋体" w:cs="宋体"/>
                <w:b/>
                <w:color w:val="auto"/>
                <w:sz w:val="28"/>
                <w:szCs w:val="28"/>
                <w:highlight w:val="none"/>
              </w:rPr>
            </w:pPr>
          </w:p>
        </w:tc>
        <w:tc>
          <w:tcPr>
            <w:tcW w:w="1276" w:type="dxa"/>
            <w:noWrap w:val="0"/>
            <w:vAlign w:val="top"/>
          </w:tcPr>
          <w:p w14:paraId="52A8EA09">
            <w:pPr>
              <w:spacing w:before="156" w:beforeLines="50" w:after="50" w:line="460" w:lineRule="exact"/>
              <w:ind w:right="600"/>
              <w:jc w:val="center"/>
              <w:rPr>
                <w:rFonts w:ascii="宋体" w:hAnsi="宋体" w:cs="宋体"/>
                <w:b/>
                <w:color w:val="auto"/>
                <w:sz w:val="28"/>
                <w:szCs w:val="28"/>
                <w:highlight w:val="none"/>
              </w:rPr>
            </w:pPr>
          </w:p>
        </w:tc>
        <w:tc>
          <w:tcPr>
            <w:tcW w:w="1134" w:type="dxa"/>
            <w:noWrap w:val="0"/>
            <w:vAlign w:val="top"/>
          </w:tcPr>
          <w:p w14:paraId="18D9656C">
            <w:pPr>
              <w:spacing w:before="156" w:beforeLines="50" w:after="50" w:line="460" w:lineRule="exact"/>
              <w:ind w:right="600"/>
              <w:jc w:val="center"/>
              <w:rPr>
                <w:rFonts w:ascii="宋体" w:hAnsi="宋体" w:cs="宋体"/>
                <w:b/>
                <w:color w:val="auto"/>
                <w:sz w:val="28"/>
                <w:szCs w:val="28"/>
                <w:highlight w:val="none"/>
              </w:rPr>
            </w:pPr>
          </w:p>
        </w:tc>
      </w:tr>
      <w:tr w14:paraId="61EE9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noWrap w:val="0"/>
            <w:vAlign w:val="top"/>
          </w:tcPr>
          <w:p w14:paraId="2F3BFFDF">
            <w:pPr>
              <w:spacing w:before="156" w:beforeLines="50" w:after="50" w:line="460" w:lineRule="exact"/>
              <w:ind w:right="600"/>
              <w:jc w:val="center"/>
              <w:rPr>
                <w:rFonts w:ascii="宋体" w:hAnsi="宋体" w:cs="宋体"/>
                <w:b/>
                <w:color w:val="auto"/>
                <w:sz w:val="28"/>
                <w:szCs w:val="28"/>
                <w:highlight w:val="none"/>
              </w:rPr>
            </w:pPr>
          </w:p>
        </w:tc>
        <w:tc>
          <w:tcPr>
            <w:tcW w:w="2098" w:type="dxa"/>
            <w:noWrap w:val="0"/>
            <w:vAlign w:val="top"/>
          </w:tcPr>
          <w:p w14:paraId="40A213E1">
            <w:pPr>
              <w:spacing w:before="156" w:beforeLines="50" w:after="50" w:line="460" w:lineRule="exact"/>
              <w:ind w:right="600"/>
              <w:jc w:val="center"/>
              <w:rPr>
                <w:rFonts w:ascii="宋体" w:hAnsi="宋体" w:cs="宋体"/>
                <w:b/>
                <w:color w:val="auto"/>
                <w:sz w:val="28"/>
                <w:szCs w:val="28"/>
                <w:highlight w:val="none"/>
              </w:rPr>
            </w:pPr>
          </w:p>
        </w:tc>
        <w:tc>
          <w:tcPr>
            <w:tcW w:w="2127" w:type="dxa"/>
            <w:noWrap w:val="0"/>
            <w:vAlign w:val="top"/>
          </w:tcPr>
          <w:p w14:paraId="06CF8E39">
            <w:pPr>
              <w:spacing w:before="156" w:beforeLines="50" w:after="50" w:line="460" w:lineRule="exact"/>
              <w:ind w:right="600"/>
              <w:jc w:val="center"/>
              <w:rPr>
                <w:rFonts w:ascii="宋体" w:hAnsi="宋体" w:cs="宋体"/>
                <w:b/>
                <w:color w:val="auto"/>
                <w:sz w:val="28"/>
                <w:szCs w:val="28"/>
                <w:highlight w:val="none"/>
              </w:rPr>
            </w:pPr>
          </w:p>
        </w:tc>
        <w:tc>
          <w:tcPr>
            <w:tcW w:w="992" w:type="dxa"/>
            <w:noWrap w:val="0"/>
            <w:vAlign w:val="top"/>
          </w:tcPr>
          <w:p w14:paraId="33B326DE">
            <w:pPr>
              <w:spacing w:before="156" w:beforeLines="50" w:after="50" w:line="460" w:lineRule="exact"/>
              <w:ind w:right="600"/>
              <w:jc w:val="center"/>
              <w:rPr>
                <w:rFonts w:ascii="宋体" w:hAnsi="宋体" w:cs="宋体"/>
                <w:b/>
                <w:color w:val="auto"/>
                <w:sz w:val="28"/>
                <w:szCs w:val="28"/>
                <w:highlight w:val="none"/>
              </w:rPr>
            </w:pPr>
          </w:p>
        </w:tc>
        <w:tc>
          <w:tcPr>
            <w:tcW w:w="1276" w:type="dxa"/>
            <w:noWrap w:val="0"/>
            <w:vAlign w:val="top"/>
          </w:tcPr>
          <w:p w14:paraId="39378B38">
            <w:pPr>
              <w:spacing w:before="156" w:beforeLines="50" w:after="50" w:line="460" w:lineRule="exact"/>
              <w:ind w:right="600"/>
              <w:jc w:val="center"/>
              <w:rPr>
                <w:rFonts w:ascii="宋体" w:hAnsi="宋体" w:cs="宋体"/>
                <w:b/>
                <w:color w:val="auto"/>
                <w:sz w:val="28"/>
                <w:szCs w:val="28"/>
                <w:highlight w:val="none"/>
              </w:rPr>
            </w:pPr>
          </w:p>
        </w:tc>
        <w:tc>
          <w:tcPr>
            <w:tcW w:w="1134" w:type="dxa"/>
            <w:noWrap w:val="0"/>
            <w:vAlign w:val="top"/>
          </w:tcPr>
          <w:p w14:paraId="0C60DE3F">
            <w:pPr>
              <w:spacing w:before="156" w:beforeLines="50" w:after="50" w:line="460" w:lineRule="exact"/>
              <w:ind w:right="600"/>
              <w:jc w:val="center"/>
              <w:rPr>
                <w:rFonts w:ascii="宋体" w:hAnsi="宋体" w:cs="宋体"/>
                <w:b/>
                <w:color w:val="auto"/>
                <w:sz w:val="28"/>
                <w:szCs w:val="28"/>
                <w:highlight w:val="none"/>
              </w:rPr>
            </w:pPr>
          </w:p>
        </w:tc>
      </w:tr>
      <w:tr w14:paraId="5FE11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noWrap w:val="0"/>
            <w:vAlign w:val="top"/>
          </w:tcPr>
          <w:p w14:paraId="3B335F72">
            <w:pPr>
              <w:spacing w:before="156" w:beforeLines="50" w:after="50" w:line="460" w:lineRule="exact"/>
              <w:ind w:right="600"/>
              <w:jc w:val="center"/>
              <w:rPr>
                <w:rFonts w:ascii="宋体" w:hAnsi="宋体" w:cs="宋体"/>
                <w:b/>
                <w:color w:val="auto"/>
                <w:sz w:val="28"/>
                <w:szCs w:val="28"/>
                <w:highlight w:val="none"/>
              </w:rPr>
            </w:pPr>
          </w:p>
        </w:tc>
        <w:tc>
          <w:tcPr>
            <w:tcW w:w="2098" w:type="dxa"/>
            <w:noWrap w:val="0"/>
            <w:vAlign w:val="top"/>
          </w:tcPr>
          <w:p w14:paraId="12F7E9C8">
            <w:pPr>
              <w:spacing w:before="156" w:beforeLines="50" w:after="50" w:line="460" w:lineRule="exact"/>
              <w:ind w:right="600"/>
              <w:jc w:val="center"/>
              <w:rPr>
                <w:rFonts w:ascii="宋体" w:hAnsi="宋体" w:cs="宋体"/>
                <w:b/>
                <w:color w:val="auto"/>
                <w:sz w:val="28"/>
                <w:szCs w:val="28"/>
                <w:highlight w:val="none"/>
              </w:rPr>
            </w:pPr>
          </w:p>
        </w:tc>
        <w:tc>
          <w:tcPr>
            <w:tcW w:w="2127" w:type="dxa"/>
            <w:noWrap w:val="0"/>
            <w:vAlign w:val="top"/>
          </w:tcPr>
          <w:p w14:paraId="4DEF04EC">
            <w:pPr>
              <w:spacing w:before="156" w:beforeLines="50" w:after="50" w:line="460" w:lineRule="exact"/>
              <w:ind w:right="600"/>
              <w:jc w:val="center"/>
              <w:rPr>
                <w:rFonts w:ascii="宋体" w:hAnsi="宋体" w:cs="宋体"/>
                <w:b/>
                <w:color w:val="auto"/>
                <w:sz w:val="28"/>
                <w:szCs w:val="28"/>
                <w:highlight w:val="none"/>
              </w:rPr>
            </w:pPr>
          </w:p>
        </w:tc>
        <w:tc>
          <w:tcPr>
            <w:tcW w:w="992" w:type="dxa"/>
            <w:noWrap w:val="0"/>
            <w:vAlign w:val="top"/>
          </w:tcPr>
          <w:p w14:paraId="4360F99F">
            <w:pPr>
              <w:spacing w:before="156" w:beforeLines="50" w:after="50" w:line="460" w:lineRule="exact"/>
              <w:ind w:right="600"/>
              <w:jc w:val="center"/>
              <w:rPr>
                <w:rFonts w:ascii="宋体" w:hAnsi="宋体" w:cs="宋体"/>
                <w:b/>
                <w:color w:val="auto"/>
                <w:sz w:val="28"/>
                <w:szCs w:val="28"/>
                <w:highlight w:val="none"/>
              </w:rPr>
            </w:pPr>
          </w:p>
        </w:tc>
        <w:tc>
          <w:tcPr>
            <w:tcW w:w="1276" w:type="dxa"/>
            <w:noWrap w:val="0"/>
            <w:vAlign w:val="top"/>
          </w:tcPr>
          <w:p w14:paraId="3630136E">
            <w:pPr>
              <w:spacing w:before="156" w:beforeLines="50" w:after="50" w:line="460" w:lineRule="exact"/>
              <w:ind w:right="600"/>
              <w:jc w:val="center"/>
              <w:rPr>
                <w:rFonts w:ascii="宋体" w:hAnsi="宋体" w:cs="宋体"/>
                <w:b/>
                <w:color w:val="auto"/>
                <w:sz w:val="28"/>
                <w:szCs w:val="28"/>
                <w:highlight w:val="none"/>
              </w:rPr>
            </w:pPr>
          </w:p>
        </w:tc>
        <w:tc>
          <w:tcPr>
            <w:tcW w:w="1134" w:type="dxa"/>
            <w:noWrap w:val="0"/>
            <w:vAlign w:val="top"/>
          </w:tcPr>
          <w:p w14:paraId="6DCD8AB0">
            <w:pPr>
              <w:spacing w:before="156" w:beforeLines="50" w:after="50" w:line="460" w:lineRule="exact"/>
              <w:ind w:right="600"/>
              <w:jc w:val="center"/>
              <w:rPr>
                <w:rFonts w:ascii="宋体" w:hAnsi="宋体" w:cs="宋体"/>
                <w:b/>
                <w:color w:val="auto"/>
                <w:sz w:val="28"/>
                <w:szCs w:val="28"/>
                <w:highlight w:val="none"/>
              </w:rPr>
            </w:pPr>
          </w:p>
        </w:tc>
      </w:tr>
      <w:tr w14:paraId="25DD4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noWrap w:val="0"/>
            <w:vAlign w:val="top"/>
          </w:tcPr>
          <w:p w14:paraId="0B9497EF">
            <w:pPr>
              <w:spacing w:before="156" w:beforeLines="50" w:after="50" w:line="460" w:lineRule="exact"/>
              <w:ind w:right="600"/>
              <w:jc w:val="center"/>
              <w:rPr>
                <w:rFonts w:ascii="宋体" w:hAnsi="宋体" w:cs="宋体"/>
                <w:b/>
                <w:color w:val="auto"/>
                <w:sz w:val="28"/>
                <w:szCs w:val="28"/>
                <w:highlight w:val="none"/>
              </w:rPr>
            </w:pPr>
          </w:p>
        </w:tc>
        <w:tc>
          <w:tcPr>
            <w:tcW w:w="2098" w:type="dxa"/>
            <w:noWrap w:val="0"/>
            <w:vAlign w:val="top"/>
          </w:tcPr>
          <w:p w14:paraId="2FB3C10B">
            <w:pPr>
              <w:spacing w:before="156" w:beforeLines="50" w:after="50" w:line="460" w:lineRule="exact"/>
              <w:ind w:right="600"/>
              <w:jc w:val="center"/>
              <w:rPr>
                <w:rFonts w:ascii="宋体" w:hAnsi="宋体" w:cs="宋体"/>
                <w:b/>
                <w:color w:val="auto"/>
                <w:sz w:val="28"/>
                <w:szCs w:val="28"/>
                <w:highlight w:val="none"/>
              </w:rPr>
            </w:pPr>
          </w:p>
        </w:tc>
        <w:tc>
          <w:tcPr>
            <w:tcW w:w="2127" w:type="dxa"/>
            <w:noWrap w:val="0"/>
            <w:vAlign w:val="top"/>
          </w:tcPr>
          <w:p w14:paraId="25362162">
            <w:pPr>
              <w:spacing w:before="156" w:beforeLines="50" w:after="50" w:line="460" w:lineRule="exact"/>
              <w:ind w:right="600"/>
              <w:jc w:val="center"/>
              <w:rPr>
                <w:rFonts w:ascii="宋体" w:hAnsi="宋体" w:cs="宋体"/>
                <w:b/>
                <w:color w:val="auto"/>
                <w:sz w:val="28"/>
                <w:szCs w:val="28"/>
                <w:highlight w:val="none"/>
              </w:rPr>
            </w:pPr>
          </w:p>
        </w:tc>
        <w:tc>
          <w:tcPr>
            <w:tcW w:w="992" w:type="dxa"/>
            <w:noWrap w:val="0"/>
            <w:vAlign w:val="top"/>
          </w:tcPr>
          <w:p w14:paraId="4EFB3C8D">
            <w:pPr>
              <w:spacing w:before="156" w:beforeLines="50" w:after="50" w:line="460" w:lineRule="exact"/>
              <w:ind w:right="600"/>
              <w:jc w:val="center"/>
              <w:rPr>
                <w:rFonts w:ascii="宋体" w:hAnsi="宋体" w:cs="宋体"/>
                <w:b/>
                <w:color w:val="auto"/>
                <w:sz w:val="28"/>
                <w:szCs w:val="28"/>
                <w:highlight w:val="none"/>
              </w:rPr>
            </w:pPr>
          </w:p>
        </w:tc>
        <w:tc>
          <w:tcPr>
            <w:tcW w:w="1276" w:type="dxa"/>
            <w:noWrap w:val="0"/>
            <w:vAlign w:val="top"/>
          </w:tcPr>
          <w:p w14:paraId="56E5201F">
            <w:pPr>
              <w:spacing w:before="156" w:beforeLines="50" w:after="50" w:line="460" w:lineRule="exact"/>
              <w:ind w:right="600"/>
              <w:jc w:val="center"/>
              <w:rPr>
                <w:rFonts w:ascii="宋体" w:hAnsi="宋体" w:cs="宋体"/>
                <w:b/>
                <w:color w:val="auto"/>
                <w:sz w:val="28"/>
                <w:szCs w:val="28"/>
                <w:highlight w:val="none"/>
              </w:rPr>
            </w:pPr>
          </w:p>
        </w:tc>
        <w:tc>
          <w:tcPr>
            <w:tcW w:w="1134" w:type="dxa"/>
            <w:noWrap w:val="0"/>
            <w:vAlign w:val="top"/>
          </w:tcPr>
          <w:p w14:paraId="6134051C">
            <w:pPr>
              <w:spacing w:before="156" w:beforeLines="50" w:after="50" w:line="460" w:lineRule="exact"/>
              <w:ind w:right="600"/>
              <w:jc w:val="center"/>
              <w:rPr>
                <w:rFonts w:ascii="宋体" w:hAnsi="宋体" w:cs="宋体"/>
                <w:b/>
                <w:color w:val="auto"/>
                <w:sz w:val="28"/>
                <w:szCs w:val="28"/>
                <w:highlight w:val="none"/>
              </w:rPr>
            </w:pPr>
          </w:p>
        </w:tc>
      </w:tr>
    </w:tbl>
    <w:p w14:paraId="0D8FF075">
      <w:pPr>
        <w:spacing w:line="500" w:lineRule="exact"/>
        <w:jc w:val="left"/>
        <w:rPr>
          <w:rFonts w:hint="eastAsia" w:ascii="宋体" w:hAnsi="宋体" w:cs="宋体"/>
          <w:b/>
          <w:bCs/>
          <w:color w:val="auto"/>
          <w:sz w:val="28"/>
          <w:szCs w:val="28"/>
          <w:highlight w:val="none"/>
        </w:rPr>
      </w:pPr>
    </w:p>
    <w:p w14:paraId="2CB52A26">
      <w:pPr>
        <w:spacing w:line="500" w:lineRule="exact"/>
        <w:ind w:firstLine="480" w:firstLineChars="200"/>
        <w:jc w:val="left"/>
        <w:rPr>
          <w:rFonts w:hint="default" w:ascii="宋体" w:hAnsi="宋体" w:eastAsia="宋体" w:cs="宋体"/>
          <w:b/>
          <w:bCs/>
          <w:color w:val="auto"/>
          <w:sz w:val="28"/>
          <w:szCs w:val="28"/>
          <w:highlight w:val="none"/>
          <w:lang w:val="en-US" w:eastAsia="zh-CN"/>
        </w:rPr>
      </w:pPr>
      <w:r>
        <w:rPr>
          <w:rFonts w:hint="eastAsia" w:ascii="宋体" w:hAnsi="宋体" w:cs="宋体"/>
          <w:b w:val="0"/>
          <w:bCs w:val="0"/>
          <w:color w:val="auto"/>
          <w:sz w:val="24"/>
          <w:szCs w:val="24"/>
          <w:highlight w:val="none"/>
          <w:lang w:val="en-US" w:eastAsia="zh-CN"/>
        </w:rPr>
        <w:t>注：评分索引表对应定期存款利率和服务水平即可。</w:t>
      </w:r>
    </w:p>
    <w:p w14:paraId="4D47EC5C">
      <w:pPr>
        <w:spacing w:line="500" w:lineRule="exact"/>
        <w:jc w:val="left"/>
        <w:rPr>
          <w:rFonts w:hint="eastAsia" w:ascii="宋体" w:hAnsi="宋体" w:cs="宋体"/>
          <w:b/>
          <w:bCs/>
          <w:color w:val="auto"/>
          <w:sz w:val="28"/>
          <w:szCs w:val="28"/>
          <w:highlight w:val="none"/>
        </w:rPr>
      </w:pPr>
    </w:p>
    <w:p w14:paraId="69A38948">
      <w:pPr>
        <w:spacing w:line="500" w:lineRule="exact"/>
        <w:jc w:val="left"/>
        <w:rPr>
          <w:rFonts w:hint="eastAsia" w:ascii="宋体" w:hAnsi="宋体" w:cs="宋体"/>
          <w:b/>
          <w:bCs/>
          <w:color w:val="auto"/>
          <w:sz w:val="28"/>
          <w:szCs w:val="28"/>
          <w:highlight w:val="none"/>
        </w:rPr>
      </w:pPr>
    </w:p>
    <w:p w14:paraId="5F462D90">
      <w:pPr>
        <w:spacing w:line="500" w:lineRule="exact"/>
        <w:jc w:val="left"/>
        <w:rPr>
          <w:rFonts w:hint="eastAsia" w:ascii="宋体" w:hAnsi="宋体" w:cs="宋体"/>
          <w:b/>
          <w:bCs/>
          <w:color w:val="auto"/>
          <w:sz w:val="28"/>
          <w:szCs w:val="28"/>
          <w:highlight w:val="none"/>
        </w:rPr>
      </w:pPr>
    </w:p>
    <w:p w14:paraId="082D6D5E">
      <w:pPr>
        <w:spacing w:line="500" w:lineRule="exact"/>
        <w:jc w:val="left"/>
        <w:rPr>
          <w:rFonts w:hint="eastAsia" w:ascii="宋体" w:hAnsi="宋体" w:cs="宋体"/>
          <w:b/>
          <w:bCs/>
          <w:color w:val="auto"/>
          <w:sz w:val="28"/>
          <w:szCs w:val="28"/>
          <w:highlight w:val="none"/>
        </w:rPr>
      </w:pPr>
    </w:p>
    <w:p w14:paraId="24B0AADE">
      <w:pPr>
        <w:spacing w:line="500" w:lineRule="exact"/>
        <w:jc w:val="left"/>
        <w:rPr>
          <w:rFonts w:hint="eastAsia" w:ascii="宋体" w:hAnsi="宋体" w:cs="宋体"/>
          <w:b/>
          <w:bCs/>
          <w:color w:val="auto"/>
          <w:sz w:val="28"/>
          <w:szCs w:val="28"/>
          <w:highlight w:val="none"/>
        </w:rPr>
      </w:pPr>
    </w:p>
    <w:p w14:paraId="57DC5B63">
      <w:pPr>
        <w:spacing w:line="500" w:lineRule="exact"/>
        <w:jc w:val="left"/>
        <w:rPr>
          <w:rFonts w:hint="eastAsia" w:ascii="宋体" w:hAnsi="宋体" w:cs="宋体"/>
          <w:b/>
          <w:bCs/>
          <w:color w:val="auto"/>
          <w:sz w:val="28"/>
          <w:szCs w:val="28"/>
          <w:highlight w:val="none"/>
        </w:rPr>
      </w:pPr>
    </w:p>
    <w:p w14:paraId="0901D2E8">
      <w:pPr>
        <w:spacing w:line="500" w:lineRule="exact"/>
        <w:jc w:val="left"/>
        <w:rPr>
          <w:rFonts w:hint="eastAsia" w:ascii="宋体" w:hAnsi="宋体" w:cs="宋体"/>
          <w:b/>
          <w:bCs/>
          <w:color w:val="auto"/>
          <w:sz w:val="28"/>
          <w:szCs w:val="28"/>
          <w:highlight w:val="none"/>
        </w:rPr>
      </w:pPr>
    </w:p>
    <w:p w14:paraId="4EAD3513">
      <w:pPr>
        <w:spacing w:line="500" w:lineRule="exact"/>
        <w:jc w:val="left"/>
        <w:rPr>
          <w:rFonts w:hint="eastAsia" w:ascii="宋体" w:hAnsi="宋体" w:cs="宋体"/>
          <w:b/>
          <w:bCs/>
          <w:color w:val="auto"/>
          <w:sz w:val="28"/>
          <w:szCs w:val="28"/>
          <w:highlight w:val="none"/>
        </w:rPr>
      </w:pPr>
    </w:p>
    <w:p w14:paraId="0736707A">
      <w:pPr>
        <w:spacing w:line="500" w:lineRule="exact"/>
        <w:jc w:val="left"/>
        <w:rPr>
          <w:rFonts w:hint="eastAsia" w:ascii="宋体" w:hAnsi="宋体" w:cs="宋体"/>
          <w:b/>
          <w:bCs/>
          <w:color w:val="auto"/>
          <w:sz w:val="28"/>
          <w:szCs w:val="28"/>
          <w:highlight w:val="none"/>
        </w:rPr>
      </w:pPr>
    </w:p>
    <w:p w14:paraId="5226700B">
      <w:pPr>
        <w:spacing w:line="500" w:lineRule="exact"/>
        <w:jc w:val="left"/>
        <w:rPr>
          <w:rFonts w:hint="eastAsia" w:ascii="宋体" w:hAnsi="宋体" w:cs="宋体"/>
          <w:b/>
          <w:bCs/>
          <w:color w:val="auto"/>
          <w:sz w:val="28"/>
          <w:szCs w:val="28"/>
          <w:highlight w:val="none"/>
        </w:rPr>
      </w:pPr>
    </w:p>
    <w:p w14:paraId="3FADCEE3">
      <w:pPr>
        <w:spacing w:line="500" w:lineRule="exact"/>
        <w:jc w:val="left"/>
        <w:rPr>
          <w:rFonts w:hint="eastAsia" w:ascii="宋体" w:hAnsi="宋体" w:cs="宋体"/>
          <w:b/>
          <w:bCs/>
          <w:color w:val="auto"/>
          <w:sz w:val="28"/>
          <w:szCs w:val="28"/>
          <w:highlight w:val="none"/>
        </w:rPr>
      </w:pPr>
    </w:p>
    <w:p w14:paraId="7B5D3988">
      <w:pPr>
        <w:spacing w:line="500" w:lineRule="exact"/>
        <w:jc w:val="left"/>
        <w:rPr>
          <w:rFonts w:hint="eastAsia" w:ascii="宋体" w:hAnsi="宋体" w:cs="宋体"/>
          <w:b/>
          <w:bCs/>
          <w:color w:val="auto"/>
          <w:sz w:val="28"/>
          <w:szCs w:val="28"/>
          <w:highlight w:val="none"/>
        </w:rPr>
      </w:pPr>
    </w:p>
    <w:p w14:paraId="661927AA">
      <w:pPr>
        <w:spacing w:line="500" w:lineRule="exact"/>
        <w:jc w:val="left"/>
        <w:rPr>
          <w:rFonts w:hint="eastAsia" w:ascii="宋体" w:hAnsi="宋体" w:cs="宋体"/>
          <w:b/>
          <w:bCs/>
          <w:color w:val="auto"/>
          <w:sz w:val="28"/>
          <w:szCs w:val="28"/>
          <w:highlight w:val="none"/>
        </w:rPr>
      </w:pPr>
    </w:p>
    <w:p w14:paraId="6CC8A8EC">
      <w:pPr>
        <w:spacing w:line="500" w:lineRule="exact"/>
        <w:jc w:val="left"/>
        <w:rPr>
          <w:rFonts w:hint="eastAsia" w:ascii="宋体" w:hAnsi="宋体" w:cs="宋体"/>
          <w:b/>
          <w:bCs/>
          <w:color w:val="auto"/>
          <w:sz w:val="28"/>
          <w:szCs w:val="28"/>
          <w:highlight w:val="none"/>
        </w:rPr>
      </w:pPr>
    </w:p>
    <w:p w14:paraId="3700EE97">
      <w:pPr>
        <w:spacing w:line="500" w:lineRule="exact"/>
        <w:jc w:val="left"/>
        <w:rPr>
          <w:rFonts w:hint="eastAsia" w:ascii="宋体" w:hAnsi="宋体" w:cs="宋体"/>
          <w:b/>
          <w:bCs/>
          <w:color w:val="auto"/>
          <w:sz w:val="28"/>
          <w:szCs w:val="28"/>
          <w:highlight w:val="none"/>
        </w:rPr>
      </w:pPr>
    </w:p>
    <w:p w14:paraId="1374B466">
      <w:pPr>
        <w:spacing w:line="500" w:lineRule="exact"/>
        <w:jc w:val="left"/>
        <w:rPr>
          <w:rFonts w:hint="eastAsia" w:ascii="宋体" w:hAnsi="宋体" w:cs="宋体"/>
          <w:b/>
          <w:color w:val="auto"/>
          <w:kern w:val="2"/>
          <w:sz w:val="28"/>
          <w:szCs w:val="28"/>
          <w:highlight w:val="none"/>
        </w:rPr>
      </w:pPr>
      <w:r>
        <w:rPr>
          <w:rFonts w:hint="eastAsia" w:ascii="宋体" w:hAnsi="宋体" w:cs="宋体"/>
          <w:b/>
          <w:bCs/>
          <w:color w:val="auto"/>
          <w:sz w:val="28"/>
          <w:szCs w:val="28"/>
          <w:highlight w:val="none"/>
        </w:rPr>
        <w:t>附件2：</w:t>
      </w:r>
    </w:p>
    <w:p w14:paraId="28A898BA">
      <w:pPr>
        <w:spacing w:line="500" w:lineRule="exact"/>
        <w:jc w:val="center"/>
        <w:rPr>
          <w:rFonts w:hint="eastAsia" w:ascii="宋体" w:hAnsi="宋体" w:cs="宋体"/>
          <w:b/>
          <w:color w:val="auto"/>
          <w:kern w:val="2"/>
          <w:sz w:val="28"/>
          <w:szCs w:val="28"/>
          <w:highlight w:val="none"/>
        </w:rPr>
      </w:pPr>
      <w:r>
        <w:rPr>
          <w:rFonts w:hint="eastAsia" w:ascii="宋体" w:hAnsi="宋体" w:cs="宋体"/>
          <w:b/>
          <w:color w:val="auto"/>
          <w:kern w:val="2"/>
          <w:sz w:val="28"/>
          <w:szCs w:val="28"/>
          <w:highlight w:val="none"/>
        </w:rPr>
        <w:t>投 标 函</w:t>
      </w:r>
    </w:p>
    <w:p w14:paraId="2A223DC1">
      <w:pPr>
        <w:spacing w:before="120" w:after="50" w:line="560" w:lineRule="exact"/>
        <w:rPr>
          <w:rFonts w:hint="eastAsia" w:ascii="宋体" w:hAnsi="宋体" w:cs="宋体"/>
          <w:color w:val="auto"/>
          <w:kern w:val="2"/>
          <w:sz w:val="24"/>
          <w:highlight w:val="none"/>
        </w:rPr>
      </w:pPr>
      <w:r>
        <w:rPr>
          <w:rFonts w:hint="eastAsia" w:ascii="宋体" w:hAnsi="宋体" w:cs="宋体"/>
          <w:color w:val="auto"/>
          <w:kern w:val="2"/>
          <w:sz w:val="24"/>
          <w:highlight w:val="none"/>
        </w:rPr>
        <w:t>致：</w:t>
      </w:r>
      <w:r>
        <w:rPr>
          <w:rFonts w:hint="eastAsia" w:ascii="宋体" w:hAnsi="宋体" w:cs="宋体"/>
          <w:color w:val="auto"/>
          <w:kern w:val="2"/>
          <w:sz w:val="24"/>
          <w:highlight w:val="none"/>
          <w:u w:val="single"/>
          <w:lang w:eastAsia="zh-CN"/>
        </w:rPr>
        <w:t>嵊州市人力资源和社会保障局</w:t>
      </w:r>
      <w:r>
        <w:rPr>
          <w:rFonts w:hint="eastAsia" w:ascii="宋体" w:hAnsi="宋体" w:cs="宋体"/>
          <w:color w:val="auto"/>
          <w:kern w:val="2"/>
          <w:sz w:val="24"/>
          <w:highlight w:val="none"/>
        </w:rPr>
        <w:t>：</w:t>
      </w:r>
    </w:p>
    <w:p w14:paraId="3ED06B5B">
      <w:pPr>
        <w:spacing w:before="120" w:after="50" w:line="560" w:lineRule="exact"/>
        <w:ind w:firstLine="480"/>
        <w:rPr>
          <w:rFonts w:hint="eastAsia" w:ascii="宋体" w:hAnsi="宋体" w:cs="宋体"/>
          <w:color w:val="auto"/>
          <w:kern w:val="2"/>
          <w:sz w:val="24"/>
          <w:highlight w:val="none"/>
        </w:rPr>
      </w:pPr>
      <w:r>
        <w:rPr>
          <w:rFonts w:hint="eastAsia" w:ascii="宋体" w:hAnsi="宋体" w:cs="宋体"/>
          <w:color w:val="auto"/>
          <w:kern w:val="2"/>
          <w:sz w:val="24"/>
          <w:highlight w:val="none"/>
          <w:u w:val="single"/>
        </w:rPr>
        <w:t>（投标人名称）</w:t>
      </w:r>
      <w:r>
        <w:rPr>
          <w:rFonts w:hint="eastAsia" w:ascii="宋体" w:hAnsi="宋体" w:cs="宋体"/>
          <w:color w:val="auto"/>
          <w:kern w:val="2"/>
          <w:sz w:val="24"/>
          <w:highlight w:val="none"/>
        </w:rPr>
        <w:t>系中华人民共和国合法企业，经营地址</w:t>
      </w:r>
      <w:r>
        <w:rPr>
          <w:rFonts w:hint="eastAsia" w:ascii="宋体" w:hAnsi="宋体" w:cs="宋体"/>
          <w:color w:val="auto"/>
          <w:kern w:val="2"/>
          <w:sz w:val="24"/>
          <w:highlight w:val="none"/>
          <w:u w:val="single"/>
        </w:rPr>
        <w:t xml:space="preserve">                      </w:t>
      </w:r>
      <w:r>
        <w:rPr>
          <w:rFonts w:hint="eastAsia" w:ascii="宋体" w:hAnsi="宋体" w:cs="宋体"/>
          <w:color w:val="auto"/>
          <w:kern w:val="2"/>
          <w:sz w:val="24"/>
          <w:highlight w:val="none"/>
        </w:rPr>
        <w:t>。</w:t>
      </w:r>
    </w:p>
    <w:p w14:paraId="0C8361EE">
      <w:pPr>
        <w:spacing w:before="120" w:after="50" w:line="560" w:lineRule="exact"/>
        <w:ind w:firstLine="480"/>
        <w:rPr>
          <w:rFonts w:hint="eastAsia" w:ascii="宋体" w:hAnsi="宋体" w:cs="宋体"/>
          <w:color w:val="auto"/>
          <w:kern w:val="2"/>
          <w:sz w:val="24"/>
          <w:highlight w:val="none"/>
        </w:rPr>
      </w:pPr>
      <w:r>
        <w:rPr>
          <w:rFonts w:hint="eastAsia" w:ascii="宋体" w:hAnsi="宋体" w:cs="宋体"/>
          <w:color w:val="auto"/>
          <w:kern w:val="2"/>
          <w:sz w:val="24"/>
          <w:highlight w:val="none"/>
        </w:rPr>
        <w:t>我</w:t>
      </w:r>
      <w:r>
        <w:rPr>
          <w:rFonts w:hint="eastAsia" w:ascii="宋体" w:hAnsi="宋体" w:cs="宋体"/>
          <w:color w:val="auto"/>
          <w:kern w:val="2"/>
          <w:sz w:val="24"/>
          <w:highlight w:val="none"/>
          <w:u w:val="single"/>
        </w:rPr>
        <w:t>（姓名）</w:t>
      </w:r>
      <w:r>
        <w:rPr>
          <w:rFonts w:hint="eastAsia" w:ascii="宋体" w:hAnsi="宋体" w:cs="宋体"/>
          <w:color w:val="auto"/>
          <w:kern w:val="2"/>
          <w:sz w:val="24"/>
          <w:highlight w:val="none"/>
        </w:rPr>
        <w:t>系</w:t>
      </w:r>
      <w:r>
        <w:rPr>
          <w:rFonts w:hint="eastAsia" w:ascii="宋体" w:hAnsi="宋体" w:cs="宋体"/>
          <w:color w:val="auto"/>
          <w:kern w:val="2"/>
          <w:sz w:val="24"/>
          <w:highlight w:val="none"/>
          <w:u w:val="single"/>
        </w:rPr>
        <w:t>（投标人名称）</w:t>
      </w:r>
      <w:r>
        <w:rPr>
          <w:rFonts w:hint="eastAsia" w:ascii="宋体" w:hAnsi="宋体" w:cs="宋体"/>
          <w:color w:val="auto"/>
          <w:kern w:val="2"/>
          <w:sz w:val="24"/>
          <w:highlight w:val="none"/>
        </w:rPr>
        <w:t>的法定代表人</w:t>
      </w:r>
      <w:r>
        <w:rPr>
          <w:rFonts w:hint="eastAsia" w:ascii="宋体" w:hAnsi="宋体" w:cs="宋体"/>
          <w:color w:val="auto"/>
          <w:kern w:val="2"/>
          <w:sz w:val="24"/>
          <w:highlight w:val="none"/>
          <w:lang w:eastAsia="zh-CN"/>
        </w:rPr>
        <w:t>（</w:t>
      </w:r>
      <w:r>
        <w:rPr>
          <w:rFonts w:hint="eastAsia" w:ascii="宋体" w:hAnsi="宋体" w:cs="宋体"/>
          <w:color w:val="auto"/>
          <w:kern w:val="2"/>
          <w:sz w:val="24"/>
          <w:highlight w:val="none"/>
          <w:lang w:val="en-US" w:eastAsia="zh-CN"/>
        </w:rPr>
        <w:t>或</w:t>
      </w:r>
      <w:r>
        <w:rPr>
          <w:rFonts w:hint="eastAsia" w:ascii="宋体" w:hAnsi="宋体" w:cs="宋体"/>
          <w:color w:val="auto"/>
          <w:kern w:val="2"/>
          <w:sz w:val="24"/>
          <w:highlight w:val="none"/>
          <w:lang w:eastAsia="zh-CN"/>
        </w:rPr>
        <w:t>单位负责人）</w:t>
      </w:r>
      <w:r>
        <w:rPr>
          <w:rFonts w:hint="eastAsia" w:ascii="宋体" w:hAnsi="宋体" w:cs="宋体"/>
          <w:color w:val="auto"/>
          <w:kern w:val="2"/>
          <w:sz w:val="24"/>
          <w:highlight w:val="none"/>
        </w:rPr>
        <w:t>，我方愿意参加贵方组织的</w:t>
      </w:r>
      <w:r>
        <w:rPr>
          <w:rFonts w:hint="eastAsia" w:ascii="宋体" w:hAnsi="宋体" w:cs="宋体"/>
          <w:color w:val="auto"/>
          <w:sz w:val="24"/>
          <w:highlight w:val="none"/>
          <w:u w:val="single"/>
          <w:lang w:eastAsia="zh-CN"/>
        </w:rPr>
        <w:t xml:space="preserve"> </w:t>
      </w:r>
      <w:r>
        <w:rPr>
          <w:rFonts w:hint="eastAsia" w:ascii="宋体" w:hAnsi="宋体" w:cs="宋体"/>
          <w:color w:val="auto"/>
          <w:sz w:val="24"/>
          <w:szCs w:val="24"/>
          <w:u w:val="single"/>
          <w:lang w:eastAsia="zh-CN"/>
        </w:rPr>
        <w:t>嵊州市人力资源和社会保障局专用账户开立项目</w:t>
      </w:r>
      <w:r>
        <w:rPr>
          <w:rFonts w:hint="eastAsia" w:ascii="宋体" w:hAnsi="宋体" w:cs="宋体"/>
          <w:color w:val="auto"/>
          <w:kern w:val="2"/>
          <w:sz w:val="24"/>
          <w:highlight w:val="none"/>
          <w:u w:val="single"/>
        </w:rPr>
        <w:t>（编号为</w:t>
      </w:r>
      <w:r>
        <w:rPr>
          <w:rFonts w:hint="eastAsia" w:ascii="宋体" w:hAnsi="宋体" w:cs="宋体"/>
          <w:color w:val="auto"/>
          <w:kern w:val="2"/>
          <w:sz w:val="24"/>
          <w:highlight w:val="none"/>
          <w:u w:val="single"/>
          <w:lang w:eastAsia="zh-CN"/>
        </w:rPr>
        <w:t>：SXWH2025-6-6</w:t>
      </w:r>
      <w:r>
        <w:rPr>
          <w:rFonts w:hint="eastAsia" w:ascii="宋体" w:hAnsi="宋体" w:cs="宋体"/>
          <w:color w:val="auto"/>
          <w:kern w:val="2"/>
          <w:sz w:val="24"/>
          <w:highlight w:val="none"/>
          <w:u w:val="single"/>
        </w:rPr>
        <w:t>）</w:t>
      </w:r>
      <w:r>
        <w:rPr>
          <w:rFonts w:hint="eastAsia" w:ascii="宋体" w:hAnsi="宋体" w:cs="宋体"/>
          <w:color w:val="auto"/>
          <w:kern w:val="2"/>
          <w:sz w:val="24"/>
          <w:highlight w:val="none"/>
        </w:rPr>
        <w:t>的投标，为此，我方就本次投标有关事项郑重声明如下：</w:t>
      </w:r>
    </w:p>
    <w:p w14:paraId="20CBD81D">
      <w:pPr>
        <w:spacing w:before="120" w:after="50" w:line="560" w:lineRule="exact"/>
        <w:ind w:firstLine="480"/>
        <w:rPr>
          <w:rFonts w:hint="eastAsia" w:ascii="宋体" w:hAnsi="宋体" w:cs="宋体"/>
          <w:color w:val="auto"/>
          <w:kern w:val="2"/>
          <w:sz w:val="24"/>
          <w:highlight w:val="none"/>
        </w:rPr>
      </w:pPr>
      <w:r>
        <w:rPr>
          <w:rFonts w:hint="eastAsia" w:ascii="宋体" w:hAnsi="宋体" w:cs="宋体"/>
          <w:color w:val="auto"/>
          <w:kern w:val="2"/>
          <w:sz w:val="24"/>
          <w:highlight w:val="none"/>
        </w:rPr>
        <w:t>1.投标方已详细审查全部招标文件，同意招标文件的各项要求。</w:t>
      </w:r>
    </w:p>
    <w:p w14:paraId="0DC7877A">
      <w:pPr>
        <w:spacing w:before="120" w:after="50" w:line="560" w:lineRule="exact"/>
        <w:ind w:firstLine="480"/>
        <w:rPr>
          <w:rFonts w:hint="eastAsia" w:ascii="宋体" w:hAnsi="宋体" w:cs="宋体"/>
          <w:color w:val="auto"/>
          <w:kern w:val="2"/>
          <w:sz w:val="24"/>
          <w:highlight w:val="none"/>
        </w:rPr>
      </w:pPr>
      <w:r>
        <w:rPr>
          <w:rFonts w:hint="eastAsia" w:ascii="宋体" w:hAnsi="宋体" w:cs="宋体"/>
          <w:color w:val="auto"/>
          <w:kern w:val="2"/>
          <w:sz w:val="24"/>
          <w:highlight w:val="none"/>
        </w:rPr>
        <w:t>2.我方向贵方提交的所有投标文件、资料都是准确的和真实的。</w:t>
      </w:r>
    </w:p>
    <w:p w14:paraId="6B2D1938">
      <w:pPr>
        <w:spacing w:before="120" w:after="50" w:line="560" w:lineRule="exact"/>
        <w:ind w:firstLine="480"/>
        <w:rPr>
          <w:rFonts w:hint="eastAsia" w:ascii="宋体" w:hAnsi="宋体" w:cs="宋体"/>
          <w:color w:val="auto"/>
          <w:kern w:val="2"/>
          <w:sz w:val="24"/>
          <w:highlight w:val="none"/>
        </w:rPr>
      </w:pPr>
      <w:r>
        <w:rPr>
          <w:rFonts w:hint="eastAsia" w:ascii="宋体" w:hAnsi="宋体" w:cs="宋体"/>
          <w:color w:val="auto"/>
          <w:kern w:val="2"/>
          <w:sz w:val="24"/>
          <w:highlight w:val="none"/>
        </w:rPr>
        <w:t>3.若中标，我方将按招标文件规定履行合同责任和义务。</w:t>
      </w:r>
    </w:p>
    <w:p w14:paraId="2DE6538C">
      <w:pPr>
        <w:spacing w:before="120" w:after="50" w:line="560" w:lineRule="exact"/>
        <w:ind w:firstLine="480"/>
        <w:rPr>
          <w:rFonts w:hint="eastAsia" w:ascii="宋体" w:hAnsi="宋体" w:cs="宋体"/>
          <w:color w:val="auto"/>
          <w:kern w:val="2"/>
          <w:sz w:val="24"/>
          <w:highlight w:val="none"/>
        </w:rPr>
      </w:pPr>
      <w:r>
        <w:rPr>
          <w:rFonts w:hint="eastAsia" w:ascii="宋体" w:hAnsi="宋体" w:cs="宋体"/>
          <w:color w:val="auto"/>
          <w:kern w:val="2"/>
          <w:sz w:val="24"/>
          <w:highlight w:val="none"/>
        </w:rPr>
        <w:t>4.我方不是采购人的附属机构；在获知本项目采购信息后，与采购人聘请的为此项目提供咨询服务的公司及其附属机构没有任何联系。</w:t>
      </w:r>
    </w:p>
    <w:p w14:paraId="1842BF51">
      <w:pPr>
        <w:spacing w:before="120" w:after="50" w:line="560" w:lineRule="exact"/>
        <w:ind w:firstLine="480"/>
        <w:rPr>
          <w:rFonts w:hint="eastAsia" w:ascii="宋体" w:hAnsi="宋体" w:cs="宋体"/>
          <w:color w:val="auto"/>
          <w:kern w:val="2"/>
          <w:sz w:val="24"/>
          <w:highlight w:val="none"/>
        </w:rPr>
      </w:pPr>
      <w:r>
        <w:rPr>
          <w:rFonts w:hint="eastAsia" w:ascii="宋体" w:hAnsi="宋体" w:cs="宋体"/>
          <w:color w:val="auto"/>
          <w:kern w:val="2"/>
          <w:sz w:val="24"/>
          <w:highlight w:val="none"/>
        </w:rPr>
        <w:t>5.投标书自开标日起有效期为</w:t>
      </w:r>
      <w:r>
        <w:rPr>
          <w:rFonts w:hint="eastAsia" w:ascii="宋体" w:hAnsi="宋体" w:cs="宋体"/>
          <w:color w:val="auto"/>
          <w:kern w:val="2"/>
          <w:sz w:val="24"/>
          <w:highlight w:val="none"/>
          <w:u w:val="single"/>
        </w:rPr>
        <w:t xml:space="preserve">  90  </w:t>
      </w:r>
      <w:r>
        <w:rPr>
          <w:rFonts w:hint="eastAsia" w:ascii="宋体" w:hAnsi="宋体" w:cs="宋体"/>
          <w:color w:val="auto"/>
          <w:kern w:val="2"/>
          <w:sz w:val="24"/>
          <w:highlight w:val="none"/>
        </w:rPr>
        <w:t>日。</w:t>
      </w:r>
    </w:p>
    <w:p w14:paraId="16C14C95">
      <w:pPr>
        <w:spacing w:before="120" w:after="50" w:line="560" w:lineRule="exact"/>
        <w:ind w:firstLine="480"/>
        <w:rPr>
          <w:rFonts w:hint="eastAsia" w:ascii="宋体" w:hAnsi="宋体" w:cs="宋体"/>
          <w:color w:val="auto"/>
          <w:kern w:val="2"/>
          <w:sz w:val="24"/>
          <w:highlight w:val="none"/>
        </w:rPr>
      </w:pPr>
      <w:r>
        <w:rPr>
          <w:rFonts w:hint="eastAsia" w:ascii="宋体" w:hAnsi="宋体" w:cs="宋体"/>
          <w:color w:val="auto"/>
          <w:kern w:val="2"/>
          <w:sz w:val="24"/>
          <w:highlight w:val="none"/>
        </w:rPr>
        <w:t>6.以上事项如有虚假或隐瞒，我方愿意承担一切后果，并不再寻求任何旨在减轻或免除法律责任的辩解。</w:t>
      </w:r>
    </w:p>
    <w:p w14:paraId="05B76088">
      <w:pPr>
        <w:tabs>
          <w:tab w:val="left" w:pos="939"/>
        </w:tabs>
        <w:spacing w:line="560" w:lineRule="exact"/>
        <w:rPr>
          <w:rFonts w:hint="eastAsia" w:ascii="宋体" w:hAnsi="宋体" w:cs="宋体"/>
          <w:color w:val="auto"/>
          <w:kern w:val="2"/>
          <w:sz w:val="24"/>
          <w:highlight w:val="none"/>
        </w:rPr>
      </w:pPr>
    </w:p>
    <w:p w14:paraId="2BDA82B1">
      <w:pPr>
        <w:spacing w:before="120" w:after="50" w:line="560" w:lineRule="exact"/>
        <w:ind w:right="600" w:firstLine="120"/>
        <w:rPr>
          <w:rFonts w:hint="eastAsia" w:ascii="宋体" w:hAnsi="宋体" w:cs="宋体"/>
          <w:color w:val="auto"/>
          <w:kern w:val="2"/>
          <w:sz w:val="24"/>
          <w:highlight w:val="none"/>
          <w:u w:val="single"/>
        </w:rPr>
      </w:pPr>
      <w:r>
        <w:rPr>
          <w:rFonts w:hint="eastAsia" w:ascii="宋体" w:hAnsi="宋体" w:cs="宋体"/>
          <w:color w:val="auto"/>
          <w:kern w:val="2"/>
          <w:sz w:val="24"/>
          <w:highlight w:val="none"/>
        </w:rPr>
        <w:t>法定代表人</w:t>
      </w:r>
      <w:r>
        <w:rPr>
          <w:rFonts w:hint="eastAsia" w:ascii="宋体" w:hAnsi="宋体" w:cs="宋体"/>
          <w:color w:val="auto"/>
          <w:kern w:val="2"/>
          <w:sz w:val="24"/>
          <w:highlight w:val="none"/>
          <w:lang w:eastAsia="zh-CN"/>
        </w:rPr>
        <w:t>（</w:t>
      </w:r>
      <w:r>
        <w:rPr>
          <w:rFonts w:hint="eastAsia" w:ascii="宋体" w:hAnsi="宋体" w:cs="宋体"/>
          <w:color w:val="auto"/>
          <w:kern w:val="2"/>
          <w:sz w:val="24"/>
          <w:highlight w:val="none"/>
          <w:lang w:val="en-US" w:eastAsia="zh-CN"/>
        </w:rPr>
        <w:t>或单位负责人</w:t>
      </w:r>
      <w:r>
        <w:rPr>
          <w:rFonts w:hint="eastAsia" w:ascii="宋体" w:hAnsi="宋体" w:cs="宋体"/>
          <w:color w:val="auto"/>
          <w:kern w:val="2"/>
          <w:sz w:val="24"/>
          <w:highlight w:val="none"/>
          <w:lang w:eastAsia="zh-CN"/>
        </w:rPr>
        <w:t>）</w:t>
      </w:r>
      <w:r>
        <w:rPr>
          <w:rFonts w:hint="eastAsia" w:ascii="宋体" w:hAnsi="宋体" w:cs="宋体"/>
          <w:color w:val="auto"/>
          <w:kern w:val="2"/>
          <w:sz w:val="24"/>
          <w:highlight w:val="none"/>
        </w:rPr>
        <w:t>签字：          日 期：</w:t>
      </w:r>
    </w:p>
    <w:p w14:paraId="607755AC">
      <w:pPr>
        <w:spacing w:before="120" w:line="560" w:lineRule="exact"/>
        <w:ind w:firstLine="200"/>
        <w:rPr>
          <w:rFonts w:hint="eastAsia" w:ascii="宋体" w:hAnsi="宋体" w:cs="宋体"/>
          <w:color w:val="auto"/>
          <w:kern w:val="2"/>
          <w:sz w:val="24"/>
          <w:highlight w:val="none"/>
          <w:u w:val="single"/>
        </w:rPr>
      </w:pPr>
    </w:p>
    <w:p w14:paraId="387C349F">
      <w:pPr>
        <w:spacing w:before="120" w:after="50" w:line="560" w:lineRule="exact"/>
        <w:ind w:firstLine="120"/>
        <w:rPr>
          <w:rFonts w:hint="eastAsia" w:ascii="宋体" w:hAnsi="宋体" w:cs="宋体"/>
          <w:color w:val="auto"/>
          <w:kern w:val="2"/>
          <w:sz w:val="24"/>
          <w:highlight w:val="none"/>
        </w:rPr>
      </w:pPr>
      <w:r>
        <w:rPr>
          <w:rFonts w:hint="eastAsia" w:ascii="宋体" w:hAnsi="宋体" w:cs="宋体"/>
          <w:color w:val="auto"/>
          <w:kern w:val="2"/>
          <w:sz w:val="24"/>
          <w:highlight w:val="none"/>
        </w:rPr>
        <w:t>单位全称（公章）：</w:t>
      </w:r>
    </w:p>
    <w:p w14:paraId="7027E5CE">
      <w:pPr>
        <w:spacing w:line="500" w:lineRule="exact"/>
        <w:jc w:val="left"/>
        <w:rPr>
          <w:rFonts w:hint="eastAsia" w:ascii="宋体" w:hAnsi="宋体" w:cs="宋体"/>
          <w:b/>
          <w:color w:val="auto"/>
          <w:kern w:val="2"/>
          <w:sz w:val="32"/>
          <w:szCs w:val="32"/>
          <w:highlight w:val="none"/>
        </w:rPr>
      </w:pPr>
    </w:p>
    <w:p w14:paraId="5876AF95">
      <w:pPr>
        <w:jc w:val="left"/>
        <w:rPr>
          <w:rFonts w:hint="eastAsia" w:ascii="宋体" w:hAnsi="宋体" w:cs="宋体"/>
          <w:b/>
          <w:color w:val="auto"/>
          <w:sz w:val="28"/>
          <w:szCs w:val="28"/>
          <w:highlight w:val="none"/>
        </w:rPr>
      </w:pPr>
      <w:r>
        <w:rPr>
          <w:rFonts w:hint="eastAsia" w:ascii="宋体" w:hAnsi="宋体" w:cs="宋体"/>
          <w:b/>
          <w:color w:val="auto"/>
          <w:kern w:val="2"/>
          <w:sz w:val="32"/>
          <w:szCs w:val="32"/>
          <w:highlight w:val="none"/>
        </w:rPr>
        <w:br w:type="page"/>
      </w:r>
      <w:r>
        <w:rPr>
          <w:rFonts w:hint="eastAsia" w:ascii="宋体" w:hAnsi="宋体" w:cs="宋体"/>
          <w:b/>
          <w:color w:val="auto"/>
          <w:sz w:val="28"/>
          <w:szCs w:val="28"/>
          <w:highlight w:val="none"/>
        </w:rPr>
        <w:t>附件3：</w:t>
      </w:r>
    </w:p>
    <w:p w14:paraId="65EC5D69">
      <w:pPr>
        <w:ind w:firstLine="562"/>
        <w:jc w:val="center"/>
        <w:rPr>
          <w:rFonts w:hint="eastAsia" w:ascii="宋体" w:hAnsi="宋体" w:cs="宋体"/>
          <w:b/>
          <w:color w:val="auto"/>
          <w:sz w:val="28"/>
          <w:szCs w:val="28"/>
          <w:highlight w:val="none"/>
        </w:rPr>
      </w:pPr>
      <w:r>
        <w:rPr>
          <w:rFonts w:hint="eastAsia" w:ascii="宋体" w:hAnsi="宋体" w:cs="仿宋_GB2312"/>
          <w:b/>
          <w:color w:val="auto"/>
          <w:kern w:val="0"/>
          <w:sz w:val="30"/>
          <w:szCs w:val="30"/>
          <w:highlight w:val="none"/>
          <w:lang w:val="zh-CN"/>
        </w:rPr>
        <w:t>法定代表人（</w:t>
      </w:r>
      <w:r>
        <w:rPr>
          <w:rFonts w:hint="eastAsia" w:ascii="宋体" w:hAnsi="宋体" w:cs="仿宋_GB2312"/>
          <w:b/>
          <w:color w:val="auto"/>
          <w:kern w:val="0"/>
          <w:sz w:val="30"/>
          <w:szCs w:val="30"/>
          <w:highlight w:val="none"/>
          <w:lang w:val="en-US" w:eastAsia="zh-CN"/>
        </w:rPr>
        <w:t>或</w:t>
      </w:r>
      <w:r>
        <w:rPr>
          <w:rFonts w:hint="eastAsia" w:ascii="宋体" w:hAnsi="宋体" w:cs="仿宋_GB2312"/>
          <w:b/>
          <w:color w:val="auto"/>
          <w:kern w:val="0"/>
          <w:sz w:val="30"/>
          <w:szCs w:val="30"/>
          <w:highlight w:val="none"/>
          <w:lang w:val="zh-CN"/>
        </w:rPr>
        <w:t>单位负责人）</w:t>
      </w:r>
      <w:r>
        <w:rPr>
          <w:rFonts w:hint="eastAsia" w:ascii="宋体" w:hAnsi="宋体" w:cs="仿宋_GB2312"/>
          <w:b/>
          <w:color w:val="auto"/>
          <w:sz w:val="30"/>
          <w:szCs w:val="30"/>
          <w:highlight w:val="none"/>
        </w:rPr>
        <w:t>身份证明</w:t>
      </w:r>
      <w:r>
        <w:rPr>
          <w:rFonts w:hint="eastAsia" w:ascii="宋体" w:hAnsi="宋体" w:cs="仿宋_GB2312"/>
          <w:b/>
          <w:color w:val="auto"/>
          <w:sz w:val="30"/>
          <w:szCs w:val="30"/>
          <w:highlight w:val="none"/>
          <w:lang w:val="en-US" w:eastAsia="zh-CN"/>
        </w:rPr>
        <w:t>书</w:t>
      </w:r>
    </w:p>
    <w:p w14:paraId="5B19C9CC">
      <w:pPr>
        <w:ind w:firstLine="480"/>
        <w:jc w:val="center"/>
        <w:rPr>
          <w:rFonts w:hint="eastAsia" w:ascii="宋体" w:hAnsi="宋体" w:cs="宋体"/>
          <w:color w:val="auto"/>
          <w:sz w:val="24"/>
          <w:highlight w:val="none"/>
        </w:rPr>
      </w:pPr>
    </w:p>
    <w:p w14:paraId="5E33DC9D">
      <w:pPr>
        <w:spacing w:line="600" w:lineRule="exact"/>
        <w:ind w:left="611" w:leftChars="291" w:firstLine="360" w:firstLineChars="150"/>
        <w:rPr>
          <w:rFonts w:hint="eastAsia" w:ascii="宋体" w:hAnsi="宋体" w:cs="宋体"/>
          <w:color w:val="auto"/>
          <w:sz w:val="24"/>
          <w:highlight w:val="none"/>
        </w:rPr>
      </w:pPr>
      <w:r>
        <w:rPr>
          <w:rFonts w:hint="eastAsia" w:ascii="宋体" w:hAnsi="宋体" w:cs="宋体"/>
          <w:color w:val="auto"/>
          <w:sz w:val="24"/>
          <w:highlight w:val="none"/>
        </w:rPr>
        <w:t>单位名称：</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4AD3B1F">
      <w:pPr>
        <w:spacing w:line="600" w:lineRule="exact"/>
        <w:ind w:left="609" w:leftChars="290" w:firstLine="360" w:firstLineChars="150"/>
        <w:rPr>
          <w:rFonts w:hint="eastAsia" w:ascii="宋体" w:hAnsi="宋体" w:cs="宋体"/>
          <w:color w:val="auto"/>
          <w:sz w:val="24"/>
          <w:highlight w:val="none"/>
        </w:rPr>
      </w:pPr>
      <w:r>
        <w:rPr>
          <w:rFonts w:hint="eastAsia" w:ascii="宋体" w:hAnsi="宋体" w:cs="宋体"/>
          <w:color w:val="auto"/>
          <w:sz w:val="24"/>
          <w:highlight w:val="none"/>
        </w:rPr>
        <w:t>单位性质：</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CC02F77">
      <w:pPr>
        <w:spacing w:line="600" w:lineRule="exact"/>
        <w:ind w:left="609" w:leftChars="290" w:firstLine="360" w:firstLineChars="150"/>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rPr>
        <w:tab/>
      </w:r>
      <w:r>
        <w:rPr>
          <w:rFonts w:hint="eastAsia" w:ascii="宋体" w:hAnsi="宋体" w:cs="宋体"/>
          <w:color w:val="auto"/>
          <w:sz w:val="24"/>
          <w:highlight w:val="none"/>
        </w:rPr>
        <w:t xml:space="preserve"> </w:t>
      </w:r>
    </w:p>
    <w:p w14:paraId="42EC2C50">
      <w:pPr>
        <w:spacing w:line="600" w:lineRule="exact"/>
        <w:ind w:left="609" w:leftChars="290" w:firstLine="360" w:firstLineChars="150"/>
        <w:rPr>
          <w:rFonts w:hint="eastAsia" w:ascii="宋体" w:hAnsi="宋体" w:cs="宋体"/>
          <w:color w:val="auto"/>
          <w:sz w:val="24"/>
          <w:highlight w:val="none"/>
          <w:u w:val="single"/>
        </w:rPr>
      </w:pPr>
      <w:r>
        <w:rPr>
          <w:rFonts w:hint="eastAsia" w:ascii="宋体" w:hAnsi="宋体" w:cs="宋体"/>
          <w:color w:val="auto"/>
          <w:sz w:val="24"/>
          <w:highlight w:val="none"/>
        </w:rPr>
        <w:t>成立时间：</w:t>
      </w:r>
      <w:r>
        <w:rPr>
          <w:rFonts w:hint="eastAsia" w:ascii="宋体" w:hAnsi="宋体" w:cs="宋体"/>
          <w:color w:val="auto"/>
          <w:sz w:val="24"/>
          <w:highlight w:val="none"/>
          <w:u w:val="single"/>
        </w:rPr>
        <w:t xml:space="preserve">      年      月      日</w:t>
      </w:r>
    </w:p>
    <w:p w14:paraId="26288985">
      <w:pPr>
        <w:spacing w:line="600" w:lineRule="exact"/>
        <w:ind w:left="609" w:leftChars="290" w:firstLine="360" w:firstLineChars="150"/>
        <w:rPr>
          <w:rFonts w:hint="eastAsia" w:ascii="宋体" w:hAnsi="宋体" w:cs="宋体"/>
          <w:color w:val="auto"/>
          <w:sz w:val="24"/>
          <w:highlight w:val="none"/>
        </w:rPr>
      </w:pPr>
      <w:r>
        <w:rPr>
          <w:rFonts w:hint="eastAsia" w:ascii="宋体" w:hAnsi="宋体" w:cs="宋体"/>
          <w:color w:val="auto"/>
          <w:sz w:val="24"/>
          <w:highlight w:val="none"/>
        </w:rPr>
        <w:t>经营期限：</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ab/>
      </w:r>
    </w:p>
    <w:p w14:paraId="01F3F7DA">
      <w:pPr>
        <w:spacing w:line="600" w:lineRule="exact"/>
        <w:ind w:left="609" w:leftChars="290" w:firstLine="360" w:firstLineChars="150"/>
        <w:rPr>
          <w:rFonts w:hint="eastAsia" w:ascii="宋体" w:hAnsi="宋体" w:cs="宋体"/>
          <w:color w:val="auto"/>
          <w:sz w:val="24"/>
          <w:highlight w:val="none"/>
          <w:u w:val="singl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（签字）     </w:t>
      </w:r>
      <w:r>
        <w:rPr>
          <w:rFonts w:hint="eastAsia" w:ascii="宋体" w:hAnsi="宋体" w:cs="宋体"/>
          <w:color w:val="auto"/>
          <w:sz w:val="24"/>
          <w:highlight w:val="none"/>
        </w:rPr>
        <w:t xml:space="preserve"> 性别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14:paraId="5C3C9845">
      <w:pPr>
        <w:spacing w:line="600" w:lineRule="exact"/>
        <w:ind w:left="609" w:leftChars="290" w:firstLine="360" w:firstLineChars="150"/>
        <w:rPr>
          <w:rFonts w:hint="eastAsia"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的</w:t>
      </w:r>
      <w:r>
        <w:rPr>
          <w:rFonts w:hint="eastAsia" w:ascii="宋体" w:hAnsi="宋体" w:cs="Times New Roman"/>
          <w:color w:val="auto"/>
          <w:sz w:val="24"/>
          <w:szCs w:val="21"/>
          <w:highlight w:val="none"/>
        </w:rPr>
        <w:t>法定代表人</w:t>
      </w:r>
      <w:r>
        <w:rPr>
          <w:rFonts w:hint="eastAsia" w:ascii="宋体" w:hAnsi="宋体" w:cs="Times New Roman"/>
          <w:color w:val="auto"/>
          <w:sz w:val="24"/>
          <w:szCs w:val="21"/>
          <w:highlight w:val="none"/>
          <w:lang w:eastAsia="zh-CN"/>
        </w:rPr>
        <w:t>（</w:t>
      </w:r>
      <w:r>
        <w:rPr>
          <w:rFonts w:hint="eastAsia" w:ascii="宋体" w:hAnsi="宋体" w:cs="Times New Roman"/>
          <w:color w:val="auto"/>
          <w:sz w:val="24"/>
          <w:szCs w:val="21"/>
          <w:highlight w:val="none"/>
          <w:lang w:val="en-US" w:eastAsia="zh-CN"/>
        </w:rPr>
        <w:t>或</w:t>
      </w:r>
      <w:r>
        <w:rPr>
          <w:rFonts w:hint="eastAsia" w:ascii="宋体" w:hAnsi="宋体" w:cs="Times New Roman"/>
          <w:color w:val="auto"/>
          <w:sz w:val="24"/>
          <w:szCs w:val="21"/>
          <w:highlight w:val="none"/>
        </w:rPr>
        <w:t>单位负责人</w:t>
      </w:r>
      <w:r>
        <w:rPr>
          <w:rFonts w:hint="eastAsia" w:ascii="宋体" w:hAnsi="宋体" w:cs="Times New Roman"/>
          <w:color w:val="auto"/>
          <w:sz w:val="24"/>
          <w:szCs w:val="21"/>
          <w:highlight w:val="none"/>
          <w:lang w:eastAsia="zh-CN"/>
        </w:rPr>
        <w:t>）</w:t>
      </w:r>
      <w:r>
        <w:rPr>
          <w:rFonts w:hint="eastAsia" w:ascii="宋体" w:hAnsi="宋体" w:cs="宋体"/>
          <w:color w:val="auto"/>
          <w:sz w:val="24"/>
          <w:highlight w:val="none"/>
        </w:rPr>
        <w:t>。</w:t>
      </w:r>
    </w:p>
    <w:p w14:paraId="5550F5C0">
      <w:pPr>
        <w:spacing w:line="600" w:lineRule="exact"/>
        <w:ind w:left="610" w:firstLine="480"/>
        <w:rPr>
          <w:rFonts w:hint="eastAsia" w:ascii="宋体" w:hAnsi="宋体" w:cs="宋体"/>
          <w:color w:val="auto"/>
          <w:sz w:val="24"/>
          <w:highlight w:val="none"/>
        </w:rPr>
      </w:pPr>
    </w:p>
    <w:p w14:paraId="3BBABB43">
      <w:pPr>
        <w:spacing w:line="600" w:lineRule="exact"/>
        <w:ind w:left="609" w:leftChars="290" w:firstLine="480"/>
        <w:rPr>
          <w:rFonts w:hint="eastAsia" w:ascii="宋体" w:hAnsi="宋体" w:cs="宋体"/>
          <w:color w:val="auto"/>
          <w:sz w:val="24"/>
          <w:highlight w:val="none"/>
        </w:rPr>
      </w:pPr>
      <w:r>
        <w:rPr>
          <w:rFonts w:hint="eastAsia" w:ascii="宋体" w:hAnsi="宋体" w:cs="宋体"/>
          <w:color w:val="auto"/>
          <w:sz w:val="24"/>
          <w:highlight w:val="none"/>
        </w:rPr>
        <w:t>特此证明。</w:t>
      </w:r>
    </w:p>
    <w:p w14:paraId="5D398F49">
      <w:pPr>
        <w:tabs>
          <w:tab w:val="left" w:pos="720"/>
          <w:tab w:val="left" w:pos="900"/>
        </w:tabs>
        <w:spacing w:line="600" w:lineRule="exact"/>
        <w:ind w:left="560" w:firstLine="480"/>
        <w:rPr>
          <w:rFonts w:hint="eastAsia" w:ascii="宋体" w:hAnsi="宋体" w:cs="宋体"/>
          <w:color w:val="auto"/>
          <w:sz w:val="24"/>
          <w:highlight w:val="none"/>
        </w:rPr>
      </w:pPr>
    </w:p>
    <w:p w14:paraId="409FB441">
      <w:pPr>
        <w:tabs>
          <w:tab w:val="left" w:pos="720"/>
          <w:tab w:val="left" w:pos="900"/>
        </w:tabs>
        <w:spacing w:line="600" w:lineRule="exact"/>
        <w:ind w:left="5040" w:leftChars="2400" w:firstLine="120" w:firstLineChars="50"/>
        <w:rPr>
          <w:rFonts w:hint="eastAsia" w:ascii="宋体" w:hAnsi="宋体" w:cs="宋体"/>
          <w:color w:val="auto"/>
          <w:sz w:val="24"/>
          <w:highlight w:val="none"/>
          <w:u w:val="singl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（盖章）        </w:t>
      </w:r>
    </w:p>
    <w:p w14:paraId="403B80F8">
      <w:pPr>
        <w:spacing w:before="120" w:after="5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    年    月 </w:t>
      </w:r>
    </w:p>
    <w:p w14:paraId="3313A1BF">
      <w:pPr>
        <w:spacing w:before="120" w:after="50"/>
        <w:jc w:val="left"/>
        <w:rPr>
          <w:rFonts w:hint="eastAsia" w:ascii="宋体" w:hAnsi="宋体" w:cs="宋体"/>
          <w:b/>
          <w:color w:val="auto"/>
          <w:sz w:val="28"/>
          <w:szCs w:val="28"/>
          <w:highlight w:val="none"/>
        </w:rPr>
      </w:pPr>
      <w:r>
        <w:rPr>
          <w:rFonts w:hint="eastAsia" w:ascii="宋体" w:hAnsi="宋体" w:cs="宋体"/>
          <w:color w:val="auto"/>
          <w:sz w:val="24"/>
          <w:highlight w:val="none"/>
        </w:rPr>
        <w:br w:type="page"/>
      </w:r>
      <w:r>
        <w:rPr>
          <w:rFonts w:hint="eastAsia" w:ascii="宋体" w:hAnsi="宋体" w:cs="宋体"/>
          <w:b/>
          <w:color w:val="auto"/>
          <w:sz w:val="28"/>
          <w:szCs w:val="28"/>
          <w:highlight w:val="none"/>
        </w:rPr>
        <w:t>附件4：</w:t>
      </w:r>
    </w:p>
    <w:p w14:paraId="69C538E4">
      <w:pPr>
        <w:spacing w:before="120" w:after="50"/>
        <w:jc w:val="center"/>
        <w:rPr>
          <w:rFonts w:hint="eastAsia" w:ascii="宋体" w:hAnsi="宋体" w:cs="宋体"/>
          <w:b/>
          <w:color w:val="auto"/>
          <w:kern w:val="2"/>
          <w:sz w:val="28"/>
          <w:szCs w:val="28"/>
          <w:highlight w:val="none"/>
        </w:rPr>
      </w:pPr>
      <w:r>
        <w:rPr>
          <w:rFonts w:hint="eastAsia" w:ascii="宋体" w:hAnsi="宋体" w:cs="宋体"/>
          <w:b/>
          <w:color w:val="auto"/>
          <w:kern w:val="2"/>
          <w:sz w:val="28"/>
          <w:szCs w:val="28"/>
          <w:highlight w:val="none"/>
        </w:rPr>
        <w:t>法定代表人</w:t>
      </w:r>
      <w:r>
        <w:rPr>
          <w:rFonts w:hint="eastAsia" w:ascii="宋体" w:hAnsi="宋体" w:cs="宋体"/>
          <w:b/>
          <w:color w:val="auto"/>
          <w:kern w:val="2"/>
          <w:sz w:val="28"/>
          <w:szCs w:val="28"/>
          <w:highlight w:val="none"/>
          <w:lang w:eastAsia="zh-CN"/>
        </w:rPr>
        <w:t>（</w:t>
      </w:r>
      <w:r>
        <w:rPr>
          <w:rFonts w:hint="eastAsia" w:ascii="宋体" w:hAnsi="宋体" w:cs="宋体"/>
          <w:b/>
          <w:color w:val="auto"/>
          <w:kern w:val="2"/>
          <w:sz w:val="28"/>
          <w:szCs w:val="28"/>
          <w:highlight w:val="none"/>
          <w:lang w:val="en-US" w:eastAsia="zh-CN"/>
        </w:rPr>
        <w:t>或</w:t>
      </w:r>
      <w:r>
        <w:rPr>
          <w:rFonts w:hint="eastAsia" w:ascii="宋体" w:hAnsi="宋体" w:cs="宋体"/>
          <w:b/>
          <w:color w:val="auto"/>
          <w:kern w:val="2"/>
          <w:sz w:val="28"/>
          <w:szCs w:val="28"/>
          <w:highlight w:val="none"/>
          <w:lang w:eastAsia="zh-CN"/>
        </w:rPr>
        <w:t>单位负责人）</w:t>
      </w:r>
      <w:r>
        <w:rPr>
          <w:rFonts w:hint="eastAsia" w:ascii="宋体" w:hAnsi="宋体" w:cs="宋体"/>
          <w:b/>
          <w:color w:val="auto"/>
          <w:kern w:val="2"/>
          <w:sz w:val="28"/>
          <w:szCs w:val="28"/>
          <w:highlight w:val="none"/>
        </w:rPr>
        <w:t>授权委托书</w:t>
      </w:r>
    </w:p>
    <w:p w14:paraId="15031043">
      <w:pPr>
        <w:spacing w:before="120" w:after="50" w:line="500" w:lineRule="exact"/>
        <w:rPr>
          <w:rFonts w:hint="eastAsia" w:ascii="宋体" w:hAnsi="宋体" w:cs="宋体"/>
          <w:b/>
          <w:color w:val="auto"/>
          <w:kern w:val="2"/>
          <w:sz w:val="24"/>
          <w:highlight w:val="none"/>
        </w:rPr>
      </w:pPr>
      <w:r>
        <w:rPr>
          <w:rFonts w:hint="eastAsia" w:ascii="宋体" w:hAnsi="宋体" w:cs="宋体"/>
          <w:color w:val="auto"/>
          <w:kern w:val="2"/>
          <w:sz w:val="24"/>
          <w:highlight w:val="none"/>
          <w:lang w:eastAsia="zh-CN"/>
        </w:rPr>
        <w:t>嵊州市人力资源和社会保障局</w:t>
      </w:r>
      <w:r>
        <w:rPr>
          <w:rFonts w:hint="eastAsia" w:ascii="宋体" w:hAnsi="宋体" w:cs="宋体"/>
          <w:color w:val="auto"/>
          <w:kern w:val="2"/>
          <w:sz w:val="24"/>
          <w:highlight w:val="none"/>
        </w:rPr>
        <w:t>：</w:t>
      </w:r>
    </w:p>
    <w:p w14:paraId="5ABF60DF">
      <w:pPr>
        <w:spacing w:before="120" w:after="50" w:line="500" w:lineRule="exact"/>
        <w:ind w:firstLine="480"/>
        <w:rPr>
          <w:rFonts w:hint="eastAsia" w:ascii="宋体" w:hAnsi="宋体" w:cs="宋体"/>
          <w:color w:val="auto"/>
          <w:kern w:val="2"/>
          <w:sz w:val="24"/>
          <w:highlight w:val="none"/>
        </w:rPr>
      </w:pPr>
      <w:r>
        <w:rPr>
          <w:rFonts w:hint="eastAsia" w:ascii="宋体" w:hAnsi="宋体" w:cs="宋体"/>
          <w:color w:val="auto"/>
          <w:kern w:val="2"/>
          <w:sz w:val="24"/>
          <w:highlight w:val="none"/>
        </w:rPr>
        <w:t>我（姓名）系（投标人名称）的法定代表人</w:t>
      </w:r>
      <w:r>
        <w:rPr>
          <w:rFonts w:hint="eastAsia" w:ascii="宋体" w:hAnsi="宋体" w:cs="宋体"/>
          <w:color w:val="auto"/>
          <w:kern w:val="2"/>
          <w:sz w:val="24"/>
          <w:highlight w:val="none"/>
          <w:lang w:eastAsia="zh-CN"/>
        </w:rPr>
        <w:t>（</w:t>
      </w:r>
      <w:r>
        <w:rPr>
          <w:rFonts w:hint="eastAsia" w:ascii="宋体" w:hAnsi="宋体" w:cs="宋体"/>
          <w:color w:val="auto"/>
          <w:kern w:val="2"/>
          <w:sz w:val="24"/>
          <w:highlight w:val="none"/>
          <w:lang w:val="en-US" w:eastAsia="zh-CN"/>
        </w:rPr>
        <w:t>或</w:t>
      </w:r>
      <w:r>
        <w:rPr>
          <w:rFonts w:hint="eastAsia" w:ascii="宋体" w:hAnsi="宋体" w:cs="宋体"/>
          <w:color w:val="auto"/>
          <w:kern w:val="2"/>
          <w:sz w:val="24"/>
          <w:highlight w:val="none"/>
        </w:rPr>
        <w:t>单位负责人</w:t>
      </w:r>
      <w:r>
        <w:rPr>
          <w:rFonts w:hint="eastAsia" w:ascii="宋体" w:hAnsi="宋体" w:cs="宋体"/>
          <w:color w:val="auto"/>
          <w:kern w:val="2"/>
          <w:sz w:val="24"/>
          <w:highlight w:val="none"/>
          <w:lang w:eastAsia="zh-CN"/>
        </w:rPr>
        <w:t>）</w:t>
      </w:r>
      <w:r>
        <w:rPr>
          <w:rFonts w:hint="eastAsia" w:ascii="宋体" w:hAnsi="宋体" w:cs="宋体"/>
          <w:color w:val="auto"/>
          <w:kern w:val="2"/>
          <w:sz w:val="24"/>
          <w:highlight w:val="none"/>
        </w:rPr>
        <w:t xml:space="preserve">，现授权委托本单位在职职工 </w:t>
      </w:r>
      <w:r>
        <w:rPr>
          <w:rFonts w:hint="eastAsia" w:ascii="宋体" w:hAnsi="宋体" w:cs="宋体"/>
          <w:color w:val="auto"/>
          <w:kern w:val="2"/>
          <w:sz w:val="24"/>
          <w:highlight w:val="none"/>
          <w:u w:val="single"/>
        </w:rPr>
        <w:t>（姓名）</w:t>
      </w:r>
      <w:r>
        <w:rPr>
          <w:rFonts w:hint="eastAsia" w:ascii="宋体" w:hAnsi="宋体" w:cs="宋体"/>
          <w:color w:val="auto"/>
          <w:kern w:val="2"/>
          <w:sz w:val="24"/>
          <w:highlight w:val="none"/>
        </w:rPr>
        <w:t>为全权代表，以我方的名义参加项目编号：</w:t>
      </w:r>
      <w:r>
        <w:rPr>
          <w:rFonts w:hint="eastAsia" w:ascii="宋体" w:hAnsi="宋体" w:cs="宋体"/>
          <w:color w:val="auto"/>
          <w:kern w:val="2"/>
          <w:sz w:val="24"/>
          <w:highlight w:val="none"/>
          <w:u w:val="single"/>
          <w:lang w:eastAsia="zh-CN"/>
        </w:rPr>
        <w:t>SXWH2025-6-6</w:t>
      </w:r>
      <w:r>
        <w:rPr>
          <w:rFonts w:hint="eastAsia" w:ascii="宋体" w:hAnsi="宋体" w:cs="宋体"/>
          <w:color w:val="auto"/>
          <w:kern w:val="2"/>
          <w:sz w:val="24"/>
          <w:highlight w:val="none"/>
          <w:u w:val="single"/>
        </w:rPr>
        <w:t xml:space="preserve"> </w:t>
      </w:r>
      <w:r>
        <w:rPr>
          <w:rFonts w:hint="eastAsia" w:ascii="宋体" w:hAnsi="宋体" w:cs="宋体"/>
          <w:color w:val="auto"/>
          <w:kern w:val="2"/>
          <w:sz w:val="24"/>
          <w:highlight w:val="none"/>
        </w:rPr>
        <w:t>项目名称</w:t>
      </w:r>
      <w:r>
        <w:rPr>
          <w:rFonts w:hint="eastAsia" w:ascii="宋体" w:hAnsi="宋体" w:cs="宋体"/>
          <w:color w:val="auto"/>
          <w:kern w:val="2"/>
          <w:sz w:val="24"/>
          <w:highlight w:val="none"/>
          <w:u w:val="single"/>
        </w:rPr>
        <w:t>：</w:t>
      </w:r>
      <w:r>
        <w:rPr>
          <w:rFonts w:hint="eastAsia" w:ascii="宋体" w:hAnsi="宋体" w:cs="宋体"/>
          <w:color w:val="auto"/>
          <w:sz w:val="24"/>
          <w:szCs w:val="24"/>
          <w:u w:val="single"/>
          <w:lang w:eastAsia="zh-CN"/>
        </w:rPr>
        <w:t>嵊州市人力资源和社会保障局专用账户开立项目</w:t>
      </w:r>
      <w:r>
        <w:rPr>
          <w:rFonts w:hint="eastAsia" w:ascii="宋体" w:hAnsi="宋体" w:cs="宋体"/>
          <w:color w:val="auto"/>
          <w:sz w:val="24"/>
          <w:highlight w:val="none"/>
          <w:u w:val="single"/>
        </w:rPr>
        <w:t xml:space="preserve"> </w:t>
      </w:r>
      <w:r>
        <w:rPr>
          <w:rFonts w:hint="eastAsia" w:ascii="宋体" w:hAnsi="宋体" w:cs="宋体"/>
          <w:color w:val="auto"/>
          <w:kern w:val="2"/>
          <w:sz w:val="24"/>
          <w:highlight w:val="none"/>
        </w:rPr>
        <w:t>的投标活动，并代表我方全权办理针对上述项目的投标、开标、评标、签约等具体事务和签署相关文件。我方对全权代表的签名事项负全部责任。</w:t>
      </w:r>
    </w:p>
    <w:p w14:paraId="3E3A1693">
      <w:pPr>
        <w:spacing w:before="120" w:after="50" w:line="500" w:lineRule="exact"/>
        <w:ind w:firstLine="530"/>
        <w:rPr>
          <w:rFonts w:hint="eastAsia" w:ascii="宋体" w:hAnsi="宋体" w:cs="宋体"/>
          <w:color w:val="auto"/>
          <w:kern w:val="2"/>
          <w:sz w:val="24"/>
          <w:highlight w:val="none"/>
        </w:rPr>
      </w:pPr>
      <w:r>
        <w:rPr>
          <w:rFonts w:hint="eastAsia" w:ascii="宋体" w:hAnsi="宋体" w:cs="宋体"/>
          <w:color w:val="auto"/>
          <w:kern w:val="2"/>
          <w:sz w:val="24"/>
          <w:highlight w:val="none"/>
        </w:rPr>
        <w:t>在撤销授权的书面通知以前，本授权书一直有效。全权代表在授权书有效期内签署的所有文件不因授权的撤销而失效。</w:t>
      </w:r>
    </w:p>
    <w:p w14:paraId="6D9980F4">
      <w:pPr>
        <w:spacing w:before="120" w:after="50" w:line="500" w:lineRule="exact"/>
        <w:ind w:firstLine="530"/>
        <w:rPr>
          <w:rFonts w:hint="eastAsia" w:ascii="宋体" w:hAnsi="宋体" w:cs="宋体"/>
          <w:color w:val="auto"/>
          <w:kern w:val="2"/>
          <w:sz w:val="24"/>
          <w:highlight w:val="none"/>
        </w:rPr>
      </w:pPr>
      <w:r>
        <w:rPr>
          <w:rFonts w:hint="eastAsia" w:ascii="宋体" w:hAnsi="宋体" w:cs="宋体"/>
          <w:color w:val="auto"/>
          <w:kern w:val="2"/>
          <w:sz w:val="24"/>
          <w:highlight w:val="none"/>
        </w:rPr>
        <w:t>全权代表无转委托权，特此委托。</w:t>
      </w:r>
    </w:p>
    <w:p w14:paraId="5DDBED5E">
      <w:pPr>
        <w:spacing w:before="120" w:after="50" w:line="500" w:lineRule="exact"/>
        <w:ind w:firstLine="480" w:firstLineChars="200"/>
        <w:rPr>
          <w:rFonts w:ascii="宋体" w:hAnsi="宋体" w:cs="宋体"/>
          <w:color w:val="auto"/>
          <w:kern w:val="2"/>
          <w:sz w:val="24"/>
          <w:highlight w:val="none"/>
        </w:rPr>
      </w:pPr>
      <w:r>
        <w:rPr>
          <w:rFonts w:hint="eastAsia" w:ascii="宋体" w:hAnsi="宋体" w:cs="宋体"/>
          <w:color w:val="auto"/>
          <w:kern w:val="2"/>
          <w:sz w:val="24"/>
          <w:highlight w:val="none"/>
        </w:rPr>
        <w:t>附身份证正反面复印件</w:t>
      </w:r>
    </w:p>
    <w:p w14:paraId="2258D6CD">
      <w:pPr>
        <w:spacing w:before="120" w:after="50" w:line="500" w:lineRule="exact"/>
        <w:ind w:firstLine="480"/>
        <w:rPr>
          <w:rFonts w:hint="eastAsia" w:ascii="宋体" w:hAnsi="宋体" w:cs="宋体"/>
          <w:color w:val="auto"/>
          <w:kern w:val="2"/>
          <w:sz w:val="24"/>
          <w:highlight w:val="none"/>
        </w:rPr>
      </w:pPr>
    </w:p>
    <w:p w14:paraId="2F72EA31">
      <w:pPr>
        <w:spacing w:before="120" w:after="50" w:line="500" w:lineRule="exact"/>
        <w:ind w:firstLine="240" w:firstLineChars="100"/>
        <w:rPr>
          <w:rFonts w:hint="eastAsia" w:ascii="宋体" w:hAnsi="宋体" w:cs="宋体"/>
          <w:color w:val="auto"/>
          <w:kern w:val="2"/>
          <w:sz w:val="24"/>
          <w:highlight w:val="none"/>
        </w:rPr>
      </w:pPr>
      <w:r>
        <w:rPr>
          <w:rFonts w:hint="eastAsia" w:ascii="宋体" w:hAnsi="宋体" w:cs="宋体"/>
          <w:color w:val="auto"/>
          <w:kern w:val="2"/>
          <w:sz w:val="24"/>
          <w:highlight w:val="none"/>
        </w:rPr>
        <w:t xml:space="preserve">授权代表签字：            </w:t>
      </w:r>
      <w:r>
        <w:rPr>
          <w:rFonts w:hint="eastAsia" w:ascii="宋体" w:hAnsi="宋体" w:cs="宋体"/>
          <w:color w:val="auto"/>
          <w:kern w:val="2"/>
          <w:sz w:val="24"/>
          <w:highlight w:val="none"/>
          <w:lang w:val="en-US" w:eastAsia="zh-CN"/>
        </w:rPr>
        <w:t xml:space="preserve">                </w:t>
      </w:r>
      <w:r>
        <w:rPr>
          <w:rFonts w:hint="eastAsia" w:ascii="宋体" w:hAnsi="宋体" w:cs="宋体"/>
          <w:color w:val="auto"/>
          <w:kern w:val="2"/>
          <w:sz w:val="24"/>
          <w:highlight w:val="none"/>
        </w:rPr>
        <w:t>职务：</w:t>
      </w:r>
    </w:p>
    <w:p w14:paraId="5BBD1193">
      <w:pPr>
        <w:spacing w:before="120" w:after="50" w:line="500" w:lineRule="exact"/>
        <w:ind w:firstLine="240" w:firstLineChars="100"/>
        <w:rPr>
          <w:rFonts w:hint="eastAsia" w:ascii="宋体" w:hAnsi="宋体" w:cs="宋体"/>
          <w:color w:val="auto"/>
          <w:kern w:val="2"/>
          <w:sz w:val="24"/>
          <w:highlight w:val="none"/>
        </w:rPr>
      </w:pPr>
      <w:r>
        <w:rPr>
          <w:rFonts w:hint="eastAsia" w:ascii="宋体" w:hAnsi="宋体" w:cs="宋体"/>
          <w:color w:val="auto"/>
          <w:kern w:val="2"/>
          <w:sz w:val="24"/>
          <w:highlight w:val="none"/>
        </w:rPr>
        <w:t>授权代表身份证号码：</w:t>
      </w:r>
    </w:p>
    <w:p w14:paraId="42213A1F">
      <w:pPr>
        <w:spacing w:before="120" w:after="50" w:line="500" w:lineRule="exact"/>
        <w:ind w:firstLine="240" w:firstLineChars="100"/>
        <w:rPr>
          <w:rFonts w:hint="eastAsia" w:ascii="宋体" w:hAnsi="宋体" w:cs="宋体"/>
          <w:color w:val="auto"/>
          <w:kern w:val="2"/>
          <w:sz w:val="24"/>
          <w:highlight w:val="none"/>
        </w:rPr>
      </w:pPr>
      <w:r>
        <w:rPr>
          <w:rFonts w:hint="eastAsia" w:ascii="宋体" w:hAnsi="宋体" w:cs="宋体"/>
          <w:color w:val="auto"/>
          <w:kern w:val="2"/>
          <w:sz w:val="24"/>
          <w:highlight w:val="none"/>
        </w:rPr>
        <w:t>法定代表人（</w:t>
      </w:r>
      <w:r>
        <w:rPr>
          <w:rFonts w:hint="eastAsia" w:ascii="宋体" w:hAnsi="宋体" w:cs="宋体"/>
          <w:color w:val="auto"/>
          <w:kern w:val="2"/>
          <w:sz w:val="24"/>
          <w:highlight w:val="none"/>
          <w:lang w:val="en-US" w:eastAsia="zh-CN"/>
        </w:rPr>
        <w:t>或</w:t>
      </w:r>
      <w:r>
        <w:rPr>
          <w:rFonts w:hint="eastAsia" w:ascii="宋体" w:hAnsi="宋体" w:cs="宋体"/>
          <w:color w:val="auto"/>
          <w:kern w:val="2"/>
          <w:sz w:val="24"/>
          <w:highlight w:val="none"/>
        </w:rPr>
        <w:t xml:space="preserve">单位负责人）签名：           </w:t>
      </w:r>
      <w:r>
        <w:rPr>
          <w:rFonts w:hint="eastAsia" w:ascii="宋体" w:hAnsi="宋体" w:cs="宋体"/>
          <w:color w:val="auto"/>
          <w:kern w:val="2"/>
          <w:sz w:val="24"/>
          <w:highlight w:val="none"/>
          <w:lang w:val="en-US" w:eastAsia="zh-CN"/>
        </w:rPr>
        <w:t xml:space="preserve"> </w:t>
      </w:r>
      <w:r>
        <w:rPr>
          <w:rFonts w:hint="eastAsia" w:ascii="宋体" w:hAnsi="宋体" w:cs="宋体"/>
          <w:color w:val="auto"/>
          <w:kern w:val="2"/>
          <w:sz w:val="24"/>
          <w:highlight w:val="none"/>
        </w:rPr>
        <w:t>职务：</w:t>
      </w:r>
    </w:p>
    <w:p w14:paraId="566080A0">
      <w:pPr>
        <w:spacing w:before="120" w:after="50" w:line="500" w:lineRule="exact"/>
        <w:rPr>
          <w:rFonts w:hint="eastAsia" w:ascii="宋体" w:hAnsi="宋体" w:cs="宋体"/>
          <w:color w:val="auto"/>
          <w:kern w:val="2"/>
          <w:sz w:val="24"/>
          <w:highlight w:val="none"/>
        </w:rPr>
      </w:pPr>
    </w:p>
    <w:p w14:paraId="3B79DB60">
      <w:pPr>
        <w:spacing w:before="120" w:after="50" w:line="500" w:lineRule="exact"/>
        <w:rPr>
          <w:rFonts w:hint="eastAsia" w:ascii="宋体" w:hAnsi="宋体" w:cs="宋体"/>
          <w:color w:val="auto"/>
          <w:kern w:val="2"/>
          <w:sz w:val="24"/>
          <w:highlight w:val="none"/>
        </w:rPr>
      </w:pPr>
    </w:p>
    <w:p w14:paraId="1BA231DD">
      <w:pPr>
        <w:spacing w:before="120" w:after="50" w:line="500" w:lineRule="exact"/>
        <w:ind w:firstLine="4920"/>
        <w:rPr>
          <w:rFonts w:hint="eastAsia" w:ascii="宋体" w:hAnsi="宋体" w:cs="宋体"/>
          <w:color w:val="auto"/>
          <w:kern w:val="2"/>
          <w:sz w:val="24"/>
          <w:highlight w:val="none"/>
        </w:rPr>
      </w:pPr>
    </w:p>
    <w:p w14:paraId="486F8AE3">
      <w:pPr>
        <w:spacing w:before="120" w:after="50" w:line="500" w:lineRule="exact"/>
        <w:ind w:firstLine="240" w:firstLineChars="100"/>
        <w:rPr>
          <w:rFonts w:hint="eastAsia" w:ascii="宋体" w:hAnsi="宋体" w:cs="宋体"/>
          <w:color w:val="auto"/>
          <w:kern w:val="2"/>
          <w:sz w:val="24"/>
          <w:highlight w:val="none"/>
          <w:u w:val="single"/>
        </w:rPr>
      </w:pPr>
      <w:r>
        <w:rPr>
          <w:rFonts w:hint="eastAsia" w:ascii="宋体" w:hAnsi="宋体" w:cs="宋体"/>
          <w:color w:val="auto"/>
          <w:kern w:val="2"/>
          <w:sz w:val="24"/>
          <w:highlight w:val="none"/>
        </w:rPr>
        <w:t>单位全称（公章）：                日  期：</w:t>
      </w:r>
    </w:p>
    <w:p w14:paraId="7DAE9F2C">
      <w:pPr>
        <w:spacing w:before="50" w:after="120" w:line="360" w:lineRule="auto"/>
        <w:jc w:val="left"/>
        <w:rPr>
          <w:rFonts w:hint="eastAsia" w:ascii="宋体" w:hAnsi="宋体" w:cs="宋体"/>
          <w:b/>
          <w:color w:val="auto"/>
          <w:kern w:val="2"/>
          <w:sz w:val="32"/>
          <w:szCs w:val="32"/>
          <w:highlight w:val="none"/>
        </w:rPr>
      </w:pPr>
    </w:p>
    <w:p w14:paraId="531FBD2C">
      <w:pPr>
        <w:spacing w:before="50" w:after="120" w:line="360" w:lineRule="auto"/>
        <w:jc w:val="left"/>
        <w:rPr>
          <w:rFonts w:hint="eastAsia" w:ascii="宋体" w:hAnsi="宋体" w:cs="宋体"/>
          <w:b/>
          <w:color w:val="auto"/>
          <w:kern w:val="2"/>
          <w:sz w:val="32"/>
          <w:szCs w:val="32"/>
          <w:highlight w:val="none"/>
        </w:rPr>
      </w:pPr>
    </w:p>
    <w:p w14:paraId="65C9B4F2">
      <w:pPr>
        <w:spacing w:before="50" w:after="120" w:line="360" w:lineRule="auto"/>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附件5：</w:t>
      </w:r>
    </w:p>
    <w:p w14:paraId="22472FEA">
      <w:pPr>
        <w:spacing w:before="50" w:after="120" w:line="360" w:lineRule="auto"/>
        <w:jc w:val="center"/>
        <w:rPr>
          <w:rFonts w:hint="eastAsia" w:ascii="宋体" w:hAnsi="宋体" w:cs="宋体"/>
          <w:b/>
          <w:color w:val="auto"/>
          <w:kern w:val="2"/>
          <w:sz w:val="24"/>
          <w:highlight w:val="none"/>
        </w:rPr>
      </w:pPr>
      <w:r>
        <w:rPr>
          <w:rFonts w:hint="eastAsia" w:ascii="宋体" w:hAnsi="宋体" w:cs="宋体"/>
          <w:b/>
          <w:color w:val="auto"/>
          <w:kern w:val="2"/>
          <w:sz w:val="28"/>
          <w:szCs w:val="28"/>
          <w:highlight w:val="none"/>
        </w:rPr>
        <w:t>廉政承诺书</w:t>
      </w:r>
    </w:p>
    <w:p w14:paraId="1B418730">
      <w:pPr>
        <w:spacing w:before="50" w:after="120" w:line="360" w:lineRule="auto"/>
        <w:rPr>
          <w:rFonts w:hint="eastAsia" w:ascii="宋体" w:hAnsi="宋体" w:cs="宋体"/>
          <w:bCs/>
          <w:color w:val="auto"/>
          <w:kern w:val="2"/>
          <w:sz w:val="24"/>
          <w:highlight w:val="none"/>
        </w:rPr>
      </w:pPr>
      <w:r>
        <w:rPr>
          <w:rFonts w:hint="eastAsia" w:ascii="宋体" w:hAnsi="宋体" w:cs="宋体"/>
          <w:bCs/>
          <w:color w:val="auto"/>
          <w:kern w:val="2"/>
          <w:sz w:val="24"/>
          <w:highlight w:val="none"/>
          <w:lang w:eastAsia="zh-CN"/>
        </w:rPr>
        <w:t>嵊州市人力资源和社会保障局：</w:t>
      </w:r>
    </w:p>
    <w:p w14:paraId="3FC7BE4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color w:val="auto"/>
          <w:kern w:val="2"/>
          <w:sz w:val="24"/>
          <w:highlight w:val="none"/>
        </w:rPr>
      </w:pPr>
      <w:r>
        <w:rPr>
          <w:rFonts w:hint="eastAsia" w:ascii="宋体" w:hAnsi="宋体" w:cs="宋体"/>
          <w:bCs/>
          <w:color w:val="auto"/>
          <w:kern w:val="2"/>
          <w:sz w:val="24"/>
          <w:highlight w:val="none"/>
        </w:rPr>
        <w:t>根据《嵊州市行政事业单位公款竞争性存放管理办法》（嵊政办发〔2022〕</w:t>
      </w:r>
      <w:r>
        <w:rPr>
          <w:rFonts w:hint="eastAsia" w:ascii="宋体" w:hAnsi="宋体" w:cs="宋体"/>
          <w:bCs/>
          <w:color w:val="auto"/>
          <w:kern w:val="2"/>
          <w:sz w:val="24"/>
          <w:highlight w:val="none"/>
          <w:lang w:val="en-US" w:eastAsia="zh-CN"/>
        </w:rPr>
        <w:t>134</w:t>
      </w:r>
      <w:r>
        <w:rPr>
          <w:rFonts w:hint="eastAsia" w:ascii="宋体" w:hAnsi="宋体" w:cs="宋体"/>
          <w:bCs/>
          <w:color w:val="auto"/>
          <w:kern w:val="2"/>
          <w:sz w:val="24"/>
          <w:highlight w:val="none"/>
        </w:rPr>
        <w:t>号）相关规定，现就本行参加贵单位</w:t>
      </w:r>
      <w:r>
        <w:rPr>
          <w:rFonts w:hint="eastAsia" w:ascii="宋体" w:hAnsi="宋体" w:cs="宋体"/>
          <w:bCs/>
          <w:color w:val="auto"/>
          <w:kern w:val="2"/>
          <w:sz w:val="24"/>
          <w:highlight w:val="none"/>
          <w:u w:val="single"/>
          <w:lang w:eastAsia="zh-CN"/>
        </w:rPr>
        <w:t xml:space="preserve"> </w:t>
      </w:r>
      <w:r>
        <w:rPr>
          <w:rFonts w:hint="eastAsia" w:ascii="宋体" w:hAnsi="宋体" w:cs="宋体"/>
          <w:color w:val="auto"/>
          <w:sz w:val="24"/>
          <w:szCs w:val="24"/>
          <w:u w:val="single"/>
          <w:lang w:eastAsia="zh-CN"/>
        </w:rPr>
        <w:t>嵊州市人力资源和社会保障局专用账户开立项目</w:t>
      </w:r>
      <w:r>
        <w:rPr>
          <w:rFonts w:hint="eastAsia" w:ascii="宋体" w:hAnsi="宋体" w:cs="宋体"/>
          <w:bCs/>
          <w:color w:val="auto"/>
          <w:kern w:val="2"/>
          <w:sz w:val="24"/>
          <w:highlight w:val="none"/>
        </w:rPr>
        <w:t>作出如下承诺:</w:t>
      </w:r>
    </w:p>
    <w:p w14:paraId="68F15E0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color w:val="auto"/>
          <w:kern w:val="2"/>
          <w:sz w:val="24"/>
          <w:highlight w:val="none"/>
        </w:rPr>
      </w:pPr>
      <w:r>
        <w:rPr>
          <w:rFonts w:hint="eastAsia" w:ascii="宋体" w:hAnsi="宋体" w:cs="宋体"/>
          <w:bCs/>
          <w:color w:val="auto"/>
          <w:kern w:val="2"/>
          <w:sz w:val="24"/>
          <w:highlight w:val="none"/>
        </w:rPr>
        <w:t>1.不向贵单位负责公款存放管理的领导及相关人员进行利益输送；</w:t>
      </w:r>
    </w:p>
    <w:p w14:paraId="1D6F9AA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color w:val="auto"/>
          <w:kern w:val="2"/>
          <w:sz w:val="24"/>
          <w:highlight w:val="none"/>
        </w:rPr>
      </w:pPr>
      <w:r>
        <w:rPr>
          <w:rFonts w:hint="eastAsia" w:ascii="宋体" w:hAnsi="宋体" w:cs="宋体"/>
          <w:bCs/>
          <w:color w:val="auto"/>
          <w:kern w:val="2"/>
          <w:sz w:val="24"/>
          <w:highlight w:val="none"/>
        </w:rPr>
        <w:t>2.不将公款存放与贵单位负责公款存放管理的领导及相关人员在本行的配偶、子女及其配偶和其他直接利益相关人员的业绩、收入、晋升等利益挂钩；</w:t>
      </w:r>
    </w:p>
    <w:p w14:paraId="439B70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color w:val="auto"/>
          <w:kern w:val="2"/>
          <w:sz w:val="24"/>
          <w:highlight w:val="none"/>
        </w:rPr>
      </w:pPr>
      <w:r>
        <w:rPr>
          <w:rFonts w:hint="eastAsia" w:ascii="宋体" w:hAnsi="宋体" w:cs="宋体"/>
          <w:bCs/>
          <w:color w:val="auto"/>
          <w:kern w:val="2"/>
          <w:sz w:val="24"/>
          <w:highlight w:val="none"/>
        </w:rPr>
        <w:t>3.严格执行利益回避制度，贵单位负责公款竞争性存放相关人员的配偶、子女及其配偶和其他直接利益相关人员为本行工作人员的，不参与公款竞争性存放工作。</w:t>
      </w:r>
    </w:p>
    <w:p w14:paraId="0AFB82B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color w:val="auto"/>
          <w:kern w:val="2"/>
          <w:sz w:val="24"/>
          <w:highlight w:val="none"/>
        </w:rPr>
      </w:pPr>
      <w:r>
        <w:rPr>
          <w:rFonts w:hint="eastAsia" w:ascii="宋体" w:hAnsi="宋体" w:cs="宋体"/>
          <w:bCs/>
          <w:color w:val="auto"/>
          <w:kern w:val="2"/>
          <w:sz w:val="24"/>
          <w:highlight w:val="none"/>
        </w:rPr>
        <w:t>4.不发生除上述行为之外的其他任何利益输送行为；</w:t>
      </w:r>
    </w:p>
    <w:p w14:paraId="62A6C6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olor w:val="auto"/>
          <w:kern w:val="2"/>
          <w:sz w:val="24"/>
          <w:highlight w:val="none"/>
        </w:rPr>
      </w:pPr>
      <w:r>
        <w:rPr>
          <w:rFonts w:hint="eastAsia" w:ascii="宋体" w:hAnsi="宋体" w:cs="宋体"/>
          <w:bCs/>
          <w:color w:val="auto"/>
          <w:kern w:val="2"/>
          <w:sz w:val="24"/>
          <w:highlight w:val="none"/>
        </w:rPr>
        <w:t>未遵守以上承诺的，本行自愿接受财政部门通报和处理，承担相应的一切后果。</w:t>
      </w:r>
    </w:p>
    <w:p w14:paraId="6FA1A131">
      <w:pPr>
        <w:spacing w:before="120" w:after="50"/>
        <w:jc w:val="center"/>
        <w:rPr>
          <w:rFonts w:hint="eastAsia" w:ascii="宋体" w:hAnsi="宋体" w:cs="宋体"/>
          <w:b/>
          <w:color w:val="auto"/>
          <w:kern w:val="2"/>
          <w:sz w:val="32"/>
          <w:szCs w:val="32"/>
          <w:highlight w:val="none"/>
        </w:rPr>
      </w:pPr>
    </w:p>
    <w:p w14:paraId="5AF73B4F">
      <w:pPr>
        <w:spacing w:before="152" w:after="160" w:line="360" w:lineRule="auto"/>
        <w:jc w:val="center"/>
        <w:rPr>
          <w:rFonts w:hint="eastAsia" w:ascii="宋体" w:hAnsi="宋体" w:cs="宋体"/>
          <w:color w:val="auto"/>
          <w:kern w:val="2"/>
          <w:sz w:val="24"/>
          <w:highlight w:val="none"/>
        </w:rPr>
      </w:pPr>
      <w:r>
        <w:rPr>
          <w:rFonts w:hint="eastAsia" w:ascii="宋体" w:hAnsi="宋体" w:cs="宋体"/>
          <w:color w:val="auto"/>
          <w:kern w:val="2"/>
          <w:sz w:val="24"/>
          <w:highlight w:val="none"/>
        </w:rPr>
        <w:t xml:space="preserve">                                    投标人（公章）：</w:t>
      </w:r>
    </w:p>
    <w:p w14:paraId="00F86320">
      <w:pPr>
        <w:spacing w:before="152" w:after="160" w:line="360" w:lineRule="auto"/>
        <w:jc w:val="center"/>
        <w:rPr>
          <w:rFonts w:hint="eastAsia" w:ascii="宋体" w:hAnsi="宋体" w:cs="宋体"/>
          <w:color w:val="auto"/>
          <w:kern w:val="2"/>
          <w:sz w:val="24"/>
          <w:highlight w:val="none"/>
          <w:u w:val="single"/>
        </w:rPr>
      </w:pPr>
      <w:r>
        <w:rPr>
          <w:rFonts w:hint="eastAsia" w:ascii="宋体" w:hAnsi="宋体" w:cs="宋体"/>
          <w:color w:val="auto"/>
          <w:kern w:val="2"/>
          <w:sz w:val="24"/>
          <w:highlight w:val="none"/>
        </w:rPr>
        <w:t xml:space="preserve">                                  授权代表签字：</w:t>
      </w:r>
    </w:p>
    <w:p w14:paraId="068FB107">
      <w:pPr>
        <w:snapToGrid w:val="0"/>
        <w:spacing w:line="460" w:lineRule="exact"/>
        <w:jc w:val="center"/>
        <w:rPr>
          <w:rFonts w:hint="eastAsia" w:ascii="宋体" w:hAnsi="宋体" w:cs="宋体"/>
          <w:b/>
          <w:color w:val="auto"/>
          <w:sz w:val="36"/>
          <w:szCs w:val="36"/>
        </w:rPr>
      </w:pPr>
      <w:r>
        <w:rPr>
          <w:rFonts w:hint="eastAsia" w:ascii="宋体" w:hAnsi="宋体" w:cs="宋体"/>
          <w:color w:val="auto"/>
          <w:kern w:val="2"/>
          <w:sz w:val="24"/>
          <w:highlight w:val="none"/>
        </w:rPr>
        <w:t xml:space="preserve">                          日期：</w:t>
      </w:r>
    </w:p>
    <w:p w14:paraId="637B5498">
      <w:pPr>
        <w:rPr>
          <w:rFonts w:hint="eastAsia" w:ascii="宋体" w:hAnsi="宋体" w:cs="宋体"/>
          <w:b/>
          <w:color w:val="auto"/>
          <w:sz w:val="28"/>
          <w:szCs w:val="28"/>
          <w:highlight w:val="none"/>
        </w:rPr>
      </w:pPr>
    </w:p>
    <w:p w14:paraId="25D8574C">
      <w:pPr>
        <w:rPr>
          <w:rFonts w:hint="eastAsia" w:ascii="宋体" w:hAnsi="宋体" w:cs="宋体"/>
          <w:b/>
          <w:color w:val="auto"/>
          <w:sz w:val="28"/>
          <w:szCs w:val="28"/>
          <w:highlight w:val="none"/>
        </w:rPr>
      </w:pPr>
    </w:p>
    <w:p w14:paraId="327B9605">
      <w:pPr>
        <w:rPr>
          <w:rFonts w:hint="eastAsia" w:ascii="宋体" w:hAnsi="宋体" w:cs="宋体"/>
          <w:b/>
          <w:color w:val="auto"/>
          <w:sz w:val="28"/>
          <w:szCs w:val="28"/>
          <w:highlight w:val="none"/>
        </w:rPr>
      </w:pPr>
    </w:p>
    <w:p w14:paraId="326889D2">
      <w:pPr>
        <w:rPr>
          <w:rFonts w:hint="eastAsia" w:ascii="宋体" w:hAnsi="宋体" w:cs="宋体"/>
          <w:b/>
          <w:color w:val="auto"/>
          <w:sz w:val="28"/>
          <w:szCs w:val="28"/>
          <w:highlight w:val="none"/>
        </w:rPr>
      </w:pPr>
    </w:p>
    <w:p w14:paraId="1FF3F9BB">
      <w:pPr>
        <w:rPr>
          <w:rFonts w:hint="eastAsia" w:ascii="宋体" w:hAnsi="宋体" w:cs="宋体"/>
          <w:b/>
          <w:color w:val="auto"/>
          <w:sz w:val="28"/>
          <w:szCs w:val="28"/>
          <w:highlight w:val="none"/>
        </w:rPr>
      </w:pPr>
    </w:p>
    <w:p w14:paraId="01B3D4ED">
      <w:pPr>
        <w:rPr>
          <w:rFonts w:hint="eastAsia" w:ascii="宋体" w:hAnsi="宋体" w:cs="宋体"/>
          <w:b/>
          <w:color w:val="auto"/>
          <w:sz w:val="28"/>
          <w:szCs w:val="28"/>
          <w:highlight w:val="none"/>
        </w:rPr>
      </w:pPr>
    </w:p>
    <w:p w14:paraId="39FBBD02">
      <w:pPr>
        <w:rPr>
          <w:rFonts w:hint="eastAsia" w:ascii="宋体" w:hAnsi="宋体" w:cs="宋体"/>
          <w:b/>
          <w:color w:val="auto"/>
          <w:sz w:val="28"/>
          <w:szCs w:val="28"/>
          <w:highlight w:val="none"/>
        </w:rPr>
      </w:pPr>
    </w:p>
    <w:p w14:paraId="3A1AFAB6">
      <w:pPr>
        <w:rPr>
          <w:rFonts w:hint="eastAsia" w:ascii="宋体" w:hAnsi="宋体" w:cs="宋体"/>
          <w:b/>
          <w:color w:val="auto"/>
          <w:sz w:val="28"/>
          <w:szCs w:val="28"/>
          <w:highlight w:val="none"/>
        </w:rPr>
      </w:pPr>
    </w:p>
    <w:p w14:paraId="609FE2D1">
      <w:pPr>
        <w:rPr>
          <w:rFonts w:hint="eastAsia" w:ascii="宋体" w:hAnsi="宋体" w:cs="宋体"/>
          <w:b/>
          <w:color w:val="auto"/>
          <w:sz w:val="28"/>
          <w:szCs w:val="28"/>
          <w:highlight w:val="none"/>
        </w:rPr>
      </w:pPr>
    </w:p>
    <w:p w14:paraId="1BEC3250">
      <w:pPr>
        <w:rPr>
          <w:rFonts w:hint="eastAsia" w:ascii="宋体" w:hAnsi="宋体" w:cs="宋体"/>
          <w:b/>
          <w:color w:val="auto"/>
          <w:sz w:val="28"/>
          <w:szCs w:val="28"/>
          <w:highlight w:val="none"/>
        </w:rPr>
      </w:pPr>
    </w:p>
    <w:p w14:paraId="0BE076FD">
      <w:pPr>
        <w:rPr>
          <w:rFonts w:hint="eastAsia" w:ascii="宋体" w:hAnsi="宋体" w:cs="宋体"/>
          <w:b/>
          <w:color w:val="auto"/>
          <w:sz w:val="28"/>
          <w:szCs w:val="28"/>
          <w:highlight w:val="none"/>
        </w:rPr>
      </w:pPr>
    </w:p>
    <w:p w14:paraId="5CEE81CC">
      <w:pPr>
        <w:rPr>
          <w:rFonts w:hint="eastAsia" w:ascii="宋体" w:hAnsi="宋体" w:cs="宋体"/>
          <w:b/>
          <w:color w:val="auto"/>
          <w:sz w:val="28"/>
          <w:szCs w:val="28"/>
          <w:highlight w:val="none"/>
        </w:rPr>
      </w:pPr>
    </w:p>
    <w:p w14:paraId="4A3849AA">
      <w:pPr>
        <w:rPr>
          <w:rFonts w:hint="eastAsia" w:ascii="宋体" w:hAnsi="宋体" w:cs="宋体"/>
          <w:b/>
          <w:color w:val="auto"/>
          <w:sz w:val="28"/>
          <w:szCs w:val="28"/>
          <w:highlight w:val="none"/>
        </w:rPr>
      </w:pPr>
    </w:p>
    <w:p w14:paraId="65FC25F9">
      <w:pPr>
        <w:rPr>
          <w:rFonts w:hint="eastAsia" w:ascii="宋体" w:hAnsi="宋体" w:cs="宋体"/>
          <w:b/>
          <w:color w:val="auto"/>
          <w:sz w:val="28"/>
          <w:szCs w:val="28"/>
          <w:highlight w:val="none"/>
        </w:rPr>
      </w:pPr>
    </w:p>
    <w:p w14:paraId="08C9EE79">
      <w:pPr>
        <w:rPr>
          <w:rFonts w:hint="eastAsia" w:ascii="宋体" w:hAnsi="宋体" w:cs="宋体"/>
          <w:b/>
          <w:color w:val="auto"/>
          <w:kern w:val="2"/>
          <w:sz w:val="32"/>
          <w:szCs w:val="32"/>
          <w:highlight w:val="none"/>
        </w:rPr>
      </w:pPr>
      <w:r>
        <w:rPr>
          <w:rFonts w:hint="eastAsia" w:ascii="宋体" w:hAnsi="宋体" w:cs="宋体"/>
          <w:b/>
          <w:color w:val="auto"/>
          <w:sz w:val="28"/>
          <w:szCs w:val="28"/>
          <w:highlight w:val="none"/>
        </w:rPr>
        <w:t>附件</w:t>
      </w:r>
      <w:r>
        <w:rPr>
          <w:rFonts w:hint="eastAsia" w:ascii="宋体" w:hAnsi="宋体" w:cs="宋体"/>
          <w:b/>
          <w:color w:val="auto"/>
          <w:sz w:val="28"/>
          <w:szCs w:val="28"/>
          <w:highlight w:val="none"/>
          <w:lang w:val="en-US" w:eastAsia="zh-CN"/>
        </w:rPr>
        <w:t>6</w:t>
      </w:r>
      <w:r>
        <w:rPr>
          <w:rFonts w:hint="eastAsia" w:ascii="宋体" w:hAnsi="宋体" w:cs="宋体"/>
          <w:b/>
          <w:color w:val="auto"/>
          <w:sz w:val="28"/>
          <w:szCs w:val="28"/>
          <w:highlight w:val="none"/>
        </w:rPr>
        <w:t>：</w:t>
      </w:r>
    </w:p>
    <w:p w14:paraId="032DD5EC">
      <w:pPr>
        <w:spacing w:before="156" w:beforeLines="50" w:after="156" w:afterLines="50" w:line="500" w:lineRule="exact"/>
        <w:jc w:val="center"/>
        <w:rPr>
          <w:rFonts w:hint="eastAsia" w:ascii="宋体" w:hAnsi="宋体" w:eastAsia="宋体" w:cs="宋体"/>
          <w:b/>
          <w:color w:val="auto"/>
          <w:kern w:val="2"/>
          <w:sz w:val="32"/>
          <w:szCs w:val="32"/>
          <w:highlight w:val="none"/>
          <w:lang w:eastAsia="zh-CN"/>
        </w:rPr>
      </w:pPr>
      <w:r>
        <w:rPr>
          <w:rFonts w:hint="eastAsia" w:ascii="宋体" w:hAnsi="宋体" w:cs="宋体"/>
          <w:b/>
          <w:color w:val="auto"/>
          <w:kern w:val="2"/>
          <w:sz w:val="32"/>
          <w:szCs w:val="32"/>
          <w:highlight w:val="none"/>
        </w:rPr>
        <w:t>开标一览表</w:t>
      </w:r>
    </w:p>
    <w:p w14:paraId="19A5C924">
      <w:pPr>
        <w:snapToGrid w:val="0"/>
        <w:spacing w:line="460" w:lineRule="exact"/>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项目名称：</w:t>
      </w:r>
    </w:p>
    <w:p w14:paraId="6C281A4C">
      <w:pPr>
        <w:snapToGrid w:val="0"/>
        <w:spacing w:line="460" w:lineRule="exact"/>
        <w:rPr>
          <w:rFonts w:hint="eastAsia" w:ascii="宋体" w:hAnsi="宋体" w:cs="宋体"/>
          <w:color w:val="auto"/>
          <w:sz w:val="24"/>
          <w:szCs w:val="24"/>
        </w:rPr>
      </w:pPr>
      <w:r>
        <w:rPr>
          <w:rFonts w:hint="eastAsia" w:ascii="宋体" w:hAnsi="宋体" w:cs="宋体"/>
          <w:b/>
          <w:color w:val="auto"/>
          <w:sz w:val="24"/>
          <w:szCs w:val="24"/>
        </w:rPr>
        <w:t xml:space="preserve">项目编号：                           </w:t>
      </w:r>
    </w:p>
    <w:p w14:paraId="207B690F">
      <w:pPr>
        <w:spacing w:line="340" w:lineRule="exact"/>
        <w:rPr>
          <w:rFonts w:hint="eastAsia" w:ascii="宋体" w:hAnsi="宋体"/>
          <w:color w:val="auto"/>
          <w:szCs w:val="21"/>
        </w:rPr>
      </w:pPr>
    </w:p>
    <w:tbl>
      <w:tblPr>
        <w:tblStyle w:val="12"/>
        <w:tblW w:w="87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8"/>
        <w:gridCol w:w="2534"/>
        <w:gridCol w:w="3209"/>
        <w:gridCol w:w="2067"/>
      </w:tblGrid>
      <w:tr w14:paraId="0DB22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928" w:type="dxa"/>
            <w:tcBorders>
              <w:top w:val="single" w:color="auto" w:sz="4" w:space="0"/>
              <w:left w:val="single" w:color="auto" w:sz="4" w:space="0"/>
              <w:right w:val="single" w:color="auto" w:sz="4" w:space="0"/>
            </w:tcBorders>
            <w:noWrap w:val="0"/>
            <w:vAlign w:val="center"/>
          </w:tcPr>
          <w:p w14:paraId="0AD3E1DD">
            <w:pPr>
              <w:snapToGrid w:val="0"/>
              <w:spacing w:line="460" w:lineRule="exact"/>
              <w:jc w:val="center"/>
              <w:rPr>
                <w:rFonts w:hint="eastAsia" w:ascii="新宋体" w:hAnsi="新宋体" w:eastAsia="新宋体" w:cs="新宋体"/>
                <w:b/>
                <w:color w:val="auto"/>
                <w:sz w:val="24"/>
                <w:highlight w:val="none"/>
                <w:lang w:val="en-US" w:eastAsia="zh-CN"/>
              </w:rPr>
            </w:pPr>
            <w:r>
              <w:rPr>
                <w:rFonts w:hint="eastAsia" w:ascii="新宋体" w:hAnsi="新宋体" w:eastAsia="新宋体" w:cs="新宋体"/>
                <w:b/>
                <w:color w:val="auto"/>
                <w:sz w:val="24"/>
                <w:highlight w:val="none"/>
                <w:lang w:val="en-US" w:eastAsia="zh-CN"/>
              </w:rPr>
              <w:t>序号</w:t>
            </w:r>
          </w:p>
        </w:tc>
        <w:tc>
          <w:tcPr>
            <w:tcW w:w="2534" w:type="dxa"/>
            <w:tcBorders>
              <w:top w:val="single" w:color="auto" w:sz="4" w:space="0"/>
              <w:left w:val="single" w:color="auto" w:sz="4" w:space="0"/>
              <w:right w:val="single" w:color="auto" w:sz="4" w:space="0"/>
            </w:tcBorders>
            <w:noWrap w:val="0"/>
            <w:vAlign w:val="center"/>
          </w:tcPr>
          <w:p w14:paraId="3871C839">
            <w:pPr>
              <w:snapToGrid w:val="0"/>
              <w:spacing w:line="460" w:lineRule="exact"/>
              <w:jc w:val="center"/>
              <w:rPr>
                <w:rFonts w:hint="default" w:ascii="新宋体" w:hAnsi="新宋体" w:eastAsia="新宋体" w:cs="新宋体"/>
                <w:b/>
                <w:color w:val="auto"/>
                <w:sz w:val="24"/>
                <w:highlight w:val="none"/>
                <w:lang w:val="en-US" w:eastAsia="zh-CN"/>
              </w:rPr>
            </w:pPr>
            <w:r>
              <w:rPr>
                <w:rFonts w:hint="eastAsia" w:ascii="新宋体" w:hAnsi="新宋体" w:eastAsia="新宋体" w:cs="新宋体"/>
                <w:b/>
                <w:color w:val="auto"/>
                <w:sz w:val="24"/>
                <w:highlight w:val="none"/>
                <w:lang w:val="en-US" w:eastAsia="zh-CN"/>
              </w:rPr>
              <w:t>协定存款起始额度</w:t>
            </w:r>
          </w:p>
        </w:tc>
        <w:tc>
          <w:tcPr>
            <w:tcW w:w="3209" w:type="dxa"/>
            <w:tcBorders>
              <w:top w:val="single" w:color="auto" w:sz="4" w:space="0"/>
              <w:left w:val="single" w:color="auto" w:sz="4" w:space="0"/>
              <w:right w:val="single" w:color="auto" w:sz="4" w:space="0"/>
            </w:tcBorders>
            <w:noWrap w:val="0"/>
            <w:vAlign w:val="center"/>
          </w:tcPr>
          <w:p w14:paraId="15CE7C76">
            <w:pPr>
              <w:snapToGrid w:val="0"/>
              <w:spacing w:line="460" w:lineRule="exact"/>
              <w:jc w:val="center"/>
              <w:rPr>
                <w:rFonts w:hint="default" w:ascii="新宋体" w:hAnsi="新宋体" w:eastAsia="新宋体" w:cs="新宋体"/>
                <w:b/>
                <w:color w:val="auto"/>
                <w:sz w:val="24"/>
                <w:highlight w:val="none"/>
                <w:lang w:val="en-US" w:eastAsia="zh-CN"/>
              </w:rPr>
            </w:pPr>
            <w:r>
              <w:rPr>
                <w:rFonts w:hint="eastAsia" w:ascii="新宋体" w:hAnsi="新宋体" w:eastAsia="新宋体" w:cs="新宋体"/>
                <w:b/>
                <w:color w:val="auto"/>
                <w:sz w:val="24"/>
                <w:highlight w:val="none"/>
                <w:lang w:val="en-US" w:eastAsia="zh-CN"/>
              </w:rPr>
              <w:t>协定存款利率加点值</w:t>
            </w:r>
            <w:r>
              <w:rPr>
                <w:rFonts w:hint="eastAsia" w:ascii="新宋体" w:hAnsi="新宋体" w:eastAsia="新宋体" w:cs="新宋体"/>
                <w:b/>
                <w:color w:val="auto"/>
                <w:sz w:val="24"/>
                <w:highlight w:val="none"/>
              </w:rPr>
              <w:t>（</w:t>
            </w:r>
            <w:r>
              <w:rPr>
                <w:rFonts w:hint="eastAsia" w:ascii="新宋体" w:hAnsi="新宋体" w:eastAsia="新宋体" w:cs="新宋体"/>
                <w:b/>
                <w:color w:val="auto"/>
                <w:sz w:val="24"/>
                <w:highlight w:val="none"/>
                <w:lang w:val="en-US" w:eastAsia="zh-CN"/>
              </w:rPr>
              <w:t>bp</w:t>
            </w:r>
            <w:r>
              <w:rPr>
                <w:rFonts w:hint="eastAsia" w:ascii="新宋体" w:hAnsi="新宋体" w:eastAsia="新宋体" w:cs="新宋体"/>
                <w:b/>
                <w:color w:val="auto"/>
                <w:sz w:val="24"/>
                <w:highlight w:val="none"/>
              </w:rPr>
              <w:t>）</w:t>
            </w:r>
          </w:p>
        </w:tc>
        <w:tc>
          <w:tcPr>
            <w:tcW w:w="2067" w:type="dxa"/>
            <w:tcBorders>
              <w:top w:val="single" w:color="auto" w:sz="4" w:space="0"/>
              <w:left w:val="single" w:color="auto" w:sz="4" w:space="0"/>
              <w:right w:val="single" w:color="auto" w:sz="4" w:space="0"/>
            </w:tcBorders>
            <w:noWrap w:val="0"/>
            <w:vAlign w:val="center"/>
          </w:tcPr>
          <w:p w14:paraId="3649D503">
            <w:pPr>
              <w:snapToGrid w:val="0"/>
              <w:spacing w:line="460" w:lineRule="exact"/>
              <w:jc w:val="center"/>
              <w:rPr>
                <w:rFonts w:hint="default" w:ascii="新宋体" w:hAnsi="新宋体" w:eastAsia="新宋体" w:cs="新宋体"/>
                <w:b/>
                <w:color w:val="auto"/>
                <w:sz w:val="24"/>
                <w:highlight w:val="none"/>
                <w:lang w:val="en-US" w:eastAsia="zh-CN"/>
              </w:rPr>
            </w:pPr>
            <w:r>
              <w:rPr>
                <w:rFonts w:hint="eastAsia" w:ascii="新宋体" w:hAnsi="新宋体" w:eastAsia="新宋体" w:cs="新宋体"/>
                <w:b/>
                <w:color w:val="auto"/>
                <w:sz w:val="24"/>
                <w:highlight w:val="none"/>
                <w:lang w:val="en-US" w:eastAsia="zh-CN"/>
              </w:rPr>
              <w:t>备注</w:t>
            </w:r>
          </w:p>
        </w:tc>
      </w:tr>
      <w:tr w14:paraId="692E3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2"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14:paraId="2893E92E">
            <w:pPr>
              <w:snapToGrid w:val="0"/>
              <w:spacing w:line="400" w:lineRule="exact"/>
              <w:jc w:val="center"/>
              <w:rPr>
                <w:rFonts w:hint="eastAsia"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1</w:t>
            </w:r>
          </w:p>
        </w:tc>
        <w:tc>
          <w:tcPr>
            <w:tcW w:w="2534" w:type="dxa"/>
            <w:tcBorders>
              <w:top w:val="single" w:color="auto" w:sz="4" w:space="0"/>
              <w:left w:val="single" w:color="auto" w:sz="4" w:space="0"/>
              <w:bottom w:val="single" w:color="auto" w:sz="4" w:space="0"/>
              <w:right w:val="single" w:color="auto" w:sz="4" w:space="0"/>
            </w:tcBorders>
            <w:noWrap w:val="0"/>
            <w:vAlign w:val="center"/>
          </w:tcPr>
          <w:p w14:paraId="607B59C4">
            <w:pPr>
              <w:snapToGrid w:val="0"/>
              <w:spacing w:line="400" w:lineRule="exact"/>
              <w:jc w:val="center"/>
              <w:rPr>
                <w:rFonts w:hint="default"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10万元</w:t>
            </w:r>
          </w:p>
        </w:tc>
        <w:tc>
          <w:tcPr>
            <w:tcW w:w="3209" w:type="dxa"/>
            <w:tcBorders>
              <w:top w:val="single" w:color="auto" w:sz="4" w:space="0"/>
              <w:left w:val="single" w:color="auto" w:sz="4" w:space="0"/>
              <w:right w:val="single" w:color="auto" w:sz="4" w:space="0"/>
            </w:tcBorders>
            <w:noWrap w:val="0"/>
            <w:vAlign w:val="center"/>
          </w:tcPr>
          <w:p w14:paraId="2ADA45A2">
            <w:pPr>
              <w:snapToGrid w:val="0"/>
              <w:spacing w:line="460" w:lineRule="exact"/>
              <w:jc w:val="left"/>
              <w:rPr>
                <w:rFonts w:hint="eastAsia" w:ascii="新宋体" w:hAnsi="新宋体" w:eastAsia="新宋体" w:cs="新宋体"/>
                <w:bCs/>
                <w:color w:val="auto"/>
                <w:sz w:val="24"/>
                <w:highlight w:val="none"/>
              </w:rPr>
            </w:pPr>
          </w:p>
        </w:tc>
        <w:tc>
          <w:tcPr>
            <w:tcW w:w="2067" w:type="dxa"/>
            <w:tcBorders>
              <w:top w:val="single" w:color="auto" w:sz="4" w:space="0"/>
              <w:left w:val="single" w:color="auto" w:sz="4" w:space="0"/>
              <w:right w:val="single" w:color="auto" w:sz="4" w:space="0"/>
            </w:tcBorders>
            <w:noWrap w:val="0"/>
            <w:vAlign w:val="center"/>
          </w:tcPr>
          <w:p w14:paraId="56C8679A">
            <w:pPr>
              <w:snapToGrid w:val="0"/>
              <w:spacing w:line="460" w:lineRule="exact"/>
              <w:jc w:val="center"/>
              <w:rPr>
                <w:rFonts w:hint="eastAsia" w:ascii="新宋体" w:hAnsi="新宋体" w:eastAsia="新宋体" w:cs="新宋体"/>
                <w:b/>
                <w:color w:val="auto"/>
                <w:sz w:val="24"/>
                <w:highlight w:val="none"/>
              </w:rPr>
            </w:pPr>
          </w:p>
        </w:tc>
      </w:tr>
      <w:tr w14:paraId="2D999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8" w:hRule="atLeast"/>
          <w:jc w:val="center"/>
        </w:trPr>
        <w:tc>
          <w:tcPr>
            <w:tcW w:w="8738" w:type="dxa"/>
            <w:gridSpan w:val="4"/>
            <w:tcBorders>
              <w:top w:val="single" w:color="auto" w:sz="4" w:space="0"/>
              <w:left w:val="single" w:color="auto" w:sz="4" w:space="0"/>
              <w:bottom w:val="single" w:color="auto" w:sz="4" w:space="0"/>
              <w:right w:val="single" w:color="auto" w:sz="4" w:space="0"/>
            </w:tcBorders>
            <w:noWrap w:val="0"/>
            <w:vAlign w:val="center"/>
          </w:tcPr>
          <w:p w14:paraId="0822A783">
            <w:pPr>
              <w:snapToGrid w:val="0"/>
              <w:spacing w:line="460" w:lineRule="exact"/>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备注：1、以上利率加点值一次报出后，不得更改。</w:t>
            </w:r>
          </w:p>
          <w:p w14:paraId="1CA6F680">
            <w:pPr>
              <w:numPr>
                <w:ilvl w:val="0"/>
                <w:numId w:val="0"/>
              </w:numPr>
              <w:snapToGrid w:val="0"/>
              <w:spacing w:line="460" w:lineRule="exact"/>
              <w:ind w:firstLine="723" w:firstLineChars="300"/>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lang w:val="en-US" w:eastAsia="zh-CN"/>
              </w:rPr>
              <w:t>2、</w:t>
            </w:r>
            <w:r>
              <w:rPr>
                <w:rFonts w:hint="eastAsia" w:ascii="新宋体" w:hAnsi="新宋体" w:eastAsia="新宋体" w:cs="新宋体"/>
                <w:b/>
                <w:color w:val="auto"/>
                <w:sz w:val="24"/>
                <w:highlight w:val="none"/>
              </w:rPr>
              <w:t>利率加点值小数点后可保留2位。</w:t>
            </w:r>
          </w:p>
        </w:tc>
      </w:tr>
    </w:tbl>
    <w:p w14:paraId="3675499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color w:val="auto"/>
          <w:sz w:val="24"/>
        </w:rPr>
      </w:pPr>
    </w:p>
    <w:p w14:paraId="2A48EDF3">
      <w:pPr>
        <w:spacing w:line="340" w:lineRule="exact"/>
        <w:rPr>
          <w:rFonts w:hint="eastAsia" w:ascii="宋体" w:hAnsi="宋体"/>
          <w:color w:val="auto"/>
          <w:spacing w:val="-10"/>
          <w:szCs w:val="21"/>
        </w:rPr>
      </w:pPr>
    </w:p>
    <w:p w14:paraId="11CAB757">
      <w:pPr>
        <w:spacing w:line="520" w:lineRule="exact"/>
        <w:jc w:val="left"/>
        <w:rPr>
          <w:rFonts w:hint="eastAsia" w:ascii="宋体" w:hAnsi="宋体"/>
          <w:color w:val="auto"/>
          <w:sz w:val="24"/>
          <w:szCs w:val="24"/>
        </w:rPr>
      </w:pPr>
      <w:r>
        <w:rPr>
          <w:rFonts w:hint="eastAsia" w:ascii="宋体" w:hAnsi="宋体"/>
          <w:color w:val="auto"/>
          <w:sz w:val="24"/>
          <w:szCs w:val="24"/>
        </w:rPr>
        <w:t>投标人（盖章）：</w:t>
      </w:r>
    </w:p>
    <w:p w14:paraId="66652D9A">
      <w:pPr>
        <w:spacing w:line="520" w:lineRule="exact"/>
        <w:jc w:val="left"/>
        <w:rPr>
          <w:rFonts w:hint="eastAsia" w:ascii="宋体" w:hAnsi="宋体"/>
          <w:color w:val="auto"/>
          <w:sz w:val="24"/>
          <w:szCs w:val="24"/>
        </w:rPr>
      </w:pPr>
      <w:r>
        <w:rPr>
          <w:rFonts w:hint="eastAsia" w:ascii="宋体" w:hAnsi="宋体"/>
          <w:color w:val="auto"/>
          <w:sz w:val="24"/>
          <w:szCs w:val="24"/>
        </w:rPr>
        <w:t>法定代表人或委托代理人（签字或盖章）：</w:t>
      </w:r>
    </w:p>
    <w:p w14:paraId="5B735A8A">
      <w:pPr>
        <w:spacing w:line="520" w:lineRule="exact"/>
        <w:ind w:right="420"/>
        <w:jc w:val="left"/>
        <w:rPr>
          <w:rFonts w:hint="eastAsia" w:ascii="宋体" w:hAnsi="宋体"/>
          <w:color w:val="auto"/>
          <w:sz w:val="24"/>
          <w:szCs w:val="24"/>
        </w:rPr>
      </w:pPr>
      <w:r>
        <w:rPr>
          <w:rFonts w:hint="eastAsia" w:ascii="宋体" w:hAnsi="宋体"/>
          <w:color w:val="auto"/>
          <w:sz w:val="24"/>
          <w:szCs w:val="24"/>
        </w:rPr>
        <w:t>年   月   日</w:t>
      </w:r>
    </w:p>
    <w:p w14:paraId="731E5EBE">
      <w:pPr>
        <w:snapToGrid w:val="0"/>
        <w:spacing w:line="460" w:lineRule="exact"/>
        <w:jc w:val="center"/>
        <w:rPr>
          <w:rFonts w:hint="eastAsia" w:ascii="宋体" w:hAnsi="宋体" w:cs="宋体"/>
          <w:b/>
          <w:color w:val="auto"/>
          <w:sz w:val="36"/>
          <w:szCs w:val="36"/>
        </w:rPr>
      </w:pPr>
    </w:p>
    <w:p w14:paraId="6B590E33">
      <w:pPr>
        <w:snapToGrid w:val="0"/>
        <w:spacing w:line="360" w:lineRule="auto"/>
        <w:rPr>
          <w:rFonts w:hint="eastAsia" w:ascii="仿宋" w:hAnsi="仿宋" w:eastAsia="仿宋" w:cs="仿宋"/>
          <w:b/>
          <w:bCs/>
          <w:color w:val="auto"/>
          <w:sz w:val="32"/>
          <w:szCs w:val="32"/>
        </w:rPr>
      </w:pPr>
    </w:p>
    <w:p w14:paraId="38F7A24E">
      <w:pPr>
        <w:rPr>
          <w:color w:val="auto"/>
        </w:rPr>
      </w:pPr>
    </w:p>
    <w:sectPr>
      <w:headerReference r:id="rId5" w:type="default"/>
      <w:footerReference r:id="rId6" w:type="default"/>
      <w:pgSz w:w="11906" w:h="16838"/>
      <w:pgMar w:top="1474" w:right="1684" w:bottom="1247" w:left="1684"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80B48">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6CF088D">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26CF088D">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7540A">
    <w:pPr>
      <w:pStyle w:val="6"/>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1DF4462">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21DF4462">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F6E85">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2EAA4">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06326"/>
    <w:multiLevelType w:val="singleLevel"/>
    <w:tmpl w:val="14106326"/>
    <w:lvl w:ilvl="0" w:tentative="0">
      <w:start w:val="3"/>
      <w:numFmt w:val="chineseCounting"/>
      <w:suff w:val="space"/>
      <w:lvlText w:val="第%1章"/>
      <w:lvlJc w:val="left"/>
      <w:rPr>
        <w:rFonts w:hint="eastAsia"/>
      </w:rPr>
    </w:lvl>
  </w:abstractNum>
  <w:abstractNum w:abstractNumId="1">
    <w:nsid w:val="187F70B4"/>
    <w:multiLevelType w:val="multilevel"/>
    <w:tmpl w:val="187F70B4"/>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234E103E"/>
    <w:multiLevelType w:val="singleLevel"/>
    <w:tmpl w:val="234E103E"/>
    <w:lvl w:ilvl="0" w:tentative="0">
      <w:start w:val="3"/>
      <w:numFmt w:val="chineseCounting"/>
      <w:suff w:val="nothing"/>
      <w:lvlText w:val="%1、"/>
      <w:lvlJc w:val="left"/>
      <w:rPr>
        <w:rFonts w:hint="eastAsia"/>
      </w:rPr>
    </w:lvl>
  </w:abstractNum>
  <w:abstractNum w:abstractNumId="3">
    <w:nsid w:val="58F74782"/>
    <w:multiLevelType w:val="multilevel"/>
    <w:tmpl w:val="58F74782"/>
    <w:lvl w:ilvl="0" w:tentative="0">
      <w:start w:val="1"/>
      <w:numFmt w:val="chineseCountingThousand"/>
      <w:pStyle w:val="2"/>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default" w:ascii="Arial" w:hAnsi="Arial"/>
      </w:rPr>
    </w:lvl>
    <w:lvl w:ilvl="4" w:tentative="0">
      <w:start w:val="1"/>
      <w:numFmt w:val="decimal"/>
      <w:lvlText w:val="%1.%2.%3.%4.%5"/>
      <w:lvlJc w:val="left"/>
      <w:pPr>
        <w:tabs>
          <w:tab w:val="left" w:pos="1150"/>
        </w:tabs>
        <w:ind w:left="1150"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664A6CD6"/>
    <w:multiLevelType w:val="singleLevel"/>
    <w:tmpl w:val="664A6CD6"/>
    <w:lvl w:ilvl="0" w:tentative="0">
      <w:start w:val="6"/>
      <w:numFmt w:val="chineseCounting"/>
      <w:suff w:val="space"/>
      <w:lvlText w:val="第%1章"/>
      <w:lvlJc w:val="left"/>
      <w:rPr>
        <w:rFonts w:hint="eastAsia"/>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MGI4NTI4ZDQxNzNlYzdhMGZhNDViOTUwZGJiMGIifQ=="/>
  </w:docVars>
  <w:rsids>
    <w:rsidRoot w:val="4E834BB3"/>
    <w:rsid w:val="01FF0067"/>
    <w:rsid w:val="054454B9"/>
    <w:rsid w:val="058E6011"/>
    <w:rsid w:val="05AC75A0"/>
    <w:rsid w:val="05D43C12"/>
    <w:rsid w:val="08E001B3"/>
    <w:rsid w:val="0E2A3E33"/>
    <w:rsid w:val="0FAB290E"/>
    <w:rsid w:val="10572E1C"/>
    <w:rsid w:val="169A1CB5"/>
    <w:rsid w:val="1C8166F6"/>
    <w:rsid w:val="1D8569A7"/>
    <w:rsid w:val="1E512C86"/>
    <w:rsid w:val="20350BBD"/>
    <w:rsid w:val="21AC2A7F"/>
    <w:rsid w:val="225B6560"/>
    <w:rsid w:val="231E70E0"/>
    <w:rsid w:val="243A1366"/>
    <w:rsid w:val="24530837"/>
    <w:rsid w:val="2B250B98"/>
    <w:rsid w:val="305D7B83"/>
    <w:rsid w:val="33527747"/>
    <w:rsid w:val="33AF1889"/>
    <w:rsid w:val="3AEB6D03"/>
    <w:rsid w:val="3FE47979"/>
    <w:rsid w:val="41076D53"/>
    <w:rsid w:val="46CC1167"/>
    <w:rsid w:val="4CA32CD8"/>
    <w:rsid w:val="4CC7150D"/>
    <w:rsid w:val="4E834BB3"/>
    <w:rsid w:val="50B328E8"/>
    <w:rsid w:val="50E87B49"/>
    <w:rsid w:val="51C43605"/>
    <w:rsid w:val="5248680B"/>
    <w:rsid w:val="526037D7"/>
    <w:rsid w:val="54B95129"/>
    <w:rsid w:val="570F2816"/>
    <w:rsid w:val="5D1E2496"/>
    <w:rsid w:val="5DE60909"/>
    <w:rsid w:val="5F3D4355"/>
    <w:rsid w:val="5FCB6008"/>
    <w:rsid w:val="60D1764E"/>
    <w:rsid w:val="614E0C9F"/>
    <w:rsid w:val="64BB015C"/>
    <w:rsid w:val="67A70660"/>
    <w:rsid w:val="67CF2401"/>
    <w:rsid w:val="67FD6F7B"/>
    <w:rsid w:val="6803022C"/>
    <w:rsid w:val="6D97577B"/>
    <w:rsid w:val="706A01D7"/>
    <w:rsid w:val="70B14E2D"/>
    <w:rsid w:val="780D6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numPr>
        <w:ilvl w:val="0"/>
        <w:numId w:val="1"/>
      </w:numPr>
      <w:autoSpaceDE w:val="0"/>
      <w:autoSpaceDN w:val="0"/>
      <w:adjustRightInd w:val="0"/>
      <w:spacing w:line="360" w:lineRule="auto"/>
      <w:jc w:val="center"/>
      <w:outlineLvl w:val="0"/>
    </w:pPr>
    <w:rPr>
      <w:rFonts w:ascii="Calibri" w:hAnsi="Calibri" w:eastAsia="隶书"/>
      <w:b/>
      <w:bCs/>
      <w:kern w:val="0"/>
      <w:sz w:val="36"/>
      <w:szCs w:val="36"/>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Indent"/>
    <w:basedOn w:val="1"/>
    <w:next w:val="1"/>
    <w:qFormat/>
    <w:uiPriority w:val="0"/>
    <w:pPr>
      <w:spacing w:line="200" w:lineRule="exact"/>
      <w:ind w:firstLine="301"/>
    </w:pPr>
    <w:rPr>
      <w:rFonts w:ascii="宋体" w:hAnsi="Courier New"/>
      <w:spacing w:val="-4"/>
      <w:sz w:val="18"/>
      <w:szCs w:val="20"/>
    </w:rPr>
  </w:style>
  <w:style w:type="paragraph" w:styleId="5">
    <w:name w:val="Plain Text"/>
    <w:basedOn w:val="1"/>
    <w:qFormat/>
    <w:uiPriority w:val="0"/>
    <w:pPr>
      <w:spacing w:before="156" w:beforeLines="50" w:after="156" w:afterLines="50" w:line="400" w:lineRule="exact"/>
    </w:pPr>
    <w:rPr>
      <w:rFonts w:ascii="宋体" w:hAnsi="Courier New"/>
      <w:sz w:val="24"/>
      <w:szCs w:val="2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rPr>
      <w:rFonts w:ascii="Times New Roman" w:hAnsi="Times New Roman"/>
      <w:szCs w:val="24"/>
    </w:rPr>
  </w:style>
  <w:style w:type="paragraph" w:styleId="9">
    <w:name w:val="Normal (Web)"/>
    <w:basedOn w:val="1"/>
    <w:next w:val="1"/>
    <w:unhideWhenUsed/>
    <w:qFormat/>
    <w:uiPriority w:val="0"/>
    <w:pPr>
      <w:widowControl/>
      <w:spacing w:before="100" w:beforeLines="0" w:beforeAutospacing="1" w:after="100" w:afterLines="0" w:afterAutospacing="1"/>
      <w:jc w:val="left"/>
    </w:pPr>
    <w:rPr>
      <w:rFonts w:hint="eastAsia" w:ascii="宋体" w:hAnsi="宋体"/>
      <w:color w:val="000000"/>
      <w:sz w:val="24"/>
    </w:rPr>
  </w:style>
  <w:style w:type="paragraph" w:styleId="10">
    <w:name w:val="Body Text First Indent 2"/>
    <w:basedOn w:val="4"/>
    <w:next w:val="11"/>
    <w:qFormat/>
    <w:uiPriority w:val="0"/>
    <w:pPr>
      <w:spacing w:after="120" w:afterLines="0" w:line="240" w:lineRule="auto"/>
      <w:ind w:left="420" w:leftChars="200" w:firstLine="420" w:firstLineChars="200"/>
    </w:pPr>
    <w:rPr>
      <w:rFonts w:ascii="Times New Roman" w:hAnsi="Times New Roman"/>
      <w:spacing w:val="0"/>
      <w:sz w:val="21"/>
      <w:szCs w:val="24"/>
    </w:rPr>
  </w:style>
  <w:style w:type="paragraph" w:customStyle="1" w:styleId="11">
    <w:name w:val="xl53"/>
    <w:basedOn w:val="1"/>
    <w:next w:val="1"/>
    <w:autoRedefine/>
    <w:qFormat/>
    <w:uiPriority w:val="0"/>
    <w:pPr>
      <w:widowControl/>
      <w:pBdr>
        <w:top w:val="single" w:color="auto" w:sz="4" w:space="0"/>
        <w:left w:val="single" w:color="auto" w:sz="4" w:space="0"/>
        <w:bottom w:val="single" w:color="auto" w:sz="4" w:space="0"/>
        <w:right w:val="single" w:color="auto" w:sz="8" w:space="0"/>
      </w:pBdr>
      <w:spacing w:before="124" w:beforeLines="40" w:after="124" w:afterLines="40"/>
      <w:jc w:val="left"/>
    </w:pPr>
    <w:rPr>
      <w:rFonts w:ascii="宋体" w:hAnsi="宋体" w:cs="宋体"/>
      <w:color w:val="0000FF"/>
      <w:kern w:val="0"/>
      <w:sz w:val="20"/>
      <w:szCs w:val="20"/>
    </w:rPr>
  </w:style>
  <w:style w:type="table" w:styleId="13">
    <w:name w:val="Table Grid"/>
    <w:basedOn w:val="12"/>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正文段"/>
    <w:basedOn w:val="1"/>
    <w:qFormat/>
    <w:uiPriority w:val="0"/>
    <w:pPr>
      <w:widowControl/>
      <w:snapToGrid w:val="0"/>
      <w:spacing w:after="156" w:afterLines="50"/>
      <w:ind w:firstLine="200" w:firstLineChars="200"/>
    </w:pPr>
    <w:rPr>
      <w:rFonts w:ascii="Times New Roman" w:hAnsi="Times New Roman"/>
      <w:kern w:val="0"/>
      <w:sz w:val="24"/>
      <w:szCs w:val="20"/>
    </w:rPr>
  </w:style>
  <w:style w:type="paragraph" w:customStyle="1" w:styleId="16">
    <w:name w:val="正文 + 宋体"/>
    <w:basedOn w:val="9"/>
    <w:autoRedefine/>
    <w:qFormat/>
    <w:uiPriority w:val="0"/>
    <w:pPr>
      <w:spacing w:before="124" w:beforeLines="40" w:beforeAutospacing="0" w:after="124" w:afterLines="40" w:afterAutospacing="0" w:line="480" w:lineRule="auto"/>
      <w:ind w:firstLine="560" w:firstLineChars="200"/>
    </w:pPr>
    <w:rPr>
      <w:rFonts w:cs="Times New Roman"/>
      <w:spacing w:val="20"/>
      <w:kern w:val="2"/>
      <w:lang w:val="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13567</Words>
  <Characters>14418</Characters>
  <Lines>0</Lines>
  <Paragraphs>0</Paragraphs>
  <TotalTime>89</TotalTime>
  <ScaleCrop>false</ScaleCrop>
  <LinksUpToDate>false</LinksUpToDate>
  <CharactersWithSpaces>15509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2024-04-03T08:45:00Z</dcterms:created>
  <dc:creator>.</dc:creator>
  <cp:lastModifiedBy>.</cp:lastModifiedBy>
  <dcterms:modified xsi:type="dcterms:W3CDTF">2025-06-17T11:22:04Z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F393E1204CAC4CCA8C5B09769515C33B_13</vt:lpwstr>
  </property>
  <property fmtid="{D5CDD505-2E9C-101B-9397-08002B2CF9AE}" pid="4" name="KSOTemplateDocerSaveRecord">
    <vt:lpwstr>eyJoZGlkIjoiNTNlMGI4NTI4ZDQxNzNlYzdhMGZhNDViOTUwZGJiMGIiLCJ1c2VySWQiOiIxMTYwNjM0ODM0In0=</vt:lpwstr>
  </property>
</Properties>
</file>