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801C">
      <w:pPr>
        <w:spacing w:line="240" w:lineRule="auto"/>
        <w:jc w:val="center"/>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rPr>
        <w:t>2025年度（第四期）嘉兴市秀洲区住房保障与房地产管理服务中心物业维修资金和物业保修金竞争性存放项目的中标</w:t>
      </w:r>
      <w:r>
        <w:rPr>
          <w:rFonts w:hint="eastAsia" w:ascii="微软雅黑" w:hAnsi="微软雅黑" w:eastAsia="微软雅黑" w:cs="微软雅黑"/>
          <w:b/>
          <w:bCs/>
          <w:i w:val="0"/>
          <w:iCs w:val="0"/>
          <w:caps w:val="0"/>
          <w:color w:val="000000"/>
          <w:spacing w:val="0"/>
          <w:sz w:val="28"/>
          <w:szCs w:val="28"/>
          <w:lang w:val="en-US" w:eastAsia="zh-CN"/>
        </w:rPr>
        <w:t>结果更正公告</w:t>
      </w:r>
    </w:p>
    <w:p w14:paraId="1E6875A5">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一、招标人名称：</w:t>
      </w:r>
      <w:r>
        <w:rPr>
          <w:rFonts w:hint="eastAsia" w:ascii="宋体" w:hAnsi="宋体" w:eastAsia="宋体" w:cs="宋体"/>
          <w:i w:val="0"/>
          <w:iCs w:val="0"/>
          <w:caps w:val="0"/>
          <w:color w:val="000000"/>
          <w:spacing w:val="0"/>
          <w:sz w:val="21"/>
          <w:szCs w:val="21"/>
        </w:rPr>
        <w:t>  嘉兴市秀洲区住房保障与房地产管理服务中心 </w:t>
      </w:r>
    </w:p>
    <w:p w14:paraId="1D90854A">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二、招标项目名称： </w:t>
      </w:r>
      <w:r>
        <w:rPr>
          <w:rFonts w:hint="eastAsia" w:ascii="宋体" w:hAnsi="宋体" w:eastAsia="宋体" w:cs="宋体"/>
          <w:i w:val="0"/>
          <w:iCs w:val="0"/>
          <w:caps w:val="0"/>
          <w:color w:val="000000"/>
          <w:spacing w:val="0"/>
          <w:sz w:val="21"/>
          <w:szCs w:val="21"/>
        </w:rPr>
        <w:t>2025年度（第四期）嘉兴市秀洲区住房保障与房地产管理服务中心物业维修资金和物业保修金竞争性存放项目   </w:t>
      </w:r>
    </w:p>
    <w:p w14:paraId="7DD70B54">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三、招标项目编号：</w:t>
      </w:r>
      <w:r>
        <w:rPr>
          <w:rFonts w:hint="eastAsia" w:ascii="宋体" w:hAnsi="宋体" w:eastAsia="宋体" w:cs="宋体"/>
          <w:i w:val="0"/>
          <w:iCs w:val="0"/>
          <w:caps w:val="0"/>
          <w:color w:val="000000"/>
          <w:spacing w:val="0"/>
          <w:sz w:val="21"/>
          <w:szCs w:val="21"/>
        </w:rPr>
        <w:t>  千秋-XZCF（2025）第13号 </w:t>
      </w:r>
    </w:p>
    <w:p w14:paraId="5220A34A">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四、招标项目内容：</w:t>
      </w:r>
      <w:r>
        <w:rPr>
          <w:rFonts w:hint="eastAsia" w:ascii="宋体" w:hAnsi="宋体" w:eastAsia="宋体" w:cs="宋体"/>
          <w:i w:val="0"/>
          <w:iCs w:val="0"/>
          <w:caps w:val="0"/>
          <w:color w:val="000000"/>
          <w:spacing w:val="0"/>
          <w:sz w:val="21"/>
          <w:szCs w:val="21"/>
        </w:rPr>
        <w:t>  </w:t>
      </w:r>
    </w:p>
    <w:p w14:paraId="1A4A9047">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资金金额为10000万元，存放期限为1年，中标银行均为8家，第1、2名各分配1600万元、第3、4名各分配1400万元，第5、6名各分配1200万元，第7、8名各分配800万元。 </w:t>
      </w:r>
    </w:p>
    <w:p w14:paraId="3A3FA40D">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五、招标公告发布日期： </w:t>
      </w:r>
      <w:r>
        <w:rPr>
          <w:rFonts w:hint="eastAsia" w:ascii="宋体" w:hAnsi="宋体" w:eastAsia="宋体" w:cs="宋体"/>
          <w:i w:val="0"/>
          <w:iCs w:val="0"/>
          <w:caps w:val="0"/>
          <w:color w:val="000000"/>
          <w:spacing w:val="0"/>
          <w:sz w:val="21"/>
          <w:szCs w:val="21"/>
        </w:rPr>
        <w:t>2025年06月25日 </w:t>
      </w:r>
    </w:p>
    <w:p w14:paraId="538A9A73">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六、定标日期：</w:t>
      </w:r>
      <w:r>
        <w:rPr>
          <w:rFonts w:hint="eastAsia" w:ascii="宋体" w:hAnsi="宋体" w:eastAsia="宋体" w:cs="宋体"/>
          <w:i w:val="0"/>
          <w:iCs w:val="0"/>
          <w:caps w:val="0"/>
          <w:color w:val="000000"/>
          <w:spacing w:val="0"/>
          <w:sz w:val="21"/>
          <w:szCs w:val="21"/>
        </w:rPr>
        <w:t>  2025年07月04日 </w:t>
      </w:r>
    </w:p>
    <w:p w14:paraId="7408D0BA">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七、中标结果：</w:t>
      </w:r>
      <w:r>
        <w:rPr>
          <w:rFonts w:hint="eastAsia" w:ascii="宋体" w:hAnsi="宋体" w:eastAsia="宋体" w:cs="宋体"/>
          <w:i w:val="0"/>
          <w:iCs w:val="0"/>
          <w:caps w:val="0"/>
          <w:color w:val="000000"/>
          <w:spacing w:val="0"/>
          <w:sz w:val="21"/>
          <w:szCs w:val="21"/>
        </w:rPr>
        <w:t> </w:t>
      </w:r>
    </w:p>
    <w:p w14:paraId="4029AD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sz w:val="21"/>
          <w:szCs w:val="21"/>
          <w:lang w:val="en-US" w:eastAsia="zh-CN"/>
        </w:rPr>
        <w:t>原中标结果为</w:t>
      </w:r>
      <w:r>
        <w:rPr>
          <w:rFonts w:hint="eastAsia" w:ascii="宋体" w:hAnsi="宋体" w:eastAsia="宋体" w:cs="宋体"/>
          <w:i w:val="0"/>
          <w:iCs w:val="0"/>
          <w:caps w:val="0"/>
          <w:color w:val="000000"/>
          <w:spacing w:val="0"/>
          <w:sz w:val="21"/>
          <w:szCs w:val="21"/>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75"/>
        <w:gridCol w:w="2554"/>
        <w:gridCol w:w="1767"/>
        <w:gridCol w:w="1843"/>
        <w:gridCol w:w="1767"/>
      </w:tblGrid>
      <w:tr w14:paraId="2D87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9C05872">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序号</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35517DC">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投标银行</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5585ED0">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利率（12个月）(BP)</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C5ACCB5">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利率（12个月）(%)</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B474AA2">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中标存款额（万元）</w:t>
            </w:r>
          </w:p>
        </w:tc>
      </w:tr>
      <w:tr w14:paraId="7EC3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66339C7">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5A53DAF">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宁波银行股份有限公司嘉兴分行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2C5398B">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-20</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7B2394B">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1.300</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88719CC">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1600.00</w:t>
            </w:r>
          </w:p>
        </w:tc>
      </w:tr>
      <w:tr w14:paraId="6DDD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31A4874">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2</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F84EC5B">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北京银行股份有限公司嘉兴分行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C4E43EE">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-20</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984D0AB">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1.300</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AD892BE">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1600.00</w:t>
            </w:r>
          </w:p>
        </w:tc>
      </w:tr>
      <w:tr w14:paraId="5B07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A6A7B8D">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3</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FBAA26B">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浙江禾城农村商业银行股份有限公司</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7DAEF82">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0</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4A8A77B">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1.500</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B63CD15">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1400.00</w:t>
            </w:r>
          </w:p>
        </w:tc>
      </w:tr>
      <w:tr w14:paraId="6A9D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D4FE828">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4</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AE68E33">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中国工商银行股份有限公司嘉兴分行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D499645">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-40</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20B2366">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1.100</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AEBA3F8">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1400.00</w:t>
            </w:r>
          </w:p>
        </w:tc>
      </w:tr>
      <w:tr w14:paraId="3222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800C16A">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5</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BC5A3A2">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中国农业银行股份有限公司嘉兴分行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BD35ACF">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-40</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BDC8B78">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1.100</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D0B1C60">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1200.00</w:t>
            </w:r>
          </w:p>
        </w:tc>
      </w:tr>
      <w:tr w14:paraId="00F8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15318F5">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6</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49A6BDB">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中国银行股份有限公司嘉兴市分行</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9976065">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-40</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B506A7D">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1.100</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B45059C">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1200.00</w:t>
            </w:r>
          </w:p>
        </w:tc>
      </w:tr>
      <w:tr w14:paraId="709D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7651B7A">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7</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9FA029E">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中信银行股份有限公司嘉兴分行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4A7C3F0">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-20</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60B8F79">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1.300</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9DC833E">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800.00</w:t>
            </w:r>
          </w:p>
        </w:tc>
      </w:tr>
      <w:tr w14:paraId="4608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7E0CE24">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8</w:t>
            </w:r>
          </w:p>
        </w:tc>
        <w:tc>
          <w:tcPr>
            <w:tcW w:w="255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5BACC96">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杭州银行股份有限公司嘉兴分行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91677B9">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-20</w:t>
            </w:r>
          </w:p>
        </w:tc>
        <w:tc>
          <w:tcPr>
            <w:tcW w:w="18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5645651">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1.300</w:t>
            </w:r>
          </w:p>
        </w:tc>
        <w:tc>
          <w:tcPr>
            <w:tcW w:w="176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E6038A4">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800.00</w:t>
            </w:r>
          </w:p>
        </w:tc>
      </w:tr>
    </w:tbl>
    <w:p w14:paraId="44A70E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rPr>
          <w:rFonts w:hint="default" w:ascii="宋体" w:hAnsi="宋体" w:eastAsia="宋体" w:cs="宋体"/>
          <w:b/>
          <w:bCs/>
          <w:sz w:val="21"/>
          <w:szCs w:val="21"/>
          <w:lang w:val="en-US" w:eastAsia="zh-CN"/>
        </w:rPr>
      </w:pPr>
      <w:r>
        <w:rPr>
          <w:rFonts w:hint="eastAsia" w:ascii="宋体" w:hAnsi="宋体" w:eastAsia="宋体" w:cs="宋体"/>
          <w:i w:val="0"/>
          <w:iCs w:val="0"/>
          <w:caps w:val="0"/>
          <w:color w:val="000000"/>
          <w:spacing w:val="0"/>
          <w:kern w:val="0"/>
          <w:sz w:val="21"/>
          <w:szCs w:val="21"/>
          <w:lang w:val="en-US" w:eastAsia="zh-CN" w:bidi="ar"/>
        </w:rPr>
        <w:t>  </w:t>
      </w:r>
      <w:r>
        <w:rPr>
          <w:rFonts w:hint="eastAsia" w:ascii="宋体" w:hAnsi="宋体" w:eastAsia="宋体" w:cs="宋体"/>
          <w:b/>
          <w:bCs/>
          <w:sz w:val="21"/>
          <w:szCs w:val="21"/>
          <w:lang w:val="en-US" w:eastAsia="zh-CN"/>
        </w:rPr>
        <w:t>现更正为</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5"/>
        <w:gridCol w:w="2554"/>
        <w:gridCol w:w="1767"/>
        <w:gridCol w:w="1843"/>
        <w:gridCol w:w="1767"/>
      </w:tblGrid>
      <w:tr w14:paraId="0513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F1D8353">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序号</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EFB9496">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投标银行</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676329B">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利率（12个月）(BP)</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7F0BC71">
            <w:pPr>
              <w:keepNext w:val="0"/>
              <w:keepLines w:val="0"/>
              <w:widowControl/>
              <w:suppressLineNumbers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利率（12个月）(%)</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9DBA72">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中标存款额（万元）</w:t>
            </w:r>
          </w:p>
        </w:tc>
      </w:tr>
      <w:tr w14:paraId="2844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0F0676A">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1</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051D2B8">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宁波银行股份有限公司嘉兴分行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3BA75CF">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-20</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225764E">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1.300 </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962FF0">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1600.00</w:t>
            </w:r>
          </w:p>
        </w:tc>
      </w:tr>
      <w:tr w14:paraId="7C21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9246EE">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2</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B991F15">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北京银行股份有限公司嘉兴分行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AD2BC7">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-20</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9415542">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1.300 </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32A301">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1600.00</w:t>
            </w:r>
          </w:p>
        </w:tc>
      </w:tr>
      <w:tr w14:paraId="6BBD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EC29A30">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3</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138CBB">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浙江禾城农村商业银行股份有限公司</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F6D686D">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0</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DD92D6E">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1.500 </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7C0A6CF">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1400.00</w:t>
            </w:r>
          </w:p>
        </w:tc>
      </w:tr>
      <w:tr w14:paraId="2E84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9B99B0F">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4</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E95BA88">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中国农业银行股份有限公司嘉兴分行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587AE93">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-40</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9971C43">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1.100 </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7E1C076">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1400.00</w:t>
            </w:r>
          </w:p>
        </w:tc>
      </w:tr>
      <w:tr w14:paraId="7A51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F15733">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5</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406D8D">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中国工商银行股份有限公司嘉兴分行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211A39A">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-40</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CB90469">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1.100 </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6215479">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1200.00</w:t>
            </w:r>
          </w:p>
        </w:tc>
      </w:tr>
      <w:tr w14:paraId="6AFA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641963">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6</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125668">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中国银行股份有限公司嘉兴市分行</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4AFD42">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-40</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0919532">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1.100 </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3842BEC">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1200.00</w:t>
            </w:r>
          </w:p>
        </w:tc>
      </w:tr>
      <w:tr w14:paraId="70C3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267AB7">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7</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F443396">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中国建设银行股份有限公司嘉兴分行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97E3D2">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-40</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E71A95A">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1.100 </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10DD17B">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800.00 </w:t>
            </w:r>
          </w:p>
        </w:tc>
      </w:tr>
      <w:tr w14:paraId="5BE0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9F0FF50">
            <w:pPr>
              <w:keepNext w:val="0"/>
              <w:keepLines w:val="0"/>
              <w:widowControl/>
              <w:suppressLineNumbers w:val="0"/>
              <w:wordWrap w:val="0"/>
              <w:spacing w:line="240" w:lineRule="auto"/>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8</w:t>
            </w:r>
          </w:p>
        </w:tc>
        <w:tc>
          <w:tcPr>
            <w:tcW w:w="255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522007">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中信银行股份有限公司嘉兴分行</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D3C5A56">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-20</w:t>
            </w:r>
          </w:p>
        </w:tc>
        <w:tc>
          <w:tcPr>
            <w:tcW w:w="184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2327">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1.300 </w:t>
            </w:r>
          </w:p>
        </w:tc>
        <w:tc>
          <w:tcPr>
            <w:tcW w:w="176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C01F5AF">
            <w:pPr>
              <w:keepNext w:val="0"/>
              <w:keepLines w:val="0"/>
              <w:widowControl/>
              <w:suppressLineNumbers w:val="0"/>
              <w:wordWrap w:val="0"/>
              <w:spacing w:line="240" w:lineRule="auto"/>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xml:space="preserve">800.00 </w:t>
            </w:r>
          </w:p>
        </w:tc>
      </w:tr>
    </w:tbl>
    <w:p w14:paraId="1553851F">
      <w:pPr>
        <w:pStyle w:val="2"/>
        <w:keepNext w:val="0"/>
        <w:keepLines w:val="0"/>
        <w:widowControl/>
        <w:suppressLineNumbers w:val="0"/>
        <w:spacing w:line="240" w:lineRule="auto"/>
        <w:ind w:left="0" w:firstLine="0"/>
        <w:rPr>
          <w:rFonts w:hint="eastAsia" w:ascii="宋体" w:hAnsi="宋体" w:eastAsia="宋体" w:cs="宋体"/>
          <w:i w:val="0"/>
          <w:iCs w:val="0"/>
          <w:caps w:val="0"/>
          <w:color w:val="000000"/>
          <w:spacing w:val="0"/>
          <w:sz w:val="21"/>
          <w:szCs w:val="21"/>
        </w:rPr>
      </w:pPr>
      <w:bookmarkStart w:id="0" w:name="_GoBack"/>
      <w:bookmarkEnd w:id="0"/>
      <w:r>
        <w:rPr>
          <w:rStyle w:val="5"/>
          <w:rFonts w:hint="eastAsia" w:ascii="宋体" w:hAnsi="宋体" w:eastAsia="宋体" w:cs="宋体"/>
          <w:i w:val="0"/>
          <w:iCs w:val="0"/>
          <w:caps w:val="0"/>
          <w:color w:val="000000"/>
          <w:spacing w:val="0"/>
          <w:sz w:val="21"/>
          <w:szCs w:val="21"/>
        </w:rPr>
        <w:t>八、联系方式：</w:t>
      </w:r>
    </w:p>
    <w:p w14:paraId="2DEF4034">
      <w:pPr>
        <w:pStyle w:val="2"/>
        <w:keepNext w:val="0"/>
        <w:keepLines w:val="0"/>
        <w:widowControl/>
        <w:suppressLineNumbers w:val="0"/>
        <w:spacing w:line="240" w:lineRule="auto"/>
        <w:ind w:lef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嘉兴市秀洲区住房保障与房地产管理服务中心</w:t>
      </w:r>
    </w:p>
    <w:p w14:paraId="396C2FB4">
      <w:pPr>
        <w:pStyle w:val="2"/>
        <w:keepNext w:val="0"/>
        <w:keepLines w:val="0"/>
        <w:widowControl/>
        <w:suppressLineNumbers w:val="0"/>
        <w:spacing w:line="240" w:lineRule="auto"/>
        <w:ind w:lef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xml:space="preserve">项目联系人：厉先生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联系电话：0573-82721912</w:t>
      </w:r>
    </w:p>
    <w:p w14:paraId="1F824714">
      <w:pPr>
        <w:pStyle w:val="2"/>
        <w:keepNext w:val="0"/>
        <w:keepLines w:val="0"/>
        <w:widowControl/>
        <w:suppressLineNumbers w:val="0"/>
        <w:spacing w:line="240" w:lineRule="auto"/>
        <w:ind w:lef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嘉兴市千秋工程咨询有限公司</w:t>
      </w:r>
    </w:p>
    <w:p w14:paraId="3CA86987">
      <w:pPr>
        <w:pStyle w:val="2"/>
        <w:keepNext w:val="0"/>
        <w:keepLines w:val="0"/>
        <w:widowControl/>
        <w:suppressLineNumbers w:val="0"/>
        <w:spacing w:line="240" w:lineRule="auto"/>
        <w:ind w:lef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联系人：章莉莉、李建良</w:t>
      </w:r>
    </w:p>
    <w:p w14:paraId="31FE1D8A">
      <w:pPr>
        <w:pStyle w:val="2"/>
        <w:keepNext w:val="0"/>
        <w:keepLines w:val="0"/>
        <w:widowControl/>
        <w:suppressLineNumbers w:val="0"/>
        <w:spacing w:line="240" w:lineRule="auto"/>
        <w:ind w:lef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联系电话：0573- 83705015 13605735186</w:t>
      </w:r>
    </w:p>
    <w:p w14:paraId="2240080D">
      <w:pPr>
        <w:pStyle w:val="2"/>
        <w:keepNext w:val="0"/>
        <w:keepLines w:val="0"/>
        <w:widowControl/>
        <w:suppressLineNumbers w:val="0"/>
        <w:spacing w:line="240" w:lineRule="auto"/>
        <w:ind w:left="24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嘉兴市秀洲区住房保障与房地产管理服务中心</w:t>
      </w:r>
    </w:p>
    <w:p w14:paraId="54C4BFCC">
      <w:pPr>
        <w:pStyle w:val="2"/>
        <w:keepNext w:val="0"/>
        <w:keepLines w:val="0"/>
        <w:widowControl/>
        <w:suppressLineNumbers w:val="0"/>
        <w:spacing w:line="240" w:lineRule="auto"/>
        <w:ind w:left="24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嘉兴市千秋工程咨询有限公司</w:t>
      </w:r>
    </w:p>
    <w:p w14:paraId="79016537">
      <w:pPr>
        <w:pStyle w:val="2"/>
        <w:keepNext w:val="0"/>
        <w:keepLines w:val="0"/>
        <w:widowControl/>
        <w:suppressLineNumbers w:val="0"/>
        <w:spacing w:line="240" w:lineRule="auto"/>
        <w:ind w:left="0" w:firstLine="0"/>
        <w:jc w:val="right"/>
        <w:rPr>
          <w:rFonts w:hint="eastAsia" w:ascii="微软雅黑" w:hAnsi="微软雅黑" w:eastAsia="微软雅黑" w:cs="微软雅黑"/>
          <w:b/>
          <w:bCs/>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1"/>
          <w:szCs w:val="21"/>
        </w:rPr>
        <w:t>2025年07月0</w:t>
      </w:r>
      <w:r>
        <w:rPr>
          <w:rFonts w:hint="eastAsia" w:ascii="宋体" w:hAnsi="宋体" w:eastAsia="宋体" w:cs="宋体"/>
          <w:i w:val="0"/>
          <w:iCs w:val="0"/>
          <w:caps w:val="0"/>
          <w:color w:val="000000"/>
          <w:spacing w:val="0"/>
          <w:sz w:val="21"/>
          <w:szCs w:val="21"/>
          <w:lang w:val="en-US" w:eastAsia="zh-CN"/>
        </w:rPr>
        <w:t>8</w:t>
      </w:r>
      <w:r>
        <w:rPr>
          <w:rFonts w:hint="eastAsia" w:ascii="宋体" w:hAnsi="宋体" w:eastAsia="宋体" w:cs="宋体"/>
          <w:i w:val="0"/>
          <w:iCs w:val="0"/>
          <w:caps w:val="0"/>
          <w:color w:val="000000"/>
          <w:spacing w:val="0"/>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D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2025-07-08T07:30:01Z</dcterms:created>
  <dc:creator>Administrator</dc:creator>
  <cp:lastModifiedBy>章大莉</cp:lastModifiedBy>
  <dcterms:modified xsi:type="dcterms:W3CDTF">2025-07-08T07:44:10Z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eyJoZGlkIjoiMTJlMTYyNTAxYWM3MWI0NzliODIyODNmMjdmN2NhNGEiLCJ1c2VySWQiOiIxMjkzODA4MDU5In0=</vt:lpwstr>
  </property>
  <property fmtid="{D5CDD505-2E9C-101B-9397-08002B2CF9AE}" pid="4" name="ICV">
    <vt:lpwstr>26713006C0CB4F4C822960CAC6368FAB_12</vt:lpwstr>
  </property>
</Properties>
</file>