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4E391">
      <w:pPr>
        <w:tabs>
          <w:tab w:val="left" w:pos="3449"/>
        </w:tabs>
        <w:spacing w:line="360" w:lineRule="auto"/>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 xml:space="preserve"> </w:t>
      </w:r>
    </w:p>
    <w:p w14:paraId="620AFD20">
      <w:pPr>
        <w:pStyle w:val="85"/>
        <w:jc w:val="center"/>
        <w:rPr>
          <w:rFonts w:hint="eastAsia" w:ascii="微软雅黑" w:hAnsi="微软雅黑" w:eastAsia="微软雅黑" w:cs="微软雅黑"/>
          <w:b/>
          <w:bCs/>
          <w:color w:val="auto"/>
          <w:sz w:val="72"/>
          <w:szCs w:val="72"/>
          <w:highlight w:val="none"/>
        </w:rPr>
      </w:pPr>
      <w:r>
        <w:rPr>
          <w:rFonts w:hint="eastAsia" w:ascii="微软雅黑" w:hAnsi="微软雅黑" w:eastAsia="微软雅黑" w:cs="微软雅黑"/>
          <w:b/>
          <w:bCs/>
          <w:color w:val="auto"/>
          <w:sz w:val="72"/>
          <w:szCs w:val="72"/>
          <w:highlight w:val="none"/>
        </w:rPr>
        <w:t>公 开 招 标 采 购 文 件</w:t>
      </w:r>
    </w:p>
    <w:p w14:paraId="5A9DB174">
      <w:pPr>
        <w:pStyle w:val="85"/>
        <w:jc w:val="center"/>
        <w:rPr>
          <w:rFonts w:hint="eastAsia" w:ascii="方正粗黑宋简体" w:hAnsi="方正粗黑宋简体" w:eastAsia="方正粗黑宋简体"/>
          <w:color w:val="auto"/>
          <w:sz w:val="52"/>
          <w:szCs w:val="52"/>
          <w:highlight w:val="none"/>
        </w:rPr>
      </w:pPr>
    </w:p>
    <w:p w14:paraId="6EADA081">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505075" cy="2390775"/>
            <wp:effectExtent l="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3"/>
                    <a:srcRect/>
                    <a:stretch>
                      <a:fillRect/>
                    </a:stretch>
                  </pic:blipFill>
                  <pic:spPr>
                    <a:xfrm>
                      <a:off x="0" y="0"/>
                      <a:ext cx="2509301" cy="2395242"/>
                    </a:xfrm>
                    <a:prstGeom prst="rect">
                      <a:avLst/>
                    </a:prstGeom>
                    <a:noFill/>
                    <a:ln w="9525" cmpd="sng">
                      <a:noFill/>
                      <a:miter lim="800000"/>
                      <a:headEnd/>
                      <a:tailEnd/>
                    </a:ln>
                    <a:effectLst/>
                  </pic:spPr>
                </pic:pic>
              </a:graphicData>
            </a:graphic>
          </wp:inline>
        </w:drawing>
      </w:r>
    </w:p>
    <w:p w14:paraId="15F36E40">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p>
    <w:p w14:paraId="36D94A9E">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4910602C">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14464A7C">
      <w:pPr>
        <w:pStyle w:val="22"/>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67A429FF">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嘉兴市预算会计核算教育分中心2025年第一期公款竞争性存放项目</w:t>
      </w:r>
    </w:p>
    <w:p w14:paraId="1FEC0942">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千秋-N（2025）第77号</w:t>
      </w:r>
    </w:p>
    <w:p w14:paraId="3D2BF8DA">
      <w:pPr>
        <w:pStyle w:val="22"/>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采购单位：</w:t>
      </w:r>
      <w:r>
        <w:rPr>
          <w:rFonts w:hint="eastAsia" w:ascii="微软雅黑" w:hAnsi="微软雅黑" w:eastAsia="微软雅黑"/>
          <w:bCs/>
          <w:color w:val="auto"/>
          <w:w w:val="95"/>
          <w:sz w:val="28"/>
          <w:szCs w:val="28"/>
          <w:highlight w:val="none"/>
          <w:lang w:eastAsia="zh-CN"/>
        </w:rPr>
        <w:t>嘉兴市预算会计核算教育分中心</w:t>
      </w:r>
    </w:p>
    <w:p w14:paraId="5AF68ECC">
      <w:pPr>
        <w:pStyle w:val="22"/>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3FD10C83">
      <w:pPr>
        <w:pStyle w:val="22"/>
        <w:spacing w:before="156" w:after="156" w:line="360" w:lineRule="auto"/>
        <w:jc w:val="left"/>
        <w:rPr>
          <w:rFonts w:cstheme="majorBidi"/>
          <w:color w:val="auto"/>
          <w:kern w:val="28"/>
          <w:sz w:val="32"/>
          <w:szCs w:val="32"/>
          <w:highlight w:val="none"/>
        </w:rPr>
      </w:pPr>
      <w:bookmarkStart w:id="0" w:name="_Toc493511539"/>
      <w:bookmarkStart w:id="1" w:name="_Toc50012812"/>
      <w:bookmarkStart w:id="2" w:name="_Toc427915753"/>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07</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16</w:t>
      </w:r>
      <w:r>
        <w:rPr>
          <w:rFonts w:hint="eastAsia" w:ascii="微软雅黑" w:hAnsi="微软雅黑" w:eastAsia="微软雅黑"/>
          <w:bCs/>
          <w:color w:val="auto"/>
          <w:w w:val="95"/>
          <w:sz w:val="28"/>
          <w:szCs w:val="28"/>
          <w:highlight w:val="none"/>
        </w:rPr>
        <w:t>日</w:t>
      </w:r>
      <w:bookmarkEnd w:id="0"/>
      <w:bookmarkEnd w:id="1"/>
      <w:bookmarkEnd w:id="2"/>
    </w:p>
    <w:p w14:paraId="53919B03">
      <w:pPr>
        <w:rPr>
          <w:rFonts w:cstheme="majorBidi"/>
          <w:color w:val="auto"/>
          <w:kern w:val="28"/>
          <w:sz w:val="32"/>
          <w:szCs w:val="32"/>
          <w:highlight w:val="none"/>
        </w:rPr>
        <w:sectPr>
          <w:footerReference r:id="rId7" w:type="first"/>
          <w:headerReference r:id="rId4" w:type="default"/>
          <w:footerReference r:id="rId5" w:type="default"/>
          <w:footerReference r:id="rId6" w:type="even"/>
          <w:pgSz w:w="11907" w:h="16840"/>
          <w:pgMar w:top="1440" w:right="1797" w:bottom="1440" w:left="1797" w:header="851" w:footer="851" w:gutter="0"/>
          <w:pgNumType w:fmt="decimal" w:start="1"/>
          <w:cols w:space="425" w:num="1"/>
          <w:titlePg/>
          <w:docGrid w:type="lines" w:linePitch="312" w:charSpace="0"/>
        </w:sectPr>
      </w:pPr>
    </w:p>
    <w:p w14:paraId="2F74CE40">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2F1949F0">
          <w:pPr>
            <w:pStyle w:val="87"/>
            <w:jc w:val="center"/>
            <w:rPr>
              <w:color w:val="auto"/>
              <w:highlight w:val="none"/>
            </w:rPr>
          </w:pPr>
          <w:r>
            <w:rPr>
              <w:color w:val="auto"/>
              <w:highlight w:val="none"/>
              <w:lang w:val="zh-CN"/>
            </w:rPr>
            <w:t>目录</w:t>
          </w:r>
        </w:p>
        <w:p w14:paraId="78364A1C">
          <w:pPr>
            <w:pStyle w:val="28"/>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5"/>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5C610C7">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5"/>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2A7E7ED5">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5"/>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7</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1D4715E">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5"/>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18</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E0E01A2">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5"/>
              <w:rFonts w:hint="eastAsia" w:ascii="微软雅黑" w:hAnsi="微软雅黑" w:eastAsia="微软雅黑"/>
              <w:color w:val="auto"/>
              <w:highlight w:val="none"/>
            </w:rPr>
            <w:t>第五章 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A617F90">
          <w:pPr>
            <w:pStyle w:val="28"/>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5"/>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ascii="微软雅黑" w:hAnsi="微软雅黑" w:eastAsia="微软雅黑"/>
              <w:color w:val="auto"/>
              <w:highlight w:val="none"/>
            </w:rPr>
            <w:t>28</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69679DBD">
          <w:pPr>
            <w:spacing w:line="480" w:lineRule="auto"/>
            <w:rPr>
              <w:color w:val="auto"/>
              <w:highlight w:val="none"/>
            </w:rPr>
          </w:pPr>
          <w:r>
            <w:rPr>
              <w:rFonts w:ascii="微软雅黑" w:hAnsi="微软雅黑" w:eastAsia="微软雅黑"/>
              <w:color w:val="auto"/>
              <w:highlight w:val="none"/>
            </w:rPr>
            <w:fldChar w:fldCharType="end"/>
          </w:r>
        </w:p>
      </w:sdtContent>
    </w:sdt>
    <w:p w14:paraId="471B411D">
      <w:pPr>
        <w:tabs>
          <w:tab w:val="left" w:pos="3960"/>
          <w:tab w:val="left" w:pos="5554"/>
        </w:tabs>
        <w:rPr>
          <w:rFonts w:cstheme="majorBidi"/>
          <w:color w:val="auto"/>
          <w:kern w:val="28"/>
          <w:sz w:val="32"/>
          <w:szCs w:val="32"/>
          <w:highlight w:val="none"/>
        </w:rPr>
      </w:pPr>
      <w:r>
        <w:rPr>
          <w:rFonts w:cstheme="majorBidi"/>
          <w:color w:val="auto"/>
          <w:kern w:val="28"/>
          <w:sz w:val="32"/>
          <w:szCs w:val="32"/>
          <w:highlight w:val="none"/>
        </w:rPr>
        <w:tab/>
      </w:r>
      <w:r>
        <w:rPr>
          <w:rFonts w:cstheme="majorBidi"/>
          <w:color w:val="auto"/>
          <w:kern w:val="28"/>
          <w:sz w:val="32"/>
          <w:szCs w:val="32"/>
          <w:highlight w:val="none"/>
        </w:rPr>
        <w:tab/>
      </w:r>
    </w:p>
    <w:p w14:paraId="7B9DCD1F">
      <w:pPr>
        <w:rPr>
          <w:rFonts w:cstheme="majorBidi"/>
          <w:color w:val="auto"/>
          <w:kern w:val="28"/>
          <w:sz w:val="32"/>
          <w:szCs w:val="32"/>
          <w:highlight w:val="none"/>
        </w:rPr>
      </w:pPr>
    </w:p>
    <w:p w14:paraId="6FD32B6D">
      <w:pPr>
        <w:pStyle w:val="36"/>
        <w:outlineLvl w:val="9"/>
        <w:rPr>
          <w:color w:val="auto"/>
          <w:highlight w:val="none"/>
        </w:rPr>
      </w:pPr>
      <w:bookmarkStart w:id="3" w:name="_Toc11650166"/>
      <w:bookmarkStart w:id="4" w:name="_Toc9342476"/>
    </w:p>
    <w:p w14:paraId="1335D688">
      <w:pPr>
        <w:widowControl/>
        <w:jc w:val="left"/>
        <w:rPr>
          <w:rFonts w:ascii="Cambria" w:hAnsi="Cambria" w:eastAsia="微软雅黑"/>
          <w:b/>
          <w:bCs/>
          <w:color w:val="auto"/>
          <w:sz w:val="32"/>
          <w:szCs w:val="32"/>
          <w:highlight w:val="none"/>
        </w:rPr>
      </w:pPr>
      <w:r>
        <w:rPr>
          <w:color w:val="auto"/>
          <w:highlight w:val="none"/>
        </w:rPr>
        <w:br w:type="page"/>
      </w:r>
    </w:p>
    <w:p w14:paraId="1373E278">
      <w:pPr>
        <w:pStyle w:val="36"/>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5FC3DEDF">
      <w:pPr>
        <w:snapToGrid w:val="0"/>
        <w:spacing w:line="460" w:lineRule="exact"/>
        <w:ind w:firstLine="420" w:firstLineChars="200"/>
        <w:rPr>
          <w:rFonts w:hint="eastAsia" w:ascii="微软雅黑" w:hAnsi="微软雅黑" w:eastAsia="微软雅黑"/>
          <w:color w:val="auto"/>
          <w:szCs w:val="21"/>
          <w:highlight w:val="none"/>
        </w:rPr>
      </w:pPr>
      <w:bookmarkStart w:id="6" w:name="_Toc11650167"/>
      <w:bookmarkStart w:id="7" w:name="_Toc934247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w:t>
      </w:r>
      <w:r>
        <w:rPr>
          <w:rFonts w:hint="eastAsia" w:ascii="微软雅黑" w:hAnsi="微软雅黑" w:eastAsia="微软雅黑"/>
          <w:color w:val="auto"/>
          <w:szCs w:val="21"/>
          <w:highlight w:val="none"/>
          <w:lang w:eastAsia="zh-CN"/>
        </w:rPr>
        <w:t>嘉兴市预算会计核算教育分中心</w:t>
      </w:r>
      <w:r>
        <w:rPr>
          <w:rFonts w:hint="eastAsia" w:ascii="微软雅黑" w:hAnsi="微软雅黑" w:eastAsia="微软雅黑"/>
          <w:color w:val="auto"/>
          <w:szCs w:val="21"/>
          <w:highlight w:val="none"/>
        </w:rPr>
        <w:t>委托，就下列项目进行公开招标，特邀请国内合格的投标人前来投标，现将有关事项公告如下：</w:t>
      </w:r>
    </w:p>
    <w:p w14:paraId="784A0393">
      <w:pPr>
        <w:pStyle w:val="3"/>
        <w:numPr>
          <w:ilvl w:val="0"/>
          <w:numId w:val="4"/>
        </w:numPr>
        <w:spacing w:before="0" w:after="0" w:line="460" w:lineRule="exact"/>
        <w:ind w:firstLineChars="200"/>
        <w:rPr>
          <w:rFonts w:hint="eastAsia" w:ascii="微软雅黑" w:hAnsi="微软雅黑" w:eastAsia="微软雅黑" w:cs="Times New Roman"/>
          <w:b w:val="0"/>
          <w:bCs w:val="0"/>
          <w:color w:val="auto"/>
          <w:kern w:val="2"/>
          <w:sz w:val="21"/>
          <w:szCs w:val="21"/>
          <w:highlight w:val="none"/>
          <w:lang w:val="en-US" w:eastAsia="zh-CN" w:bidi="ar-SA"/>
        </w:rPr>
      </w:pPr>
      <w:bookmarkStart w:id="8" w:name="_Toc98019224"/>
      <w:r>
        <w:rPr>
          <w:rFonts w:hint="eastAsia" w:ascii="微软雅黑" w:hAnsi="微软雅黑"/>
          <w:color w:val="auto"/>
          <w:szCs w:val="21"/>
          <w:highlight w:val="none"/>
        </w:rPr>
        <w:t>项目编号：</w:t>
      </w:r>
      <w:bookmarkEnd w:id="8"/>
      <w:r>
        <w:rPr>
          <w:rFonts w:hint="eastAsia" w:ascii="微软雅黑" w:hAnsi="微软雅黑" w:cs="Times New Roman"/>
          <w:b w:val="0"/>
          <w:bCs w:val="0"/>
          <w:color w:val="auto"/>
          <w:kern w:val="2"/>
          <w:sz w:val="21"/>
          <w:szCs w:val="21"/>
          <w:highlight w:val="none"/>
          <w:lang w:val="en-US" w:eastAsia="zh-CN" w:bidi="ar-SA"/>
        </w:rPr>
        <w:t>千秋-N（2025）第77号</w:t>
      </w:r>
    </w:p>
    <w:p w14:paraId="4A781430">
      <w:pPr>
        <w:pStyle w:val="3"/>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7BAB63F4">
      <w:pPr>
        <w:pStyle w:val="3"/>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bookmarkEnd w:id="10"/>
      <w:r>
        <w:rPr>
          <w:rFonts w:hint="eastAsia" w:ascii="微软雅黑" w:hAnsi="微软雅黑"/>
          <w:color w:val="auto"/>
          <w:szCs w:val="21"/>
          <w:highlight w:val="none"/>
          <w:lang w:eastAsia="zh-CN"/>
        </w:rPr>
        <w:t>嘉兴市预算会计核算教育分中心2025年第一期公款竞争性存放项目</w:t>
      </w:r>
    </w:p>
    <w:p w14:paraId="792684C5">
      <w:pPr>
        <w:pStyle w:val="3"/>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p>
    <w:p w14:paraId="2B4E3C23">
      <w:pPr>
        <w:spacing w:line="460" w:lineRule="exact"/>
        <w:ind w:firstLine="420" w:firstLineChars="200"/>
        <w:rPr>
          <w:rFonts w:ascii="微软雅黑" w:hAnsi="微软雅黑" w:eastAsia="微软雅黑"/>
          <w:szCs w:val="21"/>
          <w:highlight w:val="none"/>
        </w:rPr>
      </w:pPr>
      <w:bookmarkStart w:id="12" w:name="_Toc98019228"/>
      <w:r>
        <w:rPr>
          <w:rFonts w:hint="eastAsia" w:ascii="微软雅黑" w:hAnsi="微软雅黑" w:eastAsia="微软雅黑"/>
          <w:szCs w:val="21"/>
          <w:highlight w:val="none"/>
        </w:rPr>
        <w:t>中标银行为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家，按下表分配资金：</w:t>
      </w:r>
    </w:p>
    <w:tbl>
      <w:tblPr>
        <w:tblStyle w:val="3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608"/>
        <w:gridCol w:w="2752"/>
      </w:tblGrid>
      <w:tr w14:paraId="7005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53" w:type="dxa"/>
            <w:tcBorders>
              <w:top w:val="single" w:color="auto" w:sz="4" w:space="0"/>
              <w:left w:val="single" w:color="auto" w:sz="4" w:space="0"/>
              <w:bottom w:val="single" w:color="auto" w:sz="4" w:space="0"/>
              <w:right w:val="single" w:color="auto" w:sz="4" w:space="0"/>
            </w:tcBorders>
            <w:noWrap/>
            <w:vAlign w:val="center"/>
          </w:tcPr>
          <w:p w14:paraId="7365D8AD">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排名</w:t>
            </w:r>
          </w:p>
        </w:tc>
        <w:tc>
          <w:tcPr>
            <w:tcW w:w="3608" w:type="dxa"/>
            <w:tcBorders>
              <w:top w:val="single" w:color="auto" w:sz="4" w:space="0"/>
              <w:left w:val="single" w:color="auto" w:sz="4" w:space="0"/>
              <w:bottom w:val="single" w:color="auto" w:sz="4" w:space="0"/>
              <w:right w:val="single" w:color="auto" w:sz="4" w:space="0"/>
            </w:tcBorders>
            <w:noWrap/>
            <w:vAlign w:val="center"/>
          </w:tcPr>
          <w:p w14:paraId="253651C2">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存期</w:t>
            </w:r>
          </w:p>
        </w:tc>
        <w:tc>
          <w:tcPr>
            <w:tcW w:w="2752" w:type="dxa"/>
            <w:tcBorders>
              <w:top w:val="single" w:color="auto" w:sz="4" w:space="0"/>
              <w:left w:val="single" w:color="auto" w:sz="4" w:space="0"/>
              <w:bottom w:val="single" w:color="auto" w:sz="4" w:space="0"/>
              <w:right w:val="single" w:color="auto" w:sz="4" w:space="0"/>
            </w:tcBorders>
            <w:vAlign w:val="center"/>
          </w:tcPr>
          <w:p w14:paraId="2FEB46BC">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金额（万元）</w:t>
            </w:r>
          </w:p>
        </w:tc>
      </w:tr>
      <w:tr w14:paraId="3965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53" w:type="dxa"/>
            <w:tcBorders>
              <w:left w:val="single" w:color="auto" w:sz="4" w:space="0"/>
              <w:right w:val="single" w:color="auto" w:sz="4" w:space="0"/>
            </w:tcBorders>
            <w:noWrap/>
            <w:vAlign w:val="center"/>
          </w:tcPr>
          <w:p w14:paraId="0DF7A86F">
            <w:pPr>
              <w:spacing w:line="560" w:lineRule="exact"/>
              <w:jc w:val="center"/>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lang w:val="en-US" w:eastAsia="zh-CN"/>
              </w:rPr>
              <w:t>1</w:t>
            </w:r>
          </w:p>
        </w:tc>
        <w:tc>
          <w:tcPr>
            <w:tcW w:w="3608" w:type="dxa"/>
            <w:tcBorders>
              <w:top w:val="single" w:color="auto" w:sz="4" w:space="0"/>
              <w:left w:val="single" w:color="auto" w:sz="4" w:space="0"/>
              <w:right w:val="single" w:color="auto" w:sz="4" w:space="0"/>
            </w:tcBorders>
            <w:noWrap/>
            <w:vAlign w:val="center"/>
          </w:tcPr>
          <w:p w14:paraId="71055FBF">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7天通知存款</w:t>
            </w:r>
          </w:p>
        </w:tc>
        <w:tc>
          <w:tcPr>
            <w:tcW w:w="2752" w:type="dxa"/>
            <w:tcBorders>
              <w:top w:val="single" w:color="auto" w:sz="4" w:space="0"/>
              <w:left w:val="single" w:color="auto" w:sz="4" w:space="0"/>
              <w:right w:val="single" w:color="auto" w:sz="4" w:space="0"/>
            </w:tcBorders>
            <w:vAlign w:val="center"/>
          </w:tcPr>
          <w:p w14:paraId="76370FC7">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r w14:paraId="0735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61" w:type="dxa"/>
            <w:gridSpan w:val="2"/>
            <w:tcBorders>
              <w:top w:val="single" w:color="auto" w:sz="4" w:space="0"/>
              <w:left w:val="single" w:color="auto" w:sz="4" w:space="0"/>
              <w:bottom w:val="single" w:color="auto" w:sz="4" w:space="0"/>
              <w:right w:val="single" w:color="auto" w:sz="4" w:space="0"/>
            </w:tcBorders>
            <w:noWrap/>
            <w:vAlign w:val="center"/>
          </w:tcPr>
          <w:p w14:paraId="7E475DF3">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合计</w:t>
            </w:r>
          </w:p>
        </w:tc>
        <w:tc>
          <w:tcPr>
            <w:tcW w:w="2752" w:type="dxa"/>
            <w:tcBorders>
              <w:top w:val="single" w:color="auto" w:sz="4" w:space="0"/>
              <w:left w:val="single" w:color="auto" w:sz="4" w:space="0"/>
              <w:bottom w:val="single" w:color="auto" w:sz="4" w:space="0"/>
              <w:right w:val="single" w:color="auto" w:sz="4" w:space="0"/>
            </w:tcBorders>
            <w:vAlign w:val="center"/>
          </w:tcPr>
          <w:p w14:paraId="12EC1D87">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bl>
    <w:p w14:paraId="7AAC674E">
      <w:pPr>
        <w:pStyle w:val="3"/>
        <w:numPr>
          <w:ilvl w:val="0"/>
          <w:numId w:val="4"/>
        </w:numPr>
        <w:spacing w:before="0" w:after="0" w:line="460" w:lineRule="exact"/>
        <w:ind w:firstLineChars="200"/>
        <w:rPr>
          <w:rFonts w:hint="eastAsia" w:ascii="微软雅黑" w:hAnsi="微软雅黑"/>
          <w:color w:val="auto"/>
          <w:szCs w:val="21"/>
          <w:highlight w:val="none"/>
        </w:rPr>
      </w:pPr>
      <w:r>
        <w:rPr>
          <w:rFonts w:hint="eastAsia" w:ascii="微软雅黑" w:hAnsi="微软雅黑"/>
          <w:color w:val="auto"/>
          <w:szCs w:val="21"/>
          <w:highlight w:val="none"/>
        </w:rPr>
        <w:t>合格投标人的资格要求</w:t>
      </w:r>
      <w:bookmarkEnd w:id="12"/>
    </w:p>
    <w:p w14:paraId="43040F06">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0DC14468">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4A69FA7C">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p>
    <w:p w14:paraId="5EBB436F">
      <w:pPr>
        <w:pStyle w:val="3"/>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5116D1BD">
      <w:pPr>
        <w:pStyle w:val="62"/>
        <w:numPr>
          <w:ilvl w:val="0"/>
          <w:numId w:val="6"/>
        </w:numPr>
        <w:snapToGrid w:val="0"/>
        <w:spacing w:line="24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5"/>
          <w:rFonts w:ascii="微软雅黑" w:hAnsi="微软雅黑" w:eastAsia="微软雅黑" w:cs="Arial"/>
          <w:color w:val="auto"/>
          <w:szCs w:val="21"/>
          <w:highlight w:val="none"/>
        </w:rPr>
        <w:t>https://zfcg.czt.zj.gov.cn/</w:t>
      </w:r>
      <w:r>
        <w:rPr>
          <w:rStyle w:val="45"/>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73792662">
      <w:pPr>
        <w:pStyle w:val="62"/>
        <w:numPr>
          <w:ilvl w:val="0"/>
          <w:numId w:val="6"/>
        </w:numPr>
        <w:snapToGrid w:val="0"/>
        <w:spacing w:line="24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09C27EEE">
      <w:pPr>
        <w:pStyle w:val="3"/>
        <w:numPr>
          <w:ilvl w:val="0"/>
          <w:numId w:val="4"/>
        </w:numPr>
        <w:spacing w:before="0" w:after="0" w:line="240" w:lineRule="auto"/>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058C37B9">
      <w:pPr>
        <w:snapToGrid w:val="0"/>
        <w:spacing w:line="24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07</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16日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07月23</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14：30</w:t>
      </w:r>
      <w:r>
        <w:rPr>
          <w:rFonts w:hint="eastAsia" w:ascii="微软雅黑" w:hAnsi="微软雅黑" w:eastAsia="微软雅黑" w:cs="Arial"/>
          <w:color w:val="auto"/>
          <w:szCs w:val="21"/>
          <w:highlight w:val="none"/>
        </w:rPr>
        <w:t>。</w:t>
      </w:r>
    </w:p>
    <w:p w14:paraId="6F425DB7">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 xml:space="preserve"> 网上 </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5"/>
          <w:rFonts w:ascii="微软雅黑" w:hAnsi="微软雅黑" w:eastAsia="微软雅黑"/>
          <w:color w:val="auto"/>
          <w:szCs w:val="21"/>
          <w:highlight w:val="none"/>
        </w:rPr>
        <w:t>https://login.zcygov.cn/user-login/#/login</w:t>
      </w:r>
      <w:r>
        <w:rPr>
          <w:rStyle w:val="45"/>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60122772">
      <w:pPr>
        <w:snapToGrid w:val="0"/>
        <w:spacing w:line="24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338024E5">
      <w:pPr>
        <w:snapToGrid w:val="0"/>
        <w:spacing w:line="24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56142EEB">
      <w:pPr>
        <w:snapToGrid w:val="0"/>
        <w:spacing w:line="24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5F58E362">
      <w:pPr>
        <w:snapToGrid w:val="0"/>
        <w:spacing w:line="24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701803A9">
      <w:pPr>
        <w:spacing w:before="156" w:beforeLines="50" w:after="156" w:afterLines="50" w:line="24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1"/>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64515B29">
      <w:pPr>
        <w:ind w:left="0" w:leftChars="0"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本项目实行线下纸质投标叠加网上电子投标。线下纸质投标文件接收截止时间：202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14：30</w:t>
      </w:r>
      <w:r>
        <w:rPr>
          <w:rFonts w:hint="eastAsia" w:ascii="微软雅黑" w:hAnsi="微软雅黑" w:eastAsia="微软雅黑" w:cs="微软雅黑"/>
          <w:highlight w:val="none"/>
        </w:rPr>
        <w:t>，未按时寄达或送达指定地点的，均视为自动放弃。网上电子投标投标人应于202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14：30</w:t>
      </w:r>
      <w:r>
        <w:rPr>
          <w:rFonts w:hint="eastAsia" w:ascii="微软雅黑" w:hAnsi="微软雅黑" w:eastAsia="微软雅黑" w:cs="微软雅黑"/>
          <w:highlight w:val="none"/>
        </w:rPr>
        <w:t>前，登录政府采购云平台，进入招标系统，按规定进行投标。投标成功会接收短信通知，逾期投标视为未投标。</w:t>
      </w:r>
    </w:p>
    <w:p w14:paraId="20231BF9">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7DF4DE65">
      <w:pPr>
        <w:snapToGrid w:val="0"/>
        <w:spacing w:line="24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本次招标将于</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14：30</w:t>
      </w:r>
      <w:r>
        <w:rPr>
          <w:rFonts w:hint="eastAsia" w:ascii="微软雅黑" w:hAnsi="微软雅黑" w:eastAsia="微软雅黑" w:cs="Arial"/>
          <w:color w:val="auto"/>
          <w:szCs w:val="21"/>
          <w:highlight w:val="none"/>
          <w:u w:val="none"/>
          <w:lang w:val="en-US" w:eastAsia="zh-CN"/>
        </w:rPr>
        <w:t xml:space="preserve"> </w:t>
      </w:r>
      <w:r>
        <w:rPr>
          <w:rFonts w:hint="eastAsia" w:ascii="微软雅黑" w:hAnsi="微软雅黑" w:eastAsia="微软雅黑" w:cs="Arial"/>
          <w:bCs/>
          <w:color w:val="auto"/>
          <w:szCs w:val="21"/>
          <w:highlight w:val="none"/>
        </w:rPr>
        <w:t>嘉兴市千秋工程咨询有限公司</w:t>
      </w:r>
      <w:r>
        <w:rPr>
          <w:rFonts w:hint="eastAsia" w:ascii="微软雅黑" w:hAnsi="微软雅黑" w:eastAsia="微软雅黑" w:cs="Arial"/>
          <w:bCs/>
          <w:color w:val="auto"/>
          <w:szCs w:val="21"/>
          <w:highlight w:val="none"/>
          <w:lang w:val="en-US" w:eastAsia="zh-CN"/>
        </w:rPr>
        <w:t>开标</w:t>
      </w:r>
      <w:r>
        <w:rPr>
          <w:rFonts w:hint="eastAsia" w:ascii="微软雅黑" w:hAnsi="微软雅黑" w:eastAsia="微软雅黑" w:cs="Arial"/>
          <w:bCs/>
          <w:color w:val="auto"/>
          <w:szCs w:val="21"/>
          <w:highlight w:val="none"/>
        </w:rPr>
        <w:t>室（嘉兴市秀洲区新平路299号中禾广场</w:t>
      </w:r>
      <w:r>
        <w:rPr>
          <w:rFonts w:hint="eastAsia" w:ascii="微软雅黑" w:hAnsi="微软雅黑" w:eastAsia="微软雅黑" w:cs="Arial"/>
          <w:bCs/>
          <w:color w:val="auto"/>
          <w:szCs w:val="21"/>
          <w:highlight w:val="none"/>
          <w:lang w:val="en-US" w:eastAsia="zh-CN"/>
        </w:rPr>
        <w:t>23楼右</w:t>
      </w:r>
      <w:r>
        <w:rPr>
          <w:rFonts w:hint="eastAsia" w:ascii="微软雅黑" w:hAnsi="微软雅黑" w:eastAsia="微软雅黑" w:cs="Arial"/>
          <w:bCs/>
          <w:color w:val="auto"/>
          <w:szCs w:val="21"/>
          <w:highlight w:val="none"/>
        </w:rPr>
        <w:t>侧）</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p>
    <w:p w14:paraId="3604B8B6">
      <w:pPr>
        <w:pStyle w:val="3"/>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6E2EE6DF">
      <w:pPr>
        <w:snapToGrid w:val="0"/>
        <w:spacing w:line="460" w:lineRule="exact"/>
        <w:ind w:firstLine="420"/>
        <w:rPr>
          <w:rStyle w:val="45"/>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浙江政府采购网（</w:t>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u w:val="none"/>
        </w:rPr>
        <w:t>和嘉兴市公共资源交易中心</w:t>
      </w:r>
      <w:r>
        <w:rPr>
          <w:rStyle w:val="45"/>
          <w:rFonts w:hint="eastAsia" w:ascii="微软雅黑" w:hAnsi="微软雅黑" w:eastAsia="微软雅黑"/>
          <w:color w:val="auto"/>
          <w:szCs w:val="21"/>
          <w:highlight w:val="none"/>
        </w:rPr>
        <w:t>（https://jxszwsjb.jiaxing.gov.cn/）</w:t>
      </w:r>
      <w:r>
        <w:rPr>
          <w:rStyle w:val="45"/>
          <w:rFonts w:hint="eastAsia" w:ascii="微软雅黑" w:hAnsi="微软雅黑" w:eastAsia="微软雅黑"/>
          <w:color w:val="auto"/>
          <w:szCs w:val="21"/>
          <w:highlight w:val="none"/>
          <w:lang w:eastAsia="zh-CN"/>
        </w:rPr>
        <w:t>。</w:t>
      </w:r>
    </w:p>
    <w:p w14:paraId="185BE12A">
      <w:pPr>
        <w:pStyle w:val="3"/>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17D9CE52">
      <w:pPr>
        <w:snapToGrid w:val="0"/>
        <w:spacing w:line="460" w:lineRule="exact"/>
        <w:ind w:firstLine="420"/>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嘉兴市预算会计核算教育分中心</w:t>
      </w:r>
    </w:p>
    <w:p w14:paraId="19CCCCE6">
      <w:pPr>
        <w:snapToGrid w:val="0"/>
        <w:spacing w:line="460" w:lineRule="exact"/>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项目联系人：</w:t>
      </w:r>
      <w:r>
        <w:rPr>
          <w:rFonts w:hint="eastAsia" w:ascii="微软雅黑" w:hAnsi="微软雅黑" w:eastAsia="微软雅黑"/>
          <w:szCs w:val="21"/>
          <w:highlight w:val="none"/>
          <w:shd w:val="clear" w:color="auto" w:fill="FFFFFF"/>
        </w:rPr>
        <w:t xml:space="preserve">刘先生   </w:t>
      </w:r>
      <w:r>
        <w:rPr>
          <w:rFonts w:hint="eastAsia" w:ascii="微软雅黑" w:hAnsi="微软雅黑" w:eastAsia="微软雅黑" w:cs="Arial"/>
          <w:szCs w:val="21"/>
          <w:highlight w:val="none"/>
        </w:rPr>
        <w:t xml:space="preserve"> 联系电话：</w:t>
      </w:r>
      <w:r>
        <w:rPr>
          <w:rFonts w:hint="eastAsia" w:ascii="微软雅黑" w:hAnsi="微软雅黑" w:eastAsia="微软雅黑"/>
          <w:szCs w:val="21"/>
          <w:highlight w:val="none"/>
          <w:shd w:val="clear" w:color="auto" w:fill="FFFFFF"/>
        </w:rPr>
        <w:t>0573-82074517</w:t>
      </w:r>
      <w:r>
        <w:rPr>
          <w:rFonts w:hint="eastAsia" w:ascii="微软雅黑" w:hAnsi="微软雅黑" w:eastAsia="微软雅黑" w:cs="Arial"/>
          <w:szCs w:val="21"/>
          <w:highlight w:val="none"/>
        </w:rPr>
        <w:t xml:space="preserve">    </w:t>
      </w:r>
    </w:p>
    <w:p w14:paraId="60DD545E">
      <w:pPr>
        <w:snapToGrid w:val="0"/>
        <w:spacing w:line="460" w:lineRule="exact"/>
        <w:ind w:firstLine="420"/>
        <w:rPr>
          <w:rFonts w:hint="eastAsia" w:ascii="微软雅黑" w:hAnsi="微软雅黑" w:eastAsia="微软雅黑" w:cs="Arial"/>
          <w:bCs/>
          <w:szCs w:val="21"/>
          <w:highlight w:val="none"/>
        </w:rPr>
      </w:pPr>
      <w:r>
        <w:rPr>
          <w:rFonts w:hint="eastAsia" w:ascii="微软雅黑" w:hAnsi="微软雅黑" w:eastAsia="微软雅黑" w:cs="Arial"/>
          <w:bCs/>
          <w:szCs w:val="21"/>
          <w:highlight w:val="none"/>
        </w:rPr>
        <w:t xml:space="preserve">嘉兴市千秋工程咨询有限公司  </w:t>
      </w:r>
    </w:p>
    <w:p w14:paraId="25FA788F">
      <w:pPr>
        <w:snapToGrid w:val="0"/>
        <w:spacing w:line="460" w:lineRule="exact"/>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联系人：章莉莉</w:t>
      </w:r>
      <w:r>
        <w:rPr>
          <w:rFonts w:hint="eastAsia" w:ascii="微软雅黑" w:hAnsi="微软雅黑" w:eastAsia="微软雅黑" w:cs="Arial"/>
          <w:szCs w:val="21"/>
          <w:highlight w:val="none"/>
          <w:lang w:val="en-US" w:eastAsia="zh-CN"/>
        </w:rPr>
        <w:t xml:space="preserve">  李建良</w:t>
      </w:r>
      <w:r>
        <w:rPr>
          <w:rFonts w:hint="eastAsia" w:ascii="微软雅黑" w:hAnsi="微软雅黑" w:eastAsia="微软雅黑" w:cs="Arial"/>
          <w:szCs w:val="21"/>
          <w:highlight w:val="none"/>
        </w:rPr>
        <w:t xml:space="preserve">  </w:t>
      </w:r>
    </w:p>
    <w:p w14:paraId="14EFDAB2">
      <w:pPr>
        <w:snapToGrid w:val="0"/>
        <w:spacing w:line="460" w:lineRule="exact"/>
        <w:ind w:firstLine="420"/>
        <w:rPr>
          <w:rFonts w:hint="eastAsia" w:ascii="微软雅黑" w:hAnsi="微软雅黑" w:eastAsia="微软雅黑" w:cs="Arial"/>
          <w:szCs w:val="21"/>
          <w:highlight w:val="none"/>
        </w:rPr>
      </w:pPr>
      <w:r>
        <w:rPr>
          <w:rFonts w:hint="eastAsia" w:ascii="微软雅黑" w:hAnsi="微软雅黑" w:eastAsia="微软雅黑" w:cs="Arial"/>
          <w:szCs w:val="21"/>
          <w:highlight w:val="none"/>
        </w:rPr>
        <w:t xml:space="preserve">联系电话：0573- 83705015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13605735186</w:t>
      </w:r>
    </w:p>
    <w:p w14:paraId="50A5A2D9">
      <w:pPr>
        <w:snapToGrid w:val="0"/>
        <w:spacing w:line="460" w:lineRule="exact"/>
        <w:ind w:left="238"/>
        <w:jc w:val="right"/>
        <w:rPr>
          <w:rFonts w:hint="eastAsia" w:ascii="微软雅黑" w:hAnsi="微软雅黑" w:eastAsia="微软雅黑" w:cs="Arial"/>
          <w:szCs w:val="21"/>
          <w:highlight w:val="none"/>
          <w:lang w:eastAsia="zh-CN"/>
        </w:rPr>
      </w:pPr>
      <w:r>
        <w:rPr>
          <w:rFonts w:hint="eastAsia" w:ascii="微软雅黑" w:hAnsi="微软雅黑" w:eastAsia="微软雅黑" w:cs="Arial"/>
          <w:szCs w:val="21"/>
          <w:highlight w:val="none"/>
          <w:lang w:eastAsia="zh-CN"/>
        </w:rPr>
        <w:t>嘉兴市预算会计核算教育分中心</w:t>
      </w:r>
    </w:p>
    <w:p w14:paraId="7D6543E8">
      <w:pPr>
        <w:snapToGrid w:val="0"/>
        <w:spacing w:line="460" w:lineRule="exact"/>
        <w:ind w:left="238"/>
        <w:jc w:val="right"/>
        <w:rPr>
          <w:rFonts w:hint="eastAsia" w:ascii="微软雅黑" w:hAnsi="微软雅黑" w:eastAsia="微软雅黑"/>
          <w:szCs w:val="21"/>
          <w:highlight w:val="none"/>
        </w:rPr>
      </w:pPr>
      <w:r>
        <w:rPr>
          <w:rFonts w:hint="eastAsia" w:ascii="微软雅黑" w:hAnsi="微软雅黑" w:eastAsia="微软雅黑" w:cs="Arial"/>
          <w:bCs/>
          <w:szCs w:val="21"/>
          <w:highlight w:val="none"/>
        </w:rPr>
        <w:t>嘉兴市千秋工程咨询有限公司</w:t>
      </w:r>
    </w:p>
    <w:p w14:paraId="7C1B6DDC">
      <w:pPr>
        <w:spacing w:line="460" w:lineRule="exact"/>
        <w:jc w:val="right"/>
        <w:rPr>
          <w:rFonts w:hint="eastAsia" w:ascii="微软雅黑" w:hAnsi="微软雅黑" w:eastAsia="微软雅黑"/>
          <w:szCs w:val="21"/>
          <w:highlight w:val="none"/>
        </w:rPr>
      </w:pPr>
      <w:r>
        <w:rPr>
          <w:rFonts w:hint="eastAsia" w:ascii="微软雅黑" w:hAnsi="微软雅黑" w:eastAsia="微软雅黑"/>
          <w:szCs w:val="21"/>
          <w:highlight w:val="none"/>
        </w:rPr>
        <w:t xml:space="preserve"> 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07</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16</w:t>
      </w:r>
      <w:r>
        <w:rPr>
          <w:rFonts w:hint="eastAsia" w:ascii="微软雅黑" w:hAnsi="微软雅黑" w:eastAsia="微软雅黑"/>
          <w:szCs w:val="21"/>
          <w:highlight w:val="none"/>
        </w:rPr>
        <w:t>日</w:t>
      </w:r>
    </w:p>
    <w:p w14:paraId="31A3975E">
      <w:pPr>
        <w:pStyle w:val="36"/>
        <w:numPr>
          <w:ilvl w:val="0"/>
          <w:numId w:val="3"/>
        </w:numPr>
        <w:rPr>
          <w:highlight w:val="none"/>
        </w:rPr>
        <w:sectPr>
          <w:headerReference r:id="rId8" w:type="first"/>
          <w:footerReference r:id="rId9" w:type="first"/>
          <w:pgSz w:w="11907" w:h="16840"/>
          <w:pgMar w:top="1440" w:right="1797" w:bottom="1440" w:left="1797" w:header="851" w:footer="851" w:gutter="0"/>
          <w:pgNumType w:fmt="decimal" w:start="1"/>
          <w:cols w:space="425" w:num="1"/>
          <w:titlePg/>
          <w:docGrid w:type="lines" w:linePitch="312" w:charSpace="0"/>
        </w:sectPr>
      </w:pPr>
    </w:p>
    <w:p w14:paraId="11E8B561">
      <w:pPr>
        <w:pStyle w:val="36"/>
        <w:numPr>
          <w:ilvl w:val="0"/>
          <w:numId w:val="3"/>
        </w:numPr>
        <w:rPr>
          <w:color w:val="auto"/>
          <w:highlight w:val="none"/>
        </w:rPr>
      </w:pPr>
      <w:bookmarkStart w:id="17" w:name="_Toc98019233"/>
      <w:r>
        <w:rPr>
          <w:rFonts w:hint="eastAsia"/>
          <w:color w:val="auto"/>
          <w:highlight w:val="none"/>
        </w:rPr>
        <w:t>招标需求</w:t>
      </w:r>
      <w:bookmarkEnd w:id="6"/>
      <w:bookmarkEnd w:id="7"/>
      <w:bookmarkEnd w:id="17"/>
    </w:p>
    <w:p w14:paraId="2782F879">
      <w:pPr>
        <w:snapToGrid w:val="0"/>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szCs w:val="21"/>
          <w:highlight w:val="none"/>
        </w:rPr>
        <w:t>本招标文件是</w:t>
      </w:r>
      <w:r>
        <w:rPr>
          <w:rFonts w:hint="eastAsia" w:ascii="微软雅黑" w:hAnsi="微软雅黑" w:eastAsia="微软雅黑"/>
          <w:highlight w:val="none"/>
        </w:rPr>
        <w:t>嘉兴市预算会计核算教育分中心2024年第二期公款竞争性存放项目</w:t>
      </w:r>
      <w:r>
        <w:rPr>
          <w:rFonts w:hint="eastAsia" w:ascii="微软雅黑" w:hAnsi="微软雅黑" w:eastAsia="微软雅黑"/>
          <w:szCs w:val="21"/>
          <w:highlight w:val="none"/>
        </w:rPr>
        <w:t>的规范性文件，是投标人编制投标文件的依据。该文件解释权归招标单位，招标方式：公开招标</w:t>
      </w:r>
      <w:r>
        <w:rPr>
          <w:rFonts w:hint="eastAsia" w:ascii="微软雅黑" w:hAnsi="微软雅黑" w:eastAsia="微软雅黑"/>
          <w:color w:val="auto"/>
          <w:szCs w:val="21"/>
          <w:highlight w:val="none"/>
        </w:rPr>
        <w:t>。</w:t>
      </w:r>
    </w:p>
    <w:p w14:paraId="6682F034">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招标文件、投标文件及其共同确定的补充文件是合同的有效组成部分，与合同具备同等的法律效力。</w:t>
      </w:r>
    </w:p>
    <w:p w14:paraId="4845E836">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14:paraId="3CEA39FB">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投标人应承担其在投标准备、编制、递交投标文件和签订合同协议书的整个过程中发生的一切费用而不论其投标结果如何。</w:t>
      </w:r>
    </w:p>
    <w:p w14:paraId="00BF2E46">
      <w:pPr>
        <w:numPr>
          <w:ilvl w:val="0"/>
          <w:numId w:val="7"/>
        </w:numPr>
        <w:snapToGrid w:val="0"/>
        <w:spacing w:line="460" w:lineRule="exact"/>
        <w:ind w:left="420" w:firstLine="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具体招标标的：</w:t>
      </w:r>
    </w:p>
    <w:p w14:paraId="58B2A176">
      <w:pPr>
        <w:spacing w:line="46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中标银行为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家，按下表分配资金：</w:t>
      </w:r>
    </w:p>
    <w:tbl>
      <w:tblPr>
        <w:tblStyle w:val="3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608"/>
        <w:gridCol w:w="2752"/>
      </w:tblGrid>
      <w:tr w14:paraId="75FE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53" w:type="dxa"/>
            <w:tcBorders>
              <w:top w:val="single" w:color="auto" w:sz="4" w:space="0"/>
              <w:left w:val="single" w:color="auto" w:sz="4" w:space="0"/>
              <w:bottom w:val="single" w:color="auto" w:sz="4" w:space="0"/>
              <w:right w:val="single" w:color="auto" w:sz="4" w:space="0"/>
            </w:tcBorders>
            <w:noWrap/>
            <w:vAlign w:val="center"/>
          </w:tcPr>
          <w:p w14:paraId="1020716E">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排名</w:t>
            </w:r>
          </w:p>
        </w:tc>
        <w:tc>
          <w:tcPr>
            <w:tcW w:w="3608" w:type="dxa"/>
            <w:tcBorders>
              <w:top w:val="single" w:color="auto" w:sz="4" w:space="0"/>
              <w:left w:val="single" w:color="auto" w:sz="4" w:space="0"/>
              <w:bottom w:val="single" w:color="auto" w:sz="4" w:space="0"/>
              <w:right w:val="single" w:color="auto" w:sz="4" w:space="0"/>
            </w:tcBorders>
            <w:noWrap/>
            <w:vAlign w:val="center"/>
          </w:tcPr>
          <w:p w14:paraId="5FD40C0C">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存期</w:t>
            </w:r>
          </w:p>
        </w:tc>
        <w:tc>
          <w:tcPr>
            <w:tcW w:w="2752" w:type="dxa"/>
            <w:tcBorders>
              <w:top w:val="single" w:color="auto" w:sz="4" w:space="0"/>
              <w:left w:val="single" w:color="auto" w:sz="4" w:space="0"/>
              <w:bottom w:val="single" w:color="auto" w:sz="4" w:space="0"/>
              <w:right w:val="single" w:color="auto" w:sz="4" w:space="0"/>
            </w:tcBorders>
            <w:vAlign w:val="center"/>
          </w:tcPr>
          <w:p w14:paraId="0BD5EA24">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金额（万元）</w:t>
            </w:r>
          </w:p>
        </w:tc>
      </w:tr>
      <w:tr w14:paraId="418A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53" w:type="dxa"/>
            <w:tcBorders>
              <w:left w:val="single" w:color="auto" w:sz="4" w:space="0"/>
              <w:right w:val="single" w:color="auto" w:sz="4" w:space="0"/>
            </w:tcBorders>
            <w:noWrap/>
            <w:vAlign w:val="center"/>
          </w:tcPr>
          <w:p w14:paraId="10743877">
            <w:pPr>
              <w:spacing w:line="560" w:lineRule="exact"/>
              <w:jc w:val="center"/>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lang w:val="en-US" w:eastAsia="zh-CN"/>
              </w:rPr>
              <w:t>1</w:t>
            </w:r>
          </w:p>
        </w:tc>
        <w:tc>
          <w:tcPr>
            <w:tcW w:w="3608" w:type="dxa"/>
            <w:tcBorders>
              <w:top w:val="single" w:color="auto" w:sz="4" w:space="0"/>
              <w:left w:val="single" w:color="auto" w:sz="4" w:space="0"/>
              <w:right w:val="single" w:color="auto" w:sz="4" w:space="0"/>
            </w:tcBorders>
            <w:noWrap/>
            <w:vAlign w:val="center"/>
          </w:tcPr>
          <w:p w14:paraId="32895D16">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7天通知存款</w:t>
            </w:r>
          </w:p>
        </w:tc>
        <w:tc>
          <w:tcPr>
            <w:tcW w:w="2752" w:type="dxa"/>
            <w:tcBorders>
              <w:top w:val="single" w:color="auto" w:sz="4" w:space="0"/>
              <w:left w:val="single" w:color="auto" w:sz="4" w:space="0"/>
              <w:right w:val="single" w:color="auto" w:sz="4" w:space="0"/>
            </w:tcBorders>
            <w:vAlign w:val="center"/>
          </w:tcPr>
          <w:p w14:paraId="18E43F0A">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r w14:paraId="4B33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61" w:type="dxa"/>
            <w:gridSpan w:val="2"/>
            <w:tcBorders>
              <w:top w:val="single" w:color="auto" w:sz="4" w:space="0"/>
              <w:left w:val="single" w:color="auto" w:sz="4" w:space="0"/>
              <w:bottom w:val="single" w:color="auto" w:sz="4" w:space="0"/>
              <w:right w:val="single" w:color="auto" w:sz="4" w:space="0"/>
            </w:tcBorders>
            <w:noWrap/>
            <w:vAlign w:val="center"/>
          </w:tcPr>
          <w:p w14:paraId="7E700D19">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合计</w:t>
            </w:r>
          </w:p>
        </w:tc>
        <w:tc>
          <w:tcPr>
            <w:tcW w:w="2752" w:type="dxa"/>
            <w:tcBorders>
              <w:top w:val="single" w:color="auto" w:sz="4" w:space="0"/>
              <w:left w:val="single" w:color="auto" w:sz="4" w:space="0"/>
              <w:bottom w:val="single" w:color="auto" w:sz="4" w:space="0"/>
              <w:right w:val="single" w:color="auto" w:sz="4" w:space="0"/>
            </w:tcBorders>
            <w:vAlign w:val="center"/>
          </w:tcPr>
          <w:p w14:paraId="2876C637">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bl>
    <w:p w14:paraId="1B22E9E9">
      <w:pPr>
        <w:snapToGrid w:val="0"/>
        <w:spacing w:line="460" w:lineRule="exact"/>
        <w:ind w:left="420"/>
        <w:rPr>
          <w:rFonts w:ascii="微软雅黑" w:hAnsi="微软雅黑" w:eastAsia="微软雅黑" w:cs="Arial"/>
          <w:szCs w:val="21"/>
          <w:highlight w:val="none"/>
        </w:rPr>
      </w:pPr>
      <w:bookmarkStart w:id="18" w:name="_Toc11650168"/>
      <w:bookmarkStart w:id="19" w:name="_Toc9342478"/>
      <w:r>
        <w:rPr>
          <w:rFonts w:hint="eastAsia" w:ascii="微软雅黑" w:hAnsi="微软雅黑" w:eastAsia="微软雅黑" w:cs="Arial"/>
          <w:szCs w:val="21"/>
          <w:highlight w:val="none"/>
        </w:rPr>
        <w:t>实际存放时间视资金情况而定</w:t>
      </w:r>
    </w:p>
    <w:p w14:paraId="257449F1">
      <w:pPr>
        <w:numPr>
          <w:ilvl w:val="0"/>
          <w:numId w:val="7"/>
        </w:numPr>
        <w:snapToGrid w:val="0"/>
        <w:spacing w:line="460" w:lineRule="exact"/>
        <w:ind w:left="420" w:firstLine="0"/>
        <w:rPr>
          <w:rFonts w:ascii="微软雅黑" w:hAnsi="微软雅黑" w:eastAsia="微软雅黑"/>
          <w:szCs w:val="21"/>
          <w:highlight w:val="none"/>
        </w:rPr>
      </w:pPr>
      <w:r>
        <w:rPr>
          <w:rFonts w:hint="eastAsia" w:ascii="微软雅黑" w:hAnsi="微软雅黑" w:eastAsia="微软雅黑"/>
          <w:szCs w:val="21"/>
          <w:highlight w:val="none"/>
        </w:rPr>
        <w:t>服务要求</w:t>
      </w:r>
    </w:p>
    <w:p w14:paraId="79456229">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严格按照公款存放的制度规定，办理各项业务，保证资金的安全性。每年提交上一年度银保监会或人民银行的评级报告。遇到有被银保监会降级等特殊情况，会危及资金安全的需要在情况发生3天内及时通知定存单位。</w:t>
      </w:r>
    </w:p>
    <w:p w14:paraId="75D3C743">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存款到期后及时将本息打入存款人账户，不能以任何理由拒绝办理或部分办理。</w:t>
      </w:r>
    </w:p>
    <w:p w14:paraId="589045A8">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免收账户各项业务手续费。</w:t>
      </w:r>
    </w:p>
    <w:p w14:paraId="31CD22A9">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确保存款人定期存款存续期间的资金安全和信息保密。</w:t>
      </w:r>
    </w:p>
    <w:p w14:paraId="25B78510">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遇到需要提前支取的情况，应在核对相应的材料后开通绿色通道处理，不得拖延。原则上应按照本次招标的中标名次，从末位依次将存款从有关银行调回使用。</w:t>
      </w:r>
    </w:p>
    <w:p w14:paraId="0C787E39">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按规定为存款人预留印鉴、办理账户信息备案手续，提供对公业务服务；</w:t>
      </w:r>
    </w:p>
    <w:p w14:paraId="058F0828">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向存款人提供定期存单；</w:t>
      </w:r>
    </w:p>
    <w:p w14:paraId="5B38A9E4">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存单到期及时足额缴清存款人存款本息；</w:t>
      </w:r>
    </w:p>
    <w:p w14:paraId="27DA74FC">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接受存款人对定期存款业务的监督管理；</w:t>
      </w:r>
    </w:p>
    <w:p w14:paraId="02C6A345">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具备先进的资金汇划清算系统，保证资金及时到帐。</w:t>
      </w:r>
    </w:p>
    <w:p w14:paraId="197238A1">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能够保证单位资金的安全性，并承担自身网络安全问题方面的有关责任。</w:t>
      </w:r>
    </w:p>
    <w:p w14:paraId="4DF3328F">
      <w:pPr>
        <w:pStyle w:val="62"/>
        <w:numPr>
          <w:ilvl w:val="0"/>
          <w:numId w:val="8"/>
        </w:numPr>
        <w:autoSpaceDE w:val="0"/>
        <w:autoSpaceDN w:val="0"/>
        <w:spacing w:line="360" w:lineRule="auto"/>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内部管理规范，内控制度健全，具有严格的操作规程和保密措施。</w:t>
      </w:r>
    </w:p>
    <w:p w14:paraId="05E78007">
      <w:pPr>
        <w:numPr>
          <w:ilvl w:val="0"/>
          <w:numId w:val="7"/>
        </w:numPr>
        <w:snapToGrid w:val="0"/>
        <w:spacing w:line="460" w:lineRule="exact"/>
        <w:ind w:left="420" w:firstLine="0"/>
        <w:rPr>
          <w:rFonts w:ascii="微软雅黑" w:hAnsi="微软雅黑" w:eastAsia="微软雅黑"/>
          <w:szCs w:val="21"/>
          <w:highlight w:val="none"/>
        </w:rPr>
      </w:pPr>
      <w:r>
        <w:rPr>
          <w:rFonts w:hint="eastAsia" w:ascii="微软雅黑" w:hAnsi="微软雅黑" w:eastAsia="微软雅黑"/>
          <w:szCs w:val="21"/>
          <w:highlight w:val="none"/>
        </w:rPr>
        <w:t>其他要求</w:t>
      </w:r>
    </w:p>
    <w:p w14:paraId="1D274B7C">
      <w:pPr>
        <w:pStyle w:val="62"/>
        <w:numPr>
          <w:ilvl w:val="2"/>
          <w:numId w:val="9"/>
        </w:numPr>
        <w:tabs>
          <w:tab w:val="left" w:pos="709"/>
        </w:tabs>
        <w:ind w:left="0" w:firstLine="426" w:firstLineChars="0"/>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存款到期后如需继续存放，经招标单位领导班子集体研究后，可按投标上浮利率续存原中标银行，但最多续存一次，且续存中标银行的定期存款利率应不低于市公共资源交易中心在“嘉兴市公共资源交易中心网”上公布的最近同序列银行同期限的中标最高利率。</w:t>
      </w:r>
    </w:p>
    <w:p w14:paraId="07879DB5">
      <w:pPr>
        <w:pStyle w:val="62"/>
        <w:numPr>
          <w:ilvl w:val="2"/>
          <w:numId w:val="9"/>
        </w:numPr>
        <w:tabs>
          <w:tab w:val="left" w:pos="709"/>
        </w:tabs>
        <w:ind w:left="0" w:firstLine="426" w:firstLineChars="0"/>
        <w:rPr>
          <w:rFonts w:ascii="微软雅黑" w:hAnsi="微软雅黑" w:eastAsia="微软雅黑" w:cs="宋体"/>
          <w:szCs w:val="21"/>
          <w:highlight w:val="none"/>
        </w:rPr>
      </w:pPr>
      <w:r>
        <w:rPr>
          <w:rFonts w:hint="eastAsia" w:ascii="微软雅黑" w:hAnsi="微软雅黑" w:eastAsia="微软雅黑" w:cs="宋体"/>
          <w:szCs w:val="21"/>
          <w:highlight w:val="none"/>
        </w:rPr>
        <w:t>中标银行出现以下情形之一的，招标人有权提前收回存放公款（即协议终止条件），</w:t>
      </w:r>
      <w:r>
        <w:rPr>
          <w:rFonts w:hint="eastAsia" w:ascii="微软雅黑" w:hAnsi="微软雅黑" w:eastAsia="微软雅黑" w:cs="宋体"/>
          <w:snapToGrid w:val="0"/>
          <w:kern w:val="0"/>
          <w:szCs w:val="21"/>
          <w:highlight w:val="none"/>
        </w:rPr>
        <w:t>并有权拒绝其在以后2年内参与本单位公款竞争性存放：</w:t>
      </w:r>
    </w:p>
    <w:p w14:paraId="78B9CB11">
      <w:pPr>
        <w:pStyle w:val="62"/>
        <w:numPr>
          <w:ilvl w:val="0"/>
          <w:numId w:val="10"/>
        </w:numPr>
        <w:ind w:firstLineChars="0"/>
        <w:rPr>
          <w:rFonts w:ascii="微软雅黑" w:hAnsi="微软雅黑" w:eastAsia="微软雅黑" w:cs="宋体"/>
          <w:snapToGrid w:val="0"/>
          <w:vanish/>
          <w:kern w:val="0"/>
          <w:szCs w:val="21"/>
          <w:highlight w:val="none"/>
        </w:rPr>
      </w:pPr>
    </w:p>
    <w:p w14:paraId="0AB052BA">
      <w:pPr>
        <w:pStyle w:val="62"/>
        <w:numPr>
          <w:ilvl w:val="0"/>
          <w:numId w:val="10"/>
        </w:numPr>
        <w:ind w:firstLineChars="0"/>
        <w:rPr>
          <w:rFonts w:ascii="微软雅黑" w:hAnsi="微软雅黑" w:eastAsia="微软雅黑" w:cs="宋体"/>
          <w:snapToGrid w:val="0"/>
          <w:vanish/>
          <w:kern w:val="0"/>
          <w:szCs w:val="21"/>
          <w:highlight w:val="none"/>
        </w:rPr>
      </w:pPr>
    </w:p>
    <w:p w14:paraId="29624D50">
      <w:pPr>
        <w:pStyle w:val="62"/>
        <w:numPr>
          <w:ilvl w:val="1"/>
          <w:numId w:val="10"/>
        </w:numPr>
        <w:ind w:left="991" w:firstLineChars="0"/>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出现资金安全事故、重大违法违规情况或财务状况恶化的；</w:t>
      </w:r>
    </w:p>
    <w:p w14:paraId="3B3CC231">
      <w:pPr>
        <w:pStyle w:val="62"/>
        <w:numPr>
          <w:ilvl w:val="1"/>
          <w:numId w:val="10"/>
        </w:numPr>
        <w:ind w:left="0" w:firstLine="424" w:firstLineChars="202"/>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监管评级未能达标，监管部门认为存在较大运营风险的；</w:t>
      </w:r>
    </w:p>
    <w:p w14:paraId="24F29A42">
      <w:pPr>
        <w:pStyle w:val="62"/>
        <w:numPr>
          <w:ilvl w:val="1"/>
          <w:numId w:val="10"/>
        </w:numPr>
        <w:ind w:left="0" w:firstLine="424" w:firstLineChars="202"/>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进行不正当投标的；</w:t>
      </w:r>
    </w:p>
    <w:p w14:paraId="0A14A242">
      <w:pPr>
        <w:pStyle w:val="62"/>
        <w:numPr>
          <w:ilvl w:val="1"/>
          <w:numId w:val="10"/>
        </w:numPr>
        <w:ind w:left="0" w:firstLine="424" w:firstLineChars="202"/>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没有按照中标协议承诺履行相应的责任和义务的；</w:t>
      </w:r>
    </w:p>
    <w:p w14:paraId="54A16E01">
      <w:pPr>
        <w:pStyle w:val="62"/>
        <w:numPr>
          <w:ilvl w:val="1"/>
          <w:numId w:val="10"/>
        </w:numPr>
        <w:ind w:left="0" w:firstLine="424" w:firstLineChars="202"/>
        <w:rPr>
          <w:rFonts w:ascii="微软雅黑" w:hAnsi="微软雅黑" w:eastAsia="微软雅黑" w:cs="宋体"/>
          <w:snapToGrid w:val="0"/>
          <w:kern w:val="0"/>
          <w:szCs w:val="21"/>
          <w:highlight w:val="none"/>
        </w:rPr>
      </w:pPr>
      <w:r>
        <w:rPr>
          <w:rFonts w:hint="eastAsia" w:ascii="微软雅黑" w:hAnsi="微软雅黑" w:eastAsia="微软雅黑" w:cs="宋体"/>
          <w:snapToGrid w:val="0"/>
          <w:kern w:val="0"/>
          <w:szCs w:val="21"/>
          <w:highlight w:val="none"/>
        </w:rPr>
        <w:t>不能按规定将到期存款本息足额缴入单位账户的；</w:t>
      </w:r>
    </w:p>
    <w:p w14:paraId="500606C3">
      <w:pPr>
        <w:pStyle w:val="62"/>
        <w:numPr>
          <w:ilvl w:val="1"/>
          <w:numId w:val="10"/>
        </w:numPr>
        <w:ind w:left="0" w:firstLine="424" w:firstLineChars="202"/>
        <w:rPr>
          <w:rFonts w:ascii="微软雅黑" w:hAnsi="微软雅黑" w:eastAsia="微软雅黑" w:cs="宋体"/>
          <w:szCs w:val="21"/>
          <w:highlight w:val="none"/>
        </w:rPr>
      </w:pPr>
      <w:r>
        <w:rPr>
          <w:rFonts w:hint="eastAsia" w:ascii="微软雅黑" w:hAnsi="微软雅黑" w:eastAsia="微软雅黑" w:cs="宋体"/>
          <w:snapToGrid w:val="0"/>
          <w:kern w:val="0"/>
          <w:szCs w:val="21"/>
          <w:highlight w:val="none"/>
        </w:rPr>
        <w:t>存在其他妨害资金安全行为的。</w:t>
      </w:r>
    </w:p>
    <w:p w14:paraId="123E3DFC">
      <w:pPr>
        <w:numPr>
          <w:ilvl w:val="0"/>
          <w:numId w:val="7"/>
        </w:numPr>
        <w:snapToGrid w:val="0"/>
        <w:spacing w:line="460" w:lineRule="exact"/>
        <w:ind w:left="420" w:firstLine="0"/>
        <w:rPr>
          <w:rFonts w:ascii="微软雅黑" w:hAnsi="微软雅黑" w:eastAsia="微软雅黑"/>
          <w:szCs w:val="21"/>
          <w:highlight w:val="none"/>
        </w:rPr>
      </w:pPr>
      <w:r>
        <w:rPr>
          <w:rFonts w:hint="eastAsia" w:ascii="微软雅黑" w:hAnsi="微软雅黑" w:eastAsia="微软雅黑"/>
          <w:szCs w:val="21"/>
          <w:highlight w:val="none"/>
        </w:rPr>
        <w:t>合同签订</w:t>
      </w:r>
    </w:p>
    <w:p w14:paraId="78DCA989">
      <w:pPr>
        <w:snapToGrid w:val="0"/>
        <w:spacing w:line="360" w:lineRule="auto"/>
        <w:ind w:firstLine="420"/>
        <w:rPr>
          <w:rFonts w:ascii="微软雅黑" w:hAnsi="微软雅黑" w:eastAsia="微软雅黑"/>
          <w:szCs w:val="21"/>
          <w:highlight w:val="none"/>
        </w:rPr>
      </w:pPr>
      <w:r>
        <w:rPr>
          <w:rFonts w:hint="eastAsia" w:ascii="微软雅黑" w:hAnsi="微软雅黑" w:eastAsia="微软雅黑"/>
          <w:szCs w:val="21"/>
          <w:highlight w:val="none"/>
        </w:rPr>
        <w:t>投标银行中标后按中标通知书规定的时间签定存款合同。资金按存款到期的顺序，根据中标结果分配给中标银行。</w:t>
      </w:r>
    </w:p>
    <w:p w14:paraId="4460E76D">
      <w:pPr>
        <w:pStyle w:val="36"/>
        <w:outlineLvl w:val="9"/>
        <w:rPr>
          <w:highlight w:val="none"/>
        </w:rPr>
        <w:sectPr>
          <w:pgSz w:w="11907" w:h="16840"/>
          <w:pgMar w:top="1440" w:right="1797" w:bottom="1440" w:left="1797" w:header="851" w:footer="851" w:gutter="0"/>
          <w:pgNumType w:fmt="decimal"/>
          <w:cols w:space="425" w:num="1"/>
          <w:titlePg/>
          <w:docGrid w:type="lines" w:linePitch="312" w:charSpace="0"/>
        </w:sectPr>
      </w:pPr>
    </w:p>
    <w:p w14:paraId="4A10D0FC">
      <w:pPr>
        <w:pStyle w:val="36"/>
        <w:numPr>
          <w:ilvl w:val="0"/>
          <w:numId w:val="3"/>
        </w:numPr>
        <w:rPr>
          <w:color w:val="auto"/>
          <w:highlight w:val="none"/>
        </w:rPr>
      </w:pPr>
      <w:bookmarkStart w:id="20" w:name="_Toc98019234"/>
      <w:r>
        <w:rPr>
          <w:rFonts w:hint="eastAsia"/>
          <w:color w:val="auto"/>
          <w:highlight w:val="none"/>
        </w:rPr>
        <w:t>投标人须知</w:t>
      </w:r>
      <w:bookmarkEnd w:id="18"/>
      <w:bookmarkEnd w:id="19"/>
      <w:bookmarkEnd w:id="20"/>
    </w:p>
    <w:tbl>
      <w:tblPr>
        <w:tblStyle w:val="3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7CE4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22E3B67">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42A9887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68E44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9E1237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7D19FBF8">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嘉兴市预算会计核算教育分中心2025年第一期公款竞争性存放项目</w:t>
            </w:r>
          </w:p>
        </w:tc>
      </w:tr>
      <w:tr w14:paraId="10187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8DE45FB">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222F6A9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rPr>
              <w:t>公款竞争性存放</w:t>
            </w:r>
            <w:r>
              <w:rPr>
                <w:rFonts w:hint="eastAsia" w:ascii="微软雅黑" w:hAnsi="微软雅黑" w:eastAsia="微软雅黑" w:cs="Arial"/>
                <w:color w:val="auto"/>
                <w:szCs w:val="21"/>
                <w:highlight w:val="none"/>
              </w:rPr>
              <w:t>。</w:t>
            </w:r>
          </w:p>
        </w:tc>
      </w:tr>
      <w:tr w14:paraId="2144F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4F4388F">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782A7407">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0FB22596">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4058947A">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4BAE1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D4C8CE6">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2CC63A0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21B12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0C8A9B2">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5D22F8D7">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答疑与澄清：投标人应认真阅读本招标文件，发现其中有误或不理解的，投标人必须在投标截止之日前3天以书面形式要求采购代理机构澄清，否则，由此产生的后果由投标人负责。</w:t>
            </w:r>
          </w:p>
        </w:tc>
      </w:tr>
      <w:tr w14:paraId="1E598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5553292">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5081CB1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59F5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C0C142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266DB63F">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14：30</w:t>
            </w:r>
            <w:r>
              <w:rPr>
                <w:rFonts w:hint="eastAsia" w:ascii="微软雅黑" w:hAnsi="微软雅黑" w:eastAsia="微软雅黑"/>
                <w:color w:val="auto"/>
                <w:szCs w:val="21"/>
                <w:highlight w:val="none"/>
              </w:rPr>
              <w:t>前将纸质投标文件装袋密封后，通过邮寄快递（或直接送达）方式邮寄（或直接送达）至嘉兴市千秋工程咨询有限公司。密封袋上接缝处需加盖投标人单位公章和法定代表人印章。（注：①邮寄或直接送达地址：嘉兴市秀洲区新平路299号中禾广场</w:t>
            </w:r>
            <w:r>
              <w:rPr>
                <w:rFonts w:hint="eastAsia" w:ascii="微软雅黑" w:hAnsi="微软雅黑" w:eastAsia="微软雅黑"/>
                <w:color w:val="auto"/>
                <w:szCs w:val="21"/>
                <w:highlight w:val="none"/>
                <w:lang w:val="en-US" w:eastAsia="zh-CN"/>
              </w:rPr>
              <w:t>23</w:t>
            </w:r>
            <w:r>
              <w:rPr>
                <w:rFonts w:hint="eastAsia" w:ascii="微软雅黑" w:hAnsi="微软雅黑" w:eastAsia="微软雅黑"/>
                <w:color w:val="auto"/>
                <w:szCs w:val="21"/>
                <w:highlight w:val="none"/>
              </w:rPr>
              <w:t>楼</w:t>
            </w:r>
            <w:r>
              <w:rPr>
                <w:rFonts w:hint="eastAsia" w:ascii="微软雅黑" w:hAnsi="微软雅黑" w:eastAsia="微软雅黑"/>
                <w:color w:val="auto"/>
                <w:szCs w:val="21"/>
                <w:highlight w:val="none"/>
                <w:lang w:val="en-US" w:eastAsia="zh-CN"/>
              </w:rPr>
              <w:t>政府采购办公</w:t>
            </w:r>
            <w:r>
              <w:rPr>
                <w:rFonts w:hint="eastAsia" w:ascii="微软雅黑" w:hAnsi="微软雅黑" w:eastAsia="微软雅黑"/>
                <w:color w:val="auto"/>
                <w:szCs w:val="21"/>
                <w:highlight w:val="none"/>
              </w:rPr>
              <w:t>室，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26A90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2362D7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637BFD1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w:t>
            </w:r>
            <w:r>
              <w:rPr>
                <w:rFonts w:hint="eastAsia" w:ascii="微软雅黑" w:hAnsi="微软雅黑" w:eastAsia="微软雅黑" w:cs="微软雅黑"/>
                <w:highlight w:val="none"/>
              </w:rPr>
              <w:t>202</w:t>
            </w:r>
            <w:r>
              <w:rPr>
                <w:rFonts w:hint="eastAsia" w:ascii="微软雅黑" w:hAnsi="微软雅黑" w:eastAsia="微软雅黑" w:cs="微软雅黑"/>
                <w:highlight w:val="none"/>
                <w:lang w:val="en-US" w:eastAsia="zh-CN"/>
              </w:rPr>
              <w:t>5</w:t>
            </w:r>
            <w:r>
              <w:rPr>
                <w:rFonts w:hint="eastAsia" w:ascii="微软雅黑" w:hAnsi="微软雅黑" w:eastAsia="微软雅黑" w:cs="微软雅黑"/>
                <w:highlight w:val="none"/>
              </w:rPr>
              <w:t>年</w:t>
            </w:r>
            <w:r>
              <w:rPr>
                <w:rFonts w:hint="eastAsia" w:ascii="微软雅黑" w:hAnsi="微软雅黑" w:eastAsia="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eastAsia="微软雅黑" w:cs="微软雅黑"/>
                <w:highlight w:val="none"/>
                <w:lang w:val="en-US" w:eastAsia="zh-CN"/>
              </w:rPr>
              <w:t>23</w:t>
            </w:r>
            <w:r>
              <w:rPr>
                <w:rFonts w:hint="eastAsia" w:ascii="微软雅黑" w:hAnsi="微软雅黑" w:eastAsia="微软雅黑" w:cs="微软雅黑"/>
                <w:highlight w:val="none"/>
              </w:rPr>
              <w:t>日</w:t>
            </w:r>
            <w:r>
              <w:rPr>
                <w:rFonts w:hint="eastAsia" w:ascii="微软雅黑" w:hAnsi="微软雅黑" w:eastAsia="微软雅黑" w:cs="微软雅黑"/>
                <w:highlight w:val="none"/>
                <w:lang w:val="en-US" w:eastAsia="zh-CN"/>
              </w:rPr>
              <w:t>14：30</w:t>
            </w:r>
            <w:r>
              <w:rPr>
                <w:rFonts w:hint="eastAsia" w:ascii="微软雅黑" w:hAnsi="微软雅黑" w:eastAsia="微软雅黑" w:cs="Arial"/>
                <w:color w:val="auto"/>
                <w:szCs w:val="21"/>
                <w:highlight w:val="none"/>
              </w:rPr>
              <w:t>在</w:t>
            </w:r>
            <w:r>
              <w:rPr>
                <w:rFonts w:hint="eastAsia" w:ascii="微软雅黑" w:hAnsi="微软雅黑" w:eastAsia="微软雅黑" w:cs="Arial"/>
                <w:bCs/>
                <w:color w:val="auto"/>
                <w:szCs w:val="21"/>
                <w:highlight w:val="none"/>
              </w:rPr>
              <w:t>嘉兴市千秋工程咨询有限公司</w:t>
            </w:r>
            <w:r>
              <w:rPr>
                <w:rFonts w:hint="eastAsia" w:ascii="微软雅黑" w:hAnsi="微软雅黑" w:eastAsia="微软雅黑" w:cs="Arial"/>
                <w:bCs/>
                <w:color w:val="auto"/>
                <w:szCs w:val="21"/>
                <w:highlight w:val="none"/>
                <w:lang w:val="en-US" w:eastAsia="zh-CN"/>
              </w:rPr>
              <w:t>开标</w:t>
            </w:r>
            <w:r>
              <w:rPr>
                <w:rFonts w:hint="eastAsia" w:ascii="微软雅黑" w:hAnsi="微软雅黑" w:eastAsia="微软雅黑" w:cs="Arial"/>
                <w:bCs/>
                <w:color w:val="auto"/>
                <w:szCs w:val="21"/>
                <w:highlight w:val="none"/>
              </w:rPr>
              <w:t>室（嘉兴市秀洲区新平路299号中禾广场</w:t>
            </w:r>
            <w:r>
              <w:rPr>
                <w:rFonts w:hint="eastAsia" w:ascii="微软雅黑" w:hAnsi="微软雅黑" w:eastAsia="微软雅黑" w:cs="Arial"/>
                <w:bCs/>
                <w:color w:val="auto"/>
                <w:szCs w:val="21"/>
                <w:highlight w:val="none"/>
                <w:lang w:val="en-US" w:eastAsia="zh-CN"/>
              </w:rPr>
              <w:t>23楼右</w:t>
            </w:r>
            <w:r>
              <w:rPr>
                <w:rFonts w:hint="eastAsia" w:ascii="微软雅黑" w:hAnsi="微软雅黑" w:eastAsia="微软雅黑" w:cs="Arial"/>
                <w:bCs/>
                <w:color w:val="auto"/>
                <w:szCs w:val="21"/>
                <w:highlight w:val="none"/>
              </w:rPr>
              <w:t>侧）</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3DC42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D3DC37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0580EB00">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2FC03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8A645BB">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0DCDEB15">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w:t>
            </w:r>
            <w:r>
              <w:rPr>
                <w:rFonts w:hint="eastAsia" w:ascii="微软雅黑" w:hAnsi="微软雅黑" w:eastAsia="微软雅黑"/>
                <w:color w:val="auto"/>
                <w:szCs w:val="21"/>
                <w:highlight w:val="none"/>
                <w:lang w:val="en-US" w:eastAsia="zh-CN"/>
              </w:rPr>
              <w:t>作</w:t>
            </w:r>
            <w:r>
              <w:rPr>
                <w:rFonts w:hint="eastAsia" w:ascii="微软雅黑" w:hAnsi="微软雅黑" w:eastAsia="微软雅黑"/>
                <w:color w:val="auto"/>
                <w:szCs w:val="21"/>
                <w:highlight w:val="none"/>
              </w:rPr>
              <w:t>为唯一投标人，其分支机构不能做为投标人参加投标。</w:t>
            </w:r>
          </w:p>
        </w:tc>
      </w:tr>
      <w:tr w14:paraId="55559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C1B56A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3FD7D00F">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评标结果公告：浙江政府采购网（</w:t>
            </w:r>
            <w:r>
              <w:rPr>
                <w:rStyle w:val="45"/>
                <w:rFonts w:hint="eastAsia" w:ascii="微软雅黑" w:hAnsi="微软雅黑" w:eastAsia="微软雅黑"/>
                <w:color w:val="auto"/>
                <w:szCs w:val="21"/>
                <w:highlight w:val="none"/>
              </w:rPr>
              <w:t>https://zfcg.czt.zj.gov.cn/）</w:t>
            </w:r>
            <w:r>
              <w:rPr>
                <w:rStyle w:val="45"/>
                <w:rFonts w:hint="eastAsia" w:ascii="微软雅黑" w:hAnsi="微软雅黑" w:eastAsia="微软雅黑"/>
                <w:color w:val="auto"/>
                <w:szCs w:val="21"/>
                <w:highlight w:val="none"/>
                <w:u w:val="none"/>
              </w:rPr>
              <w:t>和嘉兴市公共资源交易中心</w:t>
            </w:r>
            <w:r>
              <w:rPr>
                <w:rStyle w:val="45"/>
                <w:rFonts w:hint="eastAsia" w:ascii="微软雅黑" w:hAnsi="微软雅黑" w:eastAsia="微软雅黑"/>
                <w:color w:val="auto"/>
                <w:szCs w:val="21"/>
                <w:highlight w:val="none"/>
              </w:rPr>
              <w:t>（https://jxszwsjb.jiaxing.gov.cn/）</w:t>
            </w:r>
            <w:r>
              <w:rPr>
                <w:rStyle w:val="45"/>
                <w:rFonts w:hint="eastAsia" w:ascii="微软雅黑" w:hAnsi="微软雅黑" w:eastAsia="微软雅黑"/>
                <w:color w:val="auto"/>
                <w:szCs w:val="21"/>
                <w:highlight w:val="none"/>
                <w:lang w:eastAsia="zh-CN"/>
              </w:rPr>
              <w:t>。</w:t>
            </w:r>
            <w:bookmarkStart w:id="148" w:name="_GoBack"/>
            <w:bookmarkEnd w:id="148"/>
          </w:p>
        </w:tc>
      </w:tr>
      <w:tr w14:paraId="597AB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00D676B">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2D455FD8">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5DF89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2F80850">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1063C13A">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签订合同时间：中标通知书发出后30日内。</w:t>
            </w:r>
          </w:p>
        </w:tc>
      </w:tr>
      <w:tr w14:paraId="696C2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3F5CDDC">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27E72466">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036E0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6496EF5">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7A32A197">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lang w:eastAsia="zh-CN"/>
              </w:rPr>
              <w:t>嘉兴市预算会计核算教育分中心</w:t>
            </w:r>
            <w:r>
              <w:rPr>
                <w:rFonts w:hint="eastAsia" w:ascii="微软雅黑" w:hAnsi="微软雅黑" w:eastAsia="微软雅黑"/>
                <w:b/>
                <w:bCs/>
                <w:color w:val="auto"/>
                <w:szCs w:val="21"/>
                <w:highlight w:val="none"/>
              </w:rPr>
              <w:t>。</w:t>
            </w:r>
          </w:p>
        </w:tc>
      </w:tr>
    </w:tbl>
    <w:p w14:paraId="5CA37EC2">
      <w:pPr>
        <w:widowControl/>
        <w:spacing w:line="480" w:lineRule="exact"/>
        <w:ind w:firstLine="420" w:firstLineChars="200"/>
        <w:jc w:val="left"/>
        <w:rPr>
          <w:rFonts w:hint="eastAsia" w:ascii="微软雅黑" w:hAnsi="微软雅黑" w:eastAsia="微软雅黑"/>
          <w:b/>
          <w:color w:val="auto"/>
          <w:szCs w:val="21"/>
          <w:highlight w:val="none"/>
        </w:rPr>
        <w:sectPr>
          <w:headerReference r:id="rId10" w:type="first"/>
          <w:footerReference r:id="rId11" w:type="first"/>
          <w:pgSz w:w="11907" w:h="16840"/>
          <w:pgMar w:top="1440" w:right="1797" w:bottom="1440" w:left="1797" w:header="851" w:footer="851" w:gutter="0"/>
          <w:pgNumType w:fmt="decimal"/>
          <w:cols w:space="425" w:num="1"/>
          <w:titlePg/>
          <w:docGrid w:type="lines" w:linePitch="312" w:charSpace="0"/>
        </w:sectPr>
      </w:pPr>
    </w:p>
    <w:p w14:paraId="0FF95615">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1" w:name="_Toc16633"/>
      <w:bookmarkStart w:id="22" w:name="_Toc98019235"/>
      <w:r>
        <w:rPr>
          <w:rFonts w:hint="eastAsia" w:ascii="微软雅黑" w:hAnsi="微软雅黑" w:eastAsia="微软雅黑" w:cs="微软雅黑"/>
          <w:color w:val="auto"/>
          <w:sz w:val="21"/>
          <w:szCs w:val="21"/>
          <w:highlight w:val="none"/>
        </w:rPr>
        <w:t>总  则</w:t>
      </w:r>
      <w:bookmarkEnd w:id="21"/>
      <w:bookmarkEnd w:id="22"/>
    </w:p>
    <w:p w14:paraId="6B680DA9">
      <w:pPr>
        <w:pStyle w:val="3"/>
        <w:numPr>
          <w:ilvl w:val="1"/>
          <w:numId w:val="12"/>
        </w:numPr>
        <w:spacing w:before="0" w:after="0" w:line="360" w:lineRule="auto"/>
        <w:ind w:firstLine="420" w:firstLineChars="200"/>
        <w:rPr>
          <w:color w:val="auto"/>
          <w:highlight w:val="none"/>
        </w:rPr>
      </w:pPr>
      <w:bookmarkStart w:id="23" w:name="_Toc98019236"/>
      <w:bookmarkStart w:id="24" w:name="_Toc9342479"/>
      <w:bookmarkStart w:id="25" w:name="_Toc11650169"/>
      <w:r>
        <w:rPr>
          <w:rFonts w:hint="eastAsia"/>
          <w:color w:val="auto"/>
          <w:highlight w:val="none"/>
        </w:rPr>
        <w:t>适用范围</w:t>
      </w:r>
      <w:bookmarkEnd w:id="23"/>
      <w:bookmarkEnd w:id="24"/>
      <w:bookmarkEnd w:id="25"/>
    </w:p>
    <w:p w14:paraId="11E108C7">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嘉兴市预算会计核算教育分中心2025年第一期公款竞争性存放项目</w:t>
      </w:r>
      <w:r>
        <w:rPr>
          <w:rFonts w:hint="eastAsia" w:ascii="微软雅黑" w:hAnsi="微软雅黑" w:eastAsia="微软雅黑" w:cs="Arial"/>
          <w:color w:val="auto"/>
          <w:szCs w:val="21"/>
          <w:highlight w:val="none"/>
        </w:rPr>
        <w:t>的招标、投标、评标、定标、验收、合同履约、付款等行为（法律、法规另有规定的，从其规定）。</w:t>
      </w:r>
    </w:p>
    <w:p w14:paraId="011A81DB">
      <w:pPr>
        <w:pStyle w:val="3"/>
        <w:numPr>
          <w:ilvl w:val="1"/>
          <w:numId w:val="12"/>
        </w:numPr>
        <w:spacing w:before="0" w:after="0" w:line="360" w:lineRule="auto"/>
        <w:ind w:firstLine="420" w:firstLineChars="200"/>
        <w:rPr>
          <w:color w:val="auto"/>
          <w:highlight w:val="none"/>
        </w:rPr>
      </w:pPr>
      <w:bookmarkStart w:id="26" w:name="_Toc98019237"/>
      <w:bookmarkStart w:id="27" w:name="_Toc9342480"/>
      <w:bookmarkStart w:id="28" w:name="_Toc11650170"/>
      <w:r>
        <w:rPr>
          <w:rFonts w:hint="eastAsia"/>
          <w:color w:val="auto"/>
          <w:highlight w:val="none"/>
        </w:rPr>
        <w:t>定义</w:t>
      </w:r>
      <w:bookmarkEnd w:id="26"/>
      <w:bookmarkEnd w:id="27"/>
      <w:bookmarkEnd w:id="28"/>
    </w:p>
    <w:p w14:paraId="70F44D94">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6751083F">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2AB64A68">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2E513260">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7C06685C">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1CDE894F">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20466727">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47F019A3">
      <w:pPr>
        <w:pStyle w:val="3"/>
        <w:numPr>
          <w:ilvl w:val="1"/>
          <w:numId w:val="12"/>
        </w:numPr>
        <w:spacing w:before="0" w:after="0" w:line="360" w:lineRule="auto"/>
        <w:ind w:firstLine="420" w:firstLineChars="200"/>
        <w:rPr>
          <w:color w:val="auto"/>
          <w:highlight w:val="none"/>
        </w:rPr>
      </w:pPr>
      <w:bookmarkStart w:id="29" w:name="_Toc9342481"/>
      <w:bookmarkStart w:id="30" w:name="_Toc11650171"/>
      <w:bookmarkStart w:id="31" w:name="_Toc98019238"/>
      <w:r>
        <w:rPr>
          <w:rFonts w:hint="eastAsia"/>
          <w:color w:val="auto"/>
          <w:highlight w:val="none"/>
        </w:rPr>
        <w:t>招标方式</w:t>
      </w:r>
      <w:bookmarkEnd w:id="29"/>
      <w:bookmarkEnd w:id="30"/>
      <w:bookmarkEnd w:id="31"/>
    </w:p>
    <w:p w14:paraId="61144D37">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62E3305D">
      <w:pPr>
        <w:pStyle w:val="3"/>
        <w:numPr>
          <w:ilvl w:val="1"/>
          <w:numId w:val="12"/>
        </w:numPr>
        <w:spacing w:before="0" w:after="0" w:line="360" w:lineRule="auto"/>
        <w:ind w:firstLine="420" w:firstLineChars="200"/>
        <w:rPr>
          <w:color w:val="auto"/>
          <w:highlight w:val="none"/>
        </w:rPr>
      </w:pPr>
      <w:bookmarkStart w:id="32" w:name="_Toc9342482"/>
      <w:bookmarkStart w:id="33" w:name="_Toc11650172"/>
      <w:bookmarkStart w:id="34" w:name="_Toc98019239"/>
      <w:r>
        <w:rPr>
          <w:rFonts w:hint="eastAsia"/>
          <w:color w:val="auto"/>
          <w:highlight w:val="none"/>
        </w:rPr>
        <w:t>投标委托</w:t>
      </w:r>
      <w:bookmarkEnd w:id="32"/>
      <w:bookmarkEnd w:id="33"/>
      <w:bookmarkEnd w:id="34"/>
    </w:p>
    <w:p w14:paraId="40C34384">
      <w:pPr>
        <w:pStyle w:val="18"/>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1E01EFBA">
      <w:pPr>
        <w:pStyle w:val="3"/>
        <w:numPr>
          <w:ilvl w:val="1"/>
          <w:numId w:val="12"/>
        </w:numPr>
        <w:spacing w:before="0" w:after="0" w:line="360" w:lineRule="auto"/>
        <w:ind w:firstLine="420" w:firstLineChars="200"/>
        <w:rPr>
          <w:color w:val="auto"/>
          <w:highlight w:val="none"/>
        </w:rPr>
      </w:pPr>
      <w:bookmarkStart w:id="35" w:name="_Toc9342483"/>
      <w:bookmarkStart w:id="36" w:name="_Toc98019240"/>
      <w:bookmarkStart w:id="37" w:name="_Toc11650173"/>
      <w:r>
        <w:rPr>
          <w:rFonts w:hint="eastAsia"/>
          <w:color w:val="auto"/>
          <w:highlight w:val="none"/>
        </w:rPr>
        <w:t>投标费用</w:t>
      </w:r>
      <w:bookmarkEnd w:id="35"/>
      <w:bookmarkEnd w:id="36"/>
      <w:bookmarkEnd w:id="37"/>
    </w:p>
    <w:p w14:paraId="4B568511">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513BB67D">
      <w:pPr>
        <w:pStyle w:val="3"/>
        <w:numPr>
          <w:ilvl w:val="1"/>
          <w:numId w:val="12"/>
        </w:numPr>
        <w:spacing w:before="0" w:after="0" w:line="360" w:lineRule="auto"/>
        <w:ind w:firstLine="420" w:firstLineChars="200"/>
        <w:rPr>
          <w:color w:val="auto"/>
          <w:highlight w:val="none"/>
        </w:rPr>
      </w:pPr>
      <w:bookmarkStart w:id="38" w:name="_Toc11650174"/>
      <w:bookmarkStart w:id="39" w:name="_Toc98019241"/>
      <w:bookmarkStart w:id="40" w:name="_Toc9342484"/>
      <w:r>
        <w:rPr>
          <w:rFonts w:hint="eastAsia"/>
          <w:color w:val="auto"/>
          <w:highlight w:val="none"/>
        </w:rPr>
        <w:t>特别说明：</w:t>
      </w:r>
      <w:bookmarkEnd w:id="38"/>
      <w:bookmarkEnd w:id="39"/>
      <w:bookmarkEnd w:id="40"/>
    </w:p>
    <w:p w14:paraId="7AD4C707">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4FE44DC7">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0488BD6A">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其投标无效，并依照《嘉财预执〔2018〕86号）、嘉财预执〔2021〕567号文件及相关规定进行相应处罚。</w:t>
      </w:r>
    </w:p>
    <w:p w14:paraId="0CD73120">
      <w:pPr>
        <w:pStyle w:val="3"/>
        <w:numPr>
          <w:ilvl w:val="1"/>
          <w:numId w:val="12"/>
        </w:numPr>
        <w:spacing w:before="0" w:after="0" w:line="360" w:lineRule="auto"/>
        <w:ind w:firstLine="420" w:firstLineChars="200"/>
        <w:rPr>
          <w:color w:val="auto"/>
          <w:highlight w:val="none"/>
        </w:rPr>
      </w:pPr>
      <w:bookmarkStart w:id="41" w:name="_Toc9342485"/>
      <w:bookmarkStart w:id="42" w:name="_Toc98019242"/>
      <w:bookmarkStart w:id="43" w:name="_Toc11650175"/>
      <w:r>
        <w:rPr>
          <w:rFonts w:hint="eastAsia"/>
          <w:color w:val="auto"/>
          <w:highlight w:val="none"/>
        </w:rPr>
        <w:t>质疑和投诉</w:t>
      </w:r>
      <w:bookmarkEnd w:id="41"/>
      <w:bookmarkEnd w:id="42"/>
      <w:bookmarkEnd w:id="43"/>
    </w:p>
    <w:p w14:paraId="36845325">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0D7686F7">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7246103">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4" w:name="_Toc30613"/>
      <w:bookmarkStart w:id="45" w:name="_Toc11650176"/>
      <w:bookmarkStart w:id="46" w:name="_Toc9342486"/>
      <w:bookmarkStart w:id="47" w:name="_Toc98019243"/>
      <w:r>
        <w:rPr>
          <w:rFonts w:hint="eastAsia" w:ascii="微软雅黑" w:hAnsi="微软雅黑" w:eastAsia="微软雅黑" w:cs="微软雅黑"/>
          <w:color w:val="auto"/>
          <w:sz w:val="21"/>
          <w:szCs w:val="21"/>
          <w:highlight w:val="none"/>
        </w:rPr>
        <w:t>招标文件</w:t>
      </w:r>
      <w:bookmarkEnd w:id="44"/>
      <w:bookmarkEnd w:id="45"/>
      <w:bookmarkEnd w:id="46"/>
      <w:bookmarkEnd w:id="47"/>
    </w:p>
    <w:p w14:paraId="69AA7B2A">
      <w:pPr>
        <w:pStyle w:val="3"/>
        <w:numPr>
          <w:ilvl w:val="1"/>
          <w:numId w:val="12"/>
        </w:numPr>
        <w:spacing w:before="0" w:after="0" w:line="360" w:lineRule="auto"/>
        <w:ind w:firstLine="420" w:firstLineChars="200"/>
        <w:rPr>
          <w:color w:val="auto"/>
          <w:highlight w:val="none"/>
        </w:rPr>
      </w:pPr>
      <w:bookmarkStart w:id="48" w:name="_Toc98019244"/>
      <w:r>
        <w:rPr>
          <w:rFonts w:hint="eastAsia"/>
          <w:color w:val="auto"/>
          <w:highlight w:val="none"/>
        </w:rPr>
        <w:t>招标文件的构成。本招标文件由以下部份组成：</w:t>
      </w:r>
      <w:bookmarkEnd w:id="48"/>
    </w:p>
    <w:p w14:paraId="4C43FA9C">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66F21247">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6FB4254D">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6D07F04F">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649AF1EB">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273FC1E1">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53FD91BB">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41CC873A">
      <w:pPr>
        <w:pStyle w:val="3"/>
        <w:numPr>
          <w:ilvl w:val="1"/>
          <w:numId w:val="12"/>
        </w:numPr>
        <w:spacing w:before="0" w:after="0" w:line="360" w:lineRule="auto"/>
        <w:ind w:firstLine="420" w:firstLineChars="200"/>
        <w:rPr>
          <w:color w:val="auto"/>
          <w:highlight w:val="none"/>
        </w:rPr>
      </w:pPr>
      <w:bookmarkStart w:id="49" w:name="_Toc98019245"/>
      <w:r>
        <w:rPr>
          <w:rFonts w:hint="eastAsia"/>
          <w:color w:val="auto"/>
          <w:highlight w:val="none"/>
        </w:rPr>
        <w:t>投标人的风险</w:t>
      </w:r>
      <w:bookmarkEnd w:id="49"/>
    </w:p>
    <w:p w14:paraId="5E6CA32C">
      <w:pPr>
        <w:pStyle w:val="32"/>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08BCA66E">
      <w:pPr>
        <w:pStyle w:val="3"/>
        <w:numPr>
          <w:ilvl w:val="1"/>
          <w:numId w:val="12"/>
        </w:numPr>
        <w:spacing w:before="0" w:after="0" w:line="360" w:lineRule="auto"/>
        <w:ind w:firstLine="420" w:firstLineChars="200"/>
        <w:rPr>
          <w:color w:val="auto"/>
          <w:highlight w:val="none"/>
        </w:rPr>
      </w:pPr>
      <w:bookmarkStart w:id="50" w:name="_Toc98019246"/>
      <w:r>
        <w:rPr>
          <w:rFonts w:hint="eastAsia"/>
          <w:color w:val="auto"/>
          <w:highlight w:val="none"/>
        </w:rPr>
        <w:t>招标文件的澄清与修改</w:t>
      </w:r>
      <w:bookmarkEnd w:id="50"/>
    </w:p>
    <w:p w14:paraId="48497C76">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1" w:name="_Toc11650177"/>
      <w:bookmarkStart w:id="52" w:name="_Toc934248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4638A50A">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3" w:name="_Toc11650178"/>
      <w:bookmarkStart w:id="54" w:name="_Toc934248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0620593D">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5" w:name="_Toc11650179"/>
      <w:bookmarkStart w:id="56" w:name="_Toc9342489"/>
      <w:r>
        <w:rPr>
          <w:rFonts w:hint="eastAsia" w:ascii="微软雅黑" w:hAnsi="微软雅黑" w:eastAsia="微软雅黑"/>
          <w:color w:val="auto"/>
          <w:szCs w:val="21"/>
          <w:highlight w:val="none"/>
        </w:rPr>
        <w:t>招标文件的澄清、答复、修改或补充都应该通过招标人以法定形式发布，存款单位没有通过招标人，不得擅自澄清、答复、修改或补充招标文件。</w:t>
      </w:r>
      <w:bookmarkEnd w:id="55"/>
      <w:bookmarkEnd w:id="56"/>
    </w:p>
    <w:p w14:paraId="220C1C27">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7" w:name="_Toc24216"/>
      <w:bookmarkStart w:id="58" w:name="_Toc11650180"/>
      <w:bookmarkStart w:id="59" w:name="_Toc98019247"/>
      <w:bookmarkStart w:id="60" w:name="_Toc9342490"/>
      <w:r>
        <w:rPr>
          <w:rFonts w:hint="eastAsia" w:ascii="微软雅黑" w:hAnsi="微软雅黑" w:eastAsia="微软雅黑" w:cs="微软雅黑"/>
          <w:color w:val="auto"/>
          <w:sz w:val="21"/>
          <w:szCs w:val="21"/>
          <w:highlight w:val="none"/>
        </w:rPr>
        <w:t>投标文件的编制</w:t>
      </w:r>
      <w:bookmarkEnd w:id="57"/>
      <w:bookmarkEnd w:id="58"/>
      <w:bookmarkEnd w:id="59"/>
      <w:bookmarkEnd w:id="60"/>
    </w:p>
    <w:p w14:paraId="45A0D757">
      <w:pPr>
        <w:pStyle w:val="3"/>
        <w:numPr>
          <w:ilvl w:val="1"/>
          <w:numId w:val="12"/>
        </w:numPr>
        <w:spacing w:before="0" w:after="0" w:line="360" w:lineRule="auto"/>
        <w:ind w:firstLine="420" w:firstLineChars="200"/>
        <w:rPr>
          <w:color w:val="auto"/>
          <w:highlight w:val="none"/>
        </w:rPr>
      </w:pPr>
      <w:bookmarkStart w:id="61" w:name="_Toc98019248"/>
      <w:bookmarkStart w:id="62" w:name="_Toc11650181"/>
      <w:bookmarkStart w:id="63" w:name="_Toc9342491"/>
      <w:r>
        <w:rPr>
          <w:rFonts w:hint="eastAsia"/>
          <w:color w:val="auto"/>
          <w:highlight w:val="none"/>
        </w:rPr>
        <w:t>投标文件的组成</w:t>
      </w:r>
      <w:bookmarkEnd w:id="61"/>
      <w:bookmarkEnd w:id="62"/>
      <w:bookmarkEnd w:id="63"/>
    </w:p>
    <w:p w14:paraId="4671EFE9">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1C0D862D">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4DE13F98">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55517C7D">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3221B22F">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51BD88B2">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人民银行评价材料 (复印件)；</w:t>
      </w:r>
    </w:p>
    <w:p w14:paraId="6F31E369">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67EE2FAC">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37A7D57E">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投标人需提供的其他材料（格式自拟）。</w:t>
      </w:r>
    </w:p>
    <w:p w14:paraId="3CB60DDA">
      <w:pPr>
        <w:pStyle w:val="3"/>
        <w:numPr>
          <w:ilvl w:val="1"/>
          <w:numId w:val="12"/>
        </w:numPr>
        <w:spacing w:before="0" w:after="0" w:line="360" w:lineRule="auto"/>
        <w:ind w:firstLine="420" w:firstLineChars="200"/>
        <w:rPr>
          <w:color w:val="auto"/>
          <w:highlight w:val="none"/>
        </w:rPr>
      </w:pPr>
      <w:bookmarkStart w:id="64" w:name="_Toc11650182"/>
      <w:bookmarkStart w:id="65" w:name="_Toc98019249"/>
      <w:bookmarkStart w:id="66" w:name="_Toc9342492"/>
      <w:r>
        <w:rPr>
          <w:rFonts w:hint="eastAsia"/>
          <w:color w:val="auto"/>
          <w:highlight w:val="none"/>
        </w:rPr>
        <w:t>投标文件的语言及计量</w:t>
      </w:r>
      <w:bookmarkEnd w:id="64"/>
      <w:bookmarkEnd w:id="65"/>
      <w:bookmarkEnd w:id="66"/>
    </w:p>
    <w:p w14:paraId="2F3E3E2F">
      <w:pPr>
        <w:numPr>
          <w:ilvl w:val="0"/>
          <w:numId w:val="19"/>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01E470B0">
      <w:pPr>
        <w:numPr>
          <w:ilvl w:val="0"/>
          <w:numId w:val="19"/>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33C3BAB9">
      <w:pPr>
        <w:pStyle w:val="3"/>
        <w:numPr>
          <w:ilvl w:val="1"/>
          <w:numId w:val="12"/>
        </w:numPr>
        <w:spacing w:before="0" w:after="0" w:line="360" w:lineRule="auto"/>
        <w:ind w:firstLine="420" w:firstLineChars="200"/>
        <w:rPr>
          <w:color w:val="auto"/>
          <w:highlight w:val="none"/>
        </w:rPr>
      </w:pPr>
      <w:bookmarkStart w:id="67" w:name="_Toc11650183"/>
      <w:bookmarkStart w:id="68" w:name="_Toc98019250"/>
      <w:bookmarkStart w:id="69" w:name="_Toc9342493"/>
      <w:r>
        <w:rPr>
          <w:rFonts w:hint="eastAsia"/>
          <w:color w:val="auto"/>
          <w:highlight w:val="none"/>
        </w:rPr>
        <w:t>投标报价</w:t>
      </w:r>
      <w:bookmarkEnd w:id="67"/>
      <w:bookmarkEnd w:id="68"/>
      <w:bookmarkEnd w:id="69"/>
    </w:p>
    <w:p w14:paraId="76DF1A2E">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67FC58C9">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56E6FD72">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7695E3DD">
      <w:pPr>
        <w:numPr>
          <w:ilvl w:val="0"/>
          <w:numId w:val="20"/>
        </w:numPr>
        <w:snapToGrid w:val="0"/>
        <w:spacing w:line="360" w:lineRule="auto"/>
        <w:ind w:left="0" w:firstLine="420" w:firstLineChars="200"/>
        <w:jc w:val="left"/>
        <w:rPr>
          <w:rFonts w:hint="eastAsia" w:ascii="微软雅黑" w:hAnsi="微软雅黑" w:eastAsia="微软雅黑"/>
          <w:b/>
          <w:color w:val="auto"/>
          <w:szCs w:val="21"/>
          <w:highlight w:val="none"/>
          <w:shd w:val="pct10" w:color="auto" w:fill="FFFFFF"/>
        </w:rPr>
      </w:pPr>
      <w:r>
        <w:rPr>
          <w:rFonts w:hint="eastAsia" w:ascii="微软雅黑" w:hAnsi="微软雅黑" w:eastAsia="微软雅黑"/>
          <w:color w:val="auto"/>
          <w:szCs w:val="21"/>
          <w:highlight w:val="none"/>
        </w:rPr>
        <w:t>▲</w:t>
      </w:r>
      <w:r>
        <w:rPr>
          <w:rFonts w:hint="eastAsia" w:ascii="微软雅黑" w:hAnsi="微软雅黑" w:eastAsia="微软雅黑"/>
          <w:b/>
          <w:color w:val="auto"/>
          <w:szCs w:val="21"/>
          <w:highlight w:val="none"/>
          <w:shd w:val="pct10" w:color="auto" w:fill="FFFFFF"/>
        </w:rPr>
        <w:t>执行利率应符合国家利率政策和市场利率定价自律机制规定。</w:t>
      </w:r>
    </w:p>
    <w:p w14:paraId="6F53933D">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74447209">
      <w:pPr>
        <w:pStyle w:val="3"/>
        <w:numPr>
          <w:ilvl w:val="1"/>
          <w:numId w:val="12"/>
        </w:numPr>
        <w:spacing w:before="0" w:after="0" w:line="360" w:lineRule="auto"/>
        <w:ind w:firstLine="420" w:firstLineChars="200"/>
        <w:rPr>
          <w:color w:val="auto"/>
          <w:highlight w:val="none"/>
        </w:rPr>
      </w:pPr>
      <w:bookmarkStart w:id="70" w:name="_Toc98019251"/>
      <w:r>
        <w:rPr>
          <w:rFonts w:hint="eastAsia"/>
          <w:color w:val="auto"/>
          <w:highlight w:val="none"/>
        </w:rPr>
        <w:t>投标文件的有效期</w:t>
      </w:r>
      <w:bookmarkEnd w:id="70"/>
    </w:p>
    <w:p w14:paraId="00D7AC40">
      <w:pPr>
        <w:numPr>
          <w:ilvl w:val="0"/>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6CF7B2CB">
      <w:pPr>
        <w:numPr>
          <w:ilvl w:val="0"/>
          <w:numId w:val="21"/>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1" w:name="_Toc11650184"/>
      <w:bookmarkStart w:id="72" w:name="_Toc9342494"/>
      <w:r>
        <w:rPr>
          <w:rFonts w:hint="eastAsia" w:ascii="微软雅黑" w:hAnsi="微软雅黑" w:eastAsia="微软雅黑"/>
          <w:color w:val="auto"/>
          <w:szCs w:val="21"/>
          <w:highlight w:val="none"/>
        </w:rPr>
        <w:t>中标人的投标文件自开标之日起至合同履行完毕止均应保持有效。</w:t>
      </w:r>
      <w:bookmarkEnd w:id="71"/>
      <w:bookmarkEnd w:id="72"/>
    </w:p>
    <w:p w14:paraId="759301A4">
      <w:pPr>
        <w:pStyle w:val="3"/>
        <w:numPr>
          <w:ilvl w:val="1"/>
          <w:numId w:val="12"/>
        </w:numPr>
        <w:spacing w:before="0" w:after="0" w:line="360" w:lineRule="auto"/>
        <w:ind w:firstLine="420" w:firstLineChars="200"/>
        <w:rPr>
          <w:color w:val="auto"/>
          <w:highlight w:val="none"/>
        </w:rPr>
      </w:pPr>
      <w:bookmarkStart w:id="73" w:name="_Toc98019252"/>
      <w:r>
        <w:rPr>
          <w:rFonts w:hint="eastAsia"/>
          <w:color w:val="auto"/>
          <w:highlight w:val="none"/>
        </w:rPr>
        <w:t>投标文件的签署和份数</w:t>
      </w:r>
      <w:bookmarkEnd w:id="73"/>
    </w:p>
    <w:p w14:paraId="23B2EB8A">
      <w:pPr>
        <w:numPr>
          <w:ilvl w:val="0"/>
          <w:numId w:val="22"/>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2202C375">
      <w:pPr>
        <w:numPr>
          <w:ilvl w:val="0"/>
          <w:numId w:val="22"/>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5F112D6E">
      <w:pPr>
        <w:numPr>
          <w:ilvl w:val="0"/>
          <w:numId w:val="22"/>
        </w:numPr>
        <w:snapToGrid w:val="0"/>
        <w:spacing w:line="360" w:lineRule="auto"/>
        <w:ind w:left="0"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3108AB34">
      <w:pPr>
        <w:pStyle w:val="3"/>
        <w:numPr>
          <w:ilvl w:val="1"/>
          <w:numId w:val="12"/>
        </w:numPr>
        <w:spacing w:before="0" w:after="0" w:line="360" w:lineRule="auto"/>
        <w:ind w:firstLine="420" w:firstLineChars="200"/>
        <w:rPr>
          <w:color w:val="auto"/>
          <w:highlight w:val="none"/>
        </w:rPr>
      </w:pPr>
      <w:bookmarkStart w:id="74" w:name="_Toc98019253"/>
      <w:r>
        <w:rPr>
          <w:rFonts w:hint="eastAsia"/>
          <w:color w:val="auto"/>
          <w:highlight w:val="none"/>
        </w:rPr>
        <w:t>投标文件的包装、递交、修改和撤回</w:t>
      </w:r>
      <w:bookmarkEnd w:id="74"/>
    </w:p>
    <w:p w14:paraId="349CC65A">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7D724A13">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2490C3E0">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60B71D59">
      <w:pPr>
        <w:pStyle w:val="3"/>
        <w:numPr>
          <w:ilvl w:val="1"/>
          <w:numId w:val="12"/>
        </w:numPr>
        <w:spacing w:before="0" w:after="0" w:line="360" w:lineRule="auto"/>
        <w:ind w:firstLine="420" w:firstLineChars="200"/>
        <w:rPr>
          <w:color w:val="auto"/>
          <w:highlight w:val="none"/>
        </w:rPr>
      </w:pPr>
      <w:bookmarkStart w:id="75" w:name="_Toc98019254"/>
      <w:r>
        <w:rPr>
          <w:rFonts w:hint="eastAsia"/>
          <w:color w:val="auto"/>
          <w:highlight w:val="none"/>
        </w:rPr>
        <w:t>投标无效的情形</w:t>
      </w:r>
      <w:bookmarkEnd w:id="75"/>
    </w:p>
    <w:p w14:paraId="6BEDC947">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1C4FA2DB">
      <w:pPr>
        <w:numPr>
          <w:ilvl w:val="0"/>
          <w:numId w:val="24"/>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36275AFD">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1EDA74ED">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3DC479D8">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358333D4">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05681620">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05256F65">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082F17CA">
      <w:pPr>
        <w:numPr>
          <w:ilvl w:val="0"/>
          <w:numId w:val="24"/>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11B0464D">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3285A801">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4C8AF266">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09820A33">
      <w:pPr>
        <w:numPr>
          <w:ilvl w:val="0"/>
          <w:numId w:val="24"/>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5CCE0384">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6669D99C">
      <w:pPr>
        <w:numPr>
          <w:ilvl w:val="1"/>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05CE1CC7">
      <w:pPr>
        <w:pStyle w:val="62"/>
        <w:numPr>
          <w:ilvl w:val="0"/>
          <w:numId w:val="24"/>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4F32AF5F">
      <w:pPr>
        <w:pStyle w:val="62"/>
        <w:numPr>
          <w:ilvl w:val="0"/>
          <w:numId w:val="24"/>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667EA860">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6" w:name="_Toc23544"/>
      <w:bookmarkStart w:id="77" w:name="_Toc98019255"/>
      <w:r>
        <w:rPr>
          <w:rFonts w:hint="eastAsia" w:ascii="微软雅黑" w:hAnsi="微软雅黑" w:eastAsia="微软雅黑" w:cs="微软雅黑"/>
          <w:color w:val="auto"/>
          <w:sz w:val="21"/>
          <w:szCs w:val="21"/>
          <w:highlight w:val="none"/>
        </w:rPr>
        <w:t>开标</w:t>
      </w:r>
      <w:bookmarkEnd w:id="76"/>
      <w:bookmarkEnd w:id="77"/>
    </w:p>
    <w:p w14:paraId="240E550D">
      <w:pPr>
        <w:pStyle w:val="3"/>
        <w:numPr>
          <w:ilvl w:val="1"/>
          <w:numId w:val="12"/>
        </w:numPr>
        <w:spacing w:before="0" w:after="0" w:line="360" w:lineRule="auto"/>
        <w:ind w:firstLine="420" w:firstLineChars="200"/>
        <w:rPr>
          <w:color w:val="auto"/>
          <w:highlight w:val="none"/>
        </w:rPr>
      </w:pPr>
      <w:bookmarkStart w:id="78" w:name="_Toc98019256"/>
      <w:r>
        <w:rPr>
          <w:rFonts w:hint="eastAsia"/>
          <w:color w:val="auto"/>
          <w:highlight w:val="none"/>
        </w:rPr>
        <w:t>本项目不要求投标人至开标现场参加开标及开启投标文件活动。招标代理机构将在规定的时间和地点进行开标。</w:t>
      </w:r>
      <w:bookmarkEnd w:id="78"/>
    </w:p>
    <w:p w14:paraId="54E195F5">
      <w:pPr>
        <w:pStyle w:val="3"/>
        <w:numPr>
          <w:ilvl w:val="1"/>
          <w:numId w:val="12"/>
        </w:numPr>
        <w:spacing w:before="0" w:after="0" w:line="360" w:lineRule="auto"/>
        <w:ind w:firstLine="420" w:firstLineChars="200"/>
        <w:rPr>
          <w:color w:val="auto"/>
          <w:highlight w:val="none"/>
        </w:rPr>
      </w:pPr>
      <w:bookmarkStart w:id="79" w:name="_Toc98019257"/>
      <w:r>
        <w:rPr>
          <w:rFonts w:hint="eastAsia"/>
          <w:color w:val="auto"/>
          <w:highlight w:val="none"/>
        </w:rPr>
        <w:t>开标程序：</w:t>
      </w:r>
      <w:bookmarkEnd w:id="79"/>
    </w:p>
    <w:p w14:paraId="6D42C7B8">
      <w:pPr>
        <w:pStyle w:val="4"/>
        <w:ind w:firstLine="400" w:firstLineChars="0"/>
        <w:rPr>
          <w:rFonts w:hint="eastAsia"/>
          <w:b w:val="0"/>
          <w:bCs w:val="0"/>
          <w:color w:val="auto"/>
          <w:highlight w:val="none"/>
        </w:rPr>
      </w:pPr>
      <w:bookmarkStart w:id="80" w:name="_Toc98019258"/>
      <w:r>
        <w:rPr>
          <w:rFonts w:hint="eastAsia"/>
          <w:b w:val="0"/>
          <w:bCs w:val="0"/>
          <w:color w:val="auto"/>
          <w:highlight w:val="none"/>
        </w:rPr>
        <w:t>开标会由招标代理机构主持，主持人宣布开标会议开始；</w:t>
      </w:r>
      <w:bookmarkEnd w:id="80"/>
    </w:p>
    <w:p w14:paraId="35F4D761">
      <w:pPr>
        <w:pStyle w:val="4"/>
        <w:ind w:firstLine="400" w:firstLineChars="0"/>
        <w:rPr>
          <w:rFonts w:hint="eastAsia" w:ascii="微软雅黑" w:hAnsi="微软雅黑"/>
          <w:b w:val="0"/>
          <w:bCs w:val="0"/>
          <w:color w:val="auto"/>
          <w:szCs w:val="21"/>
          <w:highlight w:val="none"/>
        </w:rPr>
      </w:pPr>
      <w:bookmarkStart w:id="81" w:name="_Toc98019259"/>
      <w:r>
        <w:rPr>
          <w:rFonts w:hint="eastAsia"/>
          <w:b w:val="0"/>
          <w:bCs w:val="0"/>
          <w:color w:val="auto"/>
          <w:highlight w:val="none"/>
        </w:rPr>
        <w:t>介绍参加开标会的人员名单；</w:t>
      </w:r>
      <w:bookmarkEnd w:id="81"/>
    </w:p>
    <w:p w14:paraId="0CF76FB2">
      <w:pPr>
        <w:pStyle w:val="4"/>
        <w:ind w:firstLine="400" w:firstLineChars="0"/>
        <w:rPr>
          <w:rFonts w:hint="eastAsia" w:ascii="微软雅黑" w:hAnsi="微软雅黑"/>
          <w:b w:val="0"/>
          <w:bCs w:val="0"/>
          <w:color w:val="auto"/>
          <w:szCs w:val="21"/>
          <w:highlight w:val="none"/>
        </w:rPr>
      </w:pPr>
      <w:bookmarkStart w:id="82"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0B84AFC6">
      <w:pPr>
        <w:pStyle w:val="4"/>
        <w:ind w:firstLine="400" w:firstLineChars="0"/>
        <w:rPr>
          <w:rFonts w:hint="eastAsia" w:ascii="微软雅黑" w:hAnsi="微软雅黑"/>
          <w:b w:val="0"/>
          <w:bCs w:val="0"/>
          <w:color w:val="auto"/>
          <w:szCs w:val="21"/>
          <w:highlight w:val="none"/>
        </w:rPr>
      </w:pPr>
      <w:bookmarkStart w:id="83" w:name="_Toc98019261"/>
      <w:r>
        <w:rPr>
          <w:rFonts w:hint="eastAsia" w:ascii="微软雅黑" w:hAnsi="微软雅黑"/>
          <w:b w:val="0"/>
          <w:bCs w:val="0"/>
          <w:color w:val="auto"/>
          <w:szCs w:val="21"/>
          <w:highlight w:val="none"/>
        </w:rPr>
        <w:t>宣布评标期间的有关事项；</w:t>
      </w:r>
      <w:bookmarkEnd w:id="83"/>
    </w:p>
    <w:p w14:paraId="7C57E391">
      <w:pPr>
        <w:pStyle w:val="3"/>
        <w:numPr>
          <w:ilvl w:val="1"/>
          <w:numId w:val="12"/>
        </w:numPr>
        <w:spacing w:before="0" w:after="0" w:line="360" w:lineRule="auto"/>
        <w:ind w:firstLine="420" w:firstLineChars="200"/>
        <w:rPr>
          <w:color w:val="auto"/>
          <w:highlight w:val="none"/>
        </w:rPr>
      </w:pPr>
      <w:bookmarkStart w:id="84" w:name="_Toc98019262"/>
      <w:r>
        <w:rPr>
          <w:rFonts w:hint="eastAsia"/>
          <w:color w:val="auto"/>
          <w:highlight w:val="none"/>
        </w:rPr>
        <w:t>开标会议结束。</w:t>
      </w:r>
      <w:bookmarkEnd w:id="84"/>
    </w:p>
    <w:p w14:paraId="52C22B0F">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5" w:name="_Toc5071"/>
      <w:bookmarkStart w:id="86" w:name="_Toc98019263"/>
      <w:r>
        <w:rPr>
          <w:rFonts w:hint="eastAsia" w:ascii="微软雅黑" w:hAnsi="微软雅黑" w:eastAsia="微软雅黑" w:cs="微软雅黑"/>
          <w:color w:val="auto"/>
          <w:sz w:val="21"/>
          <w:szCs w:val="21"/>
          <w:highlight w:val="none"/>
        </w:rPr>
        <w:t>评标</w:t>
      </w:r>
      <w:bookmarkEnd w:id="85"/>
      <w:bookmarkEnd w:id="86"/>
    </w:p>
    <w:p w14:paraId="7DFAC22D">
      <w:pPr>
        <w:pStyle w:val="3"/>
        <w:numPr>
          <w:ilvl w:val="1"/>
          <w:numId w:val="12"/>
        </w:numPr>
        <w:spacing w:before="0" w:after="0" w:line="360" w:lineRule="auto"/>
        <w:ind w:firstLine="420" w:firstLineChars="200"/>
        <w:rPr>
          <w:color w:val="auto"/>
          <w:highlight w:val="none"/>
        </w:rPr>
      </w:pPr>
      <w:bookmarkStart w:id="87" w:name="_Toc98019264"/>
      <w:r>
        <w:rPr>
          <w:rFonts w:hint="eastAsia"/>
          <w:color w:val="auto"/>
          <w:highlight w:val="none"/>
        </w:rPr>
        <w:t>评标组织</w:t>
      </w:r>
      <w:bookmarkEnd w:id="87"/>
    </w:p>
    <w:p w14:paraId="17F82F7D">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评审小组</w:t>
      </w:r>
      <w:r>
        <w:rPr>
          <w:rFonts w:ascii="微软雅黑" w:hAnsi="微软雅黑" w:eastAsia="微软雅黑"/>
          <w:color w:val="auto"/>
          <w:szCs w:val="21"/>
          <w:highlight w:val="none"/>
        </w:rPr>
        <w:t>评审</w:t>
      </w:r>
      <w:r>
        <w:rPr>
          <w:rFonts w:hint="eastAsia" w:ascii="微软雅黑" w:hAnsi="微软雅黑" w:eastAsia="微软雅黑"/>
          <w:color w:val="auto"/>
          <w:szCs w:val="21"/>
          <w:highlight w:val="none"/>
        </w:rPr>
        <w:t>专家</w:t>
      </w: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人，业主专家</w:t>
      </w: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人，共5人组成。</w:t>
      </w:r>
    </w:p>
    <w:p w14:paraId="27427AB2">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3C69BF8D">
      <w:pPr>
        <w:pStyle w:val="3"/>
        <w:numPr>
          <w:ilvl w:val="1"/>
          <w:numId w:val="12"/>
        </w:numPr>
        <w:spacing w:before="0" w:after="0" w:line="360" w:lineRule="auto"/>
        <w:ind w:firstLine="420" w:firstLineChars="200"/>
        <w:rPr>
          <w:color w:val="auto"/>
          <w:highlight w:val="none"/>
        </w:rPr>
      </w:pPr>
      <w:bookmarkStart w:id="88" w:name="_Toc98019265"/>
      <w:r>
        <w:rPr>
          <w:rFonts w:hint="eastAsia"/>
          <w:color w:val="auto"/>
          <w:highlight w:val="none"/>
        </w:rPr>
        <w:t>评标的方式</w:t>
      </w:r>
      <w:bookmarkEnd w:id="88"/>
    </w:p>
    <w:p w14:paraId="3FE6699A">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056E0992">
      <w:pPr>
        <w:pStyle w:val="62"/>
        <w:numPr>
          <w:ilvl w:val="1"/>
          <w:numId w:val="25"/>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6971EA99">
      <w:pPr>
        <w:pStyle w:val="62"/>
        <w:numPr>
          <w:ilvl w:val="1"/>
          <w:numId w:val="25"/>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本项目实行线下纸质投标叠加网上电子投标，招标系统会使本次网上电子投标成功或失败，本项目最终都以线下纸质投标文件为准。</w:t>
      </w:r>
    </w:p>
    <w:p w14:paraId="5241D123">
      <w:pPr>
        <w:snapToGrid w:val="0"/>
        <w:spacing w:line="360" w:lineRule="auto"/>
        <w:ind w:firstLine="420" w:firstLineChars="200"/>
        <w:jc w:val="left"/>
        <w:rPr>
          <w:rFonts w:hint="eastAsia" w:ascii="微软雅黑" w:hAnsi="微软雅黑" w:eastAsia="微软雅黑"/>
          <w:color w:val="auto"/>
          <w:szCs w:val="21"/>
          <w:highlight w:val="none"/>
        </w:rPr>
      </w:pPr>
    </w:p>
    <w:p w14:paraId="42011896">
      <w:pPr>
        <w:pStyle w:val="3"/>
        <w:numPr>
          <w:ilvl w:val="1"/>
          <w:numId w:val="12"/>
        </w:numPr>
        <w:spacing w:before="0" w:after="0" w:line="360" w:lineRule="auto"/>
        <w:ind w:firstLine="420" w:firstLineChars="200"/>
        <w:rPr>
          <w:color w:val="auto"/>
          <w:highlight w:val="none"/>
        </w:rPr>
      </w:pPr>
      <w:bookmarkStart w:id="89" w:name="_Toc98019266"/>
      <w:r>
        <w:rPr>
          <w:rFonts w:hint="eastAsia"/>
          <w:color w:val="auto"/>
          <w:highlight w:val="none"/>
        </w:rPr>
        <w:t>评标程序</w:t>
      </w:r>
      <w:bookmarkEnd w:id="89"/>
    </w:p>
    <w:p w14:paraId="3F190969">
      <w:pPr>
        <w:pStyle w:val="4"/>
        <w:ind w:firstLine="400" w:firstLineChars="0"/>
        <w:rPr>
          <w:rFonts w:hint="eastAsia"/>
          <w:color w:val="auto"/>
          <w:highlight w:val="none"/>
        </w:rPr>
      </w:pPr>
      <w:bookmarkStart w:id="90" w:name="_Toc98019267"/>
      <w:r>
        <w:rPr>
          <w:rFonts w:hint="eastAsia"/>
          <w:color w:val="auto"/>
          <w:highlight w:val="none"/>
        </w:rPr>
        <w:t>形式审查</w:t>
      </w:r>
      <w:bookmarkEnd w:id="90"/>
    </w:p>
    <w:p w14:paraId="3E8ACF98">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6E4ADAE0">
      <w:pPr>
        <w:pStyle w:val="4"/>
        <w:ind w:firstLine="400" w:firstLineChars="0"/>
        <w:rPr>
          <w:rFonts w:hint="eastAsia"/>
          <w:color w:val="auto"/>
          <w:highlight w:val="none"/>
        </w:rPr>
      </w:pPr>
      <w:bookmarkStart w:id="91" w:name="_Toc98019268"/>
      <w:r>
        <w:rPr>
          <w:rFonts w:hint="eastAsia"/>
          <w:color w:val="auto"/>
          <w:highlight w:val="none"/>
        </w:rPr>
        <w:t>实质审查与比较</w:t>
      </w:r>
      <w:bookmarkEnd w:id="91"/>
    </w:p>
    <w:p w14:paraId="48BBA95A">
      <w:pPr>
        <w:numPr>
          <w:ilvl w:val="0"/>
          <w:numId w:val="2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625CC3C6">
      <w:pPr>
        <w:numPr>
          <w:ilvl w:val="0"/>
          <w:numId w:val="2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1BCF7A38">
      <w:pPr>
        <w:numPr>
          <w:ilvl w:val="0"/>
          <w:numId w:val="2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0190706B">
      <w:pPr>
        <w:numPr>
          <w:ilvl w:val="0"/>
          <w:numId w:val="2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1D356395">
      <w:pPr>
        <w:numPr>
          <w:ilvl w:val="0"/>
          <w:numId w:val="2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243A1323">
      <w:pPr>
        <w:pStyle w:val="4"/>
        <w:ind w:firstLine="400" w:firstLineChars="0"/>
        <w:rPr>
          <w:rFonts w:hint="eastAsia"/>
          <w:color w:val="auto"/>
          <w:highlight w:val="none"/>
        </w:rPr>
      </w:pPr>
      <w:bookmarkStart w:id="92" w:name="_Toc98019269"/>
      <w:r>
        <w:rPr>
          <w:rFonts w:hint="eastAsia"/>
          <w:color w:val="auto"/>
          <w:highlight w:val="none"/>
        </w:rPr>
        <w:t>澄清问题的形式</w:t>
      </w:r>
      <w:bookmarkEnd w:id="92"/>
    </w:p>
    <w:p w14:paraId="62FCFA0B">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1E1175C4">
      <w:pPr>
        <w:pStyle w:val="4"/>
        <w:ind w:firstLine="400" w:firstLineChars="0"/>
        <w:rPr>
          <w:rFonts w:hint="eastAsia"/>
          <w:color w:val="auto"/>
          <w:highlight w:val="none"/>
        </w:rPr>
      </w:pPr>
      <w:bookmarkStart w:id="93" w:name="_Toc98019270"/>
      <w:r>
        <w:rPr>
          <w:rFonts w:hint="eastAsia"/>
          <w:color w:val="auto"/>
          <w:highlight w:val="none"/>
        </w:rPr>
        <w:t>评标过程的保密性</w:t>
      </w:r>
      <w:bookmarkEnd w:id="93"/>
    </w:p>
    <w:p w14:paraId="1EDFA271">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04679269">
      <w:pPr>
        <w:pStyle w:val="4"/>
        <w:ind w:firstLine="400" w:firstLineChars="0"/>
        <w:rPr>
          <w:rFonts w:hint="eastAsia"/>
          <w:color w:val="auto"/>
          <w:highlight w:val="none"/>
        </w:rPr>
      </w:pPr>
      <w:bookmarkStart w:id="94" w:name="_Toc98019271"/>
      <w:r>
        <w:rPr>
          <w:rFonts w:hint="eastAsia"/>
          <w:color w:val="auto"/>
          <w:highlight w:val="none"/>
        </w:rPr>
        <w:t>评标原则和评标办法</w:t>
      </w:r>
      <w:bookmarkEnd w:id="94"/>
    </w:p>
    <w:p w14:paraId="146872F4">
      <w:pPr>
        <w:numPr>
          <w:ilvl w:val="0"/>
          <w:numId w:val="2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060EC5F3">
      <w:pPr>
        <w:numPr>
          <w:ilvl w:val="0"/>
          <w:numId w:val="2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7FCC9D71">
      <w:pPr>
        <w:pStyle w:val="4"/>
        <w:ind w:firstLine="420"/>
        <w:rPr>
          <w:rFonts w:hint="eastAsia"/>
          <w:color w:val="auto"/>
          <w:highlight w:val="none"/>
        </w:rPr>
      </w:pPr>
      <w:bookmarkStart w:id="95" w:name="_Toc98019272"/>
      <w:r>
        <w:rPr>
          <w:rFonts w:hint="eastAsia"/>
          <w:color w:val="auto"/>
          <w:highlight w:val="none"/>
        </w:rPr>
        <w:t>评标过程的监控</w:t>
      </w:r>
      <w:bookmarkEnd w:id="95"/>
    </w:p>
    <w:p w14:paraId="67C0F1A8">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本项目评标过程实行全程录音、录像监控，投标人在评标过程中所进行的试图影响评标结果的不公正活动，可能导致其投标被拒绝。</w:t>
      </w:r>
    </w:p>
    <w:p w14:paraId="7003B2BD">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6" w:name="_Toc18132"/>
      <w:bookmarkStart w:id="97" w:name="_Toc98019273"/>
      <w:r>
        <w:rPr>
          <w:rFonts w:hint="eastAsia" w:ascii="微软雅黑" w:hAnsi="微软雅黑" w:eastAsia="微软雅黑" w:cs="微软雅黑"/>
          <w:color w:val="auto"/>
          <w:sz w:val="21"/>
          <w:szCs w:val="21"/>
          <w:highlight w:val="none"/>
        </w:rPr>
        <w:t>定标</w:t>
      </w:r>
      <w:bookmarkEnd w:id="96"/>
      <w:bookmarkEnd w:id="97"/>
    </w:p>
    <w:p w14:paraId="58ECEE66">
      <w:pPr>
        <w:pStyle w:val="3"/>
        <w:numPr>
          <w:ilvl w:val="1"/>
          <w:numId w:val="12"/>
        </w:numPr>
        <w:spacing w:before="0" w:after="0" w:line="360" w:lineRule="auto"/>
        <w:ind w:firstLine="420" w:firstLineChars="200"/>
        <w:rPr>
          <w:color w:val="auto"/>
          <w:highlight w:val="none"/>
        </w:rPr>
      </w:pPr>
      <w:bookmarkStart w:id="98" w:name="_Toc98019274"/>
      <w:r>
        <w:rPr>
          <w:rFonts w:hint="eastAsia"/>
          <w:color w:val="auto"/>
          <w:highlight w:val="none"/>
        </w:rPr>
        <w:t>确定中标人。本项目由评标委员会确定中标人。</w:t>
      </w:r>
      <w:bookmarkEnd w:id="98"/>
    </w:p>
    <w:p w14:paraId="1482B512">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1、招标代理机构在评标结束后2个工作日内将评标结果告知存款单位，同时在发布招标公告的网站上对评标结果进行公告。</w:t>
      </w:r>
    </w:p>
    <w:p w14:paraId="75692A3C">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2、如有投标人对评标结果提出质疑的，招标人可在质疑处理完毕后确定中标人。</w:t>
      </w:r>
    </w:p>
    <w:p w14:paraId="5E863090">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公示期3个工作日，公示期后2个工作日内招标代理机构以书面形式发出《中标通知书》</w:t>
      </w:r>
      <w:r>
        <w:rPr>
          <w:rFonts w:hint="eastAsia" w:ascii="微软雅黑" w:hAnsi="微软雅黑" w:eastAsia="微软雅黑"/>
          <w:color w:val="auto"/>
          <w:szCs w:val="21"/>
          <w:highlight w:val="none"/>
        </w:rPr>
        <w:t>。</w:t>
      </w:r>
      <w:bookmarkStart w:id="99" w:name="_Toc7898"/>
      <w:bookmarkStart w:id="100" w:name="_Toc98019275"/>
    </w:p>
    <w:p w14:paraId="5D01EC63">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合同授予</w:t>
      </w:r>
      <w:bookmarkEnd w:id="99"/>
      <w:bookmarkEnd w:id="100"/>
    </w:p>
    <w:p w14:paraId="2DD67745">
      <w:pPr>
        <w:ind w:firstLine="424" w:firstLineChars="202"/>
        <w:rPr>
          <w:rFonts w:hint="eastAsia" w:ascii="微软雅黑" w:hAnsi="微软雅黑" w:eastAsia="微软雅黑"/>
          <w:color w:val="auto"/>
          <w:highlight w:val="none"/>
        </w:rPr>
      </w:pPr>
      <w:bookmarkStart w:id="101" w:name="_Toc98019276"/>
      <w:r>
        <w:rPr>
          <w:rFonts w:hint="eastAsia" w:ascii="微软雅黑" w:hAnsi="微软雅黑" w:eastAsia="微软雅黑"/>
          <w:color w:val="auto"/>
          <w:highlight w:val="none"/>
        </w:rPr>
        <w:t>存款单位与中标人应当在《中标通知书》发出之日起30日内签订存款合同。同时，招标代理机构对合同内容进行审查，如发现与采购结果和投标承诺内容不一致的，应予以纠正。</w:t>
      </w:r>
      <w:bookmarkEnd w:id="101"/>
    </w:p>
    <w:p w14:paraId="17AA5BB9">
      <w:pPr>
        <w:ind w:firstLine="424" w:firstLineChars="202"/>
        <w:rPr>
          <w:rFonts w:hint="eastAsia" w:ascii="微软雅黑" w:hAnsi="微软雅黑" w:eastAsia="微软雅黑"/>
          <w:color w:val="auto"/>
          <w:highlight w:val="none"/>
        </w:rPr>
      </w:pPr>
      <w:bookmarkStart w:id="102" w:name="_Toc98019277"/>
      <w:r>
        <w:rPr>
          <w:rFonts w:hint="eastAsia" w:ascii="微软雅黑" w:hAnsi="微软雅黑" w:eastAsia="微软雅黑"/>
          <w:color w:val="auto"/>
          <w:highlight w:val="none"/>
        </w:rPr>
        <w:t>中标人拖延、拒签合同的,将被取消中标资格。</w:t>
      </w:r>
      <w:bookmarkEnd w:id="102"/>
    </w:p>
    <w:p w14:paraId="7D8D90E2">
      <w:pPr>
        <w:pStyle w:val="2"/>
        <w:numPr>
          <w:ilvl w:val="0"/>
          <w:numId w:val="11"/>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103" w:name="_Toc98019278"/>
      <w:bookmarkStart w:id="104" w:name="_Toc371"/>
      <w:r>
        <w:rPr>
          <w:rFonts w:hint="eastAsia" w:ascii="微软雅黑" w:hAnsi="微软雅黑" w:eastAsia="微软雅黑" w:cs="微软雅黑"/>
          <w:color w:val="auto"/>
          <w:sz w:val="21"/>
          <w:szCs w:val="21"/>
          <w:highlight w:val="none"/>
        </w:rPr>
        <w:t>招标代理服务费</w:t>
      </w:r>
      <w:bookmarkEnd w:id="103"/>
      <w:bookmarkEnd w:id="104"/>
    </w:p>
    <w:p w14:paraId="3AFC35A6">
      <w:pPr>
        <w:ind w:firstLine="424" w:firstLineChars="202"/>
        <w:rPr>
          <w:rFonts w:hint="eastAsia" w:ascii="微软雅黑" w:hAnsi="微软雅黑" w:eastAsia="微软雅黑"/>
          <w:color w:val="auto"/>
          <w:highlight w:val="none"/>
        </w:rPr>
      </w:pPr>
      <w:bookmarkStart w:id="105" w:name="_Toc98019279"/>
      <w:bookmarkStart w:id="106" w:name="_Toc8149"/>
      <w:r>
        <w:rPr>
          <w:rFonts w:hint="eastAsia" w:ascii="微软雅黑" w:hAnsi="微软雅黑" w:eastAsia="微软雅黑"/>
          <w:color w:val="auto"/>
          <w:highlight w:val="none"/>
        </w:rPr>
        <w:t>根据“国家发展和改革委员会办公厅《关于招标代理服务收费有关问题的通知》（发改办价格【2003】857号）”规定，招标代理机构向中标人收取招标代理服务费。</w:t>
      </w:r>
      <w:bookmarkEnd w:id="105"/>
      <w:bookmarkEnd w:id="106"/>
    </w:p>
    <w:p w14:paraId="78A2EB68">
      <w:pPr>
        <w:ind w:firstLine="424" w:firstLineChars="202"/>
        <w:rPr>
          <w:rFonts w:hint="eastAsia" w:ascii="微软雅黑" w:hAnsi="微软雅黑" w:eastAsia="微软雅黑"/>
          <w:color w:val="auto"/>
          <w:highlight w:val="none"/>
        </w:rPr>
      </w:pPr>
      <w:bookmarkStart w:id="107" w:name="_Toc98019280"/>
      <w:bookmarkStart w:id="108" w:name="_Toc8091"/>
      <w:r>
        <w:rPr>
          <w:rFonts w:hint="eastAsia" w:ascii="微软雅黑" w:hAnsi="微软雅黑" w:eastAsia="微软雅黑"/>
          <w:color w:val="auto"/>
          <w:highlight w:val="none"/>
        </w:rPr>
        <w:t>中标人应在收取《中标通知书》时向采购代理机构交纳招标代理服务费，服务费的收费标准（按</w:t>
      </w:r>
      <w:r>
        <w:rPr>
          <w:rFonts w:hint="eastAsia" w:ascii="微软雅黑" w:hAnsi="微软雅黑" w:eastAsia="微软雅黑"/>
          <w:color w:val="auto"/>
          <w:highlight w:val="none"/>
          <w:lang w:val="en-US" w:eastAsia="zh-CN"/>
        </w:rPr>
        <w:t>45</w:t>
      </w:r>
      <w:r>
        <w:rPr>
          <w:rFonts w:hint="eastAsia" w:ascii="微软雅黑" w:hAnsi="微软雅黑" w:eastAsia="微软雅黑"/>
          <w:color w:val="auto"/>
          <w:highlight w:val="none"/>
        </w:rPr>
        <w:t>00元收取）。</w:t>
      </w:r>
      <w:bookmarkEnd w:id="107"/>
      <w:bookmarkEnd w:id="108"/>
    </w:p>
    <w:p w14:paraId="1D2DE746">
      <w:pPr>
        <w:ind w:firstLine="424" w:firstLineChars="202"/>
        <w:rPr>
          <w:rFonts w:hint="eastAsia" w:ascii="微软雅黑" w:hAnsi="微软雅黑" w:eastAsia="微软雅黑"/>
          <w:color w:val="auto"/>
          <w:highlight w:val="none"/>
        </w:rPr>
      </w:pPr>
      <w:bookmarkStart w:id="109" w:name="_Toc98019281"/>
      <w:bookmarkStart w:id="110" w:name="_Toc18235"/>
      <w:r>
        <w:rPr>
          <w:rFonts w:hint="eastAsia" w:ascii="微软雅黑" w:hAnsi="微软雅黑" w:eastAsia="微软雅黑"/>
          <w:color w:val="auto"/>
          <w:highlight w:val="none"/>
        </w:rPr>
        <w:t>服务费的货币为人民币。</w:t>
      </w:r>
      <w:bookmarkEnd w:id="109"/>
      <w:bookmarkEnd w:id="110"/>
    </w:p>
    <w:p w14:paraId="050E30E4">
      <w:pPr>
        <w:ind w:firstLine="424" w:firstLineChars="202"/>
        <w:rPr>
          <w:rFonts w:hint="eastAsia" w:ascii="微软雅黑" w:hAnsi="微软雅黑" w:eastAsia="微软雅黑"/>
          <w:color w:val="auto"/>
          <w:highlight w:val="none"/>
        </w:rPr>
      </w:pPr>
      <w:bookmarkStart w:id="111" w:name="_Toc29813"/>
      <w:bookmarkStart w:id="112" w:name="_Toc98019282"/>
      <w:r>
        <w:rPr>
          <w:rFonts w:hint="eastAsia" w:ascii="微软雅黑" w:hAnsi="微软雅黑" w:eastAsia="微软雅黑"/>
          <w:color w:val="auto"/>
          <w:highlight w:val="none"/>
        </w:rPr>
        <w:t>服务费支付方式：一次性以银行划账、电汇、汇票或支票的形式支付。</w:t>
      </w:r>
      <w:bookmarkEnd w:id="111"/>
      <w:bookmarkEnd w:id="112"/>
    </w:p>
    <w:p w14:paraId="0C7640BF">
      <w:pPr>
        <w:ind w:firstLine="424" w:firstLineChars="202"/>
        <w:rPr>
          <w:rFonts w:hint="eastAsia" w:ascii="微软雅黑" w:hAnsi="微软雅黑" w:eastAsia="微软雅黑"/>
          <w:color w:val="auto"/>
          <w:highlight w:val="none"/>
        </w:rPr>
      </w:pPr>
      <w:bookmarkStart w:id="113" w:name="_Toc30115"/>
      <w:bookmarkStart w:id="114" w:name="_Toc98019283"/>
      <w:r>
        <w:rPr>
          <w:rFonts w:hint="eastAsia" w:ascii="微软雅黑" w:hAnsi="微软雅黑" w:eastAsia="微软雅黑"/>
          <w:color w:val="auto"/>
          <w:highlight w:val="none"/>
        </w:rPr>
        <w:t>服务费以银行划账方式按下列要求提交：</w:t>
      </w:r>
      <w:bookmarkEnd w:id="113"/>
      <w:bookmarkEnd w:id="114"/>
    </w:p>
    <w:p w14:paraId="2F9E8F6B">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收款人：嘉兴市千秋工程咨询有限公司</w:t>
      </w:r>
    </w:p>
    <w:p w14:paraId="70F0BFE7">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户名：嘉兴市千秋工程咨询有限公司</w:t>
      </w:r>
    </w:p>
    <w:p w14:paraId="5EFEFE6C">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开户银行：交通银行嘉兴分行</w:t>
      </w:r>
    </w:p>
    <w:p w14:paraId="777358A9">
      <w:pPr>
        <w:ind w:firstLine="424" w:firstLineChars="202"/>
        <w:rPr>
          <w:rFonts w:hint="eastAsia" w:ascii="微软雅黑" w:hAnsi="微软雅黑" w:eastAsia="微软雅黑"/>
          <w:color w:val="auto"/>
          <w:highlight w:val="none"/>
        </w:rPr>
      </w:pPr>
      <w:r>
        <w:rPr>
          <w:rFonts w:hint="eastAsia" w:ascii="微软雅黑" w:hAnsi="微软雅黑" w:eastAsia="微软雅黑"/>
          <w:color w:val="auto"/>
          <w:highlight w:val="none"/>
        </w:rPr>
        <w:t>账号：334601000018170160050</w:t>
      </w:r>
    </w:p>
    <w:p w14:paraId="1F1D4D06">
      <w:pPr>
        <w:ind w:firstLine="424" w:firstLineChars="202"/>
        <w:rPr>
          <w:rFonts w:hint="eastAsia" w:ascii="微软雅黑" w:hAnsi="微软雅黑" w:eastAsia="微软雅黑"/>
          <w:color w:val="auto"/>
          <w:highlight w:val="none"/>
        </w:rPr>
      </w:pPr>
      <w:bookmarkStart w:id="115" w:name="_Toc98019285"/>
      <w:bookmarkStart w:id="116" w:name="_Toc15919"/>
      <w:r>
        <w:rPr>
          <w:rFonts w:hint="eastAsia" w:ascii="微软雅黑" w:hAnsi="微软雅黑" w:eastAsia="微软雅黑"/>
          <w:color w:val="auto"/>
          <w:highlight w:val="none"/>
        </w:rPr>
        <w:t>服务费不在投标报价中单列。</w:t>
      </w:r>
      <w:bookmarkEnd w:id="115"/>
      <w:bookmarkEnd w:id="116"/>
    </w:p>
    <w:p w14:paraId="326962FE">
      <w:pPr>
        <w:pStyle w:val="36"/>
        <w:numPr>
          <w:ilvl w:val="0"/>
          <w:numId w:val="3"/>
        </w:numPr>
        <w:rPr>
          <w:color w:val="auto"/>
          <w:highlight w:val="none"/>
        </w:rPr>
        <w:sectPr>
          <w:pgSz w:w="11907" w:h="16840"/>
          <w:pgMar w:top="1440" w:right="1797" w:bottom="1440" w:left="1797" w:header="851" w:footer="851" w:gutter="0"/>
          <w:pgNumType w:fmt="decimal"/>
          <w:cols w:space="425" w:num="1"/>
          <w:titlePg/>
          <w:docGrid w:type="lines" w:linePitch="312" w:charSpace="0"/>
        </w:sectPr>
      </w:pPr>
      <w:bookmarkStart w:id="117" w:name="_Toc11650185"/>
      <w:bookmarkStart w:id="118" w:name="_Toc9342495"/>
    </w:p>
    <w:p w14:paraId="780B78AA">
      <w:pPr>
        <w:pStyle w:val="36"/>
        <w:numPr>
          <w:ilvl w:val="0"/>
          <w:numId w:val="3"/>
        </w:numPr>
        <w:rPr>
          <w:color w:val="auto"/>
          <w:highlight w:val="none"/>
        </w:rPr>
      </w:pPr>
      <w:bookmarkStart w:id="119" w:name="_Toc98019286"/>
      <w:r>
        <w:rPr>
          <w:rFonts w:hint="eastAsia"/>
          <w:color w:val="auto"/>
          <w:highlight w:val="none"/>
        </w:rPr>
        <w:t>评标办法及评分标准</w:t>
      </w:r>
      <w:bookmarkEnd w:id="117"/>
      <w:bookmarkEnd w:id="118"/>
      <w:bookmarkEnd w:id="119"/>
    </w:p>
    <w:p w14:paraId="6B210538">
      <w:pPr>
        <w:snapToGrid w:val="0"/>
        <w:spacing w:line="54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highlight w:val="none"/>
        </w:rPr>
        <w:t>根据有关法律法规及《中共浙江省委办公厅 浙江省人民政府办公厅印发&lt;关于防止领导干部在公款存放方面发生利益冲突和利益输送的办法&gt;的通知》(浙委办发〔2015〕8号 )和《嘉兴市市级行政事业单位公款竞争性存放管理办法》(嘉财预执〔2021〕567号 )、《嘉兴市教育局公款竞争性存放管理办法》等相关规定，结合本项目的实际情况，按照公平、公正、科学、择优的原则，制定本评标办法</w:t>
      </w:r>
      <w:r>
        <w:rPr>
          <w:rFonts w:hint="eastAsia" w:ascii="微软雅黑" w:hAnsi="微软雅黑" w:eastAsia="微软雅黑"/>
          <w:highlight w:val="none"/>
          <w:lang w:eastAsia="zh-CN"/>
        </w:rPr>
        <w:t>，</w:t>
      </w:r>
      <w:r>
        <w:rPr>
          <w:rFonts w:hint="eastAsia" w:ascii="微软雅黑" w:hAnsi="微软雅黑" w:eastAsia="微软雅黑"/>
          <w:highlight w:val="none"/>
        </w:rPr>
        <w:t>嘉兴市预算会计核算教育分中心202</w:t>
      </w:r>
      <w:r>
        <w:rPr>
          <w:rFonts w:hint="eastAsia" w:ascii="微软雅黑" w:hAnsi="微软雅黑" w:eastAsia="微软雅黑"/>
          <w:highlight w:val="none"/>
          <w:lang w:val="en-US" w:eastAsia="zh-CN"/>
        </w:rPr>
        <w:t>5</w:t>
      </w:r>
      <w:r>
        <w:rPr>
          <w:rFonts w:hint="eastAsia" w:ascii="微软雅黑" w:hAnsi="微软雅黑" w:eastAsia="微软雅黑"/>
          <w:highlight w:val="none"/>
        </w:rPr>
        <w:t>年第</w:t>
      </w:r>
      <w:r>
        <w:rPr>
          <w:rFonts w:hint="eastAsia" w:ascii="微软雅黑" w:hAnsi="微软雅黑" w:eastAsia="微软雅黑"/>
          <w:highlight w:val="none"/>
          <w:lang w:val="en-US" w:eastAsia="zh-CN"/>
        </w:rPr>
        <w:t>一</w:t>
      </w:r>
      <w:r>
        <w:rPr>
          <w:rFonts w:hint="eastAsia" w:ascii="微软雅黑" w:hAnsi="微软雅黑" w:eastAsia="微软雅黑"/>
          <w:highlight w:val="none"/>
        </w:rPr>
        <w:t>期公款竞争性存放项目</w:t>
      </w:r>
      <w:r>
        <w:rPr>
          <w:rFonts w:hint="eastAsia" w:ascii="微软雅黑" w:hAnsi="微软雅黑" w:eastAsia="微软雅黑"/>
          <w:szCs w:val="21"/>
          <w:highlight w:val="none"/>
        </w:rPr>
        <w:t>评分办法如下：</w:t>
      </w:r>
    </w:p>
    <w:p w14:paraId="6CD23219">
      <w:pPr>
        <w:pStyle w:val="4"/>
        <w:numPr>
          <w:ilvl w:val="0"/>
          <w:numId w:val="28"/>
        </w:numPr>
        <w:ind w:firstLineChars="0"/>
        <w:rPr>
          <w:rFonts w:hint="eastAsia"/>
          <w:color w:val="auto"/>
          <w:highlight w:val="none"/>
        </w:rPr>
      </w:pPr>
      <w:bookmarkStart w:id="120" w:name="_Toc98019287"/>
      <w:r>
        <w:rPr>
          <w:rFonts w:hint="eastAsia"/>
          <w:color w:val="auto"/>
          <w:highlight w:val="none"/>
        </w:rPr>
        <w:t>总则</w:t>
      </w:r>
      <w:bookmarkEnd w:id="120"/>
    </w:p>
    <w:p w14:paraId="56D8D38E">
      <w:pPr>
        <w:adjustRightInd w:val="0"/>
        <w:snapToGrid w:val="0"/>
        <w:spacing w:line="580" w:lineRule="exact"/>
        <w:ind w:firstLine="420" w:firstLineChars="200"/>
        <w:rPr>
          <w:rFonts w:hint="eastAsia" w:ascii="微软雅黑" w:hAnsi="微软雅黑" w:eastAsia="微软雅黑"/>
          <w:color w:val="auto"/>
          <w:szCs w:val="21"/>
          <w:highlight w:val="none"/>
        </w:rPr>
      </w:pPr>
      <w:bookmarkStart w:id="121" w:name="_Toc170792813"/>
      <w:r>
        <w:rPr>
          <w:rFonts w:hint="eastAsia" w:ascii="微软雅黑" w:hAnsi="微软雅黑" w:eastAsia="微软雅黑"/>
          <w:color w:val="auto"/>
          <w:szCs w:val="21"/>
          <w:highlight w:val="none"/>
        </w:rPr>
        <w:t>本次评标采用综合评分法，分为价格分10分、</w:t>
      </w:r>
      <w:r>
        <w:rPr>
          <w:rFonts w:ascii="微软雅黑" w:hAnsi="微软雅黑" w:eastAsia="微软雅黑"/>
          <w:color w:val="auto"/>
          <w:szCs w:val="21"/>
          <w:highlight w:val="none"/>
        </w:rPr>
        <w:t>资信</w:t>
      </w:r>
      <w:r>
        <w:rPr>
          <w:rFonts w:hint="eastAsia" w:ascii="微软雅黑" w:hAnsi="微软雅黑" w:eastAsia="微软雅黑"/>
          <w:color w:val="auto"/>
          <w:szCs w:val="21"/>
          <w:highlight w:val="none"/>
        </w:rPr>
        <w:t>技术分90分两部分。合格投标人的评标得分为各项目汇总得分，中标候选资格按评标得分由高到低顺序排列。投标银行得分相同时的处理原则。投标银行按评标得分由高到低排序。得分相同的，按利率水平指标由高到低排序；得分和利率水平指标均相同的，按经营状况指标得分由高到低排序；得分和利率水平指标和经营状况指标均相同的，按经济贡献度指标得分由高到低排序；得分和利率水平指标和经营状况指标和经济贡献度指标得分均相同的，按服务质量项目指标得分由高到低排序。以上均相同的则由现场专家组抽签决定先后排序。</w:t>
      </w:r>
    </w:p>
    <w:p w14:paraId="5738CCC5">
      <w:pPr>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投标人评标综合得分=</w:t>
      </w:r>
      <w:r>
        <w:rPr>
          <w:rFonts w:ascii="微软雅黑" w:hAnsi="微软雅黑" w:eastAsia="微软雅黑"/>
          <w:color w:val="auto"/>
          <w:szCs w:val="21"/>
          <w:highlight w:val="none"/>
        </w:rPr>
        <w:t>资信技术分+</w:t>
      </w:r>
      <w:r>
        <w:rPr>
          <w:rFonts w:hint="eastAsia" w:ascii="微软雅黑" w:hAnsi="微软雅黑" w:eastAsia="微软雅黑"/>
          <w:color w:val="auto"/>
          <w:szCs w:val="21"/>
          <w:highlight w:val="none"/>
        </w:rPr>
        <w:t>价格分。</w:t>
      </w:r>
    </w:p>
    <w:bookmarkEnd w:id="121"/>
    <w:p w14:paraId="391487C5">
      <w:pPr>
        <w:pStyle w:val="4"/>
        <w:numPr>
          <w:ilvl w:val="0"/>
          <w:numId w:val="28"/>
        </w:numPr>
        <w:ind w:firstLineChars="0"/>
        <w:rPr>
          <w:rFonts w:hint="eastAsia"/>
          <w:color w:val="auto"/>
          <w:highlight w:val="none"/>
        </w:rPr>
      </w:pPr>
      <w:bookmarkStart w:id="122" w:name="_Toc98019288"/>
      <w:r>
        <w:rPr>
          <w:rFonts w:hint="eastAsia"/>
          <w:color w:val="auto"/>
          <w:highlight w:val="none"/>
        </w:rPr>
        <w:t>评分内容和标准</w:t>
      </w:r>
      <w:bookmarkEnd w:id="122"/>
    </w:p>
    <w:p w14:paraId="63A9611D">
      <w:pPr>
        <w:adjustRightInd w:val="0"/>
        <w:snapToGrid w:val="0"/>
        <w:spacing w:line="58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szCs w:val="21"/>
          <w:highlight w:val="none"/>
        </w:rPr>
        <w:t>财政专户和预算单位资金竞争性存放采用综合评分法进行评分。评分指标包括：利率水平指标（10分）经营状况指标（40分）、经济贡献度指标（30分）和服务水平项目指标（20分)</w:t>
      </w:r>
      <w:r>
        <w:rPr>
          <w:rFonts w:hint="eastAsia" w:ascii="微软雅黑" w:hAnsi="微软雅黑" w:eastAsia="微软雅黑"/>
          <w:color w:val="auto"/>
          <w:szCs w:val="21"/>
          <w:highlight w:val="none"/>
        </w:rPr>
        <w:t>。</w:t>
      </w:r>
    </w:p>
    <w:p w14:paraId="73FF797D">
      <w:pPr>
        <w:adjustRightInd w:val="0"/>
        <w:snapToGrid w:val="0"/>
        <w:spacing w:line="58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评委根据投标银行的定期存款年利率、投标金额和相关部门（或投标银行）提供的评标数据、佐证资料，对照评分标准计算各投标银行得分。计算得分时，保留二位小数。</w:t>
      </w:r>
    </w:p>
    <w:p w14:paraId="2AE49617">
      <w:pPr>
        <w:pStyle w:val="3"/>
        <w:numPr>
          <w:ilvl w:val="1"/>
          <w:numId w:val="0"/>
        </w:numPr>
        <w:spacing w:before="0" w:after="0" w:line="240" w:lineRule="auto"/>
        <w:ind w:firstLine="560" w:firstLineChars="200"/>
        <w:rPr>
          <w:color w:val="auto"/>
          <w:sz w:val="28"/>
          <w:szCs w:val="28"/>
          <w:highlight w:val="none"/>
        </w:rPr>
      </w:pPr>
      <w:bookmarkStart w:id="123" w:name="_Toc98019289"/>
      <w:r>
        <w:rPr>
          <w:rFonts w:hint="eastAsia"/>
          <w:color w:val="auto"/>
          <w:sz w:val="28"/>
          <w:szCs w:val="28"/>
          <w:highlight w:val="none"/>
        </w:rPr>
        <w:t>利率水平指标（满分10分）。</w:t>
      </w:r>
      <w:bookmarkEnd w:id="123"/>
    </w:p>
    <w:p w14:paraId="1E5EB691">
      <w:pPr>
        <w:adjustRightInd w:val="0"/>
        <w:snapToGrid w:val="0"/>
        <w:spacing w:line="580" w:lineRule="exact"/>
        <w:ind w:firstLine="420" w:firstLineChars="200"/>
        <w:rPr>
          <w:rFonts w:hint="eastAsia" w:ascii="微软雅黑" w:hAnsi="微软雅黑" w:eastAsia="微软雅黑" w:cs="方正仿宋_GBK"/>
          <w:color w:val="auto"/>
          <w:kern w:val="0"/>
          <w:szCs w:val="21"/>
          <w:highlight w:val="none"/>
          <w:lang w:bidi="ar"/>
        </w:rPr>
      </w:pPr>
      <w:bookmarkStart w:id="124" w:name="_Hlk167974876"/>
      <w:r>
        <w:rPr>
          <w:rFonts w:hint="eastAsia" w:ascii="微软雅黑" w:hAnsi="微软雅黑" w:eastAsia="微软雅黑"/>
          <w:kern w:val="0"/>
          <w:szCs w:val="21"/>
          <w:highlight w:val="none"/>
        </w:rPr>
        <w:t>根据有效竞标银行投标利率为评分依据。有效竞标银行报价与同期限人民币存款基准利率相比上浮基点（BP）最高的银行得满分，上浮基点（BP）每下降一个基点扣0.</w:t>
      </w:r>
      <w:r>
        <w:rPr>
          <w:rFonts w:hint="eastAsia" w:ascii="微软雅黑" w:hAnsi="微软雅黑" w:eastAsia="微软雅黑"/>
          <w:kern w:val="0"/>
          <w:szCs w:val="21"/>
          <w:highlight w:val="none"/>
          <w:lang w:val="en-US" w:eastAsia="zh-CN"/>
        </w:rPr>
        <w:t>2</w:t>
      </w:r>
      <w:r>
        <w:rPr>
          <w:rFonts w:hint="eastAsia" w:ascii="微软雅黑" w:hAnsi="微软雅黑" w:eastAsia="微软雅黑"/>
          <w:kern w:val="0"/>
          <w:szCs w:val="21"/>
          <w:highlight w:val="none"/>
        </w:rPr>
        <w:t>分，扣至0分为止</w:t>
      </w:r>
      <w:bookmarkEnd w:id="124"/>
      <w:r>
        <w:rPr>
          <w:rFonts w:hint="eastAsia" w:ascii="微软雅黑" w:hAnsi="微软雅黑" w:eastAsia="微软雅黑" w:cs="方正仿宋_GBK"/>
          <w:color w:val="auto"/>
          <w:kern w:val="0"/>
          <w:szCs w:val="21"/>
          <w:highlight w:val="none"/>
          <w:lang w:bidi="ar"/>
        </w:rPr>
        <w:t>。</w:t>
      </w:r>
    </w:p>
    <w:p w14:paraId="22C5D8C8">
      <w:pPr>
        <w:pStyle w:val="3"/>
        <w:numPr>
          <w:ilvl w:val="1"/>
          <w:numId w:val="0"/>
        </w:numPr>
        <w:spacing w:before="0" w:after="0" w:line="240" w:lineRule="auto"/>
        <w:ind w:firstLine="426" w:firstLineChars="152"/>
        <w:rPr>
          <w:color w:val="auto"/>
          <w:sz w:val="28"/>
          <w:szCs w:val="28"/>
          <w:highlight w:val="none"/>
        </w:rPr>
      </w:pPr>
      <w:bookmarkStart w:id="125" w:name="_Toc98019290"/>
      <w:r>
        <w:rPr>
          <w:rFonts w:hint="eastAsia"/>
          <w:color w:val="auto"/>
          <w:sz w:val="28"/>
          <w:szCs w:val="28"/>
          <w:highlight w:val="none"/>
        </w:rPr>
        <w:t>经营状况指标（满分40分）。</w:t>
      </w:r>
      <w:bookmarkEnd w:id="125"/>
    </w:p>
    <w:p w14:paraId="1B1A2974">
      <w:pPr>
        <w:adjustRightInd w:val="0"/>
        <w:snapToGrid w:val="0"/>
        <w:spacing w:line="580" w:lineRule="exact"/>
        <w:ind w:firstLine="420" w:firstLineChars="200"/>
        <w:rPr>
          <w:rFonts w:hint="eastAsia" w:ascii="微软雅黑" w:hAnsi="微软雅黑" w:eastAsia="微软雅黑"/>
          <w:kern w:val="0"/>
          <w:szCs w:val="21"/>
          <w:highlight w:val="none"/>
        </w:rPr>
      </w:pPr>
      <w:r>
        <w:rPr>
          <w:rFonts w:hint="eastAsia" w:ascii="微软雅黑" w:hAnsi="微软雅黑" w:eastAsia="微软雅黑"/>
          <w:kern w:val="0"/>
          <w:szCs w:val="21"/>
          <w:highlight w:val="none"/>
        </w:rPr>
        <w:t>经营状况指标设置包括偿付能力、资产质量、运营能力、内控水平指标。</w:t>
      </w:r>
    </w:p>
    <w:p w14:paraId="55B514D7">
      <w:pPr>
        <w:pStyle w:val="6"/>
        <w:numPr>
          <w:ilvl w:val="0"/>
          <w:numId w:val="29"/>
        </w:num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拨备覆盖率指标（</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bookmarkStart w:id="126" w:name="_Hlk167975000"/>
      <w:r>
        <w:rPr>
          <w:rFonts w:hint="eastAsia" w:ascii="微软雅黑" w:hAnsi="微软雅黑" w:eastAsia="微软雅黑"/>
          <w:color w:val="auto"/>
          <w:sz w:val="21"/>
          <w:szCs w:val="21"/>
          <w:highlight w:val="none"/>
        </w:rPr>
        <w:t>按照有效竞标银行上年度法人拨备覆盖率赋分。得分标准</w:t>
      </w:r>
      <w:bookmarkEnd w:id="126"/>
      <w:r>
        <w:rPr>
          <w:rFonts w:hint="eastAsia" w:ascii="微软雅黑" w:hAnsi="微软雅黑" w:eastAsia="微软雅黑" w:cs="微软雅黑"/>
          <w:color w:val="auto"/>
          <w:sz w:val="21"/>
          <w:szCs w:val="21"/>
          <w:highlight w:val="none"/>
        </w:rPr>
        <w:t>：</w:t>
      </w:r>
    </w:p>
    <w:p w14:paraId="1EED63CF">
      <w:pPr>
        <w:pStyle w:val="62"/>
        <w:numPr>
          <w:ilvl w:val="0"/>
          <w:numId w:val="30"/>
        </w:numPr>
        <w:adjustRightInd w:val="0"/>
        <w:snapToGrid w:val="0"/>
        <w:spacing w:line="540" w:lineRule="exact"/>
        <w:ind w:left="0" w:firstLine="420" w:firstLineChars="0"/>
        <w:rPr>
          <w:rFonts w:hint="eastAsia" w:ascii="微软雅黑" w:hAnsi="微软雅黑" w:eastAsia="微软雅黑"/>
          <w:color w:val="auto"/>
          <w:szCs w:val="21"/>
          <w:highlight w:val="none"/>
        </w:rPr>
      </w:pPr>
      <w:bookmarkStart w:id="127" w:name="_Hlk167975029"/>
      <w:r>
        <w:rPr>
          <w:rFonts w:hint="eastAsia" w:ascii="微软雅黑" w:hAnsi="微软雅黑" w:eastAsia="微软雅黑"/>
          <w:color w:val="auto"/>
          <w:szCs w:val="21"/>
          <w:highlight w:val="none"/>
        </w:rPr>
        <w:t xml:space="preserve">150%及以上，得 </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 xml:space="preserve">分； </w:t>
      </w:r>
    </w:p>
    <w:p w14:paraId="141ABEAA">
      <w:pPr>
        <w:pStyle w:val="62"/>
        <w:numPr>
          <w:ilvl w:val="0"/>
          <w:numId w:val="30"/>
        </w:numPr>
        <w:adjustRightInd w:val="0"/>
        <w:snapToGrid w:val="0"/>
        <w:spacing w:line="540" w:lineRule="exact"/>
        <w:ind w:left="0" w:firstLine="420" w:firstLineChars="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150%以下、120%及以上，与150%相比每下降一个百分点减0.1分；</w:t>
      </w:r>
    </w:p>
    <w:p w14:paraId="611137A7">
      <w:pPr>
        <w:pStyle w:val="62"/>
        <w:numPr>
          <w:ilvl w:val="0"/>
          <w:numId w:val="30"/>
        </w:numPr>
        <w:adjustRightInd w:val="0"/>
        <w:snapToGrid w:val="0"/>
        <w:spacing w:line="540" w:lineRule="exact"/>
        <w:ind w:left="0" w:firstLine="420" w:firstLineChars="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120%以下，不得分。</w:t>
      </w:r>
    </w:p>
    <w:p w14:paraId="6C90EED6">
      <w:pPr>
        <w:pStyle w:val="62"/>
        <w:adjustRightInd w:val="0"/>
        <w:snapToGrid w:val="0"/>
        <w:spacing w:line="540" w:lineRule="exact"/>
        <w:ind w:left="420" w:firstLine="0" w:firstLineChars="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（拨备覆盖率指标数据由各投标银行提供）。</w:t>
      </w:r>
    </w:p>
    <w:bookmarkEnd w:id="127"/>
    <w:p w14:paraId="0F277A89">
      <w:pPr>
        <w:pStyle w:val="6"/>
        <w:numPr>
          <w:ilvl w:val="0"/>
          <w:numId w:val="29"/>
        </w:num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资本充足率指标（</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olor w:val="auto"/>
          <w:sz w:val="21"/>
          <w:szCs w:val="21"/>
          <w:highlight w:val="none"/>
        </w:rPr>
        <w:t>按照有效竞标银行上年度法人资本充足率赋分。得分标准</w:t>
      </w:r>
      <w:r>
        <w:rPr>
          <w:rFonts w:hint="eastAsia" w:ascii="微软雅黑" w:hAnsi="微软雅黑" w:eastAsia="微软雅黑" w:cs="微软雅黑"/>
          <w:color w:val="auto"/>
          <w:sz w:val="21"/>
          <w:szCs w:val="21"/>
          <w:highlight w:val="none"/>
        </w:rPr>
        <w:t>：</w:t>
      </w:r>
    </w:p>
    <w:p w14:paraId="789497BB">
      <w:pPr>
        <w:pStyle w:val="62"/>
        <w:numPr>
          <w:ilvl w:val="0"/>
          <w:numId w:val="31"/>
        </w:numPr>
        <w:adjustRightInd w:val="0"/>
        <w:snapToGrid w:val="0"/>
        <w:spacing w:line="540" w:lineRule="exact"/>
        <w:ind w:left="0" w:firstLine="426" w:firstLineChars="0"/>
        <w:rPr>
          <w:rFonts w:hint="eastAsia" w:ascii="微软雅黑" w:hAnsi="微软雅黑" w:eastAsia="微软雅黑"/>
          <w:color w:val="auto"/>
          <w:szCs w:val="21"/>
          <w:highlight w:val="none"/>
        </w:rPr>
      </w:pPr>
      <w:bookmarkStart w:id="128" w:name="_Hlk167975106"/>
      <w:r>
        <w:rPr>
          <w:rFonts w:hint="eastAsia" w:ascii="微软雅黑" w:hAnsi="微软雅黑" w:eastAsia="微软雅黑"/>
          <w:color w:val="auto"/>
          <w:szCs w:val="21"/>
          <w:highlight w:val="none"/>
        </w:rPr>
        <w:t xml:space="preserve">10.5%及以上得 </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 xml:space="preserve"> 分</w:t>
      </w:r>
      <w:bookmarkEnd w:id="128"/>
      <w:r>
        <w:rPr>
          <w:rFonts w:hint="eastAsia" w:ascii="微软雅黑" w:hAnsi="微软雅黑" w:eastAsia="微软雅黑"/>
          <w:color w:val="auto"/>
          <w:szCs w:val="21"/>
          <w:highlight w:val="none"/>
        </w:rPr>
        <w:t xml:space="preserve">； </w:t>
      </w:r>
    </w:p>
    <w:p w14:paraId="778DE973">
      <w:pPr>
        <w:pStyle w:val="62"/>
        <w:numPr>
          <w:ilvl w:val="0"/>
          <w:numId w:val="31"/>
        </w:numPr>
        <w:adjustRightInd w:val="0"/>
        <w:snapToGrid w:val="0"/>
        <w:spacing w:line="540" w:lineRule="exact"/>
        <w:ind w:left="0" w:firstLine="426" w:firstLineChars="0"/>
        <w:rPr>
          <w:rFonts w:hint="eastAsia" w:ascii="微软雅黑" w:hAnsi="微软雅黑" w:eastAsia="微软雅黑"/>
          <w:color w:val="auto"/>
          <w:szCs w:val="21"/>
          <w:highlight w:val="none"/>
        </w:rPr>
      </w:pPr>
      <w:bookmarkStart w:id="129" w:name="_Hlk167975113"/>
      <w:r>
        <w:rPr>
          <w:rFonts w:hint="eastAsia" w:ascii="微软雅黑" w:hAnsi="微软雅黑" w:eastAsia="微软雅黑"/>
          <w:color w:val="auto"/>
          <w:szCs w:val="21"/>
          <w:highlight w:val="none"/>
        </w:rPr>
        <w:t>10.5%以下，不得分</w:t>
      </w:r>
      <w:bookmarkEnd w:id="129"/>
      <w:r>
        <w:rPr>
          <w:rFonts w:hint="eastAsia" w:ascii="微软雅黑" w:hAnsi="微软雅黑" w:eastAsia="微软雅黑"/>
          <w:color w:val="auto"/>
          <w:szCs w:val="21"/>
          <w:highlight w:val="none"/>
        </w:rPr>
        <w:t>。</w:t>
      </w:r>
    </w:p>
    <w:p w14:paraId="1A41DF2F">
      <w:pPr>
        <w:pStyle w:val="62"/>
        <w:adjustRightInd w:val="0"/>
        <w:snapToGrid w:val="0"/>
        <w:spacing w:line="540" w:lineRule="exact"/>
        <w:ind w:firstLineChars="0"/>
        <w:rPr>
          <w:rFonts w:hint="eastAsia" w:ascii="微软雅黑" w:hAnsi="微软雅黑" w:eastAsia="微软雅黑"/>
          <w:color w:val="auto"/>
          <w:szCs w:val="21"/>
          <w:highlight w:val="none"/>
        </w:rPr>
      </w:pPr>
      <w:bookmarkStart w:id="130" w:name="_Hlk167975120"/>
      <w:r>
        <w:rPr>
          <w:rFonts w:hint="eastAsia" w:ascii="微软雅黑" w:hAnsi="微软雅黑" w:eastAsia="微软雅黑"/>
          <w:color w:val="auto"/>
          <w:szCs w:val="21"/>
          <w:highlight w:val="none"/>
        </w:rPr>
        <w:t xml:space="preserve">政策性银行的资本充足率按 </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 xml:space="preserve">分计算。 </w:t>
      </w:r>
    </w:p>
    <w:p w14:paraId="6C1BD208">
      <w:pPr>
        <w:pStyle w:val="62"/>
        <w:adjustRightInd w:val="0"/>
        <w:snapToGrid w:val="0"/>
        <w:spacing w:line="540" w:lineRule="exact"/>
        <w:ind w:firstLineChars="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（资本充足率指标数据由各投标银行提供，在系统内按小数填报【例：0.105】）</w:t>
      </w:r>
      <w:bookmarkEnd w:id="130"/>
      <w:r>
        <w:rPr>
          <w:rFonts w:hint="eastAsia" w:ascii="微软雅黑" w:hAnsi="微软雅黑" w:eastAsia="微软雅黑"/>
          <w:color w:val="auto"/>
          <w:szCs w:val="21"/>
          <w:highlight w:val="none"/>
        </w:rPr>
        <w:t>。</w:t>
      </w:r>
    </w:p>
    <w:p w14:paraId="02557372">
      <w:pPr>
        <w:pStyle w:val="6"/>
        <w:numPr>
          <w:ilvl w:val="0"/>
          <w:numId w:val="29"/>
        </w:num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olor w:val="auto"/>
          <w:sz w:val="21"/>
          <w:szCs w:val="21"/>
          <w:highlight w:val="none"/>
        </w:rPr>
        <w:t>资产质量</w:t>
      </w:r>
      <w:r>
        <w:rPr>
          <w:rFonts w:hint="eastAsia" w:ascii="微软雅黑" w:hAnsi="微软雅黑" w:eastAsia="微软雅黑" w:cs="微软雅黑"/>
          <w:color w:val="auto"/>
          <w:sz w:val="21"/>
          <w:szCs w:val="21"/>
          <w:highlight w:val="none"/>
        </w:rPr>
        <w:t>（12分）。</w:t>
      </w:r>
      <w:bookmarkStart w:id="131" w:name="_Hlk167975216"/>
      <w:r>
        <w:rPr>
          <w:rFonts w:hint="eastAsia" w:ascii="微软雅黑" w:hAnsi="微软雅黑" w:eastAsia="微软雅黑"/>
          <w:color w:val="auto"/>
          <w:sz w:val="21"/>
          <w:szCs w:val="21"/>
          <w:highlight w:val="none"/>
        </w:rPr>
        <w:t>根据有效竞标银行嘉兴市本外币不良贷款率进行评分</w:t>
      </w:r>
      <w:bookmarkEnd w:id="131"/>
      <w:r>
        <w:rPr>
          <w:rFonts w:hint="eastAsia" w:ascii="微软雅黑" w:hAnsi="微软雅黑" w:eastAsia="微软雅黑"/>
          <w:color w:val="auto"/>
          <w:sz w:val="21"/>
          <w:szCs w:val="21"/>
          <w:highlight w:val="none"/>
        </w:rPr>
        <w:t>。</w:t>
      </w:r>
    </w:p>
    <w:p w14:paraId="233A9DAE">
      <w:pPr>
        <w:pStyle w:val="62"/>
        <w:numPr>
          <w:ilvl w:val="0"/>
          <w:numId w:val="32"/>
        </w:numPr>
        <w:adjustRightInd w:val="0"/>
        <w:snapToGrid w:val="0"/>
        <w:spacing w:line="540" w:lineRule="exact"/>
        <w:ind w:left="0" w:firstLine="420" w:firstLineChars="0"/>
        <w:rPr>
          <w:rFonts w:hint="eastAsia" w:ascii="微软雅黑" w:hAnsi="微软雅黑" w:eastAsia="微软雅黑"/>
          <w:bCs/>
          <w:color w:val="auto"/>
          <w:szCs w:val="21"/>
          <w:highlight w:val="none"/>
        </w:rPr>
      </w:pPr>
      <w:bookmarkStart w:id="132" w:name="_Hlk167975243"/>
      <w:r>
        <w:rPr>
          <w:rFonts w:hint="eastAsia" w:ascii="微软雅黑" w:hAnsi="微软雅黑" w:eastAsia="微软雅黑"/>
          <w:bCs/>
          <w:color w:val="auto"/>
          <w:szCs w:val="21"/>
          <w:highlight w:val="none"/>
        </w:rPr>
        <w:t>不良贷款率指标（4分）。</w:t>
      </w:r>
    </w:p>
    <w:p w14:paraId="5F41E736">
      <w:pPr>
        <w:spacing w:line="360" w:lineRule="auto"/>
        <w:ind w:left="0" w:leftChars="0"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不良贷款率指标得分=不良贷款率季度得分*0.2+不良贷款率年度得分*0.8。</w:t>
      </w:r>
    </w:p>
    <w:p w14:paraId="689676B6">
      <w:pPr>
        <w:adjustRightInd w:val="0"/>
        <w:snapToGrid w:val="0"/>
        <w:spacing w:line="360" w:lineRule="auto"/>
        <w:ind w:left="0" w:leftChars="0"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不良贷款率季度得分按照有效竞标银行截至竞标日的上季度末全市本外币不良贷款率赋分。得分标准为：1.0%及以下得4分；1.0%以上、1.5%及以下的，得3.5分；1.5%以上、2.0%及以下的，得3分；2.0%以上不得分。</w:t>
      </w:r>
    </w:p>
    <w:p w14:paraId="71F448A8">
      <w:pPr>
        <w:adjustRightInd w:val="0"/>
        <w:snapToGrid w:val="0"/>
        <w:spacing w:line="540" w:lineRule="exact"/>
        <w:ind w:firstLine="42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不良贷款率年度得分按照竞标银行上年度全市本外币不良贷款率赋分。得分标准为：1.0%及以下得4分；1.0%以上、1.5%及以下的，得3.5分；1.5%以上、2.0%及以下的，得3分；2.0%以上不得分。</w:t>
      </w:r>
    </w:p>
    <w:p w14:paraId="44CBDD70">
      <w:pPr>
        <w:adjustRightInd w:val="0"/>
        <w:snapToGrid w:val="0"/>
        <w:spacing w:line="540" w:lineRule="exact"/>
        <w:ind w:firstLine="42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（资产质量指标数据国家金融监督管理总局嘉兴监管分局提供。）</w:t>
      </w:r>
    </w:p>
    <w:p w14:paraId="0F6B5A65">
      <w:pPr>
        <w:pStyle w:val="62"/>
        <w:numPr>
          <w:ilvl w:val="0"/>
          <w:numId w:val="32"/>
        </w:numPr>
        <w:adjustRightInd w:val="0"/>
        <w:snapToGrid w:val="0"/>
        <w:spacing w:line="540" w:lineRule="exact"/>
        <w:ind w:left="0" w:firstLine="420" w:firstLineChars="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不良贷款处置率(8分)。</w:t>
      </w:r>
    </w:p>
    <w:p w14:paraId="2F3D2B81">
      <w:pPr>
        <w:spacing w:line="360" w:lineRule="auto"/>
        <w:ind w:firstLine="294" w:firstLineChars="14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不良贷款处置率指标得分=不良贷款处置率季度得分*0.2+不良贷款处置率年度得分*0.8。</w:t>
      </w:r>
    </w:p>
    <w:p w14:paraId="3F49742D">
      <w:pPr>
        <w:adjustRightInd w:val="0"/>
        <w:snapToGrid w:val="0"/>
        <w:spacing w:line="360" w:lineRule="auto"/>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处置率季度得分按照有效竞标银行截至竞标日的上季度末全市不良贷款处置率赋分。得分标准为：70%以上得8分；70%及以下、50%以上的，得7分；50%及以下、40%以上的，得6分；40%及以下、30%以上的，得5分；30%及以下不得分。截至上季度末当年未新发生不良贷款的，不良贷款处置率得8分。</w:t>
      </w:r>
    </w:p>
    <w:p w14:paraId="441D0F2D">
      <w:pPr>
        <w:adjustRightInd w:val="0"/>
        <w:snapToGrid w:val="0"/>
        <w:spacing w:line="360" w:lineRule="auto"/>
        <w:ind w:firstLine="424" w:firstLineChars="20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良贷款处置率年度得分按照竞标银行上年度全市不良贷款处置率赋分。得分标准为：70%以上得8分；70%及以下、50%以上的，得7分；50%及以下、40%以上的，得6分；40%及以下、30%以上的，得5分；30%及以下不得分。上年度未发生不良贷款的，不良贷款处置率得8分。</w:t>
      </w:r>
    </w:p>
    <w:p w14:paraId="0E62A6A9">
      <w:pPr>
        <w:adjustRightInd w:val="0"/>
        <w:snapToGrid w:val="0"/>
        <w:spacing w:line="360" w:lineRule="auto"/>
        <w:ind w:firstLine="279" w:firstLineChars="133"/>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（该指标数据由国家金融监督管理总局嘉兴监管分局提供。）</w:t>
      </w:r>
    </w:p>
    <w:bookmarkEnd w:id="132"/>
    <w:p w14:paraId="5BFAFC9C">
      <w:pPr>
        <w:pStyle w:val="62"/>
        <w:numPr>
          <w:ilvl w:val="0"/>
          <w:numId w:val="29"/>
        </w:numPr>
        <w:adjustRightInd w:val="0"/>
        <w:snapToGrid w:val="0"/>
        <w:spacing w:line="540" w:lineRule="exact"/>
        <w:ind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运营能力（10分）。</w:t>
      </w:r>
      <w:r>
        <w:rPr>
          <w:rFonts w:hint="eastAsia" w:ascii="微软雅黑" w:hAnsi="微软雅黑" w:eastAsia="微软雅黑" w:cs="微软雅黑"/>
          <w:kern w:val="0"/>
          <w:sz w:val="21"/>
          <w:szCs w:val="21"/>
          <w:highlight w:val="none"/>
        </w:rPr>
        <w:t>根据有效竞标银行在嘉兴市本级的两项净收入</w:t>
      </w:r>
      <w:r>
        <w:rPr>
          <w:rFonts w:hint="eastAsia" w:ascii="微软雅黑" w:hAnsi="微软雅黑" w:eastAsia="微软雅黑" w:cs="微软雅黑"/>
          <w:kern w:val="0"/>
          <w:sz w:val="21"/>
          <w:szCs w:val="21"/>
          <w:highlight w:val="none"/>
        </w:rPr>
        <w:footnoteReference w:id="0"/>
      </w:r>
      <w:r>
        <w:rPr>
          <w:rFonts w:hint="eastAsia" w:ascii="微软雅黑" w:hAnsi="微软雅黑" w:eastAsia="微软雅黑" w:cs="微软雅黑"/>
          <w:kern w:val="0"/>
          <w:sz w:val="21"/>
          <w:szCs w:val="21"/>
          <w:highlight w:val="none"/>
        </w:rPr>
        <w:t>总额和两项净收入增长率进行评分</w:t>
      </w:r>
      <w:r>
        <w:rPr>
          <w:rFonts w:hint="eastAsia" w:ascii="微软雅黑" w:hAnsi="微软雅黑" w:eastAsia="微软雅黑" w:cs="微软雅黑"/>
          <w:color w:val="auto"/>
          <w:sz w:val="21"/>
          <w:szCs w:val="21"/>
          <w:highlight w:val="none"/>
        </w:rPr>
        <w:t>。</w:t>
      </w:r>
    </w:p>
    <w:p w14:paraId="2DC5111E">
      <w:pPr>
        <w:adjustRightInd w:val="0"/>
        <w:snapToGrid w:val="0"/>
        <w:spacing w:line="540" w:lineRule="exact"/>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根据有效竞标银行在嘉兴市本级的两项净收入</w:t>
      </w:r>
      <w:r>
        <w:rPr>
          <w:rFonts w:hint="eastAsia" w:ascii="微软雅黑" w:hAnsi="微软雅黑" w:eastAsia="微软雅黑" w:cs="微软雅黑"/>
          <w:kern w:val="0"/>
          <w:sz w:val="21"/>
          <w:szCs w:val="21"/>
          <w:highlight w:val="none"/>
        </w:rPr>
        <w:footnoteReference w:id="1"/>
      </w:r>
      <w:r>
        <w:rPr>
          <w:rFonts w:hint="eastAsia" w:ascii="微软雅黑" w:hAnsi="微软雅黑" w:eastAsia="微软雅黑" w:cs="微软雅黑"/>
          <w:kern w:val="0"/>
          <w:sz w:val="21"/>
          <w:szCs w:val="21"/>
          <w:highlight w:val="none"/>
        </w:rPr>
        <w:t>总额和两项净收入增长率进行评分。</w:t>
      </w:r>
    </w:p>
    <w:p w14:paraId="75049119">
      <w:pPr>
        <w:numPr>
          <w:ilvl w:val="0"/>
          <w:numId w:val="33"/>
        </w:numPr>
        <w:adjustRightInd w:val="0"/>
        <w:snapToGrid w:val="0"/>
        <w:spacing w:line="540" w:lineRule="exact"/>
        <w:ind w:left="5" w:leftChars="0" w:firstLine="415" w:firstLineChars="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两项净收入总额（8分）。按有效竞标银行截至竞标日的上季度末市本级两项净收入总额由高到低排名，排名第一名的得8分，每递减一名减0.</w:t>
      </w:r>
      <w:r>
        <w:rPr>
          <w:rFonts w:hint="eastAsia" w:ascii="微软雅黑" w:hAnsi="微软雅黑" w:eastAsia="微软雅黑" w:cs="微软雅黑"/>
          <w:kern w:val="0"/>
          <w:sz w:val="21"/>
          <w:szCs w:val="21"/>
          <w:highlight w:val="none"/>
          <w:lang w:val="en-US" w:eastAsia="zh-CN"/>
        </w:rPr>
        <w:t>5</w:t>
      </w:r>
      <w:r>
        <w:rPr>
          <w:rFonts w:hint="eastAsia" w:ascii="微软雅黑" w:hAnsi="微软雅黑" w:eastAsia="微软雅黑" w:cs="微软雅黑"/>
          <w:kern w:val="0"/>
          <w:sz w:val="21"/>
          <w:szCs w:val="21"/>
          <w:highlight w:val="none"/>
        </w:rPr>
        <w:t>分，减至0分为止。排名相同时，下一名跳跃排名计分，以下遇有按排名计分的均按此跳跃排名计分。</w:t>
      </w:r>
    </w:p>
    <w:p w14:paraId="406772F7">
      <w:pPr>
        <w:numPr>
          <w:ilvl w:val="0"/>
          <w:numId w:val="33"/>
        </w:numPr>
        <w:adjustRightInd w:val="0"/>
        <w:snapToGrid w:val="0"/>
        <w:spacing w:line="540" w:lineRule="exact"/>
        <w:ind w:left="5" w:leftChars="0" w:firstLine="415" w:firstLineChars="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两项净收入增长率（2分）。按有效竞标银行截至竞标日的上季度末市本级两项净收入增长率由高到低排名，排名第一名的得2分，每递减一名减0.05分，减至0分为止。</w:t>
      </w:r>
    </w:p>
    <w:p w14:paraId="228ACE74">
      <w:pPr>
        <w:adjustRightInd w:val="0"/>
        <w:snapToGrid w:val="0"/>
        <w:spacing w:line="540" w:lineRule="exact"/>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（该指标数据由中国人民银行嘉兴市分行提供。）</w:t>
      </w:r>
    </w:p>
    <w:p w14:paraId="7091B90B">
      <w:pPr>
        <w:pStyle w:val="62"/>
        <w:numPr>
          <w:ilvl w:val="0"/>
          <w:numId w:val="29"/>
        </w:numPr>
        <w:adjustRightInd w:val="0"/>
        <w:snapToGrid w:val="0"/>
        <w:spacing w:line="540" w:lineRule="exact"/>
        <w:ind w:firstLineChars="0"/>
        <w:rPr>
          <w:rFonts w:hint="eastAsia" w:ascii="微软雅黑" w:hAnsi="微软雅黑" w:eastAsia="微软雅黑"/>
          <w:b/>
          <w:bCs/>
          <w:color w:val="auto"/>
          <w:szCs w:val="21"/>
          <w:highlight w:val="none"/>
        </w:rPr>
      </w:pPr>
      <w:bookmarkStart w:id="133" w:name="_Hlk167975692"/>
      <w:r>
        <w:rPr>
          <w:rFonts w:hint="eastAsia" w:ascii="微软雅黑" w:hAnsi="微软雅黑" w:eastAsia="微软雅黑"/>
          <w:b/>
          <w:bCs/>
          <w:color w:val="auto"/>
          <w:szCs w:val="21"/>
          <w:highlight w:val="none"/>
        </w:rPr>
        <w:t>内控水平（8分）。</w:t>
      </w:r>
    </w:p>
    <w:bookmarkEnd w:id="133"/>
    <w:p w14:paraId="2174BBA8">
      <w:pPr>
        <w:adjustRightInd w:val="0"/>
        <w:snapToGrid w:val="0"/>
        <w:spacing w:line="540" w:lineRule="exact"/>
        <w:ind w:firstLine="411" w:firstLineChars="196"/>
        <w:rPr>
          <w:rFonts w:hint="eastAsia" w:ascii="微软雅黑" w:hAnsi="微软雅黑" w:eastAsia="微软雅黑"/>
          <w:bCs/>
          <w:color w:val="auto"/>
          <w:kern w:val="0"/>
          <w:szCs w:val="21"/>
          <w:highlight w:val="none"/>
        </w:rPr>
      </w:pPr>
      <w:bookmarkStart w:id="134" w:name="_Hlk167975705"/>
      <w:r>
        <w:rPr>
          <w:rFonts w:hint="eastAsia" w:ascii="微软雅黑" w:hAnsi="微软雅黑" w:eastAsia="微软雅黑"/>
          <w:bCs/>
          <w:color w:val="auto"/>
          <w:szCs w:val="21"/>
          <w:highlight w:val="none"/>
        </w:rPr>
        <w:t>根据人民银行嘉兴市分行上一年度对有效竞标银行综合评价结果进行评分，综合评</w:t>
      </w:r>
      <w:r>
        <w:rPr>
          <w:rFonts w:hint="eastAsia" w:ascii="微软雅黑" w:hAnsi="微软雅黑" w:eastAsia="微软雅黑"/>
          <w:bCs/>
          <w:color w:val="auto"/>
          <w:kern w:val="0"/>
          <w:szCs w:val="21"/>
          <w:highlight w:val="none"/>
        </w:rPr>
        <w:t>价为A级的，得8分；综合评价为B+、B、B-级的，分别得7、6、5分。</w:t>
      </w:r>
    </w:p>
    <w:p w14:paraId="164FDBCC">
      <w:pPr>
        <w:adjustRightInd w:val="0"/>
        <w:snapToGrid w:val="0"/>
        <w:spacing w:line="540" w:lineRule="exact"/>
        <w:ind w:firstLine="411" w:firstLineChars="196"/>
        <w:rPr>
          <w:rFonts w:hint="eastAsia" w:ascii="微软雅黑" w:hAnsi="微软雅黑" w:eastAsia="微软雅黑"/>
          <w:bCs/>
          <w:color w:val="auto"/>
          <w:kern w:val="0"/>
          <w:szCs w:val="21"/>
          <w:highlight w:val="none"/>
        </w:rPr>
      </w:pPr>
      <w:r>
        <w:rPr>
          <w:rFonts w:hint="eastAsia" w:ascii="微软雅黑" w:hAnsi="微软雅黑" w:eastAsia="微软雅黑"/>
          <w:bCs/>
          <w:color w:val="auto"/>
          <w:kern w:val="0"/>
          <w:szCs w:val="21"/>
          <w:highlight w:val="none"/>
        </w:rPr>
        <w:t>（内控水平指标数据由中国人民银行嘉兴市分行提供。）</w:t>
      </w:r>
    </w:p>
    <w:bookmarkEnd w:id="134"/>
    <w:p w14:paraId="10AFEAB1">
      <w:pPr>
        <w:pStyle w:val="3"/>
        <w:numPr>
          <w:ilvl w:val="1"/>
          <w:numId w:val="0"/>
        </w:numPr>
        <w:spacing w:before="0" w:after="0" w:line="240" w:lineRule="auto"/>
        <w:ind w:firstLine="560" w:firstLineChars="200"/>
        <w:rPr>
          <w:color w:val="auto"/>
          <w:sz w:val="28"/>
          <w:szCs w:val="28"/>
          <w:highlight w:val="none"/>
        </w:rPr>
      </w:pPr>
      <w:bookmarkStart w:id="135" w:name="_Toc98019291"/>
      <w:r>
        <w:rPr>
          <w:rFonts w:hint="eastAsia"/>
          <w:color w:val="auto"/>
          <w:sz w:val="28"/>
          <w:szCs w:val="28"/>
          <w:highlight w:val="none"/>
        </w:rPr>
        <w:t>经济贡献度指标（满分</w:t>
      </w:r>
      <w:r>
        <w:rPr>
          <w:rFonts w:hint="eastAsia"/>
          <w:color w:val="auto"/>
          <w:sz w:val="28"/>
          <w:szCs w:val="28"/>
          <w:highlight w:val="none"/>
          <w:lang w:val="en-US" w:eastAsia="zh-CN"/>
        </w:rPr>
        <w:t>30</w:t>
      </w:r>
      <w:r>
        <w:rPr>
          <w:rFonts w:hint="eastAsia"/>
          <w:color w:val="auto"/>
          <w:sz w:val="28"/>
          <w:szCs w:val="28"/>
          <w:highlight w:val="none"/>
        </w:rPr>
        <w:t>分）。</w:t>
      </w:r>
      <w:bookmarkEnd w:id="135"/>
    </w:p>
    <w:p w14:paraId="47CB4A03">
      <w:pPr>
        <w:adjustRightInd w:val="0"/>
        <w:snapToGrid w:val="0"/>
        <w:spacing w:line="58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经济贡献度指标设置包括纳税情况、贷款支持度、存贷比例、支持地方经济发展业绩考评结果应用指标。</w:t>
      </w:r>
    </w:p>
    <w:p w14:paraId="5CE33A64">
      <w:pPr>
        <w:pStyle w:val="6"/>
        <w:numPr>
          <w:ilvl w:val="0"/>
          <w:numId w:val="34"/>
        </w:numPr>
        <w:spacing w:line="360" w:lineRule="auto"/>
        <w:rPr>
          <w:rFonts w:hint="eastAsia" w:ascii="微软雅黑" w:hAnsi="微软雅黑" w:eastAsia="微软雅黑" w:cs="微软雅黑"/>
          <w:color w:val="auto"/>
          <w:sz w:val="21"/>
          <w:szCs w:val="21"/>
          <w:highlight w:val="none"/>
        </w:rPr>
      </w:pPr>
      <w:r>
        <w:rPr>
          <w:rFonts w:hint="eastAsia" w:ascii="宋体" w:hAnsi="宋体"/>
          <w:color w:val="auto"/>
          <w:sz w:val="24"/>
          <w:highlight w:val="none"/>
        </w:rPr>
        <w:t>纳税情况</w:t>
      </w:r>
      <w:r>
        <w:rPr>
          <w:rFonts w:hint="eastAsia" w:ascii="微软雅黑" w:hAnsi="微软雅黑" w:eastAsia="微软雅黑" w:cs="微软雅黑"/>
          <w:color w:val="auto"/>
          <w:sz w:val="21"/>
          <w:szCs w:val="21"/>
          <w:highlight w:val="none"/>
        </w:rPr>
        <w:t>（10分）。</w:t>
      </w:r>
    </w:p>
    <w:p w14:paraId="1443FE59">
      <w:pPr>
        <w:adjustRightInd w:val="0"/>
        <w:snapToGrid w:val="0"/>
        <w:spacing w:line="580" w:lineRule="exact"/>
        <w:ind w:left="1" w:firstLine="371" w:firstLineChars="177"/>
        <w:rPr>
          <w:rFonts w:hint="eastAsia" w:ascii="微软雅黑" w:hAnsi="微软雅黑" w:eastAsia="微软雅黑"/>
          <w:color w:val="auto"/>
          <w:szCs w:val="21"/>
          <w:highlight w:val="none"/>
        </w:rPr>
      </w:pPr>
      <w:r>
        <w:rPr>
          <w:rFonts w:hint="eastAsia" w:ascii="微软雅黑" w:hAnsi="微软雅黑" w:eastAsia="微软雅黑"/>
          <w:color w:val="auto"/>
          <w:kern w:val="0"/>
          <w:szCs w:val="21"/>
          <w:highlight w:val="none"/>
        </w:rPr>
        <w:t>即有效竞标银行的嘉兴市本级机构向税务机关缴纳的各项税收，税收缴库额按实际入库数计算，不包括缴纳的地方教育附加、社保费等非税项目。根据有效竞标银行的上年度税收缴库额情况进行评分，计分包括纳税规模和纳税增幅</w:t>
      </w:r>
      <w:r>
        <w:rPr>
          <w:rFonts w:hint="eastAsia" w:ascii="微软雅黑" w:hAnsi="微软雅黑" w:eastAsia="微软雅黑"/>
          <w:color w:val="auto"/>
          <w:szCs w:val="21"/>
          <w:highlight w:val="none"/>
        </w:rPr>
        <w:t>。</w:t>
      </w:r>
    </w:p>
    <w:p w14:paraId="0F816504">
      <w:pPr>
        <w:pStyle w:val="62"/>
        <w:numPr>
          <w:ilvl w:val="0"/>
          <w:numId w:val="35"/>
        </w:numPr>
        <w:tabs>
          <w:tab w:val="left" w:pos="709"/>
        </w:tabs>
        <w:adjustRightInd w:val="0"/>
        <w:snapToGrid w:val="0"/>
        <w:spacing w:line="580" w:lineRule="exact"/>
        <w:ind w:left="1" w:firstLine="371" w:firstLineChars="177"/>
        <w:rPr>
          <w:rFonts w:hint="eastAsia" w:ascii="微软雅黑" w:hAnsi="微软雅黑" w:eastAsia="微软雅黑"/>
          <w:color w:val="auto"/>
          <w:szCs w:val="21"/>
          <w:highlight w:val="none"/>
        </w:rPr>
      </w:pPr>
      <w:r>
        <w:rPr>
          <w:rFonts w:hint="eastAsia" w:ascii="微软雅黑" w:hAnsi="微软雅黑" w:eastAsia="微软雅黑"/>
          <w:bCs/>
          <w:color w:val="auto"/>
          <w:szCs w:val="21"/>
          <w:highlight w:val="none"/>
        </w:rPr>
        <w:t>纳税规模（8分）。</w:t>
      </w:r>
      <w:r>
        <w:rPr>
          <w:rFonts w:hint="eastAsia" w:ascii="微软雅黑" w:hAnsi="微软雅黑" w:eastAsia="微软雅黑"/>
          <w:color w:val="auto"/>
          <w:szCs w:val="21"/>
          <w:highlight w:val="none"/>
        </w:rPr>
        <w:t>按有效竞标银行上年度税收缴库额情况进行评分。得分标准为：税收缴库额最高的银行为第一名,得8分;每递减一名减0</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分，减至0分为止。</w:t>
      </w:r>
    </w:p>
    <w:p w14:paraId="720D0545">
      <w:pPr>
        <w:pStyle w:val="62"/>
        <w:numPr>
          <w:ilvl w:val="0"/>
          <w:numId w:val="35"/>
        </w:numPr>
        <w:tabs>
          <w:tab w:val="left" w:pos="709"/>
        </w:tabs>
        <w:adjustRightInd w:val="0"/>
        <w:snapToGrid w:val="0"/>
        <w:spacing w:line="580" w:lineRule="exact"/>
        <w:ind w:left="1" w:firstLine="371" w:firstLineChars="177"/>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纳税增幅（2分）。按有效竞标银行上年度税收增长率情况进行评分。得分标准为：以税收缴库额同比增幅最高的银行为第一名，得2分；每递减一名减0.</w:t>
      </w:r>
      <w:r>
        <w:rPr>
          <w:rFonts w:hint="eastAsia" w:ascii="微软雅黑" w:hAnsi="微软雅黑" w:eastAsia="微软雅黑"/>
          <w:bCs/>
          <w:color w:val="auto"/>
          <w:szCs w:val="21"/>
          <w:highlight w:val="none"/>
          <w:lang w:val="en-US" w:eastAsia="zh-CN"/>
        </w:rPr>
        <w:t>1</w:t>
      </w:r>
      <w:r>
        <w:rPr>
          <w:rFonts w:hint="eastAsia" w:ascii="微软雅黑" w:hAnsi="微软雅黑" w:eastAsia="微软雅黑"/>
          <w:bCs/>
          <w:color w:val="auto"/>
          <w:szCs w:val="21"/>
          <w:highlight w:val="none"/>
        </w:rPr>
        <w:t>分，减至0分为止。</w:t>
      </w:r>
    </w:p>
    <w:p w14:paraId="78901875">
      <w:pPr>
        <w:pStyle w:val="62"/>
        <w:adjustRightInd w:val="0"/>
        <w:snapToGrid w:val="0"/>
        <w:spacing w:line="580" w:lineRule="exact"/>
        <w:ind w:left="1" w:firstLine="371" w:firstLineChars="177"/>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（纳税情况指标数据由市税务局提供。）</w:t>
      </w:r>
    </w:p>
    <w:p w14:paraId="3170575F">
      <w:pPr>
        <w:pStyle w:val="6"/>
        <w:numPr>
          <w:ilvl w:val="0"/>
          <w:numId w:val="34"/>
        </w:numPr>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支持地方经济发展业绩考评结果应用指标（</w:t>
      </w:r>
      <w:r>
        <w:rPr>
          <w:rFonts w:hint="eastAsia" w:ascii="微软雅黑" w:hAnsi="微软雅黑" w:eastAsia="微软雅黑" w:cs="微软雅黑"/>
          <w:color w:val="auto"/>
          <w:sz w:val="21"/>
          <w:szCs w:val="21"/>
          <w:highlight w:val="none"/>
          <w:lang w:val="en-US" w:eastAsia="zh-CN"/>
        </w:rPr>
        <w:t>20</w:t>
      </w:r>
      <w:r>
        <w:rPr>
          <w:rFonts w:hint="eastAsia" w:ascii="微软雅黑" w:hAnsi="微软雅黑" w:eastAsia="微软雅黑" w:cs="微软雅黑"/>
          <w:color w:val="auto"/>
          <w:sz w:val="21"/>
          <w:szCs w:val="21"/>
          <w:highlight w:val="none"/>
        </w:rPr>
        <w:t>分）。</w:t>
      </w:r>
    </w:p>
    <w:p w14:paraId="3DD4A0CB">
      <w:pPr>
        <w:pStyle w:val="62"/>
        <w:adjustRightInd w:val="0"/>
        <w:snapToGrid w:val="0"/>
        <w:spacing w:line="5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kern w:val="0"/>
          <w:sz w:val="21"/>
          <w:szCs w:val="21"/>
          <w:highlight w:val="none"/>
        </w:rPr>
        <w:t>根据上年度市本级银行业金融机构支持地方经济发展业绩的考评结果进行评分。得分标准为：以考评得分最高银行为第一名，得</w:t>
      </w:r>
      <w:r>
        <w:rPr>
          <w:rFonts w:hint="eastAsia" w:ascii="微软雅黑" w:hAnsi="微软雅黑" w:eastAsia="微软雅黑" w:cs="微软雅黑"/>
          <w:kern w:val="0"/>
          <w:sz w:val="21"/>
          <w:szCs w:val="21"/>
          <w:highlight w:val="none"/>
          <w:lang w:val="en-US" w:eastAsia="zh-CN"/>
        </w:rPr>
        <w:t>20</w:t>
      </w:r>
      <w:r>
        <w:rPr>
          <w:rFonts w:hint="eastAsia" w:ascii="微软雅黑" w:hAnsi="微软雅黑" w:eastAsia="微软雅黑" w:cs="微软雅黑"/>
          <w:kern w:val="0"/>
          <w:sz w:val="21"/>
          <w:szCs w:val="21"/>
          <w:highlight w:val="none"/>
        </w:rPr>
        <w:t>分；每递减一名减</w:t>
      </w:r>
      <w:r>
        <w:rPr>
          <w:rFonts w:hint="eastAsia" w:ascii="微软雅黑" w:hAnsi="微软雅黑" w:eastAsia="微软雅黑" w:cs="微软雅黑"/>
          <w:kern w:val="0"/>
          <w:sz w:val="21"/>
          <w:szCs w:val="21"/>
          <w:highlight w:val="none"/>
          <w:lang w:val="en-US" w:eastAsia="zh-CN"/>
        </w:rPr>
        <w:t>1</w:t>
      </w:r>
      <w:r>
        <w:rPr>
          <w:rFonts w:hint="eastAsia" w:ascii="微软雅黑" w:hAnsi="微软雅黑" w:eastAsia="微软雅黑" w:cs="微软雅黑"/>
          <w:kern w:val="0"/>
          <w:sz w:val="21"/>
          <w:szCs w:val="21"/>
          <w:highlight w:val="none"/>
        </w:rPr>
        <w:t>分，减至0分为止</w:t>
      </w:r>
      <w:r>
        <w:rPr>
          <w:rFonts w:hint="eastAsia" w:ascii="微软雅黑" w:hAnsi="微软雅黑" w:eastAsia="微软雅黑" w:cs="微软雅黑"/>
          <w:color w:val="auto"/>
          <w:kern w:val="0"/>
          <w:sz w:val="21"/>
          <w:szCs w:val="21"/>
          <w:highlight w:val="none"/>
        </w:rPr>
        <w:t>。</w:t>
      </w:r>
    </w:p>
    <w:p w14:paraId="212957F3">
      <w:pPr>
        <w:pStyle w:val="62"/>
        <w:adjustRightInd w:val="0"/>
        <w:snapToGrid w:val="0"/>
        <w:spacing w:line="5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kern w:val="0"/>
          <w:sz w:val="21"/>
          <w:szCs w:val="21"/>
          <w:highlight w:val="none"/>
        </w:rPr>
        <w:t>该指标数据由市人民政府办公室提供</w:t>
      </w:r>
      <w:r>
        <w:rPr>
          <w:rFonts w:hint="eastAsia" w:ascii="微软雅黑" w:hAnsi="微软雅黑" w:eastAsia="微软雅黑" w:cs="微软雅黑"/>
          <w:color w:val="auto"/>
          <w:kern w:val="0"/>
          <w:sz w:val="21"/>
          <w:szCs w:val="21"/>
          <w:highlight w:val="none"/>
        </w:rPr>
        <w:t>。）</w:t>
      </w:r>
    </w:p>
    <w:p w14:paraId="32667B01">
      <w:pPr>
        <w:pStyle w:val="3"/>
        <w:numPr>
          <w:ilvl w:val="1"/>
          <w:numId w:val="0"/>
        </w:numPr>
        <w:spacing w:before="0" w:after="0" w:line="240" w:lineRule="auto"/>
        <w:ind w:firstLine="560" w:firstLineChars="200"/>
        <w:rPr>
          <w:color w:val="auto"/>
          <w:sz w:val="28"/>
          <w:szCs w:val="28"/>
          <w:highlight w:val="none"/>
        </w:rPr>
      </w:pPr>
      <w:bookmarkStart w:id="136" w:name="_Toc98019292"/>
      <w:r>
        <w:rPr>
          <w:rFonts w:hint="eastAsia"/>
          <w:color w:val="auto"/>
          <w:sz w:val="28"/>
          <w:szCs w:val="28"/>
          <w:highlight w:val="none"/>
        </w:rPr>
        <w:t>服务质量项目指标（满分</w:t>
      </w:r>
      <w:r>
        <w:rPr>
          <w:rFonts w:hint="eastAsia"/>
          <w:color w:val="auto"/>
          <w:sz w:val="28"/>
          <w:szCs w:val="28"/>
          <w:highlight w:val="none"/>
          <w:lang w:val="en-US" w:eastAsia="zh-CN"/>
        </w:rPr>
        <w:t>20</w:t>
      </w:r>
      <w:r>
        <w:rPr>
          <w:rFonts w:hint="eastAsia"/>
          <w:color w:val="auto"/>
          <w:sz w:val="28"/>
          <w:szCs w:val="28"/>
          <w:highlight w:val="none"/>
        </w:rPr>
        <w:t>分）。</w:t>
      </w:r>
      <w:bookmarkEnd w:id="136"/>
    </w:p>
    <w:p w14:paraId="1A1EB17A">
      <w:pPr>
        <w:ind w:firstLine="371" w:firstLineChars="177"/>
        <w:rPr>
          <w:rFonts w:ascii="微软雅黑" w:hAnsi="微软雅黑" w:eastAsia="微软雅黑"/>
          <w:szCs w:val="21"/>
          <w:highlight w:val="none"/>
        </w:rPr>
      </w:pPr>
      <w:bookmarkStart w:id="137" w:name="_Toc98019293"/>
      <w:r>
        <w:rPr>
          <w:rFonts w:hint="eastAsia" w:ascii="微软雅黑" w:hAnsi="微软雅黑" w:eastAsia="微软雅黑"/>
          <w:szCs w:val="21"/>
          <w:highlight w:val="none"/>
        </w:rPr>
        <w:t>主要为资金存放银行提供支付结算、账户服务等方面的情况。</w:t>
      </w:r>
    </w:p>
    <w:p w14:paraId="268B5D67">
      <w:pPr>
        <w:pStyle w:val="62"/>
        <w:numPr>
          <w:ilvl w:val="0"/>
          <w:numId w:val="36"/>
        </w:numPr>
        <w:adjustRightInd w:val="0"/>
        <w:snapToGrid w:val="0"/>
        <w:spacing w:line="540" w:lineRule="exact"/>
        <w:ind w:firstLineChars="0"/>
        <w:rPr>
          <w:rFonts w:ascii="微软雅黑" w:hAnsi="微软雅黑" w:eastAsia="微软雅黑"/>
          <w:b/>
          <w:bCs w:val="0"/>
          <w:szCs w:val="21"/>
          <w:highlight w:val="none"/>
        </w:rPr>
      </w:pPr>
      <w:r>
        <w:rPr>
          <w:rFonts w:hint="eastAsia" w:ascii="微软雅黑" w:hAnsi="微软雅黑" w:eastAsia="微软雅黑"/>
          <w:b/>
          <w:bCs w:val="0"/>
          <w:szCs w:val="21"/>
          <w:highlight w:val="none"/>
        </w:rPr>
        <w:t>支付结算排名得分（6分）。</w:t>
      </w:r>
    </w:p>
    <w:p w14:paraId="4B8B0837">
      <w:pPr>
        <w:adjustRightInd w:val="0"/>
        <w:snapToGrid w:val="0"/>
        <w:spacing w:line="54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以有效竞标银行在人民银行嘉兴市分行支付结算工作年度考评最高的银行为第一名得6分，每递减一名减0.</w:t>
      </w:r>
      <w:r>
        <w:rPr>
          <w:rFonts w:hint="eastAsia" w:ascii="微软雅黑" w:hAnsi="微软雅黑" w:eastAsia="微软雅黑"/>
          <w:szCs w:val="21"/>
          <w:highlight w:val="none"/>
          <w:lang w:val="en-US" w:eastAsia="zh-CN"/>
        </w:rPr>
        <w:t>05</w:t>
      </w:r>
      <w:r>
        <w:rPr>
          <w:rFonts w:hint="eastAsia" w:ascii="微软雅黑" w:hAnsi="微软雅黑" w:eastAsia="微软雅黑"/>
          <w:szCs w:val="21"/>
          <w:highlight w:val="none"/>
        </w:rPr>
        <w:t>分，减至0分为止。</w:t>
      </w:r>
    </w:p>
    <w:p w14:paraId="2FC710FB">
      <w:pPr>
        <w:pStyle w:val="62"/>
        <w:numPr>
          <w:ilvl w:val="0"/>
          <w:numId w:val="36"/>
        </w:numPr>
        <w:adjustRightInd w:val="0"/>
        <w:snapToGrid w:val="0"/>
        <w:spacing w:line="540" w:lineRule="exact"/>
        <w:ind w:left="0" w:firstLine="420"/>
        <w:rPr>
          <w:rFonts w:ascii="微软雅黑" w:hAnsi="微软雅黑" w:eastAsia="微软雅黑"/>
          <w:b/>
          <w:strike w:val="0"/>
          <w:dstrike w:val="0"/>
          <w:color w:val="auto"/>
          <w:szCs w:val="21"/>
          <w:highlight w:val="none"/>
        </w:rPr>
      </w:pPr>
      <w:r>
        <w:rPr>
          <w:rFonts w:hint="eastAsia" w:ascii="微软雅黑" w:hAnsi="微软雅黑" w:eastAsia="微软雅黑"/>
          <w:b/>
          <w:strike w:val="0"/>
          <w:dstrike w:val="0"/>
          <w:color w:val="auto"/>
          <w:szCs w:val="21"/>
          <w:highlight w:val="none"/>
        </w:rPr>
        <w:t>账户服务（6分）。</w:t>
      </w:r>
    </w:p>
    <w:p w14:paraId="02E32F59">
      <w:pPr>
        <w:pStyle w:val="62"/>
        <w:adjustRightInd w:val="0"/>
        <w:snapToGrid w:val="0"/>
        <w:spacing w:line="276" w:lineRule="auto"/>
        <w:rPr>
          <w:rFonts w:ascii="微软雅黑" w:hAnsi="微软雅黑" w:eastAsia="微软雅黑"/>
          <w:strike w:val="0"/>
          <w:dstrike w:val="0"/>
          <w:color w:val="auto"/>
          <w:szCs w:val="21"/>
          <w:highlight w:val="none"/>
        </w:rPr>
      </w:pPr>
      <w:r>
        <w:rPr>
          <w:rFonts w:hint="eastAsia" w:ascii="微软雅黑" w:hAnsi="微软雅黑" w:eastAsia="微软雅黑" w:cs="宋体"/>
          <w:strike w:val="0"/>
          <w:dstrike w:val="0"/>
          <w:color w:val="auto"/>
          <w:kern w:val="0"/>
          <w:szCs w:val="21"/>
          <w:highlight w:val="none"/>
        </w:rPr>
        <w:t>按嘉兴市预算会计核算教育分中心及所属事业单位在投标银行的服务情况赋分。包括但不限于：结算账户开立、代理国库集中支付、公务卡结算、校园一卡通、工资代发等方式对教育事业的支持，每一项得1分，最高得6分。证明材料由投标银行做在文件中。</w:t>
      </w:r>
    </w:p>
    <w:p w14:paraId="609C2BB8">
      <w:pPr>
        <w:pStyle w:val="62"/>
        <w:numPr>
          <w:ilvl w:val="0"/>
          <w:numId w:val="36"/>
        </w:numPr>
        <w:adjustRightInd w:val="0"/>
        <w:snapToGrid w:val="0"/>
        <w:spacing w:line="540" w:lineRule="exact"/>
        <w:ind w:left="0" w:firstLine="420"/>
        <w:rPr>
          <w:rFonts w:ascii="微软雅黑" w:hAnsi="微软雅黑" w:eastAsia="微软雅黑"/>
          <w:b/>
          <w:szCs w:val="21"/>
          <w:highlight w:val="none"/>
        </w:rPr>
      </w:pPr>
      <w:r>
        <w:rPr>
          <w:rFonts w:hint="eastAsia" w:ascii="微软雅黑" w:hAnsi="微软雅黑" w:eastAsia="微软雅黑"/>
          <w:b/>
          <w:szCs w:val="21"/>
          <w:highlight w:val="none"/>
        </w:rPr>
        <w:t>网点服务（6分）。</w:t>
      </w:r>
    </w:p>
    <w:p w14:paraId="62460923">
      <w:pPr>
        <w:pStyle w:val="62"/>
        <w:adjustRightInd w:val="0"/>
        <w:snapToGrid w:val="0"/>
        <w:spacing w:line="276" w:lineRule="auto"/>
        <w:rPr>
          <w:rFonts w:ascii="微软雅黑" w:hAnsi="微软雅黑" w:eastAsia="微软雅黑"/>
          <w:szCs w:val="21"/>
          <w:highlight w:val="none"/>
        </w:rPr>
      </w:pPr>
      <w:r>
        <w:rPr>
          <w:rFonts w:hint="eastAsia" w:ascii="微软雅黑" w:hAnsi="微软雅黑" w:eastAsia="微软雅黑" w:cs="宋体"/>
          <w:kern w:val="0"/>
          <w:szCs w:val="21"/>
          <w:highlight w:val="none"/>
        </w:rPr>
        <w:t>投标人在嘉兴市本级范围内（指南湖区、秀洲区、经开区，不含嘉兴港区）设立人工营业网点，数量在20家（含）以上的得6分，20（不含）家以下的得3分，未设立的不得分。</w:t>
      </w:r>
      <w:r>
        <w:rPr>
          <w:rFonts w:ascii="微软雅黑" w:hAnsi="微软雅黑" w:eastAsia="微软雅黑"/>
          <w:szCs w:val="21"/>
          <w:highlight w:val="none"/>
        </w:rPr>
        <w:t>（投标银行需提供网点清单及各网点营业执照复印件）</w:t>
      </w:r>
    </w:p>
    <w:p w14:paraId="33D965A6">
      <w:pPr>
        <w:pStyle w:val="62"/>
        <w:numPr>
          <w:ilvl w:val="0"/>
          <w:numId w:val="36"/>
        </w:numPr>
        <w:adjustRightInd w:val="0"/>
        <w:snapToGrid w:val="0"/>
        <w:spacing w:line="540" w:lineRule="exact"/>
        <w:ind w:left="0" w:firstLine="420"/>
        <w:rPr>
          <w:rFonts w:ascii="微软雅黑" w:hAnsi="微软雅黑" w:eastAsia="微软雅黑"/>
          <w:b/>
          <w:szCs w:val="21"/>
          <w:highlight w:val="none"/>
        </w:rPr>
      </w:pPr>
      <w:r>
        <w:rPr>
          <w:rFonts w:hint="eastAsia" w:ascii="微软雅黑" w:hAnsi="微软雅黑" w:eastAsia="微软雅黑"/>
          <w:b/>
          <w:szCs w:val="21"/>
          <w:highlight w:val="none"/>
        </w:rPr>
        <w:t>其他服务（2分）：</w:t>
      </w:r>
    </w:p>
    <w:p w14:paraId="361D544B">
      <w:pPr>
        <w:pStyle w:val="62"/>
        <w:adjustRightInd w:val="0"/>
        <w:snapToGrid w:val="0"/>
        <w:spacing w:line="276" w:lineRule="auto"/>
        <w:rPr>
          <w:rFonts w:ascii="微软雅黑" w:hAnsi="微软雅黑" w:eastAsia="微软雅黑"/>
          <w:szCs w:val="21"/>
          <w:highlight w:val="none"/>
        </w:rPr>
      </w:pPr>
      <w:r>
        <w:rPr>
          <w:rFonts w:hint="eastAsia" w:ascii="微软雅黑" w:hAnsi="微软雅黑" w:eastAsia="微软雅黑" w:cs="宋体"/>
          <w:kern w:val="0"/>
          <w:szCs w:val="21"/>
          <w:highlight w:val="none"/>
        </w:rPr>
        <w:t>2021年1月至今投标银行对教育事业的公益支持得分2分（证明材料做在投标文件中）。</w:t>
      </w:r>
    </w:p>
    <w:p w14:paraId="37309B1D">
      <w:pPr>
        <w:pStyle w:val="4"/>
        <w:numPr>
          <w:ilvl w:val="0"/>
          <w:numId w:val="28"/>
        </w:numPr>
        <w:ind w:firstLineChars="0"/>
        <w:rPr>
          <w:rFonts w:hint="eastAsia"/>
          <w:color w:val="auto"/>
          <w:highlight w:val="none"/>
        </w:rPr>
      </w:pPr>
      <w:r>
        <w:rPr>
          <w:rFonts w:hint="eastAsia"/>
          <w:color w:val="auto"/>
          <w:highlight w:val="none"/>
        </w:rPr>
        <w:t>中标规则：</w:t>
      </w:r>
      <w:bookmarkEnd w:id="137"/>
    </w:p>
    <w:p w14:paraId="1CC95EA5">
      <w:pPr>
        <w:spacing w:line="46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中标银行为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家，按下表分配资金：</w:t>
      </w:r>
    </w:p>
    <w:tbl>
      <w:tblPr>
        <w:tblStyle w:val="3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608"/>
        <w:gridCol w:w="2752"/>
      </w:tblGrid>
      <w:tr w14:paraId="22E0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53" w:type="dxa"/>
            <w:tcBorders>
              <w:top w:val="single" w:color="auto" w:sz="4" w:space="0"/>
              <w:left w:val="single" w:color="auto" w:sz="4" w:space="0"/>
              <w:bottom w:val="single" w:color="auto" w:sz="4" w:space="0"/>
              <w:right w:val="single" w:color="auto" w:sz="4" w:space="0"/>
            </w:tcBorders>
            <w:noWrap/>
            <w:vAlign w:val="center"/>
          </w:tcPr>
          <w:p w14:paraId="16B81396">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排名</w:t>
            </w:r>
          </w:p>
        </w:tc>
        <w:tc>
          <w:tcPr>
            <w:tcW w:w="3608" w:type="dxa"/>
            <w:tcBorders>
              <w:top w:val="single" w:color="auto" w:sz="4" w:space="0"/>
              <w:left w:val="single" w:color="auto" w:sz="4" w:space="0"/>
              <w:bottom w:val="single" w:color="auto" w:sz="4" w:space="0"/>
              <w:right w:val="single" w:color="auto" w:sz="4" w:space="0"/>
            </w:tcBorders>
            <w:noWrap/>
            <w:vAlign w:val="center"/>
          </w:tcPr>
          <w:p w14:paraId="4AAA57B2">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存期</w:t>
            </w:r>
          </w:p>
        </w:tc>
        <w:tc>
          <w:tcPr>
            <w:tcW w:w="2752" w:type="dxa"/>
            <w:tcBorders>
              <w:top w:val="single" w:color="auto" w:sz="4" w:space="0"/>
              <w:left w:val="single" w:color="auto" w:sz="4" w:space="0"/>
              <w:bottom w:val="single" w:color="auto" w:sz="4" w:space="0"/>
              <w:right w:val="single" w:color="auto" w:sz="4" w:space="0"/>
            </w:tcBorders>
            <w:vAlign w:val="center"/>
          </w:tcPr>
          <w:p w14:paraId="4B4E1F8B">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金额（万元）</w:t>
            </w:r>
          </w:p>
        </w:tc>
      </w:tr>
      <w:tr w14:paraId="4358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53" w:type="dxa"/>
            <w:tcBorders>
              <w:left w:val="single" w:color="auto" w:sz="4" w:space="0"/>
              <w:right w:val="single" w:color="auto" w:sz="4" w:space="0"/>
            </w:tcBorders>
            <w:noWrap/>
            <w:vAlign w:val="center"/>
          </w:tcPr>
          <w:p w14:paraId="09C51C90">
            <w:pPr>
              <w:spacing w:line="560" w:lineRule="exact"/>
              <w:jc w:val="center"/>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lang w:val="en-US" w:eastAsia="zh-CN"/>
              </w:rPr>
              <w:t>1</w:t>
            </w:r>
          </w:p>
        </w:tc>
        <w:tc>
          <w:tcPr>
            <w:tcW w:w="3608" w:type="dxa"/>
            <w:tcBorders>
              <w:top w:val="single" w:color="auto" w:sz="4" w:space="0"/>
              <w:left w:val="single" w:color="auto" w:sz="4" w:space="0"/>
              <w:right w:val="single" w:color="auto" w:sz="4" w:space="0"/>
            </w:tcBorders>
            <w:noWrap/>
            <w:vAlign w:val="center"/>
          </w:tcPr>
          <w:p w14:paraId="6AF8D073">
            <w:pPr>
              <w:widowControl/>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7天通知存款</w:t>
            </w:r>
          </w:p>
        </w:tc>
        <w:tc>
          <w:tcPr>
            <w:tcW w:w="2752" w:type="dxa"/>
            <w:tcBorders>
              <w:top w:val="single" w:color="auto" w:sz="4" w:space="0"/>
              <w:left w:val="single" w:color="auto" w:sz="4" w:space="0"/>
              <w:right w:val="single" w:color="auto" w:sz="4" w:space="0"/>
            </w:tcBorders>
            <w:vAlign w:val="center"/>
          </w:tcPr>
          <w:p w14:paraId="1FA64567">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r w14:paraId="2DC0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761" w:type="dxa"/>
            <w:gridSpan w:val="2"/>
            <w:tcBorders>
              <w:top w:val="single" w:color="auto" w:sz="4" w:space="0"/>
              <w:left w:val="single" w:color="auto" w:sz="4" w:space="0"/>
              <w:bottom w:val="single" w:color="auto" w:sz="4" w:space="0"/>
              <w:right w:val="single" w:color="auto" w:sz="4" w:space="0"/>
            </w:tcBorders>
            <w:noWrap/>
            <w:vAlign w:val="center"/>
          </w:tcPr>
          <w:p w14:paraId="7874B544">
            <w:pPr>
              <w:spacing w:line="560" w:lineRule="exact"/>
              <w:jc w:val="center"/>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合计</w:t>
            </w:r>
          </w:p>
        </w:tc>
        <w:tc>
          <w:tcPr>
            <w:tcW w:w="2752" w:type="dxa"/>
            <w:tcBorders>
              <w:top w:val="single" w:color="auto" w:sz="4" w:space="0"/>
              <w:left w:val="single" w:color="auto" w:sz="4" w:space="0"/>
              <w:bottom w:val="single" w:color="auto" w:sz="4" w:space="0"/>
              <w:right w:val="single" w:color="auto" w:sz="4" w:space="0"/>
            </w:tcBorders>
            <w:vAlign w:val="center"/>
          </w:tcPr>
          <w:p w14:paraId="00747EC9">
            <w:pPr>
              <w:spacing w:line="560" w:lineRule="exact"/>
              <w:jc w:val="center"/>
              <w:rPr>
                <w:rFonts w:hint="default" w:ascii="微软雅黑" w:hAnsi="微软雅黑" w:eastAsia="微软雅黑" w:cs="宋体"/>
                <w:kern w:val="0"/>
                <w:szCs w:val="21"/>
                <w:highlight w:val="none"/>
                <w:lang w:val="en-US" w:eastAsia="zh-CN"/>
              </w:rPr>
            </w:pPr>
            <w:r>
              <w:rPr>
                <w:rFonts w:hint="eastAsia" w:ascii="微软雅黑" w:hAnsi="微软雅黑" w:eastAsia="微软雅黑" w:cs="宋体"/>
                <w:kern w:val="0"/>
                <w:szCs w:val="21"/>
                <w:highlight w:val="none"/>
                <w:lang w:val="en-US" w:eastAsia="zh-CN"/>
              </w:rPr>
              <w:t>1600</w:t>
            </w:r>
          </w:p>
        </w:tc>
      </w:tr>
    </w:tbl>
    <w:p w14:paraId="0F03C7DB">
      <w:pPr>
        <w:snapToGrid w:val="0"/>
        <w:spacing w:line="460" w:lineRule="exact"/>
        <w:ind w:left="420"/>
        <w:rPr>
          <w:rFonts w:ascii="微软雅黑" w:hAnsi="微软雅黑" w:eastAsia="微软雅黑" w:cs="Arial"/>
          <w:szCs w:val="21"/>
          <w:highlight w:val="none"/>
        </w:rPr>
      </w:pPr>
      <w:r>
        <w:rPr>
          <w:rFonts w:hint="eastAsia" w:ascii="微软雅黑" w:hAnsi="微软雅黑" w:eastAsia="微软雅黑" w:cs="Arial"/>
          <w:szCs w:val="21"/>
          <w:highlight w:val="none"/>
        </w:rPr>
        <w:t>实际存放时间视资金情况而定</w:t>
      </w:r>
    </w:p>
    <w:p w14:paraId="15B5B500">
      <w:pPr>
        <w:adjustRightInd w:val="0"/>
        <w:snapToGrid w:val="0"/>
        <w:spacing w:line="58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投标银行得分相同时的处理原则。投标银行按评标得分由高到低排序。投标银行得分相同时的处理原则。投标银行按评标得分由高到低排序。得分相同的，按利率水平指标由高到低排序；得分和利率水平指标均相同的，按经营状况指标得分由高到低排序；得分和利率水平指标和经营状况指标均相同的，按经济贡献度指标得分由高到低排序；得分和利率水平指标和经营状况指标和经济贡献度指标得分均相同的，按服务质量项目指标得分由高到低排序。以上均相同的则由现场专家组抽签决定先后排序。</w:t>
      </w:r>
    </w:p>
    <w:p w14:paraId="76ED7393">
      <w:pPr>
        <w:adjustRightInd w:val="0"/>
        <w:snapToGrid w:val="0"/>
        <w:spacing w:line="560" w:lineRule="exact"/>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确定中标额时的特殊情况处理</w:t>
      </w:r>
    </w:p>
    <w:p w14:paraId="0E77BF8C">
      <w:pPr>
        <w:spacing w:line="56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确定中标额时，遇有投标银行投标时已申明放弃中标额、中标银行无法正常履行存放业务或实际有效投标银行少于中标银行数量的，中标银行正常分配后的剩余额由没有申明放弃的得分最高的银行中标（按得分计算的中标金额以外增加的中标）。</w:t>
      </w:r>
    </w:p>
    <w:p w14:paraId="22FC1C20">
      <w:pPr>
        <w:spacing w:line="560" w:lineRule="exact"/>
        <w:ind w:firstLine="420" w:firstLineChars="200"/>
        <w:rPr>
          <w:rFonts w:ascii="Cambria" w:hAnsi="Cambria" w:eastAsia="微软雅黑"/>
          <w:b/>
          <w:bCs/>
          <w:color w:val="auto"/>
          <w:sz w:val="32"/>
          <w:szCs w:val="32"/>
          <w:highlight w:val="none"/>
        </w:rPr>
      </w:pPr>
      <w:r>
        <w:rPr>
          <w:rFonts w:hint="eastAsia" w:ascii="微软雅黑" w:hAnsi="微软雅黑" w:eastAsia="微软雅黑"/>
          <w:color w:val="auto"/>
          <w:szCs w:val="21"/>
          <w:highlight w:val="none"/>
        </w:rPr>
        <w:t>（二）发生上述以外情况时，根据高得分优先的原则由评委讨论确定。</w:t>
      </w:r>
      <w:bookmarkStart w:id="138" w:name="_Toc9342496"/>
      <w:bookmarkStart w:id="139" w:name="_Toc11650186"/>
      <w:r>
        <w:rPr>
          <w:color w:val="auto"/>
          <w:highlight w:val="none"/>
        </w:rPr>
        <w:br w:type="page"/>
      </w:r>
    </w:p>
    <w:p w14:paraId="71B75BBC">
      <w:pPr>
        <w:pStyle w:val="36"/>
        <w:outlineLvl w:val="9"/>
        <w:rPr>
          <w:color w:val="auto"/>
          <w:highlight w:val="none"/>
        </w:rPr>
        <w:sectPr>
          <w:pgSz w:w="11907" w:h="16840"/>
          <w:pgMar w:top="1440" w:right="1797" w:bottom="1440" w:left="1797" w:header="851" w:footer="851" w:gutter="0"/>
          <w:pgNumType w:fmt="decimal"/>
          <w:cols w:space="425" w:num="1"/>
          <w:titlePg/>
          <w:docGrid w:type="lines" w:linePitch="312" w:charSpace="0"/>
        </w:sectPr>
      </w:pPr>
    </w:p>
    <w:p w14:paraId="50263559">
      <w:pPr>
        <w:pStyle w:val="36"/>
        <w:rPr>
          <w:rFonts w:hint="eastAsia"/>
          <w:color w:val="auto"/>
          <w:highlight w:val="none"/>
        </w:rPr>
      </w:pPr>
      <w:bookmarkStart w:id="140" w:name="_Toc98019294"/>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协议主要条款</w:t>
      </w:r>
      <w:bookmarkEnd w:id="138"/>
      <w:bookmarkEnd w:id="139"/>
      <w:bookmarkEnd w:id="140"/>
    </w:p>
    <w:p w14:paraId="0B5037A8">
      <w:pPr>
        <w:jc w:val="center"/>
        <w:rPr>
          <w:rFonts w:hint="eastAsia" w:ascii="微软雅黑" w:hAnsi="微软雅黑" w:eastAsia="微软雅黑" w:cs="微软雅黑"/>
          <w:b/>
          <w:bCs/>
          <w:color w:val="auto"/>
          <w:sz w:val="21"/>
          <w:szCs w:val="21"/>
          <w:highlight w:val="none"/>
        </w:rPr>
      </w:pPr>
      <w:r>
        <w:rPr>
          <w:rFonts w:hint="eastAsia"/>
          <w:b/>
          <w:bCs/>
          <w:color w:val="auto"/>
          <w:sz w:val="21"/>
          <w:szCs w:val="21"/>
          <w:highlight w:val="none"/>
        </w:rPr>
        <w:t>（</w:t>
      </w:r>
      <w:r>
        <w:rPr>
          <w:rFonts w:hint="eastAsia" w:ascii="微软雅黑" w:hAnsi="微软雅黑" w:eastAsia="微软雅黑" w:cs="微软雅黑"/>
          <w:b/>
          <w:bCs/>
          <w:color w:val="auto"/>
          <w:sz w:val="21"/>
          <w:szCs w:val="21"/>
          <w:highlight w:val="none"/>
          <w:lang w:val="en-US" w:eastAsia="zh-CN"/>
        </w:rPr>
        <w:t>参考格式</w:t>
      </w:r>
      <w:r>
        <w:rPr>
          <w:rFonts w:hint="eastAsia" w:ascii="微软雅黑" w:hAnsi="微软雅黑" w:eastAsia="微软雅黑" w:cs="微软雅黑"/>
          <w:b/>
          <w:bCs/>
          <w:color w:val="auto"/>
          <w:sz w:val="21"/>
          <w:szCs w:val="21"/>
          <w:highlight w:val="none"/>
        </w:rPr>
        <w:t>，本合同以甲方出具的正式合同条款为准）</w:t>
      </w:r>
    </w:p>
    <w:p w14:paraId="38DE6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sz w:val="21"/>
          <w:szCs w:val="21"/>
          <w:highlight w:val="none"/>
          <w:lang w:eastAsia="zh-CN"/>
        </w:rPr>
      </w:pPr>
      <w:r>
        <w:rPr>
          <w:rFonts w:hint="eastAsia" w:ascii="微软雅黑" w:hAnsi="微软雅黑" w:eastAsia="微软雅黑" w:cs="微软雅黑"/>
          <w:b/>
          <w:sz w:val="21"/>
          <w:szCs w:val="21"/>
          <w:highlight w:val="none"/>
        </w:rPr>
        <w:t>七天通知存款协议</w:t>
      </w:r>
      <w:r>
        <w:rPr>
          <w:rFonts w:hint="eastAsia" w:ascii="微软雅黑" w:hAnsi="微软雅黑" w:eastAsia="微软雅黑" w:cs="微软雅黑"/>
          <w:b/>
          <w:sz w:val="21"/>
          <w:szCs w:val="21"/>
          <w:highlight w:val="none"/>
          <w:lang w:eastAsia="zh-CN"/>
        </w:rPr>
        <w:t>（指引）</w:t>
      </w:r>
    </w:p>
    <w:p w14:paraId="658A4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甲方（单位）： </w:t>
      </w:r>
    </w:p>
    <w:p w14:paraId="5777F8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乙方（银行）： </w:t>
      </w:r>
    </w:p>
    <w:p w14:paraId="6F775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甲乙双方根据《中华人民共和国商业银行法》、</w:t>
      </w:r>
      <w:r>
        <w:rPr>
          <w:rFonts w:hint="eastAsia" w:ascii="微软雅黑" w:hAnsi="微软雅黑" w:eastAsia="微软雅黑" w:cs="微软雅黑"/>
          <w:kern w:val="0"/>
          <w:sz w:val="21"/>
          <w:szCs w:val="21"/>
          <w:highlight w:val="none"/>
        </w:rPr>
        <w:t>《中华人民共和国民法典合同编》、</w:t>
      </w:r>
      <w:r>
        <w:rPr>
          <w:rFonts w:hint="eastAsia" w:ascii="微软雅黑" w:hAnsi="微软雅黑" w:eastAsia="微软雅黑" w:cs="微软雅黑"/>
          <w:sz w:val="21"/>
          <w:szCs w:val="21"/>
          <w:highlight w:val="none"/>
        </w:rPr>
        <w:t>《嘉兴市市级财政部门和预算单位资金存放管理实施办法》（嘉财预执〔2018〕86号）及</w:t>
      </w:r>
      <w:r>
        <w:rPr>
          <w:rFonts w:hint="eastAsia" w:ascii="微软雅黑" w:hAnsi="微软雅黑" w:eastAsia="微软雅黑" w:cs="微软雅黑"/>
          <w:sz w:val="21"/>
          <w:szCs w:val="21"/>
          <w:highlight w:val="none"/>
          <w:lang w:eastAsia="zh-CN"/>
        </w:rPr>
        <w:t>嘉兴市预算会计核算教育分中心2025年第一期公款竞争性存放项目</w:t>
      </w:r>
      <w:r>
        <w:rPr>
          <w:rFonts w:hint="eastAsia" w:ascii="微软雅黑" w:hAnsi="微软雅黑" w:eastAsia="微软雅黑" w:cs="微软雅黑"/>
          <w:sz w:val="21"/>
          <w:szCs w:val="21"/>
          <w:highlight w:val="none"/>
        </w:rPr>
        <w:t>评标结果，签订七天通知存款协议如下：</w:t>
      </w:r>
    </w:p>
    <w:p w14:paraId="321AD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一、甲乙双方自甲方收到招标结果书面通知日起的1个月内，签订本七天通知存款协议并完成划款和提供七天通知存款证实书。</w:t>
      </w:r>
    </w:p>
    <w:p w14:paraId="39712A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二、甲方及委托甲方招标单位（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）应向乙方划拨七天通知存款资金</w:t>
      </w:r>
      <w:r>
        <w:rPr>
          <w:rFonts w:hint="eastAsia" w:ascii="微软雅黑" w:hAnsi="微软雅黑" w:eastAsia="微软雅黑" w:cs="微软雅黑"/>
          <w:sz w:val="21"/>
          <w:szCs w:val="21"/>
          <w:highlight w:val="none"/>
          <w:u w:val="single"/>
        </w:rPr>
        <w:t xml:space="preserve">（大写）            </w:t>
      </w:r>
      <w:r>
        <w:rPr>
          <w:rFonts w:hint="eastAsia" w:ascii="微软雅黑" w:hAnsi="微软雅黑" w:eastAsia="微软雅黑" w:cs="微软雅黑"/>
          <w:sz w:val="21"/>
          <w:szCs w:val="21"/>
          <w:highlight w:val="none"/>
        </w:rPr>
        <w:t>元（￥</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元），存期自</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u w:val="single"/>
          <w:lang w:val="en-US" w:eastAsia="zh-CN"/>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u w:val="single"/>
          <w:lang w:val="en-US" w:eastAsia="zh-CN"/>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日开始，年利率按支取日央行基准利率</w:t>
      </w:r>
      <w:r>
        <w:rPr>
          <w:rFonts w:hint="eastAsia" w:ascii="微软雅黑" w:hAnsi="微软雅黑" w:eastAsia="微软雅黑" w:cs="微软雅黑"/>
          <w:sz w:val="21"/>
          <w:szCs w:val="21"/>
          <w:highlight w:val="none"/>
          <w:lang w:eastAsia="zh-CN"/>
        </w:rPr>
        <w:t>增加</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u w:val="single"/>
          <w:lang w:val="en-US" w:eastAsia="zh-CN"/>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u w:val="none"/>
          <w:lang w:val="en-US" w:eastAsia="zh-CN"/>
        </w:rPr>
        <w:t>BP</w:t>
      </w:r>
      <w:r>
        <w:rPr>
          <w:rFonts w:hint="eastAsia" w:ascii="微软雅黑" w:hAnsi="微软雅黑" w:eastAsia="微软雅黑" w:cs="微软雅黑"/>
          <w:sz w:val="21"/>
          <w:szCs w:val="21"/>
          <w:highlight w:val="none"/>
        </w:rPr>
        <w:t>执行</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通知存款计息根据积数计算法计息。</w:t>
      </w:r>
    </w:p>
    <w:p w14:paraId="3CA0D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乙方应于收到甲方划拨存款资金日，开具七天通知存款证实书。七天通知存款证实书至少应载明：存款单位全称、存款金额、存款日期（记息起始日期）、利息率（年利率/月利率）、盖章，并且七天通知存款证实书必须为机器打印不得手写和涂改。</w:t>
      </w:r>
    </w:p>
    <w:p w14:paraId="027C8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四、甲方支取七天通知存款，需提前七天通知乙方约定支取日和金额，并在支取日持七天通知存款证实书等资料向乙方办理通知存款兑付手续，将存款本息划回甲方原存款银行结算账户。</w:t>
      </w:r>
    </w:p>
    <w:p w14:paraId="749F2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五、</w:t>
      </w:r>
      <w:r>
        <w:rPr>
          <w:rFonts w:hint="eastAsia" w:ascii="微软雅黑" w:hAnsi="微软雅黑" w:eastAsia="微软雅黑" w:cs="微软雅黑"/>
          <w:kern w:val="0"/>
          <w:sz w:val="21"/>
          <w:szCs w:val="21"/>
          <w:highlight w:val="none"/>
        </w:rPr>
        <w:t>协议履行</w:t>
      </w:r>
      <w:r>
        <w:rPr>
          <w:rFonts w:hint="eastAsia" w:ascii="微软雅黑" w:hAnsi="微软雅黑" w:eastAsia="微软雅黑" w:cs="微软雅黑"/>
          <w:sz w:val="21"/>
          <w:szCs w:val="21"/>
          <w:highlight w:val="none"/>
        </w:rPr>
        <w:t>期间，有证据证明乙方出现以下情形之一的，甲方有权终止协议，提前收回存款并追究乙方的责任：</w:t>
      </w:r>
    </w:p>
    <w:p w14:paraId="553861F9">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（一）未遵守廉政承诺或在资金存放中存在其他利益输送行为的；</w:t>
      </w:r>
    </w:p>
    <w:p w14:paraId="7910BE9E">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（二）出现资金安全事故、重大违法违规情况或财务恶化的；</w:t>
      </w:r>
    </w:p>
    <w:p w14:paraId="4C1E636F">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（三）监管评级降低，监管部门认为存在较大运营风险的；</w:t>
      </w:r>
    </w:p>
    <w:p w14:paraId="2BF51CFC">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（四）存在弄虚作假等严重不正当竞标行为的；</w:t>
      </w:r>
    </w:p>
    <w:p w14:paraId="116BF8A3">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（五）未按照中标协议承诺履行相应的责任和义务的；</w:t>
      </w:r>
    </w:p>
    <w:p w14:paraId="48FAB6EC">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（六）可能妨碍存款单位资金安全的其他情况。</w:t>
      </w:r>
    </w:p>
    <w:p w14:paraId="39442C0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甲方实际存期不足通知期限的，按活期存款利率计息；未提前通知而支取的，支取部分按活期存款利率计息；已办理通知手续而提前支取或逾期支取的，支取部分按活期存款利率计息；支取金额不足或超过约定金额的，不足或超过部分按活期存款利率计息；通知存款已办理通知手续而不支取或在通知期限内取消通知的，通知期限内不计息。</w:t>
      </w:r>
    </w:p>
    <w:p w14:paraId="1F3F9E3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w:t>
      </w:r>
      <w:r>
        <w:rPr>
          <w:rFonts w:hint="eastAsia" w:ascii="微软雅黑" w:hAnsi="微软雅黑" w:eastAsia="微软雅黑" w:cs="微软雅黑"/>
          <w:sz w:val="21"/>
          <w:szCs w:val="21"/>
          <w:highlight w:val="none"/>
          <w:lang w:eastAsia="zh-CN"/>
        </w:rPr>
        <w:t>七</w:t>
      </w:r>
      <w:r>
        <w:rPr>
          <w:rFonts w:hint="eastAsia" w:ascii="微软雅黑" w:hAnsi="微软雅黑" w:eastAsia="微软雅黑" w:cs="微软雅黑"/>
          <w:sz w:val="21"/>
          <w:szCs w:val="21"/>
          <w:highlight w:val="none"/>
        </w:rPr>
        <w:t>、协议存款期间，如乙方擅自提前终止存放的，乙方应按存款协议约定的存款利率和期限赔偿甲方利息损失。</w:t>
      </w:r>
    </w:p>
    <w:p w14:paraId="1E9B8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八、七天通知存款支取日，乙方未将存款本息全额划回甲方原存款银行结算账户的，应以中标七天通知存款利率的两倍折成日利率，按迟划回本息额及迟划回天数计算、支付违约金。</w:t>
      </w:r>
    </w:p>
    <w:p w14:paraId="7F678E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九、乙方应</w:t>
      </w:r>
      <w:r>
        <w:rPr>
          <w:rFonts w:hint="eastAsia" w:ascii="微软雅黑" w:hAnsi="微软雅黑" w:eastAsia="微软雅黑" w:cs="微软雅黑"/>
          <w:kern w:val="0"/>
          <w:sz w:val="21"/>
          <w:szCs w:val="21"/>
          <w:highlight w:val="none"/>
        </w:rPr>
        <w:t>确保甲方通知存款在乙方存续期间的资金安全。</w:t>
      </w:r>
    </w:p>
    <w:p w14:paraId="2A608258">
      <w:pPr>
        <w:spacing w:line="480" w:lineRule="auto"/>
        <w:ind w:firstLine="420" w:firstLineChars="200"/>
        <w:rPr>
          <w:rFonts w:hint="eastAsia"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eastAsia="zh-CN"/>
        </w:rPr>
        <w:t>十、协议有效期内，若利率相关的法律法规、规章政策调整，或中国人民银行存款基准利率、存款自律约定、银行总行存款利率内部授权上限等发生调整（银行存款利率内部授权上限调整，是指银行为满足国家宏观调控目标要求或落实存款利率市场化调整机制要求等，对本行可执行的内部授权上限进行的具有主动性、自律性、普遍性的调整），导致协议约定的利率水平超出允许范围，乙方应在按本协议约定存款业务开办前及时书面通知甲方银行存款利率调整情况。甲方有权提前终止本协议，并以书面形式告知。若甲方选择继续执行本协议，则自相应调整生效当日起，新办理存款业务执行利率按最新允许范围上限的利率执行。</w:t>
      </w:r>
    </w:p>
    <w:p w14:paraId="674B7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w:t>
      </w:r>
      <w:r>
        <w:rPr>
          <w:rFonts w:hint="eastAsia" w:ascii="微软雅黑" w:hAnsi="微软雅黑" w:eastAsia="微软雅黑" w:cs="微软雅黑"/>
          <w:sz w:val="21"/>
          <w:szCs w:val="21"/>
          <w:highlight w:val="none"/>
          <w:lang w:eastAsia="zh-CN"/>
        </w:rPr>
        <w:t>十一</w:t>
      </w:r>
      <w:r>
        <w:rPr>
          <w:rFonts w:hint="eastAsia" w:ascii="微软雅黑" w:hAnsi="微软雅黑" w:eastAsia="微软雅黑" w:cs="微软雅黑"/>
          <w:sz w:val="21"/>
          <w:szCs w:val="21"/>
          <w:highlight w:val="none"/>
        </w:rPr>
        <w:t>、</w:t>
      </w:r>
      <w:r>
        <w:rPr>
          <w:rFonts w:hint="eastAsia" w:ascii="微软雅黑" w:hAnsi="微软雅黑" w:eastAsia="微软雅黑" w:cs="微软雅黑"/>
          <w:bCs/>
          <w:kern w:val="0"/>
          <w:sz w:val="21"/>
          <w:szCs w:val="21"/>
          <w:highlight w:val="none"/>
        </w:rPr>
        <w:t>协议期限。</w:t>
      </w:r>
      <w:r>
        <w:rPr>
          <w:rFonts w:hint="eastAsia" w:ascii="微软雅黑" w:hAnsi="微软雅黑" w:eastAsia="微软雅黑" w:cs="微软雅黑"/>
          <w:kern w:val="0"/>
          <w:sz w:val="21"/>
          <w:szCs w:val="21"/>
          <w:highlight w:val="none"/>
        </w:rPr>
        <w:t>本协议自签订日起至七天通知存款支取完毕日止。</w:t>
      </w:r>
    </w:p>
    <w:p w14:paraId="7CD72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十二、本协议一式三份，甲</w:t>
      </w:r>
      <w:r>
        <w:rPr>
          <w:rFonts w:hint="eastAsia" w:ascii="微软雅黑" w:hAnsi="微软雅黑" w:eastAsia="微软雅黑" w:cs="微软雅黑"/>
          <w:kern w:val="0"/>
          <w:sz w:val="21"/>
          <w:szCs w:val="21"/>
          <w:highlight w:val="none"/>
        </w:rPr>
        <w:t>乙双方各执一份，抄送嘉兴市公共资源交易中心一份（乙方负责送达）。</w:t>
      </w:r>
    </w:p>
    <w:p w14:paraId="3EF6F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十三、本协议未尽事宜，双方应本着友好协商的精神妥善处理，协商不成的，向嘉兴市南湖区人民法院提起诉讼。</w:t>
      </w:r>
    </w:p>
    <w:p w14:paraId="1DB69B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p>
    <w:p w14:paraId="187E64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p>
    <w:p w14:paraId="3D7327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p>
    <w:p w14:paraId="36A0B8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甲方（公章）：　　　　　　 　　乙方（公章）：</w:t>
      </w:r>
    </w:p>
    <w:p w14:paraId="15C95A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代表人签章：　　　　　　　　　代表人签章：</w:t>
      </w:r>
    </w:p>
    <w:p w14:paraId="6B1932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highlight w:val="none"/>
        </w:rPr>
      </w:pPr>
    </w:p>
    <w:p w14:paraId="0A63CE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14:paraId="52BCD4BE">
      <w:pPr>
        <w:spacing w:line="480" w:lineRule="auto"/>
        <w:rPr>
          <w:rFonts w:hint="eastAsia" w:ascii="微软雅黑" w:hAnsi="微软雅黑" w:eastAsia="微软雅黑"/>
          <w:color w:val="auto"/>
          <w:sz w:val="21"/>
          <w:szCs w:val="21"/>
          <w:highlight w:val="none"/>
        </w:rPr>
      </w:pPr>
    </w:p>
    <w:p w14:paraId="7924050C">
      <w:pPr>
        <w:spacing w:line="480" w:lineRule="auto"/>
        <w:rPr>
          <w:rFonts w:hint="eastAsia" w:ascii="微软雅黑" w:hAnsi="微软雅黑" w:eastAsia="微软雅黑"/>
          <w:color w:val="auto"/>
          <w:sz w:val="21"/>
          <w:szCs w:val="21"/>
          <w:highlight w:val="none"/>
        </w:rPr>
      </w:pPr>
    </w:p>
    <w:p w14:paraId="177E6E4F">
      <w:pPr>
        <w:spacing w:line="480" w:lineRule="auto"/>
        <w:rPr>
          <w:rFonts w:hint="eastAsia" w:ascii="微软雅黑" w:hAnsi="微软雅黑" w:eastAsia="微软雅黑"/>
          <w:color w:val="auto"/>
          <w:szCs w:val="21"/>
          <w:highlight w:val="none"/>
        </w:rPr>
      </w:pPr>
    </w:p>
    <w:p w14:paraId="43967F7B">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pgNumType w:fmt="decimal"/>
          <w:cols w:space="425" w:num="1"/>
          <w:titlePg/>
          <w:docGrid w:type="lines" w:linePitch="312" w:charSpace="0"/>
        </w:sectPr>
      </w:pPr>
      <w:bookmarkStart w:id="141" w:name="_Toc11650188"/>
    </w:p>
    <w:p w14:paraId="7189361A">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37ED76E9">
      <w:pPr>
        <w:spacing w:line="540" w:lineRule="exact"/>
        <w:jc w:val="center"/>
        <w:rPr>
          <w:rFonts w:hint="eastAsia" w:ascii="微软雅黑" w:hAnsi="微软雅黑" w:eastAsia="微软雅黑" w:cs="仿宋_GB2312"/>
          <w:color w:val="auto"/>
          <w:szCs w:val="21"/>
          <w:highlight w:val="none"/>
        </w:rPr>
      </w:pPr>
    </w:p>
    <w:p w14:paraId="2BF79F0A">
      <w:pPr>
        <w:spacing w:line="54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部门（单位）：</w:t>
      </w:r>
    </w:p>
    <w:p w14:paraId="559D06AB">
      <w:pPr>
        <w:spacing w:line="54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 xml:space="preserve">    根据《嘉兴市财政局关于印发嘉兴市市级财政部门和预算单位资金存放管理实施办法的通知》(嘉财预执〔2018〕86号、嘉财预执〔2021〕567号)相关规定，现就本行参加贵单位(项目名称：</w:t>
      </w:r>
      <w:r>
        <w:rPr>
          <w:rFonts w:hint="eastAsia" w:ascii="微软雅黑" w:hAnsi="微软雅黑" w:eastAsia="微软雅黑" w:cs="仿宋_GB2312"/>
          <w:color w:val="auto"/>
          <w:szCs w:val="21"/>
          <w:highlight w:val="none"/>
          <w:u w:val="single"/>
        </w:rPr>
        <w:t xml:space="preserve">             项目 </w:t>
      </w:r>
      <w:r>
        <w:rPr>
          <w:rFonts w:hint="eastAsia" w:ascii="微软雅黑" w:hAnsi="微软雅黑" w:eastAsia="微软雅黑" w:cs="仿宋_GB2312"/>
          <w:color w:val="auto"/>
          <w:szCs w:val="21"/>
          <w:highlight w:val="none"/>
        </w:rPr>
        <w:t>)作出如下承诺：</w:t>
      </w:r>
    </w:p>
    <w:p w14:paraId="0415A544">
      <w:pPr>
        <w:numPr>
          <w:ilvl w:val="0"/>
          <w:numId w:val="37"/>
        </w:numPr>
        <w:spacing w:line="54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不向贵部门（单位）负责资金存放管理的领导及相关人员进行利益输送；</w:t>
      </w:r>
    </w:p>
    <w:p w14:paraId="4D71DEB2">
      <w:pPr>
        <w:numPr>
          <w:ilvl w:val="0"/>
          <w:numId w:val="37"/>
        </w:numPr>
        <w:spacing w:line="54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不将资金存放与贵部门（单位）负责资金存放管理的领导及相关人员在本行</w:t>
      </w:r>
      <w:r>
        <w:rPr>
          <w:rFonts w:hint="eastAsia" w:ascii="微软雅黑" w:hAnsi="微软雅黑" w:eastAsia="微软雅黑" w:cs="仿宋"/>
          <w:color w:val="auto"/>
          <w:szCs w:val="21"/>
          <w:highlight w:val="none"/>
        </w:rPr>
        <w:t>的配偶、子女及其配偶和其他直接利益相关人员</w:t>
      </w:r>
      <w:r>
        <w:rPr>
          <w:rFonts w:hint="eastAsia" w:ascii="微软雅黑" w:hAnsi="微软雅黑" w:eastAsia="微软雅黑" w:cs="仿宋_GB2312"/>
          <w:color w:val="auto"/>
          <w:szCs w:val="21"/>
          <w:highlight w:val="none"/>
        </w:rPr>
        <w:t>的业绩、收入、晋升等利益挂钩；</w:t>
      </w:r>
    </w:p>
    <w:p w14:paraId="247926F6">
      <w:pPr>
        <w:numPr>
          <w:ilvl w:val="0"/>
          <w:numId w:val="37"/>
        </w:numPr>
        <w:spacing w:line="540" w:lineRule="exact"/>
        <w:rPr>
          <w:rFonts w:hint="eastAsia" w:ascii="微软雅黑" w:hAnsi="微软雅黑" w:eastAsia="微软雅黑" w:cs="仿宋"/>
          <w:color w:val="auto"/>
          <w:szCs w:val="21"/>
          <w:highlight w:val="none"/>
        </w:rPr>
      </w:pPr>
      <w:r>
        <w:rPr>
          <w:rFonts w:hint="eastAsia" w:ascii="微软雅黑" w:hAnsi="微软雅黑" w:eastAsia="微软雅黑" w:cs="仿宋_GB2312"/>
          <w:color w:val="auto"/>
          <w:szCs w:val="21"/>
          <w:highlight w:val="none"/>
        </w:rPr>
        <w:t>各主管部门自行组织或委托招标代理机构组织实施资金竞争性存放的，</w:t>
      </w:r>
      <w:r>
        <w:rPr>
          <w:rFonts w:hint="eastAsia" w:ascii="微软雅黑" w:hAnsi="微软雅黑" w:eastAsia="微软雅黑" w:cs="仿宋"/>
          <w:color w:val="auto"/>
          <w:szCs w:val="21"/>
          <w:highlight w:val="none"/>
        </w:rPr>
        <w:t>严格执行利益回避制度，贵</w:t>
      </w:r>
      <w:r>
        <w:rPr>
          <w:rFonts w:hint="eastAsia" w:ascii="微软雅黑" w:hAnsi="微软雅黑" w:eastAsia="微软雅黑" w:cs="仿宋_GB2312"/>
          <w:color w:val="auto"/>
          <w:szCs w:val="21"/>
          <w:highlight w:val="none"/>
        </w:rPr>
        <w:t>部门（单位）</w:t>
      </w:r>
      <w:r>
        <w:rPr>
          <w:rFonts w:hint="eastAsia" w:ascii="微软雅黑" w:hAnsi="微软雅黑" w:eastAsia="微软雅黑" w:cs="仿宋"/>
          <w:color w:val="auto"/>
          <w:szCs w:val="21"/>
          <w:highlight w:val="none"/>
        </w:rPr>
        <w:t>负责资金竞争性存放相关人员的配偶、子女及其配偶和其他直接利益相关人员为本行工作人员的，不参与资金竞争性存放工作；</w:t>
      </w:r>
    </w:p>
    <w:p w14:paraId="56D86C1B">
      <w:pPr>
        <w:numPr>
          <w:ilvl w:val="0"/>
          <w:numId w:val="37"/>
        </w:numPr>
        <w:spacing w:line="54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不发生除上述行为之外的其他任何利益输送行为。</w:t>
      </w:r>
    </w:p>
    <w:p w14:paraId="47B81F40">
      <w:pPr>
        <w:spacing w:line="54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未遵守以上承诺的，本行自愿接受财政部门通报和处理，承担相应的一切后果。</w:t>
      </w:r>
    </w:p>
    <w:p w14:paraId="7D93B31D">
      <w:pPr>
        <w:spacing w:line="400" w:lineRule="exact"/>
        <w:ind w:firstLine="630"/>
        <w:rPr>
          <w:rFonts w:hint="eastAsia" w:ascii="微软雅黑" w:hAnsi="微软雅黑" w:eastAsia="微软雅黑" w:cs="仿宋_GB2312"/>
          <w:color w:val="auto"/>
          <w:szCs w:val="21"/>
          <w:highlight w:val="none"/>
        </w:rPr>
      </w:pPr>
    </w:p>
    <w:p w14:paraId="264B49B6">
      <w:pPr>
        <w:spacing w:line="400" w:lineRule="exact"/>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银行（公章）</w:t>
      </w:r>
    </w:p>
    <w:p w14:paraId="31578D6E">
      <w:pPr>
        <w:pStyle w:val="36"/>
        <w:rPr>
          <w:rFonts w:hint="eastAsia" w:ascii="微软雅黑" w:hAnsi="微软雅黑"/>
          <w:color w:val="auto"/>
          <w:sz w:val="21"/>
          <w:szCs w:val="21"/>
          <w:highlight w:val="none"/>
        </w:rPr>
      </w:pPr>
      <w:bookmarkStart w:id="142" w:name="_Toc98019296"/>
      <w:bookmarkStart w:id="143" w:name="_Toc3049"/>
      <w:r>
        <w:rPr>
          <w:rFonts w:hint="eastAsia" w:ascii="微软雅黑" w:hAnsi="微软雅黑" w:cs="仿宋_GB2312"/>
          <w:color w:val="auto"/>
          <w:sz w:val="21"/>
          <w:szCs w:val="21"/>
          <w:highlight w:val="none"/>
        </w:rPr>
        <w:t>年  月  日</w:t>
      </w:r>
      <w:bookmarkEnd w:id="142"/>
      <w:bookmarkEnd w:id="143"/>
    </w:p>
    <w:p w14:paraId="06D9854A">
      <w:pPr>
        <w:pStyle w:val="36"/>
        <w:outlineLvl w:val="9"/>
        <w:rPr>
          <w:color w:val="auto"/>
          <w:highlight w:val="none"/>
        </w:rPr>
      </w:pPr>
    </w:p>
    <w:p w14:paraId="61DB1091">
      <w:pPr>
        <w:pStyle w:val="36"/>
        <w:outlineLvl w:val="9"/>
        <w:rPr>
          <w:color w:val="auto"/>
          <w:highlight w:val="none"/>
        </w:rPr>
      </w:pPr>
    </w:p>
    <w:p w14:paraId="2C177CB8">
      <w:pPr>
        <w:pStyle w:val="36"/>
        <w:outlineLvl w:val="9"/>
        <w:rPr>
          <w:color w:val="auto"/>
          <w:highlight w:val="none"/>
        </w:rPr>
      </w:pPr>
    </w:p>
    <w:p w14:paraId="1C1863DB">
      <w:pPr>
        <w:pStyle w:val="36"/>
        <w:outlineLvl w:val="9"/>
        <w:rPr>
          <w:color w:val="auto"/>
          <w:highlight w:val="none"/>
        </w:rPr>
      </w:pPr>
    </w:p>
    <w:p w14:paraId="7500816B">
      <w:pPr>
        <w:pStyle w:val="36"/>
        <w:outlineLvl w:val="9"/>
        <w:rPr>
          <w:color w:val="auto"/>
          <w:highlight w:val="none"/>
        </w:rPr>
        <w:sectPr>
          <w:pgSz w:w="11907" w:h="16840"/>
          <w:pgMar w:top="1440" w:right="1797" w:bottom="1440" w:left="1797" w:header="851" w:footer="851" w:gutter="0"/>
          <w:pgNumType w:fmt="decimal"/>
          <w:cols w:space="425" w:num="1"/>
          <w:titlePg/>
          <w:docGrid w:type="lines" w:linePitch="312" w:charSpace="0"/>
        </w:sectPr>
      </w:pPr>
    </w:p>
    <w:p w14:paraId="2B3E83AC">
      <w:pPr>
        <w:pStyle w:val="36"/>
        <w:rPr>
          <w:color w:val="auto"/>
          <w:highlight w:val="none"/>
        </w:rPr>
      </w:pPr>
      <w:bookmarkStart w:id="144" w:name="_Toc98019297"/>
      <w:r>
        <w:rPr>
          <w:rFonts w:hint="eastAsia"/>
          <w:color w:val="auto"/>
          <w:highlight w:val="none"/>
        </w:rPr>
        <w:t>第六章　投标文件格式</w:t>
      </w:r>
      <w:bookmarkEnd w:id="141"/>
      <w:bookmarkEnd w:id="144"/>
    </w:p>
    <w:p w14:paraId="184E36BA">
      <w:pPr>
        <w:snapToGrid w:val="0"/>
        <w:spacing w:before="50" w:after="50"/>
        <w:rPr>
          <w:rFonts w:hint="eastAsia" w:ascii="微软雅黑" w:hAnsi="微软雅黑" w:eastAsia="微软雅黑"/>
          <w:color w:val="auto"/>
          <w:szCs w:val="21"/>
          <w:highlight w:val="none"/>
        </w:rPr>
      </w:pPr>
    </w:p>
    <w:p w14:paraId="0B963DDD">
      <w:pPr>
        <w:snapToGrid w:val="0"/>
        <w:spacing w:before="156" w:beforeLines="50" w:after="50"/>
        <w:outlineLvl w:val="1"/>
        <w:rPr>
          <w:rFonts w:hint="eastAsia" w:ascii="微软雅黑" w:hAnsi="微软雅黑" w:eastAsia="微软雅黑"/>
          <w:b/>
          <w:bCs/>
          <w:color w:val="auto"/>
          <w:szCs w:val="21"/>
          <w:highlight w:val="none"/>
        </w:rPr>
      </w:pPr>
      <w:bookmarkStart w:id="145" w:name="_Toc9342498"/>
      <w:bookmarkStart w:id="146" w:name="_Toc98019298"/>
      <w:bookmarkStart w:id="147" w:name="_Toc11650189"/>
      <w:r>
        <w:rPr>
          <w:rFonts w:hint="eastAsia" w:ascii="微软雅黑" w:hAnsi="微软雅黑" w:eastAsia="微软雅黑"/>
          <w:b/>
          <w:bCs/>
          <w:color w:val="auto"/>
          <w:szCs w:val="21"/>
          <w:highlight w:val="none"/>
        </w:rPr>
        <w:t>一、投标文件外层包装封面格式</w:t>
      </w:r>
      <w:bookmarkEnd w:id="145"/>
      <w:bookmarkEnd w:id="146"/>
      <w:bookmarkEnd w:id="147"/>
    </w:p>
    <w:p w14:paraId="1DCFF4EB">
      <w:pPr>
        <w:snapToGrid w:val="0"/>
        <w:spacing w:before="156" w:beforeLines="50" w:after="50" w:line="360" w:lineRule="auto"/>
        <w:jc w:val="center"/>
        <w:rPr>
          <w:rFonts w:hint="eastAsia" w:ascii="微软雅黑" w:hAnsi="微软雅黑" w:eastAsia="微软雅黑"/>
          <w:b/>
          <w:bCs/>
          <w:color w:val="auto"/>
          <w:szCs w:val="21"/>
          <w:highlight w:val="none"/>
        </w:rPr>
      </w:pPr>
    </w:p>
    <w:p w14:paraId="4DF3A699">
      <w:pPr>
        <w:snapToGrid w:val="0"/>
        <w:spacing w:before="156" w:beforeLines="50" w:after="50" w:line="360" w:lineRule="auto"/>
        <w:rPr>
          <w:rFonts w:hint="eastAsia" w:ascii="微软雅黑" w:hAnsi="微软雅黑" w:eastAsia="微软雅黑"/>
          <w:bCs/>
          <w:color w:val="auto"/>
          <w:szCs w:val="21"/>
          <w:highlight w:val="none"/>
        </w:rPr>
      </w:pPr>
    </w:p>
    <w:p w14:paraId="174B2383">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嘉兴市预算会计核算教育分中心2025年第一期公款竞争性存放项目</w:t>
      </w:r>
    </w:p>
    <w:p w14:paraId="389E0998">
      <w:pPr>
        <w:snapToGrid w:val="0"/>
        <w:spacing w:before="156" w:beforeLines="50" w:after="50" w:line="360" w:lineRule="auto"/>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项目编号：</w:t>
      </w:r>
    </w:p>
    <w:p w14:paraId="21E2DE1E">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176FECD5">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3BDD693E">
      <w:pPr>
        <w:pStyle w:val="5"/>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在    年  月  日时分之前不得启封</w:t>
      </w:r>
    </w:p>
    <w:p w14:paraId="381B3C67">
      <w:pPr>
        <w:pStyle w:val="5"/>
        <w:snapToGrid w:val="0"/>
        <w:spacing w:before="50" w:after="50" w:line="360" w:lineRule="auto"/>
        <w:ind w:firstLine="0"/>
        <w:rPr>
          <w:rFonts w:hint="eastAsia" w:ascii="微软雅黑" w:hAnsi="微软雅黑" w:eastAsia="微软雅黑"/>
          <w:bCs/>
          <w:color w:val="auto"/>
          <w:szCs w:val="21"/>
          <w:highlight w:val="none"/>
        </w:rPr>
      </w:pPr>
    </w:p>
    <w:p w14:paraId="07E8FCD6">
      <w:pPr>
        <w:pStyle w:val="5"/>
        <w:snapToGrid w:val="0"/>
        <w:spacing w:before="50" w:after="50" w:line="360" w:lineRule="auto"/>
        <w:ind w:firstLine="934" w:firstLineChars="445"/>
        <w:rPr>
          <w:rFonts w:hint="eastAsia" w:ascii="微软雅黑" w:hAnsi="微软雅黑" w:eastAsia="微软雅黑"/>
          <w:bCs/>
          <w:color w:val="auto"/>
          <w:szCs w:val="21"/>
          <w:highlight w:val="none"/>
        </w:rPr>
      </w:pPr>
    </w:p>
    <w:p w14:paraId="103840D0">
      <w:pPr>
        <w:pStyle w:val="5"/>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591B1F56">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008E13CB">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6599F549">
      <w:pPr>
        <w:snapToGrid w:val="0"/>
        <w:spacing w:before="156" w:beforeLines="50" w:after="50"/>
        <w:rPr>
          <w:rFonts w:hint="eastAsia" w:ascii="微软雅黑" w:hAnsi="微软雅黑" w:eastAsia="微软雅黑"/>
          <w:b/>
          <w:color w:val="auto"/>
          <w:szCs w:val="21"/>
          <w:highlight w:val="none"/>
        </w:rPr>
      </w:pPr>
    </w:p>
    <w:p w14:paraId="5E63E79B">
      <w:pPr>
        <w:snapToGrid w:val="0"/>
        <w:spacing w:before="156" w:beforeLines="50" w:after="50"/>
        <w:rPr>
          <w:rFonts w:hint="eastAsia" w:ascii="微软雅黑" w:hAnsi="微软雅黑" w:eastAsia="微软雅黑"/>
          <w:b/>
          <w:color w:val="auto"/>
          <w:szCs w:val="21"/>
          <w:highlight w:val="none"/>
        </w:rPr>
      </w:pPr>
    </w:p>
    <w:p w14:paraId="39B914CD">
      <w:pPr>
        <w:snapToGrid w:val="0"/>
        <w:spacing w:before="156" w:beforeLines="50" w:after="50"/>
        <w:rPr>
          <w:rFonts w:hint="eastAsia" w:ascii="微软雅黑" w:hAnsi="微软雅黑" w:eastAsia="微软雅黑"/>
          <w:b/>
          <w:color w:val="auto"/>
          <w:szCs w:val="21"/>
          <w:highlight w:val="none"/>
        </w:rPr>
      </w:pPr>
    </w:p>
    <w:p w14:paraId="0C5FE11B">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554B7A1C">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4B9871F1">
      <w:pPr>
        <w:snapToGrid w:val="0"/>
        <w:spacing w:line="360" w:lineRule="auto"/>
        <w:jc w:val="center"/>
        <w:rPr>
          <w:rFonts w:hint="eastAsia" w:ascii="微软雅黑" w:hAnsi="微软雅黑" w:eastAsia="微软雅黑"/>
          <w:b/>
          <w:color w:val="auto"/>
          <w:szCs w:val="21"/>
          <w:highlight w:val="none"/>
        </w:rPr>
      </w:pPr>
    </w:p>
    <w:p w14:paraId="3258085D">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76459B25">
      <w:pPr>
        <w:snapToGrid w:val="0"/>
        <w:spacing w:line="360" w:lineRule="auto"/>
        <w:jc w:val="center"/>
        <w:rPr>
          <w:rFonts w:hint="eastAsia" w:ascii="微软雅黑" w:hAnsi="微软雅黑" w:eastAsia="微软雅黑"/>
          <w:b/>
          <w:color w:val="auto"/>
          <w:szCs w:val="21"/>
          <w:highlight w:val="none"/>
        </w:rPr>
      </w:pPr>
    </w:p>
    <w:p w14:paraId="675DBF98">
      <w:pPr>
        <w:snapToGrid w:val="0"/>
        <w:spacing w:line="5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嘉兴市预算会计核算教育分中心</w:t>
      </w:r>
    </w:p>
    <w:p w14:paraId="128C0C74">
      <w:pPr>
        <w:snapToGrid w:val="0"/>
        <w:spacing w:line="500" w:lineRule="exact"/>
        <w:ind w:firstLine="735" w:firstLineChars="35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21C676A4">
      <w:pPr>
        <w:snapToGrid w:val="0"/>
        <w:spacing w:line="500" w:lineRule="exact"/>
        <w:ind w:firstLine="645"/>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（投标人名称）的法定代表人（负责人），我方愿意参加贵方组织的</w:t>
      </w:r>
      <w:r>
        <w:rPr>
          <w:rFonts w:hint="eastAsia" w:ascii="微软雅黑" w:hAnsi="微软雅黑" w:eastAsia="微软雅黑" w:cs="Arial"/>
          <w:b/>
          <w:color w:val="auto"/>
          <w:szCs w:val="21"/>
          <w:highlight w:val="none"/>
          <w:u w:val="single"/>
          <w:lang w:eastAsia="zh-CN"/>
        </w:rPr>
        <w:t>嘉兴市预算会计核算教育分中心2025年第一期公款竞争性存放项目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55C22368">
      <w:pPr>
        <w:numPr>
          <w:ilvl w:val="0"/>
          <w:numId w:val="38"/>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13D51E9B">
      <w:pPr>
        <w:numPr>
          <w:ilvl w:val="0"/>
          <w:numId w:val="38"/>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7203E145">
      <w:pPr>
        <w:numPr>
          <w:ilvl w:val="0"/>
          <w:numId w:val="38"/>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cs="Arial"/>
          <w:color w:val="auto"/>
          <w:szCs w:val="21"/>
          <w:highlight w:val="none"/>
          <w:u w:val="single"/>
        </w:rPr>
        <w:t>（</w:t>
      </w:r>
      <w:r>
        <w:rPr>
          <w:rFonts w:hint="eastAsia" w:ascii="微软雅黑" w:hAnsi="微软雅黑" w:eastAsia="微软雅黑" w:cs="宋体"/>
          <w:kern w:val="0"/>
          <w:szCs w:val="21"/>
          <w:highlight w:val="none"/>
          <w:u w:val="single"/>
        </w:rPr>
        <w:t>7天通知存款</w:t>
      </w:r>
      <w:r>
        <w:rPr>
          <w:rFonts w:hint="eastAsia" w:ascii="微软雅黑" w:hAnsi="微软雅黑" w:eastAsia="微软雅黑"/>
          <w:color w:val="auto"/>
          <w:szCs w:val="21"/>
          <w:highlight w:val="none"/>
          <w:u w:val="single"/>
        </w:rPr>
        <w:t>)</w:t>
      </w:r>
      <w:r>
        <w:rPr>
          <w:rFonts w:hint="eastAsia" w:ascii="微软雅黑" w:hAnsi="微软雅黑" w:eastAsia="微软雅黑"/>
          <w:color w:val="auto"/>
          <w:szCs w:val="21"/>
          <w:highlight w:val="none"/>
        </w:rPr>
        <w:t>；</w:t>
      </w:r>
    </w:p>
    <w:p w14:paraId="19E6006A">
      <w:pPr>
        <w:numPr>
          <w:ilvl w:val="0"/>
          <w:numId w:val="38"/>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采用条款费率为：</w:t>
      </w:r>
      <w:r>
        <w:rPr>
          <w:rFonts w:hint="eastAsia" w:ascii="微软雅黑" w:hAnsi="微软雅黑" w:eastAsia="微软雅黑" w:cs="Arial"/>
          <w:color w:val="auto"/>
          <w:szCs w:val="21"/>
          <w:highlight w:val="none"/>
          <w:u w:val="single"/>
        </w:rPr>
        <w:t>按浮动基点（BP）进行报价</w:t>
      </w:r>
      <w:r>
        <w:rPr>
          <w:rFonts w:hint="eastAsia" w:ascii="微软雅黑" w:hAnsi="微软雅黑" w:eastAsia="微软雅黑"/>
          <w:color w:val="auto"/>
          <w:szCs w:val="21"/>
          <w:highlight w:val="none"/>
        </w:rPr>
        <w:t>；</w:t>
      </w:r>
    </w:p>
    <w:p w14:paraId="27AAAF29">
      <w:pPr>
        <w:pStyle w:val="18"/>
        <w:numPr>
          <w:ilvl w:val="0"/>
          <w:numId w:val="38"/>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5A0E8AC4">
      <w:pPr>
        <w:numPr>
          <w:ilvl w:val="0"/>
          <w:numId w:val="38"/>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7AEE56FE">
      <w:pPr>
        <w:snapToGrid w:val="0"/>
        <w:spacing w:line="500" w:lineRule="exact"/>
        <w:ind w:firstLine="200"/>
        <w:rPr>
          <w:rFonts w:hint="eastAsia" w:ascii="微软雅黑" w:hAnsi="微软雅黑" w:eastAsia="微软雅黑"/>
          <w:color w:val="auto"/>
          <w:szCs w:val="21"/>
          <w:highlight w:val="none"/>
        </w:rPr>
      </w:pPr>
    </w:p>
    <w:p w14:paraId="248C4DA7">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358BD16A">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4FEDAFDD">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6C80A1C0">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1DCA353E">
      <w:pPr>
        <w:snapToGrid w:val="0"/>
        <w:spacing w:before="156" w:beforeLines="50" w:after="50"/>
        <w:jc w:val="center"/>
        <w:rPr>
          <w:rFonts w:hint="eastAsia" w:ascii="微软雅黑" w:hAnsi="微软雅黑" w:eastAsia="微软雅黑"/>
          <w:color w:val="auto"/>
          <w:szCs w:val="21"/>
          <w:highlight w:val="none"/>
        </w:rPr>
      </w:pPr>
    </w:p>
    <w:p w14:paraId="716953FA">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691371BB">
      <w:pPr>
        <w:snapToGrid w:val="0"/>
        <w:spacing w:line="360" w:lineRule="auto"/>
        <w:jc w:val="center"/>
        <w:rPr>
          <w:rFonts w:hint="eastAsia" w:ascii="微软雅黑" w:hAnsi="微软雅黑" w:eastAsia="微软雅黑"/>
          <w:b/>
          <w:color w:val="auto"/>
          <w:szCs w:val="21"/>
          <w:highlight w:val="none"/>
        </w:rPr>
      </w:pPr>
    </w:p>
    <w:p w14:paraId="70C79075">
      <w:pPr>
        <w:snapToGrid w:val="0"/>
        <w:spacing w:line="360" w:lineRule="auto"/>
        <w:rPr>
          <w:rFonts w:hint="eastAsia" w:ascii="微软雅黑" w:hAnsi="微软雅黑" w:eastAsia="微软雅黑"/>
          <w:bCs/>
          <w:color w:val="auto"/>
          <w:szCs w:val="21"/>
          <w:highlight w:val="none"/>
        </w:rPr>
      </w:pPr>
    </w:p>
    <w:p w14:paraId="32FDD569">
      <w:pPr>
        <w:snapToGrid w:val="0"/>
        <w:spacing w:line="360" w:lineRule="auto"/>
        <w:rPr>
          <w:rFonts w:hint="eastAsia" w:ascii="微软雅黑" w:hAnsi="微软雅黑" w:eastAsia="微软雅黑"/>
          <w:b/>
          <w:bCs/>
          <w:color w:val="auto"/>
          <w:szCs w:val="21"/>
          <w:highlight w:val="none"/>
          <w:lang w:eastAsia="zh-CN"/>
        </w:rPr>
      </w:pPr>
      <w:r>
        <w:rPr>
          <w:rFonts w:hint="eastAsia" w:ascii="微软雅黑" w:hAnsi="微软雅黑" w:eastAsia="微软雅黑"/>
          <w:bCs/>
          <w:color w:val="auto"/>
          <w:szCs w:val="21"/>
          <w:highlight w:val="none"/>
        </w:rPr>
        <w:t>致：</w:t>
      </w:r>
      <w:r>
        <w:rPr>
          <w:rFonts w:hint="eastAsia" w:ascii="微软雅黑" w:hAnsi="微软雅黑" w:eastAsia="微软雅黑"/>
          <w:b/>
          <w:color w:val="auto"/>
          <w:szCs w:val="21"/>
          <w:highlight w:val="none"/>
          <w:lang w:eastAsia="zh-CN"/>
        </w:rPr>
        <w:t>嘉兴市预算会计核算教育分中心</w:t>
      </w:r>
    </w:p>
    <w:p w14:paraId="4EF0EF31">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（投标人名称）的法定代表人（负责人），现授权委托本单位在职职工</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 （姓名）以我方的名义参加</w:t>
      </w:r>
      <w:r>
        <w:rPr>
          <w:rFonts w:hint="eastAsia" w:ascii="微软雅黑" w:hAnsi="微软雅黑" w:eastAsia="微软雅黑"/>
          <w:b/>
          <w:bCs/>
          <w:color w:val="auto"/>
          <w:szCs w:val="21"/>
          <w:highlight w:val="none"/>
          <w:u w:val="single"/>
          <w:lang w:eastAsia="zh-CN"/>
        </w:rPr>
        <w:t>嘉兴市预算会计核算教育分中心2025年第一期公款竞争性存放项目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0C1500AC">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1CC7801B">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2C8A5970">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5295D80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598E7E0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被授权人签名：</w:t>
      </w:r>
    </w:p>
    <w:p w14:paraId="4A85D6CB">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被授权人手机：</w:t>
      </w:r>
    </w:p>
    <w:p w14:paraId="0B8DF414">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5FD95DEF">
      <w:pPr>
        <w:snapToGrid w:val="0"/>
        <w:spacing w:line="360" w:lineRule="auto"/>
        <w:rPr>
          <w:rFonts w:hint="eastAsia" w:ascii="微软雅黑" w:hAnsi="微软雅黑" w:eastAsia="微软雅黑"/>
          <w:color w:val="auto"/>
          <w:szCs w:val="21"/>
          <w:highlight w:val="none"/>
        </w:rPr>
      </w:pPr>
    </w:p>
    <w:p w14:paraId="30F57C4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54ADA38E">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246870C7">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55BB553D">
      <w:pPr>
        <w:snapToGrid w:val="0"/>
        <w:spacing w:line="360" w:lineRule="auto"/>
        <w:rPr>
          <w:rFonts w:hint="eastAsia" w:ascii="微软雅黑" w:hAnsi="微软雅黑" w:eastAsia="微软雅黑"/>
          <w:color w:val="auto"/>
          <w:szCs w:val="21"/>
          <w:highlight w:val="none"/>
        </w:rPr>
      </w:pPr>
    </w:p>
    <w:p w14:paraId="0EC1E1E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3F04EFA1">
      <w:pPr>
        <w:snapToGrid w:val="0"/>
        <w:spacing w:line="360" w:lineRule="auto"/>
        <w:rPr>
          <w:rFonts w:hint="eastAsia" w:ascii="微软雅黑" w:hAnsi="微软雅黑" w:eastAsia="微软雅黑"/>
          <w:color w:val="auto"/>
          <w:szCs w:val="21"/>
          <w:highlight w:val="none"/>
        </w:rPr>
      </w:pPr>
    </w:p>
    <w:p w14:paraId="3B69C59C">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63CECE82">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四、投标函格式</w:t>
      </w:r>
    </w:p>
    <w:p w14:paraId="0FD52D18">
      <w:pPr>
        <w:snapToGrid w:val="0"/>
        <w:spacing w:before="156" w:beforeLines="50" w:after="50"/>
        <w:rPr>
          <w:rFonts w:hint="eastAsia" w:ascii="微软雅黑" w:hAnsi="微软雅黑" w:eastAsia="微软雅黑"/>
          <w:b/>
          <w:color w:val="auto"/>
          <w:szCs w:val="21"/>
          <w:highlight w:val="none"/>
        </w:rPr>
      </w:pPr>
    </w:p>
    <w:p w14:paraId="002F995C">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3D1B1545">
      <w:pPr>
        <w:snapToGrid w:val="0"/>
        <w:spacing w:line="360" w:lineRule="auto"/>
        <w:rPr>
          <w:rFonts w:hint="eastAsia" w:ascii="微软雅黑" w:hAnsi="微软雅黑" w:eastAsia="微软雅黑"/>
          <w:color w:val="auto"/>
          <w:szCs w:val="21"/>
          <w:highlight w:val="none"/>
        </w:rPr>
      </w:pPr>
    </w:p>
    <w:p w14:paraId="530BD06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lang w:eastAsia="zh-CN"/>
        </w:rPr>
        <w:t>嘉兴市预算会计核算教育分中心</w:t>
      </w:r>
      <w:r>
        <w:rPr>
          <w:rFonts w:hint="eastAsia" w:ascii="微软雅黑" w:hAnsi="微软雅黑" w:eastAsia="微软雅黑"/>
          <w:color w:val="auto"/>
          <w:szCs w:val="21"/>
          <w:highlight w:val="none"/>
        </w:rPr>
        <w:t>：</w:t>
      </w:r>
    </w:p>
    <w:p w14:paraId="074713EE">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嘉兴市预算会计核算教育分中心2025年第一期公款竞争性存放项目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，被授权人（姓名）经正式授权并代表投标人</w:t>
      </w:r>
      <w:r>
        <w:rPr>
          <w:rFonts w:hint="eastAsia" w:ascii="微软雅黑" w:hAnsi="微软雅黑" w:eastAsia="微软雅黑"/>
          <w:color w:val="auto"/>
          <w:szCs w:val="21"/>
          <w:highlight w:val="none"/>
          <w:u w:val="single"/>
        </w:rPr>
        <w:t xml:space="preserve">_   </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4CD44563">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0676BC16">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141A58A9">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51C7F58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7F2232D9">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5E0598A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17BD449D">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52FDF2A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地址：___________________邮编：_________传真：_________</w:t>
      </w:r>
    </w:p>
    <w:p w14:paraId="7352022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2C2948B8">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46D77750">
      <w:pPr>
        <w:snapToGrid w:val="0"/>
        <w:spacing w:line="360" w:lineRule="auto"/>
        <w:ind w:firstLine="4515" w:firstLineChars="21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530901F1">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年___月___日</w:t>
      </w:r>
    </w:p>
    <w:p w14:paraId="1B9C5824">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57EE0B88">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五、投标报价表格式</w:t>
      </w:r>
    </w:p>
    <w:p w14:paraId="623D51EC">
      <w:pPr>
        <w:spacing w:line="500" w:lineRule="exact"/>
        <w:ind w:firstLine="420" w:firstLineChars="200"/>
        <w:jc w:val="center"/>
        <w:rPr>
          <w:rFonts w:hint="eastAsia" w:ascii="微软雅黑" w:hAnsi="微软雅黑" w:eastAsia="微软雅黑"/>
          <w:b/>
          <w:color w:val="auto"/>
          <w:szCs w:val="21"/>
          <w:highlight w:val="none"/>
          <w:lang w:eastAsia="zh-CN"/>
        </w:rPr>
      </w:pPr>
      <w:r>
        <w:rPr>
          <w:rFonts w:hint="eastAsia" w:ascii="微软雅黑" w:hAnsi="微软雅黑" w:eastAsia="微软雅黑"/>
          <w:b/>
          <w:color w:val="auto"/>
          <w:szCs w:val="21"/>
          <w:highlight w:val="none"/>
          <w:lang w:eastAsia="zh-CN"/>
        </w:rPr>
        <w:t>嘉兴市预算会计核算教育分中心2025年第一期公款竞争性存放项目</w:t>
      </w:r>
    </w:p>
    <w:p w14:paraId="657CABB1">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7AD380C9">
      <w:pPr>
        <w:spacing w:line="400" w:lineRule="exact"/>
        <w:jc w:val="center"/>
        <w:rPr>
          <w:rFonts w:hint="eastAsia" w:ascii="微软雅黑" w:hAnsi="微软雅黑" w:eastAsia="微软雅黑"/>
          <w:color w:val="auto"/>
          <w:szCs w:val="21"/>
          <w:highlight w:val="none"/>
          <w:u w:val="single"/>
        </w:rPr>
      </w:pPr>
    </w:p>
    <w:p w14:paraId="1F0096E8">
      <w:pPr>
        <w:spacing w:line="360" w:lineRule="auto"/>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lang w:eastAsia="zh-CN"/>
        </w:rPr>
        <w:t>嘉兴市预算会计核算教育分中心</w:t>
      </w:r>
    </w:p>
    <w:p w14:paraId="74AA0DBB">
      <w:pPr>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3ADDBBC4">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w:t>
      </w:r>
    </w:p>
    <w:p w14:paraId="6779195B">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2BCE9904">
      <w:pPr>
        <w:spacing w:line="400" w:lineRule="exact"/>
        <w:rPr>
          <w:rFonts w:hint="eastAsia" w:ascii="微软雅黑" w:hAnsi="微软雅黑" w:eastAsia="微软雅黑"/>
          <w:color w:val="auto"/>
          <w:szCs w:val="21"/>
          <w:highlight w:val="none"/>
        </w:rPr>
      </w:pPr>
    </w:p>
    <w:tbl>
      <w:tblPr>
        <w:tblStyle w:val="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0D04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2FD109F1">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（存期）</w:t>
            </w:r>
          </w:p>
        </w:tc>
        <w:tc>
          <w:tcPr>
            <w:tcW w:w="2216" w:type="dxa"/>
            <w:vAlign w:val="center"/>
          </w:tcPr>
          <w:p w14:paraId="01773414">
            <w:pPr>
              <w:spacing w:line="560" w:lineRule="exact"/>
              <w:ind w:right="84" w:rightChars="4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央行基准利率</w:t>
            </w:r>
          </w:p>
        </w:tc>
        <w:tc>
          <w:tcPr>
            <w:tcW w:w="2835" w:type="dxa"/>
            <w:vAlign w:val="center"/>
          </w:tcPr>
          <w:p w14:paraId="5515885B">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浮动基点（BP）</w:t>
            </w:r>
          </w:p>
        </w:tc>
        <w:tc>
          <w:tcPr>
            <w:tcW w:w="993" w:type="dxa"/>
            <w:vAlign w:val="center"/>
          </w:tcPr>
          <w:p w14:paraId="361CE187">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w:t>
            </w:r>
          </w:p>
        </w:tc>
      </w:tr>
      <w:tr w14:paraId="021B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7BE593BA">
            <w:pPr>
              <w:spacing w:line="560" w:lineRule="exact"/>
              <w:rPr>
                <w:rFonts w:hint="default" w:ascii="微软雅黑" w:hAnsi="微软雅黑" w:eastAsia="微软雅黑"/>
                <w:color w:val="auto"/>
                <w:szCs w:val="21"/>
                <w:highlight w:val="none"/>
                <w:lang w:val="en-US"/>
              </w:rPr>
            </w:pPr>
            <w:r>
              <w:rPr>
                <w:rFonts w:hint="eastAsia" w:ascii="微软雅黑" w:hAnsi="微软雅黑" w:eastAsia="微软雅黑" w:cs="宋体"/>
                <w:kern w:val="0"/>
                <w:szCs w:val="21"/>
                <w:highlight w:val="none"/>
              </w:rPr>
              <w:t>7天通知存款</w:t>
            </w:r>
          </w:p>
        </w:tc>
        <w:tc>
          <w:tcPr>
            <w:tcW w:w="2216" w:type="dxa"/>
            <w:vAlign w:val="center"/>
          </w:tcPr>
          <w:p w14:paraId="592C7A37">
            <w:pPr>
              <w:spacing w:line="560" w:lineRule="exact"/>
              <w:ind w:right="84" w:rightChars="40"/>
              <w:rPr>
                <w:rFonts w:hint="eastAsia" w:ascii="微软雅黑" w:hAnsi="微软雅黑" w:eastAsia="微软雅黑"/>
                <w:color w:val="auto"/>
                <w:szCs w:val="21"/>
                <w:highlight w:val="none"/>
              </w:rPr>
            </w:pPr>
          </w:p>
        </w:tc>
        <w:tc>
          <w:tcPr>
            <w:tcW w:w="2835" w:type="dxa"/>
            <w:vAlign w:val="center"/>
          </w:tcPr>
          <w:p w14:paraId="47987B47">
            <w:pPr>
              <w:spacing w:line="560" w:lineRule="exact"/>
              <w:rPr>
                <w:rFonts w:hint="eastAsia" w:ascii="微软雅黑" w:hAnsi="微软雅黑" w:eastAsia="微软雅黑"/>
                <w:color w:val="auto"/>
                <w:szCs w:val="21"/>
                <w:highlight w:val="none"/>
              </w:rPr>
            </w:pPr>
          </w:p>
        </w:tc>
        <w:tc>
          <w:tcPr>
            <w:tcW w:w="993" w:type="dxa"/>
            <w:vAlign w:val="center"/>
          </w:tcPr>
          <w:p w14:paraId="21D54DC0">
            <w:pPr>
              <w:spacing w:line="560" w:lineRule="exact"/>
              <w:rPr>
                <w:rFonts w:hint="eastAsia" w:ascii="微软雅黑" w:hAnsi="微软雅黑" w:eastAsia="微软雅黑"/>
                <w:color w:val="auto"/>
                <w:szCs w:val="21"/>
                <w:highlight w:val="none"/>
              </w:rPr>
            </w:pPr>
          </w:p>
        </w:tc>
      </w:tr>
    </w:tbl>
    <w:p w14:paraId="0FAB0550">
      <w:pPr>
        <w:spacing w:line="400" w:lineRule="exact"/>
        <w:rPr>
          <w:rFonts w:hint="eastAsia" w:ascii="微软雅黑" w:hAnsi="微软雅黑" w:eastAsia="微软雅黑"/>
          <w:color w:val="auto"/>
          <w:szCs w:val="21"/>
          <w:highlight w:val="none"/>
        </w:rPr>
      </w:pPr>
    </w:p>
    <w:p w14:paraId="08DEB4F0">
      <w:pPr>
        <w:spacing w:line="400" w:lineRule="exact"/>
        <w:rPr>
          <w:rFonts w:hint="eastAsia" w:ascii="微软雅黑" w:hAnsi="微软雅黑" w:eastAsia="微软雅黑"/>
          <w:color w:val="auto"/>
          <w:szCs w:val="21"/>
          <w:highlight w:val="none"/>
        </w:rPr>
      </w:pPr>
    </w:p>
    <w:p w14:paraId="2EF78716">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6906133B">
      <w:pPr>
        <w:spacing w:line="400" w:lineRule="exact"/>
        <w:rPr>
          <w:rFonts w:hint="eastAsia" w:ascii="微软雅黑" w:hAnsi="微软雅黑" w:eastAsia="微软雅黑"/>
          <w:color w:val="auto"/>
          <w:szCs w:val="21"/>
          <w:highlight w:val="none"/>
        </w:rPr>
      </w:pPr>
    </w:p>
    <w:p w14:paraId="291CC023">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4F03C24D">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5E41D7AB">
      <w:pPr>
        <w:spacing w:line="360" w:lineRule="auto"/>
        <w:rPr>
          <w:rFonts w:hint="eastAsia" w:ascii="微软雅黑" w:hAnsi="微软雅黑" w:eastAsia="微软雅黑"/>
          <w:color w:val="auto"/>
          <w:szCs w:val="21"/>
          <w:highlight w:val="none"/>
        </w:rPr>
      </w:pPr>
    </w:p>
    <w:p w14:paraId="1EFB90D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45238183">
      <w:pPr>
        <w:spacing w:line="360" w:lineRule="auto"/>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1、</w:t>
      </w:r>
      <w:r>
        <w:rPr>
          <w:rFonts w:hint="eastAsia" w:ascii="微软雅黑" w:hAnsi="微软雅黑" w:eastAsia="微软雅黑"/>
          <w:color w:val="auto"/>
          <w:szCs w:val="21"/>
          <w:highlight w:val="none"/>
          <w:lang w:val="en-US" w:eastAsia="zh-CN"/>
        </w:rPr>
        <w:t>投标人报价不得违反国家利率政策和浙江省市场利率定价自律机制规定。在有</w:t>
      </w:r>
      <w:r>
        <w:rPr>
          <w:rFonts w:hint="default" w:ascii="微软雅黑" w:hAnsi="微软雅黑" w:eastAsia="微软雅黑"/>
          <w:color w:val="auto"/>
          <w:szCs w:val="21"/>
          <w:highlight w:val="none"/>
          <w:lang w:val="en-US" w:eastAsia="zh-CN"/>
        </w:rPr>
        <w:t>效期内，若利率相关的法律法规、规章政策调整，或中国人民银行存款基准利率、存款自律约定、银行总行存款利率内部授权上限等发生调整，按市场利率定价自律机制相关规定操作</w:t>
      </w:r>
      <w:r>
        <w:rPr>
          <w:rFonts w:hint="eastAsia" w:ascii="微软雅黑" w:hAnsi="微软雅黑" w:eastAsia="微软雅黑"/>
          <w:color w:val="auto"/>
          <w:szCs w:val="21"/>
          <w:highlight w:val="none"/>
          <w:lang w:eastAsia="zh-CN"/>
        </w:rPr>
        <w:t>。</w:t>
      </w:r>
    </w:p>
    <w:p w14:paraId="33F05A2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存款年利率最多保留3位小数。</w:t>
      </w:r>
    </w:p>
    <w:p w14:paraId="26BF600A">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、本投标书填写须清晰，不得涂改。</w:t>
      </w:r>
    </w:p>
    <w:p w14:paraId="16D41941">
      <w:pPr>
        <w:spacing w:line="360" w:lineRule="auto"/>
        <w:rPr>
          <w:rFonts w:hint="eastAsia" w:ascii="微软雅黑" w:hAnsi="微软雅黑" w:eastAsia="微软雅黑"/>
          <w:color w:val="auto"/>
          <w:szCs w:val="21"/>
          <w:highlight w:val="none"/>
        </w:rPr>
      </w:pPr>
    </w:p>
    <w:p w14:paraId="71BF8621">
      <w:pPr>
        <w:pStyle w:val="22"/>
        <w:snapToGrid w:val="0"/>
        <w:spacing w:beforeLines="0" w:afterLines="0" w:line="36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pgNumType w:fmt="decimal"/>
          <w:cols w:space="425" w:num="1"/>
          <w:titlePg/>
          <w:docGrid w:type="lines" w:linePitch="312" w:charSpace="0"/>
        </w:sectPr>
      </w:pPr>
    </w:p>
    <w:p w14:paraId="74E524E4">
      <w:pPr>
        <w:pStyle w:val="22"/>
        <w:snapToGrid w:val="0"/>
        <w:spacing w:beforeLines="0" w:afterLines="0" w:line="36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六、数据提供</w:t>
      </w:r>
    </w:p>
    <w:tbl>
      <w:tblPr>
        <w:tblStyle w:val="39"/>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1"/>
        <w:gridCol w:w="3827"/>
        <w:gridCol w:w="2017"/>
      </w:tblGrid>
      <w:tr w14:paraId="46D9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5C52BC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1861" w:type="dxa"/>
            <w:vAlign w:val="center"/>
          </w:tcPr>
          <w:p w14:paraId="482D28F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指标</w:t>
            </w:r>
          </w:p>
        </w:tc>
        <w:tc>
          <w:tcPr>
            <w:tcW w:w="3827" w:type="dxa"/>
            <w:vAlign w:val="center"/>
          </w:tcPr>
          <w:p w14:paraId="07896400">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w:t>
            </w:r>
          </w:p>
        </w:tc>
        <w:tc>
          <w:tcPr>
            <w:tcW w:w="2017" w:type="dxa"/>
            <w:vAlign w:val="center"/>
          </w:tcPr>
          <w:p w14:paraId="3CCE066D">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数据%</w:t>
            </w:r>
          </w:p>
        </w:tc>
      </w:tr>
      <w:tr w14:paraId="614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1D49B332">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861" w:type="dxa"/>
            <w:vAlign w:val="center"/>
          </w:tcPr>
          <w:p w14:paraId="2F6C4E25">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拨备覆盖率指标</w:t>
            </w:r>
          </w:p>
        </w:tc>
        <w:tc>
          <w:tcPr>
            <w:tcW w:w="3827" w:type="dxa"/>
            <w:vAlign w:val="center"/>
          </w:tcPr>
          <w:p w14:paraId="68FEB822">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投标银行上年度总行拨备覆盖率</w:t>
            </w:r>
          </w:p>
        </w:tc>
        <w:tc>
          <w:tcPr>
            <w:tcW w:w="2017" w:type="dxa"/>
            <w:vAlign w:val="center"/>
          </w:tcPr>
          <w:p w14:paraId="0EEAD043">
            <w:pPr>
              <w:spacing w:line="360" w:lineRule="auto"/>
              <w:rPr>
                <w:rFonts w:hint="eastAsia" w:ascii="微软雅黑" w:hAnsi="微软雅黑" w:eastAsia="微软雅黑"/>
                <w:color w:val="auto"/>
                <w:szCs w:val="21"/>
                <w:highlight w:val="none"/>
              </w:rPr>
            </w:pPr>
          </w:p>
        </w:tc>
      </w:tr>
      <w:tr w14:paraId="6E0E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vAlign w:val="center"/>
          </w:tcPr>
          <w:p w14:paraId="1749FB7E">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861" w:type="dxa"/>
            <w:vAlign w:val="center"/>
          </w:tcPr>
          <w:p w14:paraId="0C41D6FC">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资本充足率</w:t>
            </w:r>
          </w:p>
        </w:tc>
        <w:tc>
          <w:tcPr>
            <w:tcW w:w="3827" w:type="dxa"/>
            <w:vAlign w:val="center"/>
          </w:tcPr>
          <w:p w14:paraId="54E13C97">
            <w:pPr>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投标银行上年度总行资本充足率</w:t>
            </w:r>
          </w:p>
        </w:tc>
        <w:tc>
          <w:tcPr>
            <w:tcW w:w="2017" w:type="dxa"/>
            <w:vAlign w:val="center"/>
          </w:tcPr>
          <w:p w14:paraId="5FDE4BCA">
            <w:pPr>
              <w:spacing w:line="360" w:lineRule="auto"/>
              <w:rPr>
                <w:rFonts w:hint="eastAsia" w:ascii="微软雅黑" w:hAnsi="微软雅黑" w:eastAsia="微软雅黑"/>
                <w:color w:val="auto"/>
                <w:szCs w:val="21"/>
                <w:highlight w:val="none"/>
                <w:u w:val="single"/>
              </w:rPr>
            </w:pPr>
          </w:p>
        </w:tc>
      </w:tr>
    </w:tbl>
    <w:p w14:paraId="390D9933">
      <w:pPr>
        <w:spacing w:line="400" w:lineRule="exact"/>
        <w:rPr>
          <w:rFonts w:hint="eastAsia" w:ascii="微软雅黑" w:hAnsi="微软雅黑" w:eastAsia="微软雅黑"/>
          <w:color w:val="auto"/>
          <w:szCs w:val="21"/>
          <w:highlight w:val="none"/>
        </w:rPr>
      </w:pPr>
    </w:p>
    <w:p w14:paraId="632C0B18">
      <w:pPr>
        <w:rPr>
          <w:rFonts w:hint="eastAsia" w:ascii="微软雅黑" w:hAnsi="微软雅黑" w:eastAsia="微软雅黑"/>
          <w:color w:val="auto"/>
          <w:szCs w:val="21"/>
          <w:highlight w:val="none"/>
        </w:rPr>
        <w:sectPr>
          <w:pgSz w:w="11907" w:h="16840"/>
          <w:pgMar w:top="1440" w:right="1797" w:bottom="1440" w:left="1797" w:header="851" w:footer="851" w:gutter="0"/>
          <w:pgNumType w:fmt="decimal"/>
          <w:cols w:space="425" w:num="1"/>
          <w:titlePg/>
          <w:docGrid w:type="lines" w:linePitch="312" w:charSpace="0"/>
        </w:sectPr>
      </w:pPr>
    </w:p>
    <w:p w14:paraId="7539B8FA">
      <w:pPr>
        <w:pStyle w:val="22"/>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七、投标银行报名表格式</w:t>
      </w:r>
    </w:p>
    <w:p w14:paraId="427A4F53">
      <w:pPr>
        <w:pStyle w:val="35"/>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1"/>
          <w:rFonts w:hint="eastAsia" w:ascii="微软雅黑" w:hAnsi="微软雅黑" w:eastAsia="微软雅黑" w:cs="黑体"/>
          <w:color w:val="auto"/>
          <w:spacing w:val="45"/>
          <w:sz w:val="21"/>
          <w:szCs w:val="21"/>
          <w:highlight w:val="none"/>
          <w:shd w:val="clear" w:color="auto" w:fill="FFFFFF"/>
        </w:rPr>
        <w:t>投标银行报名表</w:t>
      </w:r>
    </w:p>
    <w:tbl>
      <w:tblPr>
        <w:tblStyle w:val="39"/>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15B7216C">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941EA68">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0CA8E05">
            <w:pPr>
              <w:jc w:val="left"/>
              <w:rPr>
                <w:rFonts w:hint="eastAsia" w:ascii="微软雅黑" w:hAnsi="微软雅黑" w:eastAsia="微软雅黑" w:cs="-apple-system"/>
                <w:color w:val="auto"/>
                <w:szCs w:val="21"/>
                <w:highlight w:val="none"/>
              </w:rPr>
            </w:pPr>
          </w:p>
        </w:tc>
      </w:tr>
      <w:tr w14:paraId="300996CC">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D89EA47">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EED688E">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4D0E35C">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CAEF6BF">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F3CCB50">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A50924D">
            <w:pPr>
              <w:jc w:val="left"/>
              <w:rPr>
                <w:rFonts w:hint="eastAsia" w:ascii="微软雅黑" w:hAnsi="微软雅黑" w:eastAsia="微软雅黑" w:cs="-apple-system"/>
                <w:color w:val="auto"/>
                <w:szCs w:val="21"/>
                <w:highlight w:val="none"/>
              </w:rPr>
            </w:pPr>
          </w:p>
        </w:tc>
      </w:tr>
      <w:tr w14:paraId="689C548A">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7AEAEF7D">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21F29762">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2A63F93">
            <w:pPr>
              <w:pStyle w:val="35"/>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6EE1D459">
            <w:pPr>
              <w:jc w:val="left"/>
              <w:rPr>
                <w:rFonts w:hint="eastAsia" w:ascii="微软雅黑" w:hAnsi="微软雅黑" w:eastAsia="微软雅黑" w:cs="-apple-system"/>
                <w:color w:val="auto"/>
                <w:szCs w:val="21"/>
                <w:highlight w:val="none"/>
              </w:rPr>
            </w:pPr>
          </w:p>
        </w:tc>
      </w:tr>
      <w:tr w14:paraId="5F1AE7F2">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506415DD">
            <w:pPr>
              <w:pStyle w:val="35"/>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2AA7900F">
            <w:pPr>
              <w:pStyle w:val="3"/>
              <w:numPr>
                <w:ilvl w:val="0"/>
                <w:numId w:val="4"/>
              </w:numPr>
              <w:spacing w:before="0" w:after="0" w:line="460" w:lineRule="exact"/>
              <w:ind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我公司报名参加贵公司组织的</w:t>
            </w:r>
            <w:r>
              <w:rPr>
                <w:rFonts w:hint="eastAsia" w:ascii="微软雅黑" w:hAnsi="微软雅黑"/>
                <w:color w:val="auto"/>
                <w:highlight w:val="none"/>
                <w:u w:val="single"/>
                <w:lang w:eastAsia="zh-CN"/>
              </w:rPr>
              <w:t>嘉兴市预算会计核算教育分中心2025年第一期公款竞争性存放项目</w:t>
            </w:r>
            <w:r>
              <w:rPr>
                <w:rFonts w:hint="eastAsia" w:ascii="微软雅黑" w:hAnsi="微软雅黑" w:eastAsia="微软雅黑" w:cs="仿宋_GB2312"/>
                <w:color w:val="auto"/>
                <w:szCs w:val="21"/>
                <w:highlight w:val="none"/>
              </w:rPr>
              <w:t>（项目编号为</w:t>
            </w:r>
            <w:r>
              <w:rPr>
                <w:rFonts w:hint="eastAsia" w:ascii="微软雅黑" w:hAnsi="微软雅黑" w:cs="仿宋_GB2312"/>
                <w:color w:val="auto"/>
                <w:szCs w:val="21"/>
                <w:highlight w:val="none"/>
                <w:lang w:eastAsia="zh-CN"/>
              </w:rPr>
              <w:t>：</w:t>
            </w:r>
            <w:r>
              <w:rPr>
                <w:rFonts w:hint="eastAsia" w:ascii="微软雅黑" w:hAnsi="微软雅黑" w:cs="Times New Roman"/>
                <w:b w:val="0"/>
                <w:bCs w:val="0"/>
                <w:color w:val="auto"/>
                <w:kern w:val="2"/>
                <w:sz w:val="21"/>
                <w:szCs w:val="21"/>
                <w:highlight w:val="none"/>
                <w:u w:val="single"/>
                <w:lang w:val="en-US" w:eastAsia="zh-CN" w:bidi="ar-SA"/>
              </w:rPr>
              <w:t>千秋-N（2025）第77号</w:t>
            </w:r>
            <w:r>
              <w:rPr>
                <w:rFonts w:hint="eastAsia" w:ascii="微软雅黑" w:hAnsi="微软雅黑" w:eastAsia="微软雅黑" w:cs="仿宋_GB2312"/>
                <w:color w:val="auto"/>
                <w:szCs w:val="21"/>
                <w:highlight w:val="none"/>
              </w:rPr>
              <w:t>）的招标活动。</w:t>
            </w:r>
          </w:p>
          <w:p w14:paraId="794E61F1">
            <w:pPr>
              <w:spacing w:line="460" w:lineRule="exact"/>
              <w:rPr>
                <w:rFonts w:hint="eastAsia" w:ascii="微软雅黑" w:hAnsi="微软雅黑" w:eastAsia="微软雅黑" w:cs="仿宋"/>
                <w:color w:val="auto"/>
                <w:szCs w:val="21"/>
                <w:highlight w:val="none"/>
              </w:rPr>
            </w:pPr>
            <w:r>
              <w:rPr>
                <w:rStyle w:val="41"/>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4F105A3A">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w:t>
            </w:r>
          </w:p>
          <w:p w14:paraId="416250B1">
            <w:pPr>
              <w:spacing w:line="460" w:lineRule="exact"/>
              <w:rPr>
                <w:rFonts w:hint="eastAsia" w:ascii="微软雅黑" w:hAnsi="微软雅黑" w:eastAsia="微软雅黑" w:cs="仿宋"/>
                <w:color w:val="auto"/>
                <w:szCs w:val="21"/>
                <w:highlight w:val="none"/>
              </w:rPr>
            </w:pPr>
          </w:p>
          <w:p w14:paraId="73BE662C">
            <w:pPr>
              <w:spacing w:line="460" w:lineRule="exact"/>
              <w:rPr>
                <w:rFonts w:hint="eastAsia" w:ascii="微软雅黑" w:hAnsi="微软雅黑" w:eastAsia="微软雅黑" w:cs="仿宋"/>
                <w:color w:val="auto"/>
                <w:szCs w:val="21"/>
                <w:highlight w:val="none"/>
              </w:rPr>
            </w:pPr>
          </w:p>
          <w:p w14:paraId="6A6297F3">
            <w:pPr>
              <w:pStyle w:val="35"/>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636C29C1">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478AC135">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3122DDE7">
            <w:pPr>
              <w:pStyle w:val="35"/>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21A7C3FB">
            <w:pPr>
              <w:pStyle w:val="35"/>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法人代表或负责人签章或签字：</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kern w:val="2"/>
                <w:sz w:val="21"/>
                <w:szCs w:val="21"/>
                <w:highlight w:val="none"/>
                <w:u w:val="single"/>
              </w:rPr>
              <w:t>     </w:t>
            </w:r>
          </w:p>
          <w:p w14:paraId="3C163E97">
            <w:pPr>
              <w:pStyle w:val="35"/>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3C6BE87E">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12C3081C">
            <w:pPr>
              <w:pStyle w:val="35"/>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ascii="微软雅黑" w:hAnsi="微软雅黑" w:eastAsia="微软雅黑" w:cs="仿宋_GB2312"/>
                <w:color w:val="auto"/>
                <w:kern w:val="2"/>
                <w:sz w:val="21"/>
                <w:szCs w:val="21"/>
                <w:highlight w:val="none"/>
              </w:rPr>
              <w:t xml:space="preserve">    </w:t>
            </w:r>
            <w:r>
              <w:rPr>
                <w:rFonts w:hint="eastAsia" w:ascii="微软雅黑" w:hAnsi="微软雅黑" w:eastAsia="微软雅黑" w:cs="仿宋_GB2312"/>
                <w:color w:val="auto"/>
                <w:kern w:val="2"/>
                <w:sz w:val="21"/>
                <w:szCs w:val="21"/>
                <w:highlight w:val="none"/>
              </w:rPr>
              <w:t>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26411D96">
      <w:pPr>
        <w:rPr>
          <w:rFonts w:hint="eastAsia" w:ascii="微软雅黑" w:hAnsi="微软雅黑" w:eastAsia="微软雅黑"/>
          <w:color w:val="auto"/>
          <w:szCs w:val="21"/>
          <w:highlight w:val="none"/>
        </w:rPr>
      </w:pPr>
    </w:p>
    <w:sectPr>
      <w:pgSz w:w="11907" w:h="16840"/>
      <w:pgMar w:top="1440" w:right="1797" w:bottom="1440" w:left="1797" w:header="851" w:footer="851"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02576A-C667-475B-A788-4BFB767A8B00}"/>
  </w:font>
  <w:font w:name="黑体">
    <w:panose1 w:val="02010609060101010101"/>
    <w:charset w:val="86"/>
    <w:family w:val="auto"/>
    <w:pitch w:val="default"/>
    <w:sig w:usb0="800002BF" w:usb1="38CF7CFA" w:usb2="00000016" w:usb3="00000000" w:csb0="00040001" w:csb1="00000000"/>
    <w:embedRegular r:id="rId2" w:fontKey="{A875808E-26FF-4D19-AD58-E98906839544}"/>
  </w:font>
  <w:font w:name="Courier New">
    <w:panose1 w:val="02070309020205020404"/>
    <w:charset w:val="01"/>
    <w:family w:val="modern"/>
    <w:pitch w:val="default"/>
    <w:sig w:usb0="E0002EFF" w:usb1="C0007843" w:usb2="00000009" w:usb3="00000000" w:csb0="400001FF" w:csb1="FFFF0000"/>
    <w:embedRegular r:id="rId3" w:fontKey="{95FECF75-1189-41E1-BD34-7453B02E84F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E4BC8857-EE08-4CDE-AB72-4BFE1E5A635E}"/>
  </w:font>
  <w:font w:name="仿宋_GB2312">
    <w:altName w:val="仿宋"/>
    <w:panose1 w:val="02010609030101010101"/>
    <w:charset w:val="86"/>
    <w:family w:val="modern"/>
    <w:pitch w:val="default"/>
    <w:sig w:usb0="00000000" w:usb1="00000000" w:usb2="00000000" w:usb3="00000000" w:csb0="00040000" w:csb1="00000000"/>
    <w:embedRegular r:id="rId5" w:fontKey="{A0A454E7-C0CA-4DBC-994F-A6D785AA3770}"/>
  </w:font>
  <w:font w:name="仿宋">
    <w:panose1 w:val="02010609060101010101"/>
    <w:charset w:val="86"/>
    <w:family w:val="modern"/>
    <w:pitch w:val="default"/>
    <w:sig w:usb0="800002BF" w:usb1="38CF7CFA" w:usb2="00000016" w:usb3="00000000" w:csb0="00040001" w:csb1="00000000"/>
    <w:embedRegular r:id="rId6" w:fontKey="{83A09809-4A7E-48DB-A4CE-2F18BC7B7862}"/>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7" w:fontKey="{E72C7229-E93A-4853-90D5-CEE5FD318C16}"/>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embedRegular r:id="rId8" w:fontKey="{1C75BE83-23F8-488B-BC49-667A42BAFD7F}"/>
  </w:font>
  <w:font w:name="方正仿宋_GBK">
    <w:altName w:val="微软雅黑"/>
    <w:panose1 w:val="00000000000000000000"/>
    <w:charset w:val="86"/>
    <w:family w:val="auto"/>
    <w:pitch w:val="default"/>
    <w:sig w:usb0="00000000" w:usb1="00000000" w:usb2="00000000" w:usb3="00000000" w:csb0="00040000" w:csb1="00000000"/>
    <w:embedRegular r:id="rId9" w:fontKey="{77ABB13B-C7E7-4AE7-B97E-C6298A89EBF6}"/>
  </w:font>
  <w:font w:name="方正小标宋简体">
    <w:panose1 w:val="02000000000000000000"/>
    <w:charset w:val="86"/>
    <w:family w:val="script"/>
    <w:pitch w:val="default"/>
    <w:sig w:usb0="00000001" w:usb1="08000000" w:usb2="00000000" w:usb3="00000000" w:csb0="00040000" w:csb1="00000000"/>
    <w:embedRegular r:id="rId10" w:fontKey="{B268D729-5AA8-4B83-A371-8FB7D378282C}"/>
  </w:font>
  <w:font w:name="-apple-system">
    <w:altName w:val="微软雅黑"/>
    <w:panose1 w:val="00000000000000000000"/>
    <w:charset w:val="00"/>
    <w:family w:val="auto"/>
    <w:pitch w:val="default"/>
    <w:sig w:usb0="00000000" w:usb1="00000000" w:usb2="00000000" w:usb3="00000000" w:csb0="00040001" w:csb1="00000000"/>
    <w:embedRegular r:id="rId11" w:fontKey="{EC9A0CCB-AF40-46F9-A9A7-A1B1885425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C5F8">
    <w:pPr>
      <w:pStyle w:val="26"/>
      <w:jc w:val="right"/>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70231"/>
                </w:sdtPr>
                <w:sdtContent>
                  <w:p w14:paraId="7E9212A2">
                    <w:pPr>
                      <w:pStyle w:val="26"/>
                      <w:jc w:val="right"/>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sdtContent>
              </w:sdt>
              <w:p w14:paraId="22BD3776"/>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2AB4">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14:paraId="23FA27E4">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DBD2">
    <w:pPr>
      <w:pStyle w:val="26"/>
      <w:jc w:val="right"/>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4635AFC">
                <w:pPr>
                  <w:pStyle w:val="26"/>
                </w:pPr>
                <w:r>
                  <w:fldChar w:fldCharType="begin"/>
                </w:r>
                <w:r>
                  <w:instrText xml:space="preserve"> PAGE  \* MERGEFORMAT </w:instrText>
                </w:r>
                <w:r>
                  <w:fldChar w:fldCharType="separate"/>
                </w:r>
                <w:r>
                  <w:t>1</w:t>
                </w:r>
                <w:r>
                  <w:fldChar w:fldCharType="end"/>
                </w:r>
              </w:p>
            </w:txbxContent>
          </v:textbox>
        </v:shape>
      </w:pict>
    </w:r>
  </w:p>
  <w:p w14:paraId="280CE434">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E9FA">
    <w:pPr>
      <w:pStyle w:val="26"/>
      <w:jc w:val="right"/>
    </w:pPr>
    <w:r>
      <w:rPr>
        <w:sz w:val="18"/>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509875F">
                <w:pPr>
                  <w:pStyle w:val="26"/>
                </w:pPr>
                <w:r>
                  <w:fldChar w:fldCharType="begin"/>
                </w:r>
                <w:r>
                  <w:instrText xml:space="preserve"> PAGE  \* MERGEFORMAT </w:instrText>
                </w:r>
                <w:r>
                  <w:fldChar w:fldCharType="separate"/>
                </w:r>
                <w:r>
                  <w:t>1</w:t>
                </w:r>
                <w:r>
                  <w:fldChar w:fldCharType="end"/>
                </w:r>
              </w:p>
            </w:txbxContent>
          </v:textbox>
        </v:shape>
      </w:pict>
    </w:r>
    <w:r>
      <w:rPr>
        <w:rFonts w:hint="eastAsia"/>
      </w:rPr>
      <w:t>32</w:t>
    </w:r>
  </w:p>
  <w:p w14:paraId="716703D9">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DFC4">
    <w:pPr>
      <w:pStyle w:val="26"/>
      <w:jc w:val="right"/>
    </w:pPr>
    <w:r>
      <w:rPr>
        <w:sz w:val="18"/>
      </w:rP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B84F46D">
                <w:pPr>
                  <w:pStyle w:val="26"/>
                </w:pPr>
                <w:r>
                  <w:fldChar w:fldCharType="begin"/>
                </w:r>
                <w:r>
                  <w:instrText xml:space="preserve"> PAGE  \* MERGEFORMAT </w:instrText>
                </w:r>
                <w:r>
                  <w:fldChar w:fldCharType="separate"/>
                </w:r>
                <w:r>
                  <w:t>7</w:t>
                </w:r>
                <w:r>
                  <w:fldChar w:fldCharType="end"/>
                </w:r>
              </w:p>
            </w:txbxContent>
          </v:textbox>
        </v:shape>
      </w:pict>
    </w:r>
  </w:p>
  <w:p w14:paraId="646B53B8">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BFA342A">
      <w:pPr>
        <w:pStyle w:val="31"/>
      </w:pPr>
      <w:r>
        <w:rPr>
          <w:rStyle w:val="47"/>
        </w:rPr>
        <w:footnoteRef/>
      </w:r>
      <w:r>
        <w:rPr>
          <w:rFonts w:hint="eastAsia" w:ascii="仿宋_GB2312" w:hAnsi="宋体" w:eastAsia="仿宋_GB2312"/>
        </w:rPr>
        <w:t>两项净收入=利息净收入+手续费及佣金净收入</w:t>
      </w:r>
    </w:p>
  </w:footnote>
  <w:footnote w:id="1">
    <w:p w14:paraId="6B78F3F6">
      <w:pPr>
        <w:pStyle w:val="31"/>
      </w:pPr>
      <w:r>
        <w:rPr>
          <w:rStyle w:val="47"/>
        </w:rPr>
        <w:footnoteRef/>
      </w:r>
      <w:r>
        <w:rPr>
          <w:rFonts w:hint="eastAsia" w:ascii="仿宋_GB2312" w:hAnsi="宋体" w:eastAsia="仿宋_GB2312"/>
        </w:rPr>
        <w:t>两项净收入=利息净收入+手续费及佣金净收入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B47CB">
    <w:pPr>
      <w:pStyle w:val="27"/>
      <w:jc w:val="right"/>
    </w:pPr>
    <w:r>
      <w:rPr>
        <w:rFonts w:ascii="微软雅黑" w:hAnsi="微软雅黑" w:eastAsia="微软雅黑"/>
      </w:rPr>
      <w:drawing>
        <wp:anchor distT="0" distB="0" distL="114300" distR="114300" simplePos="0" relativeHeight="251660288" behindDoc="0" locked="0" layoutInCell="1" allowOverlap="1">
          <wp:simplePos x="0" y="0"/>
          <wp:positionH relativeFrom="column">
            <wp:posOffset>40005</wp:posOffset>
          </wp:positionH>
          <wp:positionV relativeFrom="paragraph">
            <wp:posOffset>-140335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lang w:eastAsia="zh-CN"/>
      </w:rPr>
      <w:t>嘉兴市预算会计核算教育分中心2025年第一期公款竞争性存放项目</w:t>
    </w:r>
    <w:r>
      <w:rPr>
        <w:rFonts w:hint="eastAsia" w:ascii="微软雅黑" w:hAnsi="微软雅黑" w:eastAsia="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C4E8">
    <w:pPr>
      <w:pStyle w:val="27"/>
      <w:jc w:val="right"/>
    </w:pPr>
    <w:r>
      <w:rPr>
        <w:rFonts w:hint="eastAsia" w:ascii="微软雅黑" w:hAnsi="微软雅黑" w:eastAsia="微软雅黑"/>
        <w:lang w:eastAsia="zh-CN"/>
      </w:rPr>
      <w:t>嘉兴市预算会计核算教育分中心2025年第一期公款竞争性存放项目</w:t>
    </w:r>
    <w:r>
      <w:rPr>
        <w:rFonts w:ascii="微软雅黑" w:hAnsi="微软雅黑" w:eastAsia="微软雅黑"/>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-111760</wp:posOffset>
          </wp:positionV>
          <wp:extent cx="447675" cy="390525"/>
          <wp:effectExtent l="0" t="0" r="9525" b="9525"/>
          <wp:wrapNone/>
          <wp:docPr id="2" name="图片 2"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A24E">
    <w:pPr>
      <w:pStyle w:val="27"/>
      <w:jc w:val="right"/>
    </w:pPr>
    <w:r>
      <w:rPr>
        <w:rFonts w:ascii="微软雅黑" w:hAnsi="微软雅黑" w:eastAsia="微软雅黑"/>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-111760</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lang w:eastAsia="zh-CN"/>
      </w:rPr>
      <w:t>嘉兴市预算会计核算教育分中心2025年第一期公款竞争性存放项目</w:t>
    </w:r>
    <w:r>
      <w:rPr>
        <w:rFonts w:hint="eastAsia" w:ascii="微软雅黑" w:hAnsi="微软雅黑" w:eastAsia="微软雅黑"/>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30"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507EC89"/>
    <w:multiLevelType w:val="singleLevel"/>
    <w:tmpl w:val="A507EC89"/>
    <w:lvl w:ilvl="0" w:tentative="0">
      <w:start w:val="1"/>
      <w:numFmt w:val="chineseCounting"/>
      <w:suff w:val="nothing"/>
      <w:lvlText w:val="%1、"/>
      <w:lvlJc w:val="left"/>
      <w:pPr>
        <w:ind w:left="0" w:firstLine="420"/>
      </w:pPr>
      <w:rPr>
        <w:rFonts w:hint="eastAsia"/>
      </w:rPr>
    </w:lvl>
  </w:abstractNum>
  <w:abstractNum w:abstractNumId="5">
    <w:nsid w:val="B3C48481"/>
    <w:multiLevelType w:val="multilevel"/>
    <w:tmpl w:val="B3C4848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6">
    <w:nsid w:val="C30591CF"/>
    <w:multiLevelType w:val="singleLevel"/>
    <w:tmpl w:val="C30591CF"/>
    <w:lvl w:ilvl="0" w:tentative="0">
      <w:start w:val="1"/>
      <w:numFmt w:val="decimal"/>
      <w:lvlText w:val="(%1)"/>
      <w:lvlJc w:val="left"/>
      <w:pPr>
        <w:ind w:left="425" w:hanging="425"/>
      </w:pPr>
      <w:rPr>
        <w:rFonts w:hint="default"/>
      </w:rPr>
    </w:lvl>
  </w:abstractNum>
  <w:abstractNum w:abstractNumId="7">
    <w:nsid w:val="C70EAB13"/>
    <w:multiLevelType w:val="singleLevel"/>
    <w:tmpl w:val="C70EAB13"/>
    <w:lvl w:ilvl="0" w:tentative="0">
      <w:start w:val="1"/>
      <w:numFmt w:val="decimal"/>
      <w:lvlText w:val="%1."/>
      <w:lvlJc w:val="left"/>
      <w:pPr>
        <w:ind w:left="425" w:hanging="425"/>
      </w:pPr>
      <w:rPr>
        <w:rFonts w:hint="default"/>
      </w:rPr>
    </w:lvl>
  </w:abstractNum>
  <w:abstractNum w:abstractNumId="8">
    <w:nsid w:val="CBE9ACB4"/>
    <w:multiLevelType w:val="singleLevel"/>
    <w:tmpl w:val="CBE9ACB4"/>
    <w:lvl w:ilvl="0" w:tentative="0">
      <w:start w:val="1"/>
      <w:numFmt w:val="decimal"/>
      <w:lvlText w:val="%1."/>
      <w:lvlJc w:val="left"/>
      <w:pPr>
        <w:ind w:left="425" w:hanging="425"/>
      </w:pPr>
      <w:rPr>
        <w:rFonts w:hint="default"/>
      </w:rPr>
    </w:lvl>
  </w:abstractNum>
  <w:abstractNum w:abstractNumId="9">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D8B03D13"/>
    <w:multiLevelType w:val="singleLevel"/>
    <w:tmpl w:val="D8B03D13"/>
    <w:lvl w:ilvl="0" w:tentative="0">
      <w:start w:val="1"/>
      <w:numFmt w:val="decimal"/>
      <w:lvlText w:val="%1."/>
      <w:lvlJc w:val="left"/>
      <w:pPr>
        <w:ind w:left="425" w:hanging="425"/>
      </w:pPr>
      <w:rPr>
        <w:rFonts w:hint="default"/>
      </w:rPr>
    </w:lvl>
  </w:abstractNum>
  <w:abstractNum w:abstractNumId="11">
    <w:nsid w:val="E3E6BB85"/>
    <w:multiLevelType w:val="singleLevel"/>
    <w:tmpl w:val="E3E6BB85"/>
    <w:lvl w:ilvl="0" w:tentative="0">
      <w:start w:val="1"/>
      <w:numFmt w:val="decimal"/>
      <w:lvlText w:val="%1."/>
      <w:lvlJc w:val="left"/>
      <w:pPr>
        <w:ind w:left="425" w:hanging="425"/>
      </w:pPr>
      <w:rPr>
        <w:rFonts w:hint="default"/>
      </w:rPr>
    </w:lvl>
  </w:abstractNum>
  <w:abstractNum w:abstractNumId="12">
    <w:nsid w:val="E475F1C9"/>
    <w:multiLevelType w:val="singleLevel"/>
    <w:tmpl w:val="E475F1C9"/>
    <w:lvl w:ilvl="0" w:tentative="0">
      <w:start w:val="1"/>
      <w:numFmt w:val="decimal"/>
      <w:lvlText w:val="%1."/>
      <w:lvlJc w:val="left"/>
      <w:pPr>
        <w:ind w:left="425" w:hanging="425"/>
      </w:pPr>
      <w:rPr>
        <w:rFonts w:hint="default"/>
      </w:rPr>
    </w:lvl>
  </w:abstractNum>
  <w:abstractNum w:abstractNumId="13">
    <w:nsid w:val="F921381C"/>
    <w:multiLevelType w:val="singleLevel"/>
    <w:tmpl w:val="F921381C"/>
    <w:lvl w:ilvl="0" w:tentative="0">
      <w:start w:val="1"/>
      <w:numFmt w:val="decimal"/>
      <w:lvlText w:val="%1."/>
      <w:lvlJc w:val="left"/>
      <w:pPr>
        <w:ind w:left="425" w:hanging="425"/>
      </w:pPr>
      <w:rPr>
        <w:rFonts w:hint="default"/>
      </w:rPr>
    </w:lvl>
  </w:abstractNum>
  <w:abstractNum w:abstractNumId="14">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5">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6">
    <w:nsid w:val="06EB1DDD"/>
    <w:multiLevelType w:val="multilevel"/>
    <w:tmpl w:val="06EB1DDD"/>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decimal"/>
      <w:lvlText w:val="%3、"/>
      <w:lvlJc w:val="left"/>
      <w:pPr>
        <w:ind w:left="1680" w:hanging="360"/>
      </w:pPr>
      <w:rPr>
        <w:rFonts w:hint="default"/>
        <w:b/>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24B05D3"/>
    <w:multiLevelType w:val="multilevel"/>
    <w:tmpl w:val="124B05D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15550E12"/>
    <w:multiLevelType w:val="multilevel"/>
    <w:tmpl w:val="15550E12"/>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1ED9D2B8"/>
    <w:multiLevelType w:val="singleLevel"/>
    <w:tmpl w:val="1ED9D2B8"/>
    <w:lvl w:ilvl="0" w:tentative="0">
      <w:start w:val="1"/>
      <w:numFmt w:val="decimal"/>
      <w:lvlText w:val="%1."/>
      <w:lvlJc w:val="left"/>
      <w:pPr>
        <w:ind w:left="425" w:hanging="425"/>
      </w:pPr>
      <w:rPr>
        <w:rFonts w:hint="default"/>
      </w:rPr>
    </w:lvl>
  </w:abstractNum>
  <w:abstractNum w:abstractNumId="20">
    <w:nsid w:val="20FC13BD"/>
    <w:multiLevelType w:val="singleLevel"/>
    <w:tmpl w:val="20FC13BD"/>
    <w:lvl w:ilvl="0" w:tentative="0">
      <w:start w:val="1"/>
      <w:numFmt w:val="decimal"/>
      <w:lvlText w:val="%1."/>
      <w:lvlJc w:val="left"/>
      <w:pPr>
        <w:ind w:left="425" w:hanging="425"/>
      </w:pPr>
      <w:rPr>
        <w:rFonts w:hint="default"/>
      </w:rPr>
    </w:lvl>
  </w:abstractNum>
  <w:abstractNum w:abstractNumId="21">
    <w:nsid w:val="28F7E069"/>
    <w:multiLevelType w:val="singleLevel"/>
    <w:tmpl w:val="28F7E069"/>
    <w:lvl w:ilvl="0" w:tentative="0">
      <w:start w:val="1"/>
      <w:numFmt w:val="decimal"/>
      <w:lvlText w:val="%1."/>
      <w:lvlJc w:val="left"/>
      <w:pPr>
        <w:ind w:left="425" w:hanging="425"/>
      </w:pPr>
      <w:rPr>
        <w:rFonts w:hint="default"/>
      </w:rPr>
    </w:lvl>
  </w:abstractNum>
  <w:abstractNum w:abstractNumId="22">
    <w:nsid w:val="33223C95"/>
    <w:multiLevelType w:val="singleLevel"/>
    <w:tmpl w:val="33223C95"/>
    <w:lvl w:ilvl="0" w:tentative="0">
      <w:start w:val="1"/>
      <w:numFmt w:val="decimal"/>
      <w:lvlText w:val="%1."/>
      <w:lvlJc w:val="left"/>
      <w:pPr>
        <w:ind w:left="425" w:hanging="425"/>
      </w:pPr>
      <w:rPr>
        <w:rFonts w:hint="default"/>
      </w:rPr>
    </w:lvl>
  </w:abstractNum>
  <w:abstractNum w:abstractNumId="23">
    <w:nsid w:val="3F1E1AB5"/>
    <w:multiLevelType w:val="multilevel"/>
    <w:tmpl w:val="3F1E1AB5"/>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447A3BDD"/>
    <w:multiLevelType w:val="multilevel"/>
    <w:tmpl w:val="447A3BD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AB99E77"/>
    <w:multiLevelType w:val="singleLevel"/>
    <w:tmpl w:val="4AB99E77"/>
    <w:lvl w:ilvl="0" w:tentative="0">
      <w:start w:val="1"/>
      <w:numFmt w:val="chineseCounting"/>
      <w:suff w:val="nothing"/>
      <w:lvlText w:val="（%1）"/>
      <w:lvlJc w:val="left"/>
      <w:pPr>
        <w:ind w:left="0" w:firstLine="420"/>
      </w:pPr>
      <w:rPr>
        <w:rFonts w:hint="eastAsia"/>
      </w:rPr>
    </w:lvl>
  </w:abstractNum>
  <w:abstractNum w:abstractNumId="27">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1F93B0"/>
    <w:multiLevelType w:val="singleLevel"/>
    <w:tmpl w:val="501F93B0"/>
    <w:lvl w:ilvl="0" w:tentative="0">
      <w:start w:val="1"/>
      <w:numFmt w:val="chineseCounting"/>
      <w:suff w:val="nothing"/>
      <w:lvlText w:val="%1、"/>
      <w:lvlJc w:val="left"/>
      <w:pPr>
        <w:ind w:left="0" w:firstLine="420"/>
      </w:pPr>
      <w:rPr>
        <w:rFonts w:hint="eastAsia"/>
      </w:rPr>
    </w:lvl>
  </w:abstractNum>
  <w:abstractNum w:abstractNumId="29">
    <w:nsid w:val="50B63D14"/>
    <w:multiLevelType w:val="singleLevel"/>
    <w:tmpl w:val="50B63D14"/>
    <w:lvl w:ilvl="0" w:tentative="0">
      <w:start w:val="1"/>
      <w:numFmt w:val="chineseCounting"/>
      <w:suff w:val="nothing"/>
      <w:lvlText w:val="（%1）"/>
      <w:lvlJc w:val="left"/>
      <w:pPr>
        <w:ind w:left="0" w:firstLine="420"/>
      </w:pPr>
      <w:rPr>
        <w:rFonts w:hint="eastAsia"/>
      </w:rPr>
    </w:lvl>
  </w:abstractNum>
  <w:abstractNum w:abstractNumId="30">
    <w:nsid w:val="625A00BB"/>
    <w:multiLevelType w:val="singleLevel"/>
    <w:tmpl w:val="625A00BB"/>
    <w:lvl w:ilvl="0" w:tentative="0">
      <w:start w:val="1"/>
      <w:numFmt w:val="decimal"/>
      <w:lvlText w:val="%1."/>
      <w:lvlJc w:val="left"/>
      <w:pPr>
        <w:ind w:left="425" w:hanging="425"/>
      </w:pPr>
      <w:rPr>
        <w:rFonts w:hint="default"/>
      </w:rPr>
    </w:lvl>
  </w:abstractNum>
  <w:abstractNum w:abstractNumId="31">
    <w:nsid w:val="63EEBE5E"/>
    <w:multiLevelType w:val="singleLevel"/>
    <w:tmpl w:val="63EEBE5E"/>
    <w:lvl w:ilvl="0" w:tentative="0">
      <w:start w:val="1"/>
      <w:numFmt w:val="decimal"/>
      <w:lvlText w:val="%1."/>
      <w:lvlJc w:val="left"/>
      <w:pPr>
        <w:ind w:left="425" w:hanging="425"/>
      </w:pPr>
      <w:rPr>
        <w:rFonts w:hint="default"/>
      </w:rPr>
    </w:lvl>
  </w:abstractNum>
  <w:abstractNum w:abstractNumId="32">
    <w:nsid w:val="64AF6AD6"/>
    <w:multiLevelType w:val="multilevel"/>
    <w:tmpl w:val="64AF6AD6"/>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3">
    <w:nsid w:val="6C36139C"/>
    <w:multiLevelType w:val="multilevel"/>
    <w:tmpl w:val="6C36139C"/>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4">
    <w:nsid w:val="6D8C2D0B"/>
    <w:multiLevelType w:val="singleLevel"/>
    <w:tmpl w:val="6D8C2D0B"/>
    <w:lvl w:ilvl="0" w:tentative="0">
      <w:start w:val="1"/>
      <w:numFmt w:val="chineseCounting"/>
      <w:suff w:val="nothing"/>
      <w:lvlText w:val="%1、"/>
      <w:lvlJc w:val="left"/>
      <w:pPr>
        <w:ind w:left="6" w:firstLine="420"/>
      </w:pPr>
      <w:rPr>
        <w:rFonts w:hint="eastAsia"/>
      </w:rPr>
    </w:lvl>
  </w:abstractNum>
  <w:abstractNum w:abstractNumId="35">
    <w:nsid w:val="72306386"/>
    <w:multiLevelType w:val="multilevel"/>
    <w:tmpl w:val="72306386"/>
    <w:lvl w:ilvl="0" w:tentative="0">
      <w:start w:val="1"/>
      <w:numFmt w:val="decimal"/>
      <w:lvlText w:val="%1."/>
      <w:lvlJc w:val="left"/>
      <w:pPr>
        <w:ind w:left="864" w:hanging="440"/>
      </w:pPr>
    </w:lvl>
    <w:lvl w:ilvl="1" w:tentative="0">
      <w:start w:val="1"/>
      <w:numFmt w:val="lowerLetter"/>
      <w:lvlText w:val="%2)"/>
      <w:lvlJc w:val="left"/>
      <w:pPr>
        <w:ind w:left="1304" w:hanging="440"/>
      </w:pPr>
    </w:lvl>
    <w:lvl w:ilvl="2" w:tentative="0">
      <w:start w:val="1"/>
      <w:numFmt w:val="decimal"/>
      <w:lvlText w:val="%3."/>
      <w:lvlJc w:val="lef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5"/>
  </w:num>
  <w:num w:numId="2">
    <w:abstractNumId w:val="14"/>
  </w:num>
  <w:num w:numId="3">
    <w:abstractNumId w:val="9"/>
  </w:num>
  <w:num w:numId="4">
    <w:abstractNumId w:val="34"/>
    <w:lvlOverride w:ilvl="0">
      <w:startOverride w:val="1"/>
    </w:lvlOverride>
  </w:num>
  <w:num w:numId="5">
    <w:abstractNumId w:val="30"/>
    <w:lvlOverride w:ilvl="0">
      <w:startOverride w:val="1"/>
    </w:lvlOverride>
  </w:num>
  <w:num w:numId="6">
    <w:abstractNumId w:val="15"/>
  </w:num>
  <w:num w:numId="7">
    <w:abstractNumId w:val="4"/>
  </w:num>
  <w:num w:numId="8">
    <w:abstractNumId w:val="16"/>
  </w:num>
  <w:num w:numId="9">
    <w:abstractNumId w:val="35"/>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0"/>
  </w:num>
  <w:num w:numId="15">
    <w:abstractNumId w:val="10"/>
  </w:num>
  <w:num w:numId="16">
    <w:abstractNumId w:val="3"/>
  </w:num>
  <w:num w:numId="17">
    <w:abstractNumId w:val="0"/>
  </w:num>
  <w:num w:numId="18">
    <w:abstractNumId w:val="19"/>
  </w:num>
  <w:num w:numId="19">
    <w:abstractNumId w:val="12"/>
  </w:num>
  <w:num w:numId="20">
    <w:abstractNumId w:val="7"/>
  </w:num>
  <w:num w:numId="21">
    <w:abstractNumId w:val="13"/>
  </w:num>
  <w:num w:numId="22">
    <w:abstractNumId w:val="21"/>
  </w:num>
  <w:num w:numId="23">
    <w:abstractNumId w:val="8"/>
  </w:num>
  <w:num w:numId="24">
    <w:abstractNumId w:val="1"/>
  </w:num>
  <w:num w:numId="25">
    <w:abstractNumId w:val="27"/>
  </w:num>
  <w:num w:numId="26">
    <w:abstractNumId w:val="2"/>
  </w:num>
  <w:num w:numId="27">
    <w:abstractNumId w:val="6"/>
  </w:num>
  <w:num w:numId="28">
    <w:abstractNumId w:val="25"/>
  </w:num>
  <w:num w:numId="29">
    <w:abstractNumId w:val="26"/>
  </w:num>
  <w:num w:numId="30">
    <w:abstractNumId w:val="23"/>
  </w:num>
  <w:num w:numId="31">
    <w:abstractNumId w:val="32"/>
  </w:num>
  <w:num w:numId="32">
    <w:abstractNumId w:val="17"/>
  </w:num>
  <w:num w:numId="33">
    <w:abstractNumId w:val="22"/>
  </w:num>
  <w:num w:numId="34">
    <w:abstractNumId w:val="29"/>
  </w:num>
  <w:num w:numId="35">
    <w:abstractNumId w:val="18"/>
  </w:num>
  <w:num w:numId="36">
    <w:abstractNumId w:val="33"/>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lMTYyNTAxYWM3MWI0NzliODIyODNmMjdmN2NhNGEifQ=="/>
  </w:docVars>
  <w:rsids>
    <w:rsidRoot w:val="006D32D0"/>
    <w:rsid w:val="0000149B"/>
    <w:rsid w:val="00002187"/>
    <w:rsid w:val="000051C2"/>
    <w:rsid w:val="000065F1"/>
    <w:rsid w:val="00007C69"/>
    <w:rsid w:val="00010B5D"/>
    <w:rsid w:val="00032136"/>
    <w:rsid w:val="00032330"/>
    <w:rsid w:val="0003290F"/>
    <w:rsid w:val="00033AF5"/>
    <w:rsid w:val="000340B0"/>
    <w:rsid w:val="00035DC4"/>
    <w:rsid w:val="0003635C"/>
    <w:rsid w:val="000404F9"/>
    <w:rsid w:val="00040BF8"/>
    <w:rsid w:val="0004175F"/>
    <w:rsid w:val="00042F14"/>
    <w:rsid w:val="0004567D"/>
    <w:rsid w:val="00045DDF"/>
    <w:rsid w:val="0004709D"/>
    <w:rsid w:val="000473C1"/>
    <w:rsid w:val="0005248B"/>
    <w:rsid w:val="0005510C"/>
    <w:rsid w:val="00060249"/>
    <w:rsid w:val="00062D91"/>
    <w:rsid w:val="0006419B"/>
    <w:rsid w:val="00064479"/>
    <w:rsid w:val="00064C8B"/>
    <w:rsid w:val="00066145"/>
    <w:rsid w:val="00066D2F"/>
    <w:rsid w:val="000735A5"/>
    <w:rsid w:val="00074098"/>
    <w:rsid w:val="000836B9"/>
    <w:rsid w:val="00084351"/>
    <w:rsid w:val="0008614C"/>
    <w:rsid w:val="00090918"/>
    <w:rsid w:val="000921D0"/>
    <w:rsid w:val="0009344E"/>
    <w:rsid w:val="00094BA1"/>
    <w:rsid w:val="00094D78"/>
    <w:rsid w:val="000A0BEA"/>
    <w:rsid w:val="000A1815"/>
    <w:rsid w:val="000A4E02"/>
    <w:rsid w:val="000A5D97"/>
    <w:rsid w:val="000A6662"/>
    <w:rsid w:val="000A6A55"/>
    <w:rsid w:val="000B1CD8"/>
    <w:rsid w:val="000B22BA"/>
    <w:rsid w:val="000B247C"/>
    <w:rsid w:val="000B5037"/>
    <w:rsid w:val="000C2093"/>
    <w:rsid w:val="000C55F1"/>
    <w:rsid w:val="000D035E"/>
    <w:rsid w:val="000D1C0F"/>
    <w:rsid w:val="000D24D2"/>
    <w:rsid w:val="000D2952"/>
    <w:rsid w:val="000D4249"/>
    <w:rsid w:val="000D534C"/>
    <w:rsid w:val="000D65E1"/>
    <w:rsid w:val="000D7229"/>
    <w:rsid w:val="000D75AF"/>
    <w:rsid w:val="000D7889"/>
    <w:rsid w:val="000E05F4"/>
    <w:rsid w:val="000E397D"/>
    <w:rsid w:val="000E5A3A"/>
    <w:rsid w:val="000E6F76"/>
    <w:rsid w:val="000F098A"/>
    <w:rsid w:val="000F0A09"/>
    <w:rsid w:val="000F0D6E"/>
    <w:rsid w:val="000F1452"/>
    <w:rsid w:val="000F2893"/>
    <w:rsid w:val="000F43EA"/>
    <w:rsid w:val="000F5654"/>
    <w:rsid w:val="000F6E21"/>
    <w:rsid w:val="00101C48"/>
    <w:rsid w:val="001056F1"/>
    <w:rsid w:val="001057E0"/>
    <w:rsid w:val="00105AC7"/>
    <w:rsid w:val="001060E9"/>
    <w:rsid w:val="001079C8"/>
    <w:rsid w:val="00107F10"/>
    <w:rsid w:val="00110D44"/>
    <w:rsid w:val="00114500"/>
    <w:rsid w:val="00114950"/>
    <w:rsid w:val="00117387"/>
    <w:rsid w:val="00117A31"/>
    <w:rsid w:val="001201EC"/>
    <w:rsid w:val="00123B7A"/>
    <w:rsid w:val="001243B9"/>
    <w:rsid w:val="001245B7"/>
    <w:rsid w:val="00125657"/>
    <w:rsid w:val="00125918"/>
    <w:rsid w:val="00127FD6"/>
    <w:rsid w:val="00131C36"/>
    <w:rsid w:val="00131C61"/>
    <w:rsid w:val="00132299"/>
    <w:rsid w:val="00140425"/>
    <w:rsid w:val="00140AD3"/>
    <w:rsid w:val="00145218"/>
    <w:rsid w:val="00145E62"/>
    <w:rsid w:val="001468EB"/>
    <w:rsid w:val="00147046"/>
    <w:rsid w:val="001471F8"/>
    <w:rsid w:val="001503F0"/>
    <w:rsid w:val="001505CF"/>
    <w:rsid w:val="00157908"/>
    <w:rsid w:val="0016134D"/>
    <w:rsid w:val="00165526"/>
    <w:rsid w:val="00170430"/>
    <w:rsid w:val="001748E9"/>
    <w:rsid w:val="001751BB"/>
    <w:rsid w:val="0017756B"/>
    <w:rsid w:val="001801CA"/>
    <w:rsid w:val="00181F89"/>
    <w:rsid w:val="001833E8"/>
    <w:rsid w:val="00183931"/>
    <w:rsid w:val="001847A4"/>
    <w:rsid w:val="00184C36"/>
    <w:rsid w:val="00185423"/>
    <w:rsid w:val="001854B7"/>
    <w:rsid w:val="0018586C"/>
    <w:rsid w:val="00185D73"/>
    <w:rsid w:val="001863B9"/>
    <w:rsid w:val="00186659"/>
    <w:rsid w:val="001918FE"/>
    <w:rsid w:val="00194B51"/>
    <w:rsid w:val="001960DB"/>
    <w:rsid w:val="00196806"/>
    <w:rsid w:val="001A2156"/>
    <w:rsid w:val="001A44BF"/>
    <w:rsid w:val="001A458C"/>
    <w:rsid w:val="001A4D36"/>
    <w:rsid w:val="001B2018"/>
    <w:rsid w:val="001B2199"/>
    <w:rsid w:val="001B38FB"/>
    <w:rsid w:val="001C322D"/>
    <w:rsid w:val="001C3377"/>
    <w:rsid w:val="001C41AC"/>
    <w:rsid w:val="001C5A61"/>
    <w:rsid w:val="001D43B3"/>
    <w:rsid w:val="001D61A6"/>
    <w:rsid w:val="001D70E3"/>
    <w:rsid w:val="001D7238"/>
    <w:rsid w:val="001E267F"/>
    <w:rsid w:val="001E3319"/>
    <w:rsid w:val="001E43D3"/>
    <w:rsid w:val="001E4FDD"/>
    <w:rsid w:val="001E501D"/>
    <w:rsid w:val="001E742D"/>
    <w:rsid w:val="001F2D80"/>
    <w:rsid w:val="001F3842"/>
    <w:rsid w:val="001F5226"/>
    <w:rsid w:val="001F5B88"/>
    <w:rsid w:val="002004F1"/>
    <w:rsid w:val="00202A3D"/>
    <w:rsid w:val="00203727"/>
    <w:rsid w:val="0020382C"/>
    <w:rsid w:val="00204830"/>
    <w:rsid w:val="00204D20"/>
    <w:rsid w:val="00210717"/>
    <w:rsid w:val="00211EFD"/>
    <w:rsid w:val="00213211"/>
    <w:rsid w:val="00213D91"/>
    <w:rsid w:val="00216398"/>
    <w:rsid w:val="00220968"/>
    <w:rsid w:val="0022105D"/>
    <w:rsid w:val="002216B9"/>
    <w:rsid w:val="00222FA3"/>
    <w:rsid w:val="0023142B"/>
    <w:rsid w:val="00234CAB"/>
    <w:rsid w:val="00241039"/>
    <w:rsid w:val="00250FA4"/>
    <w:rsid w:val="00252A9E"/>
    <w:rsid w:val="0025375C"/>
    <w:rsid w:val="002540AA"/>
    <w:rsid w:val="00254BA3"/>
    <w:rsid w:val="00255AB5"/>
    <w:rsid w:val="00256B16"/>
    <w:rsid w:val="00270EA8"/>
    <w:rsid w:val="00274D05"/>
    <w:rsid w:val="00275554"/>
    <w:rsid w:val="0027666B"/>
    <w:rsid w:val="002769E4"/>
    <w:rsid w:val="00281BCE"/>
    <w:rsid w:val="00281C0F"/>
    <w:rsid w:val="0028537B"/>
    <w:rsid w:val="002916F7"/>
    <w:rsid w:val="00292409"/>
    <w:rsid w:val="00294474"/>
    <w:rsid w:val="002946CB"/>
    <w:rsid w:val="00294CA1"/>
    <w:rsid w:val="00295B9C"/>
    <w:rsid w:val="002961E9"/>
    <w:rsid w:val="00297560"/>
    <w:rsid w:val="0029773B"/>
    <w:rsid w:val="002A101B"/>
    <w:rsid w:val="002A140D"/>
    <w:rsid w:val="002A1B05"/>
    <w:rsid w:val="002A65E3"/>
    <w:rsid w:val="002A67E0"/>
    <w:rsid w:val="002A7611"/>
    <w:rsid w:val="002B13F2"/>
    <w:rsid w:val="002B1C4B"/>
    <w:rsid w:val="002B3865"/>
    <w:rsid w:val="002B3FBD"/>
    <w:rsid w:val="002B5D62"/>
    <w:rsid w:val="002C1ECB"/>
    <w:rsid w:val="002C2298"/>
    <w:rsid w:val="002C275B"/>
    <w:rsid w:val="002C308C"/>
    <w:rsid w:val="002C3E0D"/>
    <w:rsid w:val="002C4073"/>
    <w:rsid w:val="002C6D45"/>
    <w:rsid w:val="002C7403"/>
    <w:rsid w:val="002C7710"/>
    <w:rsid w:val="002C787B"/>
    <w:rsid w:val="002D1F59"/>
    <w:rsid w:val="002D351B"/>
    <w:rsid w:val="002E1852"/>
    <w:rsid w:val="002E1DDD"/>
    <w:rsid w:val="002E3F9D"/>
    <w:rsid w:val="002E6B60"/>
    <w:rsid w:val="002E71C6"/>
    <w:rsid w:val="002E7C55"/>
    <w:rsid w:val="002F3A43"/>
    <w:rsid w:val="002F43FD"/>
    <w:rsid w:val="002F669F"/>
    <w:rsid w:val="00300B33"/>
    <w:rsid w:val="00301B1D"/>
    <w:rsid w:val="00303856"/>
    <w:rsid w:val="003047BC"/>
    <w:rsid w:val="003052E2"/>
    <w:rsid w:val="00307346"/>
    <w:rsid w:val="00310C3D"/>
    <w:rsid w:val="003129C0"/>
    <w:rsid w:val="00313090"/>
    <w:rsid w:val="003134D8"/>
    <w:rsid w:val="003152F9"/>
    <w:rsid w:val="0031684D"/>
    <w:rsid w:val="0031764A"/>
    <w:rsid w:val="00320941"/>
    <w:rsid w:val="003220FE"/>
    <w:rsid w:val="003230DE"/>
    <w:rsid w:val="0032333C"/>
    <w:rsid w:val="00323A82"/>
    <w:rsid w:val="003244E9"/>
    <w:rsid w:val="003249B2"/>
    <w:rsid w:val="00325EB4"/>
    <w:rsid w:val="003304DD"/>
    <w:rsid w:val="00332680"/>
    <w:rsid w:val="00332AF9"/>
    <w:rsid w:val="00333CC4"/>
    <w:rsid w:val="00335394"/>
    <w:rsid w:val="00335C29"/>
    <w:rsid w:val="003370F9"/>
    <w:rsid w:val="0033766F"/>
    <w:rsid w:val="003378A7"/>
    <w:rsid w:val="00341BA8"/>
    <w:rsid w:val="00342F53"/>
    <w:rsid w:val="00343867"/>
    <w:rsid w:val="00343D17"/>
    <w:rsid w:val="00350ADB"/>
    <w:rsid w:val="003541DB"/>
    <w:rsid w:val="003569B9"/>
    <w:rsid w:val="00362814"/>
    <w:rsid w:val="003653CE"/>
    <w:rsid w:val="003656D3"/>
    <w:rsid w:val="003663D0"/>
    <w:rsid w:val="00366CB7"/>
    <w:rsid w:val="00367E9D"/>
    <w:rsid w:val="00370A05"/>
    <w:rsid w:val="00370B95"/>
    <w:rsid w:val="0037695B"/>
    <w:rsid w:val="003810F2"/>
    <w:rsid w:val="003817EE"/>
    <w:rsid w:val="003821B3"/>
    <w:rsid w:val="003837FB"/>
    <w:rsid w:val="0038487E"/>
    <w:rsid w:val="003859E1"/>
    <w:rsid w:val="00387485"/>
    <w:rsid w:val="0039052B"/>
    <w:rsid w:val="00391A89"/>
    <w:rsid w:val="00391EC3"/>
    <w:rsid w:val="00393D13"/>
    <w:rsid w:val="003A055B"/>
    <w:rsid w:val="003A0FAF"/>
    <w:rsid w:val="003A10C9"/>
    <w:rsid w:val="003A392B"/>
    <w:rsid w:val="003A3A73"/>
    <w:rsid w:val="003A3A91"/>
    <w:rsid w:val="003A431C"/>
    <w:rsid w:val="003A4598"/>
    <w:rsid w:val="003A5554"/>
    <w:rsid w:val="003A5B70"/>
    <w:rsid w:val="003A7015"/>
    <w:rsid w:val="003B13F3"/>
    <w:rsid w:val="003B17AE"/>
    <w:rsid w:val="003B1DAC"/>
    <w:rsid w:val="003B1F7A"/>
    <w:rsid w:val="003B38AB"/>
    <w:rsid w:val="003B38EC"/>
    <w:rsid w:val="003B4FE8"/>
    <w:rsid w:val="003B6C49"/>
    <w:rsid w:val="003B7C77"/>
    <w:rsid w:val="003C037D"/>
    <w:rsid w:val="003C44D2"/>
    <w:rsid w:val="003C4E1B"/>
    <w:rsid w:val="003C51C5"/>
    <w:rsid w:val="003C751D"/>
    <w:rsid w:val="003D4CFD"/>
    <w:rsid w:val="003D4EB3"/>
    <w:rsid w:val="003E4629"/>
    <w:rsid w:val="003E4BB3"/>
    <w:rsid w:val="003E5BCD"/>
    <w:rsid w:val="003F02D4"/>
    <w:rsid w:val="003F0AD2"/>
    <w:rsid w:val="003F0B62"/>
    <w:rsid w:val="003F1149"/>
    <w:rsid w:val="003F1A76"/>
    <w:rsid w:val="003F2E01"/>
    <w:rsid w:val="003F6F7E"/>
    <w:rsid w:val="0040111A"/>
    <w:rsid w:val="004014D9"/>
    <w:rsid w:val="00403072"/>
    <w:rsid w:val="00404D63"/>
    <w:rsid w:val="00404F87"/>
    <w:rsid w:val="0040785F"/>
    <w:rsid w:val="00411236"/>
    <w:rsid w:val="0041311C"/>
    <w:rsid w:val="00414336"/>
    <w:rsid w:val="00420D76"/>
    <w:rsid w:val="00421C99"/>
    <w:rsid w:val="00424445"/>
    <w:rsid w:val="00427437"/>
    <w:rsid w:val="004276FB"/>
    <w:rsid w:val="004339AC"/>
    <w:rsid w:val="00436AA2"/>
    <w:rsid w:val="004371BD"/>
    <w:rsid w:val="004419EC"/>
    <w:rsid w:val="00443B43"/>
    <w:rsid w:val="0044527E"/>
    <w:rsid w:val="004453EC"/>
    <w:rsid w:val="004459E5"/>
    <w:rsid w:val="00451D2D"/>
    <w:rsid w:val="0045599C"/>
    <w:rsid w:val="00456E25"/>
    <w:rsid w:val="00462AFB"/>
    <w:rsid w:val="00463063"/>
    <w:rsid w:val="00463712"/>
    <w:rsid w:val="00465C3A"/>
    <w:rsid w:val="004664B1"/>
    <w:rsid w:val="00471F75"/>
    <w:rsid w:val="0047268E"/>
    <w:rsid w:val="004758DE"/>
    <w:rsid w:val="00475C75"/>
    <w:rsid w:val="00480D38"/>
    <w:rsid w:val="004817E3"/>
    <w:rsid w:val="00481C8D"/>
    <w:rsid w:val="004821E2"/>
    <w:rsid w:val="00482292"/>
    <w:rsid w:val="00483404"/>
    <w:rsid w:val="0048387D"/>
    <w:rsid w:val="0048754D"/>
    <w:rsid w:val="004875B1"/>
    <w:rsid w:val="00492233"/>
    <w:rsid w:val="0049417E"/>
    <w:rsid w:val="00495121"/>
    <w:rsid w:val="004A0631"/>
    <w:rsid w:val="004A42F3"/>
    <w:rsid w:val="004A5F67"/>
    <w:rsid w:val="004A6F9B"/>
    <w:rsid w:val="004B1955"/>
    <w:rsid w:val="004B25CE"/>
    <w:rsid w:val="004B34D0"/>
    <w:rsid w:val="004B36AB"/>
    <w:rsid w:val="004B3ADA"/>
    <w:rsid w:val="004B507B"/>
    <w:rsid w:val="004B5326"/>
    <w:rsid w:val="004B6921"/>
    <w:rsid w:val="004B69DF"/>
    <w:rsid w:val="004B6FE7"/>
    <w:rsid w:val="004B7197"/>
    <w:rsid w:val="004C3B84"/>
    <w:rsid w:val="004C61D2"/>
    <w:rsid w:val="004D0E4C"/>
    <w:rsid w:val="004D1FFA"/>
    <w:rsid w:val="004D7AFD"/>
    <w:rsid w:val="004E0814"/>
    <w:rsid w:val="004E1215"/>
    <w:rsid w:val="004E281A"/>
    <w:rsid w:val="004E4047"/>
    <w:rsid w:val="004E5E82"/>
    <w:rsid w:val="004E6021"/>
    <w:rsid w:val="004E616C"/>
    <w:rsid w:val="004E6935"/>
    <w:rsid w:val="004E7C59"/>
    <w:rsid w:val="004F01B2"/>
    <w:rsid w:val="004F3816"/>
    <w:rsid w:val="004F39DB"/>
    <w:rsid w:val="004F49E5"/>
    <w:rsid w:val="005007A1"/>
    <w:rsid w:val="0050091B"/>
    <w:rsid w:val="0050191D"/>
    <w:rsid w:val="005032AF"/>
    <w:rsid w:val="00504E0B"/>
    <w:rsid w:val="0050517A"/>
    <w:rsid w:val="00506BC0"/>
    <w:rsid w:val="00507B2A"/>
    <w:rsid w:val="00512B3D"/>
    <w:rsid w:val="00512E6A"/>
    <w:rsid w:val="00513065"/>
    <w:rsid w:val="0051396A"/>
    <w:rsid w:val="00515811"/>
    <w:rsid w:val="00515E25"/>
    <w:rsid w:val="0051627E"/>
    <w:rsid w:val="0051785A"/>
    <w:rsid w:val="00517AEF"/>
    <w:rsid w:val="0052424D"/>
    <w:rsid w:val="00526423"/>
    <w:rsid w:val="00527AC2"/>
    <w:rsid w:val="0053389A"/>
    <w:rsid w:val="00534533"/>
    <w:rsid w:val="00534E6C"/>
    <w:rsid w:val="00536D24"/>
    <w:rsid w:val="00544442"/>
    <w:rsid w:val="00545380"/>
    <w:rsid w:val="00547833"/>
    <w:rsid w:val="00550AD4"/>
    <w:rsid w:val="00551CA0"/>
    <w:rsid w:val="00551FC0"/>
    <w:rsid w:val="00552157"/>
    <w:rsid w:val="0055430C"/>
    <w:rsid w:val="00554760"/>
    <w:rsid w:val="0055494A"/>
    <w:rsid w:val="005618C4"/>
    <w:rsid w:val="005626ED"/>
    <w:rsid w:val="00563944"/>
    <w:rsid w:val="00564A80"/>
    <w:rsid w:val="00572F6F"/>
    <w:rsid w:val="005740FF"/>
    <w:rsid w:val="00574645"/>
    <w:rsid w:val="0057624F"/>
    <w:rsid w:val="00577856"/>
    <w:rsid w:val="0058012F"/>
    <w:rsid w:val="005801F1"/>
    <w:rsid w:val="005801FF"/>
    <w:rsid w:val="005809C4"/>
    <w:rsid w:val="00581156"/>
    <w:rsid w:val="00581187"/>
    <w:rsid w:val="005844B5"/>
    <w:rsid w:val="005851B1"/>
    <w:rsid w:val="005900DF"/>
    <w:rsid w:val="00590118"/>
    <w:rsid w:val="00590363"/>
    <w:rsid w:val="00590425"/>
    <w:rsid w:val="005907AF"/>
    <w:rsid w:val="005925D6"/>
    <w:rsid w:val="00593CA8"/>
    <w:rsid w:val="00594BAF"/>
    <w:rsid w:val="00595253"/>
    <w:rsid w:val="00596F4B"/>
    <w:rsid w:val="005A0C14"/>
    <w:rsid w:val="005A3364"/>
    <w:rsid w:val="005A4CB9"/>
    <w:rsid w:val="005A5BB6"/>
    <w:rsid w:val="005B157D"/>
    <w:rsid w:val="005B1ACC"/>
    <w:rsid w:val="005B2D93"/>
    <w:rsid w:val="005B4A6A"/>
    <w:rsid w:val="005B7064"/>
    <w:rsid w:val="005C05FC"/>
    <w:rsid w:val="005C1820"/>
    <w:rsid w:val="005D02E7"/>
    <w:rsid w:val="005D375C"/>
    <w:rsid w:val="005D4E08"/>
    <w:rsid w:val="005D5215"/>
    <w:rsid w:val="005D644B"/>
    <w:rsid w:val="005D6AFC"/>
    <w:rsid w:val="005E178E"/>
    <w:rsid w:val="005E1BEB"/>
    <w:rsid w:val="005E24A0"/>
    <w:rsid w:val="005E60B6"/>
    <w:rsid w:val="005F054C"/>
    <w:rsid w:val="005F0978"/>
    <w:rsid w:val="005F1CA0"/>
    <w:rsid w:val="005F3A48"/>
    <w:rsid w:val="005F4EAF"/>
    <w:rsid w:val="005F5691"/>
    <w:rsid w:val="005F6004"/>
    <w:rsid w:val="005F6541"/>
    <w:rsid w:val="005F6D0A"/>
    <w:rsid w:val="005F6E59"/>
    <w:rsid w:val="00600194"/>
    <w:rsid w:val="00602167"/>
    <w:rsid w:val="00606D07"/>
    <w:rsid w:val="006117BF"/>
    <w:rsid w:val="0061323C"/>
    <w:rsid w:val="00614D5B"/>
    <w:rsid w:val="0061569F"/>
    <w:rsid w:val="00622644"/>
    <w:rsid w:val="00623932"/>
    <w:rsid w:val="0062397E"/>
    <w:rsid w:val="00626127"/>
    <w:rsid w:val="006309BB"/>
    <w:rsid w:val="0063364B"/>
    <w:rsid w:val="00634B7C"/>
    <w:rsid w:val="00634BB3"/>
    <w:rsid w:val="00634DFC"/>
    <w:rsid w:val="00634FA5"/>
    <w:rsid w:val="006366F5"/>
    <w:rsid w:val="00643307"/>
    <w:rsid w:val="00647C0A"/>
    <w:rsid w:val="00650E5D"/>
    <w:rsid w:val="006529AA"/>
    <w:rsid w:val="00652A8C"/>
    <w:rsid w:val="00656014"/>
    <w:rsid w:val="00656C48"/>
    <w:rsid w:val="00661B6E"/>
    <w:rsid w:val="0066657B"/>
    <w:rsid w:val="00667A3C"/>
    <w:rsid w:val="006701E2"/>
    <w:rsid w:val="00670D47"/>
    <w:rsid w:val="00672199"/>
    <w:rsid w:val="00672370"/>
    <w:rsid w:val="00673348"/>
    <w:rsid w:val="0067437C"/>
    <w:rsid w:val="0067722C"/>
    <w:rsid w:val="00682075"/>
    <w:rsid w:val="006852E5"/>
    <w:rsid w:val="0068547D"/>
    <w:rsid w:val="00685FCE"/>
    <w:rsid w:val="0068603A"/>
    <w:rsid w:val="006866D2"/>
    <w:rsid w:val="006866FD"/>
    <w:rsid w:val="00686F15"/>
    <w:rsid w:val="00690C3C"/>
    <w:rsid w:val="006926F2"/>
    <w:rsid w:val="006933F0"/>
    <w:rsid w:val="00693531"/>
    <w:rsid w:val="006A0905"/>
    <w:rsid w:val="006A11D1"/>
    <w:rsid w:val="006A140B"/>
    <w:rsid w:val="006A1645"/>
    <w:rsid w:val="006A3515"/>
    <w:rsid w:val="006A4105"/>
    <w:rsid w:val="006A5564"/>
    <w:rsid w:val="006B127C"/>
    <w:rsid w:val="006B3AC0"/>
    <w:rsid w:val="006B3E12"/>
    <w:rsid w:val="006B677E"/>
    <w:rsid w:val="006B7861"/>
    <w:rsid w:val="006C2084"/>
    <w:rsid w:val="006C30CC"/>
    <w:rsid w:val="006C3FFF"/>
    <w:rsid w:val="006C7C4D"/>
    <w:rsid w:val="006D0D3F"/>
    <w:rsid w:val="006D0EDC"/>
    <w:rsid w:val="006D20E2"/>
    <w:rsid w:val="006D2281"/>
    <w:rsid w:val="006D303C"/>
    <w:rsid w:val="006D32D0"/>
    <w:rsid w:val="006D5C1B"/>
    <w:rsid w:val="006D682E"/>
    <w:rsid w:val="006D7758"/>
    <w:rsid w:val="006D7B64"/>
    <w:rsid w:val="006E3D96"/>
    <w:rsid w:val="006E655C"/>
    <w:rsid w:val="006E6F42"/>
    <w:rsid w:val="006E7EFA"/>
    <w:rsid w:val="006F0DC0"/>
    <w:rsid w:val="006F0DDB"/>
    <w:rsid w:val="006F61E5"/>
    <w:rsid w:val="006F6649"/>
    <w:rsid w:val="00700168"/>
    <w:rsid w:val="00700337"/>
    <w:rsid w:val="00701328"/>
    <w:rsid w:val="007023B0"/>
    <w:rsid w:val="00702A6C"/>
    <w:rsid w:val="00703CBD"/>
    <w:rsid w:val="00704782"/>
    <w:rsid w:val="00704A60"/>
    <w:rsid w:val="0071017C"/>
    <w:rsid w:val="007122FE"/>
    <w:rsid w:val="00712750"/>
    <w:rsid w:val="007146EB"/>
    <w:rsid w:val="007164E1"/>
    <w:rsid w:val="00721009"/>
    <w:rsid w:val="007229CB"/>
    <w:rsid w:val="007232E9"/>
    <w:rsid w:val="00723AE7"/>
    <w:rsid w:val="00724A67"/>
    <w:rsid w:val="0072571B"/>
    <w:rsid w:val="00725835"/>
    <w:rsid w:val="00732D70"/>
    <w:rsid w:val="00733CA5"/>
    <w:rsid w:val="007354F1"/>
    <w:rsid w:val="007360C3"/>
    <w:rsid w:val="00736B3E"/>
    <w:rsid w:val="00737BF1"/>
    <w:rsid w:val="00740696"/>
    <w:rsid w:val="007425D7"/>
    <w:rsid w:val="007449B4"/>
    <w:rsid w:val="007456AC"/>
    <w:rsid w:val="007508A5"/>
    <w:rsid w:val="00753B19"/>
    <w:rsid w:val="00756AAF"/>
    <w:rsid w:val="00761E68"/>
    <w:rsid w:val="007620A2"/>
    <w:rsid w:val="007620AE"/>
    <w:rsid w:val="00764F31"/>
    <w:rsid w:val="00766242"/>
    <w:rsid w:val="007676B8"/>
    <w:rsid w:val="00774EBF"/>
    <w:rsid w:val="00776351"/>
    <w:rsid w:val="00783106"/>
    <w:rsid w:val="00785F39"/>
    <w:rsid w:val="007867AF"/>
    <w:rsid w:val="00790628"/>
    <w:rsid w:val="00790CDC"/>
    <w:rsid w:val="00791C57"/>
    <w:rsid w:val="00792559"/>
    <w:rsid w:val="00795A01"/>
    <w:rsid w:val="00795A6D"/>
    <w:rsid w:val="00795CB0"/>
    <w:rsid w:val="007967FA"/>
    <w:rsid w:val="00797A2C"/>
    <w:rsid w:val="007A06CA"/>
    <w:rsid w:val="007A425A"/>
    <w:rsid w:val="007A6409"/>
    <w:rsid w:val="007A6AC2"/>
    <w:rsid w:val="007B2875"/>
    <w:rsid w:val="007B2DC7"/>
    <w:rsid w:val="007B64C8"/>
    <w:rsid w:val="007C0512"/>
    <w:rsid w:val="007C415F"/>
    <w:rsid w:val="007C7F85"/>
    <w:rsid w:val="007D0136"/>
    <w:rsid w:val="007D44FA"/>
    <w:rsid w:val="007D4DB5"/>
    <w:rsid w:val="007E00E2"/>
    <w:rsid w:val="007E2BEB"/>
    <w:rsid w:val="007E4852"/>
    <w:rsid w:val="007E4CD0"/>
    <w:rsid w:val="007E6283"/>
    <w:rsid w:val="007F0D61"/>
    <w:rsid w:val="007F0EC6"/>
    <w:rsid w:val="007F3ECD"/>
    <w:rsid w:val="007F45C2"/>
    <w:rsid w:val="007F4F3D"/>
    <w:rsid w:val="007F67FB"/>
    <w:rsid w:val="007F68ED"/>
    <w:rsid w:val="007F7339"/>
    <w:rsid w:val="007F742C"/>
    <w:rsid w:val="00801244"/>
    <w:rsid w:val="00803C0D"/>
    <w:rsid w:val="0080446D"/>
    <w:rsid w:val="00806ACF"/>
    <w:rsid w:val="008100C6"/>
    <w:rsid w:val="00812909"/>
    <w:rsid w:val="00812C05"/>
    <w:rsid w:val="0082343A"/>
    <w:rsid w:val="00831841"/>
    <w:rsid w:val="008327AC"/>
    <w:rsid w:val="008357E4"/>
    <w:rsid w:val="008366C3"/>
    <w:rsid w:val="00847816"/>
    <w:rsid w:val="00852EC8"/>
    <w:rsid w:val="00854D92"/>
    <w:rsid w:val="00854F3E"/>
    <w:rsid w:val="00856F02"/>
    <w:rsid w:val="00857DFC"/>
    <w:rsid w:val="00860663"/>
    <w:rsid w:val="0086332D"/>
    <w:rsid w:val="00864435"/>
    <w:rsid w:val="0086484B"/>
    <w:rsid w:val="0086550E"/>
    <w:rsid w:val="0086641A"/>
    <w:rsid w:val="00866EFC"/>
    <w:rsid w:val="00867D88"/>
    <w:rsid w:val="008716E7"/>
    <w:rsid w:val="00874997"/>
    <w:rsid w:val="00874D24"/>
    <w:rsid w:val="00874F69"/>
    <w:rsid w:val="0088020F"/>
    <w:rsid w:val="0088061A"/>
    <w:rsid w:val="008870F8"/>
    <w:rsid w:val="00887FDA"/>
    <w:rsid w:val="00896F56"/>
    <w:rsid w:val="008971B1"/>
    <w:rsid w:val="008A2C33"/>
    <w:rsid w:val="008A2FC0"/>
    <w:rsid w:val="008A5298"/>
    <w:rsid w:val="008A55B9"/>
    <w:rsid w:val="008A6C1E"/>
    <w:rsid w:val="008B0D56"/>
    <w:rsid w:val="008B3B03"/>
    <w:rsid w:val="008B4EFD"/>
    <w:rsid w:val="008B5467"/>
    <w:rsid w:val="008B6BFD"/>
    <w:rsid w:val="008C2388"/>
    <w:rsid w:val="008C2D0C"/>
    <w:rsid w:val="008C2E8E"/>
    <w:rsid w:val="008C65CB"/>
    <w:rsid w:val="008C7370"/>
    <w:rsid w:val="008D1281"/>
    <w:rsid w:val="008D2D34"/>
    <w:rsid w:val="008D35FA"/>
    <w:rsid w:val="008D36FA"/>
    <w:rsid w:val="008D39D2"/>
    <w:rsid w:val="008D3E3E"/>
    <w:rsid w:val="008D5663"/>
    <w:rsid w:val="008E0C59"/>
    <w:rsid w:val="008E0ED1"/>
    <w:rsid w:val="008E1C2B"/>
    <w:rsid w:val="008E28CF"/>
    <w:rsid w:val="008E47DB"/>
    <w:rsid w:val="008E6978"/>
    <w:rsid w:val="008F20F0"/>
    <w:rsid w:val="008F2B98"/>
    <w:rsid w:val="008F4087"/>
    <w:rsid w:val="008F46A3"/>
    <w:rsid w:val="008F49C2"/>
    <w:rsid w:val="008F4A57"/>
    <w:rsid w:val="008F4D0F"/>
    <w:rsid w:val="008F66D0"/>
    <w:rsid w:val="008F7784"/>
    <w:rsid w:val="00901304"/>
    <w:rsid w:val="00903844"/>
    <w:rsid w:val="00903F9C"/>
    <w:rsid w:val="009044B0"/>
    <w:rsid w:val="00904D2E"/>
    <w:rsid w:val="009056D3"/>
    <w:rsid w:val="00905D11"/>
    <w:rsid w:val="0090603C"/>
    <w:rsid w:val="009060F7"/>
    <w:rsid w:val="00906C67"/>
    <w:rsid w:val="00914CC3"/>
    <w:rsid w:val="00916043"/>
    <w:rsid w:val="009161FD"/>
    <w:rsid w:val="009174B1"/>
    <w:rsid w:val="009201F2"/>
    <w:rsid w:val="00921573"/>
    <w:rsid w:val="00922573"/>
    <w:rsid w:val="00922A22"/>
    <w:rsid w:val="00923F1A"/>
    <w:rsid w:val="00925E0F"/>
    <w:rsid w:val="00932620"/>
    <w:rsid w:val="00934B49"/>
    <w:rsid w:val="00935CEB"/>
    <w:rsid w:val="0093745C"/>
    <w:rsid w:val="00937C7A"/>
    <w:rsid w:val="00937F8C"/>
    <w:rsid w:val="00943D44"/>
    <w:rsid w:val="00943EAF"/>
    <w:rsid w:val="00951466"/>
    <w:rsid w:val="00951FC1"/>
    <w:rsid w:val="00954C23"/>
    <w:rsid w:val="009550F9"/>
    <w:rsid w:val="00956736"/>
    <w:rsid w:val="00957843"/>
    <w:rsid w:val="009626B1"/>
    <w:rsid w:val="00962F88"/>
    <w:rsid w:val="00963E35"/>
    <w:rsid w:val="00965B4B"/>
    <w:rsid w:val="009660F2"/>
    <w:rsid w:val="00966EA4"/>
    <w:rsid w:val="00967BF9"/>
    <w:rsid w:val="00970AA6"/>
    <w:rsid w:val="00970FAF"/>
    <w:rsid w:val="00980F45"/>
    <w:rsid w:val="00981290"/>
    <w:rsid w:val="009815CD"/>
    <w:rsid w:val="00982145"/>
    <w:rsid w:val="0098294A"/>
    <w:rsid w:val="009869DC"/>
    <w:rsid w:val="00987268"/>
    <w:rsid w:val="009872ED"/>
    <w:rsid w:val="00993B8E"/>
    <w:rsid w:val="00995505"/>
    <w:rsid w:val="009A0AC8"/>
    <w:rsid w:val="009A3070"/>
    <w:rsid w:val="009A3C40"/>
    <w:rsid w:val="009A433E"/>
    <w:rsid w:val="009A5AC3"/>
    <w:rsid w:val="009A6073"/>
    <w:rsid w:val="009B078E"/>
    <w:rsid w:val="009B4DFD"/>
    <w:rsid w:val="009B4E27"/>
    <w:rsid w:val="009C0A28"/>
    <w:rsid w:val="009C0E09"/>
    <w:rsid w:val="009C3192"/>
    <w:rsid w:val="009C43BC"/>
    <w:rsid w:val="009C5A08"/>
    <w:rsid w:val="009C60A3"/>
    <w:rsid w:val="009C6B43"/>
    <w:rsid w:val="009C6DD3"/>
    <w:rsid w:val="009C7B4A"/>
    <w:rsid w:val="009D1D00"/>
    <w:rsid w:val="009D44DD"/>
    <w:rsid w:val="009D4F41"/>
    <w:rsid w:val="009D645B"/>
    <w:rsid w:val="009E013B"/>
    <w:rsid w:val="009E3B5B"/>
    <w:rsid w:val="009E401C"/>
    <w:rsid w:val="009E7692"/>
    <w:rsid w:val="009F0C5A"/>
    <w:rsid w:val="009F20D1"/>
    <w:rsid w:val="009F3C9A"/>
    <w:rsid w:val="009F4E83"/>
    <w:rsid w:val="009F4EB4"/>
    <w:rsid w:val="009F5178"/>
    <w:rsid w:val="009F5949"/>
    <w:rsid w:val="009F6187"/>
    <w:rsid w:val="00A0234E"/>
    <w:rsid w:val="00A02436"/>
    <w:rsid w:val="00A06B49"/>
    <w:rsid w:val="00A06EF0"/>
    <w:rsid w:val="00A10E2A"/>
    <w:rsid w:val="00A13DAA"/>
    <w:rsid w:val="00A15178"/>
    <w:rsid w:val="00A15CBD"/>
    <w:rsid w:val="00A15D0F"/>
    <w:rsid w:val="00A2068C"/>
    <w:rsid w:val="00A24877"/>
    <w:rsid w:val="00A3041E"/>
    <w:rsid w:val="00A31018"/>
    <w:rsid w:val="00A35374"/>
    <w:rsid w:val="00A404C9"/>
    <w:rsid w:val="00A4571D"/>
    <w:rsid w:val="00A46AF6"/>
    <w:rsid w:val="00A5049F"/>
    <w:rsid w:val="00A51BD1"/>
    <w:rsid w:val="00A529B3"/>
    <w:rsid w:val="00A54EB7"/>
    <w:rsid w:val="00A56D27"/>
    <w:rsid w:val="00A578BB"/>
    <w:rsid w:val="00A60222"/>
    <w:rsid w:val="00A607B7"/>
    <w:rsid w:val="00A636C6"/>
    <w:rsid w:val="00A652AB"/>
    <w:rsid w:val="00A655FF"/>
    <w:rsid w:val="00A657F6"/>
    <w:rsid w:val="00A65B72"/>
    <w:rsid w:val="00A66691"/>
    <w:rsid w:val="00A71F86"/>
    <w:rsid w:val="00A741C2"/>
    <w:rsid w:val="00A751D5"/>
    <w:rsid w:val="00A81426"/>
    <w:rsid w:val="00A82B9E"/>
    <w:rsid w:val="00A837C2"/>
    <w:rsid w:val="00A842D3"/>
    <w:rsid w:val="00A8472E"/>
    <w:rsid w:val="00A8513D"/>
    <w:rsid w:val="00A921AC"/>
    <w:rsid w:val="00A942A0"/>
    <w:rsid w:val="00A94458"/>
    <w:rsid w:val="00A9521A"/>
    <w:rsid w:val="00A978EC"/>
    <w:rsid w:val="00AA0194"/>
    <w:rsid w:val="00AA19CB"/>
    <w:rsid w:val="00AA208A"/>
    <w:rsid w:val="00AA2A03"/>
    <w:rsid w:val="00AA3AA8"/>
    <w:rsid w:val="00AA63E4"/>
    <w:rsid w:val="00AA6B7A"/>
    <w:rsid w:val="00AA6F7C"/>
    <w:rsid w:val="00AA719B"/>
    <w:rsid w:val="00AB13A6"/>
    <w:rsid w:val="00AB1DAF"/>
    <w:rsid w:val="00AB215B"/>
    <w:rsid w:val="00AB48F0"/>
    <w:rsid w:val="00AB4F49"/>
    <w:rsid w:val="00AB6318"/>
    <w:rsid w:val="00AB6B50"/>
    <w:rsid w:val="00AB6B79"/>
    <w:rsid w:val="00AC4CC0"/>
    <w:rsid w:val="00AC532B"/>
    <w:rsid w:val="00AC5A04"/>
    <w:rsid w:val="00AC6065"/>
    <w:rsid w:val="00AC687F"/>
    <w:rsid w:val="00AC6DDC"/>
    <w:rsid w:val="00AC7D45"/>
    <w:rsid w:val="00AD0848"/>
    <w:rsid w:val="00AD25BF"/>
    <w:rsid w:val="00AD5271"/>
    <w:rsid w:val="00AE0192"/>
    <w:rsid w:val="00AE0309"/>
    <w:rsid w:val="00AE1605"/>
    <w:rsid w:val="00AE6673"/>
    <w:rsid w:val="00AE6A1C"/>
    <w:rsid w:val="00AF1398"/>
    <w:rsid w:val="00AF1A2B"/>
    <w:rsid w:val="00AF1B1E"/>
    <w:rsid w:val="00AF4873"/>
    <w:rsid w:val="00AF794B"/>
    <w:rsid w:val="00B016F1"/>
    <w:rsid w:val="00B05CD0"/>
    <w:rsid w:val="00B06D8B"/>
    <w:rsid w:val="00B10432"/>
    <w:rsid w:val="00B10B0E"/>
    <w:rsid w:val="00B11776"/>
    <w:rsid w:val="00B11ACD"/>
    <w:rsid w:val="00B17CAF"/>
    <w:rsid w:val="00B211F0"/>
    <w:rsid w:val="00B21890"/>
    <w:rsid w:val="00B21A4B"/>
    <w:rsid w:val="00B25864"/>
    <w:rsid w:val="00B25BDB"/>
    <w:rsid w:val="00B2766C"/>
    <w:rsid w:val="00B339CB"/>
    <w:rsid w:val="00B36DD6"/>
    <w:rsid w:val="00B410E3"/>
    <w:rsid w:val="00B43608"/>
    <w:rsid w:val="00B44CAB"/>
    <w:rsid w:val="00B4692B"/>
    <w:rsid w:val="00B47C09"/>
    <w:rsid w:val="00B52DBD"/>
    <w:rsid w:val="00B52ECD"/>
    <w:rsid w:val="00B559A9"/>
    <w:rsid w:val="00B70354"/>
    <w:rsid w:val="00B757AD"/>
    <w:rsid w:val="00B75806"/>
    <w:rsid w:val="00B770AE"/>
    <w:rsid w:val="00B770DC"/>
    <w:rsid w:val="00B81E91"/>
    <w:rsid w:val="00B834C2"/>
    <w:rsid w:val="00B83694"/>
    <w:rsid w:val="00B90F35"/>
    <w:rsid w:val="00B917BF"/>
    <w:rsid w:val="00B924F4"/>
    <w:rsid w:val="00B936DB"/>
    <w:rsid w:val="00B950AB"/>
    <w:rsid w:val="00B96203"/>
    <w:rsid w:val="00B97265"/>
    <w:rsid w:val="00BA2987"/>
    <w:rsid w:val="00BA2FB2"/>
    <w:rsid w:val="00BA7996"/>
    <w:rsid w:val="00BB0215"/>
    <w:rsid w:val="00BB0876"/>
    <w:rsid w:val="00BB316E"/>
    <w:rsid w:val="00BC044A"/>
    <w:rsid w:val="00BC0C15"/>
    <w:rsid w:val="00BC205E"/>
    <w:rsid w:val="00BC2BBB"/>
    <w:rsid w:val="00BC39BB"/>
    <w:rsid w:val="00BC51AF"/>
    <w:rsid w:val="00BC6EA0"/>
    <w:rsid w:val="00BD131D"/>
    <w:rsid w:val="00BD3138"/>
    <w:rsid w:val="00BD5DD4"/>
    <w:rsid w:val="00BD7F35"/>
    <w:rsid w:val="00BE28CC"/>
    <w:rsid w:val="00BE3541"/>
    <w:rsid w:val="00BE68CD"/>
    <w:rsid w:val="00BE693B"/>
    <w:rsid w:val="00BF01CB"/>
    <w:rsid w:val="00BF0C2F"/>
    <w:rsid w:val="00BF2835"/>
    <w:rsid w:val="00BF6B29"/>
    <w:rsid w:val="00C02B55"/>
    <w:rsid w:val="00C037C0"/>
    <w:rsid w:val="00C04FF1"/>
    <w:rsid w:val="00C10A2B"/>
    <w:rsid w:val="00C10B23"/>
    <w:rsid w:val="00C11B87"/>
    <w:rsid w:val="00C11D67"/>
    <w:rsid w:val="00C132A1"/>
    <w:rsid w:val="00C1440C"/>
    <w:rsid w:val="00C14CAA"/>
    <w:rsid w:val="00C152BB"/>
    <w:rsid w:val="00C156DF"/>
    <w:rsid w:val="00C15871"/>
    <w:rsid w:val="00C1773C"/>
    <w:rsid w:val="00C17F2B"/>
    <w:rsid w:val="00C21A42"/>
    <w:rsid w:val="00C248A8"/>
    <w:rsid w:val="00C26389"/>
    <w:rsid w:val="00C27E69"/>
    <w:rsid w:val="00C3165E"/>
    <w:rsid w:val="00C31A8F"/>
    <w:rsid w:val="00C33390"/>
    <w:rsid w:val="00C33929"/>
    <w:rsid w:val="00C33D64"/>
    <w:rsid w:val="00C3514A"/>
    <w:rsid w:val="00C35A47"/>
    <w:rsid w:val="00C37439"/>
    <w:rsid w:val="00C4104B"/>
    <w:rsid w:val="00C438A3"/>
    <w:rsid w:val="00C46854"/>
    <w:rsid w:val="00C4773F"/>
    <w:rsid w:val="00C50B2E"/>
    <w:rsid w:val="00C5284B"/>
    <w:rsid w:val="00C53C2C"/>
    <w:rsid w:val="00C555B9"/>
    <w:rsid w:val="00C56297"/>
    <w:rsid w:val="00C566A7"/>
    <w:rsid w:val="00C60A3F"/>
    <w:rsid w:val="00C60BDC"/>
    <w:rsid w:val="00C60CF7"/>
    <w:rsid w:val="00C6498C"/>
    <w:rsid w:val="00C655A6"/>
    <w:rsid w:val="00C65853"/>
    <w:rsid w:val="00C675BF"/>
    <w:rsid w:val="00C67E41"/>
    <w:rsid w:val="00C73E10"/>
    <w:rsid w:val="00C77619"/>
    <w:rsid w:val="00C81949"/>
    <w:rsid w:val="00C81E62"/>
    <w:rsid w:val="00C8251E"/>
    <w:rsid w:val="00C82BD7"/>
    <w:rsid w:val="00C84092"/>
    <w:rsid w:val="00C86192"/>
    <w:rsid w:val="00C87FF6"/>
    <w:rsid w:val="00C905D2"/>
    <w:rsid w:val="00C91486"/>
    <w:rsid w:val="00C915CE"/>
    <w:rsid w:val="00C9467E"/>
    <w:rsid w:val="00CA025F"/>
    <w:rsid w:val="00CA031D"/>
    <w:rsid w:val="00CA0755"/>
    <w:rsid w:val="00CA1130"/>
    <w:rsid w:val="00CA3180"/>
    <w:rsid w:val="00CA3BB8"/>
    <w:rsid w:val="00CA4FF1"/>
    <w:rsid w:val="00CA587B"/>
    <w:rsid w:val="00CA643E"/>
    <w:rsid w:val="00CA686B"/>
    <w:rsid w:val="00CB4334"/>
    <w:rsid w:val="00CB4894"/>
    <w:rsid w:val="00CB4E97"/>
    <w:rsid w:val="00CB593A"/>
    <w:rsid w:val="00CC09DD"/>
    <w:rsid w:val="00CC1A7D"/>
    <w:rsid w:val="00CC5778"/>
    <w:rsid w:val="00CC6DF9"/>
    <w:rsid w:val="00CC78FC"/>
    <w:rsid w:val="00CD238D"/>
    <w:rsid w:val="00CD3FB5"/>
    <w:rsid w:val="00CD4A81"/>
    <w:rsid w:val="00CD616F"/>
    <w:rsid w:val="00CE4CC0"/>
    <w:rsid w:val="00CE7880"/>
    <w:rsid w:val="00CE7ECE"/>
    <w:rsid w:val="00CF0C2D"/>
    <w:rsid w:val="00CF13B3"/>
    <w:rsid w:val="00CF444F"/>
    <w:rsid w:val="00CF5A34"/>
    <w:rsid w:val="00CF7883"/>
    <w:rsid w:val="00CF7A0E"/>
    <w:rsid w:val="00D00669"/>
    <w:rsid w:val="00D00F62"/>
    <w:rsid w:val="00D024B5"/>
    <w:rsid w:val="00D02B53"/>
    <w:rsid w:val="00D05FB7"/>
    <w:rsid w:val="00D062D6"/>
    <w:rsid w:val="00D069B3"/>
    <w:rsid w:val="00D0749B"/>
    <w:rsid w:val="00D11007"/>
    <w:rsid w:val="00D13564"/>
    <w:rsid w:val="00D143FE"/>
    <w:rsid w:val="00D153D2"/>
    <w:rsid w:val="00D15D6E"/>
    <w:rsid w:val="00D16591"/>
    <w:rsid w:val="00D165A9"/>
    <w:rsid w:val="00D16B15"/>
    <w:rsid w:val="00D16B53"/>
    <w:rsid w:val="00D17447"/>
    <w:rsid w:val="00D21B89"/>
    <w:rsid w:val="00D22774"/>
    <w:rsid w:val="00D22B2D"/>
    <w:rsid w:val="00D22C8C"/>
    <w:rsid w:val="00D239C8"/>
    <w:rsid w:val="00D2516F"/>
    <w:rsid w:val="00D30C33"/>
    <w:rsid w:val="00D311EC"/>
    <w:rsid w:val="00D31D19"/>
    <w:rsid w:val="00D3224E"/>
    <w:rsid w:val="00D4334C"/>
    <w:rsid w:val="00D43DA8"/>
    <w:rsid w:val="00D45D27"/>
    <w:rsid w:val="00D47283"/>
    <w:rsid w:val="00D47559"/>
    <w:rsid w:val="00D47664"/>
    <w:rsid w:val="00D51231"/>
    <w:rsid w:val="00D51C96"/>
    <w:rsid w:val="00D5228C"/>
    <w:rsid w:val="00D52318"/>
    <w:rsid w:val="00D5343D"/>
    <w:rsid w:val="00D53FEE"/>
    <w:rsid w:val="00D56F05"/>
    <w:rsid w:val="00D5764B"/>
    <w:rsid w:val="00D57986"/>
    <w:rsid w:val="00D61AC6"/>
    <w:rsid w:val="00D67287"/>
    <w:rsid w:val="00D673A2"/>
    <w:rsid w:val="00D673C0"/>
    <w:rsid w:val="00D70107"/>
    <w:rsid w:val="00D713A5"/>
    <w:rsid w:val="00D733FF"/>
    <w:rsid w:val="00D765E5"/>
    <w:rsid w:val="00D80423"/>
    <w:rsid w:val="00D8405A"/>
    <w:rsid w:val="00D91800"/>
    <w:rsid w:val="00D91B4C"/>
    <w:rsid w:val="00D91B8C"/>
    <w:rsid w:val="00D92760"/>
    <w:rsid w:val="00D92C2A"/>
    <w:rsid w:val="00D9384C"/>
    <w:rsid w:val="00D93A2D"/>
    <w:rsid w:val="00D94F76"/>
    <w:rsid w:val="00DA5716"/>
    <w:rsid w:val="00DA7633"/>
    <w:rsid w:val="00DA79C0"/>
    <w:rsid w:val="00DA7DAE"/>
    <w:rsid w:val="00DB12E4"/>
    <w:rsid w:val="00DB2C16"/>
    <w:rsid w:val="00DB4027"/>
    <w:rsid w:val="00DB4273"/>
    <w:rsid w:val="00DB42FC"/>
    <w:rsid w:val="00DB7E37"/>
    <w:rsid w:val="00DC4D8A"/>
    <w:rsid w:val="00DC5037"/>
    <w:rsid w:val="00DC7EBB"/>
    <w:rsid w:val="00DD0025"/>
    <w:rsid w:val="00DD1F4A"/>
    <w:rsid w:val="00DD2440"/>
    <w:rsid w:val="00DD2ADD"/>
    <w:rsid w:val="00DD2BA3"/>
    <w:rsid w:val="00DD375F"/>
    <w:rsid w:val="00DD4248"/>
    <w:rsid w:val="00DD5EA9"/>
    <w:rsid w:val="00DD77CF"/>
    <w:rsid w:val="00DE2B43"/>
    <w:rsid w:val="00DE36AD"/>
    <w:rsid w:val="00DE3A07"/>
    <w:rsid w:val="00DE3AD6"/>
    <w:rsid w:val="00DE5559"/>
    <w:rsid w:val="00DE689F"/>
    <w:rsid w:val="00DE68CB"/>
    <w:rsid w:val="00DF2024"/>
    <w:rsid w:val="00DF2093"/>
    <w:rsid w:val="00DF23F9"/>
    <w:rsid w:val="00DF2A69"/>
    <w:rsid w:val="00DF3FF1"/>
    <w:rsid w:val="00DF5644"/>
    <w:rsid w:val="00E0330C"/>
    <w:rsid w:val="00E03626"/>
    <w:rsid w:val="00E1460A"/>
    <w:rsid w:val="00E14BCF"/>
    <w:rsid w:val="00E14F8B"/>
    <w:rsid w:val="00E16E57"/>
    <w:rsid w:val="00E2026F"/>
    <w:rsid w:val="00E21A81"/>
    <w:rsid w:val="00E21B21"/>
    <w:rsid w:val="00E24A79"/>
    <w:rsid w:val="00E24CC8"/>
    <w:rsid w:val="00E25FC4"/>
    <w:rsid w:val="00E26AD7"/>
    <w:rsid w:val="00E271D7"/>
    <w:rsid w:val="00E27F6E"/>
    <w:rsid w:val="00E30409"/>
    <w:rsid w:val="00E314B5"/>
    <w:rsid w:val="00E3220C"/>
    <w:rsid w:val="00E33395"/>
    <w:rsid w:val="00E3444F"/>
    <w:rsid w:val="00E35167"/>
    <w:rsid w:val="00E35A53"/>
    <w:rsid w:val="00E363C4"/>
    <w:rsid w:val="00E37482"/>
    <w:rsid w:val="00E3756C"/>
    <w:rsid w:val="00E44571"/>
    <w:rsid w:val="00E45B63"/>
    <w:rsid w:val="00E46471"/>
    <w:rsid w:val="00E46659"/>
    <w:rsid w:val="00E50BE0"/>
    <w:rsid w:val="00E5150B"/>
    <w:rsid w:val="00E535CE"/>
    <w:rsid w:val="00E53FD6"/>
    <w:rsid w:val="00E56244"/>
    <w:rsid w:val="00E57677"/>
    <w:rsid w:val="00E60D0B"/>
    <w:rsid w:val="00E627F8"/>
    <w:rsid w:val="00E70FB2"/>
    <w:rsid w:val="00E7328D"/>
    <w:rsid w:val="00E77963"/>
    <w:rsid w:val="00E84DAA"/>
    <w:rsid w:val="00E90A0C"/>
    <w:rsid w:val="00E91169"/>
    <w:rsid w:val="00E91851"/>
    <w:rsid w:val="00E91E95"/>
    <w:rsid w:val="00E95E5A"/>
    <w:rsid w:val="00E9758E"/>
    <w:rsid w:val="00EA2DA7"/>
    <w:rsid w:val="00EA4D07"/>
    <w:rsid w:val="00EA5177"/>
    <w:rsid w:val="00EA55E7"/>
    <w:rsid w:val="00EA6EB2"/>
    <w:rsid w:val="00EA70CA"/>
    <w:rsid w:val="00EA7206"/>
    <w:rsid w:val="00EB03EB"/>
    <w:rsid w:val="00EB08E3"/>
    <w:rsid w:val="00EB125E"/>
    <w:rsid w:val="00EB1B59"/>
    <w:rsid w:val="00EB4501"/>
    <w:rsid w:val="00EB62E3"/>
    <w:rsid w:val="00EC170F"/>
    <w:rsid w:val="00EC1900"/>
    <w:rsid w:val="00EC2B5C"/>
    <w:rsid w:val="00EC4174"/>
    <w:rsid w:val="00ED339D"/>
    <w:rsid w:val="00ED3722"/>
    <w:rsid w:val="00ED49CD"/>
    <w:rsid w:val="00ED7D2B"/>
    <w:rsid w:val="00EE0773"/>
    <w:rsid w:val="00EE13A3"/>
    <w:rsid w:val="00EE352F"/>
    <w:rsid w:val="00EE394B"/>
    <w:rsid w:val="00EE3D56"/>
    <w:rsid w:val="00EE6EF3"/>
    <w:rsid w:val="00EE736B"/>
    <w:rsid w:val="00EF1135"/>
    <w:rsid w:val="00EF2411"/>
    <w:rsid w:val="00EF5796"/>
    <w:rsid w:val="00EF73A8"/>
    <w:rsid w:val="00F00954"/>
    <w:rsid w:val="00F06A41"/>
    <w:rsid w:val="00F07DE1"/>
    <w:rsid w:val="00F110FC"/>
    <w:rsid w:val="00F15ADC"/>
    <w:rsid w:val="00F166BE"/>
    <w:rsid w:val="00F17D46"/>
    <w:rsid w:val="00F20677"/>
    <w:rsid w:val="00F20737"/>
    <w:rsid w:val="00F22F68"/>
    <w:rsid w:val="00F23AF0"/>
    <w:rsid w:val="00F24703"/>
    <w:rsid w:val="00F27D75"/>
    <w:rsid w:val="00F300B1"/>
    <w:rsid w:val="00F3254F"/>
    <w:rsid w:val="00F3371D"/>
    <w:rsid w:val="00F33A1C"/>
    <w:rsid w:val="00F35D84"/>
    <w:rsid w:val="00F36398"/>
    <w:rsid w:val="00F37169"/>
    <w:rsid w:val="00F423D1"/>
    <w:rsid w:val="00F44A59"/>
    <w:rsid w:val="00F453E9"/>
    <w:rsid w:val="00F50041"/>
    <w:rsid w:val="00F51787"/>
    <w:rsid w:val="00F5178C"/>
    <w:rsid w:val="00F5223A"/>
    <w:rsid w:val="00F53755"/>
    <w:rsid w:val="00F55B52"/>
    <w:rsid w:val="00F5784A"/>
    <w:rsid w:val="00F601E0"/>
    <w:rsid w:val="00F614DD"/>
    <w:rsid w:val="00F64368"/>
    <w:rsid w:val="00F6446A"/>
    <w:rsid w:val="00F64E99"/>
    <w:rsid w:val="00F654AA"/>
    <w:rsid w:val="00F66134"/>
    <w:rsid w:val="00F66983"/>
    <w:rsid w:val="00F67FB7"/>
    <w:rsid w:val="00F7404A"/>
    <w:rsid w:val="00F7419D"/>
    <w:rsid w:val="00F744F8"/>
    <w:rsid w:val="00F813DE"/>
    <w:rsid w:val="00F84506"/>
    <w:rsid w:val="00F85003"/>
    <w:rsid w:val="00F85EA7"/>
    <w:rsid w:val="00F907ED"/>
    <w:rsid w:val="00F92222"/>
    <w:rsid w:val="00F93AA4"/>
    <w:rsid w:val="00F94DEE"/>
    <w:rsid w:val="00F97856"/>
    <w:rsid w:val="00FA0E8D"/>
    <w:rsid w:val="00FA341B"/>
    <w:rsid w:val="00FA44A7"/>
    <w:rsid w:val="00FA557D"/>
    <w:rsid w:val="00FA7392"/>
    <w:rsid w:val="00FA7C69"/>
    <w:rsid w:val="00FA7D1C"/>
    <w:rsid w:val="00FB6D67"/>
    <w:rsid w:val="00FB71E0"/>
    <w:rsid w:val="00FC59B3"/>
    <w:rsid w:val="00FC6255"/>
    <w:rsid w:val="00FC6310"/>
    <w:rsid w:val="00FC6A96"/>
    <w:rsid w:val="00FD0FCB"/>
    <w:rsid w:val="00FD162C"/>
    <w:rsid w:val="00FD31F8"/>
    <w:rsid w:val="00FD5BC6"/>
    <w:rsid w:val="00FD7AF4"/>
    <w:rsid w:val="00FE2095"/>
    <w:rsid w:val="00FE479D"/>
    <w:rsid w:val="00FE480C"/>
    <w:rsid w:val="00FE58EC"/>
    <w:rsid w:val="00FE7638"/>
    <w:rsid w:val="00FE7EBB"/>
    <w:rsid w:val="00FF3165"/>
    <w:rsid w:val="00FF3312"/>
    <w:rsid w:val="016D5684"/>
    <w:rsid w:val="026A02B6"/>
    <w:rsid w:val="035956B9"/>
    <w:rsid w:val="050D54CE"/>
    <w:rsid w:val="05F56F28"/>
    <w:rsid w:val="08634C14"/>
    <w:rsid w:val="0B50226B"/>
    <w:rsid w:val="0BB1779D"/>
    <w:rsid w:val="0CE41CA8"/>
    <w:rsid w:val="0E1F77AA"/>
    <w:rsid w:val="0F0C791F"/>
    <w:rsid w:val="105E2E5C"/>
    <w:rsid w:val="107866EF"/>
    <w:rsid w:val="179D1E56"/>
    <w:rsid w:val="17C615B8"/>
    <w:rsid w:val="189D1F08"/>
    <w:rsid w:val="1B492A80"/>
    <w:rsid w:val="1BD641A0"/>
    <w:rsid w:val="1C014F97"/>
    <w:rsid w:val="1C156116"/>
    <w:rsid w:val="1C381D54"/>
    <w:rsid w:val="1D904C02"/>
    <w:rsid w:val="1DEA3AA7"/>
    <w:rsid w:val="1E8E65A3"/>
    <w:rsid w:val="20922883"/>
    <w:rsid w:val="20F3330B"/>
    <w:rsid w:val="20FB786C"/>
    <w:rsid w:val="23C036C2"/>
    <w:rsid w:val="24000FEA"/>
    <w:rsid w:val="29720F49"/>
    <w:rsid w:val="2A1F32A0"/>
    <w:rsid w:val="2AB551B1"/>
    <w:rsid w:val="2C7F4733"/>
    <w:rsid w:val="2C9D0974"/>
    <w:rsid w:val="30340008"/>
    <w:rsid w:val="304377D3"/>
    <w:rsid w:val="304E2375"/>
    <w:rsid w:val="308316D9"/>
    <w:rsid w:val="30FF0C3A"/>
    <w:rsid w:val="325727E8"/>
    <w:rsid w:val="33A024C3"/>
    <w:rsid w:val="352D33ED"/>
    <w:rsid w:val="36C07143"/>
    <w:rsid w:val="376E6DEE"/>
    <w:rsid w:val="37CD0A29"/>
    <w:rsid w:val="3AE828BF"/>
    <w:rsid w:val="3C1D3DDD"/>
    <w:rsid w:val="3C221CA5"/>
    <w:rsid w:val="3DDAD2C4"/>
    <w:rsid w:val="3E6B0E07"/>
    <w:rsid w:val="3E6E73AA"/>
    <w:rsid w:val="3F4E0366"/>
    <w:rsid w:val="3F8E34FF"/>
    <w:rsid w:val="40AC1995"/>
    <w:rsid w:val="415B7F74"/>
    <w:rsid w:val="431775F1"/>
    <w:rsid w:val="43466AD7"/>
    <w:rsid w:val="44B3734F"/>
    <w:rsid w:val="44DA134B"/>
    <w:rsid w:val="45156122"/>
    <w:rsid w:val="47515805"/>
    <w:rsid w:val="4AF2617D"/>
    <w:rsid w:val="50213B51"/>
    <w:rsid w:val="5055041F"/>
    <w:rsid w:val="50EE5294"/>
    <w:rsid w:val="51EA55EE"/>
    <w:rsid w:val="538F3E27"/>
    <w:rsid w:val="53BC6465"/>
    <w:rsid w:val="54962724"/>
    <w:rsid w:val="54BA0B8F"/>
    <w:rsid w:val="55703B13"/>
    <w:rsid w:val="572A4DF2"/>
    <w:rsid w:val="57AF0677"/>
    <w:rsid w:val="59552A64"/>
    <w:rsid w:val="59783F01"/>
    <w:rsid w:val="59B51C2E"/>
    <w:rsid w:val="5B8161A6"/>
    <w:rsid w:val="5C3240BE"/>
    <w:rsid w:val="5CE45005"/>
    <w:rsid w:val="5E591C11"/>
    <w:rsid w:val="5E822369"/>
    <w:rsid w:val="5FD34363"/>
    <w:rsid w:val="5FFE1F36"/>
    <w:rsid w:val="60AE14F9"/>
    <w:rsid w:val="61007F33"/>
    <w:rsid w:val="632E2B36"/>
    <w:rsid w:val="639807DA"/>
    <w:rsid w:val="65B37365"/>
    <w:rsid w:val="65FD3508"/>
    <w:rsid w:val="65FE2767"/>
    <w:rsid w:val="664A5D9B"/>
    <w:rsid w:val="69BB58A7"/>
    <w:rsid w:val="6A741527"/>
    <w:rsid w:val="6CF06760"/>
    <w:rsid w:val="6D1C0F9E"/>
    <w:rsid w:val="6EE90259"/>
    <w:rsid w:val="70F5267F"/>
    <w:rsid w:val="712C211A"/>
    <w:rsid w:val="728955C8"/>
    <w:rsid w:val="73F676A0"/>
    <w:rsid w:val="75DC1A46"/>
    <w:rsid w:val="78DF4BA6"/>
    <w:rsid w:val="7AAC28CE"/>
    <w:rsid w:val="7BE02E81"/>
    <w:rsid w:val="7D347A27"/>
    <w:rsid w:val="7D797230"/>
    <w:rsid w:val="7F17C897"/>
    <w:rsid w:val="7F407205"/>
    <w:rsid w:val="7FA00847"/>
    <w:rsid w:val="7FCF5244"/>
    <w:rsid w:val="9ACF0A3A"/>
    <w:rsid w:val="BF7F79AA"/>
    <w:rsid w:val="FBFF4FB7"/>
    <w:rsid w:val="FEBD4D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4">
    <w:name w:val="heading 3"/>
    <w:basedOn w:val="1"/>
    <w:next w:val="5"/>
    <w:link w:val="50"/>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6">
    <w:name w:val="heading 4"/>
    <w:basedOn w:val="1"/>
    <w:next w:val="1"/>
    <w:link w:val="88"/>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link w:val="73"/>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link w:val="57"/>
    <w:qFormat/>
    <w:uiPriority w:val="0"/>
    <w:pPr>
      <w:spacing w:after="120"/>
    </w:pPr>
    <w:rPr>
      <w:sz w:val="28"/>
    </w:rPr>
  </w:style>
  <w:style w:type="paragraph" w:styleId="18">
    <w:name w:val="Body Text Indent"/>
    <w:basedOn w:val="1"/>
    <w:link w:val="56"/>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3"/>
    <w:basedOn w:val="1"/>
    <w:next w:val="1"/>
    <w:qFormat/>
    <w:uiPriority w:val="39"/>
    <w:pPr>
      <w:ind w:left="840" w:leftChars="400"/>
    </w:pPr>
  </w:style>
  <w:style w:type="paragraph" w:styleId="22">
    <w:name w:val="Plain Text"/>
    <w:basedOn w:val="1"/>
    <w:link w:val="53"/>
    <w:qFormat/>
    <w:uiPriority w:val="0"/>
    <w:pPr>
      <w:spacing w:beforeLines="50" w:afterLines="50" w:line="400" w:lineRule="exact"/>
    </w:pPr>
    <w:rPr>
      <w:rFonts w:ascii="宋体" w:hAnsi="Courier New"/>
      <w:sz w:val="24"/>
    </w:rPr>
  </w:style>
  <w:style w:type="paragraph" w:styleId="23">
    <w:name w:val="Date"/>
    <w:basedOn w:val="1"/>
    <w:next w:val="1"/>
    <w:qFormat/>
    <w:uiPriority w:val="0"/>
    <w:pPr>
      <w:ind w:left="2500" w:leftChars="2500"/>
    </w:pPr>
    <w:rPr>
      <w:rFonts w:eastAsia="楷体_GB2312"/>
      <w:sz w:val="32"/>
      <w:szCs w:val="20"/>
    </w:rPr>
  </w:style>
  <w:style w:type="paragraph" w:styleId="24">
    <w:name w:val="Body Text Indent 2"/>
    <w:basedOn w:val="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78"/>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rFonts w:eastAsia="黑体"/>
      <w:snapToGrid w:val="0"/>
      <w:kern w:val="0"/>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0">
    <w:name w:val="List"/>
    <w:basedOn w:val="1"/>
    <w:qFormat/>
    <w:uiPriority w:val="0"/>
    <w:pPr>
      <w:ind w:left="200" w:hanging="200" w:hangingChars="200"/>
    </w:pPr>
    <w:rPr>
      <w:sz w:val="28"/>
    </w:rPr>
  </w:style>
  <w:style w:type="paragraph" w:styleId="31">
    <w:name w:val="footnote text"/>
    <w:basedOn w:val="1"/>
    <w:link w:val="79"/>
    <w:unhideWhenUsed/>
    <w:qFormat/>
    <w:uiPriority w:val="99"/>
    <w:pPr>
      <w:snapToGrid w:val="0"/>
      <w:jc w:val="left"/>
    </w:pPr>
    <w:rPr>
      <w:sz w:val="18"/>
      <w:szCs w:val="18"/>
    </w:rPr>
  </w:style>
  <w:style w:type="paragraph" w:styleId="3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39"/>
    <w:pPr>
      <w:ind w:left="420" w:leftChars="200"/>
    </w:pPr>
  </w:style>
  <w:style w:type="paragraph" w:styleId="34">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8"/>
    <w:qFormat/>
    <w:uiPriority w:val="0"/>
    <w:pPr>
      <w:spacing w:before="240" w:after="60"/>
      <w:jc w:val="center"/>
      <w:outlineLvl w:val="0"/>
    </w:pPr>
    <w:rPr>
      <w:rFonts w:ascii="Cambria" w:hAnsi="Cambria" w:eastAsia="微软雅黑"/>
      <w:b/>
      <w:bCs/>
      <w:sz w:val="32"/>
      <w:szCs w:val="32"/>
    </w:rPr>
  </w:style>
  <w:style w:type="paragraph" w:styleId="37">
    <w:name w:val="annotation subject"/>
    <w:basedOn w:val="15"/>
    <w:next w:val="15"/>
    <w:link w:val="74"/>
    <w:qFormat/>
    <w:uiPriority w:val="0"/>
    <w:rPr>
      <w:b/>
      <w:bCs/>
    </w:rPr>
  </w:style>
  <w:style w:type="paragraph" w:styleId="38">
    <w:name w:val="Body Text First Indent"/>
    <w:basedOn w:val="17"/>
    <w:link w:val="70"/>
    <w:qFormat/>
    <w:uiPriority w:val="0"/>
    <w:pPr>
      <w:ind w:firstLine="420" w:firstLineChars="100"/>
    </w:pPr>
    <w:rPr>
      <w:sz w:val="21"/>
    </w:r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footnote reference"/>
    <w:unhideWhenUsed/>
    <w:qFormat/>
    <w:uiPriority w:val="99"/>
    <w:rPr>
      <w:vertAlign w:val="superscript"/>
    </w:rPr>
  </w:style>
  <w:style w:type="character" w:customStyle="1" w:styleId="48">
    <w:name w:val="标题 1 字符"/>
    <w:link w:val="2"/>
    <w:qFormat/>
    <w:uiPriority w:val="0"/>
    <w:rPr>
      <w:b/>
      <w:bCs/>
      <w:kern w:val="44"/>
      <w:sz w:val="44"/>
      <w:szCs w:val="44"/>
    </w:rPr>
  </w:style>
  <w:style w:type="character" w:customStyle="1" w:styleId="49">
    <w:name w:val="正文缩进 字符"/>
    <w:link w:val="5"/>
    <w:qFormat/>
    <w:uiPriority w:val="0"/>
    <w:rPr>
      <w:rFonts w:eastAsia="宋体"/>
      <w:kern w:val="2"/>
      <w:sz w:val="21"/>
      <w:lang w:bidi="ar-SA"/>
    </w:rPr>
  </w:style>
  <w:style w:type="character" w:customStyle="1" w:styleId="50">
    <w:name w:val="标题 3 字符"/>
    <w:link w:val="4"/>
    <w:qFormat/>
    <w:uiPriority w:val="0"/>
    <w:rPr>
      <w:rFonts w:ascii="仿宋_GB2312" w:hAnsi="仿宋_GB2312" w:eastAsia="微软雅黑"/>
      <w:b/>
      <w:bCs/>
      <w:kern w:val="2"/>
      <w:sz w:val="21"/>
    </w:rPr>
  </w:style>
  <w:style w:type="character" w:customStyle="1" w:styleId="51">
    <w:name w:val="页脚 字符"/>
    <w:link w:val="26"/>
    <w:qFormat/>
    <w:uiPriority w:val="99"/>
    <w:rPr>
      <w:rFonts w:eastAsia="黑体"/>
      <w:snapToGrid w:val="0"/>
      <w:sz w:val="18"/>
      <w:szCs w:val="18"/>
      <w:lang w:bidi="ar-SA"/>
    </w:rPr>
  </w:style>
  <w:style w:type="paragraph" w:customStyle="1" w:styleId="5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3">
    <w:name w:val="纯文本 字符"/>
    <w:link w:val="22"/>
    <w:qFormat/>
    <w:uiPriority w:val="0"/>
    <w:rPr>
      <w:rFonts w:ascii="宋体" w:hAnsi="Courier New" w:eastAsia="宋体"/>
      <w:kern w:val="2"/>
      <w:sz w:val="24"/>
      <w:szCs w:val="24"/>
      <w:lang w:val="en-US" w:eastAsia="zh-CN" w:bidi="ar-SA"/>
    </w:rPr>
  </w:style>
  <w:style w:type="paragraph" w:customStyle="1" w:styleId="54">
    <w:name w:val="正文段"/>
    <w:basedOn w:val="1"/>
    <w:qFormat/>
    <w:uiPriority w:val="0"/>
    <w:pPr>
      <w:widowControl/>
      <w:snapToGrid w:val="0"/>
      <w:spacing w:afterLines="50"/>
      <w:ind w:firstLine="200" w:firstLineChars="200"/>
    </w:pPr>
    <w:rPr>
      <w:kern w:val="0"/>
      <w:sz w:val="24"/>
      <w:szCs w:val="20"/>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正文文本缩进 字符"/>
    <w:link w:val="18"/>
    <w:qFormat/>
    <w:uiPriority w:val="0"/>
    <w:rPr>
      <w:rFonts w:ascii="宋体" w:hAnsi="Courier New" w:eastAsia="宋体"/>
      <w:spacing w:val="-4"/>
      <w:kern w:val="2"/>
      <w:sz w:val="18"/>
      <w:lang w:bidi="ar-SA"/>
    </w:rPr>
  </w:style>
  <w:style w:type="character" w:customStyle="1" w:styleId="57">
    <w:name w:val="正文文本 字符"/>
    <w:link w:val="17"/>
    <w:qFormat/>
    <w:uiPriority w:val="0"/>
    <w:rPr>
      <w:rFonts w:eastAsia="宋体"/>
      <w:kern w:val="2"/>
      <w:sz w:val="28"/>
      <w:szCs w:val="24"/>
      <w:lang w:bidi="ar-SA"/>
    </w:rPr>
  </w:style>
  <w:style w:type="paragraph" w:customStyle="1" w:styleId="58">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59">
    <w:name w:val="页眉 字符"/>
    <w:link w:val="27"/>
    <w:qFormat/>
    <w:uiPriority w:val="99"/>
    <w:rPr>
      <w:rFonts w:eastAsia="仿宋_GB2312"/>
      <w:kern w:val="2"/>
      <w:sz w:val="18"/>
      <w:lang w:bidi="ar-SA"/>
    </w:rPr>
  </w:style>
  <w:style w:type="paragraph" w:customStyle="1" w:styleId="60">
    <w:name w:val="默认段落字体 Para Char Char Char Char"/>
    <w:basedOn w:val="1"/>
    <w:qFormat/>
    <w:uiPriority w:val="0"/>
    <w:rPr>
      <w:rFonts w:ascii="Arial" w:hAnsi="Arial" w:cs="Arial"/>
      <w:szCs w:val="21"/>
    </w:rPr>
  </w:style>
  <w:style w:type="paragraph" w:customStyle="1" w:styleId="61">
    <w:name w:val="1 Char Char Char Char"/>
    <w:basedOn w:val="1"/>
    <w:qFormat/>
    <w:uiPriority w:val="0"/>
    <w:rPr>
      <w:rFonts w:ascii="Tahoma" w:hAnsi="Tahoma"/>
      <w:sz w:val="24"/>
      <w:szCs w:val="20"/>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默认段落字体 Para Char Char Char Char Char Char Char Char Char Char Char Char Char"/>
    <w:basedOn w:val="14"/>
    <w:qFormat/>
    <w:uiPriority w:val="0"/>
    <w:rPr>
      <w:rFonts w:ascii="Tahoma" w:hAnsi="Tahoma" w:cs="Tahoma"/>
      <w:sz w:val="24"/>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样式 表格正文 + 两端对齐"/>
    <w:basedOn w:val="1"/>
    <w:qFormat/>
    <w:uiPriority w:val="0"/>
    <w:pPr>
      <w:spacing w:line="300" w:lineRule="auto"/>
    </w:pPr>
    <w:rPr>
      <w:sz w:val="24"/>
      <w:szCs w:val="20"/>
    </w:rPr>
  </w:style>
  <w:style w:type="paragraph" w:customStyle="1" w:styleId="67">
    <w:name w:val="此正文"/>
    <w:basedOn w:val="1"/>
    <w:qFormat/>
    <w:uiPriority w:val="0"/>
    <w:pPr>
      <w:spacing w:line="360" w:lineRule="auto"/>
      <w:ind w:firstLine="200" w:firstLineChars="200"/>
    </w:pPr>
    <w:rPr>
      <w:sz w:val="24"/>
      <w:szCs w:val="20"/>
    </w:rPr>
  </w:style>
  <w:style w:type="character" w:customStyle="1" w:styleId="68">
    <w:name w:val="标题 字符"/>
    <w:link w:val="36"/>
    <w:qFormat/>
    <w:uiPriority w:val="0"/>
    <w:rPr>
      <w:rFonts w:ascii="Cambria" w:hAnsi="Cambria" w:eastAsia="微软雅黑"/>
      <w:b/>
      <w:bCs/>
      <w:kern w:val="2"/>
      <w:sz w:val="32"/>
      <w:szCs w:val="32"/>
    </w:rPr>
  </w:style>
  <w:style w:type="paragraph" w:customStyle="1" w:styleId="69">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0">
    <w:name w:val="正文文本首行缩进 字符"/>
    <w:link w:val="38"/>
    <w:qFormat/>
    <w:uiPriority w:val="0"/>
    <w:rPr>
      <w:rFonts w:eastAsia="宋体"/>
      <w:kern w:val="2"/>
      <w:sz w:val="21"/>
      <w:szCs w:val="24"/>
      <w:lang w:bidi="ar-SA"/>
    </w:rPr>
  </w:style>
  <w:style w:type="paragraph" w:customStyle="1" w:styleId="71">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2">
    <w:name w:val="15"/>
    <w:qFormat/>
    <w:uiPriority w:val="0"/>
    <w:rPr>
      <w:rFonts w:ascii="Verdana" w:hAnsi="Verdana" w:cs="Times New Roman"/>
      <w:color w:val="C90000"/>
      <w:sz w:val="18"/>
    </w:rPr>
  </w:style>
  <w:style w:type="character" w:customStyle="1" w:styleId="73">
    <w:name w:val="批注文字 字符"/>
    <w:link w:val="15"/>
    <w:qFormat/>
    <w:uiPriority w:val="0"/>
    <w:rPr>
      <w:rFonts w:eastAsia="宋体"/>
      <w:kern w:val="2"/>
      <w:sz w:val="21"/>
      <w:szCs w:val="24"/>
      <w:lang w:val="en-US" w:eastAsia="zh-CN" w:bidi="ar-SA"/>
    </w:rPr>
  </w:style>
  <w:style w:type="character" w:customStyle="1" w:styleId="74">
    <w:name w:val="批注主题 字符"/>
    <w:link w:val="37"/>
    <w:qFormat/>
    <w:uiPriority w:val="0"/>
    <w:rPr>
      <w:rFonts w:eastAsia="宋体"/>
      <w:b/>
      <w:bCs/>
      <w:kern w:val="2"/>
      <w:sz w:val="21"/>
      <w:szCs w:val="24"/>
      <w:lang w:val="en-US" w:eastAsia="zh-CN" w:bidi="ar-SA"/>
    </w:rPr>
  </w:style>
  <w:style w:type="paragraph" w:customStyle="1" w:styleId="75">
    <w:name w:val="正文－恩普"/>
    <w:basedOn w:val="5"/>
    <w:qFormat/>
    <w:uiPriority w:val="0"/>
    <w:pPr>
      <w:widowControl/>
      <w:spacing w:afterLines="50" w:line="360" w:lineRule="auto"/>
      <w:ind w:firstLine="480" w:firstLineChars="200"/>
      <w:jc w:val="left"/>
    </w:pPr>
    <w:rPr>
      <w:kern w:val="0"/>
      <w:sz w:val="24"/>
    </w:rPr>
  </w:style>
  <w:style w:type="paragraph" w:customStyle="1" w:styleId="7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w:basedOn w:val="1"/>
    <w:qFormat/>
    <w:uiPriority w:val="0"/>
    <w:rPr>
      <w:szCs w:val="21"/>
    </w:rPr>
  </w:style>
  <w:style w:type="character" w:customStyle="1" w:styleId="78">
    <w:name w:val="批注框文本 字符"/>
    <w:link w:val="25"/>
    <w:qFormat/>
    <w:uiPriority w:val="0"/>
    <w:rPr>
      <w:kern w:val="2"/>
      <w:sz w:val="18"/>
      <w:szCs w:val="18"/>
    </w:rPr>
  </w:style>
  <w:style w:type="character" w:customStyle="1" w:styleId="79">
    <w:name w:val="脚注文本 字符"/>
    <w:basedOn w:val="40"/>
    <w:link w:val="31"/>
    <w:qFormat/>
    <w:uiPriority w:val="99"/>
    <w:rPr>
      <w:kern w:val="2"/>
      <w:sz w:val="18"/>
      <w:szCs w:val="18"/>
    </w:rPr>
  </w:style>
  <w:style w:type="paragraph" w:customStyle="1" w:styleId="8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1">
    <w:name w:val="副标题 字符"/>
    <w:basedOn w:val="40"/>
    <w:link w:val="29"/>
    <w:qFormat/>
    <w:uiPriority w:val="0"/>
    <w:rPr>
      <w:rFonts w:asciiTheme="majorHAnsi" w:hAnsiTheme="majorHAnsi" w:cstheme="majorBidi"/>
      <w:b/>
      <w:bCs/>
      <w:kern w:val="28"/>
      <w:sz w:val="32"/>
      <w:szCs w:val="32"/>
    </w:rPr>
  </w:style>
  <w:style w:type="character" w:customStyle="1" w:styleId="82">
    <w:name w:val="页脚 Char"/>
    <w:qFormat/>
    <w:locked/>
    <w:uiPriority w:val="99"/>
    <w:rPr>
      <w:rFonts w:eastAsia="黑体"/>
      <w:snapToGrid w:val="0"/>
      <w:sz w:val="18"/>
      <w:szCs w:val="18"/>
    </w:rPr>
  </w:style>
  <w:style w:type="character" w:customStyle="1" w:styleId="83">
    <w:name w:val="页眉 Char"/>
    <w:qFormat/>
    <w:uiPriority w:val="99"/>
    <w:rPr>
      <w:rFonts w:eastAsia="仿宋_GB2312"/>
      <w:kern w:val="2"/>
      <w:sz w:val="18"/>
    </w:rPr>
  </w:style>
  <w:style w:type="paragraph" w:customStyle="1" w:styleId="84">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TOC 标题3"/>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8">
    <w:name w:val="标题 4 字符"/>
    <w:basedOn w:val="40"/>
    <w:link w:val="6"/>
    <w:qFormat/>
    <w:uiPriority w:val="0"/>
    <w:rPr>
      <w:rFonts w:ascii="Arial" w:hAnsi="Arial" w:eastAsia="黑体"/>
      <w:b/>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14531</Words>
  <Characters>15318</Characters>
  <Lines>131</Lines>
  <Paragraphs>37</Paragraphs>
  <TotalTime>1</TotalTime>
  <ScaleCrop>false</ScaleCrop>
  <LinksUpToDate>false</LinksUpToDate>
  <CharactersWithSpaces>15756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2019-10-12T14:43:00Z</dcterms:created>
  <dc:creator>WinXP</dc:creator>
  <cp:lastModifiedBy>章大莉</cp:lastModifiedBy>
  <cp:lastPrinted>2025-07-15T10:40:00Z</cp:lastPrinted>
  <dcterms:modified xsi:type="dcterms:W3CDTF">2025-07-16T02:23:49Z</dcterms:modified>
  <dc:title>2016年（第一期）嘉兴市本级公共资金</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E182BDA9BD2B44BC876ED7D7B26C9B3C</vt:lpwstr>
  </property>
  <property fmtid="{D5CDD505-2E9C-101B-9397-08002B2CF9AE}" pid="4" name="KSOTemplateDocerSaveRecord">
    <vt:lpwstr>eyJoZGlkIjoiMTJlMTYyNTAxYWM3MWI0NzliODIyODNmMjdmN2NhNGEiLCJ1c2VySWQiOiIxMjkzODA4MDU5In0=</vt:lpwstr>
  </property>
</Properties>
</file>