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CA1ED">
      <w:pPr>
        <w:tabs>
          <w:tab w:val="left" w:pos="3449"/>
        </w:tabs>
        <w:spacing w:line="360" w:lineRule="auto"/>
        <w:rPr>
          <w:rFonts w:hint="eastAsia" w:ascii="微软雅黑" w:hAnsi="微软雅黑" w:eastAsia="微软雅黑" w:cs="微软雅黑"/>
          <w:b/>
          <w:color w:val="auto"/>
          <w:sz w:val="36"/>
          <w:szCs w:val="36"/>
          <w:highlight w:val="none"/>
        </w:rPr>
      </w:pPr>
    </w:p>
    <w:p w14:paraId="3AE9856D">
      <w:pPr>
        <w:pStyle w:val="85"/>
        <w:jc w:val="center"/>
        <w:rPr>
          <w:rFonts w:hint="eastAsia" w:ascii="方正粗黑宋简体" w:hAnsi="方正粗黑宋简体" w:eastAsia="方正粗黑宋简体"/>
          <w:b/>
          <w:bCs/>
          <w:color w:val="auto"/>
          <w:sz w:val="72"/>
          <w:szCs w:val="72"/>
          <w:highlight w:val="none"/>
        </w:rPr>
      </w:pPr>
      <w:r>
        <w:rPr>
          <w:rFonts w:hint="eastAsia" w:ascii="方正粗黑宋简体" w:hAnsi="方正粗黑宋简体" w:eastAsia="方正粗黑宋简体"/>
          <w:b/>
          <w:bCs/>
          <w:color w:val="auto"/>
          <w:sz w:val="72"/>
          <w:szCs w:val="72"/>
          <w:highlight w:val="none"/>
        </w:rPr>
        <w:t>公 开 招 标 采 购 文 件</w:t>
      </w:r>
    </w:p>
    <w:p w14:paraId="404F87A4">
      <w:pPr>
        <w:pStyle w:val="85"/>
        <w:jc w:val="center"/>
        <w:rPr>
          <w:rFonts w:hint="eastAsia" w:ascii="方正粗黑宋简体" w:hAnsi="方正粗黑宋简体" w:eastAsia="方正粗黑宋简体"/>
          <w:color w:val="auto"/>
          <w:sz w:val="52"/>
          <w:szCs w:val="52"/>
          <w:highlight w:val="none"/>
        </w:rPr>
      </w:pPr>
    </w:p>
    <w:p w14:paraId="084AFE95">
      <w:pPr>
        <w:pStyle w:val="85"/>
        <w:rPr>
          <w:color w:val="auto"/>
          <w:highlight w:val="none"/>
        </w:rPr>
      </w:pPr>
    </w:p>
    <w:p w14:paraId="53A31979">
      <w:pPr>
        <w:spacing w:line="360" w:lineRule="auto"/>
        <w:ind w:left="120" w:leftChars="-337" w:right="-804" w:rightChars="-383" w:hanging="828" w:hangingChars="230"/>
        <w:jc w:val="center"/>
        <w:rPr>
          <w:rFonts w:hint="eastAsia" w:ascii="微软雅黑" w:hAnsi="微软雅黑" w:eastAsia="微软雅黑"/>
          <w:b/>
          <w:bCs/>
          <w:color w:val="auto"/>
          <w:sz w:val="36"/>
          <w:szCs w:val="36"/>
          <w:highlight w:val="none"/>
        </w:rPr>
      </w:pPr>
      <w:r>
        <w:rPr>
          <w:rFonts w:ascii="微软雅黑" w:hAnsi="微软雅黑" w:eastAsia="微软雅黑"/>
          <w:b/>
          <w:color w:val="auto"/>
          <w:sz w:val="36"/>
          <w:szCs w:val="36"/>
          <w:highlight w:val="none"/>
        </w:rPr>
        <w:drawing>
          <wp:inline distT="0" distB="0" distL="0" distR="0">
            <wp:extent cx="2095500" cy="2000250"/>
            <wp:effectExtent l="19050" t="0" r="0" b="0"/>
            <wp:docPr id="1"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39451168.jpg"/>
                    <pic:cNvPicPr>
                      <a:picLocks noChangeAspect="1" noChangeArrowheads="1"/>
                    </pic:cNvPicPr>
                  </pic:nvPicPr>
                  <pic:blipFill>
                    <a:blip r:embed="rId10"/>
                    <a:srcRect/>
                    <a:stretch>
                      <a:fillRect/>
                    </a:stretch>
                  </pic:blipFill>
                  <pic:spPr>
                    <a:xfrm>
                      <a:off x="0" y="0"/>
                      <a:ext cx="2095500" cy="2000250"/>
                    </a:xfrm>
                    <a:prstGeom prst="rect">
                      <a:avLst/>
                    </a:prstGeom>
                    <a:noFill/>
                    <a:ln w="9525" cmpd="sng">
                      <a:noFill/>
                      <a:miter lim="800000"/>
                      <a:headEnd/>
                      <a:tailEnd/>
                    </a:ln>
                    <a:effectLst/>
                  </pic:spPr>
                </pic:pic>
              </a:graphicData>
            </a:graphic>
          </wp:inline>
        </w:drawing>
      </w:r>
    </w:p>
    <w:p w14:paraId="40E914A7">
      <w:pPr>
        <w:pStyle w:val="22"/>
        <w:pBdr>
          <w:bottom w:val="thinThickThinMediumGap" w:color="auto" w:sz="18" w:space="1"/>
        </w:pBdr>
        <w:spacing w:before="156" w:after="156"/>
        <w:jc w:val="distribute"/>
        <w:rPr>
          <w:rFonts w:hint="eastAsia" w:ascii="微软雅黑" w:hAnsi="微软雅黑" w:eastAsia="微软雅黑"/>
          <w:b/>
          <w:bCs/>
          <w:color w:val="auto"/>
          <w:w w:val="95"/>
          <w:sz w:val="28"/>
          <w:szCs w:val="28"/>
          <w:highlight w:val="none"/>
        </w:rPr>
      </w:pPr>
    </w:p>
    <w:p w14:paraId="3AECF05D">
      <w:pPr>
        <w:pStyle w:val="22"/>
        <w:pBdr>
          <w:bottom w:val="thinThickThinMediumGap" w:color="auto" w:sz="18" w:space="1"/>
        </w:pBdr>
        <w:spacing w:before="156" w:after="156"/>
        <w:jc w:val="distribute"/>
        <w:rPr>
          <w:rFonts w:hint="eastAsia" w:ascii="微软雅黑" w:hAnsi="微软雅黑" w:eastAsia="微软雅黑"/>
          <w:b/>
          <w:bCs/>
          <w:color w:val="auto"/>
          <w:w w:val="95"/>
          <w:sz w:val="28"/>
          <w:szCs w:val="28"/>
          <w:highlight w:val="none"/>
        </w:rPr>
      </w:pPr>
      <w:r>
        <w:rPr>
          <w:rFonts w:hint="eastAsia" w:ascii="微软雅黑" w:hAnsi="微软雅黑" w:eastAsia="微软雅黑"/>
          <w:b/>
          <w:bCs/>
          <w:color w:val="auto"/>
          <w:w w:val="95"/>
          <w:sz w:val="28"/>
          <w:szCs w:val="28"/>
          <w:highlight w:val="none"/>
        </w:rPr>
        <w:t>嘉兴市千秋工程咨询有限公司</w:t>
      </w:r>
    </w:p>
    <w:p w14:paraId="051B4B3F">
      <w:pPr>
        <w:pStyle w:val="22"/>
        <w:pBdr>
          <w:bottom w:val="thinThickThinMediumGap" w:color="auto" w:sz="18" w:space="1"/>
        </w:pBdr>
        <w:spacing w:before="156" w:after="156"/>
        <w:jc w:val="distribute"/>
        <w:rPr>
          <w:rFonts w:hint="eastAsia" w:ascii="微软雅黑" w:hAnsi="微软雅黑" w:eastAsia="微软雅黑"/>
          <w:b/>
          <w:bCs/>
          <w:color w:val="auto"/>
          <w:w w:val="95"/>
          <w:sz w:val="28"/>
          <w:szCs w:val="28"/>
          <w:highlight w:val="none"/>
        </w:rPr>
      </w:pPr>
      <w:r>
        <w:rPr>
          <w:rFonts w:hint="eastAsia" w:ascii="微软雅黑" w:hAnsi="微软雅黑" w:eastAsia="微软雅黑"/>
          <w:b/>
          <w:bCs/>
          <w:color w:val="auto"/>
          <w:w w:val="95"/>
          <w:sz w:val="28"/>
          <w:szCs w:val="28"/>
          <w:highlight w:val="none"/>
        </w:rPr>
        <w:t>Jiaxing Qianqiu Engineering Consulting Co., Ltd</w:t>
      </w:r>
    </w:p>
    <w:p w14:paraId="5DF6A4E9">
      <w:pPr>
        <w:pStyle w:val="22"/>
        <w:spacing w:before="156" w:after="156" w:line="240" w:lineRule="exact"/>
        <w:jc w:val="left"/>
        <w:rPr>
          <w:rFonts w:hint="eastAsia" w:ascii="微软雅黑" w:hAnsi="微软雅黑" w:eastAsia="微软雅黑"/>
          <w:bCs/>
          <w:color w:val="auto"/>
          <w:w w:val="95"/>
          <w:sz w:val="28"/>
          <w:szCs w:val="28"/>
          <w:highlight w:val="none"/>
        </w:rPr>
      </w:pPr>
    </w:p>
    <w:p w14:paraId="655A3FCC">
      <w:pPr>
        <w:pStyle w:val="22"/>
        <w:spacing w:before="156" w:after="156" w:line="360" w:lineRule="auto"/>
        <w:jc w:val="left"/>
        <w:rPr>
          <w:rFonts w:hint="eastAsia" w:ascii="微软雅黑" w:hAnsi="微软雅黑" w:eastAsia="微软雅黑"/>
          <w:bCs/>
          <w:color w:val="auto"/>
          <w:w w:val="95"/>
          <w:sz w:val="28"/>
          <w:szCs w:val="28"/>
          <w:highlight w:val="none"/>
        </w:rPr>
      </w:pPr>
      <w:r>
        <w:rPr>
          <w:rFonts w:hint="eastAsia" w:ascii="微软雅黑" w:hAnsi="微软雅黑" w:eastAsia="微软雅黑"/>
          <w:bCs/>
          <w:color w:val="auto"/>
          <w:w w:val="95"/>
          <w:sz w:val="28"/>
          <w:szCs w:val="28"/>
          <w:highlight w:val="none"/>
        </w:rPr>
        <w:t>项目名称：</w:t>
      </w:r>
      <w:r>
        <w:rPr>
          <w:rFonts w:hint="eastAsia" w:ascii="微软雅黑" w:hAnsi="微软雅黑" w:eastAsia="微软雅黑"/>
          <w:bCs/>
          <w:color w:val="auto"/>
          <w:w w:val="95"/>
          <w:sz w:val="28"/>
          <w:szCs w:val="28"/>
          <w:highlight w:val="none"/>
          <w:lang w:eastAsia="zh-CN"/>
        </w:rPr>
        <w:t>2025年度（第四期）</w:t>
      </w:r>
      <w:r>
        <w:rPr>
          <w:rFonts w:hint="eastAsia" w:ascii="微软雅黑" w:hAnsi="微软雅黑" w:eastAsia="微软雅黑"/>
          <w:bCs/>
          <w:color w:val="auto"/>
          <w:w w:val="95"/>
          <w:sz w:val="28"/>
          <w:szCs w:val="28"/>
          <w:highlight w:val="none"/>
        </w:rPr>
        <w:t>嘉兴市秀洲区住房保障与房地产管理服务中心物业维修资金和物业保修金竞争性存放项目</w:t>
      </w:r>
    </w:p>
    <w:p w14:paraId="0E1948E7">
      <w:pPr>
        <w:pStyle w:val="22"/>
        <w:spacing w:before="156" w:after="156" w:line="360" w:lineRule="auto"/>
        <w:jc w:val="left"/>
        <w:rPr>
          <w:rFonts w:hint="eastAsia" w:ascii="微软雅黑" w:hAnsi="微软雅黑" w:eastAsia="微软雅黑"/>
          <w:bCs/>
          <w:color w:val="auto"/>
          <w:w w:val="95"/>
          <w:sz w:val="28"/>
          <w:szCs w:val="28"/>
          <w:highlight w:val="none"/>
          <w:lang w:eastAsia="zh-CN"/>
        </w:rPr>
      </w:pPr>
      <w:r>
        <w:rPr>
          <w:rFonts w:hint="eastAsia" w:ascii="微软雅黑" w:hAnsi="微软雅黑" w:eastAsia="微软雅黑"/>
          <w:bCs/>
          <w:color w:val="auto"/>
          <w:w w:val="95"/>
          <w:sz w:val="28"/>
          <w:szCs w:val="28"/>
          <w:highlight w:val="none"/>
        </w:rPr>
        <w:t>招标编号：</w:t>
      </w:r>
      <w:r>
        <w:rPr>
          <w:rFonts w:hint="eastAsia" w:ascii="微软雅黑" w:hAnsi="微软雅黑" w:eastAsia="微软雅黑"/>
          <w:bCs/>
          <w:color w:val="auto"/>
          <w:w w:val="95"/>
          <w:sz w:val="28"/>
          <w:szCs w:val="28"/>
          <w:highlight w:val="none"/>
          <w:lang w:eastAsia="zh-CN"/>
        </w:rPr>
        <w:t>千秋-XZCF（2025）第1</w:t>
      </w:r>
      <w:r>
        <w:rPr>
          <w:rFonts w:hint="eastAsia" w:ascii="微软雅黑" w:hAnsi="微软雅黑" w:eastAsia="微软雅黑"/>
          <w:bCs/>
          <w:color w:val="auto"/>
          <w:w w:val="95"/>
          <w:sz w:val="28"/>
          <w:szCs w:val="28"/>
          <w:highlight w:val="none"/>
          <w:lang w:val="en-US" w:eastAsia="zh-CN"/>
        </w:rPr>
        <w:t>3</w:t>
      </w:r>
      <w:r>
        <w:rPr>
          <w:rFonts w:hint="eastAsia" w:ascii="微软雅黑" w:hAnsi="微软雅黑" w:eastAsia="微软雅黑"/>
          <w:bCs/>
          <w:color w:val="auto"/>
          <w:w w:val="95"/>
          <w:sz w:val="28"/>
          <w:szCs w:val="28"/>
          <w:highlight w:val="none"/>
          <w:lang w:eastAsia="zh-CN"/>
        </w:rPr>
        <w:t>号</w:t>
      </w:r>
    </w:p>
    <w:p w14:paraId="511FA6A7">
      <w:pPr>
        <w:pStyle w:val="22"/>
        <w:spacing w:before="156" w:after="156" w:line="360" w:lineRule="auto"/>
        <w:jc w:val="left"/>
        <w:rPr>
          <w:rFonts w:hint="eastAsia" w:ascii="微软雅黑" w:hAnsi="微软雅黑" w:eastAsia="微软雅黑"/>
          <w:bCs/>
          <w:color w:val="auto"/>
          <w:w w:val="95"/>
          <w:sz w:val="28"/>
          <w:szCs w:val="28"/>
          <w:highlight w:val="none"/>
        </w:rPr>
      </w:pPr>
      <w:r>
        <w:rPr>
          <w:rFonts w:hint="eastAsia" w:ascii="微软雅黑" w:hAnsi="微软雅黑" w:eastAsia="微软雅黑"/>
          <w:bCs/>
          <w:color w:val="auto"/>
          <w:w w:val="95"/>
          <w:sz w:val="28"/>
          <w:szCs w:val="28"/>
          <w:highlight w:val="none"/>
        </w:rPr>
        <w:t>采购单位：嘉兴市秀洲区住房保障与房地产管理服务中心</w:t>
      </w:r>
    </w:p>
    <w:p w14:paraId="6933D94A">
      <w:pPr>
        <w:pStyle w:val="22"/>
        <w:spacing w:before="156" w:after="156" w:line="360" w:lineRule="auto"/>
        <w:jc w:val="left"/>
        <w:rPr>
          <w:rFonts w:hint="eastAsia" w:ascii="微软雅黑" w:hAnsi="微软雅黑" w:eastAsia="微软雅黑"/>
          <w:bCs/>
          <w:color w:val="auto"/>
          <w:w w:val="95"/>
          <w:sz w:val="28"/>
          <w:szCs w:val="28"/>
          <w:highlight w:val="none"/>
        </w:rPr>
      </w:pPr>
      <w:r>
        <w:rPr>
          <w:rFonts w:hint="eastAsia" w:ascii="微软雅黑" w:hAnsi="微软雅黑" w:eastAsia="微软雅黑"/>
          <w:bCs/>
          <w:color w:val="auto"/>
          <w:w w:val="95"/>
          <w:sz w:val="28"/>
          <w:szCs w:val="28"/>
          <w:highlight w:val="none"/>
        </w:rPr>
        <w:t>代理机构：嘉兴市千秋工程咨询有限公司</w:t>
      </w:r>
    </w:p>
    <w:p w14:paraId="1D7D1F6B">
      <w:pPr>
        <w:pStyle w:val="22"/>
        <w:spacing w:before="156" w:after="156" w:line="360" w:lineRule="auto"/>
        <w:jc w:val="left"/>
        <w:rPr>
          <w:rFonts w:cstheme="majorBidi"/>
          <w:color w:val="auto"/>
          <w:kern w:val="28"/>
          <w:sz w:val="32"/>
          <w:szCs w:val="32"/>
          <w:highlight w:val="none"/>
        </w:rPr>
      </w:pPr>
      <w:bookmarkStart w:id="0" w:name="_Toc50012812"/>
      <w:bookmarkStart w:id="1" w:name="_Toc427915753"/>
      <w:bookmarkStart w:id="2" w:name="_Toc493511539"/>
      <w:r>
        <w:rPr>
          <w:rFonts w:hint="eastAsia" w:ascii="微软雅黑" w:hAnsi="微软雅黑" w:eastAsia="微软雅黑"/>
          <w:bCs/>
          <w:color w:val="auto"/>
          <w:w w:val="95"/>
          <w:sz w:val="28"/>
          <w:szCs w:val="28"/>
          <w:highlight w:val="none"/>
        </w:rPr>
        <w:t>日    期：202</w:t>
      </w:r>
      <w:r>
        <w:rPr>
          <w:rFonts w:hint="eastAsia" w:ascii="微软雅黑" w:hAnsi="微软雅黑" w:eastAsia="微软雅黑"/>
          <w:bCs/>
          <w:color w:val="auto"/>
          <w:w w:val="95"/>
          <w:sz w:val="28"/>
          <w:szCs w:val="28"/>
          <w:highlight w:val="none"/>
          <w:lang w:val="en-US" w:eastAsia="zh-CN"/>
        </w:rPr>
        <w:t>5</w:t>
      </w:r>
      <w:r>
        <w:rPr>
          <w:rFonts w:hint="eastAsia" w:ascii="微软雅黑" w:hAnsi="微软雅黑" w:eastAsia="微软雅黑"/>
          <w:bCs/>
          <w:color w:val="auto"/>
          <w:w w:val="95"/>
          <w:sz w:val="28"/>
          <w:szCs w:val="28"/>
          <w:highlight w:val="none"/>
        </w:rPr>
        <w:t>年</w:t>
      </w:r>
      <w:r>
        <w:rPr>
          <w:rFonts w:hint="eastAsia" w:ascii="微软雅黑" w:hAnsi="微软雅黑" w:eastAsia="微软雅黑"/>
          <w:bCs/>
          <w:color w:val="auto"/>
          <w:w w:val="95"/>
          <w:sz w:val="28"/>
          <w:szCs w:val="28"/>
          <w:highlight w:val="none"/>
          <w:lang w:val="en-US" w:eastAsia="zh-CN"/>
        </w:rPr>
        <w:t>06</w:t>
      </w:r>
      <w:r>
        <w:rPr>
          <w:rFonts w:hint="eastAsia" w:ascii="微软雅黑" w:hAnsi="微软雅黑" w:eastAsia="微软雅黑"/>
          <w:bCs/>
          <w:color w:val="auto"/>
          <w:w w:val="95"/>
          <w:sz w:val="28"/>
          <w:szCs w:val="28"/>
          <w:highlight w:val="none"/>
        </w:rPr>
        <w:t>月</w:t>
      </w:r>
      <w:r>
        <w:rPr>
          <w:rFonts w:hint="eastAsia" w:ascii="微软雅黑" w:hAnsi="微软雅黑" w:eastAsia="微软雅黑"/>
          <w:bCs/>
          <w:color w:val="auto"/>
          <w:w w:val="95"/>
          <w:sz w:val="28"/>
          <w:szCs w:val="28"/>
          <w:highlight w:val="none"/>
          <w:lang w:val="en-US" w:eastAsia="zh-CN"/>
        </w:rPr>
        <w:t>25</w:t>
      </w:r>
      <w:r>
        <w:rPr>
          <w:rFonts w:hint="eastAsia" w:ascii="微软雅黑" w:hAnsi="微软雅黑" w:eastAsia="微软雅黑"/>
          <w:bCs/>
          <w:color w:val="auto"/>
          <w:w w:val="95"/>
          <w:sz w:val="28"/>
          <w:szCs w:val="28"/>
          <w:highlight w:val="none"/>
        </w:rPr>
        <w:t>日</w:t>
      </w:r>
      <w:bookmarkEnd w:id="0"/>
      <w:bookmarkEnd w:id="1"/>
      <w:bookmarkEnd w:id="2"/>
    </w:p>
    <w:p w14:paraId="5D7BDDC5">
      <w:pPr>
        <w:rPr>
          <w:rFonts w:cstheme="majorBidi"/>
          <w:color w:val="auto"/>
          <w:kern w:val="28"/>
          <w:sz w:val="32"/>
          <w:szCs w:val="32"/>
          <w:highlight w:val="none"/>
        </w:rPr>
        <w:sectPr>
          <w:footerReference r:id="rId6" w:type="first"/>
          <w:headerReference r:id="rId3" w:type="default"/>
          <w:footerReference r:id="rId4" w:type="default"/>
          <w:footerReference r:id="rId5" w:type="even"/>
          <w:pgSz w:w="11907" w:h="16840"/>
          <w:pgMar w:top="1440" w:right="1797" w:bottom="1440" w:left="1797" w:header="851" w:footer="851" w:gutter="0"/>
          <w:pgNumType w:start="1"/>
          <w:cols w:space="425" w:num="1"/>
          <w:titlePg/>
          <w:docGrid w:type="lines" w:linePitch="312" w:charSpace="0"/>
        </w:sectPr>
      </w:pPr>
    </w:p>
    <w:p w14:paraId="31AC4C26">
      <w:pPr>
        <w:rPr>
          <w:rFonts w:cstheme="majorBidi"/>
          <w:color w:val="auto"/>
          <w:kern w:val="28"/>
          <w:sz w:val="28"/>
          <w:szCs w:val="28"/>
          <w:highlight w:val="none"/>
        </w:rPr>
      </w:pPr>
    </w:p>
    <w:sdt>
      <w:sdtPr>
        <w:rPr>
          <w:rFonts w:ascii="Times New Roman" w:hAnsi="Times New Roman" w:eastAsia="宋体" w:cs="Times New Roman"/>
          <w:b w:val="0"/>
          <w:bCs w:val="0"/>
          <w:color w:val="auto"/>
          <w:kern w:val="2"/>
          <w:sz w:val="21"/>
          <w:szCs w:val="24"/>
          <w:highlight w:val="none"/>
          <w:lang w:val="zh-CN"/>
        </w:rPr>
        <w:id w:val="95592265"/>
        <w:docPartObj>
          <w:docPartGallery w:val="Table of Contents"/>
          <w:docPartUnique/>
        </w:docPartObj>
      </w:sdtPr>
      <w:sdtEndPr>
        <w:rPr>
          <w:rFonts w:ascii="Times New Roman" w:hAnsi="Times New Roman" w:eastAsia="宋体" w:cs="Times New Roman"/>
          <w:b w:val="0"/>
          <w:bCs w:val="0"/>
          <w:color w:val="auto"/>
          <w:kern w:val="2"/>
          <w:sz w:val="21"/>
          <w:szCs w:val="24"/>
          <w:highlight w:val="none"/>
          <w:lang w:val="en-US"/>
        </w:rPr>
      </w:sdtEndPr>
      <w:sdtContent>
        <w:p w14:paraId="2626D215">
          <w:pPr>
            <w:pStyle w:val="87"/>
            <w:jc w:val="center"/>
            <w:rPr>
              <w:color w:val="auto"/>
              <w:highlight w:val="none"/>
            </w:rPr>
          </w:pPr>
          <w:r>
            <w:rPr>
              <w:color w:val="auto"/>
              <w:highlight w:val="none"/>
              <w:lang w:val="zh-CN"/>
            </w:rPr>
            <w:t>目录</w:t>
          </w:r>
        </w:p>
        <w:p w14:paraId="66787739">
          <w:pPr>
            <w:pStyle w:val="28"/>
            <w:tabs>
              <w:tab w:val="right" w:leader="dot" w:pos="8303"/>
            </w:tabs>
            <w:spacing w:line="480" w:lineRule="auto"/>
            <w:rPr>
              <w:rFonts w:hint="eastAsia" w:ascii="微软雅黑" w:hAnsi="微软雅黑" w:eastAsia="微软雅黑" w:cstheme="minorBidi"/>
              <w:color w:val="auto"/>
              <w:szCs w:val="22"/>
              <w:highlight w:val="none"/>
            </w:rPr>
          </w:pP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TOC \o "1-3" \h \z \u </w:instrText>
          </w:r>
          <w:r>
            <w:rPr>
              <w:rFonts w:ascii="微软雅黑" w:hAnsi="微软雅黑" w:eastAsia="微软雅黑"/>
              <w:color w:val="auto"/>
              <w:highlight w:val="none"/>
            </w:rPr>
            <w:fldChar w:fldCharType="separate"/>
          </w:r>
          <w:r>
            <w:rPr>
              <w:color w:val="auto"/>
              <w:highlight w:val="none"/>
            </w:rPr>
            <w:fldChar w:fldCharType="begin"/>
          </w:r>
          <w:r>
            <w:rPr>
              <w:color w:val="auto"/>
              <w:highlight w:val="none"/>
            </w:rPr>
            <w:instrText xml:space="preserve"> HYPERLINK \l "_Toc98019223" </w:instrText>
          </w:r>
          <w:r>
            <w:rPr>
              <w:color w:val="auto"/>
              <w:highlight w:val="none"/>
            </w:rPr>
            <w:fldChar w:fldCharType="separate"/>
          </w:r>
          <w:r>
            <w:rPr>
              <w:rStyle w:val="45"/>
              <w:rFonts w:hint="eastAsia" w:ascii="微软雅黑" w:hAnsi="微软雅黑" w:eastAsia="微软雅黑"/>
              <w:color w:val="auto"/>
              <w:highlight w:val="none"/>
            </w:rPr>
            <w:t>第一章 公开招标公告</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_Toc98019223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2</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79A6DBCE">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"_Toc98019233" </w:instrText>
          </w:r>
          <w:r>
            <w:rPr>
              <w:color w:val="auto"/>
              <w:highlight w:val="none"/>
            </w:rPr>
            <w:fldChar w:fldCharType="separate"/>
          </w:r>
          <w:r>
            <w:rPr>
              <w:rStyle w:val="45"/>
              <w:rFonts w:hint="eastAsia" w:ascii="微软雅黑" w:hAnsi="微软雅黑" w:eastAsia="微软雅黑"/>
              <w:color w:val="auto"/>
              <w:highlight w:val="none"/>
            </w:rPr>
            <w:t>第二章 招标需求</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_Toc98019233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4</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4601C08D">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"_Toc98019234" </w:instrText>
          </w:r>
          <w:r>
            <w:rPr>
              <w:color w:val="auto"/>
              <w:highlight w:val="none"/>
            </w:rPr>
            <w:fldChar w:fldCharType="separate"/>
          </w:r>
          <w:r>
            <w:rPr>
              <w:rStyle w:val="45"/>
              <w:rFonts w:hint="eastAsia" w:ascii="微软雅黑" w:hAnsi="微软雅黑" w:eastAsia="微软雅黑"/>
              <w:color w:val="auto"/>
              <w:highlight w:val="none"/>
            </w:rPr>
            <w:t>第三章 投标人须知</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_Toc98019234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5</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3B838C06">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"_Toc98019286" </w:instrText>
          </w:r>
          <w:r>
            <w:rPr>
              <w:color w:val="auto"/>
              <w:highlight w:val="none"/>
            </w:rPr>
            <w:fldChar w:fldCharType="separate"/>
          </w:r>
          <w:r>
            <w:rPr>
              <w:rStyle w:val="45"/>
              <w:rFonts w:hint="eastAsia" w:ascii="微软雅黑" w:hAnsi="微软雅黑" w:eastAsia="微软雅黑"/>
              <w:color w:val="auto"/>
              <w:highlight w:val="none"/>
            </w:rPr>
            <w:t>第四章 评标办法及评分标准</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_Toc98019286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16</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6838F0B5">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"_Toc98019294" </w:instrText>
          </w:r>
          <w:r>
            <w:rPr>
              <w:color w:val="auto"/>
              <w:highlight w:val="none"/>
            </w:rPr>
            <w:fldChar w:fldCharType="separate"/>
          </w:r>
          <w:r>
            <w:rPr>
              <w:rStyle w:val="45"/>
              <w:rFonts w:hint="eastAsia" w:ascii="微软雅黑" w:hAnsi="微软雅黑" w:eastAsia="微软雅黑"/>
              <w:color w:val="auto"/>
              <w:highlight w:val="none"/>
            </w:rPr>
            <w:t>第五章 协议主要条款</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_Toc98019294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21</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6EEAB357">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"_Toc98019297" </w:instrText>
          </w:r>
          <w:r>
            <w:rPr>
              <w:color w:val="auto"/>
              <w:highlight w:val="none"/>
            </w:rPr>
            <w:fldChar w:fldCharType="separate"/>
          </w:r>
          <w:r>
            <w:rPr>
              <w:rStyle w:val="45"/>
              <w:rFonts w:hint="eastAsia" w:ascii="微软雅黑" w:hAnsi="微软雅黑" w:eastAsia="微软雅黑"/>
              <w:color w:val="auto"/>
              <w:highlight w:val="none"/>
            </w:rPr>
            <w:t>第六章 投标文件格式</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_Toc98019297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26</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795472A3">
          <w:pPr>
            <w:spacing w:line="480" w:lineRule="auto"/>
            <w:rPr>
              <w:color w:val="auto"/>
              <w:highlight w:val="none"/>
            </w:rPr>
          </w:pPr>
          <w:r>
            <w:rPr>
              <w:rFonts w:ascii="微软雅黑" w:hAnsi="微软雅黑" w:eastAsia="微软雅黑"/>
              <w:color w:val="auto"/>
              <w:highlight w:val="none"/>
            </w:rPr>
            <w:fldChar w:fldCharType="end"/>
          </w:r>
        </w:p>
      </w:sdtContent>
    </w:sdt>
    <w:p w14:paraId="069BFD4D">
      <w:pPr>
        <w:tabs>
          <w:tab w:val="left" w:pos="5554"/>
        </w:tabs>
        <w:rPr>
          <w:rFonts w:cstheme="majorBidi"/>
          <w:color w:val="auto"/>
          <w:kern w:val="28"/>
          <w:sz w:val="32"/>
          <w:szCs w:val="32"/>
          <w:highlight w:val="none"/>
        </w:rPr>
      </w:pPr>
      <w:r>
        <w:rPr>
          <w:rFonts w:cstheme="majorBidi"/>
          <w:color w:val="auto"/>
          <w:kern w:val="28"/>
          <w:sz w:val="32"/>
          <w:szCs w:val="32"/>
          <w:highlight w:val="none"/>
        </w:rPr>
        <w:tab/>
      </w:r>
    </w:p>
    <w:p w14:paraId="4BD1ACD4">
      <w:pPr>
        <w:rPr>
          <w:rFonts w:cstheme="majorBidi"/>
          <w:color w:val="auto"/>
          <w:kern w:val="28"/>
          <w:sz w:val="32"/>
          <w:szCs w:val="32"/>
          <w:highlight w:val="none"/>
        </w:rPr>
      </w:pPr>
    </w:p>
    <w:p w14:paraId="66DD230B">
      <w:pPr>
        <w:pStyle w:val="36"/>
        <w:outlineLvl w:val="9"/>
        <w:rPr>
          <w:color w:val="auto"/>
          <w:highlight w:val="none"/>
        </w:rPr>
      </w:pPr>
      <w:bookmarkStart w:id="3" w:name="_Toc9342476"/>
      <w:bookmarkStart w:id="4" w:name="_Toc11650166"/>
    </w:p>
    <w:p w14:paraId="76CB943E">
      <w:pPr>
        <w:widowControl/>
        <w:jc w:val="left"/>
        <w:rPr>
          <w:rFonts w:ascii="Cambria" w:hAnsi="Cambria" w:eastAsia="微软雅黑"/>
          <w:b/>
          <w:bCs/>
          <w:color w:val="auto"/>
          <w:sz w:val="32"/>
          <w:szCs w:val="32"/>
          <w:highlight w:val="none"/>
        </w:rPr>
      </w:pPr>
      <w:r>
        <w:rPr>
          <w:color w:val="auto"/>
          <w:highlight w:val="none"/>
        </w:rPr>
        <w:br w:type="page"/>
      </w:r>
    </w:p>
    <w:p w14:paraId="2C5C7A44">
      <w:pPr>
        <w:pStyle w:val="36"/>
        <w:numPr>
          <w:ilvl w:val="0"/>
          <w:numId w:val="3"/>
        </w:numPr>
        <w:rPr>
          <w:color w:val="auto"/>
          <w:highlight w:val="none"/>
        </w:rPr>
      </w:pPr>
      <w:bookmarkStart w:id="5" w:name="_Toc98019223"/>
      <w:r>
        <w:rPr>
          <w:rFonts w:hint="eastAsia"/>
          <w:color w:val="auto"/>
          <w:highlight w:val="none"/>
        </w:rPr>
        <w:t>公开招标公告</w:t>
      </w:r>
      <w:bookmarkEnd w:id="3"/>
      <w:bookmarkEnd w:id="4"/>
      <w:bookmarkEnd w:id="5"/>
    </w:p>
    <w:p w14:paraId="71C475F7">
      <w:pPr>
        <w:snapToGrid w:val="0"/>
        <w:spacing w:line="460" w:lineRule="exact"/>
        <w:ind w:firstLine="420" w:firstLineChars="200"/>
        <w:rPr>
          <w:rFonts w:hint="eastAsia" w:ascii="微软雅黑" w:hAnsi="微软雅黑" w:eastAsia="微软雅黑"/>
          <w:color w:val="auto"/>
          <w:szCs w:val="21"/>
          <w:highlight w:val="none"/>
        </w:rPr>
      </w:pPr>
      <w:bookmarkStart w:id="6" w:name="_Toc9342477"/>
      <w:bookmarkStart w:id="7" w:name="_Toc11650167"/>
      <w:r>
        <w:rPr>
          <w:rFonts w:hint="eastAsia" w:ascii="微软雅黑" w:hAnsi="微软雅黑" w:eastAsia="微软雅黑"/>
          <w:color w:val="auto"/>
          <w:szCs w:val="21"/>
          <w:highlight w:val="none"/>
        </w:rPr>
        <w:t>根据相关法律规定，</w:t>
      </w:r>
      <w:r>
        <w:rPr>
          <w:rFonts w:hint="eastAsia" w:ascii="微软雅黑" w:hAnsi="微软雅黑" w:eastAsia="微软雅黑" w:cs="宋体"/>
          <w:color w:val="auto"/>
          <w:szCs w:val="21"/>
          <w:highlight w:val="none"/>
        </w:rPr>
        <w:t>嘉兴市千秋工程咨询有限公司</w:t>
      </w:r>
      <w:r>
        <w:rPr>
          <w:rFonts w:hint="eastAsia" w:ascii="微软雅黑" w:hAnsi="微软雅黑" w:eastAsia="微软雅黑"/>
          <w:color w:val="auto"/>
          <w:szCs w:val="21"/>
          <w:highlight w:val="none"/>
        </w:rPr>
        <w:t>受嘉兴市秀洲区住房保障与房地产管理服务中心委托，就下列项目进行公开招标，特邀请国内合格的投标人前来投标，现将有关事项公告如下：</w:t>
      </w:r>
    </w:p>
    <w:p w14:paraId="0F598929">
      <w:pPr>
        <w:pStyle w:val="3"/>
        <w:numPr>
          <w:ilvl w:val="0"/>
          <w:numId w:val="4"/>
        </w:numPr>
        <w:spacing w:before="0" w:after="0" w:line="460" w:lineRule="exact"/>
        <w:ind w:firstLineChars="200"/>
        <w:rPr>
          <w:rFonts w:hint="eastAsia" w:ascii="微软雅黑" w:hAnsi="微软雅黑"/>
          <w:color w:val="auto"/>
          <w:szCs w:val="21"/>
          <w:highlight w:val="none"/>
        </w:rPr>
      </w:pPr>
      <w:bookmarkStart w:id="8" w:name="_Toc98019224"/>
      <w:r>
        <w:rPr>
          <w:rFonts w:hint="eastAsia" w:ascii="微软雅黑" w:hAnsi="微软雅黑"/>
          <w:color w:val="auto"/>
          <w:szCs w:val="21"/>
          <w:highlight w:val="none"/>
        </w:rPr>
        <w:t>项目编号：</w:t>
      </w:r>
      <w:bookmarkEnd w:id="8"/>
      <w:r>
        <w:rPr>
          <w:rFonts w:hint="eastAsia" w:ascii="微软雅黑" w:hAnsi="微软雅黑"/>
          <w:color w:val="auto"/>
          <w:szCs w:val="21"/>
          <w:highlight w:val="none"/>
          <w:lang w:eastAsia="zh-CN"/>
        </w:rPr>
        <w:t>千秋-XZCF（2025）第1</w:t>
      </w:r>
      <w:r>
        <w:rPr>
          <w:rFonts w:hint="eastAsia" w:ascii="微软雅黑" w:hAnsi="微软雅黑"/>
          <w:color w:val="auto"/>
          <w:szCs w:val="21"/>
          <w:highlight w:val="none"/>
          <w:lang w:val="en-US" w:eastAsia="zh-CN"/>
        </w:rPr>
        <w:t>3</w:t>
      </w:r>
      <w:r>
        <w:rPr>
          <w:rFonts w:hint="eastAsia" w:ascii="微软雅黑" w:hAnsi="微软雅黑"/>
          <w:color w:val="auto"/>
          <w:szCs w:val="21"/>
          <w:highlight w:val="none"/>
          <w:lang w:eastAsia="zh-CN"/>
        </w:rPr>
        <w:t>号</w:t>
      </w:r>
    </w:p>
    <w:p w14:paraId="5D57437D">
      <w:pPr>
        <w:pStyle w:val="3"/>
        <w:numPr>
          <w:ilvl w:val="0"/>
          <w:numId w:val="4"/>
        </w:numPr>
        <w:spacing w:before="0" w:after="0" w:line="460" w:lineRule="exact"/>
        <w:ind w:firstLineChars="200"/>
        <w:rPr>
          <w:rFonts w:hint="eastAsia" w:ascii="微软雅黑" w:hAnsi="微软雅黑"/>
          <w:color w:val="auto"/>
          <w:szCs w:val="21"/>
          <w:highlight w:val="none"/>
        </w:rPr>
      </w:pPr>
      <w:bookmarkStart w:id="9" w:name="_Toc98019225"/>
      <w:r>
        <w:rPr>
          <w:rFonts w:hint="eastAsia" w:ascii="微软雅黑" w:hAnsi="微软雅黑"/>
          <w:color w:val="auto"/>
          <w:szCs w:val="21"/>
          <w:highlight w:val="none"/>
        </w:rPr>
        <w:t>招标方式：公开招标</w:t>
      </w:r>
      <w:bookmarkEnd w:id="9"/>
    </w:p>
    <w:p w14:paraId="6C034B0F">
      <w:pPr>
        <w:pStyle w:val="3"/>
        <w:numPr>
          <w:ilvl w:val="0"/>
          <w:numId w:val="4"/>
        </w:numPr>
        <w:spacing w:before="0" w:after="0" w:line="460" w:lineRule="exact"/>
        <w:ind w:firstLineChars="200"/>
        <w:rPr>
          <w:rFonts w:hint="eastAsia" w:ascii="微软雅黑" w:hAnsi="微软雅黑"/>
          <w:color w:val="auto"/>
          <w:szCs w:val="21"/>
          <w:highlight w:val="none"/>
        </w:rPr>
      </w:pPr>
      <w:bookmarkStart w:id="10" w:name="_Toc98019226"/>
      <w:r>
        <w:rPr>
          <w:rFonts w:hint="eastAsia" w:ascii="微软雅黑" w:hAnsi="微软雅黑"/>
          <w:color w:val="auto"/>
          <w:szCs w:val="21"/>
          <w:highlight w:val="none"/>
        </w:rPr>
        <w:t>招标项目：</w:t>
      </w:r>
      <w:r>
        <w:rPr>
          <w:rFonts w:hint="eastAsia" w:ascii="微软雅黑" w:hAnsi="微软雅黑"/>
          <w:color w:val="auto"/>
          <w:szCs w:val="21"/>
          <w:highlight w:val="none"/>
          <w:lang w:eastAsia="zh-CN"/>
        </w:rPr>
        <w:t>2025年度（第四期）</w:t>
      </w:r>
      <w:r>
        <w:rPr>
          <w:rFonts w:hint="eastAsia" w:ascii="微软雅黑" w:hAnsi="微软雅黑"/>
          <w:color w:val="auto"/>
          <w:szCs w:val="21"/>
          <w:highlight w:val="none"/>
        </w:rPr>
        <w:t>嘉兴市秀洲区住房保障与房地产管理服务中心物业维修资金和物业保修金竞争性存放项目</w:t>
      </w:r>
      <w:bookmarkEnd w:id="10"/>
      <w:bookmarkStart w:id="131" w:name="_GoBack"/>
      <w:bookmarkEnd w:id="131"/>
    </w:p>
    <w:p w14:paraId="0C26A261">
      <w:pPr>
        <w:pStyle w:val="3"/>
        <w:numPr>
          <w:ilvl w:val="0"/>
          <w:numId w:val="4"/>
        </w:numPr>
        <w:spacing w:before="0" w:after="0" w:line="460" w:lineRule="exact"/>
        <w:ind w:firstLineChars="200"/>
        <w:rPr>
          <w:rFonts w:hint="eastAsia" w:ascii="微软雅黑" w:hAnsi="微软雅黑"/>
          <w:color w:val="auto"/>
          <w:szCs w:val="21"/>
          <w:highlight w:val="none"/>
        </w:rPr>
      </w:pPr>
      <w:bookmarkStart w:id="11" w:name="_Toc98019227"/>
      <w:r>
        <w:rPr>
          <w:rFonts w:hint="eastAsia" w:ascii="微软雅黑" w:hAnsi="微软雅黑"/>
          <w:color w:val="auto"/>
          <w:szCs w:val="21"/>
          <w:highlight w:val="none"/>
        </w:rPr>
        <w:t>招标内容：</w:t>
      </w:r>
      <w:bookmarkEnd w:id="11"/>
      <w:r>
        <w:rPr>
          <w:rFonts w:hint="eastAsia" w:ascii="微软雅黑" w:hAnsi="微软雅黑"/>
          <w:color w:val="auto"/>
          <w:szCs w:val="21"/>
          <w:highlight w:val="none"/>
        </w:rPr>
        <w:tab/>
      </w:r>
      <w:bookmarkStart w:id="12" w:name="_Toc98019228"/>
    </w:p>
    <w:p w14:paraId="39F28E1A">
      <w:pPr>
        <w:pStyle w:val="62"/>
        <w:spacing w:line="560" w:lineRule="exact"/>
        <w:ind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资金金额为</w:t>
      </w:r>
      <w:r>
        <w:rPr>
          <w:rFonts w:hint="eastAsia" w:ascii="微软雅黑" w:hAnsi="微软雅黑" w:eastAsia="微软雅黑" w:cs="仿宋_GB2312"/>
          <w:color w:val="auto"/>
          <w:szCs w:val="21"/>
          <w:highlight w:val="none"/>
          <w:lang w:val="en-US" w:eastAsia="zh-CN"/>
        </w:rPr>
        <w:t>10000</w:t>
      </w:r>
      <w:r>
        <w:rPr>
          <w:rFonts w:hint="eastAsia" w:ascii="微软雅黑" w:hAnsi="微软雅黑" w:eastAsia="微软雅黑" w:cs="仿宋_GB2312"/>
          <w:color w:val="auto"/>
          <w:szCs w:val="21"/>
          <w:highlight w:val="none"/>
        </w:rPr>
        <w:t>万元，存放期限为1年，中标银行均为8家，第1、2名各分配</w:t>
      </w:r>
      <w:r>
        <w:rPr>
          <w:rFonts w:hint="eastAsia" w:ascii="微软雅黑" w:hAnsi="微软雅黑" w:eastAsia="微软雅黑" w:cs="仿宋_GB2312"/>
          <w:color w:val="auto"/>
          <w:szCs w:val="21"/>
          <w:highlight w:val="none"/>
          <w:lang w:val="en-US" w:eastAsia="zh-CN"/>
        </w:rPr>
        <w:t>1600</w:t>
      </w:r>
      <w:r>
        <w:rPr>
          <w:rFonts w:hint="eastAsia" w:ascii="微软雅黑" w:hAnsi="微软雅黑" w:eastAsia="微软雅黑" w:cs="仿宋_GB2312"/>
          <w:color w:val="auto"/>
          <w:szCs w:val="21"/>
          <w:highlight w:val="none"/>
        </w:rPr>
        <w:t>万元、第3、4名各分配</w:t>
      </w:r>
      <w:r>
        <w:rPr>
          <w:rFonts w:hint="eastAsia" w:ascii="微软雅黑" w:hAnsi="微软雅黑" w:eastAsia="微软雅黑" w:cs="仿宋_GB2312"/>
          <w:color w:val="auto"/>
          <w:szCs w:val="21"/>
          <w:highlight w:val="none"/>
          <w:lang w:val="en-US" w:eastAsia="zh-CN"/>
        </w:rPr>
        <w:t>1400</w:t>
      </w:r>
      <w:r>
        <w:rPr>
          <w:rFonts w:hint="eastAsia" w:ascii="微软雅黑" w:hAnsi="微软雅黑" w:eastAsia="微软雅黑" w:cs="仿宋_GB2312"/>
          <w:color w:val="auto"/>
          <w:szCs w:val="21"/>
          <w:highlight w:val="none"/>
        </w:rPr>
        <w:t>万元，第5、6名各分配</w:t>
      </w:r>
      <w:r>
        <w:rPr>
          <w:rFonts w:hint="eastAsia" w:ascii="微软雅黑" w:hAnsi="微软雅黑" w:eastAsia="微软雅黑" w:cs="仿宋_GB2312"/>
          <w:color w:val="auto"/>
          <w:szCs w:val="21"/>
          <w:highlight w:val="none"/>
          <w:lang w:val="en-US" w:eastAsia="zh-CN"/>
        </w:rPr>
        <w:t>1200</w:t>
      </w:r>
      <w:r>
        <w:rPr>
          <w:rFonts w:hint="eastAsia" w:ascii="微软雅黑" w:hAnsi="微软雅黑" w:eastAsia="微软雅黑" w:cs="仿宋_GB2312"/>
          <w:color w:val="auto"/>
          <w:szCs w:val="21"/>
          <w:highlight w:val="none"/>
        </w:rPr>
        <w:t>万元，第7、8名各分配</w:t>
      </w:r>
      <w:r>
        <w:rPr>
          <w:rFonts w:hint="eastAsia" w:ascii="微软雅黑" w:hAnsi="微软雅黑" w:eastAsia="微软雅黑" w:cs="仿宋_GB2312"/>
          <w:color w:val="auto"/>
          <w:szCs w:val="21"/>
          <w:highlight w:val="none"/>
          <w:lang w:val="en-US" w:eastAsia="zh-CN"/>
        </w:rPr>
        <w:t>800</w:t>
      </w:r>
      <w:r>
        <w:rPr>
          <w:rFonts w:hint="eastAsia" w:ascii="微软雅黑" w:hAnsi="微软雅黑" w:eastAsia="微软雅黑" w:cs="仿宋_GB2312"/>
          <w:color w:val="auto"/>
          <w:szCs w:val="21"/>
          <w:highlight w:val="none"/>
        </w:rPr>
        <w:t>万元。</w:t>
      </w:r>
    </w:p>
    <w:p w14:paraId="78E48906">
      <w:pPr>
        <w:pStyle w:val="3"/>
        <w:numPr>
          <w:ilvl w:val="0"/>
          <w:numId w:val="4"/>
        </w:numPr>
        <w:spacing w:before="0" w:after="0" w:line="460" w:lineRule="exact"/>
        <w:ind w:firstLineChars="200"/>
        <w:rPr>
          <w:rFonts w:hint="eastAsia" w:ascii="微软雅黑" w:hAnsi="微软雅黑"/>
          <w:color w:val="auto"/>
          <w:szCs w:val="21"/>
          <w:highlight w:val="none"/>
        </w:rPr>
      </w:pPr>
      <w:r>
        <w:rPr>
          <w:rFonts w:hint="eastAsia" w:ascii="微软雅黑" w:hAnsi="微软雅黑"/>
          <w:color w:val="auto"/>
          <w:szCs w:val="21"/>
          <w:highlight w:val="none"/>
        </w:rPr>
        <w:t>合格投标人的资格要求</w:t>
      </w:r>
      <w:bookmarkEnd w:id="12"/>
    </w:p>
    <w:p w14:paraId="5F52A1D5">
      <w:pPr>
        <w:numPr>
          <w:ilvl w:val="0"/>
          <w:numId w:val="5"/>
        </w:numPr>
        <w:spacing w:line="460" w:lineRule="exact"/>
        <w:ind w:left="0"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在嘉兴市本级设有经办机构；</w:t>
      </w:r>
    </w:p>
    <w:p w14:paraId="2BF47318">
      <w:pPr>
        <w:numPr>
          <w:ilvl w:val="0"/>
          <w:numId w:val="5"/>
        </w:numPr>
        <w:spacing w:line="460" w:lineRule="exact"/>
        <w:ind w:left="0"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依法开展经营活动，内部管理机制健全，具有较强的风险控制能力，近3年内在经营活动中无重大违法违规记录、未发生金融风险及重大违约事件；</w:t>
      </w:r>
    </w:p>
    <w:p w14:paraId="66F8D924">
      <w:pPr>
        <w:numPr>
          <w:ilvl w:val="0"/>
          <w:numId w:val="5"/>
        </w:numPr>
        <w:spacing w:line="460" w:lineRule="exact"/>
        <w:ind w:left="0"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纳入监管评级的银行，人行嘉兴市中心支行上年度综合评价达到Ｂ级及以上。不纳入人民银行评级范围的银行不受此条款限制。</w:t>
      </w:r>
    </w:p>
    <w:p w14:paraId="501A5579">
      <w:pPr>
        <w:pStyle w:val="3"/>
        <w:numPr>
          <w:ilvl w:val="0"/>
          <w:numId w:val="4"/>
        </w:numPr>
        <w:spacing w:before="0" w:after="0" w:line="460" w:lineRule="exact"/>
        <w:ind w:firstLineChars="200"/>
        <w:rPr>
          <w:rFonts w:hint="eastAsia" w:ascii="微软雅黑" w:hAnsi="微软雅黑"/>
          <w:color w:val="auto"/>
          <w:szCs w:val="21"/>
          <w:highlight w:val="none"/>
        </w:rPr>
      </w:pPr>
      <w:bookmarkStart w:id="13" w:name="_Toc98019229"/>
      <w:r>
        <w:rPr>
          <w:rFonts w:hint="eastAsia" w:ascii="微软雅黑" w:hAnsi="微软雅黑"/>
          <w:color w:val="auto"/>
          <w:szCs w:val="21"/>
          <w:highlight w:val="none"/>
        </w:rPr>
        <w:t>招标文件的获取：</w:t>
      </w:r>
      <w:bookmarkEnd w:id="13"/>
    </w:p>
    <w:p w14:paraId="2B368CA3">
      <w:pPr>
        <w:pStyle w:val="62"/>
        <w:numPr>
          <w:ilvl w:val="0"/>
          <w:numId w:val="6"/>
        </w:numPr>
        <w:snapToGrid w:val="0"/>
        <w:spacing w:line="360" w:lineRule="auto"/>
        <w:ind w:left="0" w:firstLine="472" w:firstLineChars="225"/>
        <w:rPr>
          <w:rFonts w:hint="eastAsia" w:ascii="微软雅黑" w:hAnsi="微软雅黑" w:eastAsia="微软雅黑" w:cs="Arial"/>
          <w:color w:val="auto"/>
          <w:szCs w:val="21"/>
          <w:highlight w:val="none"/>
        </w:rPr>
      </w:pPr>
      <w:r>
        <w:rPr>
          <w:rFonts w:hint="eastAsia" w:ascii="微软雅黑" w:hAnsi="微软雅黑" w:eastAsia="微软雅黑" w:cs="Arial"/>
          <w:bCs/>
          <w:color w:val="auto"/>
          <w:szCs w:val="21"/>
          <w:highlight w:val="none"/>
        </w:rPr>
        <w:t>获取</w:t>
      </w:r>
      <w:r>
        <w:rPr>
          <w:rFonts w:hint="eastAsia" w:ascii="微软雅黑" w:hAnsi="微软雅黑" w:eastAsia="微软雅黑" w:cs="Arial"/>
          <w:color w:val="auto"/>
          <w:szCs w:val="21"/>
          <w:highlight w:val="none"/>
        </w:rPr>
        <w:t>方式（网站下载）</w:t>
      </w:r>
      <w:r>
        <w:rPr>
          <w:rFonts w:ascii="微软雅黑" w:hAnsi="微软雅黑" w:eastAsia="微软雅黑" w:cs="Arial"/>
          <w:color w:val="auto"/>
          <w:szCs w:val="21"/>
          <w:highlight w:val="none"/>
        </w:rPr>
        <w:t>：</w:t>
      </w:r>
      <w:r>
        <w:rPr>
          <w:rFonts w:hint="eastAsia" w:ascii="微软雅黑" w:hAnsi="微软雅黑" w:eastAsia="微软雅黑" w:cs="Arial"/>
          <w:color w:val="auto"/>
          <w:szCs w:val="21"/>
          <w:highlight w:val="none"/>
        </w:rPr>
        <w:t>浙江政府采购网网址（</w:t>
      </w:r>
      <w:r>
        <w:rPr>
          <w:color w:val="auto"/>
          <w:highlight w:val="none"/>
        </w:rPr>
        <w:fldChar w:fldCharType="begin"/>
      </w:r>
      <w:r>
        <w:rPr>
          <w:color w:val="auto"/>
          <w:highlight w:val="none"/>
        </w:rPr>
        <w:instrText xml:space="preserve"> HYPERLINK "https://zfcg.czt.zj.gov.cn/" </w:instrText>
      </w:r>
      <w:r>
        <w:rPr>
          <w:color w:val="auto"/>
          <w:highlight w:val="none"/>
        </w:rPr>
        <w:fldChar w:fldCharType="separate"/>
      </w:r>
      <w:r>
        <w:rPr>
          <w:rStyle w:val="45"/>
          <w:rFonts w:ascii="微软雅黑" w:hAnsi="微软雅黑" w:eastAsia="微软雅黑" w:cs="Arial"/>
          <w:color w:val="auto"/>
          <w:szCs w:val="21"/>
          <w:highlight w:val="none"/>
        </w:rPr>
        <w:t>https://zfcg.czt.zj.gov.cn/</w:t>
      </w:r>
      <w:r>
        <w:rPr>
          <w:rStyle w:val="45"/>
          <w:rFonts w:ascii="微软雅黑" w:hAnsi="微软雅黑" w:eastAsia="微软雅黑" w:cs="Arial"/>
          <w:color w:val="auto"/>
          <w:szCs w:val="21"/>
          <w:highlight w:val="none"/>
        </w:rPr>
        <w:fldChar w:fldCharType="end"/>
      </w:r>
      <w:r>
        <w:rPr>
          <w:rFonts w:hint="eastAsia" w:ascii="微软雅黑" w:hAnsi="微软雅黑" w:eastAsia="微软雅黑" w:cs="Arial"/>
          <w:color w:val="auto"/>
          <w:szCs w:val="21"/>
          <w:highlight w:val="none"/>
        </w:rPr>
        <w:t>）。</w:t>
      </w:r>
    </w:p>
    <w:p w14:paraId="2D09BCFF">
      <w:pPr>
        <w:pStyle w:val="62"/>
        <w:numPr>
          <w:ilvl w:val="0"/>
          <w:numId w:val="6"/>
        </w:numPr>
        <w:snapToGrid w:val="0"/>
        <w:spacing w:line="360" w:lineRule="auto"/>
        <w:ind w:left="0" w:firstLine="472" w:firstLineChars="225"/>
        <w:rPr>
          <w:rFonts w:hint="eastAsia" w:ascii="微软雅黑" w:hAnsi="微软雅黑" w:eastAsia="微软雅黑" w:cs="Arial"/>
          <w:color w:val="auto"/>
          <w:szCs w:val="21"/>
          <w:highlight w:val="none"/>
        </w:rPr>
      </w:pPr>
      <w:r>
        <w:rPr>
          <w:rFonts w:ascii="微软雅黑" w:hAnsi="微软雅黑" w:eastAsia="微软雅黑" w:cs="Arial"/>
          <w:color w:val="auto"/>
          <w:szCs w:val="21"/>
          <w:highlight w:val="none"/>
        </w:rPr>
        <w:t>招标文件</w:t>
      </w:r>
      <w:r>
        <w:rPr>
          <w:rFonts w:hint="eastAsia" w:ascii="微软雅黑" w:hAnsi="微软雅黑" w:eastAsia="微软雅黑" w:cs="Arial"/>
          <w:color w:val="auto"/>
          <w:szCs w:val="21"/>
          <w:highlight w:val="none"/>
        </w:rPr>
        <w:t>免费下载</w:t>
      </w:r>
      <w:r>
        <w:rPr>
          <w:rFonts w:ascii="微软雅黑" w:hAnsi="微软雅黑" w:eastAsia="微软雅黑" w:cs="Arial"/>
          <w:color w:val="auto"/>
          <w:szCs w:val="21"/>
          <w:highlight w:val="none"/>
        </w:rPr>
        <w:t>。</w:t>
      </w:r>
    </w:p>
    <w:p w14:paraId="2149B316">
      <w:pPr>
        <w:pStyle w:val="3"/>
        <w:numPr>
          <w:ilvl w:val="0"/>
          <w:numId w:val="4"/>
        </w:numPr>
        <w:spacing w:before="0" w:after="0" w:line="460" w:lineRule="exact"/>
        <w:ind w:firstLineChars="200"/>
        <w:rPr>
          <w:color w:val="auto"/>
          <w:highlight w:val="none"/>
        </w:rPr>
      </w:pPr>
      <w:bookmarkStart w:id="14" w:name="_Toc98019230"/>
      <w:r>
        <w:rPr>
          <w:rFonts w:hint="eastAsia" w:ascii="微软雅黑" w:hAnsi="微软雅黑"/>
          <w:color w:val="auto"/>
          <w:szCs w:val="21"/>
          <w:highlight w:val="none"/>
        </w:rPr>
        <w:t>报名：</w:t>
      </w:r>
      <w:bookmarkEnd w:id="14"/>
    </w:p>
    <w:p w14:paraId="2473C20B">
      <w:pPr>
        <w:snapToGrid w:val="0"/>
        <w:spacing w:line="360" w:lineRule="auto"/>
        <w:ind w:firstLine="420" w:firstLineChars="200"/>
        <w:rPr>
          <w:rFonts w:hint="eastAsia" w:ascii="微软雅黑" w:hAnsi="微软雅黑" w:eastAsia="微软雅黑" w:cs="Arial"/>
          <w:color w:val="auto"/>
          <w:szCs w:val="21"/>
          <w:highlight w:val="none"/>
        </w:rPr>
      </w:pPr>
      <w:r>
        <w:rPr>
          <w:rFonts w:hint="eastAsia" w:ascii="微软雅黑" w:hAnsi="微软雅黑" w:eastAsia="微软雅黑" w:cs="Arial"/>
          <w:b/>
          <w:bCs/>
          <w:color w:val="auto"/>
          <w:szCs w:val="21"/>
          <w:highlight w:val="none"/>
        </w:rPr>
        <w:t>报名时间：</w:t>
      </w:r>
      <w:r>
        <w:rPr>
          <w:rFonts w:hint="eastAsia" w:ascii="微软雅黑" w:hAnsi="微软雅黑" w:eastAsia="微软雅黑" w:cs="Arial"/>
          <w:bCs/>
          <w:color w:val="auto"/>
          <w:szCs w:val="21"/>
          <w:highlight w:val="none"/>
          <w:u w:val="single"/>
        </w:rPr>
        <w:t>202</w:t>
      </w:r>
      <w:r>
        <w:rPr>
          <w:rFonts w:hint="eastAsia" w:ascii="微软雅黑" w:hAnsi="微软雅黑" w:eastAsia="微软雅黑" w:cs="Arial"/>
          <w:bCs/>
          <w:color w:val="auto"/>
          <w:szCs w:val="21"/>
          <w:highlight w:val="none"/>
          <w:u w:val="single"/>
          <w:lang w:val="en-US" w:eastAsia="zh-CN"/>
        </w:rPr>
        <w:t>5</w:t>
      </w:r>
      <w:r>
        <w:rPr>
          <w:rFonts w:hint="eastAsia" w:ascii="微软雅黑" w:hAnsi="微软雅黑" w:eastAsia="微软雅黑" w:cs="Arial"/>
          <w:color w:val="auto"/>
          <w:szCs w:val="21"/>
          <w:highlight w:val="none"/>
          <w:u w:val="single"/>
        </w:rPr>
        <w:t>年</w:t>
      </w:r>
      <w:r>
        <w:rPr>
          <w:rFonts w:hint="eastAsia" w:ascii="微软雅黑" w:hAnsi="微软雅黑" w:eastAsia="微软雅黑" w:cs="Arial"/>
          <w:color w:val="auto"/>
          <w:szCs w:val="21"/>
          <w:highlight w:val="none"/>
          <w:u w:val="single"/>
          <w:lang w:val="en-US" w:eastAsia="zh-CN"/>
        </w:rPr>
        <w:t>06</w:t>
      </w:r>
      <w:r>
        <w:rPr>
          <w:rFonts w:hint="eastAsia" w:ascii="微软雅黑" w:hAnsi="微软雅黑" w:eastAsia="微软雅黑" w:cs="Arial"/>
          <w:color w:val="auto"/>
          <w:szCs w:val="21"/>
          <w:highlight w:val="none"/>
          <w:u w:val="single"/>
        </w:rPr>
        <w:t>月</w:t>
      </w:r>
      <w:r>
        <w:rPr>
          <w:rFonts w:hint="eastAsia" w:ascii="微软雅黑" w:hAnsi="微软雅黑" w:eastAsia="微软雅黑" w:cs="Arial"/>
          <w:color w:val="auto"/>
          <w:szCs w:val="21"/>
          <w:highlight w:val="none"/>
          <w:u w:val="single"/>
          <w:lang w:val="en-US" w:eastAsia="zh-CN"/>
        </w:rPr>
        <w:t>25</w:t>
      </w:r>
      <w:r>
        <w:rPr>
          <w:rFonts w:hint="eastAsia" w:ascii="微软雅黑" w:hAnsi="微软雅黑" w:eastAsia="微软雅黑" w:cs="Arial"/>
          <w:color w:val="auto"/>
          <w:szCs w:val="21"/>
          <w:highlight w:val="none"/>
          <w:u w:val="single"/>
        </w:rPr>
        <w:t>日</w:t>
      </w:r>
      <w:r>
        <w:rPr>
          <w:rFonts w:hint="eastAsia" w:ascii="微软雅黑" w:hAnsi="微软雅黑" w:eastAsia="微软雅黑" w:cs="Arial"/>
          <w:color w:val="auto"/>
          <w:szCs w:val="21"/>
          <w:highlight w:val="none"/>
        </w:rPr>
        <w:t>至</w:t>
      </w:r>
      <w:r>
        <w:rPr>
          <w:rFonts w:hint="eastAsia" w:ascii="微软雅黑" w:hAnsi="微软雅黑" w:eastAsia="微软雅黑" w:cs="Arial"/>
          <w:color w:val="auto"/>
          <w:szCs w:val="21"/>
          <w:highlight w:val="none"/>
          <w:u w:val="single"/>
        </w:rPr>
        <w:t>202</w:t>
      </w:r>
      <w:r>
        <w:rPr>
          <w:rFonts w:hint="eastAsia" w:ascii="微软雅黑" w:hAnsi="微软雅黑" w:eastAsia="微软雅黑" w:cs="Arial"/>
          <w:color w:val="auto"/>
          <w:szCs w:val="21"/>
          <w:highlight w:val="none"/>
          <w:u w:val="single"/>
          <w:lang w:val="en-US" w:eastAsia="zh-CN"/>
        </w:rPr>
        <w:t>5</w:t>
      </w:r>
      <w:r>
        <w:rPr>
          <w:rFonts w:hint="eastAsia" w:ascii="微软雅黑" w:hAnsi="微软雅黑" w:eastAsia="微软雅黑" w:cs="Arial"/>
          <w:color w:val="auto"/>
          <w:szCs w:val="21"/>
          <w:highlight w:val="none"/>
          <w:u w:val="single"/>
        </w:rPr>
        <w:t>年</w:t>
      </w:r>
      <w:r>
        <w:rPr>
          <w:rFonts w:hint="eastAsia" w:ascii="微软雅黑" w:hAnsi="微软雅黑" w:eastAsia="微软雅黑" w:cs="Arial"/>
          <w:color w:val="auto"/>
          <w:szCs w:val="21"/>
          <w:highlight w:val="none"/>
          <w:u w:val="single"/>
          <w:lang w:val="en-US" w:eastAsia="zh-CN"/>
        </w:rPr>
        <w:t>07</w:t>
      </w:r>
      <w:r>
        <w:rPr>
          <w:rFonts w:hint="eastAsia" w:ascii="微软雅黑" w:hAnsi="微软雅黑" w:eastAsia="微软雅黑" w:cs="Arial"/>
          <w:color w:val="auto"/>
          <w:szCs w:val="21"/>
          <w:highlight w:val="none"/>
          <w:u w:val="single"/>
        </w:rPr>
        <w:t>月</w:t>
      </w:r>
      <w:r>
        <w:rPr>
          <w:rFonts w:hint="eastAsia" w:ascii="微软雅黑" w:hAnsi="微软雅黑" w:eastAsia="微软雅黑" w:cs="Arial"/>
          <w:color w:val="auto"/>
          <w:szCs w:val="21"/>
          <w:highlight w:val="none"/>
          <w:u w:val="single"/>
          <w:lang w:val="en-US" w:eastAsia="zh-CN"/>
        </w:rPr>
        <w:t>03</w:t>
      </w:r>
      <w:r>
        <w:rPr>
          <w:rFonts w:hint="eastAsia" w:ascii="微软雅黑" w:hAnsi="微软雅黑" w:eastAsia="微软雅黑" w:cs="Arial"/>
          <w:color w:val="auto"/>
          <w:szCs w:val="21"/>
          <w:highlight w:val="none"/>
          <w:u w:val="single"/>
        </w:rPr>
        <w:t>日</w:t>
      </w:r>
      <w:r>
        <w:rPr>
          <w:rFonts w:hint="eastAsia" w:ascii="微软雅黑" w:hAnsi="微软雅黑" w:eastAsia="微软雅黑" w:cs="Arial"/>
          <w:color w:val="auto"/>
          <w:szCs w:val="21"/>
          <w:highlight w:val="none"/>
          <w:u w:val="single"/>
          <w:lang w:val="en-US" w:eastAsia="zh-CN"/>
        </w:rPr>
        <w:t>17：30</w:t>
      </w:r>
      <w:r>
        <w:rPr>
          <w:rFonts w:hint="eastAsia" w:ascii="微软雅黑" w:hAnsi="微软雅黑" w:eastAsia="微软雅黑" w:cs="Arial"/>
          <w:color w:val="auto"/>
          <w:szCs w:val="21"/>
          <w:highlight w:val="none"/>
        </w:rPr>
        <w:t>。</w:t>
      </w:r>
    </w:p>
    <w:p w14:paraId="2F102CB9">
      <w:pPr>
        <w:snapToGrid w:val="0"/>
        <w:spacing w:line="360" w:lineRule="auto"/>
        <w:ind w:firstLine="420" w:firstLineChars="200"/>
        <w:rPr>
          <w:rFonts w:hint="eastAsia" w:ascii="微软雅黑" w:hAnsi="微软雅黑" w:eastAsia="微软雅黑" w:cs="Arial"/>
          <w:color w:val="auto"/>
          <w:szCs w:val="21"/>
          <w:highlight w:val="none"/>
        </w:rPr>
      </w:pPr>
      <w:r>
        <w:rPr>
          <w:rFonts w:hint="eastAsia" w:ascii="微软雅黑" w:hAnsi="微软雅黑" w:eastAsia="微软雅黑"/>
          <w:b/>
          <w:color w:val="auto"/>
          <w:szCs w:val="21"/>
          <w:highlight w:val="none"/>
        </w:rPr>
        <w:t>报名方式：</w:t>
      </w:r>
      <w:r>
        <w:rPr>
          <w:rFonts w:hint="eastAsia" w:ascii="微软雅黑" w:hAnsi="微软雅黑" w:eastAsia="微软雅黑"/>
          <w:color w:val="auto"/>
          <w:szCs w:val="21"/>
          <w:highlight w:val="none"/>
        </w:rPr>
        <w:t>本项目实行</w:t>
      </w:r>
      <w:r>
        <w:rPr>
          <w:rFonts w:hint="eastAsia" w:ascii="微软雅黑" w:hAnsi="微软雅黑" w:eastAsia="微软雅黑"/>
          <w:color w:val="auto"/>
          <w:szCs w:val="21"/>
          <w:highlight w:val="none"/>
          <w:u w:val="single"/>
        </w:rPr>
        <w:t xml:space="preserve"> 网上</w:t>
      </w:r>
      <w:r>
        <w:rPr>
          <w:rFonts w:hint="eastAsia" w:ascii="微软雅黑" w:hAnsi="微软雅黑" w:eastAsia="微软雅黑"/>
          <w:color w:val="auto"/>
          <w:szCs w:val="21"/>
          <w:highlight w:val="none"/>
        </w:rPr>
        <w:t>报名。报名银行登录政府采购云平台（</w:t>
      </w:r>
      <w:r>
        <w:rPr>
          <w:color w:val="auto"/>
          <w:highlight w:val="none"/>
        </w:rPr>
        <w:fldChar w:fldCharType="begin"/>
      </w:r>
      <w:r>
        <w:rPr>
          <w:color w:val="auto"/>
          <w:highlight w:val="none"/>
        </w:rPr>
        <w:instrText xml:space="preserve"> HYPERLINK "https://login.zcygov.cn/user-login/" \l "/login" </w:instrText>
      </w:r>
      <w:r>
        <w:rPr>
          <w:color w:val="auto"/>
          <w:highlight w:val="none"/>
        </w:rPr>
        <w:fldChar w:fldCharType="separate"/>
      </w:r>
      <w:r>
        <w:rPr>
          <w:rStyle w:val="45"/>
          <w:rFonts w:ascii="微软雅黑" w:hAnsi="微软雅黑" w:eastAsia="微软雅黑"/>
          <w:color w:val="auto"/>
          <w:szCs w:val="21"/>
          <w:highlight w:val="none"/>
        </w:rPr>
        <w:t>https://login.zcygov.cn/user-login/#/login</w:t>
      </w:r>
      <w:r>
        <w:rPr>
          <w:rStyle w:val="45"/>
          <w:rFonts w:ascii="微软雅黑" w:hAnsi="微软雅黑" w:eastAsia="微软雅黑"/>
          <w:color w:val="auto"/>
          <w:szCs w:val="21"/>
          <w:highlight w:val="none"/>
        </w:rPr>
        <w:fldChar w:fldCharType="end"/>
      </w:r>
      <w:r>
        <w:rPr>
          <w:rFonts w:hint="eastAsia" w:ascii="微软雅黑" w:hAnsi="微软雅黑" w:eastAsia="微软雅黑"/>
          <w:color w:val="auto"/>
          <w:szCs w:val="21"/>
          <w:highlight w:val="none"/>
        </w:rPr>
        <w:t>）,进入公款竞争性存放招标系统（以下简称“招标系统”），在财政资金竞争性存放-竞标项目内按规定进行报名。第一步：选择本期招标项目，第二步：填写报名信息。报名成功后联系人会收到短信通知，逾期报名视为未报名。</w:t>
      </w:r>
    </w:p>
    <w:p w14:paraId="16F31553">
      <w:pPr>
        <w:snapToGrid w:val="0"/>
        <w:spacing w:line="360" w:lineRule="auto"/>
        <w:ind w:firstLine="420" w:firstLineChars="200"/>
        <w:rPr>
          <w:rFonts w:hint="eastAsia" w:ascii="微软雅黑" w:hAnsi="微软雅黑" w:eastAsia="微软雅黑" w:cs="Arial"/>
          <w:b/>
          <w:bCs/>
          <w:color w:val="auto"/>
          <w:szCs w:val="21"/>
          <w:highlight w:val="none"/>
        </w:rPr>
      </w:pPr>
      <w:r>
        <w:rPr>
          <w:rFonts w:hint="eastAsia" w:ascii="微软雅黑" w:hAnsi="微软雅黑" w:eastAsia="微软雅黑" w:cs="Arial"/>
          <w:b/>
          <w:bCs/>
          <w:color w:val="auto"/>
          <w:szCs w:val="21"/>
          <w:highlight w:val="none"/>
        </w:rPr>
        <w:t>报名应提供以下资料：</w:t>
      </w:r>
    </w:p>
    <w:p w14:paraId="71B025F1">
      <w:pPr>
        <w:snapToGrid w:val="0"/>
        <w:spacing w:line="360" w:lineRule="auto"/>
        <w:ind w:firstLine="472" w:firstLineChars="225"/>
        <w:rPr>
          <w:rFonts w:hint="eastAsia" w:ascii="微软雅黑" w:hAnsi="微软雅黑" w:eastAsia="微软雅黑" w:cs="Arial"/>
          <w:color w:val="auto"/>
          <w:szCs w:val="21"/>
          <w:highlight w:val="none"/>
        </w:rPr>
      </w:pPr>
      <w:r>
        <w:rPr>
          <w:rFonts w:ascii="微软雅黑" w:hAnsi="微软雅黑" w:eastAsia="微软雅黑" w:cs="Arial"/>
          <w:color w:val="auto"/>
          <w:szCs w:val="21"/>
          <w:highlight w:val="none"/>
        </w:rPr>
        <w:t>1</w:t>
      </w:r>
      <w:r>
        <w:rPr>
          <w:rFonts w:hint="eastAsia" w:ascii="微软雅黑" w:hAnsi="微软雅黑" w:eastAsia="微软雅黑" w:cs="Arial"/>
          <w:color w:val="auto"/>
          <w:szCs w:val="21"/>
          <w:highlight w:val="none"/>
        </w:rPr>
        <w:t>.</w:t>
      </w:r>
      <w:r>
        <w:rPr>
          <w:rFonts w:ascii="微软雅黑" w:hAnsi="微软雅黑" w:eastAsia="微软雅黑" w:cs="Arial"/>
          <w:color w:val="auto"/>
          <w:szCs w:val="21"/>
          <w:highlight w:val="none"/>
        </w:rPr>
        <w:t>经有关部门年检通过的企业法人营业执照</w:t>
      </w:r>
      <w:r>
        <w:rPr>
          <w:rFonts w:hint="eastAsia" w:ascii="微软雅黑" w:hAnsi="微软雅黑" w:eastAsia="微软雅黑" w:cs="Arial"/>
          <w:color w:val="auto"/>
          <w:szCs w:val="21"/>
          <w:highlight w:val="none"/>
        </w:rPr>
        <w:t>副本</w:t>
      </w:r>
      <w:r>
        <w:rPr>
          <w:rFonts w:ascii="微软雅黑" w:hAnsi="微软雅黑" w:eastAsia="微软雅黑" w:cs="Arial"/>
          <w:color w:val="auto"/>
          <w:szCs w:val="21"/>
          <w:highlight w:val="none"/>
        </w:rPr>
        <w:t>复印件</w:t>
      </w:r>
      <w:r>
        <w:rPr>
          <w:rFonts w:hint="eastAsia" w:ascii="微软雅黑" w:hAnsi="微软雅黑" w:eastAsia="微软雅黑" w:cs="Arial"/>
          <w:color w:val="auto"/>
          <w:szCs w:val="21"/>
          <w:highlight w:val="none"/>
        </w:rPr>
        <w:t>（加盖单位公章）</w:t>
      </w:r>
      <w:r>
        <w:rPr>
          <w:rFonts w:ascii="微软雅黑" w:hAnsi="微软雅黑" w:eastAsia="微软雅黑" w:cs="Arial"/>
          <w:color w:val="auto"/>
          <w:szCs w:val="21"/>
          <w:highlight w:val="none"/>
        </w:rPr>
        <w:t>；</w:t>
      </w:r>
    </w:p>
    <w:p w14:paraId="66AC019C">
      <w:pPr>
        <w:snapToGrid w:val="0"/>
        <w:spacing w:line="360" w:lineRule="auto"/>
        <w:ind w:firstLine="472" w:firstLineChars="225"/>
        <w:rPr>
          <w:rFonts w:hint="eastAsia" w:ascii="微软雅黑" w:hAnsi="微软雅黑" w:eastAsia="微软雅黑" w:cs="Arial"/>
          <w:color w:val="auto"/>
          <w:szCs w:val="21"/>
          <w:highlight w:val="none"/>
        </w:rPr>
      </w:pPr>
      <w:r>
        <w:rPr>
          <w:rFonts w:ascii="微软雅黑" w:hAnsi="微软雅黑" w:eastAsia="微软雅黑" w:cs="Arial"/>
          <w:color w:val="auto"/>
          <w:szCs w:val="21"/>
          <w:highlight w:val="none"/>
        </w:rPr>
        <w:t>2</w:t>
      </w:r>
      <w:r>
        <w:rPr>
          <w:rFonts w:hint="eastAsia" w:ascii="微软雅黑" w:hAnsi="微软雅黑" w:eastAsia="微软雅黑" w:cs="Arial"/>
          <w:color w:val="auto"/>
          <w:szCs w:val="21"/>
          <w:highlight w:val="none"/>
        </w:rPr>
        <w:t>.</w:t>
      </w:r>
      <w:r>
        <w:rPr>
          <w:rFonts w:ascii="微软雅黑" w:hAnsi="微软雅黑" w:eastAsia="微软雅黑" w:cs="Arial"/>
          <w:color w:val="auto"/>
          <w:szCs w:val="21"/>
          <w:highlight w:val="none"/>
        </w:rPr>
        <w:t>报名人</w:t>
      </w:r>
      <w:r>
        <w:rPr>
          <w:rFonts w:hint="eastAsia" w:ascii="微软雅黑" w:hAnsi="微软雅黑" w:eastAsia="微软雅黑" w:cs="Arial"/>
          <w:color w:val="auto"/>
          <w:szCs w:val="21"/>
          <w:highlight w:val="none"/>
        </w:rPr>
        <w:t>有效</w:t>
      </w:r>
      <w:r>
        <w:rPr>
          <w:rFonts w:ascii="微软雅黑" w:hAnsi="微软雅黑" w:eastAsia="微软雅黑" w:cs="Arial"/>
          <w:color w:val="auto"/>
          <w:szCs w:val="21"/>
          <w:highlight w:val="none"/>
        </w:rPr>
        <w:t>身份证</w:t>
      </w:r>
      <w:r>
        <w:rPr>
          <w:rFonts w:hint="eastAsia" w:ascii="微软雅黑" w:hAnsi="微软雅黑" w:eastAsia="微软雅黑" w:cs="Arial"/>
          <w:color w:val="auto"/>
          <w:szCs w:val="21"/>
          <w:highlight w:val="none"/>
        </w:rPr>
        <w:t>件</w:t>
      </w:r>
      <w:r>
        <w:rPr>
          <w:rFonts w:ascii="微软雅黑" w:hAnsi="微软雅黑" w:eastAsia="微软雅黑" w:cs="Arial"/>
          <w:color w:val="auto"/>
          <w:szCs w:val="21"/>
          <w:highlight w:val="none"/>
        </w:rPr>
        <w:t>复印件</w:t>
      </w:r>
      <w:r>
        <w:rPr>
          <w:rFonts w:hint="eastAsia" w:ascii="微软雅黑" w:hAnsi="微软雅黑" w:eastAsia="微软雅黑" w:cs="Arial"/>
          <w:color w:val="auto"/>
          <w:szCs w:val="21"/>
          <w:highlight w:val="none"/>
        </w:rPr>
        <w:t>（加盖单位公章）；</w:t>
      </w:r>
    </w:p>
    <w:p w14:paraId="57916F68">
      <w:pPr>
        <w:snapToGrid w:val="0"/>
        <w:spacing w:line="360" w:lineRule="auto"/>
        <w:ind w:firstLine="472" w:firstLineChars="225"/>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3.投标银行报名表（加盖单位公章）。</w:t>
      </w:r>
    </w:p>
    <w:p w14:paraId="1158A669">
      <w:pPr>
        <w:spacing w:before="156" w:beforeLines="50" w:after="156" w:afterLines="50" w:line="360" w:lineRule="auto"/>
        <w:ind w:firstLine="309" w:firstLineChars="147"/>
        <w:rPr>
          <w:rFonts w:hint="eastAsia" w:ascii="微软雅黑" w:hAnsi="微软雅黑" w:eastAsia="微软雅黑" w:cs="Arial"/>
          <w:color w:val="auto"/>
          <w:szCs w:val="21"/>
          <w:highlight w:val="none"/>
        </w:rPr>
      </w:pPr>
      <w:r>
        <w:rPr>
          <w:rFonts w:hint="eastAsia" w:ascii="微软雅黑" w:hAnsi="微软雅黑" w:eastAsia="微软雅黑" w:cs="Arial"/>
          <w:b/>
          <w:color w:val="auto"/>
          <w:szCs w:val="21"/>
          <w:highlight w:val="none"/>
        </w:rPr>
        <w:t>八</w:t>
      </w:r>
      <w:r>
        <w:rPr>
          <w:rFonts w:hint="eastAsia" w:ascii="微软雅黑" w:hAnsi="微软雅黑" w:eastAsia="微软雅黑" w:cs="Arial"/>
          <w:b/>
          <w:bCs/>
          <w:color w:val="auto"/>
          <w:szCs w:val="21"/>
          <w:highlight w:val="none"/>
        </w:rPr>
        <w:t>、投标方式、线下投标截止时间和网上投标</w:t>
      </w:r>
      <w:r>
        <w:rPr>
          <w:rStyle w:val="41"/>
          <w:rFonts w:hint="eastAsia" w:ascii="微软雅黑" w:hAnsi="微软雅黑" w:eastAsia="微软雅黑" w:cs="Courier New"/>
          <w:color w:val="auto"/>
          <w:szCs w:val="21"/>
          <w:highlight w:val="none"/>
        </w:rPr>
        <w:t>起止时间</w:t>
      </w:r>
      <w:r>
        <w:rPr>
          <w:rFonts w:hint="eastAsia" w:ascii="微软雅黑" w:hAnsi="微软雅黑" w:eastAsia="微软雅黑" w:cs="Arial"/>
          <w:color w:val="auto"/>
          <w:szCs w:val="21"/>
          <w:highlight w:val="none"/>
        </w:rPr>
        <w:t>：</w:t>
      </w:r>
    </w:p>
    <w:p w14:paraId="5EB580C4">
      <w:pPr>
        <w:spacing w:line="360" w:lineRule="auto"/>
        <w:ind w:firstLine="411" w:firstLineChars="196"/>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本项目实行线下纸质投标叠加网上电子投标。线下纸质投标文件接收截止时间：202</w:t>
      </w: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07</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04</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14</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分，未按时寄达或送达指定地点的，均视为自动放弃。网上电子投标投标人应于202</w:t>
      </w: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07</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04</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14</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分前，登录政府采购云平台，进入招标系统，按规定进行投标。投标成功会接收短信通知，逾期投标视为未投标。</w:t>
      </w:r>
    </w:p>
    <w:p w14:paraId="5DF4A1EB">
      <w:pPr>
        <w:snapToGrid w:val="0"/>
        <w:spacing w:line="360" w:lineRule="auto"/>
        <w:ind w:firstLine="309" w:firstLineChars="147"/>
        <w:rPr>
          <w:rFonts w:hint="eastAsia" w:ascii="微软雅黑" w:hAnsi="微软雅黑" w:eastAsia="微软雅黑" w:cs="Arial"/>
          <w:color w:val="auto"/>
          <w:szCs w:val="21"/>
          <w:highlight w:val="none"/>
        </w:rPr>
      </w:pPr>
      <w:r>
        <w:rPr>
          <w:rFonts w:hint="eastAsia" w:ascii="微软雅黑" w:hAnsi="微软雅黑" w:eastAsia="微软雅黑" w:cs="Arial"/>
          <w:b/>
          <w:bCs/>
          <w:color w:val="auto"/>
          <w:szCs w:val="21"/>
          <w:highlight w:val="none"/>
        </w:rPr>
        <w:t>九、开标时间及地点</w:t>
      </w:r>
      <w:r>
        <w:rPr>
          <w:rFonts w:hint="eastAsia" w:ascii="微软雅黑" w:hAnsi="微软雅黑" w:eastAsia="微软雅黑" w:cs="Arial"/>
          <w:color w:val="auto"/>
          <w:szCs w:val="21"/>
          <w:highlight w:val="none"/>
        </w:rPr>
        <w:t>：</w:t>
      </w:r>
    </w:p>
    <w:p w14:paraId="315C6815">
      <w:pPr>
        <w:snapToGrid w:val="0"/>
        <w:spacing w:line="360" w:lineRule="auto"/>
        <w:ind w:firstLine="308" w:firstLineChars="147"/>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本次招标将于</w:t>
      </w:r>
      <w:r>
        <w:rPr>
          <w:rFonts w:hint="eastAsia" w:ascii="微软雅黑" w:hAnsi="微软雅黑" w:eastAsia="微软雅黑"/>
          <w:color w:val="auto"/>
          <w:szCs w:val="21"/>
          <w:highlight w:val="none"/>
        </w:rPr>
        <w:t>202</w:t>
      </w: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07</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04</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14</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w:t>
      </w:r>
      <w:r>
        <w:rPr>
          <w:rFonts w:hint="eastAsia" w:ascii="微软雅黑" w:hAnsi="微软雅黑" w:eastAsia="微软雅黑" w:cs="Arial"/>
          <w:color w:val="auto"/>
          <w:szCs w:val="21"/>
          <w:highlight w:val="none"/>
        </w:rPr>
        <w:t>在</w:t>
      </w:r>
      <w:r>
        <w:rPr>
          <w:rFonts w:hint="eastAsia" w:ascii="微软雅黑" w:hAnsi="微软雅黑" w:eastAsia="微软雅黑"/>
          <w:color w:val="auto"/>
          <w:highlight w:val="none"/>
        </w:rPr>
        <w:t>嘉兴市秀洲区公共资源交易中心五楼开标室(嘉兴市秀洲区成秀路328号)</w:t>
      </w:r>
      <w:r>
        <w:rPr>
          <w:rFonts w:hint="eastAsia" w:ascii="微软雅黑" w:hAnsi="微软雅黑" w:eastAsia="微软雅黑" w:cs="Arial"/>
          <w:color w:val="auto"/>
          <w:szCs w:val="21"/>
          <w:highlight w:val="none"/>
        </w:rPr>
        <w:t>。</w:t>
      </w:r>
    </w:p>
    <w:p w14:paraId="020668BE">
      <w:pPr>
        <w:pStyle w:val="3"/>
        <w:numPr>
          <w:ilvl w:val="0"/>
          <w:numId w:val="4"/>
        </w:numPr>
        <w:spacing w:before="0" w:after="0" w:line="460" w:lineRule="exact"/>
        <w:ind w:firstLineChars="200"/>
        <w:rPr>
          <w:rFonts w:hint="eastAsia" w:ascii="微软雅黑" w:hAnsi="微软雅黑"/>
          <w:color w:val="auto"/>
          <w:szCs w:val="21"/>
          <w:highlight w:val="none"/>
        </w:rPr>
      </w:pPr>
      <w:bookmarkStart w:id="15" w:name="_Toc98019231"/>
      <w:r>
        <w:rPr>
          <w:rFonts w:hint="eastAsia" w:ascii="微软雅黑" w:hAnsi="微软雅黑"/>
          <w:color w:val="auto"/>
          <w:szCs w:val="21"/>
          <w:highlight w:val="none"/>
        </w:rPr>
        <w:t>招标公告发布于：</w:t>
      </w:r>
      <w:bookmarkEnd w:id="15"/>
    </w:p>
    <w:p w14:paraId="21E35AF6">
      <w:pPr>
        <w:snapToGrid w:val="0"/>
        <w:spacing w:line="460" w:lineRule="exact"/>
        <w:ind w:firstLine="420"/>
        <w:jc w:val="left"/>
        <w:rPr>
          <w:rFonts w:hint="eastAsia" w:ascii="微软雅黑" w:hAnsi="微软雅黑" w:eastAsia="微软雅黑" w:cs="Arial"/>
          <w:b/>
          <w:color w:val="auto"/>
          <w:szCs w:val="21"/>
          <w:highlight w:val="none"/>
          <w:lang w:eastAsia="zh-CN"/>
        </w:rPr>
      </w:pPr>
      <w:r>
        <w:rPr>
          <w:rFonts w:hint="eastAsia" w:ascii="微软雅黑" w:hAnsi="微软雅黑" w:eastAsia="微软雅黑"/>
          <w:color w:val="auto"/>
          <w:szCs w:val="21"/>
          <w:highlight w:val="none"/>
        </w:rPr>
        <w:t>浙江政府采购网（</w:t>
      </w:r>
      <w:r>
        <w:rPr>
          <w:color w:val="auto"/>
          <w:highlight w:val="none"/>
        </w:rPr>
        <w:fldChar w:fldCharType="begin"/>
      </w:r>
      <w:r>
        <w:rPr>
          <w:color w:val="auto"/>
          <w:highlight w:val="none"/>
        </w:rPr>
        <w:instrText xml:space="preserve"> HYPERLINK "https://zfcg.czt.zj.gov.cn/" </w:instrText>
      </w:r>
      <w:r>
        <w:rPr>
          <w:color w:val="auto"/>
          <w:highlight w:val="none"/>
        </w:rPr>
        <w:fldChar w:fldCharType="separate"/>
      </w:r>
      <w:r>
        <w:rPr>
          <w:rStyle w:val="45"/>
          <w:rFonts w:hint="eastAsia" w:ascii="微软雅黑" w:hAnsi="微软雅黑" w:eastAsia="微软雅黑"/>
          <w:color w:val="auto"/>
          <w:szCs w:val="21"/>
          <w:highlight w:val="none"/>
        </w:rPr>
        <w:t>https://zfcg.czt.zj.gov.cn/</w:t>
      </w:r>
      <w:r>
        <w:rPr>
          <w:rStyle w:val="45"/>
          <w:rFonts w:hint="eastAsia" w:ascii="微软雅黑" w:hAnsi="微软雅黑" w:eastAsia="微软雅黑"/>
          <w:color w:val="auto"/>
          <w:szCs w:val="21"/>
          <w:highlight w:val="none"/>
        </w:rPr>
        <w:fldChar w:fldCharType="end"/>
      </w:r>
      <w:r>
        <w:rPr>
          <w:rFonts w:hint="eastAsia" w:ascii="微软雅黑" w:hAnsi="微软雅黑" w:eastAsia="微软雅黑"/>
          <w:color w:val="auto"/>
          <w:szCs w:val="21"/>
          <w:highlight w:val="none"/>
        </w:rPr>
        <w:t>）和易秀招（</w:t>
      </w:r>
      <w:r>
        <w:rPr>
          <w:rStyle w:val="45"/>
          <w:rFonts w:ascii="微软雅黑" w:hAnsi="微软雅黑" w:eastAsia="微软雅黑"/>
          <w:color w:val="auto"/>
          <w:szCs w:val="21"/>
          <w:highlight w:val="none"/>
        </w:rPr>
        <w:t>https://xiuzhou.hibidding.com/web/home /</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eastAsia="zh-CN"/>
        </w:rPr>
        <w:t>。</w:t>
      </w:r>
    </w:p>
    <w:p w14:paraId="28641CC1">
      <w:pPr>
        <w:pStyle w:val="3"/>
        <w:numPr>
          <w:ilvl w:val="0"/>
          <w:numId w:val="4"/>
        </w:numPr>
        <w:spacing w:before="0" w:after="0" w:line="460" w:lineRule="exact"/>
        <w:ind w:firstLineChars="200"/>
        <w:rPr>
          <w:rFonts w:hint="eastAsia" w:ascii="微软雅黑" w:hAnsi="微软雅黑"/>
          <w:color w:val="auto"/>
          <w:szCs w:val="21"/>
          <w:highlight w:val="none"/>
        </w:rPr>
      </w:pPr>
      <w:bookmarkStart w:id="16" w:name="_Toc98019232"/>
      <w:r>
        <w:rPr>
          <w:rFonts w:hint="eastAsia" w:ascii="微软雅黑" w:hAnsi="微软雅黑"/>
          <w:color w:val="auto"/>
          <w:szCs w:val="21"/>
          <w:highlight w:val="none"/>
        </w:rPr>
        <w:t>业务咨询：</w:t>
      </w:r>
      <w:bookmarkEnd w:id="16"/>
    </w:p>
    <w:p w14:paraId="141E7798">
      <w:pPr>
        <w:snapToGrid w:val="0"/>
        <w:spacing w:line="460" w:lineRule="exact"/>
        <w:ind w:firstLine="420"/>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嘉兴市秀洲区住房保障与房地产管理服务中心</w:t>
      </w:r>
    </w:p>
    <w:p w14:paraId="4F1549B5">
      <w:pPr>
        <w:snapToGrid w:val="0"/>
        <w:spacing w:line="460" w:lineRule="exact"/>
        <w:ind w:firstLine="420"/>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项目联系人：</w:t>
      </w:r>
      <w:r>
        <w:rPr>
          <w:rFonts w:hint="eastAsia" w:ascii="微软雅黑" w:hAnsi="微软雅黑" w:eastAsia="微软雅黑"/>
          <w:color w:val="auto"/>
          <w:szCs w:val="21"/>
          <w:highlight w:val="none"/>
          <w:shd w:val="clear" w:color="auto" w:fill="FFFFFF"/>
        </w:rPr>
        <w:t xml:space="preserve">厉先生     </w:t>
      </w:r>
      <w:r>
        <w:rPr>
          <w:rFonts w:hint="eastAsia" w:ascii="微软雅黑" w:hAnsi="微软雅黑" w:eastAsia="微软雅黑" w:cs="Arial"/>
          <w:color w:val="auto"/>
          <w:szCs w:val="21"/>
          <w:highlight w:val="none"/>
        </w:rPr>
        <w:t>联系电话：</w:t>
      </w:r>
      <w:r>
        <w:rPr>
          <w:rFonts w:hint="eastAsia" w:ascii="微软雅黑" w:hAnsi="微软雅黑" w:eastAsia="微软雅黑"/>
          <w:color w:val="auto"/>
          <w:szCs w:val="21"/>
          <w:highlight w:val="none"/>
          <w:shd w:val="clear" w:color="auto" w:fill="FFFFFF"/>
        </w:rPr>
        <w:t xml:space="preserve"> </w:t>
      </w:r>
      <w:r>
        <w:rPr>
          <w:rFonts w:ascii="微软雅黑" w:hAnsi="微软雅黑" w:eastAsia="微软雅黑"/>
          <w:color w:val="auto"/>
          <w:szCs w:val="21"/>
          <w:highlight w:val="none"/>
          <w:shd w:val="clear" w:color="auto" w:fill="FFFFFF"/>
        </w:rPr>
        <w:t>0573-82721912</w:t>
      </w:r>
    </w:p>
    <w:p w14:paraId="4889FB22">
      <w:pPr>
        <w:snapToGrid w:val="0"/>
        <w:spacing w:line="460" w:lineRule="exact"/>
        <w:ind w:firstLine="420"/>
        <w:rPr>
          <w:rFonts w:hint="eastAsia" w:ascii="微软雅黑" w:hAnsi="微软雅黑" w:eastAsia="微软雅黑" w:cs="Arial"/>
          <w:bCs/>
          <w:color w:val="auto"/>
          <w:szCs w:val="21"/>
          <w:highlight w:val="none"/>
        </w:rPr>
      </w:pPr>
      <w:r>
        <w:rPr>
          <w:rFonts w:hint="eastAsia" w:ascii="微软雅黑" w:hAnsi="微软雅黑" w:eastAsia="微软雅黑" w:cs="Arial"/>
          <w:bCs/>
          <w:color w:val="auto"/>
          <w:szCs w:val="21"/>
          <w:highlight w:val="none"/>
        </w:rPr>
        <w:t xml:space="preserve">嘉兴市千秋工程咨询有限公司  </w:t>
      </w:r>
    </w:p>
    <w:p w14:paraId="6798E3F7">
      <w:pPr>
        <w:snapToGrid w:val="0"/>
        <w:spacing w:line="460" w:lineRule="exact"/>
        <w:ind w:firstLine="420"/>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联系人：章莉莉</w:t>
      </w:r>
      <w:r>
        <w:rPr>
          <w:rFonts w:hint="eastAsia" w:ascii="微软雅黑" w:hAnsi="微软雅黑" w:eastAsia="微软雅黑" w:cs="Arial"/>
          <w:color w:val="auto"/>
          <w:szCs w:val="21"/>
          <w:highlight w:val="none"/>
          <w:lang w:val="en-US" w:eastAsia="zh-CN"/>
        </w:rPr>
        <w:t>、李建良</w:t>
      </w:r>
      <w:r>
        <w:rPr>
          <w:rFonts w:hint="eastAsia" w:ascii="微软雅黑" w:hAnsi="微软雅黑" w:eastAsia="微软雅黑" w:cs="Arial"/>
          <w:color w:val="auto"/>
          <w:szCs w:val="21"/>
          <w:highlight w:val="none"/>
        </w:rPr>
        <w:t xml:space="preserve">  </w:t>
      </w:r>
    </w:p>
    <w:p w14:paraId="24FFDA89">
      <w:pPr>
        <w:snapToGrid w:val="0"/>
        <w:spacing w:line="460" w:lineRule="exact"/>
        <w:ind w:firstLine="420"/>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联系电话：0573- 83705015  13605735186</w:t>
      </w:r>
    </w:p>
    <w:p w14:paraId="252C44AC">
      <w:pPr>
        <w:snapToGrid w:val="0"/>
        <w:spacing w:line="460" w:lineRule="exact"/>
        <w:ind w:left="238"/>
        <w:jc w:val="right"/>
        <w:rPr>
          <w:rFonts w:hint="eastAsia" w:ascii="微软雅黑" w:hAnsi="微软雅黑" w:eastAsia="微软雅黑" w:cs="Arial"/>
          <w:color w:val="auto"/>
          <w:szCs w:val="21"/>
          <w:highlight w:val="none"/>
        </w:rPr>
      </w:pPr>
    </w:p>
    <w:p w14:paraId="397CADC5">
      <w:pPr>
        <w:snapToGrid w:val="0"/>
        <w:spacing w:line="460" w:lineRule="exact"/>
        <w:ind w:left="238"/>
        <w:jc w:val="right"/>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嘉兴市秀洲区住房保障与房地产管理服务中心</w:t>
      </w:r>
    </w:p>
    <w:p w14:paraId="3694864D">
      <w:pPr>
        <w:snapToGrid w:val="0"/>
        <w:spacing w:line="460" w:lineRule="exact"/>
        <w:ind w:left="238"/>
        <w:jc w:val="right"/>
        <w:rPr>
          <w:rFonts w:hint="eastAsia" w:ascii="微软雅黑" w:hAnsi="微软雅黑" w:eastAsia="微软雅黑"/>
          <w:color w:val="auto"/>
          <w:szCs w:val="21"/>
          <w:highlight w:val="none"/>
        </w:rPr>
      </w:pPr>
      <w:r>
        <w:rPr>
          <w:rFonts w:hint="eastAsia" w:ascii="微软雅黑" w:hAnsi="微软雅黑" w:eastAsia="微软雅黑" w:cs="Arial"/>
          <w:bCs/>
          <w:color w:val="auto"/>
          <w:szCs w:val="21"/>
          <w:highlight w:val="none"/>
        </w:rPr>
        <w:t>嘉兴市千秋工程咨询有限公司</w:t>
      </w:r>
    </w:p>
    <w:p w14:paraId="1AA2CF6B">
      <w:pPr>
        <w:spacing w:line="460" w:lineRule="exact"/>
        <w:jc w:val="righ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202</w:t>
      </w: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06</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25</w:t>
      </w:r>
      <w:r>
        <w:rPr>
          <w:rFonts w:hint="eastAsia" w:ascii="微软雅黑" w:hAnsi="微软雅黑" w:eastAsia="微软雅黑"/>
          <w:color w:val="auto"/>
          <w:szCs w:val="21"/>
          <w:highlight w:val="none"/>
        </w:rPr>
        <w:t>日</w:t>
      </w:r>
    </w:p>
    <w:p w14:paraId="2B938117">
      <w:pPr>
        <w:pStyle w:val="36"/>
        <w:numPr>
          <w:ilvl w:val="0"/>
          <w:numId w:val="3"/>
        </w:numPr>
        <w:rPr>
          <w:color w:val="auto"/>
          <w:highlight w:val="none"/>
        </w:rPr>
        <w:sectPr>
          <w:headerReference r:id="rId7" w:type="first"/>
          <w:footerReference r:id="rId8" w:type="first"/>
          <w:pgSz w:w="11907" w:h="16840"/>
          <w:pgMar w:top="1440" w:right="1797" w:bottom="1440" w:left="1797" w:header="851" w:footer="851" w:gutter="0"/>
          <w:pgNumType w:start="1"/>
          <w:cols w:space="425" w:num="1"/>
          <w:titlePg/>
          <w:docGrid w:type="lines" w:linePitch="312" w:charSpace="0"/>
        </w:sectPr>
      </w:pPr>
    </w:p>
    <w:p w14:paraId="4EDA51C8">
      <w:pPr>
        <w:pStyle w:val="36"/>
        <w:numPr>
          <w:ilvl w:val="0"/>
          <w:numId w:val="3"/>
        </w:numPr>
        <w:rPr>
          <w:color w:val="auto"/>
          <w:highlight w:val="none"/>
        </w:rPr>
      </w:pPr>
      <w:bookmarkStart w:id="17" w:name="_Toc98019233"/>
      <w:r>
        <w:rPr>
          <w:rFonts w:hint="eastAsia"/>
          <w:color w:val="auto"/>
          <w:highlight w:val="none"/>
        </w:rPr>
        <w:t>招标需求</w:t>
      </w:r>
      <w:bookmarkEnd w:id="6"/>
      <w:bookmarkEnd w:id="7"/>
      <w:bookmarkEnd w:id="17"/>
    </w:p>
    <w:p w14:paraId="604255CB">
      <w:pPr>
        <w:snapToGrid w:val="0"/>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本招标文件是</w:t>
      </w:r>
      <w:r>
        <w:rPr>
          <w:rFonts w:hint="eastAsia" w:ascii="微软雅黑" w:hAnsi="微软雅黑" w:eastAsia="微软雅黑"/>
          <w:color w:val="auto"/>
          <w:highlight w:val="none"/>
          <w:lang w:eastAsia="zh-CN"/>
        </w:rPr>
        <w:t>2025年度（第四期）</w:t>
      </w:r>
      <w:r>
        <w:rPr>
          <w:rFonts w:hint="eastAsia" w:ascii="微软雅黑" w:hAnsi="微软雅黑" w:eastAsia="微软雅黑"/>
          <w:color w:val="auto"/>
          <w:highlight w:val="none"/>
        </w:rPr>
        <w:t>嘉兴市秀洲区住房保障与房地产管理服务中心物业维修资金和物业保修金竞争性存放项目</w:t>
      </w:r>
      <w:r>
        <w:rPr>
          <w:rFonts w:hint="eastAsia" w:ascii="微软雅黑" w:hAnsi="微软雅黑" w:eastAsia="微软雅黑"/>
          <w:color w:val="auto"/>
          <w:szCs w:val="21"/>
          <w:highlight w:val="none"/>
        </w:rPr>
        <w:t>的规范性文件，是投标人编制投标文件的依据。该文件解释权归招标单位，招标方式：公开招标。</w:t>
      </w:r>
    </w:p>
    <w:p w14:paraId="0C7A2705">
      <w:pPr>
        <w:numPr>
          <w:ilvl w:val="0"/>
          <w:numId w:val="7"/>
        </w:num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招标文件、投标文件及其共同确定的补充文件是合同的有效组成部分，与合同具备同等的法律效力。</w:t>
      </w:r>
    </w:p>
    <w:p w14:paraId="18DF0095">
      <w:pPr>
        <w:numPr>
          <w:ilvl w:val="0"/>
          <w:numId w:val="7"/>
        </w:num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应按招标文件的要求提供投标文件，并保证所提供的全部资料的真实性，使其投标对招标文件做出实质性响应，否则，其投标将被拒绝。招标人保留进一步要求投标人补充提供有关材料的权利，拒绝提供补充材料或提供材料不真实，将被视为自动放弃投标资格。未报名者，投标无效。</w:t>
      </w:r>
    </w:p>
    <w:p w14:paraId="36DF51DB">
      <w:pPr>
        <w:numPr>
          <w:ilvl w:val="0"/>
          <w:numId w:val="7"/>
        </w:num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投标人应承担其在投标准备、编制、递交投标文件和签订合同协议书的整个过程中发生的一切费用而不论其投标结果如何。</w:t>
      </w:r>
    </w:p>
    <w:p w14:paraId="6363EDF6">
      <w:pPr>
        <w:numPr>
          <w:ilvl w:val="0"/>
          <w:numId w:val="7"/>
        </w:numPr>
        <w:snapToGrid w:val="0"/>
        <w:spacing w:line="360" w:lineRule="auto"/>
        <w:ind w:left="420" w:firstLine="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具体招标标的：</w:t>
      </w:r>
    </w:p>
    <w:p w14:paraId="16ADF18E">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s="仿宋_GB2312"/>
          <w:color w:val="auto"/>
          <w:szCs w:val="21"/>
          <w:highlight w:val="none"/>
        </w:rPr>
        <w:t>资金金额为</w:t>
      </w:r>
      <w:r>
        <w:rPr>
          <w:rFonts w:hint="eastAsia" w:ascii="微软雅黑" w:hAnsi="微软雅黑" w:eastAsia="微软雅黑" w:cs="仿宋_GB2312"/>
          <w:color w:val="auto"/>
          <w:szCs w:val="21"/>
          <w:highlight w:val="none"/>
          <w:lang w:val="en-US" w:eastAsia="zh-CN"/>
        </w:rPr>
        <w:t>10000</w:t>
      </w:r>
      <w:r>
        <w:rPr>
          <w:rFonts w:hint="eastAsia" w:ascii="微软雅黑" w:hAnsi="微软雅黑" w:eastAsia="微软雅黑" w:cs="仿宋_GB2312"/>
          <w:color w:val="auto"/>
          <w:szCs w:val="21"/>
          <w:highlight w:val="none"/>
        </w:rPr>
        <w:t>万元，存放期限为1年，中标银行均为8家，第1、2名各分配</w:t>
      </w:r>
      <w:r>
        <w:rPr>
          <w:rFonts w:hint="eastAsia" w:ascii="微软雅黑" w:hAnsi="微软雅黑" w:eastAsia="微软雅黑" w:cs="仿宋_GB2312"/>
          <w:color w:val="auto"/>
          <w:szCs w:val="21"/>
          <w:highlight w:val="none"/>
          <w:lang w:val="en-US" w:eastAsia="zh-CN"/>
        </w:rPr>
        <w:t>1600</w:t>
      </w:r>
      <w:r>
        <w:rPr>
          <w:rFonts w:hint="eastAsia" w:ascii="微软雅黑" w:hAnsi="微软雅黑" w:eastAsia="微软雅黑" w:cs="仿宋_GB2312"/>
          <w:color w:val="auto"/>
          <w:szCs w:val="21"/>
          <w:highlight w:val="none"/>
        </w:rPr>
        <w:t>万元、第3、4名各分配</w:t>
      </w:r>
      <w:r>
        <w:rPr>
          <w:rFonts w:hint="eastAsia" w:ascii="微软雅黑" w:hAnsi="微软雅黑" w:eastAsia="微软雅黑" w:cs="仿宋_GB2312"/>
          <w:color w:val="auto"/>
          <w:szCs w:val="21"/>
          <w:highlight w:val="none"/>
          <w:lang w:val="en-US" w:eastAsia="zh-CN"/>
        </w:rPr>
        <w:t>1400</w:t>
      </w:r>
      <w:r>
        <w:rPr>
          <w:rFonts w:hint="eastAsia" w:ascii="微软雅黑" w:hAnsi="微软雅黑" w:eastAsia="微软雅黑" w:cs="仿宋_GB2312"/>
          <w:color w:val="auto"/>
          <w:szCs w:val="21"/>
          <w:highlight w:val="none"/>
        </w:rPr>
        <w:t>万元，第5、6名各分配</w:t>
      </w:r>
      <w:r>
        <w:rPr>
          <w:rFonts w:hint="eastAsia" w:ascii="微软雅黑" w:hAnsi="微软雅黑" w:eastAsia="微软雅黑" w:cs="仿宋_GB2312"/>
          <w:color w:val="auto"/>
          <w:szCs w:val="21"/>
          <w:highlight w:val="none"/>
          <w:lang w:val="en-US" w:eastAsia="zh-CN"/>
        </w:rPr>
        <w:t>1200</w:t>
      </w:r>
      <w:r>
        <w:rPr>
          <w:rFonts w:hint="eastAsia" w:ascii="微软雅黑" w:hAnsi="微软雅黑" w:eastAsia="微软雅黑" w:cs="仿宋_GB2312"/>
          <w:color w:val="auto"/>
          <w:szCs w:val="21"/>
          <w:highlight w:val="none"/>
        </w:rPr>
        <w:t>万元，第7、8名各分配</w:t>
      </w:r>
      <w:r>
        <w:rPr>
          <w:rFonts w:hint="eastAsia" w:ascii="微软雅黑" w:hAnsi="微软雅黑" w:eastAsia="微软雅黑" w:cs="仿宋_GB2312"/>
          <w:color w:val="auto"/>
          <w:szCs w:val="21"/>
          <w:highlight w:val="none"/>
          <w:lang w:val="en-US" w:eastAsia="zh-CN"/>
        </w:rPr>
        <w:t>800</w:t>
      </w:r>
      <w:r>
        <w:rPr>
          <w:rFonts w:hint="eastAsia" w:ascii="微软雅黑" w:hAnsi="微软雅黑" w:eastAsia="微软雅黑" w:cs="仿宋_GB2312"/>
          <w:color w:val="auto"/>
          <w:szCs w:val="21"/>
          <w:highlight w:val="none"/>
        </w:rPr>
        <w:t>万元</w:t>
      </w:r>
      <w:r>
        <w:rPr>
          <w:rFonts w:hint="eastAsia" w:ascii="微软雅黑" w:hAnsi="微软雅黑" w:eastAsia="微软雅黑"/>
          <w:color w:val="auto"/>
          <w:szCs w:val="21"/>
          <w:highlight w:val="none"/>
        </w:rPr>
        <w:t>。</w:t>
      </w:r>
    </w:p>
    <w:p w14:paraId="20A2EAD0">
      <w:pPr>
        <w:pStyle w:val="36"/>
        <w:numPr>
          <w:ilvl w:val="0"/>
          <w:numId w:val="3"/>
        </w:numPr>
        <w:rPr>
          <w:color w:val="auto"/>
          <w:highlight w:val="none"/>
        </w:rPr>
        <w:sectPr>
          <w:pgSz w:w="11907" w:h="16840"/>
          <w:pgMar w:top="1440" w:right="1797" w:bottom="1440" w:left="1797" w:header="851" w:footer="851" w:gutter="0"/>
          <w:cols w:space="425" w:num="1"/>
          <w:titlePg/>
          <w:docGrid w:type="lines" w:linePitch="312" w:charSpace="0"/>
        </w:sectPr>
      </w:pPr>
      <w:bookmarkStart w:id="18" w:name="_Toc9342478"/>
      <w:bookmarkStart w:id="19" w:name="_Toc11650168"/>
      <w:bookmarkStart w:id="20" w:name="_Toc98019234"/>
    </w:p>
    <w:p w14:paraId="35160064">
      <w:pPr>
        <w:pStyle w:val="36"/>
        <w:numPr>
          <w:ilvl w:val="0"/>
          <w:numId w:val="3"/>
        </w:numPr>
        <w:rPr>
          <w:color w:val="auto"/>
          <w:highlight w:val="none"/>
        </w:rPr>
      </w:pPr>
      <w:r>
        <w:rPr>
          <w:rFonts w:hint="eastAsia"/>
          <w:color w:val="auto"/>
          <w:highlight w:val="none"/>
        </w:rPr>
        <w:t>投标人须知</w:t>
      </w:r>
      <w:bookmarkEnd w:id="18"/>
      <w:bookmarkEnd w:id="19"/>
      <w:bookmarkEnd w:id="20"/>
    </w:p>
    <w:tbl>
      <w:tblPr>
        <w:tblStyle w:val="39"/>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8480"/>
      </w:tblGrid>
      <w:tr w14:paraId="6C0DC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048D206">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序号</w:t>
            </w:r>
          </w:p>
        </w:tc>
        <w:tc>
          <w:tcPr>
            <w:tcW w:w="8480" w:type="dxa"/>
            <w:tcBorders>
              <w:top w:val="single" w:color="auto" w:sz="4" w:space="0"/>
              <w:left w:val="single" w:color="auto" w:sz="4" w:space="0"/>
              <w:bottom w:val="single" w:color="auto" w:sz="4" w:space="0"/>
              <w:right w:val="single" w:color="auto" w:sz="4" w:space="0"/>
            </w:tcBorders>
            <w:vAlign w:val="center"/>
          </w:tcPr>
          <w:p w14:paraId="3359D3D0">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内容、要求</w:t>
            </w:r>
          </w:p>
        </w:tc>
      </w:tr>
      <w:tr w14:paraId="0480E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D4E1DF8">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8480" w:type="dxa"/>
            <w:tcBorders>
              <w:top w:val="single" w:color="auto" w:sz="4" w:space="0"/>
              <w:left w:val="single" w:color="auto" w:sz="4" w:space="0"/>
              <w:bottom w:val="single" w:color="auto" w:sz="4" w:space="0"/>
              <w:right w:val="single" w:color="auto" w:sz="4" w:space="0"/>
            </w:tcBorders>
            <w:vAlign w:val="center"/>
          </w:tcPr>
          <w:p w14:paraId="2E051D29">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项目名称：</w:t>
            </w:r>
            <w:r>
              <w:rPr>
                <w:rFonts w:hint="eastAsia" w:ascii="微软雅黑" w:hAnsi="微软雅黑" w:eastAsia="微软雅黑"/>
                <w:color w:val="auto"/>
                <w:highlight w:val="none"/>
                <w:lang w:eastAsia="zh-CN"/>
              </w:rPr>
              <w:t>2025年度（第四期）</w:t>
            </w:r>
            <w:r>
              <w:rPr>
                <w:rFonts w:hint="eastAsia" w:ascii="微软雅黑" w:hAnsi="微软雅黑" w:eastAsia="微软雅黑"/>
                <w:color w:val="auto"/>
                <w:highlight w:val="none"/>
              </w:rPr>
              <w:t>嘉兴市秀洲区住房保障与房地产管理服务中心物业维修资金和物业保修金竞争性存放项目</w:t>
            </w:r>
          </w:p>
        </w:tc>
      </w:tr>
      <w:tr w14:paraId="7A219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502E0D8">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8480" w:type="dxa"/>
            <w:tcBorders>
              <w:top w:val="single" w:color="auto" w:sz="4" w:space="0"/>
              <w:left w:val="single" w:color="auto" w:sz="4" w:space="0"/>
              <w:bottom w:val="single" w:color="auto" w:sz="4" w:space="0"/>
              <w:right w:val="single" w:color="auto" w:sz="4" w:space="0"/>
            </w:tcBorders>
            <w:vAlign w:val="center"/>
          </w:tcPr>
          <w:p w14:paraId="0D4DF9DE">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招标内容：</w:t>
            </w:r>
            <w:r>
              <w:rPr>
                <w:rFonts w:hint="eastAsia" w:ascii="微软雅黑" w:hAnsi="微软雅黑" w:eastAsia="微软雅黑"/>
                <w:color w:val="auto"/>
                <w:highlight w:val="none"/>
              </w:rPr>
              <w:t>公款竞争性存放</w:t>
            </w:r>
            <w:r>
              <w:rPr>
                <w:rFonts w:hint="eastAsia" w:ascii="微软雅黑" w:hAnsi="微软雅黑" w:eastAsia="微软雅黑" w:cs="Arial"/>
                <w:color w:val="auto"/>
                <w:szCs w:val="21"/>
                <w:highlight w:val="none"/>
              </w:rPr>
              <w:t>。</w:t>
            </w:r>
          </w:p>
        </w:tc>
      </w:tr>
      <w:tr w14:paraId="7F6EE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C5E4739">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w:t>
            </w:r>
          </w:p>
        </w:tc>
        <w:tc>
          <w:tcPr>
            <w:tcW w:w="8480" w:type="dxa"/>
            <w:tcBorders>
              <w:top w:val="single" w:color="auto" w:sz="4" w:space="0"/>
              <w:left w:val="single" w:color="auto" w:sz="4" w:space="0"/>
              <w:bottom w:val="single" w:color="auto" w:sz="4" w:space="0"/>
              <w:right w:val="single" w:color="auto" w:sz="4" w:space="0"/>
            </w:tcBorders>
            <w:vAlign w:val="center"/>
          </w:tcPr>
          <w:p w14:paraId="72B8E6B6">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投标报价及费用：</w:t>
            </w:r>
          </w:p>
          <w:p w14:paraId="6F9F9362">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1、本项目投标应以人民币报价；</w:t>
            </w:r>
          </w:p>
          <w:p w14:paraId="4ADD9E0D">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2、不论投标结果如何，投标人均应自行承担所有与投标有关的全部费用。</w:t>
            </w:r>
          </w:p>
        </w:tc>
      </w:tr>
      <w:tr w14:paraId="03C11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6E8C7DF">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4</w:t>
            </w:r>
          </w:p>
        </w:tc>
        <w:tc>
          <w:tcPr>
            <w:tcW w:w="8480" w:type="dxa"/>
            <w:tcBorders>
              <w:top w:val="single" w:color="auto" w:sz="4" w:space="0"/>
              <w:left w:val="single" w:color="auto" w:sz="4" w:space="0"/>
              <w:bottom w:val="single" w:color="auto" w:sz="4" w:space="0"/>
              <w:right w:val="single" w:color="auto" w:sz="4" w:space="0"/>
            </w:tcBorders>
            <w:vAlign w:val="center"/>
          </w:tcPr>
          <w:p w14:paraId="6157FA5F">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投标人获取招标文件后，可与招标单位联系。</w:t>
            </w:r>
          </w:p>
        </w:tc>
      </w:tr>
      <w:tr w14:paraId="25707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0D153AA">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5</w:t>
            </w:r>
          </w:p>
        </w:tc>
        <w:tc>
          <w:tcPr>
            <w:tcW w:w="8480" w:type="dxa"/>
            <w:tcBorders>
              <w:top w:val="single" w:color="auto" w:sz="4" w:space="0"/>
              <w:left w:val="single" w:color="auto" w:sz="4" w:space="0"/>
              <w:bottom w:val="single" w:color="auto" w:sz="4" w:space="0"/>
              <w:right w:val="single" w:color="auto" w:sz="4" w:space="0"/>
            </w:tcBorders>
            <w:vAlign w:val="center"/>
          </w:tcPr>
          <w:p w14:paraId="6C56D05E">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答疑与澄清：投标人应认真阅读本招标文件，发现其中有误或不理解的，投标人必须在投标截止3日前以书面形式要求采购代理机构澄清，否则，由此产生的后果由投标人负责。</w:t>
            </w:r>
          </w:p>
        </w:tc>
      </w:tr>
      <w:tr w14:paraId="41CC3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38687D5">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6</w:t>
            </w:r>
          </w:p>
        </w:tc>
        <w:tc>
          <w:tcPr>
            <w:tcW w:w="8480" w:type="dxa"/>
            <w:tcBorders>
              <w:top w:val="single" w:color="auto" w:sz="4" w:space="0"/>
              <w:left w:val="single" w:color="auto" w:sz="4" w:space="0"/>
              <w:bottom w:val="single" w:color="auto" w:sz="4" w:space="0"/>
              <w:right w:val="single" w:color="auto" w:sz="4" w:space="0"/>
            </w:tcBorders>
            <w:vAlign w:val="center"/>
          </w:tcPr>
          <w:p w14:paraId="61172FAE">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线下投标文件组成：投标文件的资信技术文件和投标报价文件装订成一本，正本</w:t>
            </w:r>
            <w:r>
              <w:rPr>
                <w:rFonts w:hint="eastAsia" w:ascii="微软雅黑" w:hAnsi="微软雅黑" w:eastAsia="微软雅黑" w:cs="Arial"/>
                <w:color w:val="auto"/>
                <w:szCs w:val="21"/>
                <w:highlight w:val="none"/>
              </w:rPr>
              <w:t>1</w:t>
            </w:r>
            <w:r>
              <w:rPr>
                <w:rFonts w:hint="eastAsia" w:ascii="微软雅黑" w:hAnsi="微软雅黑" w:eastAsia="微软雅黑"/>
                <w:color w:val="auto"/>
                <w:szCs w:val="21"/>
                <w:highlight w:val="none"/>
              </w:rPr>
              <w:t>份副本</w:t>
            </w:r>
            <w:r>
              <w:rPr>
                <w:rFonts w:hint="eastAsia" w:ascii="微软雅黑" w:hAnsi="微软雅黑" w:eastAsia="微软雅黑" w:cs="Arial"/>
                <w:color w:val="auto"/>
                <w:szCs w:val="21"/>
                <w:highlight w:val="none"/>
              </w:rPr>
              <w:t>1</w:t>
            </w:r>
            <w:r>
              <w:rPr>
                <w:rFonts w:hint="eastAsia" w:ascii="微软雅黑" w:hAnsi="微软雅黑" w:eastAsia="微软雅黑"/>
                <w:color w:val="auto"/>
                <w:szCs w:val="21"/>
                <w:highlight w:val="none"/>
              </w:rPr>
              <w:t>份。</w:t>
            </w:r>
          </w:p>
        </w:tc>
      </w:tr>
      <w:tr w14:paraId="0D4C8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D84B42D">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7</w:t>
            </w:r>
          </w:p>
        </w:tc>
        <w:tc>
          <w:tcPr>
            <w:tcW w:w="8480" w:type="dxa"/>
            <w:tcBorders>
              <w:top w:val="single" w:color="auto" w:sz="4" w:space="0"/>
              <w:left w:val="single" w:color="auto" w:sz="4" w:space="0"/>
              <w:bottom w:val="single" w:color="auto" w:sz="4" w:space="0"/>
              <w:right w:val="single" w:color="auto" w:sz="4" w:space="0"/>
            </w:tcBorders>
            <w:vAlign w:val="center"/>
          </w:tcPr>
          <w:p w14:paraId="19F4010D">
            <w:pPr>
              <w:snapToGrid w:val="0"/>
              <w:spacing w:line="276" w:lineRule="auto"/>
              <w:rPr>
                <w:rFonts w:hint="eastAsia" w:ascii="微软雅黑" w:hAnsi="微软雅黑" w:eastAsia="微软雅黑" w:cs="Arial"/>
                <w:color w:val="auto"/>
                <w:szCs w:val="21"/>
                <w:highlight w:val="none"/>
              </w:rPr>
            </w:pPr>
            <w:r>
              <w:rPr>
                <w:rFonts w:hint="eastAsia" w:ascii="微软雅黑" w:hAnsi="微软雅黑" w:eastAsia="微软雅黑"/>
                <w:color w:val="auto"/>
                <w:szCs w:val="21"/>
                <w:highlight w:val="none"/>
              </w:rPr>
              <w:t>线下投标截止时间及地点：投标人应于202</w:t>
            </w: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07</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04</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14</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分前将纸质投标文件装袋密封后，通过邮寄快递（或直接送达）方式邮寄（或直接送达）至嘉兴市千秋工程咨询有限公司。（注：①邮寄或直接送达地址：嘉兴市秀洲区新平路299号中禾广场</w:t>
            </w:r>
            <w:r>
              <w:rPr>
                <w:rFonts w:hint="eastAsia" w:ascii="微软雅黑" w:hAnsi="微软雅黑" w:eastAsia="微软雅黑"/>
                <w:color w:val="auto"/>
                <w:szCs w:val="21"/>
                <w:highlight w:val="none"/>
                <w:lang w:val="en-US" w:eastAsia="zh-CN"/>
              </w:rPr>
              <w:t>23</w:t>
            </w:r>
            <w:r>
              <w:rPr>
                <w:rFonts w:hint="eastAsia" w:ascii="微软雅黑" w:hAnsi="微软雅黑" w:eastAsia="微软雅黑"/>
                <w:color w:val="auto"/>
                <w:szCs w:val="21"/>
                <w:highlight w:val="none"/>
              </w:rPr>
              <w:t>楼</w:t>
            </w:r>
            <w:r>
              <w:rPr>
                <w:rFonts w:hint="eastAsia" w:ascii="微软雅黑" w:hAnsi="微软雅黑" w:eastAsia="微软雅黑"/>
                <w:color w:val="auto"/>
                <w:szCs w:val="21"/>
                <w:highlight w:val="none"/>
                <w:lang w:val="en-US" w:eastAsia="zh-CN"/>
              </w:rPr>
              <w:t>政府采购办公室</w:t>
            </w:r>
            <w:r>
              <w:rPr>
                <w:rFonts w:hint="eastAsia" w:ascii="微软雅黑" w:hAnsi="微软雅黑" w:eastAsia="微软雅黑"/>
                <w:color w:val="auto"/>
                <w:szCs w:val="21"/>
                <w:highlight w:val="none"/>
              </w:rPr>
              <w:t>，收件人：章莉莉，联系电话：13605735186；②若投标人采用寄件方式递交投标文件的，请务必在密封袋上注明联系人姓名及联系电话，以便于代理公司工作人员及时通知投标人确认投标文件的接收情况；③由代理公司工作人员做好投标文件交接签收记录，鉴于快递送达时间存在一定的不确定因素，投标人应充分考虑投标文件制作及投标文件邮寄所需的时间，由于快递邮寄原因不能按时寄达的，后果由投标人自负。）</w:t>
            </w:r>
          </w:p>
        </w:tc>
      </w:tr>
      <w:tr w14:paraId="18F6E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2F4F3D9">
            <w:pPr>
              <w:snapToGrid w:val="0"/>
              <w:spacing w:line="24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8</w:t>
            </w:r>
          </w:p>
        </w:tc>
        <w:tc>
          <w:tcPr>
            <w:tcW w:w="8480" w:type="dxa"/>
            <w:tcBorders>
              <w:top w:val="single" w:color="auto" w:sz="4" w:space="0"/>
              <w:left w:val="single" w:color="auto" w:sz="4" w:space="0"/>
              <w:bottom w:val="single" w:color="auto" w:sz="4" w:space="0"/>
              <w:right w:val="single" w:color="auto" w:sz="4" w:space="0"/>
            </w:tcBorders>
            <w:vAlign w:val="center"/>
          </w:tcPr>
          <w:p w14:paraId="1CD239A4">
            <w:pPr>
              <w:snapToGrid w:val="0"/>
              <w:spacing w:line="24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开标时间及地点：202</w:t>
            </w: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07</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04</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14</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w:t>
            </w:r>
            <w:r>
              <w:rPr>
                <w:rFonts w:hint="eastAsia" w:ascii="微软雅黑" w:hAnsi="微软雅黑" w:eastAsia="微软雅黑" w:cs="Arial"/>
                <w:color w:val="auto"/>
                <w:szCs w:val="21"/>
                <w:highlight w:val="none"/>
              </w:rPr>
              <w:t>在</w:t>
            </w:r>
            <w:r>
              <w:rPr>
                <w:rFonts w:hint="eastAsia" w:ascii="微软雅黑" w:hAnsi="微软雅黑" w:eastAsia="微软雅黑"/>
                <w:color w:val="auto"/>
                <w:highlight w:val="none"/>
              </w:rPr>
              <w:t>嘉兴市秀洲区公共资源交易中心五楼开标室(嘉兴市秀洲区成秀路328号)</w:t>
            </w:r>
            <w:r>
              <w:rPr>
                <w:rFonts w:hint="eastAsia" w:ascii="微软雅黑" w:hAnsi="微软雅黑" w:eastAsia="微软雅黑"/>
                <w:color w:val="auto"/>
                <w:szCs w:val="21"/>
                <w:highlight w:val="none"/>
              </w:rPr>
              <w:t>开</w:t>
            </w:r>
            <w:r>
              <w:rPr>
                <w:rFonts w:hint="eastAsia" w:ascii="微软雅黑" w:hAnsi="微软雅黑" w:eastAsia="微软雅黑" w:cs="Arial"/>
                <w:color w:val="auto"/>
                <w:szCs w:val="21"/>
                <w:highlight w:val="none"/>
              </w:rPr>
              <w:t>标。</w:t>
            </w:r>
            <w:r>
              <w:rPr>
                <w:rFonts w:hint="eastAsia" w:ascii="微软雅黑" w:hAnsi="微软雅黑" w:eastAsia="微软雅黑"/>
                <w:color w:val="auto"/>
                <w:kern w:val="0"/>
                <w:szCs w:val="21"/>
                <w:highlight w:val="none"/>
              </w:rPr>
              <w:t>本项目不要求投标人至开标现场参加开标及开启投标文件活动。</w:t>
            </w:r>
          </w:p>
        </w:tc>
      </w:tr>
      <w:tr w14:paraId="3DC99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6EB01A7">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9</w:t>
            </w:r>
          </w:p>
        </w:tc>
        <w:tc>
          <w:tcPr>
            <w:tcW w:w="8480" w:type="dxa"/>
            <w:tcBorders>
              <w:top w:val="single" w:color="auto" w:sz="4" w:space="0"/>
              <w:left w:val="single" w:color="auto" w:sz="4" w:space="0"/>
              <w:bottom w:val="single" w:color="auto" w:sz="4" w:space="0"/>
              <w:right w:val="single" w:color="auto" w:sz="4" w:space="0"/>
            </w:tcBorders>
            <w:vAlign w:val="center"/>
          </w:tcPr>
          <w:p w14:paraId="33177F58">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评标办法及评分标准：详见第四章。</w:t>
            </w:r>
          </w:p>
        </w:tc>
      </w:tr>
      <w:tr w14:paraId="5438C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55E627F">
            <w:pPr>
              <w:snapToGrid w:val="0"/>
              <w:spacing w:line="24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10</w:t>
            </w:r>
          </w:p>
        </w:tc>
        <w:tc>
          <w:tcPr>
            <w:tcW w:w="8480" w:type="dxa"/>
            <w:tcBorders>
              <w:top w:val="single" w:color="auto" w:sz="4" w:space="0"/>
              <w:left w:val="single" w:color="auto" w:sz="4" w:space="0"/>
              <w:bottom w:val="single" w:color="auto" w:sz="4" w:space="0"/>
              <w:right w:val="single" w:color="auto" w:sz="4" w:space="0"/>
            </w:tcBorders>
            <w:vAlign w:val="center"/>
          </w:tcPr>
          <w:p w14:paraId="478DC268">
            <w:pPr>
              <w:autoSpaceDE w:val="0"/>
              <w:autoSpaceDN w:val="0"/>
              <w:snapToGrid w:val="0"/>
              <w:spacing w:line="240" w:lineRule="auto"/>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投标人只允许市级银行业金融机构由其管辖行</w:t>
            </w:r>
            <w:r>
              <w:rPr>
                <w:rFonts w:hint="eastAsia" w:ascii="微软雅黑" w:hAnsi="微软雅黑" w:eastAsia="微软雅黑"/>
                <w:color w:val="auto"/>
                <w:szCs w:val="21"/>
                <w:highlight w:val="none"/>
                <w:lang w:val="en-US" w:eastAsia="zh-CN"/>
              </w:rPr>
              <w:t>作</w:t>
            </w:r>
            <w:r>
              <w:rPr>
                <w:rFonts w:hint="eastAsia" w:ascii="微软雅黑" w:hAnsi="微软雅黑" w:eastAsia="微软雅黑"/>
                <w:color w:val="auto"/>
                <w:szCs w:val="21"/>
                <w:highlight w:val="none"/>
              </w:rPr>
              <w:t>为唯一投标人，其分支机构不能做为投标人参加投标。</w:t>
            </w:r>
          </w:p>
        </w:tc>
      </w:tr>
      <w:tr w14:paraId="71EA2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791EBDF">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11</w:t>
            </w:r>
          </w:p>
        </w:tc>
        <w:tc>
          <w:tcPr>
            <w:tcW w:w="8480" w:type="dxa"/>
            <w:tcBorders>
              <w:top w:val="single" w:color="auto" w:sz="4" w:space="0"/>
              <w:left w:val="single" w:color="auto" w:sz="4" w:space="0"/>
              <w:bottom w:val="single" w:color="auto" w:sz="4" w:space="0"/>
              <w:right w:val="single" w:color="auto" w:sz="4" w:space="0"/>
            </w:tcBorders>
            <w:vAlign w:val="center"/>
          </w:tcPr>
          <w:p w14:paraId="09EF12A3">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评标结果公告：浙江政府采购网（</w:t>
            </w:r>
            <w:r>
              <w:rPr>
                <w:color w:val="auto"/>
                <w:highlight w:val="none"/>
              </w:rPr>
              <w:fldChar w:fldCharType="begin"/>
            </w:r>
            <w:r>
              <w:rPr>
                <w:color w:val="auto"/>
                <w:highlight w:val="none"/>
              </w:rPr>
              <w:instrText xml:space="preserve"> HYPERLINK "https://zfcg.czt.zj.gov.cn/" </w:instrText>
            </w:r>
            <w:r>
              <w:rPr>
                <w:color w:val="auto"/>
                <w:highlight w:val="none"/>
              </w:rPr>
              <w:fldChar w:fldCharType="separate"/>
            </w:r>
            <w:r>
              <w:rPr>
                <w:rStyle w:val="45"/>
                <w:rFonts w:hint="eastAsia" w:ascii="微软雅黑" w:hAnsi="微软雅黑" w:eastAsia="微软雅黑"/>
                <w:color w:val="auto"/>
                <w:szCs w:val="21"/>
                <w:highlight w:val="none"/>
              </w:rPr>
              <w:t>https://zfcg.czt.zj.gov.cn/</w:t>
            </w:r>
            <w:r>
              <w:rPr>
                <w:rStyle w:val="45"/>
                <w:rFonts w:hint="eastAsia" w:ascii="微软雅黑" w:hAnsi="微软雅黑" w:eastAsia="微软雅黑"/>
                <w:color w:val="auto"/>
                <w:szCs w:val="21"/>
                <w:highlight w:val="none"/>
              </w:rPr>
              <w:fldChar w:fldCharType="end"/>
            </w:r>
            <w:r>
              <w:rPr>
                <w:rFonts w:hint="eastAsia" w:ascii="微软雅黑" w:hAnsi="微软雅黑" w:eastAsia="微软雅黑"/>
                <w:color w:val="auto"/>
                <w:szCs w:val="21"/>
                <w:highlight w:val="none"/>
              </w:rPr>
              <w:t>）和易秀招（</w:t>
            </w:r>
            <w:r>
              <w:rPr>
                <w:rStyle w:val="45"/>
                <w:rFonts w:ascii="微软雅黑" w:hAnsi="微软雅黑" w:eastAsia="微软雅黑"/>
                <w:color w:val="auto"/>
                <w:szCs w:val="21"/>
                <w:highlight w:val="none"/>
              </w:rPr>
              <w:t>https://xiuzhou.hibidding.com/web/home</w:t>
            </w:r>
            <w:r>
              <w:rPr>
                <w:rFonts w:hint="eastAsia" w:ascii="微软雅黑" w:hAnsi="微软雅黑" w:eastAsia="微软雅黑"/>
                <w:color w:val="auto"/>
                <w:szCs w:val="21"/>
                <w:highlight w:val="none"/>
              </w:rPr>
              <w:t>）</w:t>
            </w:r>
          </w:p>
        </w:tc>
      </w:tr>
      <w:tr w14:paraId="479BD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F5BC5AF">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12</w:t>
            </w:r>
          </w:p>
        </w:tc>
        <w:tc>
          <w:tcPr>
            <w:tcW w:w="8480" w:type="dxa"/>
            <w:tcBorders>
              <w:top w:val="single" w:color="auto" w:sz="4" w:space="0"/>
              <w:left w:val="single" w:color="auto" w:sz="4" w:space="0"/>
              <w:bottom w:val="single" w:color="auto" w:sz="4" w:space="0"/>
              <w:right w:val="single" w:color="auto" w:sz="4" w:space="0"/>
            </w:tcBorders>
            <w:vAlign w:val="center"/>
          </w:tcPr>
          <w:p w14:paraId="56C7E8F6">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中标公告及中标通知书：评标结束后2个工作日内，中标公告发布于上述媒体。</w:t>
            </w:r>
          </w:p>
        </w:tc>
      </w:tr>
      <w:tr w14:paraId="57E90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6BDBDFF">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13</w:t>
            </w:r>
          </w:p>
        </w:tc>
        <w:tc>
          <w:tcPr>
            <w:tcW w:w="8480" w:type="dxa"/>
            <w:tcBorders>
              <w:top w:val="single" w:color="auto" w:sz="4" w:space="0"/>
              <w:left w:val="single" w:color="auto" w:sz="4" w:space="0"/>
              <w:bottom w:val="single" w:color="auto" w:sz="4" w:space="0"/>
              <w:right w:val="single" w:color="auto" w:sz="4" w:space="0"/>
            </w:tcBorders>
            <w:vAlign w:val="center"/>
          </w:tcPr>
          <w:p w14:paraId="134040BE">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签订合同时间：</w:t>
            </w:r>
            <w:r>
              <w:rPr>
                <w:rFonts w:hint="eastAsia" w:ascii="微软雅黑" w:hAnsi="微软雅黑" w:eastAsia="微软雅黑" w:cs="微软雅黑"/>
                <w:color w:val="auto"/>
                <w:szCs w:val="21"/>
                <w:highlight w:val="none"/>
              </w:rPr>
              <w:t>中标通知书发出后30日内。</w:t>
            </w:r>
          </w:p>
        </w:tc>
      </w:tr>
      <w:tr w14:paraId="2BB95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24C782D">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14</w:t>
            </w:r>
          </w:p>
        </w:tc>
        <w:tc>
          <w:tcPr>
            <w:tcW w:w="8480" w:type="dxa"/>
            <w:tcBorders>
              <w:top w:val="single" w:color="auto" w:sz="4" w:space="0"/>
              <w:left w:val="single" w:color="auto" w:sz="4" w:space="0"/>
              <w:bottom w:val="single" w:color="auto" w:sz="4" w:space="0"/>
              <w:right w:val="single" w:color="auto" w:sz="4" w:space="0"/>
            </w:tcBorders>
            <w:vAlign w:val="center"/>
          </w:tcPr>
          <w:p w14:paraId="25A7110F">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投标文件有效期：</w:t>
            </w:r>
            <w:r>
              <w:rPr>
                <w:rFonts w:hint="eastAsia" w:ascii="微软雅黑" w:hAnsi="微软雅黑" w:eastAsia="微软雅黑"/>
                <w:color w:val="auto"/>
                <w:szCs w:val="21"/>
                <w:highlight w:val="none"/>
                <w:u w:val="single"/>
              </w:rPr>
              <w:t xml:space="preserve"> 60 </w:t>
            </w:r>
            <w:r>
              <w:rPr>
                <w:rFonts w:hint="eastAsia" w:ascii="微软雅黑" w:hAnsi="微软雅黑" w:eastAsia="微软雅黑" w:cs="Arial"/>
                <w:color w:val="auto"/>
                <w:szCs w:val="21"/>
                <w:highlight w:val="none"/>
              </w:rPr>
              <w:t>天。</w:t>
            </w:r>
          </w:p>
        </w:tc>
      </w:tr>
      <w:tr w14:paraId="21DB1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A4D01D9">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15</w:t>
            </w:r>
          </w:p>
        </w:tc>
        <w:tc>
          <w:tcPr>
            <w:tcW w:w="8480" w:type="dxa"/>
            <w:tcBorders>
              <w:top w:val="single" w:color="auto" w:sz="4" w:space="0"/>
              <w:left w:val="single" w:color="auto" w:sz="4" w:space="0"/>
              <w:bottom w:val="single" w:color="auto" w:sz="4" w:space="0"/>
              <w:right w:val="single" w:color="auto" w:sz="4" w:space="0"/>
            </w:tcBorders>
            <w:vAlign w:val="center"/>
          </w:tcPr>
          <w:p w14:paraId="0718086A">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解释：本招标文件的解释权属于</w:t>
            </w:r>
            <w:r>
              <w:rPr>
                <w:rFonts w:hint="eastAsia" w:ascii="微软雅黑" w:hAnsi="微软雅黑" w:eastAsia="微软雅黑"/>
                <w:b/>
                <w:bCs/>
                <w:color w:val="auto"/>
                <w:szCs w:val="21"/>
                <w:highlight w:val="none"/>
              </w:rPr>
              <w:t>嘉兴市秀洲区住房保障与房地产管理服务中心。</w:t>
            </w:r>
          </w:p>
        </w:tc>
      </w:tr>
    </w:tbl>
    <w:p w14:paraId="6733E4FE">
      <w:pPr>
        <w:widowControl/>
        <w:spacing w:line="480" w:lineRule="exact"/>
        <w:ind w:firstLine="420" w:firstLineChars="200"/>
        <w:jc w:val="left"/>
        <w:rPr>
          <w:rFonts w:hint="eastAsia" w:ascii="微软雅黑" w:hAnsi="微软雅黑" w:eastAsia="微软雅黑"/>
          <w:b/>
          <w:color w:val="auto"/>
          <w:szCs w:val="21"/>
          <w:highlight w:val="none"/>
        </w:rPr>
        <w:sectPr>
          <w:pgSz w:w="11907" w:h="16840"/>
          <w:pgMar w:top="1440" w:right="1797" w:bottom="1440" w:left="1797" w:header="851" w:footer="851" w:gutter="0"/>
          <w:cols w:space="425" w:num="1"/>
          <w:titlePg/>
          <w:docGrid w:type="lines" w:linePitch="312" w:charSpace="0"/>
        </w:sectPr>
      </w:pPr>
    </w:p>
    <w:p w14:paraId="46711B14">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21" w:name="_Toc98019235"/>
      <w:bookmarkStart w:id="22" w:name="_Toc16633"/>
      <w:r>
        <w:rPr>
          <w:rFonts w:hint="eastAsia" w:ascii="微软雅黑" w:hAnsi="微软雅黑" w:eastAsia="微软雅黑" w:cs="微软雅黑"/>
          <w:color w:val="auto"/>
          <w:sz w:val="21"/>
          <w:szCs w:val="21"/>
          <w:highlight w:val="none"/>
        </w:rPr>
        <w:t>总  则</w:t>
      </w:r>
      <w:bookmarkEnd w:id="21"/>
      <w:bookmarkEnd w:id="22"/>
    </w:p>
    <w:p w14:paraId="72F11714">
      <w:pPr>
        <w:pStyle w:val="3"/>
        <w:numPr>
          <w:ilvl w:val="1"/>
          <w:numId w:val="9"/>
        </w:numPr>
        <w:spacing w:before="0" w:after="0" w:line="360" w:lineRule="auto"/>
        <w:ind w:firstLine="420" w:firstLineChars="200"/>
        <w:rPr>
          <w:color w:val="auto"/>
          <w:highlight w:val="none"/>
        </w:rPr>
      </w:pPr>
      <w:bookmarkStart w:id="23" w:name="_Toc98019236"/>
      <w:bookmarkStart w:id="24" w:name="_Toc9342479"/>
      <w:bookmarkStart w:id="25" w:name="_Toc11650169"/>
      <w:r>
        <w:rPr>
          <w:rFonts w:hint="eastAsia"/>
          <w:color w:val="auto"/>
          <w:highlight w:val="none"/>
        </w:rPr>
        <w:t>适用范围</w:t>
      </w:r>
      <w:bookmarkEnd w:id="23"/>
      <w:bookmarkEnd w:id="24"/>
      <w:bookmarkEnd w:id="25"/>
    </w:p>
    <w:p w14:paraId="7E9C4C34">
      <w:pPr>
        <w:snapToGrid w:val="0"/>
        <w:spacing w:line="360" w:lineRule="auto"/>
        <w:ind w:firstLine="420"/>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本招标文件适用于</w:t>
      </w:r>
      <w:r>
        <w:rPr>
          <w:rFonts w:hint="eastAsia" w:ascii="微软雅黑" w:hAnsi="微软雅黑" w:eastAsia="微软雅黑" w:cs="Arial"/>
          <w:color w:val="auto"/>
          <w:szCs w:val="21"/>
          <w:highlight w:val="none"/>
          <w:lang w:eastAsia="zh-CN"/>
        </w:rPr>
        <w:t>2025年度（第四期）</w:t>
      </w:r>
      <w:r>
        <w:rPr>
          <w:rFonts w:hint="eastAsia" w:ascii="微软雅黑" w:hAnsi="微软雅黑" w:eastAsia="微软雅黑" w:cs="Arial"/>
          <w:color w:val="auto"/>
          <w:szCs w:val="21"/>
          <w:highlight w:val="none"/>
        </w:rPr>
        <w:t>嘉兴市秀洲区住房保障与房地产管理服务中心物业维修资金和物业保修金竞争性存放项目的招标、投标、评标、定标、验收、合同履约、付款等行为（法律、法规另有规定的，从其规定）。</w:t>
      </w:r>
    </w:p>
    <w:p w14:paraId="2F352875">
      <w:pPr>
        <w:pStyle w:val="3"/>
        <w:numPr>
          <w:ilvl w:val="1"/>
          <w:numId w:val="9"/>
        </w:numPr>
        <w:spacing w:before="0" w:after="0" w:line="360" w:lineRule="auto"/>
        <w:ind w:firstLine="420" w:firstLineChars="200"/>
        <w:rPr>
          <w:color w:val="auto"/>
          <w:highlight w:val="none"/>
        </w:rPr>
      </w:pPr>
      <w:bookmarkStart w:id="26" w:name="_Toc11650170"/>
      <w:bookmarkStart w:id="27" w:name="_Toc9342480"/>
      <w:bookmarkStart w:id="28" w:name="_Toc98019237"/>
      <w:r>
        <w:rPr>
          <w:rFonts w:hint="eastAsia"/>
          <w:color w:val="auto"/>
          <w:highlight w:val="none"/>
        </w:rPr>
        <w:t>定义</w:t>
      </w:r>
      <w:bookmarkEnd w:id="26"/>
      <w:bookmarkEnd w:id="27"/>
      <w:bookmarkEnd w:id="28"/>
    </w:p>
    <w:p w14:paraId="09B15AFF">
      <w:pPr>
        <w:numPr>
          <w:ilvl w:val="0"/>
          <w:numId w:val="1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“招标人”系指组织本次招标的代理机构和存款单位。</w:t>
      </w:r>
    </w:p>
    <w:p w14:paraId="57219ECB">
      <w:pPr>
        <w:numPr>
          <w:ilvl w:val="0"/>
          <w:numId w:val="1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“投标人”系指向招标方提交投标文件的银行业金融机构。</w:t>
      </w:r>
    </w:p>
    <w:p w14:paraId="398F7FAE">
      <w:pPr>
        <w:numPr>
          <w:ilvl w:val="0"/>
          <w:numId w:val="1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“产品”系指供方按招标文件规定，须向招标人提供的有关技术资料和材料。</w:t>
      </w:r>
    </w:p>
    <w:p w14:paraId="6789BC32">
      <w:pPr>
        <w:numPr>
          <w:ilvl w:val="0"/>
          <w:numId w:val="1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“服务”系指招标文件规定投标人须承担的其他类似的义务。</w:t>
      </w:r>
    </w:p>
    <w:p w14:paraId="7E0625CF">
      <w:pPr>
        <w:numPr>
          <w:ilvl w:val="0"/>
          <w:numId w:val="1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“项目”系指投标人按招标文件规定向招标人提供的产品和服务。</w:t>
      </w:r>
    </w:p>
    <w:p w14:paraId="147ADB30">
      <w:pPr>
        <w:numPr>
          <w:ilvl w:val="0"/>
          <w:numId w:val="1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“书面形式”包括信函、传真、电报等。</w:t>
      </w:r>
    </w:p>
    <w:p w14:paraId="05DBB97F">
      <w:pPr>
        <w:numPr>
          <w:ilvl w:val="0"/>
          <w:numId w:val="1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“▲”系指实质性要求条款。</w:t>
      </w:r>
    </w:p>
    <w:p w14:paraId="3F5DAD2B">
      <w:pPr>
        <w:pStyle w:val="3"/>
        <w:numPr>
          <w:ilvl w:val="1"/>
          <w:numId w:val="9"/>
        </w:numPr>
        <w:spacing w:before="0" w:after="0" w:line="360" w:lineRule="auto"/>
        <w:ind w:firstLine="420" w:firstLineChars="200"/>
        <w:rPr>
          <w:color w:val="auto"/>
          <w:highlight w:val="none"/>
        </w:rPr>
      </w:pPr>
      <w:bookmarkStart w:id="29" w:name="_Toc9342481"/>
      <w:bookmarkStart w:id="30" w:name="_Toc98019238"/>
      <w:bookmarkStart w:id="31" w:name="_Toc11650171"/>
      <w:r>
        <w:rPr>
          <w:rFonts w:hint="eastAsia"/>
          <w:color w:val="auto"/>
          <w:highlight w:val="none"/>
        </w:rPr>
        <w:t>招标方式</w:t>
      </w:r>
      <w:bookmarkEnd w:id="29"/>
      <w:bookmarkEnd w:id="30"/>
      <w:bookmarkEnd w:id="31"/>
    </w:p>
    <w:p w14:paraId="74BE8AB8">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本次招标采用公开招标方式进行。</w:t>
      </w:r>
    </w:p>
    <w:p w14:paraId="6121BCEE">
      <w:pPr>
        <w:pStyle w:val="3"/>
        <w:numPr>
          <w:ilvl w:val="1"/>
          <w:numId w:val="9"/>
        </w:numPr>
        <w:spacing w:before="0" w:after="0" w:line="360" w:lineRule="auto"/>
        <w:ind w:firstLine="420" w:firstLineChars="200"/>
        <w:rPr>
          <w:color w:val="auto"/>
          <w:highlight w:val="none"/>
        </w:rPr>
      </w:pPr>
      <w:bookmarkStart w:id="32" w:name="_Toc9342482"/>
      <w:bookmarkStart w:id="33" w:name="_Toc98019239"/>
      <w:bookmarkStart w:id="34" w:name="_Toc11650172"/>
      <w:r>
        <w:rPr>
          <w:rFonts w:hint="eastAsia"/>
          <w:color w:val="auto"/>
          <w:highlight w:val="none"/>
        </w:rPr>
        <w:t>投标委托</w:t>
      </w:r>
      <w:bookmarkEnd w:id="32"/>
      <w:bookmarkEnd w:id="33"/>
      <w:bookmarkEnd w:id="34"/>
    </w:p>
    <w:p w14:paraId="3D7948FF">
      <w:pPr>
        <w:pStyle w:val="18"/>
        <w:snapToGrid w:val="0"/>
        <w:spacing w:line="480" w:lineRule="exact"/>
        <w:ind w:firstLine="404" w:firstLineChars="200"/>
        <w:jc w:val="left"/>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如投标人代表不是法定代表人（负责人），须有法定代表人（负责人）出具的授权委托书（正本用原件，副本用复印件，格式见第四部分）。如果投标单位无法定代表人，则由单位负责人代替。</w:t>
      </w:r>
    </w:p>
    <w:p w14:paraId="420D2024">
      <w:pPr>
        <w:pStyle w:val="3"/>
        <w:numPr>
          <w:ilvl w:val="1"/>
          <w:numId w:val="9"/>
        </w:numPr>
        <w:spacing w:before="0" w:after="0" w:line="360" w:lineRule="auto"/>
        <w:ind w:firstLine="420" w:firstLineChars="200"/>
        <w:rPr>
          <w:color w:val="auto"/>
          <w:highlight w:val="none"/>
        </w:rPr>
      </w:pPr>
      <w:bookmarkStart w:id="35" w:name="_Toc11650173"/>
      <w:bookmarkStart w:id="36" w:name="_Toc9342483"/>
      <w:bookmarkStart w:id="37" w:name="_Toc98019240"/>
      <w:r>
        <w:rPr>
          <w:rFonts w:hint="eastAsia"/>
          <w:color w:val="auto"/>
          <w:highlight w:val="none"/>
        </w:rPr>
        <w:t>投标费用</w:t>
      </w:r>
      <w:bookmarkEnd w:id="35"/>
      <w:bookmarkEnd w:id="36"/>
      <w:bookmarkEnd w:id="37"/>
    </w:p>
    <w:p w14:paraId="0BC6F1E2">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不论投标结果如何，投标人均应自行承担所有与投标有关的全部费用。</w:t>
      </w:r>
    </w:p>
    <w:p w14:paraId="3F913946">
      <w:pPr>
        <w:pStyle w:val="3"/>
        <w:numPr>
          <w:ilvl w:val="1"/>
          <w:numId w:val="9"/>
        </w:numPr>
        <w:spacing w:before="0" w:after="0" w:line="360" w:lineRule="auto"/>
        <w:ind w:firstLine="420" w:firstLineChars="200"/>
        <w:rPr>
          <w:color w:val="auto"/>
          <w:highlight w:val="none"/>
        </w:rPr>
      </w:pPr>
      <w:bookmarkStart w:id="38" w:name="_Toc98019241"/>
      <w:bookmarkStart w:id="39" w:name="_Toc11650174"/>
      <w:bookmarkStart w:id="40" w:name="_Toc9342484"/>
      <w:r>
        <w:rPr>
          <w:rFonts w:hint="eastAsia"/>
          <w:color w:val="auto"/>
          <w:highlight w:val="none"/>
        </w:rPr>
        <w:t>特别说明：</w:t>
      </w:r>
      <w:bookmarkEnd w:id="38"/>
      <w:bookmarkEnd w:id="39"/>
      <w:bookmarkEnd w:id="40"/>
    </w:p>
    <w:p w14:paraId="2672846F">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▲投标人投标所使用的资格、信誉、荣誉、业绩与企业认证必须为投标单位所拥有。</w:t>
      </w:r>
    </w:p>
    <w:p w14:paraId="5FF97C41">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▲投标人应仔细阅读招标文件的所有内容，按照招标文件的要求提交投标文件，并对所提供的全部资料的真实性承担法律责任。</w:t>
      </w:r>
    </w:p>
    <w:p w14:paraId="09E0B1D1">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投标人在投标活动中提供任何虚假材料,</w:t>
      </w:r>
      <w:r>
        <w:rPr>
          <w:rFonts w:hint="eastAsia" w:ascii="微软雅黑" w:hAnsi="微软雅黑" w:eastAsia="微软雅黑"/>
          <w:color w:val="auto"/>
          <w:szCs w:val="21"/>
          <w:highlight w:val="none"/>
        </w:rPr>
        <w:t>其投标无效，并依照相关规定进行相应处罚。</w:t>
      </w:r>
    </w:p>
    <w:p w14:paraId="2A9D8B74">
      <w:pPr>
        <w:pStyle w:val="3"/>
        <w:numPr>
          <w:ilvl w:val="1"/>
          <w:numId w:val="9"/>
        </w:numPr>
        <w:spacing w:before="0" w:after="0" w:line="360" w:lineRule="auto"/>
        <w:ind w:firstLine="420" w:firstLineChars="200"/>
        <w:rPr>
          <w:color w:val="auto"/>
          <w:highlight w:val="none"/>
        </w:rPr>
      </w:pPr>
      <w:bookmarkStart w:id="41" w:name="_Toc98019242"/>
      <w:bookmarkStart w:id="42" w:name="_Toc11650175"/>
      <w:bookmarkStart w:id="43" w:name="_Toc9342485"/>
      <w:r>
        <w:rPr>
          <w:rFonts w:hint="eastAsia"/>
          <w:color w:val="auto"/>
          <w:highlight w:val="none"/>
        </w:rPr>
        <w:t>质疑和投诉</w:t>
      </w:r>
      <w:bookmarkEnd w:id="41"/>
      <w:bookmarkEnd w:id="42"/>
      <w:bookmarkEnd w:id="43"/>
    </w:p>
    <w:p w14:paraId="28CE8920">
      <w:pPr>
        <w:numPr>
          <w:ilvl w:val="0"/>
          <w:numId w:val="1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认为招标文件、招标过程或中标结果使自己的合法权益受到损害的，应当在知道或者应知其权益受到损害之日起七个工作日内，以书面形式向招标人提出质疑。投标人对招标人的质疑答复不满意或者招标人未在规定时间内作出答复的，可以在答复期满后十五个工作日内向监管部门投诉。</w:t>
      </w:r>
    </w:p>
    <w:p w14:paraId="313F1B94">
      <w:pPr>
        <w:numPr>
          <w:ilvl w:val="0"/>
          <w:numId w:val="1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76FA9E3E">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44" w:name="_Toc98019243"/>
      <w:bookmarkStart w:id="45" w:name="_Toc11650176"/>
      <w:bookmarkStart w:id="46" w:name="_Toc9342486"/>
      <w:bookmarkStart w:id="47" w:name="_Toc30613"/>
      <w:r>
        <w:rPr>
          <w:rFonts w:hint="eastAsia" w:ascii="微软雅黑" w:hAnsi="微软雅黑" w:eastAsia="微软雅黑" w:cs="微软雅黑"/>
          <w:color w:val="auto"/>
          <w:sz w:val="21"/>
          <w:szCs w:val="21"/>
          <w:highlight w:val="none"/>
        </w:rPr>
        <w:t>招标文件</w:t>
      </w:r>
      <w:bookmarkEnd w:id="44"/>
      <w:bookmarkEnd w:id="45"/>
      <w:bookmarkEnd w:id="46"/>
      <w:bookmarkEnd w:id="47"/>
    </w:p>
    <w:p w14:paraId="395679D9">
      <w:pPr>
        <w:pStyle w:val="3"/>
        <w:numPr>
          <w:ilvl w:val="1"/>
          <w:numId w:val="9"/>
        </w:numPr>
        <w:spacing w:before="0" w:after="0" w:line="360" w:lineRule="auto"/>
        <w:ind w:firstLine="420" w:firstLineChars="200"/>
        <w:rPr>
          <w:color w:val="auto"/>
          <w:highlight w:val="none"/>
        </w:rPr>
      </w:pPr>
      <w:bookmarkStart w:id="48" w:name="_Toc98019244"/>
      <w:r>
        <w:rPr>
          <w:rFonts w:hint="eastAsia"/>
          <w:color w:val="auto"/>
          <w:highlight w:val="none"/>
        </w:rPr>
        <w:t>招标文件的构成。本招标文件由以下部份组成：</w:t>
      </w:r>
      <w:bookmarkEnd w:id="48"/>
    </w:p>
    <w:p w14:paraId="1E76DBDD">
      <w:pPr>
        <w:numPr>
          <w:ilvl w:val="0"/>
          <w:numId w:val="13"/>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招标公告</w:t>
      </w:r>
    </w:p>
    <w:p w14:paraId="3688EF4A">
      <w:pPr>
        <w:numPr>
          <w:ilvl w:val="0"/>
          <w:numId w:val="13"/>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招标需求</w:t>
      </w:r>
    </w:p>
    <w:p w14:paraId="5CFE4B53">
      <w:pPr>
        <w:numPr>
          <w:ilvl w:val="0"/>
          <w:numId w:val="13"/>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投标人须知</w:t>
      </w:r>
    </w:p>
    <w:p w14:paraId="25B32283">
      <w:pPr>
        <w:numPr>
          <w:ilvl w:val="0"/>
          <w:numId w:val="13"/>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评标办法及标准</w:t>
      </w:r>
    </w:p>
    <w:p w14:paraId="74FE7904">
      <w:pPr>
        <w:numPr>
          <w:ilvl w:val="0"/>
          <w:numId w:val="13"/>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合同主要条款</w:t>
      </w:r>
    </w:p>
    <w:p w14:paraId="2378DFBF">
      <w:pPr>
        <w:numPr>
          <w:ilvl w:val="0"/>
          <w:numId w:val="13"/>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投标文件格式</w:t>
      </w:r>
    </w:p>
    <w:p w14:paraId="61A9FFA9">
      <w:pPr>
        <w:numPr>
          <w:ilvl w:val="0"/>
          <w:numId w:val="13"/>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本项目招标文件的澄清、答复、修改、补充的内容（如有）</w:t>
      </w:r>
    </w:p>
    <w:p w14:paraId="4A3E1C22">
      <w:pPr>
        <w:pStyle w:val="3"/>
        <w:numPr>
          <w:ilvl w:val="1"/>
          <w:numId w:val="9"/>
        </w:numPr>
        <w:spacing w:before="0" w:after="0" w:line="360" w:lineRule="auto"/>
        <w:ind w:firstLine="420" w:firstLineChars="200"/>
        <w:rPr>
          <w:color w:val="auto"/>
          <w:highlight w:val="none"/>
        </w:rPr>
      </w:pPr>
      <w:bookmarkStart w:id="49" w:name="_Toc98019245"/>
      <w:r>
        <w:rPr>
          <w:rFonts w:hint="eastAsia"/>
          <w:color w:val="auto"/>
          <w:highlight w:val="none"/>
        </w:rPr>
        <w:t>投标人的风险</w:t>
      </w:r>
      <w:bookmarkEnd w:id="49"/>
    </w:p>
    <w:p w14:paraId="2BC99B23">
      <w:pPr>
        <w:pStyle w:val="32"/>
        <w:spacing w:line="480" w:lineRule="exact"/>
        <w:ind w:firstLine="420"/>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投标人没有按照招标文件要求提供全部资料，或者投标人没有对招标文件在各方面作出实质性响应是投标人的风险，并可能导致其投标被拒绝。</w:t>
      </w:r>
    </w:p>
    <w:p w14:paraId="4084852A">
      <w:pPr>
        <w:pStyle w:val="3"/>
        <w:numPr>
          <w:ilvl w:val="1"/>
          <w:numId w:val="9"/>
        </w:numPr>
        <w:spacing w:before="0" w:after="0" w:line="360" w:lineRule="auto"/>
        <w:ind w:firstLine="420" w:firstLineChars="200"/>
        <w:rPr>
          <w:color w:val="auto"/>
          <w:highlight w:val="none"/>
        </w:rPr>
      </w:pPr>
      <w:bookmarkStart w:id="50" w:name="_Toc98019246"/>
      <w:r>
        <w:rPr>
          <w:rFonts w:hint="eastAsia"/>
          <w:color w:val="auto"/>
          <w:highlight w:val="none"/>
        </w:rPr>
        <w:t>招标文件的澄清与修改</w:t>
      </w:r>
      <w:bookmarkEnd w:id="50"/>
    </w:p>
    <w:p w14:paraId="488D7792">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51" w:name="_Toc9342487"/>
      <w:bookmarkStart w:id="52" w:name="_Toc11650177"/>
      <w:r>
        <w:rPr>
          <w:rFonts w:hint="eastAsia" w:ascii="微软雅黑" w:hAnsi="微软雅黑" w:eastAsia="微软雅黑"/>
          <w:color w:val="auto"/>
          <w:szCs w:val="21"/>
          <w:highlight w:val="none"/>
        </w:rPr>
        <w:t>投标人应认真阅读本招标文件，发现其中有误或有不合理要求的，投标人必须在前附表规定的时间前以书面形式要求招标人澄清。招标人对已发出的招标文件进行必要澄清、答复、修改或补充的，应当在招标文件要求提交投标文件截止时间前，以书面形式通知投标人。</w:t>
      </w:r>
      <w:bookmarkEnd w:id="51"/>
      <w:bookmarkEnd w:id="52"/>
    </w:p>
    <w:p w14:paraId="7C674050">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53" w:name="_Toc9342488"/>
      <w:bookmarkStart w:id="54" w:name="_Toc11650178"/>
      <w:r>
        <w:rPr>
          <w:rFonts w:hint="eastAsia" w:ascii="微软雅黑" w:hAnsi="微软雅黑" w:eastAsia="微软雅黑"/>
          <w:color w:val="auto"/>
          <w:szCs w:val="21"/>
          <w:highlight w:val="none"/>
        </w:rPr>
        <w:t>招标文件澄清、答复、修改、补充的内容为招标文件的组成部分。当招标文件与招标文件的答复、澄清、修改、补充通知就同一内容的表述不一致时，以最后发出的为准。</w:t>
      </w:r>
      <w:bookmarkEnd w:id="53"/>
      <w:bookmarkEnd w:id="54"/>
    </w:p>
    <w:p w14:paraId="4F8ADCC3">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55" w:name="_Toc11650179"/>
      <w:bookmarkStart w:id="56" w:name="_Toc9342489"/>
      <w:r>
        <w:rPr>
          <w:rFonts w:hint="eastAsia" w:ascii="微软雅黑" w:hAnsi="微软雅黑" w:eastAsia="微软雅黑"/>
          <w:color w:val="auto"/>
          <w:szCs w:val="21"/>
          <w:highlight w:val="none"/>
        </w:rPr>
        <w:t>招标文件的澄清、答复、修改或补充都应该通过招标人以法定形式发布。</w:t>
      </w:r>
      <w:bookmarkEnd w:id="55"/>
      <w:bookmarkEnd w:id="56"/>
    </w:p>
    <w:p w14:paraId="50AD61E5">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57" w:name="_Toc98019247"/>
      <w:bookmarkStart w:id="58" w:name="_Toc24216"/>
      <w:bookmarkStart w:id="59" w:name="_Toc11650180"/>
      <w:bookmarkStart w:id="60" w:name="_Toc9342490"/>
      <w:r>
        <w:rPr>
          <w:rFonts w:hint="eastAsia" w:ascii="微软雅黑" w:hAnsi="微软雅黑" w:eastAsia="微软雅黑" w:cs="微软雅黑"/>
          <w:color w:val="auto"/>
          <w:sz w:val="21"/>
          <w:szCs w:val="21"/>
          <w:highlight w:val="none"/>
        </w:rPr>
        <w:t>投标文件的编制</w:t>
      </w:r>
      <w:bookmarkEnd w:id="57"/>
      <w:bookmarkEnd w:id="58"/>
      <w:bookmarkEnd w:id="59"/>
      <w:bookmarkEnd w:id="60"/>
    </w:p>
    <w:p w14:paraId="0E540845">
      <w:pPr>
        <w:pStyle w:val="3"/>
        <w:numPr>
          <w:ilvl w:val="1"/>
          <w:numId w:val="9"/>
        </w:numPr>
        <w:spacing w:before="0" w:after="0" w:line="360" w:lineRule="auto"/>
        <w:ind w:firstLine="420" w:firstLineChars="200"/>
        <w:rPr>
          <w:color w:val="auto"/>
          <w:highlight w:val="none"/>
        </w:rPr>
      </w:pPr>
      <w:bookmarkStart w:id="61" w:name="_Toc9342491"/>
      <w:bookmarkStart w:id="62" w:name="_Toc11650181"/>
      <w:bookmarkStart w:id="63" w:name="_Toc98019248"/>
      <w:r>
        <w:rPr>
          <w:rFonts w:hint="eastAsia"/>
          <w:color w:val="auto"/>
          <w:highlight w:val="none"/>
        </w:rPr>
        <w:t>投标文件的组成</w:t>
      </w:r>
      <w:bookmarkEnd w:id="61"/>
      <w:bookmarkEnd w:id="62"/>
      <w:bookmarkEnd w:id="63"/>
    </w:p>
    <w:p w14:paraId="755C44F6">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投标文件的资信技术文件和投标报价文件装订成一本。</w:t>
      </w:r>
    </w:p>
    <w:p w14:paraId="15F41A42">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▲投标声明书（格式见附件）；</w:t>
      </w:r>
    </w:p>
    <w:p w14:paraId="3452A69E">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▲法定代表人（负责人）授权书(格式见附件)；</w:t>
      </w:r>
    </w:p>
    <w:p w14:paraId="5682BAE1">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▲投标函（格式见附件）；</w:t>
      </w:r>
    </w:p>
    <w:p w14:paraId="322AF710">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▲投标报价一览表（格式见附件）</w:t>
      </w:r>
    </w:p>
    <w:p w14:paraId="36CF43E8">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人民银行评价材料 (复印件)；</w:t>
      </w:r>
    </w:p>
    <w:p w14:paraId="63F850B2">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▲营业执照副本(复印件)；</w:t>
      </w:r>
    </w:p>
    <w:p w14:paraId="7E27B3D5">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▲《中华人民共和国金融许可证》（复印件）；</w:t>
      </w:r>
    </w:p>
    <w:p w14:paraId="414382A3">
      <w:pPr>
        <w:numPr>
          <w:ilvl w:val="0"/>
          <w:numId w:val="15"/>
        </w:numPr>
        <w:tabs>
          <w:tab w:val="left" w:pos="709"/>
        </w:tabs>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投标人需提供的其他材料（格式自拟）。</w:t>
      </w:r>
    </w:p>
    <w:p w14:paraId="24BB6B0D">
      <w:pPr>
        <w:pStyle w:val="3"/>
        <w:numPr>
          <w:ilvl w:val="1"/>
          <w:numId w:val="9"/>
        </w:numPr>
        <w:spacing w:before="0" w:after="0" w:line="360" w:lineRule="auto"/>
        <w:ind w:firstLine="420" w:firstLineChars="200"/>
        <w:rPr>
          <w:color w:val="auto"/>
          <w:highlight w:val="none"/>
        </w:rPr>
      </w:pPr>
      <w:bookmarkStart w:id="64" w:name="_Toc9342492"/>
      <w:bookmarkStart w:id="65" w:name="_Toc11650182"/>
      <w:bookmarkStart w:id="66" w:name="_Toc98019249"/>
      <w:r>
        <w:rPr>
          <w:rFonts w:hint="eastAsia"/>
          <w:color w:val="auto"/>
          <w:highlight w:val="none"/>
        </w:rPr>
        <w:t>投标文件的语言及计量</w:t>
      </w:r>
      <w:bookmarkEnd w:id="64"/>
      <w:bookmarkEnd w:id="65"/>
      <w:bookmarkEnd w:id="66"/>
    </w:p>
    <w:p w14:paraId="44E0D991">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▲投标文件以及投标方与招标方就有关投标事宜的所有来往函电，均应以中文汉语书写。除签名、盖章、专用名称等特殊情形外，以中文汉语以外的文字表述的投标文件视同未提供。</w:t>
      </w:r>
    </w:p>
    <w:p w14:paraId="1B455185">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▲投标计量单位，招标文件已有明确规定的，使用招标文件规定的计量单位；招标文件没有规定的，应采用中华人民共和国法定计量单位（货币单位：人民币元），否则视同未响应。</w:t>
      </w:r>
    </w:p>
    <w:p w14:paraId="44FA86EF">
      <w:pPr>
        <w:pStyle w:val="3"/>
        <w:numPr>
          <w:ilvl w:val="1"/>
          <w:numId w:val="9"/>
        </w:numPr>
        <w:spacing w:before="0" w:after="0" w:line="360" w:lineRule="auto"/>
        <w:ind w:firstLine="420" w:firstLineChars="200"/>
        <w:rPr>
          <w:color w:val="auto"/>
          <w:highlight w:val="none"/>
        </w:rPr>
      </w:pPr>
      <w:bookmarkStart w:id="67" w:name="_Toc9342493"/>
      <w:bookmarkStart w:id="68" w:name="_Toc98019250"/>
      <w:bookmarkStart w:id="69" w:name="_Toc11650183"/>
      <w:r>
        <w:rPr>
          <w:rFonts w:hint="eastAsia"/>
          <w:color w:val="auto"/>
          <w:highlight w:val="none"/>
        </w:rPr>
        <w:t>投标报价</w:t>
      </w:r>
      <w:bookmarkEnd w:id="67"/>
      <w:bookmarkEnd w:id="68"/>
      <w:bookmarkEnd w:id="69"/>
    </w:p>
    <w:p w14:paraId="42BF8C08">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投标报价应按招标文件中相关附表格式填写。</w:t>
      </w:r>
    </w:p>
    <w:p w14:paraId="53136DD0">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▲投标报价只允许有一个报价，有选择的报价将不予接受。</w:t>
      </w:r>
    </w:p>
    <w:p w14:paraId="79C02996">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投标人须充分了解项目全部风险，综合考虑投标报价。</w:t>
      </w:r>
    </w:p>
    <w:p w14:paraId="5ADDA0F1">
      <w:pPr>
        <w:numPr>
          <w:ilvl w:val="0"/>
          <w:numId w:val="17"/>
        </w:numPr>
        <w:snapToGrid w:val="0"/>
        <w:spacing w:line="360" w:lineRule="auto"/>
        <w:ind w:left="0" w:firstLine="420" w:firstLineChars="200"/>
        <w:jc w:val="left"/>
        <w:rPr>
          <w:rFonts w:hint="eastAsia" w:ascii="微软雅黑" w:hAnsi="微软雅黑" w:eastAsia="微软雅黑"/>
          <w:b/>
          <w:color w:val="auto"/>
          <w:szCs w:val="21"/>
          <w:highlight w:val="none"/>
          <w:shd w:val="pct10" w:color="auto" w:fill="FFFFFF"/>
        </w:rPr>
      </w:pPr>
      <w:r>
        <w:rPr>
          <w:rFonts w:hint="eastAsia" w:ascii="微软雅黑" w:hAnsi="微软雅黑" w:eastAsia="微软雅黑"/>
          <w:b/>
          <w:color w:val="auto"/>
          <w:szCs w:val="21"/>
          <w:highlight w:val="none"/>
          <w:shd w:val="pct10" w:color="auto" w:fill="FFFFFF"/>
        </w:rPr>
        <w:t>投标人报价不得违反国家利率政策</w:t>
      </w:r>
      <w:r>
        <w:rPr>
          <w:rFonts w:hint="eastAsia" w:ascii="微软雅黑" w:hAnsi="微软雅黑" w:eastAsia="微软雅黑"/>
          <w:b/>
          <w:color w:val="auto"/>
          <w:szCs w:val="21"/>
          <w:highlight w:val="none"/>
          <w:shd w:val="pct10" w:color="auto" w:fill="FFFFFF"/>
          <w:lang w:val="en-US" w:eastAsia="zh-CN"/>
        </w:rPr>
        <w:t>及</w:t>
      </w:r>
      <w:r>
        <w:rPr>
          <w:rFonts w:hint="eastAsia" w:ascii="微软雅黑" w:hAnsi="微软雅黑" w:eastAsia="微软雅黑"/>
          <w:b/>
          <w:color w:val="auto"/>
          <w:szCs w:val="21"/>
          <w:highlight w:val="none"/>
          <w:shd w:val="pct10" w:color="auto" w:fill="FFFFFF"/>
        </w:rPr>
        <w:t>市场利率定价自律机制规定。</w:t>
      </w:r>
    </w:p>
    <w:p w14:paraId="235B4295">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投标人提交可选择报价视为非实质性响应招标文件的要求，按无效标处理。</w:t>
      </w:r>
    </w:p>
    <w:p w14:paraId="2D9991C4">
      <w:pPr>
        <w:pStyle w:val="3"/>
        <w:numPr>
          <w:ilvl w:val="1"/>
          <w:numId w:val="9"/>
        </w:numPr>
        <w:spacing w:before="0" w:after="0" w:line="360" w:lineRule="auto"/>
        <w:ind w:firstLine="420" w:firstLineChars="200"/>
        <w:rPr>
          <w:color w:val="auto"/>
          <w:highlight w:val="none"/>
        </w:rPr>
      </w:pPr>
      <w:bookmarkStart w:id="70" w:name="_Toc98019251"/>
      <w:r>
        <w:rPr>
          <w:rFonts w:hint="eastAsia"/>
          <w:color w:val="auto"/>
          <w:highlight w:val="none"/>
        </w:rPr>
        <w:t>投标文件的有效期</w:t>
      </w:r>
      <w:bookmarkEnd w:id="70"/>
    </w:p>
    <w:p w14:paraId="1B81CD33">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▲自投标截止日起60天投标文件应保持有效。有效期不足的投标文件将被拒绝。</w:t>
      </w:r>
    </w:p>
    <w:p w14:paraId="03149022">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71" w:name="_Toc11650184"/>
      <w:bookmarkStart w:id="72" w:name="_Toc9342494"/>
      <w:r>
        <w:rPr>
          <w:rFonts w:hint="eastAsia" w:ascii="微软雅黑" w:hAnsi="微软雅黑" w:eastAsia="微软雅黑"/>
          <w:color w:val="auto"/>
          <w:szCs w:val="21"/>
          <w:highlight w:val="none"/>
        </w:rPr>
        <w:t>中标人的投标文件自开标之日起至合同履行完毕止均应保持有效。</w:t>
      </w:r>
      <w:bookmarkEnd w:id="71"/>
      <w:bookmarkEnd w:id="72"/>
    </w:p>
    <w:p w14:paraId="4AF9ABB6">
      <w:pPr>
        <w:pStyle w:val="3"/>
        <w:numPr>
          <w:ilvl w:val="1"/>
          <w:numId w:val="9"/>
        </w:numPr>
        <w:spacing w:before="0" w:after="0" w:line="360" w:lineRule="auto"/>
        <w:ind w:firstLine="420" w:firstLineChars="200"/>
        <w:rPr>
          <w:color w:val="auto"/>
          <w:highlight w:val="none"/>
        </w:rPr>
      </w:pPr>
      <w:bookmarkStart w:id="73" w:name="_Toc98019252"/>
      <w:r>
        <w:rPr>
          <w:rFonts w:hint="eastAsia"/>
          <w:color w:val="auto"/>
          <w:highlight w:val="none"/>
        </w:rPr>
        <w:t>投标文件的签署和份数</w:t>
      </w:r>
      <w:bookmarkEnd w:id="73"/>
    </w:p>
    <w:p w14:paraId="7E505812">
      <w:pPr>
        <w:numPr>
          <w:ilvl w:val="0"/>
          <w:numId w:val="19"/>
        </w:numPr>
        <w:tabs>
          <w:tab w:val="left" w:pos="709"/>
        </w:tabs>
        <w:snapToGrid w:val="0"/>
        <w:spacing w:line="360" w:lineRule="auto"/>
        <w:ind w:left="0"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u w:val="single"/>
        </w:rPr>
        <w:t>线下纸质投标文件</w:t>
      </w:r>
      <w:r>
        <w:rPr>
          <w:rFonts w:ascii="微软雅黑" w:hAnsi="微软雅黑" w:eastAsia="微软雅黑"/>
          <w:color w:val="auto"/>
          <w:szCs w:val="21"/>
          <w:highlight w:val="none"/>
          <w:u w:val="single"/>
        </w:rPr>
        <w:t>正本一份和副本</w:t>
      </w:r>
      <w:r>
        <w:rPr>
          <w:rFonts w:hint="eastAsia" w:ascii="微软雅黑" w:hAnsi="微软雅黑" w:eastAsia="微软雅黑"/>
          <w:color w:val="auto"/>
          <w:szCs w:val="21"/>
          <w:highlight w:val="none"/>
          <w:u w:val="single"/>
        </w:rPr>
        <w:t>一份</w:t>
      </w:r>
      <w:r>
        <w:rPr>
          <w:rFonts w:hint="eastAsia" w:ascii="微软雅黑" w:hAnsi="微软雅黑" w:eastAsia="微软雅黑"/>
          <w:color w:val="auto"/>
          <w:szCs w:val="21"/>
          <w:highlight w:val="none"/>
        </w:rPr>
        <w:t>。投标文件的正本需打印或用不褪色的墨水填写，并注明“正本”字样，投标文件正本除本招标须知中规定的可提供复印件外均须提供原件。副本可为正本的复印件。投标文件应装订密封，且在封口上加盖投标单位的公章。</w:t>
      </w:r>
    </w:p>
    <w:p w14:paraId="6D798990">
      <w:pPr>
        <w:numPr>
          <w:ilvl w:val="0"/>
          <w:numId w:val="19"/>
        </w:numPr>
        <w:tabs>
          <w:tab w:val="left" w:pos="709"/>
        </w:tabs>
        <w:snapToGrid w:val="0"/>
        <w:spacing w:line="360" w:lineRule="auto"/>
        <w:ind w:left="0"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须由投标人在规定位置盖章并由法定代表人/负责人或法定代表授权人签署，投标人应写全称。投标文件不得涂改，若有修改错漏处，须加盖单位公章或者法定代表人/负责人或授权委托人签字或盖章。投标文件因字迹潦草或表达不清所引起的后果由投标人负责。</w:t>
      </w:r>
    </w:p>
    <w:p w14:paraId="47E3A683">
      <w:pPr>
        <w:numPr>
          <w:ilvl w:val="0"/>
          <w:numId w:val="19"/>
        </w:numPr>
        <w:tabs>
          <w:tab w:val="left" w:pos="709"/>
        </w:tabs>
        <w:snapToGrid w:val="0"/>
        <w:spacing w:line="360" w:lineRule="auto"/>
        <w:ind w:left="0"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▲网上电子投标文件按招标文件要求及招标系统流程、时间、格式上传。</w:t>
      </w:r>
    </w:p>
    <w:p w14:paraId="2C7CA250">
      <w:pPr>
        <w:pStyle w:val="3"/>
        <w:numPr>
          <w:ilvl w:val="1"/>
          <w:numId w:val="9"/>
        </w:numPr>
        <w:spacing w:before="0" w:after="0" w:line="360" w:lineRule="auto"/>
        <w:ind w:firstLine="420" w:firstLineChars="200"/>
        <w:rPr>
          <w:color w:val="auto"/>
          <w:highlight w:val="none"/>
        </w:rPr>
      </w:pPr>
      <w:bookmarkStart w:id="74" w:name="_Toc98019253"/>
      <w:r>
        <w:rPr>
          <w:rFonts w:hint="eastAsia"/>
          <w:color w:val="auto"/>
          <w:highlight w:val="none"/>
        </w:rPr>
        <w:t>投标文件的包装、递交、修改和撤回</w:t>
      </w:r>
      <w:bookmarkEnd w:id="74"/>
    </w:p>
    <w:p w14:paraId="1B924310">
      <w:pPr>
        <w:numPr>
          <w:ilvl w:val="0"/>
          <w:numId w:val="2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投标人的投标文件应密封封装。投标文件的包装封面上应注明投标人名称、投标人地址、投标文件名称、投标项目名称、项目编号，并加盖投标人公章。</w:t>
      </w:r>
    </w:p>
    <w:p w14:paraId="4583CCCA">
      <w:pPr>
        <w:numPr>
          <w:ilvl w:val="0"/>
          <w:numId w:val="2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未按规定密封或标记的投标文件将被拒绝，由此造成投标文件被误投或提前拆封的风险由投标人承担。</w:t>
      </w:r>
    </w:p>
    <w:p w14:paraId="48398A63">
      <w:pPr>
        <w:numPr>
          <w:ilvl w:val="0"/>
          <w:numId w:val="2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在投标截止时间之前，可以对已提交的投标文件进行修改或撤回，并书面通知招标单位；投标截止时间后，投标人不得撤回、修改投标文件。修改后重新递交的投标文件应当按本招标文件的要求签署、盖章和密封。</w:t>
      </w:r>
    </w:p>
    <w:p w14:paraId="4A6BB980">
      <w:pPr>
        <w:pStyle w:val="3"/>
        <w:numPr>
          <w:ilvl w:val="1"/>
          <w:numId w:val="9"/>
        </w:numPr>
        <w:spacing w:before="0" w:after="0" w:line="360" w:lineRule="auto"/>
        <w:ind w:firstLine="420" w:firstLineChars="200"/>
        <w:rPr>
          <w:color w:val="auto"/>
          <w:highlight w:val="none"/>
        </w:rPr>
      </w:pPr>
      <w:bookmarkStart w:id="75" w:name="_Toc98019254"/>
      <w:r>
        <w:rPr>
          <w:rFonts w:hint="eastAsia"/>
          <w:color w:val="auto"/>
          <w:highlight w:val="none"/>
        </w:rPr>
        <w:t>投标无效的情形</w:t>
      </w:r>
      <w:bookmarkEnd w:id="75"/>
    </w:p>
    <w:p w14:paraId="100F5401">
      <w:pPr>
        <w:snapToGrid w:val="0"/>
        <w:spacing w:line="480" w:lineRule="exact"/>
        <w:ind w:firstLine="420" w:firstLineChars="200"/>
        <w:rPr>
          <w:rFonts w:hint="eastAsia" w:ascii="微软雅黑" w:hAnsi="微软雅黑" w:eastAsia="微软雅黑"/>
          <w:bCs/>
          <w:color w:val="auto"/>
          <w:szCs w:val="21"/>
          <w:highlight w:val="none"/>
        </w:rPr>
      </w:pPr>
      <w:r>
        <w:rPr>
          <w:rFonts w:hint="eastAsia" w:ascii="微软雅黑" w:hAnsi="微软雅黑" w:eastAsia="微软雅黑"/>
          <w:b/>
          <w:bCs/>
          <w:color w:val="auto"/>
          <w:szCs w:val="21"/>
          <w:highlight w:val="none"/>
        </w:rPr>
        <w:t>实质上没有响应招标文件要求的投标将被视为无效投标。</w:t>
      </w:r>
    </w:p>
    <w:p w14:paraId="673FA253">
      <w:pPr>
        <w:numPr>
          <w:ilvl w:val="0"/>
          <w:numId w:val="21"/>
        </w:numPr>
        <w:snapToGrid w:val="0"/>
        <w:spacing w:line="360" w:lineRule="auto"/>
        <w:ind w:left="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在符合性审查和商务评审时，如发现下列情形之一的，投标文件将被视为无效：</w:t>
      </w:r>
    </w:p>
    <w:p w14:paraId="701D596C">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资格证明文件不全的，或者不符合招标文件标明的资格要求的；</w:t>
      </w:r>
    </w:p>
    <w:p w14:paraId="17DBBF15">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投标文件无法定代表人（负责人）签字,或未提供法定代表人（负责人）授权委托书、投标声明书或者填写项目不齐全的；</w:t>
      </w:r>
    </w:p>
    <w:p w14:paraId="04658F0A">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投标代表人未能出具身份证明或与法定代表人（负责人）授权委托人身份不符的； </w:t>
      </w:r>
    </w:p>
    <w:p w14:paraId="21049177">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投标文件未按要求装订、格式不规范、项目不齐全或者内容虚假的；</w:t>
      </w:r>
    </w:p>
    <w:p w14:paraId="0ABA40DF">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投标文件的实质性内容意思表述不明确、前后矛盾或者使用计量单位不符合招标文件要求的（经评标委员会认定并允许其当场更正的笔误除外）；</w:t>
      </w:r>
    </w:p>
    <w:p w14:paraId="5FB16446">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未实质性响应招标文件要求的；</w:t>
      </w:r>
    </w:p>
    <w:p w14:paraId="3E3EBEA9">
      <w:pPr>
        <w:numPr>
          <w:ilvl w:val="0"/>
          <w:numId w:val="21"/>
        </w:numPr>
        <w:snapToGrid w:val="0"/>
        <w:spacing w:line="360" w:lineRule="auto"/>
        <w:ind w:left="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在技术评审时，如发现下列情形之一的，投标文件将被视为无效：</w:t>
      </w:r>
    </w:p>
    <w:p w14:paraId="57E91F9B">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投标文件标明的响应或偏离与事实不符或虚假投标的；</w:t>
      </w:r>
    </w:p>
    <w:p w14:paraId="3DF1895F">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与招标文件中标“▲”的技术指标、主要功能项目发生实质性偏离的；</w:t>
      </w:r>
    </w:p>
    <w:p w14:paraId="250D0239">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投标技术方案不明确，存在一个或一个以上备选（替代）投标方案的；</w:t>
      </w:r>
    </w:p>
    <w:p w14:paraId="1167CFD8">
      <w:pPr>
        <w:numPr>
          <w:ilvl w:val="0"/>
          <w:numId w:val="21"/>
        </w:numPr>
        <w:snapToGrid w:val="0"/>
        <w:spacing w:line="360" w:lineRule="auto"/>
        <w:ind w:left="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在报价评审时，如发现下列情形之一的，投标文件将被视为无效：</w:t>
      </w:r>
    </w:p>
    <w:p w14:paraId="09579BB1">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未提供投标报价表的；</w:t>
      </w:r>
    </w:p>
    <w:p w14:paraId="02EFA2F3">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投标报价方案不明确，存在一个或一个以上备选（替代）投标方案的；</w:t>
      </w:r>
    </w:p>
    <w:p w14:paraId="54F934C1">
      <w:pPr>
        <w:pStyle w:val="62"/>
        <w:numPr>
          <w:ilvl w:val="0"/>
          <w:numId w:val="21"/>
        </w:numPr>
        <w:snapToGrid w:val="0"/>
        <w:spacing w:line="480" w:lineRule="exact"/>
        <w:ind w:firstLine="1" w:firstLineChars="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被拒绝的投标文件为无效。</w:t>
      </w:r>
    </w:p>
    <w:p w14:paraId="1D3053F2">
      <w:pPr>
        <w:pStyle w:val="62"/>
        <w:numPr>
          <w:ilvl w:val="0"/>
          <w:numId w:val="21"/>
        </w:numPr>
        <w:snapToGrid w:val="0"/>
        <w:spacing w:line="480" w:lineRule="exact"/>
        <w:ind w:left="0" w:firstLine="426" w:firstLineChars="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如网上投标文件与纸质投标文件不一致的，做无效标处理（因系统原因显示表述不一致的除外）。</w:t>
      </w:r>
    </w:p>
    <w:p w14:paraId="2BF3D6C2">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76" w:name="_Toc23544"/>
      <w:bookmarkStart w:id="77" w:name="_Toc98019255"/>
      <w:r>
        <w:rPr>
          <w:rFonts w:hint="eastAsia" w:ascii="微软雅黑" w:hAnsi="微软雅黑" w:eastAsia="微软雅黑" w:cs="微软雅黑"/>
          <w:color w:val="auto"/>
          <w:sz w:val="21"/>
          <w:szCs w:val="21"/>
          <w:highlight w:val="none"/>
        </w:rPr>
        <w:t>开标</w:t>
      </w:r>
      <w:bookmarkEnd w:id="76"/>
      <w:bookmarkEnd w:id="77"/>
    </w:p>
    <w:p w14:paraId="54AE64BB">
      <w:pPr>
        <w:pStyle w:val="3"/>
        <w:numPr>
          <w:ilvl w:val="1"/>
          <w:numId w:val="9"/>
        </w:numPr>
        <w:spacing w:before="0" w:after="0" w:line="360" w:lineRule="auto"/>
        <w:ind w:firstLine="420" w:firstLineChars="200"/>
        <w:rPr>
          <w:color w:val="auto"/>
          <w:sz w:val="21"/>
          <w:szCs w:val="21"/>
          <w:highlight w:val="none"/>
        </w:rPr>
      </w:pPr>
      <w:bookmarkStart w:id="78" w:name="_Toc98019256"/>
      <w:r>
        <w:rPr>
          <w:rFonts w:hint="eastAsia"/>
          <w:color w:val="auto"/>
          <w:highlight w:val="none"/>
        </w:rPr>
        <w:t>本项目不要求投标人至开标现场参加开标及开启投标文件活动。招标代理机构将在规定的时间和地点进行开标</w:t>
      </w:r>
      <w:r>
        <w:rPr>
          <w:rFonts w:hint="eastAsia"/>
          <w:color w:val="auto"/>
          <w:sz w:val="21"/>
          <w:szCs w:val="21"/>
          <w:highlight w:val="none"/>
        </w:rPr>
        <w:t>。</w:t>
      </w:r>
      <w:bookmarkEnd w:id="78"/>
    </w:p>
    <w:p w14:paraId="714A4A42">
      <w:pPr>
        <w:pStyle w:val="3"/>
        <w:numPr>
          <w:ilvl w:val="1"/>
          <w:numId w:val="9"/>
        </w:numPr>
        <w:spacing w:before="0" w:after="0" w:line="360" w:lineRule="auto"/>
        <w:ind w:firstLine="420" w:firstLineChars="200"/>
        <w:rPr>
          <w:color w:val="auto"/>
          <w:highlight w:val="none"/>
        </w:rPr>
      </w:pPr>
      <w:bookmarkStart w:id="79" w:name="_Toc98019257"/>
      <w:r>
        <w:rPr>
          <w:rFonts w:hint="eastAsia"/>
          <w:color w:val="auto"/>
          <w:highlight w:val="none"/>
        </w:rPr>
        <w:t>开标程序：</w:t>
      </w:r>
      <w:bookmarkEnd w:id="79"/>
    </w:p>
    <w:p w14:paraId="0C40D5D5">
      <w:pPr>
        <w:pStyle w:val="4"/>
        <w:ind w:firstLine="400" w:firstLineChars="0"/>
        <w:rPr>
          <w:rFonts w:hint="eastAsia"/>
          <w:b w:val="0"/>
          <w:bCs w:val="0"/>
          <w:color w:val="auto"/>
          <w:highlight w:val="none"/>
        </w:rPr>
      </w:pPr>
      <w:bookmarkStart w:id="80" w:name="_Toc98019258"/>
      <w:r>
        <w:rPr>
          <w:rFonts w:hint="eastAsia"/>
          <w:b w:val="0"/>
          <w:bCs w:val="0"/>
          <w:color w:val="auto"/>
          <w:highlight w:val="none"/>
        </w:rPr>
        <w:t>开标会由招标代理机构主持，主持人宣布开标会议开始；</w:t>
      </w:r>
      <w:bookmarkEnd w:id="80"/>
    </w:p>
    <w:p w14:paraId="77829ABE">
      <w:pPr>
        <w:pStyle w:val="4"/>
        <w:ind w:firstLine="400" w:firstLineChars="0"/>
        <w:rPr>
          <w:rFonts w:hint="eastAsia" w:ascii="微软雅黑" w:hAnsi="微软雅黑"/>
          <w:b w:val="0"/>
          <w:bCs w:val="0"/>
          <w:color w:val="auto"/>
          <w:szCs w:val="21"/>
          <w:highlight w:val="none"/>
        </w:rPr>
      </w:pPr>
      <w:bookmarkStart w:id="81" w:name="_Toc98019259"/>
      <w:r>
        <w:rPr>
          <w:rFonts w:hint="eastAsia"/>
          <w:b w:val="0"/>
          <w:bCs w:val="0"/>
          <w:color w:val="auto"/>
          <w:highlight w:val="none"/>
        </w:rPr>
        <w:t>介绍参加开标会的人员名单；</w:t>
      </w:r>
      <w:bookmarkEnd w:id="81"/>
    </w:p>
    <w:p w14:paraId="3A76400E">
      <w:pPr>
        <w:pStyle w:val="4"/>
        <w:ind w:firstLine="400" w:firstLineChars="0"/>
        <w:rPr>
          <w:rFonts w:hint="eastAsia" w:ascii="微软雅黑" w:hAnsi="微软雅黑"/>
          <w:b w:val="0"/>
          <w:bCs w:val="0"/>
          <w:color w:val="auto"/>
          <w:szCs w:val="21"/>
          <w:highlight w:val="none"/>
        </w:rPr>
      </w:pPr>
      <w:bookmarkStart w:id="82" w:name="_Toc98019260"/>
      <w:r>
        <w:rPr>
          <w:rFonts w:hint="eastAsia"/>
          <w:b w:val="0"/>
          <w:bCs w:val="0"/>
          <w:color w:val="auto"/>
          <w:highlight w:val="none"/>
        </w:rPr>
        <w:t>开标时，由相关监督人员检查其投标文件的密封情况，经确认无误后，由采购代理</w:t>
      </w:r>
      <w:r>
        <w:rPr>
          <w:rFonts w:hint="eastAsia" w:ascii="微软雅黑" w:hAnsi="微软雅黑"/>
          <w:b w:val="0"/>
          <w:bCs w:val="0"/>
          <w:color w:val="auto"/>
          <w:szCs w:val="21"/>
          <w:highlight w:val="none"/>
        </w:rPr>
        <w:t>机构工作人员当众拆封，由唱标人宣读投标人在其投标文件中承诺的投标报价以及招标代理机构认为有必要宣读的其他内容。唱标顺序按各投标人提交投标文件时间的先后顺序进行；</w:t>
      </w:r>
      <w:bookmarkEnd w:id="82"/>
    </w:p>
    <w:p w14:paraId="751F29A9">
      <w:pPr>
        <w:pStyle w:val="4"/>
        <w:ind w:firstLine="400" w:firstLineChars="0"/>
        <w:rPr>
          <w:rFonts w:hint="eastAsia" w:ascii="微软雅黑" w:hAnsi="微软雅黑"/>
          <w:b w:val="0"/>
          <w:bCs w:val="0"/>
          <w:color w:val="auto"/>
          <w:szCs w:val="21"/>
          <w:highlight w:val="none"/>
        </w:rPr>
      </w:pPr>
      <w:bookmarkStart w:id="83" w:name="_Toc98019261"/>
      <w:r>
        <w:rPr>
          <w:rFonts w:hint="eastAsia" w:ascii="微软雅黑" w:hAnsi="微软雅黑"/>
          <w:b w:val="0"/>
          <w:bCs w:val="0"/>
          <w:color w:val="auto"/>
          <w:szCs w:val="21"/>
          <w:highlight w:val="none"/>
        </w:rPr>
        <w:t>宣布评标期间的有关事项</w:t>
      </w:r>
      <w:bookmarkEnd w:id="83"/>
      <w:r>
        <w:rPr>
          <w:rFonts w:hint="eastAsia" w:ascii="微软雅黑" w:hAnsi="微软雅黑"/>
          <w:b w:val="0"/>
          <w:bCs w:val="0"/>
          <w:color w:val="auto"/>
          <w:szCs w:val="21"/>
          <w:highlight w:val="none"/>
          <w:lang w:eastAsia="zh-CN"/>
        </w:rPr>
        <w:t>。</w:t>
      </w:r>
    </w:p>
    <w:p w14:paraId="0BF635ED">
      <w:pPr>
        <w:pStyle w:val="3"/>
        <w:numPr>
          <w:ilvl w:val="1"/>
          <w:numId w:val="9"/>
        </w:numPr>
        <w:spacing w:before="0" w:after="0" w:line="360" w:lineRule="auto"/>
        <w:ind w:firstLine="420" w:firstLineChars="200"/>
        <w:rPr>
          <w:color w:val="auto"/>
          <w:highlight w:val="none"/>
        </w:rPr>
      </w:pPr>
      <w:bookmarkStart w:id="84" w:name="_Toc98019262"/>
      <w:r>
        <w:rPr>
          <w:rFonts w:hint="eastAsia"/>
          <w:color w:val="auto"/>
          <w:highlight w:val="none"/>
        </w:rPr>
        <w:t>开标会议结束。</w:t>
      </w:r>
      <w:bookmarkEnd w:id="84"/>
    </w:p>
    <w:p w14:paraId="239605B9">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85" w:name="_Toc5071"/>
      <w:bookmarkStart w:id="86" w:name="_Toc98019263"/>
      <w:r>
        <w:rPr>
          <w:rFonts w:hint="eastAsia" w:ascii="微软雅黑" w:hAnsi="微软雅黑" w:eastAsia="微软雅黑" w:cs="微软雅黑"/>
          <w:color w:val="auto"/>
          <w:sz w:val="21"/>
          <w:szCs w:val="21"/>
          <w:highlight w:val="none"/>
        </w:rPr>
        <w:t>评标</w:t>
      </w:r>
      <w:bookmarkEnd w:id="85"/>
      <w:bookmarkEnd w:id="86"/>
    </w:p>
    <w:p w14:paraId="090DAA81">
      <w:pPr>
        <w:pStyle w:val="3"/>
        <w:numPr>
          <w:ilvl w:val="1"/>
          <w:numId w:val="9"/>
        </w:numPr>
        <w:spacing w:before="0" w:after="0" w:line="360" w:lineRule="auto"/>
        <w:ind w:firstLine="420" w:firstLineChars="200"/>
        <w:rPr>
          <w:color w:val="auto"/>
          <w:highlight w:val="none"/>
        </w:rPr>
      </w:pPr>
      <w:bookmarkStart w:id="87" w:name="_Toc98019264"/>
      <w:r>
        <w:rPr>
          <w:rFonts w:hint="eastAsia"/>
          <w:color w:val="auto"/>
          <w:highlight w:val="none"/>
        </w:rPr>
        <w:t>评标组织</w:t>
      </w:r>
      <w:bookmarkEnd w:id="87"/>
    </w:p>
    <w:p w14:paraId="68DD7D3F">
      <w:pPr>
        <w:snapToGrid w:val="0"/>
        <w:spacing w:line="360" w:lineRule="auto"/>
        <w:ind w:firstLine="420" w:firstLineChars="200"/>
        <w:jc w:val="left"/>
        <w:rPr>
          <w:rFonts w:hint="eastAsia" w:ascii="微软雅黑" w:hAnsi="微软雅黑" w:eastAsia="微软雅黑"/>
          <w:color w:val="auto"/>
          <w:szCs w:val="21"/>
          <w:highlight w:val="none"/>
        </w:rPr>
      </w:pPr>
      <w:r>
        <w:rPr>
          <w:rFonts w:ascii="微软雅黑" w:hAnsi="微软雅黑" w:eastAsia="微软雅黑"/>
          <w:color w:val="auto"/>
          <w:szCs w:val="21"/>
          <w:highlight w:val="none"/>
        </w:rPr>
        <w:t>本项目</w:t>
      </w:r>
      <w:r>
        <w:rPr>
          <w:rFonts w:hint="eastAsia" w:ascii="微软雅黑" w:hAnsi="微软雅黑" w:eastAsia="微软雅黑"/>
          <w:color w:val="auto"/>
          <w:szCs w:val="21"/>
          <w:highlight w:val="none"/>
        </w:rPr>
        <w:t>评审小组</w:t>
      </w:r>
      <w:r>
        <w:rPr>
          <w:rFonts w:ascii="微软雅黑" w:hAnsi="微软雅黑" w:eastAsia="微软雅黑"/>
          <w:color w:val="auto"/>
          <w:szCs w:val="21"/>
          <w:highlight w:val="none"/>
        </w:rPr>
        <w:t>评审</w:t>
      </w:r>
      <w:r>
        <w:rPr>
          <w:rFonts w:hint="eastAsia" w:ascii="微软雅黑" w:hAnsi="微软雅黑" w:eastAsia="微软雅黑"/>
          <w:color w:val="auto"/>
          <w:szCs w:val="21"/>
          <w:highlight w:val="none"/>
        </w:rPr>
        <w:t>专家4人，业主专家1人，共5人组成。</w:t>
      </w:r>
    </w:p>
    <w:p w14:paraId="5928FA13">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评标、决标全过程由有关部门监督。</w:t>
      </w:r>
    </w:p>
    <w:p w14:paraId="22A56056">
      <w:pPr>
        <w:pStyle w:val="3"/>
        <w:numPr>
          <w:ilvl w:val="1"/>
          <w:numId w:val="9"/>
        </w:numPr>
        <w:spacing w:before="0" w:after="0" w:line="360" w:lineRule="auto"/>
        <w:ind w:firstLine="420" w:firstLineChars="200"/>
        <w:rPr>
          <w:color w:val="auto"/>
          <w:highlight w:val="none"/>
        </w:rPr>
      </w:pPr>
      <w:bookmarkStart w:id="88" w:name="_Toc98019265"/>
      <w:r>
        <w:rPr>
          <w:rFonts w:hint="eastAsia"/>
          <w:color w:val="auto"/>
          <w:highlight w:val="none"/>
        </w:rPr>
        <w:t>评标的方式</w:t>
      </w:r>
      <w:bookmarkEnd w:id="88"/>
    </w:p>
    <w:p w14:paraId="54C57AE5">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本招标项目采用不公开方式评标，评标的依据为招标文件和投标文件。</w:t>
      </w:r>
    </w:p>
    <w:p w14:paraId="5CC5E018">
      <w:pPr>
        <w:pStyle w:val="62"/>
        <w:numPr>
          <w:ilvl w:val="1"/>
          <w:numId w:val="22"/>
        </w:numPr>
        <w:snapToGrid w:val="0"/>
        <w:spacing w:line="360" w:lineRule="auto"/>
        <w:ind w:left="0" w:firstLine="426" w:firstLineChars="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本招标项目采用不公开方式评标，评标的依据为招标文件和投标文件。</w:t>
      </w:r>
    </w:p>
    <w:p w14:paraId="41FB261F">
      <w:pPr>
        <w:pStyle w:val="62"/>
        <w:numPr>
          <w:ilvl w:val="1"/>
          <w:numId w:val="22"/>
        </w:numPr>
        <w:snapToGrid w:val="0"/>
        <w:spacing w:line="360" w:lineRule="auto"/>
        <w:ind w:left="0" w:firstLine="426" w:firstLineChars="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本项目实行线下纸质投标叠加网上电子投标，招标系统会使本次网上电子投标成功或失败，本项目最终都以线下纸质投标文件为准。</w:t>
      </w:r>
    </w:p>
    <w:p w14:paraId="2B02D0FE">
      <w:pPr>
        <w:snapToGrid w:val="0"/>
        <w:spacing w:line="360" w:lineRule="auto"/>
        <w:ind w:firstLine="420" w:firstLineChars="200"/>
        <w:jc w:val="left"/>
        <w:rPr>
          <w:rFonts w:hint="eastAsia" w:ascii="微软雅黑" w:hAnsi="微软雅黑" w:eastAsia="微软雅黑"/>
          <w:color w:val="auto"/>
          <w:szCs w:val="21"/>
          <w:highlight w:val="none"/>
        </w:rPr>
      </w:pPr>
    </w:p>
    <w:p w14:paraId="42243FF0">
      <w:pPr>
        <w:pStyle w:val="3"/>
        <w:numPr>
          <w:ilvl w:val="1"/>
          <w:numId w:val="9"/>
        </w:numPr>
        <w:spacing w:before="0" w:after="0" w:line="360" w:lineRule="auto"/>
        <w:ind w:firstLine="420" w:firstLineChars="200"/>
        <w:rPr>
          <w:color w:val="auto"/>
          <w:highlight w:val="none"/>
        </w:rPr>
      </w:pPr>
      <w:bookmarkStart w:id="89" w:name="_Toc98019266"/>
      <w:r>
        <w:rPr>
          <w:rFonts w:hint="eastAsia"/>
          <w:color w:val="auto"/>
          <w:highlight w:val="none"/>
        </w:rPr>
        <w:t>评标程序</w:t>
      </w:r>
      <w:bookmarkEnd w:id="89"/>
    </w:p>
    <w:p w14:paraId="19637F56">
      <w:pPr>
        <w:pStyle w:val="4"/>
        <w:ind w:firstLine="400" w:firstLineChars="0"/>
        <w:rPr>
          <w:rFonts w:hint="eastAsia"/>
          <w:color w:val="auto"/>
          <w:highlight w:val="none"/>
        </w:rPr>
      </w:pPr>
      <w:bookmarkStart w:id="90" w:name="_Toc98019267"/>
      <w:r>
        <w:rPr>
          <w:rFonts w:hint="eastAsia"/>
          <w:color w:val="auto"/>
          <w:highlight w:val="none"/>
        </w:rPr>
        <w:t>形式审查</w:t>
      </w:r>
      <w:bookmarkEnd w:id="90"/>
    </w:p>
    <w:p w14:paraId="1AAEDBB9">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评标委员会将审查投标文件是否真实、完整,总体编排是否有序,文件签署是否正确等。</w:t>
      </w:r>
    </w:p>
    <w:p w14:paraId="3A8F907A">
      <w:pPr>
        <w:pStyle w:val="4"/>
        <w:ind w:firstLine="400" w:firstLineChars="0"/>
        <w:rPr>
          <w:rFonts w:hint="eastAsia"/>
          <w:color w:val="auto"/>
          <w:highlight w:val="none"/>
        </w:rPr>
      </w:pPr>
      <w:bookmarkStart w:id="91" w:name="_Toc98019268"/>
      <w:r>
        <w:rPr>
          <w:rFonts w:hint="eastAsia"/>
          <w:color w:val="auto"/>
          <w:highlight w:val="none"/>
        </w:rPr>
        <w:t>实质审查与比较</w:t>
      </w:r>
      <w:bookmarkEnd w:id="91"/>
    </w:p>
    <w:p w14:paraId="7C26EB59">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评标委员会审查投标文件的实质性内容是否符合招标文件的实质性要求。</w:t>
      </w:r>
    </w:p>
    <w:p w14:paraId="21908982">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评标委员会将根据投标人的投标文件的资信进行审查、核对,如有疑问,将对投标人进行询标,投标人要向评标委员会澄清有关问题,并最终以书面形式进行答复。 </w:t>
      </w:r>
    </w:p>
    <w:p w14:paraId="50E79512">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评标委员会将根据投标人的投标文件进行详细审查、核对,如有疑问,将对投标人进行询标,投标人要向评标委员会澄清有关问题,并最终以书面形式进行答复。</w:t>
      </w:r>
    </w:p>
    <w:p w14:paraId="7F9C9C37">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评标委员会将根据投标人的报价,计算各投标人的报价最终得分。</w:t>
      </w:r>
    </w:p>
    <w:p w14:paraId="317226A8">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各投标人的资信技术分按照评标委员会成员的独立评分汇总后的算术平均分计算。</w:t>
      </w:r>
    </w:p>
    <w:p w14:paraId="6227B2C0">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评标委员会完成评标后,评委对各部分得分汇总,得出本项目最终得分,评标委员会按评标原则确定中标人同时起草评标报告。</w:t>
      </w:r>
    </w:p>
    <w:p w14:paraId="78C7451A">
      <w:pPr>
        <w:pStyle w:val="4"/>
        <w:ind w:firstLine="400" w:firstLineChars="0"/>
        <w:rPr>
          <w:rFonts w:hint="eastAsia"/>
          <w:color w:val="auto"/>
          <w:highlight w:val="none"/>
        </w:rPr>
      </w:pPr>
      <w:bookmarkStart w:id="92" w:name="_Toc98019269"/>
      <w:r>
        <w:rPr>
          <w:rFonts w:hint="eastAsia"/>
          <w:color w:val="auto"/>
          <w:highlight w:val="none"/>
        </w:rPr>
        <w:t>澄清问题的形式</w:t>
      </w:r>
      <w:bookmarkEnd w:id="92"/>
    </w:p>
    <w:p w14:paraId="43C0BCD1">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但不得超出投标文件的范围或者改变投标文件的实质性内容。</w:t>
      </w:r>
    </w:p>
    <w:p w14:paraId="590D335F">
      <w:pPr>
        <w:pStyle w:val="4"/>
        <w:ind w:firstLine="400" w:firstLineChars="0"/>
        <w:rPr>
          <w:rFonts w:hint="eastAsia"/>
          <w:color w:val="auto"/>
          <w:highlight w:val="none"/>
        </w:rPr>
      </w:pPr>
      <w:bookmarkStart w:id="93" w:name="_Toc98019270"/>
      <w:r>
        <w:rPr>
          <w:rFonts w:hint="eastAsia"/>
          <w:color w:val="auto"/>
          <w:highlight w:val="none"/>
        </w:rPr>
        <w:t>评标过程的保密性</w:t>
      </w:r>
      <w:bookmarkEnd w:id="93"/>
    </w:p>
    <w:p w14:paraId="1ED39588">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p>
    <w:p w14:paraId="225A0613">
      <w:pPr>
        <w:pStyle w:val="4"/>
        <w:ind w:firstLine="400" w:firstLineChars="0"/>
        <w:rPr>
          <w:rFonts w:hint="eastAsia"/>
          <w:color w:val="auto"/>
          <w:highlight w:val="none"/>
        </w:rPr>
      </w:pPr>
      <w:bookmarkStart w:id="94" w:name="_Toc98019271"/>
      <w:r>
        <w:rPr>
          <w:rFonts w:hint="eastAsia"/>
          <w:color w:val="auto"/>
          <w:highlight w:val="none"/>
        </w:rPr>
        <w:t>评标原则和评标办法</w:t>
      </w:r>
      <w:bookmarkEnd w:id="94"/>
    </w:p>
    <w:p w14:paraId="0EAC4A82">
      <w:pPr>
        <w:numPr>
          <w:ilvl w:val="0"/>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原则：评标委员会必须做到公平、公正、客观，不带任何倾向性和启发性；不得向外界透露任何与评标有关的内容；任何单位和个人不得干扰、影响评标的正常进行；评标委员会及有关工作人员不得私下与竞标银行接触。</w:t>
      </w:r>
    </w:p>
    <w:p w14:paraId="751DB2FB">
      <w:pPr>
        <w:numPr>
          <w:ilvl w:val="0"/>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评标办法：本项目的具体评标办法详见第四章的《评标办法》。</w:t>
      </w:r>
    </w:p>
    <w:p w14:paraId="504DC199">
      <w:pPr>
        <w:pStyle w:val="4"/>
        <w:ind w:firstLine="420"/>
        <w:rPr>
          <w:rFonts w:hint="eastAsia"/>
          <w:color w:val="auto"/>
          <w:highlight w:val="none"/>
        </w:rPr>
      </w:pPr>
      <w:bookmarkStart w:id="95" w:name="_Toc98019272"/>
      <w:r>
        <w:rPr>
          <w:rFonts w:hint="eastAsia"/>
          <w:color w:val="auto"/>
          <w:highlight w:val="none"/>
        </w:rPr>
        <w:t>评标过程的监控</w:t>
      </w:r>
      <w:bookmarkEnd w:id="95"/>
    </w:p>
    <w:p w14:paraId="3A0DEED5">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本项目评标过程实行全程录音、录像监控，投标人在评标过程中所进行的试图影响评标结果的不公正活动，可能导致其投标被拒绝。</w:t>
      </w:r>
    </w:p>
    <w:p w14:paraId="58C4A317">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96" w:name="_Toc18132"/>
      <w:bookmarkStart w:id="97" w:name="_Toc98019273"/>
      <w:r>
        <w:rPr>
          <w:rFonts w:hint="eastAsia" w:ascii="微软雅黑" w:hAnsi="微软雅黑" w:eastAsia="微软雅黑" w:cs="微软雅黑"/>
          <w:color w:val="auto"/>
          <w:sz w:val="21"/>
          <w:szCs w:val="21"/>
          <w:highlight w:val="none"/>
        </w:rPr>
        <w:t>定标</w:t>
      </w:r>
      <w:bookmarkEnd w:id="96"/>
      <w:bookmarkEnd w:id="97"/>
    </w:p>
    <w:p w14:paraId="46934B69">
      <w:pPr>
        <w:pStyle w:val="3"/>
        <w:numPr>
          <w:ilvl w:val="1"/>
          <w:numId w:val="9"/>
        </w:numPr>
        <w:spacing w:before="0" w:after="0" w:line="360" w:lineRule="auto"/>
        <w:ind w:firstLine="420" w:firstLineChars="200"/>
        <w:rPr>
          <w:color w:val="auto"/>
          <w:highlight w:val="none"/>
        </w:rPr>
      </w:pPr>
      <w:bookmarkStart w:id="98" w:name="_Toc98019274"/>
      <w:r>
        <w:rPr>
          <w:rFonts w:hint="eastAsia"/>
          <w:color w:val="auto"/>
          <w:highlight w:val="none"/>
        </w:rPr>
        <w:t>确定中标人。本项目由评标委员会确定中标人。</w:t>
      </w:r>
      <w:bookmarkEnd w:id="98"/>
    </w:p>
    <w:p w14:paraId="355BC61E">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1、招标代理机构在评标结束后2个工作日内将评标结果告知存款单位，同时在发布招标公告的网站上对评标结果进行公告。</w:t>
      </w:r>
    </w:p>
    <w:p w14:paraId="4945EB26">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2、如有投标人对评标结果提出质疑的，招标人可在质疑处理完毕后确定中标人。</w:t>
      </w:r>
    </w:p>
    <w:p w14:paraId="5A9707DC">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w:t>
      </w:r>
      <w:r>
        <w:rPr>
          <w:rFonts w:ascii="微软雅黑" w:hAnsi="微软雅黑" w:eastAsia="微软雅黑"/>
          <w:color w:val="auto"/>
          <w:szCs w:val="21"/>
          <w:highlight w:val="none"/>
        </w:rPr>
        <w:t>公示期3个工作日，公示期后2个工作日内招标代理机构以书面形式发出《中标通知书》</w:t>
      </w:r>
      <w:r>
        <w:rPr>
          <w:rFonts w:hint="eastAsia" w:ascii="微软雅黑" w:hAnsi="微软雅黑" w:eastAsia="微软雅黑"/>
          <w:color w:val="auto"/>
          <w:szCs w:val="21"/>
          <w:highlight w:val="none"/>
        </w:rPr>
        <w:t>。</w:t>
      </w:r>
    </w:p>
    <w:p w14:paraId="7E913CD9">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99" w:name="_Toc7898"/>
      <w:bookmarkStart w:id="100" w:name="_Toc98019275"/>
      <w:r>
        <w:rPr>
          <w:rFonts w:hint="eastAsia" w:ascii="微软雅黑" w:hAnsi="微软雅黑" w:eastAsia="微软雅黑" w:cs="微软雅黑"/>
          <w:color w:val="auto"/>
          <w:sz w:val="21"/>
          <w:szCs w:val="21"/>
          <w:highlight w:val="none"/>
        </w:rPr>
        <w:t>合同授予</w:t>
      </w:r>
      <w:bookmarkEnd w:id="99"/>
      <w:bookmarkEnd w:id="100"/>
    </w:p>
    <w:p w14:paraId="0B738156">
      <w:pPr>
        <w:pStyle w:val="3"/>
        <w:numPr>
          <w:ilvl w:val="1"/>
          <w:numId w:val="9"/>
        </w:numPr>
        <w:spacing w:before="0" w:after="0" w:line="360" w:lineRule="auto"/>
        <w:ind w:firstLine="420" w:firstLineChars="200"/>
        <w:rPr>
          <w:rFonts w:hint="eastAsia" w:ascii="微软雅黑" w:hAnsi="微软雅黑" w:cs="Times New Roman"/>
          <w:b w:val="0"/>
          <w:color w:val="auto"/>
          <w:szCs w:val="21"/>
          <w:highlight w:val="none"/>
        </w:rPr>
      </w:pPr>
      <w:bookmarkStart w:id="101" w:name="_Toc98019276"/>
      <w:r>
        <w:rPr>
          <w:rFonts w:hint="eastAsia" w:ascii="微软雅黑" w:hAnsi="微软雅黑" w:cs="Times New Roman"/>
          <w:b w:val="0"/>
          <w:color w:val="auto"/>
          <w:szCs w:val="21"/>
          <w:highlight w:val="none"/>
        </w:rPr>
        <w:t>中标银行在收到中标通知书后</w:t>
      </w:r>
      <w:r>
        <w:rPr>
          <w:rFonts w:hint="eastAsia" w:ascii="微软雅黑" w:hAnsi="微软雅黑" w:cs="Times New Roman"/>
          <w:b w:val="0"/>
          <w:color w:val="auto"/>
          <w:szCs w:val="21"/>
          <w:highlight w:val="none"/>
          <w:lang w:val="en-US" w:eastAsia="zh-CN"/>
        </w:rPr>
        <w:t>30</w:t>
      </w:r>
      <w:r>
        <w:rPr>
          <w:rFonts w:hint="eastAsia" w:ascii="微软雅黑" w:hAnsi="微软雅黑" w:cs="Times New Roman"/>
          <w:b w:val="0"/>
          <w:color w:val="auto"/>
          <w:szCs w:val="21"/>
          <w:highlight w:val="none"/>
        </w:rPr>
        <w:t>日内签订存款合同。</w:t>
      </w:r>
      <w:bookmarkEnd w:id="101"/>
    </w:p>
    <w:p w14:paraId="1652985B">
      <w:pPr>
        <w:pStyle w:val="3"/>
        <w:numPr>
          <w:ilvl w:val="1"/>
          <w:numId w:val="9"/>
        </w:numPr>
        <w:spacing w:before="0" w:after="0" w:line="360" w:lineRule="auto"/>
        <w:ind w:firstLine="420" w:firstLineChars="200"/>
        <w:rPr>
          <w:b w:val="0"/>
          <w:bCs w:val="0"/>
          <w:color w:val="auto"/>
          <w:highlight w:val="none"/>
        </w:rPr>
      </w:pPr>
      <w:bookmarkStart w:id="102" w:name="_Toc98019277"/>
      <w:r>
        <w:rPr>
          <w:rFonts w:hint="eastAsia"/>
          <w:b w:val="0"/>
          <w:bCs w:val="0"/>
          <w:color w:val="auto"/>
          <w:highlight w:val="none"/>
        </w:rPr>
        <w:t>中标人拖延、拒签合同的,将被取消中标资格。</w:t>
      </w:r>
      <w:bookmarkEnd w:id="102"/>
    </w:p>
    <w:p w14:paraId="1FA06F81">
      <w:pPr>
        <w:pStyle w:val="2"/>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103" w:name="_Toc98019278"/>
      <w:bookmarkStart w:id="104" w:name="_Toc371"/>
      <w:r>
        <w:rPr>
          <w:rFonts w:hint="eastAsia" w:ascii="微软雅黑" w:hAnsi="微软雅黑" w:eastAsia="微软雅黑" w:cs="微软雅黑"/>
          <w:color w:val="auto"/>
          <w:sz w:val="21"/>
          <w:szCs w:val="21"/>
          <w:highlight w:val="none"/>
        </w:rPr>
        <w:t>招标代理服务费</w:t>
      </w:r>
      <w:bookmarkEnd w:id="103"/>
      <w:bookmarkEnd w:id="104"/>
    </w:p>
    <w:p w14:paraId="47C4102F">
      <w:pPr>
        <w:pStyle w:val="2"/>
        <w:numPr>
          <w:ilvl w:val="0"/>
          <w:numId w:val="25"/>
        </w:numPr>
        <w:spacing w:before="0" w:after="0" w:line="360" w:lineRule="auto"/>
        <w:ind w:left="0" w:firstLine="420" w:firstLineChars="200"/>
        <w:jc w:val="center"/>
        <w:rPr>
          <w:rFonts w:ascii="Arial" w:hAnsi="Arial" w:eastAsia="微软雅黑"/>
          <w:b w:val="0"/>
          <w:bCs w:val="0"/>
          <w:color w:val="auto"/>
          <w:kern w:val="2"/>
          <w:sz w:val="21"/>
          <w:szCs w:val="32"/>
          <w:highlight w:val="none"/>
        </w:rPr>
      </w:pPr>
      <w:bookmarkStart w:id="105" w:name="_Toc8149"/>
      <w:bookmarkStart w:id="106" w:name="_Toc98019279"/>
      <w:r>
        <w:rPr>
          <w:rFonts w:hint="eastAsia" w:ascii="Arial" w:hAnsi="Arial" w:eastAsia="微软雅黑"/>
          <w:b w:val="0"/>
          <w:bCs w:val="0"/>
          <w:color w:val="auto"/>
          <w:kern w:val="2"/>
          <w:sz w:val="21"/>
          <w:szCs w:val="32"/>
          <w:highlight w:val="none"/>
        </w:rPr>
        <w:t>根据“国家发展和改革委员会办公厅《关于招标代理服务收费有关问题的通知》（发改办价格【2003】857号）”规定，招标代理机构向中标人收取招标代理服务费。</w:t>
      </w:r>
      <w:bookmarkEnd w:id="105"/>
      <w:bookmarkEnd w:id="106"/>
    </w:p>
    <w:p w14:paraId="06E0AF9B">
      <w:pPr>
        <w:pStyle w:val="2"/>
        <w:numPr>
          <w:ilvl w:val="0"/>
          <w:numId w:val="25"/>
        </w:numPr>
        <w:spacing w:before="0" w:after="0" w:line="360" w:lineRule="auto"/>
        <w:ind w:left="0" w:firstLine="420" w:firstLineChars="200"/>
        <w:jc w:val="left"/>
        <w:rPr>
          <w:rFonts w:ascii="Arial" w:hAnsi="Arial" w:eastAsia="微软雅黑"/>
          <w:b w:val="0"/>
          <w:bCs w:val="0"/>
          <w:color w:val="auto"/>
          <w:kern w:val="2"/>
          <w:sz w:val="21"/>
          <w:szCs w:val="32"/>
          <w:highlight w:val="none"/>
          <w:lang w:val="zh-CN"/>
        </w:rPr>
      </w:pPr>
      <w:bookmarkStart w:id="107" w:name="_Toc8091"/>
      <w:bookmarkStart w:id="108" w:name="_Toc98019280"/>
      <w:r>
        <w:rPr>
          <w:rFonts w:hint="eastAsia" w:ascii="Arial" w:hAnsi="Arial" w:eastAsia="微软雅黑"/>
          <w:b w:val="0"/>
          <w:bCs w:val="0"/>
          <w:color w:val="auto"/>
          <w:kern w:val="2"/>
          <w:sz w:val="21"/>
          <w:szCs w:val="32"/>
          <w:highlight w:val="none"/>
        </w:rPr>
        <w:t>中标人应在收取《中标通知书》时向采购代理机构交纳招标代理服务费，服务费的收费标准（按6000元收取，由中标银行按中标存款金额比例分摊）。</w:t>
      </w:r>
      <w:bookmarkEnd w:id="107"/>
      <w:bookmarkEnd w:id="108"/>
    </w:p>
    <w:p w14:paraId="4CFC29AA">
      <w:pPr>
        <w:pStyle w:val="2"/>
        <w:numPr>
          <w:ilvl w:val="0"/>
          <w:numId w:val="25"/>
        </w:numPr>
        <w:spacing w:before="0" w:after="0" w:line="360" w:lineRule="auto"/>
        <w:ind w:left="0" w:firstLine="420" w:firstLineChars="200"/>
        <w:jc w:val="left"/>
        <w:rPr>
          <w:rFonts w:ascii="Arial" w:hAnsi="Arial" w:eastAsia="微软雅黑"/>
          <w:b w:val="0"/>
          <w:bCs w:val="0"/>
          <w:color w:val="auto"/>
          <w:kern w:val="2"/>
          <w:sz w:val="21"/>
          <w:szCs w:val="32"/>
          <w:highlight w:val="none"/>
        </w:rPr>
      </w:pPr>
      <w:bookmarkStart w:id="109" w:name="_Toc18235"/>
      <w:bookmarkStart w:id="110" w:name="_Toc98019281"/>
      <w:r>
        <w:rPr>
          <w:rFonts w:hint="eastAsia" w:ascii="Arial" w:hAnsi="Arial" w:eastAsia="微软雅黑"/>
          <w:b w:val="0"/>
          <w:bCs w:val="0"/>
          <w:color w:val="auto"/>
          <w:kern w:val="2"/>
          <w:sz w:val="21"/>
          <w:szCs w:val="32"/>
          <w:highlight w:val="none"/>
        </w:rPr>
        <w:t>服务费的货币为人民币。</w:t>
      </w:r>
      <w:bookmarkEnd w:id="109"/>
      <w:bookmarkEnd w:id="110"/>
    </w:p>
    <w:p w14:paraId="41638D78">
      <w:pPr>
        <w:pStyle w:val="2"/>
        <w:numPr>
          <w:ilvl w:val="0"/>
          <w:numId w:val="0"/>
        </w:numPr>
        <w:spacing w:before="0" w:after="0" w:line="360" w:lineRule="auto"/>
        <w:ind w:left="420" w:leftChars="200"/>
        <w:jc w:val="left"/>
        <w:rPr>
          <w:rFonts w:ascii="Arial" w:hAnsi="Arial" w:eastAsia="微软雅黑"/>
          <w:b w:val="0"/>
          <w:bCs w:val="0"/>
          <w:color w:val="auto"/>
          <w:kern w:val="2"/>
          <w:sz w:val="21"/>
          <w:szCs w:val="32"/>
          <w:highlight w:val="none"/>
        </w:rPr>
      </w:pPr>
      <w:bookmarkStart w:id="111" w:name="_Toc29813"/>
      <w:bookmarkStart w:id="112" w:name="_Toc98019282"/>
      <w:r>
        <w:rPr>
          <w:rFonts w:hint="eastAsia" w:ascii="Arial" w:hAnsi="Arial" w:eastAsia="微软雅黑"/>
          <w:b w:val="0"/>
          <w:bCs w:val="0"/>
          <w:color w:val="auto"/>
          <w:kern w:val="2"/>
          <w:sz w:val="21"/>
          <w:szCs w:val="32"/>
          <w:highlight w:val="none"/>
        </w:rPr>
        <w:t>服务费支付方式：一次性以银行划账、电汇、汇票或支票的形式支付。</w:t>
      </w:r>
      <w:bookmarkEnd w:id="111"/>
      <w:bookmarkEnd w:id="112"/>
    </w:p>
    <w:p w14:paraId="0E6C631C">
      <w:pPr>
        <w:pStyle w:val="2"/>
        <w:numPr>
          <w:ilvl w:val="0"/>
          <w:numId w:val="0"/>
        </w:numPr>
        <w:spacing w:before="0" w:after="0" w:line="360" w:lineRule="auto"/>
        <w:ind w:left="420" w:leftChars="200"/>
        <w:jc w:val="left"/>
        <w:rPr>
          <w:rFonts w:ascii="Arial" w:hAnsi="Arial" w:eastAsia="微软雅黑"/>
          <w:b w:val="0"/>
          <w:bCs w:val="0"/>
          <w:color w:val="auto"/>
          <w:kern w:val="2"/>
          <w:sz w:val="21"/>
          <w:szCs w:val="32"/>
          <w:highlight w:val="none"/>
        </w:rPr>
      </w:pPr>
      <w:bookmarkStart w:id="113" w:name="_Toc30115"/>
      <w:bookmarkStart w:id="114" w:name="_Toc98019283"/>
      <w:r>
        <w:rPr>
          <w:rFonts w:hint="eastAsia" w:ascii="Arial" w:hAnsi="Arial" w:eastAsia="微软雅黑"/>
          <w:b w:val="0"/>
          <w:bCs w:val="0"/>
          <w:color w:val="auto"/>
          <w:kern w:val="2"/>
          <w:sz w:val="21"/>
          <w:szCs w:val="32"/>
          <w:highlight w:val="none"/>
        </w:rPr>
        <w:t>服务费以银行划账方式按下列要求提交：</w:t>
      </w:r>
      <w:bookmarkEnd w:id="113"/>
      <w:bookmarkEnd w:id="114"/>
    </w:p>
    <w:p w14:paraId="7E0E7E90">
      <w:pPr>
        <w:snapToGrid w:val="0"/>
        <w:spacing w:line="480" w:lineRule="exact"/>
        <w:ind w:left="420" w:leftChars="200"/>
        <w:rPr>
          <w:rFonts w:hint="eastAsia" w:ascii="微软雅黑" w:hAnsi="微软雅黑" w:eastAsia="微软雅黑"/>
          <w:b/>
          <w:color w:val="auto"/>
          <w:szCs w:val="21"/>
          <w:highlight w:val="none"/>
        </w:rPr>
      </w:pPr>
      <w:r>
        <w:rPr>
          <w:rFonts w:hint="eastAsia" w:ascii="微软雅黑" w:hAnsi="微软雅黑" w:eastAsia="微软雅黑"/>
          <w:color w:val="auto"/>
          <w:szCs w:val="21"/>
          <w:highlight w:val="none"/>
        </w:rPr>
        <w:t>收款人：</w:t>
      </w:r>
      <w:r>
        <w:rPr>
          <w:rFonts w:hint="eastAsia" w:ascii="微软雅黑" w:hAnsi="微软雅黑" w:eastAsia="微软雅黑"/>
          <w:b/>
          <w:color w:val="auto"/>
          <w:szCs w:val="21"/>
          <w:highlight w:val="none"/>
        </w:rPr>
        <w:t>嘉兴市千秋工程咨询有限公司</w:t>
      </w:r>
    </w:p>
    <w:p w14:paraId="4E39D6A8">
      <w:pPr>
        <w:widowControl/>
        <w:tabs>
          <w:tab w:val="left" w:pos="848"/>
        </w:tabs>
        <w:snapToGrid w:val="0"/>
        <w:spacing w:line="480" w:lineRule="exact"/>
        <w:ind w:left="420" w:left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户名：</w:t>
      </w:r>
      <w:r>
        <w:rPr>
          <w:rFonts w:hint="eastAsia" w:ascii="微软雅黑" w:hAnsi="微软雅黑" w:eastAsia="微软雅黑" w:cs="宋体"/>
          <w:bCs/>
          <w:color w:val="auto"/>
          <w:szCs w:val="21"/>
          <w:highlight w:val="none"/>
        </w:rPr>
        <w:t>嘉兴市千秋工程咨询有限公司</w:t>
      </w:r>
    </w:p>
    <w:p w14:paraId="693BB64A">
      <w:pPr>
        <w:widowControl/>
        <w:snapToGrid w:val="0"/>
        <w:spacing w:line="480" w:lineRule="exact"/>
        <w:ind w:left="420" w:left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开户银行：</w:t>
      </w:r>
      <w:r>
        <w:rPr>
          <w:rFonts w:hint="eastAsia" w:ascii="微软雅黑" w:hAnsi="微软雅黑" w:eastAsia="微软雅黑"/>
          <w:b/>
          <w:color w:val="auto"/>
          <w:szCs w:val="21"/>
          <w:highlight w:val="none"/>
        </w:rPr>
        <w:t>交通银行嘉兴分行</w:t>
      </w:r>
    </w:p>
    <w:p w14:paraId="7DC91270">
      <w:pPr>
        <w:widowControl/>
        <w:snapToGrid w:val="0"/>
        <w:spacing w:line="480" w:lineRule="exact"/>
        <w:ind w:left="420" w:left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账号：</w:t>
      </w:r>
      <w:r>
        <w:rPr>
          <w:rFonts w:hint="eastAsia" w:ascii="微软雅黑" w:hAnsi="微软雅黑" w:eastAsia="微软雅黑"/>
          <w:b/>
          <w:color w:val="auto"/>
          <w:szCs w:val="21"/>
          <w:highlight w:val="none"/>
        </w:rPr>
        <w:t>334601000018170160050</w:t>
      </w:r>
    </w:p>
    <w:p w14:paraId="423F1C1C">
      <w:pPr>
        <w:pStyle w:val="2"/>
        <w:numPr>
          <w:ilvl w:val="0"/>
          <w:numId w:val="0"/>
        </w:numPr>
        <w:spacing w:before="0" w:after="0" w:line="360" w:lineRule="auto"/>
        <w:ind w:left="420"/>
        <w:jc w:val="left"/>
        <w:rPr>
          <w:rFonts w:hint="eastAsia" w:ascii="微软雅黑" w:hAnsi="微软雅黑" w:eastAsia="微软雅黑"/>
          <w:b w:val="0"/>
          <w:color w:val="auto"/>
          <w:sz w:val="21"/>
          <w:szCs w:val="21"/>
          <w:highlight w:val="none"/>
        </w:rPr>
      </w:pPr>
      <w:bookmarkStart w:id="115" w:name="_Toc98019285"/>
      <w:bookmarkStart w:id="116" w:name="_Toc15919"/>
      <w:r>
        <w:rPr>
          <w:rFonts w:hint="eastAsia" w:ascii="微软雅黑" w:hAnsi="微软雅黑" w:eastAsia="微软雅黑"/>
          <w:b w:val="0"/>
          <w:bCs w:val="0"/>
          <w:color w:val="auto"/>
          <w:kern w:val="2"/>
          <w:sz w:val="21"/>
          <w:szCs w:val="21"/>
          <w:highlight w:val="none"/>
        </w:rPr>
        <w:t>服务费不在投标报价中单列。</w:t>
      </w:r>
      <w:bookmarkEnd w:id="115"/>
      <w:bookmarkEnd w:id="116"/>
    </w:p>
    <w:p w14:paraId="76BB4A5C">
      <w:pPr>
        <w:pStyle w:val="36"/>
        <w:numPr>
          <w:ilvl w:val="0"/>
          <w:numId w:val="3"/>
        </w:numPr>
        <w:rPr>
          <w:color w:val="auto"/>
          <w:highlight w:val="none"/>
        </w:rPr>
        <w:sectPr>
          <w:pgSz w:w="11907" w:h="16840"/>
          <w:pgMar w:top="1440" w:right="1797" w:bottom="1440" w:left="1797" w:header="851" w:footer="851" w:gutter="0"/>
          <w:cols w:space="425" w:num="1"/>
          <w:titlePg/>
          <w:docGrid w:type="lines" w:linePitch="312" w:charSpace="0"/>
        </w:sectPr>
      </w:pPr>
      <w:bookmarkStart w:id="117" w:name="_Toc11650185"/>
      <w:bookmarkStart w:id="118" w:name="_Toc9342495"/>
    </w:p>
    <w:p w14:paraId="53A61E9C">
      <w:pPr>
        <w:pStyle w:val="36"/>
        <w:numPr>
          <w:ilvl w:val="0"/>
          <w:numId w:val="3"/>
        </w:numPr>
        <w:rPr>
          <w:color w:val="auto"/>
          <w:highlight w:val="none"/>
        </w:rPr>
      </w:pPr>
      <w:bookmarkStart w:id="119" w:name="_Toc98019286"/>
      <w:r>
        <w:rPr>
          <w:rFonts w:hint="eastAsia"/>
          <w:color w:val="auto"/>
          <w:highlight w:val="none"/>
        </w:rPr>
        <w:t>评标办法及评分标准</w:t>
      </w:r>
      <w:bookmarkEnd w:id="117"/>
      <w:bookmarkEnd w:id="118"/>
      <w:bookmarkEnd w:id="119"/>
    </w:p>
    <w:p w14:paraId="4A836B32">
      <w:pPr>
        <w:pStyle w:val="62"/>
        <w:snapToGrid w:val="0"/>
        <w:spacing w:line="360" w:lineRule="auto"/>
        <w:ind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为进一步提高财政资金使用效益，规范和创新财政资金存放管理。根据《财政部关于切实加强地方预算执行和财政资金安全管理有关事宜的通知》（财库〔2019〕49号）和《秀洲区区级财政部门和行政事业单位资金竞争性存放管理办法》（秀洲财执库〔2018〕239号）文件规定，制定本评分指标与评分规则。</w:t>
      </w:r>
    </w:p>
    <w:p w14:paraId="3130F867">
      <w:pPr>
        <w:pStyle w:val="4"/>
        <w:numPr>
          <w:ilvl w:val="0"/>
          <w:numId w:val="26"/>
        </w:numPr>
        <w:ind w:firstLineChars="0"/>
        <w:rPr>
          <w:rFonts w:hint="eastAsia"/>
          <w:color w:val="auto"/>
          <w:highlight w:val="none"/>
        </w:rPr>
      </w:pPr>
      <w:bookmarkStart w:id="120" w:name="_Toc98019288"/>
      <w:r>
        <w:rPr>
          <w:rFonts w:hint="eastAsia"/>
          <w:color w:val="auto"/>
          <w:highlight w:val="none"/>
          <w:lang w:val="en-US" w:eastAsia="zh-CN"/>
        </w:rPr>
        <w:t>总则</w:t>
      </w:r>
    </w:p>
    <w:p w14:paraId="7ADD5F0B">
      <w:pPr>
        <w:tabs>
          <w:tab w:val="left" w:pos="0"/>
          <w:tab w:val="left" w:pos="720"/>
          <w:tab w:val="left" w:pos="1440"/>
          <w:tab w:val="left" w:pos="2160"/>
          <w:tab w:val="left" w:pos="2880"/>
          <w:tab w:val="left" w:pos="3600"/>
          <w:tab w:val="left" w:pos="4320"/>
        </w:tabs>
        <w:autoSpaceDE w:val="0"/>
        <w:autoSpaceDN w:val="0"/>
        <w:spacing w:line="360" w:lineRule="auto"/>
        <w:ind w:firstLine="424" w:firstLineChars="202"/>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本次评标采用综合评分法，分为价格分、资信技术分两部分。合格投标人的评标得分为各项目汇总得分，中标候选资格按评标得分由高到低顺序排列，</w:t>
      </w:r>
      <w:r>
        <w:rPr>
          <w:rFonts w:hint="eastAsia" w:ascii="微软雅黑" w:hAnsi="微软雅黑" w:eastAsia="微软雅黑" w:cs="微软雅黑"/>
          <w:color w:val="auto"/>
          <w:szCs w:val="21"/>
          <w:highlight w:val="none"/>
          <w:lang w:val="en-US" w:eastAsia="zh-CN"/>
        </w:rPr>
        <w:t>综合</w:t>
      </w:r>
      <w:r>
        <w:rPr>
          <w:rFonts w:hint="eastAsia" w:ascii="微软雅黑" w:hAnsi="微软雅黑" w:eastAsia="微软雅黑" w:cs="微软雅黑"/>
          <w:color w:val="auto"/>
          <w:szCs w:val="21"/>
          <w:highlight w:val="none"/>
        </w:rPr>
        <w:t>得分相同的，按价格分由高到低顺序排列；</w:t>
      </w:r>
      <w:r>
        <w:rPr>
          <w:rFonts w:hint="eastAsia" w:ascii="微软雅黑" w:hAnsi="微软雅黑" w:eastAsia="微软雅黑" w:cs="微软雅黑"/>
          <w:color w:val="auto"/>
          <w:szCs w:val="21"/>
          <w:highlight w:val="none"/>
          <w:lang w:val="en-US" w:eastAsia="zh-CN"/>
        </w:rPr>
        <w:t>综合</w:t>
      </w:r>
      <w:r>
        <w:rPr>
          <w:rFonts w:hint="eastAsia" w:ascii="微软雅黑" w:hAnsi="微软雅黑" w:eastAsia="微软雅黑" w:cs="微软雅黑"/>
          <w:color w:val="auto"/>
          <w:szCs w:val="21"/>
          <w:highlight w:val="none"/>
        </w:rPr>
        <w:t>得分</w:t>
      </w:r>
      <w:r>
        <w:rPr>
          <w:rFonts w:hint="eastAsia" w:ascii="微软雅黑" w:hAnsi="微软雅黑" w:eastAsia="微软雅黑" w:cs="微软雅黑"/>
          <w:color w:val="auto"/>
          <w:szCs w:val="21"/>
          <w:highlight w:val="none"/>
          <w:lang w:val="en-US" w:eastAsia="zh-CN"/>
        </w:rPr>
        <w:t>相同</w:t>
      </w:r>
      <w:r>
        <w:rPr>
          <w:rFonts w:hint="eastAsia" w:ascii="微软雅黑" w:hAnsi="微软雅黑" w:eastAsia="微软雅黑" w:cs="微软雅黑"/>
          <w:color w:val="auto"/>
          <w:szCs w:val="21"/>
          <w:highlight w:val="none"/>
        </w:rPr>
        <w:t>且价格分相同的，按资信技术分由高到低顺序排列。均相同的则按政采云系统内投标时间先后顺序。中标单位按招标需求中招标单位序号顺序依次分配中标金额。</w:t>
      </w:r>
    </w:p>
    <w:p w14:paraId="54C9F858">
      <w:pPr>
        <w:pStyle w:val="90"/>
        <w:spacing w:before="156" w:beforeLines="50" w:after="156" w:afterLines="50"/>
        <w:ind w:firstLine="424" w:firstLineChars="202"/>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投标人评标综合得分=价格分+资信技术分。</w:t>
      </w:r>
    </w:p>
    <w:p w14:paraId="23C83008">
      <w:pPr>
        <w:pStyle w:val="90"/>
        <w:spacing w:before="156" w:beforeLines="50" w:after="156" w:afterLines="50"/>
        <w:ind w:firstLine="424" w:firstLineChars="202"/>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价格分=利率水平指标得分。</w:t>
      </w:r>
    </w:p>
    <w:p w14:paraId="050F8EA9">
      <w:pPr>
        <w:pStyle w:val="90"/>
        <w:spacing w:before="156" w:beforeLines="50" w:after="156" w:afterLines="50"/>
        <w:ind w:firstLine="424" w:firstLineChars="202"/>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资信技术分=经营状况得分+经济贡献度得分+服务水平得分。</w:t>
      </w:r>
    </w:p>
    <w:p w14:paraId="1E668621">
      <w:pPr>
        <w:pStyle w:val="4"/>
        <w:numPr>
          <w:ilvl w:val="0"/>
          <w:numId w:val="26"/>
        </w:numPr>
        <w:ind w:firstLineChars="0"/>
        <w:rPr>
          <w:rFonts w:hint="eastAsia"/>
          <w:color w:val="auto"/>
          <w:highlight w:val="none"/>
        </w:rPr>
      </w:pPr>
      <w:r>
        <w:rPr>
          <w:rFonts w:hint="eastAsia"/>
          <w:color w:val="auto"/>
          <w:highlight w:val="none"/>
        </w:rPr>
        <w:t>评分内容和标准</w:t>
      </w:r>
      <w:bookmarkEnd w:id="120"/>
    </w:p>
    <w:p w14:paraId="46603128">
      <w:pPr>
        <w:adjustRightInd w:val="0"/>
        <w:snapToGrid w:val="0"/>
        <w:spacing w:line="540" w:lineRule="exact"/>
        <w:ind w:firstLine="420" w:firstLineChars="200"/>
        <w:rPr>
          <w:rFonts w:hint="eastAsia" w:ascii="微软雅黑" w:hAnsi="微软雅黑" w:eastAsia="微软雅黑" w:cs="微软雅黑"/>
          <w:color w:val="auto"/>
          <w:kern w:val="0"/>
          <w:sz w:val="21"/>
          <w:szCs w:val="21"/>
          <w:highlight w:val="none"/>
        </w:rPr>
      </w:pPr>
      <w:bookmarkStart w:id="121" w:name="_Toc170792813"/>
      <w:r>
        <w:rPr>
          <w:rFonts w:hint="eastAsia" w:ascii="微软雅黑" w:hAnsi="微软雅黑" w:eastAsia="微软雅黑" w:cs="微软雅黑"/>
          <w:color w:val="auto"/>
          <w:sz w:val="21"/>
          <w:szCs w:val="21"/>
          <w:highlight w:val="none"/>
        </w:rPr>
        <w:t>评分指标包括利率水平指标（10分）、经营状况指标（40分）、经济贡献度指标（40分）、和服务水平项目指标（10分）。</w:t>
      </w:r>
      <w:r>
        <w:rPr>
          <w:rFonts w:hint="eastAsia" w:ascii="微软雅黑" w:hAnsi="微软雅黑" w:eastAsia="微软雅黑" w:cs="微软雅黑"/>
          <w:color w:val="auto"/>
          <w:kern w:val="0"/>
          <w:sz w:val="21"/>
          <w:szCs w:val="21"/>
          <w:highlight w:val="none"/>
        </w:rPr>
        <w:t>评委根据投标银行的标段、定期存款年利率、投标金额和相关部门（或投标银行）提供的评标数据、佐证资料，对照评分标准计算各投标银行得分。计算得分时，保留</w:t>
      </w:r>
      <w:r>
        <w:rPr>
          <w:rFonts w:hint="eastAsia" w:ascii="微软雅黑" w:hAnsi="微软雅黑" w:eastAsia="微软雅黑" w:cs="微软雅黑"/>
          <w:color w:val="auto"/>
          <w:kern w:val="0"/>
          <w:sz w:val="21"/>
          <w:szCs w:val="21"/>
          <w:highlight w:val="none"/>
          <w:lang w:val="en-US" w:eastAsia="zh-CN"/>
        </w:rPr>
        <w:t>三</w:t>
      </w:r>
      <w:r>
        <w:rPr>
          <w:rFonts w:hint="eastAsia" w:ascii="微软雅黑" w:hAnsi="微软雅黑" w:eastAsia="微软雅黑" w:cs="微软雅黑"/>
          <w:color w:val="auto"/>
          <w:kern w:val="0"/>
          <w:sz w:val="21"/>
          <w:szCs w:val="21"/>
          <w:highlight w:val="none"/>
        </w:rPr>
        <w:t>位小数</w:t>
      </w:r>
      <w:r>
        <w:rPr>
          <w:rFonts w:hint="eastAsia" w:ascii="微软雅黑" w:hAnsi="微软雅黑" w:eastAsia="微软雅黑" w:cs="微软雅黑"/>
          <w:color w:val="auto"/>
          <w:kern w:val="0"/>
          <w:sz w:val="21"/>
          <w:szCs w:val="21"/>
          <w:highlight w:val="none"/>
          <w:lang w:eastAsia="zh-CN"/>
        </w:rPr>
        <w:t>（</w:t>
      </w:r>
      <w:r>
        <w:rPr>
          <w:rFonts w:hint="eastAsia" w:ascii="微软雅黑" w:hAnsi="微软雅黑" w:eastAsia="微软雅黑" w:cs="微软雅黑"/>
          <w:color w:val="auto"/>
          <w:kern w:val="0"/>
          <w:sz w:val="21"/>
          <w:szCs w:val="21"/>
          <w:highlight w:val="none"/>
          <w:lang w:val="en-US" w:eastAsia="zh-CN"/>
        </w:rPr>
        <w:t>四舍五入）</w:t>
      </w:r>
      <w:r>
        <w:rPr>
          <w:rFonts w:hint="eastAsia" w:ascii="微软雅黑" w:hAnsi="微软雅黑" w:eastAsia="微软雅黑" w:cs="微软雅黑"/>
          <w:color w:val="auto"/>
          <w:kern w:val="0"/>
          <w:sz w:val="21"/>
          <w:szCs w:val="21"/>
          <w:highlight w:val="none"/>
        </w:rPr>
        <w:t>。</w:t>
      </w:r>
    </w:p>
    <w:p w14:paraId="01FF27C1">
      <w:pPr>
        <w:spacing w:line="560" w:lineRule="exact"/>
        <w:ind w:firstLine="420" w:firstLineChars="200"/>
        <w:rPr>
          <w:rFonts w:hint="eastAsia" w:ascii="微软雅黑" w:hAnsi="微软雅黑" w:eastAsia="微软雅黑" w:cs="仿宋_GB2312"/>
          <w:color w:val="auto"/>
          <w:szCs w:val="21"/>
          <w:highlight w:val="none"/>
        </w:rPr>
      </w:pPr>
      <w:r>
        <w:rPr>
          <w:rFonts w:hint="eastAsia" w:ascii="微软雅黑" w:hAnsi="微软雅黑" w:eastAsia="微软雅黑" w:cs="楷体_GB2312"/>
          <w:b/>
          <w:color w:val="auto"/>
          <w:szCs w:val="21"/>
          <w:highlight w:val="none"/>
        </w:rPr>
        <w:t>（一）利率水平指标（满分10分）。</w:t>
      </w:r>
      <w:r>
        <w:rPr>
          <w:rFonts w:hint="eastAsia" w:ascii="微软雅黑" w:hAnsi="微软雅黑" w:eastAsia="微软雅黑" w:cs="仿宋_GB2312"/>
          <w:color w:val="auto"/>
          <w:szCs w:val="21"/>
          <w:highlight w:val="none"/>
        </w:rPr>
        <w:t>根据有效竞标银行投标利率为评分依据。有效竞标银行报价与同期限人民币存款基准利率相比上浮基点（BP）最高的银行得满分，上浮基点(BP)每下降一个基点扣0.08分，扣至0分为止。</w:t>
      </w:r>
    </w:p>
    <w:p w14:paraId="697B253F">
      <w:pPr>
        <w:spacing w:line="560" w:lineRule="exact"/>
        <w:ind w:firstLine="420" w:firstLineChars="200"/>
        <w:rPr>
          <w:rFonts w:hint="eastAsia" w:ascii="微软雅黑" w:hAnsi="微软雅黑" w:eastAsia="微软雅黑" w:cs="仿宋_GB2312"/>
          <w:color w:val="auto"/>
          <w:szCs w:val="21"/>
          <w:highlight w:val="none"/>
        </w:rPr>
      </w:pPr>
      <w:r>
        <w:rPr>
          <w:rFonts w:hint="eastAsia" w:ascii="微软雅黑" w:hAnsi="微软雅黑" w:eastAsia="微软雅黑" w:cs="楷体_GB2312"/>
          <w:b/>
          <w:bCs w:val="0"/>
          <w:color w:val="auto"/>
          <w:szCs w:val="21"/>
          <w:highlight w:val="none"/>
        </w:rPr>
        <w:t>（二）</w:t>
      </w:r>
      <w:r>
        <w:rPr>
          <w:rFonts w:hint="eastAsia" w:ascii="微软雅黑" w:hAnsi="微软雅黑" w:eastAsia="微软雅黑" w:cs="仿宋_GB2312"/>
          <w:b/>
          <w:bCs w:val="0"/>
          <w:color w:val="auto"/>
          <w:szCs w:val="21"/>
          <w:highlight w:val="none"/>
        </w:rPr>
        <w:t>经营状况指标</w:t>
      </w:r>
      <w:r>
        <w:rPr>
          <w:rFonts w:hint="eastAsia" w:ascii="微软雅黑" w:hAnsi="微软雅黑" w:eastAsia="微软雅黑" w:cs="楷体_GB2312"/>
          <w:b/>
          <w:bCs w:val="0"/>
          <w:color w:val="auto"/>
          <w:szCs w:val="21"/>
          <w:highlight w:val="none"/>
        </w:rPr>
        <w:t>（满分40分）</w:t>
      </w:r>
      <w:r>
        <w:rPr>
          <w:rFonts w:hint="eastAsia" w:ascii="微软雅黑" w:hAnsi="微软雅黑" w:eastAsia="微软雅黑" w:cs="楷体_GB2312"/>
          <w:b/>
          <w:color w:val="auto"/>
          <w:szCs w:val="21"/>
          <w:highlight w:val="none"/>
        </w:rPr>
        <w:t>。</w:t>
      </w:r>
      <w:r>
        <w:rPr>
          <w:rFonts w:hint="eastAsia" w:ascii="微软雅黑" w:hAnsi="微软雅黑" w:eastAsia="微软雅黑" w:cs="仿宋_GB2312"/>
          <w:color w:val="auto"/>
          <w:szCs w:val="21"/>
          <w:highlight w:val="none"/>
        </w:rPr>
        <w:t>经营状况指标设置包括偿付能力、资产质量、运营能力、内控水平指标。</w:t>
      </w:r>
    </w:p>
    <w:p w14:paraId="38F9295B">
      <w:pPr>
        <w:pStyle w:val="62"/>
        <w:numPr>
          <w:ilvl w:val="3"/>
          <w:numId w:val="27"/>
        </w:numPr>
        <w:tabs>
          <w:tab w:val="left" w:pos="709"/>
        </w:tabs>
        <w:snapToGrid w:val="0"/>
        <w:spacing w:line="560" w:lineRule="exact"/>
        <w:ind w:left="0" w:firstLine="426" w:firstLineChars="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偿付能力（10分）。根据有效竞标银行上年末法人拨备覆盖率和资本充足率进行评分。</w:t>
      </w:r>
    </w:p>
    <w:p w14:paraId="2C9A96F4">
      <w:pPr>
        <w:pStyle w:val="62"/>
        <w:numPr>
          <w:ilvl w:val="3"/>
          <w:numId w:val="28"/>
        </w:numPr>
        <w:snapToGrid w:val="0"/>
        <w:spacing w:line="560" w:lineRule="exact"/>
        <w:ind w:left="0"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拨备覆盖率（5分）。按照有效竞标银行</w:t>
      </w:r>
      <w:r>
        <w:rPr>
          <w:rFonts w:hint="eastAsia" w:ascii="微软雅黑" w:hAnsi="微软雅黑" w:eastAsia="微软雅黑" w:cs="仿宋_GB2312"/>
          <w:color w:val="auto"/>
          <w:szCs w:val="21"/>
          <w:highlight w:val="none"/>
          <w:lang w:val="en-US" w:eastAsia="zh-CN"/>
        </w:rPr>
        <w:t>上年度</w:t>
      </w:r>
      <w:r>
        <w:rPr>
          <w:rFonts w:hint="eastAsia" w:ascii="微软雅黑" w:hAnsi="微软雅黑" w:eastAsia="微软雅黑" w:cs="仿宋_GB2312"/>
          <w:color w:val="auto"/>
          <w:szCs w:val="21"/>
          <w:highlight w:val="none"/>
        </w:rPr>
        <w:t>法人拨备覆盖率赋分。得分标准为：150%及以上得5分；150%以下、120%及以上，与150%相比每下降一个百分点减0.1分；低于120%以下，不得分。</w:t>
      </w:r>
    </w:p>
    <w:p w14:paraId="11C5FC44">
      <w:pPr>
        <w:pStyle w:val="62"/>
        <w:numPr>
          <w:ilvl w:val="3"/>
          <w:numId w:val="28"/>
        </w:numPr>
        <w:snapToGrid w:val="0"/>
        <w:spacing w:line="560" w:lineRule="exact"/>
        <w:ind w:left="0"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资本充足率（5分）。按照有效竞标银行</w:t>
      </w:r>
      <w:r>
        <w:rPr>
          <w:rFonts w:hint="eastAsia" w:ascii="微软雅黑" w:hAnsi="微软雅黑" w:eastAsia="微软雅黑" w:cs="仿宋_GB2312"/>
          <w:color w:val="auto"/>
          <w:szCs w:val="21"/>
          <w:highlight w:val="none"/>
          <w:lang w:val="en-US" w:eastAsia="zh-CN"/>
        </w:rPr>
        <w:t>上年度</w:t>
      </w:r>
      <w:r>
        <w:rPr>
          <w:rFonts w:hint="eastAsia" w:ascii="微软雅黑" w:hAnsi="微软雅黑" w:eastAsia="微软雅黑" w:cs="仿宋_GB2312"/>
          <w:color w:val="auto"/>
          <w:szCs w:val="21"/>
          <w:highlight w:val="none"/>
        </w:rPr>
        <w:t>法人资本充足率赋分。得分标准为：10.5%及以上得5分；10.5%以下不得分。政策性银行的资本充足率按5分计算。</w:t>
      </w:r>
    </w:p>
    <w:p w14:paraId="1523DBC4">
      <w:pPr>
        <w:snapToGrid w:val="0"/>
        <w:spacing w:line="560" w:lineRule="exact"/>
        <w:ind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（该指标数据由竞标银行提供，资本充足率指标数据由各投标银行提供，在系统内按小数填报【例：0.105】）</w:t>
      </w:r>
    </w:p>
    <w:p w14:paraId="2C2530A0">
      <w:pPr>
        <w:keepNext w:val="0"/>
        <w:keepLines w:val="0"/>
        <w:pageBreakBefore w:val="0"/>
        <w:widowControl w:val="0"/>
        <w:numPr>
          <w:ilvl w:val="0"/>
          <w:numId w:val="29"/>
        </w:numPr>
        <w:tabs>
          <w:tab w:val="left" w:pos="420"/>
          <w:tab w:val="left" w:pos="630"/>
        </w:tabs>
        <w:kinsoku/>
        <w:wordWrap/>
        <w:overflowPunct/>
        <w:topLinePunct w:val="0"/>
        <w:autoSpaceDE/>
        <w:autoSpaceDN/>
        <w:bidi w:val="0"/>
        <w:snapToGrid w:val="0"/>
        <w:spacing w:line="560" w:lineRule="exact"/>
        <w:ind w:left="5" w:leftChars="0" w:firstLine="415"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资产质量（12分）。根据有效竞标银行嘉兴市本外币不良贷款率及不良贷款处置率进行评分。</w:t>
      </w:r>
    </w:p>
    <w:p w14:paraId="191C8831">
      <w:pPr>
        <w:keepNext w:val="0"/>
        <w:keepLines w:val="0"/>
        <w:pageBreakBefore w:val="0"/>
        <w:widowControl w:val="0"/>
        <w:numPr>
          <w:ilvl w:val="0"/>
          <w:numId w:val="30"/>
        </w:numPr>
        <w:kinsoku/>
        <w:wordWrap/>
        <w:overflowPunct/>
        <w:topLinePunct w:val="0"/>
        <w:autoSpaceDE/>
        <w:autoSpaceDN/>
        <w:bidi w:val="0"/>
        <w:snapToGrid w:val="0"/>
        <w:spacing w:line="560" w:lineRule="exact"/>
        <w:ind w:left="5" w:leftChars="0" w:firstLine="415"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不良贷款率(4分)。</w:t>
      </w:r>
    </w:p>
    <w:p w14:paraId="41E15657">
      <w:pPr>
        <w:keepNext w:val="0"/>
        <w:keepLines w:val="0"/>
        <w:pageBreakBefore w:val="0"/>
        <w:widowControl w:val="0"/>
        <w:kinsoku/>
        <w:wordWrap/>
        <w:overflowPunct/>
        <w:topLinePunct w:val="0"/>
        <w:autoSpaceDE/>
        <w:autoSpaceDN/>
        <w:bidi w:val="0"/>
        <w:snapToGrid w:val="0"/>
        <w:spacing w:line="5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按照有效竞标银行上年度不良贷款率赋分。得分标准为：1.0%及以下得4分；1%以上、1.5%及以下的，得3.5分；1.5%以上、2.0%及以下的，得3分；2.0%以上不得分。</w:t>
      </w:r>
    </w:p>
    <w:p w14:paraId="3E62B2EA">
      <w:pPr>
        <w:keepNext w:val="0"/>
        <w:keepLines w:val="0"/>
        <w:pageBreakBefore w:val="0"/>
        <w:widowControl w:val="0"/>
        <w:numPr>
          <w:ilvl w:val="0"/>
          <w:numId w:val="30"/>
        </w:numPr>
        <w:kinsoku/>
        <w:wordWrap/>
        <w:overflowPunct/>
        <w:topLinePunct w:val="0"/>
        <w:autoSpaceDE/>
        <w:autoSpaceDN/>
        <w:bidi w:val="0"/>
        <w:snapToGrid w:val="0"/>
        <w:spacing w:line="560" w:lineRule="exact"/>
        <w:ind w:left="5" w:leftChars="0" w:firstLine="415"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不良贷款处置率(8分)。</w:t>
      </w:r>
    </w:p>
    <w:p w14:paraId="53CE3B0D">
      <w:pPr>
        <w:keepNext w:val="0"/>
        <w:keepLines w:val="0"/>
        <w:pageBreakBefore w:val="0"/>
        <w:widowControl w:val="0"/>
        <w:kinsoku/>
        <w:wordWrap/>
        <w:overflowPunct/>
        <w:topLinePunct w:val="0"/>
        <w:autoSpaceDE/>
        <w:autoSpaceDN/>
        <w:bidi w:val="0"/>
        <w:snapToGrid w:val="0"/>
        <w:spacing w:line="5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照有效竞标银行上年度不良贷款处置率赋分。得分标准为：70%以上得8分；70%及以下、50%以上的，得7分；50%及以下、40%以上的，得6分；40%及以下、30%以上的，得5分；30%及以下不得分。上年度未新发生不良贷款的，不良贷款处置率得8分。</w:t>
      </w:r>
    </w:p>
    <w:p w14:paraId="29AA9F1C">
      <w:pPr>
        <w:snapToGrid w:val="0"/>
        <w:spacing w:line="560" w:lineRule="exact"/>
        <w:ind w:firstLine="424" w:firstLineChars="202"/>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（该指标数据由国家金融监督管理总局嘉兴监管分局提供。）</w:t>
      </w:r>
    </w:p>
    <w:p w14:paraId="2E4F6EDD">
      <w:pPr>
        <w:keepNext w:val="0"/>
        <w:keepLines w:val="0"/>
        <w:pageBreakBefore w:val="0"/>
        <w:widowControl w:val="0"/>
        <w:numPr>
          <w:ilvl w:val="0"/>
          <w:numId w:val="29"/>
        </w:numPr>
        <w:tabs>
          <w:tab w:val="left" w:pos="420"/>
          <w:tab w:val="left" w:pos="630"/>
        </w:tabs>
        <w:kinsoku/>
        <w:wordWrap/>
        <w:overflowPunct/>
        <w:topLinePunct w:val="0"/>
        <w:autoSpaceDE/>
        <w:autoSpaceDN/>
        <w:bidi w:val="0"/>
        <w:snapToGrid w:val="0"/>
        <w:spacing w:line="560" w:lineRule="exact"/>
        <w:ind w:left="5" w:leftChars="0" w:firstLine="415" w:firstLineChars="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运营能力（10分）。</w:t>
      </w:r>
      <w:r>
        <w:rPr>
          <w:rFonts w:hint="eastAsia" w:ascii="微软雅黑" w:hAnsi="微软雅黑" w:eastAsia="微软雅黑" w:cs="微软雅黑"/>
          <w:color w:val="auto"/>
          <w:sz w:val="21"/>
          <w:szCs w:val="21"/>
          <w:highlight w:val="none"/>
          <w:lang w:eastAsia="zh-CN"/>
        </w:rPr>
        <w:t>根据有效竞标银行在嘉兴市秀洲区两项净收入总额和两项净收入增长率进行评分。</w:t>
      </w:r>
    </w:p>
    <w:p w14:paraId="01022DA3">
      <w:pPr>
        <w:keepNext w:val="0"/>
        <w:keepLines w:val="0"/>
        <w:pageBreakBefore w:val="0"/>
        <w:widowControl w:val="0"/>
        <w:numPr>
          <w:ilvl w:val="0"/>
          <w:numId w:val="0"/>
        </w:numPr>
        <w:kinsoku/>
        <w:wordWrap/>
        <w:overflowPunct/>
        <w:topLinePunct w:val="0"/>
        <w:autoSpaceDE/>
        <w:autoSpaceDN/>
        <w:bidi w:val="0"/>
        <w:snapToGrid w:val="0"/>
        <w:spacing w:line="5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lang w:eastAsia="zh-CN"/>
        </w:rPr>
        <w:t>1）两项净收入总额（8分）。按有效竞标银行上季度末在秀洲区两项净收入总额由高到低排名，排名第一名的得8分，每递减一名减0.2分，减至0分为止。排名相同时，下一名跳跃排名计分；无数据的不予排名不得分。</w:t>
      </w:r>
      <w:r>
        <w:rPr>
          <w:rFonts w:hint="eastAsia" w:ascii="微软雅黑" w:hAnsi="微软雅黑" w:eastAsia="微软雅黑" w:cs="微软雅黑"/>
          <w:color w:val="auto"/>
          <w:sz w:val="21"/>
          <w:szCs w:val="21"/>
          <w:highlight w:val="none"/>
          <w:lang w:eastAsia="zh-CN"/>
        </w:rPr>
        <w:br w:type="textWrapping"/>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lang w:eastAsia="zh-CN"/>
        </w:rPr>
        <w:t>（2）两项净收入增长率（2分）。按有效竞标银行上季度末秀洲区两项净收入增长率由高到低排名，排名第一名的得2分，每递减一名减0.05分，减至0分为止。本年有数据上年同期无数据的，不予排名按有得分银行的平均分计分；本年及上年同期都无数据的，不予排名不得分。</w:t>
      </w:r>
      <w:r>
        <w:rPr>
          <w:rFonts w:hint="eastAsia" w:ascii="微软雅黑" w:hAnsi="微软雅黑" w:eastAsia="微软雅黑" w:cs="微软雅黑"/>
          <w:color w:val="auto"/>
          <w:sz w:val="21"/>
          <w:szCs w:val="21"/>
          <w:highlight w:val="none"/>
          <w:lang w:eastAsia="zh-CN"/>
        </w:rPr>
        <w:br w:type="textWrapping"/>
      </w:r>
      <w:r>
        <w:rPr>
          <w:rFonts w:hint="eastAsia" w:ascii="微软雅黑" w:hAnsi="微软雅黑" w:eastAsia="微软雅黑" w:cs="微软雅黑"/>
          <w:color w:val="auto"/>
          <w:sz w:val="21"/>
          <w:szCs w:val="21"/>
          <w:highlight w:val="none"/>
          <w:lang w:eastAsia="zh-CN"/>
        </w:rPr>
        <w:t>（该指标数据由</w:t>
      </w:r>
      <w:r>
        <w:rPr>
          <w:rFonts w:hint="eastAsia" w:ascii="微软雅黑" w:hAnsi="微软雅黑" w:eastAsia="微软雅黑" w:cs="微软雅黑"/>
          <w:color w:val="auto"/>
          <w:sz w:val="21"/>
          <w:szCs w:val="21"/>
          <w:highlight w:val="none"/>
        </w:rPr>
        <w:t>区金融发展服务中心提供</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w:t>
      </w:r>
    </w:p>
    <w:p w14:paraId="47A6BBEF">
      <w:pPr>
        <w:keepNext w:val="0"/>
        <w:keepLines w:val="0"/>
        <w:pageBreakBefore w:val="0"/>
        <w:widowControl w:val="0"/>
        <w:numPr>
          <w:ilvl w:val="0"/>
          <w:numId w:val="29"/>
        </w:numPr>
        <w:tabs>
          <w:tab w:val="left" w:pos="420"/>
          <w:tab w:val="left" w:pos="630"/>
        </w:tabs>
        <w:kinsoku/>
        <w:wordWrap/>
        <w:overflowPunct/>
        <w:topLinePunct w:val="0"/>
        <w:autoSpaceDE/>
        <w:autoSpaceDN/>
        <w:bidi w:val="0"/>
        <w:snapToGrid w:val="0"/>
        <w:spacing w:line="560" w:lineRule="exact"/>
        <w:ind w:left="5" w:leftChars="0" w:firstLine="415"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内控水平（8分）。根据人民银行嘉兴市分行上一年度对有效竞标银行综合评价结果进行评分，综合评价为A级的，得8分；综合评价为B+、B</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B-</w:t>
      </w:r>
      <w:r>
        <w:rPr>
          <w:rFonts w:hint="eastAsia" w:ascii="微软雅黑" w:hAnsi="微软雅黑" w:eastAsia="微软雅黑" w:cs="微软雅黑"/>
          <w:color w:val="auto"/>
          <w:sz w:val="21"/>
          <w:szCs w:val="21"/>
          <w:highlight w:val="none"/>
        </w:rPr>
        <w:t>的，分别得</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6、5</w:t>
      </w:r>
      <w:r>
        <w:rPr>
          <w:rFonts w:hint="eastAsia" w:ascii="微软雅黑" w:hAnsi="微软雅黑" w:eastAsia="微软雅黑" w:cs="微软雅黑"/>
          <w:color w:val="auto"/>
          <w:sz w:val="21"/>
          <w:szCs w:val="21"/>
          <w:highlight w:val="none"/>
        </w:rPr>
        <w:t>分。</w:t>
      </w:r>
    </w:p>
    <w:p w14:paraId="375372D2">
      <w:pPr>
        <w:keepNext w:val="0"/>
        <w:keepLines w:val="0"/>
        <w:pageBreakBefore w:val="0"/>
        <w:widowControl w:val="0"/>
        <w:numPr>
          <w:ilvl w:val="0"/>
          <w:numId w:val="0"/>
        </w:numPr>
        <w:tabs>
          <w:tab w:val="left" w:pos="420"/>
          <w:tab w:val="left" w:pos="630"/>
        </w:tabs>
        <w:kinsoku/>
        <w:wordWrap/>
        <w:overflowPunct/>
        <w:topLinePunct w:val="0"/>
        <w:autoSpaceDE/>
        <w:autoSpaceDN/>
        <w:bidi w:val="0"/>
        <w:snapToGrid w:val="0"/>
        <w:spacing w:line="560" w:lineRule="exact"/>
        <w:ind w:left="420" w:lef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（该指标数据由中国人民银行嘉兴市分行提供。）</w:t>
      </w:r>
    </w:p>
    <w:p w14:paraId="4545BDD7">
      <w:pPr>
        <w:numPr>
          <w:ilvl w:val="0"/>
          <w:numId w:val="0"/>
        </w:numPr>
        <w:snapToGrid w:val="0"/>
        <w:spacing w:line="560" w:lineRule="exact"/>
        <w:ind w:left="420" w:leftChars="0"/>
        <w:rPr>
          <w:rFonts w:hint="eastAsia" w:ascii="微软雅黑" w:hAnsi="微软雅黑" w:eastAsia="微软雅黑" w:cs="仿宋_GB2312"/>
          <w:color w:val="auto"/>
          <w:szCs w:val="21"/>
          <w:highlight w:val="none"/>
        </w:rPr>
      </w:pPr>
      <w:r>
        <w:rPr>
          <w:rFonts w:hint="eastAsia" w:ascii="微软雅黑" w:hAnsi="微软雅黑" w:eastAsia="微软雅黑" w:cs="楷体_GB2312"/>
          <w:b/>
          <w:bCs w:val="0"/>
          <w:color w:val="auto"/>
          <w:szCs w:val="21"/>
          <w:highlight w:val="none"/>
        </w:rPr>
        <w:t>（三）经济贡献度指标（</w:t>
      </w:r>
      <w:r>
        <w:rPr>
          <w:rFonts w:hint="eastAsia" w:ascii="微软雅黑" w:hAnsi="微软雅黑" w:eastAsia="微软雅黑" w:cs="楷体_GB2312"/>
          <w:b/>
          <w:color w:val="auto"/>
          <w:szCs w:val="21"/>
          <w:highlight w:val="none"/>
        </w:rPr>
        <w:t>满分40分）。</w:t>
      </w:r>
      <w:r>
        <w:rPr>
          <w:rFonts w:hint="eastAsia" w:ascii="微软雅黑" w:hAnsi="微软雅黑" w:eastAsia="微软雅黑" w:cs="仿宋_GB2312"/>
          <w:color w:val="auto"/>
          <w:szCs w:val="21"/>
          <w:highlight w:val="none"/>
        </w:rPr>
        <w:t>经济贡献度指标（满分40分）。经济贡献度指标设置包括纳税情况、贷款新增额指标、支持地方经济发展业绩考评结果应用指标。</w:t>
      </w:r>
    </w:p>
    <w:p w14:paraId="5C4913A1">
      <w:pPr>
        <w:keepNext w:val="0"/>
        <w:keepLines w:val="0"/>
        <w:pageBreakBefore w:val="0"/>
        <w:widowControl w:val="0"/>
        <w:numPr>
          <w:ilvl w:val="0"/>
          <w:numId w:val="31"/>
        </w:numPr>
        <w:tabs>
          <w:tab w:val="left" w:pos="420"/>
          <w:tab w:val="left" w:pos="840"/>
        </w:tabs>
        <w:kinsoku/>
        <w:wordWrap/>
        <w:overflowPunct/>
        <w:topLinePunct w:val="0"/>
        <w:autoSpaceDE/>
        <w:autoSpaceDN/>
        <w:bidi w:val="0"/>
        <w:spacing w:line="560" w:lineRule="exact"/>
        <w:ind w:left="0" w:leftChars="0" w:firstLine="42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纳税情况（</w:t>
      </w:r>
      <w:r>
        <w:rPr>
          <w:rFonts w:hint="eastAsia" w:ascii="微软雅黑" w:hAnsi="微软雅黑" w:eastAsia="微软雅黑" w:cs="微软雅黑"/>
          <w:color w:val="auto"/>
          <w:sz w:val="21"/>
          <w:szCs w:val="21"/>
          <w:highlight w:val="none"/>
          <w:lang w:val="en-US" w:eastAsia="zh-CN"/>
        </w:rPr>
        <w:t>12</w:t>
      </w:r>
      <w:r>
        <w:rPr>
          <w:rFonts w:hint="eastAsia" w:ascii="微软雅黑" w:hAnsi="微软雅黑" w:eastAsia="微软雅黑" w:cs="微软雅黑"/>
          <w:color w:val="auto"/>
          <w:sz w:val="21"/>
          <w:szCs w:val="21"/>
          <w:highlight w:val="none"/>
        </w:rPr>
        <w:t>分）。</w:t>
      </w:r>
    </w:p>
    <w:p w14:paraId="7CD7E072">
      <w:pPr>
        <w:keepNext w:val="0"/>
        <w:keepLines w:val="0"/>
        <w:pageBreakBefore w:val="0"/>
        <w:widowControl w:val="0"/>
        <w:tabs>
          <w:tab w:val="left" w:pos="420"/>
          <w:tab w:val="left" w:pos="840"/>
        </w:tabs>
        <w:kinsoku/>
        <w:wordWrap/>
        <w:overflowPunct/>
        <w:topLinePunct w:val="0"/>
        <w:autoSpaceDE/>
        <w:autoSpaceDN/>
        <w:bidi w:val="0"/>
        <w:spacing w:line="560" w:lineRule="exact"/>
        <w:ind w:left="0" w:leftChars="0" w:firstLine="42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即有效竞标银行的秀洲区机构向</w:t>
      </w:r>
      <w:r>
        <w:rPr>
          <w:rFonts w:hint="eastAsia" w:ascii="微软雅黑" w:hAnsi="微软雅黑" w:eastAsia="微软雅黑" w:cs="微软雅黑"/>
          <w:color w:val="auto"/>
          <w:sz w:val="21"/>
          <w:szCs w:val="21"/>
          <w:highlight w:val="none"/>
          <w:lang w:eastAsia="zh-CN"/>
        </w:rPr>
        <w:t>本地</w:t>
      </w:r>
      <w:r>
        <w:rPr>
          <w:rFonts w:hint="eastAsia" w:ascii="微软雅黑" w:hAnsi="微软雅黑" w:eastAsia="微软雅黑" w:cs="微软雅黑"/>
          <w:color w:val="auto"/>
          <w:sz w:val="21"/>
          <w:szCs w:val="21"/>
          <w:highlight w:val="none"/>
        </w:rPr>
        <w:t>税务机关缴纳的各项税收，税收缴库额按实际入库数计算，不包括缴纳的地方教育附加、社保费等非税项目。根据有效竞标银行的税收缴库额情况进行评分，计分包括纳税规模、纳税新增额和纳税增幅。</w:t>
      </w:r>
    </w:p>
    <w:p w14:paraId="73A1849A">
      <w:pPr>
        <w:keepNext w:val="0"/>
        <w:keepLines w:val="0"/>
        <w:pageBreakBefore w:val="0"/>
        <w:widowControl w:val="0"/>
        <w:numPr>
          <w:ilvl w:val="0"/>
          <w:numId w:val="32"/>
        </w:numPr>
        <w:tabs>
          <w:tab w:val="left" w:pos="420"/>
          <w:tab w:val="left" w:pos="840"/>
        </w:tabs>
        <w:kinsoku/>
        <w:wordWrap/>
        <w:overflowPunct/>
        <w:topLinePunct w:val="0"/>
        <w:autoSpaceDE/>
        <w:autoSpaceDN/>
        <w:bidi w:val="0"/>
        <w:spacing w:line="560" w:lineRule="exact"/>
        <w:ind w:left="0" w:leftChars="0" w:firstLine="420" w:firstLineChars="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年度</w:t>
      </w:r>
      <w:r>
        <w:rPr>
          <w:rFonts w:hint="eastAsia" w:ascii="微软雅黑" w:hAnsi="微软雅黑" w:eastAsia="微软雅黑" w:cs="微软雅黑"/>
          <w:color w:val="auto"/>
          <w:sz w:val="21"/>
          <w:szCs w:val="21"/>
          <w:highlight w:val="none"/>
        </w:rPr>
        <w:t>纳税规模（</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分）：</w:t>
      </w:r>
      <w:r>
        <w:rPr>
          <w:rFonts w:hint="eastAsia" w:ascii="微软雅黑" w:hAnsi="微软雅黑" w:eastAsia="微软雅黑" w:cs="微软雅黑"/>
          <w:color w:val="auto"/>
          <w:sz w:val="21"/>
          <w:szCs w:val="21"/>
          <w:highlight w:val="none"/>
          <w:lang w:val="en-US" w:eastAsia="zh-CN"/>
        </w:rPr>
        <w:t>根据</w:t>
      </w:r>
      <w:r>
        <w:rPr>
          <w:rFonts w:hint="eastAsia" w:ascii="微软雅黑" w:hAnsi="微软雅黑" w:eastAsia="微软雅黑" w:cs="微软雅黑"/>
          <w:color w:val="auto"/>
          <w:sz w:val="21"/>
          <w:szCs w:val="21"/>
          <w:highlight w:val="none"/>
        </w:rPr>
        <w:t>有效竞标银行上年度税收缴库</w:t>
      </w:r>
      <w:r>
        <w:rPr>
          <w:rFonts w:hint="eastAsia" w:ascii="微软雅黑" w:hAnsi="微软雅黑" w:eastAsia="微软雅黑" w:cs="微软雅黑"/>
          <w:color w:val="auto"/>
          <w:sz w:val="21"/>
          <w:szCs w:val="21"/>
          <w:highlight w:val="none"/>
          <w:lang w:eastAsia="zh-CN"/>
        </w:rPr>
        <w:t>额进行评分，分为排名分（</w:t>
      </w:r>
      <w:r>
        <w:rPr>
          <w:rFonts w:hint="eastAsia" w:ascii="微软雅黑" w:hAnsi="微软雅黑" w:eastAsia="微软雅黑" w:cs="微软雅黑"/>
          <w:color w:val="auto"/>
          <w:sz w:val="21"/>
          <w:szCs w:val="21"/>
          <w:highlight w:val="none"/>
          <w:lang w:val="en-US" w:eastAsia="zh-CN"/>
        </w:rPr>
        <w:t>5分</w:t>
      </w:r>
      <w:r>
        <w:rPr>
          <w:rFonts w:hint="eastAsia" w:ascii="微软雅黑" w:hAnsi="微软雅黑" w:eastAsia="微软雅黑" w:cs="微软雅黑"/>
          <w:color w:val="auto"/>
          <w:sz w:val="21"/>
          <w:szCs w:val="21"/>
          <w:highlight w:val="none"/>
          <w:lang w:eastAsia="zh-CN"/>
        </w:rPr>
        <w:t>）和金额分（</w:t>
      </w:r>
      <w:r>
        <w:rPr>
          <w:rFonts w:hint="eastAsia" w:ascii="微软雅黑" w:hAnsi="微软雅黑" w:eastAsia="微软雅黑" w:cs="微软雅黑"/>
          <w:color w:val="auto"/>
          <w:sz w:val="21"/>
          <w:szCs w:val="21"/>
          <w:highlight w:val="none"/>
          <w:lang w:val="en-US" w:eastAsia="zh-CN"/>
        </w:rPr>
        <w:t>3分</w:t>
      </w:r>
      <w:r>
        <w:rPr>
          <w:rFonts w:hint="eastAsia" w:ascii="微软雅黑" w:hAnsi="微软雅黑" w:eastAsia="微软雅黑" w:cs="微软雅黑"/>
          <w:color w:val="auto"/>
          <w:sz w:val="21"/>
          <w:szCs w:val="21"/>
          <w:highlight w:val="none"/>
          <w:lang w:eastAsia="zh-CN"/>
        </w:rPr>
        <w:t>）。</w:t>
      </w:r>
    </w:p>
    <w:p w14:paraId="59CD8C7E">
      <w:pPr>
        <w:keepNext w:val="0"/>
        <w:keepLines w:val="0"/>
        <w:pageBreakBefore w:val="0"/>
        <w:widowControl w:val="0"/>
        <w:numPr>
          <w:ilvl w:val="0"/>
          <w:numId w:val="0"/>
        </w:numPr>
        <w:tabs>
          <w:tab w:val="left" w:pos="420"/>
          <w:tab w:val="left" w:pos="840"/>
        </w:tabs>
        <w:kinsoku/>
        <w:wordWrap/>
        <w:overflowPunct/>
        <w:topLinePunct w:val="0"/>
        <w:autoSpaceDE/>
        <w:autoSpaceDN/>
        <w:bidi w:val="0"/>
        <w:spacing w:line="560" w:lineRule="exact"/>
        <w:ind w:left="0" w:leftChars="0" w:firstLine="420" w:firstLineChars="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eastAsia="zh-CN"/>
        </w:rPr>
        <w:t>排名分</w:t>
      </w:r>
      <w:r>
        <w:rPr>
          <w:rFonts w:hint="eastAsia" w:ascii="微软雅黑" w:hAnsi="微软雅黑" w:eastAsia="微软雅黑" w:cs="微软雅黑"/>
          <w:color w:val="auto"/>
          <w:sz w:val="21"/>
          <w:szCs w:val="21"/>
          <w:highlight w:val="none"/>
          <w:lang w:val="en-US" w:eastAsia="zh-CN"/>
        </w:rPr>
        <w:t>得分标准为</w:t>
      </w:r>
      <w:r>
        <w:rPr>
          <w:rFonts w:hint="eastAsia" w:ascii="微软雅黑" w:hAnsi="微软雅黑" w:eastAsia="微软雅黑" w:cs="微软雅黑"/>
          <w:color w:val="auto"/>
          <w:sz w:val="21"/>
          <w:szCs w:val="21"/>
          <w:highlight w:val="none"/>
          <w:lang w:eastAsia="zh-CN"/>
        </w:rPr>
        <w:t>：按上年度</w:t>
      </w:r>
      <w:r>
        <w:rPr>
          <w:rFonts w:hint="eastAsia" w:ascii="微软雅黑" w:hAnsi="微软雅黑" w:eastAsia="微软雅黑" w:cs="微软雅黑"/>
          <w:color w:val="auto"/>
          <w:sz w:val="21"/>
          <w:szCs w:val="21"/>
          <w:highlight w:val="none"/>
        </w:rPr>
        <w:t>纳税收缴库</w:t>
      </w:r>
      <w:r>
        <w:rPr>
          <w:rFonts w:hint="eastAsia" w:ascii="微软雅黑" w:hAnsi="微软雅黑" w:eastAsia="微软雅黑" w:cs="微软雅黑"/>
          <w:color w:val="auto"/>
          <w:sz w:val="21"/>
          <w:szCs w:val="21"/>
          <w:highlight w:val="none"/>
          <w:lang w:eastAsia="zh-CN"/>
        </w:rPr>
        <w:t>额从高到低排名，第一名得</w:t>
      </w:r>
      <w:r>
        <w:rPr>
          <w:rFonts w:hint="eastAsia" w:ascii="微软雅黑" w:hAnsi="微软雅黑" w:eastAsia="微软雅黑" w:cs="微软雅黑"/>
          <w:color w:val="auto"/>
          <w:sz w:val="21"/>
          <w:szCs w:val="21"/>
          <w:highlight w:val="none"/>
          <w:lang w:val="en-US" w:eastAsia="zh-CN"/>
        </w:rPr>
        <w:t>5分，</w:t>
      </w:r>
      <w:r>
        <w:rPr>
          <w:rFonts w:hint="eastAsia" w:ascii="微软雅黑" w:hAnsi="微软雅黑" w:eastAsia="微软雅黑" w:cs="微软雅黑"/>
          <w:color w:val="auto"/>
          <w:sz w:val="21"/>
          <w:szCs w:val="21"/>
          <w:highlight w:val="none"/>
        </w:rPr>
        <w:t>每递减一名减0.1</w:t>
      </w:r>
      <w:r>
        <w:rPr>
          <w:rFonts w:hint="eastAsia" w:ascii="微软雅黑" w:hAnsi="微软雅黑" w:eastAsia="微软雅黑" w:cs="微软雅黑"/>
          <w:color w:val="auto"/>
          <w:sz w:val="21"/>
          <w:szCs w:val="21"/>
          <w:highlight w:val="none"/>
          <w:lang w:val="en-US" w:eastAsia="zh-CN"/>
        </w:rPr>
        <w:t>25</w:t>
      </w:r>
      <w:r>
        <w:rPr>
          <w:rFonts w:hint="eastAsia" w:ascii="微软雅黑" w:hAnsi="微软雅黑" w:eastAsia="微软雅黑" w:cs="微软雅黑"/>
          <w:color w:val="auto"/>
          <w:sz w:val="21"/>
          <w:szCs w:val="21"/>
          <w:highlight w:val="none"/>
        </w:rPr>
        <w:t>分</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减至0分为止</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rPr>
        <w:t>上年度税收缴库额</w:t>
      </w:r>
      <w:r>
        <w:rPr>
          <w:rFonts w:hint="eastAsia" w:ascii="微软雅黑" w:hAnsi="微软雅黑" w:eastAsia="微软雅黑" w:cs="微软雅黑"/>
          <w:color w:val="auto"/>
          <w:sz w:val="21"/>
          <w:szCs w:val="21"/>
          <w:highlight w:val="none"/>
          <w:lang w:eastAsia="zh-CN"/>
        </w:rPr>
        <w:t>不足</w:t>
      </w:r>
      <w:r>
        <w:rPr>
          <w:rFonts w:hint="eastAsia" w:ascii="微软雅黑" w:hAnsi="微软雅黑" w:eastAsia="微软雅黑" w:cs="微软雅黑"/>
          <w:color w:val="auto"/>
          <w:sz w:val="21"/>
          <w:szCs w:val="21"/>
          <w:highlight w:val="none"/>
          <w:lang w:val="en-US" w:eastAsia="zh-CN"/>
        </w:rPr>
        <w:t>50万元不予排名，不得分。</w:t>
      </w:r>
    </w:p>
    <w:p w14:paraId="150F0826">
      <w:pPr>
        <w:keepNext w:val="0"/>
        <w:keepLines w:val="0"/>
        <w:pageBreakBefore w:val="0"/>
        <w:widowControl w:val="0"/>
        <w:numPr>
          <w:ilvl w:val="0"/>
          <w:numId w:val="0"/>
        </w:numPr>
        <w:tabs>
          <w:tab w:val="left" w:pos="420"/>
          <w:tab w:val="left" w:pos="840"/>
        </w:tabs>
        <w:kinsoku/>
        <w:wordWrap/>
        <w:overflowPunct/>
        <w:topLinePunct w:val="0"/>
        <w:autoSpaceDE/>
        <w:autoSpaceDN/>
        <w:bidi w:val="0"/>
        <w:spacing w:line="560" w:lineRule="exact"/>
        <w:ind w:left="0" w:leftChars="0" w:firstLine="420" w:firstLineChars="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eastAsia="zh-CN"/>
        </w:rPr>
        <w:t>金额分</w:t>
      </w:r>
      <w:r>
        <w:rPr>
          <w:rFonts w:hint="eastAsia" w:ascii="微软雅黑" w:hAnsi="微软雅黑" w:eastAsia="微软雅黑" w:cs="微软雅黑"/>
          <w:color w:val="auto"/>
          <w:sz w:val="21"/>
          <w:szCs w:val="21"/>
          <w:highlight w:val="none"/>
          <w:lang w:val="en-US" w:eastAsia="zh-CN"/>
        </w:rPr>
        <w:t>得分标准为</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上年度税收缴库额</w:t>
      </w:r>
      <w:r>
        <w:rPr>
          <w:rFonts w:hint="eastAsia" w:ascii="微软雅黑" w:hAnsi="微软雅黑" w:eastAsia="微软雅黑" w:cs="微软雅黑"/>
          <w:color w:val="auto"/>
          <w:sz w:val="21"/>
          <w:szCs w:val="21"/>
          <w:highlight w:val="none"/>
          <w:lang w:val="en-US" w:eastAsia="zh-CN"/>
        </w:rPr>
        <w:t>300万元以下得0.1分，300万元及以上600万元以下得0.5分；600万元及以上900万元以下得1分；900万元及以上1200万元以下得1.5分；1200万元及以上1500万元以下得2分；1500万元及以上1800万元以下得2.5分；1800万元及以上得3分；</w:t>
      </w:r>
      <w:r>
        <w:rPr>
          <w:rFonts w:hint="eastAsia" w:ascii="微软雅黑" w:hAnsi="微软雅黑" w:eastAsia="微软雅黑" w:cs="微软雅黑"/>
          <w:color w:val="auto"/>
          <w:sz w:val="21"/>
          <w:szCs w:val="21"/>
          <w:highlight w:val="none"/>
        </w:rPr>
        <w:t>上年度税收缴库额</w:t>
      </w:r>
      <w:r>
        <w:rPr>
          <w:rFonts w:hint="eastAsia" w:ascii="微软雅黑" w:hAnsi="微软雅黑" w:eastAsia="微软雅黑" w:cs="微软雅黑"/>
          <w:color w:val="auto"/>
          <w:sz w:val="21"/>
          <w:szCs w:val="21"/>
          <w:highlight w:val="none"/>
          <w:lang w:eastAsia="zh-CN"/>
        </w:rPr>
        <w:t>为</w:t>
      </w:r>
      <w:r>
        <w:rPr>
          <w:rFonts w:hint="eastAsia" w:ascii="微软雅黑" w:hAnsi="微软雅黑" w:eastAsia="微软雅黑" w:cs="微软雅黑"/>
          <w:color w:val="auto"/>
          <w:sz w:val="21"/>
          <w:szCs w:val="21"/>
          <w:highlight w:val="none"/>
          <w:lang w:val="en-US" w:eastAsia="zh-CN"/>
        </w:rPr>
        <w:t>0的不得分。</w:t>
      </w:r>
    </w:p>
    <w:p w14:paraId="7C5C1212">
      <w:pPr>
        <w:keepNext w:val="0"/>
        <w:keepLines w:val="0"/>
        <w:pageBreakBefore w:val="0"/>
        <w:widowControl w:val="0"/>
        <w:numPr>
          <w:ilvl w:val="0"/>
          <w:numId w:val="32"/>
        </w:numPr>
        <w:tabs>
          <w:tab w:val="left" w:pos="420"/>
          <w:tab w:val="left" w:pos="840"/>
        </w:tabs>
        <w:kinsoku/>
        <w:wordWrap/>
        <w:overflowPunct/>
        <w:topLinePunct w:val="0"/>
        <w:autoSpaceDE/>
        <w:autoSpaceDN/>
        <w:bidi w:val="0"/>
        <w:spacing w:line="560" w:lineRule="exact"/>
        <w:ind w:left="0" w:leftChars="0" w:firstLine="420" w:firstLineChars="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纳税新增额（</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lang w:eastAsia="zh-CN"/>
        </w:rPr>
        <w:t>分）：按有效竞标银行当年度季末税收缴库新增额情况进行评分。得分标准为：按税收缴库新增额从高到低排名，第一名得</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lang w:eastAsia="zh-CN"/>
        </w:rPr>
        <w:t>分，每递减一名减0.1分，直至0分；季均税收缴库新增额不足</w:t>
      </w:r>
      <w:r>
        <w:rPr>
          <w:rFonts w:hint="eastAsia" w:ascii="微软雅黑" w:hAnsi="微软雅黑" w:eastAsia="微软雅黑" w:cs="微软雅黑"/>
          <w:color w:val="auto"/>
          <w:sz w:val="21"/>
          <w:szCs w:val="21"/>
          <w:highlight w:val="none"/>
          <w:lang w:val="en-US" w:eastAsia="zh-CN"/>
        </w:rPr>
        <w:t>12.5万元的</w:t>
      </w:r>
      <w:r>
        <w:rPr>
          <w:rFonts w:hint="eastAsia" w:ascii="微软雅黑" w:hAnsi="微软雅黑" w:eastAsia="微软雅黑" w:cs="微软雅黑"/>
          <w:color w:val="auto"/>
          <w:sz w:val="21"/>
          <w:szCs w:val="21"/>
          <w:highlight w:val="none"/>
          <w:lang w:eastAsia="zh-CN"/>
        </w:rPr>
        <w:t>不予排名，不得</w:t>
      </w:r>
      <w:r>
        <w:rPr>
          <w:rFonts w:hint="eastAsia" w:ascii="微软雅黑" w:hAnsi="微软雅黑" w:eastAsia="微软雅黑" w:cs="微软雅黑"/>
          <w:color w:val="auto"/>
          <w:sz w:val="21"/>
          <w:szCs w:val="21"/>
          <w:highlight w:val="none"/>
          <w:lang w:val="en-US" w:eastAsia="zh-CN"/>
        </w:rPr>
        <w:t>分</w:t>
      </w:r>
      <w:r>
        <w:rPr>
          <w:rFonts w:hint="eastAsia" w:ascii="微软雅黑" w:hAnsi="微软雅黑" w:eastAsia="微软雅黑" w:cs="微软雅黑"/>
          <w:color w:val="auto"/>
          <w:sz w:val="21"/>
          <w:szCs w:val="21"/>
          <w:highlight w:val="none"/>
          <w:lang w:eastAsia="zh-CN"/>
        </w:rPr>
        <w:t>。（投标银行近三个月内首次在秀洲区纳税的，需在本招标公告发出之日起三个工作日内将完税证明等相关证明材料提交至秀洲区财政局预算执行局确认。）</w:t>
      </w:r>
    </w:p>
    <w:p w14:paraId="73CC3D0D">
      <w:pPr>
        <w:keepNext w:val="0"/>
        <w:keepLines w:val="0"/>
        <w:pageBreakBefore w:val="0"/>
        <w:widowControl w:val="0"/>
        <w:tabs>
          <w:tab w:val="left" w:pos="420"/>
          <w:tab w:val="left" w:pos="840"/>
        </w:tabs>
        <w:kinsoku/>
        <w:wordWrap/>
        <w:overflowPunct/>
        <w:topLinePunct w:val="0"/>
        <w:autoSpaceDE/>
        <w:autoSpaceDN/>
        <w:bidi w:val="0"/>
        <w:spacing w:line="560" w:lineRule="exact"/>
        <w:ind w:left="0" w:leftChars="0" w:firstLine="42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（该指标数据由区财政局提供。）</w:t>
      </w:r>
    </w:p>
    <w:p w14:paraId="6719B989">
      <w:pPr>
        <w:keepNext w:val="0"/>
        <w:keepLines w:val="0"/>
        <w:pageBreakBefore w:val="0"/>
        <w:widowControl w:val="0"/>
        <w:numPr>
          <w:ilvl w:val="0"/>
          <w:numId w:val="31"/>
        </w:numPr>
        <w:tabs>
          <w:tab w:val="left" w:pos="420"/>
          <w:tab w:val="left" w:pos="630"/>
          <w:tab w:val="left" w:pos="840"/>
        </w:tabs>
        <w:kinsoku/>
        <w:wordWrap/>
        <w:overflowPunct/>
        <w:topLinePunct w:val="0"/>
        <w:autoSpaceDE/>
        <w:autoSpaceDN/>
        <w:bidi w:val="0"/>
        <w:spacing w:line="560" w:lineRule="exact"/>
        <w:ind w:left="0" w:leftChars="0" w:firstLine="42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贷款</w:t>
      </w:r>
      <w:r>
        <w:rPr>
          <w:rFonts w:hint="eastAsia" w:ascii="微软雅黑" w:hAnsi="微软雅黑" w:eastAsia="微软雅黑" w:cs="微软雅黑"/>
          <w:color w:val="auto"/>
          <w:sz w:val="21"/>
          <w:szCs w:val="21"/>
          <w:highlight w:val="none"/>
          <w:lang w:eastAsia="zh-CN"/>
        </w:rPr>
        <w:t>情况</w:t>
      </w:r>
      <w:r>
        <w:rPr>
          <w:rFonts w:hint="eastAsia" w:ascii="微软雅黑" w:hAnsi="微软雅黑" w:eastAsia="微软雅黑" w:cs="微软雅黑"/>
          <w:color w:val="auto"/>
          <w:sz w:val="21"/>
          <w:szCs w:val="21"/>
          <w:highlight w:val="none"/>
        </w:rPr>
        <w:t>指标（</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分）。按</w:t>
      </w:r>
      <w:r>
        <w:rPr>
          <w:rFonts w:hint="eastAsia" w:ascii="微软雅黑" w:hAnsi="微软雅黑" w:eastAsia="微软雅黑" w:cs="微软雅黑"/>
          <w:color w:val="auto"/>
          <w:sz w:val="21"/>
          <w:szCs w:val="21"/>
          <w:highlight w:val="none"/>
          <w:lang w:eastAsia="zh-CN"/>
        </w:rPr>
        <w:t>有效</w:t>
      </w:r>
      <w:r>
        <w:rPr>
          <w:rFonts w:hint="eastAsia" w:ascii="微软雅黑" w:hAnsi="微软雅黑" w:eastAsia="微软雅黑" w:cs="微软雅黑"/>
          <w:color w:val="auto"/>
          <w:sz w:val="21"/>
          <w:szCs w:val="21"/>
          <w:highlight w:val="none"/>
          <w:lang w:val="en-US" w:eastAsia="zh-CN"/>
        </w:rPr>
        <w:t>竞标</w:t>
      </w:r>
      <w:r>
        <w:rPr>
          <w:rFonts w:hint="eastAsia" w:ascii="微软雅黑" w:hAnsi="微软雅黑" w:eastAsia="微软雅黑" w:cs="微软雅黑"/>
          <w:color w:val="auto"/>
          <w:sz w:val="21"/>
          <w:szCs w:val="21"/>
          <w:highlight w:val="none"/>
        </w:rPr>
        <w:t>银行</w:t>
      </w:r>
      <w:r>
        <w:rPr>
          <w:rFonts w:hint="eastAsia" w:ascii="微软雅黑" w:hAnsi="微软雅黑" w:eastAsia="微软雅黑" w:cs="微软雅黑"/>
          <w:color w:val="auto"/>
          <w:sz w:val="21"/>
          <w:szCs w:val="21"/>
          <w:highlight w:val="none"/>
          <w:lang w:eastAsia="zh-CN"/>
        </w:rPr>
        <w:t>上年度对秀洲区</w:t>
      </w:r>
      <w:r>
        <w:rPr>
          <w:rFonts w:hint="eastAsia" w:ascii="微软雅黑" w:hAnsi="微软雅黑" w:eastAsia="微软雅黑" w:cs="微软雅黑"/>
          <w:color w:val="auto"/>
          <w:sz w:val="21"/>
          <w:szCs w:val="21"/>
          <w:highlight w:val="none"/>
        </w:rPr>
        <w:t>贷款</w:t>
      </w:r>
      <w:r>
        <w:rPr>
          <w:rFonts w:hint="eastAsia" w:ascii="微软雅黑" w:hAnsi="微软雅黑" w:eastAsia="微软雅黑" w:cs="微软雅黑"/>
          <w:color w:val="auto"/>
          <w:sz w:val="21"/>
          <w:szCs w:val="21"/>
          <w:highlight w:val="none"/>
          <w:lang w:val="en-US" w:eastAsia="zh-CN"/>
        </w:rPr>
        <w:t>余额</w:t>
      </w:r>
      <w:r>
        <w:rPr>
          <w:rFonts w:hint="eastAsia" w:ascii="微软雅黑" w:hAnsi="微软雅黑" w:eastAsia="微软雅黑" w:cs="微软雅黑"/>
          <w:color w:val="auto"/>
          <w:sz w:val="21"/>
          <w:szCs w:val="21"/>
          <w:highlight w:val="none"/>
          <w:lang w:eastAsia="zh-CN"/>
        </w:rPr>
        <w:t>和贷款</w:t>
      </w:r>
      <w:r>
        <w:rPr>
          <w:rFonts w:hint="eastAsia" w:ascii="微软雅黑" w:hAnsi="微软雅黑" w:eastAsia="微软雅黑" w:cs="微软雅黑"/>
          <w:color w:val="auto"/>
          <w:sz w:val="21"/>
          <w:szCs w:val="21"/>
          <w:highlight w:val="none"/>
        </w:rPr>
        <w:t>新增</w:t>
      </w:r>
      <w:r>
        <w:rPr>
          <w:rFonts w:hint="eastAsia" w:ascii="微软雅黑" w:hAnsi="微软雅黑" w:eastAsia="微软雅黑" w:cs="微软雅黑"/>
          <w:color w:val="auto"/>
          <w:sz w:val="21"/>
          <w:szCs w:val="21"/>
          <w:highlight w:val="none"/>
          <w:lang w:eastAsia="zh-CN"/>
        </w:rPr>
        <w:t>额</w:t>
      </w:r>
      <w:r>
        <w:rPr>
          <w:rFonts w:hint="eastAsia" w:ascii="微软雅黑" w:hAnsi="微软雅黑" w:eastAsia="微软雅黑" w:cs="微软雅黑"/>
          <w:color w:val="auto"/>
          <w:sz w:val="21"/>
          <w:szCs w:val="21"/>
          <w:highlight w:val="none"/>
        </w:rPr>
        <w:t>进行赋分。</w:t>
      </w:r>
    </w:p>
    <w:p w14:paraId="6F746163">
      <w:pPr>
        <w:keepNext w:val="0"/>
        <w:keepLines w:val="0"/>
        <w:pageBreakBefore w:val="0"/>
        <w:widowControl w:val="0"/>
        <w:numPr>
          <w:ilvl w:val="0"/>
          <w:numId w:val="33"/>
        </w:numPr>
        <w:tabs>
          <w:tab w:val="left" w:pos="840"/>
          <w:tab w:val="left" w:pos="1060"/>
        </w:tabs>
        <w:kinsoku/>
        <w:wordWrap/>
        <w:overflowPunct/>
        <w:topLinePunct w:val="0"/>
        <w:autoSpaceDE/>
        <w:autoSpaceDN/>
        <w:bidi w:val="0"/>
        <w:adjustRightInd w:val="0"/>
        <w:snapToGrid/>
        <w:spacing w:line="560" w:lineRule="exact"/>
        <w:ind w:left="5" w:leftChars="0" w:firstLine="415" w:firstLineChars="0"/>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贷款</w:t>
      </w:r>
      <w:r>
        <w:rPr>
          <w:rFonts w:hint="eastAsia" w:ascii="微软雅黑" w:hAnsi="微软雅黑" w:eastAsia="微软雅黑" w:cs="微软雅黑"/>
          <w:color w:val="auto"/>
          <w:sz w:val="21"/>
          <w:szCs w:val="21"/>
          <w:highlight w:val="none"/>
          <w:lang w:eastAsia="zh-CN"/>
        </w:rPr>
        <w:t>余额</w:t>
      </w:r>
      <w:r>
        <w:rPr>
          <w:rFonts w:hint="eastAsia" w:ascii="微软雅黑" w:hAnsi="微软雅黑" w:eastAsia="微软雅黑" w:cs="微软雅黑"/>
          <w:color w:val="auto"/>
          <w:sz w:val="21"/>
          <w:szCs w:val="21"/>
          <w:highlight w:val="none"/>
        </w:rPr>
        <w:t>指标（</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分）。</w:t>
      </w:r>
      <w:r>
        <w:rPr>
          <w:rFonts w:hint="eastAsia" w:ascii="微软雅黑" w:hAnsi="微软雅黑" w:eastAsia="微软雅黑" w:cs="微软雅黑"/>
          <w:color w:val="auto"/>
          <w:sz w:val="21"/>
          <w:szCs w:val="21"/>
          <w:highlight w:val="none"/>
          <w:lang w:val="en-US" w:eastAsia="zh-CN"/>
        </w:rPr>
        <w:t>按照</w:t>
      </w:r>
      <w:r>
        <w:rPr>
          <w:rFonts w:hint="eastAsia" w:ascii="微软雅黑" w:hAnsi="微软雅黑" w:eastAsia="微软雅黑" w:cs="微软雅黑"/>
          <w:color w:val="auto"/>
          <w:sz w:val="21"/>
          <w:szCs w:val="21"/>
          <w:highlight w:val="none"/>
          <w:lang w:eastAsia="zh-CN"/>
        </w:rPr>
        <w:t>有效</w:t>
      </w:r>
      <w:r>
        <w:rPr>
          <w:rFonts w:hint="eastAsia" w:ascii="微软雅黑" w:hAnsi="微软雅黑" w:eastAsia="微软雅黑" w:cs="微软雅黑"/>
          <w:color w:val="auto"/>
          <w:sz w:val="21"/>
          <w:szCs w:val="21"/>
          <w:highlight w:val="none"/>
          <w:lang w:val="en-US" w:eastAsia="zh-CN"/>
        </w:rPr>
        <w:t>竞标</w:t>
      </w:r>
      <w:r>
        <w:rPr>
          <w:rFonts w:hint="eastAsia" w:ascii="微软雅黑" w:hAnsi="微软雅黑" w:eastAsia="微软雅黑" w:cs="微软雅黑"/>
          <w:color w:val="auto"/>
          <w:sz w:val="21"/>
          <w:szCs w:val="21"/>
          <w:highlight w:val="none"/>
        </w:rPr>
        <w:t>银行</w:t>
      </w:r>
      <w:r>
        <w:rPr>
          <w:rFonts w:hint="eastAsia" w:ascii="微软雅黑" w:hAnsi="微软雅黑" w:eastAsia="微软雅黑" w:cs="微软雅黑"/>
          <w:color w:val="auto"/>
          <w:sz w:val="21"/>
          <w:szCs w:val="21"/>
          <w:highlight w:val="none"/>
          <w:lang w:eastAsia="zh-CN"/>
        </w:rPr>
        <w:t>秀洲区上年度</w:t>
      </w:r>
      <w:r>
        <w:rPr>
          <w:rFonts w:hint="eastAsia" w:ascii="微软雅黑" w:hAnsi="微软雅黑" w:eastAsia="微软雅黑" w:cs="微软雅黑"/>
          <w:color w:val="auto"/>
          <w:sz w:val="21"/>
          <w:szCs w:val="21"/>
          <w:highlight w:val="none"/>
        </w:rPr>
        <w:t>贷款进行赋分。以</w:t>
      </w:r>
      <w:r>
        <w:rPr>
          <w:rFonts w:hint="eastAsia" w:ascii="微软雅黑" w:hAnsi="微软雅黑" w:eastAsia="微软雅黑" w:cs="微软雅黑"/>
          <w:color w:val="auto"/>
          <w:sz w:val="21"/>
          <w:szCs w:val="21"/>
          <w:highlight w:val="none"/>
          <w:lang w:eastAsia="zh-CN"/>
        </w:rPr>
        <w:t>有效</w:t>
      </w:r>
      <w:r>
        <w:rPr>
          <w:rFonts w:hint="eastAsia" w:ascii="微软雅黑" w:hAnsi="微软雅黑" w:eastAsia="微软雅黑" w:cs="微软雅黑"/>
          <w:color w:val="auto"/>
          <w:sz w:val="21"/>
          <w:szCs w:val="21"/>
          <w:highlight w:val="none"/>
          <w:lang w:val="en-US" w:eastAsia="zh-CN"/>
        </w:rPr>
        <w:t>竞标</w:t>
      </w:r>
      <w:r>
        <w:rPr>
          <w:rFonts w:hint="eastAsia" w:ascii="微软雅黑" w:hAnsi="微软雅黑" w:eastAsia="微软雅黑" w:cs="微软雅黑"/>
          <w:color w:val="auto"/>
          <w:sz w:val="21"/>
          <w:szCs w:val="21"/>
          <w:highlight w:val="none"/>
        </w:rPr>
        <w:t>银行贷款</w:t>
      </w:r>
      <w:r>
        <w:rPr>
          <w:rFonts w:hint="eastAsia" w:ascii="微软雅黑" w:hAnsi="微软雅黑" w:eastAsia="微软雅黑" w:cs="微软雅黑"/>
          <w:color w:val="auto"/>
          <w:sz w:val="21"/>
          <w:szCs w:val="21"/>
          <w:highlight w:val="none"/>
          <w:lang w:val="en-US" w:eastAsia="zh-CN"/>
        </w:rPr>
        <w:t>余</w:t>
      </w:r>
      <w:r>
        <w:rPr>
          <w:rFonts w:hint="eastAsia" w:ascii="微软雅黑" w:hAnsi="微软雅黑" w:eastAsia="微软雅黑" w:cs="微软雅黑"/>
          <w:color w:val="auto"/>
          <w:sz w:val="21"/>
          <w:szCs w:val="21"/>
          <w:highlight w:val="none"/>
        </w:rPr>
        <w:t>额的平均数为基准额。</w:t>
      </w:r>
    </w:p>
    <w:p w14:paraId="2C90E3FB">
      <w:pPr>
        <w:keepNext w:val="0"/>
        <w:keepLines w:val="0"/>
        <w:pageBreakBefore w:val="0"/>
        <w:widowControl w:val="0"/>
        <w:kinsoku/>
        <w:wordWrap/>
        <w:overflowPunct/>
        <w:topLinePunct w:val="0"/>
        <w:autoSpaceDE/>
        <w:autoSpaceDN/>
        <w:bidi w:val="0"/>
        <w:spacing w:line="5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竞标</w:t>
      </w:r>
      <w:r>
        <w:rPr>
          <w:rFonts w:hint="eastAsia" w:ascii="微软雅黑" w:hAnsi="微软雅黑" w:eastAsia="微软雅黑" w:cs="微软雅黑"/>
          <w:color w:val="auto"/>
          <w:sz w:val="21"/>
          <w:szCs w:val="21"/>
          <w:highlight w:val="none"/>
        </w:rPr>
        <w:t>银行贷款</w:t>
      </w:r>
      <w:r>
        <w:rPr>
          <w:rFonts w:hint="eastAsia" w:ascii="微软雅黑" w:hAnsi="微软雅黑" w:eastAsia="微软雅黑" w:cs="微软雅黑"/>
          <w:color w:val="auto"/>
          <w:sz w:val="21"/>
          <w:szCs w:val="21"/>
          <w:highlight w:val="none"/>
          <w:lang w:eastAsia="zh-CN"/>
        </w:rPr>
        <w:t>余</w:t>
      </w:r>
      <w:r>
        <w:rPr>
          <w:rFonts w:hint="eastAsia" w:ascii="微软雅黑" w:hAnsi="微软雅黑" w:eastAsia="微软雅黑" w:cs="微软雅黑"/>
          <w:color w:val="auto"/>
          <w:sz w:val="21"/>
          <w:szCs w:val="21"/>
          <w:highlight w:val="none"/>
        </w:rPr>
        <w:t>额高于基准额，计算公式：贷款新增额得分＝</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竞标</w:t>
      </w:r>
      <w:r>
        <w:rPr>
          <w:rFonts w:hint="eastAsia" w:ascii="微软雅黑" w:hAnsi="微软雅黑" w:eastAsia="微软雅黑" w:cs="微软雅黑"/>
          <w:color w:val="auto"/>
          <w:sz w:val="21"/>
          <w:szCs w:val="21"/>
          <w:highlight w:val="none"/>
        </w:rPr>
        <w:t>银行贷款</w:t>
      </w:r>
      <w:r>
        <w:rPr>
          <w:rFonts w:hint="eastAsia" w:ascii="微软雅黑" w:hAnsi="微软雅黑" w:eastAsia="微软雅黑" w:cs="微软雅黑"/>
          <w:color w:val="auto"/>
          <w:sz w:val="21"/>
          <w:szCs w:val="21"/>
          <w:highlight w:val="none"/>
          <w:lang w:eastAsia="zh-CN"/>
        </w:rPr>
        <w:t>余</w:t>
      </w:r>
      <w:r>
        <w:rPr>
          <w:rFonts w:hint="eastAsia" w:ascii="微软雅黑" w:hAnsi="微软雅黑" w:eastAsia="微软雅黑" w:cs="微软雅黑"/>
          <w:color w:val="auto"/>
          <w:sz w:val="21"/>
          <w:szCs w:val="21"/>
          <w:highlight w:val="none"/>
        </w:rPr>
        <w:t>额÷最高贷款</w:t>
      </w:r>
      <w:r>
        <w:rPr>
          <w:rFonts w:hint="eastAsia" w:ascii="微软雅黑" w:hAnsi="微软雅黑" w:eastAsia="微软雅黑" w:cs="微软雅黑"/>
          <w:color w:val="auto"/>
          <w:sz w:val="21"/>
          <w:szCs w:val="21"/>
          <w:highlight w:val="none"/>
          <w:lang w:eastAsia="zh-CN"/>
        </w:rPr>
        <w:t>余</w:t>
      </w:r>
      <w:r>
        <w:rPr>
          <w:rFonts w:hint="eastAsia" w:ascii="微软雅黑" w:hAnsi="微软雅黑" w:eastAsia="微软雅黑" w:cs="微软雅黑"/>
          <w:color w:val="auto"/>
          <w:sz w:val="21"/>
          <w:szCs w:val="21"/>
          <w:highlight w:val="none"/>
        </w:rPr>
        <w:t>额）×</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w:t>
      </w:r>
    </w:p>
    <w:p w14:paraId="0678CB8A">
      <w:pPr>
        <w:keepNext w:val="0"/>
        <w:keepLines w:val="0"/>
        <w:pageBreakBefore w:val="0"/>
        <w:widowControl w:val="0"/>
        <w:kinsoku/>
        <w:wordWrap/>
        <w:overflowPunct/>
        <w:topLinePunct w:val="0"/>
        <w:autoSpaceDE/>
        <w:autoSpaceDN/>
        <w:bidi w:val="0"/>
        <w:spacing w:line="560" w:lineRule="exact"/>
        <w:ind w:firstLine="420" w:firstLineChars="20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竞标</w:t>
      </w:r>
      <w:r>
        <w:rPr>
          <w:rFonts w:hint="eastAsia" w:ascii="微软雅黑" w:hAnsi="微软雅黑" w:eastAsia="微软雅黑" w:cs="微软雅黑"/>
          <w:color w:val="auto"/>
          <w:sz w:val="21"/>
          <w:szCs w:val="21"/>
          <w:highlight w:val="none"/>
        </w:rPr>
        <w:t>银行贷款新增额低于基准额，计算公式：贷款新增额得分＝</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-（最低贷款</w:t>
      </w:r>
      <w:r>
        <w:rPr>
          <w:rFonts w:hint="eastAsia" w:ascii="微软雅黑" w:hAnsi="微软雅黑" w:eastAsia="微软雅黑" w:cs="微软雅黑"/>
          <w:color w:val="auto"/>
          <w:sz w:val="21"/>
          <w:szCs w:val="21"/>
          <w:highlight w:val="none"/>
          <w:lang w:eastAsia="zh-CN"/>
        </w:rPr>
        <w:t>余</w:t>
      </w:r>
      <w:r>
        <w:rPr>
          <w:rFonts w:hint="eastAsia" w:ascii="微软雅黑" w:hAnsi="微软雅黑" w:eastAsia="微软雅黑" w:cs="微软雅黑"/>
          <w:color w:val="auto"/>
          <w:sz w:val="21"/>
          <w:szCs w:val="21"/>
          <w:highlight w:val="none"/>
        </w:rPr>
        <w:t>额÷</w:t>
      </w:r>
      <w:r>
        <w:rPr>
          <w:rFonts w:hint="eastAsia" w:ascii="微软雅黑" w:hAnsi="微软雅黑" w:eastAsia="微软雅黑" w:cs="微软雅黑"/>
          <w:color w:val="auto"/>
          <w:sz w:val="21"/>
          <w:szCs w:val="21"/>
          <w:highlight w:val="none"/>
          <w:lang w:val="en-US" w:eastAsia="zh-CN"/>
        </w:rPr>
        <w:t>竞标</w:t>
      </w:r>
      <w:r>
        <w:rPr>
          <w:rFonts w:hint="eastAsia" w:ascii="微软雅黑" w:hAnsi="微软雅黑" w:eastAsia="微软雅黑" w:cs="微软雅黑"/>
          <w:color w:val="auto"/>
          <w:sz w:val="21"/>
          <w:szCs w:val="21"/>
          <w:highlight w:val="none"/>
        </w:rPr>
        <w:t>银行贷款</w:t>
      </w:r>
      <w:r>
        <w:rPr>
          <w:rFonts w:hint="eastAsia" w:ascii="微软雅黑" w:hAnsi="微软雅黑" w:eastAsia="微软雅黑" w:cs="微软雅黑"/>
          <w:color w:val="auto"/>
          <w:sz w:val="21"/>
          <w:szCs w:val="21"/>
          <w:highlight w:val="none"/>
          <w:lang w:eastAsia="zh-CN"/>
        </w:rPr>
        <w:t>余</w:t>
      </w:r>
      <w:r>
        <w:rPr>
          <w:rFonts w:hint="eastAsia" w:ascii="微软雅黑" w:hAnsi="微软雅黑" w:eastAsia="微软雅黑" w:cs="微软雅黑"/>
          <w:color w:val="auto"/>
          <w:sz w:val="21"/>
          <w:szCs w:val="21"/>
          <w:highlight w:val="none"/>
        </w:rPr>
        <w:t>额）×</w:t>
      </w:r>
      <w:r>
        <w:rPr>
          <w:rFonts w:hint="eastAsia" w:ascii="微软雅黑" w:hAnsi="微软雅黑" w:eastAsia="微软雅黑" w:cs="微软雅黑"/>
          <w:color w:val="auto"/>
          <w:sz w:val="21"/>
          <w:szCs w:val="21"/>
          <w:highlight w:val="none"/>
          <w:lang w:val="en-US" w:eastAsia="zh-CN"/>
        </w:rPr>
        <w:t>2。</w:t>
      </w:r>
    </w:p>
    <w:p w14:paraId="6531F67E">
      <w:pPr>
        <w:keepNext w:val="0"/>
        <w:keepLines w:val="0"/>
        <w:pageBreakBefore w:val="0"/>
        <w:widowControl w:val="0"/>
        <w:numPr>
          <w:ilvl w:val="0"/>
          <w:numId w:val="33"/>
        </w:numPr>
        <w:tabs>
          <w:tab w:val="left" w:pos="840"/>
          <w:tab w:val="left" w:pos="1060"/>
        </w:tabs>
        <w:kinsoku/>
        <w:wordWrap/>
        <w:overflowPunct/>
        <w:topLinePunct w:val="0"/>
        <w:autoSpaceDE/>
        <w:autoSpaceDN/>
        <w:bidi w:val="0"/>
        <w:adjustRightInd w:val="0"/>
        <w:snapToGrid/>
        <w:spacing w:line="560" w:lineRule="exact"/>
        <w:ind w:left="5" w:leftChars="0" w:firstLine="415" w:firstLineChars="0"/>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贷款</w:t>
      </w:r>
      <w:r>
        <w:rPr>
          <w:rFonts w:hint="eastAsia" w:ascii="微软雅黑" w:hAnsi="微软雅黑" w:eastAsia="微软雅黑" w:cs="微软雅黑"/>
          <w:color w:val="auto"/>
          <w:sz w:val="21"/>
          <w:szCs w:val="21"/>
          <w:highlight w:val="none"/>
          <w:lang w:val="en-US" w:eastAsia="zh-CN"/>
        </w:rPr>
        <w:t>新增额</w:t>
      </w:r>
      <w:r>
        <w:rPr>
          <w:rFonts w:hint="eastAsia" w:ascii="微软雅黑" w:hAnsi="微软雅黑" w:eastAsia="微软雅黑" w:cs="微软雅黑"/>
          <w:color w:val="auto"/>
          <w:sz w:val="21"/>
          <w:szCs w:val="21"/>
          <w:highlight w:val="none"/>
        </w:rPr>
        <w:t>指标（</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分）。按照</w:t>
      </w:r>
      <w:r>
        <w:rPr>
          <w:rFonts w:hint="eastAsia" w:ascii="微软雅黑" w:hAnsi="微软雅黑" w:eastAsia="微软雅黑" w:cs="微软雅黑"/>
          <w:color w:val="auto"/>
          <w:sz w:val="21"/>
          <w:szCs w:val="21"/>
          <w:highlight w:val="none"/>
          <w:lang w:eastAsia="zh-CN"/>
        </w:rPr>
        <w:t>有效</w:t>
      </w:r>
      <w:r>
        <w:rPr>
          <w:rFonts w:hint="eastAsia" w:ascii="微软雅黑" w:hAnsi="微软雅黑" w:eastAsia="微软雅黑" w:cs="微软雅黑"/>
          <w:color w:val="auto"/>
          <w:sz w:val="21"/>
          <w:szCs w:val="21"/>
          <w:highlight w:val="none"/>
          <w:lang w:val="en-US" w:eastAsia="zh-CN"/>
        </w:rPr>
        <w:t>竞标</w:t>
      </w:r>
      <w:r>
        <w:rPr>
          <w:rFonts w:hint="eastAsia" w:ascii="微软雅黑" w:hAnsi="微软雅黑" w:eastAsia="微软雅黑" w:cs="微软雅黑"/>
          <w:color w:val="auto"/>
          <w:sz w:val="21"/>
          <w:szCs w:val="21"/>
          <w:highlight w:val="none"/>
        </w:rPr>
        <w:t>银行</w:t>
      </w:r>
      <w:r>
        <w:rPr>
          <w:rFonts w:hint="eastAsia" w:ascii="微软雅黑" w:hAnsi="微软雅黑" w:eastAsia="微软雅黑" w:cs="微软雅黑"/>
          <w:color w:val="auto"/>
          <w:sz w:val="21"/>
          <w:szCs w:val="21"/>
          <w:highlight w:val="none"/>
          <w:lang w:eastAsia="zh-CN"/>
        </w:rPr>
        <w:t>上年度秀洲区</w:t>
      </w:r>
      <w:r>
        <w:rPr>
          <w:rFonts w:hint="eastAsia" w:ascii="微软雅黑" w:hAnsi="微软雅黑" w:eastAsia="微软雅黑" w:cs="微软雅黑"/>
          <w:color w:val="auto"/>
          <w:sz w:val="21"/>
          <w:szCs w:val="21"/>
          <w:highlight w:val="none"/>
        </w:rPr>
        <w:t>贷款</w:t>
      </w:r>
      <w:r>
        <w:rPr>
          <w:rFonts w:hint="eastAsia" w:ascii="微软雅黑" w:hAnsi="微软雅黑" w:eastAsia="微软雅黑" w:cs="微软雅黑"/>
          <w:color w:val="auto"/>
          <w:sz w:val="21"/>
          <w:szCs w:val="21"/>
          <w:highlight w:val="none"/>
          <w:lang w:eastAsia="zh-CN"/>
        </w:rPr>
        <w:t>新增额</w:t>
      </w:r>
      <w:r>
        <w:rPr>
          <w:rFonts w:hint="eastAsia" w:ascii="微软雅黑" w:hAnsi="微软雅黑" w:eastAsia="微软雅黑" w:cs="微软雅黑"/>
          <w:color w:val="auto"/>
          <w:sz w:val="21"/>
          <w:szCs w:val="21"/>
          <w:highlight w:val="none"/>
        </w:rPr>
        <w:t>进行赋分。以</w:t>
      </w:r>
      <w:r>
        <w:rPr>
          <w:rFonts w:hint="eastAsia" w:ascii="微软雅黑" w:hAnsi="微软雅黑" w:eastAsia="微软雅黑" w:cs="微软雅黑"/>
          <w:color w:val="auto"/>
          <w:sz w:val="21"/>
          <w:szCs w:val="21"/>
          <w:highlight w:val="none"/>
          <w:lang w:eastAsia="zh-CN"/>
        </w:rPr>
        <w:t>有效</w:t>
      </w:r>
      <w:r>
        <w:rPr>
          <w:rFonts w:hint="eastAsia" w:ascii="微软雅黑" w:hAnsi="微软雅黑" w:eastAsia="微软雅黑" w:cs="微软雅黑"/>
          <w:color w:val="auto"/>
          <w:sz w:val="21"/>
          <w:szCs w:val="21"/>
          <w:highlight w:val="none"/>
          <w:lang w:val="en-US" w:eastAsia="zh-CN"/>
        </w:rPr>
        <w:t>竞标</w:t>
      </w:r>
      <w:r>
        <w:rPr>
          <w:rFonts w:hint="eastAsia" w:ascii="微软雅黑" w:hAnsi="微软雅黑" w:eastAsia="微软雅黑" w:cs="微软雅黑"/>
          <w:color w:val="auto"/>
          <w:sz w:val="21"/>
          <w:szCs w:val="21"/>
          <w:highlight w:val="none"/>
        </w:rPr>
        <w:t>银行贷款新增额的平均数为基准额。</w:t>
      </w:r>
    </w:p>
    <w:p w14:paraId="304F6434">
      <w:pPr>
        <w:keepNext w:val="0"/>
        <w:keepLines w:val="0"/>
        <w:pageBreakBefore w:val="0"/>
        <w:widowControl w:val="0"/>
        <w:kinsoku/>
        <w:wordWrap/>
        <w:overflowPunct/>
        <w:topLinePunct w:val="0"/>
        <w:autoSpaceDE/>
        <w:autoSpaceDN/>
        <w:bidi w:val="0"/>
        <w:spacing w:line="5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竞标</w:t>
      </w:r>
      <w:r>
        <w:rPr>
          <w:rFonts w:hint="eastAsia" w:ascii="微软雅黑" w:hAnsi="微软雅黑" w:eastAsia="微软雅黑" w:cs="微软雅黑"/>
          <w:color w:val="auto"/>
          <w:sz w:val="21"/>
          <w:szCs w:val="21"/>
          <w:highlight w:val="none"/>
        </w:rPr>
        <w:t>银行贷款新增额高于基准额，计算公式：贷款新增额得分＝</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竞标</w:t>
      </w:r>
      <w:r>
        <w:rPr>
          <w:rFonts w:hint="eastAsia" w:ascii="微软雅黑" w:hAnsi="微软雅黑" w:eastAsia="微软雅黑" w:cs="微软雅黑"/>
          <w:color w:val="auto"/>
          <w:sz w:val="21"/>
          <w:szCs w:val="21"/>
          <w:highlight w:val="none"/>
        </w:rPr>
        <w:t>银行贷款新增额÷最高贷款新增额）；</w:t>
      </w:r>
    </w:p>
    <w:p w14:paraId="3530D24B">
      <w:pPr>
        <w:keepNext w:val="0"/>
        <w:keepLines w:val="0"/>
        <w:pageBreakBefore w:val="0"/>
        <w:widowControl w:val="0"/>
        <w:kinsoku/>
        <w:wordWrap/>
        <w:overflowPunct/>
        <w:topLinePunct w:val="0"/>
        <w:autoSpaceDE/>
        <w:autoSpaceDN/>
        <w:bidi w:val="0"/>
        <w:spacing w:line="560" w:lineRule="exact"/>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竞标</w:t>
      </w:r>
      <w:r>
        <w:rPr>
          <w:rFonts w:hint="eastAsia" w:ascii="微软雅黑" w:hAnsi="微软雅黑" w:eastAsia="微软雅黑" w:cs="微软雅黑"/>
          <w:color w:val="auto"/>
          <w:sz w:val="21"/>
          <w:szCs w:val="21"/>
          <w:highlight w:val="none"/>
        </w:rPr>
        <w:t>银行贷款新增额低于基准额，计算公式：贷款新增额得分＝</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-（最低贷款新增额÷</w:t>
      </w:r>
      <w:r>
        <w:rPr>
          <w:rFonts w:hint="eastAsia" w:ascii="微软雅黑" w:hAnsi="微软雅黑" w:eastAsia="微软雅黑" w:cs="微软雅黑"/>
          <w:color w:val="auto"/>
          <w:sz w:val="21"/>
          <w:szCs w:val="21"/>
          <w:highlight w:val="none"/>
          <w:lang w:val="en-US" w:eastAsia="zh-CN"/>
        </w:rPr>
        <w:t>竞标</w:t>
      </w:r>
      <w:r>
        <w:rPr>
          <w:rFonts w:hint="eastAsia" w:ascii="微软雅黑" w:hAnsi="微软雅黑" w:eastAsia="微软雅黑" w:cs="微软雅黑"/>
          <w:color w:val="auto"/>
          <w:sz w:val="21"/>
          <w:szCs w:val="21"/>
          <w:highlight w:val="none"/>
        </w:rPr>
        <w:t>银行贷款新增额）</w:t>
      </w:r>
      <w:r>
        <w:rPr>
          <w:rFonts w:hint="eastAsia" w:ascii="微软雅黑" w:hAnsi="微软雅黑" w:eastAsia="微软雅黑" w:cs="微软雅黑"/>
          <w:color w:val="auto"/>
          <w:sz w:val="21"/>
          <w:szCs w:val="21"/>
          <w:highlight w:val="none"/>
          <w:lang w:eastAsia="zh-CN"/>
        </w:rPr>
        <w:t>。</w:t>
      </w:r>
    </w:p>
    <w:p w14:paraId="7C5C2289">
      <w:pPr>
        <w:keepNext w:val="0"/>
        <w:keepLines w:val="0"/>
        <w:pageBreakBefore w:val="0"/>
        <w:widowControl w:val="0"/>
        <w:kinsoku/>
        <w:wordWrap/>
        <w:overflowPunct/>
        <w:topLinePunct w:val="0"/>
        <w:autoSpaceDE/>
        <w:autoSpaceDN/>
        <w:bidi w:val="0"/>
        <w:spacing w:line="560" w:lineRule="exact"/>
        <w:ind w:left="0" w:leftChars="0" w:firstLine="42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（该指标数据由</w:t>
      </w:r>
      <w:r>
        <w:rPr>
          <w:rFonts w:hint="eastAsia" w:ascii="微软雅黑" w:hAnsi="微软雅黑" w:eastAsia="微软雅黑" w:cs="微软雅黑"/>
          <w:color w:val="auto"/>
          <w:sz w:val="21"/>
          <w:szCs w:val="21"/>
          <w:highlight w:val="none"/>
          <w:lang w:eastAsia="zh-CN"/>
        </w:rPr>
        <w:t>区财政局、</w:t>
      </w:r>
      <w:r>
        <w:rPr>
          <w:rFonts w:hint="eastAsia" w:ascii="微软雅黑" w:hAnsi="微软雅黑" w:eastAsia="微软雅黑" w:cs="微软雅黑"/>
          <w:color w:val="auto"/>
          <w:sz w:val="21"/>
          <w:szCs w:val="21"/>
          <w:highlight w:val="none"/>
        </w:rPr>
        <w:t>区金融发展服务中心提供。）</w:t>
      </w:r>
    </w:p>
    <w:p w14:paraId="46759596">
      <w:pPr>
        <w:keepNext w:val="0"/>
        <w:keepLines w:val="0"/>
        <w:pageBreakBefore w:val="0"/>
        <w:widowControl w:val="0"/>
        <w:numPr>
          <w:ilvl w:val="0"/>
          <w:numId w:val="31"/>
        </w:numPr>
        <w:tabs>
          <w:tab w:val="left" w:pos="420"/>
          <w:tab w:val="left" w:pos="630"/>
          <w:tab w:val="left" w:pos="840"/>
        </w:tabs>
        <w:kinsoku/>
        <w:wordWrap/>
        <w:overflowPunct/>
        <w:topLinePunct w:val="0"/>
        <w:autoSpaceDE/>
        <w:autoSpaceDN/>
        <w:bidi w:val="0"/>
        <w:spacing w:line="560" w:lineRule="exact"/>
        <w:ind w:left="0" w:leftChars="0" w:firstLine="42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支持地方经济发展业绩考评结果应用（20分）。根据上年度市本级银行业金融机构支持地方经济发展业绩的考评结果进行评分。得分标准为：以考评得分最高银行为第一名，得20分；每递减一名减0.</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分，减至0分为止。</w:t>
      </w:r>
    </w:p>
    <w:p w14:paraId="3070B54D">
      <w:pPr>
        <w:keepNext w:val="0"/>
        <w:keepLines w:val="0"/>
        <w:pageBreakBefore w:val="0"/>
        <w:widowControl w:val="0"/>
        <w:numPr>
          <w:ilvl w:val="0"/>
          <w:numId w:val="0"/>
        </w:numPr>
        <w:tabs>
          <w:tab w:val="left" w:pos="420"/>
          <w:tab w:val="left" w:pos="630"/>
          <w:tab w:val="left" w:pos="840"/>
        </w:tabs>
        <w:kinsoku/>
        <w:wordWrap/>
        <w:overflowPunct/>
        <w:topLinePunct w:val="0"/>
        <w:autoSpaceDE/>
        <w:autoSpaceDN/>
        <w:bidi w:val="0"/>
        <w:spacing w:line="560" w:lineRule="exact"/>
        <w:ind w:left="420" w:leftChars="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该指标数据区金融发展服务中心提供</w:t>
      </w:r>
      <w:r>
        <w:rPr>
          <w:rFonts w:hint="eastAsia" w:ascii="微软雅黑" w:hAnsi="微软雅黑" w:eastAsia="微软雅黑" w:cs="微软雅黑"/>
          <w:color w:val="auto"/>
          <w:sz w:val="21"/>
          <w:szCs w:val="21"/>
          <w:highlight w:val="none"/>
          <w:lang w:eastAsia="zh-CN"/>
        </w:rPr>
        <w:t>）</w:t>
      </w:r>
    </w:p>
    <w:p w14:paraId="58F9DD68">
      <w:pPr>
        <w:adjustRightInd w:val="0"/>
        <w:snapToGrid w:val="0"/>
        <w:spacing w:line="540" w:lineRule="exact"/>
        <w:ind w:firstLine="426"/>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注：发布招标公告之日如遇评分指标数据未更新或未取得的，使用上期同一指标数据计分。</w:t>
      </w:r>
    </w:p>
    <w:p w14:paraId="19EE1BA5">
      <w:pPr>
        <w:snapToGrid w:val="0"/>
        <w:spacing w:line="560" w:lineRule="exact"/>
        <w:ind w:firstLine="412" w:firstLineChars="196"/>
        <w:rPr>
          <w:rFonts w:hint="eastAsia" w:ascii="微软雅黑" w:hAnsi="微软雅黑" w:eastAsia="微软雅黑" w:cs="仿宋_GB2312"/>
          <w:color w:val="auto"/>
          <w:szCs w:val="21"/>
          <w:highlight w:val="none"/>
        </w:rPr>
      </w:pPr>
      <w:r>
        <w:rPr>
          <w:rFonts w:hint="eastAsia" w:ascii="微软雅黑" w:hAnsi="微软雅黑" w:eastAsia="微软雅黑" w:cs="楷体_GB2312"/>
          <w:b/>
          <w:color w:val="auto"/>
          <w:szCs w:val="21"/>
          <w:highlight w:val="none"/>
        </w:rPr>
        <w:t>（四）服务水平指标（满分10分）。</w:t>
      </w:r>
    </w:p>
    <w:p w14:paraId="32BC4A60">
      <w:pPr>
        <w:spacing w:line="52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1.“两金”专户开设情况（1分）</w:t>
      </w:r>
    </w:p>
    <w:p w14:paraId="08652271">
      <w:pPr>
        <w:spacing w:line="520" w:lineRule="exact"/>
        <w:ind w:firstLine="64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根据以往提供的服务情况（竞标银行针对与采购单位的服务）进行打分（包括：房屋维修资金专户或保修金专户（需提供人民银行开户证明）（有一项即得1分）。</w:t>
      </w:r>
    </w:p>
    <w:p w14:paraId="4A395893">
      <w:pPr>
        <w:spacing w:line="52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2.预售资金监管情况（</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分）</w:t>
      </w:r>
    </w:p>
    <w:p w14:paraId="7FB16699">
      <w:pPr>
        <w:spacing w:line="520" w:lineRule="exact"/>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截止招标公告发布之日</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竞标银行在秀洲区有在售</w:t>
      </w:r>
      <w:r>
        <w:rPr>
          <w:rFonts w:hint="eastAsia" w:ascii="微软雅黑" w:hAnsi="微软雅黑" w:eastAsia="微软雅黑" w:cs="微软雅黑"/>
          <w:color w:val="auto"/>
          <w:sz w:val="21"/>
          <w:szCs w:val="21"/>
          <w:highlight w:val="none"/>
          <w:lang w:eastAsia="zh-CN"/>
        </w:rPr>
        <w:t>未交付</w:t>
      </w:r>
      <w:r>
        <w:rPr>
          <w:rFonts w:hint="eastAsia" w:ascii="微软雅黑" w:hAnsi="微软雅黑" w:eastAsia="微软雅黑" w:cs="微软雅黑"/>
          <w:color w:val="auto"/>
          <w:sz w:val="21"/>
          <w:szCs w:val="21"/>
          <w:highlight w:val="none"/>
        </w:rPr>
        <w:t>新建</w:t>
      </w:r>
      <w:r>
        <w:rPr>
          <w:rFonts w:hint="eastAsia" w:ascii="微软雅黑" w:hAnsi="微软雅黑" w:eastAsia="微软雅黑" w:cs="微软雅黑"/>
          <w:color w:val="auto"/>
          <w:sz w:val="21"/>
          <w:szCs w:val="21"/>
          <w:highlight w:val="none"/>
          <w:lang w:eastAsia="zh-CN"/>
        </w:rPr>
        <w:t>商品住宅</w:t>
      </w:r>
      <w:r>
        <w:rPr>
          <w:rFonts w:hint="eastAsia" w:ascii="微软雅黑" w:hAnsi="微软雅黑" w:eastAsia="微软雅黑" w:cs="微软雅黑"/>
          <w:color w:val="auto"/>
          <w:sz w:val="21"/>
          <w:szCs w:val="21"/>
          <w:highlight w:val="none"/>
        </w:rPr>
        <w:t>服务项目的，由竞标人提供预售资金监管协议，</w:t>
      </w:r>
      <w:r>
        <w:rPr>
          <w:rFonts w:hint="eastAsia" w:ascii="微软雅黑" w:hAnsi="微软雅黑" w:eastAsia="微软雅黑" w:cs="微软雅黑"/>
          <w:color w:val="auto"/>
          <w:sz w:val="21"/>
          <w:szCs w:val="21"/>
          <w:highlight w:val="none"/>
          <w:lang w:eastAsia="zh-CN"/>
        </w:rPr>
        <w:t>按项目数计分，每</w:t>
      </w:r>
      <w:r>
        <w:rPr>
          <w:rFonts w:hint="eastAsia" w:ascii="微软雅黑" w:hAnsi="微软雅黑" w:eastAsia="微软雅黑" w:cs="微软雅黑"/>
          <w:color w:val="auto"/>
          <w:sz w:val="21"/>
          <w:szCs w:val="21"/>
          <w:highlight w:val="none"/>
          <w:lang w:val="en-US" w:eastAsia="zh-CN"/>
        </w:rPr>
        <w:t>一</w:t>
      </w:r>
      <w:r>
        <w:rPr>
          <w:rFonts w:hint="eastAsia" w:ascii="微软雅黑" w:hAnsi="微软雅黑" w:eastAsia="微软雅黑" w:cs="微软雅黑"/>
          <w:color w:val="auto"/>
          <w:sz w:val="21"/>
          <w:szCs w:val="21"/>
          <w:highlight w:val="none"/>
          <w:lang w:eastAsia="zh-CN"/>
        </w:rPr>
        <w:t>个项目得</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lang w:eastAsia="zh-CN"/>
        </w:rPr>
        <w:t>分，最高得</w:t>
      </w:r>
      <w:r>
        <w:rPr>
          <w:rFonts w:hint="eastAsia" w:ascii="微软雅黑" w:hAnsi="微软雅黑" w:eastAsia="微软雅黑" w:cs="微软雅黑"/>
          <w:color w:val="auto"/>
          <w:sz w:val="21"/>
          <w:szCs w:val="21"/>
          <w:highlight w:val="none"/>
          <w:lang w:val="en-US" w:eastAsia="zh-CN"/>
        </w:rPr>
        <w:t>3分，</w:t>
      </w:r>
      <w:r>
        <w:rPr>
          <w:rFonts w:hint="eastAsia" w:ascii="微软雅黑" w:hAnsi="微软雅黑" w:eastAsia="微软雅黑" w:cs="微软雅黑"/>
          <w:color w:val="auto"/>
          <w:sz w:val="21"/>
          <w:szCs w:val="21"/>
          <w:highlight w:val="none"/>
        </w:rPr>
        <w:t>没有的不得分。</w:t>
      </w:r>
      <w:r>
        <w:rPr>
          <w:rFonts w:hint="eastAsia" w:ascii="微软雅黑" w:hAnsi="微软雅黑" w:eastAsia="微软雅黑" w:cs="微软雅黑"/>
          <w:color w:val="auto"/>
          <w:sz w:val="21"/>
          <w:szCs w:val="21"/>
          <w:highlight w:val="none"/>
          <w:lang w:eastAsia="zh-CN"/>
        </w:rPr>
        <w:t>（区内在售未交付新建商品住宅项目以主管部门提供的项目清单为准）</w:t>
      </w:r>
    </w:p>
    <w:p w14:paraId="7F8B84A3">
      <w:pPr>
        <w:spacing w:line="52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eastAsia="zh-CN"/>
        </w:rPr>
        <w:t>截止招标公告发布之日，竞标银行在</w:t>
      </w:r>
      <w:r>
        <w:rPr>
          <w:rFonts w:hint="eastAsia" w:ascii="微软雅黑" w:hAnsi="微软雅黑" w:eastAsia="微软雅黑" w:cs="微软雅黑"/>
          <w:color w:val="auto"/>
          <w:sz w:val="21"/>
          <w:szCs w:val="21"/>
          <w:highlight w:val="none"/>
          <w:lang w:val="en-US" w:eastAsia="zh-CN"/>
        </w:rPr>
        <w:t>嘉兴市住房和城乡建设局网站（https://jsj.jiaxing.gov.cn/）公布的最新一季度嘉兴市商品房预售资金监管银行考评结果中被扣分的，本项不得分</w:t>
      </w:r>
      <w:r>
        <w:rPr>
          <w:rFonts w:hint="eastAsia" w:ascii="微软雅黑" w:hAnsi="微软雅黑" w:eastAsia="微软雅黑" w:cs="微软雅黑"/>
          <w:color w:val="auto"/>
          <w:sz w:val="21"/>
          <w:szCs w:val="21"/>
          <w:highlight w:val="none"/>
        </w:rPr>
        <w:t>。</w:t>
      </w:r>
    </w:p>
    <w:p w14:paraId="3097887D">
      <w:pPr>
        <w:spacing w:line="52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eastAsia="zh-CN"/>
        </w:rPr>
        <w:t>开发贷业务承接情况</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分）</w:t>
      </w:r>
    </w:p>
    <w:p w14:paraId="1EA8D537">
      <w:pPr>
        <w:spacing w:line="520" w:lineRule="exact"/>
        <w:ind w:left="0" w:leftChars="0"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截止招标公告发布之日</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竞标银行在秀洲区</w:t>
      </w:r>
      <w:r>
        <w:rPr>
          <w:rFonts w:hint="eastAsia" w:ascii="微软雅黑" w:hAnsi="微软雅黑" w:eastAsia="微软雅黑" w:cs="微软雅黑"/>
          <w:color w:val="auto"/>
          <w:sz w:val="21"/>
          <w:szCs w:val="21"/>
          <w:highlight w:val="none"/>
        </w:rPr>
        <w:t>有在售</w:t>
      </w:r>
      <w:r>
        <w:rPr>
          <w:rFonts w:hint="eastAsia" w:ascii="微软雅黑" w:hAnsi="微软雅黑" w:eastAsia="微软雅黑" w:cs="微软雅黑"/>
          <w:color w:val="auto"/>
          <w:sz w:val="21"/>
          <w:szCs w:val="21"/>
          <w:highlight w:val="none"/>
          <w:lang w:eastAsia="zh-CN"/>
        </w:rPr>
        <w:t>或待售</w:t>
      </w:r>
      <w:r>
        <w:rPr>
          <w:rFonts w:hint="eastAsia" w:ascii="微软雅黑" w:hAnsi="微软雅黑" w:eastAsia="微软雅黑" w:cs="微软雅黑"/>
          <w:color w:val="auto"/>
          <w:sz w:val="21"/>
          <w:szCs w:val="21"/>
          <w:highlight w:val="none"/>
        </w:rPr>
        <w:t>新建</w:t>
      </w:r>
      <w:r>
        <w:rPr>
          <w:rFonts w:hint="eastAsia" w:ascii="微软雅黑" w:hAnsi="微软雅黑" w:eastAsia="微软雅黑" w:cs="微软雅黑"/>
          <w:color w:val="auto"/>
          <w:sz w:val="21"/>
          <w:szCs w:val="21"/>
          <w:highlight w:val="none"/>
          <w:lang w:eastAsia="zh-CN"/>
        </w:rPr>
        <w:t>商品住宅</w:t>
      </w:r>
      <w:r>
        <w:rPr>
          <w:rFonts w:hint="eastAsia" w:ascii="微软雅黑" w:hAnsi="微软雅黑" w:eastAsia="微软雅黑" w:cs="微软雅黑"/>
          <w:color w:val="auto"/>
          <w:sz w:val="21"/>
          <w:szCs w:val="21"/>
          <w:highlight w:val="none"/>
        </w:rPr>
        <w:t>服务项目的</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由竞标人提供</w:t>
      </w:r>
      <w:r>
        <w:rPr>
          <w:rFonts w:hint="eastAsia" w:ascii="微软雅黑" w:hAnsi="微软雅黑" w:eastAsia="微软雅黑" w:cs="微软雅黑"/>
          <w:color w:val="auto"/>
          <w:sz w:val="21"/>
          <w:szCs w:val="21"/>
          <w:highlight w:val="none"/>
          <w:lang w:eastAsia="zh-CN"/>
        </w:rPr>
        <w:t>开发贷合同</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eastAsia="zh-CN"/>
        </w:rPr>
        <w:t>按项目数计分，每</w:t>
      </w:r>
      <w:r>
        <w:rPr>
          <w:rFonts w:hint="eastAsia" w:ascii="微软雅黑" w:hAnsi="微软雅黑" w:eastAsia="微软雅黑" w:cs="微软雅黑"/>
          <w:color w:val="auto"/>
          <w:sz w:val="21"/>
          <w:szCs w:val="21"/>
          <w:highlight w:val="none"/>
          <w:lang w:val="en-US" w:eastAsia="zh-CN"/>
        </w:rPr>
        <w:t>一</w:t>
      </w:r>
      <w:r>
        <w:rPr>
          <w:rFonts w:hint="eastAsia" w:ascii="微软雅黑" w:hAnsi="微软雅黑" w:eastAsia="微软雅黑" w:cs="微软雅黑"/>
          <w:color w:val="auto"/>
          <w:sz w:val="21"/>
          <w:szCs w:val="21"/>
          <w:highlight w:val="none"/>
          <w:lang w:eastAsia="zh-CN"/>
        </w:rPr>
        <w:t>个项目得</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lang w:eastAsia="zh-CN"/>
        </w:rPr>
        <w:t>分，最高得</w:t>
      </w:r>
      <w:r>
        <w:rPr>
          <w:rFonts w:hint="eastAsia" w:ascii="微软雅黑" w:hAnsi="微软雅黑" w:eastAsia="微软雅黑" w:cs="微软雅黑"/>
          <w:color w:val="auto"/>
          <w:sz w:val="21"/>
          <w:szCs w:val="21"/>
          <w:highlight w:val="none"/>
          <w:lang w:val="en-US" w:eastAsia="zh-CN"/>
        </w:rPr>
        <w:t>3分，</w:t>
      </w:r>
      <w:r>
        <w:rPr>
          <w:rFonts w:hint="eastAsia" w:ascii="微软雅黑" w:hAnsi="微软雅黑" w:eastAsia="微软雅黑" w:cs="微软雅黑"/>
          <w:color w:val="auto"/>
          <w:sz w:val="21"/>
          <w:szCs w:val="21"/>
          <w:highlight w:val="none"/>
        </w:rPr>
        <w:t>没有的不得分</w:t>
      </w:r>
      <w:r>
        <w:rPr>
          <w:rFonts w:hint="eastAsia" w:ascii="微软雅黑" w:hAnsi="微软雅黑" w:eastAsia="微软雅黑" w:cs="微软雅黑"/>
          <w:color w:val="auto"/>
          <w:sz w:val="21"/>
          <w:szCs w:val="21"/>
          <w:highlight w:val="none"/>
          <w:lang w:eastAsia="zh-CN"/>
        </w:rPr>
        <w:t>。（区内在售或待售新建商品住宅项目以主管部门提供的项目清单为准）。</w:t>
      </w:r>
    </w:p>
    <w:p w14:paraId="705E535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firstLine="210" w:firstLineChars="1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4.支持保障性住房、城市有机更新或全域土地整治等方面情况</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lang w:eastAsia="zh-CN"/>
        </w:rPr>
        <w:t>分）</w:t>
      </w:r>
      <w:r>
        <w:rPr>
          <w:rFonts w:hint="eastAsia" w:ascii="微软雅黑" w:hAnsi="微软雅黑" w:eastAsia="微软雅黑" w:cs="微软雅黑"/>
          <w:color w:val="auto"/>
          <w:sz w:val="21"/>
          <w:szCs w:val="21"/>
          <w:highlight w:val="none"/>
          <w:lang w:val="en-US" w:eastAsia="zh-CN"/>
        </w:rPr>
        <w:t xml:space="preserve">  </w:t>
      </w:r>
    </w:p>
    <w:p w14:paraId="7B3D5960">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国标仿宋" w:hAnsi="国标仿宋" w:eastAsia="国标仿宋" w:cs="国标仿宋"/>
          <w:b/>
          <w:bCs/>
          <w:color w:val="auto"/>
          <w:sz w:val="32"/>
          <w:szCs w:val="32"/>
          <w:highlight w:val="none"/>
          <w:lang w:val="en-US" w:eastAsia="zh-CN"/>
        </w:rPr>
      </w:pPr>
      <w:r>
        <w:rPr>
          <w:rFonts w:hint="eastAsia" w:ascii="微软雅黑" w:hAnsi="微软雅黑" w:eastAsia="微软雅黑" w:cs="微软雅黑"/>
          <w:color w:val="auto"/>
          <w:sz w:val="21"/>
          <w:szCs w:val="21"/>
          <w:highlight w:val="none"/>
          <w:lang w:val="en-US" w:eastAsia="zh-CN"/>
        </w:rPr>
        <w:t>竞标银行自2022年6月1日，至投标截止之日。</w:t>
      </w:r>
      <w:r>
        <w:rPr>
          <w:rFonts w:hint="eastAsia" w:ascii="微软雅黑" w:hAnsi="微软雅黑" w:eastAsia="微软雅黑" w:cs="微软雅黑"/>
          <w:color w:val="auto"/>
          <w:sz w:val="21"/>
          <w:szCs w:val="21"/>
          <w:highlight w:val="none"/>
          <w:lang w:val="en-US" w:eastAsia="zh-CN"/>
        </w:rPr>
        <w:t>在秀洲区</w:t>
      </w:r>
      <w:r>
        <w:rPr>
          <w:rFonts w:hint="eastAsia" w:ascii="微软雅黑" w:hAnsi="微软雅黑" w:eastAsia="微软雅黑" w:cs="微软雅黑"/>
          <w:color w:val="auto"/>
          <w:sz w:val="21"/>
          <w:szCs w:val="21"/>
          <w:highlight w:val="none"/>
        </w:rPr>
        <w:t>有</w:t>
      </w:r>
      <w:r>
        <w:rPr>
          <w:rFonts w:hint="eastAsia" w:ascii="微软雅黑" w:hAnsi="微软雅黑" w:eastAsia="微软雅黑" w:cs="微软雅黑"/>
          <w:color w:val="auto"/>
          <w:sz w:val="21"/>
          <w:szCs w:val="21"/>
          <w:highlight w:val="none"/>
          <w:lang w:val="en-US" w:eastAsia="zh-CN"/>
        </w:rPr>
        <w:t>保障性住房、城市有机更新或全域土地整治</w:t>
      </w:r>
      <w:r>
        <w:rPr>
          <w:rFonts w:hint="eastAsia" w:ascii="微软雅黑" w:hAnsi="微软雅黑" w:eastAsia="微软雅黑" w:cs="微软雅黑"/>
          <w:color w:val="auto"/>
          <w:sz w:val="21"/>
          <w:szCs w:val="21"/>
          <w:highlight w:val="none"/>
        </w:rPr>
        <w:t>服务项目</w:t>
      </w:r>
      <w:r>
        <w:rPr>
          <w:rFonts w:hint="eastAsia" w:ascii="微软雅黑" w:hAnsi="微软雅黑" w:eastAsia="微软雅黑" w:cs="微软雅黑"/>
          <w:color w:val="auto"/>
          <w:sz w:val="21"/>
          <w:szCs w:val="21"/>
          <w:highlight w:val="none"/>
          <w:lang w:eastAsia="zh-CN"/>
        </w:rPr>
        <w:t>的，</w:t>
      </w:r>
      <w:r>
        <w:rPr>
          <w:rFonts w:hint="eastAsia" w:ascii="微软雅黑" w:hAnsi="微软雅黑" w:eastAsia="微软雅黑" w:cs="微软雅黑"/>
          <w:color w:val="auto"/>
          <w:sz w:val="21"/>
          <w:szCs w:val="21"/>
          <w:highlight w:val="none"/>
        </w:rPr>
        <w:t>由竞标人提供</w:t>
      </w:r>
      <w:r>
        <w:rPr>
          <w:rFonts w:hint="eastAsia" w:ascii="微软雅黑" w:hAnsi="微软雅黑" w:eastAsia="微软雅黑" w:cs="微软雅黑"/>
          <w:color w:val="auto"/>
          <w:sz w:val="21"/>
          <w:szCs w:val="21"/>
          <w:highlight w:val="none"/>
          <w:lang w:eastAsia="zh-CN"/>
        </w:rPr>
        <w:t>相应放款证明，发放贷款总额在</w:t>
      </w:r>
      <w:r>
        <w:rPr>
          <w:rFonts w:hint="eastAsia" w:ascii="微软雅黑" w:hAnsi="微软雅黑" w:eastAsia="微软雅黑" w:cs="微软雅黑"/>
          <w:color w:val="auto"/>
          <w:sz w:val="21"/>
          <w:szCs w:val="21"/>
          <w:highlight w:val="none"/>
          <w:lang w:val="en-US" w:eastAsia="zh-CN"/>
        </w:rPr>
        <w:t>5（含）-10（含）亿元的，得1分，</w:t>
      </w:r>
      <w:r>
        <w:rPr>
          <w:rFonts w:hint="eastAsia" w:ascii="微软雅黑" w:hAnsi="微软雅黑" w:eastAsia="微软雅黑" w:cs="微软雅黑"/>
          <w:color w:val="auto"/>
          <w:sz w:val="21"/>
          <w:szCs w:val="21"/>
          <w:highlight w:val="none"/>
          <w:lang w:eastAsia="zh-CN"/>
        </w:rPr>
        <w:t>发放贷款总额在</w:t>
      </w:r>
      <w:r>
        <w:rPr>
          <w:rFonts w:hint="eastAsia" w:ascii="微软雅黑" w:hAnsi="微软雅黑" w:eastAsia="微软雅黑" w:cs="微软雅黑"/>
          <w:color w:val="auto"/>
          <w:sz w:val="21"/>
          <w:szCs w:val="21"/>
          <w:highlight w:val="none"/>
          <w:lang w:val="en-US" w:eastAsia="zh-CN"/>
        </w:rPr>
        <w:t>10-20（含）亿元的，得2分，</w:t>
      </w:r>
      <w:r>
        <w:rPr>
          <w:rFonts w:hint="eastAsia" w:ascii="微软雅黑" w:hAnsi="微软雅黑" w:eastAsia="微软雅黑" w:cs="微软雅黑"/>
          <w:color w:val="auto"/>
          <w:sz w:val="21"/>
          <w:szCs w:val="21"/>
          <w:highlight w:val="none"/>
          <w:lang w:eastAsia="zh-CN"/>
        </w:rPr>
        <w:t>发放贷款总额在</w:t>
      </w:r>
      <w:r>
        <w:rPr>
          <w:rFonts w:hint="eastAsia" w:ascii="微软雅黑" w:hAnsi="微软雅黑" w:eastAsia="微软雅黑" w:cs="微软雅黑"/>
          <w:color w:val="auto"/>
          <w:sz w:val="21"/>
          <w:szCs w:val="21"/>
          <w:highlight w:val="none"/>
          <w:lang w:val="en-US" w:eastAsia="zh-CN"/>
        </w:rPr>
        <w:t>20亿元以上的，得3分，最高得3分。</w:t>
      </w:r>
      <w:r>
        <w:rPr>
          <w:rFonts w:hint="eastAsia" w:ascii="微软雅黑" w:hAnsi="微软雅黑" w:eastAsia="微软雅黑" w:cs="微软雅黑"/>
          <w:b/>
          <w:bCs/>
          <w:color w:val="auto"/>
          <w:sz w:val="21"/>
          <w:szCs w:val="21"/>
          <w:highlight w:val="none"/>
          <w:lang w:val="en-US" w:eastAsia="zh-CN"/>
        </w:rPr>
        <w:t>放款证明须经借款人（秀洲区内国资公司）盖章及其经办人签字后方有效，放款证明格式见附件。如有多份放款证明材料，同一笔贷款数据不可重复提供。</w:t>
      </w:r>
    </w:p>
    <w:bookmarkEnd w:id="121"/>
    <w:p w14:paraId="16598D29">
      <w:pPr>
        <w:spacing w:line="360" w:lineRule="auto"/>
        <w:ind w:left="0" w:leftChars="0" w:firstLine="420" w:firstLineChars="200"/>
        <w:rPr>
          <w:rFonts w:ascii="Cambria" w:hAnsi="Cambria" w:eastAsia="微软雅黑"/>
          <w:b/>
          <w:bCs/>
          <w:color w:val="auto"/>
          <w:sz w:val="32"/>
          <w:szCs w:val="32"/>
          <w:highlight w:val="none"/>
        </w:rPr>
      </w:pPr>
      <w:r>
        <w:rPr>
          <w:rFonts w:hint="eastAsia" w:ascii="微软雅黑" w:hAnsi="微软雅黑" w:eastAsia="微软雅黑"/>
          <w:b/>
          <w:color w:val="auto"/>
          <w:szCs w:val="21"/>
          <w:highlight w:val="none"/>
          <w:lang w:val="en-US" w:eastAsia="zh-CN"/>
        </w:rPr>
        <w:t>三、</w:t>
      </w:r>
      <w:r>
        <w:rPr>
          <w:rFonts w:hint="eastAsia" w:ascii="微软雅黑" w:hAnsi="微软雅黑" w:eastAsia="微软雅黑"/>
          <w:b/>
          <w:color w:val="auto"/>
          <w:szCs w:val="21"/>
          <w:highlight w:val="none"/>
        </w:rPr>
        <w:t>投标银行对数据的真实性负责，若投标银行提供虚假数据的，一经核实，取消本期投标资格。</w:t>
      </w:r>
      <w:bookmarkStart w:id="122" w:name="_Toc9342496"/>
      <w:bookmarkStart w:id="123" w:name="_Toc11650186"/>
    </w:p>
    <w:p w14:paraId="2B8F7880">
      <w:pPr>
        <w:pStyle w:val="36"/>
        <w:rPr>
          <w:rFonts w:hint="eastAsia"/>
          <w:color w:val="auto"/>
          <w:highlight w:val="none"/>
        </w:rPr>
        <w:sectPr>
          <w:pgSz w:w="11907" w:h="16840"/>
          <w:pgMar w:top="1440" w:right="1797" w:bottom="1440" w:left="1797" w:header="851" w:footer="851" w:gutter="0"/>
          <w:cols w:space="425" w:num="1"/>
          <w:titlePg/>
          <w:docGrid w:type="lines" w:linePitch="312" w:charSpace="0"/>
        </w:sectPr>
      </w:pPr>
      <w:bookmarkStart w:id="124" w:name="_Toc98019294"/>
    </w:p>
    <w:p w14:paraId="12394B67">
      <w:pPr>
        <w:pStyle w:val="36"/>
        <w:rPr>
          <w:color w:val="auto"/>
          <w:highlight w:val="none"/>
        </w:rPr>
      </w:pPr>
      <w:r>
        <w:rPr>
          <w:rFonts w:hint="eastAsia"/>
          <w:color w:val="auto"/>
          <w:highlight w:val="none"/>
        </w:rPr>
        <w:t>第五章协议主要条款</w:t>
      </w:r>
      <w:bookmarkEnd w:id="122"/>
      <w:bookmarkEnd w:id="123"/>
      <w:bookmarkEnd w:id="124"/>
    </w:p>
    <w:p w14:paraId="6DD39A5B">
      <w:pPr>
        <w:pStyle w:val="22"/>
        <w:spacing w:beforeLines="0" w:afterLines="0" w:line="360" w:lineRule="auto"/>
        <w:jc w:val="center"/>
        <w:rPr>
          <w:rFonts w:hint="eastAsia" w:ascii="微软雅黑" w:hAnsi="微软雅黑" w:eastAsia="微软雅黑"/>
          <w:b/>
          <w:bCs/>
          <w:color w:val="auto"/>
          <w:kern w:val="44"/>
          <w:sz w:val="21"/>
          <w:highlight w:val="none"/>
        </w:rPr>
      </w:pPr>
      <w:bookmarkStart w:id="125" w:name="_Toc11650188"/>
      <w:r>
        <w:rPr>
          <w:rFonts w:hint="eastAsia" w:ascii="微软雅黑" w:hAnsi="微软雅黑" w:eastAsia="微软雅黑"/>
          <w:b/>
          <w:bCs/>
          <w:color w:val="auto"/>
          <w:kern w:val="44"/>
          <w:sz w:val="21"/>
          <w:highlight w:val="none"/>
          <w:lang w:eastAsia="zh-CN"/>
        </w:rPr>
        <w:t>2025年度（第四期）</w:t>
      </w:r>
      <w:r>
        <w:rPr>
          <w:rFonts w:hint="eastAsia" w:ascii="微软雅黑" w:hAnsi="微软雅黑" w:eastAsia="微软雅黑"/>
          <w:b/>
          <w:bCs/>
          <w:color w:val="auto"/>
          <w:kern w:val="44"/>
          <w:sz w:val="21"/>
          <w:highlight w:val="none"/>
        </w:rPr>
        <w:t>嘉兴市秀洲区住房保障与房地产管理服务中心物业维修资金和物业保修金竞争性存放项目协议书</w:t>
      </w:r>
    </w:p>
    <w:p w14:paraId="07E172B9">
      <w:pPr>
        <w:pStyle w:val="22"/>
        <w:spacing w:beforeLines="0" w:afterLines="0" w:line="360" w:lineRule="auto"/>
        <w:jc w:val="center"/>
        <w:rPr>
          <w:rFonts w:hint="eastAsia" w:ascii="微软雅黑" w:hAnsi="微软雅黑" w:eastAsia="微软雅黑"/>
          <w:b/>
          <w:bCs/>
          <w:color w:val="auto"/>
          <w:kern w:val="44"/>
          <w:sz w:val="21"/>
          <w:szCs w:val="21"/>
          <w:highlight w:val="none"/>
        </w:rPr>
      </w:pPr>
      <w:r>
        <w:rPr>
          <w:rFonts w:hint="eastAsia" w:ascii="微软雅黑" w:hAnsi="微软雅黑" w:eastAsia="微软雅黑" w:cs="微软雅黑"/>
          <w:color w:val="auto"/>
          <w:sz w:val="21"/>
          <w:szCs w:val="21"/>
          <w:highlight w:val="none"/>
        </w:rPr>
        <w:t>（指引，本合同以甲方出具的正式合同条款为准）</w:t>
      </w:r>
    </w:p>
    <w:p w14:paraId="4B48580F">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甲方：嘉兴市秀洲区住房保障与房地产管理服务中心</w:t>
      </w:r>
    </w:p>
    <w:p w14:paraId="727975D2">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乙方： </w:t>
      </w:r>
    </w:p>
    <w:p w14:paraId="0ABC30A4">
      <w:pPr>
        <w:autoSpaceDE w:val="0"/>
        <w:autoSpaceDN w:val="0"/>
        <w:adjustRightInd w:val="0"/>
        <w:spacing w:line="360" w:lineRule="auto"/>
        <w:ind w:firstLine="420" w:firstLineChars="200"/>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rPr>
        <w:t>采购项目</w:t>
      </w:r>
      <w:r>
        <w:rPr>
          <w:rFonts w:hint="eastAsia" w:ascii="微软雅黑" w:hAnsi="微软雅黑" w:eastAsia="微软雅黑"/>
          <w:color w:val="auto"/>
          <w:kern w:val="0"/>
          <w:szCs w:val="21"/>
          <w:highlight w:val="none"/>
        </w:rPr>
        <w:t>（项目编号：＿＿＿＿＿）以＿＿＿＿＿采购方式实施了采购活动。</w:t>
      </w:r>
      <w:r>
        <w:rPr>
          <w:rFonts w:ascii="微软雅黑" w:hAnsi="微软雅黑" w:eastAsia="微软雅黑"/>
          <w:color w:val="auto"/>
          <w:kern w:val="0"/>
          <w:szCs w:val="21"/>
          <w:highlight w:val="none"/>
        </w:rPr>
        <w:t>根据</w:t>
      </w:r>
      <w:r>
        <w:rPr>
          <w:rFonts w:hint="eastAsia" w:ascii="微软雅黑" w:hAnsi="微软雅黑" w:eastAsia="微软雅黑"/>
          <w:color w:val="auto"/>
          <w:kern w:val="0"/>
          <w:szCs w:val="21"/>
          <w:highlight w:val="none"/>
        </w:rPr>
        <w:t>相关法律法规的规定，甲、乙双方同意签署本合同，并共同遵守。该项目相应的招标文件、投标文件和成交通知书为本合同组成部分。</w:t>
      </w:r>
    </w:p>
    <w:p w14:paraId="4AEA1290">
      <w:pPr>
        <w:spacing w:line="360" w:lineRule="auto"/>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一、总则</w:t>
      </w:r>
    </w:p>
    <w:p w14:paraId="4CF0D86F">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（一） 根据《中华人民共和国民法典》，经甲、乙双方平等协商，签订本协议；</w:t>
      </w:r>
    </w:p>
    <w:p w14:paraId="0152FF97">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（二）</w:t>
      </w:r>
      <w:r>
        <w:rPr>
          <w:rFonts w:hint="eastAsia" w:ascii="微软雅黑" w:hAnsi="微软雅黑" w:eastAsia="微软雅黑"/>
          <w:b/>
          <w:bCs/>
          <w:color w:val="auto"/>
          <w:kern w:val="44"/>
          <w:highlight w:val="none"/>
          <w:lang w:eastAsia="zh-CN"/>
        </w:rPr>
        <w:t>2025年度（第四期）</w:t>
      </w:r>
      <w:r>
        <w:rPr>
          <w:rFonts w:hint="eastAsia" w:ascii="微软雅黑" w:hAnsi="微软雅黑" w:eastAsia="微软雅黑"/>
          <w:b/>
          <w:bCs/>
          <w:color w:val="auto"/>
          <w:kern w:val="44"/>
          <w:highlight w:val="none"/>
        </w:rPr>
        <w:t>嘉兴市秀洲区住房保障与房地产管理服务中心物业维修资金和物业保修金竞争性存放项目</w:t>
      </w:r>
      <w:r>
        <w:rPr>
          <w:rFonts w:hint="eastAsia" w:ascii="微软雅黑" w:hAnsi="微软雅黑" w:eastAsia="微软雅黑"/>
          <w:color w:val="auto"/>
          <w:szCs w:val="21"/>
          <w:highlight w:val="none"/>
        </w:rPr>
        <w:t>通过公开招标方式择优确定定期存款银行，其定期存款有关的资金管理、本息收回等活动适用本协议；</w:t>
      </w:r>
    </w:p>
    <w:p w14:paraId="33E35578">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（三）经公开招标确定，甲方在乙方开立定期存款帐户，存入一年期定期存款人民币万元，定期存款年利率</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w:t>
      </w:r>
    </w:p>
    <w:p w14:paraId="09BBFF02">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（四）</w:t>
      </w:r>
      <w:r>
        <w:rPr>
          <w:rFonts w:ascii="微软雅黑" w:hAnsi="微软雅黑" w:eastAsia="微软雅黑"/>
          <w:color w:val="auto"/>
          <w:szCs w:val="21"/>
          <w:highlight w:val="none"/>
        </w:rPr>
        <w:t>由</w:t>
      </w:r>
      <w:r>
        <w:rPr>
          <w:rFonts w:hint="eastAsia" w:ascii="微软雅黑" w:hAnsi="微软雅黑" w:eastAsia="微软雅黑"/>
          <w:color w:val="auto"/>
          <w:szCs w:val="21"/>
          <w:highlight w:val="none"/>
        </w:rPr>
        <w:t>甲方从</w:t>
      </w:r>
      <w:r>
        <w:rPr>
          <w:rFonts w:hint="eastAsia" w:ascii="微软雅黑" w:hAnsi="微软雅黑" w:eastAsia="微软雅黑"/>
          <w:color w:val="auto"/>
          <w:szCs w:val="21"/>
          <w:highlight w:val="none"/>
          <w:u w:val="single"/>
        </w:rPr>
        <w:t xml:space="preserve">                   账户</w:t>
      </w:r>
      <w:r>
        <w:rPr>
          <w:rFonts w:hint="eastAsia" w:ascii="微软雅黑" w:hAnsi="微软雅黑" w:eastAsia="微软雅黑"/>
          <w:color w:val="auto"/>
          <w:szCs w:val="21"/>
          <w:highlight w:val="none"/>
        </w:rPr>
        <w:t>划付资金，起息日为资金到帐日；</w:t>
      </w:r>
    </w:p>
    <w:p w14:paraId="5A2F5D8C">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（五）存款到期日，乙方支付存款利息。利息收款账户为。</w:t>
      </w:r>
    </w:p>
    <w:p w14:paraId="39F4D34F">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户名： </w:t>
      </w:r>
    </w:p>
    <w:p w14:paraId="0EF3DAE0">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账号：</w:t>
      </w:r>
    </w:p>
    <w:p w14:paraId="1A4FE77E">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开户银行：</w:t>
      </w:r>
    </w:p>
    <w:p w14:paraId="76866E80">
      <w:pPr>
        <w:spacing w:line="360" w:lineRule="auto"/>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二、甲方权利与义务</w:t>
      </w:r>
    </w:p>
    <w:p w14:paraId="49E637BE">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（一）甲方权利主要包括：</w:t>
      </w:r>
    </w:p>
    <w:p w14:paraId="19CAD2ED">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1、要求乙方提供存款证明；</w:t>
      </w:r>
    </w:p>
    <w:p w14:paraId="0D573A6F">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2、对乙方资金定期存款业务实施监督管理。</w:t>
      </w:r>
    </w:p>
    <w:p w14:paraId="5D03C083">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（二）甲方的义务主要包括：</w:t>
      </w:r>
    </w:p>
    <w:p w14:paraId="2AB33F39">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1、按规定签发划拨定期存款资金；</w:t>
      </w:r>
    </w:p>
    <w:p w14:paraId="7125EF74">
      <w:pPr>
        <w:spacing w:line="360" w:lineRule="auto"/>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三、乙方权利与义务</w:t>
      </w:r>
    </w:p>
    <w:p w14:paraId="0A527031">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（一）乙方权利主要包括</w:t>
      </w:r>
    </w:p>
    <w:p w14:paraId="6CB3E436">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1、按规定金额存放甲方资金定期存款；</w:t>
      </w:r>
    </w:p>
    <w:p w14:paraId="201B5BF8">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（二）乙方义务主要包括</w:t>
      </w:r>
    </w:p>
    <w:p w14:paraId="6220E43F">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1、按规定为甲方预留印鉴、办理帐户信息备案手续；</w:t>
      </w:r>
    </w:p>
    <w:p w14:paraId="5A3D3F03">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2、向甲方提供存款证明；</w:t>
      </w:r>
    </w:p>
    <w:p w14:paraId="766A561B">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3、存款到期及时足额缴清甲方存款利息；</w:t>
      </w:r>
    </w:p>
    <w:p w14:paraId="25E8A5DF">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4、确保甲方资金定期存款在乙方存续期间的资金安全；</w:t>
      </w:r>
    </w:p>
    <w:p w14:paraId="7AE0DA47">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5、接受甲方及有关方对资金定期存款业务的监督管理。</w:t>
      </w:r>
    </w:p>
    <w:p w14:paraId="35E1C810">
      <w:pPr>
        <w:spacing w:line="360" w:lineRule="auto"/>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四、违约责任</w:t>
      </w:r>
    </w:p>
    <w:p w14:paraId="4413331B">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除发生不可抗力外，违约责任按以下条款执行：</w:t>
      </w:r>
    </w:p>
    <w:p w14:paraId="0F114836">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（一）、乙方未及时向甲方缴清到期存款本息的，应以当期资金定期存款利率的两倍折成日利率，按日向甲方支付违约金；</w:t>
      </w:r>
    </w:p>
    <w:p w14:paraId="4A36FF81">
      <w:pPr>
        <w:spacing w:line="360" w:lineRule="auto"/>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（二）、乙方有下列情形之一的，甲方有权提前收回定期存款以及取消乙方在以后各期的竞争性存放投标资格：</w:t>
      </w:r>
    </w:p>
    <w:p w14:paraId="497F3EB3">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1、未遵守廉政承诺或在资金存放中存在其他利益输送行为的；</w:t>
      </w:r>
    </w:p>
    <w:p w14:paraId="6A9D1FE3">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2、出现资金安全事故或重大违法违规情况或财务恶化的；</w:t>
      </w:r>
    </w:p>
    <w:p w14:paraId="7E2E17A6">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3、监管评级降低，监管部门认为存在较大运营风险的；</w:t>
      </w:r>
    </w:p>
    <w:p w14:paraId="4D85864E">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4、存在弄虚作假等严重不正当竞标行为的；</w:t>
      </w:r>
    </w:p>
    <w:p w14:paraId="15B4C851">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5、未按照中标协议承诺履行相应的责任和义务的；</w:t>
      </w:r>
    </w:p>
    <w:p w14:paraId="17D1FE82">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6、未按规定将到期存款本息足额缴入单位账户的；</w:t>
      </w:r>
    </w:p>
    <w:p w14:paraId="4B8992A0">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7、可能妨碍资金安全的其他情况</w:t>
      </w:r>
    </w:p>
    <w:p w14:paraId="796A0203">
      <w:pPr>
        <w:snapToGrid w:val="0"/>
        <w:spacing w:line="360" w:lineRule="auto"/>
        <w:ind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color w:val="auto"/>
          <w:szCs w:val="21"/>
          <w:highlight w:val="none"/>
        </w:rPr>
        <w:t>（三）乙方在收到中标通知书后5个工作日内</w:t>
      </w:r>
      <w:r>
        <w:rPr>
          <w:rFonts w:hint="eastAsia" w:ascii="微软雅黑" w:hAnsi="微软雅黑" w:eastAsia="微软雅黑"/>
          <w:b/>
          <w:bCs/>
          <w:color w:val="auto"/>
          <w:szCs w:val="21"/>
          <w:highlight w:val="none"/>
        </w:rPr>
        <w:t>完成存款手续，否则视为违约，甲方有权收回乙方中标的存放资金。</w:t>
      </w:r>
    </w:p>
    <w:p w14:paraId="26BB9939">
      <w:pPr>
        <w:spacing w:line="360" w:lineRule="auto"/>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五、提前支取：</w:t>
      </w:r>
    </w:p>
    <w:p w14:paraId="203F54E3">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经与乙方协商，甲方有权在到期日前提前支取资金定期存款，甲方至少在3 个工作日前通知乙方，提前支取金额按支取时国家有关利率政策规定计付利息，存续金额仍按原起息日、期限及存款利率计付利息。</w:t>
      </w:r>
    </w:p>
    <w:p w14:paraId="6F301386">
      <w:pPr>
        <w:spacing w:line="360" w:lineRule="auto"/>
        <w:ind w:left="0" w:leftChars="0" w:firstLine="420" w:firstLineChars="200"/>
        <w:rPr>
          <w:rFonts w:hint="eastAsia" w:ascii="微软雅黑" w:hAnsi="微软雅黑" w:eastAsia="微软雅黑"/>
          <w:b w:val="0"/>
          <w:bCs/>
          <w:color w:val="auto"/>
          <w:szCs w:val="21"/>
          <w:highlight w:val="none"/>
          <w:lang w:eastAsia="zh-CN"/>
        </w:rPr>
      </w:pPr>
      <w:r>
        <w:rPr>
          <w:rFonts w:hint="eastAsia" w:ascii="微软雅黑" w:hAnsi="微软雅黑" w:eastAsia="微软雅黑"/>
          <w:b w:val="0"/>
          <w:bCs/>
          <w:color w:val="auto"/>
          <w:szCs w:val="21"/>
          <w:highlight w:val="none"/>
        </w:rPr>
        <w:t>六、 协议有效期内，若利率相关的法律法规、规章政策调整，或中国人民银行存款基准利率、存款自律约定、银行总行存款利率内部授权上限等发生调整（银行存款利率内部授权上限调整，是指银行为满足国家宏观调控目标要求或落实存款利率市场化调整机制要求等，对本行可执行的内部授权上限进行的具有主动性、自律性、普遍性的调整），导致协议约定的利率水平超出允许范围，乙方应在按本协议约定存款业务开办前及时书面通知甲方银行存款利率调整情况。甲方有权提前终止本协议，并以书面形式告知。若甲方选择继续执行本协议，则自相应调整生效当日起，新办理存款业务执行利率按最新允许范围上限的利率执行</w:t>
      </w:r>
      <w:r>
        <w:rPr>
          <w:rFonts w:hint="eastAsia" w:ascii="微软雅黑" w:hAnsi="微软雅黑" w:eastAsia="微软雅黑"/>
          <w:b w:val="0"/>
          <w:bCs/>
          <w:color w:val="auto"/>
          <w:szCs w:val="21"/>
          <w:highlight w:val="none"/>
          <w:lang w:eastAsia="zh-CN"/>
        </w:rPr>
        <w:t>。</w:t>
      </w:r>
    </w:p>
    <w:p w14:paraId="5D2067B7">
      <w:pPr>
        <w:spacing w:line="360" w:lineRule="auto"/>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lang w:val="en-US" w:eastAsia="zh-CN"/>
        </w:rPr>
        <w:t>七、</w:t>
      </w:r>
      <w:r>
        <w:rPr>
          <w:rFonts w:hint="eastAsia" w:ascii="微软雅黑" w:hAnsi="微软雅黑" w:eastAsia="微软雅黑"/>
          <w:b/>
          <w:color w:val="auto"/>
          <w:szCs w:val="21"/>
          <w:highlight w:val="none"/>
        </w:rPr>
        <w:t>协议期限</w:t>
      </w:r>
    </w:p>
    <w:p w14:paraId="7B6C647D">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本协议期限为：</w:t>
      </w:r>
      <w:r>
        <w:rPr>
          <w:rFonts w:hint="eastAsia" w:ascii="微软雅黑" w:hAnsi="微软雅黑" w:eastAsia="微软雅黑"/>
          <w:b/>
          <w:color w:val="auto"/>
          <w:szCs w:val="21"/>
          <w:highlight w:val="none"/>
          <w:u w:val="single"/>
        </w:rPr>
        <w:t>一年期</w:t>
      </w:r>
      <w:r>
        <w:rPr>
          <w:rFonts w:hint="eastAsia" w:ascii="微软雅黑" w:hAnsi="微软雅黑" w:eastAsia="微软雅黑"/>
          <w:color w:val="auto"/>
          <w:szCs w:val="21"/>
          <w:highlight w:val="none"/>
        </w:rPr>
        <w:t>，自年月日起至</w:t>
      </w:r>
      <w:r>
        <w:rPr>
          <w:rFonts w:hint="eastAsia" w:ascii="微软雅黑" w:hAnsi="微软雅黑" w:eastAsia="微软雅黑"/>
          <w:color w:val="auto"/>
          <w:szCs w:val="21"/>
          <w:highlight w:val="none"/>
          <w:u w:val="single"/>
          <w:lang w:val="en-US" w:eastAsia="zh-CN"/>
        </w:rPr>
        <w:t xml:space="preserve">   </w:t>
      </w:r>
      <w:r>
        <w:rPr>
          <w:rFonts w:hint="eastAsia" w:ascii="微软雅黑" w:hAnsi="微软雅黑" w:eastAsia="微软雅黑"/>
          <w:color w:val="auto"/>
          <w:szCs w:val="21"/>
          <w:highlight w:val="none"/>
          <w:lang w:val="en-US" w:eastAsia="zh-CN"/>
        </w:rPr>
        <w:t xml:space="preserve"> </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u w:val="single"/>
          <w:lang w:val="en-US" w:eastAsia="zh-CN"/>
        </w:rPr>
        <w:t xml:space="preserve">   </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u w:val="single"/>
          <w:lang w:val="en-US" w:eastAsia="zh-CN"/>
        </w:rPr>
        <w:t xml:space="preserve">   </w:t>
      </w:r>
      <w:r>
        <w:rPr>
          <w:rFonts w:hint="eastAsia" w:ascii="微软雅黑" w:hAnsi="微软雅黑" w:eastAsia="微软雅黑"/>
          <w:color w:val="auto"/>
          <w:szCs w:val="21"/>
          <w:highlight w:val="none"/>
        </w:rPr>
        <w:t>日止。</w:t>
      </w:r>
    </w:p>
    <w:p w14:paraId="13A5DCC2">
      <w:pPr>
        <w:spacing w:line="360" w:lineRule="auto"/>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lang w:val="en-US" w:eastAsia="zh-CN"/>
        </w:rPr>
        <w:t>八</w:t>
      </w:r>
      <w:r>
        <w:rPr>
          <w:rFonts w:hint="eastAsia" w:ascii="微软雅黑" w:hAnsi="微软雅黑" w:eastAsia="微软雅黑"/>
          <w:b/>
          <w:color w:val="auto"/>
          <w:szCs w:val="21"/>
          <w:highlight w:val="none"/>
        </w:rPr>
        <w:t>、 本合同未尽事宜，经甲、乙双方协商一致，订立补充协议。</w:t>
      </w:r>
    </w:p>
    <w:p w14:paraId="505BCC6D">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补充协议为本合同不可分割的部分，具有同等法律效力。</w:t>
      </w:r>
    </w:p>
    <w:p w14:paraId="42B0094E">
      <w:pPr>
        <w:spacing w:line="360" w:lineRule="auto"/>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lang w:val="en-US" w:eastAsia="zh-CN"/>
        </w:rPr>
        <w:t>九</w:t>
      </w:r>
      <w:r>
        <w:rPr>
          <w:rFonts w:hint="eastAsia" w:ascii="微软雅黑" w:hAnsi="微软雅黑" w:eastAsia="微软雅黑"/>
          <w:b/>
          <w:color w:val="auto"/>
          <w:szCs w:val="21"/>
          <w:highlight w:val="none"/>
        </w:rPr>
        <w:t>、 本合同一式四份，甲方执二份，乙方执二份，经双方代表签字、盖章后即生效。</w:t>
      </w:r>
    </w:p>
    <w:p w14:paraId="28775464">
      <w:pPr>
        <w:snapToGrid w:val="0"/>
        <w:spacing w:line="360" w:lineRule="auto"/>
        <w:ind w:left="403" w:leftChars="192"/>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甲方：                                乙方：      </w:t>
      </w:r>
    </w:p>
    <w:p w14:paraId="1D51298C">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代表：                                代表：</w:t>
      </w:r>
    </w:p>
    <w:p w14:paraId="58BFDC33">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邮编：                                邮编：</w:t>
      </w:r>
    </w:p>
    <w:p w14:paraId="410E8ABA">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电话                                  电话：</w:t>
      </w:r>
    </w:p>
    <w:p w14:paraId="055C831B">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传真：                                传真：</w:t>
      </w:r>
    </w:p>
    <w:p w14:paraId="5CD58B12">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地址:                                 地址:</w:t>
      </w:r>
    </w:p>
    <w:p w14:paraId="7680C97F">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帐号：                                帐号：</w:t>
      </w:r>
    </w:p>
    <w:p w14:paraId="4EE76DA7">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开户行：                              开户行：</w:t>
      </w:r>
    </w:p>
    <w:p w14:paraId="600233AA">
      <w:pPr>
        <w:snapToGrid w:val="0"/>
        <w:spacing w:line="360" w:lineRule="auto"/>
        <w:ind w:firstLine="210" w:firstLineChars="1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年  月  日                           年  月  日</w:t>
      </w:r>
    </w:p>
    <w:p w14:paraId="65D6830E">
      <w:pPr>
        <w:spacing w:line="540" w:lineRule="exact"/>
        <w:jc w:val="center"/>
        <w:rPr>
          <w:rFonts w:hint="eastAsia" w:ascii="微软雅黑" w:hAnsi="微软雅黑" w:eastAsia="微软雅黑" w:cs="方正小标宋简体"/>
          <w:b/>
          <w:bCs/>
          <w:color w:val="auto"/>
          <w:szCs w:val="21"/>
          <w:highlight w:val="none"/>
        </w:rPr>
        <w:sectPr>
          <w:pgSz w:w="11907" w:h="16840"/>
          <w:pgMar w:top="1440" w:right="1797" w:bottom="1440" w:left="1797" w:header="851" w:footer="851" w:gutter="0"/>
          <w:cols w:space="425" w:num="1"/>
          <w:titlePg/>
          <w:docGrid w:type="lines" w:linePitch="312" w:charSpace="0"/>
        </w:sectPr>
      </w:pPr>
    </w:p>
    <w:p w14:paraId="2691B4C9">
      <w:pPr>
        <w:spacing w:line="540" w:lineRule="exact"/>
        <w:jc w:val="center"/>
        <w:rPr>
          <w:rFonts w:hint="eastAsia" w:ascii="微软雅黑" w:hAnsi="微软雅黑" w:eastAsia="微软雅黑" w:cs="方正小标宋简体"/>
          <w:b/>
          <w:bCs/>
          <w:color w:val="auto"/>
          <w:szCs w:val="21"/>
          <w:highlight w:val="none"/>
        </w:rPr>
      </w:pPr>
      <w:r>
        <w:rPr>
          <w:rFonts w:hint="eastAsia" w:ascii="微软雅黑" w:hAnsi="微软雅黑" w:eastAsia="微软雅黑" w:cs="方正小标宋简体"/>
          <w:b/>
          <w:bCs/>
          <w:color w:val="auto"/>
          <w:szCs w:val="21"/>
          <w:highlight w:val="none"/>
        </w:rPr>
        <w:t>廉政承诺书</w:t>
      </w:r>
    </w:p>
    <w:p w14:paraId="6C203B98">
      <w:pPr>
        <w:spacing w:line="540" w:lineRule="exact"/>
        <w:jc w:val="center"/>
        <w:rPr>
          <w:rFonts w:hint="eastAsia" w:ascii="微软雅黑" w:hAnsi="微软雅黑" w:eastAsia="微软雅黑" w:cs="仿宋_GB2312"/>
          <w:color w:val="auto"/>
          <w:szCs w:val="21"/>
          <w:highlight w:val="none"/>
        </w:rPr>
      </w:pPr>
    </w:p>
    <w:p w14:paraId="49289483">
      <w:pPr>
        <w:topLinePunct/>
        <w:spacing w:line="560" w:lineRule="exact"/>
        <w:rPr>
          <w:rFonts w:hint="eastAsia" w:ascii="微软雅黑" w:hAnsi="微软雅黑" w:eastAsia="微软雅黑"/>
          <w:color w:val="auto"/>
          <w:highlight w:val="none"/>
        </w:rPr>
      </w:pPr>
      <w:r>
        <w:rPr>
          <w:rFonts w:ascii="微软雅黑" w:hAnsi="微软雅黑" w:eastAsia="微软雅黑"/>
          <w:color w:val="auto"/>
          <w:highlight w:val="none"/>
          <w:u w:val="single"/>
        </w:rPr>
        <w:t xml:space="preserve">     </w:t>
      </w:r>
      <w:r>
        <w:rPr>
          <w:rFonts w:hint="eastAsia" w:ascii="微软雅黑" w:hAnsi="微软雅黑" w:eastAsia="微软雅黑"/>
          <w:color w:val="auto"/>
          <w:highlight w:val="none"/>
          <w:u w:val="single"/>
        </w:rPr>
        <w:t xml:space="preserve">    </w:t>
      </w:r>
      <w:r>
        <w:rPr>
          <w:rFonts w:ascii="微软雅黑" w:hAnsi="微软雅黑" w:eastAsia="微软雅黑"/>
          <w:color w:val="auto"/>
          <w:highlight w:val="none"/>
          <w:u w:val="single"/>
        </w:rPr>
        <w:t xml:space="preserve">   </w:t>
      </w:r>
      <w:r>
        <w:rPr>
          <w:rFonts w:hint="eastAsia" w:ascii="微软雅黑" w:hAnsi="微软雅黑" w:eastAsia="微软雅黑"/>
          <w:color w:val="auto"/>
          <w:highlight w:val="none"/>
        </w:rPr>
        <w:t>部门（单位）：</w:t>
      </w:r>
    </w:p>
    <w:p w14:paraId="4B6BA89B">
      <w:pPr>
        <w:topLinePunct/>
        <w:spacing w:line="560" w:lineRule="exact"/>
        <w:rPr>
          <w:rFonts w:hint="eastAsia" w:ascii="微软雅黑" w:hAnsi="微软雅黑" w:eastAsia="微软雅黑"/>
          <w:color w:val="auto"/>
          <w:highlight w:val="none"/>
        </w:rPr>
      </w:pPr>
      <w:r>
        <w:rPr>
          <w:rFonts w:ascii="微软雅黑" w:hAnsi="微软雅黑" w:eastAsia="微软雅黑"/>
          <w:color w:val="auto"/>
          <w:highlight w:val="none"/>
        </w:rPr>
        <w:t xml:space="preserve">    </w:t>
      </w:r>
      <w:r>
        <w:rPr>
          <w:rFonts w:hint="eastAsia" w:ascii="微软雅黑" w:hAnsi="微软雅黑" w:eastAsia="微软雅黑"/>
          <w:color w:val="auto"/>
          <w:highlight w:val="none"/>
        </w:rPr>
        <w:t>根据《秀洲区区级财政部门和行政事业单位资金竞争性存放管理办法》（秀洲财执库〔2018〕239号）相关规定，现就本行参加贵单位</w:t>
      </w:r>
      <w:r>
        <w:rPr>
          <w:rFonts w:hint="eastAsia" w:ascii="微软雅黑" w:hAnsi="微软雅黑" w:eastAsia="微软雅黑"/>
          <w:color w:val="auto"/>
          <w:highlight w:val="none"/>
          <w:u w:val="single"/>
          <w:lang w:eastAsia="zh-CN"/>
        </w:rPr>
        <w:t>2025年度（第四期）</w:t>
      </w:r>
      <w:r>
        <w:rPr>
          <w:rFonts w:hint="eastAsia" w:ascii="微软雅黑" w:hAnsi="微软雅黑" w:eastAsia="微软雅黑"/>
          <w:color w:val="auto"/>
          <w:highlight w:val="none"/>
          <w:u w:val="single"/>
        </w:rPr>
        <w:t>嘉兴市秀洲区住房保障与房地产管理服务中心物业维修资金和物业保修金竞争性存放项目</w:t>
      </w:r>
      <w:r>
        <w:rPr>
          <w:rFonts w:hint="eastAsia" w:ascii="微软雅黑" w:hAnsi="微软雅黑" w:eastAsia="微软雅黑"/>
          <w:color w:val="auto"/>
          <w:highlight w:val="none"/>
        </w:rPr>
        <w:t>作出如下承诺：</w:t>
      </w:r>
    </w:p>
    <w:p w14:paraId="3E942F34">
      <w:pPr>
        <w:topLinePunct/>
        <w:spacing w:line="560" w:lineRule="exact"/>
        <w:rPr>
          <w:rFonts w:hint="eastAsia" w:ascii="微软雅黑" w:hAnsi="微软雅黑" w:eastAsia="微软雅黑"/>
          <w:color w:val="auto"/>
          <w:highlight w:val="none"/>
        </w:rPr>
      </w:pPr>
      <w:r>
        <w:rPr>
          <w:rFonts w:ascii="微软雅黑" w:hAnsi="微软雅黑" w:eastAsia="微软雅黑"/>
          <w:color w:val="auto"/>
          <w:highlight w:val="none"/>
        </w:rPr>
        <w:t xml:space="preserve">    1</w:t>
      </w:r>
      <w:r>
        <w:rPr>
          <w:rFonts w:hint="eastAsia" w:ascii="微软雅黑" w:hAnsi="微软雅黑" w:eastAsia="微软雅黑"/>
          <w:color w:val="auto"/>
          <w:highlight w:val="none"/>
        </w:rPr>
        <w:t>、不向贵部门（单位）负责资金存放管理的领导及相关人员进行利益输送；</w:t>
      </w:r>
    </w:p>
    <w:p w14:paraId="342BF9FD">
      <w:pPr>
        <w:topLinePunct/>
        <w:spacing w:line="560" w:lineRule="exact"/>
        <w:ind w:firstLine="420" w:firstLineChars="200"/>
        <w:rPr>
          <w:rFonts w:hint="eastAsia" w:ascii="微软雅黑" w:hAnsi="微软雅黑" w:eastAsia="微软雅黑"/>
          <w:color w:val="auto"/>
          <w:highlight w:val="none"/>
        </w:rPr>
      </w:pPr>
      <w:r>
        <w:rPr>
          <w:rFonts w:ascii="微软雅黑" w:hAnsi="微软雅黑" w:eastAsia="微软雅黑"/>
          <w:color w:val="auto"/>
          <w:highlight w:val="none"/>
        </w:rPr>
        <w:t>2</w:t>
      </w:r>
      <w:r>
        <w:rPr>
          <w:rFonts w:hint="eastAsia" w:ascii="微软雅黑" w:hAnsi="微软雅黑" w:eastAsia="微软雅黑"/>
          <w:color w:val="auto"/>
          <w:highlight w:val="none"/>
        </w:rPr>
        <w:t>、不将资金存放与贵部门（单位）负责资金存放管理的领导及相关人员在本行的配偶、子女及其配偶和其他直接利益相关人员的业绩、收入、晋升等利益挂钩；</w:t>
      </w:r>
    </w:p>
    <w:p w14:paraId="1E9D1C3C">
      <w:pPr>
        <w:topLinePunct/>
        <w:spacing w:line="560" w:lineRule="exact"/>
        <w:ind w:firstLine="420" w:firstLineChars="200"/>
        <w:rPr>
          <w:rFonts w:hint="eastAsia" w:ascii="微软雅黑" w:hAnsi="微软雅黑" w:eastAsia="微软雅黑"/>
          <w:color w:val="auto"/>
          <w:highlight w:val="none"/>
        </w:rPr>
      </w:pPr>
      <w:r>
        <w:rPr>
          <w:rFonts w:ascii="微软雅黑" w:hAnsi="微软雅黑" w:eastAsia="微软雅黑"/>
          <w:color w:val="auto"/>
          <w:highlight w:val="none"/>
        </w:rPr>
        <w:t>3</w:t>
      </w:r>
      <w:r>
        <w:rPr>
          <w:rFonts w:hint="eastAsia" w:ascii="微软雅黑" w:hAnsi="微软雅黑" w:eastAsia="微软雅黑"/>
          <w:color w:val="auto"/>
          <w:highlight w:val="none"/>
        </w:rPr>
        <w:t>、各主管部门自行组织或委托招标代理机构组织实施资金竞争性存放的，严格执行利益回避制度，贵部门（单位）负责资金竞争性存放相关人员的配偶、子女及其配偶和其他直接利益相关人员为本行工作人员的，不参与资金竞争性存放工作；</w:t>
      </w:r>
    </w:p>
    <w:p w14:paraId="43EEF5B3">
      <w:pPr>
        <w:topLinePunct/>
        <w:spacing w:line="560" w:lineRule="exact"/>
        <w:rPr>
          <w:rFonts w:hint="eastAsia" w:ascii="微软雅黑" w:hAnsi="微软雅黑" w:eastAsia="微软雅黑"/>
          <w:color w:val="auto"/>
          <w:highlight w:val="none"/>
        </w:rPr>
      </w:pPr>
      <w:r>
        <w:rPr>
          <w:rFonts w:ascii="微软雅黑" w:hAnsi="微软雅黑" w:eastAsia="微软雅黑"/>
          <w:color w:val="auto"/>
          <w:highlight w:val="none"/>
        </w:rPr>
        <w:t xml:space="preserve">    4</w:t>
      </w:r>
      <w:r>
        <w:rPr>
          <w:rFonts w:hint="eastAsia" w:ascii="微软雅黑" w:hAnsi="微软雅黑" w:eastAsia="微软雅黑"/>
          <w:color w:val="auto"/>
          <w:highlight w:val="none"/>
        </w:rPr>
        <w:t>、不发生除上述行为之外的其他任何利益输送行为。</w:t>
      </w:r>
    </w:p>
    <w:p w14:paraId="5E4B8D07">
      <w:pPr>
        <w:topLinePunct/>
        <w:spacing w:line="560" w:lineRule="exact"/>
        <w:ind w:firstLine="630"/>
        <w:rPr>
          <w:rFonts w:hint="eastAsia" w:ascii="微软雅黑" w:hAnsi="微软雅黑" w:eastAsia="微软雅黑"/>
          <w:color w:val="auto"/>
          <w:highlight w:val="none"/>
        </w:rPr>
      </w:pPr>
      <w:r>
        <w:rPr>
          <w:rFonts w:hint="eastAsia" w:ascii="微软雅黑" w:hAnsi="微软雅黑" w:eastAsia="微软雅黑"/>
          <w:color w:val="auto"/>
          <w:highlight w:val="none"/>
        </w:rPr>
        <w:t>未遵守以上承诺的，本行自愿接受财政部门通报和处理，承担相应的一切后果。</w:t>
      </w:r>
    </w:p>
    <w:p w14:paraId="61C1B616">
      <w:pPr>
        <w:topLinePunct/>
        <w:spacing w:line="560" w:lineRule="exact"/>
        <w:ind w:firstLine="630"/>
        <w:rPr>
          <w:rFonts w:hint="eastAsia" w:ascii="微软雅黑" w:hAnsi="微软雅黑" w:eastAsia="微软雅黑"/>
          <w:color w:val="auto"/>
          <w:highlight w:val="none"/>
        </w:rPr>
      </w:pPr>
    </w:p>
    <w:p w14:paraId="40EB9957">
      <w:pPr>
        <w:topLinePunct/>
        <w:spacing w:line="560" w:lineRule="exact"/>
        <w:ind w:firstLine="630"/>
        <w:rPr>
          <w:rFonts w:hint="eastAsia" w:ascii="微软雅黑" w:hAnsi="微软雅黑" w:eastAsia="微软雅黑"/>
          <w:color w:val="auto"/>
          <w:highlight w:val="none"/>
        </w:rPr>
      </w:pPr>
    </w:p>
    <w:p w14:paraId="38F40E71">
      <w:pPr>
        <w:topLinePunct/>
        <w:spacing w:line="560" w:lineRule="exact"/>
        <w:jc w:val="right"/>
        <w:rPr>
          <w:rFonts w:hint="eastAsia" w:ascii="微软雅黑" w:hAnsi="微软雅黑" w:eastAsia="微软雅黑"/>
          <w:color w:val="auto"/>
          <w:highlight w:val="none"/>
        </w:rPr>
      </w:pPr>
      <w:r>
        <w:rPr>
          <w:rFonts w:ascii="微软雅黑" w:hAnsi="微软雅黑" w:eastAsia="微软雅黑"/>
          <w:color w:val="auto"/>
          <w:highlight w:val="none"/>
        </w:rPr>
        <w:t xml:space="preserve">                                    </w:t>
      </w:r>
      <w:r>
        <w:rPr>
          <w:rFonts w:ascii="微软雅黑" w:hAnsi="微软雅黑" w:eastAsia="微软雅黑"/>
          <w:color w:val="auto"/>
          <w:highlight w:val="none"/>
          <w:u w:val="single"/>
        </w:rPr>
        <w:t xml:space="preserve">      </w:t>
      </w:r>
      <w:r>
        <w:rPr>
          <w:rFonts w:hint="eastAsia" w:ascii="微软雅黑" w:hAnsi="微软雅黑" w:eastAsia="微软雅黑"/>
          <w:color w:val="auto"/>
          <w:highlight w:val="none"/>
        </w:rPr>
        <w:t>银行（公章）</w:t>
      </w:r>
    </w:p>
    <w:p w14:paraId="687D0108">
      <w:pPr>
        <w:pStyle w:val="36"/>
        <w:outlineLvl w:val="9"/>
        <w:rPr>
          <w:b w:val="0"/>
          <w:color w:val="auto"/>
          <w:sz w:val="21"/>
          <w:szCs w:val="21"/>
          <w:highlight w:val="none"/>
        </w:rPr>
      </w:pPr>
      <w:r>
        <w:rPr>
          <w:rFonts w:ascii="微软雅黑" w:hAnsi="微软雅黑"/>
          <w:color w:val="auto"/>
          <w:highlight w:val="none"/>
        </w:rPr>
        <w:t xml:space="preserve">                                      </w:t>
      </w:r>
      <w:r>
        <w:rPr>
          <w:rFonts w:ascii="微软雅黑" w:hAnsi="微软雅黑"/>
          <w:b w:val="0"/>
          <w:color w:val="auto"/>
          <w:sz w:val="21"/>
          <w:szCs w:val="21"/>
          <w:highlight w:val="none"/>
        </w:rPr>
        <w:t xml:space="preserve"> </w:t>
      </w:r>
      <w:r>
        <w:rPr>
          <w:rFonts w:ascii="微软雅黑" w:hAnsi="微软雅黑"/>
          <w:b w:val="0"/>
          <w:color w:val="auto"/>
          <w:sz w:val="21"/>
          <w:szCs w:val="21"/>
          <w:highlight w:val="none"/>
          <w:u w:val="single"/>
        </w:rPr>
        <w:t xml:space="preserve">  </w:t>
      </w:r>
      <w:r>
        <w:rPr>
          <w:rFonts w:hint="eastAsia" w:ascii="微软雅黑" w:hAnsi="微软雅黑"/>
          <w:b w:val="0"/>
          <w:color w:val="auto"/>
          <w:sz w:val="21"/>
          <w:szCs w:val="21"/>
          <w:highlight w:val="none"/>
        </w:rPr>
        <w:t>年</w:t>
      </w:r>
      <w:r>
        <w:rPr>
          <w:rFonts w:ascii="微软雅黑" w:hAnsi="微软雅黑"/>
          <w:b w:val="0"/>
          <w:color w:val="auto"/>
          <w:sz w:val="21"/>
          <w:szCs w:val="21"/>
          <w:highlight w:val="none"/>
          <w:u w:val="single"/>
        </w:rPr>
        <w:t xml:space="preserve">  </w:t>
      </w:r>
      <w:r>
        <w:rPr>
          <w:rFonts w:hint="eastAsia" w:ascii="微软雅黑" w:hAnsi="微软雅黑"/>
          <w:b w:val="0"/>
          <w:color w:val="auto"/>
          <w:sz w:val="21"/>
          <w:szCs w:val="21"/>
          <w:highlight w:val="none"/>
        </w:rPr>
        <w:t>月</w:t>
      </w:r>
      <w:r>
        <w:rPr>
          <w:rFonts w:ascii="微软雅黑" w:hAnsi="微软雅黑"/>
          <w:b w:val="0"/>
          <w:color w:val="auto"/>
          <w:sz w:val="21"/>
          <w:szCs w:val="21"/>
          <w:highlight w:val="none"/>
          <w:u w:val="single"/>
        </w:rPr>
        <w:t xml:space="preserve">  </w:t>
      </w:r>
      <w:r>
        <w:rPr>
          <w:rFonts w:hint="eastAsia" w:ascii="微软雅黑" w:hAnsi="微软雅黑"/>
          <w:b w:val="0"/>
          <w:color w:val="auto"/>
          <w:sz w:val="21"/>
          <w:szCs w:val="21"/>
          <w:highlight w:val="none"/>
        </w:rPr>
        <w:t>日</w:t>
      </w:r>
    </w:p>
    <w:p w14:paraId="7076DD84">
      <w:pPr>
        <w:pStyle w:val="36"/>
        <w:outlineLvl w:val="9"/>
        <w:rPr>
          <w:color w:val="auto"/>
          <w:highlight w:val="none"/>
        </w:rPr>
      </w:pPr>
    </w:p>
    <w:p w14:paraId="75F94A2E">
      <w:pPr>
        <w:pStyle w:val="36"/>
        <w:outlineLvl w:val="9"/>
        <w:rPr>
          <w:color w:val="auto"/>
          <w:highlight w:val="none"/>
        </w:rPr>
      </w:pPr>
    </w:p>
    <w:p w14:paraId="3AF11BB9">
      <w:pPr>
        <w:pStyle w:val="36"/>
        <w:outlineLvl w:val="9"/>
        <w:rPr>
          <w:color w:val="auto"/>
          <w:highlight w:val="none"/>
        </w:rPr>
      </w:pPr>
    </w:p>
    <w:p w14:paraId="00F7FBDE">
      <w:pPr>
        <w:pStyle w:val="36"/>
        <w:outlineLvl w:val="9"/>
        <w:rPr>
          <w:color w:val="auto"/>
          <w:highlight w:val="none"/>
        </w:rPr>
        <w:sectPr>
          <w:pgSz w:w="11907" w:h="16840"/>
          <w:pgMar w:top="1440" w:right="1797" w:bottom="1440" w:left="1797" w:header="851" w:footer="851" w:gutter="0"/>
          <w:cols w:space="425" w:num="1"/>
          <w:titlePg/>
          <w:docGrid w:type="lines" w:linePitch="312" w:charSpace="0"/>
        </w:sectPr>
      </w:pPr>
    </w:p>
    <w:p w14:paraId="5DF93591">
      <w:pPr>
        <w:pStyle w:val="36"/>
        <w:rPr>
          <w:color w:val="auto"/>
          <w:highlight w:val="none"/>
        </w:rPr>
      </w:pPr>
      <w:bookmarkStart w:id="126" w:name="_Toc98019297"/>
      <w:r>
        <w:rPr>
          <w:rFonts w:hint="eastAsia"/>
          <w:color w:val="auto"/>
          <w:highlight w:val="none"/>
        </w:rPr>
        <w:t>第六章　投标文件格式</w:t>
      </w:r>
      <w:bookmarkEnd w:id="125"/>
      <w:bookmarkEnd w:id="126"/>
    </w:p>
    <w:p w14:paraId="009FA233">
      <w:pPr>
        <w:snapToGrid w:val="0"/>
        <w:spacing w:before="50" w:after="50"/>
        <w:rPr>
          <w:rFonts w:hint="eastAsia" w:ascii="微软雅黑" w:hAnsi="微软雅黑" w:eastAsia="微软雅黑"/>
          <w:color w:val="auto"/>
          <w:szCs w:val="21"/>
          <w:highlight w:val="none"/>
        </w:rPr>
      </w:pPr>
    </w:p>
    <w:p w14:paraId="6260DAED">
      <w:pPr>
        <w:snapToGrid w:val="0"/>
        <w:spacing w:before="156" w:beforeLines="50" w:after="50"/>
        <w:outlineLvl w:val="1"/>
        <w:rPr>
          <w:rFonts w:hint="eastAsia" w:ascii="微软雅黑" w:hAnsi="微软雅黑" w:eastAsia="微软雅黑"/>
          <w:b/>
          <w:bCs/>
          <w:color w:val="auto"/>
          <w:szCs w:val="21"/>
          <w:highlight w:val="none"/>
        </w:rPr>
      </w:pPr>
      <w:bookmarkStart w:id="127" w:name="_Toc11650189"/>
      <w:bookmarkStart w:id="128" w:name="_Toc9342498"/>
      <w:bookmarkStart w:id="129" w:name="_Toc98019298"/>
      <w:r>
        <w:rPr>
          <w:rFonts w:hint="eastAsia" w:ascii="微软雅黑" w:hAnsi="微软雅黑" w:eastAsia="微软雅黑"/>
          <w:b/>
          <w:bCs/>
          <w:color w:val="auto"/>
          <w:szCs w:val="21"/>
          <w:highlight w:val="none"/>
        </w:rPr>
        <w:t>一、投标文件外层包装封面格式</w:t>
      </w:r>
      <w:bookmarkEnd w:id="127"/>
      <w:bookmarkEnd w:id="128"/>
      <w:bookmarkEnd w:id="129"/>
    </w:p>
    <w:p w14:paraId="164348EA">
      <w:pPr>
        <w:snapToGrid w:val="0"/>
        <w:spacing w:before="156" w:beforeLines="50" w:after="50" w:line="360" w:lineRule="auto"/>
        <w:jc w:val="center"/>
        <w:rPr>
          <w:rFonts w:hint="eastAsia" w:ascii="微软雅黑" w:hAnsi="微软雅黑" w:eastAsia="微软雅黑"/>
          <w:b/>
          <w:bCs/>
          <w:color w:val="auto"/>
          <w:szCs w:val="21"/>
          <w:highlight w:val="none"/>
        </w:rPr>
      </w:pPr>
    </w:p>
    <w:p w14:paraId="2192065B">
      <w:pPr>
        <w:snapToGrid w:val="0"/>
        <w:spacing w:before="156" w:beforeLines="50" w:after="50" w:line="360" w:lineRule="auto"/>
        <w:rPr>
          <w:rFonts w:hint="eastAsia" w:ascii="微软雅黑" w:hAnsi="微软雅黑" w:eastAsia="微软雅黑"/>
          <w:bCs/>
          <w:color w:val="auto"/>
          <w:szCs w:val="21"/>
          <w:highlight w:val="none"/>
        </w:rPr>
      </w:pPr>
    </w:p>
    <w:p w14:paraId="692BD29D">
      <w:pPr>
        <w:snapToGrid w:val="0"/>
        <w:spacing w:before="156" w:beforeLines="50" w:after="50" w:line="360" w:lineRule="auto"/>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项目名称：</w:t>
      </w:r>
      <w:r>
        <w:rPr>
          <w:rFonts w:hint="eastAsia" w:ascii="微软雅黑" w:hAnsi="微软雅黑" w:eastAsia="微软雅黑"/>
          <w:bCs/>
          <w:color w:val="auto"/>
          <w:szCs w:val="21"/>
          <w:highlight w:val="none"/>
          <w:lang w:eastAsia="zh-CN"/>
        </w:rPr>
        <w:t>2025年度（第四期）</w:t>
      </w:r>
      <w:r>
        <w:rPr>
          <w:rFonts w:hint="eastAsia" w:ascii="微软雅黑" w:hAnsi="微软雅黑" w:eastAsia="微软雅黑"/>
          <w:bCs/>
          <w:color w:val="auto"/>
          <w:szCs w:val="21"/>
          <w:highlight w:val="none"/>
        </w:rPr>
        <w:t>嘉兴市秀洲区住房保障与房地产管理服务中心物业维修资金和物业保修金竞争性存放项目</w:t>
      </w:r>
    </w:p>
    <w:p w14:paraId="2664D5C6">
      <w:pPr>
        <w:snapToGrid w:val="0"/>
        <w:spacing w:before="156" w:beforeLines="50" w:after="50" w:line="360" w:lineRule="auto"/>
        <w:rPr>
          <w:rFonts w:hint="eastAsia" w:ascii="微软雅黑" w:hAnsi="微软雅黑" w:eastAsia="微软雅黑"/>
          <w:bCs/>
          <w:color w:val="auto"/>
          <w:szCs w:val="21"/>
          <w:highlight w:val="none"/>
          <w:lang w:eastAsia="zh-CN"/>
        </w:rPr>
      </w:pPr>
      <w:r>
        <w:rPr>
          <w:rFonts w:hint="eastAsia" w:ascii="微软雅黑" w:hAnsi="微软雅黑" w:eastAsia="微软雅黑"/>
          <w:bCs/>
          <w:color w:val="auto"/>
          <w:szCs w:val="21"/>
          <w:highlight w:val="none"/>
        </w:rPr>
        <w:t>项目编号：</w:t>
      </w:r>
      <w:r>
        <w:rPr>
          <w:rFonts w:hint="eastAsia" w:ascii="微软雅黑" w:hAnsi="微软雅黑" w:eastAsia="微软雅黑"/>
          <w:bCs/>
          <w:color w:val="auto"/>
          <w:szCs w:val="21"/>
          <w:highlight w:val="none"/>
          <w:lang w:eastAsia="zh-CN"/>
        </w:rPr>
        <w:t>千秋-XZCF（2025）第1</w:t>
      </w:r>
      <w:r>
        <w:rPr>
          <w:rFonts w:hint="eastAsia" w:ascii="微软雅黑" w:hAnsi="微软雅黑" w:eastAsia="微软雅黑"/>
          <w:bCs/>
          <w:color w:val="auto"/>
          <w:szCs w:val="21"/>
          <w:highlight w:val="none"/>
          <w:lang w:val="en-US" w:eastAsia="zh-CN"/>
        </w:rPr>
        <w:t>3</w:t>
      </w:r>
      <w:r>
        <w:rPr>
          <w:rFonts w:hint="eastAsia" w:ascii="微软雅黑" w:hAnsi="微软雅黑" w:eastAsia="微软雅黑"/>
          <w:bCs/>
          <w:color w:val="auto"/>
          <w:szCs w:val="21"/>
          <w:highlight w:val="none"/>
          <w:lang w:eastAsia="zh-CN"/>
        </w:rPr>
        <w:t>号</w:t>
      </w:r>
    </w:p>
    <w:p w14:paraId="2625EE04">
      <w:pPr>
        <w:pStyle w:val="5"/>
        <w:snapToGrid w:val="0"/>
        <w:spacing w:before="50" w:after="50" w:line="360" w:lineRule="auto"/>
        <w:ind w:firstLine="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投标人名称：</w:t>
      </w:r>
    </w:p>
    <w:p w14:paraId="7B466B69">
      <w:pPr>
        <w:pStyle w:val="5"/>
        <w:snapToGrid w:val="0"/>
        <w:spacing w:before="50" w:after="50" w:line="360" w:lineRule="auto"/>
        <w:ind w:firstLine="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投标人地址：</w:t>
      </w:r>
    </w:p>
    <w:p w14:paraId="76A66BC9">
      <w:pPr>
        <w:pStyle w:val="5"/>
        <w:snapToGrid w:val="0"/>
        <w:spacing w:before="50" w:after="50" w:line="360" w:lineRule="auto"/>
        <w:ind w:firstLine="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 xml:space="preserve">在    年  月  日 </w:t>
      </w:r>
      <w:r>
        <w:rPr>
          <w:rFonts w:ascii="微软雅黑" w:hAnsi="微软雅黑" w:eastAsia="微软雅黑"/>
          <w:bCs/>
          <w:color w:val="auto"/>
          <w:szCs w:val="21"/>
          <w:highlight w:val="none"/>
        </w:rPr>
        <w:t xml:space="preserve"> </w:t>
      </w:r>
      <w:r>
        <w:rPr>
          <w:rFonts w:hint="eastAsia" w:ascii="微软雅黑" w:hAnsi="微软雅黑" w:eastAsia="微软雅黑"/>
          <w:bCs/>
          <w:color w:val="auto"/>
          <w:szCs w:val="21"/>
          <w:highlight w:val="none"/>
        </w:rPr>
        <w:t xml:space="preserve">时 </w:t>
      </w:r>
      <w:r>
        <w:rPr>
          <w:rFonts w:ascii="微软雅黑" w:hAnsi="微软雅黑" w:eastAsia="微软雅黑"/>
          <w:bCs/>
          <w:color w:val="auto"/>
          <w:szCs w:val="21"/>
          <w:highlight w:val="none"/>
        </w:rPr>
        <w:t xml:space="preserve"> </w:t>
      </w:r>
      <w:r>
        <w:rPr>
          <w:rFonts w:hint="eastAsia" w:ascii="微软雅黑" w:hAnsi="微软雅黑" w:eastAsia="微软雅黑"/>
          <w:bCs/>
          <w:color w:val="auto"/>
          <w:szCs w:val="21"/>
          <w:highlight w:val="none"/>
        </w:rPr>
        <w:t>分之前不得启封</w:t>
      </w:r>
    </w:p>
    <w:p w14:paraId="77201C76">
      <w:pPr>
        <w:pStyle w:val="5"/>
        <w:snapToGrid w:val="0"/>
        <w:spacing w:before="50" w:after="50" w:line="360" w:lineRule="auto"/>
        <w:ind w:firstLine="0"/>
        <w:rPr>
          <w:rFonts w:hint="eastAsia" w:ascii="微软雅黑" w:hAnsi="微软雅黑" w:eastAsia="微软雅黑"/>
          <w:bCs/>
          <w:color w:val="auto"/>
          <w:szCs w:val="21"/>
          <w:highlight w:val="none"/>
        </w:rPr>
      </w:pPr>
    </w:p>
    <w:p w14:paraId="6196F750">
      <w:pPr>
        <w:pStyle w:val="5"/>
        <w:snapToGrid w:val="0"/>
        <w:spacing w:before="50" w:after="50" w:line="360" w:lineRule="auto"/>
        <w:ind w:firstLine="934" w:firstLineChars="445"/>
        <w:rPr>
          <w:rFonts w:hint="eastAsia" w:ascii="微软雅黑" w:hAnsi="微软雅黑" w:eastAsia="微软雅黑"/>
          <w:bCs/>
          <w:color w:val="auto"/>
          <w:szCs w:val="21"/>
          <w:highlight w:val="none"/>
        </w:rPr>
      </w:pPr>
    </w:p>
    <w:p w14:paraId="350570BC">
      <w:pPr>
        <w:pStyle w:val="5"/>
        <w:snapToGrid w:val="0"/>
        <w:spacing w:before="50" w:after="50" w:line="360" w:lineRule="auto"/>
        <w:ind w:firstLine="4714" w:firstLineChars="2245"/>
        <w:rPr>
          <w:rFonts w:hint="eastAsia" w:ascii="微软雅黑" w:hAnsi="微软雅黑" w:eastAsia="微软雅黑"/>
          <w:bCs/>
          <w:color w:val="auto"/>
          <w:szCs w:val="21"/>
          <w:highlight w:val="none"/>
        </w:rPr>
      </w:pPr>
      <w:r>
        <w:rPr>
          <w:rFonts w:hint="eastAsia" w:ascii="微软雅黑" w:hAnsi="微软雅黑" w:eastAsia="微软雅黑"/>
          <w:color w:val="auto"/>
          <w:szCs w:val="21"/>
          <w:highlight w:val="none"/>
        </w:rPr>
        <w:t>（公章）</w:t>
      </w:r>
    </w:p>
    <w:p w14:paraId="2FA722B9">
      <w:pPr>
        <w:snapToGrid w:val="0"/>
        <w:spacing w:before="156" w:beforeLines="50" w:after="50" w:line="360" w:lineRule="auto"/>
        <w:ind w:firstLine="645"/>
        <w:jc w:val="center"/>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66C8DE0B">
      <w:pPr>
        <w:snapToGrid w:val="0"/>
        <w:spacing w:before="156" w:beforeLines="50" w:after="50" w:line="360" w:lineRule="auto"/>
        <w:ind w:firstLine="645"/>
        <w:jc w:val="center"/>
        <w:rPr>
          <w:rFonts w:hint="eastAsia" w:ascii="微软雅黑" w:hAnsi="微软雅黑" w:eastAsia="微软雅黑"/>
          <w:color w:val="auto"/>
          <w:szCs w:val="21"/>
          <w:highlight w:val="none"/>
        </w:rPr>
      </w:pPr>
    </w:p>
    <w:p w14:paraId="09CA4796">
      <w:pPr>
        <w:snapToGrid w:val="0"/>
        <w:spacing w:before="156" w:beforeLines="50" w:after="50"/>
        <w:rPr>
          <w:rFonts w:hint="eastAsia" w:ascii="微软雅黑" w:hAnsi="微软雅黑" w:eastAsia="微软雅黑"/>
          <w:b/>
          <w:color w:val="auto"/>
          <w:szCs w:val="21"/>
          <w:highlight w:val="none"/>
        </w:rPr>
      </w:pPr>
    </w:p>
    <w:p w14:paraId="2ACD88C5">
      <w:pPr>
        <w:snapToGrid w:val="0"/>
        <w:spacing w:before="156" w:beforeLines="50" w:after="50"/>
        <w:rPr>
          <w:rFonts w:hint="eastAsia" w:ascii="微软雅黑" w:hAnsi="微软雅黑" w:eastAsia="微软雅黑"/>
          <w:b/>
          <w:color w:val="auto"/>
          <w:szCs w:val="21"/>
          <w:highlight w:val="none"/>
        </w:rPr>
      </w:pPr>
    </w:p>
    <w:p w14:paraId="7D998B84">
      <w:pPr>
        <w:snapToGrid w:val="0"/>
        <w:spacing w:before="156" w:beforeLines="50" w:after="50"/>
        <w:rPr>
          <w:rFonts w:hint="eastAsia" w:ascii="微软雅黑" w:hAnsi="微软雅黑" w:eastAsia="微软雅黑"/>
          <w:b/>
          <w:color w:val="auto"/>
          <w:szCs w:val="21"/>
          <w:highlight w:val="none"/>
        </w:rPr>
      </w:pPr>
    </w:p>
    <w:p w14:paraId="758276E4">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p>
    <w:p w14:paraId="2C7B7FE9">
      <w:pPr>
        <w:snapToGrid w:val="0"/>
        <w:spacing w:before="156" w:beforeLines="50" w:after="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二、投标声明书格式</w:t>
      </w:r>
    </w:p>
    <w:p w14:paraId="11C2C1C8">
      <w:pPr>
        <w:snapToGrid w:val="0"/>
        <w:spacing w:line="360" w:lineRule="auto"/>
        <w:jc w:val="center"/>
        <w:rPr>
          <w:rFonts w:hint="eastAsia" w:ascii="微软雅黑" w:hAnsi="微软雅黑" w:eastAsia="微软雅黑"/>
          <w:b/>
          <w:color w:val="auto"/>
          <w:szCs w:val="21"/>
          <w:highlight w:val="none"/>
        </w:rPr>
      </w:pPr>
    </w:p>
    <w:p w14:paraId="2B46FE5F">
      <w:pPr>
        <w:snapToGrid w:val="0"/>
        <w:spacing w:line="360" w:lineRule="auto"/>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投标声明书</w:t>
      </w:r>
    </w:p>
    <w:p w14:paraId="126B263E">
      <w:pPr>
        <w:snapToGrid w:val="0"/>
        <w:spacing w:line="360" w:lineRule="auto"/>
        <w:jc w:val="center"/>
        <w:rPr>
          <w:rFonts w:hint="eastAsia" w:ascii="微软雅黑" w:hAnsi="微软雅黑" w:eastAsia="微软雅黑"/>
          <w:b/>
          <w:color w:val="auto"/>
          <w:szCs w:val="21"/>
          <w:highlight w:val="none"/>
        </w:rPr>
      </w:pPr>
    </w:p>
    <w:p w14:paraId="1DEDFFF6">
      <w:pPr>
        <w:snapToGrid w:val="0"/>
        <w:spacing w:line="5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致：</w:t>
      </w:r>
      <w:r>
        <w:rPr>
          <w:rFonts w:hint="eastAsia" w:ascii="微软雅黑" w:hAnsi="微软雅黑" w:eastAsia="微软雅黑"/>
          <w:color w:val="auto"/>
          <w:szCs w:val="21"/>
          <w:highlight w:val="none"/>
          <w:u w:val="single"/>
        </w:rPr>
        <w:t xml:space="preserve">             </w:t>
      </w:r>
    </w:p>
    <w:p w14:paraId="5869DBCD">
      <w:pPr>
        <w:snapToGrid w:val="0"/>
        <w:spacing w:line="500" w:lineRule="exact"/>
        <w:ind w:left="0" w:leftChars="0" w:firstLine="420" w:firstLineChars="200"/>
        <w:jc w:val="left"/>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（投标人名称）系中华人民共和国合法企业，经营地址</w:t>
      </w:r>
      <w:r>
        <w:rPr>
          <w:rFonts w:hint="eastAsia" w:ascii="微软雅黑" w:hAnsi="微软雅黑" w:eastAsia="微软雅黑"/>
          <w:color w:val="auto"/>
          <w:szCs w:val="21"/>
          <w:highlight w:val="none"/>
          <w:u w:val="single"/>
        </w:rPr>
        <w:t xml:space="preserve">           。</w:t>
      </w:r>
    </w:p>
    <w:p w14:paraId="6626048A">
      <w:pPr>
        <w:snapToGrid w:val="0"/>
        <w:spacing w:line="500" w:lineRule="exact"/>
        <w:ind w:left="0" w:leftChars="0" w:firstLine="420" w:firstLineChars="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w:t>
      </w:r>
      <w:r>
        <w:rPr>
          <w:rFonts w:hint="eastAsia" w:ascii="微软雅黑" w:hAnsi="微软雅黑" w:eastAsia="微软雅黑"/>
          <w:color w:val="auto"/>
          <w:szCs w:val="21"/>
          <w:highlight w:val="none"/>
          <w:u w:val="single"/>
          <w:lang w:eastAsia="zh-CN"/>
        </w:rPr>
        <w:t>（</w:t>
      </w:r>
      <w:r>
        <w:rPr>
          <w:rFonts w:hint="eastAsia" w:ascii="微软雅黑" w:hAnsi="微软雅黑" w:eastAsia="微软雅黑"/>
          <w:color w:val="auto"/>
          <w:szCs w:val="21"/>
          <w:highlight w:val="none"/>
          <w:u w:val="single"/>
        </w:rPr>
        <w:t>姓名）</w:t>
      </w:r>
      <w:r>
        <w:rPr>
          <w:rFonts w:hint="eastAsia" w:ascii="微软雅黑" w:hAnsi="微软雅黑" w:eastAsia="微软雅黑"/>
          <w:color w:val="auto"/>
          <w:szCs w:val="21"/>
          <w:highlight w:val="none"/>
        </w:rPr>
        <w:t>系</w:t>
      </w:r>
      <w:r>
        <w:rPr>
          <w:rFonts w:hint="eastAsia" w:ascii="微软雅黑" w:hAnsi="微软雅黑" w:eastAsia="微软雅黑"/>
          <w:color w:val="auto"/>
          <w:szCs w:val="21"/>
          <w:highlight w:val="none"/>
          <w:u w:val="single"/>
        </w:rPr>
        <w:t>（投标人名称）</w:t>
      </w:r>
      <w:r>
        <w:rPr>
          <w:rFonts w:hint="eastAsia" w:ascii="微软雅黑" w:hAnsi="微软雅黑" w:eastAsia="微软雅黑"/>
          <w:color w:val="auto"/>
          <w:szCs w:val="21"/>
          <w:highlight w:val="none"/>
        </w:rPr>
        <w:t>的法定代表人（负责人），我方愿意参加贵方组织的</w:t>
      </w:r>
      <w:r>
        <w:rPr>
          <w:rFonts w:hint="eastAsia" w:ascii="微软雅黑" w:hAnsi="微软雅黑" w:eastAsia="微软雅黑" w:cs="Arial"/>
          <w:b/>
          <w:color w:val="auto"/>
          <w:szCs w:val="21"/>
          <w:highlight w:val="none"/>
          <w:u w:val="single"/>
          <w:lang w:eastAsia="zh-CN"/>
        </w:rPr>
        <w:t>2025年度（第四期）</w:t>
      </w:r>
      <w:r>
        <w:rPr>
          <w:rFonts w:hint="eastAsia" w:ascii="微软雅黑" w:hAnsi="微软雅黑" w:eastAsia="微软雅黑" w:cs="Arial"/>
          <w:b/>
          <w:color w:val="auto"/>
          <w:szCs w:val="21"/>
          <w:highlight w:val="none"/>
          <w:u w:val="single"/>
        </w:rPr>
        <w:t>嘉兴市秀洲区住房保障与房地产管理服务中心物业维修资金和物业保修金竞争性存放项目</w:t>
      </w:r>
      <w:r>
        <w:rPr>
          <w:rFonts w:hint="eastAsia" w:ascii="微软雅黑" w:hAnsi="微软雅黑" w:eastAsia="微软雅黑"/>
          <w:color w:val="auto"/>
          <w:szCs w:val="21"/>
          <w:highlight w:val="none"/>
        </w:rPr>
        <w:t>的投标，为便于贵方公正、择优地确定中标人及其投标产品和服务，我方就本次投标有关事项郑重声明如下：</w:t>
      </w:r>
    </w:p>
    <w:p w14:paraId="1A212C5E">
      <w:pPr>
        <w:numPr>
          <w:ilvl w:val="0"/>
          <w:numId w:val="34"/>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我方向贵方提交的所有投标文件、资料都是准确的和真实的；</w:t>
      </w:r>
    </w:p>
    <w:p w14:paraId="1C0B6A73">
      <w:pPr>
        <w:numPr>
          <w:ilvl w:val="0"/>
          <w:numId w:val="34"/>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我方为银行嘉兴所在地区最高机构；</w:t>
      </w:r>
    </w:p>
    <w:p w14:paraId="2BBF5C32">
      <w:pPr>
        <w:numPr>
          <w:ilvl w:val="0"/>
          <w:numId w:val="34"/>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我方此次向贵方提供的产品为：</w:t>
      </w:r>
      <w:r>
        <w:rPr>
          <w:rFonts w:hint="eastAsia" w:ascii="微软雅黑" w:hAnsi="微软雅黑" w:eastAsia="微软雅黑" w:cs="Arial"/>
          <w:color w:val="auto"/>
          <w:szCs w:val="21"/>
          <w:highlight w:val="none"/>
          <w:u w:val="single"/>
        </w:rPr>
        <w:t>（</w:t>
      </w:r>
      <w:r>
        <w:rPr>
          <w:rFonts w:hint="eastAsia" w:ascii="微软雅黑" w:hAnsi="微软雅黑" w:eastAsia="微软雅黑"/>
          <w:color w:val="auto"/>
          <w:szCs w:val="21"/>
          <w:highlight w:val="none"/>
          <w:u w:val="single"/>
        </w:rPr>
        <w:t>一年期定期存款）</w:t>
      </w:r>
      <w:r>
        <w:rPr>
          <w:rFonts w:hint="eastAsia" w:ascii="微软雅黑" w:hAnsi="微软雅黑" w:eastAsia="微软雅黑"/>
          <w:color w:val="auto"/>
          <w:szCs w:val="21"/>
          <w:highlight w:val="none"/>
        </w:rPr>
        <w:t>；</w:t>
      </w:r>
    </w:p>
    <w:p w14:paraId="3BDCE36A">
      <w:pPr>
        <w:numPr>
          <w:ilvl w:val="0"/>
          <w:numId w:val="34"/>
        </w:numPr>
        <w:snapToGrid w:val="0"/>
        <w:spacing w:line="360" w:lineRule="auto"/>
        <w:ind w:left="0" w:firstLine="420" w:firstLineChars="200"/>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rPr>
        <w:t>采用条款费率为：</w:t>
      </w:r>
      <w:bookmarkStart w:id="130" w:name="_Hlk175751476"/>
      <w:r>
        <w:rPr>
          <w:rFonts w:hint="eastAsia" w:ascii="微软雅黑" w:hAnsi="微软雅黑" w:eastAsia="微软雅黑"/>
          <w:color w:val="auto"/>
          <w:szCs w:val="21"/>
          <w:highlight w:val="none"/>
          <w:u w:val="single"/>
        </w:rPr>
        <w:t>按中国人民银行公布的定期存款基准上浮基点（BP）进行报价</w:t>
      </w:r>
      <w:bookmarkEnd w:id="130"/>
      <w:r>
        <w:rPr>
          <w:rFonts w:hint="eastAsia" w:ascii="微软雅黑" w:hAnsi="微软雅黑" w:eastAsia="微软雅黑"/>
          <w:color w:val="auto"/>
          <w:szCs w:val="21"/>
          <w:highlight w:val="none"/>
          <w:u w:val="single"/>
        </w:rPr>
        <w:t>；</w:t>
      </w:r>
    </w:p>
    <w:p w14:paraId="3E9782B2">
      <w:pPr>
        <w:pStyle w:val="18"/>
        <w:numPr>
          <w:ilvl w:val="0"/>
          <w:numId w:val="34"/>
        </w:numPr>
        <w:snapToGrid w:val="0"/>
        <w:spacing w:line="360" w:lineRule="auto"/>
        <w:ind w:left="0" w:firstLine="420" w:firstLineChars="200"/>
        <w:rPr>
          <w:rFonts w:hint="eastAsia" w:ascii="微软雅黑" w:hAnsi="微软雅黑" w:eastAsia="微软雅黑"/>
          <w:color w:val="auto"/>
          <w:spacing w:val="0"/>
          <w:sz w:val="21"/>
          <w:szCs w:val="21"/>
          <w:highlight w:val="none"/>
          <w:u w:val="single"/>
        </w:rPr>
      </w:pPr>
      <w:r>
        <w:rPr>
          <w:rFonts w:hint="eastAsia" w:ascii="微软雅黑" w:hAnsi="微软雅黑" w:eastAsia="微软雅黑"/>
          <w:color w:val="auto"/>
          <w:spacing w:val="0"/>
          <w:sz w:val="21"/>
          <w:szCs w:val="21"/>
          <w:highlight w:val="none"/>
        </w:rPr>
        <w:t>我方及由本人担任法定代表人（负责人）的其他机构最近三年内没有被通报或者被处罚的违规违法行为；</w:t>
      </w:r>
    </w:p>
    <w:p w14:paraId="2BD566C7">
      <w:pPr>
        <w:numPr>
          <w:ilvl w:val="0"/>
          <w:numId w:val="34"/>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以上事项如有虚假或隐瞒，我方愿意承担一切后果，并不再寻求任何旨在减轻或免除法律责任的辩解。</w:t>
      </w:r>
    </w:p>
    <w:p w14:paraId="76E75B24">
      <w:pPr>
        <w:snapToGrid w:val="0"/>
        <w:spacing w:line="500" w:lineRule="exact"/>
        <w:ind w:firstLine="200"/>
        <w:rPr>
          <w:rFonts w:hint="eastAsia" w:ascii="微软雅黑" w:hAnsi="微软雅黑" w:eastAsia="微软雅黑"/>
          <w:color w:val="auto"/>
          <w:szCs w:val="21"/>
          <w:highlight w:val="none"/>
        </w:rPr>
      </w:pPr>
    </w:p>
    <w:p w14:paraId="069A298B">
      <w:pPr>
        <w:snapToGrid w:val="0"/>
        <w:spacing w:line="500" w:lineRule="exact"/>
        <w:ind w:firstLine="200"/>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rPr>
        <w:t>法定代表人（负责人）签字或盖章：</w:t>
      </w:r>
    </w:p>
    <w:p w14:paraId="1E7FCD32">
      <w:pPr>
        <w:spacing w:line="5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（公章）</w:t>
      </w:r>
    </w:p>
    <w:p w14:paraId="2870B268">
      <w:pPr>
        <w:snapToGrid w:val="0"/>
        <w:spacing w:line="500" w:lineRule="exact"/>
        <w:ind w:firstLine="3675" w:firstLineChars="17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7D2B6665">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r>
        <w:rPr>
          <w:rFonts w:hint="eastAsia" w:ascii="微软雅黑" w:hAnsi="微软雅黑" w:eastAsia="微软雅黑"/>
          <w:b/>
          <w:color w:val="auto"/>
          <w:szCs w:val="21"/>
          <w:highlight w:val="none"/>
        </w:rPr>
        <w:t>三、法定代表人（负责人）授权委托书格式</w:t>
      </w:r>
    </w:p>
    <w:p w14:paraId="7324C2EB">
      <w:pPr>
        <w:snapToGrid w:val="0"/>
        <w:spacing w:before="156" w:beforeLines="50" w:after="50"/>
        <w:jc w:val="center"/>
        <w:rPr>
          <w:rFonts w:hint="eastAsia" w:ascii="微软雅黑" w:hAnsi="微软雅黑" w:eastAsia="微软雅黑"/>
          <w:color w:val="auto"/>
          <w:szCs w:val="21"/>
          <w:highlight w:val="none"/>
        </w:rPr>
      </w:pPr>
    </w:p>
    <w:p w14:paraId="3D92A01A">
      <w:pPr>
        <w:snapToGrid w:val="0"/>
        <w:spacing w:line="360" w:lineRule="auto"/>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法定代表人（负责人）授权委托书</w:t>
      </w:r>
    </w:p>
    <w:p w14:paraId="5B027BB6">
      <w:pPr>
        <w:snapToGrid w:val="0"/>
        <w:spacing w:line="360" w:lineRule="auto"/>
        <w:rPr>
          <w:rFonts w:hint="eastAsia" w:ascii="微软雅黑" w:hAnsi="微软雅黑" w:eastAsia="微软雅黑"/>
          <w:bCs/>
          <w:color w:val="auto"/>
          <w:szCs w:val="21"/>
          <w:highlight w:val="none"/>
        </w:rPr>
      </w:pPr>
    </w:p>
    <w:p w14:paraId="0B21B030">
      <w:pPr>
        <w:snapToGrid w:val="0"/>
        <w:spacing w:line="360" w:lineRule="auto"/>
        <w:rPr>
          <w:rFonts w:hint="eastAsia" w:ascii="微软雅黑" w:hAnsi="微软雅黑" w:eastAsia="微软雅黑"/>
          <w:b/>
          <w:bCs/>
          <w:color w:val="auto"/>
          <w:szCs w:val="21"/>
          <w:highlight w:val="none"/>
        </w:rPr>
      </w:pPr>
      <w:r>
        <w:rPr>
          <w:rFonts w:hint="eastAsia" w:ascii="微软雅黑" w:hAnsi="微软雅黑" w:eastAsia="微软雅黑"/>
          <w:bCs/>
          <w:color w:val="auto"/>
          <w:szCs w:val="21"/>
          <w:highlight w:val="none"/>
        </w:rPr>
        <w:t>致：</w:t>
      </w:r>
      <w:r>
        <w:rPr>
          <w:rFonts w:hint="eastAsia" w:ascii="微软雅黑" w:hAnsi="微软雅黑" w:eastAsia="微软雅黑"/>
          <w:color w:val="auto"/>
          <w:szCs w:val="21"/>
          <w:highlight w:val="none"/>
          <w:u w:val="single"/>
        </w:rPr>
        <w:t xml:space="preserve">             </w:t>
      </w:r>
    </w:p>
    <w:p w14:paraId="3BCF31A8">
      <w:pPr>
        <w:snapToGrid w:val="0"/>
        <w:spacing w:line="360" w:lineRule="auto"/>
        <w:ind w:firstLine="424" w:firstLineChars="202"/>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（姓名）系</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 xml:space="preserve">（投标人名称）的法定代表人（负责人），现授权委托本单位在职职工 </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（姓名）以我方的名义参加</w:t>
      </w:r>
      <w:r>
        <w:rPr>
          <w:rFonts w:hint="eastAsia" w:ascii="微软雅黑" w:hAnsi="微软雅黑" w:eastAsia="微软雅黑"/>
          <w:b/>
          <w:bCs/>
          <w:color w:val="auto"/>
          <w:szCs w:val="21"/>
          <w:highlight w:val="none"/>
          <w:u w:val="single"/>
          <w:lang w:eastAsia="zh-CN"/>
        </w:rPr>
        <w:t>2025年度（第四期）</w:t>
      </w:r>
      <w:r>
        <w:rPr>
          <w:rFonts w:hint="eastAsia" w:ascii="微软雅黑" w:hAnsi="微软雅黑" w:eastAsia="微软雅黑"/>
          <w:b/>
          <w:bCs/>
          <w:color w:val="auto"/>
          <w:szCs w:val="21"/>
          <w:highlight w:val="none"/>
          <w:u w:val="single"/>
        </w:rPr>
        <w:t>嘉兴市秀洲区住房保障与房地产管理服务中心物业维修资金和物业保修金竞争性存放项目</w:t>
      </w:r>
      <w:r>
        <w:rPr>
          <w:rFonts w:hint="eastAsia" w:ascii="微软雅黑" w:hAnsi="微软雅黑" w:eastAsia="微软雅黑"/>
          <w:color w:val="auto"/>
          <w:szCs w:val="21"/>
          <w:highlight w:val="none"/>
        </w:rPr>
        <w:t>的投标活动，并代表我方全权办理针对上述项目的投标、开标、评标、签约等具体事务和签署相关文件。</w:t>
      </w:r>
    </w:p>
    <w:p w14:paraId="5CD5927A">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我方对被授权人的签名事项负全部责任。</w:t>
      </w:r>
    </w:p>
    <w:p w14:paraId="3FFA947E">
      <w:pPr>
        <w:snapToGrid w:val="0"/>
        <w:spacing w:line="360" w:lineRule="auto"/>
        <w:ind w:firstLine="426"/>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在撤销授权的书面通知以前，本授权书一直有效。被授权人在授权书有效期内签署的所有文件不因授权的撤销而失效。</w:t>
      </w:r>
    </w:p>
    <w:p w14:paraId="1C026376">
      <w:pPr>
        <w:snapToGrid w:val="0"/>
        <w:spacing w:line="360" w:lineRule="auto"/>
        <w:ind w:firstLine="426"/>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被授权人无转委托权，特此委托。</w:t>
      </w:r>
    </w:p>
    <w:p w14:paraId="3BD5D68F">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法定代表人（负责人）签字或盖章：</w:t>
      </w:r>
    </w:p>
    <w:p w14:paraId="15FB5827">
      <w:pPr>
        <w:snapToGrid w:val="0"/>
        <w:spacing w:line="360" w:lineRule="auto"/>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rPr>
        <w:t>被授权人签名：</w:t>
      </w:r>
    </w:p>
    <w:p w14:paraId="378B0028">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被授权人身份证号码：</w:t>
      </w:r>
    </w:p>
    <w:p w14:paraId="20789F45">
      <w:pPr>
        <w:snapToGrid w:val="0"/>
        <w:spacing w:line="360" w:lineRule="auto"/>
        <w:rPr>
          <w:rFonts w:hint="eastAsia" w:ascii="微软雅黑" w:hAnsi="微软雅黑" w:eastAsia="微软雅黑"/>
          <w:color w:val="auto"/>
          <w:szCs w:val="21"/>
          <w:highlight w:val="none"/>
        </w:rPr>
      </w:pPr>
    </w:p>
    <w:p w14:paraId="14AD537E">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（公章）</w:t>
      </w:r>
    </w:p>
    <w:p w14:paraId="11682BE8">
      <w:pPr>
        <w:snapToGrid w:val="0"/>
        <w:spacing w:line="360" w:lineRule="auto"/>
        <w:jc w:val="center"/>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4F273FCA">
      <w:pPr>
        <w:snapToGrid w:val="0"/>
        <w:spacing w:line="360" w:lineRule="auto"/>
        <w:rPr>
          <w:rFonts w:hint="eastAsia" w:ascii="微软雅黑" w:hAnsi="微软雅黑" w:eastAsia="微软雅黑"/>
          <w:color w:val="auto"/>
          <w:szCs w:val="21"/>
          <w:highlight w:val="none"/>
        </w:rPr>
      </w:pPr>
    </w:p>
    <w:p w14:paraId="0FAB3922">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法定代表人（负责人）身份证复印件（正反面）：</w:t>
      </w:r>
    </w:p>
    <w:p w14:paraId="38634C98">
      <w:pPr>
        <w:snapToGrid w:val="0"/>
        <w:spacing w:line="360" w:lineRule="auto"/>
        <w:rPr>
          <w:rFonts w:hint="eastAsia" w:ascii="微软雅黑" w:hAnsi="微软雅黑" w:eastAsia="微软雅黑"/>
          <w:color w:val="auto"/>
          <w:szCs w:val="21"/>
          <w:highlight w:val="none"/>
        </w:rPr>
      </w:pPr>
    </w:p>
    <w:p w14:paraId="20C95016">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被授权人身份证复印件（正反面）：</w:t>
      </w:r>
    </w:p>
    <w:p w14:paraId="3C9E16A7">
      <w:pPr>
        <w:snapToGrid w:val="0"/>
        <w:spacing w:line="360" w:lineRule="auto"/>
        <w:rPr>
          <w:rFonts w:hint="eastAsia" w:ascii="微软雅黑" w:hAnsi="微软雅黑" w:eastAsia="微软雅黑"/>
          <w:color w:val="auto"/>
          <w:szCs w:val="21"/>
          <w:highlight w:val="none"/>
        </w:rPr>
      </w:pPr>
    </w:p>
    <w:p w14:paraId="036D3745">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r>
        <w:rPr>
          <w:rFonts w:hint="eastAsia" w:ascii="微软雅黑" w:hAnsi="微软雅黑" w:eastAsia="微软雅黑"/>
          <w:b/>
          <w:color w:val="auto"/>
          <w:szCs w:val="21"/>
          <w:highlight w:val="none"/>
        </w:rPr>
        <w:t>四、投标函格式</w:t>
      </w:r>
    </w:p>
    <w:p w14:paraId="6680022F">
      <w:pPr>
        <w:snapToGrid w:val="0"/>
        <w:spacing w:before="156" w:beforeLines="50" w:after="50"/>
        <w:rPr>
          <w:rFonts w:hint="eastAsia" w:ascii="微软雅黑" w:hAnsi="微软雅黑" w:eastAsia="微软雅黑"/>
          <w:b/>
          <w:color w:val="auto"/>
          <w:szCs w:val="21"/>
          <w:highlight w:val="none"/>
        </w:rPr>
      </w:pPr>
    </w:p>
    <w:p w14:paraId="77348FCB">
      <w:pPr>
        <w:snapToGrid w:val="0"/>
        <w:spacing w:before="156" w:beforeLines="50" w:after="50"/>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投 标 函</w:t>
      </w:r>
    </w:p>
    <w:p w14:paraId="3F16EAB3">
      <w:pPr>
        <w:snapToGrid w:val="0"/>
        <w:spacing w:line="360" w:lineRule="auto"/>
        <w:rPr>
          <w:rFonts w:hint="eastAsia" w:ascii="微软雅黑" w:hAnsi="微软雅黑" w:eastAsia="微软雅黑"/>
          <w:color w:val="auto"/>
          <w:szCs w:val="21"/>
          <w:highlight w:val="none"/>
        </w:rPr>
      </w:pPr>
    </w:p>
    <w:p w14:paraId="39ACAB2D">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致：</w:t>
      </w:r>
      <w:r>
        <w:rPr>
          <w:rFonts w:hint="eastAsia" w:ascii="微软雅黑" w:hAnsi="微软雅黑" w:eastAsia="微软雅黑"/>
          <w:b/>
          <w:color w:val="auto"/>
          <w:szCs w:val="21"/>
          <w:highlight w:val="none"/>
        </w:rPr>
        <w:t>嘉兴市秀洲区住房保障与房地产管理服务中心</w:t>
      </w:r>
      <w:r>
        <w:rPr>
          <w:rFonts w:hint="eastAsia" w:ascii="微软雅黑" w:hAnsi="微软雅黑" w:eastAsia="微软雅黑"/>
          <w:color w:val="auto"/>
          <w:szCs w:val="21"/>
          <w:highlight w:val="none"/>
        </w:rPr>
        <w:t>：</w:t>
      </w:r>
    </w:p>
    <w:p w14:paraId="2357FB74">
      <w:pPr>
        <w:snapToGrid w:val="0"/>
        <w:spacing w:line="360" w:lineRule="auto"/>
        <w:ind w:firstLine="48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根据贵方</w:t>
      </w:r>
      <w:r>
        <w:rPr>
          <w:rFonts w:hint="eastAsia" w:ascii="微软雅黑" w:hAnsi="微软雅黑" w:eastAsia="微软雅黑"/>
          <w:b/>
          <w:color w:val="auto"/>
          <w:szCs w:val="21"/>
          <w:highlight w:val="none"/>
          <w:u w:val="single"/>
          <w:lang w:eastAsia="zh-CN"/>
        </w:rPr>
        <w:t>2025年度（第四期）</w:t>
      </w:r>
      <w:r>
        <w:rPr>
          <w:rFonts w:hint="eastAsia" w:ascii="微软雅黑" w:hAnsi="微软雅黑" w:eastAsia="微软雅黑"/>
          <w:b/>
          <w:color w:val="auto"/>
          <w:szCs w:val="21"/>
          <w:highlight w:val="none"/>
          <w:u w:val="single"/>
        </w:rPr>
        <w:t>嘉兴市秀洲区住房保障与房地产管理服务中心物业维修资金和物业保修金竞争性存放项目</w:t>
      </w:r>
      <w:r>
        <w:rPr>
          <w:rFonts w:hint="eastAsia" w:ascii="微软雅黑" w:hAnsi="微软雅黑" w:eastAsia="微软雅黑"/>
          <w:color w:val="auto"/>
          <w:szCs w:val="21"/>
          <w:highlight w:val="none"/>
        </w:rPr>
        <w:t>的招标公告〔项目编号：</w:t>
      </w:r>
      <w:r>
        <w:rPr>
          <w:rFonts w:hint="eastAsia" w:ascii="微软雅黑" w:hAnsi="微软雅黑" w:eastAsia="微软雅黑"/>
          <w:bCs/>
          <w:color w:val="auto"/>
          <w:szCs w:val="21"/>
          <w:highlight w:val="none"/>
          <w:u w:val="single"/>
          <w:lang w:eastAsia="zh-CN"/>
        </w:rPr>
        <w:t>千秋-XZCF（2025）第1</w:t>
      </w:r>
      <w:r>
        <w:rPr>
          <w:rFonts w:hint="eastAsia" w:ascii="微软雅黑" w:hAnsi="微软雅黑" w:eastAsia="微软雅黑"/>
          <w:bCs/>
          <w:color w:val="auto"/>
          <w:szCs w:val="21"/>
          <w:highlight w:val="none"/>
          <w:u w:val="single"/>
          <w:lang w:val="en-US" w:eastAsia="zh-CN"/>
        </w:rPr>
        <w:t>3</w:t>
      </w:r>
      <w:r>
        <w:rPr>
          <w:rFonts w:hint="eastAsia" w:ascii="微软雅黑" w:hAnsi="微软雅黑" w:eastAsia="微软雅黑"/>
          <w:bCs/>
          <w:color w:val="auto"/>
          <w:szCs w:val="21"/>
          <w:highlight w:val="none"/>
          <w:u w:val="single"/>
          <w:lang w:eastAsia="zh-CN"/>
        </w:rPr>
        <w:t>号</w:t>
      </w:r>
      <w:r>
        <w:rPr>
          <w:rFonts w:hint="eastAsia" w:ascii="微软雅黑" w:hAnsi="微软雅黑" w:eastAsia="微软雅黑"/>
          <w:color w:val="auto"/>
          <w:szCs w:val="21"/>
          <w:highlight w:val="none"/>
        </w:rPr>
        <w:t>〕，被授权人</w:t>
      </w:r>
      <w:r>
        <w:rPr>
          <w:rFonts w:hint="eastAsia" w:ascii="微软雅黑" w:hAnsi="微软雅黑" w:eastAsia="微软雅黑"/>
          <w:color w:val="auto"/>
          <w:szCs w:val="21"/>
          <w:highlight w:val="none"/>
          <w:u w:val="single"/>
        </w:rPr>
        <w:t>（姓名）</w:t>
      </w:r>
      <w:r>
        <w:rPr>
          <w:rFonts w:hint="eastAsia" w:ascii="微软雅黑" w:hAnsi="微软雅黑" w:eastAsia="微软雅黑"/>
          <w:color w:val="auto"/>
          <w:szCs w:val="21"/>
          <w:highlight w:val="none"/>
        </w:rPr>
        <w:t>经正式授权并代表投标人</w:t>
      </w:r>
      <w:r>
        <w:rPr>
          <w:rFonts w:hint="eastAsia" w:ascii="微软雅黑" w:hAnsi="微软雅黑" w:eastAsia="微软雅黑"/>
          <w:color w:val="auto"/>
          <w:szCs w:val="21"/>
          <w:highlight w:val="none"/>
          <w:u w:val="single"/>
        </w:rPr>
        <w:t xml:space="preserve">_       </w:t>
      </w:r>
      <w:r>
        <w:rPr>
          <w:rFonts w:hint="eastAsia" w:ascii="微软雅黑" w:hAnsi="微软雅黑" w:eastAsia="微软雅黑"/>
          <w:color w:val="auto"/>
          <w:szCs w:val="21"/>
          <w:highlight w:val="none"/>
        </w:rPr>
        <w:t>（投标人名称）提交资信技术文件、报价文件</w:t>
      </w:r>
      <w:r>
        <w:rPr>
          <w:rFonts w:hint="eastAsia" w:ascii="微软雅黑" w:hAnsi="微软雅黑" w:eastAsia="微软雅黑"/>
          <w:color w:val="auto"/>
          <w:szCs w:val="21"/>
          <w:highlight w:val="none"/>
          <w:u w:val="single"/>
        </w:rPr>
        <w:t>正本一份、副本一份</w:t>
      </w:r>
      <w:r>
        <w:rPr>
          <w:rFonts w:hint="eastAsia" w:ascii="微软雅黑" w:hAnsi="微软雅黑" w:eastAsia="微软雅黑"/>
          <w:color w:val="auto"/>
          <w:szCs w:val="21"/>
          <w:highlight w:val="none"/>
        </w:rPr>
        <w:t>。</w:t>
      </w:r>
    </w:p>
    <w:p w14:paraId="324B7EE1">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据此函，签字代表宣布同意如下：</w:t>
      </w:r>
    </w:p>
    <w:p w14:paraId="76B87687">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1、投标人已详细审查全部“招标文件”，包括修改文件（如有的话）以及全部参考资料和有关附件，已经了解我方对于招标文件、招标过程、招标结果有依法进行询问、质疑、投诉的权利及相关渠道和要求。</w:t>
      </w:r>
    </w:p>
    <w:p w14:paraId="110F9BC7">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2、投标人在投标之前已经与贵方进行了充分的沟通，完全理解并接受招标文件的各项规定和要求，对招标文件的合理性、合法性不再有异议。</w:t>
      </w:r>
    </w:p>
    <w:p w14:paraId="30CE1671">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3、本投标有效期自开标日起60日。</w:t>
      </w:r>
    </w:p>
    <w:p w14:paraId="7F8B8D5F">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4、如中标，本投标文件至本项目合同履行完毕止均保持有效，本投标人将按“招标文件”及招投标法律、法规的规定履行合同责任和义务。</w:t>
      </w:r>
    </w:p>
    <w:p w14:paraId="1ECD2E4E">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5、投标人同意按照贵方要求提供与投标有关的一切数据或资料。</w:t>
      </w:r>
    </w:p>
    <w:p w14:paraId="43B90020">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6、与本投标有关的一切正式往来信函请寄：</w:t>
      </w:r>
    </w:p>
    <w:p w14:paraId="39829477">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地址：___________________邮编：____</w:t>
      </w:r>
      <w:r>
        <w:rPr>
          <w:rFonts w:hint="eastAsia" w:ascii="微软雅黑" w:hAnsi="微软雅黑" w:eastAsia="微软雅黑"/>
          <w:color w:val="auto"/>
          <w:szCs w:val="21"/>
          <w:highlight w:val="none"/>
          <w:u w:val="single"/>
        </w:rPr>
        <w:t>_   _</w:t>
      </w:r>
      <w:r>
        <w:rPr>
          <w:rFonts w:hint="eastAsia" w:ascii="微软雅黑" w:hAnsi="微软雅黑" w:eastAsia="微软雅黑"/>
          <w:color w:val="auto"/>
          <w:szCs w:val="21"/>
          <w:highlight w:val="none"/>
        </w:rPr>
        <w:t>___传真：__</w:t>
      </w:r>
      <w:r>
        <w:rPr>
          <w:rFonts w:hint="eastAsia" w:ascii="微软雅黑" w:hAnsi="微软雅黑" w:eastAsia="微软雅黑"/>
          <w:color w:val="auto"/>
          <w:szCs w:val="21"/>
          <w:highlight w:val="none"/>
          <w:u w:val="single"/>
        </w:rPr>
        <w:t>__ _____</w:t>
      </w:r>
    </w:p>
    <w:p w14:paraId="1669FB2D">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被授权人姓名 _________________  电话：_________________</w:t>
      </w:r>
    </w:p>
    <w:p w14:paraId="28C9B2F2">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被授权人签字:_________________   </w:t>
      </w:r>
    </w:p>
    <w:p w14:paraId="0FEFF863">
      <w:pPr>
        <w:snapToGrid w:val="0"/>
        <w:spacing w:line="360" w:lineRule="auto"/>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(公章)</w:t>
      </w:r>
    </w:p>
    <w:p w14:paraId="6E44C521">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日期: </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年___月___日</w:t>
      </w:r>
    </w:p>
    <w:p w14:paraId="4FF13786">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r>
        <w:rPr>
          <w:rFonts w:hint="eastAsia" w:ascii="微软雅黑" w:hAnsi="微软雅黑" w:eastAsia="微软雅黑"/>
          <w:b/>
          <w:color w:val="auto"/>
          <w:szCs w:val="21"/>
          <w:highlight w:val="none"/>
        </w:rPr>
        <w:t>五、投标报价表格式</w:t>
      </w:r>
    </w:p>
    <w:p w14:paraId="4B690EF0">
      <w:pPr>
        <w:spacing w:line="500" w:lineRule="exact"/>
        <w:ind w:firstLine="420" w:firstLineChars="200"/>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lang w:eastAsia="zh-CN"/>
        </w:rPr>
        <w:t>2025年度（第四期）</w:t>
      </w:r>
      <w:r>
        <w:rPr>
          <w:rFonts w:hint="eastAsia" w:ascii="微软雅黑" w:hAnsi="微软雅黑" w:eastAsia="微软雅黑"/>
          <w:b/>
          <w:color w:val="auto"/>
          <w:szCs w:val="21"/>
          <w:highlight w:val="none"/>
        </w:rPr>
        <w:t>嘉兴市秀洲区住房保障与房地产管理服务中心物业维修资金和物业保修金竞争性存放项目</w:t>
      </w:r>
    </w:p>
    <w:p w14:paraId="146333BC">
      <w:pPr>
        <w:spacing w:line="500" w:lineRule="exact"/>
        <w:ind w:firstLine="420" w:firstLineChars="200"/>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投标报价一览表</w:t>
      </w:r>
    </w:p>
    <w:p w14:paraId="1A100881">
      <w:pPr>
        <w:spacing w:line="400" w:lineRule="exact"/>
        <w:jc w:val="center"/>
        <w:rPr>
          <w:rFonts w:hint="eastAsia" w:ascii="微软雅黑" w:hAnsi="微软雅黑" w:eastAsia="微软雅黑"/>
          <w:color w:val="auto"/>
          <w:szCs w:val="21"/>
          <w:highlight w:val="none"/>
          <w:u w:val="single"/>
        </w:rPr>
      </w:pPr>
    </w:p>
    <w:p w14:paraId="0D6B80A5">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致：</w:t>
      </w:r>
      <w:r>
        <w:rPr>
          <w:rFonts w:hint="eastAsia" w:ascii="微软雅黑" w:hAnsi="微软雅黑" w:eastAsia="微软雅黑"/>
          <w:color w:val="auto"/>
          <w:highlight w:val="none"/>
        </w:rPr>
        <w:t>嘉兴市秀洲区住房保障与房地产管理服务中心</w:t>
      </w:r>
    </w:p>
    <w:p w14:paraId="1B4C0F48">
      <w:pPr>
        <w:spacing w:line="400" w:lineRule="exact"/>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我单位承诺：本投标书由我单位授权人(被授权人)填写，内容真实、准确、完整。</w:t>
      </w:r>
    </w:p>
    <w:p w14:paraId="042F8EAB">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投标人名称：________________________________________________</w:t>
      </w:r>
    </w:p>
    <w:p w14:paraId="73804C2D">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被授权人姓名：___________________ 联系电话：________________</w:t>
      </w:r>
    </w:p>
    <w:p w14:paraId="6638444F">
      <w:pPr>
        <w:spacing w:line="400" w:lineRule="exact"/>
        <w:rPr>
          <w:rFonts w:hint="eastAsia" w:ascii="微软雅黑" w:hAnsi="微软雅黑" w:eastAsia="微软雅黑"/>
          <w:color w:val="auto"/>
          <w:szCs w:val="21"/>
          <w:highlight w:val="none"/>
        </w:rPr>
      </w:pPr>
    </w:p>
    <w:tbl>
      <w:tblPr>
        <w:tblStyle w:val="39"/>
        <w:tblW w:w="8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216"/>
        <w:gridCol w:w="2835"/>
        <w:gridCol w:w="993"/>
      </w:tblGrid>
      <w:tr w14:paraId="0B7A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4659DF7D">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（存期）</w:t>
            </w:r>
          </w:p>
        </w:tc>
        <w:tc>
          <w:tcPr>
            <w:tcW w:w="2216" w:type="dxa"/>
            <w:vAlign w:val="center"/>
          </w:tcPr>
          <w:p w14:paraId="0B134294">
            <w:pPr>
              <w:spacing w:line="560" w:lineRule="exact"/>
              <w:ind w:right="84" w:rightChars="40"/>
              <w:jc w:val="center"/>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央行基准利率</w:t>
            </w:r>
          </w:p>
        </w:tc>
        <w:tc>
          <w:tcPr>
            <w:tcW w:w="2835" w:type="dxa"/>
            <w:vAlign w:val="center"/>
          </w:tcPr>
          <w:p w14:paraId="394C0B6D">
            <w:pPr>
              <w:spacing w:line="560" w:lineRule="exact"/>
              <w:jc w:val="center"/>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上浮基点（BP）</w:t>
            </w:r>
          </w:p>
        </w:tc>
        <w:tc>
          <w:tcPr>
            <w:tcW w:w="993" w:type="dxa"/>
            <w:vAlign w:val="center"/>
          </w:tcPr>
          <w:p w14:paraId="5405CDC9">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备注</w:t>
            </w:r>
          </w:p>
        </w:tc>
      </w:tr>
      <w:tr w14:paraId="1DE9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93" w:type="dxa"/>
            <w:vAlign w:val="center"/>
          </w:tcPr>
          <w:p w14:paraId="28F756F3">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一年期存款</w:t>
            </w:r>
          </w:p>
        </w:tc>
        <w:tc>
          <w:tcPr>
            <w:tcW w:w="2216" w:type="dxa"/>
          </w:tcPr>
          <w:p w14:paraId="6BBB1086">
            <w:pPr>
              <w:spacing w:line="560" w:lineRule="exact"/>
              <w:rPr>
                <w:rFonts w:hint="eastAsia" w:ascii="微软雅黑" w:hAnsi="微软雅黑" w:eastAsia="微软雅黑"/>
                <w:color w:val="auto"/>
                <w:szCs w:val="21"/>
                <w:highlight w:val="none"/>
              </w:rPr>
            </w:pPr>
          </w:p>
        </w:tc>
        <w:tc>
          <w:tcPr>
            <w:tcW w:w="2835" w:type="dxa"/>
            <w:vAlign w:val="center"/>
          </w:tcPr>
          <w:p w14:paraId="6C222903">
            <w:pPr>
              <w:spacing w:line="560" w:lineRule="exact"/>
              <w:rPr>
                <w:rFonts w:hint="eastAsia" w:ascii="微软雅黑" w:hAnsi="微软雅黑" w:eastAsia="微软雅黑"/>
                <w:color w:val="auto"/>
                <w:szCs w:val="21"/>
                <w:highlight w:val="none"/>
              </w:rPr>
            </w:pPr>
          </w:p>
        </w:tc>
        <w:tc>
          <w:tcPr>
            <w:tcW w:w="993" w:type="dxa"/>
          </w:tcPr>
          <w:p w14:paraId="21B6D541">
            <w:pPr>
              <w:spacing w:line="400" w:lineRule="exact"/>
              <w:rPr>
                <w:rFonts w:hint="eastAsia" w:ascii="微软雅黑" w:hAnsi="微软雅黑" w:eastAsia="微软雅黑"/>
                <w:color w:val="auto"/>
                <w:szCs w:val="21"/>
                <w:highlight w:val="none"/>
              </w:rPr>
            </w:pPr>
          </w:p>
        </w:tc>
      </w:tr>
    </w:tbl>
    <w:p w14:paraId="22E19254">
      <w:pPr>
        <w:spacing w:line="400" w:lineRule="exact"/>
        <w:rPr>
          <w:rFonts w:hint="eastAsia" w:ascii="微软雅黑" w:hAnsi="微软雅黑" w:eastAsia="微软雅黑"/>
          <w:color w:val="auto"/>
          <w:szCs w:val="21"/>
          <w:highlight w:val="none"/>
        </w:rPr>
      </w:pPr>
    </w:p>
    <w:p w14:paraId="7F038F18">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被授权人签字：</w:t>
      </w:r>
    </w:p>
    <w:p w14:paraId="2FB1E508">
      <w:pPr>
        <w:spacing w:line="400" w:lineRule="exact"/>
        <w:rPr>
          <w:rFonts w:hint="eastAsia" w:ascii="微软雅黑" w:hAnsi="微软雅黑" w:eastAsia="微软雅黑"/>
          <w:color w:val="auto"/>
          <w:szCs w:val="21"/>
          <w:highlight w:val="none"/>
        </w:rPr>
      </w:pPr>
    </w:p>
    <w:p w14:paraId="4FA65A28">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投标单位(公章）:</w:t>
      </w:r>
    </w:p>
    <w:p w14:paraId="6D360FAA">
      <w:pPr>
        <w:spacing w:line="400" w:lineRule="exact"/>
        <w:jc w:val="righ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3891748E">
      <w:pPr>
        <w:spacing w:line="400" w:lineRule="exact"/>
        <w:rPr>
          <w:rFonts w:hint="eastAsia" w:ascii="微软雅黑" w:hAnsi="微软雅黑" w:eastAsia="微软雅黑"/>
          <w:color w:val="auto"/>
          <w:szCs w:val="21"/>
          <w:highlight w:val="none"/>
        </w:rPr>
      </w:pPr>
    </w:p>
    <w:p w14:paraId="678EAF74">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说明：</w:t>
      </w:r>
    </w:p>
    <w:p w14:paraId="26D4662E">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w:t>
      </w:r>
      <w:r>
        <w:rPr>
          <w:rFonts w:hint="eastAsia" w:ascii="微软雅黑" w:hAnsi="微软雅黑" w:eastAsia="微软雅黑"/>
          <w:color w:val="auto"/>
          <w:szCs w:val="21"/>
          <w:highlight w:val="none"/>
          <w:lang w:val="en-US" w:eastAsia="zh-CN"/>
        </w:rPr>
        <w:t>投标人报价不得违反国家利率政策和浙江省市场利率定价自律机制规定。在有</w:t>
      </w:r>
      <w:r>
        <w:rPr>
          <w:rFonts w:hint="default" w:ascii="微软雅黑" w:hAnsi="微软雅黑" w:eastAsia="微软雅黑"/>
          <w:color w:val="auto"/>
          <w:szCs w:val="21"/>
          <w:highlight w:val="none"/>
          <w:lang w:val="en-US" w:eastAsia="zh-CN"/>
        </w:rPr>
        <w:t>效期内，若利率相关的法律法规、规章政策调整，或中国人民银行存款基准利率、存款自律约定、银行总行存款利率内部授权上限等发生调整，按市场利率定价自律机制相关规定操作。</w:t>
      </w:r>
    </w:p>
    <w:p w14:paraId="05EA7CB8">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存款年利率最多保留3位小数。</w:t>
      </w:r>
    </w:p>
    <w:p w14:paraId="2F1B21D2">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3</w:t>
      </w:r>
      <w:r>
        <w:rPr>
          <w:rFonts w:hint="eastAsia" w:ascii="微软雅黑" w:hAnsi="微软雅黑" w:eastAsia="微软雅黑"/>
          <w:color w:val="auto"/>
          <w:szCs w:val="21"/>
          <w:highlight w:val="none"/>
        </w:rPr>
        <w:t>、本投标书填写须清晰，不得涂改。</w:t>
      </w:r>
    </w:p>
    <w:p w14:paraId="3073B678">
      <w:pPr>
        <w:spacing w:line="400" w:lineRule="exact"/>
        <w:rPr>
          <w:rFonts w:hint="eastAsia" w:ascii="微软雅黑" w:hAnsi="微软雅黑" w:eastAsia="微软雅黑"/>
          <w:color w:val="auto"/>
          <w:szCs w:val="21"/>
          <w:highlight w:val="none"/>
        </w:rPr>
      </w:pPr>
    </w:p>
    <w:p w14:paraId="1C0DC0A0">
      <w:pPr>
        <w:pStyle w:val="22"/>
        <w:snapToGrid w:val="0"/>
        <w:spacing w:beforeLines="0" w:afterLines="0" w:line="240" w:lineRule="auto"/>
        <w:rPr>
          <w:rFonts w:hint="eastAsia" w:ascii="微软雅黑" w:hAnsi="微软雅黑" w:eastAsia="微软雅黑"/>
          <w:b/>
          <w:color w:val="auto"/>
          <w:sz w:val="21"/>
          <w:szCs w:val="21"/>
          <w:highlight w:val="none"/>
        </w:rPr>
        <w:sectPr>
          <w:pgSz w:w="11907" w:h="16840"/>
          <w:pgMar w:top="1440" w:right="1797" w:bottom="1440" w:left="1797" w:header="851" w:footer="851" w:gutter="0"/>
          <w:cols w:space="425" w:num="1"/>
          <w:titlePg/>
          <w:docGrid w:type="lines" w:linePitch="312" w:charSpace="0"/>
        </w:sectPr>
      </w:pPr>
    </w:p>
    <w:p w14:paraId="4D8482D0">
      <w:pPr>
        <w:pStyle w:val="22"/>
        <w:snapToGrid w:val="0"/>
        <w:spacing w:beforeLines="0" w:afterLines="0" w:line="240" w:lineRule="auto"/>
        <w:rPr>
          <w:rFonts w:hint="eastAsia" w:ascii="微软雅黑" w:hAnsi="微软雅黑" w:eastAsia="微软雅黑"/>
          <w:b/>
          <w:color w:val="auto"/>
          <w:sz w:val="21"/>
          <w:szCs w:val="21"/>
          <w:highlight w:val="none"/>
        </w:rPr>
      </w:pPr>
      <w:r>
        <w:rPr>
          <w:rFonts w:hint="eastAsia" w:ascii="微软雅黑" w:hAnsi="微软雅黑" w:eastAsia="微软雅黑"/>
          <w:b/>
          <w:color w:val="auto"/>
          <w:sz w:val="21"/>
          <w:szCs w:val="21"/>
          <w:highlight w:val="none"/>
        </w:rPr>
        <w:t>六、数据提供</w:t>
      </w:r>
    </w:p>
    <w:tbl>
      <w:tblPr>
        <w:tblStyle w:val="39"/>
        <w:tblW w:w="8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44"/>
        <w:gridCol w:w="3402"/>
        <w:gridCol w:w="2017"/>
      </w:tblGrid>
      <w:tr w14:paraId="7C3B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49FD1EDE">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序号</w:t>
            </w:r>
          </w:p>
        </w:tc>
        <w:tc>
          <w:tcPr>
            <w:tcW w:w="2144" w:type="dxa"/>
            <w:vAlign w:val="center"/>
          </w:tcPr>
          <w:p w14:paraId="02B512BA">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指标</w:t>
            </w:r>
          </w:p>
        </w:tc>
        <w:tc>
          <w:tcPr>
            <w:tcW w:w="3402" w:type="dxa"/>
            <w:vAlign w:val="center"/>
          </w:tcPr>
          <w:p w14:paraId="43F94178">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内容</w:t>
            </w:r>
          </w:p>
        </w:tc>
        <w:tc>
          <w:tcPr>
            <w:tcW w:w="2017" w:type="dxa"/>
            <w:vAlign w:val="center"/>
          </w:tcPr>
          <w:p w14:paraId="6B7F6B8D">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数据%</w:t>
            </w:r>
          </w:p>
        </w:tc>
      </w:tr>
      <w:tr w14:paraId="3138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518FD892">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2144" w:type="dxa"/>
            <w:vAlign w:val="center"/>
          </w:tcPr>
          <w:p w14:paraId="42204389">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拨备覆盖率指标</w:t>
            </w:r>
          </w:p>
        </w:tc>
        <w:tc>
          <w:tcPr>
            <w:tcW w:w="3402" w:type="dxa"/>
            <w:vAlign w:val="center"/>
          </w:tcPr>
          <w:p w14:paraId="60679967">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投标银行上年末法人拨备覆盖率</w:t>
            </w:r>
          </w:p>
        </w:tc>
        <w:tc>
          <w:tcPr>
            <w:tcW w:w="2017" w:type="dxa"/>
            <w:vAlign w:val="center"/>
          </w:tcPr>
          <w:p w14:paraId="6A3F7612">
            <w:pPr>
              <w:spacing w:line="560" w:lineRule="exact"/>
              <w:rPr>
                <w:rFonts w:hint="eastAsia" w:ascii="微软雅黑" w:hAnsi="微软雅黑" w:eastAsia="微软雅黑"/>
                <w:color w:val="auto"/>
                <w:szCs w:val="21"/>
                <w:highlight w:val="none"/>
              </w:rPr>
            </w:pPr>
          </w:p>
        </w:tc>
      </w:tr>
      <w:tr w14:paraId="6E77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9" w:type="dxa"/>
            <w:vAlign w:val="center"/>
          </w:tcPr>
          <w:p w14:paraId="09E15675">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2144" w:type="dxa"/>
            <w:vAlign w:val="center"/>
          </w:tcPr>
          <w:p w14:paraId="301D0595">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资本充足率</w:t>
            </w:r>
          </w:p>
        </w:tc>
        <w:tc>
          <w:tcPr>
            <w:tcW w:w="3402" w:type="dxa"/>
            <w:vAlign w:val="center"/>
          </w:tcPr>
          <w:p w14:paraId="02A0821D">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投投标银行上年末法人资本充足率</w:t>
            </w:r>
          </w:p>
        </w:tc>
        <w:tc>
          <w:tcPr>
            <w:tcW w:w="2017" w:type="dxa"/>
            <w:vAlign w:val="center"/>
          </w:tcPr>
          <w:p w14:paraId="4872177D">
            <w:pPr>
              <w:spacing w:line="560" w:lineRule="exact"/>
              <w:rPr>
                <w:rFonts w:hint="eastAsia" w:ascii="微软雅黑" w:hAnsi="微软雅黑" w:eastAsia="微软雅黑"/>
                <w:color w:val="auto"/>
                <w:szCs w:val="21"/>
                <w:highlight w:val="none"/>
                <w:u w:val="single"/>
              </w:rPr>
            </w:pPr>
          </w:p>
        </w:tc>
      </w:tr>
    </w:tbl>
    <w:p w14:paraId="396F4916">
      <w:pPr>
        <w:spacing w:line="400" w:lineRule="exact"/>
        <w:rPr>
          <w:rFonts w:hint="eastAsia" w:ascii="微软雅黑" w:hAnsi="微软雅黑" w:eastAsia="微软雅黑"/>
          <w:color w:val="auto"/>
          <w:szCs w:val="21"/>
          <w:highlight w:val="none"/>
        </w:rPr>
      </w:pPr>
    </w:p>
    <w:p w14:paraId="2DDE7155">
      <w:pPr>
        <w:rPr>
          <w:rFonts w:hint="eastAsia" w:ascii="微软雅黑" w:hAnsi="微软雅黑" w:eastAsia="微软雅黑"/>
          <w:color w:val="auto"/>
          <w:szCs w:val="21"/>
          <w:highlight w:val="none"/>
        </w:rPr>
      </w:pPr>
    </w:p>
    <w:p w14:paraId="66E9BD6C">
      <w:pPr>
        <w:pStyle w:val="22"/>
        <w:snapToGrid w:val="0"/>
        <w:spacing w:beforeLines="0" w:afterLines="0" w:line="240" w:lineRule="auto"/>
        <w:rPr>
          <w:rFonts w:hint="eastAsia" w:ascii="微软雅黑" w:hAnsi="微软雅黑" w:eastAsia="微软雅黑"/>
          <w:b/>
          <w:color w:val="auto"/>
          <w:sz w:val="21"/>
          <w:szCs w:val="21"/>
          <w:highlight w:val="none"/>
          <w:lang w:val="en-US" w:eastAsia="zh-CN"/>
        </w:rPr>
      </w:pPr>
      <w:r>
        <w:rPr>
          <w:rFonts w:hint="eastAsia" w:ascii="微软雅黑" w:hAnsi="微软雅黑" w:eastAsia="微软雅黑"/>
          <w:b/>
          <w:color w:val="auto"/>
          <w:sz w:val="21"/>
          <w:szCs w:val="21"/>
          <w:highlight w:val="none"/>
          <w:lang w:val="en-US" w:eastAsia="zh-CN"/>
        </w:rPr>
        <w:t>七、放款证明格式如下</w:t>
      </w:r>
    </w:p>
    <w:p w14:paraId="21D13484">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放款证明</w:t>
      </w:r>
    </w:p>
    <w:p w14:paraId="4BBC21D7">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经核实，***银行自2022年</w:t>
      </w:r>
      <w:r>
        <w:rPr>
          <w:rFonts w:hint="eastAsia" w:ascii="微软雅黑" w:hAnsi="微软雅黑" w:eastAsia="微软雅黑" w:cs="微软雅黑"/>
          <w:color w:val="auto"/>
          <w:sz w:val="21"/>
          <w:szCs w:val="21"/>
          <w:highlight w:val="none"/>
          <w:lang w:val="en-US" w:eastAsia="zh-CN"/>
        </w:rPr>
        <w:t>6月1日，至投标截止之日。在保障</w:t>
      </w:r>
      <w:r>
        <w:rPr>
          <w:rFonts w:hint="eastAsia" w:ascii="微软雅黑" w:hAnsi="微软雅黑" w:eastAsia="微软雅黑" w:cs="微软雅黑"/>
          <w:color w:val="auto"/>
          <w:sz w:val="21"/>
          <w:szCs w:val="21"/>
          <w:highlight w:val="none"/>
          <w:lang w:val="en-US" w:eastAsia="zh-CN"/>
        </w:rPr>
        <w:t>性住房、城市有机更新或全域土地整治等方面已向我公司下放贷款合计***亿元，特此证明。</w:t>
      </w:r>
    </w:p>
    <w:p w14:paraId="1F420EDF">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微软雅黑" w:hAnsi="微软雅黑" w:eastAsia="微软雅黑" w:cs="微软雅黑"/>
          <w:color w:val="auto"/>
          <w:sz w:val="21"/>
          <w:szCs w:val="21"/>
          <w:highlight w:val="none"/>
          <w:lang w:val="en-US" w:eastAsia="zh-CN"/>
        </w:rPr>
      </w:pPr>
    </w:p>
    <w:p w14:paraId="4BA15F5D">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借款人： XXX公司（盖章）            </w:t>
      </w:r>
    </w:p>
    <w:p w14:paraId="3B5804CB">
      <w:pPr>
        <w:keepNext w:val="0"/>
        <w:keepLines w:val="0"/>
        <w:pageBreakBefore w:val="0"/>
        <w:widowControl w:val="0"/>
        <w:kinsoku/>
        <w:wordWrap/>
        <w:overflowPunct/>
        <w:topLinePunct w:val="0"/>
        <w:autoSpaceDE/>
        <w:autoSpaceDN/>
        <w:bidi w:val="0"/>
        <w:adjustRightInd/>
        <w:snapToGrid w:val="0"/>
        <w:spacing w:line="560" w:lineRule="exact"/>
        <w:ind w:firstLine="1260" w:firstLineChars="6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经办人 (签字）</w:t>
      </w:r>
    </w:p>
    <w:p w14:paraId="0387CDA4">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***年***月***日</w:t>
      </w:r>
    </w:p>
    <w:p w14:paraId="2E79717F">
      <w:pPr>
        <w:rPr>
          <w:rFonts w:hint="eastAsia" w:ascii="微软雅黑" w:hAnsi="微软雅黑" w:eastAsia="微软雅黑"/>
          <w:color w:val="auto"/>
          <w:szCs w:val="21"/>
          <w:highlight w:val="none"/>
        </w:rPr>
        <w:sectPr>
          <w:pgSz w:w="11907" w:h="16840"/>
          <w:pgMar w:top="1440" w:right="1797" w:bottom="1440" w:left="1797" w:header="851" w:footer="851" w:gutter="0"/>
          <w:cols w:space="425" w:num="1"/>
          <w:titlePg/>
          <w:docGrid w:type="lines" w:linePitch="312" w:charSpace="0"/>
        </w:sectPr>
      </w:pPr>
    </w:p>
    <w:p w14:paraId="1EDE1348">
      <w:pPr>
        <w:pStyle w:val="22"/>
        <w:snapToGrid w:val="0"/>
        <w:spacing w:beforeLines="0" w:afterLines="0" w:line="240" w:lineRule="auto"/>
        <w:rPr>
          <w:rFonts w:hint="eastAsia" w:ascii="微软雅黑" w:hAnsi="微软雅黑" w:eastAsia="微软雅黑"/>
          <w:b/>
          <w:color w:val="auto"/>
          <w:sz w:val="21"/>
          <w:szCs w:val="21"/>
          <w:highlight w:val="none"/>
        </w:rPr>
      </w:pPr>
      <w:r>
        <w:rPr>
          <w:rFonts w:hint="eastAsia" w:ascii="微软雅黑" w:hAnsi="微软雅黑" w:eastAsia="微软雅黑"/>
          <w:b/>
          <w:color w:val="auto"/>
          <w:sz w:val="21"/>
          <w:szCs w:val="21"/>
          <w:highlight w:val="none"/>
        </w:rPr>
        <w:t>七、投标银行报名表格式</w:t>
      </w:r>
    </w:p>
    <w:p w14:paraId="6B711B15">
      <w:pPr>
        <w:pStyle w:val="35"/>
        <w:spacing w:before="0" w:beforeAutospacing="0" w:after="0" w:afterAutospacing="0" w:line="315" w:lineRule="atLeast"/>
        <w:jc w:val="center"/>
        <w:rPr>
          <w:rFonts w:hint="eastAsia" w:ascii="微软雅黑" w:hAnsi="微软雅黑" w:eastAsia="微软雅黑" w:cs="黑体"/>
          <w:color w:val="auto"/>
          <w:sz w:val="21"/>
          <w:szCs w:val="21"/>
          <w:highlight w:val="none"/>
        </w:rPr>
      </w:pPr>
      <w:r>
        <w:rPr>
          <w:rStyle w:val="41"/>
          <w:rFonts w:hint="eastAsia" w:ascii="微软雅黑" w:hAnsi="微软雅黑" w:eastAsia="微软雅黑" w:cs="黑体"/>
          <w:color w:val="auto"/>
          <w:spacing w:val="45"/>
          <w:sz w:val="21"/>
          <w:szCs w:val="21"/>
          <w:highlight w:val="none"/>
          <w:shd w:val="clear" w:color="auto" w:fill="FFFFFF"/>
        </w:rPr>
        <w:t>投标银行报名表</w:t>
      </w:r>
    </w:p>
    <w:tbl>
      <w:tblPr>
        <w:tblStyle w:val="39"/>
        <w:tblW w:w="0" w:type="auto"/>
        <w:tblInd w:w="0"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Layout w:type="fixed"/>
        <w:tblCellMar>
          <w:top w:w="0" w:type="dxa"/>
          <w:left w:w="0" w:type="dxa"/>
          <w:bottom w:w="0" w:type="dxa"/>
          <w:right w:w="0" w:type="dxa"/>
        </w:tblCellMar>
      </w:tblPr>
      <w:tblGrid>
        <w:gridCol w:w="1607"/>
        <w:gridCol w:w="1306"/>
        <w:gridCol w:w="1306"/>
        <w:gridCol w:w="1306"/>
        <w:gridCol w:w="1306"/>
        <w:gridCol w:w="1623"/>
      </w:tblGrid>
      <w:tr w14:paraId="261122F4">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607"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3D0E1073">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报名单位</w:t>
            </w:r>
          </w:p>
        </w:tc>
        <w:tc>
          <w:tcPr>
            <w:tcW w:w="6847" w:type="dxa"/>
            <w:gridSpan w:val="5"/>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2C971457">
            <w:pPr>
              <w:jc w:val="left"/>
              <w:rPr>
                <w:rFonts w:hint="eastAsia" w:ascii="微软雅黑" w:hAnsi="微软雅黑" w:eastAsia="微软雅黑" w:cs="-apple-system"/>
                <w:color w:val="auto"/>
                <w:szCs w:val="21"/>
                <w:highlight w:val="none"/>
              </w:rPr>
            </w:pPr>
          </w:p>
        </w:tc>
      </w:tr>
      <w:tr w14:paraId="52E8EEAB">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607"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789648DC">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项目联系人</w:t>
            </w: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0264829F">
            <w:pPr>
              <w:jc w:val="left"/>
              <w:rPr>
                <w:rFonts w:hint="eastAsia" w:ascii="微软雅黑" w:hAnsi="微软雅黑" w:eastAsia="微软雅黑" w:cs="-apple-system"/>
                <w:color w:val="auto"/>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4E123AEE">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固定电话</w:t>
            </w: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7D5109CC">
            <w:pPr>
              <w:jc w:val="left"/>
              <w:rPr>
                <w:rFonts w:hint="eastAsia" w:ascii="微软雅黑" w:hAnsi="微软雅黑" w:eastAsia="微软雅黑" w:cs="-apple-system"/>
                <w:color w:val="auto"/>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04160842">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手机号码</w:t>
            </w:r>
          </w:p>
        </w:tc>
        <w:tc>
          <w:tcPr>
            <w:tcW w:w="162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6B4DBF2C">
            <w:pPr>
              <w:jc w:val="left"/>
              <w:rPr>
                <w:rFonts w:hint="eastAsia" w:ascii="微软雅黑" w:hAnsi="微软雅黑" w:eastAsia="微软雅黑" w:cs="-apple-system"/>
                <w:color w:val="auto"/>
                <w:szCs w:val="21"/>
                <w:highlight w:val="none"/>
              </w:rPr>
            </w:pPr>
          </w:p>
        </w:tc>
      </w:tr>
      <w:tr w14:paraId="6113A495">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690" w:hRule="atLeast"/>
        </w:trPr>
        <w:tc>
          <w:tcPr>
            <w:tcW w:w="1607" w:type="dxa"/>
            <w:tcBorders>
              <w:top w:val="single" w:color="auto" w:sz="4" w:space="0"/>
              <w:left w:val="single" w:color="auto" w:sz="4" w:space="0"/>
              <w:bottom w:val="single" w:color="auto" w:sz="4" w:space="0"/>
              <w:right w:val="single" w:color="auto" w:sz="4" w:space="0"/>
            </w:tcBorders>
            <w:vAlign w:val="center"/>
          </w:tcPr>
          <w:p w14:paraId="0F3D04C1">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详细地址</w:t>
            </w:r>
          </w:p>
        </w:tc>
        <w:tc>
          <w:tcPr>
            <w:tcW w:w="3918" w:type="dxa"/>
            <w:gridSpan w:val="3"/>
            <w:tcBorders>
              <w:top w:val="single" w:color="auto" w:sz="4" w:space="0"/>
              <w:left w:val="single" w:color="auto" w:sz="4" w:space="0"/>
              <w:bottom w:val="single" w:color="auto" w:sz="4" w:space="0"/>
              <w:right w:val="single" w:color="auto" w:sz="4" w:space="0"/>
            </w:tcBorders>
            <w:vAlign w:val="center"/>
          </w:tcPr>
          <w:p w14:paraId="726D3A74">
            <w:pPr>
              <w:jc w:val="left"/>
              <w:rPr>
                <w:rFonts w:hint="eastAsia" w:ascii="微软雅黑" w:hAnsi="微软雅黑" w:eastAsia="微软雅黑" w:cs="-apple-system"/>
                <w:color w:val="auto"/>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0EE7C7E5">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邮 编</w:t>
            </w:r>
          </w:p>
        </w:tc>
        <w:tc>
          <w:tcPr>
            <w:tcW w:w="162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358CF4BC">
            <w:pPr>
              <w:jc w:val="left"/>
              <w:rPr>
                <w:rFonts w:hint="eastAsia" w:ascii="微软雅黑" w:hAnsi="微软雅黑" w:eastAsia="微软雅黑" w:cs="-apple-system"/>
                <w:color w:val="auto"/>
                <w:szCs w:val="21"/>
                <w:highlight w:val="none"/>
              </w:rPr>
            </w:pPr>
          </w:p>
        </w:tc>
      </w:tr>
      <w:tr w14:paraId="0E959EB5">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979" w:hRule="atLeast"/>
        </w:trPr>
        <w:tc>
          <w:tcPr>
            <w:tcW w:w="8454" w:type="dxa"/>
            <w:gridSpan w:val="6"/>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tcPr>
          <w:p w14:paraId="695E466C">
            <w:pPr>
              <w:pStyle w:val="35"/>
              <w:wordWrap w:val="0"/>
              <w:spacing w:before="120" w:beforeAutospacing="0" w:after="0" w:afterAutospacing="0" w:line="360" w:lineRule="atLeast"/>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嘉兴市千秋工程咨询有限公司：</w:t>
            </w:r>
          </w:p>
          <w:p w14:paraId="04FCCFE3">
            <w:pPr>
              <w:adjustRightInd w:val="0"/>
              <w:snapToGrid w:val="0"/>
              <w:spacing w:line="460" w:lineRule="exact"/>
              <w:ind w:firstLine="420" w:firstLineChars="20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我公司报名参加贵公司组织的</w:t>
            </w:r>
            <w:r>
              <w:rPr>
                <w:rFonts w:hint="eastAsia" w:ascii="微软雅黑" w:hAnsi="微软雅黑" w:eastAsia="微软雅黑"/>
                <w:color w:val="auto"/>
                <w:highlight w:val="none"/>
                <w:u w:val="single"/>
                <w:lang w:eastAsia="zh-CN"/>
              </w:rPr>
              <w:t>2025年度（第四期）</w:t>
            </w:r>
            <w:r>
              <w:rPr>
                <w:rFonts w:hint="eastAsia" w:ascii="微软雅黑" w:hAnsi="微软雅黑" w:eastAsia="微软雅黑"/>
                <w:color w:val="auto"/>
                <w:highlight w:val="none"/>
                <w:u w:val="single"/>
              </w:rPr>
              <w:t>嘉兴市秀洲区住房保障与房地产管理服务中心物业维修资金和物业保修金竞争性存放项目</w:t>
            </w:r>
            <w:r>
              <w:rPr>
                <w:rFonts w:hint="eastAsia" w:ascii="微软雅黑" w:hAnsi="微软雅黑" w:eastAsia="微软雅黑" w:cs="仿宋_GB2312"/>
                <w:color w:val="auto"/>
                <w:szCs w:val="21"/>
                <w:highlight w:val="none"/>
              </w:rPr>
              <w:t>（项目编号为</w:t>
            </w:r>
            <w:r>
              <w:rPr>
                <w:rFonts w:hint="eastAsia" w:ascii="微软雅黑" w:hAnsi="微软雅黑" w:eastAsia="微软雅黑"/>
                <w:bCs/>
                <w:color w:val="auto"/>
                <w:szCs w:val="21"/>
                <w:highlight w:val="none"/>
                <w:u w:val="single"/>
                <w:lang w:eastAsia="zh-CN"/>
              </w:rPr>
              <w:t>千秋-XZCF（2025）第1</w:t>
            </w:r>
            <w:r>
              <w:rPr>
                <w:rFonts w:hint="eastAsia" w:ascii="微软雅黑" w:hAnsi="微软雅黑" w:eastAsia="微软雅黑"/>
                <w:bCs/>
                <w:color w:val="auto"/>
                <w:szCs w:val="21"/>
                <w:highlight w:val="none"/>
                <w:u w:val="single"/>
                <w:lang w:val="en-US" w:eastAsia="zh-CN"/>
              </w:rPr>
              <w:t>3</w:t>
            </w:r>
            <w:r>
              <w:rPr>
                <w:rFonts w:hint="eastAsia" w:ascii="微软雅黑" w:hAnsi="微软雅黑" w:eastAsia="微软雅黑"/>
                <w:bCs/>
                <w:color w:val="auto"/>
                <w:szCs w:val="21"/>
                <w:highlight w:val="none"/>
                <w:u w:val="single"/>
                <w:lang w:eastAsia="zh-CN"/>
              </w:rPr>
              <w:t>号</w:t>
            </w:r>
            <w:r>
              <w:rPr>
                <w:rFonts w:hint="eastAsia" w:ascii="微软雅黑" w:hAnsi="微软雅黑" w:eastAsia="微软雅黑" w:cs="仿宋_GB2312"/>
                <w:color w:val="auto"/>
                <w:szCs w:val="21"/>
                <w:highlight w:val="none"/>
              </w:rPr>
              <w:t>）的招标活动。</w:t>
            </w:r>
          </w:p>
          <w:p w14:paraId="67468276">
            <w:pPr>
              <w:spacing w:line="460" w:lineRule="exact"/>
              <w:rPr>
                <w:rFonts w:hint="eastAsia" w:ascii="微软雅黑" w:hAnsi="微软雅黑" w:eastAsia="微软雅黑" w:cs="仿宋"/>
                <w:color w:val="auto"/>
                <w:szCs w:val="21"/>
                <w:highlight w:val="none"/>
              </w:rPr>
            </w:pPr>
            <w:r>
              <w:rPr>
                <w:rStyle w:val="41"/>
                <w:rFonts w:hint="eastAsia" w:ascii="微软雅黑" w:hAnsi="微软雅黑" w:eastAsia="微软雅黑" w:cs="宋体"/>
                <w:color w:val="auto"/>
                <w:szCs w:val="21"/>
                <w:highlight w:val="none"/>
              </w:rPr>
              <w:t xml:space="preserve">   </w:t>
            </w:r>
            <w:r>
              <w:rPr>
                <w:rFonts w:hint="eastAsia" w:ascii="微软雅黑" w:hAnsi="微软雅黑" w:eastAsia="微软雅黑" w:cs="仿宋"/>
                <w:color w:val="auto"/>
                <w:szCs w:val="21"/>
                <w:highlight w:val="none"/>
              </w:rPr>
              <w:t>附：1.有效的营业执照副本复印件（加盖单位公章）；</w:t>
            </w:r>
          </w:p>
          <w:p w14:paraId="117AA0A4">
            <w:pPr>
              <w:spacing w:line="460" w:lineRule="exact"/>
              <w:rPr>
                <w:rFonts w:hint="eastAsia"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 xml:space="preserve">       2.报名人有效身份证件复印件（加盖单位公章）。</w:t>
            </w:r>
          </w:p>
          <w:p w14:paraId="788B7C5F">
            <w:pPr>
              <w:spacing w:line="460" w:lineRule="exact"/>
              <w:rPr>
                <w:rFonts w:hint="eastAsia" w:ascii="微软雅黑" w:hAnsi="微软雅黑" w:eastAsia="微软雅黑" w:cs="仿宋"/>
                <w:color w:val="auto"/>
                <w:szCs w:val="21"/>
                <w:highlight w:val="none"/>
              </w:rPr>
            </w:pPr>
          </w:p>
          <w:p w14:paraId="2707AA69">
            <w:pPr>
              <w:spacing w:line="460" w:lineRule="exact"/>
              <w:rPr>
                <w:rFonts w:hint="eastAsia" w:ascii="微软雅黑" w:hAnsi="微软雅黑" w:eastAsia="微软雅黑" w:cs="仿宋"/>
                <w:color w:val="auto"/>
                <w:szCs w:val="21"/>
                <w:highlight w:val="none"/>
              </w:rPr>
            </w:pPr>
          </w:p>
          <w:p w14:paraId="7401A239">
            <w:pPr>
              <w:pStyle w:val="35"/>
              <w:wordWrap w:val="0"/>
              <w:spacing w:before="0" w:beforeAutospacing="0" w:after="0" w:afterAutospacing="0" w:line="460" w:lineRule="exact"/>
              <w:ind w:firstLine="555"/>
              <w:rPr>
                <w:rFonts w:hint="eastAsia" w:ascii="微软雅黑" w:hAnsi="微软雅黑" w:eastAsia="微软雅黑"/>
                <w:color w:val="auto"/>
                <w:kern w:val="2"/>
                <w:sz w:val="21"/>
                <w:szCs w:val="21"/>
                <w:highlight w:val="none"/>
              </w:rPr>
            </w:pPr>
          </w:p>
          <w:p w14:paraId="4043F11A">
            <w:pPr>
              <w:pStyle w:val="35"/>
              <w:wordWrap w:val="0"/>
              <w:spacing w:before="0" w:beforeAutospacing="0" w:after="0" w:afterAutospacing="0" w:line="315" w:lineRule="atLeast"/>
              <w:ind w:left="540" w:firstLine="30"/>
              <w:jc w:val="center"/>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p>
          <w:p w14:paraId="3C0AED3B">
            <w:pPr>
              <w:pStyle w:val="35"/>
              <w:wordWrap w:val="0"/>
              <w:spacing w:before="0" w:beforeAutospacing="0" w:after="0" w:afterAutospacing="0" w:line="315" w:lineRule="atLeast"/>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 xml:space="preserve">    报名单位公章：</w:t>
            </w:r>
            <w:r>
              <w:rPr>
                <w:rFonts w:hint="eastAsia" w:ascii="微软雅黑" w:hAnsi="微软雅黑" w:eastAsia="微软雅黑"/>
                <w:color w:val="auto"/>
                <w:kern w:val="2"/>
                <w:sz w:val="21"/>
                <w:szCs w:val="21"/>
                <w:highlight w:val="none"/>
                <w:u w:val="single"/>
              </w:rPr>
              <w:t>       </w:t>
            </w:r>
            <w:r>
              <w:rPr>
                <w:rFonts w:ascii="微软雅黑" w:hAnsi="微软雅黑" w:eastAsia="微软雅黑"/>
                <w:color w:val="auto"/>
                <w:kern w:val="2"/>
                <w:sz w:val="21"/>
                <w:szCs w:val="21"/>
                <w:highlight w:val="none"/>
                <w:u w:val="single"/>
              </w:rPr>
              <w:t xml:space="preserve">    </w:t>
            </w:r>
            <w:r>
              <w:rPr>
                <w:rFonts w:hint="eastAsia" w:ascii="微软雅黑" w:hAnsi="微软雅黑" w:eastAsia="微软雅黑"/>
                <w:color w:val="auto"/>
                <w:kern w:val="2"/>
                <w:sz w:val="21"/>
                <w:szCs w:val="21"/>
                <w:highlight w:val="none"/>
                <w:u w:val="single"/>
              </w:rPr>
              <w:t>   </w:t>
            </w:r>
            <w:r>
              <w:rPr>
                <w:rFonts w:hint="eastAsia" w:ascii="微软雅黑" w:hAnsi="微软雅黑" w:eastAsia="微软雅黑"/>
                <w:color w:val="auto"/>
                <w:kern w:val="2"/>
                <w:sz w:val="21"/>
                <w:szCs w:val="21"/>
                <w:highlight w:val="none"/>
              </w:rPr>
              <w:t>        </w:t>
            </w:r>
          </w:p>
          <w:p w14:paraId="00B45FB2">
            <w:pPr>
              <w:pStyle w:val="35"/>
              <w:wordWrap w:val="0"/>
              <w:spacing w:before="0" w:beforeAutospacing="0" w:after="0" w:afterAutospacing="0" w:line="315" w:lineRule="atLeast"/>
              <w:ind w:left="540" w:firstLine="30"/>
              <w:jc w:val="both"/>
              <w:rPr>
                <w:rFonts w:hint="eastAsia" w:ascii="微软雅黑" w:hAnsi="微软雅黑" w:eastAsia="微软雅黑" w:cs="仿宋_GB2312"/>
                <w:color w:val="auto"/>
                <w:kern w:val="2"/>
                <w:sz w:val="21"/>
                <w:szCs w:val="21"/>
                <w:highlight w:val="none"/>
              </w:rPr>
            </w:pPr>
          </w:p>
          <w:p w14:paraId="6A874982">
            <w:pPr>
              <w:pStyle w:val="35"/>
              <w:wordWrap w:val="0"/>
              <w:spacing w:before="0" w:beforeAutospacing="0" w:after="0" w:afterAutospacing="0" w:line="315" w:lineRule="atLeast"/>
              <w:ind w:firstLine="420" w:firstLineChars="200"/>
              <w:jc w:val="both"/>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法人代表或负责人签字或盖章：</w:t>
            </w:r>
            <w:r>
              <w:rPr>
                <w:rFonts w:hint="eastAsia" w:ascii="微软雅黑" w:hAnsi="微软雅黑" w:eastAsia="微软雅黑"/>
                <w:color w:val="auto"/>
                <w:kern w:val="2"/>
                <w:sz w:val="21"/>
                <w:szCs w:val="21"/>
                <w:highlight w:val="none"/>
                <w:u w:val="single"/>
              </w:rPr>
              <w:t>         </w:t>
            </w:r>
          </w:p>
          <w:p w14:paraId="48F166B0">
            <w:pPr>
              <w:pStyle w:val="35"/>
              <w:wordWrap w:val="0"/>
              <w:spacing w:before="0" w:beforeAutospacing="0" w:after="0" w:afterAutospacing="0" w:line="315" w:lineRule="atLeast"/>
              <w:ind w:left="540" w:firstLine="30"/>
              <w:jc w:val="center"/>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p>
          <w:p w14:paraId="389A8DE8">
            <w:pPr>
              <w:pStyle w:val="35"/>
              <w:wordWrap w:val="0"/>
              <w:spacing w:before="0" w:beforeAutospacing="0" w:after="0" w:afterAutospacing="0" w:line="315" w:lineRule="atLeast"/>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p>
          <w:p w14:paraId="10B4325F">
            <w:pPr>
              <w:pStyle w:val="35"/>
              <w:wordWrap w:val="0"/>
              <w:spacing w:before="0" w:beforeAutospacing="0" w:after="0" w:afterAutospacing="0" w:line="315" w:lineRule="atLeast"/>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r>
              <w:rPr>
                <w:rFonts w:hint="eastAsia" w:ascii="微软雅黑" w:hAnsi="微软雅黑" w:eastAsia="微软雅黑" w:cs="仿宋_GB2312"/>
                <w:color w:val="auto"/>
                <w:kern w:val="2"/>
                <w:sz w:val="21"/>
                <w:szCs w:val="21"/>
                <w:highlight w:val="none"/>
              </w:rPr>
              <w:t>     年</w:t>
            </w:r>
            <w:r>
              <w:rPr>
                <w:rFonts w:hint="eastAsia" w:ascii="微软雅黑" w:hAnsi="微软雅黑" w:eastAsia="微软雅黑"/>
                <w:color w:val="auto"/>
                <w:kern w:val="2"/>
                <w:sz w:val="21"/>
                <w:szCs w:val="21"/>
                <w:highlight w:val="none"/>
              </w:rPr>
              <w:t>    </w:t>
            </w:r>
            <w:r>
              <w:rPr>
                <w:rFonts w:hint="eastAsia" w:ascii="微软雅黑" w:hAnsi="微软雅黑" w:eastAsia="微软雅黑" w:cs="仿宋_GB2312"/>
                <w:color w:val="auto"/>
                <w:kern w:val="2"/>
                <w:sz w:val="21"/>
                <w:szCs w:val="21"/>
                <w:highlight w:val="none"/>
              </w:rPr>
              <w:t>月</w:t>
            </w:r>
            <w:r>
              <w:rPr>
                <w:rFonts w:hint="eastAsia" w:ascii="微软雅黑" w:hAnsi="微软雅黑" w:eastAsia="微软雅黑"/>
                <w:color w:val="auto"/>
                <w:kern w:val="2"/>
                <w:sz w:val="21"/>
                <w:szCs w:val="21"/>
                <w:highlight w:val="none"/>
              </w:rPr>
              <w:t>    </w:t>
            </w:r>
            <w:r>
              <w:rPr>
                <w:rFonts w:hint="eastAsia" w:ascii="微软雅黑" w:hAnsi="微软雅黑" w:eastAsia="微软雅黑" w:cs="仿宋_GB2312"/>
                <w:color w:val="auto"/>
                <w:kern w:val="2"/>
                <w:sz w:val="21"/>
                <w:szCs w:val="21"/>
                <w:highlight w:val="none"/>
              </w:rPr>
              <w:t>日</w:t>
            </w:r>
          </w:p>
        </w:tc>
      </w:tr>
    </w:tbl>
    <w:p w14:paraId="5F00E003">
      <w:pPr>
        <w:rPr>
          <w:rFonts w:hint="eastAsia" w:ascii="微软雅黑" w:hAnsi="微软雅黑" w:eastAsia="微软雅黑"/>
          <w:color w:val="auto"/>
          <w:szCs w:val="21"/>
          <w:highlight w:val="none"/>
        </w:rPr>
      </w:pPr>
    </w:p>
    <w:sectPr>
      <w:pgSz w:w="11907" w:h="16840"/>
      <w:pgMar w:top="1440" w:right="1797" w:bottom="1440"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粗黑宋简体">
    <w:altName w:val="宋体"/>
    <w:panose1 w:val="02000000000000000000"/>
    <w:charset w:val="86"/>
    <w:family w:val="auto"/>
    <w:pitch w:val="default"/>
    <w:sig w:usb0="00000000" w:usb1="00000000" w:usb2="00000012" w:usb3="00000000" w:csb0="00040001" w:csb1="00000000"/>
  </w:font>
  <w:font w:name="国标仿宋">
    <w:altName w:val="仿宋"/>
    <w:panose1 w:val="02000500000000000000"/>
    <w:charset w:val="86"/>
    <w:family w:val="auto"/>
    <w:pitch w:val="default"/>
    <w:sig w:usb0="00000000" w:usb1="00000000" w:usb2="00000016" w:usb3="00000000" w:csb0="00060007"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apple-system">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48CD961">
        <w:pPr>
          <w:pStyle w:val="26"/>
          <w:jc w:val="center"/>
        </w:pPr>
        <w:r>
          <w:fldChar w:fldCharType="begin"/>
        </w:r>
        <w:r>
          <w:instrText xml:space="preserve">PAGE   \* MERGEFORMAT</w:instrText>
        </w:r>
        <w:r>
          <w:fldChar w:fldCharType="separate"/>
        </w:r>
        <w:r>
          <w:rPr>
            <w:lang w:val="zh-CN"/>
          </w:rPr>
          <w:t>2</w:t>
        </w:r>
        <w:r>
          <w:fldChar w:fldCharType="end"/>
        </w:r>
      </w:p>
    </w:sdtContent>
  </w:sdt>
  <w:p w14:paraId="31E7CF04">
    <w:pPr>
      <w:pStyle w:val="2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F158F">
    <w:pPr>
      <w:pStyle w:val="26"/>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end"/>
    </w:r>
  </w:p>
  <w:p w14:paraId="6FEEC546">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F5779">
    <w:pPr>
      <w:pStyle w:val="26"/>
      <w:jc w:val="right"/>
    </w:pPr>
  </w:p>
  <w:p w14:paraId="69F760AB">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5063927"/>
    </w:sdtPr>
    <w:sdtContent>
      <w:p w14:paraId="711DB5B0">
        <w:pPr>
          <w:pStyle w:val="26"/>
          <w:jc w:val="center"/>
        </w:pPr>
        <w:r>
          <w:fldChar w:fldCharType="begin"/>
        </w:r>
        <w:r>
          <w:instrText xml:space="preserve">PAGE   \* MERGEFORMAT</w:instrText>
        </w:r>
        <w:r>
          <w:fldChar w:fldCharType="separate"/>
        </w:r>
        <w:r>
          <w:rPr>
            <w:lang w:val="zh-CN"/>
          </w:rPr>
          <w:t>2</w:t>
        </w:r>
        <w:r>
          <w:fldChar w:fldCharType="end"/>
        </w:r>
      </w:p>
    </w:sdtContent>
  </w:sdt>
  <w:p w14:paraId="0A2AA1B9">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60B0C">
    <w:pPr>
      <w:pStyle w:val="27"/>
      <w:jc w:val="right"/>
      <w:rPr>
        <w:sz w:val="15"/>
        <w:szCs w:val="15"/>
      </w:rPr>
    </w:pPr>
    <w:r>
      <w:rPr>
        <w:rFonts w:ascii="微软雅黑" w:hAnsi="微软雅黑" w:eastAsia="微软雅黑"/>
        <w:sz w:val="15"/>
        <w:szCs w:val="15"/>
      </w:rPr>
      <w:drawing>
        <wp:anchor distT="0" distB="0" distL="114300" distR="114300" simplePos="0" relativeHeight="251660288" behindDoc="0" locked="0" layoutInCell="1" allowOverlap="1">
          <wp:simplePos x="0" y="0"/>
          <wp:positionH relativeFrom="column">
            <wp:posOffset>-255270</wp:posOffset>
          </wp:positionH>
          <wp:positionV relativeFrom="paragraph">
            <wp:posOffset>-235585</wp:posOffset>
          </wp:positionV>
          <wp:extent cx="447675" cy="390525"/>
          <wp:effectExtent l="19050" t="0" r="9525" b="0"/>
          <wp:wrapNone/>
          <wp:docPr id="8"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102267327523836409"/>
                  <pic:cNvPicPr>
                    <a:picLocks noChangeAspect="1" noChangeArrowheads="1"/>
                  </pic:cNvPicPr>
                </pic:nvPicPr>
                <pic:blipFill>
                  <a:blip r:embed="rId1"/>
                  <a:srcRect/>
                  <a:stretch>
                    <a:fillRect/>
                  </a:stretch>
                </pic:blipFill>
                <pic:spPr>
                  <a:xfrm>
                    <a:off x="0" y="0"/>
                    <a:ext cx="447675" cy="390525"/>
                  </a:xfrm>
                  <a:prstGeom prst="rect">
                    <a:avLst/>
                  </a:prstGeom>
                  <a:noFill/>
                  <a:ln w="9525" cmpd="sng">
                    <a:noFill/>
                    <a:miter lim="800000"/>
                    <a:headEnd/>
                    <a:tailEnd/>
                  </a:ln>
                </pic:spPr>
              </pic:pic>
            </a:graphicData>
          </a:graphic>
        </wp:anchor>
      </w:drawing>
    </w:r>
    <w:r>
      <w:rPr>
        <w:rFonts w:hint="eastAsia" w:ascii="微软雅黑" w:hAnsi="微软雅黑" w:eastAsia="微软雅黑"/>
        <w:sz w:val="15"/>
        <w:szCs w:val="15"/>
        <w:lang w:eastAsia="zh-CN"/>
      </w:rPr>
      <w:t>2025年度（第四期）</w:t>
    </w:r>
    <w:r>
      <w:rPr>
        <w:rFonts w:hint="eastAsia" w:ascii="微软雅黑" w:hAnsi="微软雅黑" w:eastAsia="微软雅黑"/>
        <w:sz w:val="15"/>
        <w:szCs w:val="15"/>
      </w:rPr>
      <w:t>嘉兴市秀洲区住房保障与房地产管理服务中心物业维修资金和物业保修金竞争性存放项目.招标文件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AD4EA">
    <w:pPr>
      <w:pStyle w:val="27"/>
      <w:jc w:val="right"/>
      <w:rPr>
        <w:sz w:val="15"/>
        <w:szCs w:val="15"/>
      </w:rPr>
    </w:pPr>
    <w:r>
      <w:rPr>
        <w:rFonts w:ascii="微软雅黑" w:hAnsi="微软雅黑" w:eastAsia="微软雅黑"/>
        <w:sz w:val="15"/>
        <w:szCs w:val="15"/>
      </w:rPr>
      <w:drawing>
        <wp:anchor distT="0" distB="0" distL="114300" distR="114300" simplePos="0" relativeHeight="251659264" behindDoc="0" locked="0" layoutInCell="1" allowOverlap="1">
          <wp:simplePos x="0" y="0"/>
          <wp:positionH relativeFrom="column">
            <wp:posOffset>-274320</wp:posOffset>
          </wp:positionH>
          <wp:positionV relativeFrom="paragraph">
            <wp:posOffset>-197485</wp:posOffset>
          </wp:positionV>
          <wp:extent cx="447675" cy="390525"/>
          <wp:effectExtent l="19050" t="0" r="9525" b="0"/>
          <wp:wrapNone/>
          <wp:docPr id="7"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2267327523836409"/>
                  <pic:cNvPicPr>
                    <a:picLocks noChangeAspect="1" noChangeArrowheads="1"/>
                  </pic:cNvPicPr>
                </pic:nvPicPr>
                <pic:blipFill>
                  <a:blip r:embed="rId1"/>
                  <a:srcRect/>
                  <a:stretch>
                    <a:fillRect/>
                  </a:stretch>
                </pic:blipFill>
                <pic:spPr>
                  <a:xfrm>
                    <a:off x="0" y="0"/>
                    <a:ext cx="447675" cy="390525"/>
                  </a:xfrm>
                  <a:prstGeom prst="rect">
                    <a:avLst/>
                  </a:prstGeom>
                  <a:noFill/>
                  <a:ln w="9525" cmpd="sng">
                    <a:noFill/>
                    <a:miter lim="800000"/>
                    <a:headEnd/>
                    <a:tailEnd/>
                  </a:ln>
                </pic:spPr>
              </pic:pic>
            </a:graphicData>
          </a:graphic>
        </wp:anchor>
      </w:drawing>
    </w:r>
    <w:r>
      <w:rPr>
        <w:rFonts w:hint="eastAsia" w:ascii="微软雅黑" w:hAnsi="微软雅黑" w:eastAsia="微软雅黑"/>
        <w:sz w:val="15"/>
        <w:szCs w:val="15"/>
        <w:lang w:eastAsia="zh-CN"/>
      </w:rPr>
      <w:t>2025年度（第四期）</w:t>
    </w:r>
    <w:r>
      <w:rPr>
        <w:rFonts w:hint="eastAsia" w:ascii="微软雅黑" w:hAnsi="微软雅黑" w:eastAsia="微软雅黑"/>
        <w:sz w:val="15"/>
        <w:szCs w:val="15"/>
      </w:rPr>
      <w:t>嘉兴市秀洲区住房保障与房地产管理服务中心物业维修资金和物业保修金竞争性存放项目.招标文件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52BDC"/>
    <w:multiLevelType w:val="singleLevel"/>
    <w:tmpl w:val="88A52BDC"/>
    <w:lvl w:ilvl="0" w:tentative="0">
      <w:start w:val="1"/>
      <w:numFmt w:val="decimal"/>
      <w:lvlText w:val="%1."/>
      <w:lvlJc w:val="left"/>
      <w:pPr>
        <w:ind w:left="425" w:hanging="425"/>
      </w:pPr>
      <w:rPr>
        <w:rFonts w:hint="default"/>
      </w:rPr>
    </w:lvl>
  </w:abstractNum>
  <w:abstractNum w:abstractNumId="1">
    <w:nsid w:val="8A826A00"/>
    <w:multiLevelType w:val="multilevel"/>
    <w:tmpl w:val="8A826A00"/>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90A31765"/>
    <w:multiLevelType w:val="singleLevel"/>
    <w:tmpl w:val="90A31765"/>
    <w:lvl w:ilvl="0" w:tentative="0">
      <w:start w:val="1"/>
      <w:numFmt w:val="decimal"/>
      <w:lvlText w:val="(%1)"/>
      <w:lvlJc w:val="left"/>
      <w:pPr>
        <w:ind w:left="425" w:hanging="425"/>
      </w:pPr>
      <w:rPr>
        <w:rFonts w:hint="default"/>
      </w:rPr>
    </w:lvl>
  </w:abstractNum>
  <w:abstractNum w:abstractNumId="3">
    <w:nsid w:val="913C3F71"/>
    <w:multiLevelType w:val="singleLevel"/>
    <w:tmpl w:val="913C3F71"/>
    <w:lvl w:ilvl="0" w:tentative="0">
      <w:start w:val="1"/>
      <w:numFmt w:val="decimal"/>
      <w:lvlText w:val="%1."/>
      <w:lvlJc w:val="left"/>
      <w:pPr>
        <w:ind w:left="425" w:hanging="425"/>
      </w:pPr>
      <w:rPr>
        <w:rFonts w:hint="default"/>
      </w:rPr>
    </w:lvl>
  </w:abstractNum>
  <w:abstractNum w:abstractNumId="4">
    <w:nsid w:val="95BCF98A"/>
    <w:multiLevelType w:val="singleLevel"/>
    <w:tmpl w:val="95BCF98A"/>
    <w:lvl w:ilvl="0" w:tentative="0">
      <w:start w:val="1"/>
      <w:numFmt w:val="decimal"/>
      <w:lvlText w:val="%1."/>
      <w:lvlJc w:val="left"/>
      <w:pPr>
        <w:ind w:left="425" w:hanging="425"/>
      </w:pPr>
      <w:rPr>
        <w:rFonts w:hint="default"/>
      </w:rPr>
    </w:lvl>
  </w:abstractNum>
  <w:abstractNum w:abstractNumId="5">
    <w:nsid w:val="A507EC89"/>
    <w:multiLevelType w:val="singleLevel"/>
    <w:tmpl w:val="A507EC89"/>
    <w:lvl w:ilvl="0" w:tentative="0">
      <w:start w:val="1"/>
      <w:numFmt w:val="chineseCounting"/>
      <w:suff w:val="nothing"/>
      <w:lvlText w:val="%1、"/>
      <w:lvlJc w:val="left"/>
      <w:pPr>
        <w:ind w:left="0" w:firstLine="420"/>
      </w:pPr>
      <w:rPr>
        <w:rFonts w:hint="eastAsia"/>
      </w:rPr>
    </w:lvl>
  </w:abstractNum>
  <w:abstractNum w:abstractNumId="6">
    <w:nsid w:val="B3C48481"/>
    <w:multiLevelType w:val="multilevel"/>
    <w:tmpl w:val="B3C48481"/>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7">
    <w:nsid w:val="C30591CF"/>
    <w:multiLevelType w:val="singleLevel"/>
    <w:tmpl w:val="C30591CF"/>
    <w:lvl w:ilvl="0" w:tentative="0">
      <w:start w:val="1"/>
      <w:numFmt w:val="decimal"/>
      <w:lvlText w:val="(%1)"/>
      <w:lvlJc w:val="left"/>
      <w:pPr>
        <w:ind w:left="425" w:hanging="425"/>
      </w:pPr>
      <w:rPr>
        <w:rFonts w:hint="default"/>
      </w:rPr>
    </w:lvl>
  </w:abstractNum>
  <w:abstractNum w:abstractNumId="8">
    <w:nsid w:val="C70EAB13"/>
    <w:multiLevelType w:val="singleLevel"/>
    <w:tmpl w:val="C70EAB13"/>
    <w:lvl w:ilvl="0" w:tentative="0">
      <w:start w:val="1"/>
      <w:numFmt w:val="decimal"/>
      <w:lvlText w:val="%1."/>
      <w:lvlJc w:val="left"/>
      <w:pPr>
        <w:ind w:left="425" w:hanging="425"/>
      </w:pPr>
      <w:rPr>
        <w:rFonts w:hint="default"/>
      </w:rPr>
    </w:lvl>
  </w:abstractNum>
  <w:abstractNum w:abstractNumId="9">
    <w:nsid w:val="CBE9ACB4"/>
    <w:multiLevelType w:val="singleLevel"/>
    <w:tmpl w:val="CBE9ACB4"/>
    <w:lvl w:ilvl="0" w:tentative="0">
      <w:start w:val="1"/>
      <w:numFmt w:val="decimal"/>
      <w:lvlText w:val="%1."/>
      <w:lvlJc w:val="left"/>
      <w:pPr>
        <w:ind w:left="425" w:hanging="425"/>
      </w:pPr>
      <w:rPr>
        <w:rFonts w:hint="default"/>
      </w:rPr>
    </w:lvl>
  </w:abstractNum>
  <w:abstractNum w:abstractNumId="10">
    <w:nsid w:val="D33917DA"/>
    <w:multiLevelType w:val="multilevel"/>
    <w:tmpl w:val="D33917D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D58D71E6"/>
    <w:multiLevelType w:val="singleLevel"/>
    <w:tmpl w:val="D58D71E6"/>
    <w:lvl w:ilvl="0" w:tentative="0">
      <w:start w:val="1"/>
      <w:numFmt w:val="decimal"/>
      <w:lvlText w:val="(%1)"/>
      <w:lvlJc w:val="left"/>
      <w:pPr>
        <w:ind w:left="425" w:hanging="425"/>
      </w:pPr>
      <w:rPr>
        <w:rFonts w:hint="default"/>
      </w:rPr>
    </w:lvl>
  </w:abstractNum>
  <w:abstractNum w:abstractNumId="12">
    <w:nsid w:val="D8B03D13"/>
    <w:multiLevelType w:val="singleLevel"/>
    <w:tmpl w:val="D8B03D13"/>
    <w:lvl w:ilvl="0" w:tentative="0">
      <w:start w:val="1"/>
      <w:numFmt w:val="decimal"/>
      <w:lvlText w:val="%1."/>
      <w:lvlJc w:val="left"/>
      <w:pPr>
        <w:ind w:left="425" w:hanging="425"/>
      </w:pPr>
      <w:rPr>
        <w:rFonts w:hint="default"/>
      </w:rPr>
    </w:lvl>
  </w:abstractNum>
  <w:abstractNum w:abstractNumId="13">
    <w:nsid w:val="DCEA3D65"/>
    <w:multiLevelType w:val="singleLevel"/>
    <w:tmpl w:val="DCEA3D65"/>
    <w:lvl w:ilvl="0" w:tentative="0">
      <w:start w:val="1"/>
      <w:numFmt w:val="decimal"/>
      <w:lvlText w:val="(%1)"/>
      <w:lvlJc w:val="left"/>
      <w:pPr>
        <w:ind w:left="425" w:hanging="425"/>
      </w:pPr>
      <w:rPr>
        <w:rFonts w:hint="default"/>
      </w:rPr>
    </w:lvl>
  </w:abstractNum>
  <w:abstractNum w:abstractNumId="14">
    <w:nsid w:val="E3E6BB85"/>
    <w:multiLevelType w:val="singleLevel"/>
    <w:tmpl w:val="E3E6BB85"/>
    <w:lvl w:ilvl="0" w:tentative="0">
      <w:start w:val="1"/>
      <w:numFmt w:val="decimal"/>
      <w:lvlText w:val="%1."/>
      <w:lvlJc w:val="left"/>
      <w:pPr>
        <w:ind w:left="425" w:hanging="425"/>
      </w:pPr>
      <w:rPr>
        <w:rFonts w:hint="default"/>
      </w:rPr>
    </w:lvl>
  </w:abstractNum>
  <w:abstractNum w:abstractNumId="15">
    <w:nsid w:val="E475F1C9"/>
    <w:multiLevelType w:val="singleLevel"/>
    <w:tmpl w:val="E475F1C9"/>
    <w:lvl w:ilvl="0" w:tentative="0">
      <w:start w:val="1"/>
      <w:numFmt w:val="decimal"/>
      <w:lvlText w:val="%1."/>
      <w:lvlJc w:val="left"/>
      <w:pPr>
        <w:ind w:left="425" w:hanging="425"/>
      </w:pPr>
      <w:rPr>
        <w:rFonts w:hint="default"/>
      </w:rPr>
    </w:lvl>
  </w:abstractNum>
  <w:abstractNum w:abstractNumId="16">
    <w:nsid w:val="F921381C"/>
    <w:multiLevelType w:val="singleLevel"/>
    <w:tmpl w:val="F921381C"/>
    <w:lvl w:ilvl="0" w:tentative="0">
      <w:start w:val="1"/>
      <w:numFmt w:val="decimal"/>
      <w:lvlText w:val="%1."/>
      <w:lvlJc w:val="left"/>
      <w:pPr>
        <w:ind w:left="425" w:hanging="425"/>
      </w:pPr>
      <w:rPr>
        <w:rFonts w:hint="default"/>
      </w:rPr>
    </w:lvl>
  </w:abstractNum>
  <w:abstractNum w:abstractNumId="17">
    <w:nsid w:val="FFFFFF7E"/>
    <w:multiLevelType w:val="singleLevel"/>
    <w:tmpl w:val="FFFFFF7E"/>
    <w:lvl w:ilvl="0" w:tentative="0">
      <w:start w:val="1"/>
      <w:numFmt w:val="decimal"/>
      <w:pStyle w:val="19"/>
      <w:lvlText w:val="%1."/>
      <w:lvlJc w:val="left"/>
      <w:pPr>
        <w:tabs>
          <w:tab w:val="left" w:pos="1200"/>
        </w:tabs>
        <w:ind w:left="1200" w:leftChars="400" w:hanging="360" w:hangingChars="200"/>
      </w:pPr>
    </w:lvl>
  </w:abstractNum>
  <w:abstractNum w:abstractNumId="18">
    <w:nsid w:val="00D64AA4"/>
    <w:multiLevelType w:val="multilevel"/>
    <w:tmpl w:val="00D64AA4"/>
    <w:lvl w:ilvl="0" w:tentative="0">
      <w:start w:val="1"/>
      <w:numFmt w:val="decimal"/>
      <w:lvlText w:val="%1."/>
      <w:lvlJc w:val="left"/>
      <w:pPr>
        <w:ind w:left="1575" w:hanging="1035"/>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9">
    <w:nsid w:val="12F14B38"/>
    <w:multiLevelType w:val="multilevel"/>
    <w:tmpl w:val="12F14B38"/>
    <w:lvl w:ilvl="0" w:tentative="0">
      <w:start w:val="1"/>
      <w:numFmt w:val="decimal"/>
      <w:lvlText w:val="(%1)"/>
      <w:lvlJc w:val="left"/>
      <w:pPr>
        <w:ind w:left="1080" w:hanging="44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440" w:hanging="440"/>
      </w:pPr>
      <w:rPr>
        <w:rFonts w:hint="default"/>
      </w:r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0">
    <w:nsid w:val="1ED9D2B8"/>
    <w:multiLevelType w:val="singleLevel"/>
    <w:tmpl w:val="1ED9D2B8"/>
    <w:lvl w:ilvl="0" w:tentative="0">
      <w:start w:val="1"/>
      <w:numFmt w:val="decimal"/>
      <w:lvlText w:val="%1."/>
      <w:lvlJc w:val="left"/>
      <w:pPr>
        <w:ind w:left="425" w:hanging="425"/>
      </w:pPr>
      <w:rPr>
        <w:rFonts w:hint="default"/>
      </w:rPr>
    </w:lvl>
  </w:abstractNum>
  <w:abstractNum w:abstractNumId="21">
    <w:nsid w:val="20FC13BD"/>
    <w:multiLevelType w:val="singleLevel"/>
    <w:tmpl w:val="20FC13BD"/>
    <w:lvl w:ilvl="0" w:tentative="0">
      <w:start w:val="1"/>
      <w:numFmt w:val="decimal"/>
      <w:lvlText w:val="%1."/>
      <w:lvlJc w:val="left"/>
      <w:pPr>
        <w:ind w:left="425" w:hanging="425"/>
      </w:pPr>
      <w:rPr>
        <w:rFonts w:hint="default"/>
      </w:rPr>
    </w:lvl>
  </w:abstractNum>
  <w:abstractNum w:abstractNumId="22">
    <w:nsid w:val="21DF733D"/>
    <w:multiLevelType w:val="singleLevel"/>
    <w:tmpl w:val="21DF733D"/>
    <w:lvl w:ilvl="0" w:tentative="0">
      <w:start w:val="1"/>
      <w:numFmt w:val="decimal"/>
      <w:lvlText w:val="%1."/>
      <w:lvlJc w:val="left"/>
      <w:pPr>
        <w:ind w:left="425" w:hanging="425"/>
      </w:pPr>
      <w:rPr>
        <w:rFonts w:hint="default"/>
      </w:rPr>
    </w:lvl>
  </w:abstractNum>
  <w:abstractNum w:abstractNumId="23">
    <w:nsid w:val="28F7E069"/>
    <w:multiLevelType w:val="singleLevel"/>
    <w:tmpl w:val="28F7E069"/>
    <w:lvl w:ilvl="0" w:tentative="0">
      <w:start w:val="1"/>
      <w:numFmt w:val="decimal"/>
      <w:lvlText w:val="%1."/>
      <w:lvlJc w:val="left"/>
      <w:pPr>
        <w:ind w:left="425" w:hanging="425"/>
      </w:pPr>
      <w:rPr>
        <w:rFonts w:hint="default"/>
      </w:rPr>
    </w:lvl>
  </w:abstractNum>
  <w:abstractNum w:abstractNumId="24">
    <w:nsid w:val="3D7E0456"/>
    <w:multiLevelType w:val="singleLevel"/>
    <w:tmpl w:val="3D7E0456"/>
    <w:lvl w:ilvl="0" w:tentative="0">
      <w:start w:val="1"/>
      <w:numFmt w:val="decimal"/>
      <w:lvlText w:val="(%1)"/>
      <w:lvlJc w:val="left"/>
      <w:pPr>
        <w:ind w:left="425" w:hanging="425"/>
      </w:pPr>
      <w:rPr>
        <w:rFonts w:hint="default"/>
      </w:rPr>
    </w:lvl>
  </w:abstractNum>
  <w:abstractNum w:abstractNumId="25">
    <w:nsid w:val="4A9EB156"/>
    <w:multiLevelType w:val="singleLevel"/>
    <w:tmpl w:val="4A9EB156"/>
    <w:lvl w:ilvl="0" w:tentative="0">
      <w:start w:val="1"/>
      <w:numFmt w:val="chineseCounting"/>
      <w:suff w:val="nothing"/>
      <w:lvlText w:val="%1、"/>
      <w:lvlJc w:val="left"/>
      <w:pPr>
        <w:ind w:left="0" w:firstLine="420"/>
      </w:pPr>
      <w:rPr>
        <w:rFonts w:hint="eastAsia"/>
      </w:rPr>
    </w:lvl>
  </w:abstractNum>
  <w:abstractNum w:abstractNumId="26">
    <w:nsid w:val="4C714DD7"/>
    <w:multiLevelType w:val="multilevel"/>
    <w:tmpl w:val="4C714DD7"/>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rPr>
        <w:rFonts w:hint="eastAsia"/>
      </w:rPr>
    </w:lvl>
    <w:lvl w:ilvl="2" w:tentative="0">
      <w:start w:val="1"/>
      <w:numFmt w:val="decimal"/>
      <w:lvlText w:val="%3、"/>
      <w:lvlJc w:val="left"/>
      <w:pPr>
        <w:ind w:left="1575" w:hanging="735"/>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7F802BE"/>
    <w:multiLevelType w:val="multilevel"/>
    <w:tmpl w:val="57F802BE"/>
    <w:lvl w:ilvl="0" w:tentative="0">
      <w:start w:val="1"/>
      <w:numFmt w:val="decimal"/>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8">
    <w:nsid w:val="625A00BB"/>
    <w:multiLevelType w:val="singleLevel"/>
    <w:tmpl w:val="625A00BB"/>
    <w:lvl w:ilvl="0" w:tentative="0">
      <w:start w:val="1"/>
      <w:numFmt w:val="decimal"/>
      <w:lvlText w:val="%1."/>
      <w:lvlJc w:val="left"/>
      <w:pPr>
        <w:ind w:left="425" w:hanging="425"/>
      </w:pPr>
      <w:rPr>
        <w:rFonts w:hint="default"/>
      </w:rPr>
    </w:lvl>
  </w:abstractNum>
  <w:abstractNum w:abstractNumId="29">
    <w:nsid w:val="63EEBE5E"/>
    <w:multiLevelType w:val="singleLevel"/>
    <w:tmpl w:val="63EEBE5E"/>
    <w:lvl w:ilvl="0" w:tentative="0">
      <w:start w:val="1"/>
      <w:numFmt w:val="decimal"/>
      <w:lvlText w:val="%1."/>
      <w:lvlJc w:val="left"/>
      <w:pPr>
        <w:ind w:left="425" w:hanging="425"/>
      </w:pPr>
      <w:rPr>
        <w:rFonts w:hint="default"/>
      </w:rPr>
    </w:lvl>
  </w:abstractNum>
  <w:abstractNum w:abstractNumId="30">
    <w:nsid w:val="6D8C2D0B"/>
    <w:multiLevelType w:val="singleLevel"/>
    <w:tmpl w:val="6D8C2D0B"/>
    <w:lvl w:ilvl="0" w:tentative="0">
      <w:start w:val="1"/>
      <w:numFmt w:val="chineseCounting"/>
      <w:suff w:val="nothing"/>
      <w:lvlText w:val="%1、"/>
      <w:lvlJc w:val="left"/>
      <w:pPr>
        <w:ind w:left="6" w:firstLine="420"/>
      </w:pPr>
      <w:rPr>
        <w:rFonts w:hint="eastAsia"/>
      </w:rPr>
    </w:lvl>
  </w:abstractNum>
  <w:abstractNum w:abstractNumId="31">
    <w:nsid w:val="6F7B3681"/>
    <w:multiLevelType w:val="singleLevel"/>
    <w:tmpl w:val="6F7B3681"/>
    <w:lvl w:ilvl="0" w:tentative="0">
      <w:start w:val="1"/>
      <w:numFmt w:val="decimal"/>
      <w:lvlText w:val="%1."/>
      <w:lvlJc w:val="left"/>
      <w:pPr>
        <w:ind w:left="425" w:hanging="425"/>
      </w:pPr>
      <w:rPr>
        <w:rFonts w:hint="default"/>
      </w:rPr>
    </w:lvl>
  </w:abstractNum>
  <w:num w:numId="1">
    <w:abstractNumId w:val="6"/>
  </w:num>
  <w:num w:numId="2">
    <w:abstractNumId w:val="17"/>
  </w:num>
  <w:num w:numId="3">
    <w:abstractNumId w:val="10"/>
  </w:num>
  <w:num w:numId="4">
    <w:abstractNumId w:val="30"/>
    <w:lvlOverride w:ilvl="0">
      <w:startOverride w:val="1"/>
    </w:lvlOverride>
  </w:num>
  <w:num w:numId="5">
    <w:abstractNumId w:val="28"/>
    <w:lvlOverride w:ilvl="0">
      <w:startOverride w:val="1"/>
    </w:lvlOverride>
  </w:num>
  <w:num w:numId="6">
    <w:abstractNumId w:val="18"/>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1"/>
  </w:num>
  <w:num w:numId="12">
    <w:abstractNumId w:val="12"/>
  </w:num>
  <w:num w:numId="13">
    <w:abstractNumId w:val="4"/>
  </w:num>
  <w:num w:numId="14">
    <w:abstractNumId w:val="0"/>
  </w:num>
  <w:num w:numId="15">
    <w:abstractNumId w:val="20"/>
  </w:num>
  <w:num w:numId="16">
    <w:abstractNumId w:val="15"/>
  </w:num>
  <w:num w:numId="17">
    <w:abstractNumId w:val="8"/>
  </w:num>
  <w:num w:numId="18">
    <w:abstractNumId w:val="16"/>
  </w:num>
  <w:num w:numId="19">
    <w:abstractNumId w:val="23"/>
  </w:num>
  <w:num w:numId="20">
    <w:abstractNumId w:val="9"/>
  </w:num>
  <w:num w:numId="21">
    <w:abstractNumId w:val="1"/>
  </w:num>
  <w:num w:numId="22">
    <w:abstractNumId w:val="26"/>
  </w:num>
  <w:num w:numId="23">
    <w:abstractNumId w:val="2"/>
  </w:num>
  <w:num w:numId="24">
    <w:abstractNumId w:val="7"/>
  </w:num>
  <w:num w:numId="25">
    <w:abstractNumId w:val="22"/>
  </w:num>
  <w:num w:numId="26">
    <w:abstractNumId w:val="25"/>
  </w:num>
  <w:num w:numId="27">
    <w:abstractNumId w:val="27"/>
  </w:num>
  <w:num w:numId="28">
    <w:abstractNumId w:val="19"/>
  </w:num>
  <w:num w:numId="29">
    <w:abstractNumId w:val="31"/>
  </w:num>
  <w:num w:numId="30">
    <w:abstractNumId w:val="13"/>
  </w:num>
  <w:num w:numId="31">
    <w:abstractNumId w:val="3"/>
  </w:num>
  <w:num w:numId="32">
    <w:abstractNumId w:val="24"/>
  </w:num>
  <w:num w:numId="33">
    <w:abstractNumId w:val="1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JlMTYyNTAxYWM3MWI0NzliODIyODNmMjdmN2NhNGEifQ=="/>
  </w:docVars>
  <w:rsids>
    <w:rsidRoot w:val="006D32D0"/>
    <w:rsid w:val="0000149B"/>
    <w:rsid w:val="00002187"/>
    <w:rsid w:val="00007C69"/>
    <w:rsid w:val="00010B5D"/>
    <w:rsid w:val="00017B42"/>
    <w:rsid w:val="0003290F"/>
    <w:rsid w:val="00033AF5"/>
    <w:rsid w:val="000340B0"/>
    <w:rsid w:val="00035DC4"/>
    <w:rsid w:val="0003635C"/>
    <w:rsid w:val="00040BF8"/>
    <w:rsid w:val="0004175F"/>
    <w:rsid w:val="00042F14"/>
    <w:rsid w:val="00044282"/>
    <w:rsid w:val="00045DDF"/>
    <w:rsid w:val="00050624"/>
    <w:rsid w:val="0005248B"/>
    <w:rsid w:val="00060249"/>
    <w:rsid w:val="0006419B"/>
    <w:rsid w:val="00064C8B"/>
    <w:rsid w:val="00066145"/>
    <w:rsid w:val="00066D2F"/>
    <w:rsid w:val="000700C8"/>
    <w:rsid w:val="000735A5"/>
    <w:rsid w:val="00073FFF"/>
    <w:rsid w:val="00074098"/>
    <w:rsid w:val="000836B9"/>
    <w:rsid w:val="0008614C"/>
    <w:rsid w:val="00087531"/>
    <w:rsid w:val="00090918"/>
    <w:rsid w:val="000921D0"/>
    <w:rsid w:val="0009344E"/>
    <w:rsid w:val="00094BA1"/>
    <w:rsid w:val="00094D78"/>
    <w:rsid w:val="000A3153"/>
    <w:rsid w:val="000A4E02"/>
    <w:rsid w:val="000A6662"/>
    <w:rsid w:val="000A6A55"/>
    <w:rsid w:val="000B1CD8"/>
    <w:rsid w:val="000B22BA"/>
    <w:rsid w:val="000B247C"/>
    <w:rsid w:val="000B2AAF"/>
    <w:rsid w:val="000B5037"/>
    <w:rsid w:val="000C2093"/>
    <w:rsid w:val="000C4023"/>
    <w:rsid w:val="000C55F1"/>
    <w:rsid w:val="000C58ED"/>
    <w:rsid w:val="000D1C0F"/>
    <w:rsid w:val="000D24D2"/>
    <w:rsid w:val="000D2952"/>
    <w:rsid w:val="000D65E1"/>
    <w:rsid w:val="000D7889"/>
    <w:rsid w:val="000E05F4"/>
    <w:rsid w:val="000E397D"/>
    <w:rsid w:val="000E5A3A"/>
    <w:rsid w:val="000E6F76"/>
    <w:rsid w:val="000F098A"/>
    <w:rsid w:val="000F0A09"/>
    <w:rsid w:val="000F0D6E"/>
    <w:rsid w:val="000F1452"/>
    <w:rsid w:val="000F2893"/>
    <w:rsid w:val="000F43EA"/>
    <w:rsid w:val="000F5654"/>
    <w:rsid w:val="000F6278"/>
    <w:rsid w:val="000F633D"/>
    <w:rsid w:val="000F6E21"/>
    <w:rsid w:val="000F7E65"/>
    <w:rsid w:val="00101C48"/>
    <w:rsid w:val="00105047"/>
    <w:rsid w:val="001056F1"/>
    <w:rsid w:val="001057E0"/>
    <w:rsid w:val="00105AC7"/>
    <w:rsid w:val="001060E9"/>
    <w:rsid w:val="00107173"/>
    <w:rsid w:val="001079C8"/>
    <w:rsid w:val="00107F10"/>
    <w:rsid w:val="00110D44"/>
    <w:rsid w:val="00114500"/>
    <w:rsid w:val="00114950"/>
    <w:rsid w:val="00117387"/>
    <w:rsid w:val="00117A31"/>
    <w:rsid w:val="001201EC"/>
    <w:rsid w:val="001227F5"/>
    <w:rsid w:val="00123B7A"/>
    <w:rsid w:val="001245B7"/>
    <w:rsid w:val="0012498A"/>
    <w:rsid w:val="00125657"/>
    <w:rsid w:val="00125918"/>
    <w:rsid w:val="00127FD6"/>
    <w:rsid w:val="00131C36"/>
    <w:rsid w:val="00131C61"/>
    <w:rsid w:val="00132299"/>
    <w:rsid w:val="00140425"/>
    <w:rsid w:val="00140AD3"/>
    <w:rsid w:val="00145218"/>
    <w:rsid w:val="001468EB"/>
    <w:rsid w:val="00147046"/>
    <w:rsid w:val="001505CF"/>
    <w:rsid w:val="00155FF0"/>
    <w:rsid w:val="0015763C"/>
    <w:rsid w:val="00157908"/>
    <w:rsid w:val="00165526"/>
    <w:rsid w:val="00170430"/>
    <w:rsid w:val="001720BE"/>
    <w:rsid w:val="001748E9"/>
    <w:rsid w:val="001751BB"/>
    <w:rsid w:val="001801CA"/>
    <w:rsid w:val="00181F89"/>
    <w:rsid w:val="001833E8"/>
    <w:rsid w:val="00183931"/>
    <w:rsid w:val="001847A4"/>
    <w:rsid w:val="00184C36"/>
    <w:rsid w:val="0018586C"/>
    <w:rsid w:val="00185D73"/>
    <w:rsid w:val="00186659"/>
    <w:rsid w:val="00190C9E"/>
    <w:rsid w:val="001918FE"/>
    <w:rsid w:val="00191A0F"/>
    <w:rsid w:val="0019322B"/>
    <w:rsid w:val="00194B51"/>
    <w:rsid w:val="001960DB"/>
    <w:rsid w:val="00196B62"/>
    <w:rsid w:val="001A0A22"/>
    <w:rsid w:val="001A2156"/>
    <w:rsid w:val="001A458C"/>
    <w:rsid w:val="001A6E75"/>
    <w:rsid w:val="001B2018"/>
    <w:rsid w:val="001B25E7"/>
    <w:rsid w:val="001B38FB"/>
    <w:rsid w:val="001C322D"/>
    <w:rsid w:val="001C3377"/>
    <w:rsid w:val="001C41AC"/>
    <w:rsid w:val="001C5570"/>
    <w:rsid w:val="001C5A61"/>
    <w:rsid w:val="001D61A6"/>
    <w:rsid w:val="001D70E3"/>
    <w:rsid w:val="001D7238"/>
    <w:rsid w:val="001E0945"/>
    <w:rsid w:val="001E267F"/>
    <w:rsid w:val="001E3319"/>
    <w:rsid w:val="001E43D3"/>
    <w:rsid w:val="001E442D"/>
    <w:rsid w:val="001E4FDD"/>
    <w:rsid w:val="001E501D"/>
    <w:rsid w:val="001E742D"/>
    <w:rsid w:val="001F5B88"/>
    <w:rsid w:val="002004F1"/>
    <w:rsid w:val="00202A3D"/>
    <w:rsid w:val="00203727"/>
    <w:rsid w:val="0020382C"/>
    <w:rsid w:val="00204D20"/>
    <w:rsid w:val="00210717"/>
    <w:rsid w:val="00210A53"/>
    <w:rsid w:val="00213211"/>
    <w:rsid w:val="00220968"/>
    <w:rsid w:val="0022105D"/>
    <w:rsid w:val="00222FA3"/>
    <w:rsid w:val="0023142B"/>
    <w:rsid w:val="00234CAB"/>
    <w:rsid w:val="00241039"/>
    <w:rsid w:val="00250FA4"/>
    <w:rsid w:val="00252A9E"/>
    <w:rsid w:val="0025375C"/>
    <w:rsid w:val="002540AA"/>
    <w:rsid w:val="00254BA3"/>
    <w:rsid w:val="00256B16"/>
    <w:rsid w:val="002662F5"/>
    <w:rsid w:val="002678A4"/>
    <w:rsid w:val="00270EA8"/>
    <w:rsid w:val="00274D05"/>
    <w:rsid w:val="00275554"/>
    <w:rsid w:val="0027666B"/>
    <w:rsid w:val="002769E4"/>
    <w:rsid w:val="00281BCE"/>
    <w:rsid w:val="00281C0F"/>
    <w:rsid w:val="0028537B"/>
    <w:rsid w:val="002906AC"/>
    <w:rsid w:val="002916F7"/>
    <w:rsid w:val="00292409"/>
    <w:rsid w:val="002946CB"/>
    <w:rsid w:val="00294CA1"/>
    <w:rsid w:val="00297560"/>
    <w:rsid w:val="0029773B"/>
    <w:rsid w:val="002A101B"/>
    <w:rsid w:val="002A140D"/>
    <w:rsid w:val="002A1B05"/>
    <w:rsid w:val="002A67E0"/>
    <w:rsid w:val="002A7611"/>
    <w:rsid w:val="002B1C4B"/>
    <w:rsid w:val="002B3865"/>
    <w:rsid w:val="002B3FBD"/>
    <w:rsid w:val="002B5D62"/>
    <w:rsid w:val="002C1ECB"/>
    <w:rsid w:val="002C2298"/>
    <w:rsid w:val="002C275B"/>
    <w:rsid w:val="002C4073"/>
    <w:rsid w:val="002C6D45"/>
    <w:rsid w:val="002C7710"/>
    <w:rsid w:val="002C787B"/>
    <w:rsid w:val="002D1F59"/>
    <w:rsid w:val="002D351B"/>
    <w:rsid w:val="002E1852"/>
    <w:rsid w:val="002E1DDD"/>
    <w:rsid w:val="002E3F9D"/>
    <w:rsid w:val="002E6B60"/>
    <w:rsid w:val="002E71C6"/>
    <w:rsid w:val="002E7730"/>
    <w:rsid w:val="002E7C55"/>
    <w:rsid w:val="002F5EE9"/>
    <w:rsid w:val="002F669F"/>
    <w:rsid w:val="00300B33"/>
    <w:rsid w:val="00303856"/>
    <w:rsid w:val="003047BC"/>
    <w:rsid w:val="003052E2"/>
    <w:rsid w:val="00307346"/>
    <w:rsid w:val="00310C3D"/>
    <w:rsid w:val="003129C0"/>
    <w:rsid w:val="003131B9"/>
    <w:rsid w:val="003134D8"/>
    <w:rsid w:val="00314CEC"/>
    <w:rsid w:val="003152F9"/>
    <w:rsid w:val="0031684D"/>
    <w:rsid w:val="0031764A"/>
    <w:rsid w:val="003220FE"/>
    <w:rsid w:val="003230DE"/>
    <w:rsid w:val="0032333C"/>
    <w:rsid w:val="00323723"/>
    <w:rsid w:val="003244E9"/>
    <w:rsid w:val="003249B2"/>
    <w:rsid w:val="00325EB4"/>
    <w:rsid w:val="003304DD"/>
    <w:rsid w:val="00335394"/>
    <w:rsid w:val="00335C29"/>
    <w:rsid w:val="003370F9"/>
    <w:rsid w:val="0033766F"/>
    <w:rsid w:val="003378A7"/>
    <w:rsid w:val="00341BA8"/>
    <w:rsid w:val="00342A08"/>
    <w:rsid w:val="00343867"/>
    <w:rsid w:val="00350ADB"/>
    <w:rsid w:val="00362814"/>
    <w:rsid w:val="003653CE"/>
    <w:rsid w:val="003656D3"/>
    <w:rsid w:val="003663D0"/>
    <w:rsid w:val="00366CB7"/>
    <w:rsid w:val="00367E9D"/>
    <w:rsid w:val="00370B95"/>
    <w:rsid w:val="0037695B"/>
    <w:rsid w:val="003778AE"/>
    <w:rsid w:val="003810F2"/>
    <w:rsid w:val="003817EE"/>
    <w:rsid w:val="003821B3"/>
    <w:rsid w:val="003837FB"/>
    <w:rsid w:val="003847A1"/>
    <w:rsid w:val="0038487E"/>
    <w:rsid w:val="003859E1"/>
    <w:rsid w:val="00387485"/>
    <w:rsid w:val="0038748B"/>
    <w:rsid w:val="00391A89"/>
    <w:rsid w:val="00391EC3"/>
    <w:rsid w:val="00393D13"/>
    <w:rsid w:val="003A055B"/>
    <w:rsid w:val="003A10C9"/>
    <w:rsid w:val="003A392B"/>
    <w:rsid w:val="003A3A91"/>
    <w:rsid w:val="003A431C"/>
    <w:rsid w:val="003A4598"/>
    <w:rsid w:val="003A5554"/>
    <w:rsid w:val="003A7015"/>
    <w:rsid w:val="003B1DAC"/>
    <w:rsid w:val="003B38AB"/>
    <w:rsid w:val="003B6C49"/>
    <w:rsid w:val="003B7C77"/>
    <w:rsid w:val="003C037D"/>
    <w:rsid w:val="003C44D2"/>
    <w:rsid w:val="003C4E1B"/>
    <w:rsid w:val="003C51C5"/>
    <w:rsid w:val="003D05F5"/>
    <w:rsid w:val="003D143A"/>
    <w:rsid w:val="003D4CFD"/>
    <w:rsid w:val="003D4FEE"/>
    <w:rsid w:val="003E1F90"/>
    <w:rsid w:val="003E2629"/>
    <w:rsid w:val="003E4629"/>
    <w:rsid w:val="003E4BB3"/>
    <w:rsid w:val="003E5BCD"/>
    <w:rsid w:val="003E697A"/>
    <w:rsid w:val="003F02D4"/>
    <w:rsid w:val="003F0AD2"/>
    <w:rsid w:val="003F0B62"/>
    <w:rsid w:val="003F1149"/>
    <w:rsid w:val="003F1A76"/>
    <w:rsid w:val="003F6F7E"/>
    <w:rsid w:val="0040111A"/>
    <w:rsid w:val="004014D9"/>
    <w:rsid w:val="00403072"/>
    <w:rsid w:val="00404D63"/>
    <w:rsid w:val="00404F87"/>
    <w:rsid w:val="0040785F"/>
    <w:rsid w:val="00411236"/>
    <w:rsid w:val="00414336"/>
    <w:rsid w:val="00420D76"/>
    <w:rsid w:val="00421C99"/>
    <w:rsid w:val="00427437"/>
    <w:rsid w:val="004328F5"/>
    <w:rsid w:val="004339AC"/>
    <w:rsid w:val="0043433D"/>
    <w:rsid w:val="00436AA2"/>
    <w:rsid w:val="004371BD"/>
    <w:rsid w:val="00437CFF"/>
    <w:rsid w:val="0044527E"/>
    <w:rsid w:val="004453EC"/>
    <w:rsid w:val="004459E5"/>
    <w:rsid w:val="00451D2D"/>
    <w:rsid w:val="0045599C"/>
    <w:rsid w:val="004563F6"/>
    <w:rsid w:val="00462AFB"/>
    <w:rsid w:val="00463712"/>
    <w:rsid w:val="00465C3A"/>
    <w:rsid w:val="004664B1"/>
    <w:rsid w:val="00471F75"/>
    <w:rsid w:val="0047268E"/>
    <w:rsid w:val="00480D38"/>
    <w:rsid w:val="00481C8D"/>
    <w:rsid w:val="00482292"/>
    <w:rsid w:val="00483204"/>
    <w:rsid w:val="00483404"/>
    <w:rsid w:val="004836B9"/>
    <w:rsid w:val="0048387D"/>
    <w:rsid w:val="0048754D"/>
    <w:rsid w:val="004875B1"/>
    <w:rsid w:val="0049417E"/>
    <w:rsid w:val="00495121"/>
    <w:rsid w:val="004A1C35"/>
    <w:rsid w:val="004A42F3"/>
    <w:rsid w:val="004A5F67"/>
    <w:rsid w:val="004B1955"/>
    <w:rsid w:val="004B25CE"/>
    <w:rsid w:val="004B34D0"/>
    <w:rsid w:val="004B36AB"/>
    <w:rsid w:val="004B507B"/>
    <w:rsid w:val="004B6921"/>
    <w:rsid w:val="004B69DF"/>
    <w:rsid w:val="004B6FE7"/>
    <w:rsid w:val="004B7197"/>
    <w:rsid w:val="004C3B84"/>
    <w:rsid w:val="004C61D2"/>
    <w:rsid w:val="004D0E4C"/>
    <w:rsid w:val="004D1FFA"/>
    <w:rsid w:val="004D26DF"/>
    <w:rsid w:val="004D7AFD"/>
    <w:rsid w:val="004E0814"/>
    <w:rsid w:val="004E1215"/>
    <w:rsid w:val="004E281A"/>
    <w:rsid w:val="004E6021"/>
    <w:rsid w:val="004E616C"/>
    <w:rsid w:val="004E6935"/>
    <w:rsid w:val="004E7C59"/>
    <w:rsid w:val="004F01B2"/>
    <w:rsid w:val="004F0CE1"/>
    <w:rsid w:val="004F1FAA"/>
    <w:rsid w:val="004F3816"/>
    <w:rsid w:val="004F49E5"/>
    <w:rsid w:val="005007A1"/>
    <w:rsid w:val="005032AF"/>
    <w:rsid w:val="0050517A"/>
    <w:rsid w:val="00505264"/>
    <w:rsid w:val="00506BC0"/>
    <w:rsid w:val="00507B2A"/>
    <w:rsid w:val="00512B3D"/>
    <w:rsid w:val="00512E6A"/>
    <w:rsid w:val="00513065"/>
    <w:rsid w:val="0051396A"/>
    <w:rsid w:val="00515E25"/>
    <w:rsid w:val="0051627E"/>
    <w:rsid w:val="0051785A"/>
    <w:rsid w:val="00517AEF"/>
    <w:rsid w:val="00524770"/>
    <w:rsid w:val="00526423"/>
    <w:rsid w:val="00527AC2"/>
    <w:rsid w:val="00527CD5"/>
    <w:rsid w:val="00530B52"/>
    <w:rsid w:val="0053389A"/>
    <w:rsid w:val="0053406F"/>
    <w:rsid w:val="00534533"/>
    <w:rsid w:val="00534E6C"/>
    <w:rsid w:val="005365AC"/>
    <w:rsid w:val="00536D24"/>
    <w:rsid w:val="00544442"/>
    <w:rsid w:val="00545380"/>
    <w:rsid w:val="00547833"/>
    <w:rsid w:val="00550AD4"/>
    <w:rsid w:val="00551CA0"/>
    <w:rsid w:val="00551FC0"/>
    <w:rsid w:val="00552157"/>
    <w:rsid w:val="00554760"/>
    <w:rsid w:val="0055494A"/>
    <w:rsid w:val="005618C4"/>
    <w:rsid w:val="005626ED"/>
    <w:rsid w:val="00563944"/>
    <w:rsid w:val="00564A80"/>
    <w:rsid w:val="00572F6F"/>
    <w:rsid w:val="005740FF"/>
    <w:rsid w:val="00574645"/>
    <w:rsid w:val="0057624F"/>
    <w:rsid w:val="00577856"/>
    <w:rsid w:val="0058012F"/>
    <w:rsid w:val="005801F1"/>
    <w:rsid w:val="005801FF"/>
    <w:rsid w:val="005809C4"/>
    <w:rsid w:val="00581156"/>
    <w:rsid w:val="005844B5"/>
    <w:rsid w:val="005900DF"/>
    <w:rsid w:val="00590118"/>
    <w:rsid w:val="00590363"/>
    <w:rsid w:val="00590425"/>
    <w:rsid w:val="005907AF"/>
    <w:rsid w:val="00591991"/>
    <w:rsid w:val="00593CA8"/>
    <w:rsid w:val="00593E1E"/>
    <w:rsid w:val="00594BAF"/>
    <w:rsid w:val="00595253"/>
    <w:rsid w:val="00596AB2"/>
    <w:rsid w:val="00596F4B"/>
    <w:rsid w:val="005A0C14"/>
    <w:rsid w:val="005A4CB9"/>
    <w:rsid w:val="005B1ACC"/>
    <w:rsid w:val="005B2D93"/>
    <w:rsid w:val="005B4A6A"/>
    <w:rsid w:val="005C05FC"/>
    <w:rsid w:val="005C1820"/>
    <w:rsid w:val="005C78B1"/>
    <w:rsid w:val="005D02E7"/>
    <w:rsid w:val="005D375C"/>
    <w:rsid w:val="005D4E08"/>
    <w:rsid w:val="005D644B"/>
    <w:rsid w:val="005D6AFC"/>
    <w:rsid w:val="005E178E"/>
    <w:rsid w:val="005E1BEB"/>
    <w:rsid w:val="005E24A0"/>
    <w:rsid w:val="005E3B07"/>
    <w:rsid w:val="005E60B6"/>
    <w:rsid w:val="005F1CA0"/>
    <w:rsid w:val="005F3A48"/>
    <w:rsid w:val="005F4885"/>
    <w:rsid w:val="005F4EAF"/>
    <w:rsid w:val="005F5691"/>
    <w:rsid w:val="005F6541"/>
    <w:rsid w:val="005F6D0A"/>
    <w:rsid w:val="00600194"/>
    <w:rsid w:val="00602167"/>
    <w:rsid w:val="00606D07"/>
    <w:rsid w:val="006117BF"/>
    <w:rsid w:val="0061323C"/>
    <w:rsid w:val="00614D5B"/>
    <w:rsid w:val="00614E6E"/>
    <w:rsid w:val="0061569F"/>
    <w:rsid w:val="00622644"/>
    <w:rsid w:val="00623932"/>
    <w:rsid w:val="0062397E"/>
    <w:rsid w:val="006309BB"/>
    <w:rsid w:val="0063364B"/>
    <w:rsid w:val="00634B7C"/>
    <w:rsid w:val="00634BB3"/>
    <w:rsid w:val="00634DFC"/>
    <w:rsid w:val="00634FA5"/>
    <w:rsid w:val="00635A80"/>
    <w:rsid w:val="006366F5"/>
    <w:rsid w:val="00636D13"/>
    <w:rsid w:val="00643307"/>
    <w:rsid w:val="00647315"/>
    <w:rsid w:val="00647C0A"/>
    <w:rsid w:val="00650E5D"/>
    <w:rsid w:val="006529AA"/>
    <w:rsid w:val="00652A8C"/>
    <w:rsid w:val="00656014"/>
    <w:rsid w:val="00661B6E"/>
    <w:rsid w:val="0066657B"/>
    <w:rsid w:val="00667A3C"/>
    <w:rsid w:val="006701E2"/>
    <w:rsid w:val="00670D47"/>
    <w:rsid w:val="00672199"/>
    <w:rsid w:val="00672370"/>
    <w:rsid w:val="00673348"/>
    <w:rsid w:val="006736B1"/>
    <w:rsid w:val="0067437C"/>
    <w:rsid w:val="0067722C"/>
    <w:rsid w:val="00682075"/>
    <w:rsid w:val="00683B40"/>
    <w:rsid w:val="006852E5"/>
    <w:rsid w:val="0068547D"/>
    <w:rsid w:val="00685FCE"/>
    <w:rsid w:val="0068603A"/>
    <w:rsid w:val="006866D2"/>
    <w:rsid w:val="006866FD"/>
    <w:rsid w:val="00686F15"/>
    <w:rsid w:val="00690C3C"/>
    <w:rsid w:val="006933F0"/>
    <w:rsid w:val="006A0905"/>
    <w:rsid w:val="006A0C98"/>
    <w:rsid w:val="006A11D1"/>
    <w:rsid w:val="006A140B"/>
    <w:rsid w:val="006A1645"/>
    <w:rsid w:val="006A3515"/>
    <w:rsid w:val="006A4105"/>
    <w:rsid w:val="006A5564"/>
    <w:rsid w:val="006B3AC0"/>
    <w:rsid w:val="006B3E12"/>
    <w:rsid w:val="006B677E"/>
    <w:rsid w:val="006B7861"/>
    <w:rsid w:val="006C2084"/>
    <w:rsid w:val="006C7C4D"/>
    <w:rsid w:val="006D0D3F"/>
    <w:rsid w:val="006D20E2"/>
    <w:rsid w:val="006D2281"/>
    <w:rsid w:val="006D303C"/>
    <w:rsid w:val="006D32D0"/>
    <w:rsid w:val="006D5C1B"/>
    <w:rsid w:val="006D7758"/>
    <w:rsid w:val="006D7B64"/>
    <w:rsid w:val="006E3D96"/>
    <w:rsid w:val="006E655C"/>
    <w:rsid w:val="006E6F42"/>
    <w:rsid w:val="006E7EFA"/>
    <w:rsid w:val="006F0DC0"/>
    <w:rsid w:val="006F0DDB"/>
    <w:rsid w:val="006F4128"/>
    <w:rsid w:val="006F61E5"/>
    <w:rsid w:val="006F6649"/>
    <w:rsid w:val="00700168"/>
    <w:rsid w:val="00700337"/>
    <w:rsid w:val="00701328"/>
    <w:rsid w:val="007023B0"/>
    <w:rsid w:val="00702A6C"/>
    <w:rsid w:val="00704782"/>
    <w:rsid w:val="00704A60"/>
    <w:rsid w:val="0071017C"/>
    <w:rsid w:val="007122FE"/>
    <w:rsid w:val="00712750"/>
    <w:rsid w:val="007164E1"/>
    <w:rsid w:val="00721009"/>
    <w:rsid w:val="007229CB"/>
    <w:rsid w:val="00723AE7"/>
    <w:rsid w:val="00724A67"/>
    <w:rsid w:val="0072571B"/>
    <w:rsid w:val="00725835"/>
    <w:rsid w:val="00732D70"/>
    <w:rsid w:val="00733CA5"/>
    <w:rsid w:val="007342A6"/>
    <w:rsid w:val="007354F1"/>
    <w:rsid w:val="00736B3E"/>
    <w:rsid w:val="00740696"/>
    <w:rsid w:val="007425D7"/>
    <w:rsid w:val="007449B4"/>
    <w:rsid w:val="007456AC"/>
    <w:rsid w:val="0075024C"/>
    <w:rsid w:val="007508A5"/>
    <w:rsid w:val="00753B19"/>
    <w:rsid w:val="00756AAF"/>
    <w:rsid w:val="007620AE"/>
    <w:rsid w:val="007676B8"/>
    <w:rsid w:val="00774EBF"/>
    <w:rsid w:val="00776351"/>
    <w:rsid w:val="00783106"/>
    <w:rsid w:val="00785F39"/>
    <w:rsid w:val="007867AF"/>
    <w:rsid w:val="00787327"/>
    <w:rsid w:val="00790CDC"/>
    <w:rsid w:val="00791C57"/>
    <w:rsid w:val="00791DDC"/>
    <w:rsid w:val="00792559"/>
    <w:rsid w:val="00793A99"/>
    <w:rsid w:val="00795A01"/>
    <w:rsid w:val="00795A6D"/>
    <w:rsid w:val="00795CB0"/>
    <w:rsid w:val="00797A2C"/>
    <w:rsid w:val="007A425A"/>
    <w:rsid w:val="007A6409"/>
    <w:rsid w:val="007A6AC2"/>
    <w:rsid w:val="007A7624"/>
    <w:rsid w:val="007B2875"/>
    <w:rsid w:val="007C0512"/>
    <w:rsid w:val="007C1E70"/>
    <w:rsid w:val="007C415F"/>
    <w:rsid w:val="007C7F85"/>
    <w:rsid w:val="007D0136"/>
    <w:rsid w:val="007D44FA"/>
    <w:rsid w:val="007D47B6"/>
    <w:rsid w:val="007D4DB5"/>
    <w:rsid w:val="007E4852"/>
    <w:rsid w:val="007E4CD0"/>
    <w:rsid w:val="007F0000"/>
    <w:rsid w:val="007F0D61"/>
    <w:rsid w:val="007F1B4F"/>
    <w:rsid w:val="007F3ECD"/>
    <w:rsid w:val="007F4F3D"/>
    <w:rsid w:val="007F67FB"/>
    <w:rsid w:val="00800E6D"/>
    <w:rsid w:val="00801244"/>
    <w:rsid w:val="00803C0D"/>
    <w:rsid w:val="00806ACF"/>
    <w:rsid w:val="00812C05"/>
    <w:rsid w:val="008207AC"/>
    <w:rsid w:val="0082343A"/>
    <w:rsid w:val="008327AC"/>
    <w:rsid w:val="00834F7F"/>
    <w:rsid w:val="008357E4"/>
    <w:rsid w:val="008366C3"/>
    <w:rsid w:val="00847816"/>
    <w:rsid w:val="00852EC8"/>
    <w:rsid w:val="00854D92"/>
    <w:rsid w:val="00854F3E"/>
    <w:rsid w:val="00856F02"/>
    <w:rsid w:val="00857DFC"/>
    <w:rsid w:val="00860663"/>
    <w:rsid w:val="0086550E"/>
    <w:rsid w:val="0086641A"/>
    <w:rsid w:val="00866EFC"/>
    <w:rsid w:val="00867D88"/>
    <w:rsid w:val="008716E7"/>
    <w:rsid w:val="0087346B"/>
    <w:rsid w:val="00874997"/>
    <w:rsid w:val="00874D24"/>
    <w:rsid w:val="00874F69"/>
    <w:rsid w:val="0088061A"/>
    <w:rsid w:val="00887FDA"/>
    <w:rsid w:val="008971B1"/>
    <w:rsid w:val="008A193A"/>
    <w:rsid w:val="008A55B9"/>
    <w:rsid w:val="008A6C1E"/>
    <w:rsid w:val="008B3B03"/>
    <w:rsid w:val="008B4934"/>
    <w:rsid w:val="008B4EFD"/>
    <w:rsid w:val="008B5467"/>
    <w:rsid w:val="008B6BFD"/>
    <w:rsid w:val="008C2388"/>
    <w:rsid w:val="008C2D0C"/>
    <w:rsid w:val="008C2E8E"/>
    <w:rsid w:val="008C65CB"/>
    <w:rsid w:val="008C7370"/>
    <w:rsid w:val="008D1281"/>
    <w:rsid w:val="008D2D34"/>
    <w:rsid w:val="008D35FA"/>
    <w:rsid w:val="008D39D2"/>
    <w:rsid w:val="008D3E3E"/>
    <w:rsid w:val="008D42F4"/>
    <w:rsid w:val="008D5663"/>
    <w:rsid w:val="008E0ED1"/>
    <w:rsid w:val="008E28CF"/>
    <w:rsid w:val="008E47DB"/>
    <w:rsid w:val="008F20F0"/>
    <w:rsid w:val="008F2B98"/>
    <w:rsid w:val="008F4087"/>
    <w:rsid w:val="008F46A3"/>
    <w:rsid w:val="008F49C2"/>
    <w:rsid w:val="008F4A57"/>
    <w:rsid w:val="008F4D0F"/>
    <w:rsid w:val="008F66D0"/>
    <w:rsid w:val="008F722C"/>
    <w:rsid w:val="00901304"/>
    <w:rsid w:val="00903844"/>
    <w:rsid w:val="00903F9C"/>
    <w:rsid w:val="00904D2E"/>
    <w:rsid w:val="009056D3"/>
    <w:rsid w:val="00905D11"/>
    <w:rsid w:val="0090603C"/>
    <w:rsid w:val="009060F7"/>
    <w:rsid w:val="00906C67"/>
    <w:rsid w:val="00911D79"/>
    <w:rsid w:val="0091281A"/>
    <w:rsid w:val="0091302E"/>
    <w:rsid w:val="00914CC3"/>
    <w:rsid w:val="00916043"/>
    <w:rsid w:val="009161FD"/>
    <w:rsid w:val="009165A5"/>
    <w:rsid w:val="009201F2"/>
    <w:rsid w:val="00921573"/>
    <w:rsid w:val="00922573"/>
    <w:rsid w:val="00922A22"/>
    <w:rsid w:val="00925E0F"/>
    <w:rsid w:val="00932620"/>
    <w:rsid w:val="00936C5F"/>
    <w:rsid w:val="00937C7A"/>
    <w:rsid w:val="00937D49"/>
    <w:rsid w:val="00937F8C"/>
    <w:rsid w:val="0094190A"/>
    <w:rsid w:val="00943D44"/>
    <w:rsid w:val="00951FC1"/>
    <w:rsid w:val="0095462B"/>
    <w:rsid w:val="00954C23"/>
    <w:rsid w:val="009550F9"/>
    <w:rsid w:val="00956736"/>
    <w:rsid w:val="009626B1"/>
    <w:rsid w:val="00962F88"/>
    <w:rsid w:val="00963E35"/>
    <w:rsid w:val="00965B4B"/>
    <w:rsid w:val="009660F2"/>
    <w:rsid w:val="00966EA4"/>
    <w:rsid w:val="00967BF9"/>
    <w:rsid w:val="00970015"/>
    <w:rsid w:val="00970AA6"/>
    <w:rsid w:val="00970DD6"/>
    <w:rsid w:val="00980F45"/>
    <w:rsid w:val="00981290"/>
    <w:rsid w:val="009815CD"/>
    <w:rsid w:val="00982145"/>
    <w:rsid w:val="0098294A"/>
    <w:rsid w:val="00983535"/>
    <w:rsid w:val="009869DC"/>
    <w:rsid w:val="00987268"/>
    <w:rsid w:val="00993B8E"/>
    <w:rsid w:val="00995505"/>
    <w:rsid w:val="009A0AC8"/>
    <w:rsid w:val="009A3C40"/>
    <w:rsid w:val="009A433E"/>
    <w:rsid w:val="009A5AC3"/>
    <w:rsid w:val="009A6073"/>
    <w:rsid w:val="009B078E"/>
    <w:rsid w:val="009B4E27"/>
    <w:rsid w:val="009C3192"/>
    <w:rsid w:val="009C6DD3"/>
    <w:rsid w:val="009C7B4A"/>
    <w:rsid w:val="009D1D00"/>
    <w:rsid w:val="009D44DD"/>
    <w:rsid w:val="009D4F41"/>
    <w:rsid w:val="009E3B5B"/>
    <w:rsid w:val="009E401C"/>
    <w:rsid w:val="009E7692"/>
    <w:rsid w:val="009F0C5A"/>
    <w:rsid w:val="009F3C9A"/>
    <w:rsid w:val="009F4E83"/>
    <w:rsid w:val="009F4EB4"/>
    <w:rsid w:val="009F5178"/>
    <w:rsid w:val="009F5949"/>
    <w:rsid w:val="00A0234E"/>
    <w:rsid w:val="00A02436"/>
    <w:rsid w:val="00A06B49"/>
    <w:rsid w:val="00A06EF0"/>
    <w:rsid w:val="00A10E2A"/>
    <w:rsid w:val="00A15178"/>
    <w:rsid w:val="00A15CBD"/>
    <w:rsid w:val="00A15D0F"/>
    <w:rsid w:val="00A2068C"/>
    <w:rsid w:val="00A24877"/>
    <w:rsid w:val="00A3041E"/>
    <w:rsid w:val="00A3068B"/>
    <w:rsid w:val="00A31018"/>
    <w:rsid w:val="00A35374"/>
    <w:rsid w:val="00A404C9"/>
    <w:rsid w:val="00A4571D"/>
    <w:rsid w:val="00A46AF6"/>
    <w:rsid w:val="00A5049F"/>
    <w:rsid w:val="00A529B3"/>
    <w:rsid w:val="00A54676"/>
    <w:rsid w:val="00A54EB7"/>
    <w:rsid w:val="00A56D27"/>
    <w:rsid w:val="00A578BB"/>
    <w:rsid w:val="00A57BFC"/>
    <w:rsid w:val="00A607B7"/>
    <w:rsid w:val="00A652AB"/>
    <w:rsid w:val="00A655FF"/>
    <w:rsid w:val="00A657F6"/>
    <w:rsid w:val="00A65B72"/>
    <w:rsid w:val="00A66691"/>
    <w:rsid w:val="00A71EC9"/>
    <w:rsid w:val="00A71F86"/>
    <w:rsid w:val="00A72211"/>
    <w:rsid w:val="00A741C2"/>
    <w:rsid w:val="00A751D5"/>
    <w:rsid w:val="00A82B9E"/>
    <w:rsid w:val="00A837C2"/>
    <w:rsid w:val="00A842D3"/>
    <w:rsid w:val="00A8472E"/>
    <w:rsid w:val="00A8513D"/>
    <w:rsid w:val="00A87282"/>
    <w:rsid w:val="00A921AC"/>
    <w:rsid w:val="00A942A0"/>
    <w:rsid w:val="00A94458"/>
    <w:rsid w:val="00A9521A"/>
    <w:rsid w:val="00A96C7F"/>
    <w:rsid w:val="00A978EC"/>
    <w:rsid w:val="00AA0194"/>
    <w:rsid w:val="00AA19CB"/>
    <w:rsid w:val="00AA208A"/>
    <w:rsid w:val="00AA2A03"/>
    <w:rsid w:val="00AA63E4"/>
    <w:rsid w:val="00AA6B7A"/>
    <w:rsid w:val="00AA6F7C"/>
    <w:rsid w:val="00AA719B"/>
    <w:rsid w:val="00AB1DAF"/>
    <w:rsid w:val="00AB215B"/>
    <w:rsid w:val="00AB3CDD"/>
    <w:rsid w:val="00AB48F0"/>
    <w:rsid w:val="00AB6318"/>
    <w:rsid w:val="00AB6429"/>
    <w:rsid w:val="00AB6B50"/>
    <w:rsid w:val="00AB6B79"/>
    <w:rsid w:val="00AC4CC0"/>
    <w:rsid w:val="00AC532B"/>
    <w:rsid w:val="00AC5A04"/>
    <w:rsid w:val="00AC6065"/>
    <w:rsid w:val="00AC687F"/>
    <w:rsid w:val="00AC6DDC"/>
    <w:rsid w:val="00AC7D45"/>
    <w:rsid w:val="00AD0848"/>
    <w:rsid w:val="00AD2586"/>
    <w:rsid w:val="00AD5271"/>
    <w:rsid w:val="00AE0192"/>
    <w:rsid w:val="00AE0309"/>
    <w:rsid w:val="00AE1605"/>
    <w:rsid w:val="00AE6673"/>
    <w:rsid w:val="00AE6A1C"/>
    <w:rsid w:val="00AF1398"/>
    <w:rsid w:val="00AF1B1E"/>
    <w:rsid w:val="00AF4873"/>
    <w:rsid w:val="00AF794B"/>
    <w:rsid w:val="00B016F1"/>
    <w:rsid w:val="00B03F72"/>
    <w:rsid w:val="00B05CD0"/>
    <w:rsid w:val="00B06D8B"/>
    <w:rsid w:val="00B10432"/>
    <w:rsid w:val="00B10B0E"/>
    <w:rsid w:val="00B11776"/>
    <w:rsid w:val="00B11ACD"/>
    <w:rsid w:val="00B17CAF"/>
    <w:rsid w:val="00B211F0"/>
    <w:rsid w:val="00B21890"/>
    <w:rsid w:val="00B21C0D"/>
    <w:rsid w:val="00B21D72"/>
    <w:rsid w:val="00B25864"/>
    <w:rsid w:val="00B25BDB"/>
    <w:rsid w:val="00B2766C"/>
    <w:rsid w:val="00B339CB"/>
    <w:rsid w:val="00B36DD6"/>
    <w:rsid w:val="00B44CAB"/>
    <w:rsid w:val="00B4692B"/>
    <w:rsid w:val="00B46E89"/>
    <w:rsid w:val="00B52DBD"/>
    <w:rsid w:val="00B52ECD"/>
    <w:rsid w:val="00B53D78"/>
    <w:rsid w:val="00B559A9"/>
    <w:rsid w:val="00B70354"/>
    <w:rsid w:val="00B757AD"/>
    <w:rsid w:val="00B75806"/>
    <w:rsid w:val="00B770DC"/>
    <w:rsid w:val="00B81E91"/>
    <w:rsid w:val="00B834C2"/>
    <w:rsid w:val="00B83694"/>
    <w:rsid w:val="00B83E2B"/>
    <w:rsid w:val="00B90F35"/>
    <w:rsid w:val="00B917BF"/>
    <w:rsid w:val="00B924F4"/>
    <w:rsid w:val="00B936DB"/>
    <w:rsid w:val="00B950AB"/>
    <w:rsid w:val="00B96203"/>
    <w:rsid w:val="00B97265"/>
    <w:rsid w:val="00BA2987"/>
    <w:rsid w:val="00BA2FB2"/>
    <w:rsid w:val="00BA7996"/>
    <w:rsid w:val="00BB0215"/>
    <w:rsid w:val="00BB0876"/>
    <w:rsid w:val="00BB316E"/>
    <w:rsid w:val="00BB638B"/>
    <w:rsid w:val="00BC044A"/>
    <w:rsid w:val="00BC0C15"/>
    <w:rsid w:val="00BC67D5"/>
    <w:rsid w:val="00BC6EA0"/>
    <w:rsid w:val="00BD3138"/>
    <w:rsid w:val="00BD506A"/>
    <w:rsid w:val="00BD5E0E"/>
    <w:rsid w:val="00BE28CC"/>
    <w:rsid w:val="00BE3541"/>
    <w:rsid w:val="00BE6716"/>
    <w:rsid w:val="00BE68CD"/>
    <w:rsid w:val="00BF01CB"/>
    <w:rsid w:val="00BF0C2F"/>
    <w:rsid w:val="00BF2835"/>
    <w:rsid w:val="00BF40A7"/>
    <w:rsid w:val="00BF5589"/>
    <w:rsid w:val="00BF6B29"/>
    <w:rsid w:val="00BF7523"/>
    <w:rsid w:val="00BF7711"/>
    <w:rsid w:val="00C02B55"/>
    <w:rsid w:val="00C037C0"/>
    <w:rsid w:val="00C04FF1"/>
    <w:rsid w:val="00C10A00"/>
    <w:rsid w:val="00C10B23"/>
    <w:rsid w:val="00C11B87"/>
    <w:rsid w:val="00C132A1"/>
    <w:rsid w:val="00C1440C"/>
    <w:rsid w:val="00C152BB"/>
    <w:rsid w:val="00C156DF"/>
    <w:rsid w:val="00C15871"/>
    <w:rsid w:val="00C1773C"/>
    <w:rsid w:val="00C17F2B"/>
    <w:rsid w:val="00C21A42"/>
    <w:rsid w:val="00C248A8"/>
    <w:rsid w:val="00C27E69"/>
    <w:rsid w:val="00C3165E"/>
    <w:rsid w:val="00C31A8F"/>
    <w:rsid w:val="00C33929"/>
    <w:rsid w:val="00C33D64"/>
    <w:rsid w:val="00C35A47"/>
    <w:rsid w:val="00C37439"/>
    <w:rsid w:val="00C4104B"/>
    <w:rsid w:val="00C438A3"/>
    <w:rsid w:val="00C50B2E"/>
    <w:rsid w:val="00C51DA5"/>
    <w:rsid w:val="00C5284B"/>
    <w:rsid w:val="00C53C2C"/>
    <w:rsid w:val="00C555B9"/>
    <w:rsid w:val="00C56297"/>
    <w:rsid w:val="00C566A7"/>
    <w:rsid w:val="00C60A3F"/>
    <w:rsid w:val="00C60BDC"/>
    <w:rsid w:val="00C60CF7"/>
    <w:rsid w:val="00C6498C"/>
    <w:rsid w:val="00C655A6"/>
    <w:rsid w:val="00C65853"/>
    <w:rsid w:val="00C675BF"/>
    <w:rsid w:val="00C67E41"/>
    <w:rsid w:val="00C73E10"/>
    <w:rsid w:val="00C8251E"/>
    <w:rsid w:val="00C84092"/>
    <w:rsid w:val="00C86192"/>
    <w:rsid w:val="00C86446"/>
    <w:rsid w:val="00C87FF6"/>
    <w:rsid w:val="00C905D2"/>
    <w:rsid w:val="00C91486"/>
    <w:rsid w:val="00C915CE"/>
    <w:rsid w:val="00C9467E"/>
    <w:rsid w:val="00CA025F"/>
    <w:rsid w:val="00CA031D"/>
    <w:rsid w:val="00CA0755"/>
    <w:rsid w:val="00CA3180"/>
    <w:rsid w:val="00CA3BB8"/>
    <w:rsid w:val="00CA4FF1"/>
    <w:rsid w:val="00CA587B"/>
    <w:rsid w:val="00CA686B"/>
    <w:rsid w:val="00CA6C98"/>
    <w:rsid w:val="00CB1DC9"/>
    <w:rsid w:val="00CB4334"/>
    <w:rsid w:val="00CB4894"/>
    <w:rsid w:val="00CB4E97"/>
    <w:rsid w:val="00CB593A"/>
    <w:rsid w:val="00CC09DD"/>
    <w:rsid w:val="00CC1A7D"/>
    <w:rsid w:val="00CC5778"/>
    <w:rsid w:val="00CC6DF9"/>
    <w:rsid w:val="00CC78FC"/>
    <w:rsid w:val="00CD43A3"/>
    <w:rsid w:val="00CD4A81"/>
    <w:rsid w:val="00CD616F"/>
    <w:rsid w:val="00CE4CC0"/>
    <w:rsid w:val="00CE7880"/>
    <w:rsid w:val="00CF0C2D"/>
    <w:rsid w:val="00CF13B3"/>
    <w:rsid w:val="00CF444F"/>
    <w:rsid w:val="00CF7883"/>
    <w:rsid w:val="00CF7A0E"/>
    <w:rsid w:val="00D00669"/>
    <w:rsid w:val="00D00F22"/>
    <w:rsid w:val="00D00F62"/>
    <w:rsid w:val="00D024B5"/>
    <w:rsid w:val="00D05FB7"/>
    <w:rsid w:val="00D062D6"/>
    <w:rsid w:val="00D0749B"/>
    <w:rsid w:val="00D13564"/>
    <w:rsid w:val="00D143FE"/>
    <w:rsid w:val="00D153D2"/>
    <w:rsid w:val="00D15D6E"/>
    <w:rsid w:val="00D16591"/>
    <w:rsid w:val="00D165A9"/>
    <w:rsid w:val="00D16B15"/>
    <w:rsid w:val="00D16B53"/>
    <w:rsid w:val="00D17447"/>
    <w:rsid w:val="00D21B89"/>
    <w:rsid w:val="00D22774"/>
    <w:rsid w:val="00D22898"/>
    <w:rsid w:val="00D22B2D"/>
    <w:rsid w:val="00D22C8C"/>
    <w:rsid w:val="00D239C8"/>
    <w:rsid w:val="00D2516F"/>
    <w:rsid w:val="00D30C33"/>
    <w:rsid w:val="00D311EC"/>
    <w:rsid w:val="00D31D19"/>
    <w:rsid w:val="00D3224E"/>
    <w:rsid w:val="00D364BE"/>
    <w:rsid w:val="00D4334C"/>
    <w:rsid w:val="00D43DA8"/>
    <w:rsid w:val="00D45D27"/>
    <w:rsid w:val="00D47283"/>
    <w:rsid w:val="00D47559"/>
    <w:rsid w:val="00D47664"/>
    <w:rsid w:val="00D51231"/>
    <w:rsid w:val="00D51C96"/>
    <w:rsid w:val="00D5228C"/>
    <w:rsid w:val="00D5343D"/>
    <w:rsid w:val="00D53FEE"/>
    <w:rsid w:val="00D56F05"/>
    <w:rsid w:val="00D61AC6"/>
    <w:rsid w:val="00D67287"/>
    <w:rsid w:val="00D673A2"/>
    <w:rsid w:val="00D70107"/>
    <w:rsid w:val="00D765E5"/>
    <w:rsid w:val="00D80423"/>
    <w:rsid w:val="00D8405A"/>
    <w:rsid w:val="00D8600D"/>
    <w:rsid w:val="00D90DE8"/>
    <w:rsid w:val="00D91800"/>
    <w:rsid w:val="00D91B4C"/>
    <w:rsid w:val="00D91B8C"/>
    <w:rsid w:val="00D92760"/>
    <w:rsid w:val="00D92C2A"/>
    <w:rsid w:val="00D93A2D"/>
    <w:rsid w:val="00D94F76"/>
    <w:rsid w:val="00D97A6D"/>
    <w:rsid w:val="00DA5716"/>
    <w:rsid w:val="00DA7633"/>
    <w:rsid w:val="00DA79C0"/>
    <w:rsid w:val="00DB12E4"/>
    <w:rsid w:val="00DB2C16"/>
    <w:rsid w:val="00DB4027"/>
    <w:rsid w:val="00DB42FC"/>
    <w:rsid w:val="00DB7D51"/>
    <w:rsid w:val="00DC3F5B"/>
    <w:rsid w:val="00DC4D8A"/>
    <w:rsid w:val="00DC7EBB"/>
    <w:rsid w:val="00DD0025"/>
    <w:rsid w:val="00DD1F4A"/>
    <w:rsid w:val="00DD2440"/>
    <w:rsid w:val="00DD2ADD"/>
    <w:rsid w:val="00DD2BA3"/>
    <w:rsid w:val="00DD375F"/>
    <w:rsid w:val="00DD4248"/>
    <w:rsid w:val="00DD5EA9"/>
    <w:rsid w:val="00DD77CF"/>
    <w:rsid w:val="00DE2B43"/>
    <w:rsid w:val="00DE32D7"/>
    <w:rsid w:val="00DE36AD"/>
    <w:rsid w:val="00DE3A07"/>
    <w:rsid w:val="00DE3AD6"/>
    <w:rsid w:val="00DE5559"/>
    <w:rsid w:val="00DE67F4"/>
    <w:rsid w:val="00DE689F"/>
    <w:rsid w:val="00DE68CB"/>
    <w:rsid w:val="00DF2093"/>
    <w:rsid w:val="00DF23F9"/>
    <w:rsid w:val="00DF2A69"/>
    <w:rsid w:val="00DF3FF1"/>
    <w:rsid w:val="00DF40A4"/>
    <w:rsid w:val="00DF5644"/>
    <w:rsid w:val="00E00906"/>
    <w:rsid w:val="00E010BF"/>
    <w:rsid w:val="00E0330C"/>
    <w:rsid w:val="00E03626"/>
    <w:rsid w:val="00E12274"/>
    <w:rsid w:val="00E14F8B"/>
    <w:rsid w:val="00E16E57"/>
    <w:rsid w:val="00E2026F"/>
    <w:rsid w:val="00E21A81"/>
    <w:rsid w:val="00E24A79"/>
    <w:rsid w:val="00E24CC8"/>
    <w:rsid w:val="00E26AD7"/>
    <w:rsid w:val="00E271D7"/>
    <w:rsid w:val="00E275B3"/>
    <w:rsid w:val="00E27F6E"/>
    <w:rsid w:val="00E314B5"/>
    <w:rsid w:val="00E3220C"/>
    <w:rsid w:val="00E33395"/>
    <w:rsid w:val="00E336C1"/>
    <w:rsid w:val="00E35167"/>
    <w:rsid w:val="00E35A53"/>
    <w:rsid w:val="00E363C4"/>
    <w:rsid w:val="00E37482"/>
    <w:rsid w:val="00E3756C"/>
    <w:rsid w:val="00E37C48"/>
    <w:rsid w:val="00E44571"/>
    <w:rsid w:val="00E45B63"/>
    <w:rsid w:val="00E46659"/>
    <w:rsid w:val="00E50BE0"/>
    <w:rsid w:val="00E5150B"/>
    <w:rsid w:val="00E535CE"/>
    <w:rsid w:val="00E57677"/>
    <w:rsid w:val="00E60D0B"/>
    <w:rsid w:val="00E627F8"/>
    <w:rsid w:val="00E70FB2"/>
    <w:rsid w:val="00E7328D"/>
    <w:rsid w:val="00E77963"/>
    <w:rsid w:val="00E84DAA"/>
    <w:rsid w:val="00E90A0C"/>
    <w:rsid w:val="00E91169"/>
    <w:rsid w:val="00E91851"/>
    <w:rsid w:val="00E91E95"/>
    <w:rsid w:val="00E95E5A"/>
    <w:rsid w:val="00E9758E"/>
    <w:rsid w:val="00EA2DA7"/>
    <w:rsid w:val="00EA4D07"/>
    <w:rsid w:val="00EA5177"/>
    <w:rsid w:val="00EA55E7"/>
    <w:rsid w:val="00EA7206"/>
    <w:rsid w:val="00EB012D"/>
    <w:rsid w:val="00EB03EB"/>
    <w:rsid w:val="00EB125E"/>
    <w:rsid w:val="00EB1B59"/>
    <w:rsid w:val="00EB5D1E"/>
    <w:rsid w:val="00EB62E3"/>
    <w:rsid w:val="00EB6F40"/>
    <w:rsid w:val="00EC1900"/>
    <w:rsid w:val="00EC2B5C"/>
    <w:rsid w:val="00EC4174"/>
    <w:rsid w:val="00ED339D"/>
    <w:rsid w:val="00ED3722"/>
    <w:rsid w:val="00ED49CD"/>
    <w:rsid w:val="00EE0773"/>
    <w:rsid w:val="00EE13A3"/>
    <w:rsid w:val="00EE352F"/>
    <w:rsid w:val="00EE394B"/>
    <w:rsid w:val="00EE3D56"/>
    <w:rsid w:val="00EE6EF3"/>
    <w:rsid w:val="00EF1135"/>
    <w:rsid w:val="00EF5796"/>
    <w:rsid w:val="00EF611E"/>
    <w:rsid w:val="00F00954"/>
    <w:rsid w:val="00F016D9"/>
    <w:rsid w:val="00F06A41"/>
    <w:rsid w:val="00F110FC"/>
    <w:rsid w:val="00F15ADC"/>
    <w:rsid w:val="00F17D46"/>
    <w:rsid w:val="00F20677"/>
    <w:rsid w:val="00F22F68"/>
    <w:rsid w:val="00F23AF0"/>
    <w:rsid w:val="00F264E4"/>
    <w:rsid w:val="00F27D75"/>
    <w:rsid w:val="00F300B1"/>
    <w:rsid w:val="00F3371D"/>
    <w:rsid w:val="00F33A1C"/>
    <w:rsid w:val="00F35D84"/>
    <w:rsid w:val="00F36398"/>
    <w:rsid w:val="00F41907"/>
    <w:rsid w:val="00F423D1"/>
    <w:rsid w:val="00F432DF"/>
    <w:rsid w:val="00F453E9"/>
    <w:rsid w:val="00F51787"/>
    <w:rsid w:val="00F5178C"/>
    <w:rsid w:val="00F5223A"/>
    <w:rsid w:val="00F53755"/>
    <w:rsid w:val="00F56DE4"/>
    <w:rsid w:val="00F5784A"/>
    <w:rsid w:val="00F601E0"/>
    <w:rsid w:val="00F616FB"/>
    <w:rsid w:val="00F64368"/>
    <w:rsid w:val="00F6446A"/>
    <w:rsid w:val="00F64E99"/>
    <w:rsid w:val="00F66134"/>
    <w:rsid w:val="00F66983"/>
    <w:rsid w:val="00F67FB7"/>
    <w:rsid w:val="00F7419D"/>
    <w:rsid w:val="00F744F8"/>
    <w:rsid w:val="00F813DE"/>
    <w:rsid w:val="00F84506"/>
    <w:rsid w:val="00F84C35"/>
    <w:rsid w:val="00F85003"/>
    <w:rsid w:val="00F85EA7"/>
    <w:rsid w:val="00F907ED"/>
    <w:rsid w:val="00F92222"/>
    <w:rsid w:val="00F93AA4"/>
    <w:rsid w:val="00F97856"/>
    <w:rsid w:val="00FA341B"/>
    <w:rsid w:val="00FA557D"/>
    <w:rsid w:val="00FA7392"/>
    <w:rsid w:val="00FA7C69"/>
    <w:rsid w:val="00FA7D1C"/>
    <w:rsid w:val="00FB6D67"/>
    <w:rsid w:val="00FC6255"/>
    <w:rsid w:val="00FC6310"/>
    <w:rsid w:val="00FC6A96"/>
    <w:rsid w:val="00FD0FCB"/>
    <w:rsid w:val="00FD31F8"/>
    <w:rsid w:val="00FD5BC6"/>
    <w:rsid w:val="00FD7AF4"/>
    <w:rsid w:val="00FE2095"/>
    <w:rsid w:val="00FE479D"/>
    <w:rsid w:val="00FE480C"/>
    <w:rsid w:val="00FE58EC"/>
    <w:rsid w:val="00FE7638"/>
    <w:rsid w:val="00FE7EBB"/>
    <w:rsid w:val="00FF3165"/>
    <w:rsid w:val="00FF3B42"/>
    <w:rsid w:val="013E1207"/>
    <w:rsid w:val="03D35847"/>
    <w:rsid w:val="04A71423"/>
    <w:rsid w:val="050D54CE"/>
    <w:rsid w:val="05F56F28"/>
    <w:rsid w:val="07A01DB0"/>
    <w:rsid w:val="08634C14"/>
    <w:rsid w:val="0ADD5B52"/>
    <w:rsid w:val="0ADE6E63"/>
    <w:rsid w:val="0B50226B"/>
    <w:rsid w:val="0B7246E8"/>
    <w:rsid w:val="0BD770AF"/>
    <w:rsid w:val="0F7C4C80"/>
    <w:rsid w:val="0F81180E"/>
    <w:rsid w:val="105E2E5C"/>
    <w:rsid w:val="111C4301"/>
    <w:rsid w:val="13565858"/>
    <w:rsid w:val="179D1E56"/>
    <w:rsid w:val="18852EEA"/>
    <w:rsid w:val="1A74747D"/>
    <w:rsid w:val="1B260EFF"/>
    <w:rsid w:val="1BD641A0"/>
    <w:rsid w:val="1DEA3AA7"/>
    <w:rsid w:val="235A0903"/>
    <w:rsid w:val="24000FEA"/>
    <w:rsid w:val="24057623"/>
    <w:rsid w:val="272066B2"/>
    <w:rsid w:val="2AB551B1"/>
    <w:rsid w:val="2C9D0974"/>
    <w:rsid w:val="2F564B73"/>
    <w:rsid w:val="2FEB563A"/>
    <w:rsid w:val="30340008"/>
    <w:rsid w:val="33A06D9D"/>
    <w:rsid w:val="34404F71"/>
    <w:rsid w:val="352D33ED"/>
    <w:rsid w:val="3C1D3DDD"/>
    <w:rsid w:val="3DDAD2C4"/>
    <w:rsid w:val="3F3348D1"/>
    <w:rsid w:val="431775F1"/>
    <w:rsid w:val="44B3734F"/>
    <w:rsid w:val="44DA134B"/>
    <w:rsid w:val="47F81BC3"/>
    <w:rsid w:val="49130743"/>
    <w:rsid w:val="49B503C3"/>
    <w:rsid w:val="4B736992"/>
    <w:rsid w:val="502A762A"/>
    <w:rsid w:val="54962724"/>
    <w:rsid w:val="55703B13"/>
    <w:rsid w:val="55C039D1"/>
    <w:rsid w:val="57AF0677"/>
    <w:rsid w:val="5808183D"/>
    <w:rsid w:val="59550211"/>
    <w:rsid w:val="59552A64"/>
    <w:rsid w:val="59A35087"/>
    <w:rsid w:val="5B8161A6"/>
    <w:rsid w:val="5BD273E2"/>
    <w:rsid w:val="5C441F53"/>
    <w:rsid w:val="5E591C11"/>
    <w:rsid w:val="5FBF890F"/>
    <w:rsid w:val="5FD34363"/>
    <w:rsid w:val="65B37365"/>
    <w:rsid w:val="65FD3508"/>
    <w:rsid w:val="664A5D9B"/>
    <w:rsid w:val="67DA5704"/>
    <w:rsid w:val="69BB58A7"/>
    <w:rsid w:val="69EC013A"/>
    <w:rsid w:val="6A2A538C"/>
    <w:rsid w:val="6A526DBD"/>
    <w:rsid w:val="6FF8094C"/>
    <w:rsid w:val="70F5267F"/>
    <w:rsid w:val="728955C8"/>
    <w:rsid w:val="76587F18"/>
    <w:rsid w:val="7729255B"/>
    <w:rsid w:val="7812004D"/>
    <w:rsid w:val="78DF4BA6"/>
    <w:rsid w:val="78FB53C1"/>
    <w:rsid w:val="7E73511B"/>
    <w:rsid w:val="7FA00847"/>
    <w:rsid w:val="FF7E40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numPr>
        <w:ilvl w:val="1"/>
        <w:numId w:val="1"/>
      </w:numPr>
      <w:spacing w:before="260" w:after="260" w:line="416" w:lineRule="auto"/>
      <w:jc w:val="left"/>
      <w:outlineLvl w:val="1"/>
    </w:pPr>
    <w:rPr>
      <w:rFonts w:ascii="Arial" w:hAnsi="Arial" w:eastAsia="微软雅黑"/>
      <w:b/>
      <w:bCs/>
      <w:szCs w:val="32"/>
    </w:rPr>
  </w:style>
  <w:style w:type="paragraph" w:styleId="4">
    <w:name w:val="heading 3"/>
    <w:basedOn w:val="1"/>
    <w:next w:val="5"/>
    <w:link w:val="50"/>
    <w:autoRedefine/>
    <w:qFormat/>
    <w:uiPriority w:val="0"/>
    <w:pPr>
      <w:keepNext/>
      <w:keepLines/>
      <w:numPr>
        <w:ilvl w:val="2"/>
        <w:numId w:val="1"/>
      </w:numPr>
      <w:spacing w:line="360" w:lineRule="auto"/>
      <w:ind w:firstLine="720" w:firstLineChars="200"/>
      <w:jc w:val="left"/>
      <w:outlineLvl w:val="2"/>
    </w:pPr>
    <w:rPr>
      <w:rFonts w:ascii="仿宋_GB2312" w:hAnsi="仿宋_GB2312" w:eastAsia="微软雅黑"/>
      <w:b/>
      <w:bCs/>
      <w:szCs w:val="20"/>
    </w:rPr>
  </w:style>
  <w:style w:type="paragraph" w:styleId="6">
    <w:name w:val="heading 4"/>
    <w:basedOn w:val="1"/>
    <w:next w:val="1"/>
    <w:autoRedefine/>
    <w:unhideWhenUsed/>
    <w:qFormat/>
    <w:uiPriority w:val="0"/>
    <w:pPr>
      <w:keepNext/>
      <w:keepLines/>
      <w:numPr>
        <w:ilvl w:val="3"/>
        <w:numId w:val="1"/>
      </w:numPr>
      <w:spacing w:line="372" w:lineRule="auto"/>
      <w:outlineLvl w:val="3"/>
    </w:pPr>
    <w:rPr>
      <w:rFonts w:ascii="Arial" w:hAnsi="Arial" w:eastAsia="黑体"/>
      <w:b/>
      <w:sz w:val="28"/>
    </w:rPr>
  </w:style>
  <w:style w:type="paragraph" w:styleId="7">
    <w:name w:val="heading 5"/>
    <w:basedOn w:val="1"/>
    <w:next w:val="1"/>
    <w:autoRedefine/>
    <w:unhideWhenUsed/>
    <w:qFormat/>
    <w:uiPriority w:val="0"/>
    <w:pPr>
      <w:keepNext/>
      <w:keepLines/>
      <w:numPr>
        <w:ilvl w:val="4"/>
        <w:numId w:val="1"/>
      </w:numPr>
      <w:spacing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autoRedefine/>
    <w:semiHidden/>
    <w:unhideWhenUsed/>
    <w:qFormat/>
    <w:uiPriority w:val="0"/>
    <w:pPr>
      <w:keepNext/>
      <w:keepLines/>
      <w:numPr>
        <w:ilvl w:val="6"/>
        <w:numId w:val="1"/>
      </w:numPr>
      <w:spacing w:line="317" w:lineRule="auto"/>
      <w:outlineLvl w:val="6"/>
    </w:pPr>
    <w:rPr>
      <w:b/>
      <w:sz w:val="24"/>
    </w:rPr>
  </w:style>
  <w:style w:type="paragraph" w:styleId="10">
    <w:name w:val="heading 8"/>
    <w:basedOn w:val="1"/>
    <w:next w:val="1"/>
    <w:autoRedefine/>
    <w:semiHidden/>
    <w:unhideWhenUsed/>
    <w:qFormat/>
    <w:uiPriority w:val="0"/>
    <w:pPr>
      <w:keepNext/>
      <w:keepLines/>
      <w:numPr>
        <w:ilvl w:val="7"/>
        <w:numId w:val="1"/>
      </w:numPr>
      <w:spacing w:line="317" w:lineRule="auto"/>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1"/>
      </w:numPr>
      <w:spacing w:line="317" w:lineRule="auto"/>
      <w:outlineLvl w:val="8"/>
    </w:pPr>
    <w:rPr>
      <w:rFonts w:ascii="Arial" w:hAnsi="Arial" w:eastAsia="黑体"/>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9"/>
    <w:autoRedefine/>
    <w:qFormat/>
    <w:uiPriority w:val="0"/>
    <w:pPr>
      <w:ind w:firstLine="420"/>
    </w:pPr>
    <w:rPr>
      <w:szCs w:val="20"/>
    </w:rPr>
  </w:style>
  <w:style w:type="paragraph" w:styleId="12">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autoRedefine/>
    <w:semiHidden/>
    <w:qFormat/>
    <w:uiPriority w:val="0"/>
    <w:pPr>
      <w:shd w:val="clear" w:color="auto" w:fill="000080"/>
    </w:pPr>
  </w:style>
  <w:style w:type="paragraph" w:styleId="15">
    <w:name w:val="annotation text"/>
    <w:basedOn w:val="1"/>
    <w:link w:val="73"/>
    <w:autoRedefine/>
    <w:qFormat/>
    <w:uiPriority w:val="0"/>
    <w:pPr>
      <w:jc w:val="left"/>
    </w:pPr>
  </w:style>
  <w:style w:type="paragraph" w:styleId="16">
    <w:name w:val="Body Text 3"/>
    <w:basedOn w:val="1"/>
    <w:autoRedefine/>
    <w:qFormat/>
    <w:uiPriority w:val="0"/>
    <w:pPr>
      <w:snapToGrid w:val="0"/>
      <w:spacing w:before="50" w:after="50"/>
    </w:pPr>
    <w:rPr>
      <w:rFonts w:hAnsi="宋体" w:eastAsia="仿宋_GB2312"/>
      <w:b/>
      <w:bCs/>
      <w:sz w:val="24"/>
      <w:szCs w:val="20"/>
    </w:rPr>
  </w:style>
  <w:style w:type="paragraph" w:styleId="17">
    <w:name w:val="Body Text"/>
    <w:basedOn w:val="1"/>
    <w:link w:val="57"/>
    <w:autoRedefine/>
    <w:qFormat/>
    <w:uiPriority w:val="0"/>
    <w:pPr>
      <w:spacing w:after="120"/>
    </w:pPr>
    <w:rPr>
      <w:sz w:val="28"/>
    </w:rPr>
  </w:style>
  <w:style w:type="paragraph" w:styleId="18">
    <w:name w:val="Body Text Indent"/>
    <w:basedOn w:val="1"/>
    <w:link w:val="56"/>
    <w:autoRedefine/>
    <w:qFormat/>
    <w:uiPriority w:val="0"/>
    <w:pPr>
      <w:spacing w:line="200" w:lineRule="exact"/>
      <w:ind w:firstLine="301"/>
    </w:pPr>
    <w:rPr>
      <w:rFonts w:ascii="宋体" w:hAnsi="Courier New"/>
      <w:spacing w:val="-4"/>
      <w:sz w:val="18"/>
      <w:szCs w:val="20"/>
    </w:rPr>
  </w:style>
  <w:style w:type="paragraph" w:styleId="19">
    <w:name w:val="List Number 3"/>
    <w:basedOn w:val="1"/>
    <w:autoRedefine/>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3"/>
    <w:basedOn w:val="1"/>
    <w:next w:val="1"/>
    <w:autoRedefine/>
    <w:qFormat/>
    <w:uiPriority w:val="39"/>
    <w:pPr>
      <w:ind w:left="840" w:leftChars="400"/>
    </w:pPr>
  </w:style>
  <w:style w:type="paragraph" w:styleId="22">
    <w:name w:val="Plain Text"/>
    <w:basedOn w:val="1"/>
    <w:link w:val="53"/>
    <w:autoRedefine/>
    <w:qFormat/>
    <w:uiPriority w:val="0"/>
    <w:pPr>
      <w:spacing w:beforeLines="50" w:afterLines="50" w:line="400" w:lineRule="exact"/>
    </w:pPr>
    <w:rPr>
      <w:rFonts w:ascii="宋体" w:hAnsi="Courier New"/>
      <w:sz w:val="24"/>
    </w:rPr>
  </w:style>
  <w:style w:type="paragraph" w:styleId="23">
    <w:name w:val="Date"/>
    <w:basedOn w:val="1"/>
    <w:next w:val="1"/>
    <w:autoRedefine/>
    <w:qFormat/>
    <w:uiPriority w:val="0"/>
    <w:pPr>
      <w:ind w:left="2500" w:leftChars="2500"/>
    </w:pPr>
    <w:rPr>
      <w:rFonts w:eastAsia="楷体_GB2312"/>
      <w:sz w:val="32"/>
      <w:szCs w:val="20"/>
    </w:rPr>
  </w:style>
  <w:style w:type="paragraph" w:styleId="24">
    <w:name w:val="Body Text Indent 2"/>
    <w:basedOn w:val="1"/>
    <w:link w:val="89"/>
    <w:qFormat/>
    <w:uiPriority w:val="0"/>
    <w:pPr>
      <w:snapToGrid w:val="0"/>
      <w:ind w:firstLine="542" w:firstLineChars="225"/>
    </w:pPr>
    <w:rPr>
      <w:rFonts w:ascii="仿宋_GB2312" w:hAnsi="宋体" w:cs="Arial"/>
      <w:b/>
      <w:bCs/>
      <w:color w:val="000000"/>
      <w:sz w:val="24"/>
    </w:rPr>
  </w:style>
  <w:style w:type="paragraph" w:styleId="25">
    <w:name w:val="Balloon Text"/>
    <w:basedOn w:val="1"/>
    <w:link w:val="78"/>
    <w:autoRedefine/>
    <w:qFormat/>
    <w:uiPriority w:val="0"/>
    <w:rPr>
      <w:sz w:val="18"/>
      <w:szCs w:val="18"/>
    </w:rPr>
  </w:style>
  <w:style w:type="paragraph" w:styleId="26">
    <w:name w:val="footer"/>
    <w:basedOn w:val="1"/>
    <w:link w:val="51"/>
    <w:autoRedefine/>
    <w:qFormat/>
    <w:uiPriority w:val="99"/>
    <w:pPr>
      <w:tabs>
        <w:tab w:val="center" w:pos="4153"/>
        <w:tab w:val="right" w:pos="8306"/>
      </w:tabs>
      <w:snapToGrid w:val="0"/>
      <w:jc w:val="left"/>
    </w:pPr>
    <w:rPr>
      <w:rFonts w:eastAsia="黑体"/>
      <w:snapToGrid w:val="0"/>
      <w:kern w:val="0"/>
      <w:sz w:val="18"/>
      <w:szCs w:val="18"/>
    </w:rPr>
  </w:style>
  <w:style w:type="paragraph" w:styleId="27">
    <w:name w:val="header"/>
    <w:basedOn w:val="1"/>
    <w:link w:val="59"/>
    <w:autoRedefine/>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8">
    <w:name w:val="toc 1"/>
    <w:basedOn w:val="1"/>
    <w:next w:val="1"/>
    <w:qFormat/>
    <w:uiPriority w:val="39"/>
  </w:style>
  <w:style w:type="paragraph" w:styleId="29">
    <w:name w:val="Subtitle"/>
    <w:basedOn w:val="1"/>
    <w:next w:val="1"/>
    <w:link w:val="8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30">
    <w:name w:val="List"/>
    <w:basedOn w:val="1"/>
    <w:qFormat/>
    <w:uiPriority w:val="0"/>
    <w:pPr>
      <w:ind w:left="200" w:hanging="200" w:hangingChars="200"/>
    </w:pPr>
    <w:rPr>
      <w:sz w:val="28"/>
    </w:rPr>
  </w:style>
  <w:style w:type="paragraph" w:styleId="31">
    <w:name w:val="footnote text"/>
    <w:basedOn w:val="1"/>
    <w:link w:val="79"/>
    <w:autoRedefine/>
    <w:unhideWhenUsed/>
    <w:qFormat/>
    <w:uiPriority w:val="99"/>
    <w:pPr>
      <w:snapToGrid w:val="0"/>
      <w:jc w:val="left"/>
    </w:pPr>
    <w:rPr>
      <w:sz w:val="18"/>
      <w:szCs w:val="18"/>
    </w:rPr>
  </w:style>
  <w:style w:type="paragraph" w:styleId="32">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33">
    <w:name w:val="toc 2"/>
    <w:basedOn w:val="1"/>
    <w:next w:val="1"/>
    <w:autoRedefine/>
    <w:qFormat/>
    <w:uiPriority w:val="39"/>
    <w:pPr>
      <w:ind w:left="420" w:leftChars="200"/>
    </w:pPr>
  </w:style>
  <w:style w:type="paragraph" w:styleId="34">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68"/>
    <w:autoRedefine/>
    <w:qFormat/>
    <w:uiPriority w:val="0"/>
    <w:pPr>
      <w:spacing w:before="240" w:after="60"/>
      <w:jc w:val="center"/>
      <w:outlineLvl w:val="0"/>
    </w:pPr>
    <w:rPr>
      <w:rFonts w:ascii="Cambria" w:hAnsi="Cambria" w:eastAsia="微软雅黑"/>
      <w:b/>
      <w:bCs/>
      <w:sz w:val="32"/>
      <w:szCs w:val="32"/>
    </w:rPr>
  </w:style>
  <w:style w:type="paragraph" w:styleId="37">
    <w:name w:val="annotation subject"/>
    <w:basedOn w:val="15"/>
    <w:next w:val="15"/>
    <w:link w:val="74"/>
    <w:autoRedefine/>
    <w:qFormat/>
    <w:uiPriority w:val="0"/>
    <w:rPr>
      <w:b/>
      <w:bCs/>
    </w:rPr>
  </w:style>
  <w:style w:type="paragraph" w:styleId="38">
    <w:name w:val="Body Text First Indent"/>
    <w:basedOn w:val="17"/>
    <w:link w:val="70"/>
    <w:autoRedefine/>
    <w:qFormat/>
    <w:uiPriority w:val="0"/>
    <w:pPr>
      <w:ind w:firstLine="420" w:firstLineChars="100"/>
    </w:pPr>
    <w:rPr>
      <w:sz w:val="21"/>
    </w:rPr>
  </w:style>
  <w:style w:type="character" w:styleId="41">
    <w:name w:val="Strong"/>
    <w:basedOn w:val="40"/>
    <w:qFormat/>
    <w:uiPriority w:val="22"/>
    <w:rPr>
      <w:b/>
      <w:bCs/>
    </w:rPr>
  </w:style>
  <w:style w:type="character" w:styleId="42">
    <w:name w:val="page number"/>
    <w:basedOn w:val="40"/>
    <w:autoRedefine/>
    <w:qFormat/>
    <w:uiPriority w:val="0"/>
  </w:style>
  <w:style w:type="character" w:styleId="43">
    <w:name w:val="FollowedHyperlink"/>
    <w:autoRedefine/>
    <w:qFormat/>
    <w:uiPriority w:val="0"/>
    <w:rPr>
      <w:color w:val="800080"/>
      <w:u w:val="single"/>
    </w:rPr>
  </w:style>
  <w:style w:type="character" w:styleId="44">
    <w:name w:val="Emphasis"/>
    <w:autoRedefine/>
    <w:qFormat/>
    <w:uiPriority w:val="0"/>
    <w:rPr>
      <w:i/>
      <w:iCs/>
    </w:rPr>
  </w:style>
  <w:style w:type="character" w:styleId="45">
    <w:name w:val="Hyperlink"/>
    <w:qFormat/>
    <w:uiPriority w:val="99"/>
    <w:rPr>
      <w:color w:val="0000FF"/>
      <w:u w:val="single"/>
    </w:rPr>
  </w:style>
  <w:style w:type="character" w:styleId="46">
    <w:name w:val="annotation reference"/>
    <w:autoRedefine/>
    <w:qFormat/>
    <w:uiPriority w:val="0"/>
    <w:rPr>
      <w:sz w:val="21"/>
      <w:szCs w:val="21"/>
    </w:rPr>
  </w:style>
  <w:style w:type="character" w:styleId="47">
    <w:name w:val="footnote reference"/>
    <w:autoRedefine/>
    <w:unhideWhenUsed/>
    <w:qFormat/>
    <w:uiPriority w:val="99"/>
    <w:rPr>
      <w:vertAlign w:val="superscript"/>
    </w:rPr>
  </w:style>
  <w:style w:type="character" w:customStyle="1" w:styleId="48">
    <w:name w:val="标题 1 字符"/>
    <w:link w:val="2"/>
    <w:autoRedefine/>
    <w:qFormat/>
    <w:uiPriority w:val="0"/>
    <w:rPr>
      <w:b/>
      <w:bCs/>
      <w:kern w:val="44"/>
      <w:sz w:val="44"/>
      <w:szCs w:val="44"/>
    </w:rPr>
  </w:style>
  <w:style w:type="character" w:customStyle="1" w:styleId="49">
    <w:name w:val="正文缩进 字符"/>
    <w:link w:val="5"/>
    <w:autoRedefine/>
    <w:qFormat/>
    <w:uiPriority w:val="0"/>
    <w:rPr>
      <w:rFonts w:eastAsia="宋体"/>
      <w:kern w:val="2"/>
      <w:sz w:val="21"/>
      <w:lang w:bidi="ar-SA"/>
    </w:rPr>
  </w:style>
  <w:style w:type="character" w:customStyle="1" w:styleId="50">
    <w:name w:val="标题 3 字符"/>
    <w:link w:val="4"/>
    <w:autoRedefine/>
    <w:qFormat/>
    <w:uiPriority w:val="0"/>
    <w:rPr>
      <w:rFonts w:ascii="仿宋_GB2312" w:hAnsi="仿宋_GB2312" w:eastAsia="微软雅黑"/>
      <w:b/>
      <w:bCs/>
      <w:kern w:val="2"/>
      <w:sz w:val="21"/>
    </w:rPr>
  </w:style>
  <w:style w:type="character" w:customStyle="1" w:styleId="51">
    <w:name w:val="页脚 字符"/>
    <w:link w:val="26"/>
    <w:autoRedefine/>
    <w:qFormat/>
    <w:uiPriority w:val="99"/>
    <w:rPr>
      <w:rFonts w:eastAsia="黑体"/>
      <w:snapToGrid w:val="0"/>
      <w:sz w:val="18"/>
      <w:szCs w:val="18"/>
      <w:lang w:bidi="ar-SA"/>
    </w:rPr>
  </w:style>
  <w:style w:type="paragraph" w:customStyle="1" w:styleId="5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53">
    <w:name w:val="纯文本 字符"/>
    <w:link w:val="22"/>
    <w:qFormat/>
    <w:uiPriority w:val="0"/>
    <w:rPr>
      <w:rFonts w:ascii="宋体" w:hAnsi="Courier New" w:eastAsia="宋体"/>
      <w:kern w:val="2"/>
      <w:sz w:val="24"/>
      <w:szCs w:val="24"/>
      <w:lang w:val="en-US" w:eastAsia="zh-CN" w:bidi="ar-SA"/>
    </w:rPr>
  </w:style>
  <w:style w:type="paragraph" w:customStyle="1" w:styleId="54">
    <w:name w:val="正文段"/>
    <w:basedOn w:val="1"/>
    <w:autoRedefine/>
    <w:qFormat/>
    <w:uiPriority w:val="0"/>
    <w:pPr>
      <w:widowControl/>
      <w:snapToGrid w:val="0"/>
      <w:spacing w:afterLines="50"/>
      <w:ind w:firstLine="200" w:firstLineChars="200"/>
    </w:pPr>
    <w:rPr>
      <w:kern w:val="0"/>
      <w:sz w:val="24"/>
      <w:szCs w:val="20"/>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character" w:customStyle="1" w:styleId="56">
    <w:name w:val="正文文本缩进 字符"/>
    <w:link w:val="18"/>
    <w:qFormat/>
    <w:uiPriority w:val="0"/>
    <w:rPr>
      <w:rFonts w:ascii="宋体" w:hAnsi="Courier New" w:eastAsia="宋体"/>
      <w:spacing w:val="-4"/>
      <w:kern w:val="2"/>
      <w:sz w:val="18"/>
      <w:lang w:bidi="ar-SA"/>
    </w:rPr>
  </w:style>
  <w:style w:type="character" w:customStyle="1" w:styleId="57">
    <w:name w:val="正文文本 字符"/>
    <w:link w:val="17"/>
    <w:qFormat/>
    <w:uiPriority w:val="0"/>
    <w:rPr>
      <w:rFonts w:eastAsia="宋体"/>
      <w:kern w:val="2"/>
      <w:sz w:val="28"/>
      <w:szCs w:val="24"/>
      <w:lang w:bidi="ar-SA"/>
    </w:rPr>
  </w:style>
  <w:style w:type="paragraph" w:customStyle="1" w:styleId="58">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59">
    <w:name w:val="页眉 字符"/>
    <w:link w:val="27"/>
    <w:qFormat/>
    <w:uiPriority w:val="99"/>
    <w:rPr>
      <w:rFonts w:eastAsia="仿宋_GB2312"/>
      <w:kern w:val="2"/>
      <w:sz w:val="18"/>
      <w:lang w:bidi="ar-SA"/>
    </w:rPr>
  </w:style>
  <w:style w:type="paragraph" w:customStyle="1" w:styleId="60">
    <w:name w:val="默认段落字体 Para Char Char Char Char"/>
    <w:basedOn w:val="1"/>
    <w:qFormat/>
    <w:uiPriority w:val="0"/>
    <w:rPr>
      <w:rFonts w:ascii="Arial" w:hAnsi="Arial" w:cs="Arial"/>
      <w:szCs w:val="21"/>
    </w:rPr>
  </w:style>
  <w:style w:type="paragraph" w:customStyle="1" w:styleId="61">
    <w:name w:val="1 Char Char Char Char"/>
    <w:basedOn w:val="1"/>
    <w:autoRedefine/>
    <w:qFormat/>
    <w:uiPriority w:val="0"/>
    <w:rPr>
      <w:rFonts w:ascii="Tahoma" w:hAnsi="Tahoma"/>
      <w:sz w:val="24"/>
      <w:szCs w:val="20"/>
    </w:rPr>
  </w:style>
  <w:style w:type="paragraph" w:styleId="62">
    <w:name w:val="List Paragraph"/>
    <w:basedOn w:val="1"/>
    <w:qFormat/>
    <w:uiPriority w:val="0"/>
    <w:pPr>
      <w:ind w:firstLine="420" w:firstLineChars="200"/>
    </w:pPr>
    <w:rPr>
      <w:rFonts w:ascii="Calibri" w:hAnsi="Calibri"/>
      <w:szCs w:val="22"/>
    </w:rPr>
  </w:style>
  <w:style w:type="paragraph" w:customStyle="1" w:styleId="63">
    <w:name w:val="正文2"/>
    <w:basedOn w:val="1"/>
    <w:qFormat/>
    <w:uiPriority w:val="0"/>
    <w:pPr>
      <w:spacing w:before="156" w:line="360" w:lineRule="auto"/>
      <w:ind w:firstLine="510" w:firstLineChars="200"/>
    </w:pPr>
    <w:rPr>
      <w:sz w:val="24"/>
      <w:szCs w:val="20"/>
    </w:rPr>
  </w:style>
  <w:style w:type="paragraph" w:customStyle="1" w:styleId="64">
    <w:name w:val="默认段落字体 Para Char Char Char Char Char Char Char Char Char Char Char Char Char"/>
    <w:basedOn w:val="14"/>
    <w:qFormat/>
    <w:uiPriority w:val="0"/>
    <w:rPr>
      <w:rFonts w:ascii="Tahoma" w:hAnsi="Tahoma" w:cs="Tahoma"/>
      <w:sz w:val="24"/>
    </w:rPr>
  </w:style>
  <w:style w:type="paragraph" w:customStyle="1" w:styleId="6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66">
    <w:name w:val="样式 表格正文 + 两端对齐"/>
    <w:basedOn w:val="1"/>
    <w:autoRedefine/>
    <w:qFormat/>
    <w:uiPriority w:val="0"/>
    <w:pPr>
      <w:spacing w:line="300" w:lineRule="auto"/>
    </w:pPr>
    <w:rPr>
      <w:sz w:val="24"/>
      <w:szCs w:val="20"/>
    </w:rPr>
  </w:style>
  <w:style w:type="paragraph" w:customStyle="1" w:styleId="67">
    <w:name w:val="此正文"/>
    <w:basedOn w:val="1"/>
    <w:autoRedefine/>
    <w:qFormat/>
    <w:uiPriority w:val="0"/>
    <w:pPr>
      <w:spacing w:line="360" w:lineRule="auto"/>
      <w:ind w:firstLine="200" w:firstLineChars="200"/>
    </w:pPr>
    <w:rPr>
      <w:sz w:val="24"/>
      <w:szCs w:val="20"/>
    </w:rPr>
  </w:style>
  <w:style w:type="character" w:customStyle="1" w:styleId="68">
    <w:name w:val="标题 字符"/>
    <w:link w:val="36"/>
    <w:autoRedefine/>
    <w:qFormat/>
    <w:uiPriority w:val="0"/>
    <w:rPr>
      <w:rFonts w:ascii="Cambria" w:hAnsi="Cambria" w:eastAsia="微软雅黑"/>
      <w:b/>
      <w:bCs/>
      <w:kern w:val="2"/>
      <w:sz w:val="32"/>
      <w:szCs w:val="32"/>
    </w:rPr>
  </w:style>
  <w:style w:type="paragraph" w:customStyle="1" w:styleId="69">
    <w:name w:val="tabletext"/>
    <w:basedOn w:val="1"/>
    <w:qFormat/>
    <w:uiPriority w:val="0"/>
    <w:pPr>
      <w:widowControl/>
      <w:spacing w:before="100" w:beforeAutospacing="1" w:after="100" w:afterAutospacing="1"/>
      <w:jc w:val="left"/>
    </w:pPr>
    <w:rPr>
      <w:rFonts w:ascii="宋体" w:hAnsi="宋体" w:cs="宋体"/>
      <w:kern w:val="0"/>
      <w:sz w:val="24"/>
      <w:lang w:eastAsia="en-US" w:bidi="en-US"/>
    </w:rPr>
  </w:style>
  <w:style w:type="character" w:customStyle="1" w:styleId="70">
    <w:name w:val="正文文本首行缩进 字符"/>
    <w:link w:val="38"/>
    <w:qFormat/>
    <w:uiPriority w:val="0"/>
    <w:rPr>
      <w:rFonts w:eastAsia="宋体"/>
      <w:kern w:val="2"/>
      <w:sz w:val="21"/>
      <w:szCs w:val="24"/>
      <w:lang w:bidi="ar-SA"/>
    </w:rPr>
  </w:style>
  <w:style w:type="paragraph" w:customStyle="1" w:styleId="71">
    <w:name w:val="Char Char Char Char"/>
    <w:basedOn w:val="1"/>
    <w:qFormat/>
    <w:uiPriority w:val="0"/>
    <w:pPr>
      <w:widowControl/>
      <w:spacing w:line="400" w:lineRule="exact"/>
      <w:outlineLvl w:val="1"/>
    </w:pPr>
    <w:rPr>
      <w:rFonts w:ascii="Verdana" w:hAnsi="Verdana"/>
      <w:b/>
      <w:kern w:val="0"/>
      <w:sz w:val="24"/>
      <w:lang w:eastAsia="en-US"/>
    </w:rPr>
  </w:style>
  <w:style w:type="character" w:customStyle="1" w:styleId="72">
    <w:name w:val="15"/>
    <w:qFormat/>
    <w:uiPriority w:val="0"/>
    <w:rPr>
      <w:rFonts w:ascii="Verdana" w:hAnsi="Verdana" w:cs="Times New Roman"/>
      <w:color w:val="C90000"/>
      <w:sz w:val="18"/>
    </w:rPr>
  </w:style>
  <w:style w:type="character" w:customStyle="1" w:styleId="73">
    <w:name w:val="批注文字 字符"/>
    <w:link w:val="15"/>
    <w:autoRedefine/>
    <w:qFormat/>
    <w:uiPriority w:val="0"/>
    <w:rPr>
      <w:rFonts w:eastAsia="宋体"/>
      <w:kern w:val="2"/>
      <w:sz w:val="21"/>
      <w:szCs w:val="24"/>
      <w:lang w:val="en-US" w:eastAsia="zh-CN" w:bidi="ar-SA"/>
    </w:rPr>
  </w:style>
  <w:style w:type="character" w:customStyle="1" w:styleId="74">
    <w:name w:val="批注主题 字符"/>
    <w:link w:val="37"/>
    <w:qFormat/>
    <w:uiPriority w:val="0"/>
    <w:rPr>
      <w:rFonts w:eastAsia="宋体"/>
      <w:b/>
      <w:bCs/>
      <w:kern w:val="2"/>
      <w:sz w:val="21"/>
      <w:szCs w:val="24"/>
      <w:lang w:val="en-US" w:eastAsia="zh-CN" w:bidi="ar-SA"/>
    </w:rPr>
  </w:style>
  <w:style w:type="paragraph" w:customStyle="1" w:styleId="75">
    <w:name w:val="正文－恩普"/>
    <w:basedOn w:val="5"/>
    <w:qFormat/>
    <w:uiPriority w:val="0"/>
    <w:pPr>
      <w:widowControl/>
      <w:spacing w:afterLines="50" w:line="360" w:lineRule="auto"/>
      <w:ind w:firstLine="480" w:firstLineChars="200"/>
      <w:jc w:val="left"/>
    </w:pPr>
    <w:rPr>
      <w:kern w:val="0"/>
      <w:sz w:val="24"/>
    </w:rPr>
  </w:style>
  <w:style w:type="paragraph" w:customStyle="1" w:styleId="76">
    <w:name w:val="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
    <w:name w:val="Char Char Char Char Char Char Char"/>
    <w:basedOn w:val="1"/>
    <w:qFormat/>
    <w:uiPriority w:val="0"/>
    <w:rPr>
      <w:szCs w:val="21"/>
    </w:rPr>
  </w:style>
  <w:style w:type="character" w:customStyle="1" w:styleId="78">
    <w:name w:val="批注框文本 字符"/>
    <w:link w:val="25"/>
    <w:qFormat/>
    <w:uiPriority w:val="0"/>
    <w:rPr>
      <w:kern w:val="2"/>
      <w:sz w:val="18"/>
      <w:szCs w:val="18"/>
    </w:rPr>
  </w:style>
  <w:style w:type="character" w:customStyle="1" w:styleId="79">
    <w:name w:val="脚注文本 字符"/>
    <w:basedOn w:val="40"/>
    <w:link w:val="31"/>
    <w:qFormat/>
    <w:uiPriority w:val="99"/>
    <w:rPr>
      <w:kern w:val="2"/>
      <w:sz w:val="18"/>
      <w:szCs w:val="18"/>
    </w:rPr>
  </w:style>
  <w:style w:type="paragraph" w:customStyle="1" w:styleId="80">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81">
    <w:name w:val="副标题 字符"/>
    <w:basedOn w:val="40"/>
    <w:link w:val="29"/>
    <w:qFormat/>
    <w:uiPriority w:val="0"/>
    <w:rPr>
      <w:rFonts w:asciiTheme="majorHAnsi" w:hAnsiTheme="majorHAnsi" w:cstheme="majorBidi"/>
      <w:b/>
      <w:bCs/>
      <w:kern w:val="28"/>
      <w:sz w:val="32"/>
      <w:szCs w:val="32"/>
    </w:rPr>
  </w:style>
  <w:style w:type="character" w:customStyle="1" w:styleId="82">
    <w:name w:val="页脚 Char"/>
    <w:qFormat/>
    <w:locked/>
    <w:uiPriority w:val="99"/>
    <w:rPr>
      <w:rFonts w:eastAsia="黑体"/>
      <w:snapToGrid w:val="0"/>
      <w:sz w:val="18"/>
      <w:szCs w:val="18"/>
    </w:rPr>
  </w:style>
  <w:style w:type="character" w:customStyle="1" w:styleId="83">
    <w:name w:val="页眉 Char"/>
    <w:autoRedefine/>
    <w:qFormat/>
    <w:uiPriority w:val="99"/>
    <w:rPr>
      <w:rFonts w:eastAsia="仿宋_GB2312"/>
      <w:kern w:val="2"/>
      <w:sz w:val="18"/>
    </w:rPr>
  </w:style>
  <w:style w:type="paragraph" w:customStyle="1" w:styleId="84">
    <w:name w:val="TOC 标题2"/>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85">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WPSOffice手动目录 1"/>
    <w:qFormat/>
    <w:uiPriority w:val="0"/>
    <w:rPr>
      <w:rFonts w:ascii="Times New Roman" w:hAnsi="Times New Roman" w:eastAsia="宋体" w:cs="Times New Roman"/>
      <w:lang w:val="en-US" w:eastAsia="zh-CN" w:bidi="ar-SA"/>
    </w:rPr>
  </w:style>
  <w:style w:type="paragraph" w:customStyle="1" w:styleId="87">
    <w:name w:val="TOC 标题3"/>
    <w:basedOn w:val="2"/>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88">
    <w:name w:val="纯文本 Char1"/>
    <w:qFormat/>
    <w:uiPriority w:val="0"/>
    <w:rPr>
      <w:rFonts w:ascii="宋体" w:hAnsi="Courier New" w:eastAsia="宋体" w:cs="Times New Roman"/>
      <w:sz w:val="24"/>
      <w:szCs w:val="24"/>
    </w:rPr>
  </w:style>
  <w:style w:type="character" w:customStyle="1" w:styleId="89">
    <w:name w:val="正文文本缩进 2 字符"/>
    <w:link w:val="24"/>
    <w:autoRedefine/>
    <w:qFormat/>
    <w:uiPriority w:val="0"/>
    <w:rPr>
      <w:rFonts w:ascii="仿宋_GB2312" w:hAnsi="宋体" w:cs="Arial"/>
      <w:b/>
      <w:bCs/>
      <w:color w:val="000000"/>
      <w:kern w:val="2"/>
      <w:sz w:val="24"/>
      <w:szCs w:val="24"/>
    </w:rPr>
  </w:style>
  <w:style w:type="paragraph" w:customStyle="1" w:styleId="90">
    <w:name w:val="列表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10024</Words>
  <Characters>10651</Characters>
  <Lines>111</Lines>
  <Paragraphs>31</Paragraphs>
  <TotalTime>4</TotalTime>
  <ScaleCrop>false</ScaleCrop>
  <LinksUpToDate>false</LinksUpToDate>
  <CharactersWithSpaces>10713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2019-10-11T14:43:00Z</dcterms:created>
  <dc:creator>WinXP</dc:creator>
  <cp:lastModifiedBy>章大莉</cp:lastModifiedBy>
  <cp:lastPrinted>2025-06-25T06:43:11Z</cp:lastPrinted>
  <dcterms:modified xsi:type="dcterms:W3CDTF">2025-06-25T07:24:16Z</dcterms:modified>
  <dc:title>2016年（第一期）嘉兴市本级公共资金</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E182BDA9BD2B44BC876ED7D7B26C9B3C</vt:lpwstr>
  </property>
  <property fmtid="{D5CDD505-2E9C-101B-9397-08002B2CF9AE}" pid="4" name="KSOTemplateDocerSaveRecord">
    <vt:lpwstr>eyJoZGlkIjoiMTJlMTYyNTAxYWM3MWI0NzliODIyODNmMjdmN2NhNGEiLCJ1c2VySWQiOiIxMjkzODA4MDU5In0=</vt:lpwstr>
  </property>
</Properties>
</file>