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7F3F0">
      <w:pPr>
        <w:tabs>
          <w:tab w:val="left" w:pos="3449"/>
        </w:tabs>
        <w:spacing w:line="360" w:lineRule="auto"/>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 xml:space="preserve"> </w:t>
      </w:r>
    </w:p>
    <w:p w14:paraId="7C3FA91F">
      <w:pPr>
        <w:pStyle w:val="85"/>
        <w:jc w:val="center"/>
        <w:rPr>
          <w:rFonts w:hint="eastAsia" w:ascii="方正公文黑体" w:hAnsi="方正公文黑体" w:eastAsia="方正公文黑体" w:cs="方正公文黑体"/>
          <w:color w:val="auto"/>
          <w:sz w:val="72"/>
          <w:szCs w:val="72"/>
          <w:highlight w:val="none"/>
        </w:rPr>
      </w:pPr>
      <w:r>
        <w:rPr>
          <w:rFonts w:hint="eastAsia" w:ascii="方正公文黑体" w:hAnsi="方正公文黑体" w:eastAsia="方正公文黑体" w:cs="方正公文黑体"/>
          <w:color w:val="auto"/>
          <w:sz w:val="72"/>
          <w:szCs w:val="72"/>
          <w:highlight w:val="none"/>
        </w:rPr>
        <w:t>公 开 招 标 采 购 文 件</w:t>
      </w:r>
    </w:p>
    <w:p w14:paraId="314199C5">
      <w:pPr>
        <w:pStyle w:val="85"/>
        <w:jc w:val="center"/>
        <w:rPr>
          <w:rFonts w:hint="eastAsia" w:ascii="方正仿宋_GB18030" w:hAnsi="方正仿宋_GB18030" w:eastAsia="方正仿宋_GB18030" w:cs="方正仿宋_GB18030"/>
          <w:color w:val="auto"/>
          <w:sz w:val="52"/>
          <w:szCs w:val="52"/>
          <w:highlight w:val="none"/>
        </w:rPr>
      </w:pPr>
    </w:p>
    <w:p w14:paraId="69FFB2B9">
      <w:pPr>
        <w:spacing w:line="360" w:lineRule="auto"/>
        <w:ind w:left="120" w:leftChars="-337" w:right="-804" w:rightChars="-383" w:hanging="828" w:hangingChars="230"/>
        <w:jc w:val="center"/>
        <w:rPr>
          <w:rFonts w:hint="eastAsia" w:ascii="微软雅黑" w:hAnsi="微软雅黑" w:eastAsia="微软雅黑"/>
          <w:b/>
          <w:bCs/>
          <w:color w:val="auto"/>
          <w:sz w:val="36"/>
          <w:szCs w:val="36"/>
          <w:highlight w:val="none"/>
        </w:rPr>
      </w:pPr>
      <w:r>
        <w:rPr>
          <w:rFonts w:ascii="微软雅黑" w:hAnsi="微软雅黑" w:eastAsia="微软雅黑"/>
          <w:b/>
          <w:color w:val="auto"/>
          <w:sz w:val="36"/>
          <w:szCs w:val="36"/>
          <w:highlight w:val="none"/>
        </w:rPr>
        <w:drawing>
          <wp:inline distT="0" distB="0" distL="0" distR="0">
            <wp:extent cx="2505075" cy="2390775"/>
            <wp:effectExtent l="0" t="0" r="0" b="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12"/>
                    <a:srcRect/>
                    <a:stretch>
                      <a:fillRect/>
                    </a:stretch>
                  </pic:blipFill>
                  <pic:spPr>
                    <a:xfrm>
                      <a:off x="0" y="0"/>
                      <a:ext cx="2509301" cy="2395242"/>
                    </a:xfrm>
                    <a:prstGeom prst="rect">
                      <a:avLst/>
                    </a:prstGeom>
                    <a:noFill/>
                    <a:ln w="9525" cmpd="sng">
                      <a:noFill/>
                      <a:miter lim="800000"/>
                      <a:headEnd/>
                      <a:tailEnd/>
                    </a:ln>
                    <a:effectLst/>
                  </pic:spPr>
                </pic:pic>
              </a:graphicData>
            </a:graphic>
          </wp:inline>
        </w:drawing>
      </w:r>
    </w:p>
    <w:p w14:paraId="74B5E5EA">
      <w:pPr>
        <w:spacing w:line="360" w:lineRule="auto"/>
        <w:ind w:left="120" w:leftChars="-337" w:right="-804" w:rightChars="-383" w:hanging="828" w:hangingChars="230"/>
        <w:jc w:val="center"/>
        <w:rPr>
          <w:rFonts w:hint="eastAsia" w:ascii="微软雅黑" w:hAnsi="微软雅黑" w:eastAsia="微软雅黑"/>
          <w:b/>
          <w:bCs/>
          <w:color w:val="auto"/>
          <w:sz w:val="36"/>
          <w:szCs w:val="36"/>
          <w:highlight w:val="none"/>
        </w:rPr>
      </w:pPr>
    </w:p>
    <w:p w14:paraId="33C36A30">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p>
    <w:p w14:paraId="1ED14380">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嘉兴市千秋工程咨询有限公司</w:t>
      </w:r>
    </w:p>
    <w:p w14:paraId="7C35E4A7">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Jiaxing Qianqiu Engineering Consulting Co., Ltd</w:t>
      </w:r>
    </w:p>
    <w:p w14:paraId="4251F057">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项目名称：</w:t>
      </w:r>
      <w:r>
        <w:rPr>
          <w:rFonts w:hint="eastAsia" w:ascii="微软雅黑" w:hAnsi="微软雅黑" w:eastAsia="微软雅黑"/>
          <w:bCs/>
          <w:color w:val="auto"/>
          <w:w w:val="95"/>
          <w:sz w:val="28"/>
          <w:szCs w:val="28"/>
          <w:highlight w:val="none"/>
          <w:lang w:eastAsia="zh-CN"/>
        </w:rPr>
        <w:t>嘉兴市养老保险服务中心社会保险基金支出户银行开户项目</w:t>
      </w:r>
    </w:p>
    <w:p w14:paraId="3D80DAFF">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招标编号：</w:t>
      </w:r>
      <w:r>
        <w:rPr>
          <w:rFonts w:hint="eastAsia" w:ascii="微软雅黑" w:hAnsi="微软雅黑" w:eastAsia="微软雅黑"/>
          <w:bCs/>
          <w:color w:val="auto"/>
          <w:w w:val="95"/>
          <w:sz w:val="28"/>
          <w:szCs w:val="28"/>
          <w:highlight w:val="none"/>
          <w:lang w:eastAsia="zh-CN"/>
        </w:rPr>
        <w:t>千秋-N（2025）第65号</w:t>
      </w:r>
    </w:p>
    <w:p w14:paraId="4B124167">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采购单位：</w:t>
      </w:r>
      <w:r>
        <w:rPr>
          <w:rFonts w:hint="eastAsia" w:ascii="微软雅黑" w:hAnsi="微软雅黑" w:eastAsia="微软雅黑"/>
          <w:bCs/>
          <w:color w:val="auto"/>
          <w:w w:val="95"/>
          <w:sz w:val="28"/>
          <w:szCs w:val="28"/>
          <w:highlight w:val="none"/>
          <w:lang w:eastAsia="zh-CN"/>
        </w:rPr>
        <w:t>嘉兴市养老保险服务中心</w:t>
      </w:r>
    </w:p>
    <w:p w14:paraId="687FD010">
      <w:pPr>
        <w:pStyle w:val="22"/>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代理机构：嘉兴市千秋工程咨询有限公司</w:t>
      </w:r>
    </w:p>
    <w:p w14:paraId="5148D678">
      <w:pPr>
        <w:pStyle w:val="22"/>
        <w:spacing w:before="156" w:after="156" w:line="360" w:lineRule="auto"/>
        <w:jc w:val="left"/>
        <w:rPr>
          <w:rFonts w:cstheme="majorBidi"/>
          <w:color w:val="auto"/>
          <w:kern w:val="28"/>
          <w:sz w:val="32"/>
          <w:szCs w:val="32"/>
          <w:highlight w:val="none"/>
        </w:rPr>
      </w:pPr>
      <w:bookmarkStart w:id="0" w:name="_Toc493511539"/>
      <w:bookmarkStart w:id="1" w:name="_Toc50012812"/>
      <w:bookmarkStart w:id="2" w:name="_Toc427915753"/>
      <w:r>
        <w:rPr>
          <w:rFonts w:hint="eastAsia" w:ascii="微软雅黑" w:hAnsi="微软雅黑" w:eastAsia="微软雅黑"/>
          <w:bCs/>
          <w:color w:val="auto"/>
          <w:w w:val="95"/>
          <w:sz w:val="28"/>
          <w:szCs w:val="28"/>
          <w:highlight w:val="none"/>
        </w:rPr>
        <w:t>日    期：202</w:t>
      </w:r>
      <w:r>
        <w:rPr>
          <w:rFonts w:hint="eastAsia" w:ascii="微软雅黑" w:hAnsi="微软雅黑" w:eastAsia="微软雅黑"/>
          <w:bCs/>
          <w:color w:val="auto"/>
          <w:w w:val="95"/>
          <w:sz w:val="28"/>
          <w:szCs w:val="28"/>
          <w:highlight w:val="none"/>
          <w:lang w:val="en-US" w:eastAsia="zh-CN"/>
        </w:rPr>
        <w:t>5</w:t>
      </w:r>
      <w:r>
        <w:rPr>
          <w:rFonts w:hint="eastAsia" w:ascii="微软雅黑" w:hAnsi="微软雅黑" w:eastAsia="微软雅黑"/>
          <w:bCs/>
          <w:color w:val="auto"/>
          <w:w w:val="95"/>
          <w:sz w:val="28"/>
          <w:szCs w:val="28"/>
          <w:highlight w:val="none"/>
        </w:rPr>
        <w:t>年</w:t>
      </w:r>
      <w:r>
        <w:rPr>
          <w:rFonts w:hint="eastAsia" w:ascii="微软雅黑" w:hAnsi="微软雅黑" w:eastAsia="微软雅黑"/>
          <w:bCs/>
          <w:color w:val="auto"/>
          <w:w w:val="95"/>
          <w:sz w:val="28"/>
          <w:szCs w:val="28"/>
          <w:highlight w:val="none"/>
          <w:lang w:val="en-US" w:eastAsia="zh-CN"/>
        </w:rPr>
        <w:t>06</w:t>
      </w:r>
      <w:r>
        <w:rPr>
          <w:rFonts w:hint="eastAsia" w:ascii="微软雅黑" w:hAnsi="微软雅黑" w:eastAsia="微软雅黑"/>
          <w:bCs/>
          <w:color w:val="auto"/>
          <w:w w:val="95"/>
          <w:sz w:val="28"/>
          <w:szCs w:val="28"/>
          <w:highlight w:val="none"/>
        </w:rPr>
        <w:t>月</w:t>
      </w:r>
      <w:r>
        <w:rPr>
          <w:rFonts w:hint="eastAsia" w:ascii="微软雅黑" w:hAnsi="微软雅黑" w:eastAsia="微软雅黑"/>
          <w:bCs/>
          <w:color w:val="auto"/>
          <w:w w:val="95"/>
          <w:sz w:val="28"/>
          <w:szCs w:val="28"/>
          <w:highlight w:val="none"/>
          <w:lang w:val="en-US" w:eastAsia="zh-CN"/>
        </w:rPr>
        <w:t>26</w:t>
      </w:r>
      <w:r>
        <w:rPr>
          <w:rFonts w:hint="eastAsia" w:ascii="微软雅黑" w:hAnsi="微软雅黑" w:eastAsia="微软雅黑"/>
          <w:bCs/>
          <w:color w:val="auto"/>
          <w:w w:val="95"/>
          <w:sz w:val="28"/>
          <w:szCs w:val="28"/>
          <w:highlight w:val="none"/>
        </w:rPr>
        <w:t>日</w:t>
      </w:r>
      <w:bookmarkEnd w:id="0"/>
      <w:bookmarkEnd w:id="1"/>
      <w:bookmarkEnd w:id="2"/>
    </w:p>
    <w:p w14:paraId="59269AF5">
      <w:pPr>
        <w:rPr>
          <w:rFonts w:cstheme="majorBidi"/>
          <w:color w:val="auto"/>
          <w:kern w:val="28"/>
          <w:sz w:val="32"/>
          <w:szCs w:val="32"/>
          <w:highlight w:val="none"/>
        </w:rPr>
        <w:sectPr>
          <w:footerReference r:id="rId6" w:type="first"/>
          <w:headerReference r:id="rId3" w:type="default"/>
          <w:footerReference r:id="rId4" w:type="default"/>
          <w:footerReference r:id="rId5" w:type="even"/>
          <w:pgSz w:w="11907" w:h="16840"/>
          <w:pgMar w:top="1440" w:right="1797" w:bottom="1440" w:left="1797" w:header="851" w:footer="851" w:gutter="0"/>
          <w:pgNumType w:start="1"/>
          <w:cols w:space="425" w:num="1"/>
          <w:titlePg/>
          <w:docGrid w:type="lines" w:linePitch="312" w:charSpace="0"/>
        </w:sectPr>
      </w:pPr>
    </w:p>
    <w:p w14:paraId="00DE6BB5">
      <w:pPr>
        <w:rPr>
          <w:rFonts w:cstheme="majorBidi"/>
          <w:color w:val="auto"/>
          <w:kern w:val="28"/>
          <w:sz w:val="28"/>
          <w:szCs w:val="28"/>
          <w:highlight w:val="none"/>
        </w:rPr>
      </w:pPr>
    </w:p>
    <w:sdt>
      <w:sdtPr>
        <w:rPr>
          <w:rFonts w:ascii="Times New Roman" w:hAnsi="Times New Roman" w:eastAsia="宋体" w:cs="Times New Roman"/>
          <w:b w:val="0"/>
          <w:bCs w:val="0"/>
          <w:color w:val="auto"/>
          <w:kern w:val="2"/>
          <w:sz w:val="21"/>
          <w:szCs w:val="24"/>
          <w:highlight w:val="none"/>
          <w:lang w:val="zh-CN"/>
        </w:rPr>
        <w:id w:val="95592265"/>
        <w:docPartObj>
          <w:docPartGallery w:val="Table of Contents"/>
          <w:docPartUnique/>
        </w:docPartObj>
      </w:sdtPr>
      <w:sdtEndPr>
        <w:rPr>
          <w:rFonts w:ascii="Times New Roman" w:hAnsi="Times New Roman" w:eastAsia="宋体" w:cs="Times New Roman"/>
          <w:b w:val="0"/>
          <w:bCs w:val="0"/>
          <w:color w:val="auto"/>
          <w:kern w:val="2"/>
          <w:sz w:val="21"/>
          <w:szCs w:val="24"/>
          <w:highlight w:val="none"/>
          <w:lang w:val="en-US"/>
        </w:rPr>
      </w:sdtEndPr>
      <w:sdtContent>
        <w:p w14:paraId="64F95FA0">
          <w:pPr>
            <w:pStyle w:val="87"/>
            <w:jc w:val="center"/>
            <w:rPr>
              <w:color w:val="auto"/>
              <w:highlight w:val="none"/>
            </w:rPr>
          </w:pPr>
          <w:r>
            <w:rPr>
              <w:color w:val="auto"/>
              <w:highlight w:val="none"/>
              <w:lang w:val="zh-CN"/>
            </w:rPr>
            <w:t>目录</w:t>
          </w:r>
        </w:p>
        <w:p w14:paraId="46EACD44">
          <w:pPr>
            <w:pStyle w:val="28"/>
            <w:tabs>
              <w:tab w:val="right" w:leader="dot" w:pos="8303"/>
            </w:tabs>
            <w:spacing w:line="480" w:lineRule="auto"/>
            <w:rPr>
              <w:rFonts w:hint="eastAsia" w:ascii="微软雅黑" w:hAnsi="微软雅黑" w:eastAsia="微软雅黑" w:cstheme="minorBidi"/>
              <w:color w:val="auto"/>
              <w:szCs w:val="22"/>
              <w:highlight w:val="none"/>
            </w:rPr>
          </w:pP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TOC \o "1-3" \h \z \u </w:instrText>
          </w:r>
          <w:r>
            <w:rPr>
              <w:rFonts w:ascii="微软雅黑" w:hAnsi="微软雅黑" w:eastAsia="微软雅黑"/>
              <w:color w:val="auto"/>
              <w:highlight w:val="none"/>
            </w:rPr>
            <w:fldChar w:fldCharType="separate"/>
          </w:r>
          <w:r>
            <w:rPr>
              <w:color w:val="auto"/>
              <w:highlight w:val="none"/>
            </w:rPr>
            <w:fldChar w:fldCharType="begin"/>
          </w:r>
          <w:r>
            <w:rPr>
              <w:color w:val="auto"/>
              <w:highlight w:val="none"/>
            </w:rPr>
            <w:instrText xml:space="preserve"> HYPERLINK \l "_Toc98019223" </w:instrText>
          </w:r>
          <w:r>
            <w:rPr>
              <w:color w:val="auto"/>
              <w:highlight w:val="none"/>
            </w:rPr>
            <w:fldChar w:fldCharType="separate"/>
          </w:r>
          <w:r>
            <w:rPr>
              <w:rStyle w:val="45"/>
              <w:rFonts w:hint="eastAsia" w:ascii="微软雅黑" w:hAnsi="微软雅黑" w:eastAsia="微软雅黑"/>
              <w:color w:val="auto"/>
              <w:highlight w:val="none"/>
            </w:rPr>
            <w:t>第一章 公开招标公告</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_Toc98019223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0FD5E7E6">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"_Toc98019233" </w:instrText>
          </w:r>
          <w:r>
            <w:rPr>
              <w:color w:val="auto"/>
              <w:highlight w:val="none"/>
            </w:rPr>
            <w:fldChar w:fldCharType="separate"/>
          </w:r>
          <w:r>
            <w:rPr>
              <w:rStyle w:val="45"/>
              <w:rFonts w:hint="eastAsia" w:ascii="微软雅黑" w:hAnsi="微软雅黑" w:eastAsia="微软雅黑"/>
              <w:color w:val="auto"/>
              <w:highlight w:val="none"/>
            </w:rPr>
            <w:t>第二章 招标需求</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7FDDE017">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"_Toc98019234" </w:instrText>
          </w:r>
          <w:r>
            <w:rPr>
              <w:color w:val="auto"/>
              <w:highlight w:val="none"/>
            </w:rPr>
            <w:fldChar w:fldCharType="separate"/>
          </w:r>
          <w:r>
            <w:rPr>
              <w:rStyle w:val="45"/>
              <w:rFonts w:hint="eastAsia" w:ascii="微软雅黑" w:hAnsi="微软雅黑" w:eastAsia="微软雅黑"/>
              <w:color w:val="auto"/>
              <w:highlight w:val="none"/>
            </w:rPr>
            <w:t>第三章 投标人须知</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0FCB052E">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"_Toc98019286" </w:instrText>
          </w:r>
          <w:r>
            <w:rPr>
              <w:color w:val="auto"/>
              <w:highlight w:val="none"/>
            </w:rPr>
            <w:fldChar w:fldCharType="separate"/>
          </w:r>
          <w:r>
            <w:rPr>
              <w:rStyle w:val="45"/>
              <w:rFonts w:hint="eastAsia" w:ascii="微软雅黑" w:hAnsi="微软雅黑" w:eastAsia="微软雅黑"/>
              <w:color w:val="auto"/>
              <w:highlight w:val="none"/>
            </w:rPr>
            <w:t>第四章 评标办法及评分标准</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_Toc98019286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17</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70AAA89F">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"_Toc98019294" </w:instrText>
          </w:r>
          <w:r>
            <w:rPr>
              <w:color w:val="auto"/>
              <w:highlight w:val="none"/>
            </w:rPr>
            <w:fldChar w:fldCharType="separate"/>
          </w:r>
          <w:r>
            <w:rPr>
              <w:rStyle w:val="45"/>
              <w:rFonts w:hint="eastAsia" w:ascii="微软雅黑" w:hAnsi="微软雅黑" w:eastAsia="微软雅黑"/>
              <w:color w:val="auto"/>
              <w:highlight w:val="none"/>
            </w:rPr>
            <w:t>第五章 协议主要条款</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17</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45C93474">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"_Toc98019297" </w:instrText>
          </w:r>
          <w:r>
            <w:rPr>
              <w:color w:val="auto"/>
              <w:highlight w:val="none"/>
            </w:rPr>
            <w:fldChar w:fldCharType="separate"/>
          </w:r>
          <w:r>
            <w:rPr>
              <w:rStyle w:val="45"/>
              <w:rFonts w:hint="eastAsia" w:ascii="微软雅黑" w:hAnsi="微软雅黑" w:eastAsia="微软雅黑"/>
              <w:color w:val="auto"/>
              <w:highlight w:val="none"/>
            </w:rPr>
            <w:t>第六章 投标文件格式</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_Toc98019297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28</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16E29694">
          <w:pPr>
            <w:spacing w:line="480" w:lineRule="auto"/>
            <w:rPr>
              <w:color w:val="auto"/>
              <w:highlight w:val="none"/>
            </w:rPr>
          </w:pPr>
          <w:r>
            <w:rPr>
              <w:rFonts w:ascii="微软雅黑" w:hAnsi="微软雅黑" w:eastAsia="微软雅黑"/>
              <w:color w:val="auto"/>
              <w:highlight w:val="none"/>
            </w:rPr>
            <w:fldChar w:fldCharType="end"/>
          </w:r>
        </w:p>
      </w:sdtContent>
    </w:sdt>
    <w:p w14:paraId="1BE37AB0">
      <w:pPr>
        <w:tabs>
          <w:tab w:val="left" w:pos="3960"/>
          <w:tab w:val="left" w:pos="5554"/>
        </w:tabs>
        <w:rPr>
          <w:rFonts w:cstheme="majorBidi"/>
          <w:color w:val="auto"/>
          <w:kern w:val="28"/>
          <w:sz w:val="32"/>
          <w:szCs w:val="32"/>
          <w:highlight w:val="none"/>
        </w:rPr>
      </w:pPr>
      <w:r>
        <w:rPr>
          <w:rFonts w:cstheme="majorBidi"/>
          <w:color w:val="auto"/>
          <w:kern w:val="28"/>
          <w:sz w:val="32"/>
          <w:szCs w:val="32"/>
          <w:highlight w:val="none"/>
        </w:rPr>
        <w:tab/>
      </w:r>
      <w:r>
        <w:rPr>
          <w:rFonts w:cstheme="majorBidi"/>
          <w:color w:val="auto"/>
          <w:kern w:val="28"/>
          <w:sz w:val="32"/>
          <w:szCs w:val="32"/>
          <w:highlight w:val="none"/>
        </w:rPr>
        <w:tab/>
      </w:r>
    </w:p>
    <w:p w14:paraId="0E89B9DB">
      <w:pPr>
        <w:rPr>
          <w:rFonts w:cstheme="majorBidi"/>
          <w:color w:val="auto"/>
          <w:kern w:val="28"/>
          <w:sz w:val="32"/>
          <w:szCs w:val="32"/>
          <w:highlight w:val="none"/>
        </w:rPr>
      </w:pPr>
    </w:p>
    <w:p w14:paraId="67C79D7F">
      <w:pPr>
        <w:pStyle w:val="36"/>
        <w:outlineLvl w:val="9"/>
        <w:rPr>
          <w:color w:val="auto"/>
          <w:highlight w:val="none"/>
        </w:rPr>
      </w:pPr>
      <w:bookmarkStart w:id="3" w:name="_Toc9342476"/>
      <w:bookmarkStart w:id="4" w:name="_Toc11650166"/>
    </w:p>
    <w:p w14:paraId="1BF07CCC">
      <w:pPr>
        <w:widowControl/>
        <w:jc w:val="left"/>
        <w:rPr>
          <w:rFonts w:ascii="Cambria" w:hAnsi="Cambria" w:eastAsia="微软雅黑"/>
          <w:b/>
          <w:bCs/>
          <w:color w:val="auto"/>
          <w:sz w:val="32"/>
          <w:szCs w:val="32"/>
          <w:highlight w:val="none"/>
        </w:rPr>
      </w:pPr>
      <w:r>
        <w:rPr>
          <w:color w:val="auto"/>
          <w:highlight w:val="none"/>
        </w:rPr>
        <w:br w:type="page"/>
      </w:r>
    </w:p>
    <w:p w14:paraId="7CB455EA">
      <w:pPr>
        <w:pStyle w:val="36"/>
        <w:numPr>
          <w:ilvl w:val="0"/>
          <w:numId w:val="3"/>
        </w:numPr>
        <w:rPr>
          <w:color w:val="auto"/>
          <w:highlight w:val="none"/>
        </w:rPr>
      </w:pPr>
      <w:bookmarkStart w:id="5" w:name="_Toc98019223"/>
      <w:r>
        <w:rPr>
          <w:rFonts w:hint="eastAsia"/>
          <w:color w:val="auto"/>
          <w:highlight w:val="none"/>
        </w:rPr>
        <w:t>公开招标公告</w:t>
      </w:r>
      <w:bookmarkEnd w:id="3"/>
      <w:bookmarkEnd w:id="4"/>
      <w:bookmarkEnd w:id="5"/>
    </w:p>
    <w:p w14:paraId="2CB7EE1D">
      <w:pPr>
        <w:snapToGrid w:val="0"/>
        <w:spacing w:line="460" w:lineRule="exact"/>
        <w:ind w:firstLine="420" w:firstLineChars="200"/>
        <w:rPr>
          <w:rFonts w:hint="eastAsia" w:ascii="微软雅黑" w:hAnsi="微软雅黑" w:eastAsia="微软雅黑"/>
          <w:color w:val="auto"/>
          <w:szCs w:val="21"/>
          <w:highlight w:val="none"/>
        </w:rPr>
      </w:pPr>
      <w:bookmarkStart w:id="6" w:name="_Toc11650167"/>
      <w:bookmarkStart w:id="7" w:name="_Toc9342477"/>
      <w:r>
        <w:rPr>
          <w:rFonts w:hint="eastAsia" w:ascii="微软雅黑" w:hAnsi="微软雅黑" w:eastAsia="微软雅黑"/>
          <w:color w:val="auto"/>
          <w:szCs w:val="21"/>
          <w:highlight w:val="none"/>
        </w:rPr>
        <w:t>根据相关法律规定，</w:t>
      </w:r>
      <w:r>
        <w:rPr>
          <w:rFonts w:hint="eastAsia" w:ascii="微软雅黑" w:hAnsi="微软雅黑" w:eastAsia="微软雅黑" w:cs="宋体"/>
          <w:color w:val="auto"/>
          <w:szCs w:val="21"/>
          <w:highlight w:val="none"/>
        </w:rPr>
        <w:t>嘉兴市千秋工程咨询有限公司</w:t>
      </w:r>
      <w:r>
        <w:rPr>
          <w:rFonts w:hint="eastAsia" w:ascii="微软雅黑" w:hAnsi="微软雅黑" w:eastAsia="微软雅黑"/>
          <w:color w:val="auto"/>
          <w:szCs w:val="21"/>
          <w:highlight w:val="none"/>
        </w:rPr>
        <w:t>受</w:t>
      </w:r>
      <w:r>
        <w:rPr>
          <w:rFonts w:hint="eastAsia" w:ascii="微软雅黑" w:hAnsi="微软雅黑" w:eastAsia="微软雅黑"/>
          <w:color w:val="auto"/>
          <w:szCs w:val="21"/>
          <w:highlight w:val="none"/>
          <w:lang w:eastAsia="zh-CN"/>
        </w:rPr>
        <w:t>嘉兴市养老保险服务中心</w:t>
      </w:r>
      <w:r>
        <w:rPr>
          <w:rFonts w:hint="eastAsia" w:ascii="微软雅黑" w:hAnsi="微软雅黑" w:eastAsia="微软雅黑"/>
          <w:color w:val="auto"/>
          <w:szCs w:val="21"/>
          <w:highlight w:val="none"/>
        </w:rPr>
        <w:t>委托，就下列项目进行公开招标，特邀请国内合格的投标人前来投标，现将有关事项公告如下：</w:t>
      </w:r>
    </w:p>
    <w:p w14:paraId="2C2BF307">
      <w:pPr>
        <w:pStyle w:val="4"/>
        <w:numPr>
          <w:ilvl w:val="0"/>
          <w:numId w:val="4"/>
        </w:numPr>
        <w:spacing w:before="0" w:after="0" w:line="460" w:lineRule="exact"/>
        <w:ind w:firstLineChars="200"/>
        <w:rPr>
          <w:rFonts w:hint="eastAsia" w:ascii="微软雅黑" w:hAnsi="微软雅黑" w:eastAsia="微软雅黑" w:cs="Times New Roman"/>
          <w:b w:val="0"/>
          <w:bCs w:val="0"/>
          <w:color w:val="auto"/>
          <w:kern w:val="2"/>
          <w:sz w:val="21"/>
          <w:szCs w:val="21"/>
          <w:highlight w:val="none"/>
          <w:lang w:val="en-US" w:eastAsia="zh-CN" w:bidi="ar-SA"/>
        </w:rPr>
      </w:pPr>
      <w:bookmarkStart w:id="8" w:name="_Toc98019224"/>
      <w:r>
        <w:rPr>
          <w:rFonts w:hint="eastAsia" w:ascii="微软雅黑" w:hAnsi="微软雅黑"/>
          <w:color w:val="auto"/>
          <w:szCs w:val="21"/>
          <w:highlight w:val="none"/>
        </w:rPr>
        <w:t>项目编号：</w:t>
      </w:r>
      <w:bookmarkEnd w:id="8"/>
      <w:r>
        <w:rPr>
          <w:rFonts w:hint="eastAsia" w:ascii="微软雅黑" w:hAnsi="微软雅黑" w:cs="Times New Roman"/>
          <w:b w:val="0"/>
          <w:bCs w:val="0"/>
          <w:color w:val="auto"/>
          <w:kern w:val="2"/>
          <w:sz w:val="21"/>
          <w:szCs w:val="21"/>
          <w:highlight w:val="none"/>
          <w:lang w:val="en-US" w:eastAsia="zh-CN" w:bidi="ar-SA"/>
        </w:rPr>
        <w:t>千秋-N（2025）第65号</w:t>
      </w:r>
    </w:p>
    <w:p w14:paraId="19ED30B8">
      <w:pPr>
        <w:pStyle w:val="4"/>
        <w:numPr>
          <w:ilvl w:val="0"/>
          <w:numId w:val="4"/>
        </w:numPr>
        <w:spacing w:before="0" w:after="0" w:line="460" w:lineRule="exact"/>
        <w:ind w:firstLineChars="200"/>
        <w:rPr>
          <w:rFonts w:hint="eastAsia" w:ascii="微软雅黑" w:hAnsi="微软雅黑"/>
          <w:color w:val="auto"/>
          <w:szCs w:val="21"/>
          <w:highlight w:val="none"/>
        </w:rPr>
      </w:pPr>
      <w:bookmarkStart w:id="9" w:name="_Toc98019225"/>
      <w:r>
        <w:rPr>
          <w:rFonts w:hint="eastAsia" w:ascii="微软雅黑" w:hAnsi="微软雅黑"/>
          <w:color w:val="auto"/>
          <w:szCs w:val="21"/>
          <w:highlight w:val="none"/>
        </w:rPr>
        <w:t>招标方式：公开招标</w:t>
      </w:r>
      <w:bookmarkEnd w:id="9"/>
    </w:p>
    <w:p w14:paraId="0CD3A1D7">
      <w:pPr>
        <w:pStyle w:val="4"/>
        <w:numPr>
          <w:ilvl w:val="0"/>
          <w:numId w:val="4"/>
        </w:numPr>
        <w:spacing w:before="0" w:after="0" w:line="460" w:lineRule="exact"/>
        <w:ind w:firstLineChars="200"/>
        <w:rPr>
          <w:rFonts w:hint="eastAsia" w:ascii="微软雅黑" w:hAnsi="微软雅黑"/>
          <w:color w:val="auto"/>
          <w:szCs w:val="21"/>
          <w:highlight w:val="none"/>
        </w:rPr>
      </w:pPr>
      <w:bookmarkStart w:id="10" w:name="_Toc98019226"/>
      <w:r>
        <w:rPr>
          <w:rFonts w:hint="eastAsia" w:ascii="微软雅黑" w:hAnsi="微软雅黑"/>
          <w:color w:val="auto"/>
          <w:szCs w:val="21"/>
          <w:highlight w:val="none"/>
        </w:rPr>
        <w:t>招标项目：</w:t>
      </w:r>
      <w:bookmarkEnd w:id="10"/>
      <w:r>
        <w:rPr>
          <w:rFonts w:hint="eastAsia" w:ascii="微软雅黑" w:hAnsi="微软雅黑"/>
          <w:color w:val="auto"/>
          <w:szCs w:val="21"/>
          <w:highlight w:val="none"/>
          <w:lang w:eastAsia="zh-CN"/>
        </w:rPr>
        <w:t>嘉兴市养老保险服务中心社会保险基金支出户银行开户项目</w:t>
      </w:r>
    </w:p>
    <w:p w14:paraId="36C10C7D">
      <w:pPr>
        <w:pStyle w:val="4"/>
        <w:numPr>
          <w:ilvl w:val="0"/>
          <w:numId w:val="4"/>
        </w:numPr>
        <w:spacing w:before="0" w:after="0" w:line="460" w:lineRule="exact"/>
        <w:ind w:firstLineChars="200"/>
        <w:rPr>
          <w:rFonts w:hint="eastAsia" w:ascii="微软雅黑" w:hAnsi="微软雅黑"/>
          <w:color w:val="auto"/>
          <w:szCs w:val="21"/>
          <w:highlight w:val="none"/>
        </w:rPr>
      </w:pPr>
      <w:bookmarkStart w:id="11" w:name="_Toc98019227"/>
      <w:r>
        <w:rPr>
          <w:rFonts w:hint="eastAsia" w:ascii="微软雅黑" w:hAnsi="微软雅黑"/>
          <w:color w:val="auto"/>
          <w:szCs w:val="21"/>
          <w:highlight w:val="none"/>
        </w:rPr>
        <w:t>招标内容：</w:t>
      </w:r>
      <w:bookmarkEnd w:id="11"/>
      <w:r>
        <w:rPr>
          <w:rFonts w:hint="eastAsia" w:ascii="微软雅黑" w:hAnsi="微软雅黑"/>
          <w:color w:val="auto"/>
          <w:szCs w:val="21"/>
          <w:highlight w:val="none"/>
        </w:rPr>
        <w:tab/>
      </w:r>
    </w:p>
    <w:p w14:paraId="3DA5CDB0">
      <w:pPr>
        <w:spacing w:line="460" w:lineRule="exact"/>
        <w:ind w:firstLine="420" w:firstLineChars="200"/>
        <w:rPr>
          <w:rFonts w:hint="eastAsia"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嘉兴市养老保险服务中心社会保险基金支出户银行开户，中标银行为</w:t>
      </w:r>
      <w:r>
        <w:rPr>
          <w:rFonts w:hint="eastAsia" w:ascii="微软雅黑" w:hAnsi="微软雅黑" w:eastAsia="微软雅黑"/>
          <w:color w:val="auto"/>
          <w:highlight w:val="none"/>
          <w:lang w:val="en-US" w:eastAsia="zh-CN"/>
        </w:rPr>
        <w:t>1</w:t>
      </w:r>
      <w:r>
        <w:rPr>
          <w:rFonts w:hint="eastAsia" w:ascii="微软雅黑" w:hAnsi="微软雅黑" w:eastAsia="微软雅黑"/>
          <w:color w:val="auto"/>
          <w:highlight w:val="none"/>
          <w:lang w:eastAsia="zh-CN"/>
        </w:rPr>
        <w:t>家。</w:t>
      </w:r>
    </w:p>
    <w:p w14:paraId="712E48BD">
      <w:pPr>
        <w:pStyle w:val="4"/>
        <w:numPr>
          <w:ilvl w:val="0"/>
          <w:numId w:val="4"/>
        </w:numPr>
        <w:spacing w:before="0" w:after="0" w:line="460" w:lineRule="exact"/>
        <w:ind w:firstLineChars="200"/>
        <w:rPr>
          <w:rFonts w:hint="eastAsia" w:ascii="微软雅黑" w:hAnsi="微软雅黑"/>
          <w:color w:val="auto"/>
          <w:szCs w:val="21"/>
          <w:highlight w:val="none"/>
        </w:rPr>
      </w:pPr>
      <w:bookmarkStart w:id="12" w:name="_Toc98019228"/>
      <w:r>
        <w:rPr>
          <w:rFonts w:hint="eastAsia" w:ascii="微软雅黑" w:hAnsi="微软雅黑"/>
          <w:color w:val="auto"/>
          <w:szCs w:val="21"/>
          <w:highlight w:val="none"/>
        </w:rPr>
        <w:t>合格投标人的资格要求</w:t>
      </w:r>
      <w:bookmarkEnd w:id="12"/>
    </w:p>
    <w:p w14:paraId="0BE9AE5D">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在嘉兴市本级设有经办机构；</w:t>
      </w:r>
    </w:p>
    <w:p w14:paraId="6F5D14DD">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依法开展经营活动，内部管理机制健全，具有较强的风险控制能力，近3年内在经营活动中无重大违法违规记录、未发生金融风险及重大违约事件；</w:t>
      </w:r>
    </w:p>
    <w:p w14:paraId="1BD2532C">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纳入监管评级的银行，人行嘉兴市中心支行上年度综合评价达到Ｂ级及以上。不纳入人民银行评级范围的银行不受此条款限制;</w:t>
      </w:r>
    </w:p>
    <w:p w14:paraId="56DD04BD">
      <w:pPr>
        <w:pStyle w:val="4"/>
        <w:numPr>
          <w:ilvl w:val="0"/>
          <w:numId w:val="4"/>
        </w:numPr>
        <w:spacing w:before="0" w:after="0" w:line="460" w:lineRule="exact"/>
        <w:ind w:firstLineChars="200"/>
        <w:rPr>
          <w:rFonts w:hint="eastAsia" w:ascii="微软雅黑" w:hAnsi="微软雅黑"/>
          <w:color w:val="auto"/>
          <w:szCs w:val="21"/>
          <w:highlight w:val="none"/>
        </w:rPr>
      </w:pPr>
      <w:bookmarkStart w:id="13" w:name="_Toc98019229"/>
      <w:r>
        <w:rPr>
          <w:rFonts w:hint="eastAsia" w:ascii="微软雅黑" w:hAnsi="微软雅黑"/>
          <w:color w:val="auto"/>
          <w:szCs w:val="21"/>
          <w:highlight w:val="none"/>
        </w:rPr>
        <w:t>招标文件的获取：</w:t>
      </w:r>
      <w:bookmarkEnd w:id="13"/>
    </w:p>
    <w:p w14:paraId="6C36AF66">
      <w:pPr>
        <w:pStyle w:val="62"/>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bCs/>
          <w:color w:val="auto"/>
          <w:szCs w:val="21"/>
          <w:highlight w:val="none"/>
        </w:rPr>
        <w:t>获取</w:t>
      </w:r>
      <w:r>
        <w:rPr>
          <w:rFonts w:hint="eastAsia" w:ascii="微软雅黑" w:hAnsi="微软雅黑" w:eastAsia="微软雅黑" w:cs="Arial"/>
          <w:color w:val="auto"/>
          <w:szCs w:val="21"/>
          <w:highlight w:val="none"/>
        </w:rPr>
        <w:t>方式（网站下载）</w:t>
      </w:r>
      <w:r>
        <w:rPr>
          <w:rFonts w:ascii="微软雅黑" w:hAnsi="微软雅黑" w:eastAsia="微软雅黑" w:cs="Arial"/>
          <w:color w:val="auto"/>
          <w:szCs w:val="21"/>
          <w:highlight w:val="none"/>
        </w:rPr>
        <w:t>：</w:t>
      </w:r>
      <w:r>
        <w:rPr>
          <w:rFonts w:hint="eastAsia" w:ascii="微软雅黑" w:hAnsi="微软雅黑" w:eastAsia="微软雅黑" w:cs="Arial"/>
          <w:color w:val="auto"/>
          <w:szCs w:val="21"/>
          <w:highlight w:val="none"/>
        </w:rPr>
        <w:t>浙江政府采购网网址（</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ascii="微软雅黑" w:hAnsi="微软雅黑" w:eastAsia="微软雅黑" w:cs="Arial"/>
          <w:color w:val="auto"/>
          <w:szCs w:val="21"/>
          <w:highlight w:val="none"/>
        </w:rPr>
        <w:t>https://zfcg.czt.zj.gov.cn/</w:t>
      </w:r>
      <w:r>
        <w:rPr>
          <w:rStyle w:val="45"/>
          <w:rFonts w:ascii="微软雅黑" w:hAnsi="微软雅黑" w:eastAsia="微软雅黑" w:cs="Arial"/>
          <w:color w:val="auto"/>
          <w:szCs w:val="21"/>
          <w:highlight w:val="none"/>
        </w:rPr>
        <w:fldChar w:fldCharType="end"/>
      </w:r>
      <w:r>
        <w:rPr>
          <w:rFonts w:hint="eastAsia" w:ascii="微软雅黑" w:hAnsi="微软雅黑" w:eastAsia="微软雅黑" w:cs="Arial"/>
          <w:color w:val="auto"/>
          <w:szCs w:val="21"/>
          <w:highlight w:val="none"/>
        </w:rPr>
        <w:t>）。</w:t>
      </w:r>
    </w:p>
    <w:p w14:paraId="25976A70">
      <w:pPr>
        <w:pStyle w:val="62"/>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招标文件</w:t>
      </w:r>
      <w:r>
        <w:rPr>
          <w:rFonts w:hint="eastAsia" w:ascii="微软雅黑" w:hAnsi="微软雅黑" w:eastAsia="微软雅黑" w:cs="Arial"/>
          <w:color w:val="auto"/>
          <w:szCs w:val="21"/>
          <w:highlight w:val="none"/>
        </w:rPr>
        <w:t>免费下载</w:t>
      </w:r>
      <w:r>
        <w:rPr>
          <w:rFonts w:ascii="微软雅黑" w:hAnsi="微软雅黑" w:eastAsia="微软雅黑" w:cs="Arial"/>
          <w:color w:val="auto"/>
          <w:szCs w:val="21"/>
          <w:highlight w:val="none"/>
        </w:rPr>
        <w:t>。</w:t>
      </w:r>
    </w:p>
    <w:p w14:paraId="75F9E104">
      <w:pPr>
        <w:pStyle w:val="4"/>
        <w:numPr>
          <w:ilvl w:val="0"/>
          <w:numId w:val="4"/>
        </w:numPr>
        <w:spacing w:before="0" w:after="0" w:line="460" w:lineRule="exact"/>
        <w:ind w:firstLineChars="200"/>
        <w:rPr>
          <w:color w:val="auto"/>
          <w:highlight w:val="none"/>
        </w:rPr>
      </w:pPr>
      <w:bookmarkStart w:id="14" w:name="_Toc98019230"/>
      <w:r>
        <w:rPr>
          <w:rFonts w:hint="eastAsia" w:ascii="微软雅黑" w:hAnsi="微软雅黑"/>
          <w:color w:val="auto"/>
          <w:szCs w:val="21"/>
          <w:highlight w:val="none"/>
        </w:rPr>
        <w:t>报名：</w:t>
      </w:r>
      <w:bookmarkEnd w:id="14"/>
    </w:p>
    <w:p w14:paraId="0620ABC5">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报名时间：</w:t>
      </w:r>
      <w:r>
        <w:rPr>
          <w:rFonts w:hint="eastAsia" w:ascii="微软雅黑" w:hAnsi="微软雅黑" w:eastAsia="微软雅黑" w:cs="Arial"/>
          <w:bCs/>
          <w:color w:val="auto"/>
          <w:szCs w:val="21"/>
          <w:highlight w:val="none"/>
          <w:u w:val="single"/>
        </w:rPr>
        <w:t>202</w:t>
      </w:r>
      <w:r>
        <w:rPr>
          <w:rFonts w:hint="eastAsia" w:ascii="微软雅黑" w:hAnsi="微软雅黑" w:eastAsia="微软雅黑" w:cs="Arial"/>
          <w:bCs/>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06</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26</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rPr>
        <w:t>至</w:t>
      </w:r>
      <w:r>
        <w:rPr>
          <w:rFonts w:hint="eastAsia" w:ascii="微软雅黑" w:hAnsi="微软雅黑" w:eastAsia="微软雅黑" w:cs="Arial"/>
          <w:color w:val="auto"/>
          <w:szCs w:val="21"/>
          <w:highlight w:val="none"/>
          <w:u w:val="single"/>
        </w:rPr>
        <w:t>202</w:t>
      </w:r>
      <w:r>
        <w:rPr>
          <w:rFonts w:hint="eastAsia" w:ascii="微软雅黑" w:hAnsi="微软雅黑" w:eastAsia="微软雅黑" w:cs="Arial"/>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07</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11</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u w:val="single"/>
          <w:lang w:val="en-US" w:eastAsia="zh-CN"/>
        </w:rPr>
        <w:t xml:space="preserve">17：30 </w:t>
      </w:r>
      <w:r>
        <w:rPr>
          <w:rFonts w:hint="eastAsia" w:ascii="微软雅黑" w:hAnsi="微软雅黑" w:eastAsia="微软雅黑" w:cs="Arial"/>
          <w:color w:val="auto"/>
          <w:szCs w:val="21"/>
          <w:highlight w:val="none"/>
        </w:rPr>
        <w:t>。</w:t>
      </w:r>
    </w:p>
    <w:p w14:paraId="5E7CDF8A">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b/>
          <w:color w:val="auto"/>
          <w:szCs w:val="21"/>
          <w:highlight w:val="none"/>
        </w:rPr>
        <w:t>报名方式：</w:t>
      </w:r>
      <w:r>
        <w:rPr>
          <w:rFonts w:hint="eastAsia" w:ascii="微软雅黑" w:hAnsi="微软雅黑" w:eastAsia="微软雅黑"/>
          <w:color w:val="auto"/>
          <w:szCs w:val="21"/>
          <w:highlight w:val="none"/>
        </w:rPr>
        <w:t>本项目实行</w:t>
      </w:r>
      <w:r>
        <w:rPr>
          <w:rFonts w:hint="eastAsia" w:ascii="微软雅黑" w:hAnsi="微软雅黑" w:eastAsia="微软雅黑"/>
          <w:color w:val="auto"/>
          <w:szCs w:val="21"/>
          <w:highlight w:val="none"/>
          <w:u w:val="single"/>
        </w:rPr>
        <w:t xml:space="preserve"> 网上 </w:t>
      </w:r>
      <w:r>
        <w:rPr>
          <w:rFonts w:hint="eastAsia" w:ascii="微软雅黑" w:hAnsi="微软雅黑" w:eastAsia="微软雅黑"/>
          <w:color w:val="auto"/>
          <w:szCs w:val="21"/>
          <w:highlight w:val="none"/>
        </w:rPr>
        <w:t>报名。报名银行登录政府采购云平台（</w:t>
      </w:r>
      <w:r>
        <w:rPr>
          <w:color w:val="auto"/>
          <w:highlight w:val="none"/>
        </w:rPr>
        <w:fldChar w:fldCharType="begin"/>
      </w:r>
      <w:r>
        <w:rPr>
          <w:color w:val="auto"/>
          <w:highlight w:val="none"/>
        </w:rPr>
        <w:instrText xml:space="preserve"> HYPERLINK "https://login.zcygov.cn/user-login/" \l "/login" </w:instrText>
      </w:r>
      <w:r>
        <w:rPr>
          <w:color w:val="auto"/>
          <w:highlight w:val="none"/>
        </w:rPr>
        <w:fldChar w:fldCharType="separate"/>
      </w:r>
      <w:r>
        <w:rPr>
          <w:rStyle w:val="45"/>
          <w:rFonts w:ascii="微软雅黑" w:hAnsi="微软雅黑" w:eastAsia="微软雅黑"/>
          <w:color w:val="auto"/>
          <w:szCs w:val="21"/>
          <w:highlight w:val="none"/>
        </w:rPr>
        <w:t>https://login.zcygov.cn/user-login/#/login</w:t>
      </w:r>
      <w:r>
        <w:rPr>
          <w:rStyle w:val="45"/>
          <w:rFonts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5C077EA9">
      <w:pPr>
        <w:snapToGrid w:val="0"/>
        <w:spacing w:line="360" w:lineRule="auto"/>
        <w:ind w:firstLine="420" w:firstLineChars="200"/>
        <w:rPr>
          <w:rFonts w:hint="eastAsia" w:ascii="微软雅黑" w:hAnsi="微软雅黑" w:eastAsia="微软雅黑" w:cs="Arial"/>
          <w:b/>
          <w:bCs/>
          <w:color w:val="auto"/>
          <w:szCs w:val="21"/>
          <w:highlight w:val="none"/>
        </w:rPr>
      </w:pPr>
      <w:r>
        <w:rPr>
          <w:rFonts w:hint="eastAsia" w:ascii="微软雅黑" w:hAnsi="微软雅黑" w:eastAsia="微软雅黑" w:cs="Arial"/>
          <w:b/>
          <w:bCs/>
          <w:color w:val="auto"/>
          <w:szCs w:val="21"/>
          <w:highlight w:val="none"/>
        </w:rPr>
        <w:t>报名应提供以下资料：</w:t>
      </w:r>
    </w:p>
    <w:p w14:paraId="3538772F">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1</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经有关部门年检通过的企业法人营业执照</w:t>
      </w:r>
      <w:r>
        <w:rPr>
          <w:rFonts w:hint="eastAsia" w:ascii="微软雅黑" w:hAnsi="微软雅黑" w:eastAsia="微软雅黑" w:cs="Arial"/>
          <w:color w:val="auto"/>
          <w:szCs w:val="21"/>
          <w:highlight w:val="none"/>
        </w:rPr>
        <w:t>副本</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r>
        <w:rPr>
          <w:rFonts w:ascii="微软雅黑" w:hAnsi="微软雅黑" w:eastAsia="微软雅黑" w:cs="Arial"/>
          <w:color w:val="auto"/>
          <w:szCs w:val="21"/>
          <w:highlight w:val="none"/>
        </w:rPr>
        <w:t>；</w:t>
      </w:r>
    </w:p>
    <w:p w14:paraId="1B7D5589">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2</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报名人</w:t>
      </w:r>
      <w:r>
        <w:rPr>
          <w:rFonts w:hint="eastAsia" w:ascii="微软雅黑" w:hAnsi="微软雅黑" w:eastAsia="微软雅黑" w:cs="Arial"/>
          <w:color w:val="auto"/>
          <w:szCs w:val="21"/>
          <w:highlight w:val="none"/>
        </w:rPr>
        <w:t>有效</w:t>
      </w:r>
      <w:r>
        <w:rPr>
          <w:rFonts w:ascii="微软雅黑" w:hAnsi="微软雅黑" w:eastAsia="微软雅黑" w:cs="Arial"/>
          <w:color w:val="auto"/>
          <w:szCs w:val="21"/>
          <w:highlight w:val="none"/>
        </w:rPr>
        <w:t>身份证</w:t>
      </w:r>
      <w:r>
        <w:rPr>
          <w:rFonts w:hint="eastAsia" w:ascii="微软雅黑" w:hAnsi="微软雅黑" w:eastAsia="微软雅黑" w:cs="Arial"/>
          <w:color w:val="auto"/>
          <w:szCs w:val="21"/>
          <w:highlight w:val="none"/>
        </w:rPr>
        <w:t>件</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p>
    <w:p w14:paraId="6D0C77F1">
      <w:pPr>
        <w:snapToGrid w:val="0"/>
        <w:spacing w:line="360" w:lineRule="auto"/>
        <w:ind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3.投标银行报名表（加盖单位公章）。</w:t>
      </w:r>
    </w:p>
    <w:p w14:paraId="5526A8FE">
      <w:pPr>
        <w:spacing w:before="156" w:beforeLines="50" w:after="156" w:afterLines="50"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color w:val="auto"/>
          <w:szCs w:val="21"/>
          <w:highlight w:val="none"/>
        </w:rPr>
        <w:t>八</w:t>
      </w:r>
      <w:r>
        <w:rPr>
          <w:rFonts w:hint="eastAsia" w:ascii="微软雅黑" w:hAnsi="微软雅黑" w:eastAsia="微软雅黑" w:cs="Arial"/>
          <w:b/>
          <w:bCs/>
          <w:color w:val="auto"/>
          <w:szCs w:val="21"/>
          <w:highlight w:val="none"/>
        </w:rPr>
        <w:t>、投标方式、线下投标截止时间和网上投标</w:t>
      </w:r>
      <w:r>
        <w:rPr>
          <w:rStyle w:val="41"/>
          <w:rFonts w:hint="eastAsia" w:ascii="微软雅黑" w:hAnsi="微软雅黑" w:eastAsia="微软雅黑" w:cs="Courier New"/>
          <w:color w:val="auto"/>
          <w:szCs w:val="21"/>
          <w:highlight w:val="none"/>
        </w:rPr>
        <w:t>起止时间</w:t>
      </w:r>
      <w:r>
        <w:rPr>
          <w:rFonts w:hint="eastAsia" w:ascii="微软雅黑" w:hAnsi="微软雅黑" w:eastAsia="微软雅黑" w:cs="Arial"/>
          <w:color w:val="auto"/>
          <w:szCs w:val="21"/>
          <w:highlight w:val="none"/>
        </w:rPr>
        <w:t>：</w:t>
      </w:r>
    </w:p>
    <w:p w14:paraId="4729B554">
      <w:pPr>
        <w:spacing w:line="360" w:lineRule="auto"/>
        <w:ind w:firstLine="411" w:firstLineChars="19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本项目实行线下纸质投标叠加网上电子投标。线下纸质投标文件接收截止时间：</w:t>
      </w:r>
      <w:r>
        <w:rPr>
          <w:rFonts w:hint="eastAsia" w:ascii="微软雅黑" w:hAnsi="微软雅黑" w:eastAsia="微软雅黑" w:cs="Arial"/>
          <w:color w:val="auto"/>
          <w:szCs w:val="21"/>
          <w:highlight w:val="none"/>
          <w:u w:val="none"/>
        </w:rPr>
        <w:t>202</w:t>
      </w:r>
      <w:r>
        <w:rPr>
          <w:rFonts w:hint="eastAsia" w:ascii="微软雅黑" w:hAnsi="微软雅黑" w:eastAsia="微软雅黑" w:cs="Arial"/>
          <w:color w:val="auto"/>
          <w:szCs w:val="21"/>
          <w:highlight w:val="none"/>
          <w:u w:val="none"/>
          <w:lang w:val="en-US" w:eastAsia="zh-CN"/>
        </w:rPr>
        <w:t>5</w:t>
      </w:r>
      <w:r>
        <w:rPr>
          <w:rFonts w:hint="eastAsia" w:ascii="微软雅黑" w:hAnsi="微软雅黑" w:eastAsia="微软雅黑" w:cs="Arial"/>
          <w:color w:val="auto"/>
          <w:szCs w:val="21"/>
          <w:highlight w:val="none"/>
          <w:u w:val="none"/>
        </w:rPr>
        <w:t>年</w:t>
      </w:r>
      <w:r>
        <w:rPr>
          <w:rFonts w:hint="eastAsia" w:ascii="微软雅黑" w:hAnsi="微软雅黑" w:eastAsia="微软雅黑" w:cs="Arial"/>
          <w:color w:val="auto"/>
          <w:szCs w:val="21"/>
          <w:highlight w:val="none"/>
          <w:u w:val="none"/>
          <w:lang w:val="en-US" w:eastAsia="zh-CN"/>
        </w:rPr>
        <w:t>07</w:t>
      </w:r>
      <w:r>
        <w:rPr>
          <w:rFonts w:hint="eastAsia" w:ascii="微软雅黑" w:hAnsi="微软雅黑" w:eastAsia="微软雅黑" w:cs="Arial"/>
          <w:color w:val="auto"/>
          <w:szCs w:val="21"/>
          <w:highlight w:val="none"/>
          <w:u w:val="none"/>
        </w:rPr>
        <w:t>月</w:t>
      </w:r>
      <w:r>
        <w:rPr>
          <w:rFonts w:hint="eastAsia" w:ascii="微软雅黑" w:hAnsi="微软雅黑" w:eastAsia="微软雅黑" w:cs="Arial"/>
          <w:color w:val="auto"/>
          <w:szCs w:val="21"/>
          <w:highlight w:val="none"/>
          <w:u w:val="none"/>
          <w:lang w:val="en-US" w:eastAsia="zh-CN"/>
        </w:rPr>
        <w:t>14</w:t>
      </w:r>
      <w:r>
        <w:rPr>
          <w:rFonts w:hint="eastAsia" w:ascii="微软雅黑" w:hAnsi="微软雅黑" w:eastAsia="微软雅黑" w:cs="Arial"/>
          <w:color w:val="auto"/>
          <w:szCs w:val="21"/>
          <w:highlight w:val="none"/>
          <w:u w:val="none"/>
        </w:rPr>
        <w:t>日</w:t>
      </w:r>
      <w:r>
        <w:rPr>
          <w:rFonts w:hint="eastAsia" w:ascii="微软雅黑" w:hAnsi="微软雅黑" w:eastAsia="微软雅黑" w:cs="Arial"/>
          <w:color w:val="auto"/>
          <w:szCs w:val="21"/>
          <w:highlight w:val="none"/>
          <w:u w:val="none"/>
          <w:lang w:val="en-US" w:eastAsia="zh-CN"/>
        </w:rPr>
        <w:t>14：00</w:t>
      </w:r>
      <w:r>
        <w:rPr>
          <w:rFonts w:hint="eastAsia" w:ascii="微软雅黑" w:hAnsi="微软雅黑" w:eastAsia="微软雅黑"/>
          <w:color w:val="auto"/>
          <w:szCs w:val="21"/>
          <w:highlight w:val="none"/>
        </w:rPr>
        <w:t>，未按时寄达或送达指定地点的，均视为自动放弃。网上电子投标投标人应于</w:t>
      </w:r>
      <w:r>
        <w:rPr>
          <w:rFonts w:hint="eastAsia" w:ascii="微软雅黑" w:hAnsi="微软雅黑" w:eastAsia="微软雅黑" w:cs="Arial"/>
          <w:color w:val="auto"/>
          <w:szCs w:val="21"/>
          <w:highlight w:val="none"/>
          <w:u w:val="none"/>
        </w:rPr>
        <w:t>202</w:t>
      </w:r>
      <w:r>
        <w:rPr>
          <w:rFonts w:hint="eastAsia" w:ascii="微软雅黑" w:hAnsi="微软雅黑" w:eastAsia="微软雅黑" w:cs="Arial"/>
          <w:color w:val="auto"/>
          <w:szCs w:val="21"/>
          <w:highlight w:val="none"/>
          <w:u w:val="none"/>
          <w:lang w:val="en-US" w:eastAsia="zh-CN"/>
        </w:rPr>
        <w:t>5</w:t>
      </w:r>
      <w:r>
        <w:rPr>
          <w:rFonts w:hint="eastAsia" w:ascii="微软雅黑" w:hAnsi="微软雅黑" w:eastAsia="微软雅黑" w:cs="Arial"/>
          <w:color w:val="auto"/>
          <w:szCs w:val="21"/>
          <w:highlight w:val="none"/>
          <w:u w:val="none"/>
        </w:rPr>
        <w:t>年</w:t>
      </w:r>
      <w:r>
        <w:rPr>
          <w:rFonts w:hint="eastAsia" w:ascii="微软雅黑" w:hAnsi="微软雅黑" w:eastAsia="微软雅黑" w:cs="Arial"/>
          <w:color w:val="auto"/>
          <w:szCs w:val="21"/>
          <w:highlight w:val="none"/>
          <w:u w:val="none"/>
          <w:lang w:val="en-US" w:eastAsia="zh-CN"/>
        </w:rPr>
        <w:t>07</w:t>
      </w:r>
      <w:r>
        <w:rPr>
          <w:rFonts w:hint="eastAsia" w:ascii="微软雅黑" w:hAnsi="微软雅黑" w:eastAsia="微软雅黑" w:cs="Arial"/>
          <w:color w:val="auto"/>
          <w:szCs w:val="21"/>
          <w:highlight w:val="none"/>
          <w:u w:val="none"/>
        </w:rPr>
        <w:t>月</w:t>
      </w:r>
      <w:r>
        <w:rPr>
          <w:rFonts w:hint="eastAsia" w:ascii="微软雅黑" w:hAnsi="微软雅黑" w:eastAsia="微软雅黑" w:cs="Arial"/>
          <w:color w:val="auto"/>
          <w:szCs w:val="21"/>
          <w:highlight w:val="none"/>
          <w:u w:val="none"/>
          <w:lang w:val="en-US" w:eastAsia="zh-CN"/>
        </w:rPr>
        <w:t>14</w:t>
      </w:r>
      <w:r>
        <w:rPr>
          <w:rFonts w:hint="eastAsia" w:ascii="微软雅黑" w:hAnsi="微软雅黑" w:eastAsia="微软雅黑" w:cs="Arial"/>
          <w:color w:val="auto"/>
          <w:szCs w:val="21"/>
          <w:highlight w:val="none"/>
          <w:u w:val="none"/>
        </w:rPr>
        <w:t>日</w:t>
      </w:r>
      <w:r>
        <w:rPr>
          <w:rFonts w:hint="eastAsia" w:ascii="微软雅黑" w:hAnsi="微软雅黑" w:eastAsia="微软雅黑" w:cs="Arial"/>
          <w:color w:val="auto"/>
          <w:szCs w:val="21"/>
          <w:highlight w:val="none"/>
          <w:u w:val="none"/>
          <w:lang w:val="en-US" w:eastAsia="zh-CN"/>
        </w:rPr>
        <w:t>14：00</w:t>
      </w:r>
      <w:r>
        <w:rPr>
          <w:rFonts w:hint="eastAsia" w:ascii="微软雅黑" w:hAnsi="微软雅黑" w:eastAsia="微软雅黑"/>
          <w:color w:val="auto"/>
          <w:szCs w:val="21"/>
          <w:highlight w:val="none"/>
        </w:rPr>
        <w:t>前，登录政府采购云平台，进入招标系统，按规定进行投标。投标成功会接收短信通知，逾期投标视为未投标。</w:t>
      </w:r>
    </w:p>
    <w:p w14:paraId="2869B855">
      <w:pPr>
        <w:snapToGrid w:val="0"/>
        <w:spacing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九、开标时间及地点</w:t>
      </w:r>
      <w:r>
        <w:rPr>
          <w:rFonts w:hint="eastAsia" w:ascii="微软雅黑" w:hAnsi="微软雅黑" w:eastAsia="微软雅黑" w:cs="Arial"/>
          <w:color w:val="auto"/>
          <w:szCs w:val="21"/>
          <w:highlight w:val="none"/>
        </w:rPr>
        <w:t>：</w:t>
      </w:r>
    </w:p>
    <w:p w14:paraId="1E5264DD">
      <w:pPr>
        <w:snapToGrid w:val="0"/>
        <w:spacing w:line="360" w:lineRule="auto"/>
        <w:ind w:firstLine="308" w:firstLineChars="147"/>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本次招标将</w:t>
      </w:r>
      <w:r>
        <w:rPr>
          <w:rFonts w:hint="eastAsia" w:ascii="微软雅黑" w:hAnsi="微软雅黑" w:eastAsia="微软雅黑" w:cs="Arial"/>
          <w:color w:val="auto"/>
          <w:szCs w:val="21"/>
          <w:highlight w:val="none"/>
          <w:u w:val="none"/>
        </w:rPr>
        <w:t>202</w:t>
      </w:r>
      <w:r>
        <w:rPr>
          <w:rFonts w:hint="eastAsia" w:ascii="微软雅黑" w:hAnsi="微软雅黑" w:eastAsia="微软雅黑" w:cs="Arial"/>
          <w:color w:val="auto"/>
          <w:szCs w:val="21"/>
          <w:highlight w:val="none"/>
          <w:u w:val="none"/>
          <w:lang w:val="en-US" w:eastAsia="zh-CN"/>
        </w:rPr>
        <w:t>5</w:t>
      </w:r>
      <w:r>
        <w:rPr>
          <w:rFonts w:hint="eastAsia" w:ascii="微软雅黑" w:hAnsi="微软雅黑" w:eastAsia="微软雅黑" w:cs="Arial"/>
          <w:color w:val="auto"/>
          <w:szCs w:val="21"/>
          <w:highlight w:val="none"/>
          <w:u w:val="none"/>
        </w:rPr>
        <w:t>年</w:t>
      </w:r>
      <w:r>
        <w:rPr>
          <w:rFonts w:hint="eastAsia" w:ascii="微软雅黑" w:hAnsi="微软雅黑" w:eastAsia="微软雅黑" w:cs="Arial"/>
          <w:color w:val="auto"/>
          <w:szCs w:val="21"/>
          <w:highlight w:val="none"/>
          <w:u w:val="none"/>
          <w:lang w:val="en-US" w:eastAsia="zh-CN"/>
        </w:rPr>
        <w:t>07</w:t>
      </w:r>
      <w:r>
        <w:rPr>
          <w:rFonts w:hint="eastAsia" w:ascii="微软雅黑" w:hAnsi="微软雅黑" w:eastAsia="微软雅黑" w:cs="Arial"/>
          <w:color w:val="auto"/>
          <w:szCs w:val="21"/>
          <w:highlight w:val="none"/>
          <w:u w:val="none"/>
        </w:rPr>
        <w:t>月</w:t>
      </w:r>
      <w:r>
        <w:rPr>
          <w:rFonts w:hint="eastAsia" w:ascii="微软雅黑" w:hAnsi="微软雅黑" w:eastAsia="微软雅黑" w:cs="Arial"/>
          <w:color w:val="auto"/>
          <w:szCs w:val="21"/>
          <w:highlight w:val="none"/>
          <w:u w:val="none"/>
          <w:lang w:val="en-US" w:eastAsia="zh-CN"/>
        </w:rPr>
        <w:t>14</w:t>
      </w:r>
      <w:r>
        <w:rPr>
          <w:rFonts w:hint="eastAsia" w:ascii="微软雅黑" w:hAnsi="微软雅黑" w:eastAsia="微软雅黑" w:cs="Arial"/>
          <w:color w:val="auto"/>
          <w:szCs w:val="21"/>
          <w:highlight w:val="none"/>
          <w:u w:val="none"/>
        </w:rPr>
        <w:t>日</w:t>
      </w:r>
      <w:r>
        <w:rPr>
          <w:rFonts w:hint="eastAsia" w:ascii="微软雅黑" w:hAnsi="微软雅黑" w:eastAsia="微软雅黑" w:cs="Arial"/>
          <w:color w:val="auto"/>
          <w:szCs w:val="21"/>
          <w:highlight w:val="none"/>
          <w:u w:val="none"/>
          <w:lang w:val="en-US" w:eastAsia="zh-CN"/>
        </w:rPr>
        <w:t>14：00</w:t>
      </w:r>
      <w:r>
        <w:rPr>
          <w:rFonts w:hint="eastAsia" w:ascii="微软雅黑" w:hAnsi="微软雅黑" w:eastAsia="微软雅黑" w:cs="Arial"/>
          <w:bCs/>
          <w:color w:val="auto"/>
          <w:szCs w:val="21"/>
          <w:highlight w:val="none"/>
        </w:rPr>
        <w:t>嘉兴市千秋工程咨询有限公司</w:t>
      </w:r>
      <w:r>
        <w:rPr>
          <w:rFonts w:hint="eastAsia" w:ascii="微软雅黑" w:hAnsi="微软雅黑" w:eastAsia="微软雅黑" w:cs="Arial"/>
          <w:bCs/>
          <w:color w:val="auto"/>
          <w:szCs w:val="21"/>
          <w:highlight w:val="none"/>
          <w:lang w:val="en-US" w:eastAsia="zh-CN"/>
        </w:rPr>
        <w:t>开标</w:t>
      </w:r>
      <w:r>
        <w:rPr>
          <w:rFonts w:hint="eastAsia" w:ascii="微软雅黑" w:hAnsi="微软雅黑" w:eastAsia="微软雅黑" w:cs="Arial"/>
          <w:bCs/>
          <w:color w:val="auto"/>
          <w:szCs w:val="21"/>
          <w:highlight w:val="none"/>
        </w:rPr>
        <w:t>室（嘉兴市秀洲区新平路299号中禾广场23楼</w:t>
      </w:r>
      <w:r>
        <w:rPr>
          <w:rFonts w:hint="eastAsia" w:ascii="微软雅黑" w:hAnsi="微软雅黑" w:eastAsia="微软雅黑" w:cs="Arial"/>
          <w:bCs/>
          <w:color w:val="auto"/>
          <w:szCs w:val="21"/>
          <w:highlight w:val="none"/>
          <w:lang w:val="en-US" w:eastAsia="zh-CN"/>
        </w:rPr>
        <w:t>电梯厅右转到底</w:t>
      </w:r>
      <w:r>
        <w:rPr>
          <w:rFonts w:hint="eastAsia" w:ascii="微软雅黑" w:hAnsi="微软雅黑" w:eastAsia="微软雅黑" w:cs="Arial"/>
          <w:bCs/>
          <w:color w:val="auto"/>
          <w:szCs w:val="21"/>
          <w:highlight w:val="none"/>
        </w:rPr>
        <w:t>）</w:t>
      </w:r>
      <w:r>
        <w:rPr>
          <w:rFonts w:hint="eastAsia" w:ascii="微软雅黑" w:hAnsi="微软雅黑" w:eastAsia="微软雅黑"/>
          <w:color w:val="auto"/>
          <w:szCs w:val="21"/>
          <w:highlight w:val="none"/>
        </w:rPr>
        <w:t>开</w:t>
      </w:r>
      <w:r>
        <w:rPr>
          <w:rFonts w:hint="eastAsia" w:ascii="微软雅黑" w:hAnsi="微软雅黑" w:eastAsia="微软雅黑" w:cs="Arial"/>
          <w:color w:val="auto"/>
          <w:szCs w:val="21"/>
          <w:highlight w:val="none"/>
        </w:rPr>
        <w:t>标。</w:t>
      </w:r>
    </w:p>
    <w:p w14:paraId="734DFB67">
      <w:pPr>
        <w:pStyle w:val="4"/>
        <w:numPr>
          <w:ilvl w:val="0"/>
          <w:numId w:val="4"/>
        </w:numPr>
        <w:spacing w:before="0" w:after="0" w:line="460" w:lineRule="exact"/>
        <w:ind w:firstLineChars="200"/>
        <w:rPr>
          <w:rFonts w:hint="eastAsia" w:ascii="微软雅黑" w:hAnsi="微软雅黑"/>
          <w:color w:val="auto"/>
          <w:szCs w:val="21"/>
          <w:highlight w:val="none"/>
        </w:rPr>
      </w:pPr>
      <w:bookmarkStart w:id="15" w:name="_Toc98019231"/>
      <w:r>
        <w:rPr>
          <w:rFonts w:hint="eastAsia" w:ascii="微软雅黑" w:hAnsi="微软雅黑"/>
          <w:color w:val="auto"/>
          <w:szCs w:val="21"/>
          <w:highlight w:val="none"/>
        </w:rPr>
        <w:t>招标公告发布于：</w:t>
      </w:r>
      <w:bookmarkEnd w:id="15"/>
    </w:p>
    <w:p w14:paraId="1982D8B4">
      <w:pPr>
        <w:snapToGrid w:val="0"/>
        <w:spacing w:line="460" w:lineRule="exact"/>
        <w:ind w:firstLine="420"/>
        <w:rPr>
          <w:rFonts w:hint="eastAsia" w:ascii="微软雅黑" w:hAnsi="微软雅黑" w:eastAsia="微软雅黑" w:cs="Arial"/>
          <w:b/>
          <w:color w:val="auto"/>
          <w:szCs w:val="21"/>
          <w:highlight w:val="none"/>
        </w:rPr>
      </w:pPr>
      <w:r>
        <w:rPr>
          <w:rFonts w:hint="eastAsia" w:ascii="微软雅黑" w:hAnsi="微软雅黑" w:eastAsia="微软雅黑"/>
          <w:color w:val="auto"/>
          <w:szCs w:val="21"/>
          <w:highlight w:val="none"/>
        </w:rPr>
        <w:t>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）和嘉兴市公共资源交易中心（</w:t>
      </w:r>
      <w:r>
        <w:rPr>
          <w:rStyle w:val="45"/>
          <w:rFonts w:hint="eastAsia" w:ascii="微软雅黑" w:hAnsi="微软雅黑" w:eastAsia="微软雅黑"/>
          <w:color w:val="auto"/>
          <w:szCs w:val="21"/>
          <w:highlight w:val="none"/>
        </w:rPr>
        <w:t>https://jxszwsjb.jiaxing.gov.cn/</w:t>
      </w:r>
      <w:r>
        <w:rPr>
          <w:rFonts w:ascii="微软雅黑" w:hAnsi="微软雅黑" w:eastAsia="微软雅黑"/>
          <w:color w:val="auto"/>
          <w:szCs w:val="21"/>
          <w:highlight w:val="none"/>
        </w:rPr>
        <w:t>）</w:t>
      </w:r>
    </w:p>
    <w:p w14:paraId="3799D904">
      <w:pPr>
        <w:pStyle w:val="4"/>
        <w:numPr>
          <w:ilvl w:val="0"/>
          <w:numId w:val="4"/>
        </w:numPr>
        <w:spacing w:before="0" w:after="0" w:line="460" w:lineRule="exact"/>
        <w:ind w:firstLineChars="200"/>
        <w:rPr>
          <w:rFonts w:hint="eastAsia" w:ascii="微软雅黑" w:hAnsi="微软雅黑"/>
          <w:color w:val="auto"/>
          <w:szCs w:val="21"/>
          <w:highlight w:val="none"/>
        </w:rPr>
      </w:pPr>
      <w:bookmarkStart w:id="16" w:name="_Toc98019232"/>
      <w:r>
        <w:rPr>
          <w:rFonts w:hint="eastAsia" w:ascii="微软雅黑" w:hAnsi="微软雅黑"/>
          <w:color w:val="auto"/>
          <w:szCs w:val="21"/>
          <w:highlight w:val="none"/>
        </w:rPr>
        <w:t>业务咨询：</w:t>
      </w:r>
      <w:bookmarkEnd w:id="16"/>
    </w:p>
    <w:p w14:paraId="6476E8B0">
      <w:pPr>
        <w:snapToGrid w:val="0"/>
        <w:spacing w:line="460" w:lineRule="exact"/>
        <w:ind w:firstLine="420"/>
        <w:rPr>
          <w:rFonts w:hint="eastAsia" w:ascii="微软雅黑" w:hAnsi="微软雅黑" w:eastAsia="微软雅黑" w:cs="Arial"/>
          <w:color w:val="auto"/>
          <w:szCs w:val="21"/>
          <w:highlight w:val="none"/>
          <w:lang w:eastAsia="zh-CN"/>
        </w:rPr>
      </w:pPr>
      <w:r>
        <w:rPr>
          <w:rFonts w:hint="eastAsia" w:ascii="微软雅黑" w:hAnsi="微软雅黑" w:eastAsia="微软雅黑" w:cs="Arial"/>
          <w:color w:val="auto"/>
          <w:szCs w:val="21"/>
          <w:highlight w:val="none"/>
          <w:lang w:eastAsia="zh-CN"/>
        </w:rPr>
        <w:t>嘉兴市养老保险服务中心</w:t>
      </w:r>
    </w:p>
    <w:p w14:paraId="59217B89">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项目联系人：</w:t>
      </w:r>
      <w:r>
        <w:rPr>
          <w:rFonts w:ascii="微软雅黑" w:hAnsi="微软雅黑" w:eastAsia="微软雅黑" w:cs="微软雅黑"/>
          <w:i w:val="0"/>
          <w:iCs w:val="0"/>
          <w:caps w:val="0"/>
          <w:color w:val="auto"/>
          <w:spacing w:val="0"/>
          <w:sz w:val="21"/>
          <w:szCs w:val="21"/>
          <w:highlight w:val="none"/>
          <w:shd w:val="clear" w:fill="FFFFFF"/>
        </w:rPr>
        <w:t>陈荣</w:t>
      </w:r>
      <w:r>
        <w:rPr>
          <w:rFonts w:hint="eastAsia" w:ascii="微软雅黑" w:hAnsi="微软雅黑" w:eastAsia="微软雅黑" w:cs="Arial"/>
          <w:color w:val="auto"/>
          <w:szCs w:val="21"/>
          <w:highlight w:val="none"/>
          <w:lang w:val="en-US" w:eastAsia="zh-CN"/>
        </w:rPr>
        <w:t xml:space="preserve">   </w:t>
      </w:r>
      <w:r>
        <w:rPr>
          <w:rFonts w:hint="eastAsia" w:ascii="微软雅黑" w:hAnsi="微软雅黑" w:eastAsia="微软雅黑" w:cs="Arial"/>
          <w:color w:val="auto"/>
          <w:szCs w:val="21"/>
          <w:highlight w:val="none"/>
        </w:rPr>
        <w:t xml:space="preserve"> 联系电话：</w:t>
      </w:r>
      <w:r>
        <w:rPr>
          <w:rFonts w:hint="eastAsia" w:ascii="微软雅黑" w:hAnsi="微软雅黑" w:eastAsia="微软雅黑" w:cs="Arial"/>
          <w:color w:val="auto"/>
          <w:szCs w:val="21"/>
          <w:highlight w:val="none"/>
          <w:lang w:val="en-US" w:eastAsia="zh-CN"/>
        </w:rPr>
        <w:t xml:space="preserve"> </w:t>
      </w:r>
      <w:r>
        <w:rPr>
          <w:rFonts w:ascii="微软雅黑" w:hAnsi="微软雅黑" w:eastAsia="微软雅黑" w:cs="微软雅黑"/>
          <w:i w:val="0"/>
          <w:iCs w:val="0"/>
          <w:caps w:val="0"/>
          <w:color w:val="auto"/>
          <w:spacing w:val="0"/>
          <w:sz w:val="21"/>
          <w:szCs w:val="21"/>
          <w:highlight w:val="none"/>
          <w:shd w:val="clear" w:fill="FFFFFF"/>
        </w:rPr>
        <w:t>0573-82228954</w:t>
      </w:r>
      <w:r>
        <w:rPr>
          <w:rFonts w:hint="eastAsia" w:ascii="微软雅黑" w:hAnsi="微软雅黑" w:eastAsia="微软雅黑" w:cs="Arial"/>
          <w:color w:val="auto"/>
          <w:szCs w:val="21"/>
          <w:highlight w:val="none"/>
          <w:lang w:val="en-US" w:eastAsia="zh-CN"/>
        </w:rPr>
        <w:t xml:space="preserve"> </w:t>
      </w:r>
      <w:r>
        <w:rPr>
          <w:rFonts w:hint="eastAsia" w:ascii="微软雅黑" w:hAnsi="微软雅黑" w:eastAsia="微软雅黑" w:cs="Arial"/>
          <w:color w:val="auto"/>
          <w:szCs w:val="21"/>
          <w:highlight w:val="none"/>
        </w:rPr>
        <w:t xml:space="preserve">    </w:t>
      </w:r>
    </w:p>
    <w:p w14:paraId="7531C940">
      <w:pPr>
        <w:snapToGrid w:val="0"/>
        <w:spacing w:line="460" w:lineRule="exact"/>
        <w:ind w:firstLine="420"/>
        <w:rPr>
          <w:rFonts w:hint="eastAsia" w:ascii="微软雅黑" w:hAnsi="微软雅黑" w:eastAsia="微软雅黑" w:cs="Arial"/>
          <w:bCs/>
          <w:color w:val="auto"/>
          <w:szCs w:val="21"/>
          <w:highlight w:val="none"/>
        </w:rPr>
      </w:pPr>
      <w:r>
        <w:rPr>
          <w:rFonts w:hint="eastAsia" w:ascii="微软雅黑" w:hAnsi="微软雅黑" w:eastAsia="微软雅黑" w:cs="Arial"/>
          <w:bCs/>
          <w:color w:val="auto"/>
          <w:szCs w:val="21"/>
          <w:highlight w:val="none"/>
        </w:rPr>
        <w:t xml:space="preserve">嘉兴市千秋工程咨询有限公司  </w:t>
      </w:r>
    </w:p>
    <w:p w14:paraId="11172A3B">
      <w:pPr>
        <w:snapToGrid w:val="0"/>
        <w:spacing w:line="460" w:lineRule="exact"/>
        <w:ind w:firstLine="420"/>
        <w:rPr>
          <w:rFonts w:hint="default"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rPr>
        <w:t>联系人：章莉莉</w:t>
      </w:r>
      <w:r>
        <w:rPr>
          <w:rFonts w:hint="eastAsia" w:ascii="微软雅黑" w:hAnsi="微软雅黑" w:eastAsia="微软雅黑" w:cs="Arial"/>
          <w:color w:val="auto"/>
          <w:szCs w:val="21"/>
          <w:highlight w:val="none"/>
          <w:lang w:eastAsia="zh-CN"/>
        </w:rPr>
        <w:t>、</w:t>
      </w:r>
      <w:r>
        <w:rPr>
          <w:rFonts w:hint="eastAsia" w:ascii="微软雅黑" w:hAnsi="微软雅黑" w:eastAsia="微软雅黑" w:cs="Arial"/>
          <w:color w:val="auto"/>
          <w:szCs w:val="21"/>
          <w:highlight w:val="none"/>
          <w:lang w:val="en-US" w:eastAsia="zh-CN"/>
        </w:rPr>
        <w:t>李建良</w:t>
      </w:r>
    </w:p>
    <w:p w14:paraId="58D39B06">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 xml:space="preserve">联系电话：0573- 83705015  </w:t>
      </w:r>
      <w:r>
        <w:rPr>
          <w:rFonts w:ascii="微软雅黑" w:hAnsi="微软雅黑" w:eastAsia="微软雅黑" w:cs="Arial"/>
          <w:color w:val="auto"/>
          <w:szCs w:val="21"/>
          <w:highlight w:val="none"/>
        </w:rPr>
        <w:t xml:space="preserve">  </w:t>
      </w:r>
      <w:r>
        <w:rPr>
          <w:rFonts w:hint="eastAsia" w:ascii="微软雅黑" w:hAnsi="微软雅黑" w:eastAsia="微软雅黑" w:cs="Arial"/>
          <w:color w:val="auto"/>
          <w:szCs w:val="21"/>
          <w:highlight w:val="none"/>
        </w:rPr>
        <w:t>13605735186</w:t>
      </w:r>
    </w:p>
    <w:p w14:paraId="3153E61C">
      <w:pPr>
        <w:snapToGrid w:val="0"/>
        <w:spacing w:line="460" w:lineRule="exact"/>
        <w:ind w:firstLine="420"/>
        <w:rPr>
          <w:rFonts w:hint="eastAsia" w:ascii="微软雅黑" w:hAnsi="微软雅黑" w:eastAsia="微软雅黑" w:cs="Arial"/>
          <w:color w:val="auto"/>
          <w:szCs w:val="21"/>
          <w:highlight w:val="none"/>
          <w:lang w:eastAsia="zh-CN"/>
        </w:rPr>
      </w:pPr>
      <w:r>
        <w:rPr>
          <w:rFonts w:hint="eastAsia" w:ascii="微软雅黑" w:hAnsi="微软雅黑" w:eastAsia="微软雅黑" w:cs="Arial"/>
          <w:color w:val="auto"/>
          <w:szCs w:val="21"/>
          <w:highlight w:val="none"/>
          <w:lang w:eastAsia="zh-CN"/>
        </w:rPr>
        <w:t>监督电话：0573-82228855</w:t>
      </w:r>
    </w:p>
    <w:p w14:paraId="494164FE">
      <w:pPr>
        <w:snapToGrid w:val="0"/>
        <w:spacing w:line="460" w:lineRule="exact"/>
        <w:ind w:left="238"/>
        <w:jc w:val="right"/>
        <w:rPr>
          <w:rFonts w:hint="eastAsia" w:ascii="微软雅黑" w:hAnsi="微软雅黑" w:eastAsia="微软雅黑" w:cs="Arial"/>
          <w:color w:val="auto"/>
          <w:szCs w:val="21"/>
          <w:highlight w:val="none"/>
          <w:lang w:eastAsia="zh-CN"/>
        </w:rPr>
      </w:pPr>
    </w:p>
    <w:p w14:paraId="7815D40B">
      <w:pPr>
        <w:snapToGrid w:val="0"/>
        <w:spacing w:line="460" w:lineRule="exact"/>
        <w:ind w:left="238"/>
        <w:jc w:val="right"/>
        <w:rPr>
          <w:rFonts w:hint="eastAsia" w:ascii="微软雅黑" w:hAnsi="微软雅黑" w:eastAsia="微软雅黑" w:cs="Arial"/>
          <w:color w:val="auto"/>
          <w:szCs w:val="21"/>
          <w:highlight w:val="none"/>
          <w:lang w:eastAsia="zh-CN"/>
        </w:rPr>
      </w:pPr>
      <w:r>
        <w:rPr>
          <w:rFonts w:hint="eastAsia" w:ascii="微软雅黑" w:hAnsi="微软雅黑" w:eastAsia="微软雅黑" w:cs="Arial"/>
          <w:color w:val="auto"/>
          <w:szCs w:val="21"/>
          <w:highlight w:val="none"/>
          <w:lang w:eastAsia="zh-CN"/>
        </w:rPr>
        <w:t>嘉兴市养老保险服务中心</w:t>
      </w:r>
    </w:p>
    <w:p w14:paraId="5E1CA0B7">
      <w:pPr>
        <w:snapToGrid w:val="0"/>
        <w:spacing w:line="460" w:lineRule="exact"/>
        <w:ind w:left="238"/>
        <w:jc w:val="right"/>
        <w:rPr>
          <w:rFonts w:hint="eastAsia" w:ascii="微软雅黑" w:hAnsi="微软雅黑" w:eastAsia="微软雅黑"/>
          <w:color w:val="auto"/>
          <w:szCs w:val="21"/>
          <w:highlight w:val="none"/>
        </w:rPr>
      </w:pPr>
      <w:r>
        <w:rPr>
          <w:rFonts w:hint="eastAsia" w:ascii="微软雅黑" w:hAnsi="微软雅黑" w:eastAsia="微软雅黑" w:cs="Arial"/>
          <w:bCs/>
          <w:color w:val="auto"/>
          <w:szCs w:val="21"/>
          <w:highlight w:val="none"/>
        </w:rPr>
        <w:t>嘉兴市千秋工程咨询有限公司</w:t>
      </w:r>
    </w:p>
    <w:p w14:paraId="04CD0B65">
      <w:pPr>
        <w:spacing w:line="46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06</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26</w:t>
      </w:r>
      <w:r>
        <w:rPr>
          <w:rFonts w:hint="eastAsia" w:ascii="微软雅黑" w:hAnsi="微软雅黑" w:eastAsia="微软雅黑"/>
          <w:color w:val="auto"/>
          <w:szCs w:val="21"/>
          <w:highlight w:val="none"/>
        </w:rPr>
        <w:t>日</w:t>
      </w:r>
    </w:p>
    <w:p w14:paraId="5BC8BA79">
      <w:pPr>
        <w:pStyle w:val="36"/>
        <w:numPr>
          <w:ilvl w:val="0"/>
          <w:numId w:val="3"/>
        </w:numPr>
        <w:rPr>
          <w:color w:val="auto"/>
          <w:highlight w:val="none"/>
        </w:rPr>
        <w:sectPr>
          <w:headerReference r:id="rId7" w:type="first"/>
          <w:footerReference r:id="rId8" w:type="first"/>
          <w:pgSz w:w="11907" w:h="16840"/>
          <w:pgMar w:top="1440" w:right="1797" w:bottom="1440" w:left="1797" w:header="851" w:footer="851" w:gutter="0"/>
          <w:pgNumType w:start="1"/>
          <w:cols w:space="425" w:num="1"/>
          <w:titlePg/>
          <w:docGrid w:type="lines" w:linePitch="312" w:charSpace="0"/>
        </w:sectPr>
      </w:pPr>
    </w:p>
    <w:p w14:paraId="1588D00B">
      <w:pPr>
        <w:pStyle w:val="36"/>
        <w:numPr>
          <w:ilvl w:val="0"/>
          <w:numId w:val="3"/>
        </w:numPr>
        <w:rPr>
          <w:color w:val="auto"/>
          <w:highlight w:val="none"/>
        </w:rPr>
      </w:pPr>
      <w:bookmarkStart w:id="17" w:name="_Toc98019233"/>
      <w:r>
        <w:rPr>
          <w:rFonts w:hint="eastAsia"/>
          <w:color w:val="auto"/>
          <w:highlight w:val="none"/>
        </w:rPr>
        <w:t>招标需求</w:t>
      </w:r>
      <w:bookmarkEnd w:id="6"/>
      <w:bookmarkEnd w:id="7"/>
      <w:bookmarkEnd w:id="17"/>
    </w:p>
    <w:p w14:paraId="7796C896">
      <w:pPr>
        <w:spacing w:line="240" w:lineRule="auto"/>
        <w:ind w:firstLine="420" w:firstLineChars="200"/>
        <w:rPr>
          <w:rFonts w:ascii="微软雅黑" w:hAnsi="微软雅黑" w:eastAsia="微软雅黑" w:cs="仿宋_GB2312"/>
          <w:color w:val="auto"/>
          <w:szCs w:val="21"/>
          <w:highlight w:val="none"/>
        </w:rPr>
      </w:pPr>
      <w:bookmarkStart w:id="18" w:name="_Toc9342478"/>
      <w:bookmarkStart w:id="19" w:name="_Toc11650168"/>
      <w:bookmarkStart w:id="20" w:name="_Toc98019234"/>
      <w:r>
        <w:rPr>
          <w:rFonts w:hint="eastAsia" w:ascii="微软雅黑" w:hAnsi="微软雅黑" w:eastAsia="微软雅黑" w:cs="仿宋_GB2312"/>
          <w:color w:val="auto"/>
          <w:szCs w:val="21"/>
          <w:highlight w:val="none"/>
        </w:rPr>
        <w:t>根据《嘉兴市财政局 中国人民银行嘉兴市中心支行关于印发嘉兴市市级预算单位银行账户管理暂行办法的通知》（嘉财预执〔2017〕472号）文件相关规定，对</w:t>
      </w:r>
      <w:r>
        <w:rPr>
          <w:rFonts w:hint="eastAsia" w:ascii="微软雅黑" w:hAnsi="微软雅黑" w:eastAsia="微软雅黑"/>
          <w:lang w:eastAsia="zh-CN"/>
        </w:rPr>
        <w:t>嘉兴市养老保险服务中心社会保险基金支出户银行开户项目</w:t>
      </w:r>
      <w:r>
        <w:rPr>
          <w:rFonts w:hint="eastAsia" w:ascii="微软雅黑" w:hAnsi="微软雅黑" w:eastAsia="微软雅黑" w:cs="仿宋_GB2312"/>
          <w:color w:val="auto"/>
          <w:szCs w:val="21"/>
          <w:highlight w:val="none"/>
        </w:rPr>
        <w:t>进行公开招标。</w:t>
      </w:r>
    </w:p>
    <w:p w14:paraId="6836F7B1">
      <w:pPr>
        <w:pStyle w:val="3"/>
        <w:numPr>
          <w:ilvl w:val="0"/>
          <w:numId w:val="7"/>
        </w:numPr>
        <w:spacing w:line="240" w:lineRule="auto"/>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lang w:val="en-US" w:eastAsia="zh-CN"/>
        </w:rPr>
        <w:t xml:space="preserve">服务要求 </w:t>
      </w:r>
      <w:r>
        <w:rPr>
          <w:rFonts w:hint="eastAsia" w:ascii="微软雅黑" w:hAnsi="微软雅黑" w:eastAsia="微软雅黑"/>
          <w:color w:val="auto"/>
          <w:sz w:val="21"/>
          <w:szCs w:val="21"/>
          <w:highlight w:val="none"/>
        </w:rPr>
        <w:t>：</w:t>
      </w:r>
    </w:p>
    <w:p w14:paraId="19DD02F4">
      <w:pPr>
        <w:numPr>
          <w:ilvl w:val="0"/>
          <w:numId w:val="8"/>
        </w:numPr>
        <w:spacing w:line="360" w:lineRule="auto"/>
        <w:ind w:left="5" w:leftChars="0" w:firstLine="415" w:firstLineChars="0"/>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严格按照相关文件规定，办理各项业务，保证资金的安全性。每年提交上一年度银监会或人民银行的评级报告。遇到有被银</w:t>
      </w:r>
      <w:r>
        <w:rPr>
          <w:rFonts w:hint="eastAsia" w:ascii="微软雅黑" w:hAnsi="微软雅黑" w:eastAsia="微软雅黑" w:cs="Arial"/>
          <w:color w:val="auto"/>
          <w:szCs w:val="21"/>
          <w:highlight w:val="none"/>
          <w:lang w:eastAsia="zh-CN"/>
        </w:rPr>
        <w:t>保</w:t>
      </w:r>
      <w:r>
        <w:rPr>
          <w:rFonts w:hint="eastAsia" w:ascii="微软雅黑" w:hAnsi="微软雅黑" w:eastAsia="微软雅黑" w:cs="Arial"/>
          <w:color w:val="auto"/>
          <w:szCs w:val="21"/>
          <w:highlight w:val="none"/>
        </w:rPr>
        <w:t>监会降级等特殊情况，会危及资金安全的需要在情况发生3天内及时通知开户单位。</w:t>
      </w:r>
    </w:p>
    <w:p w14:paraId="2A99FEAB">
      <w:pPr>
        <w:numPr>
          <w:ilvl w:val="0"/>
          <w:numId w:val="8"/>
        </w:numPr>
        <w:spacing w:line="360" w:lineRule="auto"/>
        <w:ind w:left="5" w:leftChars="0" w:firstLine="415" w:firstLineChars="0"/>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对存入的资金进行记账、按承诺优惠利率计息。按季提供单</w:t>
      </w:r>
      <w:r>
        <w:rPr>
          <w:rFonts w:ascii="微软雅黑" w:hAnsi="微软雅黑" w:eastAsia="微软雅黑" w:cs="Arial"/>
          <w:color w:val="auto"/>
          <w:szCs w:val="21"/>
          <w:highlight w:val="none"/>
        </w:rPr>
        <w:t>联利息回</w:t>
      </w:r>
      <w:r>
        <w:rPr>
          <w:rFonts w:hint="eastAsia" w:ascii="微软雅黑" w:hAnsi="微软雅黑" w:eastAsia="微软雅黑" w:cs="Arial"/>
          <w:color w:val="auto"/>
          <w:szCs w:val="21"/>
          <w:highlight w:val="none"/>
        </w:rPr>
        <w:t>单。不能以任何理由拒绝办理。</w:t>
      </w:r>
    </w:p>
    <w:p w14:paraId="7B2D3517">
      <w:pPr>
        <w:numPr>
          <w:ilvl w:val="0"/>
          <w:numId w:val="8"/>
        </w:numPr>
        <w:spacing w:line="360" w:lineRule="auto"/>
        <w:ind w:left="5" w:leftChars="0" w:firstLine="415" w:firstLineChars="0"/>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及时对有效凭证进行入账处理，确保资金及时到账，有退票业务需当天反馈，定期存款到期需及时告知。</w:t>
      </w:r>
    </w:p>
    <w:p w14:paraId="73457C3D">
      <w:pPr>
        <w:numPr>
          <w:ilvl w:val="0"/>
          <w:numId w:val="8"/>
        </w:numPr>
        <w:spacing w:line="360" w:lineRule="auto"/>
        <w:ind w:left="5" w:leftChars="0" w:firstLine="415" w:firstLineChars="0"/>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有专人负责办理相关业务。银行回单每两天送达一次；重大金额及重要事项当天送达；每月对账单在次月3个工作日内送达；上门取工资单、账户年检资料。</w:t>
      </w:r>
    </w:p>
    <w:p w14:paraId="0386FD67">
      <w:pPr>
        <w:numPr>
          <w:ilvl w:val="0"/>
          <w:numId w:val="8"/>
        </w:numPr>
        <w:spacing w:line="360" w:lineRule="auto"/>
        <w:ind w:left="5" w:leftChars="0" w:firstLine="415" w:firstLineChars="0"/>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依法为甲方的信息保密。</w:t>
      </w:r>
    </w:p>
    <w:p w14:paraId="1E2FC445">
      <w:pPr>
        <w:numPr>
          <w:ilvl w:val="0"/>
          <w:numId w:val="8"/>
        </w:numPr>
        <w:spacing w:line="360" w:lineRule="auto"/>
        <w:ind w:left="5" w:leftChars="0" w:firstLine="415" w:firstLineChars="0"/>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遇到需要提前支取的情况，应该在核对相应的材料后给予绿色通道快速处理，不得拖延。</w:t>
      </w:r>
    </w:p>
    <w:p w14:paraId="5789E34A">
      <w:pPr>
        <w:numPr>
          <w:ilvl w:val="0"/>
          <w:numId w:val="8"/>
        </w:numPr>
        <w:spacing w:line="360" w:lineRule="auto"/>
        <w:ind w:left="5" w:leftChars="0" w:firstLine="415" w:firstLineChars="0"/>
        <w:rPr>
          <w:rFonts w:hint="eastAsia"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lang w:val="en-US" w:eastAsia="zh-CN"/>
        </w:rPr>
        <w:t>投标银行在制度和系统上均满足中国人民银行嘉兴市中心支行（支付结算科）确认的办理分险种记账和计息核算要求，且利率不得低于央行公布的三个月整存整取基准利率。</w:t>
      </w:r>
    </w:p>
    <w:p w14:paraId="11EA2899">
      <w:pPr>
        <w:numPr>
          <w:ilvl w:val="0"/>
          <w:numId w:val="8"/>
        </w:numPr>
        <w:spacing w:line="360" w:lineRule="auto"/>
        <w:ind w:left="5" w:leftChars="0" w:firstLine="415" w:firstLineChars="0"/>
        <w:rPr>
          <w:rFonts w:hint="eastAsia" w:ascii="微软雅黑" w:hAnsi="微软雅黑" w:eastAsia="微软雅黑" w:cs="Arial"/>
          <w:color w:val="auto"/>
          <w:szCs w:val="21"/>
          <w:highlight w:val="none"/>
          <w:lang w:eastAsia="zh-CN"/>
        </w:rPr>
      </w:pPr>
      <w:r>
        <w:rPr>
          <w:rFonts w:hint="eastAsia" w:ascii="微软雅黑" w:hAnsi="微软雅黑" w:eastAsia="微软雅黑" w:cs="Arial"/>
          <w:b/>
          <w:bCs/>
          <w:color w:val="auto"/>
          <w:szCs w:val="21"/>
          <w:highlight w:val="none"/>
          <w:lang w:eastAsia="zh-CN"/>
        </w:rPr>
        <w:t>为确保社保基金支出账户正常运转和社保待遇正常发放，中标银行自收到中标通知书之日起，须于60日内完成系统接口改造，实现与社保经办管理信息系统的对接，同时具备跨行直发功能</w:t>
      </w:r>
      <w:r>
        <w:rPr>
          <w:rFonts w:hint="eastAsia" w:ascii="微软雅黑" w:hAnsi="微软雅黑" w:eastAsia="微软雅黑" w:cs="Arial"/>
          <w:b/>
          <w:bCs/>
          <w:color w:val="auto"/>
          <w:sz w:val="28"/>
          <w:szCs w:val="28"/>
          <w:highlight w:val="none"/>
          <w:lang w:eastAsia="zh-CN"/>
        </w:rPr>
        <w:t>【</w:t>
      </w:r>
      <w:r>
        <w:rPr>
          <w:rFonts w:hint="eastAsia" w:ascii="微软雅黑" w:hAnsi="微软雅黑" w:eastAsia="微软雅黑"/>
          <w:color w:val="auto"/>
          <w:sz w:val="28"/>
          <w:szCs w:val="28"/>
          <w:highlight w:val="none"/>
        </w:rPr>
        <w:t>▲</w:t>
      </w:r>
      <w:r>
        <w:rPr>
          <w:rFonts w:hint="eastAsia" w:ascii="微软雅黑" w:hAnsi="微软雅黑" w:eastAsia="微软雅黑" w:cs="Arial"/>
          <w:b/>
          <w:bCs/>
          <w:color w:val="auto"/>
          <w:sz w:val="28"/>
          <w:szCs w:val="28"/>
          <w:highlight w:val="none"/>
          <w:lang w:eastAsia="zh-CN"/>
        </w:rPr>
        <w:t>投标银行需在投标文件中提供能按期完成该项目任务的承诺书（格式自拟）】，不提供承诺书的按无效标处理】</w:t>
      </w:r>
      <w:r>
        <w:rPr>
          <w:rFonts w:hint="eastAsia" w:ascii="微软雅黑" w:hAnsi="微软雅黑" w:eastAsia="微软雅黑" w:cs="Arial"/>
          <w:b/>
          <w:bCs/>
          <w:color w:val="auto"/>
          <w:szCs w:val="21"/>
          <w:highlight w:val="none"/>
          <w:lang w:eastAsia="zh-CN"/>
        </w:rPr>
        <w:t>。</w:t>
      </w:r>
      <w:r>
        <w:rPr>
          <w:rFonts w:hint="eastAsia" w:ascii="微软雅黑" w:hAnsi="微软雅黑" w:eastAsia="微软雅黑" w:cs="Arial"/>
          <w:color w:val="auto"/>
          <w:szCs w:val="21"/>
          <w:highlight w:val="none"/>
          <w:lang w:eastAsia="zh-CN"/>
        </w:rPr>
        <w:t>招标方组织进行测试和验收，验收合格的，向相关部门申请开户，并正式开展社保基金支出户资金支付、清算及银行间结算等相关业务；验收不合格的，原中标银行无条件自动放弃相关业务，得分第2的银行递补为中标银行。</w:t>
      </w:r>
    </w:p>
    <w:p w14:paraId="70C9588E">
      <w:pPr>
        <w:numPr>
          <w:ilvl w:val="0"/>
          <w:numId w:val="8"/>
        </w:numPr>
        <w:spacing w:line="360" w:lineRule="auto"/>
        <w:ind w:left="5" w:leftChars="0" w:firstLine="415" w:firstLineChars="0"/>
        <w:rPr>
          <w:rFonts w:hint="eastAsia" w:ascii="微软雅黑" w:hAnsi="微软雅黑" w:eastAsia="微软雅黑" w:cs="Arial"/>
          <w:color w:val="auto"/>
          <w:szCs w:val="21"/>
          <w:highlight w:val="none"/>
        </w:rPr>
        <w:sectPr>
          <w:pgSz w:w="11907" w:h="16840"/>
          <w:pgMar w:top="1440" w:right="1797" w:bottom="1440" w:left="1797" w:header="851" w:footer="851" w:gutter="0"/>
          <w:cols w:space="425" w:num="1"/>
          <w:titlePg/>
          <w:docGrid w:type="lines" w:linePitch="312" w:charSpace="0"/>
        </w:sectPr>
      </w:pPr>
    </w:p>
    <w:p w14:paraId="4550E4AA">
      <w:pPr>
        <w:pStyle w:val="36"/>
        <w:numPr>
          <w:ilvl w:val="0"/>
          <w:numId w:val="3"/>
        </w:numPr>
        <w:rPr>
          <w:color w:val="auto"/>
          <w:highlight w:val="none"/>
        </w:rPr>
      </w:pPr>
      <w:r>
        <w:rPr>
          <w:rFonts w:hint="eastAsia"/>
          <w:color w:val="auto"/>
          <w:highlight w:val="none"/>
        </w:rPr>
        <w:t>投标人须知</w:t>
      </w:r>
      <w:bookmarkEnd w:id="18"/>
      <w:bookmarkEnd w:id="19"/>
      <w:bookmarkEnd w:id="20"/>
    </w:p>
    <w:tbl>
      <w:tblPr>
        <w:tblStyle w:val="3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80"/>
      </w:tblGrid>
      <w:tr w14:paraId="2519B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835F589">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8480" w:type="dxa"/>
            <w:tcBorders>
              <w:top w:val="single" w:color="auto" w:sz="4" w:space="0"/>
              <w:left w:val="single" w:color="auto" w:sz="4" w:space="0"/>
              <w:bottom w:val="single" w:color="auto" w:sz="4" w:space="0"/>
              <w:right w:val="single" w:color="auto" w:sz="4" w:space="0"/>
            </w:tcBorders>
            <w:vAlign w:val="center"/>
          </w:tcPr>
          <w:p w14:paraId="50B9FB2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内容、要求</w:t>
            </w:r>
          </w:p>
        </w:tc>
      </w:tr>
      <w:tr w14:paraId="1EBE9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ED0876D">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8480" w:type="dxa"/>
            <w:tcBorders>
              <w:top w:val="single" w:color="auto" w:sz="4" w:space="0"/>
              <w:left w:val="single" w:color="auto" w:sz="4" w:space="0"/>
              <w:bottom w:val="single" w:color="auto" w:sz="4" w:space="0"/>
              <w:right w:val="single" w:color="auto" w:sz="4" w:space="0"/>
            </w:tcBorders>
            <w:vAlign w:val="center"/>
          </w:tcPr>
          <w:p w14:paraId="437E1B8F">
            <w:pPr>
              <w:snapToGrid w:val="0"/>
              <w:spacing w:line="54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项目名称：</w:t>
            </w:r>
            <w:r>
              <w:rPr>
                <w:rFonts w:hint="eastAsia" w:ascii="微软雅黑" w:hAnsi="微软雅黑" w:eastAsia="微软雅黑"/>
                <w:color w:val="auto"/>
                <w:highlight w:val="none"/>
                <w:lang w:eastAsia="zh-CN"/>
              </w:rPr>
              <w:t>嘉兴市养老保险服务中心社会保险基金支出户银行开户项目</w:t>
            </w:r>
          </w:p>
        </w:tc>
      </w:tr>
      <w:tr w14:paraId="5C4BE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6D251F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8480" w:type="dxa"/>
            <w:tcBorders>
              <w:top w:val="single" w:color="auto" w:sz="4" w:space="0"/>
              <w:left w:val="single" w:color="auto" w:sz="4" w:space="0"/>
              <w:bottom w:val="single" w:color="auto" w:sz="4" w:space="0"/>
              <w:right w:val="single" w:color="auto" w:sz="4" w:space="0"/>
            </w:tcBorders>
            <w:vAlign w:val="center"/>
          </w:tcPr>
          <w:p w14:paraId="6927806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招标内容：</w:t>
            </w:r>
            <w:r>
              <w:rPr>
                <w:rFonts w:hint="eastAsia" w:ascii="微软雅黑" w:hAnsi="微软雅黑" w:eastAsia="微软雅黑"/>
                <w:color w:val="auto"/>
                <w:highlight w:val="none"/>
                <w:lang w:eastAsia="zh-CN"/>
              </w:rPr>
              <w:t>支出户银行开户</w:t>
            </w:r>
            <w:r>
              <w:rPr>
                <w:rFonts w:hint="eastAsia" w:ascii="微软雅黑" w:hAnsi="微软雅黑" w:eastAsia="微软雅黑" w:cs="Arial"/>
                <w:color w:val="auto"/>
                <w:szCs w:val="21"/>
                <w:highlight w:val="none"/>
              </w:rPr>
              <w:t>。</w:t>
            </w:r>
          </w:p>
        </w:tc>
      </w:tr>
      <w:tr w14:paraId="67F01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6B8AA32">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8480" w:type="dxa"/>
            <w:tcBorders>
              <w:top w:val="single" w:color="auto" w:sz="4" w:space="0"/>
              <w:left w:val="single" w:color="auto" w:sz="4" w:space="0"/>
              <w:bottom w:val="single" w:color="auto" w:sz="4" w:space="0"/>
              <w:right w:val="single" w:color="auto" w:sz="4" w:space="0"/>
            </w:tcBorders>
            <w:vAlign w:val="center"/>
          </w:tcPr>
          <w:p w14:paraId="6370EF30">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投标报价及费用：</w:t>
            </w:r>
          </w:p>
          <w:p w14:paraId="59D951F5">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1、本项目投标应以人民币报价；</w:t>
            </w:r>
          </w:p>
          <w:p w14:paraId="0143CC88">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2、不论投标结果如何，投标人均应自行承担所有与投标有关的全部费用。</w:t>
            </w:r>
          </w:p>
        </w:tc>
      </w:tr>
      <w:tr w14:paraId="41675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61EC695">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c>
          <w:tcPr>
            <w:tcW w:w="8480" w:type="dxa"/>
            <w:tcBorders>
              <w:top w:val="single" w:color="auto" w:sz="4" w:space="0"/>
              <w:left w:val="single" w:color="auto" w:sz="4" w:space="0"/>
              <w:bottom w:val="single" w:color="auto" w:sz="4" w:space="0"/>
              <w:right w:val="single" w:color="auto" w:sz="4" w:space="0"/>
            </w:tcBorders>
            <w:vAlign w:val="center"/>
          </w:tcPr>
          <w:p w14:paraId="499350D0">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投标人获取招标文件后，可与招标单位联系。</w:t>
            </w:r>
          </w:p>
        </w:tc>
      </w:tr>
      <w:tr w14:paraId="19BE8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5BBB4D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c>
          <w:tcPr>
            <w:tcW w:w="8480" w:type="dxa"/>
            <w:tcBorders>
              <w:top w:val="single" w:color="auto" w:sz="4" w:space="0"/>
              <w:left w:val="single" w:color="auto" w:sz="4" w:space="0"/>
              <w:bottom w:val="single" w:color="auto" w:sz="4" w:space="0"/>
              <w:right w:val="single" w:color="auto" w:sz="4" w:space="0"/>
            </w:tcBorders>
            <w:vAlign w:val="center"/>
          </w:tcPr>
          <w:p w14:paraId="45429F3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答疑与澄清：投标人应认真阅读本招标文件，发现其中有误或不理解的，投标人必须在投标截止之日前3天以书面形式要求采购代理机构澄清，否则，由此产生的后果由投标人负责。</w:t>
            </w:r>
          </w:p>
        </w:tc>
      </w:tr>
      <w:tr w14:paraId="450AB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CE9B8B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w:t>
            </w:r>
          </w:p>
        </w:tc>
        <w:tc>
          <w:tcPr>
            <w:tcW w:w="8480" w:type="dxa"/>
            <w:tcBorders>
              <w:top w:val="single" w:color="auto" w:sz="4" w:space="0"/>
              <w:left w:val="single" w:color="auto" w:sz="4" w:space="0"/>
              <w:bottom w:val="single" w:color="auto" w:sz="4" w:space="0"/>
              <w:right w:val="single" w:color="auto" w:sz="4" w:space="0"/>
            </w:tcBorders>
            <w:vAlign w:val="center"/>
          </w:tcPr>
          <w:p w14:paraId="2B3476EE">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线下投标文件组成：投标文件的资信技术文件和投标报价文件装订成一本，正本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份副本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w:t>
            </w:r>
          </w:p>
        </w:tc>
      </w:tr>
      <w:tr w14:paraId="56AB3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2BB8E0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7</w:t>
            </w:r>
          </w:p>
        </w:tc>
        <w:tc>
          <w:tcPr>
            <w:tcW w:w="8480" w:type="dxa"/>
            <w:tcBorders>
              <w:top w:val="single" w:color="auto" w:sz="4" w:space="0"/>
              <w:left w:val="single" w:color="auto" w:sz="4" w:space="0"/>
              <w:bottom w:val="single" w:color="auto" w:sz="4" w:space="0"/>
              <w:right w:val="single" w:color="auto" w:sz="4" w:space="0"/>
            </w:tcBorders>
            <w:vAlign w:val="center"/>
          </w:tcPr>
          <w:p w14:paraId="3780189C">
            <w:pPr>
              <w:snapToGrid w:val="0"/>
              <w:spacing w:line="276" w:lineRule="auto"/>
              <w:rPr>
                <w:rFonts w:hint="eastAsia" w:ascii="微软雅黑" w:hAnsi="微软雅黑" w:eastAsia="微软雅黑" w:cs="Arial"/>
                <w:color w:val="auto"/>
                <w:szCs w:val="21"/>
                <w:highlight w:val="none"/>
              </w:rPr>
            </w:pPr>
            <w:r>
              <w:rPr>
                <w:rFonts w:hint="eastAsia" w:ascii="微软雅黑" w:hAnsi="微软雅黑" w:eastAsia="微软雅黑"/>
                <w:color w:val="auto"/>
                <w:szCs w:val="21"/>
                <w:highlight w:val="none"/>
              </w:rPr>
              <w:t>线下投标截止时间及地点：投标人应于</w:t>
            </w:r>
            <w:r>
              <w:rPr>
                <w:rFonts w:hint="eastAsia" w:ascii="微软雅黑" w:hAnsi="微软雅黑" w:eastAsia="微软雅黑" w:cs="Arial"/>
                <w:color w:val="auto"/>
                <w:szCs w:val="21"/>
                <w:highlight w:val="none"/>
                <w:u w:val="none"/>
              </w:rPr>
              <w:t>202</w:t>
            </w:r>
            <w:r>
              <w:rPr>
                <w:rFonts w:hint="eastAsia" w:ascii="微软雅黑" w:hAnsi="微软雅黑" w:eastAsia="微软雅黑" w:cs="Arial"/>
                <w:color w:val="auto"/>
                <w:szCs w:val="21"/>
                <w:highlight w:val="none"/>
                <w:u w:val="none"/>
                <w:lang w:val="en-US" w:eastAsia="zh-CN"/>
              </w:rPr>
              <w:t>5</w:t>
            </w:r>
            <w:r>
              <w:rPr>
                <w:rFonts w:hint="eastAsia" w:ascii="微软雅黑" w:hAnsi="微软雅黑" w:eastAsia="微软雅黑" w:cs="Arial"/>
                <w:color w:val="auto"/>
                <w:szCs w:val="21"/>
                <w:highlight w:val="none"/>
                <w:u w:val="none"/>
              </w:rPr>
              <w:t>年</w:t>
            </w:r>
            <w:r>
              <w:rPr>
                <w:rFonts w:hint="eastAsia" w:ascii="微软雅黑" w:hAnsi="微软雅黑" w:eastAsia="微软雅黑" w:cs="Arial"/>
                <w:color w:val="auto"/>
                <w:szCs w:val="21"/>
                <w:highlight w:val="none"/>
                <w:u w:val="none"/>
                <w:lang w:val="en-US" w:eastAsia="zh-CN"/>
              </w:rPr>
              <w:t>07</w:t>
            </w:r>
            <w:r>
              <w:rPr>
                <w:rFonts w:hint="eastAsia" w:ascii="微软雅黑" w:hAnsi="微软雅黑" w:eastAsia="微软雅黑" w:cs="Arial"/>
                <w:color w:val="auto"/>
                <w:szCs w:val="21"/>
                <w:highlight w:val="none"/>
                <w:u w:val="none"/>
              </w:rPr>
              <w:t>月</w:t>
            </w:r>
            <w:r>
              <w:rPr>
                <w:rFonts w:hint="eastAsia" w:ascii="微软雅黑" w:hAnsi="微软雅黑" w:eastAsia="微软雅黑" w:cs="Arial"/>
                <w:color w:val="auto"/>
                <w:szCs w:val="21"/>
                <w:highlight w:val="none"/>
                <w:u w:val="none"/>
                <w:lang w:val="en-US" w:eastAsia="zh-CN"/>
              </w:rPr>
              <w:t>14</w:t>
            </w:r>
            <w:r>
              <w:rPr>
                <w:rFonts w:hint="eastAsia" w:ascii="微软雅黑" w:hAnsi="微软雅黑" w:eastAsia="微软雅黑" w:cs="Arial"/>
                <w:color w:val="auto"/>
                <w:szCs w:val="21"/>
                <w:highlight w:val="none"/>
                <w:u w:val="none"/>
              </w:rPr>
              <w:t>日</w:t>
            </w:r>
            <w:r>
              <w:rPr>
                <w:rFonts w:hint="eastAsia" w:ascii="微软雅黑" w:hAnsi="微软雅黑" w:eastAsia="微软雅黑" w:cs="Arial"/>
                <w:color w:val="auto"/>
                <w:szCs w:val="21"/>
                <w:highlight w:val="none"/>
                <w:u w:val="none"/>
                <w:lang w:val="en-US" w:eastAsia="zh-CN"/>
              </w:rPr>
              <w:t>14：00</w:t>
            </w:r>
            <w:r>
              <w:rPr>
                <w:rFonts w:hint="eastAsia" w:ascii="微软雅黑" w:hAnsi="微软雅黑" w:eastAsia="微软雅黑"/>
                <w:color w:val="auto"/>
                <w:szCs w:val="21"/>
                <w:highlight w:val="none"/>
              </w:rPr>
              <w:t>前将纸质投标文件装袋密封后，通过邮寄快递（或直接送达）方式邮寄（或直接送达）至嘉兴市千秋工程咨询有限公司。密封袋上接缝处需加盖投标人单位公章和法定代表人印章。（注：①邮寄或直接送达地址：嘉兴市秀洲区新平路299号中禾广场23楼</w:t>
            </w:r>
            <w:r>
              <w:rPr>
                <w:rFonts w:hint="eastAsia" w:ascii="微软雅黑" w:hAnsi="微软雅黑" w:eastAsia="微软雅黑"/>
                <w:color w:val="auto"/>
                <w:szCs w:val="21"/>
                <w:highlight w:val="none"/>
                <w:lang w:val="en-US" w:eastAsia="zh-CN"/>
              </w:rPr>
              <w:t>政府采购办公</w:t>
            </w:r>
            <w:r>
              <w:rPr>
                <w:rFonts w:hint="eastAsia" w:ascii="微软雅黑" w:hAnsi="微软雅黑" w:eastAsia="微软雅黑"/>
                <w:color w:val="auto"/>
                <w:szCs w:val="21"/>
                <w:highlight w:val="none"/>
              </w:rPr>
              <w:t>室，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7C756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3E51250">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c>
          <w:tcPr>
            <w:tcW w:w="8480" w:type="dxa"/>
            <w:tcBorders>
              <w:top w:val="single" w:color="auto" w:sz="4" w:space="0"/>
              <w:left w:val="single" w:color="auto" w:sz="4" w:space="0"/>
              <w:bottom w:val="single" w:color="auto" w:sz="4" w:space="0"/>
              <w:right w:val="single" w:color="auto" w:sz="4" w:space="0"/>
            </w:tcBorders>
            <w:vAlign w:val="center"/>
          </w:tcPr>
          <w:p w14:paraId="5F54AD0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开标时间及地点：</w:t>
            </w:r>
            <w:r>
              <w:rPr>
                <w:rFonts w:hint="eastAsia" w:ascii="微软雅黑" w:hAnsi="微软雅黑" w:eastAsia="微软雅黑" w:cs="Arial"/>
                <w:color w:val="auto"/>
                <w:szCs w:val="21"/>
                <w:highlight w:val="none"/>
                <w:u w:val="none"/>
              </w:rPr>
              <w:t>202</w:t>
            </w:r>
            <w:r>
              <w:rPr>
                <w:rFonts w:hint="eastAsia" w:ascii="微软雅黑" w:hAnsi="微软雅黑" w:eastAsia="微软雅黑" w:cs="Arial"/>
                <w:color w:val="auto"/>
                <w:szCs w:val="21"/>
                <w:highlight w:val="none"/>
                <w:u w:val="none"/>
                <w:lang w:val="en-US" w:eastAsia="zh-CN"/>
              </w:rPr>
              <w:t>5</w:t>
            </w:r>
            <w:r>
              <w:rPr>
                <w:rFonts w:hint="eastAsia" w:ascii="微软雅黑" w:hAnsi="微软雅黑" w:eastAsia="微软雅黑" w:cs="Arial"/>
                <w:color w:val="auto"/>
                <w:szCs w:val="21"/>
                <w:highlight w:val="none"/>
                <w:u w:val="none"/>
              </w:rPr>
              <w:t>年</w:t>
            </w:r>
            <w:r>
              <w:rPr>
                <w:rFonts w:hint="eastAsia" w:ascii="微软雅黑" w:hAnsi="微软雅黑" w:eastAsia="微软雅黑" w:cs="Arial"/>
                <w:color w:val="auto"/>
                <w:szCs w:val="21"/>
                <w:highlight w:val="none"/>
                <w:u w:val="none"/>
                <w:lang w:val="en-US" w:eastAsia="zh-CN"/>
              </w:rPr>
              <w:t>07</w:t>
            </w:r>
            <w:r>
              <w:rPr>
                <w:rFonts w:hint="eastAsia" w:ascii="微软雅黑" w:hAnsi="微软雅黑" w:eastAsia="微软雅黑" w:cs="Arial"/>
                <w:color w:val="auto"/>
                <w:szCs w:val="21"/>
                <w:highlight w:val="none"/>
                <w:u w:val="none"/>
              </w:rPr>
              <w:t>月</w:t>
            </w:r>
            <w:r>
              <w:rPr>
                <w:rFonts w:hint="eastAsia" w:ascii="微软雅黑" w:hAnsi="微软雅黑" w:eastAsia="微软雅黑" w:cs="Arial"/>
                <w:color w:val="auto"/>
                <w:szCs w:val="21"/>
                <w:highlight w:val="none"/>
                <w:u w:val="none"/>
                <w:lang w:val="en-US" w:eastAsia="zh-CN"/>
              </w:rPr>
              <w:t>14</w:t>
            </w:r>
            <w:r>
              <w:rPr>
                <w:rFonts w:hint="eastAsia" w:ascii="微软雅黑" w:hAnsi="微软雅黑" w:eastAsia="微软雅黑" w:cs="Arial"/>
                <w:color w:val="auto"/>
                <w:szCs w:val="21"/>
                <w:highlight w:val="none"/>
                <w:u w:val="none"/>
              </w:rPr>
              <w:t>日</w:t>
            </w:r>
            <w:r>
              <w:rPr>
                <w:rFonts w:hint="eastAsia" w:ascii="微软雅黑" w:hAnsi="微软雅黑" w:eastAsia="微软雅黑" w:cs="Arial"/>
                <w:color w:val="auto"/>
                <w:szCs w:val="21"/>
                <w:highlight w:val="none"/>
                <w:u w:val="none"/>
                <w:lang w:val="en-US" w:eastAsia="zh-CN"/>
              </w:rPr>
              <w:t>14：00</w:t>
            </w:r>
            <w:r>
              <w:rPr>
                <w:rFonts w:hint="eastAsia" w:ascii="微软雅黑" w:hAnsi="微软雅黑" w:eastAsia="微软雅黑" w:cs="Arial"/>
                <w:color w:val="auto"/>
                <w:szCs w:val="21"/>
                <w:highlight w:val="none"/>
              </w:rPr>
              <w:t>在</w:t>
            </w:r>
            <w:r>
              <w:rPr>
                <w:rFonts w:hint="eastAsia" w:ascii="微软雅黑" w:hAnsi="微软雅黑" w:eastAsia="微软雅黑" w:cs="Arial"/>
                <w:bCs/>
                <w:color w:val="auto"/>
                <w:szCs w:val="21"/>
                <w:highlight w:val="none"/>
              </w:rPr>
              <w:t>嘉兴市千秋工程咨询有限公司</w:t>
            </w:r>
            <w:r>
              <w:rPr>
                <w:rFonts w:hint="eastAsia" w:ascii="微软雅黑" w:hAnsi="微软雅黑" w:eastAsia="微软雅黑" w:cs="Arial"/>
                <w:bCs/>
                <w:color w:val="auto"/>
                <w:szCs w:val="21"/>
                <w:highlight w:val="none"/>
                <w:lang w:val="en-US" w:eastAsia="zh-CN"/>
              </w:rPr>
              <w:t>开标</w:t>
            </w:r>
            <w:r>
              <w:rPr>
                <w:rFonts w:hint="eastAsia" w:ascii="微软雅黑" w:hAnsi="微软雅黑" w:eastAsia="微软雅黑" w:cs="Arial"/>
                <w:bCs/>
                <w:color w:val="auto"/>
                <w:szCs w:val="21"/>
                <w:highlight w:val="none"/>
              </w:rPr>
              <w:t>室（嘉兴市秀洲区新平路299号中禾广场23楼</w:t>
            </w:r>
            <w:r>
              <w:rPr>
                <w:rFonts w:hint="eastAsia" w:ascii="微软雅黑" w:hAnsi="微软雅黑" w:eastAsia="微软雅黑" w:cs="Arial"/>
                <w:bCs/>
                <w:color w:val="auto"/>
                <w:szCs w:val="21"/>
                <w:highlight w:val="none"/>
                <w:lang w:val="en-US" w:eastAsia="zh-CN"/>
              </w:rPr>
              <w:t>电梯厅右转到底</w:t>
            </w:r>
            <w:r>
              <w:rPr>
                <w:rFonts w:hint="eastAsia" w:ascii="微软雅黑" w:hAnsi="微软雅黑" w:eastAsia="微软雅黑" w:cs="Arial"/>
                <w:bCs/>
                <w:color w:val="auto"/>
                <w:szCs w:val="21"/>
                <w:highlight w:val="none"/>
              </w:rPr>
              <w:t>）</w:t>
            </w:r>
            <w:r>
              <w:rPr>
                <w:rFonts w:hint="eastAsia" w:ascii="微软雅黑" w:hAnsi="微软雅黑" w:eastAsia="微软雅黑"/>
                <w:color w:val="auto"/>
                <w:szCs w:val="21"/>
                <w:highlight w:val="none"/>
              </w:rPr>
              <w:t>开</w:t>
            </w:r>
            <w:r>
              <w:rPr>
                <w:rFonts w:hint="eastAsia" w:ascii="微软雅黑" w:hAnsi="微软雅黑" w:eastAsia="微软雅黑" w:cs="Arial"/>
                <w:color w:val="auto"/>
                <w:szCs w:val="21"/>
                <w:highlight w:val="none"/>
              </w:rPr>
              <w:t>标。</w:t>
            </w:r>
            <w:r>
              <w:rPr>
                <w:rFonts w:hint="eastAsia" w:ascii="微软雅黑" w:hAnsi="微软雅黑" w:eastAsia="微软雅黑"/>
                <w:color w:val="auto"/>
                <w:kern w:val="0"/>
                <w:szCs w:val="21"/>
                <w:highlight w:val="none"/>
              </w:rPr>
              <w:t>本项目不要求投标人至开标现场参加开标及开启投标文件活动。</w:t>
            </w:r>
          </w:p>
        </w:tc>
      </w:tr>
      <w:tr w14:paraId="31520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FA0A0CC">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9</w:t>
            </w:r>
          </w:p>
        </w:tc>
        <w:tc>
          <w:tcPr>
            <w:tcW w:w="8480" w:type="dxa"/>
            <w:tcBorders>
              <w:top w:val="single" w:color="auto" w:sz="4" w:space="0"/>
              <w:left w:val="single" w:color="auto" w:sz="4" w:space="0"/>
              <w:bottom w:val="single" w:color="auto" w:sz="4" w:space="0"/>
              <w:right w:val="single" w:color="auto" w:sz="4" w:space="0"/>
            </w:tcBorders>
            <w:vAlign w:val="center"/>
          </w:tcPr>
          <w:p w14:paraId="4D772595">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评标办法及评分标准：详见第四章。</w:t>
            </w:r>
          </w:p>
        </w:tc>
      </w:tr>
      <w:tr w14:paraId="3BEB4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EA5150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c>
          <w:tcPr>
            <w:tcW w:w="8480" w:type="dxa"/>
            <w:tcBorders>
              <w:top w:val="single" w:color="auto" w:sz="4" w:space="0"/>
              <w:left w:val="single" w:color="auto" w:sz="4" w:space="0"/>
              <w:bottom w:val="single" w:color="auto" w:sz="4" w:space="0"/>
              <w:right w:val="single" w:color="auto" w:sz="4" w:space="0"/>
            </w:tcBorders>
            <w:vAlign w:val="center"/>
          </w:tcPr>
          <w:p w14:paraId="0FE58793">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投标人只允许市级银行业金融机构由其管辖行做为唯一投标人，其分支机构不能做为投标人参加投标。</w:t>
            </w:r>
          </w:p>
        </w:tc>
      </w:tr>
      <w:tr w14:paraId="12E3E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7726907">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8480" w:type="dxa"/>
            <w:tcBorders>
              <w:top w:val="single" w:color="auto" w:sz="4" w:space="0"/>
              <w:left w:val="single" w:color="auto" w:sz="4" w:space="0"/>
              <w:bottom w:val="single" w:color="auto" w:sz="4" w:space="0"/>
              <w:right w:val="single" w:color="auto" w:sz="4" w:space="0"/>
            </w:tcBorders>
            <w:vAlign w:val="center"/>
          </w:tcPr>
          <w:p w14:paraId="302915E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评标结果公告：浙江政府采购网（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）和嘉兴市公共资源交易中心（</w:t>
            </w:r>
            <w:r>
              <w:rPr>
                <w:rStyle w:val="45"/>
                <w:rFonts w:hint="eastAsia" w:ascii="微软雅黑" w:hAnsi="微软雅黑" w:eastAsia="微软雅黑"/>
                <w:color w:val="auto"/>
                <w:szCs w:val="21"/>
                <w:highlight w:val="none"/>
              </w:rPr>
              <w:t>https://jxszwsjb.jiaxing.gov.cn/</w:t>
            </w:r>
            <w:r>
              <w:rPr>
                <w:rFonts w:ascii="微软雅黑" w:hAnsi="微软雅黑" w:eastAsia="微软雅黑"/>
                <w:color w:val="auto"/>
                <w:szCs w:val="21"/>
                <w:highlight w:val="none"/>
              </w:rPr>
              <w:t>）</w:t>
            </w:r>
          </w:p>
        </w:tc>
      </w:tr>
      <w:tr w14:paraId="7CA46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C164620">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c>
          <w:tcPr>
            <w:tcW w:w="8480" w:type="dxa"/>
            <w:tcBorders>
              <w:top w:val="single" w:color="auto" w:sz="4" w:space="0"/>
              <w:left w:val="single" w:color="auto" w:sz="4" w:space="0"/>
              <w:bottom w:val="single" w:color="auto" w:sz="4" w:space="0"/>
              <w:right w:val="single" w:color="auto" w:sz="4" w:space="0"/>
            </w:tcBorders>
            <w:vAlign w:val="center"/>
          </w:tcPr>
          <w:p w14:paraId="0B28693E">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中标公告及中标通知书：评标结束后2个工作日内，中标公告发布于上述媒体。</w:t>
            </w:r>
          </w:p>
        </w:tc>
      </w:tr>
      <w:tr w14:paraId="21957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59CC3A1">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13</w:t>
            </w:r>
          </w:p>
        </w:tc>
        <w:tc>
          <w:tcPr>
            <w:tcW w:w="8480" w:type="dxa"/>
            <w:tcBorders>
              <w:top w:val="single" w:color="auto" w:sz="4" w:space="0"/>
              <w:left w:val="single" w:color="auto" w:sz="4" w:space="0"/>
              <w:bottom w:val="single" w:color="auto" w:sz="4" w:space="0"/>
              <w:right w:val="single" w:color="auto" w:sz="4" w:space="0"/>
            </w:tcBorders>
            <w:vAlign w:val="center"/>
          </w:tcPr>
          <w:p w14:paraId="41ABA243">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签订合同时间：中标通知书发出后30日内。</w:t>
            </w:r>
          </w:p>
        </w:tc>
      </w:tr>
      <w:tr w14:paraId="29225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BE85221">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14</w:t>
            </w:r>
          </w:p>
        </w:tc>
        <w:tc>
          <w:tcPr>
            <w:tcW w:w="8480" w:type="dxa"/>
            <w:tcBorders>
              <w:top w:val="single" w:color="auto" w:sz="4" w:space="0"/>
              <w:left w:val="single" w:color="auto" w:sz="4" w:space="0"/>
              <w:bottom w:val="single" w:color="auto" w:sz="4" w:space="0"/>
              <w:right w:val="single" w:color="auto" w:sz="4" w:space="0"/>
            </w:tcBorders>
            <w:vAlign w:val="center"/>
          </w:tcPr>
          <w:p w14:paraId="059FCEFC">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投标文件有效期：</w:t>
            </w:r>
            <w:r>
              <w:rPr>
                <w:rFonts w:hint="eastAsia" w:ascii="微软雅黑" w:hAnsi="微软雅黑" w:eastAsia="微软雅黑"/>
                <w:color w:val="auto"/>
                <w:szCs w:val="21"/>
                <w:highlight w:val="none"/>
                <w:u w:val="single"/>
              </w:rPr>
              <w:t xml:space="preserve"> 60 </w:t>
            </w:r>
            <w:r>
              <w:rPr>
                <w:rFonts w:hint="eastAsia" w:ascii="微软雅黑" w:hAnsi="微软雅黑" w:eastAsia="微软雅黑" w:cs="Arial"/>
                <w:color w:val="auto"/>
                <w:szCs w:val="21"/>
                <w:highlight w:val="none"/>
              </w:rPr>
              <w:t>天。</w:t>
            </w:r>
          </w:p>
        </w:tc>
      </w:tr>
      <w:tr w14:paraId="486A3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1E50E4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8480" w:type="dxa"/>
            <w:tcBorders>
              <w:top w:val="single" w:color="auto" w:sz="4" w:space="0"/>
              <w:left w:val="single" w:color="auto" w:sz="4" w:space="0"/>
              <w:bottom w:val="single" w:color="auto" w:sz="4" w:space="0"/>
              <w:right w:val="single" w:color="auto" w:sz="4" w:space="0"/>
            </w:tcBorders>
            <w:vAlign w:val="center"/>
          </w:tcPr>
          <w:p w14:paraId="6AE2B44D">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解释：本招标文件的解释权属于</w:t>
            </w:r>
            <w:r>
              <w:rPr>
                <w:rFonts w:hint="eastAsia" w:ascii="微软雅黑" w:hAnsi="微软雅黑" w:eastAsia="微软雅黑"/>
                <w:b/>
                <w:bCs/>
                <w:color w:val="auto"/>
                <w:szCs w:val="21"/>
                <w:highlight w:val="none"/>
                <w:lang w:eastAsia="zh-CN"/>
              </w:rPr>
              <w:t>嘉兴市养老保险服务中心</w:t>
            </w:r>
            <w:r>
              <w:rPr>
                <w:rFonts w:hint="eastAsia" w:ascii="微软雅黑" w:hAnsi="微软雅黑" w:eastAsia="微软雅黑"/>
                <w:b/>
                <w:bCs/>
                <w:color w:val="auto"/>
                <w:szCs w:val="21"/>
                <w:highlight w:val="none"/>
              </w:rPr>
              <w:t>。</w:t>
            </w:r>
          </w:p>
        </w:tc>
      </w:tr>
    </w:tbl>
    <w:p w14:paraId="26638673">
      <w:pPr>
        <w:widowControl/>
        <w:spacing w:line="480" w:lineRule="exact"/>
        <w:ind w:firstLine="420" w:firstLineChars="200"/>
        <w:jc w:val="left"/>
        <w:rPr>
          <w:rFonts w:hint="eastAsia" w:ascii="微软雅黑" w:hAnsi="微软雅黑" w:eastAsia="微软雅黑"/>
          <w:b/>
          <w:color w:val="auto"/>
          <w:szCs w:val="21"/>
          <w:highlight w:val="none"/>
        </w:rPr>
        <w:sectPr>
          <w:pgSz w:w="11907" w:h="16840"/>
          <w:pgMar w:top="1440" w:right="1797" w:bottom="1440" w:left="1797" w:header="851" w:footer="851" w:gutter="0"/>
          <w:cols w:space="425" w:num="1"/>
          <w:titlePg/>
          <w:docGrid w:type="lines" w:linePitch="312" w:charSpace="0"/>
        </w:sectPr>
      </w:pPr>
    </w:p>
    <w:p w14:paraId="35D98A39">
      <w:pPr>
        <w:pStyle w:val="3"/>
        <w:numPr>
          <w:ilvl w:val="0"/>
          <w:numId w:val="9"/>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21" w:name="_Toc16633"/>
      <w:bookmarkStart w:id="22" w:name="_Toc98019235"/>
      <w:r>
        <w:rPr>
          <w:rFonts w:hint="eastAsia" w:ascii="微软雅黑" w:hAnsi="微软雅黑" w:eastAsia="微软雅黑" w:cs="微软雅黑"/>
          <w:color w:val="auto"/>
          <w:sz w:val="21"/>
          <w:szCs w:val="21"/>
          <w:highlight w:val="none"/>
        </w:rPr>
        <w:t>总  则</w:t>
      </w:r>
      <w:bookmarkEnd w:id="21"/>
      <w:bookmarkEnd w:id="22"/>
    </w:p>
    <w:p w14:paraId="55F8D8A2">
      <w:pPr>
        <w:pStyle w:val="4"/>
        <w:numPr>
          <w:ilvl w:val="1"/>
          <w:numId w:val="10"/>
        </w:numPr>
        <w:spacing w:before="0" w:after="0" w:line="360" w:lineRule="auto"/>
        <w:ind w:firstLine="420" w:firstLineChars="200"/>
        <w:rPr>
          <w:color w:val="auto"/>
          <w:highlight w:val="none"/>
        </w:rPr>
      </w:pPr>
      <w:bookmarkStart w:id="23" w:name="_Toc9342479"/>
      <w:bookmarkStart w:id="24" w:name="_Toc11650169"/>
      <w:bookmarkStart w:id="25" w:name="_Toc98019236"/>
      <w:r>
        <w:rPr>
          <w:rFonts w:hint="eastAsia"/>
          <w:color w:val="auto"/>
          <w:highlight w:val="none"/>
        </w:rPr>
        <w:t>适用范围</w:t>
      </w:r>
      <w:bookmarkEnd w:id="23"/>
      <w:bookmarkEnd w:id="24"/>
      <w:bookmarkEnd w:id="25"/>
    </w:p>
    <w:p w14:paraId="309C2DDA">
      <w:pPr>
        <w:snapToGrid w:val="0"/>
        <w:spacing w:line="360" w:lineRule="auto"/>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本招标文件适用于</w:t>
      </w:r>
      <w:r>
        <w:rPr>
          <w:rFonts w:hint="eastAsia" w:ascii="微软雅黑" w:hAnsi="微软雅黑" w:eastAsia="微软雅黑" w:cs="Arial"/>
          <w:color w:val="auto"/>
          <w:szCs w:val="21"/>
          <w:highlight w:val="none"/>
          <w:lang w:eastAsia="zh-CN"/>
        </w:rPr>
        <w:t>嘉兴市养老保险服务中心社会保险基金支出户银行开户项目</w:t>
      </w:r>
      <w:r>
        <w:rPr>
          <w:rFonts w:hint="eastAsia" w:ascii="微软雅黑" w:hAnsi="微软雅黑" w:eastAsia="微软雅黑" w:cs="Arial"/>
          <w:color w:val="auto"/>
          <w:szCs w:val="21"/>
          <w:highlight w:val="none"/>
        </w:rPr>
        <w:t>的招标、投标、评标、定标、验收、合同履约、付款等行为（法律、法规另有规定的，从其规定）。</w:t>
      </w:r>
    </w:p>
    <w:p w14:paraId="4081C43E">
      <w:pPr>
        <w:pStyle w:val="4"/>
        <w:numPr>
          <w:ilvl w:val="1"/>
          <w:numId w:val="10"/>
        </w:numPr>
        <w:spacing w:before="0" w:after="0" w:line="360" w:lineRule="auto"/>
        <w:ind w:firstLine="420" w:firstLineChars="200"/>
        <w:rPr>
          <w:color w:val="auto"/>
          <w:highlight w:val="none"/>
        </w:rPr>
      </w:pPr>
      <w:bookmarkStart w:id="26" w:name="_Toc11650170"/>
      <w:bookmarkStart w:id="27" w:name="_Toc98019237"/>
      <w:bookmarkStart w:id="28" w:name="_Toc9342480"/>
      <w:r>
        <w:rPr>
          <w:rFonts w:hint="eastAsia"/>
          <w:color w:val="auto"/>
          <w:highlight w:val="none"/>
        </w:rPr>
        <w:t>定义</w:t>
      </w:r>
      <w:bookmarkEnd w:id="26"/>
      <w:bookmarkEnd w:id="27"/>
      <w:bookmarkEnd w:id="28"/>
    </w:p>
    <w:p w14:paraId="46396A18">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“招标人”系指组织本次招标的代理机构和存款单位。</w:t>
      </w:r>
    </w:p>
    <w:p w14:paraId="3B06C908">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“投标人”系指向招标方提交投标文件的银行业金融机构。</w:t>
      </w:r>
    </w:p>
    <w:p w14:paraId="7BE6E09D">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“产品”系指供方按招标文件规定，须向招标人提供的有关技术资料和材料。</w:t>
      </w:r>
    </w:p>
    <w:p w14:paraId="4A94F4A4">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“服务”系指招标文件规定投标人须承担的其他类似的义务。</w:t>
      </w:r>
    </w:p>
    <w:p w14:paraId="47D2A58F">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“项目”系指投标人按招标文件规定向招标人提供的产品和服务。</w:t>
      </w:r>
    </w:p>
    <w:p w14:paraId="459F4D41">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“书面形式”包括信函、传真、电报等。</w:t>
      </w:r>
    </w:p>
    <w:p w14:paraId="60FB2740">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“▲”系指实质性要求条款。</w:t>
      </w:r>
    </w:p>
    <w:p w14:paraId="798B270A">
      <w:pPr>
        <w:pStyle w:val="4"/>
        <w:numPr>
          <w:ilvl w:val="1"/>
          <w:numId w:val="10"/>
        </w:numPr>
        <w:spacing w:before="0" w:after="0" w:line="360" w:lineRule="auto"/>
        <w:ind w:firstLine="420" w:firstLineChars="200"/>
        <w:rPr>
          <w:color w:val="auto"/>
          <w:highlight w:val="none"/>
        </w:rPr>
      </w:pPr>
      <w:bookmarkStart w:id="29" w:name="_Toc9342481"/>
      <w:bookmarkStart w:id="30" w:name="_Toc98019238"/>
      <w:bookmarkStart w:id="31" w:name="_Toc11650171"/>
      <w:r>
        <w:rPr>
          <w:rFonts w:hint="eastAsia"/>
          <w:color w:val="auto"/>
          <w:highlight w:val="none"/>
        </w:rPr>
        <w:t>招标方式</w:t>
      </w:r>
      <w:bookmarkEnd w:id="29"/>
      <w:bookmarkEnd w:id="30"/>
      <w:bookmarkEnd w:id="31"/>
    </w:p>
    <w:p w14:paraId="1F112F8C">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本次招标采用公开招标方式进行。</w:t>
      </w:r>
    </w:p>
    <w:p w14:paraId="6108BBC3">
      <w:pPr>
        <w:pStyle w:val="4"/>
        <w:numPr>
          <w:ilvl w:val="1"/>
          <w:numId w:val="10"/>
        </w:numPr>
        <w:spacing w:before="0" w:after="0" w:line="360" w:lineRule="auto"/>
        <w:ind w:firstLine="420" w:firstLineChars="200"/>
        <w:rPr>
          <w:color w:val="auto"/>
          <w:highlight w:val="none"/>
        </w:rPr>
      </w:pPr>
      <w:bookmarkStart w:id="32" w:name="_Toc9342482"/>
      <w:bookmarkStart w:id="33" w:name="_Toc11650172"/>
      <w:bookmarkStart w:id="34" w:name="_Toc98019239"/>
      <w:r>
        <w:rPr>
          <w:rFonts w:hint="eastAsia"/>
          <w:color w:val="auto"/>
          <w:highlight w:val="none"/>
        </w:rPr>
        <w:t>投标委托</w:t>
      </w:r>
      <w:bookmarkEnd w:id="32"/>
      <w:bookmarkEnd w:id="33"/>
      <w:bookmarkEnd w:id="34"/>
    </w:p>
    <w:p w14:paraId="11C8F09C">
      <w:pPr>
        <w:pStyle w:val="18"/>
        <w:snapToGrid w:val="0"/>
        <w:spacing w:line="480" w:lineRule="exact"/>
        <w:ind w:firstLine="404"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如投标人代表不是法定代表人（负责人），须有法定代表人（负责人）出具的授权委托书（正本用原件，副本用复印件，格式见第四部分）。如果投标单位无法定代表人，则由单位负责人代替。</w:t>
      </w:r>
    </w:p>
    <w:p w14:paraId="332620C7">
      <w:pPr>
        <w:pStyle w:val="4"/>
        <w:numPr>
          <w:ilvl w:val="1"/>
          <w:numId w:val="10"/>
        </w:numPr>
        <w:spacing w:before="0" w:after="0" w:line="360" w:lineRule="auto"/>
        <w:ind w:firstLine="420" w:firstLineChars="200"/>
        <w:rPr>
          <w:color w:val="auto"/>
          <w:highlight w:val="none"/>
        </w:rPr>
      </w:pPr>
      <w:bookmarkStart w:id="35" w:name="_Toc9342483"/>
      <w:bookmarkStart w:id="36" w:name="_Toc11650173"/>
      <w:bookmarkStart w:id="37" w:name="_Toc98019240"/>
      <w:r>
        <w:rPr>
          <w:rFonts w:hint="eastAsia"/>
          <w:color w:val="auto"/>
          <w:highlight w:val="none"/>
        </w:rPr>
        <w:t>投标费用</w:t>
      </w:r>
      <w:bookmarkEnd w:id="35"/>
      <w:bookmarkEnd w:id="36"/>
      <w:bookmarkEnd w:id="37"/>
    </w:p>
    <w:p w14:paraId="61BC9778">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不论投标结果如何，投标人均应自行承担所有与投标有关的全部费用。</w:t>
      </w:r>
    </w:p>
    <w:p w14:paraId="13A87352">
      <w:pPr>
        <w:pStyle w:val="4"/>
        <w:numPr>
          <w:ilvl w:val="1"/>
          <w:numId w:val="10"/>
        </w:numPr>
        <w:spacing w:before="0" w:after="0" w:line="360" w:lineRule="auto"/>
        <w:ind w:firstLine="420" w:firstLineChars="200"/>
        <w:rPr>
          <w:color w:val="auto"/>
          <w:highlight w:val="none"/>
        </w:rPr>
      </w:pPr>
      <w:bookmarkStart w:id="38" w:name="_Toc98019241"/>
      <w:bookmarkStart w:id="39" w:name="_Toc9342484"/>
      <w:bookmarkStart w:id="40" w:name="_Toc11650174"/>
      <w:r>
        <w:rPr>
          <w:rFonts w:hint="eastAsia"/>
          <w:color w:val="auto"/>
          <w:highlight w:val="none"/>
        </w:rPr>
        <w:t>特别说明：</w:t>
      </w:r>
      <w:bookmarkEnd w:id="38"/>
      <w:bookmarkEnd w:id="39"/>
      <w:bookmarkEnd w:id="40"/>
    </w:p>
    <w:p w14:paraId="4A461342">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▲投标人投标所使用的资格、信誉、荣誉、业绩与企业认证必须为投标单位所拥有。</w:t>
      </w:r>
    </w:p>
    <w:p w14:paraId="489BDCFE">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▲投标人应仔细阅读招标文件的所有内容，按照招标文件的要求提交投标文件，并对所提供的全部资料的真实性承担法律责任。</w:t>
      </w:r>
    </w:p>
    <w:p w14:paraId="14F72BE8">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投标人在投标活动中提供任何虚假材料,</w:t>
      </w:r>
      <w:r>
        <w:rPr>
          <w:rFonts w:hint="eastAsia" w:ascii="微软雅黑" w:hAnsi="微软雅黑" w:eastAsia="微软雅黑"/>
          <w:color w:val="auto"/>
          <w:szCs w:val="21"/>
          <w:highlight w:val="none"/>
        </w:rPr>
        <w:t>其投标无效，并依照相关规定进行相应处罚。</w:t>
      </w:r>
    </w:p>
    <w:p w14:paraId="70D7F18E">
      <w:pPr>
        <w:pStyle w:val="4"/>
        <w:numPr>
          <w:ilvl w:val="1"/>
          <w:numId w:val="10"/>
        </w:numPr>
        <w:spacing w:before="0" w:after="0" w:line="360" w:lineRule="auto"/>
        <w:ind w:firstLine="420" w:firstLineChars="200"/>
        <w:rPr>
          <w:color w:val="auto"/>
          <w:highlight w:val="none"/>
        </w:rPr>
      </w:pPr>
      <w:bookmarkStart w:id="41" w:name="_Toc9342485"/>
      <w:bookmarkStart w:id="42" w:name="_Toc11650175"/>
      <w:bookmarkStart w:id="43" w:name="_Toc98019242"/>
      <w:r>
        <w:rPr>
          <w:rFonts w:hint="eastAsia"/>
          <w:color w:val="auto"/>
          <w:highlight w:val="none"/>
        </w:rPr>
        <w:t>质疑和投诉</w:t>
      </w:r>
      <w:bookmarkEnd w:id="41"/>
      <w:bookmarkEnd w:id="42"/>
      <w:bookmarkEnd w:id="43"/>
    </w:p>
    <w:p w14:paraId="2F250D68">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221EBEAF">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0B02414">
      <w:pPr>
        <w:pStyle w:val="3"/>
        <w:numPr>
          <w:ilvl w:val="0"/>
          <w:numId w:val="9"/>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44" w:name="_Toc30613"/>
      <w:bookmarkStart w:id="45" w:name="_Toc11650176"/>
      <w:bookmarkStart w:id="46" w:name="_Toc98019243"/>
      <w:bookmarkStart w:id="47" w:name="_Toc9342486"/>
      <w:r>
        <w:rPr>
          <w:rFonts w:hint="eastAsia" w:ascii="微软雅黑" w:hAnsi="微软雅黑" w:eastAsia="微软雅黑" w:cs="微软雅黑"/>
          <w:color w:val="auto"/>
          <w:sz w:val="21"/>
          <w:szCs w:val="21"/>
          <w:highlight w:val="none"/>
        </w:rPr>
        <w:t>招标文件</w:t>
      </w:r>
      <w:bookmarkEnd w:id="44"/>
      <w:bookmarkEnd w:id="45"/>
      <w:bookmarkEnd w:id="46"/>
      <w:bookmarkEnd w:id="47"/>
    </w:p>
    <w:p w14:paraId="371ED13F">
      <w:pPr>
        <w:pStyle w:val="4"/>
        <w:numPr>
          <w:ilvl w:val="1"/>
          <w:numId w:val="10"/>
        </w:numPr>
        <w:spacing w:before="0" w:after="0" w:line="360" w:lineRule="auto"/>
        <w:ind w:firstLine="420" w:firstLineChars="200"/>
        <w:rPr>
          <w:color w:val="auto"/>
          <w:highlight w:val="none"/>
        </w:rPr>
      </w:pPr>
      <w:bookmarkStart w:id="48" w:name="_Toc98019244"/>
      <w:r>
        <w:rPr>
          <w:rFonts w:hint="eastAsia"/>
          <w:color w:val="auto"/>
          <w:highlight w:val="none"/>
        </w:rPr>
        <w:t>招标文件的构成。本招标文件由以下部份组成：</w:t>
      </w:r>
      <w:bookmarkEnd w:id="48"/>
    </w:p>
    <w:p w14:paraId="73C0B5C4">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招标公告</w:t>
      </w:r>
    </w:p>
    <w:p w14:paraId="03187E70">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招标需求</w:t>
      </w:r>
    </w:p>
    <w:p w14:paraId="51BAA0C7">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投标人须知</w:t>
      </w:r>
    </w:p>
    <w:p w14:paraId="2ECD152A">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评标办法及标准</w:t>
      </w:r>
    </w:p>
    <w:p w14:paraId="28F467D3">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合同主要条款</w:t>
      </w:r>
    </w:p>
    <w:p w14:paraId="57B95EE8">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投标文件格式</w:t>
      </w:r>
    </w:p>
    <w:p w14:paraId="6D7D4FEC">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本项目招标文件的澄清、答复、修改、补充的内容（如有）</w:t>
      </w:r>
    </w:p>
    <w:p w14:paraId="4477D867">
      <w:pPr>
        <w:pStyle w:val="4"/>
        <w:numPr>
          <w:ilvl w:val="1"/>
          <w:numId w:val="10"/>
        </w:numPr>
        <w:spacing w:before="0" w:after="0" w:line="360" w:lineRule="auto"/>
        <w:ind w:firstLine="420" w:firstLineChars="200"/>
        <w:rPr>
          <w:color w:val="auto"/>
          <w:highlight w:val="none"/>
        </w:rPr>
      </w:pPr>
      <w:bookmarkStart w:id="49" w:name="_Toc98019245"/>
      <w:r>
        <w:rPr>
          <w:rFonts w:hint="eastAsia"/>
          <w:color w:val="auto"/>
          <w:highlight w:val="none"/>
        </w:rPr>
        <w:t>投标人的风险</w:t>
      </w:r>
      <w:bookmarkEnd w:id="49"/>
    </w:p>
    <w:p w14:paraId="16B8CD58">
      <w:pPr>
        <w:pStyle w:val="32"/>
        <w:spacing w:line="480" w:lineRule="exact"/>
        <w:ind w:firstLine="42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投标人没有按照招标文件要求提供全部资料，或者投标人没有对招标文件在各方面作出实质性响应是投标人的风险，并可能导致其投标被拒绝。</w:t>
      </w:r>
    </w:p>
    <w:p w14:paraId="0D830D31">
      <w:pPr>
        <w:pStyle w:val="4"/>
        <w:numPr>
          <w:ilvl w:val="1"/>
          <w:numId w:val="10"/>
        </w:numPr>
        <w:spacing w:before="0" w:after="0" w:line="360" w:lineRule="auto"/>
        <w:ind w:firstLine="420" w:firstLineChars="200"/>
        <w:rPr>
          <w:color w:val="auto"/>
          <w:highlight w:val="none"/>
        </w:rPr>
      </w:pPr>
      <w:bookmarkStart w:id="50" w:name="_Toc98019246"/>
      <w:r>
        <w:rPr>
          <w:rFonts w:hint="eastAsia"/>
          <w:color w:val="auto"/>
          <w:highlight w:val="none"/>
        </w:rPr>
        <w:t>招标文件的澄清与修改</w:t>
      </w:r>
      <w:bookmarkEnd w:id="50"/>
    </w:p>
    <w:p w14:paraId="089543DE">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1" w:name="_Toc9342487"/>
      <w:bookmarkStart w:id="52" w:name="_Toc11650177"/>
      <w:r>
        <w:rPr>
          <w:rFonts w:hint="eastAsia" w:ascii="微软雅黑" w:hAnsi="微软雅黑" w:eastAsia="微软雅黑"/>
          <w:color w:val="auto"/>
          <w:szCs w:val="21"/>
          <w:highlight w:val="none"/>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招标公告发布的网站予以发布。</w:t>
      </w:r>
      <w:bookmarkEnd w:id="51"/>
      <w:bookmarkEnd w:id="52"/>
    </w:p>
    <w:p w14:paraId="54D6A56B">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3" w:name="_Toc11650178"/>
      <w:bookmarkStart w:id="54" w:name="_Toc9342488"/>
      <w:r>
        <w:rPr>
          <w:rFonts w:hint="eastAsia" w:ascii="微软雅黑" w:hAnsi="微软雅黑" w:eastAsia="微软雅黑"/>
          <w:color w:val="auto"/>
          <w:szCs w:val="21"/>
          <w:highlight w:val="none"/>
        </w:rPr>
        <w:t>招标文件澄清、答复、修改、补充的内容为招标文件的组成部分。当招标文件与招标文件的答复、澄清、修改、补充通知就同一内容的表述不一致时，以最后发出的为准。</w:t>
      </w:r>
      <w:bookmarkEnd w:id="53"/>
      <w:bookmarkEnd w:id="54"/>
    </w:p>
    <w:p w14:paraId="484E1C49">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5" w:name="_Toc11650179"/>
      <w:bookmarkStart w:id="56" w:name="_Toc9342489"/>
      <w:r>
        <w:rPr>
          <w:rFonts w:hint="eastAsia" w:ascii="微软雅黑" w:hAnsi="微软雅黑" w:eastAsia="微软雅黑"/>
          <w:color w:val="auto"/>
          <w:szCs w:val="21"/>
          <w:highlight w:val="none"/>
        </w:rPr>
        <w:t>招标文件的澄清、答复、修改或补充都应该通过招标人以法定形式发布，存款单位没有通过招标人，不得擅自澄清、答复、修改或补充招标文件。</w:t>
      </w:r>
      <w:bookmarkEnd w:id="55"/>
      <w:bookmarkEnd w:id="56"/>
    </w:p>
    <w:p w14:paraId="43B37B18">
      <w:pPr>
        <w:pStyle w:val="3"/>
        <w:numPr>
          <w:ilvl w:val="0"/>
          <w:numId w:val="9"/>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57" w:name="_Toc11650180"/>
      <w:bookmarkStart w:id="58" w:name="_Toc98019247"/>
      <w:bookmarkStart w:id="59" w:name="_Toc9342490"/>
      <w:bookmarkStart w:id="60" w:name="_Toc24216"/>
      <w:r>
        <w:rPr>
          <w:rFonts w:hint="eastAsia" w:ascii="微软雅黑" w:hAnsi="微软雅黑" w:eastAsia="微软雅黑" w:cs="微软雅黑"/>
          <w:color w:val="auto"/>
          <w:sz w:val="21"/>
          <w:szCs w:val="21"/>
          <w:highlight w:val="none"/>
        </w:rPr>
        <w:t>投标文件的编制</w:t>
      </w:r>
      <w:bookmarkEnd w:id="57"/>
      <w:bookmarkEnd w:id="58"/>
      <w:bookmarkEnd w:id="59"/>
      <w:bookmarkEnd w:id="60"/>
    </w:p>
    <w:p w14:paraId="377E9769">
      <w:pPr>
        <w:pStyle w:val="4"/>
        <w:numPr>
          <w:ilvl w:val="1"/>
          <w:numId w:val="10"/>
        </w:numPr>
        <w:spacing w:before="0" w:after="0" w:line="360" w:lineRule="auto"/>
        <w:ind w:firstLine="420" w:firstLineChars="200"/>
        <w:rPr>
          <w:color w:val="auto"/>
          <w:highlight w:val="none"/>
        </w:rPr>
      </w:pPr>
      <w:bookmarkStart w:id="61" w:name="_Toc98019248"/>
      <w:bookmarkStart w:id="62" w:name="_Toc9342491"/>
      <w:bookmarkStart w:id="63" w:name="_Toc11650181"/>
      <w:r>
        <w:rPr>
          <w:rFonts w:hint="eastAsia"/>
          <w:color w:val="auto"/>
          <w:highlight w:val="none"/>
        </w:rPr>
        <w:t>投标文件的组成</w:t>
      </w:r>
      <w:bookmarkEnd w:id="61"/>
      <w:bookmarkEnd w:id="62"/>
      <w:bookmarkEnd w:id="63"/>
    </w:p>
    <w:p w14:paraId="5AE46B34">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投标文件的资信技术文件和投标报价文件装订成一本。</w:t>
      </w:r>
    </w:p>
    <w:p w14:paraId="1A47D49F">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▲投标声明书（格式见附件）；</w:t>
      </w:r>
    </w:p>
    <w:p w14:paraId="0BEB62F7">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▲法定代表人（负责人）授权书(格式见附件)；</w:t>
      </w:r>
    </w:p>
    <w:p w14:paraId="738E8FE0">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▲投标函（格式见附件）；</w:t>
      </w:r>
    </w:p>
    <w:p w14:paraId="70C8935C">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▲投标报价一览表（格式见附件）</w:t>
      </w:r>
    </w:p>
    <w:p w14:paraId="11F61973">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人民银行评价材料 (复印件)；</w:t>
      </w:r>
    </w:p>
    <w:p w14:paraId="35E1CDA8">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▲营业执照副本(复印件)；</w:t>
      </w:r>
    </w:p>
    <w:p w14:paraId="39F788AA">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▲《中华人民共和国金融许可证》（复印件）；</w:t>
      </w:r>
    </w:p>
    <w:p w14:paraId="049A5AF6">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投标人需提供的其他材料（</w:t>
      </w:r>
      <w:r>
        <w:rPr>
          <w:rFonts w:hint="eastAsia" w:ascii="微软雅黑" w:hAnsi="微软雅黑" w:eastAsia="微软雅黑"/>
          <w:color w:val="auto"/>
          <w:szCs w:val="21"/>
          <w:highlight w:val="none"/>
          <w:lang w:val="en-US" w:eastAsia="zh-CN"/>
        </w:rPr>
        <w:t>请各投标银行按评分内容提供，</w:t>
      </w:r>
      <w:r>
        <w:rPr>
          <w:rFonts w:hint="eastAsia" w:ascii="微软雅黑" w:hAnsi="微软雅黑" w:eastAsia="微软雅黑"/>
          <w:color w:val="auto"/>
          <w:szCs w:val="21"/>
          <w:highlight w:val="none"/>
        </w:rPr>
        <w:t>格式自拟）。</w:t>
      </w:r>
    </w:p>
    <w:p w14:paraId="02CDA562">
      <w:pPr>
        <w:pStyle w:val="4"/>
        <w:numPr>
          <w:ilvl w:val="1"/>
          <w:numId w:val="10"/>
        </w:numPr>
        <w:spacing w:before="0" w:after="0" w:line="360" w:lineRule="auto"/>
        <w:ind w:firstLine="420" w:firstLineChars="200"/>
        <w:rPr>
          <w:color w:val="auto"/>
          <w:highlight w:val="none"/>
        </w:rPr>
      </w:pPr>
      <w:bookmarkStart w:id="64" w:name="_Toc9342492"/>
      <w:bookmarkStart w:id="65" w:name="_Toc98019249"/>
      <w:bookmarkStart w:id="66" w:name="_Toc11650182"/>
      <w:r>
        <w:rPr>
          <w:rFonts w:hint="eastAsia"/>
          <w:color w:val="auto"/>
          <w:highlight w:val="none"/>
        </w:rPr>
        <w:t>投标文件的语言及计量</w:t>
      </w:r>
      <w:bookmarkEnd w:id="64"/>
      <w:bookmarkEnd w:id="65"/>
      <w:bookmarkEnd w:id="66"/>
    </w:p>
    <w:p w14:paraId="1AEA0021">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3E58DBF1">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67A15F8D">
      <w:pPr>
        <w:pStyle w:val="4"/>
        <w:numPr>
          <w:ilvl w:val="1"/>
          <w:numId w:val="10"/>
        </w:numPr>
        <w:spacing w:before="0" w:after="0" w:line="360" w:lineRule="auto"/>
        <w:ind w:firstLine="420" w:firstLineChars="200"/>
        <w:rPr>
          <w:color w:val="auto"/>
          <w:highlight w:val="none"/>
        </w:rPr>
      </w:pPr>
      <w:bookmarkStart w:id="67" w:name="_Toc98019250"/>
      <w:bookmarkStart w:id="68" w:name="_Toc9342493"/>
      <w:bookmarkStart w:id="69" w:name="_Toc11650183"/>
      <w:r>
        <w:rPr>
          <w:rFonts w:hint="eastAsia"/>
          <w:color w:val="auto"/>
          <w:highlight w:val="none"/>
        </w:rPr>
        <w:t>投标报价</w:t>
      </w:r>
      <w:bookmarkEnd w:id="67"/>
      <w:bookmarkEnd w:id="68"/>
      <w:bookmarkEnd w:id="69"/>
    </w:p>
    <w:p w14:paraId="01C64CD6">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投标报价应按招标文件中相关附表格式填写。</w:t>
      </w:r>
    </w:p>
    <w:p w14:paraId="05724334">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▲投标报价只允许有一个报价，有选择的报价将不予接受。</w:t>
      </w:r>
    </w:p>
    <w:p w14:paraId="172318C4">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投标人须充分了解项目全部风险，综合考虑投标报价。</w:t>
      </w:r>
    </w:p>
    <w:p w14:paraId="4340C41E">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eastAsia="zh-CN"/>
        </w:rPr>
        <w:t>投标人报价不得违反国家利率政策和浙江省市场利率定价自律机制规定</w:t>
      </w:r>
      <w:r>
        <w:rPr>
          <w:rFonts w:hint="eastAsia" w:ascii="微软雅黑" w:hAnsi="微软雅黑" w:eastAsia="微软雅黑"/>
          <w:color w:val="auto"/>
          <w:szCs w:val="21"/>
          <w:highlight w:val="none"/>
        </w:rPr>
        <w:t>。</w:t>
      </w:r>
    </w:p>
    <w:p w14:paraId="6E0BCBF3">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投标人提交可选择报价视为非实质性响应招标文件的要求，按无效标处理。</w:t>
      </w:r>
    </w:p>
    <w:p w14:paraId="249F7868">
      <w:pPr>
        <w:pStyle w:val="4"/>
        <w:numPr>
          <w:ilvl w:val="1"/>
          <w:numId w:val="10"/>
        </w:numPr>
        <w:spacing w:before="0" w:after="0" w:line="360" w:lineRule="auto"/>
        <w:ind w:firstLine="420" w:firstLineChars="200"/>
        <w:rPr>
          <w:color w:val="auto"/>
          <w:highlight w:val="none"/>
        </w:rPr>
      </w:pPr>
      <w:bookmarkStart w:id="70" w:name="_Toc98019251"/>
      <w:r>
        <w:rPr>
          <w:rFonts w:hint="eastAsia"/>
          <w:color w:val="auto"/>
          <w:highlight w:val="none"/>
        </w:rPr>
        <w:t>投标文件的有效期</w:t>
      </w:r>
      <w:bookmarkEnd w:id="70"/>
    </w:p>
    <w:p w14:paraId="53F59A2B">
      <w:pPr>
        <w:numPr>
          <w:ilvl w:val="0"/>
          <w:numId w:val="19"/>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▲自投标截止日起60天投标文件应保持有效。有效期不足的投标文件将被拒绝。</w:t>
      </w:r>
    </w:p>
    <w:p w14:paraId="41BD56DF">
      <w:pPr>
        <w:numPr>
          <w:ilvl w:val="0"/>
          <w:numId w:val="19"/>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71" w:name="_Toc11650184"/>
      <w:bookmarkStart w:id="72" w:name="_Toc9342494"/>
      <w:r>
        <w:rPr>
          <w:rFonts w:hint="eastAsia" w:ascii="微软雅黑" w:hAnsi="微软雅黑" w:eastAsia="微软雅黑"/>
          <w:color w:val="auto"/>
          <w:szCs w:val="21"/>
          <w:highlight w:val="none"/>
        </w:rPr>
        <w:t>中标人的投标文件自开标之日起至合同履行完毕止均应保持有效。</w:t>
      </w:r>
      <w:bookmarkEnd w:id="71"/>
      <w:bookmarkEnd w:id="72"/>
    </w:p>
    <w:p w14:paraId="7D7B21A8">
      <w:pPr>
        <w:pStyle w:val="4"/>
        <w:numPr>
          <w:ilvl w:val="1"/>
          <w:numId w:val="10"/>
        </w:numPr>
        <w:spacing w:before="0" w:after="0" w:line="360" w:lineRule="auto"/>
        <w:ind w:firstLine="420" w:firstLineChars="200"/>
        <w:rPr>
          <w:color w:val="auto"/>
          <w:highlight w:val="none"/>
        </w:rPr>
      </w:pPr>
      <w:bookmarkStart w:id="73" w:name="_Toc98019252"/>
      <w:r>
        <w:rPr>
          <w:rFonts w:hint="eastAsia"/>
          <w:color w:val="auto"/>
          <w:highlight w:val="none"/>
        </w:rPr>
        <w:t>投标文件的签署和份数</w:t>
      </w:r>
      <w:bookmarkEnd w:id="73"/>
    </w:p>
    <w:p w14:paraId="31E6896D">
      <w:pPr>
        <w:numPr>
          <w:ilvl w:val="0"/>
          <w:numId w:val="20"/>
        </w:numPr>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u w:val="single"/>
        </w:rPr>
        <w:t>线下纸质投标文件</w:t>
      </w:r>
      <w:r>
        <w:rPr>
          <w:rFonts w:ascii="微软雅黑" w:hAnsi="微软雅黑" w:eastAsia="微软雅黑"/>
          <w:color w:val="auto"/>
          <w:szCs w:val="21"/>
          <w:highlight w:val="none"/>
          <w:u w:val="single"/>
        </w:rPr>
        <w:t>正本一份和副本</w:t>
      </w:r>
      <w:r>
        <w:rPr>
          <w:rFonts w:hint="eastAsia" w:ascii="微软雅黑" w:hAnsi="微软雅黑" w:eastAsia="微软雅黑"/>
          <w:color w:val="auto"/>
          <w:szCs w:val="21"/>
          <w:highlight w:val="none"/>
          <w:u w:val="single"/>
        </w:rPr>
        <w:t>一份</w:t>
      </w:r>
      <w:r>
        <w:rPr>
          <w:rFonts w:hint="eastAsia" w:ascii="微软雅黑" w:hAnsi="微软雅黑" w:eastAsia="微软雅黑"/>
          <w:color w:val="auto"/>
          <w:szCs w:val="21"/>
          <w:highlight w:val="none"/>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4482EB89">
      <w:pPr>
        <w:numPr>
          <w:ilvl w:val="0"/>
          <w:numId w:val="20"/>
        </w:numPr>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631AD1DC">
      <w:pPr>
        <w:numPr>
          <w:ilvl w:val="0"/>
          <w:numId w:val="20"/>
        </w:numPr>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▲网上电子投标文件按招标文件要求及招标系统流程、时间、格式上传。</w:t>
      </w:r>
    </w:p>
    <w:p w14:paraId="10569CFE">
      <w:pPr>
        <w:pStyle w:val="4"/>
        <w:numPr>
          <w:ilvl w:val="1"/>
          <w:numId w:val="10"/>
        </w:numPr>
        <w:spacing w:before="0" w:after="0" w:line="360" w:lineRule="auto"/>
        <w:ind w:firstLine="420" w:firstLineChars="200"/>
        <w:rPr>
          <w:color w:val="auto"/>
          <w:highlight w:val="none"/>
        </w:rPr>
      </w:pPr>
      <w:bookmarkStart w:id="74" w:name="_Toc98019253"/>
      <w:r>
        <w:rPr>
          <w:rFonts w:hint="eastAsia"/>
          <w:color w:val="auto"/>
          <w:highlight w:val="none"/>
        </w:rPr>
        <w:t>投标文件的包装、递交、修改和撤回</w:t>
      </w:r>
      <w:bookmarkEnd w:id="74"/>
    </w:p>
    <w:p w14:paraId="600E2A36">
      <w:pPr>
        <w:numPr>
          <w:ilvl w:val="0"/>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投标人的投标文件应密封封装。投标文件的包装封面上应注明投标人名称、投标人地址、投标文件名称、投标项目名称、项目编号，并加盖投标人公章。</w:t>
      </w:r>
    </w:p>
    <w:p w14:paraId="1E7C8AAD">
      <w:pPr>
        <w:numPr>
          <w:ilvl w:val="0"/>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未按规定密封或标记的投标文件将被拒绝，由此造成投标文件被误投或提前拆封的风险由投标人承担。</w:t>
      </w:r>
    </w:p>
    <w:p w14:paraId="5069B62D">
      <w:pPr>
        <w:numPr>
          <w:ilvl w:val="0"/>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387A6394">
      <w:pPr>
        <w:pStyle w:val="4"/>
        <w:numPr>
          <w:ilvl w:val="1"/>
          <w:numId w:val="10"/>
        </w:numPr>
        <w:spacing w:before="0" w:after="0" w:line="360" w:lineRule="auto"/>
        <w:ind w:firstLine="420" w:firstLineChars="200"/>
        <w:rPr>
          <w:color w:val="auto"/>
          <w:highlight w:val="none"/>
        </w:rPr>
      </w:pPr>
      <w:bookmarkStart w:id="75" w:name="_Toc98019254"/>
      <w:r>
        <w:rPr>
          <w:rFonts w:hint="eastAsia"/>
          <w:color w:val="auto"/>
          <w:highlight w:val="none"/>
        </w:rPr>
        <w:t>投标无效的情形</w:t>
      </w:r>
      <w:bookmarkEnd w:id="75"/>
    </w:p>
    <w:p w14:paraId="02A24413">
      <w:pPr>
        <w:snapToGrid w:val="0"/>
        <w:spacing w:line="480" w:lineRule="exact"/>
        <w:ind w:firstLine="420" w:firstLineChars="200"/>
        <w:rPr>
          <w:rFonts w:hint="eastAsia" w:ascii="微软雅黑" w:hAnsi="微软雅黑" w:eastAsia="微软雅黑"/>
          <w:bCs/>
          <w:color w:val="auto"/>
          <w:szCs w:val="21"/>
          <w:highlight w:val="none"/>
        </w:rPr>
      </w:pPr>
      <w:r>
        <w:rPr>
          <w:rFonts w:hint="eastAsia" w:ascii="微软雅黑" w:hAnsi="微软雅黑" w:eastAsia="微软雅黑"/>
          <w:b/>
          <w:bCs/>
          <w:color w:val="auto"/>
          <w:szCs w:val="21"/>
          <w:highlight w:val="none"/>
        </w:rPr>
        <w:t>实质上没有响应招标文件要求的投标将被视为无效投标。</w:t>
      </w:r>
    </w:p>
    <w:p w14:paraId="469BD8BE">
      <w:pPr>
        <w:numPr>
          <w:ilvl w:val="0"/>
          <w:numId w:val="22"/>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在符合性审查和商务评审时，如发现下列情形之一的，投标文件将被视为无效：</w:t>
      </w:r>
    </w:p>
    <w:p w14:paraId="3B610BE6">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资格证明文件不全的，或者不符合招标文件标明的资格要求的；</w:t>
      </w:r>
    </w:p>
    <w:p w14:paraId="66B7B994">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投标文件无法定代表人（负责人）签字,或未提供法定代表人（负责人）授权委托书、投标声明书或者填写项目不齐全的；</w:t>
      </w:r>
    </w:p>
    <w:p w14:paraId="2D6B1A5D">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投标代表人未能出具身份证明或与法定代表人（负责人）授权委托人身份不符的； </w:t>
      </w:r>
    </w:p>
    <w:p w14:paraId="68114A5E">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投标文件未按要求装订、格式不规范、项目不齐全或者内容虚假的；</w:t>
      </w:r>
    </w:p>
    <w:p w14:paraId="67C7D279">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投标文件的实质性内容意思表述不明确、前后矛盾或者使用计量单位不符合招标文件要求的（经评标委员会认定并允许其当场更正的笔误除外）；</w:t>
      </w:r>
    </w:p>
    <w:p w14:paraId="783569AE">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未实质性响应招标文件要求的；</w:t>
      </w:r>
    </w:p>
    <w:p w14:paraId="5DE5270C">
      <w:pPr>
        <w:numPr>
          <w:ilvl w:val="0"/>
          <w:numId w:val="22"/>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在技术评审时，如发现下列情形之一的，投标文件将被视为无效：</w:t>
      </w:r>
    </w:p>
    <w:p w14:paraId="6C85E7A9">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投标文件标明的响应或偏离与事实不符或虚假投标的；</w:t>
      </w:r>
    </w:p>
    <w:p w14:paraId="2116BBB8">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与招标文件中标“▲”的技术指标、主要功能项目发生实质性偏离的；</w:t>
      </w:r>
    </w:p>
    <w:p w14:paraId="26CBD672">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投标技术方案不明确，存在一个或一个以上备选（替代）投标方案的；</w:t>
      </w:r>
    </w:p>
    <w:p w14:paraId="28919BC4">
      <w:pPr>
        <w:numPr>
          <w:ilvl w:val="0"/>
          <w:numId w:val="22"/>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在报价评审时，如发现下列情形之一的，投标文件将被视为无效：</w:t>
      </w:r>
    </w:p>
    <w:p w14:paraId="4A2ECE4D">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未提供投标报价表的；</w:t>
      </w:r>
    </w:p>
    <w:p w14:paraId="5F37BD89">
      <w:pPr>
        <w:numPr>
          <w:ilvl w:val="1"/>
          <w:numId w:val="2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投标报价方案不明确，存在一个或一个以上备选（替代）投标方案的；</w:t>
      </w:r>
    </w:p>
    <w:p w14:paraId="5AE321D2">
      <w:pPr>
        <w:pStyle w:val="62"/>
        <w:numPr>
          <w:ilvl w:val="0"/>
          <w:numId w:val="22"/>
        </w:numPr>
        <w:snapToGrid w:val="0"/>
        <w:spacing w:line="480" w:lineRule="exact"/>
        <w:ind w:firstLine="1"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被拒绝的投标文件为无效。</w:t>
      </w:r>
    </w:p>
    <w:p w14:paraId="52F26CF4">
      <w:pPr>
        <w:pStyle w:val="62"/>
        <w:numPr>
          <w:ilvl w:val="0"/>
          <w:numId w:val="22"/>
        </w:numPr>
        <w:snapToGrid w:val="0"/>
        <w:spacing w:line="480" w:lineRule="exact"/>
        <w:ind w:firstLine="1"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如网上投标文件与纸质投标文件不一致的，做无效标处理（因系统原因显示表述不一致的除外）。</w:t>
      </w:r>
    </w:p>
    <w:p w14:paraId="6E736F1E">
      <w:pPr>
        <w:pStyle w:val="3"/>
        <w:numPr>
          <w:ilvl w:val="0"/>
          <w:numId w:val="9"/>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76" w:name="_Toc98019255"/>
      <w:bookmarkStart w:id="77" w:name="_Toc23544"/>
      <w:r>
        <w:rPr>
          <w:rFonts w:hint="eastAsia" w:ascii="微软雅黑" w:hAnsi="微软雅黑" w:eastAsia="微软雅黑" w:cs="微软雅黑"/>
          <w:color w:val="auto"/>
          <w:sz w:val="21"/>
          <w:szCs w:val="21"/>
          <w:highlight w:val="none"/>
        </w:rPr>
        <w:t>开标</w:t>
      </w:r>
      <w:bookmarkEnd w:id="76"/>
      <w:bookmarkEnd w:id="77"/>
    </w:p>
    <w:p w14:paraId="16AF073F">
      <w:pPr>
        <w:pStyle w:val="4"/>
        <w:numPr>
          <w:ilvl w:val="1"/>
          <w:numId w:val="10"/>
        </w:numPr>
        <w:spacing w:before="0" w:after="0" w:line="360" w:lineRule="auto"/>
        <w:ind w:firstLine="420" w:firstLineChars="200"/>
        <w:rPr>
          <w:color w:val="auto"/>
          <w:highlight w:val="none"/>
        </w:rPr>
      </w:pPr>
      <w:bookmarkStart w:id="78" w:name="_Toc98019256"/>
      <w:r>
        <w:rPr>
          <w:rFonts w:hint="eastAsia"/>
          <w:color w:val="auto"/>
          <w:highlight w:val="none"/>
        </w:rPr>
        <w:t>本项目不要求投标人至开标现场参加开标及开启投标文件活动。招标代理机构将在规定的时间和地点进行开标。</w:t>
      </w:r>
      <w:bookmarkEnd w:id="78"/>
    </w:p>
    <w:p w14:paraId="041BDCCE">
      <w:pPr>
        <w:pStyle w:val="4"/>
        <w:numPr>
          <w:ilvl w:val="1"/>
          <w:numId w:val="10"/>
        </w:numPr>
        <w:spacing w:before="0" w:after="0" w:line="360" w:lineRule="auto"/>
        <w:ind w:firstLine="420" w:firstLineChars="200"/>
        <w:rPr>
          <w:color w:val="auto"/>
          <w:highlight w:val="none"/>
        </w:rPr>
      </w:pPr>
      <w:bookmarkStart w:id="79" w:name="_Toc98019257"/>
      <w:r>
        <w:rPr>
          <w:rFonts w:hint="eastAsia"/>
          <w:color w:val="auto"/>
          <w:highlight w:val="none"/>
        </w:rPr>
        <w:t>开标程序：</w:t>
      </w:r>
      <w:bookmarkEnd w:id="79"/>
    </w:p>
    <w:p w14:paraId="6FA8383A">
      <w:pPr>
        <w:pStyle w:val="5"/>
        <w:ind w:firstLine="400" w:firstLineChars="0"/>
        <w:rPr>
          <w:rFonts w:hint="eastAsia"/>
          <w:b w:val="0"/>
          <w:bCs w:val="0"/>
          <w:color w:val="auto"/>
          <w:highlight w:val="none"/>
        </w:rPr>
      </w:pPr>
      <w:bookmarkStart w:id="80" w:name="_Toc98019258"/>
      <w:r>
        <w:rPr>
          <w:rFonts w:hint="eastAsia"/>
          <w:b w:val="0"/>
          <w:bCs w:val="0"/>
          <w:color w:val="auto"/>
          <w:highlight w:val="none"/>
        </w:rPr>
        <w:t>开标会由招标代理机构主持，主持人宣布开标会议开始；</w:t>
      </w:r>
      <w:bookmarkEnd w:id="80"/>
    </w:p>
    <w:p w14:paraId="528B574D">
      <w:pPr>
        <w:pStyle w:val="5"/>
        <w:ind w:firstLine="400" w:firstLineChars="0"/>
        <w:rPr>
          <w:rFonts w:hint="eastAsia" w:ascii="微软雅黑" w:hAnsi="微软雅黑"/>
          <w:b w:val="0"/>
          <w:bCs w:val="0"/>
          <w:color w:val="auto"/>
          <w:szCs w:val="21"/>
          <w:highlight w:val="none"/>
        </w:rPr>
      </w:pPr>
      <w:bookmarkStart w:id="81" w:name="_Toc98019259"/>
      <w:r>
        <w:rPr>
          <w:rFonts w:hint="eastAsia"/>
          <w:b w:val="0"/>
          <w:bCs w:val="0"/>
          <w:color w:val="auto"/>
          <w:highlight w:val="none"/>
        </w:rPr>
        <w:t>介绍参加开标会的人员名单；</w:t>
      </w:r>
      <w:bookmarkEnd w:id="81"/>
    </w:p>
    <w:p w14:paraId="2FFEE63C">
      <w:pPr>
        <w:pStyle w:val="5"/>
        <w:ind w:firstLine="400" w:firstLineChars="0"/>
        <w:rPr>
          <w:rFonts w:hint="eastAsia" w:ascii="微软雅黑" w:hAnsi="微软雅黑"/>
          <w:b w:val="0"/>
          <w:bCs w:val="0"/>
          <w:color w:val="auto"/>
          <w:szCs w:val="21"/>
          <w:highlight w:val="none"/>
        </w:rPr>
      </w:pPr>
      <w:bookmarkStart w:id="82" w:name="_Toc98019260"/>
      <w:r>
        <w:rPr>
          <w:rFonts w:hint="eastAsia"/>
          <w:b w:val="0"/>
          <w:bCs w:val="0"/>
          <w:color w:val="auto"/>
          <w:highlight w:val="none"/>
        </w:rPr>
        <w:t>开标时，由相关监督人员检查其投标文件的密封情况，经确认无误后，由采购代理</w:t>
      </w:r>
      <w:r>
        <w:rPr>
          <w:rFonts w:hint="eastAsia" w:ascii="微软雅黑" w:hAnsi="微软雅黑"/>
          <w:b w:val="0"/>
          <w:bCs w:val="0"/>
          <w:color w:val="auto"/>
          <w:szCs w:val="21"/>
          <w:highlight w:val="none"/>
        </w:rPr>
        <w:t>机构工作人员当众拆封，由唱标人宣读投标人在其投标文件中承诺的投标报价以及招标代理机构认为有必要宣读的其他内容。唱标顺序按各投标人提交投标文件时间的先后顺序进行；</w:t>
      </w:r>
      <w:bookmarkEnd w:id="82"/>
    </w:p>
    <w:p w14:paraId="183C1229">
      <w:pPr>
        <w:pStyle w:val="5"/>
        <w:ind w:firstLine="400" w:firstLineChars="0"/>
        <w:rPr>
          <w:rFonts w:hint="eastAsia" w:ascii="微软雅黑" w:hAnsi="微软雅黑"/>
          <w:b w:val="0"/>
          <w:bCs w:val="0"/>
          <w:color w:val="auto"/>
          <w:szCs w:val="21"/>
          <w:highlight w:val="none"/>
        </w:rPr>
      </w:pPr>
      <w:bookmarkStart w:id="83" w:name="_Toc98019261"/>
      <w:r>
        <w:rPr>
          <w:rFonts w:hint="eastAsia" w:ascii="微软雅黑" w:hAnsi="微软雅黑"/>
          <w:b w:val="0"/>
          <w:bCs w:val="0"/>
          <w:color w:val="auto"/>
          <w:szCs w:val="21"/>
          <w:highlight w:val="none"/>
        </w:rPr>
        <w:t>宣布评标期间的有关事项；</w:t>
      </w:r>
      <w:bookmarkEnd w:id="83"/>
    </w:p>
    <w:p w14:paraId="1D3DC0F8">
      <w:pPr>
        <w:pStyle w:val="4"/>
        <w:numPr>
          <w:ilvl w:val="1"/>
          <w:numId w:val="10"/>
        </w:numPr>
        <w:spacing w:before="0" w:after="0" w:line="360" w:lineRule="auto"/>
        <w:ind w:firstLine="420" w:firstLineChars="200"/>
        <w:rPr>
          <w:color w:val="auto"/>
          <w:highlight w:val="none"/>
        </w:rPr>
      </w:pPr>
      <w:bookmarkStart w:id="84" w:name="_Toc98019262"/>
      <w:r>
        <w:rPr>
          <w:rFonts w:hint="eastAsia"/>
          <w:color w:val="auto"/>
          <w:highlight w:val="none"/>
        </w:rPr>
        <w:t>开标会议结束。</w:t>
      </w:r>
      <w:bookmarkEnd w:id="84"/>
    </w:p>
    <w:p w14:paraId="347BFAC7">
      <w:pPr>
        <w:pStyle w:val="3"/>
        <w:numPr>
          <w:ilvl w:val="0"/>
          <w:numId w:val="9"/>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85" w:name="_Toc5071"/>
      <w:bookmarkStart w:id="86" w:name="_Toc98019263"/>
      <w:r>
        <w:rPr>
          <w:rFonts w:hint="eastAsia" w:ascii="微软雅黑" w:hAnsi="微软雅黑" w:eastAsia="微软雅黑" w:cs="微软雅黑"/>
          <w:color w:val="auto"/>
          <w:sz w:val="21"/>
          <w:szCs w:val="21"/>
          <w:highlight w:val="none"/>
        </w:rPr>
        <w:t>评标</w:t>
      </w:r>
      <w:bookmarkEnd w:id="85"/>
      <w:bookmarkEnd w:id="86"/>
    </w:p>
    <w:p w14:paraId="2B925343">
      <w:pPr>
        <w:pStyle w:val="4"/>
        <w:numPr>
          <w:ilvl w:val="1"/>
          <w:numId w:val="10"/>
        </w:numPr>
        <w:spacing w:before="0" w:after="0" w:line="360" w:lineRule="auto"/>
        <w:ind w:firstLine="420" w:firstLineChars="200"/>
        <w:rPr>
          <w:color w:val="auto"/>
          <w:highlight w:val="none"/>
        </w:rPr>
      </w:pPr>
      <w:bookmarkStart w:id="87" w:name="_Toc98019264"/>
      <w:r>
        <w:rPr>
          <w:rFonts w:hint="eastAsia"/>
          <w:color w:val="auto"/>
          <w:highlight w:val="none"/>
        </w:rPr>
        <w:t>评标组织</w:t>
      </w:r>
      <w:bookmarkEnd w:id="87"/>
    </w:p>
    <w:p w14:paraId="0C8E8117">
      <w:pPr>
        <w:snapToGrid w:val="0"/>
        <w:spacing w:line="360" w:lineRule="auto"/>
        <w:ind w:firstLine="420" w:firstLineChars="200"/>
        <w:jc w:val="lef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本项目</w:t>
      </w:r>
      <w:r>
        <w:rPr>
          <w:rFonts w:hint="eastAsia" w:ascii="微软雅黑" w:hAnsi="微软雅黑" w:eastAsia="微软雅黑"/>
          <w:color w:val="auto"/>
          <w:szCs w:val="21"/>
          <w:highlight w:val="none"/>
        </w:rPr>
        <w:t>评审小组</w:t>
      </w:r>
      <w:r>
        <w:rPr>
          <w:rFonts w:ascii="微软雅黑" w:hAnsi="微软雅黑" w:eastAsia="微软雅黑"/>
          <w:color w:val="auto"/>
          <w:szCs w:val="21"/>
          <w:highlight w:val="none"/>
        </w:rPr>
        <w:t>评审</w:t>
      </w:r>
      <w:r>
        <w:rPr>
          <w:rFonts w:hint="eastAsia" w:ascii="微软雅黑" w:hAnsi="微软雅黑" w:eastAsia="微软雅黑"/>
          <w:color w:val="auto"/>
          <w:szCs w:val="21"/>
          <w:highlight w:val="none"/>
        </w:rPr>
        <w:t>专家4人，业主专家1人，共5人组成。</w:t>
      </w:r>
    </w:p>
    <w:p w14:paraId="5D74384F">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评标、决标全过程由有关部门监督。</w:t>
      </w:r>
    </w:p>
    <w:p w14:paraId="1725849C">
      <w:pPr>
        <w:pStyle w:val="4"/>
        <w:numPr>
          <w:ilvl w:val="1"/>
          <w:numId w:val="10"/>
        </w:numPr>
        <w:spacing w:before="0" w:after="0" w:line="360" w:lineRule="auto"/>
        <w:ind w:firstLine="420" w:firstLineChars="200"/>
        <w:rPr>
          <w:color w:val="auto"/>
          <w:highlight w:val="none"/>
        </w:rPr>
      </w:pPr>
      <w:bookmarkStart w:id="88" w:name="_Toc98019265"/>
      <w:r>
        <w:rPr>
          <w:rFonts w:hint="eastAsia"/>
          <w:color w:val="auto"/>
          <w:highlight w:val="none"/>
        </w:rPr>
        <w:t>评标的方式</w:t>
      </w:r>
      <w:bookmarkEnd w:id="88"/>
    </w:p>
    <w:p w14:paraId="637718FB">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072D1A71">
      <w:pPr>
        <w:pStyle w:val="62"/>
        <w:numPr>
          <w:ilvl w:val="1"/>
          <w:numId w:val="23"/>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0C62CF7D">
      <w:pPr>
        <w:pStyle w:val="62"/>
        <w:numPr>
          <w:ilvl w:val="1"/>
          <w:numId w:val="23"/>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本项目实行线下纸质投标叠加网上电子投标，招标系统会使本次网上电子投标成功或失败，本项目最终</w:t>
      </w:r>
      <w:r>
        <w:rPr>
          <w:rFonts w:hint="eastAsia" w:ascii="微软雅黑" w:hAnsi="微软雅黑" w:eastAsia="微软雅黑"/>
          <w:color w:val="auto"/>
          <w:szCs w:val="21"/>
          <w:highlight w:val="none"/>
          <w:lang w:eastAsia="zh-CN"/>
        </w:rPr>
        <w:t>将</w:t>
      </w:r>
      <w:r>
        <w:rPr>
          <w:rFonts w:hint="eastAsia" w:ascii="微软雅黑" w:hAnsi="微软雅黑" w:eastAsia="微软雅黑"/>
          <w:color w:val="auto"/>
          <w:szCs w:val="21"/>
          <w:highlight w:val="none"/>
        </w:rPr>
        <w:t>以线下纸质投标文件为准。</w:t>
      </w:r>
    </w:p>
    <w:p w14:paraId="347A54CE">
      <w:pPr>
        <w:snapToGrid w:val="0"/>
        <w:spacing w:line="360" w:lineRule="auto"/>
        <w:ind w:firstLine="420" w:firstLineChars="200"/>
        <w:jc w:val="left"/>
        <w:rPr>
          <w:rFonts w:hint="eastAsia" w:ascii="微软雅黑" w:hAnsi="微软雅黑" w:eastAsia="微软雅黑"/>
          <w:color w:val="auto"/>
          <w:szCs w:val="21"/>
          <w:highlight w:val="none"/>
        </w:rPr>
      </w:pPr>
    </w:p>
    <w:p w14:paraId="05C28C88">
      <w:pPr>
        <w:pStyle w:val="4"/>
        <w:numPr>
          <w:ilvl w:val="1"/>
          <w:numId w:val="10"/>
        </w:numPr>
        <w:spacing w:before="0" w:after="0" w:line="360" w:lineRule="auto"/>
        <w:ind w:firstLine="420" w:firstLineChars="200"/>
        <w:rPr>
          <w:color w:val="auto"/>
          <w:highlight w:val="none"/>
        </w:rPr>
      </w:pPr>
      <w:bookmarkStart w:id="89" w:name="_Toc98019266"/>
      <w:r>
        <w:rPr>
          <w:rFonts w:hint="eastAsia"/>
          <w:color w:val="auto"/>
          <w:highlight w:val="none"/>
        </w:rPr>
        <w:t>评标程序</w:t>
      </w:r>
      <w:bookmarkEnd w:id="89"/>
    </w:p>
    <w:p w14:paraId="44985FDF">
      <w:pPr>
        <w:pStyle w:val="5"/>
        <w:ind w:firstLine="400" w:firstLineChars="0"/>
        <w:rPr>
          <w:rFonts w:hint="eastAsia"/>
          <w:color w:val="auto"/>
          <w:highlight w:val="none"/>
        </w:rPr>
      </w:pPr>
      <w:bookmarkStart w:id="90" w:name="_Toc98019267"/>
      <w:r>
        <w:rPr>
          <w:rFonts w:hint="eastAsia"/>
          <w:color w:val="auto"/>
          <w:highlight w:val="none"/>
        </w:rPr>
        <w:t>形式审查</w:t>
      </w:r>
      <w:bookmarkEnd w:id="90"/>
    </w:p>
    <w:p w14:paraId="01C2658D">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评标委员会将审查投标文件是否真实、完整,总体编排是否有序,文件签署是否正确等。</w:t>
      </w:r>
    </w:p>
    <w:p w14:paraId="564BDDAA">
      <w:pPr>
        <w:pStyle w:val="5"/>
        <w:ind w:firstLine="400" w:firstLineChars="0"/>
        <w:rPr>
          <w:rFonts w:hint="eastAsia"/>
          <w:color w:val="auto"/>
          <w:highlight w:val="none"/>
        </w:rPr>
      </w:pPr>
      <w:bookmarkStart w:id="91" w:name="_Toc98019268"/>
      <w:r>
        <w:rPr>
          <w:rFonts w:hint="eastAsia"/>
          <w:color w:val="auto"/>
          <w:highlight w:val="none"/>
        </w:rPr>
        <w:t>实质审查与比较</w:t>
      </w:r>
      <w:bookmarkEnd w:id="91"/>
    </w:p>
    <w:p w14:paraId="0B795A8B">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评标委员会审查投标文件的实质性内容是否符合招标文件的实质性要求。</w:t>
      </w:r>
    </w:p>
    <w:p w14:paraId="1D4C9A79">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评标委员会将根据投标人的投标文件的资信进行审查、核对,如有疑问,将对投标人进行询标,投标人要向评标委员会澄清有关问题,并最终以书面形式进行答复。 </w:t>
      </w:r>
    </w:p>
    <w:p w14:paraId="263EB11A">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评标委员会将根据投标人的投标文件进行详细审查、核对,如有疑问,将对投标人进行询标,投标人要向评标委员会澄清有关问题,并最终以书面形式进行答复。</w:t>
      </w:r>
    </w:p>
    <w:p w14:paraId="2FD50462">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评标委员会将根据投标人的报价,计算各投标人的报价最终得分。</w:t>
      </w:r>
    </w:p>
    <w:p w14:paraId="12AE3C8D">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评标委员会完成评标后,评委对各部分得分汇总,得出本项目最终得分,评标委员会按评标原则确定中标人同时起草评标报告。</w:t>
      </w:r>
    </w:p>
    <w:p w14:paraId="70A05714">
      <w:pPr>
        <w:pStyle w:val="5"/>
        <w:ind w:firstLine="400" w:firstLineChars="0"/>
        <w:rPr>
          <w:rFonts w:hint="eastAsia"/>
          <w:color w:val="auto"/>
          <w:highlight w:val="none"/>
        </w:rPr>
      </w:pPr>
      <w:bookmarkStart w:id="92" w:name="_Toc98019269"/>
      <w:r>
        <w:rPr>
          <w:rFonts w:hint="eastAsia"/>
          <w:color w:val="auto"/>
          <w:highlight w:val="none"/>
        </w:rPr>
        <w:t>澄清问题的形式</w:t>
      </w:r>
      <w:bookmarkEnd w:id="92"/>
    </w:p>
    <w:p w14:paraId="2E8F912B">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7712EE0C">
      <w:pPr>
        <w:pStyle w:val="5"/>
        <w:ind w:firstLine="400" w:firstLineChars="0"/>
        <w:rPr>
          <w:rFonts w:hint="eastAsia"/>
          <w:color w:val="auto"/>
          <w:highlight w:val="none"/>
        </w:rPr>
      </w:pPr>
      <w:bookmarkStart w:id="93" w:name="_Toc98019270"/>
      <w:r>
        <w:rPr>
          <w:rFonts w:hint="eastAsia"/>
          <w:color w:val="auto"/>
          <w:highlight w:val="none"/>
        </w:rPr>
        <w:t>评标过程的保密性</w:t>
      </w:r>
      <w:bookmarkEnd w:id="93"/>
    </w:p>
    <w:p w14:paraId="5D92E415">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287D5226">
      <w:pPr>
        <w:pStyle w:val="5"/>
        <w:ind w:firstLine="400" w:firstLineChars="0"/>
        <w:rPr>
          <w:rFonts w:hint="eastAsia"/>
          <w:color w:val="auto"/>
          <w:highlight w:val="none"/>
        </w:rPr>
      </w:pPr>
      <w:bookmarkStart w:id="94" w:name="_Toc98019271"/>
      <w:r>
        <w:rPr>
          <w:rFonts w:hint="eastAsia"/>
          <w:color w:val="auto"/>
          <w:highlight w:val="none"/>
        </w:rPr>
        <w:t>评标原则和评标办法</w:t>
      </w:r>
      <w:bookmarkEnd w:id="94"/>
    </w:p>
    <w:p w14:paraId="1F80D11D">
      <w:pPr>
        <w:numPr>
          <w:ilvl w:val="0"/>
          <w:numId w:val="2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57B8D01C">
      <w:pPr>
        <w:numPr>
          <w:ilvl w:val="0"/>
          <w:numId w:val="2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评标办法：本项目的具体评标办法详见第四章的《评标办法》。</w:t>
      </w:r>
    </w:p>
    <w:p w14:paraId="1299411F">
      <w:pPr>
        <w:pStyle w:val="5"/>
        <w:ind w:firstLine="420"/>
        <w:rPr>
          <w:rFonts w:hint="eastAsia"/>
          <w:color w:val="auto"/>
          <w:highlight w:val="none"/>
        </w:rPr>
      </w:pPr>
      <w:bookmarkStart w:id="95" w:name="_Toc98019272"/>
      <w:r>
        <w:rPr>
          <w:rFonts w:hint="eastAsia"/>
          <w:color w:val="auto"/>
          <w:highlight w:val="none"/>
        </w:rPr>
        <w:t>评标过程的监控</w:t>
      </w:r>
      <w:bookmarkEnd w:id="95"/>
    </w:p>
    <w:p w14:paraId="2A178D37">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本项目评标过程实行全程录音、录像监控，投标人在评标过程中所进行的试图影响评标结果的不公正活动，可能导致其投标被拒绝。</w:t>
      </w:r>
    </w:p>
    <w:p w14:paraId="22B40D03">
      <w:pPr>
        <w:pStyle w:val="3"/>
        <w:numPr>
          <w:ilvl w:val="0"/>
          <w:numId w:val="9"/>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96" w:name="_Toc18132"/>
      <w:bookmarkStart w:id="97" w:name="_Toc98019273"/>
      <w:r>
        <w:rPr>
          <w:rFonts w:hint="eastAsia" w:ascii="微软雅黑" w:hAnsi="微软雅黑" w:eastAsia="微软雅黑" w:cs="微软雅黑"/>
          <w:color w:val="auto"/>
          <w:sz w:val="21"/>
          <w:szCs w:val="21"/>
          <w:highlight w:val="none"/>
        </w:rPr>
        <w:t>定标</w:t>
      </w:r>
      <w:bookmarkEnd w:id="96"/>
      <w:bookmarkEnd w:id="97"/>
    </w:p>
    <w:p w14:paraId="0A053A6D">
      <w:pPr>
        <w:pStyle w:val="4"/>
        <w:numPr>
          <w:ilvl w:val="1"/>
          <w:numId w:val="10"/>
        </w:numPr>
        <w:spacing w:before="0" w:after="0" w:line="360" w:lineRule="auto"/>
        <w:ind w:firstLine="420" w:firstLineChars="200"/>
        <w:rPr>
          <w:color w:val="auto"/>
          <w:highlight w:val="none"/>
        </w:rPr>
      </w:pPr>
      <w:bookmarkStart w:id="98" w:name="_Toc98019274"/>
      <w:r>
        <w:rPr>
          <w:rFonts w:hint="eastAsia"/>
          <w:color w:val="auto"/>
          <w:highlight w:val="none"/>
        </w:rPr>
        <w:t>确定中标人。本项目由评标委员会确定中标人。</w:t>
      </w:r>
      <w:bookmarkEnd w:id="98"/>
    </w:p>
    <w:p w14:paraId="51E5B64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1、招标代理机构在评标结束后2个工作日内将评标结果告知存款单位，同时在发布招标公告的网站上对评标结果进行公告。</w:t>
      </w:r>
    </w:p>
    <w:p w14:paraId="7DAEE18F">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2、如有投标人对评标结果提出质疑的，招标人可在质疑处理完毕后确定中标人。</w:t>
      </w:r>
    </w:p>
    <w:p w14:paraId="71C4BF36">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公示期3个工作日，公示期后2个工作日内招标代理机构以书面形式发出《中标通知书》</w:t>
      </w:r>
      <w:r>
        <w:rPr>
          <w:rFonts w:hint="eastAsia" w:ascii="微软雅黑" w:hAnsi="微软雅黑" w:eastAsia="微软雅黑"/>
          <w:color w:val="auto"/>
          <w:szCs w:val="21"/>
          <w:highlight w:val="none"/>
        </w:rPr>
        <w:t>。</w:t>
      </w:r>
      <w:bookmarkStart w:id="99" w:name="_Toc98019275"/>
      <w:bookmarkStart w:id="100" w:name="_Toc7898"/>
    </w:p>
    <w:p w14:paraId="2B30E354">
      <w:pPr>
        <w:pStyle w:val="3"/>
        <w:numPr>
          <w:ilvl w:val="0"/>
          <w:numId w:val="9"/>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合同授予</w:t>
      </w:r>
      <w:bookmarkEnd w:id="99"/>
      <w:bookmarkEnd w:id="100"/>
    </w:p>
    <w:p w14:paraId="15AEB4B6">
      <w:pPr>
        <w:ind w:firstLine="424" w:firstLineChars="202"/>
        <w:rPr>
          <w:rFonts w:hint="eastAsia" w:ascii="微软雅黑" w:hAnsi="微软雅黑" w:eastAsia="微软雅黑"/>
          <w:color w:val="auto"/>
          <w:highlight w:val="none"/>
        </w:rPr>
      </w:pPr>
      <w:bookmarkStart w:id="101" w:name="_Toc98019276"/>
      <w:r>
        <w:rPr>
          <w:rFonts w:hint="eastAsia" w:ascii="微软雅黑" w:hAnsi="微软雅黑" w:eastAsia="微软雅黑"/>
          <w:color w:val="auto"/>
          <w:highlight w:val="none"/>
        </w:rPr>
        <w:t>存款单位与中标人应当在《中标通知书》发出之日起30日内签订存款合同。同时，招标代理机构对合同内容进行审查，如发现与采购结果和投标承诺内容不一致的，应予以纠正。</w:t>
      </w:r>
      <w:bookmarkEnd w:id="101"/>
    </w:p>
    <w:p w14:paraId="2E049CA4">
      <w:pPr>
        <w:ind w:firstLine="424" w:firstLineChars="202"/>
        <w:rPr>
          <w:rFonts w:hint="eastAsia" w:ascii="微软雅黑" w:hAnsi="微软雅黑" w:eastAsia="微软雅黑"/>
          <w:color w:val="auto"/>
          <w:highlight w:val="none"/>
        </w:rPr>
      </w:pPr>
      <w:bookmarkStart w:id="102" w:name="_Toc98019277"/>
      <w:r>
        <w:rPr>
          <w:rFonts w:hint="eastAsia" w:ascii="微软雅黑" w:hAnsi="微软雅黑" w:eastAsia="微软雅黑"/>
          <w:color w:val="auto"/>
          <w:highlight w:val="none"/>
        </w:rPr>
        <w:t>中标人拖延、拒签合同的,将被取消中标资格。</w:t>
      </w:r>
      <w:bookmarkEnd w:id="102"/>
    </w:p>
    <w:p w14:paraId="0AE8A574">
      <w:pPr>
        <w:pStyle w:val="3"/>
        <w:numPr>
          <w:ilvl w:val="0"/>
          <w:numId w:val="9"/>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103" w:name="_Toc371"/>
      <w:bookmarkStart w:id="104" w:name="_Toc98019278"/>
      <w:r>
        <w:rPr>
          <w:rFonts w:hint="eastAsia" w:ascii="微软雅黑" w:hAnsi="微软雅黑" w:eastAsia="微软雅黑" w:cs="微软雅黑"/>
          <w:color w:val="auto"/>
          <w:sz w:val="21"/>
          <w:szCs w:val="21"/>
          <w:highlight w:val="none"/>
        </w:rPr>
        <w:t>招标代理服务费</w:t>
      </w:r>
      <w:bookmarkEnd w:id="103"/>
      <w:bookmarkEnd w:id="104"/>
    </w:p>
    <w:p w14:paraId="5C847A94">
      <w:pPr>
        <w:ind w:firstLine="424" w:firstLineChars="202"/>
        <w:rPr>
          <w:rFonts w:hint="eastAsia" w:ascii="微软雅黑" w:hAnsi="微软雅黑" w:eastAsia="微软雅黑"/>
          <w:color w:val="auto"/>
          <w:highlight w:val="none"/>
        </w:rPr>
      </w:pPr>
      <w:bookmarkStart w:id="105" w:name="_Toc98019279"/>
      <w:bookmarkStart w:id="106" w:name="_Toc8149"/>
      <w:r>
        <w:rPr>
          <w:rFonts w:hint="eastAsia" w:ascii="微软雅黑" w:hAnsi="微软雅黑" w:eastAsia="微软雅黑"/>
          <w:color w:val="auto"/>
          <w:highlight w:val="none"/>
        </w:rPr>
        <w:t>根据“国家发展和改革委员会办公厅《关于招标代理服务收费有关问题的通知》（发改办价格【2003】857号）”规定，招标代理机构向中标人收取招标代理服务费。</w:t>
      </w:r>
      <w:bookmarkEnd w:id="105"/>
      <w:bookmarkEnd w:id="106"/>
    </w:p>
    <w:p w14:paraId="518F56A7">
      <w:pPr>
        <w:ind w:firstLine="424" w:firstLineChars="202"/>
        <w:rPr>
          <w:rFonts w:hint="eastAsia" w:ascii="微软雅黑" w:hAnsi="微软雅黑" w:eastAsia="微软雅黑"/>
          <w:color w:val="auto"/>
          <w:highlight w:val="none"/>
        </w:rPr>
      </w:pPr>
      <w:bookmarkStart w:id="107" w:name="_Toc8091"/>
      <w:bookmarkStart w:id="108" w:name="_Toc98019280"/>
      <w:r>
        <w:rPr>
          <w:rFonts w:hint="eastAsia" w:ascii="微软雅黑" w:hAnsi="微软雅黑" w:eastAsia="微软雅黑"/>
          <w:color w:val="auto"/>
          <w:highlight w:val="none"/>
        </w:rPr>
        <w:t>中标人应在收取《中标通知书》时向采购代理机构交纳招标代理服务费，服务费的收费标准（按</w:t>
      </w:r>
      <w:r>
        <w:rPr>
          <w:rFonts w:hint="eastAsia" w:ascii="微软雅黑" w:hAnsi="微软雅黑" w:eastAsia="微软雅黑"/>
          <w:color w:val="auto"/>
          <w:highlight w:val="none"/>
          <w:lang w:val="en-US" w:eastAsia="zh-CN"/>
        </w:rPr>
        <w:t>5</w:t>
      </w:r>
      <w:r>
        <w:rPr>
          <w:rFonts w:hint="eastAsia" w:ascii="微软雅黑" w:hAnsi="微软雅黑" w:eastAsia="微软雅黑"/>
          <w:color w:val="auto"/>
          <w:highlight w:val="none"/>
        </w:rPr>
        <w:t>000元收取）。</w:t>
      </w:r>
      <w:bookmarkEnd w:id="107"/>
      <w:bookmarkEnd w:id="108"/>
    </w:p>
    <w:p w14:paraId="395EAC21">
      <w:pPr>
        <w:ind w:firstLine="424" w:firstLineChars="202"/>
        <w:rPr>
          <w:rFonts w:hint="eastAsia" w:ascii="微软雅黑" w:hAnsi="微软雅黑" w:eastAsia="微软雅黑"/>
          <w:color w:val="auto"/>
          <w:highlight w:val="none"/>
        </w:rPr>
      </w:pPr>
      <w:bookmarkStart w:id="109" w:name="_Toc18235"/>
      <w:bookmarkStart w:id="110" w:name="_Toc98019281"/>
      <w:r>
        <w:rPr>
          <w:rFonts w:hint="eastAsia" w:ascii="微软雅黑" w:hAnsi="微软雅黑" w:eastAsia="微软雅黑"/>
          <w:color w:val="auto"/>
          <w:highlight w:val="none"/>
        </w:rPr>
        <w:t>服务费的货币为人民币。</w:t>
      </w:r>
      <w:bookmarkEnd w:id="109"/>
      <w:bookmarkEnd w:id="110"/>
    </w:p>
    <w:p w14:paraId="17BF52DD">
      <w:pPr>
        <w:ind w:firstLine="424" w:firstLineChars="202"/>
        <w:rPr>
          <w:rFonts w:hint="eastAsia" w:ascii="微软雅黑" w:hAnsi="微软雅黑" w:eastAsia="微软雅黑"/>
          <w:color w:val="auto"/>
          <w:highlight w:val="none"/>
        </w:rPr>
      </w:pPr>
      <w:bookmarkStart w:id="111" w:name="_Toc29813"/>
      <w:bookmarkStart w:id="112" w:name="_Toc98019282"/>
      <w:r>
        <w:rPr>
          <w:rFonts w:hint="eastAsia" w:ascii="微软雅黑" w:hAnsi="微软雅黑" w:eastAsia="微软雅黑"/>
          <w:color w:val="auto"/>
          <w:highlight w:val="none"/>
        </w:rPr>
        <w:t>服务费支付方式：一次性以银行划账、电汇、汇票或支票的形式支付。</w:t>
      </w:r>
      <w:bookmarkEnd w:id="111"/>
      <w:bookmarkEnd w:id="112"/>
    </w:p>
    <w:p w14:paraId="4000AB2B">
      <w:pPr>
        <w:ind w:firstLine="424" w:firstLineChars="202"/>
        <w:rPr>
          <w:rFonts w:hint="eastAsia" w:ascii="微软雅黑" w:hAnsi="微软雅黑" w:eastAsia="微软雅黑"/>
          <w:color w:val="auto"/>
          <w:highlight w:val="none"/>
        </w:rPr>
      </w:pPr>
      <w:bookmarkStart w:id="113" w:name="_Toc98019283"/>
      <w:bookmarkStart w:id="114" w:name="_Toc30115"/>
      <w:r>
        <w:rPr>
          <w:rFonts w:hint="eastAsia" w:ascii="微软雅黑" w:hAnsi="微软雅黑" w:eastAsia="微软雅黑"/>
          <w:color w:val="auto"/>
          <w:highlight w:val="none"/>
        </w:rPr>
        <w:t>服务费以银行划账方式按下列要求提交：</w:t>
      </w:r>
      <w:bookmarkEnd w:id="113"/>
      <w:bookmarkEnd w:id="114"/>
    </w:p>
    <w:p w14:paraId="248386C2">
      <w:pPr>
        <w:ind w:firstLine="424" w:firstLineChars="202"/>
        <w:rPr>
          <w:rFonts w:hint="eastAsia" w:ascii="微软雅黑" w:hAnsi="微软雅黑" w:eastAsia="微软雅黑"/>
          <w:color w:val="auto"/>
          <w:highlight w:val="none"/>
        </w:rPr>
      </w:pPr>
      <w:r>
        <w:rPr>
          <w:rFonts w:hint="eastAsia" w:ascii="微软雅黑" w:hAnsi="微软雅黑" w:eastAsia="微软雅黑"/>
          <w:color w:val="auto"/>
          <w:highlight w:val="none"/>
        </w:rPr>
        <w:t>收款人：嘉兴市千秋工程咨询有限公司</w:t>
      </w:r>
    </w:p>
    <w:p w14:paraId="4F83EB39">
      <w:pPr>
        <w:ind w:firstLine="424" w:firstLineChars="202"/>
        <w:rPr>
          <w:rFonts w:hint="eastAsia" w:ascii="微软雅黑" w:hAnsi="微软雅黑" w:eastAsia="微软雅黑"/>
          <w:color w:val="auto"/>
          <w:highlight w:val="none"/>
        </w:rPr>
      </w:pPr>
      <w:r>
        <w:rPr>
          <w:rFonts w:hint="eastAsia" w:ascii="微软雅黑" w:hAnsi="微软雅黑" w:eastAsia="微软雅黑"/>
          <w:color w:val="auto"/>
          <w:highlight w:val="none"/>
        </w:rPr>
        <w:t>户名：嘉兴市千秋工程咨询有限公司</w:t>
      </w:r>
    </w:p>
    <w:p w14:paraId="12D7CF58">
      <w:pPr>
        <w:ind w:firstLine="424" w:firstLineChars="202"/>
        <w:rPr>
          <w:rFonts w:hint="eastAsia" w:ascii="微软雅黑" w:hAnsi="微软雅黑" w:eastAsia="微软雅黑"/>
          <w:color w:val="auto"/>
          <w:highlight w:val="none"/>
        </w:rPr>
      </w:pPr>
      <w:r>
        <w:rPr>
          <w:rFonts w:hint="eastAsia" w:ascii="微软雅黑" w:hAnsi="微软雅黑" w:eastAsia="微软雅黑"/>
          <w:color w:val="auto"/>
          <w:highlight w:val="none"/>
        </w:rPr>
        <w:t>开户银行：交通银行嘉兴分行</w:t>
      </w:r>
    </w:p>
    <w:p w14:paraId="21FCADD5">
      <w:pPr>
        <w:ind w:firstLine="424" w:firstLineChars="202"/>
        <w:rPr>
          <w:rFonts w:hint="eastAsia" w:ascii="微软雅黑" w:hAnsi="微软雅黑" w:eastAsia="微软雅黑"/>
          <w:color w:val="auto"/>
          <w:highlight w:val="none"/>
        </w:rPr>
      </w:pPr>
      <w:r>
        <w:rPr>
          <w:rFonts w:hint="eastAsia" w:ascii="微软雅黑" w:hAnsi="微软雅黑" w:eastAsia="微软雅黑"/>
          <w:color w:val="auto"/>
          <w:highlight w:val="none"/>
        </w:rPr>
        <w:t>账号：334601000018170160050</w:t>
      </w:r>
    </w:p>
    <w:p w14:paraId="3EB4DCB8">
      <w:pPr>
        <w:ind w:firstLine="424" w:firstLineChars="202"/>
        <w:rPr>
          <w:rFonts w:hint="eastAsia" w:ascii="微软雅黑" w:hAnsi="微软雅黑" w:eastAsia="微软雅黑"/>
          <w:color w:val="auto"/>
          <w:highlight w:val="none"/>
        </w:rPr>
      </w:pPr>
      <w:bookmarkStart w:id="115" w:name="_Toc98019285"/>
      <w:bookmarkStart w:id="116" w:name="_Toc15919"/>
      <w:r>
        <w:rPr>
          <w:rFonts w:hint="eastAsia" w:ascii="微软雅黑" w:hAnsi="微软雅黑" w:eastAsia="微软雅黑"/>
          <w:color w:val="auto"/>
          <w:highlight w:val="none"/>
        </w:rPr>
        <w:t>服务费不在投标报价中单列。</w:t>
      </w:r>
      <w:bookmarkEnd w:id="115"/>
      <w:bookmarkEnd w:id="116"/>
    </w:p>
    <w:p w14:paraId="673198A7">
      <w:pPr>
        <w:pStyle w:val="36"/>
        <w:numPr>
          <w:ilvl w:val="0"/>
          <w:numId w:val="3"/>
        </w:numPr>
        <w:rPr>
          <w:color w:val="auto"/>
          <w:highlight w:val="none"/>
        </w:rPr>
        <w:sectPr>
          <w:pgSz w:w="11907" w:h="16840"/>
          <w:pgMar w:top="1440" w:right="1797" w:bottom="1440" w:left="1797" w:header="851" w:footer="851" w:gutter="0"/>
          <w:cols w:space="425" w:num="1"/>
          <w:titlePg/>
          <w:docGrid w:type="lines" w:linePitch="312" w:charSpace="0"/>
        </w:sectPr>
      </w:pPr>
      <w:bookmarkStart w:id="117" w:name="_Toc11650185"/>
      <w:bookmarkStart w:id="118" w:name="_Toc9342495"/>
    </w:p>
    <w:p w14:paraId="7B128D7D">
      <w:pPr>
        <w:pStyle w:val="36"/>
        <w:numPr>
          <w:ilvl w:val="0"/>
          <w:numId w:val="3"/>
        </w:numPr>
        <w:rPr>
          <w:color w:val="auto"/>
          <w:highlight w:val="none"/>
        </w:rPr>
      </w:pPr>
      <w:bookmarkStart w:id="119" w:name="_Toc98019286"/>
      <w:r>
        <w:rPr>
          <w:rFonts w:hint="eastAsia"/>
          <w:color w:val="auto"/>
          <w:highlight w:val="none"/>
        </w:rPr>
        <w:t>评标办法及评分标准</w:t>
      </w:r>
      <w:bookmarkEnd w:id="117"/>
      <w:bookmarkEnd w:id="118"/>
      <w:bookmarkEnd w:id="119"/>
    </w:p>
    <w:p w14:paraId="7135C6A6">
      <w:pPr>
        <w:pStyle w:val="5"/>
        <w:numPr>
          <w:ilvl w:val="0"/>
          <w:numId w:val="26"/>
        </w:numPr>
        <w:ind w:firstLineChars="0"/>
        <w:rPr>
          <w:rFonts w:hint="eastAsia"/>
          <w:color w:val="auto"/>
          <w:highlight w:val="none"/>
        </w:rPr>
      </w:pPr>
      <w:bookmarkStart w:id="120" w:name="_Toc98019287"/>
      <w:bookmarkStart w:id="121" w:name="_Toc98019294"/>
      <w:bookmarkStart w:id="122" w:name="_Toc9342496"/>
      <w:bookmarkStart w:id="123" w:name="_Toc11650186"/>
      <w:r>
        <w:rPr>
          <w:rFonts w:hint="eastAsia"/>
          <w:color w:val="auto"/>
          <w:highlight w:val="none"/>
        </w:rPr>
        <w:t>总则</w:t>
      </w:r>
      <w:bookmarkEnd w:id="120"/>
    </w:p>
    <w:p w14:paraId="47C9B4F7">
      <w:pPr>
        <w:adjustRightInd w:val="0"/>
        <w:snapToGrid w:val="0"/>
        <w:spacing w:line="580" w:lineRule="exact"/>
        <w:ind w:firstLine="420" w:firstLineChars="200"/>
        <w:rPr>
          <w:rFonts w:hint="eastAsia" w:ascii="微软雅黑" w:hAnsi="微软雅黑" w:eastAsia="微软雅黑" w:cs="Times New Roman"/>
          <w:color w:val="auto"/>
          <w:sz w:val="21"/>
          <w:szCs w:val="21"/>
          <w:highlight w:val="none"/>
        </w:rPr>
      </w:pPr>
      <w:bookmarkStart w:id="124" w:name="_Toc170792813"/>
      <w:r>
        <w:rPr>
          <w:rFonts w:hint="eastAsia" w:ascii="微软雅黑" w:hAnsi="微软雅黑" w:eastAsia="微软雅黑" w:cs="Times New Roman"/>
          <w:color w:val="auto"/>
          <w:sz w:val="21"/>
          <w:szCs w:val="21"/>
          <w:highlight w:val="none"/>
        </w:rPr>
        <w:t>本次评标采用综合评分法，共分为四大项，分别为利率水平10分、经营状况指标</w:t>
      </w:r>
      <w:r>
        <w:rPr>
          <w:rFonts w:hint="eastAsia" w:ascii="微软雅黑" w:hAnsi="微软雅黑" w:eastAsia="微软雅黑" w:cs="Times New Roman"/>
          <w:color w:val="auto"/>
          <w:sz w:val="21"/>
          <w:szCs w:val="21"/>
          <w:highlight w:val="none"/>
          <w:lang w:val="en-US" w:eastAsia="zh-CN"/>
        </w:rPr>
        <w:t>35</w:t>
      </w:r>
      <w:r>
        <w:rPr>
          <w:rFonts w:hint="eastAsia" w:ascii="微软雅黑" w:hAnsi="微软雅黑" w:eastAsia="微软雅黑" w:cs="Times New Roman"/>
          <w:color w:val="auto"/>
          <w:sz w:val="21"/>
          <w:szCs w:val="21"/>
          <w:highlight w:val="none"/>
        </w:rPr>
        <w:t>分、经济贡献度指标25分、服务质量</w:t>
      </w:r>
      <w:r>
        <w:rPr>
          <w:rFonts w:hint="eastAsia" w:ascii="微软雅黑" w:hAnsi="微软雅黑" w:eastAsia="微软雅黑" w:cs="Times New Roman"/>
          <w:color w:val="auto"/>
          <w:sz w:val="21"/>
          <w:szCs w:val="21"/>
          <w:highlight w:val="none"/>
          <w:lang w:val="en-US" w:eastAsia="zh-CN"/>
        </w:rPr>
        <w:t>30</w:t>
      </w:r>
      <w:r>
        <w:rPr>
          <w:rFonts w:hint="eastAsia" w:ascii="微软雅黑" w:hAnsi="微软雅黑" w:eastAsia="微软雅黑" w:cs="Times New Roman"/>
          <w:color w:val="auto"/>
          <w:sz w:val="21"/>
          <w:szCs w:val="21"/>
          <w:highlight w:val="none"/>
        </w:rPr>
        <w:t>分，中标候选资格按评标得分由高到低顺序排列。投标银按评标得分由高到低排序。得分相同的，按利率水平指标由高到低排序；得分和利率水平指标均相同的，按经营状况指标得分由高到低排序；得分和利率水平指标和经营状况指标均相同的，按经济贡献度指标得分由高到低排序；得分和利率水平指标和经营状况指标和经济贡献度指标得分均相同的，按服务质量项目指标得分由高到低排序。以上均相同的则由现场专家组抽签决定先后排序。</w:t>
      </w:r>
    </w:p>
    <w:bookmarkEnd w:id="124"/>
    <w:p w14:paraId="781843D3">
      <w:pPr>
        <w:pStyle w:val="5"/>
        <w:numPr>
          <w:ilvl w:val="0"/>
          <w:numId w:val="26"/>
        </w:numPr>
        <w:ind w:firstLineChars="0"/>
        <w:rPr>
          <w:rFonts w:hint="eastAsia"/>
          <w:color w:val="auto"/>
          <w:highlight w:val="none"/>
        </w:rPr>
      </w:pPr>
      <w:bookmarkStart w:id="125" w:name="_Toc98019288"/>
      <w:r>
        <w:rPr>
          <w:rFonts w:hint="eastAsia"/>
          <w:color w:val="auto"/>
          <w:highlight w:val="none"/>
        </w:rPr>
        <w:t>评分内容和标准</w:t>
      </w:r>
      <w:bookmarkEnd w:id="125"/>
    </w:p>
    <w:p w14:paraId="53975B52">
      <w:pPr>
        <w:pStyle w:val="4"/>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存款利率报价（10分）。</w:t>
      </w:r>
    </w:p>
    <w:p w14:paraId="40484289">
      <w:pPr>
        <w:adjustRightInd w:val="0"/>
        <w:snapToGrid w:val="0"/>
        <w:spacing w:line="580" w:lineRule="exact"/>
        <w:ind w:firstLine="420" w:firstLineChars="200"/>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kern w:val="0"/>
          <w:sz w:val="21"/>
          <w:szCs w:val="21"/>
          <w:highlight w:val="none"/>
          <w:lang w:val="en-US" w:eastAsia="zh-CN"/>
        </w:rPr>
        <w:t>本次招标按社保活期存款利率报价（</w:t>
      </w:r>
      <w:r>
        <w:rPr>
          <w:rFonts w:hint="eastAsia" w:ascii="微软雅黑" w:hAnsi="微软雅黑" w:eastAsia="微软雅黑" w:cs="微软雅黑"/>
          <w:color w:val="auto"/>
          <w:kern w:val="0"/>
          <w:sz w:val="21"/>
          <w:szCs w:val="21"/>
          <w:highlight w:val="none"/>
        </w:rPr>
        <w:t>以央行公布的三个月整存整取基准利率为基准，</w:t>
      </w:r>
      <w:r>
        <w:rPr>
          <w:rFonts w:hint="eastAsia" w:ascii="微软雅黑" w:hAnsi="微软雅黑" w:eastAsia="微软雅黑" w:cs="微软雅黑"/>
          <w:color w:val="auto"/>
          <w:kern w:val="0"/>
          <w:sz w:val="21"/>
          <w:szCs w:val="21"/>
          <w:highlight w:val="none"/>
          <w:lang w:val="en-US" w:eastAsia="zh-CN"/>
        </w:rPr>
        <w:t>且需遵守“浙江省市场利率定价自律机制”有关规定）。</w:t>
      </w:r>
      <w:r>
        <w:rPr>
          <w:rFonts w:hint="eastAsia" w:ascii="微软雅黑" w:hAnsi="微软雅黑" w:eastAsia="微软雅黑" w:cs="微软雅黑"/>
          <w:color w:val="auto"/>
          <w:sz w:val="21"/>
          <w:szCs w:val="21"/>
          <w:highlight w:val="none"/>
        </w:rPr>
        <w:t>有效</w:t>
      </w:r>
      <w:r>
        <w:rPr>
          <w:rFonts w:hint="eastAsia" w:ascii="微软雅黑" w:hAnsi="微软雅黑" w:eastAsia="微软雅黑" w:cs="微软雅黑"/>
          <w:color w:val="auto"/>
          <w:sz w:val="21"/>
          <w:szCs w:val="21"/>
          <w:highlight w:val="none"/>
          <w:lang w:val="en-US" w:eastAsia="zh-CN"/>
        </w:rPr>
        <w:t>竞</w:t>
      </w:r>
      <w:r>
        <w:rPr>
          <w:rFonts w:hint="eastAsia" w:ascii="微软雅黑" w:hAnsi="微软雅黑" w:eastAsia="微软雅黑" w:cs="微软雅黑"/>
          <w:color w:val="auto"/>
          <w:sz w:val="21"/>
          <w:szCs w:val="21"/>
          <w:highlight w:val="none"/>
        </w:rPr>
        <w:t>标银行承诺的利率上浮基点（BP）数最高的得满分；上浮基点（BP）数每下降10个基点（BP）扣</w:t>
      </w:r>
      <w:r>
        <w:rPr>
          <w:rFonts w:hint="eastAsia" w:ascii="微软雅黑" w:hAnsi="微软雅黑" w:eastAsia="微软雅黑" w:cs="微软雅黑"/>
          <w:color w:val="auto"/>
          <w:sz w:val="21"/>
          <w:szCs w:val="21"/>
          <w:highlight w:val="none"/>
          <w:lang w:val="en-US" w:eastAsia="zh-CN"/>
        </w:rPr>
        <w:t>0.3</w:t>
      </w:r>
      <w:r>
        <w:rPr>
          <w:rFonts w:hint="eastAsia" w:ascii="微软雅黑" w:hAnsi="微软雅黑" w:eastAsia="微软雅黑" w:cs="微软雅黑"/>
          <w:color w:val="auto"/>
          <w:sz w:val="21"/>
          <w:szCs w:val="21"/>
          <w:highlight w:val="none"/>
        </w:rPr>
        <w:t>分（扣至0分为止），计算出该银行得分，保留</w:t>
      </w:r>
      <w:r>
        <w:rPr>
          <w:rFonts w:hint="eastAsia" w:ascii="微软雅黑" w:hAnsi="微软雅黑" w:eastAsia="微软雅黑" w:cs="微软雅黑"/>
          <w:color w:val="auto"/>
          <w:sz w:val="21"/>
          <w:szCs w:val="21"/>
          <w:highlight w:val="none"/>
          <w:lang w:eastAsia="zh-CN"/>
        </w:rPr>
        <w:t>两</w:t>
      </w:r>
      <w:r>
        <w:rPr>
          <w:rFonts w:hint="eastAsia" w:ascii="微软雅黑" w:hAnsi="微软雅黑" w:eastAsia="微软雅黑" w:cs="微软雅黑"/>
          <w:color w:val="auto"/>
          <w:sz w:val="21"/>
          <w:szCs w:val="21"/>
          <w:highlight w:val="none"/>
        </w:rPr>
        <w:t>位小数。</w:t>
      </w:r>
      <w:r>
        <w:rPr>
          <w:rFonts w:hint="eastAsia" w:ascii="微软雅黑" w:hAnsi="微软雅黑" w:eastAsia="微软雅黑" w:cs="微软雅黑"/>
          <w:color w:val="auto"/>
          <w:kern w:val="0"/>
          <w:sz w:val="21"/>
          <w:szCs w:val="21"/>
          <w:highlight w:val="none"/>
          <w:u w:val="single"/>
        </w:rPr>
        <w:t>（</w:t>
      </w:r>
      <w:r>
        <w:rPr>
          <w:rFonts w:hint="eastAsia" w:ascii="微软雅黑" w:hAnsi="微软雅黑" w:eastAsia="微软雅黑" w:cs="微软雅黑"/>
          <w:color w:val="auto"/>
          <w:kern w:val="0"/>
          <w:sz w:val="21"/>
          <w:szCs w:val="21"/>
          <w:highlight w:val="none"/>
          <w:u w:val="single"/>
          <w:lang w:val="en-US" w:eastAsia="zh-CN"/>
        </w:rPr>
        <w:t>竞</w:t>
      </w:r>
      <w:r>
        <w:rPr>
          <w:rFonts w:hint="eastAsia" w:ascii="微软雅黑" w:hAnsi="微软雅黑" w:eastAsia="微软雅黑" w:cs="微软雅黑"/>
          <w:color w:val="auto"/>
          <w:kern w:val="0"/>
          <w:sz w:val="21"/>
          <w:szCs w:val="21"/>
          <w:highlight w:val="none"/>
          <w:u w:val="single"/>
        </w:rPr>
        <w:t>标银行利率报价须符合关于社保基金招投标利率有关规定，违反者此项零分）。</w:t>
      </w:r>
    </w:p>
    <w:p w14:paraId="7193CDA6">
      <w:pPr>
        <w:pStyle w:val="4"/>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经营状况指标（</w:t>
      </w:r>
      <w:r>
        <w:rPr>
          <w:rFonts w:hint="eastAsia" w:ascii="微软雅黑" w:hAnsi="微软雅黑" w:cs="微软雅黑"/>
          <w:color w:val="auto"/>
          <w:sz w:val="21"/>
          <w:szCs w:val="21"/>
          <w:highlight w:val="none"/>
          <w:lang w:val="en-US" w:eastAsia="zh-CN"/>
        </w:rPr>
        <w:t>35</w:t>
      </w:r>
      <w:r>
        <w:rPr>
          <w:rFonts w:hint="eastAsia" w:ascii="微软雅黑" w:hAnsi="微软雅黑" w:eastAsia="微软雅黑" w:cs="微软雅黑"/>
          <w:color w:val="auto"/>
          <w:sz w:val="21"/>
          <w:szCs w:val="21"/>
          <w:highlight w:val="none"/>
        </w:rPr>
        <w:t>分）。</w:t>
      </w:r>
    </w:p>
    <w:p w14:paraId="3F6903E9">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1、</w:t>
      </w:r>
      <w:r>
        <w:rPr>
          <w:rFonts w:hint="eastAsia" w:ascii="微软雅黑" w:hAnsi="微软雅黑" w:eastAsia="微软雅黑" w:cs="微软雅黑"/>
          <w:color w:val="auto"/>
          <w:sz w:val="21"/>
          <w:szCs w:val="21"/>
          <w:highlight w:val="none"/>
        </w:rPr>
        <w:t>经营状况指标设置包括拨备覆盖率、资本充足率、不良贷款率、不良贷款处置率、利润总额、利润增长率和内控水平指标。</w:t>
      </w:r>
    </w:p>
    <w:p w14:paraId="618E445D">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1.1拨备覆盖率指标（5分）。</w:t>
      </w:r>
      <w:r>
        <w:rPr>
          <w:rFonts w:hint="eastAsia" w:ascii="微软雅黑" w:hAnsi="微软雅黑" w:eastAsia="微软雅黑" w:cs="微软雅黑"/>
          <w:color w:val="auto"/>
          <w:sz w:val="21"/>
          <w:szCs w:val="21"/>
          <w:highlight w:val="none"/>
        </w:rPr>
        <w:t>按照有效竞标银行上年度法人拨备覆盖率赋分。得分标准：</w:t>
      </w:r>
    </w:p>
    <w:p w14:paraId="66F8FB12">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1.1.1、150%及以上，得5分； </w:t>
      </w:r>
    </w:p>
    <w:p w14:paraId="347324F2">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1.1.2、150%以下、120%及以上，与150%相比每下降一个百分点减0.1分；</w:t>
      </w:r>
    </w:p>
    <w:p w14:paraId="137D2C2E">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1.1.3、120%以下，不得分。</w:t>
      </w:r>
    </w:p>
    <w:p w14:paraId="7FAF1D71">
      <w:pPr>
        <w:adjustRightInd w:val="0"/>
        <w:snapToGrid w:val="0"/>
        <w:spacing w:line="360" w:lineRule="auto"/>
        <w:ind w:firstLine="315" w:firstLineChars="1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（拨备覆盖率指标数据由各</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rPr>
        <w:t>提供）。</w:t>
      </w:r>
    </w:p>
    <w:p w14:paraId="022CAD88">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1.2资本充足率指标（5分）。</w:t>
      </w:r>
      <w:r>
        <w:rPr>
          <w:rFonts w:hint="eastAsia" w:ascii="微软雅黑" w:hAnsi="微软雅黑" w:eastAsia="微软雅黑" w:cs="微软雅黑"/>
          <w:color w:val="auto"/>
          <w:sz w:val="21"/>
          <w:szCs w:val="21"/>
          <w:highlight w:val="none"/>
        </w:rPr>
        <w:t>按照有效竞标银行上年度法人资本充足率赋分。得分标准：</w:t>
      </w:r>
    </w:p>
    <w:p w14:paraId="521D6445">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1.2.1、10.5%及以上得5分； </w:t>
      </w:r>
    </w:p>
    <w:p w14:paraId="28284598">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1.2.2、10.5%以下，不得分。</w:t>
      </w:r>
    </w:p>
    <w:p w14:paraId="6BF02ADF">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政策性银行的资本充足率按5分计算。 </w:t>
      </w:r>
    </w:p>
    <w:p w14:paraId="5A742F0F">
      <w:pPr>
        <w:adjustRightInd w:val="0"/>
        <w:snapToGrid w:val="0"/>
        <w:spacing w:line="360" w:lineRule="auto"/>
        <w:ind w:firstLine="315" w:firstLineChars="1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（资本充足率指标数据由各</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rPr>
        <w:t>提供，在系统内按小数填报【例：0.105】）。</w:t>
      </w:r>
    </w:p>
    <w:p w14:paraId="4369FDF7">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1.3资产质量（</w:t>
      </w:r>
      <w:r>
        <w:rPr>
          <w:rFonts w:hint="eastAsia" w:ascii="微软雅黑" w:hAnsi="微软雅黑" w:eastAsia="微软雅黑" w:cs="微软雅黑"/>
          <w:b/>
          <w:color w:val="auto"/>
          <w:sz w:val="21"/>
          <w:szCs w:val="21"/>
          <w:highlight w:val="none"/>
          <w:lang w:val="en-US" w:eastAsia="zh-CN"/>
        </w:rPr>
        <w:t>10</w:t>
      </w:r>
      <w:r>
        <w:rPr>
          <w:rFonts w:hint="eastAsia" w:ascii="微软雅黑" w:hAnsi="微软雅黑" w:eastAsia="微软雅黑" w:cs="微软雅黑"/>
          <w:b/>
          <w:color w:val="auto"/>
          <w:sz w:val="21"/>
          <w:szCs w:val="21"/>
          <w:highlight w:val="none"/>
        </w:rPr>
        <w:t>分）。</w:t>
      </w:r>
      <w:r>
        <w:rPr>
          <w:rFonts w:hint="eastAsia" w:ascii="微软雅黑" w:hAnsi="微软雅黑" w:eastAsia="微软雅黑" w:cs="微软雅黑"/>
          <w:color w:val="auto"/>
          <w:sz w:val="21"/>
          <w:szCs w:val="21"/>
          <w:highlight w:val="none"/>
        </w:rPr>
        <w:t>根据有效竞标银行嘉兴市本外币不良贷款率及不良贷款处置率进行评分。</w:t>
      </w:r>
    </w:p>
    <w:p w14:paraId="2FE1C5B3">
      <w:pPr>
        <w:adjustRightInd w:val="0"/>
        <w:snapToGrid w:val="0"/>
        <w:spacing w:line="360" w:lineRule="auto"/>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1.3.1不良贷款率指标（</w:t>
      </w:r>
      <w:r>
        <w:rPr>
          <w:rFonts w:hint="eastAsia" w:ascii="微软雅黑" w:hAnsi="微软雅黑" w:eastAsia="微软雅黑" w:cs="微软雅黑"/>
          <w:bCs/>
          <w:color w:val="auto"/>
          <w:sz w:val="21"/>
          <w:szCs w:val="21"/>
          <w:highlight w:val="none"/>
          <w:lang w:val="en-US" w:eastAsia="zh-CN"/>
        </w:rPr>
        <w:t>5</w:t>
      </w:r>
      <w:r>
        <w:rPr>
          <w:rFonts w:hint="eastAsia" w:ascii="微软雅黑" w:hAnsi="微软雅黑" w:eastAsia="微软雅黑" w:cs="微软雅黑"/>
          <w:bCs/>
          <w:color w:val="auto"/>
          <w:sz w:val="21"/>
          <w:szCs w:val="21"/>
          <w:highlight w:val="none"/>
        </w:rPr>
        <w:t>分）。</w:t>
      </w:r>
    </w:p>
    <w:p w14:paraId="343B655A">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不良贷款率</w:t>
      </w:r>
      <w:r>
        <w:rPr>
          <w:rFonts w:hint="eastAsia" w:ascii="微软雅黑" w:hAnsi="微软雅黑" w:eastAsia="微软雅黑" w:cs="微软雅黑"/>
          <w:color w:val="auto"/>
          <w:sz w:val="21"/>
          <w:szCs w:val="21"/>
          <w:highlight w:val="none"/>
          <w:lang w:eastAsia="zh-CN"/>
        </w:rPr>
        <w:t>指标</w:t>
      </w:r>
      <w:r>
        <w:rPr>
          <w:rFonts w:hint="eastAsia" w:ascii="微软雅黑" w:hAnsi="微软雅黑" w:eastAsia="微软雅黑" w:cs="微软雅黑"/>
          <w:color w:val="auto"/>
          <w:sz w:val="21"/>
          <w:szCs w:val="21"/>
          <w:highlight w:val="none"/>
        </w:rPr>
        <w:t>得分按照</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rPr>
        <w:t>上年度全市本外币不良贷款率赋分。得分标准为：1.0%及以下得</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分；1%以上、1.5%及以下的，得</w:t>
      </w:r>
      <w:r>
        <w:rPr>
          <w:rFonts w:hint="eastAsia" w:ascii="微软雅黑" w:hAnsi="微软雅黑" w:eastAsia="微软雅黑" w:cs="微软雅黑"/>
          <w:color w:val="auto"/>
          <w:sz w:val="21"/>
          <w:szCs w:val="21"/>
          <w:highlight w:val="none"/>
          <w:lang w:val="en-US" w:eastAsia="zh-CN"/>
        </w:rPr>
        <w:t>4.5</w:t>
      </w:r>
      <w:r>
        <w:rPr>
          <w:rFonts w:hint="eastAsia" w:ascii="微软雅黑" w:hAnsi="微软雅黑" w:eastAsia="微软雅黑" w:cs="微软雅黑"/>
          <w:color w:val="auto"/>
          <w:sz w:val="21"/>
          <w:szCs w:val="21"/>
          <w:highlight w:val="none"/>
          <w:lang w:eastAsia="zh-CN"/>
        </w:rPr>
        <w:t>分</w:t>
      </w:r>
      <w:r>
        <w:rPr>
          <w:rFonts w:hint="eastAsia" w:ascii="微软雅黑" w:hAnsi="微软雅黑" w:eastAsia="微软雅黑" w:cs="微软雅黑"/>
          <w:color w:val="auto"/>
          <w:sz w:val="21"/>
          <w:szCs w:val="21"/>
          <w:highlight w:val="none"/>
        </w:rPr>
        <w:t>；1.5%以上、2.0%及以下的，得</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lang w:eastAsia="zh-CN"/>
        </w:rPr>
        <w:t>分</w:t>
      </w:r>
      <w:r>
        <w:rPr>
          <w:rFonts w:hint="eastAsia" w:ascii="微软雅黑" w:hAnsi="微软雅黑" w:eastAsia="微软雅黑" w:cs="微软雅黑"/>
          <w:color w:val="auto"/>
          <w:sz w:val="21"/>
          <w:szCs w:val="21"/>
          <w:highlight w:val="none"/>
        </w:rPr>
        <w:t>；2.0%以上不得分。</w:t>
      </w:r>
    </w:p>
    <w:p w14:paraId="7536EDC9">
      <w:pPr>
        <w:adjustRightInd w:val="0"/>
        <w:snapToGrid w:val="0"/>
        <w:spacing w:line="360" w:lineRule="auto"/>
        <w:ind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1.3.2不良贷款处置率（</w:t>
      </w:r>
      <w:r>
        <w:rPr>
          <w:rFonts w:hint="eastAsia" w:ascii="微软雅黑" w:hAnsi="微软雅黑" w:eastAsia="微软雅黑" w:cs="微软雅黑"/>
          <w:bCs/>
          <w:color w:val="auto"/>
          <w:sz w:val="21"/>
          <w:szCs w:val="21"/>
          <w:highlight w:val="none"/>
          <w:lang w:val="en-US" w:eastAsia="zh-CN"/>
        </w:rPr>
        <w:t>5</w:t>
      </w:r>
      <w:r>
        <w:rPr>
          <w:rFonts w:hint="eastAsia" w:ascii="微软雅黑" w:hAnsi="微软雅黑" w:eastAsia="微软雅黑" w:cs="微软雅黑"/>
          <w:bCs/>
          <w:color w:val="auto"/>
          <w:sz w:val="21"/>
          <w:szCs w:val="21"/>
          <w:highlight w:val="none"/>
        </w:rPr>
        <w:t>分）。</w:t>
      </w:r>
    </w:p>
    <w:p w14:paraId="3E932F68">
      <w:pPr>
        <w:adjustRightInd w:val="0"/>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不良贷款处置率得分按照</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rPr>
        <w:t>上年度全市不良贷款处置率赋分。得分标准为：70%以上得</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分；70%及以下、50%以上的，得</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分；50%及以下、40%以上的，得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分；40%及以下、30%以上的，得</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分；30%及以下不得分。截至上季度末当年未新发生不良贷款的，不良贷款处置率得</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w:t>
      </w:r>
    </w:p>
    <w:p w14:paraId="54A8F0A3">
      <w:pPr>
        <w:adjustRightInd w:val="0"/>
        <w:snapToGrid w:val="0"/>
        <w:spacing w:line="360" w:lineRule="auto"/>
        <w:ind w:firstLine="411" w:firstLineChars="196"/>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（资产质量指标数据国家金融监督管理总局嘉兴监管分局提供。）</w:t>
      </w:r>
    </w:p>
    <w:p w14:paraId="2AEC3EB0">
      <w:pPr>
        <w:adjustRightInd w:val="0"/>
        <w:snapToGrid w:val="0"/>
        <w:spacing w:line="360" w:lineRule="auto"/>
        <w:ind w:firstLine="412"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1.4运营能力（</w:t>
      </w:r>
      <w:r>
        <w:rPr>
          <w:rFonts w:hint="eastAsia" w:ascii="微软雅黑" w:hAnsi="微软雅黑" w:eastAsia="微软雅黑" w:cs="微软雅黑"/>
          <w:b/>
          <w:color w:val="auto"/>
          <w:sz w:val="21"/>
          <w:szCs w:val="21"/>
          <w:highlight w:val="none"/>
          <w:lang w:val="en-US" w:eastAsia="zh-CN"/>
        </w:rPr>
        <w:t>7</w:t>
      </w:r>
      <w:r>
        <w:rPr>
          <w:rFonts w:hint="eastAsia" w:ascii="微软雅黑" w:hAnsi="微软雅黑" w:eastAsia="微软雅黑" w:cs="微软雅黑"/>
          <w:b/>
          <w:color w:val="auto"/>
          <w:sz w:val="21"/>
          <w:szCs w:val="21"/>
          <w:highlight w:val="none"/>
        </w:rPr>
        <w:t>分）。</w:t>
      </w:r>
      <w:r>
        <w:rPr>
          <w:rFonts w:hint="eastAsia" w:ascii="微软雅黑" w:hAnsi="微软雅黑" w:eastAsia="微软雅黑" w:cs="微软雅黑"/>
          <w:color w:val="auto"/>
          <w:sz w:val="21"/>
          <w:szCs w:val="21"/>
          <w:highlight w:val="none"/>
        </w:rPr>
        <w:t>根据有效竞标银行在嘉兴市本级的两项净收入[两项净收入=利息净收入+手续费及佣金净收入]总额和两项净收入增长率进行评分。</w:t>
      </w:r>
    </w:p>
    <w:p w14:paraId="6C2C20A9">
      <w:pPr>
        <w:adjustRightInd w:val="0"/>
        <w:snapToGrid w:val="0"/>
        <w:spacing w:line="360" w:lineRule="auto"/>
        <w:ind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（1）两项净收入总额（</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分）。按有效竞标银行</w:t>
      </w:r>
      <w:r>
        <w:rPr>
          <w:rFonts w:hint="eastAsia" w:ascii="微软雅黑" w:hAnsi="微软雅黑" w:eastAsia="微软雅黑" w:cs="微软雅黑"/>
          <w:color w:val="auto"/>
          <w:sz w:val="21"/>
          <w:szCs w:val="21"/>
          <w:highlight w:val="none"/>
          <w:lang w:val="en-US" w:eastAsia="zh-CN"/>
        </w:rPr>
        <w:t>2025年第一季度</w:t>
      </w:r>
      <w:r>
        <w:rPr>
          <w:rFonts w:hint="eastAsia" w:ascii="微软雅黑" w:hAnsi="微软雅黑" w:eastAsia="微软雅黑" w:cs="微软雅黑"/>
          <w:color w:val="auto"/>
          <w:sz w:val="21"/>
          <w:szCs w:val="21"/>
          <w:highlight w:val="none"/>
        </w:rPr>
        <w:t>末市本级两项净收入总额由高到低排名，排名第一名的得</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分，每递减一名减0.</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分，减至0分为止。排名相同时，下一名跳跃排名计分，以下遇有按排名计分的均按此跳跃排名计分。</w:t>
      </w:r>
    </w:p>
    <w:p w14:paraId="25A02838">
      <w:pPr>
        <w:adjustRightInd w:val="0"/>
        <w:snapToGrid w:val="0"/>
        <w:spacing w:line="360" w:lineRule="auto"/>
        <w:ind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（2）两项净收入增长率（2分）。按有效竞标银行</w:t>
      </w:r>
      <w:r>
        <w:rPr>
          <w:rFonts w:hint="eastAsia" w:ascii="微软雅黑" w:hAnsi="微软雅黑" w:eastAsia="微软雅黑" w:cs="微软雅黑"/>
          <w:color w:val="auto"/>
          <w:sz w:val="21"/>
          <w:szCs w:val="21"/>
          <w:highlight w:val="none"/>
          <w:lang w:val="en-US" w:eastAsia="zh-CN"/>
        </w:rPr>
        <w:t>2025年第一季度末</w:t>
      </w:r>
      <w:r>
        <w:rPr>
          <w:rFonts w:hint="eastAsia" w:ascii="微软雅黑" w:hAnsi="微软雅黑" w:eastAsia="微软雅黑" w:cs="微软雅黑"/>
          <w:color w:val="auto"/>
          <w:sz w:val="21"/>
          <w:szCs w:val="21"/>
          <w:highlight w:val="none"/>
        </w:rPr>
        <w:t>市本级两项净收入增长率由高到低排名，排名第一名的得2分，每递减一名减0.05分，减至0分为止。</w:t>
      </w:r>
    </w:p>
    <w:p w14:paraId="593F9D14">
      <w:pPr>
        <w:adjustRightInd w:val="0"/>
        <w:snapToGrid w:val="0"/>
        <w:spacing w:line="360" w:lineRule="auto"/>
        <w:ind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（该指标数据由中国人民银行嘉兴市分行提供。）</w:t>
      </w:r>
    </w:p>
    <w:p w14:paraId="289F1BD2">
      <w:pPr>
        <w:adjustRightInd w:val="0"/>
        <w:snapToGrid w:val="0"/>
        <w:spacing w:line="360" w:lineRule="auto"/>
        <w:ind w:firstLine="412" w:firstLineChars="196"/>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color w:val="auto"/>
          <w:sz w:val="21"/>
          <w:szCs w:val="21"/>
          <w:highlight w:val="none"/>
        </w:rPr>
        <w:t>1.5内控水平（8分）。</w:t>
      </w:r>
      <w:r>
        <w:rPr>
          <w:rFonts w:hint="eastAsia" w:ascii="微软雅黑" w:hAnsi="微软雅黑" w:eastAsia="微软雅黑" w:cs="微软雅黑"/>
          <w:color w:val="auto"/>
          <w:kern w:val="0"/>
          <w:sz w:val="21"/>
          <w:szCs w:val="21"/>
          <w:highlight w:val="none"/>
        </w:rPr>
        <w:t>根据人民银行嘉兴市分行上一年度对有效竞标银行综合评价结果进行评分，综合评价为A级的，得8分；综合评价为B+、B、B-级的，分别得7、6、5分。</w:t>
      </w:r>
    </w:p>
    <w:p w14:paraId="0BC340C2">
      <w:pPr>
        <w:adjustRightInd w:val="0"/>
        <w:snapToGrid w:val="0"/>
        <w:spacing w:line="360" w:lineRule="auto"/>
        <w:ind w:firstLine="411" w:firstLineChars="196"/>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（内控水平指标数据由中国人民银行嘉兴市分行提供。）</w:t>
      </w:r>
    </w:p>
    <w:p w14:paraId="56025BB0">
      <w:pPr>
        <w:pStyle w:val="4"/>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经济贡献度指标</w:t>
      </w:r>
      <w:r>
        <w:rPr>
          <w:rFonts w:hint="eastAsia" w:ascii="微软雅黑" w:hAnsi="微软雅黑" w:cs="微软雅黑"/>
          <w:color w:val="auto"/>
          <w:sz w:val="21"/>
          <w:szCs w:val="21"/>
          <w:highlight w:val="none"/>
          <w:lang w:eastAsia="zh-CN"/>
        </w:rPr>
        <w:t>（</w:t>
      </w:r>
      <w:r>
        <w:rPr>
          <w:rFonts w:hint="eastAsia" w:ascii="微软雅黑" w:hAnsi="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分）。</w:t>
      </w:r>
    </w:p>
    <w:p w14:paraId="23273FA3">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经济贡献度指标设置包括纳税情况、贷款支持度及支持地方经济发展业绩考评结果应用指标。</w:t>
      </w:r>
    </w:p>
    <w:p w14:paraId="06DA3DA1">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1 .纳税情况（10分）。</w:t>
      </w:r>
      <w:r>
        <w:rPr>
          <w:rFonts w:hint="eastAsia" w:ascii="微软雅黑" w:hAnsi="微软雅黑" w:eastAsia="微软雅黑" w:cs="微软雅黑"/>
          <w:color w:val="auto"/>
          <w:sz w:val="21"/>
          <w:szCs w:val="21"/>
          <w:highlight w:val="none"/>
        </w:rPr>
        <w:t>即有效</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rPr>
        <w:t>的嘉兴市本级机构向税务机关缴纳的各项税收，税收缴库额按实际入库数计算，不包括缴纳的地方教育附加、社保费等非税项目。根据有效</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rPr>
        <w:t>的</w:t>
      </w:r>
      <w:r>
        <w:rPr>
          <w:rFonts w:hint="eastAsia" w:ascii="微软雅黑" w:hAnsi="微软雅黑" w:eastAsia="微软雅黑" w:cs="微软雅黑"/>
          <w:color w:val="auto"/>
          <w:sz w:val="21"/>
          <w:szCs w:val="21"/>
          <w:highlight w:val="none"/>
          <w:lang w:val="en-US" w:eastAsia="zh-CN"/>
        </w:rPr>
        <w:t>上年</w:t>
      </w:r>
      <w:r>
        <w:rPr>
          <w:rFonts w:hint="eastAsia" w:ascii="微软雅黑" w:hAnsi="微软雅黑" w:eastAsia="微软雅黑" w:cs="微软雅黑"/>
          <w:color w:val="auto"/>
          <w:sz w:val="21"/>
          <w:szCs w:val="21"/>
          <w:highlight w:val="none"/>
        </w:rPr>
        <w:t>度税收缴库额情况进行评分，计分包括纳税规模和纳税增幅。</w:t>
      </w:r>
    </w:p>
    <w:p w14:paraId="794A0D04">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 纳税规模（8分）。按有效</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lang w:val="en-US" w:eastAsia="zh-CN"/>
        </w:rPr>
        <w:t>上年</w:t>
      </w:r>
      <w:r>
        <w:rPr>
          <w:rFonts w:hint="eastAsia" w:ascii="微软雅黑" w:hAnsi="微软雅黑" w:eastAsia="微软雅黑" w:cs="微软雅黑"/>
          <w:color w:val="auto"/>
          <w:sz w:val="21"/>
          <w:szCs w:val="21"/>
          <w:highlight w:val="none"/>
        </w:rPr>
        <w:t>度税收缴库额情况进行评分。得分标准为：税收缴库额最高的银行为第一名，得8分；每递减一名减0.</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分，减至0分为止。</w:t>
      </w:r>
    </w:p>
    <w:p w14:paraId="30939380">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 纳税增幅（2分）。按有效</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lang w:val="en-US" w:eastAsia="zh-CN"/>
        </w:rPr>
        <w:t>上年</w:t>
      </w:r>
      <w:r>
        <w:rPr>
          <w:rFonts w:hint="eastAsia" w:ascii="微软雅黑" w:hAnsi="微软雅黑" w:eastAsia="微软雅黑" w:cs="微软雅黑"/>
          <w:color w:val="auto"/>
          <w:sz w:val="21"/>
          <w:szCs w:val="21"/>
          <w:highlight w:val="none"/>
        </w:rPr>
        <w:t>度税收增长率情况进行评分。得分标准为：以税收缴库额同比增幅最高的银行为第一名，得2分；每递减一名减0.05分，减至0分为止。</w:t>
      </w:r>
    </w:p>
    <w:p w14:paraId="43E0B0E7">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（纳税情况指标数据由市税务局提供）</w:t>
      </w:r>
    </w:p>
    <w:p w14:paraId="15643A0B">
      <w:pPr>
        <w:snapToGrid w:val="0"/>
        <w:spacing w:line="360" w:lineRule="auto"/>
        <w:ind w:firstLine="420" w:firstLineChars="2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2. 贷款支持度（</w:t>
      </w:r>
      <w:r>
        <w:rPr>
          <w:rFonts w:hint="eastAsia" w:ascii="微软雅黑" w:hAnsi="微软雅黑" w:eastAsia="微软雅黑" w:cs="微软雅黑"/>
          <w:b/>
          <w:bCs/>
          <w:color w:val="auto"/>
          <w:sz w:val="21"/>
          <w:szCs w:val="21"/>
          <w:highlight w:val="none"/>
          <w:lang w:val="en-US" w:eastAsia="zh-CN"/>
        </w:rPr>
        <w:t>6</w:t>
      </w:r>
      <w:r>
        <w:rPr>
          <w:rFonts w:hint="eastAsia" w:ascii="微软雅黑" w:hAnsi="微软雅黑" w:eastAsia="微软雅黑" w:cs="微软雅黑"/>
          <w:b/>
          <w:bCs/>
          <w:color w:val="auto"/>
          <w:sz w:val="21"/>
          <w:szCs w:val="21"/>
          <w:highlight w:val="none"/>
        </w:rPr>
        <w:t>分）。</w:t>
      </w:r>
    </w:p>
    <w:p w14:paraId="494A421F">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 贷款规模（</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分）。按有效</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rPr>
        <w:t>在嘉兴市</w:t>
      </w:r>
      <w:r>
        <w:rPr>
          <w:rFonts w:hint="eastAsia" w:ascii="微软雅黑" w:hAnsi="微软雅黑" w:eastAsia="微软雅黑" w:cs="微软雅黑"/>
          <w:color w:val="auto"/>
          <w:sz w:val="21"/>
          <w:szCs w:val="21"/>
          <w:highlight w:val="none"/>
          <w:lang w:val="en-US" w:eastAsia="zh-CN"/>
        </w:rPr>
        <w:t>本</w:t>
      </w:r>
      <w:r>
        <w:rPr>
          <w:rFonts w:hint="eastAsia" w:ascii="微软雅黑" w:hAnsi="微软雅黑" w:eastAsia="微软雅黑" w:cs="微软雅黑"/>
          <w:color w:val="auto"/>
          <w:sz w:val="21"/>
          <w:szCs w:val="21"/>
          <w:highlight w:val="none"/>
        </w:rPr>
        <w:t>级的本外币各项贷款截至</w:t>
      </w:r>
      <w:r>
        <w:rPr>
          <w:rFonts w:hint="eastAsia" w:ascii="微软雅黑" w:hAnsi="微软雅黑" w:eastAsia="微软雅黑" w:cs="微软雅黑"/>
          <w:color w:val="auto"/>
          <w:sz w:val="21"/>
          <w:szCs w:val="21"/>
          <w:highlight w:val="none"/>
          <w:lang w:val="en-US" w:eastAsia="zh-CN"/>
        </w:rPr>
        <w:t>2025年第一季度末</w:t>
      </w:r>
      <w:r>
        <w:rPr>
          <w:rFonts w:hint="eastAsia" w:ascii="微软雅黑" w:hAnsi="微软雅黑" w:eastAsia="微软雅黑" w:cs="微软雅黑"/>
          <w:color w:val="auto"/>
          <w:sz w:val="21"/>
          <w:szCs w:val="21"/>
          <w:highlight w:val="none"/>
        </w:rPr>
        <w:t>余额情况进行评分。得分标准为：以</w:t>
      </w:r>
      <w:r>
        <w:rPr>
          <w:rFonts w:hint="eastAsia" w:ascii="微软雅黑" w:hAnsi="微软雅黑" w:eastAsia="微软雅黑" w:cs="微软雅黑"/>
          <w:color w:val="auto"/>
          <w:sz w:val="21"/>
          <w:szCs w:val="21"/>
          <w:highlight w:val="none"/>
          <w:lang w:val="en-US" w:eastAsia="zh-CN"/>
        </w:rPr>
        <w:t>2025年第一季度末</w:t>
      </w:r>
      <w:r>
        <w:rPr>
          <w:rFonts w:hint="eastAsia" w:ascii="微软雅黑" w:hAnsi="微软雅黑" w:eastAsia="微软雅黑" w:cs="微软雅黑"/>
          <w:color w:val="auto"/>
          <w:sz w:val="21"/>
          <w:szCs w:val="21"/>
          <w:highlight w:val="none"/>
        </w:rPr>
        <w:t>贷款余额最高银行为第一名，得</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分；每递减一名减0.13分，减至0分为止。</w:t>
      </w:r>
    </w:p>
    <w:p w14:paraId="62569381">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 贷款总额增幅（1分）。按有效</w:t>
      </w:r>
      <w:r>
        <w:rPr>
          <w:rFonts w:hint="eastAsia" w:ascii="微软雅黑" w:hAnsi="微软雅黑" w:eastAsia="微软雅黑" w:cs="微软雅黑"/>
          <w:color w:val="auto"/>
          <w:sz w:val="21"/>
          <w:szCs w:val="21"/>
          <w:highlight w:val="none"/>
          <w:lang w:eastAsia="zh-CN"/>
        </w:rPr>
        <w:t>竞标银行</w:t>
      </w:r>
      <w:r>
        <w:rPr>
          <w:rFonts w:hint="eastAsia" w:ascii="微软雅黑" w:hAnsi="微软雅黑" w:eastAsia="微软雅黑" w:cs="微软雅黑"/>
          <w:color w:val="auto"/>
          <w:sz w:val="21"/>
          <w:szCs w:val="21"/>
          <w:highlight w:val="none"/>
        </w:rPr>
        <w:t>在嘉兴市</w:t>
      </w:r>
      <w:r>
        <w:rPr>
          <w:rFonts w:hint="eastAsia" w:ascii="微软雅黑" w:hAnsi="微软雅黑" w:eastAsia="微软雅黑" w:cs="微软雅黑"/>
          <w:color w:val="auto"/>
          <w:sz w:val="21"/>
          <w:szCs w:val="21"/>
          <w:highlight w:val="none"/>
          <w:lang w:val="en-US" w:eastAsia="zh-CN"/>
        </w:rPr>
        <w:t>本</w:t>
      </w:r>
      <w:r>
        <w:rPr>
          <w:rFonts w:hint="eastAsia" w:ascii="微软雅黑" w:hAnsi="微软雅黑" w:eastAsia="微软雅黑" w:cs="微软雅黑"/>
          <w:color w:val="auto"/>
          <w:sz w:val="21"/>
          <w:szCs w:val="21"/>
          <w:highlight w:val="none"/>
        </w:rPr>
        <w:t>级的本外币各项贷款总额增幅情况进行评分。得分标准为：以截至</w:t>
      </w:r>
      <w:r>
        <w:rPr>
          <w:rFonts w:hint="eastAsia" w:ascii="微软雅黑" w:hAnsi="微软雅黑" w:eastAsia="微软雅黑" w:cs="微软雅黑"/>
          <w:color w:val="auto"/>
          <w:sz w:val="21"/>
          <w:szCs w:val="21"/>
          <w:highlight w:val="none"/>
          <w:lang w:val="en-US" w:eastAsia="zh-CN"/>
        </w:rPr>
        <w:t>2025年第一季度末</w:t>
      </w:r>
      <w:r>
        <w:rPr>
          <w:rFonts w:hint="eastAsia" w:ascii="微软雅黑" w:hAnsi="微软雅黑" w:eastAsia="微软雅黑" w:cs="微软雅黑"/>
          <w:color w:val="auto"/>
          <w:sz w:val="21"/>
          <w:szCs w:val="21"/>
          <w:highlight w:val="none"/>
        </w:rPr>
        <w:t>贷款总额较年初相比增幅最高银行为第一名，得1分；每递减一名减0.03分，减至0分为止。</w:t>
      </w:r>
    </w:p>
    <w:p w14:paraId="367DF0F3">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（贷款支持度指标数据由中国人民银行嘉兴市分行提供）</w:t>
      </w:r>
    </w:p>
    <w:p w14:paraId="402292B7">
      <w:pPr>
        <w:adjustRightInd w:val="0"/>
        <w:snapToGrid w:val="0"/>
        <w:spacing w:line="540" w:lineRule="exact"/>
        <w:ind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3. 支持地方经济发展业绩考评结果应用（</w:t>
      </w:r>
      <w:r>
        <w:rPr>
          <w:rFonts w:hint="eastAsia" w:ascii="微软雅黑" w:hAnsi="微软雅黑" w:eastAsia="微软雅黑" w:cs="微软雅黑"/>
          <w:b/>
          <w:bCs/>
          <w:color w:val="auto"/>
          <w:sz w:val="21"/>
          <w:szCs w:val="21"/>
          <w:highlight w:val="none"/>
          <w:lang w:val="en-US" w:eastAsia="zh-CN"/>
        </w:rPr>
        <w:t>6</w:t>
      </w:r>
      <w:r>
        <w:rPr>
          <w:rFonts w:hint="eastAsia" w:ascii="微软雅黑" w:hAnsi="微软雅黑" w:eastAsia="微软雅黑" w:cs="微软雅黑"/>
          <w:b/>
          <w:bCs/>
          <w:color w:val="auto"/>
          <w:sz w:val="21"/>
          <w:szCs w:val="21"/>
          <w:highlight w:val="none"/>
        </w:rPr>
        <w:t>分）</w:t>
      </w:r>
      <w:r>
        <w:rPr>
          <w:rFonts w:hint="eastAsia" w:ascii="微软雅黑" w:hAnsi="微软雅黑" w:eastAsia="微软雅黑" w:cs="微软雅黑"/>
          <w:color w:val="auto"/>
          <w:sz w:val="21"/>
          <w:szCs w:val="21"/>
          <w:highlight w:val="none"/>
        </w:rPr>
        <w:t>。</w:t>
      </w:r>
    </w:p>
    <w:p w14:paraId="1251A163">
      <w:pPr>
        <w:adjustRightInd w:val="0"/>
        <w:snapToGrid w:val="0"/>
        <w:spacing w:line="540" w:lineRule="exact"/>
        <w:ind w:firstLine="420" w:firstLineChars="0"/>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根据上年度市本级银行业金融机构支持地方经济发展业绩的考评结果进行评分。得分标准为：以考评得分最高银行为第一名，得6分；每递减一名减0.1分，减至0分为止。</w:t>
      </w:r>
    </w:p>
    <w:p w14:paraId="312B6E8E">
      <w:pPr>
        <w:snapToGrid w:val="0"/>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（支持地方经济发展业绩考评结果应用指标数据由市人民政府办公室提供。）</w:t>
      </w:r>
    </w:p>
    <w:p w14:paraId="1044A5B9">
      <w:pPr>
        <w:snapToGrid w:val="0"/>
        <w:spacing w:line="360" w:lineRule="auto"/>
        <w:ind w:firstLine="420" w:firstLineChars="20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4.科创金融考评结果应用（3分）。</w:t>
      </w:r>
    </w:p>
    <w:p w14:paraId="029B8ADE">
      <w:pPr>
        <w:snapToGrid w:val="0"/>
        <w:spacing w:line="360" w:lineRule="auto"/>
        <w:ind w:firstLine="420" w:firstLineChars="200"/>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根据上年度市本级银行业金融机构科创金融考评结果进行评分。得分标准为：以考评得分最高银行为第一名，得3分；每递减一名减0.1分，减至0分为止。</w:t>
      </w:r>
    </w:p>
    <w:p w14:paraId="0810F1C9">
      <w:pPr>
        <w:snapToGrid w:val="0"/>
        <w:spacing w:line="360" w:lineRule="auto"/>
        <w:ind w:firstLine="420" w:firstLineChars="200"/>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科创金融</w:t>
      </w:r>
      <w:r>
        <w:rPr>
          <w:rFonts w:hint="eastAsia" w:ascii="微软雅黑" w:hAnsi="微软雅黑" w:eastAsia="微软雅黑" w:cs="微软雅黑"/>
          <w:color w:val="auto"/>
          <w:sz w:val="21"/>
          <w:szCs w:val="21"/>
          <w:highlight w:val="none"/>
        </w:rPr>
        <w:t>考评结果应用指标数据由市人民政府办公室提供。）</w:t>
      </w:r>
    </w:p>
    <w:p w14:paraId="29FF35C8">
      <w:pPr>
        <w:pStyle w:val="4"/>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服务质量（</w:t>
      </w:r>
      <w:r>
        <w:rPr>
          <w:rFonts w:hint="eastAsia" w:ascii="微软雅黑" w:hAnsi="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分）</w:t>
      </w:r>
    </w:p>
    <w:p w14:paraId="7F97C63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1.服务水平公认度评价（6分）</w:t>
      </w:r>
    </w:p>
    <w:p w14:paraId="23E0C2E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1.1综合考评情况（1分）。</w:t>
      </w:r>
    </w:p>
    <w:p w14:paraId="629EE64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2024年度竞标银行在人民银行嘉兴市分行支付结算工作年度综合考评情况。计分方法：考评获先进集体得1分，其他不得分。</w:t>
      </w:r>
    </w:p>
    <w:p w14:paraId="3B65E5F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（数据由中国人民银行嘉兴市分行提供）</w:t>
      </w:r>
    </w:p>
    <w:p w14:paraId="3E26685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1.</w:t>
      </w:r>
      <w:r>
        <w:rPr>
          <w:rFonts w:hint="eastAsia" w:ascii="微软雅黑" w:hAnsi="微软雅黑" w:eastAsia="微软雅黑" w:cs="微软雅黑"/>
          <w:b w:val="0"/>
          <w:bCs w:val="0"/>
          <w:color w:val="auto"/>
          <w:sz w:val="21"/>
          <w:szCs w:val="21"/>
          <w:highlight w:val="none"/>
          <w:lang w:val="en-US" w:eastAsia="zh-CN"/>
        </w:rPr>
        <w:t>2</w:t>
      </w:r>
      <w:r>
        <w:rPr>
          <w:rFonts w:hint="eastAsia" w:ascii="微软雅黑" w:hAnsi="微软雅黑" w:eastAsia="微软雅黑" w:cs="微软雅黑"/>
          <w:b w:val="0"/>
          <w:bCs w:val="0"/>
          <w:color w:val="auto"/>
          <w:sz w:val="21"/>
          <w:szCs w:val="21"/>
          <w:highlight w:val="none"/>
        </w:rPr>
        <w:t>网点布局（</w:t>
      </w:r>
      <w:r>
        <w:rPr>
          <w:rFonts w:hint="eastAsia" w:ascii="微软雅黑" w:hAnsi="微软雅黑" w:eastAsia="微软雅黑" w:cs="微软雅黑"/>
          <w:b w:val="0"/>
          <w:bCs w:val="0"/>
          <w:color w:val="auto"/>
          <w:sz w:val="21"/>
          <w:szCs w:val="21"/>
          <w:highlight w:val="none"/>
          <w:lang w:val="en-US" w:eastAsia="zh-CN"/>
        </w:rPr>
        <w:t>2</w:t>
      </w:r>
      <w:r>
        <w:rPr>
          <w:rFonts w:hint="eastAsia" w:ascii="微软雅黑" w:hAnsi="微软雅黑" w:eastAsia="微软雅黑" w:cs="微软雅黑"/>
          <w:b w:val="0"/>
          <w:bCs w:val="0"/>
          <w:color w:val="auto"/>
          <w:sz w:val="21"/>
          <w:szCs w:val="21"/>
          <w:highlight w:val="none"/>
        </w:rPr>
        <w:t>分）。</w:t>
      </w:r>
    </w:p>
    <w:p w14:paraId="24A83E8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竞标银行在嘉兴市本级（不含五县市）范围内的全功能网点机构（不包含ATM机）（需提供网点清单及各网点营业执照复印件）。计分方法：以网点机构最多的作为基准数，得满分</w:t>
      </w:r>
      <w:r>
        <w:rPr>
          <w:rFonts w:hint="eastAsia" w:ascii="微软雅黑" w:hAnsi="微软雅黑" w:eastAsia="微软雅黑" w:cs="微软雅黑"/>
          <w:b w:val="0"/>
          <w:bCs w:val="0"/>
          <w:color w:val="auto"/>
          <w:sz w:val="21"/>
          <w:szCs w:val="21"/>
          <w:highlight w:val="none"/>
          <w:lang w:val="en-US" w:eastAsia="zh-CN"/>
        </w:rPr>
        <w:t>2</w:t>
      </w:r>
      <w:r>
        <w:rPr>
          <w:rFonts w:hint="eastAsia" w:ascii="微软雅黑" w:hAnsi="微软雅黑" w:eastAsia="微软雅黑" w:cs="微软雅黑"/>
          <w:b w:val="0"/>
          <w:bCs w:val="0"/>
          <w:color w:val="auto"/>
          <w:sz w:val="21"/>
          <w:szCs w:val="21"/>
          <w:highlight w:val="none"/>
        </w:rPr>
        <w:t>分，其他竞标银行按与基准数的占比得分。</w:t>
      </w:r>
    </w:p>
    <w:p w14:paraId="6767E1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计算公式：竞标银行网点数得分=（竞标银行网点数÷基准数）×</w:t>
      </w:r>
      <w:r>
        <w:rPr>
          <w:rFonts w:hint="eastAsia" w:ascii="微软雅黑" w:hAnsi="微软雅黑" w:eastAsia="微软雅黑" w:cs="微软雅黑"/>
          <w:b w:val="0"/>
          <w:bCs w:val="0"/>
          <w:color w:val="auto"/>
          <w:sz w:val="21"/>
          <w:szCs w:val="21"/>
          <w:highlight w:val="none"/>
          <w:lang w:val="en-US" w:eastAsia="zh-CN"/>
        </w:rPr>
        <w:t>2</w:t>
      </w:r>
      <w:r>
        <w:rPr>
          <w:rFonts w:hint="eastAsia" w:ascii="微软雅黑" w:hAnsi="微软雅黑" w:eastAsia="微软雅黑" w:cs="微软雅黑"/>
          <w:b w:val="0"/>
          <w:bCs w:val="0"/>
          <w:color w:val="auto"/>
          <w:sz w:val="21"/>
          <w:szCs w:val="21"/>
          <w:highlight w:val="none"/>
        </w:rPr>
        <w:t>。</w:t>
      </w:r>
    </w:p>
    <w:p w14:paraId="2905ECC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（此项数据由竞标银行提供）</w:t>
      </w:r>
    </w:p>
    <w:p w14:paraId="1EDA04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1.3公共资金管理服务（3分）</w:t>
      </w:r>
    </w:p>
    <w:p w14:paraId="3B28CA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截至2024年末，竞标银行在市本级预算单位开立零余额账户数量情况。计分方法：排名第1得3分，第2名得2.5分，第3名得2分，第4名得1.5分，第5名得1分。其他不得分。（数据市财政局提供）</w:t>
      </w:r>
    </w:p>
    <w:p w14:paraId="3B844F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rPr>
        <w:t>.</w:t>
      </w:r>
      <w:r>
        <w:rPr>
          <w:rFonts w:hint="eastAsia" w:ascii="微软雅黑" w:hAnsi="微软雅黑" w:eastAsia="微软雅黑" w:cs="微软雅黑"/>
          <w:b/>
          <w:bCs/>
          <w:color w:val="auto"/>
          <w:sz w:val="21"/>
          <w:szCs w:val="21"/>
          <w:highlight w:val="none"/>
          <w:lang w:eastAsia="zh-CN"/>
        </w:rPr>
        <w:t>社保服务支持评价（</w:t>
      </w:r>
      <w:r>
        <w:rPr>
          <w:rFonts w:hint="eastAsia" w:ascii="微软雅黑" w:hAnsi="微软雅黑" w:eastAsia="微软雅黑" w:cs="微软雅黑"/>
          <w:b/>
          <w:bCs/>
          <w:color w:val="auto"/>
          <w:sz w:val="21"/>
          <w:szCs w:val="21"/>
          <w:highlight w:val="none"/>
          <w:lang w:val="en-US" w:eastAsia="zh-CN"/>
        </w:rPr>
        <w:t>10</w:t>
      </w:r>
      <w:r>
        <w:rPr>
          <w:rFonts w:hint="eastAsia" w:ascii="微软雅黑" w:hAnsi="微软雅黑" w:eastAsia="微软雅黑" w:cs="微软雅黑"/>
          <w:b/>
          <w:bCs/>
          <w:color w:val="auto"/>
          <w:sz w:val="21"/>
          <w:szCs w:val="21"/>
          <w:highlight w:val="none"/>
          <w:lang w:eastAsia="zh-CN"/>
        </w:rPr>
        <w:t>分）</w:t>
      </w:r>
    </w:p>
    <w:p w14:paraId="1B6C266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2.1账户开立情况（2分）</w:t>
      </w:r>
    </w:p>
    <w:p w14:paraId="604E4B0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截至2024年末，嘉兴市社保基金支出户开户情况。计分方法：除市本级外在市内有社保基金支出户开户的得2分，其他不得分。（竞标银行提供开户许可证复印件）</w:t>
      </w:r>
    </w:p>
    <w:p w14:paraId="257F0FC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2.2社保卡发放情况（1分）</w:t>
      </w:r>
    </w:p>
    <w:p w14:paraId="2B21898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截至2024年末，嘉兴市二代及三代社保卡发放量情况。计分方法：排名第1名得1分，每降低1名相应递减0.1分，减完为止。（以市人社局提供数据为准）</w:t>
      </w:r>
    </w:p>
    <w:p w14:paraId="3F497C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val="en-US" w:eastAsia="zh-CN"/>
        </w:rPr>
        <w:t>2.3</w:t>
      </w:r>
      <w:r>
        <w:rPr>
          <w:rFonts w:hint="eastAsia" w:ascii="微软雅黑" w:hAnsi="微软雅黑" w:eastAsia="微软雅黑" w:cs="微软雅黑"/>
          <w:b w:val="0"/>
          <w:bCs w:val="0"/>
          <w:color w:val="auto"/>
          <w:sz w:val="21"/>
          <w:szCs w:val="21"/>
          <w:highlight w:val="none"/>
          <w:lang w:eastAsia="zh-CN"/>
        </w:rPr>
        <w:t>社</w:t>
      </w:r>
      <w:r>
        <w:rPr>
          <w:rFonts w:hint="eastAsia" w:ascii="微软雅黑" w:hAnsi="微软雅黑" w:eastAsia="微软雅黑" w:cs="微软雅黑"/>
          <w:b w:val="0"/>
          <w:bCs w:val="0"/>
          <w:color w:val="auto"/>
          <w:sz w:val="21"/>
          <w:szCs w:val="21"/>
          <w:highlight w:val="none"/>
          <w:lang w:val="en-US" w:eastAsia="zh-CN"/>
        </w:rPr>
        <w:t>银合作网点</w:t>
      </w:r>
      <w:r>
        <w:rPr>
          <w:rFonts w:hint="eastAsia" w:ascii="微软雅黑" w:hAnsi="微软雅黑" w:eastAsia="微软雅黑" w:cs="微软雅黑"/>
          <w:b w:val="0"/>
          <w:bCs w:val="0"/>
          <w:color w:val="auto"/>
          <w:sz w:val="21"/>
          <w:szCs w:val="21"/>
          <w:highlight w:val="none"/>
        </w:rPr>
        <w:t>（</w:t>
      </w:r>
      <w:r>
        <w:rPr>
          <w:rFonts w:hint="eastAsia" w:ascii="微软雅黑" w:hAnsi="微软雅黑" w:eastAsia="微软雅黑" w:cs="微软雅黑"/>
          <w:b w:val="0"/>
          <w:bCs w:val="0"/>
          <w:color w:val="auto"/>
          <w:sz w:val="21"/>
          <w:szCs w:val="21"/>
          <w:highlight w:val="none"/>
          <w:lang w:val="en-US" w:eastAsia="zh-CN"/>
        </w:rPr>
        <w:t>1</w:t>
      </w:r>
      <w:r>
        <w:rPr>
          <w:rFonts w:hint="eastAsia" w:ascii="微软雅黑" w:hAnsi="微软雅黑" w:eastAsia="微软雅黑" w:cs="微软雅黑"/>
          <w:b w:val="0"/>
          <w:bCs w:val="0"/>
          <w:color w:val="auto"/>
          <w:sz w:val="21"/>
          <w:szCs w:val="21"/>
          <w:highlight w:val="none"/>
        </w:rPr>
        <w:t>分）</w:t>
      </w:r>
    </w:p>
    <w:p w14:paraId="2997DE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截至竞标日的上</w:t>
      </w:r>
      <w:r>
        <w:rPr>
          <w:rFonts w:hint="eastAsia" w:ascii="微软雅黑" w:hAnsi="微软雅黑" w:eastAsia="微软雅黑" w:cs="微软雅黑"/>
          <w:b w:val="0"/>
          <w:bCs w:val="0"/>
          <w:color w:val="auto"/>
          <w:sz w:val="21"/>
          <w:szCs w:val="21"/>
          <w:highlight w:val="none"/>
          <w:lang w:eastAsia="zh-CN"/>
        </w:rPr>
        <w:t>月</w:t>
      </w:r>
      <w:r>
        <w:rPr>
          <w:rFonts w:hint="eastAsia" w:ascii="微软雅黑" w:hAnsi="微软雅黑" w:eastAsia="微软雅黑" w:cs="微软雅黑"/>
          <w:b w:val="0"/>
          <w:bCs w:val="0"/>
          <w:color w:val="auto"/>
          <w:sz w:val="21"/>
          <w:szCs w:val="21"/>
          <w:highlight w:val="none"/>
        </w:rPr>
        <w:t>末</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lang w:val="en-US" w:eastAsia="zh-CN"/>
        </w:rPr>
        <w:t>市本级社银合作网点数量情况。计分方法：排名第1名得1分，每降低1名相应递减0.1分，减完为止。</w:t>
      </w:r>
      <w:r>
        <w:rPr>
          <w:rFonts w:hint="eastAsia" w:ascii="微软雅黑" w:hAnsi="微软雅黑" w:eastAsia="微软雅黑" w:cs="微软雅黑"/>
          <w:b w:val="0"/>
          <w:bCs w:val="0"/>
          <w:color w:val="auto"/>
          <w:spacing w:val="-6"/>
          <w:sz w:val="21"/>
          <w:szCs w:val="21"/>
          <w:highlight w:val="none"/>
        </w:rPr>
        <w:t>（</w:t>
      </w:r>
      <w:r>
        <w:rPr>
          <w:rFonts w:hint="eastAsia" w:ascii="微软雅黑" w:hAnsi="微软雅黑" w:eastAsia="微软雅黑" w:cs="微软雅黑"/>
          <w:b w:val="0"/>
          <w:bCs w:val="0"/>
          <w:color w:val="auto"/>
          <w:spacing w:val="-6"/>
          <w:sz w:val="21"/>
          <w:szCs w:val="21"/>
          <w:highlight w:val="none"/>
          <w:lang w:eastAsia="zh-CN"/>
        </w:rPr>
        <w:t>以市人社局提供数据为准</w:t>
      </w:r>
      <w:r>
        <w:rPr>
          <w:rFonts w:hint="eastAsia" w:ascii="微软雅黑" w:hAnsi="微软雅黑" w:eastAsia="微软雅黑" w:cs="微软雅黑"/>
          <w:b w:val="0"/>
          <w:bCs w:val="0"/>
          <w:color w:val="auto"/>
          <w:spacing w:val="-6"/>
          <w:sz w:val="21"/>
          <w:szCs w:val="21"/>
          <w:highlight w:val="none"/>
        </w:rPr>
        <w:t>）</w:t>
      </w:r>
    </w:p>
    <w:p w14:paraId="3CE3C64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2.4业务合作服务（1分）</w:t>
      </w:r>
    </w:p>
    <w:p w14:paraId="76443FC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val="en-US" w:eastAsia="zh-CN"/>
        </w:rPr>
        <w:t>2025年1月1日至竞标日的上月末，</w:t>
      </w:r>
      <w:r>
        <w:rPr>
          <w:rFonts w:hint="eastAsia" w:ascii="微软雅黑" w:hAnsi="微软雅黑" w:eastAsia="微软雅黑" w:cs="微软雅黑"/>
          <w:b w:val="0"/>
          <w:bCs w:val="0"/>
          <w:color w:val="auto"/>
          <w:sz w:val="21"/>
          <w:szCs w:val="21"/>
          <w:highlight w:val="none"/>
        </w:rPr>
        <w:t>依据</w:t>
      </w:r>
      <w:r>
        <w:rPr>
          <w:rFonts w:hint="eastAsia" w:ascii="微软雅黑" w:hAnsi="微软雅黑" w:eastAsia="微软雅黑" w:cs="微软雅黑"/>
          <w:b w:val="0"/>
          <w:bCs w:val="0"/>
          <w:color w:val="auto"/>
          <w:sz w:val="21"/>
          <w:szCs w:val="21"/>
          <w:highlight w:val="none"/>
          <w:lang w:eastAsia="zh-CN"/>
        </w:rPr>
        <w:t>竞标银行社银合作事项经办业务量</w:t>
      </w:r>
      <w:r>
        <w:rPr>
          <w:rFonts w:hint="eastAsia" w:ascii="微软雅黑" w:hAnsi="微软雅黑" w:eastAsia="微软雅黑" w:cs="微软雅黑"/>
          <w:b w:val="0"/>
          <w:bCs w:val="0"/>
          <w:color w:val="auto"/>
          <w:sz w:val="21"/>
          <w:szCs w:val="21"/>
          <w:highlight w:val="none"/>
        </w:rPr>
        <w:t>予以赋分。</w:t>
      </w:r>
      <w:r>
        <w:rPr>
          <w:rFonts w:hint="eastAsia" w:ascii="微软雅黑" w:hAnsi="微软雅黑" w:eastAsia="微软雅黑" w:cs="微软雅黑"/>
          <w:b w:val="0"/>
          <w:bCs w:val="0"/>
          <w:color w:val="auto"/>
          <w:sz w:val="21"/>
          <w:szCs w:val="21"/>
          <w:highlight w:val="none"/>
          <w:lang w:val="en-US" w:eastAsia="zh-CN"/>
        </w:rPr>
        <w:t>计分方法：排名第1名得1分，每降低1名相应递减0.1分，减完为止。</w:t>
      </w:r>
      <w:r>
        <w:rPr>
          <w:rFonts w:hint="eastAsia" w:ascii="微软雅黑" w:hAnsi="微软雅黑" w:eastAsia="微软雅黑" w:cs="微软雅黑"/>
          <w:b w:val="0"/>
          <w:bCs w:val="0"/>
          <w:color w:val="auto"/>
          <w:sz w:val="21"/>
          <w:szCs w:val="21"/>
          <w:highlight w:val="none"/>
        </w:rPr>
        <w:t>（</w:t>
      </w:r>
      <w:r>
        <w:rPr>
          <w:rFonts w:hint="eastAsia" w:ascii="微软雅黑" w:hAnsi="微软雅黑" w:eastAsia="微软雅黑" w:cs="微软雅黑"/>
          <w:b w:val="0"/>
          <w:bCs w:val="0"/>
          <w:color w:val="auto"/>
          <w:spacing w:val="-6"/>
          <w:sz w:val="21"/>
          <w:szCs w:val="21"/>
          <w:highlight w:val="none"/>
          <w:lang w:eastAsia="zh-CN"/>
        </w:rPr>
        <w:t>以市人社局提供数据为准</w:t>
      </w:r>
      <w:r>
        <w:rPr>
          <w:rFonts w:hint="eastAsia" w:ascii="微软雅黑" w:hAnsi="微软雅黑" w:eastAsia="微软雅黑" w:cs="微软雅黑"/>
          <w:b w:val="0"/>
          <w:bCs w:val="0"/>
          <w:color w:val="auto"/>
          <w:sz w:val="21"/>
          <w:szCs w:val="21"/>
          <w:highlight w:val="none"/>
        </w:rPr>
        <w:t>）。</w:t>
      </w:r>
    </w:p>
    <w:p w14:paraId="0ABD3A5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2.5企业年金和个人养老金账户情况（1分）</w:t>
      </w:r>
    </w:p>
    <w:p w14:paraId="509C8DF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依据竞标银行2024年底嘉兴全市企业年金和个人养老金账户情况予以赋分，其中企业年金基金账户管理户数情况0.5分，排名第1名的得0.5分，每降低1名相应递减0.05分，减完为止；个人养老金账户开户情况0.5分，排名第1名的得0.5分，每降低1名相应递减0.05分，减完为止。（投标银行提供证明材料）</w:t>
      </w:r>
    </w:p>
    <w:p w14:paraId="1316E9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2.6社保资金管理日常配合度（4）</w:t>
      </w:r>
    </w:p>
    <w:p w14:paraId="40825BB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eastAsia="zh-CN"/>
        </w:rPr>
        <w:t>依据</w:t>
      </w:r>
      <w:r>
        <w:rPr>
          <w:rFonts w:hint="eastAsia" w:ascii="微软雅黑" w:hAnsi="微软雅黑" w:eastAsia="微软雅黑" w:cs="微软雅黑"/>
          <w:b w:val="0"/>
          <w:bCs w:val="0"/>
          <w:color w:val="auto"/>
          <w:sz w:val="21"/>
          <w:szCs w:val="21"/>
          <w:highlight w:val="none"/>
          <w:lang w:val="en-US" w:eastAsia="zh-CN"/>
        </w:rPr>
        <w:t>竞标日上月承办市本级社保社会化发放情况予以赋分，其中业务量情况2分，资金量情况2分。计分办法：业务量情况排名第1名得2分，每降低1名相应递减0.2分，减完为止；资金量情况排名第1名得2分，每降低1名相应递减0.2分，减完为止。（以市人社局提供数据为准）</w:t>
      </w:r>
    </w:p>
    <w:p w14:paraId="6FEA1D93">
      <w:pPr>
        <w:keepNext w:val="0"/>
        <w:keepLines w:val="0"/>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微软雅黑" w:hAnsi="微软雅黑" w:eastAsia="微软雅黑" w:cs="微软雅黑"/>
          <w:b/>
          <w:bCs/>
          <w:color w:val="auto"/>
          <w:spacing w:val="-6"/>
          <w:sz w:val="21"/>
          <w:szCs w:val="21"/>
          <w:highlight w:val="none"/>
        </w:rPr>
      </w:pPr>
      <w:r>
        <w:rPr>
          <w:rFonts w:hint="eastAsia" w:ascii="微软雅黑" w:hAnsi="微软雅黑" w:eastAsia="微软雅黑" w:cs="微软雅黑"/>
          <w:b/>
          <w:bCs/>
          <w:color w:val="auto"/>
          <w:spacing w:val="-6"/>
          <w:sz w:val="21"/>
          <w:szCs w:val="21"/>
          <w:highlight w:val="none"/>
          <w:lang w:val="en-US" w:eastAsia="zh-CN"/>
        </w:rPr>
        <w:t>3.日常</w:t>
      </w:r>
      <w:r>
        <w:rPr>
          <w:rFonts w:hint="eastAsia" w:ascii="微软雅黑" w:hAnsi="微软雅黑" w:eastAsia="微软雅黑" w:cs="微软雅黑"/>
          <w:b/>
          <w:bCs/>
          <w:color w:val="auto"/>
          <w:spacing w:val="-6"/>
          <w:sz w:val="21"/>
          <w:szCs w:val="21"/>
          <w:highlight w:val="none"/>
        </w:rPr>
        <w:t>服务（</w:t>
      </w:r>
      <w:r>
        <w:rPr>
          <w:rFonts w:hint="eastAsia" w:ascii="微软雅黑" w:hAnsi="微软雅黑" w:eastAsia="微软雅黑" w:cs="微软雅黑"/>
          <w:b/>
          <w:bCs/>
          <w:color w:val="auto"/>
          <w:spacing w:val="-6"/>
          <w:sz w:val="21"/>
          <w:szCs w:val="21"/>
          <w:highlight w:val="none"/>
          <w:lang w:val="en-US" w:eastAsia="zh-CN"/>
        </w:rPr>
        <w:t>10</w:t>
      </w:r>
      <w:r>
        <w:rPr>
          <w:rFonts w:hint="eastAsia" w:ascii="微软雅黑" w:hAnsi="微软雅黑" w:eastAsia="微软雅黑" w:cs="微软雅黑"/>
          <w:b/>
          <w:bCs/>
          <w:color w:val="auto"/>
          <w:spacing w:val="-6"/>
          <w:sz w:val="21"/>
          <w:szCs w:val="21"/>
          <w:highlight w:val="none"/>
        </w:rPr>
        <w:t>分）</w:t>
      </w:r>
    </w:p>
    <w:p w14:paraId="12299FCE">
      <w:pPr>
        <w:keepNext w:val="0"/>
        <w:keepLines w:val="0"/>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微软雅黑" w:hAnsi="微软雅黑" w:eastAsia="微软雅黑" w:cs="微软雅黑"/>
          <w:b w:val="0"/>
          <w:bCs w:val="0"/>
          <w:color w:val="auto"/>
          <w:spacing w:val="-6"/>
          <w:sz w:val="21"/>
          <w:szCs w:val="21"/>
          <w:highlight w:val="none"/>
        </w:rPr>
      </w:pPr>
      <w:r>
        <w:rPr>
          <w:rFonts w:hint="eastAsia" w:ascii="微软雅黑" w:hAnsi="微软雅黑" w:eastAsia="微软雅黑" w:cs="微软雅黑"/>
          <w:b w:val="0"/>
          <w:bCs w:val="0"/>
          <w:color w:val="auto"/>
          <w:spacing w:val="-6"/>
          <w:sz w:val="21"/>
          <w:szCs w:val="21"/>
          <w:highlight w:val="none"/>
          <w:lang w:val="en-US" w:eastAsia="zh-CN"/>
        </w:rPr>
        <w:t>3.1服务优惠（1分）。依据竞标银行收取的业务服务费评分。有效竞标银行承诺免收各项服务费用的，得1分；收取部分业务手续费的，得0.5分；无手续费优惠服务的，不得分。</w:t>
      </w:r>
      <w:r>
        <w:rPr>
          <w:rFonts w:hint="eastAsia" w:ascii="微软雅黑" w:hAnsi="微软雅黑" w:eastAsia="微软雅黑" w:cs="微软雅黑"/>
          <w:b w:val="0"/>
          <w:bCs w:val="0"/>
          <w:color w:val="auto"/>
          <w:spacing w:val="-6"/>
          <w:sz w:val="21"/>
          <w:szCs w:val="21"/>
          <w:highlight w:val="none"/>
        </w:rPr>
        <w:t>（</w:t>
      </w:r>
      <w:r>
        <w:rPr>
          <w:rFonts w:hint="eastAsia" w:ascii="微软雅黑" w:hAnsi="微软雅黑" w:eastAsia="微软雅黑" w:cs="微软雅黑"/>
          <w:b w:val="0"/>
          <w:bCs w:val="0"/>
          <w:color w:val="auto"/>
          <w:spacing w:val="-6"/>
          <w:sz w:val="21"/>
          <w:szCs w:val="21"/>
          <w:highlight w:val="none"/>
          <w:lang w:val="en-US" w:eastAsia="zh-CN"/>
        </w:rPr>
        <w:t>由竞标银行</w:t>
      </w:r>
      <w:r>
        <w:rPr>
          <w:rFonts w:hint="eastAsia" w:ascii="微软雅黑" w:hAnsi="微软雅黑" w:eastAsia="微软雅黑" w:cs="微软雅黑"/>
          <w:b w:val="0"/>
          <w:bCs w:val="0"/>
          <w:color w:val="auto"/>
          <w:spacing w:val="-6"/>
          <w:sz w:val="21"/>
          <w:szCs w:val="21"/>
          <w:highlight w:val="none"/>
        </w:rPr>
        <w:t>提供</w:t>
      </w:r>
      <w:r>
        <w:rPr>
          <w:rFonts w:hint="eastAsia" w:ascii="微软雅黑" w:hAnsi="微软雅黑" w:eastAsia="微软雅黑" w:cs="微软雅黑"/>
          <w:b w:val="0"/>
          <w:bCs w:val="0"/>
          <w:color w:val="auto"/>
          <w:spacing w:val="-6"/>
          <w:sz w:val="21"/>
          <w:szCs w:val="21"/>
          <w:highlight w:val="none"/>
          <w:lang w:val="en-US" w:eastAsia="zh-CN"/>
        </w:rPr>
        <w:t>承诺函</w:t>
      </w:r>
      <w:r>
        <w:rPr>
          <w:rFonts w:hint="eastAsia" w:ascii="微软雅黑" w:hAnsi="微软雅黑" w:eastAsia="微软雅黑" w:cs="微软雅黑"/>
          <w:b w:val="0"/>
          <w:bCs w:val="0"/>
          <w:color w:val="auto"/>
          <w:spacing w:val="-6"/>
          <w:sz w:val="21"/>
          <w:szCs w:val="21"/>
          <w:highlight w:val="none"/>
        </w:rPr>
        <w:t>）</w:t>
      </w:r>
    </w:p>
    <w:p w14:paraId="76C13666">
      <w:pPr>
        <w:keepNext w:val="0"/>
        <w:keepLines w:val="0"/>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微软雅黑" w:hAnsi="微软雅黑" w:eastAsia="微软雅黑" w:cs="微软雅黑"/>
          <w:b w:val="0"/>
          <w:bCs w:val="0"/>
          <w:color w:val="auto"/>
          <w:spacing w:val="-6"/>
          <w:sz w:val="21"/>
          <w:szCs w:val="21"/>
          <w:highlight w:val="none"/>
          <w:lang w:val="en-US" w:eastAsia="zh-CN"/>
        </w:rPr>
      </w:pPr>
      <w:r>
        <w:rPr>
          <w:rFonts w:hint="eastAsia" w:ascii="微软雅黑" w:hAnsi="微软雅黑" w:eastAsia="微软雅黑" w:cs="微软雅黑"/>
          <w:b w:val="0"/>
          <w:bCs w:val="0"/>
          <w:color w:val="auto"/>
          <w:spacing w:val="-6"/>
          <w:sz w:val="21"/>
          <w:szCs w:val="21"/>
          <w:highlight w:val="none"/>
          <w:lang w:val="en-US" w:eastAsia="zh-CN"/>
        </w:rPr>
        <w:t>3.2服务人员（4分）。竞标银行承诺中标后在经办机构派人驻点服务，最高得4分。人员数量满足2人得2分（低于2人不得分）；每增加1人加1分，最高得4分。派驻人员应符合以下要求：①原则上年龄不超过40周岁；②原则上为投标银行正式人员；③原则上具有大学本科及以上学历；④符合相应的岗位要求，具有金融、统计分析、财务管理、计算机信息、法律等专业背景或工作经历；⑤接受招标人日常考核管理，投标银行对考核不合格人员要及时予以更换。</w:t>
      </w:r>
    </w:p>
    <w:p w14:paraId="310A90F6">
      <w:pPr>
        <w:keepNext w:val="0"/>
        <w:keepLines w:val="0"/>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微软雅黑" w:hAnsi="微软雅黑" w:eastAsia="微软雅黑" w:cs="微软雅黑"/>
          <w:b w:val="0"/>
          <w:bCs w:val="0"/>
          <w:color w:val="auto"/>
          <w:spacing w:val="-6"/>
          <w:sz w:val="21"/>
          <w:szCs w:val="21"/>
          <w:highlight w:val="none"/>
        </w:rPr>
      </w:pPr>
      <w:r>
        <w:rPr>
          <w:rFonts w:hint="eastAsia" w:ascii="微软雅黑" w:hAnsi="微软雅黑" w:eastAsia="微软雅黑" w:cs="微软雅黑"/>
          <w:b w:val="0"/>
          <w:bCs w:val="0"/>
          <w:color w:val="auto"/>
          <w:spacing w:val="-6"/>
          <w:sz w:val="21"/>
          <w:szCs w:val="21"/>
          <w:highlight w:val="none"/>
        </w:rPr>
        <w:t>（</w:t>
      </w:r>
      <w:r>
        <w:rPr>
          <w:rFonts w:hint="eastAsia" w:ascii="微软雅黑" w:hAnsi="微软雅黑" w:eastAsia="微软雅黑" w:cs="微软雅黑"/>
          <w:b w:val="0"/>
          <w:bCs w:val="0"/>
          <w:color w:val="auto"/>
          <w:spacing w:val="-6"/>
          <w:sz w:val="21"/>
          <w:szCs w:val="21"/>
          <w:highlight w:val="none"/>
          <w:lang w:val="en-US" w:eastAsia="zh-CN"/>
        </w:rPr>
        <w:t>由竞标银行</w:t>
      </w:r>
      <w:r>
        <w:rPr>
          <w:rFonts w:hint="eastAsia" w:ascii="微软雅黑" w:hAnsi="微软雅黑" w:eastAsia="微软雅黑" w:cs="微软雅黑"/>
          <w:b w:val="0"/>
          <w:bCs w:val="0"/>
          <w:color w:val="auto"/>
          <w:spacing w:val="-6"/>
          <w:sz w:val="21"/>
          <w:szCs w:val="21"/>
          <w:highlight w:val="none"/>
        </w:rPr>
        <w:t>提供</w:t>
      </w:r>
      <w:r>
        <w:rPr>
          <w:rFonts w:hint="eastAsia" w:ascii="微软雅黑" w:hAnsi="微软雅黑" w:eastAsia="微软雅黑" w:cs="微软雅黑"/>
          <w:b w:val="0"/>
          <w:bCs w:val="0"/>
          <w:color w:val="auto"/>
          <w:spacing w:val="-6"/>
          <w:sz w:val="21"/>
          <w:szCs w:val="21"/>
          <w:highlight w:val="none"/>
          <w:lang w:val="en-US" w:eastAsia="zh-CN"/>
        </w:rPr>
        <w:t>承诺函</w:t>
      </w:r>
      <w:r>
        <w:rPr>
          <w:rFonts w:hint="eastAsia" w:ascii="微软雅黑" w:hAnsi="微软雅黑" w:eastAsia="微软雅黑" w:cs="微软雅黑"/>
          <w:b w:val="0"/>
          <w:bCs w:val="0"/>
          <w:color w:val="auto"/>
          <w:spacing w:val="-6"/>
          <w:sz w:val="21"/>
          <w:szCs w:val="21"/>
          <w:highlight w:val="none"/>
        </w:rPr>
        <w:t>）</w:t>
      </w:r>
    </w:p>
    <w:p w14:paraId="4F2D1EE1">
      <w:pPr>
        <w:keepNext w:val="0"/>
        <w:keepLines w:val="0"/>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微软雅黑" w:hAnsi="微软雅黑" w:eastAsia="微软雅黑" w:cs="微软雅黑"/>
          <w:b w:val="0"/>
          <w:bCs w:val="0"/>
          <w:color w:val="auto"/>
          <w:spacing w:val="-6"/>
          <w:sz w:val="21"/>
          <w:szCs w:val="21"/>
          <w:highlight w:val="none"/>
          <w:lang w:val="en-US" w:eastAsia="zh-CN"/>
        </w:rPr>
      </w:pPr>
      <w:r>
        <w:rPr>
          <w:rFonts w:hint="eastAsia" w:ascii="微软雅黑" w:hAnsi="微软雅黑" w:eastAsia="微软雅黑" w:cs="微软雅黑"/>
          <w:b w:val="0"/>
          <w:bCs w:val="0"/>
          <w:color w:val="auto"/>
          <w:spacing w:val="-6"/>
          <w:sz w:val="21"/>
          <w:szCs w:val="21"/>
          <w:highlight w:val="none"/>
          <w:lang w:val="en-US" w:eastAsia="zh-CN"/>
        </w:rPr>
        <w:t>3.3增值服务（5分）</w:t>
      </w:r>
    </w:p>
    <w:p w14:paraId="6A731058">
      <w:pPr>
        <w:keepNext w:val="0"/>
        <w:keepLines w:val="0"/>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default" w:ascii="微软雅黑" w:hAnsi="微软雅黑" w:eastAsia="微软雅黑" w:cs="微软雅黑"/>
          <w:b w:val="0"/>
          <w:bCs w:val="0"/>
          <w:color w:val="auto"/>
          <w:spacing w:val="-6"/>
          <w:sz w:val="21"/>
          <w:szCs w:val="21"/>
          <w:highlight w:val="none"/>
          <w:lang w:val="en-US" w:eastAsia="zh-CN"/>
        </w:rPr>
      </w:pPr>
      <w:r>
        <w:rPr>
          <w:rFonts w:hint="eastAsia" w:ascii="微软雅黑" w:hAnsi="微软雅黑" w:eastAsia="微软雅黑" w:cs="微软雅黑"/>
          <w:b w:val="0"/>
          <w:bCs w:val="0"/>
          <w:color w:val="auto"/>
          <w:spacing w:val="-6"/>
          <w:sz w:val="21"/>
          <w:szCs w:val="21"/>
          <w:highlight w:val="none"/>
          <w:lang w:val="en-US" w:eastAsia="zh-CN"/>
        </w:rPr>
        <w:t>依据竞标银行提供的合同期内给予本单位增值服务方案评分，包括但不限于为提高社保管理和服务水平投入的数字化项目建设、内部控制管理和服务支持等。根据增值服务方案是否有针对性、可行性以及投入情况，横向比较综合得分，优的得4-5分，较好的得3-3.9分，一般的得2-2.9分，较差的得0-1.9分。没有提供的不得分，最高得5分。</w:t>
      </w:r>
    </w:p>
    <w:p w14:paraId="24A9A7F7">
      <w:pPr>
        <w:keepNext w:val="0"/>
        <w:keepLines w:val="0"/>
        <w:pageBreakBefore w:val="0"/>
        <w:widowControl w:val="0"/>
        <w:kinsoku/>
        <w:wordWrap/>
        <w:overflowPunct/>
        <w:topLinePunct w:val="0"/>
        <w:autoSpaceDE/>
        <w:autoSpaceDN/>
        <w:bidi w:val="0"/>
        <w:adjustRightInd/>
        <w:snapToGrid w:val="0"/>
        <w:spacing w:line="360" w:lineRule="auto"/>
        <w:ind w:firstLine="416" w:firstLineChars="200"/>
        <w:textAlignment w:val="auto"/>
        <w:rPr>
          <w:rFonts w:hint="eastAsia" w:ascii="微软雅黑" w:hAnsi="微软雅黑" w:eastAsia="微软雅黑" w:cs="微软雅黑"/>
          <w:b/>
          <w:bCs/>
          <w:color w:val="auto"/>
          <w:spacing w:val="-1"/>
          <w:sz w:val="21"/>
          <w:szCs w:val="21"/>
          <w:highlight w:val="none"/>
        </w:rPr>
      </w:pPr>
      <w:r>
        <w:rPr>
          <w:rFonts w:hint="eastAsia" w:ascii="微软雅黑" w:hAnsi="微软雅黑" w:eastAsia="微软雅黑" w:cs="微软雅黑"/>
          <w:b/>
          <w:bCs/>
          <w:color w:val="auto"/>
          <w:spacing w:val="-1"/>
          <w:sz w:val="21"/>
          <w:szCs w:val="21"/>
          <w:highlight w:val="none"/>
          <w:lang w:val="en-US" w:eastAsia="zh-CN"/>
        </w:rPr>
        <w:t>4</w:t>
      </w:r>
      <w:r>
        <w:rPr>
          <w:rFonts w:hint="eastAsia" w:ascii="微软雅黑" w:hAnsi="微软雅黑" w:eastAsia="微软雅黑" w:cs="微软雅黑"/>
          <w:b/>
          <w:bCs/>
          <w:color w:val="auto"/>
          <w:spacing w:val="-1"/>
          <w:sz w:val="21"/>
          <w:szCs w:val="21"/>
          <w:highlight w:val="none"/>
        </w:rPr>
        <w:t>.系统建设和运维能力（</w:t>
      </w:r>
      <w:r>
        <w:rPr>
          <w:rFonts w:hint="eastAsia" w:ascii="微软雅黑" w:hAnsi="微软雅黑" w:eastAsia="微软雅黑" w:cs="微软雅黑"/>
          <w:b/>
          <w:bCs/>
          <w:color w:val="auto"/>
          <w:spacing w:val="-1"/>
          <w:sz w:val="21"/>
          <w:szCs w:val="21"/>
          <w:highlight w:val="none"/>
          <w:lang w:val="en-US" w:eastAsia="zh-CN"/>
        </w:rPr>
        <w:t>4</w:t>
      </w:r>
      <w:r>
        <w:rPr>
          <w:rFonts w:hint="eastAsia" w:ascii="微软雅黑" w:hAnsi="微软雅黑" w:eastAsia="微软雅黑" w:cs="微软雅黑"/>
          <w:b/>
          <w:bCs/>
          <w:color w:val="auto"/>
          <w:spacing w:val="-1"/>
          <w:sz w:val="21"/>
          <w:szCs w:val="21"/>
          <w:highlight w:val="none"/>
        </w:rPr>
        <w:t>分）。</w:t>
      </w:r>
    </w:p>
    <w:p w14:paraId="6F5EFDF8">
      <w:pPr>
        <w:keepNext w:val="0"/>
        <w:keepLines w:val="0"/>
        <w:pageBreakBefore w:val="0"/>
        <w:widowControl w:val="0"/>
        <w:kinsoku/>
        <w:wordWrap/>
        <w:overflowPunct/>
        <w:topLinePunct w:val="0"/>
        <w:autoSpaceDE/>
        <w:autoSpaceDN/>
        <w:bidi w:val="0"/>
        <w:adjustRightInd/>
        <w:snapToGrid w:val="0"/>
        <w:spacing w:line="360" w:lineRule="auto"/>
        <w:ind w:firstLine="416" w:firstLineChars="200"/>
        <w:textAlignment w:val="auto"/>
        <w:rPr>
          <w:rFonts w:hint="eastAsia" w:ascii="微软雅黑" w:hAnsi="微软雅黑" w:eastAsia="微软雅黑" w:cs="微软雅黑"/>
          <w:b w:val="0"/>
          <w:bCs w:val="0"/>
          <w:color w:val="auto"/>
          <w:spacing w:val="-1"/>
          <w:sz w:val="21"/>
          <w:szCs w:val="21"/>
          <w:highlight w:val="none"/>
        </w:rPr>
      </w:pPr>
      <w:r>
        <w:rPr>
          <w:rFonts w:hint="eastAsia" w:ascii="微软雅黑" w:hAnsi="微软雅黑" w:eastAsia="微软雅黑" w:cs="微软雅黑"/>
          <w:b w:val="0"/>
          <w:bCs w:val="0"/>
          <w:color w:val="auto"/>
          <w:spacing w:val="-1"/>
          <w:sz w:val="21"/>
          <w:szCs w:val="21"/>
          <w:highlight w:val="none"/>
        </w:rPr>
        <w:t>根据有效竞标银行提供的对接</w:t>
      </w:r>
      <w:r>
        <w:rPr>
          <w:rFonts w:hint="eastAsia" w:ascii="微软雅黑" w:hAnsi="微软雅黑" w:eastAsia="微软雅黑" w:cs="微软雅黑"/>
          <w:b w:val="0"/>
          <w:bCs w:val="0"/>
          <w:color w:val="auto"/>
          <w:spacing w:val="-1"/>
          <w:sz w:val="21"/>
          <w:szCs w:val="21"/>
          <w:highlight w:val="none"/>
          <w:lang w:eastAsia="zh-CN"/>
        </w:rPr>
        <w:t>社</w:t>
      </w:r>
      <w:r>
        <w:rPr>
          <w:rFonts w:hint="eastAsia" w:ascii="微软雅黑" w:hAnsi="微软雅黑" w:eastAsia="微软雅黑" w:cs="微软雅黑"/>
          <w:b w:val="0"/>
          <w:bCs w:val="0"/>
          <w:color w:val="auto"/>
          <w:spacing w:val="-1"/>
          <w:sz w:val="21"/>
          <w:szCs w:val="21"/>
          <w:highlight w:val="none"/>
        </w:rPr>
        <w:t>保业务经办管理信息系统建设方案评分。具体内容为：</w:t>
      </w:r>
    </w:p>
    <w:p w14:paraId="77F14D8E">
      <w:pPr>
        <w:keepNext w:val="0"/>
        <w:keepLines w:val="0"/>
        <w:pageBreakBefore w:val="0"/>
        <w:widowControl w:val="0"/>
        <w:kinsoku/>
        <w:wordWrap/>
        <w:overflowPunct/>
        <w:topLinePunct w:val="0"/>
        <w:autoSpaceDE/>
        <w:autoSpaceDN/>
        <w:bidi w:val="0"/>
        <w:adjustRightInd/>
        <w:snapToGrid w:val="0"/>
        <w:spacing w:line="360" w:lineRule="auto"/>
        <w:ind w:firstLine="416" w:firstLineChars="200"/>
        <w:textAlignment w:val="auto"/>
        <w:rPr>
          <w:rFonts w:hint="eastAsia" w:ascii="微软雅黑" w:hAnsi="微软雅黑" w:eastAsia="微软雅黑" w:cs="微软雅黑"/>
          <w:b w:val="0"/>
          <w:bCs w:val="0"/>
          <w:color w:val="auto"/>
          <w:spacing w:val="-1"/>
          <w:sz w:val="21"/>
          <w:szCs w:val="21"/>
          <w:highlight w:val="none"/>
        </w:rPr>
      </w:pPr>
      <w:r>
        <w:rPr>
          <w:rFonts w:hint="eastAsia" w:ascii="微软雅黑" w:hAnsi="微软雅黑" w:eastAsia="微软雅黑" w:cs="微软雅黑"/>
          <w:b w:val="0"/>
          <w:bCs w:val="0"/>
          <w:color w:val="auto"/>
          <w:spacing w:val="-1"/>
          <w:sz w:val="21"/>
          <w:szCs w:val="21"/>
          <w:highlight w:val="none"/>
          <w:lang w:val="en-US" w:eastAsia="zh-CN"/>
        </w:rPr>
        <w:t>4</w:t>
      </w:r>
      <w:r>
        <w:rPr>
          <w:rFonts w:hint="eastAsia" w:ascii="微软雅黑" w:hAnsi="微软雅黑" w:eastAsia="微软雅黑" w:cs="微软雅黑"/>
          <w:b w:val="0"/>
          <w:bCs w:val="0"/>
          <w:color w:val="auto"/>
          <w:spacing w:val="-1"/>
          <w:sz w:val="21"/>
          <w:szCs w:val="21"/>
          <w:highlight w:val="none"/>
        </w:rPr>
        <w:t>.1系统灾备与恢复能力（</w:t>
      </w:r>
      <w:r>
        <w:rPr>
          <w:rFonts w:hint="eastAsia" w:ascii="微软雅黑" w:hAnsi="微软雅黑" w:eastAsia="微软雅黑" w:cs="微软雅黑"/>
          <w:b/>
          <w:bCs/>
          <w:color w:val="auto"/>
          <w:spacing w:val="-1"/>
          <w:sz w:val="21"/>
          <w:szCs w:val="21"/>
          <w:highlight w:val="none"/>
          <w:lang w:val="en-US" w:eastAsia="zh-CN"/>
        </w:rPr>
        <w:t>1</w:t>
      </w:r>
      <w:r>
        <w:rPr>
          <w:rFonts w:hint="eastAsia" w:ascii="微软雅黑" w:hAnsi="微软雅黑" w:eastAsia="微软雅黑" w:cs="微软雅黑"/>
          <w:b w:val="0"/>
          <w:bCs w:val="0"/>
          <w:color w:val="auto"/>
          <w:spacing w:val="-1"/>
          <w:sz w:val="21"/>
          <w:szCs w:val="21"/>
          <w:highlight w:val="none"/>
        </w:rPr>
        <w:t>分）。有效竞标银行的系统灾备与恢复能力达到异地灾备的，得</w:t>
      </w:r>
      <w:r>
        <w:rPr>
          <w:rFonts w:hint="eastAsia" w:ascii="微软雅黑" w:hAnsi="微软雅黑" w:eastAsia="微软雅黑" w:cs="微软雅黑"/>
          <w:b/>
          <w:bCs/>
          <w:color w:val="auto"/>
          <w:spacing w:val="-1"/>
          <w:sz w:val="21"/>
          <w:szCs w:val="21"/>
          <w:highlight w:val="none"/>
          <w:lang w:val="en-US" w:eastAsia="zh-CN"/>
        </w:rPr>
        <w:t>1</w:t>
      </w:r>
      <w:r>
        <w:rPr>
          <w:rFonts w:hint="eastAsia" w:ascii="微软雅黑" w:hAnsi="微软雅黑" w:eastAsia="微软雅黑" w:cs="微软雅黑"/>
          <w:b w:val="0"/>
          <w:bCs w:val="0"/>
          <w:color w:val="auto"/>
          <w:spacing w:val="-1"/>
          <w:sz w:val="21"/>
          <w:szCs w:val="21"/>
          <w:highlight w:val="none"/>
        </w:rPr>
        <w:t>分；达到同城异地灾备的，得</w:t>
      </w:r>
      <w:r>
        <w:rPr>
          <w:rFonts w:hint="eastAsia" w:ascii="微软雅黑" w:hAnsi="微软雅黑" w:eastAsia="微软雅黑" w:cs="微软雅黑"/>
          <w:b/>
          <w:bCs/>
          <w:color w:val="auto"/>
          <w:spacing w:val="-1"/>
          <w:sz w:val="21"/>
          <w:szCs w:val="21"/>
          <w:highlight w:val="none"/>
          <w:lang w:val="en-US" w:eastAsia="zh-CN"/>
        </w:rPr>
        <w:t>0.5</w:t>
      </w:r>
      <w:r>
        <w:rPr>
          <w:rFonts w:hint="eastAsia" w:ascii="微软雅黑" w:hAnsi="微软雅黑" w:eastAsia="微软雅黑" w:cs="微软雅黑"/>
          <w:b w:val="0"/>
          <w:bCs w:val="0"/>
          <w:color w:val="auto"/>
          <w:spacing w:val="-1"/>
          <w:sz w:val="21"/>
          <w:szCs w:val="21"/>
          <w:highlight w:val="none"/>
        </w:rPr>
        <w:t>分；无异地灾备的，不得分。</w:t>
      </w:r>
    </w:p>
    <w:p w14:paraId="408B160A">
      <w:pPr>
        <w:keepNext w:val="0"/>
        <w:keepLines w:val="0"/>
        <w:pageBreakBefore w:val="0"/>
        <w:widowControl w:val="0"/>
        <w:kinsoku/>
        <w:wordWrap/>
        <w:overflowPunct/>
        <w:topLinePunct w:val="0"/>
        <w:autoSpaceDE/>
        <w:autoSpaceDN/>
        <w:bidi w:val="0"/>
        <w:adjustRightInd/>
        <w:snapToGrid w:val="0"/>
        <w:spacing w:line="360" w:lineRule="auto"/>
        <w:ind w:firstLine="416" w:firstLineChars="200"/>
        <w:textAlignment w:val="auto"/>
        <w:rPr>
          <w:rFonts w:hint="eastAsia" w:ascii="微软雅黑" w:hAnsi="微软雅黑" w:eastAsia="微软雅黑" w:cs="微软雅黑"/>
          <w:b w:val="0"/>
          <w:bCs w:val="0"/>
          <w:color w:val="auto"/>
          <w:spacing w:val="-1"/>
          <w:sz w:val="21"/>
          <w:szCs w:val="21"/>
          <w:highlight w:val="none"/>
        </w:rPr>
      </w:pPr>
      <w:r>
        <w:rPr>
          <w:rFonts w:hint="eastAsia" w:ascii="微软雅黑" w:hAnsi="微软雅黑" w:eastAsia="微软雅黑" w:cs="微软雅黑"/>
          <w:b w:val="0"/>
          <w:bCs w:val="0"/>
          <w:color w:val="auto"/>
          <w:spacing w:val="-1"/>
          <w:sz w:val="21"/>
          <w:szCs w:val="21"/>
          <w:highlight w:val="none"/>
          <w:lang w:val="en-US" w:eastAsia="zh-CN"/>
        </w:rPr>
        <w:t>4</w:t>
      </w:r>
      <w:r>
        <w:rPr>
          <w:rFonts w:hint="eastAsia" w:ascii="微软雅黑" w:hAnsi="微软雅黑" w:eastAsia="微软雅黑" w:cs="微软雅黑"/>
          <w:b w:val="0"/>
          <w:bCs w:val="0"/>
          <w:color w:val="auto"/>
          <w:spacing w:val="-1"/>
          <w:sz w:val="21"/>
          <w:szCs w:val="21"/>
          <w:highlight w:val="none"/>
        </w:rPr>
        <w:t>.2核心业务系统等保水平（</w:t>
      </w:r>
      <w:r>
        <w:rPr>
          <w:rFonts w:hint="eastAsia" w:ascii="微软雅黑" w:hAnsi="微软雅黑" w:eastAsia="微软雅黑" w:cs="微软雅黑"/>
          <w:b/>
          <w:bCs/>
          <w:color w:val="auto"/>
          <w:spacing w:val="-1"/>
          <w:sz w:val="21"/>
          <w:szCs w:val="21"/>
          <w:highlight w:val="none"/>
          <w:lang w:val="en-US" w:eastAsia="zh-CN"/>
        </w:rPr>
        <w:t>1</w:t>
      </w:r>
      <w:r>
        <w:rPr>
          <w:rFonts w:hint="eastAsia" w:ascii="微软雅黑" w:hAnsi="微软雅黑" w:eastAsia="微软雅黑" w:cs="微软雅黑"/>
          <w:b w:val="0"/>
          <w:bCs w:val="0"/>
          <w:color w:val="auto"/>
          <w:spacing w:val="-1"/>
          <w:sz w:val="21"/>
          <w:szCs w:val="21"/>
          <w:highlight w:val="none"/>
        </w:rPr>
        <w:t>分）。根据国家《信息系统安全等级保护管理办法》评级要求，有效竞标银行核心业务系统保护等级达到四级及以上的，得</w:t>
      </w:r>
      <w:r>
        <w:rPr>
          <w:rFonts w:hint="eastAsia" w:ascii="微软雅黑" w:hAnsi="微软雅黑" w:eastAsia="微软雅黑" w:cs="微软雅黑"/>
          <w:b/>
          <w:bCs/>
          <w:color w:val="auto"/>
          <w:spacing w:val="-1"/>
          <w:sz w:val="21"/>
          <w:szCs w:val="21"/>
          <w:highlight w:val="none"/>
          <w:lang w:val="en-US" w:eastAsia="zh-CN"/>
        </w:rPr>
        <w:t>1</w:t>
      </w:r>
      <w:r>
        <w:rPr>
          <w:rFonts w:hint="eastAsia" w:ascii="微软雅黑" w:hAnsi="微软雅黑" w:eastAsia="微软雅黑" w:cs="微软雅黑"/>
          <w:b w:val="0"/>
          <w:bCs w:val="0"/>
          <w:color w:val="auto"/>
          <w:spacing w:val="-1"/>
          <w:sz w:val="21"/>
          <w:szCs w:val="21"/>
          <w:highlight w:val="none"/>
        </w:rPr>
        <w:t>分；达到三级的，得</w:t>
      </w:r>
      <w:r>
        <w:rPr>
          <w:rFonts w:hint="eastAsia" w:ascii="微软雅黑" w:hAnsi="微软雅黑" w:eastAsia="微软雅黑" w:cs="微软雅黑"/>
          <w:b/>
          <w:bCs/>
          <w:color w:val="auto"/>
          <w:spacing w:val="-1"/>
          <w:sz w:val="21"/>
          <w:szCs w:val="21"/>
          <w:highlight w:val="none"/>
          <w:lang w:val="en-US" w:eastAsia="zh-CN"/>
        </w:rPr>
        <w:t>0.5</w:t>
      </w:r>
      <w:r>
        <w:rPr>
          <w:rFonts w:hint="eastAsia" w:ascii="微软雅黑" w:hAnsi="微软雅黑" w:eastAsia="微软雅黑" w:cs="微软雅黑"/>
          <w:b w:val="0"/>
          <w:bCs w:val="0"/>
          <w:color w:val="auto"/>
          <w:spacing w:val="-1"/>
          <w:sz w:val="21"/>
          <w:szCs w:val="21"/>
          <w:highlight w:val="none"/>
        </w:rPr>
        <w:t>分；达到三级以下或未完成等保评定的，不得分。</w:t>
      </w:r>
    </w:p>
    <w:p w14:paraId="27862319">
      <w:pPr>
        <w:keepNext w:val="0"/>
        <w:keepLines w:val="0"/>
        <w:pageBreakBefore w:val="0"/>
        <w:widowControl w:val="0"/>
        <w:kinsoku/>
        <w:wordWrap/>
        <w:overflowPunct/>
        <w:topLinePunct w:val="0"/>
        <w:autoSpaceDE/>
        <w:autoSpaceDN/>
        <w:bidi w:val="0"/>
        <w:adjustRightInd/>
        <w:snapToGrid w:val="0"/>
        <w:spacing w:line="360" w:lineRule="auto"/>
        <w:ind w:firstLine="416" w:firstLineChars="200"/>
        <w:textAlignment w:val="auto"/>
        <w:rPr>
          <w:rFonts w:hint="eastAsia" w:ascii="微软雅黑" w:hAnsi="微软雅黑" w:eastAsia="微软雅黑" w:cs="微软雅黑"/>
          <w:b w:val="0"/>
          <w:bCs w:val="0"/>
          <w:color w:val="auto"/>
          <w:spacing w:val="-1"/>
          <w:sz w:val="21"/>
          <w:szCs w:val="21"/>
          <w:highlight w:val="none"/>
        </w:rPr>
      </w:pPr>
      <w:r>
        <w:rPr>
          <w:rFonts w:hint="eastAsia" w:ascii="微软雅黑" w:hAnsi="微软雅黑" w:eastAsia="微软雅黑" w:cs="微软雅黑"/>
          <w:b w:val="0"/>
          <w:bCs w:val="0"/>
          <w:color w:val="auto"/>
          <w:spacing w:val="-1"/>
          <w:sz w:val="21"/>
          <w:szCs w:val="21"/>
          <w:highlight w:val="none"/>
          <w:lang w:val="en-US" w:eastAsia="zh-CN"/>
        </w:rPr>
        <w:t>4</w:t>
      </w:r>
      <w:r>
        <w:rPr>
          <w:rFonts w:hint="eastAsia" w:ascii="微软雅黑" w:hAnsi="微软雅黑" w:eastAsia="微软雅黑" w:cs="微软雅黑"/>
          <w:b w:val="0"/>
          <w:bCs w:val="0"/>
          <w:color w:val="auto"/>
          <w:spacing w:val="-1"/>
          <w:sz w:val="21"/>
          <w:szCs w:val="21"/>
          <w:highlight w:val="none"/>
        </w:rPr>
        <w:t>.3系统对接功能（</w:t>
      </w:r>
      <w:r>
        <w:rPr>
          <w:rFonts w:hint="eastAsia" w:ascii="微软雅黑" w:hAnsi="微软雅黑" w:eastAsia="微软雅黑" w:cs="微软雅黑"/>
          <w:b w:val="0"/>
          <w:bCs w:val="0"/>
          <w:color w:val="auto"/>
          <w:spacing w:val="-1"/>
          <w:sz w:val="21"/>
          <w:szCs w:val="21"/>
          <w:highlight w:val="none"/>
          <w:lang w:val="en-US" w:eastAsia="zh-CN"/>
        </w:rPr>
        <w:t>1</w:t>
      </w:r>
      <w:r>
        <w:rPr>
          <w:rFonts w:hint="eastAsia" w:ascii="微软雅黑" w:hAnsi="微软雅黑" w:eastAsia="微软雅黑" w:cs="微软雅黑"/>
          <w:b w:val="0"/>
          <w:bCs w:val="0"/>
          <w:color w:val="auto"/>
          <w:spacing w:val="-1"/>
          <w:sz w:val="21"/>
          <w:szCs w:val="21"/>
          <w:highlight w:val="none"/>
        </w:rPr>
        <w:t>分）。根据有效竞标单位提供的方案对与</w:t>
      </w:r>
      <w:r>
        <w:rPr>
          <w:rFonts w:hint="eastAsia" w:ascii="微软雅黑" w:hAnsi="微软雅黑" w:eastAsia="微软雅黑" w:cs="微软雅黑"/>
          <w:b w:val="0"/>
          <w:bCs w:val="0"/>
          <w:color w:val="auto"/>
          <w:spacing w:val="-1"/>
          <w:sz w:val="21"/>
          <w:szCs w:val="21"/>
          <w:highlight w:val="none"/>
          <w:lang w:eastAsia="zh-CN"/>
        </w:rPr>
        <w:t>社保</w:t>
      </w:r>
      <w:r>
        <w:rPr>
          <w:rFonts w:hint="eastAsia" w:ascii="微软雅黑" w:hAnsi="微软雅黑" w:eastAsia="微软雅黑" w:cs="微软雅黑"/>
          <w:b w:val="0"/>
          <w:bCs w:val="0"/>
          <w:color w:val="auto"/>
          <w:spacing w:val="-1"/>
          <w:sz w:val="21"/>
          <w:szCs w:val="21"/>
          <w:highlight w:val="none"/>
        </w:rPr>
        <w:t>业务经办管理信息系统对接，</w:t>
      </w:r>
      <w:r>
        <w:rPr>
          <w:rFonts w:hint="eastAsia" w:ascii="微软雅黑" w:hAnsi="微软雅黑" w:eastAsia="微软雅黑" w:cs="微软雅黑"/>
          <w:b w:val="0"/>
          <w:bCs w:val="0"/>
          <w:color w:val="auto"/>
          <w:spacing w:val="-1"/>
          <w:sz w:val="21"/>
          <w:szCs w:val="21"/>
          <w:highlight w:val="none"/>
          <w:lang w:eastAsia="zh-CN"/>
        </w:rPr>
        <w:t>社保</w:t>
      </w:r>
      <w:r>
        <w:rPr>
          <w:rFonts w:hint="eastAsia" w:ascii="微软雅黑" w:hAnsi="微软雅黑" w:eastAsia="微软雅黑" w:cs="微软雅黑"/>
          <w:b w:val="0"/>
          <w:bCs w:val="0"/>
          <w:color w:val="auto"/>
          <w:spacing w:val="-1"/>
          <w:sz w:val="21"/>
          <w:szCs w:val="21"/>
          <w:highlight w:val="none"/>
        </w:rPr>
        <w:t>资金支付、实时查询银行账户余额、交易流水及收入明细数据等功能的实现情况，以及竞标单位的系统灵活度、对招标单位系统个性化定制功能的实现能力以及后续功能调整的可行性等方面进行评分，最高得</w:t>
      </w:r>
      <w:r>
        <w:rPr>
          <w:rFonts w:hint="eastAsia" w:ascii="微软雅黑" w:hAnsi="微软雅黑" w:eastAsia="微软雅黑" w:cs="微软雅黑"/>
          <w:b w:val="0"/>
          <w:bCs w:val="0"/>
          <w:color w:val="auto"/>
          <w:spacing w:val="-1"/>
          <w:sz w:val="21"/>
          <w:szCs w:val="21"/>
          <w:highlight w:val="none"/>
          <w:lang w:val="en-US" w:eastAsia="zh-CN"/>
        </w:rPr>
        <w:t>1</w:t>
      </w:r>
      <w:r>
        <w:rPr>
          <w:rFonts w:hint="eastAsia" w:ascii="微软雅黑" w:hAnsi="微软雅黑" w:eastAsia="微软雅黑" w:cs="微软雅黑"/>
          <w:b w:val="0"/>
          <w:bCs w:val="0"/>
          <w:color w:val="auto"/>
          <w:spacing w:val="-1"/>
          <w:sz w:val="21"/>
          <w:szCs w:val="21"/>
          <w:highlight w:val="none"/>
        </w:rPr>
        <w:t>分。</w:t>
      </w:r>
    </w:p>
    <w:p w14:paraId="373B232B">
      <w:pPr>
        <w:snapToGrid w:val="0"/>
        <w:spacing w:line="360" w:lineRule="auto"/>
        <w:ind w:firstLine="416" w:firstLineChars="200"/>
        <w:rPr>
          <w:rFonts w:hint="eastAsia" w:ascii="微软雅黑" w:hAnsi="微软雅黑" w:eastAsia="微软雅黑" w:cs="微软雅黑"/>
          <w:b w:val="0"/>
          <w:bCs w:val="0"/>
          <w:color w:val="auto"/>
          <w:spacing w:val="-1"/>
          <w:szCs w:val="21"/>
          <w:highlight w:val="none"/>
        </w:rPr>
      </w:pPr>
      <w:r>
        <w:rPr>
          <w:rFonts w:hint="eastAsia" w:ascii="微软雅黑" w:hAnsi="微软雅黑" w:eastAsia="微软雅黑" w:cs="微软雅黑"/>
          <w:b w:val="0"/>
          <w:bCs w:val="0"/>
          <w:color w:val="auto"/>
          <w:spacing w:val="-1"/>
          <w:sz w:val="21"/>
          <w:szCs w:val="21"/>
          <w:highlight w:val="none"/>
          <w:lang w:val="en-US" w:eastAsia="zh-CN"/>
        </w:rPr>
        <w:t>4</w:t>
      </w:r>
      <w:r>
        <w:rPr>
          <w:rFonts w:hint="eastAsia" w:ascii="微软雅黑" w:hAnsi="微软雅黑" w:eastAsia="微软雅黑" w:cs="微软雅黑"/>
          <w:b w:val="0"/>
          <w:bCs w:val="0"/>
          <w:color w:val="auto"/>
          <w:spacing w:val="-1"/>
          <w:sz w:val="21"/>
          <w:szCs w:val="21"/>
          <w:highlight w:val="none"/>
        </w:rPr>
        <w:t>.4开发系统技术人员配备情况（1分）。有效竞标</w:t>
      </w:r>
      <w:bookmarkStart w:id="131" w:name="_GoBack"/>
      <w:bookmarkEnd w:id="131"/>
      <w:r>
        <w:rPr>
          <w:rFonts w:hint="eastAsia" w:ascii="微软雅黑" w:hAnsi="微软雅黑" w:eastAsia="微软雅黑" w:cs="微软雅黑"/>
          <w:b w:val="0"/>
          <w:bCs w:val="0"/>
          <w:color w:val="auto"/>
          <w:spacing w:val="-1"/>
          <w:sz w:val="21"/>
          <w:szCs w:val="21"/>
          <w:highlight w:val="none"/>
        </w:rPr>
        <w:t>银行承诺分别配备固定项目负责人和软件开发人员的得1分，只配备固定项目负责人或固定软件开发人员的得0.5分，不配备固定人员的不得分。</w:t>
      </w:r>
    </w:p>
    <w:p w14:paraId="10431D56">
      <w:pPr>
        <w:keepNext w:val="0"/>
        <w:keepLines w:val="0"/>
        <w:pageBreakBefore w:val="0"/>
        <w:widowControl w:val="0"/>
        <w:kinsoku/>
        <w:wordWrap/>
        <w:overflowPunct/>
        <w:topLinePunct w:val="0"/>
        <w:autoSpaceDE/>
        <w:autoSpaceDN/>
        <w:bidi w:val="0"/>
        <w:adjustRightInd/>
        <w:snapToGrid w:val="0"/>
        <w:spacing w:line="360" w:lineRule="auto"/>
        <w:ind w:firstLine="416" w:firstLineChars="200"/>
        <w:textAlignment w:val="auto"/>
        <w:rPr>
          <w:rFonts w:hint="eastAsia" w:ascii="微软雅黑" w:hAnsi="微软雅黑" w:eastAsia="微软雅黑" w:cs="微软雅黑"/>
          <w:color w:val="auto"/>
          <w:spacing w:val="-1"/>
          <w:sz w:val="21"/>
          <w:szCs w:val="21"/>
          <w:highlight w:val="none"/>
        </w:rPr>
      </w:pPr>
    </w:p>
    <w:p w14:paraId="4F05856D">
      <w:pPr>
        <w:pStyle w:val="36"/>
        <w:rPr>
          <w:rFonts w:hint="eastAsia"/>
          <w:color w:val="auto"/>
          <w:highlight w:val="none"/>
        </w:rPr>
        <w:sectPr>
          <w:footerReference r:id="rId10" w:type="first"/>
          <w:footerReference r:id="rId9" w:type="default"/>
          <w:pgSz w:w="11907" w:h="16840"/>
          <w:pgMar w:top="1440" w:right="1797" w:bottom="1440" w:left="1797" w:header="851" w:footer="851" w:gutter="0"/>
          <w:pgNumType w:fmt="decimal"/>
          <w:cols w:space="425" w:num="1"/>
          <w:titlePg/>
          <w:docGrid w:type="lines" w:linePitch="312" w:charSpace="0"/>
        </w:sectPr>
      </w:pPr>
    </w:p>
    <w:p w14:paraId="0DD73F1F">
      <w:pPr>
        <w:pStyle w:val="36"/>
        <w:rPr>
          <w:color w:val="auto"/>
          <w:highlight w:val="none"/>
        </w:rPr>
      </w:pPr>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协议主要条款</w:t>
      </w:r>
      <w:bookmarkEnd w:id="121"/>
      <w:bookmarkEnd w:id="122"/>
      <w:bookmarkEnd w:id="123"/>
    </w:p>
    <w:p w14:paraId="457AF14D">
      <w:pPr>
        <w:pStyle w:val="22"/>
        <w:snapToGrid w:val="0"/>
        <w:spacing w:beforeLines="0" w:afterLines="0" w:line="360" w:lineRule="auto"/>
        <w:jc w:val="center"/>
        <w:rPr>
          <w:rFonts w:hint="eastAsia" w:ascii="微软雅黑" w:hAnsi="微软雅黑" w:eastAsia="微软雅黑" w:cs="Times New Roman"/>
          <w:b/>
          <w:color w:val="auto"/>
          <w:sz w:val="21"/>
          <w:szCs w:val="21"/>
          <w:highlight w:val="none"/>
        </w:rPr>
      </w:pPr>
      <w:bookmarkStart w:id="126" w:name="_Toc11650188"/>
      <w:r>
        <w:rPr>
          <w:rFonts w:hint="eastAsia" w:ascii="微软雅黑" w:hAnsi="微软雅黑" w:eastAsia="微软雅黑" w:cs="Times New Roman"/>
          <w:b/>
          <w:color w:val="auto"/>
          <w:sz w:val="21"/>
          <w:szCs w:val="21"/>
          <w:highlight w:val="none"/>
          <w:lang w:eastAsia="zh-CN"/>
        </w:rPr>
        <w:t>嘉兴市养老保险服务中心社会保险基金支出户银行开户项目</w:t>
      </w:r>
      <w:r>
        <w:rPr>
          <w:rFonts w:hint="eastAsia" w:ascii="微软雅黑" w:hAnsi="微软雅黑" w:eastAsia="微软雅黑" w:cs="Times New Roman"/>
          <w:b/>
          <w:color w:val="auto"/>
          <w:sz w:val="21"/>
          <w:szCs w:val="21"/>
          <w:highlight w:val="none"/>
        </w:rPr>
        <w:t>开户协议</w:t>
      </w:r>
    </w:p>
    <w:p w14:paraId="6D376AED">
      <w:pPr>
        <w:spacing w:line="360" w:lineRule="auto"/>
        <w:jc w:val="center"/>
        <w:rPr>
          <w:rFonts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（本协议书为样稿，最终稿由双方协商后确定）</w:t>
      </w:r>
    </w:p>
    <w:p w14:paraId="7355F8ED">
      <w:pPr>
        <w:snapToGrid w:val="0"/>
        <w:spacing w:line="360" w:lineRule="auto"/>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甲方： </w:t>
      </w:r>
    </w:p>
    <w:p w14:paraId="089BDA17">
      <w:pPr>
        <w:snapToGrid w:val="0"/>
        <w:spacing w:line="360" w:lineRule="auto"/>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乙方： </w:t>
      </w:r>
    </w:p>
    <w:p w14:paraId="0EE276C2">
      <w:pPr>
        <w:autoSpaceDE w:val="0"/>
        <w:autoSpaceDN w:val="0"/>
        <w:adjustRightInd w:val="0"/>
        <w:spacing w:line="360" w:lineRule="auto"/>
        <w:ind w:firstLine="420" w:firstLineChars="200"/>
        <w:jc w:val="left"/>
        <w:rPr>
          <w:rFonts w:ascii="微软雅黑" w:hAnsi="微软雅黑" w:eastAsia="微软雅黑" w:cs="宋体"/>
          <w:color w:val="auto"/>
          <w:szCs w:val="21"/>
          <w:highlight w:val="none"/>
          <w:u w:val="single"/>
        </w:rPr>
      </w:pPr>
      <w:r>
        <w:rPr>
          <w:rFonts w:hint="eastAsia" w:ascii="微软雅黑" w:hAnsi="微软雅黑" w:eastAsia="微软雅黑"/>
          <w:color w:val="auto"/>
          <w:highlight w:val="none"/>
          <w:lang w:eastAsia="zh-CN"/>
        </w:rPr>
        <w:t>嘉兴市养老保险服务中心社会保险基金支出户银行开户项目</w:t>
      </w:r>
      <w:r>
        <w:rPr>
          <w:rFonts w:hint="eastAsia" w:ascii="微软雅黑" w:hAnsi="微软雅黑" w:eastAsia="微软雅黑" w:cs="宋体"/>
          <w:color w:val="auto"/>
          <w:kern w:val="0"/>
          <w:szCs w:val="21"/>
          <w:highlight w:val="none"/>
        </w:rPr>
        <w:t>（项目编号：＿＿＿＿＿）以＿＿＿＿＿招标方式实施了招标活动。根据相关法律法规的规定，甲、乙双方同意签署本合同，并共同遵守。该项目相应的招标文件、投标文件和成交通知书为本合同组成部分。</w:t>
      </w:r>
    </w:p>
    <w:p w14:paraId="35ACD296">
      <w:pPr>
        <w:snapToGrid w:val="0"/>
        <w:spacing w:line="360" w:lineRule="auto"/>
        <w:ind w:firstLine="411" w:firstLineChars="196"/>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一、总则</w:t>
      </w:r>
    </w:p>
    <w:p w14:paraId="232C5ED9">
      <w:pPr>
        <w:autoSpaceDE w:val="0"/>
        <w:autoSpaceDN w:val="0"/>
        <w:adjustRightIn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第一条  根据《中华人民共和国民法典》，经甲、乙双方平等协商，签订本协议。</w:t>
      </w:r>
    </w:p>
    <w:p w14:paraId="5A05DD0B">
      <w:pPr>
        <w:autoSpaceDE w:val="0"/>
        <w:autoSpaceDN w:val="0"/>
        <w:adjustRightIn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第二条  </w:t>
      </w:r>
      <w:r>
        <w:rPr>
          <w:rFonts w:hint="eastAsia" w:ascii="微软雅黑" w:hAnsi="微软雅黑" w:eastAsia="微软雅黑"/>
          <w:color w:val="auto"/>
          <w:highlight w:val="none"/>
          <w:lang w:eastAsia="zh-CN"/>
        </w:rPr>
        <w:t>嘉兴市养老保险服务中心社会保险基金支出户银行开户项目</w:t>
      </w:r>
      <w:r>
        <w:rPr>
          <w:rFonts w:hint="eastAsia" w:ascii="微软雅黑" w:hAnsi="微软雅黑" w:eastAsia="微软雅黑" w:cs="宋体"/>
          <w:color w:val="auto"/>
          <w:szCs w:val="21"/>
          <w:highlight w:val="none"/>
        </w:rPr>
        <w:t>通过公开招标方式择优确定开户银行。</w:t>
      </w:r>
    </w:p>
    <w:p w14:paraId="60FEE703">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二、甲方权利与义务</w:t>
      </w:r>
    </w:p>
    <w:p w14:paraId="397C84A9">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（一）甲方权利主要包括：</w:t>
      </w:r>
    </w:p>
    <w:p w14:paraId="01B0EA9D">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1、在乙方处办理开户手续；</w:t>
      </w:r>
    </w:p>
    <w:p w14:paraId="22EA8E49">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2、要求乙方提供存款证明；</w:t>
      </w:r>
    </w:p>
    <w:p w14:paraId="54BFCAFF">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3、对乙方资金存款业务实施监督管理。</w:t>
      </w:r>
    </w:p>
    <w:p w14:paraId="02365047">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（二）甲方的义务主要包括：</w:t>
      </w:r>
    </w:p>
    <w:p w14:paraId="65A78C83">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1、划拨存款资金；</w:t>
      </w:r>
    </w:p>
    <w:p w14:paraId="2A520B99">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三、乙方权利与义务</w:t>
      </w:r>
    </w:p>
    <w:p w14:paraId="35A5591C">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（一）乙方权利主要包括</w:t>
      </w:r>
    </w:p>
    <w:p w14:paraId="5783B735">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1、按规定办理甲方开户手续</w:t>
      </w:r>
    </w:p>
    <w:p w14:paraId="04CD4725">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（二）乙方义务主要包括</w:t>
      </w:r>
    </w:p>
    <w:p w14:paraId="46980C60">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1、按规定为甲方预留印鉴、办理</w:t>
      </w:r>
      <w:r>
        <w:rPr>
          <w:rFonts w:hint="eastAsia" w:ascii="微软雅黑" w:hAnsi="微软雅黑" w:eastAsia="微软雅黑" w:cs="宋体"/>
          <w:color w:val="auto"/>
          <w:szCs w:val="21"/>
          <w:highlight w:val="none"/>
          <w:lang w:eastAsia="zh-CN"/>
        </w:rPr>
        <w:t>账</w:t>
      </w:r>
      <w:r>
        <w:rPr>
          <w:rFonts w:hint="eastAsia" w:ascii="微软雅黑" w:hAnsi="微软雅黑" w:eastAsia="微软雅黑" w:cs="宋体"/>
          <w:color w:val="auto"/>
          <w:szCs w:val="21"/>
          <w:highlight w:val="none"/>
        </w:rPr>
        <w:t>户信息备案手续；</w:t>
      </w:r>
    </w:p>
    <w:p w14:paraId="00543DE8">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2、向甲方提供存款证明；</w:t>
      </w:r>
    </w:p>
    <w:p w14:paraId="4BF2CE03">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3、存款到期及时足额缴清甲方存款利息；</w:t>
      </w:r>
    </w:p>
    <w:p w14:paraId="477BD885">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4、确保甲方资金存款在乙方存续期间的资金安全；</w:t>
      </w:r>
    </w:p>
    <w:p w14:paraId="7F91DD55">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5、接受甲方及有关方对资金存款业务的监督管理。</w:t>
      </w:r>
    </w:p>
    <w:p w14:paraId="0F7053F3">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四、乙方对本项目的服务承诺及优惠条件</w:t>
      </w:r>
    </w:p>
    <w:p w14:paraId="09FF7D4B">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乙方必须严格按照以下承诺内容执行。</w:t>
      </w:r>
    </w:p>
    <w:p w14:paraId="1CDE91D4">
      <w:pPr>
        <w:spacing w:line="360" w:lineRule="auto"/>
        <w:ind w:firstLine="525" w:firstLineChars="250"/>
        <w:jc w:val="left"/>
        <w:rPr>
          <w:rFonts w:ascii="微软雅黑" w:hAnsi="微软雅黑" w:eastAsia="微软雅黑" w:cs="宋体"/>
          <w:color w:val="auto"/>
          <w:szCs w:val="21"/>
          <w:highlight w:val="none"/>
          <w:u w:val="single"/>
        </w:rPr>
      </w:pPr>
      <w:r>
        <w:rPr>
          <w:rFonts w:hint="eastAsia" w:ascii="微软雅黑" w:hAnsi="微软雅黑" w:eastAsia="微软雅黑" w:cs="宋体"/>
          <w:color w:val="auto"/>
          <w:szCs w:val="21"/>
          <w:highlight w:val="none"/>
        </w:rPr>
        <w:t>服务承诺及优惠条件：</w:t>
      </w:r>
      <w:r>
        <w:rPr>
          <w:rFonts w:hint="eastAsia" w:ascii="微软雅黑" w:hAnsi="微软雅黑" w:eastAsia="微软雅黑" w:cs="宋体"/>
          <w:color w:val="auto"/>
          <w:szCs w:val="21"/>
          <w:highlight w:val="none"/>
          <w:u w:val="single"/>
        </w:rPr>
        <w:t xml:space="preserve">    （按投标</w:t>
      </w:r>
      <w:r>
        <w:rPr>
          <w:rFonts w:hint="eastAsia" w:ascii="微软雅黑" w:hAnsi="微软雅黑" w:eastAsia="微软雅黑" w:cs="宋体"/>
          <w:color w:val="auto"/>
          <w:szCs w:val="21"/>
          <w:highlight w:val="none"/>
          <w:u w:val="single"/>
          <w:lang w:eastAsia="zh-CN"/>
        </w:rPr>
        <w:t>时</w:t>
      </w:r>
      <w:r>
        <w:rPr>
          <w:rFonts w:hint="eastAsia" w:ascii="微软雅黑" w:hAnsi="微软雅黑" w:eastAsia="微软雅黑" w:cs="宋体"/>
          <w:color w:val="auto"/>
          <w:szCs w:val="21"/>
          <w:highlight w:val="none"/>
          <w:u w:val="single"/>
        </w:rPr>
        <w:t xml:space="preserve">的服务承诺及优惠条件填写）  </w:t>
      </w:r>
    </w:p>
    <w:p w14:paraId="3562670D">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五、违约责任</w:t>
      </w:r>
    </w:p>
    <w:p w14:paraId="3ADF1B31">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除发生不可抗力外，违约责任按以下条款执行：</w:t>
      </w:r>
    </w:p>
    <w:p w14:paraId="65313AE9">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1、乙方未及时向甲方缴清到期存款本息的，应以当期资金存款利率的两倍折成日利率，按日向甲方支付违约金；</w:t>
      </w:r>
    </w:p>
    <w:p w14:paraId="56194F63">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2、乙方有下列情形之一的，甲方有权提前收回存款，并取消乙方在以后各期的竞争性存放投标资格：</w:t>
      </w:r>
    </w:p>
    <w:p w14:paraId="63788E31">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2.1、</w:t>
      </w:r>
      <w:r>
        <w:rPr>
          <w:rFonts w:hint="eastAsia" w:ascii="微软雅黑" w:hAnsi="微软雅黑" w:eastAsia="微软雅黑" w:cs="宋体"/>
          <w:snapToGrid w:val="0"/>
          <w:color w:val="auto"/>
          <w:spacing w:val="-8"/>
          <w:szCs w:val="21"/>
          <w:highlight w:val="none"/>
        </w:rPr>
        <w:t>出现资金安全事故和重大违法违规情况或财务恶化情况</w:t>
      </w:r>
      <w:r>
        <w:rPr>
          <w:rFonts w:hint="eastAsia" w:ascii="微软雅黑" w:hAnsi="微软雅黑" w:eastAsia="微软雅黑" w:cs="宋体"/>
          <w:color w:val="auto"/>
          <w:szCs w:val="21"/>
          <w:highlight w:val="none"/>
        </w:rPr>
        <w:t>；</w:t>
      </w:r>
    </w:p>
    <w:p w14:paraId="32B81D9D">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2.2、</w:t>
      </w:r>
      <w:r>
        <w:rPr>
          <w:rFonts w:hint="eastAsia" w:ascii="微软雅黑" w:hAnsi="微软雅黑" w:eastAsia="微软雅黑" w:cs="宋体"/>
          <w:snapToGrid w:val="0"/>
          <w:color w:val="auto"/>
          <w:szCs w:val="21"/>
          <w:highlight w:val="none"/>
        </w:rPr>
        <w:t>监管评级降低，监管部门认为存在较大运营风险的</w:t>
      </w:r>
      <w:r>
        <w:rPr>
          <w:rFonts w:hint="eastAsia" w:ascii="微软雅黑" w:hAnsi="微软雅黑" w:eastAsia="微软雅黑" w:cs="宋体"/>
          <w:color w:val="auto"/>
          <w:szCs w:val="21"/>
          <w:highlight w:val="none"/>
        </w:rPr>
        <w:t>；</w:t>
      </w:r>
    </w:p>
    <w:p w14:paraId="398D054B">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2.3、</w:t>
      </w:r>
      <w:r>
        <w:rPr>
          <w:rFonts w:hint="eastAsia" w:ascii="微软雅黑" w:hAnsi="微软雅黑" w:eastAsia="微软雅黑" w:cs="宋体"/>
          <w:snapToGrid w:val="0"/>
          <w:color w:val="auto"/>
          <w:szCs w:val="21"/>
          <w:highlight w:val="none"/>
        </w:rPr>
        <w:t>存在严重不正当竞标的</w:t>
      </w:r>
      <w:r>
        <w:rPr>
          <w:rFonts w:hint="eastAsia" w:ascii="微软雅黑" w:hAnsi="微软雅黑" w:eastAsia="微软雅黑" w:cs="宋体"/>
          <w:color w:val="auto"/>
          <w:szCs w:val="21"/>
          <w:highlight w:val="none"/>
        </w:rPr>
        <w:t>；</w:t>
      </w:r>
    </w:p>
    <w:p w14:paraId="489C09A4">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2.4、</w:t>
      </w:r>
      <w:r>
        <w:rPr>
          <w:rFonts w:hint="eastAsia" w:ascii="微软雅黑" w:hAnsi="微软雅黑" w:eastAsia="微软雅黑" w:cs="宋体"/>
          <w:snapToGrid w:val="0"/>
          <w:color w:val="auto"/>
          <w:szCs w:val="21"/>
          <w:highlight w:val="none"/>
        </w:rPr>
        <w:t>没有按照中标协议承诺履行相应的责任和义务的</w:t>
      </w:r>
      <w:r>
        <w:rPr>
          <w:rFonts w:hint="eastAsia" w:ascii="微软雅黑" w:hAnsi="微软雅黑" w:eastAsia="微软雅黑" w:cs="宋体"/>
          <w:color w:val="auto"/>
          <w:szCs w:val="21"/>
          <w:highlight w:val="none"/>
        </w:rPr>
        <w:t>；</w:t>
      </w:r>
    </w:p>
    <w:p w14:paraId="1A99034A">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2.5、</w:t>
      </w:r>
      <w:r>
        <w:rPr>
          <w:rFonts w:hint="eastAsia" w:ascii="微软雅黑" w:hAnsi="微软雅黑" w:eastAsia="微软雅黑" w:cs="宋体"/>
          <w:snapToGrid w:val="0"/>
          <w:color w:val="auto"/>
          <w:szCs w:val="21"/>
          <w:highlight w:val="none"/>
        </w:rPr>
        <w:t>不能按规定将到期存款本息足额缴入单位账户的</w:t>
      </w:r>
      <w:r>
        <w:rPr>
          <w:rFonts w:hint="eastAsia" w:ascii="微软雅黑" w:hAnsi="微软雅黑" w:eastAsia="微软雅黑" w:cs="宋体"/>
          <w:color w:val="auto"/>
          <w:szCs w:val="21"/>
          <w:highlight w:val="none"/>
        </w:rPr>
        <w:t>；</w:t>
      </w:r>
    </w:p>
    <w:p w14:paraId="2E398E35">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2.6、</w:t>
      </w:r>
      <w:r>
        <w:rPr>
          <w:rFonts w:hint="eastAsia" w:ascii="微软雅黑" w:hAnsi="微软雅黑" w:eastAsia="微软雅黑" w:cs="宋体"/>
          <w:snapToGrid w:val="0"/>
          <w:color w:val="auto"/>
          <w:szCs w:val="21"/>
          <w:highlight w:val="none"/>
        </w:rPr>
        <w:t>其他妨碍资金安全行为的</w:t>
      </w:r>
      <w:r>
        <w:rPr>
          <w:rFonts w:hint="eastAsia" w:ascii="微软雅黑" w:hAnsi="微软雅黑" w:eastAsia="微软雅黑" w:cs="宋体"/>
          <w:color w:val="auto"/>
          <w:szCs w:val="21"/>
          <w:highlight w:val="none"/>
        </w:rPr>
        <w:t>。</w:t>
      </w:r>
    </w:p>
    <w:p w14:paraId="04345656">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六、提前支取：</w:t>
      </w:r>
    </w:p>
    <w:p w14:paraId="39E86FBC">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经与乙方协商，甲方有权在到期日前提前支取存款，甲方至少在工作日前通知乙方，提前支取金额按支取时国家有关利率政策规定计付利息，存续金额仍按原起息日、期限及存款利率计付利息。</w:t>
      </w:r>
    </w:p>
    <w:p w14:paraId="34FAAD4A">
      <w:pPr>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七、 协议有效期内，若利率相关的法律法规、规章政策调整，或中国人民银</w:t>
      </w:r>
      <w:r>
        <w:rPr>
          <w:rFonts w:ascii="微软雅黑" w:hAnsi="微软雅黑" w:eastAsia="微软雅黑" w:cs="宋体"/>
          <w:color w:val="auto"/>
          <w:szCs w:val="21"/>
          <w:highlight w:val="none"/>
        </w:rPr>
        <w:t>行存款基准利率、存款自律约定、银行总行存款利率内部授权上限等发生调整（银行存款利率内部授权上限调整，是指银行为满足国家宏观调控目标要求或落实存款利率市场化调整机制要求等，对本行可执行的内部授权上限进行的具有主动性、自律性、普遍性的调整），导致协议约定的利率水平超出允许范围，乙方应在按本协议约定存款业务开办前及时书面通知甲方银行存款利率调整情况。甲方有权提前终止本协议，并以书面形式告知。若甲方选择继续执行本协议，则自相应调整生效当日起，新办理存款业务执行利率按最新允许范围上限的利率执行</w:t>
      </w:r>
      <w:r>
        <w:rPr>
          <w:rFonts w:hint="eastAsia" w:ascii="微软雅黑" w:hAnsi="微软雅黑" w:eastAsia="微软雅黑" w:cs="宋体"/>
          <w:color w:val="auto"/>
          <w:szCs w:val="21"/>
          <w:highlight w:val="none"/>
        </w:rPr>
        <w:t>。</w:t>
      </w:r>
    </w:p>
    <w:p w14:paraId="4070EBC2">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八、本合同未尽事宜，经甲、乙双方协商一致，订立补充协议。</w:t>
      </w:r>
    </w:p>
    <w:p w14:paraId="6724D7A1">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补充协议为本合同不可分割的部分，具有同等法律效力。</w:t>
      </w:r>
    </w:p>
    <w:p w14:paraId="3625F2F5">
      <w:pPr>
        <w:spacing w:line="360" w:lineRule="auto"/>
        <w:ind w:firstLine="525" w:firstLineChars="25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九、 本合同一式四份，甲方执二份，乙方执二份，经双方代表签字、盖章后即生效。</w:t>
      </w:r>
    </w:p>
    <w:p w14:paraId="6376E1A2">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甲方：                                 乙方：      </w:t>
      </w:r>
    </w:p>
    <w:p w14:paraId="3089D988">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代表：                                 代表：</w:t>
      </w:r>
    </w:p>
    <w:p w14:paraId="6DC55415">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邮编：                                 邮编：</w:t>
      </w:r>
    </w:p>
    <w:p w14:paraId="624B00B5">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电话                                   电话：</w:t>
      </w:r>
    </w:p>
    <w:p w14:paraId="2D295E4D">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传真：                                 传真：</w:t>
      </w:r>
    </w:p>
    <w:p w14:paraId="5CE442F3">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地址:                                   地址:</w:t>
      </w:r>
    </w:p>
    <w:p w14:paraId="1261DCA8">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lang w:eastAsia="zh-CN"/>
        </w:rPr>
        <w:t>账</w:t>
      </w:r>
      <w:r>
        <w:rPr>
          <w:rFonts w:hint="eastAsia" w:ascii="微软雅黑" w:hAnsi="微软雅黑" w:eastAsia="微软雅黑" w:cs="宋体"/>
          <w:color w:val="auto"/>
          <w:szCs w:val="21"/>
          <w:highlight w:val="none"/>
        </w:rPr>
        <w:t>号：                                 帐号：</w:t>
      </w:r>
    </w:p>
    <w:p w14:paraId="648F82F6">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开户行：                               开户行：</w:t>
      </w:r>
    </w:p>
    <w:p w14:paraId="54C1535E">
      <w:pPr>
        <w:snapToGrid w:val="0"/>
        <w:spacing w:line="360" w:lineRule="auto"/>
        <w:ind w:firstLine="420" w:firstLineChars="200"/>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年  月  日                          </w:t>
      </w:r>
      <w:r>
        <w:rPr>
          <w:rFonts w:ascii="微软雅黑" w:hAnsi="微软雅黑" w:eastAsia="微软雅黑" w:cs="宋体"/>
          <w:color w:val="auto"/>
          <w:szCs w:val="21"/>
          <w:highlight w:val="none"/>
        </w:rPr>
        <w:t xml:space="preserve"> </w:t>
      </w:r>
      <w:r>
        <w:rPr>
          <w:rFonts w:hint="eastAsia" w:ascii="微软雅黑" w:hAnsi="微软雅黑" w:eastAsia="微软雅黑" w:cs="宋体"/>
          <w:color w:val="auto"/>
          <w:szCs w:val="21"/>
          <w:highlight w:val="none"/>
        </w:rPr>
        <w:t xml:space="preserve"> 年  月  日</w:t>
      </w:r>
    </w:p>
    <w:p w14:paraId="7AA88B87">
      <w:pPr>
        <w:widowControl/>
        <w:spacing w:line="360" w:lineRule="auto"/>
        <w:ind w:firstLine="2205" w:firstLineChars="1050"/>
        <w:jc w:val="righ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协议签订日期：  年  月  日</w:t>
      </w:r>
    </w:p>
    <w:p w14:paraId="518B4DFC">
      <w:pPr>
        <w:spacing w:line="540" w:lineRule="exact"/>
        <w:jc w:val="center"/>
        <w:rPr>
          <w:rFonts w:hint="eastAsia" w:ascii="微软雅黑" w:hAnsi="微软雅黑" w:eastAsia="微软雅黑" w:cs="方正小标宋简体"/>
          <w:b/>
          <w:bCs/>
          <w:color w:val="auto"/>
          <w:szCs w:val="21"/>
          <w:highlight w:val="none"/>
        </w:rPr>
        <w:sectPr>
          <w:pgSz w:w="11907" w:h="16840"/>
          <w:pgMar w:top="1440" w:right="1797" w:bottom="1440" w:left="1797" w:header="851" w:footer="851" w:gutter="0"/>
          <w:pgNumType w:fmt="decimal"/>
          <w:cols w:space="425" w:num="1"/>
          <w:titlePg/>
          <w:docGrid w:type="lines" w:linePitch="312" w:charSpace="0"/>
        </w:sectPr>
      </w:pPr>
    </w:p>
    <w:p w14:paraId="68AA00E1">
      <w:pPr>
        <w:spacing w:line="540" w:lineRule="exact"/>
        <w:jc w:val="center"/>
        <w:rPr>
          <w:rFonts w:hint="eastAsia" w:ascii="微软雅黑" w:hAnsi="微软雅黑" w:eastAsia="微软雅黑" w:cs="方正小标宋简体"/>
          <w:b/>
          <w:bCs/>
          <w:color w:val="auto"/>
          <w:szCs w:val="21"/>
          <w:highlight w:val="none"/>
        </w:rPr>
      </w:pPr>
      <w:r>
        <w:rPr>
          <w:rFonts w:hint="eastAsia" w:ascii="微软雅黑" w:hAnsi="微软雅黑" w:eastAsia="微软雅黑" w:cs="方正小标宋简体"/>
          <w:b/>
          <w:bCs/>
          <w:color w:val="auto"/>
          <w:szCs w:val="21"/>
          <w:highlight w:val="none"/>
        </w:rPr>
        <w:t>廉政承诺书</w:t>
      </w:r>
    </w:p>
    <w:p w14:paraId="18056B95">
      <w:pPr>
        <w:spacing w:line="540" w:lineRule="exact"/>
        <w:jc w:val="center"/>
        <w:rPr>
          <w:rFonts w:hint="eastAsia" w:ascii="微软雅黑" w:hAnsi="微软雅黑" w:eastAsia="微软雅黑" w:cs="仿宋_GB2312"/>
          <w:color w:val="auto"/>
          <w:szCs w:val="21"/>
          <w:highlight w:val="none"/>
        </w:rPr>
      </w:pPr>
    </w:p>
    <w:p w14:paraId="181F3C92">
      <w:pPr>
        <w:snapToGrid w:val="0"/>
        <w:spacing w:line="500" w:lineRule="exact"/>
        <w:ind w:firstLine="600"/>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嘉兴市养老保险服务中心：</w:t>
      </w:r>
    </w:p>
    <w:p w14:paraId="7BF4B3A5">
      <w:pPr>
        <w:spacing w:line="50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根据《财政部关于进一步加强财政部门和预算单位资金存放管理的指导意见》（财库﹝2017﹞76号）等文件相关规定，现就本行参加贵单位</w:t>
      </w:r>
      <w:r>
        <w:rPr>
          <w:rFonts w:hint="eastAsia" w:ascii="微软雅黑" w:hAnsi="微软雅黑" w:eastAsia="微软雅黑"/>
          <w:lang w:eastAsia="zh-CN"/>
        </w:rPr>
        <w:t>嘉兴市养老保险服务中心社会保险基金支出户银行开户项目</w:t>
      </w:r>
      <w:r>
        <w:rPr>
          <w:rFonts w:hint="eastAsia" w:ascii="微软雅黑" w:hAnsi="微软雅黑" w:eastAsia="微软雅黑" w:cs="微软雅黑"/>
          <w:color w:val="auto"/>
          <w:sz w:val="21"/>
          <w:szCs w:val="21"/>
          <w:highlight w:val="none"/>
        </w:rPr>
        <w:t>招标作出如下承诺：</w:t>
      </w:r>
    </w:p>
    <w:p w14:paraId="44067271">
      <w:pPr>
        <w:spacing w:line="50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1.不向贵单位负责</w:t>
      </w:r>
      <w:r>
        <w:rPr>
          <w:rFonts w:hint="eastAsia" w:ascii="微软雅黑" w:hAnsi="微软雅黑" w:eastAsia="微软雅黑"/>
          <w:lang w:eastAsia="zh-CN"/>
        </w:rPr>
        <w:t>嘉兴市养老保险服务中心社会保险基金支出户银行开户项目</w:t>
      </w:r>
      <w:r>
        <w:rPr>
          <w:rFonts w:hint="eastAsia" w:ascii="微软雅黑" w:hAnsi="微软雅黑" w:eastAsia="微软雅黑" w:cs="微软雅黑"/>
          <w:color w:val="auto"/>
          <w:sz w:val="21"/>
          <w:szCs w:val="21"/>
          <w:highlight w:val="none"/>
        </w:rPr>
        <w:t>的领导及相关人员进行利益输送；</w:t>
      </w:r>
    </w:p>
    <w:p w14:paraId="76E9A1B6">
      <w:pPr>
        <w:spacing w:line="50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2.不将嘉兴市养老保险服务中心社会保险基金</w:t>
      </w:r>
      <w:r>
        <w:rPr>
          <w:rFonts w:hint="eastAsia" w:ascii="微软雅黑" w:hAnsi="微软雅黑" w:eastAsia="微软雅黑" w:cs="微软雅黑"/>
          <w:color w:val="auto"/>
          <w:sz w:val="21"/>
          <w:szCs w:val="21"/>
          <w:highlight w:val="none"/>
          <w:lang w:eastAsia="zh-CN"/>
        </w:rPr>
        <w:t>支出</w:t>
      </w:r>
      <w:r>
        <w:rPr>
          <w:rFonts w:hint="eastAsia" w:ascii="微软雅黑" w:hAnsi="微软雅黑" w:eastAsia="微软雅黑" w:cs="微软雅黑"/>
          <w:color w:val="auto"/>
          <w:sz w:val="21"/>
          <w:szCs w:val="21"/>
          <w:highlight w:val="none"/>
        </w:rPr>
        <w:t>账户存放管理与贵单位负责嘉兴市养老保险服务中心社会保险基金</w:t>
      </w:r>
      <w:r>
        <w:rPr>
          <w:rFonts w:hint="eastAsia" w:ascii="微软雅黑" w:hAnsi="微软雅黑" w:eastAsia="微软雅黑" w:cs="微软雅黑"/>
          <w:color w:val="auto"/>
          <w:sz w:val="21"/>
          <w:szCs w:val="21"/>
          <w:highlight w:val="none"/>
          <w:lang w:eastAsia="zh-CN"/>
        </w:rPr>
        <w:t>支出</w:t>
      </w:r>
      <w:r>
        <w:rPr>
          <w:rFonts w:hint="eastAsia" w:ascii="微软雅黑" w:hAnsi="微软雅黑" w:eastAsia="微软雅黑" w:cs="微软雅黑"/>
          <w:color w:val="auto"/>
          <w:sz w:val="21"/>
          <w:szCs w:val="21"/>
          <w:highlight w:val="none"/>
        </w:rPr>
        <w:t>账户</w:t>
      </w:r>
      <w:r>
        <w:rPr>
          <w:rFonts w:hint="eastAsia" w:ascii="微软雅黑" w:hAnsi="微软雅黑" w:eastAsia="微软雅黑" w:cs="微软雅黑"/>
          <w:bCs/>
          <w:color w:val="auto"/>
          <w:sz w:val="21"/>
          <w:szCs w:val="21"/>
          <w:highlight w:val="none"/>
        </w:rPr>
        <w:t>资金</w:t>
      </w:r>
      <w:r>
        <w:rPr>
          <w:rFonts w:hint="eastAsia" w:ascii="微软雅黑" w:hAnsi="微软雅黑" w:eastAsia="微软雅黑" w:cs="微软雅黑"/>
          <w:color w:val="auto"/>
          <w:sz w:val="21"/>
          <w:szCs w:val="21"/>
          <w:highlight w:val="none"/>
        </w:rPr>
        <w:t>存放管理的领导及相关人员在本行的配偶、子女及其配偶和其他直接利益相关人员的业绩、收入、晋升挂钩；</w:t>
      </w:r>
    </w:p>
    <w:p w14:paraId="2863AE41">
      <w:pPr>
        <w:spacing w:line="500" w:lineRule="exact"/>
        <w:ind w:firstLine="275" w:firstLineChars="131"/>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3.严格执行利益回避制度，贵单位负责</w:t>
      </w:r>
      <w:r>
        <w:rPr>
          <w:rFonts w:hint="eastAsia" w:ascii="微软雅黑" w:hAnsi="微软雅黑" w:eastAsia="微软雅黑" w:cs="微软雅黑"/>
          <w:bCs/>
          <w:color w:val="auto"/>
          <w:sz w:val="21"/>
          <w:szCs w:val="21"/>
          <w:highlight w:val="none"/>
        </w:rPr>
        <w:t>专户资金</w:t>
      </w:r>
      <w:r>
        <w:rPr>
          <w:rFonts w:hint="eastAsia" w:ascii="微软雅黑" w:hAnsi="微软雅黑" w:eastAsia="微软雅黑" w:cs="微软雅黑"/>
          <w:color w:val="auto"/>
          <w:sz w:val="21"/>
          <w:szCs w:val="21"/>
          <w:highlight w:val="none"/>
        </w:rPr>
        <w:t>存放管理的相关人员的配偶、子女及其配偶和其他直接利益相关人员为本行工作人员的，不参与嘉兴市养老保险服务中心社会保险基金</w:t>
      </w:r>
      <w:r>
        <w:rPr>
          <w:rFonts w:hint="eastAsia" w:ascii="微软雅黑" w:hAnsi="微软雅黑" w:eastAsia="微软雅黑" w:cs="微软雅黑"/>
          <w:color w:val="auto"/>
          <w:sz w:val="21"/>
          <w:szCs w:val="21"/>
          <w:highlight w:val="none"/>
          <w:lang w:eastAsia="zh-CN"/>
        </w:rPr>
        <w:t>支出</w:t>
      </w:r>
      <w:r>
        <w:rPr>
          <w:rFonts w:hint="eastAsia" w:ascii="微软雅黑" w:hAnsi="微软雅黑" w:eastAsia="微软雅黑" w:cs="微软雅黑"/>
          <w:color w:val="auto"/>
          <w:sz w:val="21"/>
          <w:szCs w:val="21"/>
          <w:highlight w:val="none"/>
        </w:rPr>
        <w:t>账户</w:t>
      </w:r>
      <w:r>
        <w:rPr>
          <w:rFonts w:hint="eastAsia" w:ascii="微软雅黑" w:hAnsi="微软雅黑" w:eastAsia="微软雅黑" w:cs="微软雅黑"/>
          <w:bCs/>
          <w:color w:val="auto"/>
          <w:sz w:val="21"/>
          <w:szCs w:val="21"/>
          <w:highlight w:val="none"/>
        </w:rPr>
        <w:t>资金</w:t>
      </w:r>
      <w:r>
        <w:rPr>
          <w:rFonts w:hint="eastAsia" w:ascii="微软雅黑" w:hAnsi="微软雅黑" w:eastAsia="微软雅黑" w:cs="微软雅黑"/>
          <w:color w:val="auto"/>
          <w:sz w:val="21"/>
          <w:szCs w:val="21"/>
          <w:highlight w:val="none"/>
        </w:rPr>
        <w:t>管理工作；</w:t>
      </w:r>
    </w:p>
    <w:p w14:paraId="5856DBD7">
      <w:pPr>
        <w:spacing w:line="500" w:lineRule="exact"/>
        <w:ind w:left="420" w:left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4.不发生除上述行为之外的其他任何利益输送行为。</w:t>
      </w:r>
    </w:p>
    <w:p w14:paraId="2359C890">
      <w:pPr>
        <w:spacing w:line="50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未遵守以上承诺的，本行自愿接受嘉兴市养老保险服务中心通报和处理，承担相应的一切后果。</w:t>
      </w:r>
    </w:p>
    <w:p w14:paraId="69564A74">
      <w:pPr>
        <w:spacing w:line="500" w:lineRule="exact"/>
        <w:rPr>
          <w:rFonts w:hint="eastAsia" w:ascii="微软雅黑" w:hAnsi="微软雅黑" w:eastAsia="微软雅黑" w:cs="微软雅黑"/>
          <w:color w:val="auto"/>
          <w:sz w:val="21"/>
          <w:szCs w:val="21"/>
          <w:highlight w:val="none"/>
        </w:rPr>
      </w:pPr>
    </w:p>
    <w:p w14:paraId="0023A787">
      <w:pPr>
        <w:spacing w:line="500" w:lineRule="exact"/>
        <w:ind w:firstLine="420" w:firstLineChars="200"/>
        <w:jc w:val="righ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银行（公章）</w:t>
      </w:r>
    </w:p>
    <w:p w14:paraId="380A66AC">
      <w:pPr>
        <w:spacing w:line="50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年  月  日</w:t>
      </w:r>
    </w:p>
    <w:p w14:paraId="669B7633">
      <w:pPr>
        <w:spacing w:line="500" w:lineRule="exact"/>
        <w:jc w:val="center"/>
        <w:rPr>
          <w:rFonts w:hint="eastAsia" w:ascii="微软雅黑" w:hAnsi="微软雅黑" w:eastAsia="微软雅黑" w:cs="微软雅黑"/>
          <w:color w:val="auto"/>
          <w:sz w:val="21"/>
          <w:szCs w:val="21"/>
          <w:highlight w:val="none"/>
        </w:rPr>
        <w:sectPr>
          <w:footnotePr>
            <w:numFmt w:val="decimalEnclosedCircleChinese"/>
          </w:footnotePr>
          <w:pgSz w:w="11906" w:h="16838"/>
          <w:pgMar w:top="1474" w:right="1701" w:bottom="1247" w:left="1701" w:header="851" w:footer="851" w:gutter="0"/>
          <w:pgNumType w:fmt="decimal"/>
          <w:cols w:space="720" w:num="1"/>
          <w:docGrid w:type="lines" w:linePitch="312" w:charSpace="0"/>
        </w:sectPr>
      </w:pPr>
    </w:p>
    <w:p w14:paraId="7947BD27">
      <w:pPr>
        <w:pStyle w:val="36"/>
        <w:rPr>
          <w:color w:val="auto"/>
          <w:highlight w:val="none"/>
        </w:rPr>
      </w:pPr>
      <w:bookmarkStart w:id="127" w:name="_Toc98019297"/>
      <w:r>
        <w:rPr>
          <w:rFonts w:hint="eastAsia"/>
          <w:color w:val="auto"/>
          <w:highlight w:val="none"/>
        </w:rPr>
        <w:t>第六章　投标文件格式</w:t>
      </w:r>
      <w:bookmarkEnd w:id="126"/>
      <w:bookmarkEnd w:id="127"/>
    </w:p>
    <w:p w14:paraId="7ED6ACBA">
      <w:pPr>
        <w:snapToGrid w:val="0"/>
        <w:spacing w:before="50" w:after="50"/>
        <w:rPr>
          <w:rFonts w:hint="eastAsia" w:ascii="微软雅黑" w:hAnsi="微软雅黑" w:eastAsia="微软雅黑"/>
          <w:color w:val="auto"/>
          <w:szCs w:val="21"/>
          <w:highlight w:val="none"/>
        </w:rPr>
      </w:pPr>
    </w:p>
    <w:p w14:paraId="7F33C8E8">
      <w:pPr>
        <w:snapToGrid w:val="0"/>
        <w:spacing w:before="156" w:beforeLines="50" w:after="50"/>
        <w:outlineLvl w:val="1"/>
        <w:rPr>
          <w:rFonts w:hint="eastAsia" w:ascii="微软雅黑" w:hAnsi="微软雅黑" w:eastAsia="微软雅黑"/>
          <w:b/>
          <w:bCs/>
          <w:color w:val="auto"/>
          <w:szCs w:val="21"/>
          <w:highlight w:val="none"/>
        </w:rPr>
      </w:pPr>
      <w:bookmarkStart w:id="128" w:name="_Toc98019298"/>
      <w:bookmarkStart w:id="129" w:name="_Toc11650189"/>
      <w:bookmarkStart w:id="130" w:name="_Toc9342498"/>
      <w:r>
        <w:rPr>
          <w:rFonts w:hint="eastAsia" w:ascii="微软雅黑" w:hAnsi="微软雅黑" w:eastAsia="微软雅黑"/>
          <w:b/>
          <w:bCs/>
          <w:color w:val="auto"/>
          <w:szCs w:val="21"/>
          <w:highlight w:val="none"/>
        </w:rPr>
        <w:t>一、投标文件外层包装封面格式</w:t>
      </w:r>
      <w:bookmarkEnd w:id="128"/>
      <w:bookmarkEnd w:id="129"/>
      <w:bookmarkEnd w:id="130"/>
    </w:p>
    <w:p w14:paraId="684D91A3">
      <w:pPr>
        <w:snapToGrid w:val="0"/>
        <w:spacing w:before="156" w:beforeLines="50" w:after="50" w:line="360" w:lineRule="auto"/>
        <w:jc w:val="center"/>
        <w:rPr>
          <w:rFonts w:hint="eastAsia" w:ascii="微软雅黑" w:hAnsi="微软雅黑" w:eastAsia="微软雅黑"/>
          <w:b/>
          <w:bCs/>
          <w:color w:val="auto"/>
          <w:szCs w:val="21"/>
          <w:highlight w:val="none"/>
        </w:rPr>
      </w:pPr>
    </w:p>
    <w:p w14:paraId="298197D6">
      <w:pPr>
        <w:snapToGrid w:val="0"/>
        <w:spacing w:before="156" w:beforeLines="50" w:after="50" w:line="360" w:lineRule="auto"/>
        <w:rPr>
          <w:rFonts w:hint="eastAsia" w:ascii="微软雅黑" w:hAnsi="微软雅黑" w:eastAsia="微软雅黑"/>
          <w:bCs/>
          <w:color w:val="auto"/>
          <w:szCs w:val="21"/>
          <w:highlight w:val="none"/>
        </w:rPr>
      </w:pPr>
    </w:p>
    <w:p w14:paraId="3D63B8D3">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项目名称：</w:t>
      </w:r>
      <w:r>
        <w:rPr>
          <w:rFonts w:hint="eastAsia" w:ascii="微软雅黑" w:hAnsi="微软雅黑" w:eastAsia="微软雅黑"/>
          <w:bCs/>
          <w:color w:val="auto"/>
          <w:szCs w:val="21"/>
          <w:highlight w:val="none"/>
          <w:lang w:eastAsia="zh-CN"/>
        </w:rPr>
        <w:t>嘉兴市养老保险服务中心社会保险基金支出户银行开户项目</w:t>
      </w:r>
    </w:p>
    <w:p w14:paraId="44520048">
      <w:pPr>
        <w:snapToGrid w:val="0"/>
        <w:spacing w:before="156" w:beforeLines="50" w:after="50" w:line="360" w:lineRule="auto"/>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项目编号：</w:t>
      </w:r>
    </w:p>
    <w:p w14:paraId="7E361DE7">
      <w:pPr>
        <w:pStyle w:val="6"/>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投标人名称：</w:t>
      </w:r>
    </w:p>
    <w:p w14:paraId="4720BF5A">
      <w:pPr>
        <w:pStyle w:val="6"/>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投标人地址：</w:t>
      </w:r>
    </w:p>
    <w:p w14:paraId="756539BA">
      <w:pPr>
        <w:pStyle w:val="6"/>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在    年  月  日时分之前不得启封</w:t>
      </w:r>
    </w:p>
    <w:p w14:paraId="4A7BB9F2">
      <w:pPr>
        <w:pStyle w:val="6"/>
        <w:snapToGrid w:val="0"/>
        <w:spacing w:before="50" w:after="50" w:line="360" w:lineRule="auto"/>
        <w:ind w:firstLine="0"/>
        <w:rPr>
          <w:rFonts w:hint="eastAsia" w:ascii="微软雅黑" w:hAnsi="微软雅黑" w:eastAsia="微软雅黑"/>
          <w:bCs/>
          <w:color w:val="auto"/>
          <w:szCs w:val="21"/>
          <w:highlight w:val="none"/>
        </w:rPr>
      </w:pPr>
    </w:p>
    <w:p w14:paraId="6C8B85B7">
      <w:pPr>
        <w:pStyle w:val="6"/>
        <w:snapToGrid w:val="0"/>
        <w:spacing w:before="50" w:after="50" w:line="360" w:lineRule="auto"/>
        <w:ind w:firstLine="934" w:firstLineChars="445"/>
        <w:rPr>
          <w:rFonts w:hint="eastAsia" w:ascii="微软雅黑" w:hAnsi="微软雅黑" w:eastAsia="微软雅黑"/>
          <w:bCs/>
          <w:color w:val="auto"/>
          <w:szCs w:val="21"/>
          <w:highlight w:val="none"/>
        </w:rPr>
      </w:pPr>
    </w:p>
    <w:p w14:paraId="36D4C0D0">
      <w:pPr>
        <w:pStyle w:val="6"/>
        <w:snapToGrid w:val="0"/>
        <w:spacing w:before="50" w:after="50" w:line="360" w:lineRule="auto"/>
        <w:ind w:firstLine="4714" w:firstLineChars="2245"/>
        <w:rPr>
          <w:rFonts w:hint="eastAsia" w:ascii="微软雅黑" w:hAnsi="微软雅黑" w:eastAsia="微软雅黑"/>
          <w:bCs/>
          <w:color w:val="auto"/>
          <w:szCs w:val="21"/>
          <w:highlight w:val="none"/>
        </w:rPr>
      </w:pPr>
      <w:r>
        <w:rPr>
          <w:rFonts w:hint="eastAsia" w:ascii="微软雅黑" w:hAnsi="微软雅黑" w:eastAsia="微软雅黑"/>
          <w:color w:val="auto"/>
          <w:szCs w:val="21"/>
          <w:highlight w:val="none"/>
        </w:rPr>
        <w:t>（公章）</w:t>
      </w:r>
    </w:p>
    <w:p w14:paraId="57C4B87A">
      <w:pPr>
        <w:snapToGrid w:val="0"/>
        <w:spacing w:before="156" w:beforeLines="50" w:after="50" w:line="360" w:lineRule="auto"/>
        <w:ind w:firstLine="645"/>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2D516841">
      <w:pPr>
        <w:snapToGrid w:val="0"/>
        <w:spacing w:before="156" w:beforeLines="50" w:after="50" w:line="360" w:lineRule="auto"/>
        <w:ind w:firstLine="645"/>
        <w:jc w:val="center"/>
        <w:rPr>
          <w:rFonts w:hint="eastAsia" w:ascii="微软雅黑" w:hAnsi="微软雅黑" w:eastAsia="微软雅黑"/>
          <w:color w:val="auto"/>
          <w:szCs w:val="21"/>
          <w:highlight w:val="none"/>
        </w:rPr>
      </w:pPr>
    </w:p>
    <w:p w14:paraId="33BECA35">
      <w:pPr>
        <w:snapToGrid w:val="0"/>
        <w:spacing w:before="156" w:beforeLines="50" w:after="50"/>
        <w:rPr>
          <w:rFonts w:hint="eastAsia" w:ascii="微软雅黑" w:hAnsi="微软雅黑" w:eastAsia="微软雅黑"/>
          <w:b/>
          <w:color w:val="auto"/>
          <w:szCs w:val="21"/>
          <w:highlight w:val="none"/>
        </w:rPr>
      </w:pPr>
    </w:p>
    <w:p w14:paraId="54FF022E">
      <w:pPr>
        <w:snapToGrid w:val="0"/>
        <w:spacing w:before="156" w:beforeLines="50" w:after="50"/>
        <w:rPr>
          <w:rFonts w:hint="eastAsia" w:ascii="微软雅黑" w:hAnsi="微软雅黑" w:eastAsia="微软雅黑"/>
          <w:b/>
          <w:color w:val="auto"/>
          <w:szCs w:val="21"/>
          <w:highlight w:val="none"/>
        </w:rPr>
      </w:pPr>
    </w:p>
    <w:p w14:paraId="21941913">
      <w:pPr>
        <w:snapToGrid w:val="0"/>
        <w:spacing w:before="156" w:beforeLines="50" w:after="50"/>
        <w:rPr>
          <w:rFonts w:hint="eastAsia" w:ascii="微软雅黑" w:hAnsi="微软雅黑" w:eastAsia="微软雅黑"/>
          <w:b/>
          <w:color w:val="auto"/>
          <w:szCs w:val="21"/>
          <w:highlight w:val="none"/>
        </w:rPr>
      </w:pPr>
    </w:p>
    <w:p w14:paraId="09BC855D">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16915AF7">
      <w:pPr>
        <w:snapToGrid w:val="0"/>
        <w:spacing w:before="156" w:beforeLines="50" w:after="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二、投标声明书格式</w:t>
      </w:r>
    </w:p>
    <w:p w14:paraId="229A2062">
      <w:pPr>
        <w:snapToGrid w:val="0"/>
        <w:spacing w:line="360" w:lineRule="auto"/>
        <w:jc w:val="center"/>
        <w:rPr>
          <w:rFonts w:hint="eastAsia" w:ascii="微软雅黑" w:hAnsi="微软雅黑" w:eastAsia="微软雅黑"/>
          <w:b/>
          <w:color w:val="auto"/>
          <w:szCs w:val="21"/>
          <w:highlight w:val="none"/>
        </w:rPr>
      </w:pPr>
    </w:p>
    <w:p w14:paraId="46F2DA0A">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投标声明书</w:t>
      </w:r>
    </w:p>
    <w:p w14:paraId="44E35AB8">
      <w:pPr>
        <w:snapToGrid w:val="0"/>
        <w:spacing w:line="360" w:lineRule="auto"/>
        <w:jc w:val="center"/>
        <w:rPr>
          <w:rFonts w:hint="eastAsia" w:ascii="微软雅黑" w:hAnsi="微软雅黑" w:eastAsia="微软雅黑"/>
          <w:b/>
          <w:color w:val="auto"/>
          <w:szCs w:val="21"/>
          <w:highlight w:val="none"/>
        </w:rPr>
      </w:pPr>
    </w:p>
    <w:p w14:paraId="314116A7">
      <w:pPr>
        <w:snapToGrid w:val="0"/>
        <w:spacing w:line="50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致：</w:t>
      </w:r>
      <w:r>
        <w:rPr>
          <w:rFonts w:hint="eastAsia" w:ascii="微软雅黑" w:hAnsi="微软雅黑" w:eastAsia="微软雅黑"/>
          <w:b/>
          <w:color w:val="auto"/>
          <w:szCs w:val="21"/>
          <w:highlight w:val="none"/>
          <w:lang w:eastAsia="zh-CN"/>
        </w:rPr>
        <w:t>嘉兴市养老保险服务中心</w:t>
      </w:r>
    </w:p>
    <w:p w14:paraId="2F5B0F5E">
      <w:pPr>
        <w:snapToGrid w:val="0"/>
        <w:spacing w:line="500" w:lineRule="exact"/>
        <w:ind w:firstLine="735" w:firstLineChars="350"/>
        <w:jc w:val="left"/>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（投标人名称）系中华人民共和国合法企业，经营地址</w:t>
      </w:r>
      <w:r>
        <w:rPr>
          <w:rFonts w:hint="eastAsia" w:ascii="微软雅黑" w:hAnsi="微软雅黑" w:eastAsia="微软雅黑"/>
          <w:color w:val="auto"/>
          <w:szCs w:val="21"/>
          <w:highlight w:val="none"/>
          <w:u w:val="single"/>
        </w:rPr>
        <w:t xml:space="preserve">             。</w:t>
      </w:r>
    </w:p>
    <w:p w14:paraId="580A3603">
      <w:pPr>
        <w:snapToGrid w:val="0"/>
        <w:spacing w:line="500" w:lineRule="exact"/>
        <w:ind w:firstLine="645"/>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（投标人名称）的法定代表人（负责人），我方愿意参加贵方组织的</w:t>
      </w:r>
      <w:r>
        <w:rPr>
          <w:rFonts w:hint="eastAsia" w:ascii="微软雅黑" w:hAnsi="微软雅黑" w:eastAsia="微软雅黑" w:cs="Arial"/>
          <w:b/>
          <w:color w:val="auto"/>
          <w:szCs w:val="21"/>
          <w:highlight w:val="none"/>
          <w:u w:val="single"/>
          <w:lang w:eastAsia="zh-CN"/>
        </w:rPr>
        <w:t>嘉兴市养老保险服务中心社会保险基金支出户银行开户项目</w:t>
      </w:r>
      <w:r>
        <w:rPr>
          <w:rFonts w:hint="eastAsia" w:ascii="微软雅黑" w:hAnsi="微软雅黑" w:eastAsia="微软雅黑"/>
          <w:color w:val="auto"/>
          <w:szCs w:val="21"/>
          <w:highlight w:val="none"/>
        </w:rPr>
        <w:t>的投标，为便于贵方公正、择优地确定中标人及其投标产品和服务，我方就本次投标有关事项郑重声明如下：</w:t>
      </w:r>
    </w:p>
    <w:p w14:paraId="49A35A83">
      <w:pPr>
        <w:numPr>
          <w:ilvl w:val="0"/>
          <w:numId w:val="27"/>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我方向贵方提交的所有投标文件、资料都是准确的和真实的；</w:t>
      </w:r>
    </w:p>
    <w:p w14:paraId="1ADC5E37">
      <w:pPr>
        <w:numPr>
          <w:ilvl w:val="0"/>
          <w:numId w:val="27"/>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我方为银行嘉兴所在地区最高机构；</w:t>
      </w:r>
    </w:p>
    <w:p w14:paraId="7F508A0F">
      <w:pPr>
        <w:numPr>
          <w:ilvl w:val="0"/>
          <w:numId w:val="27"/>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我方此次向贵方提供的产品为：</w:t>
      </w:r>
      <w:r>
        <w:rPr>
          <w:rFonts w:hint="eastAsia" w:ascii="微软雅黑" w:hAnsi="微软雅黑" w:eastAsia="微软雅黑" w:cs="Arial"/>
          <w:color w:val="auto"/>
          <w:szCs w:val="21"/>
          <w:highlight w:val="none"/>
          <w:u w:val="single"/>
        </w:rPr>
        <w:t>（</w:t>
      </w:r>
      <w:r>
        <w:rPr>
          <w:rFonts w:hint="eastAsia" w:ascii="微软雅黑" w:hAnsi="微软雅黑" w:eastAsia="微软雅黑"/>
          <w:color w:val="auto"/>
          <w:highlight w:val="none"/>
          <w:u w:val="single"/>
          <w:lang w:eastAsia="zh-CN"/>
        </w:rPr>
        <w:t>支出户银行开户</w:t>
      </w:r>
      <w:r>
        <w:rPr>
          <w:rFonts w:hint="eastAsia" w:ascii="微软雅黑" w:hAnsi="微软雅黑" w:eastAsia="微软雅黑"/>
          <w:color w:val="auto"/>
          <w:szCs w:val="21"/>
          <w:highlight w:val="none"/>
          <w:u w:val="single"/>
        </w:rPr>
        <w:t>)</w:t>
      </w:r>
      <w:r>
        <w:rPr>
          <w:rFonts w:hint="eastAsia" w:ascii="微软雅黑" w:hAnsi="微软雅黑" w:eastAsia="微软雅黑"/>
          <w:color w:val="auto"/>
          <w:szCs w:val="21"/>
          <w:highlight w:val="none"/>
        </w:rPr>
        <w:t>；</w:t>
      </w:r>
    </w:p>
    <w:p w14:paraId="1C358E3C">
      <w:pPr>
        <w:numPr>
          <w:ilvl w:val="0"/>
          <w:numId w:val="27"/>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采用条款费率为：</w:t>
      </w:r>
      <w:r>
        <w:rPr>
          <w:rFonts w:hint="eastAsia" w:ascii="微软雅黑" w:hAnsi="微软雅黑" w:eastAsia="微软雅黑" w:cs="Arial"/>
          <w:color w:val="auto"/>
          <w:szCs w:val="21"/>
          <w:highlight w:val="none"/>
          <w:u w:val="single"/>
        </w:rPr>
        <w:t>按浮动基点（BP）进行报价</w:t>
      </w:r>
      <w:r>
        <w:rPr>
          <w:rFonts w:hint="eastAsia" w:ascii="微软雅黑" w:hAnsi="微软雅黑" w:eastAsia="微软雅黑"/>
          <w:color w:val="auto"/>
          <w:szCs w:val="21"/>
          <w:highlight w:val="none"/>
        </w:rPr>
        <w:t>；</w:t>
      </w:r>
    </w:p>
    <w:p w14:paraId="23A8862F">
      <w:pPr>
        <w:pStyle w:val="18"/>
        <w:numPr>
          <w:ilvl w:val="0"/>
          <w:numId w:val="27"/>
        </w:numPr>
        <w:snapToGrid w:val="0"/>
        <w:spacing w:line="360" w:lineRule="auto"/>
        <w:ind w:left="0" w:firstLine="420" w:firstLineChars="200"/>
        <w:rPr>
          <w:rFonts w:hint="eastAsia" w:ascii="微软雅黑" w:hAnsi="微软雅黑" w:eastAsia="微软雅黑"/>
          <w:color w:val="auto"/>
          <w:spacing w:val="0"/>
          <w:sz w:val="21"/>
          <w:szCs w:val="21"/>
          <w:highlight w:val="none"/>
          <w:u w:val="single"/>
        </w:rPr>
      </w:pPr>
      <w:r>
        <w:rPr>
          <w:rFonts w:hint="eastAsia" w:ascii="微软雅黑" w:hAnsi="微软雅黑" w:eastAsia="微软雅黑"/>
          <w:color w:val="auto"/>
          <w:spacing w:val="0"/>
          <w:sz w:val="21"/>
          <w:szCs w:val="21"/>
          <w:highlight w:val="none"/>
        </w:rPr>
        <w:t>我方及由本人担任法定代表人（负责人）的其他机构最近三年内没有被通报或者被处罚的违规违法行为；</w:t>
      </w:r>
    </w:p>
    <w:p w14:paraId="574CE319">
      <w:pPr>
        <w:numPr>
          <w:ilvl w:val="0"/>
          <w:numId w:val="27"/>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以上事项如有虚假或隐瞒，我方愿意承担一切后果，并不再寻求任何旨在减轻或免除法律责任的辩解。</w:t>
      </w:r>
    </w:p>
    <w:p w14:paraId="717F8692">
      <w:pPr>
        <w:snapToGrid w:val="0"/>
        <w:spacing w:line="500" w:lineRule="exact"/>
        <w:ind w:firstLine="200"/>
        <w:rPr>
          <w:rFonts w:hint="eastAsia" w:ascii="微软雅黑" w:hAnsi="微软雅黑" w:eastAsia="微软雅黑"/>
          <w:color w:val="auto"/>
          <w:szCs w:val="21"/>
          <w:highlight w:val="none"/>
        </w:rPr>
      </w:pPr>
    </w:p>
    <w:p w14:paraId="3C267566">
      <w:pPr>
        <w:snapToGrid w:val="0"/>
        <w:spacing w:line="500" w:lineRule="exact"/>
        <w:ind w:firstLine="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法定代表人（负责人）签字或盖章：</w:t>
      </w:r>
    </w:p>
    <w:p w14:paraId="30465B10">
      <w:pPr>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07FDF6E1">
      <w:pPr>
        <w:snapToGrid w:val="0"/>
        <w:spacing w:line="500" w:lineRule="exact"/>
        <w:ind w:firstLine="3675" w:firstLineChars="17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487BB9D8">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三、法定代表人（负责人）授权委托书格式</w:t>
      </w:r>
    </w:p>
    <w:p w14:paraId="7CC76C51">
      <w:pPr>
        <w:snapToGrid w:val="0"/>
        <w:spacing w:before="156" w:beforeLines="50" w:after="50"/>
        <w:jc w:val="center"/>
        <w:rPr>
          <w:rFonts w:hint="eastAsia" w:ascii="微软雅黑" w:hAnsi="微软雅黑" w:eastAsia="微软雅黑"/>
          <w:color w:val="auto"/>
          <w:szCs w:val="21"/>
          <w:highlight w:val="none"/>
        </w:rPr>
      </w:pPr>
    </w:p>
    <w:p w14:paraId="389F7BDB">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法定代表人（负责人）授权委托书</w:t>
      </w:r>
    </w:p>
    <w:p w14:paraId="21F7DAC8">
      <w:pPr>
        <w:snapToGrid w:val="0"/>
        <w:spacing w:line="360" w:lineRule="auto"/>
        <w:rPr>
          <w:rFonts w:hint="eastAsia" w:ascii="微软雅黑" w:hAnsi="微软雅黑" w:eastAsia="微软雅黑"/>
          <w:bCs/>
          <w:color w:val="auto"/>
          <w:szCs w:val="21"/>
          <w:highlight w:val="none"/>
        </w:rPr>
      </w:pPr>
    </w:p>
    <w:p w14:paraId="040FEA02">
      <w:pPr>
        <w:snapToGrid w:val="0"/>
        <w:spacing w:line="360" w:lineRule="auto"/>
        <w:rPr>
          <w:rFonts w:hint="eastAsia" w:ascii="微软雅黑" w:hAnsi="微软雅黑" w:eastAsia="微软雅黑"/>
          <w:b/>
          <w:bCs/>
          <w:color w:val="auto"/>
          <w:szCs w:val="21"/>
          <w:highlight w:val="none"/>
          <w:lang w:eastAsia="zh-CN"/>
        </w:rPr>
      </w:pPr>
      <w:r>
        <w:rPr>
          <w:rFonts w:hint="eastAsia" w:ascii="微软雅黑" w:hAnsi="微软雅黑" w:eastAsia="微软雅黑"/>
          <w:bCs/>
          <w:color w:val="auto"/>
          <w:szCs w:val="21"/>
          <w:highlight w:val="none"/>
        </w:rPr>
        <w:t>致：</w:t>
      </w:r>
      <w:r>
        <w:rPr>
          <w:rFonts w:hint="eastAsia" w:ascii="微软雅黑" w:hAnsi="微软雅黑" w:eastAsia="微软雅黑"/>
          <w:b/>
          <w:color w:val="auto"/>
          <w:szCs w:val="21"/>
          <w:highlight w:val="none"/>
          <w:lang w:eastAsia="zh-CN"/>
        </w:rPr>
        <w:t>嘉兴市养老保险服务中心</w:t>
      </w:r>
    </w:p>
    <w:p w14:paraId="24EBC31C">
      <w:pPr>
        <w:snapToGrid w:val="0"/>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（投标人名称）的法定代表人（负责人），现授权委托本单位在职职工</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 xml:space="preserve"> （姓名）以我方的名义参加</w:t>
      </w:r>
      <w:r>
        <w:rPr>
          <w:rFonts w:hint="eastAsia" w:ascii="微软雅黑" w:hAnsi="微软雅黑" w:eastAsia="微软雅黑"/>
          <w:b/>
          <w:bCs/>
          <w:color w:val="auto"/>
          <w:szCs w:val="21"/>
          <w:highlight w:val="none"/>
          <w:u w:val="single"/>
          <w:lang w:eastAsia="zh-CN"/>
        </w:rPr>
        <w:t>嘉兴市养老保险服务中心社会保险基金支出户银行开户项目</w:t>
      </w:r>
      <w:r>
        <w:rPr>
          <w:rFonts w:hint="eastAsia" w:ascii="微软雅黑" w:hAnsi="微软雅黑" w:eastAsia="微软雅黑"/>
          <w:color w:val="auto"/>
          <w:szCs w:val="21"/>
          <w:highlight w:val="none"/>
        </w:rPr>
        <w:t>的投标活动，并代表我方全权办理针对上述项目的投标、开标、评标、签约等具体事务和签署相关文件。</w:t>
      </w:r>
    </w:p>
    <w:p w14:paraId="3F0BC75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我方对被授权人的签名事项负全部责任。</w:t>
      </w:r>
    </w:p>
    <w:p w14:paraId="46866329">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在撤销授权的书面通知以前，本授权书一直有效。被授权人在授权书有效期内签署的所有文件不因授权的撤销而失效。</w:t>
      </w:r>
    </w:p>
    <w:p w14:paraId="5FE0BD44">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被授权人无转委托权，特此委托。</w:t>
      </w:r>
    </w:p>
    <w:p w14:paraId="20DA1AF4">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法定代表人（负责人）签字或盖章：</w:t>
      </w:r>
    </w:p>
    <w:p w14:paraId="6F805BB3">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被授权人签名：</w:t>
      </w:r>
    </w:p>
    <w:p w14:paraId="67515C00">
      <w:pPr>
        <w:snapToGrid w:val="0"/>
        <w:spacing w:line="360" w:lineRule="auto"/>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被授权人手机：</w:t>
      </w:r>
    </w:p>
    <w:p w14:paraId="53E44F50">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被授权人身份证号码：</w:t>
      </w:r>
    </w:p>
    <w:p w14:paraId="303CCDE2">
      <w:pPr>
        <w:snapToGrid w:val="0"/>
        <w:spacing w:line="360" w:lineRule="auto"/>
        <w:rPr>
          <w:rFonts w:hint="eastAsia" w:ascii="微软雅黑" w:hAnsi="微软雅黑" w:eastAsia="微软雅黑"/>
          <w:color w:val="auto"/>
          <w:szCs w:val="21"/>
          <w:highlight w:val="none"/>
        </w:rPr>
      </w:pPr>
    </w:p>
    <w:p w14:paraId="482036C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2ACC2E96">
      <w:pPr>
        <w:snapToGrid w:val="0"/>
        <w:spacing w:line="360" w:lineRule="auto"/>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3A43DEE4">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法定代表人（负责人）身份证复印件（正反面）：</w:t>
      </w:r>
    </w:p>
    <w:p w14:paraId="61696502">
      <w:pPr>
        <w:snapToGrid w:val="0"/>
        <w:spacing w:line="360" w:lineRule="auto"/>
        <w:rPr>
          <w:rFonts w:hint="eastAsia" w:ascii="微软雅黑" w:hAnsi="微软雅黑" w:eastAsia="微软雅黑"/>
          <w:color w:val="auto"/>
          <w:szCs w:val="21"/>
          <w:highlight w:val="none"/>
        </w:rPr>
      </w:pPr>
    </w:p>
    <w:p w14:paraId="034D5C8B">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被授权人身份证复印件（正反面）：</w:t>
      </w:r>
    </w:p>
    <w:p w14:paraId="7FE101FB">
      <w:pPr>
        <w:snapToGrid w:val="0"/>
        <w:spacing w:line="360" w:lineRule="auto"/>
        <w:rPr>
          <w:rFonts w:hint="eastAsia" w:ascii="微软雅黑" w:hAnsi="微软雅黑" w:eastAsia="微软雅黑"/>
          <w:color w:val="auto"/>
          <w:szCs w:val="21"/>
          <w:highlight w:val="none"/>
        </w:rPr>
      </w:pPr>
    </w:p>
    <w:p w14:paraId="051993BA">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4576CD80">
      <w:pPr>
        <w:snapToGrid w:val="0"/>
        <w:spacing w:before="156" w:beforeLines="50" w:after="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四、投标函格式</w:t>
      </w:r>
    </w:p>
    <w:p w14:paraId="162A497E">
      <w:pPr>
        <w:snapToGrid w:val="0"/>
        <w:spacing w:before="156" w:beforeLines="50" w:after="50"/>
        <w:rPr>
          <w:rFonts w:hint="eastAsia" w:ascii="微软雅黑" w:hAnsi="微软雅黑" w:eastAsia="微软雅黑"/>
          <w:b/>
          <w:color w:val="auto"/>
          <w:szCs w:val="21"/>
          <w:highlight w:val="none"/>
        </w:rPr>
      </w:pPr>
    </w:p>
    <w:p w14:paraId="470EA3C5">
      <w:pPr>
        <w:snapToGrid w:val="0"/>
        <w:spacing w:before="156" w:beforeLines="50" w:after="5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 标 函</w:t>
      </w:r>
    </w:p>
    <w:p w14:paraId="7D2A411A">
      <w:pPr>
        <w:snapToGrid w:val="0"/>
        <w:spacing w:line="360" w:lineRule="auto"/>
        <w:rPr>
          <w:rFonts w:hint="eastAsia" w:ascii="微软雅黑" w:hAnsi="微软雅黑" w:eastAsia="微软雅黑"/>
          <w:color w:val="auto"/>
          <w:szCs w:val="21"/>
          <w:highlight w:val="none"/>
        </w:rPr>
      </w:pPr>
    </w:p>
    <w:p w14:paraId="6963F55B">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b/>
          <w:color w:val="auto"/>
          <w:szCs w:val="21"/>
          <w:highlight w:val="none"/>
          <w:lang w:eastAsia="zh-CN"/>
        </w:rPr>
        <w:t>嘉兴市养老保险服务中心</w:t>
      </w:r>
      <w:r>
        <w:rPr>
          <w:rFonts w:hint="eastAsia" w:ascii="微软雅黑" w:hAnsi="微软雅黑" w:eastAsia="微软雅黑"/>
          <w:color w:val="auto"/>
          <w:szCs w:val="21"/>
          <w:highlight w:val="none"/>
        </w:rPr>
        <w:t>：</w:t>
      </w:r>
    </w:p>
    <w:p w14:paraId="2C5B94D3">
      <w:pPr>
        <w:snapToGrid w:val="0"/>
        <w:spacing w:line="360" w:lineRule="auto"/>
        <w:ind w:firstLine="48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根据贵方</w:t>
      </w:r>
      <w:r>
        <w:rPr>
          <w:rFonts w:hint="eastAsia" w:ascii="微软雅黑" w:hAnsi="微软雅黑" w:eastAsia="微软雅黑"/>
          <w:b/>
          <w:color w:val="auto"/>
          <w:szCs w:val="21"/>
          <w:highlight w:val="none"/>
          <w:u w:val="single"/>
          <w:lang w:eastAsia="zh-CN"/>
        </w:rPr>
        <w:t>嘉兴市养老保险服务中心社会保险基金支出户银行开户项目</w:t>
      </w:r>
      <w:r>
        <w:rPr>
          <w:rFonts w:hint="eastAsia" w:ascii="微软雅黑" w:hAnsi="微软雅黑" w:eastAsia="微软雅黑"/>
          <w:color w:val="auto"/>
          <w:szCs w:val="21"/>
          <w:highlight w:val="none"/>
        </w:rPr>
        <w:t>的招标公告〔项目编号：</w:t>
      </w:r>
      <w:r>
        <w:rPr>
          <w:rFonts w:hint="eastAsia"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，被授权人（姓名）经正式授权并代表投标人</w:t>
      </w:r>
      <w:r>
        <w:rPr>
          <w:rFonts w:hint="eastAsia" w:ascii="微软雅黑" w:hAnsi="微软雅黑" w:eastAsia="微软雅黑"/>
          <w:color w:val="auto"/>
          <w:szCs w:val="21"/>
          <w:highlight w:val="none"/>
          <w:u w:val="single"/>
        </w:rPr>
        <w:t xml:space="preserve">_   </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（投标人名称）提交资信技术文件、报价文件</w:t>
      </w:r>
      <w:r>
        <w:rPr>
          <w:rFonts w:hint="eastAsia" w:ascii="微软雅黑" w:hAnsi="微软雅黑" w:eastAsia="微软雅黑"/>
          <w:color w:val="auto"/>
          <w:szCs w:val="21"/>
          <w:highlight w:val="none"/>
          <w:u w:val="single"/>
        </w:rPr>
        <w:t>正本一份、副本一份</w:t>
      </w:r>
      <w:r>
        <w:rPr>
          <w:rFonts w:hint="eastAsia" w:ascii="微软雅黑" w:hAnsi="微软雅黑" w:eastAsia="微软雅黑"/>
          <w:color w:val="auto"/>
          <w:szCs w:val="21"/>
          <w:highlight w:val="none"/>
        </w:rPr>
        <w:t>。</w:t>
      </w:r>
    </w:p>
    <w:p w14:paraId="32A7757C">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据此函，签字代表宣布同意如下：</w:t>
      </w:r>
    </w:p>
    <w:p w14:paraId="7A79034F">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7104D583">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2、投标人在投标之前已经与贵方进行了充分的沟通，完全理解并接受招标文件的各项规定和要求，对招标文件的合理性、合法性不再有异议。</w:t>
      </w:r>
    </w:p>
    <w:p w14:paraId="2C31031E">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3、本投标有效期自开标日起60日。</w:t>
      </w:r>
    </w:p>
    <w:p w14:paraId="73C1018D">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4、如中标，本投标文件至本项目合同履行完毕止均保持有效，本投标人将按“招标文件”及招投标法律法规的规定履行合同责任和义务。</w:t>
      </w:r>
    </w:p>
    <w:p w14:paraId="4080556F">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5、投标人同意按照贵方要求提供与投标有关的一切数据或资料。</w:t>
      </w:r>
    </w:p>
    <w:p w14:paraId="4EE35882">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6、与本投标有关的一切正式往来信函请寄：</w:t>
      </w:r>
    </w:p>
    <w:p w14:paraId="12D17B0C">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地址：___________________邮编：_________传真：_________</w:t>
      </w:r>
    </w:p>
    <w:p w14:paraId="47CE25C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 _________________  电话：_________________</w:t>
      </w:r>
    </w:p>
    <w:p w14:paraId="55D7A0F6">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被授权人签字:_________________   </w:t>
      </w:r>
    </w:p>
    <w:p w14:paraId="371F4A83">
      <w:pPr>
        <w:snapToGrid w:val="0"/>
        <w:spacing w:line="360" w:lineRule="auto"/>
        <w:ind w:firstLine="4515" w:firstLineChars="2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(公章)</w:t>
      </w:r>
    </w:p>
    <w:p w14:paraId="1D3DB769">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年___月___日</w:t>
      </w:r>
    </w:p>
    <w:p w14:paraId="7DE39441">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3AEE5B36">
      <w:pPr>
        <w:pStyle w:val="22"/>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五、投标报价表格式</w:t>
      </w:r>
    </w:p>
    <w:p w14:paraId="503A277B">
      <w:pPr>
        <w:spacing w:line="500" w:lineRule="exact"/>
        <w:ind w:firstLine="420" w:firstLineChars="200"/>
        <w:jc w:val="center"/>
        <w:rPr>
          <w:rFonts w:hint="eastAsia" w:ascii="微软雅黑" w:hAnsi="微软雅黑" w:eastAsia="微软雅黑"/>
          <w:b/>
          <w:color w:val="auto"/>
          <w:szCs w:val="21"/>
          <w:highlight w:val="none"/>
          <w:lang w:eastAsia="zh-CN"/>
        </w:rPr>
      </w:pPr>
      <w:r>
        <w:rPr>
          <w:rFonts w:hint="eastAsia" w:ascii="微软雅黑" w:hAnsi="微软雅黑" w:eastAsia="微软雅黑"/>
          <w:b/>
          <w:color w:val="auto"/>
          <w:szCs w:val="21"/>
          <w:highlight w:val="none"/>
          <w:lang w:eastAsia="zh-CN"/>
        </w:rPr>
        <w:t>嘉兴市养老保险服务中心社会保险基金支出户银行开户项目</w:t>
      </w:r>
    </w:p>
    <w:p w14:paraId="7CDF25E6">
      <w:pPr>
        <w:spacing w:line="500" w:lineRule="exact"/>
        <w:ind w:firstLine="420" w:firstLineChars="20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投标报价一览表</w:t>
      </w:r>
    </w:p>
    <w:p w14:paraId="6C6A8B2D">
      <w:pPr>
        <w:spacing w:line="400" w:lineRule="exact"/>
        <w:jc w:val="center"/>
        <w:rPr>
          <w:rFonts w:hint="eastAsia" w:ascii="微软雅黑" w:hAnsi="微软雅黑" w:eastAsia="微软雅黑"/>
          <w:color w:val="auto"/>
          <w:szCs w:val="21"/>
          <w:highlight w:val="none"/>
          <w:u w:val="single"/>
        </w:rPr>
      </w:pPr>
    </w:p>
    <w:p w14:paraId="31D64957">
      <w:pPr>
        <w:spacing w:line="360" w:lineRule="auto"/>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致：</w:t>
      </w:r>
      <w:r>
        <w:rPr>
          <w:rFonts w:hint="eastAsia" w:ascii="微软雅黑" w:hAnsi="微软雅黑" w:eastAsia="微软雅黑"/>
          <w:color w:val="auto"/>
          <w:highlight w:val="none"/>
          <w:lang w:eastAsia="zh-CN"/>
        </w:rPr>
        <w:t>嘉兴市养老保险服务中心</w:t>
      </w:r>
    </w:p>
    <w:p w14:paraId="3046A00E">
      <w:pPr>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我单位承诺：本投标书由我单位授权人(被授权人)填写，内容真实、准确、完整。</w:t>
      </w:r>
    </w:p>
    <w:p w14:paraId="3C92C7DF">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投标人名称：____________________________________</w:t>
      </w:r>
    </w:p>
    <w:p w14:paraId="5DEFB259">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被授权人姓名：___________________ 联系电话：________________</w:t>
      </w:r>
    </w:p>
    <w:p w14:paraId="0C45FC2E">
      <w:pPr>
        <w:spacing w:line="400" w:lineRule="exact"/>
        <w:rPr>
          <w:rFonts w:hint="eastAsia" w:ascii="微软雅黑" w:hAnsi="微软雅黑" w:eastAsia="微软雅黑"/>
          <w:color w:val="auto"/>
          <w:szCs w:val="21"/>
          <w:highlight w:val="none"/>
        </w:rPr>
      </w:pPr>
    </w:p>
    <w:tbl>
      <w:tblPr>
        <w:tblStyle w:val="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216"/>
        <w:gridCol w:w="2835"/>
        <w:gridCol w:w="993"/>
      </w:tblGrid>
      <w:tr w14:paraId="2852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73C628E9">
            <w:pPr>
              <w:spacing w:line="5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（存期）</w:t>
            </w:r>
          </w:p>
        </w:tc>
        <w:tc>
          <w:tcPr>
            <w:tcW w:w="2216" w:type="dxa"/>
            <w:vAlign w:val="center"/>
          </w:tcPr>
          <w:p w14:paraId="440FCE20">
            <w:pPr>
              <w:spacing w:line="560" w:lineRule="exact"/>
              <w:ind w:right="84" w:rightChars="4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央行基准利率</w:t>
            </w:r>
          </w:p>
        </w:tc>
        <w:tc>
          <w:tcPr>
            <w:tcW w:w="2835" w:type="dxa"/>
            <w:vAlign w:val="center"/>
          </w:tcPr>
          <w:p w14:paraId="4BECCAC9">
            <w:pPr>
              <w:spacing w:line="5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浮动基点（BP）</w:t>
            </w:r>
          </w:p>
        </w:tc>
        <w:tc>
          <w:tcPr>
            <w:tcW w:w="993" w:type="dxa"/>
            <w:vAlign w:val="center"/>
          </w:tcPr>
          <w:p w14:paraId="66CF9DF9">
            <w:pPr>
              <w:spacing w:line="5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r>
      <w:tr w14:paraId="1E55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6ABD06ED">
            <w:pPr>
              <w:spacing w:line="560" w:lineRule="exac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活期（</w:t>
            </w:r>
            <w:r>
              <w:rPr>
                <w:rFonts w:hint="eastAsia" w:ascii="微软雅黑" w:hAnsi="微软雅黑" w:eastAsia="微软雅黑" w:cs="微软雅黑"/>
                <w:color w:val="auto"/>
                <w:sz w:val="21"/>
                <w:szCs w:val="21"/>
                <w:highlight w:val="none"/>
              </w:rPr>
              <w:t>央行公布的三个月整存整取基准利率</w:t>
            </w:r>
            <w:r>
              <w:rPr>
                <w:rFonts w:hint="eastAsia" w:ascii="微软雅黑" w:hAnsi="微软雅黑" w:eastAsia="微软雅黑" w:cs="微软雅黑"/>
                <w:color w:val="auto"/>
                <w:sz w:val="21"/>
                <w:szCs w:val="21"/>
                <w:highlight w:val="none"/>
                <w:lang w:eastAsia="zh-CN"/>
              </w:rPr>
              <w:t>）</w:t>
            </w:r>
          </w:p>
        </w:tc>
        <w:tc>
          <w:tcPr>
            <w:tcW w:w="2216" w:type="dxa"/>
            <w:vAlign w:val="center"/>
          </w:tcPr>
          <w:p w14:paraId="7F6346E7">
            <w:pPr>
              <w:spacing w:line="560" w:lineRule="exact"/>
              <w:ind w:right="84" w:rightChars="40"/>
              <w:rPr>
                <w:rFonts w:hint="eastAsia" w:ascii="微软雅黑" w:hAnsi="微软雅黑" w:eastAsia="微软雅黑" w:cs="微软雅黑"/>
                <w:color w:val="auto"/>
                <w:sz w:val="21"/>
                <w:szCs w:val="21"/>
                <w:highlight w:val="none"/>
              </w:rPr>
            </w:pPr>
          </w:p>
        </w:tc>
        <w:tc>
          <w:tcPr>
            <w:tcW w:w="2835" w:type="dxa"/>
            <w:vAlign w:val="center"/>
          </w:tcPr>
          <w:p w14:paraId="12549A42">
            <w:pPr>
              <w:spacing w:line="560" w:lineRule="exact"/>
              <w:rPr>
                <w:rFonts w:hint="eastAsia" w:ascii="微软雅黑" w:hAnsi="微软雅黑" w:eastAsia="微软雅黑" w:cs="微软雅黑"/>
                <w:color w:val="auto"/>
                <w:sz w:val="21"/>
                <w:szCs w:val="21"/>
                <w:highlight w:val="none"/>
              </w:rPr>
            </w:pPr>
          </w:p>
        </w:tc>
        <w:tc>
          <w:tcPr>
            <w:tcW w:w="993" w:type="dxa"/>
            <w:vAlign w:val="center"/>
          </w:tcPr>
          <w:p w14:paraId="2D5D3B65">
            <w:pPr>
              <w:spacing w:line="560" w:lineRule="exact"/>
              <w:rPr>
                <w:rFonts w:hint="eastAsia" w:ascii="微软雅黑" w:hAnsi="微软雅黑" w:eastAsia="微软雅黑" w:cs="微软雅黑"/>
                <w:color w:val="auto"/>
                <w:sz w:val="21"/>
                <w:szCs w:val="21"/>
                <w:highlight w:val="none"/>
              </w:rPr>
            </w:pPr>
          </w:p>
        </w:tc>
      </w:tr>
    </w:tbl>
    <w:p w14:paraId="46BDD128">
      <w:pPr>
        <w:spacing w:line="400" w:lineRule="exact"/>
        <w:rPr>
          <w:rFonts w:hint="eastAsia" w:ascii="微软雅黑" w:hAnsi="微软雅黑" w:eastAsia="微软雅黑"/>
          <w:color w:val="auto"/>
          <w:szCs w:val="21"/>
          <w:highlight w:val="none"/>
        </w:rPr>
      </w:pPr>
    </w:p>
    <w:p w14:paraId="31BA5E03">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被授权人签字：</w:t>
      </w:r>
    </w:p>
    <w:p w14:paraId="19572E50">
      <w:pPr>
        <w:spacing w:line="400" w:lineRule="exact"/>
        <w:rPr>
          <w:rFonts w:hint="eastAsia" w:ascii="微软雅黑" w:hAnsi="微软雅黑" w:eastAsia="微软雅黑"/>
          <w:color w:val="auto"/>
          <w:szCs w:val="21"/>
          <w:highlight w:val="none"/>
        </w:rPr>
      </w:pPr>
    </w:p>
    <w:p w14:paraId="1B2E1D49">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投标单位(公章）:</w:t>
      </w:r>
    </w:p>
    <w:p w14:paraId="74ACD685">
      <w:pPr>
        <w:spacing w:line="40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6A789015">
      <w:pPr>
        <w:spacing w:line="360" w:lineRule="auto"/>
        <w:rPr>
          <w:rFonts w:hint="eastAsia" w:ascii="微软雅黑" w:hAnsi="微软雅黑" w:eastAsia="微软雅黑"/>
          <w:color w:val="auto"/>
          <w:szCs w:val="21"/>
          <w:highlight w:val="none"/>
        </w:rPr>
      </w:pPr>
    </w:p>
    <w:p w14:paraId="35E140B6">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说明：</w:t>
      </w:r>
    </w:p>
    <w:p w14:paraId="148B4BA3">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1、投标人报价不得违反国家利率政策和浙江省市场利率定价自律机制规定。在有 </w:t>
      </w:r>
    </w:p>
    <w:p w14:paraId="43AF0B39">
      <w:pPr>
        <w:spacing w:line="400" w:lineRule="exac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 xml:space="preserve">效期内，若利率相关的法律法规、规章政策调整，或中国人民银行存款基准利率、 </w:t>
      </w:r>
    </w:p>
    <w:p w14:paraId="3B72D335">
      <w:pPr>
        <w:spacing w:line="400" w:lineRule="exac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 xml:space="preserve">存款自律约定、银行总行存款利率内部授权上限等发生调整，按市场利率定价自 </w:t>
      </w:r>
    </w:p>
    <w:p w14:paraId="577B55C0">
      <w:pPr>
        <w:spacing w:line="400" w:lineRule="exac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律机制相关规定操作。</w:t>
      </w:r>
    </w:p>
    <w:p w14:paraId="4D5D5F8E">
      <w:pPr>
        <w:spacing w:line="4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2、存款年利率最多保留3位小数。</w:t>
      </w:r>
    </w:p>
    <w:p w14:paraId="544FF932">
      <w:pPr>
        <w:spacing w:line="4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3、本投标书填写须清晰，不得涂改。</w:t>
      </w:r>
    </w:p>
    <w:p w14:paraId="75E40CF5">
      <w:pPr>
        <w:pStyle w:val="22"/>
        <w:snapToGrid w:val="0"/>
        <w:spacing w:beforeLines="0" w:afterLines="0" w:line="360" w:lineRule="auto"/>
        <w:rPr>
          <w:rFonts w:hint="eastAsia" w:ascii="微软雅黑" w:hAnsi="微软雅黑" w:eastAsia="微软雅黑"/>
          <w:b/>
          <w:color w:val="auto"/>
          <w:sz w:val="21"/>
          <w:szCs w:val="21"/>
          <w:highlight w:val="none"/>
        </w:rPr>
        <w:sectPr>
          <w:pgSz w:w="11907" w:h="16840"/>
          <w:pgMar w:top="1440" w:right="1797" w:bottom="1440" w:left="1797" w:header="851" w:footer="851" w:gutter="0"/>
          <w:pgNumType w:fmt="decimal"/>
          <w:cols w:space="425" w:num="1"/>
          <w:titlePg/>
          <w:docGrid w:type="lines" w:linePitch="312" w:charSpace="0"/>
        </w:sectPr>
      </w:pPr>
    </w:p>
    <w:p w14:paraId="533783F3">
      <w:pPr>
        <w:pStyle w:val="22"/>
        <w:snapToGrid w:val="0"/>
        <w:spacing w:beforeLines="0" w:afterLines="0" w:line="36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六、数据提供</w:t>
      </w:r>
    </w:p>
    <w:tbl>
      <w:tblPr>
        <w:tblStyle w:val="39"/>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61"/>
        <w:gridCol w:w="3827"/>
        <w:gridCol w:w="2017"/>
      </w:tblGrid>
      <w:tr w14:paraId="68B7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1880209">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1861" w:type="dxa"/>
            <w:vAlign w:val="center"/>
          </w:tcPr>
          <w:p w14:paraId="0C8B5C30">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指标</w:t>
            </w:r>
          </w:p>
        </w:tc>
        <w:tc>
          <w:tcPr>
            <w:tcW w:w="3827" w:type="dxa"/>
            <w:vAlign w:val="center"/>
          </w:tcPr>
          <w:p w14:paraId="65914F62">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w:t>
            </w:r>
          </w:p>
        </w:tc>
        <w:tc>
          <w:tcPr>
            <w:tcW w:w="2017" w:type="dxa"/>
            <w:vAlign w:val="center"/>
          </w:tcPr>
          <w:p w14:paraId="45344DDE">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数据%</w:t>
            </w:r>
          </w:p>
        </w:tc>
      </w:tr>
      <w:tr w14:paraId="2543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75973CA">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1861" w:type="dxa"/>
            <w:vAlign w:val="center"/>
          </w:tcPr>
          <w:p w14:paraId="6955FF55">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拨备覆盖率指标</w:t>
            </w:r>
          </w:p>
        </w:tc>
        <w:tc>
          <w:tcPr>
            <w:tcW w:w="3827" w:type="dxa"/>
            <w:vAlign w:val="center"/>
          </w:tcPr>
          <w:p w14:paraId="7463886E">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投标银行上年度总行拨备覆盖率</w:t>
            </w:r>
          </w:p>
        </w:tc>
        <w:tc>
          <w:tcPr>
            <w:tcW w:w="2017" w:type="dxa"/>
            <w:vAlign w:val="center"/>
          </w:tcPr>
          <w:p w14:paraId="7B09B617">
            <w:pPr>
              <w:spacing w:line="360" w:lineRule="auto"/>
              <w:rPr>
                <w:rFonts w:hint="eastAsia" w:ascii="微软雅黑" w:hAnsi="微软雅黑" w:eastAsia="微软雅黑"/>
                <w:color w:val="auto"/>
                <w:szCs w:val="21"/>
                <w:highlight w:val="none"/>
              </w:rPr>
            </w:pPr>
          </w:p>
        </w:tc>
      </w:tr>
      <w:tr w14:paraId="771F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9" w:type="dxa"/>
            <w:vAlign w:val="center"/>
          </w:tcPr>
          <w:p w14:paraId="59F916F1">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1861" w:type="dxa"/>
            <w:vAlign w:val="center"/>
          </w:tcPr>
          <w:p w14:paraId="673AC0C3">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资本充足率</w:t>
            </w:r>
          </w:p>
        </w:tc>
        <w:tc>
          <w:tcPr>
            <w:tcW w:w="3827" w:type="dxa"/>
            <w:vAlign w:val="center"/>
          </w:tcPr>
          <w:p w14:paraId="212BB7C7">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投标银行上年度总行资本充足率</w:t>
            </w:r>
          </w:p>
        </w:tc>
        <w:tc>
          <w:tcPr>
            <w:tcW w:w="2017" w:type="dxa"/>
            <w:vAlign w:val="center"/>
          </w:tcPr>
          <w:p w14:paraId="764F65AB">
            <w:pPr>
              <w:spacing w:line="360" w:lineRule="auto"/>
              <w:rPr>
                <w:rFonts w:hint="eastAsia" w:ascii="微软雅黑" w:hAnsi="微软雅黑" w:eastAsia="微软雅黑"/>
                <w:color w:val="auto"/>
                <w:szCs w:val="21"/>
                <w:highlight w:val="none"/>
                <w:u w:val="single"/>
              </w:rPr>
            </w:pPr>
          </w:p>
        </w:tc>
      </w:tr>
    </w:tbl>
    <w:p w14:paraId="1B531CAE">
      <w:pPr>
        <w:spacing w:line="400" w:lineRule="exact"/>
        <w:rPr>
          <w:rFonts w:hint="eastAsia" w:ascii="微软雅黑" w:hAnsi="微软雅黑" w:eastAsia="微软雅黑"/>
          <w:color w:val="auto"/>
          <w:szCs w:val="21"/>
          <w:highlight w:val="none"/>
        </w:rPr>
      </w:pPr>
    </w:p>
    <w:p w14:paraId="2F7675F2">
      <w:pPr>
        <w:rPr>
          <w:rFonts w:hint="eastAsia" w:ascii="微软雅黑" w:hAnsi="微软雅黑" w:eastAsia="微软雅黑"/>
          <w:color w:val="auto"/>
          <w:szCs w:val="21"/>
          <w:highlight w:val="none"/>
        </w:rPr>
        <w:sectPr>
          <w:pgSz w:w="11907" w:h="16840"/>
          <w:pgMar w:top="1440" w:right="1797" w:bottom="1440" w:left="1797" w:header="851" w:footer="851" w:gutter="0"/>
          <w:pgNumType w:fmt="decimal"/>
          <w:cols w:space="425" w:num="1"/>
          <w:titlePg/>
          <w:docGrid w:type="lines" w:linePitch="312" w:charSpace="0"/>
        </w:sectPr>
      </w:pPr>
    </w:p>
    <w:p w14:paraId="43217A9F">
      <w:pPr>
        <w:pStyle w:val="22"/>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七、投标银行报名表格式</w:t>
      </w:r>
    </w:p>
    <w:p w14:paraId="1AE64D13">
      <w:pPr>
        <w:pStyle w:val="35"/>
        <w:spacing w:before="0" w:beforeAutospacing="0" w:after="0" w:afterAutospacing="0" w:line="315" w:lineRule="atLeast"/>
        <w:jc w:val="center"/>
        <w:rPr>
          <w:rFonts w:hint="eastAsia" w:ascii="微软雅黑" w:hAnsi="微软雅黑" w:eastAsia="微软雅黑" w:cs="黑体"/>
          <w:color w:val="auto"/>
          <w:sz w:val="21"/>
          <w:szCs w:val="21"/>
          <w:highlight w:val="none"/>
        </w:rPr>
      </w:pPr>
      <w:r>
        <w:rPr>
          <w:rStyle w:val="41"/>
          <w:rFonts w:hint="eastAsia" w:ascii="微软雅黑" w:hAnsi="微软雅黑" w:eastAsia="微软雅黑" w:cs="黑体"/>
          <w:color w:val="auto"/>
          <w:spacing w:val="45"/>
          <w:sz w:val="21"/>
          <w:szCs w:val="21"/>
          <w:highlight w:val="none"/>
          <w:shd w:val="clear" w:color="auto" w:fill="FFFFFF"/>
        </w:rPr>
        <w:t>投标银行报名表</w:t>
      </w:r>
    </w:p>
    <w:tbl>
      <w:tblPr>
        <w:tblStyle w:val="39"/>
        <w:tblW w:w="0" w:type="auto"/>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56B423D7">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B167853">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报名单位</w:t>
            </w:r>
          </w:p>
        </w:tc>
        <w:tc>
          <w:tcPr>
            <w:tcW w:w="6847" w:type="dxa"/>
            <w:gridSpan w:val="5"/>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3FA6464">
            <w:pPr>
              <w:jc w:val="left"/>
              <w:rPr>
                <w:rFonts w:hint="eastAsia" w:ascii="微软雅黑" w:hAnsi="微软雅黑" w:eastAsia="微软雅黑" w:cs="-apple-system"/>
                <w:color w:val="auto"/>
                <w:szCs w:val="21"/>
                <w:highlight w:val="none"/>
              </w:rPr>
            </w:pPr>
          </w:p>
        </w:tc>
      </w:tr>
      <w:tr w14:paraId="1E0ABD7C">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93333AA">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项目联系人</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FB04B89">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763A460">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固定电话</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3B67443">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56E1B2C5">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手机号码</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D08D1B2">
            <w:pPr>
              <w:jc w:val="left"/>
              <w:rPr>
                <w:rFonts w:hint="eastAsia" w:ascii="微软雅黑" w:hAnsi="微软雅黑" w:eastAsia="微软雅黑" w:cs="-apple-system"/>
                <w:color w:val="auto"/>
                <w:szCs w:val="21"/>
                <w:highlight w:val="none"/>
              </w:rPr>
            </w:pPr>
          </w:p>
        </w:tc>
      </w:tr>
      <w:tr w14:paraId="4F7C7F67">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vAlign w:val="center"/>
          </w:tcPr>
          <w:p w14:paraId="3DC9D826">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详细地址</w:t>
            </w:r>
          </w:p>
        </w:tc>
        <w:tc>
          <w:tcPr>
            <w:tcW w:w="3918" w:type="dxa"/>
            <w:gridSpan w:val="3"/>
            <w:tcBorders>
              <w:top w:val="single" w:color="auto" w:sz="4" w:space="0"/>
              <w:left w:val="single" w:color="auto" w:sz="4" w:space="0"/>
              <w:bottom w:val="single" w:color="auto" w:sz="4" w:space="0"/>
              <w:right w:val="single" w:color="auto" w:sz="4" w:space="0"/>
            </w:tcBorders>
            <w:vAlign w:val="center"/>
          </w:tcPr>
          <w:p w14:paraId="50504BD1">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E764781">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邮 编</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B5403F6">
            <w:pPr>
              <w:jc w:val="left"/>
              <w:rPr>
                <w:rFonts w:hint="eastAsia" w:ascii="微软雅黑" w:hAnsi="微软雅黑" w:eastAsia="微软雅黑" w:cs="-apple-system"/>
                <w:color w:val="auto"/>
                <w:szCs w:val="21"/>
                <w:highlight w:val="none"/>
              </w:rPr>
            </w:pPr>
          </w:p>
        </w:tc>
      </w:tr>
      <w:tr w14:paraId="0CDED7A6">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tcPr>
          <w:p w14:paraId="7C2A0A1C">
            <w:pPr>
              <w:pStyle w:val="35"/>
              <w:wordWrap w:val="0"/>
              <w:spacing w:before="120" w:beforeAutospacing="0" w:after="0" w:afterAutospacing="0" w:line="360"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嘉兴市千秋工程咨询有限公司：</w:t>
            </w:r>
          </w:p>
          <w:p w14:paraId="7573F775">
            <w:pPr>
              <w:pStyle w:val="4"/>
              <w:numPr>
                <w:ilvl w:val="0"/>
                <w:numId w:val="4"/>
              </w:numPr>
              <w:spacing w:before="0" w:after="0" w:line="460" w:lineRule="exact"/>
              <w:ind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我公司报名参加贵公司组织的</w:t>
            </w:r>
            <w:r>
              <w:rPr>
                <w:rFonts w:hint="eastAsia" w:ascii="微软雅黑" w:hAnsi="微软雅黑"/>
                <w:color w:val="auto"/>
                <w:highlight w:val="none"/>
                <w:u w:val="single"/>
                <w:lang w:eastAsia="zh-CN"/>
              </w:rPr>
              <w:t>嘉兴市养老保险服务中心社会保险基金支出户银行开户项目</w:t>
            </w:r>
            <w:r>
              <w:rPr>
                <w:rFonts w:hint="eastAsia" w:ascii="微软雅黑" w:hAnsi="微软雅黑" w:eastAsia="微软雅黑" w:cs="仿宋_GB2312"/>
                <w:color w:val="auto"/>
                <w:szCs w:val="21"/>
                <w:highlight w:val="none"/>
              </w:rPr>
              <w:t>（项目编号为</w:t>
            </w:r>
            <w:r>
              <w:rPr>
                <w:rFonts w:hint="eastAsia" w:ascii="微软雅黑" w:hAnsi="微软雅黑" w:cs="仿宋_GB2312"/>
                <w:color w:val="auto"/>
                <w:szCs w:val="21"/>
                <w:highlight w:val="none"/>
                <w:lang w:eastAsia="zh-CN"/>
              </w:rPr>
              <w:t>：</w:t>
            </w:r>
            <w:r>
              <w:rPr>
                <w:rFonts w:hint="eastAsia" w:ascii="微软雅黑" w:hAnsi="微软雅黑" w:cs="Times New Roman"/>
                <w:b w:val="0"/>
                <w:bCs w:val="0"/>
                <w:color w:val="auto"/>
                <w:kern w:val="2"/>
                <w:sz w:val="21"/>
                <w:szCs w:val="21"/>
                <w:highlight w:val="none"/>
                <w:u w:val="single"/>
                <w:lang w:val="en-US" w:eastAsia="zh-CN" w:bidi="ar-SA"/>
              </w:rPr>
              <w:t>千秋-N（2025）第65号</w:t>
            </w:r>
            <w:r>
              <w:rPr>
                <w:rFonts w:hint="eastAsia" w:ascii="微软雅黑" w:hAnsi="微软雅黑" w:eastAsia="微软雅黑" w:cs="仿宋_GB2312"/>
                <w:color w:val="auto"/>
                <w:szCs w:val="21"/>
                <w:highlight w:val="none"/>
              </w:rPr>
              <w:t>）的招标活动。</w:t>
            </w:r>
          </w:p>
          <w:p w14:paraId="4334A08B">
            <w:pPr>
              <w:spacing w:line="460" w:lineRule="exact"/>
              <w:rPr>
                <w:rFonts w:hint="eastAsia" w:ascii="微软雅黑" w:hAnsi="微软雅黑" w:eastAsia="微软雅黑" w:cs="仿宋"/>
                <w:color w:val="auto"/>
                <w:szCs w:val="21"/>
                <w:highlight w:val="none"/>
              </w:rPr>
            </w:pPr>
            <w:r>
              <w:rPr>
                <w:rStyle w:val="41"/>
                <w:rFonts w:hint="eastAsia" w:ascii="微软雅黑" w:hAnsi="微软雅黑" w:eastAsia="微软雅黑" w:cs="宋体"/>
                <w:color w:val="auto"/>
                <w:szCs w:val="21"/>
                <w:highlight w:val="none"/>
              </w:rPr>
              <w:t xml:space="preserve">   </w:t>
            </w:r>
            <w:r>
              <w:rPr>
                <w:rFonts w:hint="eastAsia" w:ascii="微软雅黑" w:hAnsi="微软雅黑" w:eastAsia="微软雅黑" w:cs="仿宋"/>
                <w:color w:val="auto"/>
                <w:szCs w:val="21"/>
                <w:highlight w:val="none"/>
              </w:rPr>
              <w:t>附：1.有效的营业执照副本复印件（加盖单位公章）；</w:t>
            </w:r>
          </w:p>
          <w:p w14:paraId="7DEFBE24">
            <w:pPr>
              <w:spacing w:line="460" w:lineRule="exact"/>
              <w:rPr>
                <w:rFonts w:hint="eastAsia"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 xml:space="preserve">       2.报名人有效身份证件复印件。</w:t>
            </w:r>
          </w:p>
          <w:p w14:paraId="6D0C87FA">
            <w:pPr>
              <w:spacing w:line="460" w:lineRule="exact"/>
              <w:rPr>
                <w:rFonts w:hint="eastAsia" w:ascii="微软雅黑" w:hAnsi="微软雅黑" w:eastAsia="微软雅黑" w:cs="仿宋"/>
                <w:color w:val="auto"/>
                <w:szCs w:val="21"/>
                <w:highlight w:val="none"/>
              </w:rPr>
            </w:pPr>
          </w:p>
          <w:p w14:paraId="1848226E">
            <w:pPr>
              <w:spacing w:line="460" w:lineRule="exact"/>
              <w:rPr>
                <w:rFonts w:hint="eastAsia" w:ascii="微软雅黑" w:hAnsi="微软雅黑" w:eastAsia="微软雅黑" w:cs="仿宋"/>
                <w:color w:val="auto"/>
                <w:szCs w:val="21"/>
                <w:highlight w:val="none"/>
              </w:rPr>
            </w:pPr>
          </w:p>
          <w:p w14:paraId="0D83FDDF">
            <w:pPr>
              <w:pStyle w:val="35"/>
              <w:wordWrap w:val="0"/>
              <w:spacing w:before="0" w:beforeAutospacing="0" w:after="0" w:afterAutospacing="0" w:line="460" w:lineRule="exact"/>
              <w:ind w:firstLine="555"/>
              <w:rPr>
                <w:rFonts w:hint="eastAsia" w:ascii="微软雅黑" w:hAnsi="微软雅黑" w:eastAsia="微软雅黑"/>
                <w:color w:val="auto"/>
                <w:kern w:val="2"/>
                <w:sz w:val="21"/>
                <w:szCs w:val="21"/>
                <w:highlight w:val="none"/>
              </w:rPr>
            </w:pPr>
          </w:p>
          <w:p w14:paraId="5692668F">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5C2C15D2">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 xml:space="preserve">    报名单位公章：</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kern w:val="2"/>
                <w:sz w:val="21"/>
                <w:szCs w:val="21"/>
                <w:highlight w:val="none"/>
              </w:rPr>
              <w:t>        </w:t>
            </w:r>
          </w:p>
          <w:p w14:paraId="79B0EE6F">
            <w:pPr>
              <w:pStyle w:val="35"/>
              <w:wordWrap w:val="0"/>
              <w:spacing w:before="0" w:beforeAutospacing="0" w:after="0" w:afterAutospacing="0" w:line="315" w:lineRule="atLeast"/>
              <w:ind w:left="540" w:firstLine="30"/>
              <w:jc w:val="both"/>
              <w:rPr>
                <w:rFonts w:hint="eastAsia" w:ascii="微软雅黑" w:hAnsi="微软雅黑" w:eastAsia="微软雅黑" w:cs="仿宋_GB2312"/>
                <w:color w:val="auto"/>
                <w:kern w:val="2"/>
                <w:sz w:val="21"/>
                <w:szCs w:val="21"/>
                <w:highlight w:val="none"/>
              </w:rPr>
            </w:pPr>
          </w:p>
          <w:p w14:paraId="4CAEAA5D">
            <w:pPr>
              <w:pStyle w:val="35"/>
              <w:wordWrap w:val="0"/>
              <w:spacing w:before="0" w:beforeAutospacing="0" w:after="0" w:afterAutospacing="0" w:line="315" w:lineRule="atLeast"/>
              <w:ind w:firstLine="420" w:firstLineChars="200"/>
              <w:jc w:val="both"/>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法人代表或负责人签章或签字：</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kern w:val="2"/>
                <w:sz w:val="21"/>
                <w:szCs w:val="21"/>
                <w:highlight w:val="none"/>
                <w:u w:val="single"/>
              </w:rPr>
              <w:t>     </w:t>
            </w:r>
          </w:p>
          <w:p w14:paraId="4617AD36">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7BEEAB1B">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10345774">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r>
              <w:rPr>
                <w:rFonts w:ascii="微软雅黑" w:hAnsi="微软雅黑" w:eastAsia="微软雅黑" w:cs="仿宋_GB2312"/>
                <w:color w:val="auto"/>
                <w:kern w:val="2"/>
                <w:sz w:val="21"/>
                <w:szCs w:val="21"/>
                <w:highlight w:val="none"/>
              </w:rPr>
              <w:t xml:space="preserve">    </w:t>
            </w:r>
            <w:r>
              <w:rPr>
                <w:rFonts w:hint="eastAsia" w:ascii="微软雅黑" w:hAnsi="微软雅黑" w:eastAsia="微软雅黑" w:cs="仿宋_GB2312"/>
                <w:color w:val="auto"/>
                <w:kern w:val="2"/>
                <w:sz w:val="21"/>
                <w:szCs w:val="21"/>
                <w:highlight w:val="none"/>
              </w:rPr>
              <w:t>年</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月</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日</w:t>
            </w:r>
          </w:p>
        </w:tc>
      </w:tr>
    </w:tbl>
    <w:p w14:paraId="25180856">
      <w:pPr>
        <w:rPr>
          <w:rFonts w:hint="eastAsia" w:ascii="微软雅黑" w:hAnsi="微软雅黑" w:eastAsia="微软雅黑"/>
          <w:color w:val="auto"/>
          <w:szCs w:val="21"/>
          <w:highlight w:val="none"/>
        </w:rPr>
      </w:pPr>
    </w:p>
    <w:sectPr>
      <w:pgSz w:w="11907" w:h="16840"/>
      <w:pgMar w:top="1440" w:right="1797" w:bottom="1440" w:left="1797" w:header="851" w:footer="851"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AF897A-8BFD-4D1A-99B3-B6D6A7DA5A13}"/>
  </w:font>
  <w:font w:name="黑体">
    <w:panose1 w:val="02010609060101010101"/>
    <w:charset w:val="86"/>
    <w:family w:val="auto"/>
    <w:pitch w:val="default"/>
    <w:sig w:usb0="800002BF" w:usb1="38CF7CFA" w:usb2="00000016" w:usb3="00000000" w:csb0="00040001" w:csb1="00000000"/>
    <w:embedRegular r:id="rId2" w:fontKey="{15209463-14C5-4527-8597-38195A1A635A}"/>
  </w:font>
  <w:font w:name="Courier New">
    <w:panose1 w:val="02070309020205020404"/>
    <w:charset w:val="01"/>
    <w:family w:val="modern"/>
    <w:pitch w:val="default"/>
    <w:sig w:usb0="E0002EFF" w:usb1="C0007843" w:usb2="00000009" w:usb3="00000000" w:csb0="400001FF" w:csb1="FFFF0000"/>
    <w:embedRegular r:id="rId3" w:fontKey="{059792EB-F434-41B3-8A15-169530534D5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4" w:fontKey="{777B978E-23A9-4C3C-80C6-8A2F3462E12A}"/>
  </w:font>
  <w:font w:name="仿宋_GB2312">
    <w:panose1 w:val="02010609030101010101"/>
    <w:charset w:val="86"/>
    <w:family w:val="modern"/>
    <w:pitch w:val="default"/>
    <w:sig w:usb0="00000001" w:usb1="080E0000" w:usb2="00000000" w:usb3="00000000" w:csb0="00040000" w:csb1="00000000"/>
    <w:embedRegular r:id="rId5" w:fontKey="{5623CDE0-E481-439E-851A-BE838D1BFBA8}"/>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6" w:fontKey="{EEEA39D9-F2E7-4516-8A53-D0A099875158}"/>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公文黑体">
    <w:panose1 w:val="02000500000000000000"/>
    <w:charset w:val="86"/>
    <w:family w:val="auto"/>
    <w:pitch w:val="default"/>
    <w:sig w:usb0="A00002BF" w:usb1="38CF7CFA" w:usb2="00000016" w:usb3="00000000" w:csb0="00040001" w:csb1="00000000"/>
    <w:embedRegular r:id="rId7" w:fontKey="{41E29A56-4D17-423D-8EA2-A3C7115455E7}"/>
  </w:font>
  <w:font w:name="方正仿宋_GB18030">
    <w:panose1 w:val="02000000000000000000"/>
    <w:charset w:val="86"/>
    <w:family w:val="auto"/>
    <w:pitch w:val="default"/>
    <w:sig w:usb0="00000001" w:usb1="08000000" w:usb2="00000000" w:usb3="00000000" w:csb0="00040000" w:csb1="00000000"/>
    <w:embedRegular r:id="rId8" w:fontKey="{AE205663-C126-4472-8A89-5F86D18DE70D}"/>
  </w:font>
  <w:font w:name="方正小标宋简体">
    <w:panose1 w:val="02000000000000000000"/>
    <w:charset w:val="86"/>
    <w:family w:val="script"/>
    <w:pitch w:val="default"/>
    <w:sig w:usb0="00000001" w:usb1="08000000" w:usb2="00000000" w:usb3="00000000" w:csb0="00040000" w:csb1="00000000"/>
    <w:embedRegular r:id="rId9" w:fontKey="{98293755-3982-4114-A769-9D6A3DA61ED7}"/>
  </w:font>
  <w:font w:name="-apple-system">
    <w:altName w:val="Noto Serif SC"/>
    <w:panose1 w:val="00000000000000000000"/>
    <w:charset w:val="00"/>
    <w:family w:val="auto"/>
    <w:pitch w:val="default"/>
    <w:sig w:usb0="00000000" w:usb1="00000000" w:usb2="00000000" w:usb3="00000000" w:csb0="00040001" w:csb1="00000000"/>
    <w:embedRegular r:id="rId10" w:fontKey="{2D92AD19-7696-4045-9FFD-F0EECA8119D5}"/>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embedRegular r:id="rId11" w:fontKey="{7E7C55DD-1A02-4341-BBCE-E7005B9174FA}"/>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9256"/>
    </w:sdtPr>
    <w:sdtContent>
      <w:p w14:paraId="4B8FACB9">
        <w:pPr>
          <w:pStyle w:val="26"/>
          <w:jc w:val="right"/>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AEB9">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0D4B6D5B">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2F17">
    <w:pPr>
      <w:pStyle w:val="26"/>
      <w:jc w:val="right"/>
    </w:pPr>
  </w:p>
  <w:p w14:paraId="4C32AC3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6A94">
    <w:pPr>
      <w:pStyle w:val="26"/>
      <w:rPr>
        <w:rFonts w:hint="default" w:eastAsia="黑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EE2E">
    <w:pPr>
      <w:pStyle w:val="26"/>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430"/>
                          </w:sdtPr>
                          <w:sdtContent>
                            <w:p w14:paraId="55FD5709">
                              <w:pPr>
                                <w:pStyle w:val="26"/>
                                <w:jc w:val="right"/>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sdtContent>
                        </w:sdt>
                        <w:p w14:paraId="11CA1B56">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3430"/>
                    </w:sdtPr>
                    <w:sdtContent>
                      <w:p w14:paraId="55FD5709">
                        <w:pPr>
                          <w:pStyle w:val="26"/>
                          <w:jc w:val="right"/>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sdtContent>
                  </w:sdt>
                  <w:p w14:paraId="11CA1B56">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703F2">
    <w:pPr>
      <w:pStyle w:val="26"/>
      <w:rPr>
        <w:rFonts w:hint="default" w:eastAsia="黑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66A25">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166A25">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6EB28">
    <w:pPr>
      <w:pStyle w:val="27"/>
      <w:jc w:val="right"/>
    </w:pPr>
    <w:r>
      <w:rPr>
        <w:rFonts w:ascii="微软雅黑" w:hAnsi="微软雅黑" w:eastAsia="微软雅黑"/>
      </w:rPr>
      <w:drawing>
        <wp:anchor distT="0" distB="0" distL="114300" distR="114300" simplePos="0" relativeHeight="251660288" behindDoc="0" locked="0" layoutInCell="1" allowOverlap="1">
          <wp:simplePos x="0" y="0"/>
          <wp:positionH relativeFrom="column">
            <wp:posOffset>40005</wp:posOffset>
          </wp:positionH>
          <wp:positionV relativeFrom="paragraph">
            <wp:posOffset>-140335</wp:posOffset>
          </wp:positionV>
          <wp:extent cx="447675" cy="390525"/>
          <wp:effectExtent l="19050" t="0" r="9525" b="0"/>
          <wp:wrapNone/>
          <wp:docPr id="8"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lang w:eastAsia="zh-CN"/>
      </w:rPr>
      <w:t>嘉兴市养老保险服务中心社会保险基金支出户银行开户项目</w:t>
    </w:r>
    <w:r>
      <w:rPr>
        <w:rFonts w:hint="eastAsia" w:ascii="微软雅黑" w:hAnsi="微软雅黑" w:eastAsia="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31DD">
    <w:pPr>
      <w:pStyle w:val="27"/>
      <w:jc w:val="right"/>
    </w:pPr>
    <w:r>
      <w:rPr>
        <w:rFonts w:ascii="微软雅黑" w:hAnsi="微软雅黑" w:eastAsia="微软雅黑"/>
      </w:rPr>
      <w:drawing>
        <wp:anchor distT="0" distB="0" distL="114300" distR="114300" simplePos="0" relativeHeight="251659264" behindDoc="0" locked="0" layoutInCell="1" allowOverlap="1">
          <wp:simplePos x="0" y="0"/>
          <wp:positionH relativeFrom="column">
            <wp:posOffset>135255</wp:posOffset>
          </wp:positionH>
          <wp:positionV relativeFrom="paragraph">
            <wp:posOffset>-111760</wp:posOffset>
          </wp:positionV>
          <wp:extent cx="447675" cy="390525"/>
          <wp:effectExtent l="19050" t="0" r="9525" b="0"/>
          <wp:wrapNone/>
          <wp:docPr id="7"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lang w:eastAsia="zh-CN"/>
      </w:rPr>
      <w:t>嘉兴市养老保险服务中心社会保险基金支出户银行开户项目</w:t>
    </w:r>
    <w:r>
      <w:rPr>
        <w:rFonts w:hint="eastAsia" w:ascii="微软雅黑" w:hAnsi="微软雅黑" w:eastAsia="微软雅黑"/>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430"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5BCF98A"/>
    <w:multiLevelType w:val="singleLevel"/>
    <w:tmpl w:val="95BCF98A"/>
    <w:lvl w:ilvl="0" w:tentative="0">
      <w:start w:val="1"/>
      <w:numFmt w:val="decimal"/>
      <w:lvlText w:val="%1."/>
      <w:lvlJc w:val="left"/>
      <w:pPr>
        <w:ind w:left="425" w:hanging="425"/>
      </w:pPr>
      <w:rPr>
        <w:rFonts w:hint="default"/>
      </w:rPr>
    </w:lvl>
  </w:abstractNum>
  <w:abstractNum w:abstractNumId="4">
    <w:nsid w:val="B3C48481"/>
    <w:multiLevelType w:val="multilevel"/>
    <w:tmpl w:val="B3C48481"/>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5">
    <w:nsid w:val="C30591CF"/>
    <w:multiLevelType w:val="singleLevel"/>
    <w:tmpl w:val="C30591CF"/>
    <w:lvl w:ilvl="0" w:tentative="0">
      <w:start w:val="1"/>
      <w:numFmt w:val="decimal"/>
      <w:lvlText w:val="(%1)"/>
      <w:lvlJc w:val="left"/>
      <w:pPr>
        <w:ind w:left="425" w:hanging="425"/>
      </w:pPr>
      <w:rPr>
        <w:rFonts w:hint="default"/>
      </w:rPr>
    </w:lvl>
  </w:abstractNum>
  <w:abstractNum w:abstractNumId="6">
    <w:nsid w:val="C70EAB13"/>
    <w:multiLevelType w:val="singleLevel"/>
    <w:tmpl w:val="C70EAB13"/>
    <w:lvl w:ilvl="0" w:tentative="0">
      <w:start w:val="1"/>
      <w:numFmt w:val="decimal"/>
      <w:lvlText w:val="%1."/>
      <w:lvlJc w:val="left"/>
      <w:pPr>
        <w:ind w:left="425" w:hanging="425"/>
      </w:pPr>
      <w:rPr>
        <w:rFonts w:hint="default"/>
      </w:rPr>
    </w:lvl>
  </w:abstractNum>
  <w:abstractNum w:abstractNumId="7">
    <w:nsid w:val="CBE9ACB4"/>
    <w:multiLevelType w:val="singleLevel"/>
    <w:tmpl w:val="CBE9ACB4"/>
    <w:lvl w:ilvl="0" w:tentative="0">
      <w:start w:val="1"/>
      <w:numFmt w:val="decimal"/>
      <w:lvlText w:val="%1."/>
      <w:lvlJc w:val="left"/>
      <w:pPr>
        <w:ind w:left="425" w:hanging="425"/>
      </w:pPr>
      <w:rPr>
        <w:rFonts w:hint="default"/>
      </w:rPr>
    </w:lvl>
  </w:abstractNum>
  <w:abstractNum w:abstractNumId="8">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D8B03D13"/>
    <w:multiLevelType w:val="singleLevel"/>
    <w:tmpl w:val="D8B03D13"/>
    <w:lvl w:ilvl="0" w:tentative="0">
      <w:start w:val="1"/>
      <w:numFmt w:val="decimal"/>
      <w:lvlText w:val="%1."/>
      <w:lvlJc w:val="left"/>
      <w:pPr>
        <w:ind w:left="425" w:hanging="425"/>
      </w:pPr>
      <w:rPr>
        <w:rFonts w:hint="default"/>
      </w:rPr>
    </w:lvl>
  </w:abstractNum>
  <w:abstractNum w:abstractNumId="10">
    <w:nsid w:val="E3E6BB85"/>
    <w:multiLevelType w:val="singleLevel"/>
    <w:tmpl w:val="E3E6BB85"/>
    <w:lvl w:ilvl="0" w:tentative="0">
      <w:start w:val="1"/>
      <w:numFmt w:val="decimal"/>
      <w:lvlText w:val="%1."/>
      <w:lvlJc w:val="left"/>
      <w:pPr>
        <w:ind w:left="425" w:hanging="425"/>
      </w:pPr>
      <w:rPr>
        <w:rFonts w:hint="default"/>
      </w:rPr>
    </w:lvl>
  </w:abstractNum>
  <w:abstractNum w:abstractNumId="11">
    <w:nsid w:val="E475F1C9"/>
    <w:multiLevelType w:val="singleLevel"/>
    <w:tmpl w:val="E475F1C9"/>
    <w:lvl w:ilvl="0" w:tentative="0">
      <w:start w:val="1"/>
      <w:numFmt w:val="decimal"/>
      <w:lvlText w:val="%1."/>
      <w:lvlJc w:val="left"/>
      <w:pPr>
        <w:ind w:left="425" w:hanging="425"/>
      </w:pPr>
      <w:rPr>
        <w:rFonts w:hint="default"/>
      </w:rPr>
    </w:lvl>
  </w:abstractNum>
  <w:abstractNum w:abstractNumId="12">
    <w:nsid w:val="F921381C"/>
    <w:multiLevelType w:val="singleLevel"/>
    <w:tmpl w:val="F921381C"/>
    <w:lvl w:ilvl="0" w:tentative="0">
      <w:start w:val="1"/>
      <w:numFmt w:val="decimal"/>
      <w:lvlText w:val="%1."/>
      <w:lvlJc w:val="left"/>
      <w:pPr>
        <w:ind w:left="425" w:hanging="425"/>
      </w:pPr>
      <w:rPr>
        <w:rFonts w:hint="default"/>
      </w:rPr>
    </w:lvl>
  </w:abstractNum>
  <w:abstractNum w:abstractNumId="13">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4">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5">
    <w:nsid w:val="0F56D2F4"/>
    <w:multiLevelType w:val="singleLevel"/>
    <w:tmpl w:val="0F56D2F4"/>
    <w:lvl w:ilvl="0" w:tentative="0">
      <w:start w:val="1"/>
      <w:numFmt w:val="chineseCounting"/>
      <w:suff w:val="nothing"/>
      <w:lvlText w:val="%1、"/>
      <w:lvlJc w:val="left"/>
      <w:pPr>
        <w:ind w:left="0" w:firstLine="420"/>
      </w:pPr>
      <w:rPr>
        <w:rFonts w:hint="eastAsia"/>
      </w:rPr>
    </w:lvl>
  </w:abstractNum>
  <w:abstractNum w:abstractNumId="16">
    <w:nsid w:val="1ED9D2B8"/>
    <w:multiLevelType w:val="singleLevel"/>
    <w:tmpl w:val="1ED9D2B8"/>
    <w:lvl w:ilvl="0" w:tentative="0">
      <w:start w:val="1"/>
      <w:numFmt w:val="decimal"/>
      <w:lvlText w:val="%1."/>
      <w:lvlJc w:val="left"/>
      <w:pPr>
        <w:ind w:left="425" w:hanging="425"/>
      </w:pPr>
      <w:rPr>
        <w:rFonts w:hint="default"/>
      </w:rPr>
    </w:lvl>
  </w:abstractNum>
  <w:abstractNum w:abstractNumId="17">
    <w:nsid w:val="20FC13BD"/>
    <w:multiLevelType w:val="singleLevel"/>
    <w:tmpl w:val="20FC13BD"/>
    <w:lvl w:ilvl="0" w:tentative="0">
      <w:start w:val="1"/>
      <w:numFmt w:val="decimal"/>
      <w:lvlText w:val="%1."/>
      <w:lvlJc w:val="left"/>
      <w:pPr>
        <w:ind w:left="425" w:hanging="425"/>
      </w:pPr>
      <w:rPr>
        <w:rFonts w:hint="default"/>
      </w:rPr>
    </w:lvl>
  </w:abstractNum>
  <w:abstractNum w:abstractNumId="18">
    <w:nsid w:val="276C1612"/>
    <w:multiLevelType w:val="singleLevel"/>
    <w:tmpl w:val="276C1612"/>
    <w:lvl w:ilvl="0" w:tentative="0">
      <w:start w:val="1"/>
      <w:numFmt w:val="decimal"/>
      <w:lvlText w:val="%1."/>
      <w:lvlJc w:val="left"/>
      <w:pPr>
        <w:ind w:left="425" w:hanging="425"/>
      </w:pPr>
      <w:rPr>
        <w:rFonts w:hint="default"/>
      </w:rPr>
    </w:lvl>
  </w:abstractNum>
  <w:abstractNum w:abstractNumId="19">
    <w:nsid w:val="28F7E069"/>
    <w:multiLevelType w:val="singleLevel"/>
    <w:tmpl w:val="28F7E069"/>
    <w:lvl w:ilvl="0" w:tentative="0">
      <w:start w:val="1"/>
      <w:numFmt w:val="decimal"/>
      <w:lvlText w:val="%1."/>
      <w:lvlJc w:val="left"/>
      <w:pPr>
        <w:ind w:left="425" w:hanging="425"/>
      </w:pPr>
      <w:rPr>
        <w:rFonts w:hint="default"/>
      </w:rPr>
    </w:lvl>
  </w:abstractNum>
  <w:abstractNum w:abstractNumId="20">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1">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5A00BB"/>
    <w:multiLevelType w:val="singleLevel"/>
    <w:tmpl w:val="625A00BB"/>
    <w:lvl w:ilvl="0" w:tentative="0">
      <w:start w:val="1"/>
      <w:numFmt w:val="decimal"/>
      <w:lvlText w:val="%1."/>
      <w:lvlJc w:val="left"/>
      <w:pPr>
        <w:ind w:left="425" w:hanging="425"/>
      </w:pPr>
      <w:rPr>
        <w:rFonts w:hint="default"/>
      </w:rPr>
    </w:lvl>
  </w:abstractNum>
  <w:abstractNum w:abstractNumId="23">
    <w:nsid w:val="63EEBE5E"/>
    <w:multiLevelType w:val="singleLevel"/>
    <w:tmpl w:val="63EEBE5E"/>
    <w:lvl w:ilvl="0" w:tentative="0">
      <w:start w:val="1"/>
      <w:numFmt w:val="decimal"/>
      <w:lvlText w:val="%1."/>
      <w:lvlJc w:val="left"/>
      <w:pPr>
        <w:ind w:left="425" w:hanging="425"/>
      </w:pPr>
      <w:rPr>
        <w:rFonts w:hint="default"/>
      </w:rPr>
    </w:lvl>
  </w:abstractNum>
  <w:abstractNum w:abstractNumId="24">
    <w:nsid w:val="6D8C2D0B"/>
    <w:multiLevelType w:val="singleLevel"/>
    <w:tmpl w:val="6D8C2D0B"/>
    <w:lvl w:ilvl="0" w:tentative="0">
      <w:start w:val="1"/>
      <w:numFmt w:val="chineseCounting"/>
      <w:suff w:val="nothing"/>
      <w:lvlText w:val="%1、"/>
      <w:lvlJc w:val="left"/>
      <w:pPr>
        <w:ind w:left="6" w:firstLine="420"/>
      </w:pPr>
      <w:rPr>
        <w:rFonts w:hint="eastAsia"/>
      </w:rPr>
    </w:lvl>
  </w:abstractNum>
  <w:num w:numId="1">
    <w:abstractNumId w:val="4"/>
  </w:num>
  <w:num w:numId="2">
    <w:abstractNumId w:val="13"/>
  </w:num>
  <w:num w:numId="3">
    <w:abstractNumId w:val="8"/>
  </w:num>
  <w:num w:numId="4">
    <w:abstractNumId w:val="24"/>
    <w:lvlOverride w:ilvl="0">
      <w:startOverride w:val="1"/>
    </w:lvlOverride>
  </w:num>
  <w:num w:numId="5">
    <w:abstractNumId w:val="22"/>
    <w:lvlOverride w:ilvl="0">
      <w:startOverride w:val="1"/>
    </w:lvlOverride>
  </w:num>
  <w:num w:numId="6">
    <w:abstractNumId w:val="14"/>
  </w:num>
  <w:num w:numId="7">
    <w:abstractNumId w:val="15"/>
  </w:num>
  <w:num w:numId="8">
    <w:abstractNumId w:val="1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9"/>
  </w:num>
  <w:num w:numId="14">
    <w:abstractNumId w:val="3"/>
  </w:num>
  <w:num w:numId="15">
    <w:abstractNumId w:val="0"/>
  </w:num>
  <w:num w:numId="16">
    <w:abstractNumId w:val="16"/>
  </w:num>
  <w:num w:numId="17">
    <w:abstractNumId w:val="11"/>
  </w:num>
  <w:num w:numId="18">
    <w:abstractNumId w:val="6"/>
  </w:num>
  <w:num w:numId="19">
    <w:abstractNumId w:val="12"/>
  </w:num>
  <w:num w:numId="20">
    <w:abstractNumId w:val="19"/>
  </w:num>
  <w:num w:numId="21">
    <w:abstractNumId w:val="7"/>
  </w:num>
  <w:num w:numId="22">
    <w:abstractNumId w:val="1"/>
  </w:num>
  <w:num w:numId="23">
    <w:abstractNumId w:val="21"/>
  </w:num>
  <w:num w:numId="24">
    <w:abstractNumId w:val="2"/>
  </w:num>
  <w:num w:numId="25">
    <w:abstractNumId w:val="5"/>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MTYyNTAxYWM3MWI0NzliODIyODNmMjdmN2NhNGEifQ=="/>
  </w:docVars>
  <w:rsids>
    <w:rsidRoot w:val="006D32D0"/>
    <w:rsid w:val="0000149B"/>
    <w:rsid w:val="00002187"/>
    <w:rsid w:val="000051C2"/>
    <w:rsid w:val="000065F1"/>
    <w:rsid w:val="00007C69"/>
    <w:rsid w:val="00010B5D"/>
    <w:rsid w:val="00032136"/>
    <w:rsid w:val="00032330"/>
    <w:rsid w:val="0003290F"/>
    <w:rsid w:val="00033AF5"/>
    <w:rsid w:val="000340B0"/>
    <w:rsid w:val="00035DC4"/>
    <w:rsid w:val="0003635C"/>
    <w:rsid w:val="000404F9"/>
    <w:rsid w:val="00040BF8"/>
    <w:rsid w:val="0004175F"/>
    <w:rsid w:val="00042F14"/>
    <w:rsid w:val="0004567D"/>
    <w:rsid w:val="00045DDF"/>
    <w:rsid w:val="0004709D"/>
    <w:rsid w:val="000473C1"/>
    <w:rsid w:val="0005248B"/>
    <w:rsid w:val="0005510C"/>
    <w:rsid w:val="00060249"/>
    <w:rsid w:val="00062D91"/>
    <w:rsid w:val="0006419B"/>
    <w:rsid w:val="00064479"/>
    <w:rsid w:val="00064C8B"/>
    <w:rsid w:val="00066145"/>
    <w:rsid w:val="00066D2F"/>
    <w:rsid w:val="000735A5"/>
    <w:rsid w:val="00074098"/>
    <w:rsid w:val="000836B9"/>
    <w:rsid w:val="00084351"/>
    <w:rsid w:val="0008614C"/>
    <w:rsid w:val="00090918"/>
    <w:rsid w:val="000921D0"/>
    <w:rsid w:val="0009344E"/>
    <w:rsid w:val="00094BA1"/>
    <w:rsid w:val="00094D78"/>
    <w:rsid w:val="000A0BEA"/>
    <w:rsid w:val="000A1815"/>
    <w:rsid w:val="000A4E02"/>
    <w:rsid w:val="000A5D97"/>
    <w:rsid w:val="000A6662"/>
    <w:rsid w:val="000A6A55"/>
    <w:rsid w:val="000B1CD8"/>
    <w:rsid w:val="000B22BA"/>
    <w:rsid w:val="000B247C"/>
    <w:rsid w:val="000B5037"/>
    <w:rsid w:val="000C2093"/>
    <w:rsid w:val="000C55F1"/>
    <w:rsid w:val="000D035E"/>
    <w:rsid w:val="000D1C0F"/>
    <w:rsid w:val="000D24D2"/>
    <w:rsid w:val="000D2952"/>
    <w:rsid w:val="000D4249"/>
    <w:rsid w:val="000D534C"/>
    <w:rsid w:val="000D65E1"/>
    <w:rsid w:val="000D7229"/>
    <w:rsid w:val="000D75AF"/>
    <w:rsid w:val="000D7889"/>
    <w:rsid w:val="000E05F4"/>
    <w:rsid w:val="000E397D"/>
    <w:rsid w:val="000E5A3A"/>
    <w:rsid w:val="000E6F76"/>
    <w:rsid w:val="000F098A"/>
    <w:rsid w:val="000F0A09"/>
    <w:rsid w:val="000F0D6E"/>
    <w:rsid w:val="000F1452"/>
    <w:rsid w:val="000F2893"/>
    <w:rsid w:val="000F43EA"/>
    <w:rsid w:val="000F5654"/>
    <w:rsid w:val="000F6E21"/>
    <w:rsid w:val="00101C48"/>
    <w:rsid w:val="001056F1"/>
    <w:rsid w:val="001057E0"/>
    <w:rsid w:val="00105AC7"/>
    <w:rsid w:val="001060E9"/>
    <w:rsid w:val="001079C8"/>
    <w:rsid w:val="00107F10"/>
    <w:rsid w:val="00110D44"/>
    <w:rsid w:val="00114500"/>
    <w:rsid w:val="00114950"/>
    <w:rsid w:val="00117387"/>
    <w:rsid w:val="00117A31"/>
    <w:rsid w:val="001201EC"/>
    <w:rsid w:val="00123B7A"/>
    <w:rsid w:val="001243B9"/>
    <w:rsid w:val="001245B7"/>
    <w:rsid w:val="00125657"/>
    <w:rsid w:val="00125918"/>
    <w:rsid w:val="00127FD6"/>
    <w:rsid w:val="00131C36"/>
    <w:rsid w:val="00131C61"/>
    <w:rsid w:val="00132299"/>
    <w:rsid w:val="00140425"/>
    <w:rsid w:val="00140AD3"/>
    <w:rsid w:val="00145218"/>
    <w:rsid w:val="00145E62"/>
    <w:rsid w:val="001468EB"/>
    <w:rsid w:val="00147046"/>
    <w:rsid w:val="001471F8"/>
    <w:rsid w:val="001503F0"/>
    <w:rsid w:val="001505CF"/>
    <w:rsid w:val="00157908"/>
    <w:rsid w:val="0016134D"/>
    <w:rsid w:val="00165526"/>
    <w:rsid w:val="00170430"/>
    <w:rsid w:val="001748E9"/>
    <w:rsid w:val="001751BB"/>
    <w:rsid w:val="0017756B"/>
    <w:rsid w:val="001801CA"/>
    <w:rsid w:val="00181F89"/>
    <w:rsid w:val="001833E8"/>
    <w:rsid w:val="00183931"/>
    <w:rsid w:val="001847A4"/>
    <w:rsid w:val="00184C36"/>
    <w:rsid w:val="00185423"/>
    <w:rsid w:val="001854B7"/>
    <w:rsid w:val="0018586C"/>
    <w:rsid w:val="00185D73"/>
    <w:rsid w:val="001863B9"/>
    <w:rsid w:val="00186659"/>
    <w:rsid w:val="001918FE"/>
    <w:rsid w:val="00194B51"/>
    <w:rsid w:val="001960DB"/>
    <w:rsid w:val="00196806"/>
    <w:rsid w:val="001A2156"/>
    <w:rsid w:val="001A44BF"/>
    <w:rsid w:val="001A458C"/>
    <w:rsid w:val="001A4D36"/>
    <w:rsid w:val="001B2018"/>
    <w:rsid w:val="001B2199"/>
    <w:rsid w:val="001B38FB"/>
    <w:rsid w:val="001C322D"/>
    <w:rsid w:val="001C3377"/>
    <w:rsid w:val="001C41AC"/>
    <w:rsid w:val="001C5A61"/>
    <w:rsid w:val="001D43B3"/>
    <w:rsid w:val="001D61A6"/>
    <w:rsid w:val="001D70E3"/>
    <w:rsid w:val="001D7238"/>
    <w:rsid w:val="001E267F"/>
    <w:rsid w:val="001E3319"/>
    <w:rsid w:val="001E43D3"/>
    <w:rsid w:val="001E4FDD"/>
    <w:rsid w:val="001E501D"/>
    <w:rsid w:val="001E742D"/>
    <w:rsid w:val="001F2D80"/>
    <w:rsid w:val="001F3842"/>
    <w:rsid w:val="001F5226"/>
    <w:rsid w:val="001F5B88"/>
    <w:rsid w:val="002004F1"/>
    <w:rsid w:val="00202A3D"/>
    <w:rsid w:val="00203727"/>
    <w:rsid w:val="0020382C"/>
    <w:rsid w:val="00204830"/>
    <w:rsid w:val="00204D20"/>
    <w:rsid w:val="00210717"/>
    <w:rsid w:val="00211EFD"/>
    <w:rsid w:val="00213211"/>
    <w:rsid w:val="00213D91"/>
    <w:rsid w:val="00216398"/>
    <w:rsid w:val="00220968"/>
    <w:rsid w:val="0022105D"/>
    <w:rsid w:val="002216B9"/>
    <w:rsid w:val="00222FA3"/>
    <w:rsid w:val="0023142B"/>
    <w:rsid w:val="00234CAB"/>
    <w:rsid w:val="00241039"/>
    <w:rsid w:val="00250FA4"/>
    <w:rsid w:val="00252A9E"/>
    <w:rsid w:val="0025375C"/>
    <w:rsid w:val="002540AA"/>
    <w:rsid w:val="00254BA3"/>
    <w:rsid w:val="00255AB5"/>
    <w:rsid w:val="00256B16"/>
    <w:rsid w:val="00270EA8"/>
    <w:rsid w:val="00274D05"/>
    <w:rsid w:val="00275554"/>
    <w:rsid w:val="0027666B"/>
    <w:rsid w:val="002769E4"/>
    <w:rsid w:val="00281BCE"/>
    <w:rsid w:val="00281C0F"/>
    <w:rsid w:val="0028537B"/>
    <w:rsid w:val="002916F7"/>
    <w:rsid w:val="00292409"/>
    <w:rsid w:val="00294474"/>
    <w:rsid w:val="002946CB"/>
    <w:rsid w:val="00294CA1"/>
    <w:rsid w:val="00295B9C"/>
    <w:rsid w:val="002961E9"/>
    <w:rsid w:val="00297560"/>
    <w:rsid w:val="0029773B"/>
    <w:rsid w:val="002A101B"/>
    <w:rsid w:val="002A140D"/>
    <w:rsid w:val="002A1B05"/>
    <w:rsid w:val="002A65E3"/>
    <w:rsid w:val="002A67E0"/>
    <w:rsid w:val="002A7611"/>
    <w:rsid w:val="002B13F2"/>
    <w:rsid w:val="002B1C4B"/>
    <w:rsid w:val="002B3865"/>
    <w:rsid w:val="002B3FBD"/>
    <w:rsid w:val="002B5D62"/>
    <w:rsid w:val="002C1ECB"/>
    <w:rsid w:val="002C2298"/>
    <w:rsid w:val="002C275B"/>
    <w:rsid w:val="002C308C"/>
    <w:rsid w:val="002C3E0D"/>
    <w:rsid w:val="002C4073"/>
    <w:rsid w:val="002C6D45"/>
    <w:rsid w:val="002C7403"/>
    <w:rsid w:val="002C7710"/>
    <w:rsid w:val="002C787B"/>
    <w:rsid w:val="002D1F59"/>
    <w:rsid w:val="002D351B"/>
    <w:rsid w:val="002E1852"/>
    <w:rsid w:val="002E1DDD"/>
    <w:rsid w:val="002E3F9D"/>
    <w:rsid w:val="002E6B60"/>
    <w:rsid w:val="002E71C6"/>
    <w:rsid w:val="002E7C55"/>
    <w:rsid w:val="002F3A43"/>
    <w:rsid w:val="002F43FD"/>
    <w:rsid w:val="002F669F"/>
    <w:rsid w:val="00300B33"/>
    <w:rsid w:val="00301B1D"/>
    <w:rsid w:val="00303856"/>
    <w:rsid w:val="003047BC"/>
    <w:rsid w:val="003052E2"/>
    <w:rsid w:val="00307346"/>
    <w:rsid w:val="00310C3D"/>
    <w:rsid w:val="003129C0"/>
    <w:rsid w:val="00313090"/>
    <w:rsid w:val="003134D8"/>
    <w:rsid w:val="003152F9"/>
    <w:rsid w:val="0031684D"/>
    <w:rsid w:val="0031764A"/>
    <w:rsid w:val="00320941"/>
    <w:rsid w:val="003220FE"/>
    <w:rsid w:val="003230DE"/>
    <w:rsid w:val="0032333C"/>
    <w:rsid w:val="00323A82"/>
    <w:rsid w:val="003244E9"/>
    <w:rsid w:val="003249B2"/>
    <w:rsid w:val="00325EB4"/>
    <w:rsid w:val="003304DD"/>
    <w:rsid w:val="00332680"/>
    <w:rsid w:val="00332AF9"/>
    <w:rsid w:val="00333CC4"/>
    <w:rsid w:val="00335394"/>
    <w:rsid w:val="00335C29"/>
    <w:rsid w:val="003370F9"/>
    <w:rsid w:val="0033766F"/>
    <w:rsid w:val="003378A7"/>
    <w:rsid w:val="00341BA8"/>
    <w:rsid w:val="00342F53"/>
    <w:rsid w:val="00343867"/>
    <w:rsid w:val="00343D17"/>
    <w:rsid w:val="00350ADB"/>
    <w:rsid w:val="003541DB"/>
    <w:rsid w:val="003569B9"/>
    <w:rsid w:val="00362814"/>
    <w:rsid w:val="003653CE"/>
    <w:rsid w:val="003656D3"/>
    <w:rsid w:val="003663D0"/>
    <w:rsid w:val="00366CB7"/>
    <w:rsid w:val="00367E9D"/>
    <w:rsid w:val="00370A05"/>
    <w:rsid w:val="00370B95"/>
    <w:rsid w:val="0037695B"/>
    <w:rsid w:val="003810F2"/>
    <w:rsid w:val="003817EE"/>
    <w:rsid w:val="003821B3"/>
    <w:rsid w:val="003837FB"/>
    <w:rsid w:val="0038487E"/>
    <w:rsid w:val="003859E1"/>
    <w:rsid w:val="00387485"/>
    <w:rsid w:val="0039052B"/>
    <w:rsid w:val="00391A89"/>
    <w:rsid w:val="00391EC3"/>
    <w:rsid w:val="00393D13"/>
    <w:rsid w:val="003A055B"/>
    <w:rsid w:val="003A0FAF"/>
    <w:rsid w:val="003A10C9"/>
    <w:rsid w:val="003A392B"/>
    <w:rsid w:val="003A3A73"/>
    <w:rsid w:val="003A3A91"/>
    <w:rsid w:val="003A431C"/>
    <w:rsid w:val="003A4598"/>
    <w:rsid w:val="003A5554"/>
    <w:rsid w:val="003A5B70"/>
    <w:rsid w:val="003A7015"/>
    <w:rsid w:val="003B13F3"/>
    <w:rsid w:val="003B17AE"/>
    <w:rsid w:val="003B1DAC"/>
    <w:rsid w:val="003B1F7A"/>
    <w:rsid w:val="003B38AB"/>
    <w:rsid w:val="003B38EC"/>
    <w:rsid w:val="003B4FE8"/>
    <w:rsid w:val="003B6C49"/>
    <w:rsid w:val="003B7C77"/>
    <w:rsid w:val="003C037D"/>
    <w:rsid w:val="003C44D2"/>
    <w:rsid w:val="003C4E1B"/>
    <w:rsid w:val="003C51C5"/>
    <w:rsid w:val="003C751D"/>
    <w:rsid w:val="003D4CFD"/>
    <w:rsid w:val="003D4EB3"/>
    <w:rsid w:val="003E4629"/>
    <w:rsid w:val="003E4BB3"/>
    <w:rsid w:val="003E5BCD"/>
    <w:rsid w:val="003F02D4"/>
    <w:rsid w:val="003F0AD2"/>
    <w:rsid w:val="003F0B62"/>
    <w:rsid w:val="003F1149"/>
    <w:rsid w:val="003F1A76"/>
    <w:rsid w:val="003F2E01"/>
    <w:rsid w:val="003F6F7E"/>
    <w:rsid w:val="0040111A"/>
    <w:rsid w:val="004014D9"/>
    <w:rsid w:val="00403072"/>
    <w:rsid w:val="00404D63"/>
    <w:rsid w:val="00404F87"/>
    <w:rsid w:val="0040785F"/>
    <w:rsid w:val="00411236"/>
    <w:rsid w:val="0041311C"/>
    <w:rsid w:val="00414336"/>
    <w:rsid w:val="00420D76"/>
    <w:rsid w:val="00421C99"/>
    <w:rsid w:val="00424445"/>
    <w:rsid w:val="00427437"/>
    <w:rsid w:val="004276FB"/>
    <w:rsid w:val="004339AC"/>
    <w:rsid w:val="00436AA2"/>
    <w:rsid w:val="004371BD"/>
    <w:rsid w:val="004419EC"/>
    <w:rsid w:val="00443B43"/>
    <w:rsid w:val="0044527E"/>
    <w:rsid w:val="004453EC"/>
    <w:rsid w:val="004459E5"/>
    <w:rsid w:val="00451D2D"/>
    <w:rsid w:val="0045599C"/>
    <w:rsid w:val="00456E25"/>
    <w:rsid w:val="00462AFB"/>
    <w:rsid w:val="00463063"/>
    <w:rsid w:val="00463712"/>
    <w:rsid w:val="00465C3A"/>
    <w:rsid w:val="004664B1"/>
    <w:rsid w:val="00471F75"/>
    <w:rsid w:val="0047268E"/>
    <w:rsid w:val="004758DE"/>
    <w:rsid w:val="00475C75"/>
    <w:rsid w:val="00480D38"/>
    <w:rsid w:val="004817E3"/>
    <w:rsid w:val="00481C8D"/>
    <w:rsid w:val="004821E2"/>
    <w:rsid w:val="00482292"/>
    <w:rsid w:val="00483404"/>
    <w:rsid w:val="0048387D"/>
    <w:rsid w:val="0048754D"/>
    <w:rsid w:val="004875B1"/>
    <w:rsid w:val="00492233"/>
    <w:rsid w:val="0049417E"/>
    <w:rsid w:val="00495121"/>
    <w:rsid w:val="004A0631"/>
    <w:rsid w:val="004A42F3"/>
    <w:rsid w:val="004A5F67"/>
    <w:rsid w:val="004A6F9B"/>
    <w:rsid w:val="004B1955"/>
    <w:rsid w:val="004B25CE"/>
    <w:rsid w:val="004B34D0"/>
    <w:rsid w:val="004B36AB"/>
    <w:rsid w:val="004B3ADA"/>
    <w:rsid w:val="004B507B"/>
    <w:rsid w:val="004B5326"/>
    <w:rsid w:val="004B6921"/>
    <w:rsid w:val="004B69DF"/>
    <w:rsid w:val="004B6FE7"/>
    <w:rsid w:val="004B7197"/>
    <w:rsid w:val="004C3B84"/>
    <w:rsid w:val="004C61D2"/>
    <w:rsid w:val="004D0E4C"/>
    <w:rsid w:val="004D1FFA"/>
    <w:rsid w:val="004D7AFD"/>
    <w:rsid w:val="004E0814"/>
    <w:rsid w:val="004E1215"/>
    <w:rsid w:val="004E281A"/>
    <w:rsid w:val="004E4047"/>
    <w:rsid w:val="004E5E82"/>
    <w:rsid w:val="004E6021"/>
    <w:rsid w:val="004E616C"/>
    <w:rsid w:val="004E6935"/>
    <w:rsid w:val="004E7C59"/>
    <w:rsid w:val="004F01B2"/>
    <w:rsid w:val="004F3816"/>
    <w:rsid w:val="004F39DB"/>
    <w:rsid w:val="004F49E5"/>
    <w:rsid w:val="005007A1"/>
    <w:rsid w:val="0050091B"/>
    <w:rsid w:val="0050191D"/>
    <w:rsid w:val="005032AF"/>
    <w:rsid w:val="00504E0B"/>
    <w:rsid w:val="0050517A"/>
    <w:rsid w:val="00506BC0"/>
    <w:rsid w:val="00507B2A"/>
    <w:rsid w:val="00512B3D"/>
    <w:rsid w:val="00512E6A"/>
    <w:rsid w:val="00513065"/>
    <w:rsid w:val="0051396A"/>
    <w:rsid w:val="00515811"/>
    <w:rsid w:val="00515E25"/>
    <w:rsid w:val="0051627E"/>
    <w:rsid w:val="0051785A"/>
    <w:rsid w:val="00517AEF"/>
    <w:rsid w:val="0052424D"/>
    <w:rsid w:val="00526423"/>
    <w:rsid w:val="00527AC2"/>
    <w:rsid w:val="0053389A"/>
    <w:rsid w:val="00534533"/>
    <w:rsid w:val="00534E6C"/>
    <w:rsid w:val="00536D24"/>
    <w:rsid w:val="00544442"/>
    <w:rsid w:val="00545380"/>
    <w:rsid w:val="00547833"/>
    <w:rsid w:val="00550AD4"/>
    <w:rsid w:val="00551CA0"/>
    <w:rsid w:val="00551FC0"/>
    <w:rsid w:val="00552157"/>
    <w:rsid w:val="0055430C"/>
    <w:rsid w:val="00554760"/>
    <w:rsid w:val="0055494A"/>
    <w:rsid w:val="005618C4"/>
    <w:rsid w:val="005626ED"/>
    <w:rsid w:val="00563944"/>
    <w:rsid w:val="00564A80"/>
    <w:rsid w:val="00572F6F"/>
    <w:rsid w:val="005740FF"/>
    <w:rsid w:val="00574645"/>
    <w:rsid w:val="0057624F"/>
    <w:rsid w:val="00577856"/>
    <w:rsid w:val="0058012F"/>
    <w:rsid w:val="005801F1"/>
    <w:rsid w:val="005801FF"/>
    <w:rsid w:val="005809C4"/>
    <w:rsid w:val="00581156"/>
    <w:rsid w:val="00581187"/>
    <w:rsid w:val="005844B5"/>
    <w:rsid w:val="005851B1"/>
    <w:rsid w:val="005900DF"/>
    <w:rsid w:val="00590118"/>
    <w:rsid w:val="00590363"/>
    <w:rsid w:val="00590425"/>
    <w:rsid w:val="005907AF"/>
    <w:rsid w:val="005925D6"/>
    <w:rsid w:val="00593CA8"/>
    <w:rsid w:val="00594BAF"/>
    <w:rsid w:val="00595253"/>
    <w:rsid w:val="00596F4B"/>
    <w:rsid w:val="005A0C14"/>
    <w:rsid w:val="005A3364"/>
    <w:rsid w:val="005A4CB9"/>
    <w:rsid w:val="005A5BB6"/>
    <w:rsid w:val="005B157D"/>
    <w:rsid w:val="005B1ACC"/>
    <w:rsid w:val="005B2D93"/>
    <w:rsid w:val="005B4A6A"/>
    <w:rsid w:val="005B7064"/>
    <w:rsid w:val="005C05FC"/>
    <w:rsid w:val="005C1820"/>
    <w:rsid w:val="005D02E7"/>
    <w:rsid w:val="005D375C"/>
    <w:rsid w:val="005D4E08"/>
    <w:rsid w:val="005D5215"/>
    <w:rsid w:val="005D644B"/>
    <w:rsid w:val="005D6AFC"/>
    <w:rsid w:val="005E178E"/>
    <w:rsid w:val="005E1BEB"/>
    <w:rsid w:val="005E24A0"/>
    <w:rsid w:val="005E60B6"/>
    <w:rsid w:val="005F054C"/>
    <w:rsid w:val="005F0978"/>
    <w:rsid w:val="005F1CA0"/>
    <w:rsid w:val="005F3A48"/>
    <w:rsid w:val="005F4EAF"/>
    <w:rsid w:val="005F5691"/>
    <w:rsid w:val="005F6004"/>
    <w:rsid w:val="005F6541"/>
    <w:rsid w:val="005F6D0A"/>
    <w:rsid w:val="005F6E59"/>
    <w:rsid w:val="00600194"/>
    <w:rsid w:val="00602167"/>
    <w:rsid w:val="00606D07"/>
    <w:rsid w:val="006117BF"/>
    <w:rsid w:val="0061323C"/>
    <w:rsid w:val="00614D5B"/>
    <w:rsid w:val="0061569F"/>
    <w:rsid w:val="00622644"/>
    <w:rsid w:val="00623932"/>
    <w:rsid w:val="0062397E"/>
    <w:rsid w:val="00626127"/>
    <w:rsid w:val="006309BB"/>
    <w:rsid w:val="0063364B"/>
    <w:rsid w:val="00634B7C"/>
    <w:rsid w:val="00634BB3"/>
    <w:rsid w:val="00634DFC"/>
    <w:rsid w:val="00634FA5"/>
    <w:rsid w:val="006366F5"/>
    <w:rsid w:val="00643307"/>
    <w:rsid w:val="00647C0A"/>
    <w:rsid w:val="00650E5D"/>
    <w:rsid w:val="006529AA"/>
    <w:rsid w:val="00652A8C"/>
    <w:rsid w:val="00656014"/>
    <w:rsid w:val="00656C48"/>
    <w:rsid w:val="00661B6E"/>
    <w:rsid w:val="0066657B"/>
    <w:rsid w:val="00667A3C"/>
    <w:rsid w:val="006701E2"/>
    <w:rsid w:val="00670D47"/>
    <w:rsid w:val="00672199"/>
    <w:rsid w:val="00672370"/>
    <w:rsid w:val="00673348"/>
    <w:rsid w:val="0067437C"/>
    <w:rsid w:val="0067722C"/>
    <w:rsid w:val="00682075"/>
    <w:rsid w:val="006852E5"/>
    <w:rsid w:val="0068547D"/>
    <w:rsid w:val="00685FCE"/>
    <w:rsid w:val="0068603A"/>
    <w:rsid w:val="006866D2"/>
    <w:rsid w:val="006866FD"/>
    <w:rsid w:val="00686F15"/>
    <w:rsid w:val="00690C3C"/>
    <w:rsid w:val="006926F2"/>
    <w:rsid w:val="006933F0"/>
    <w:rsid w:val="00693531"/>
    <w:rsid w:val="006A0905"/>
    <w:rsid w:val="006A11D1"/>
    <w:rsid w:val="006A140B"/>
    <w:rsid w:val="006A1645"/>
    <w:rsid w:val="006A3515"/>
    <w:rsid w:val="006A4105"/>
    <w:rsid w:val="006A5564"/>
    <w:rsid w:val="006B127C"/>
    <w:rsid w:val="006B3AC0"/>
    <w:rsid w:val="006B3E12"/>
    <w:rsid w:val="006B677E"/>
    <w:rsid w:val="006B7861"/>
    <w:rsid w:val="006C2084"/>
    <w:rsid w:val="006C30CC"/>
    <w:rsid w:val="006C3FFF"/>
    <w:rsid w:val="006C7C4D"/>
    <w:rsid w:val="006D0D3F"/>
    <w:rsid w:val="006D0EDC"/>
    <w:rsid w:val="006D20E2"/>
    <w:rsid w:val="006D2281"/>
    <w:rsid w:val="006D303C"/>
    <w:rsid w:val="006D32D0"/>
    <w:rsid w:val="006D5C1B"/>
    <w:rsid w:val="006D682E"/>
    <w:rsid w:val="006D7758"/>
    <w:rsid w:val="006D7B64"/>
    <w:rsid w:val="006E3D96"/>
    <w:rsid w:val="006E655C"/>
    <w:rsid w:val="006E6F42"/>
    <w:rsid w:val="006E7EFA"/>
    <w:rsid w:val="006F0DC0"/>
    <w:rsid w:val="006F0DDB"/>
    <w:rsid w:val="006F61E5"/>
    <w:rsid w:val="006F6649"/>
    <w:rsid w:val="00700168"/>
    <w:rsid w:val="00700337"/>
    <w:rsid w:val="00701328"/>
    <w:rsid w:val="007023B0"/>
    <w:rsid w:val="00702A6C"/>
    <w:rsid w:val="00703CBD"/>
    <w:rsid w:val="00704782"/>
    <w:rsid w:val="00704A60"/>
    <w:rsid w:val="0071017C"/>
    <w:rsid w:val="007122FE"/>
    <w:rsid w:val="00712750"/>
    <w:rsid w:val="007146EB"/>
    <w:rsid w:val="007164E1"/>
    <w:rsid w:val="00721009"/>
    <w:rsid w:val="007229CB"/>
    <w:rsid w:val="007232E9"/>
    <w:rsid w:val="00723AE7"/>
    <w:rsid w:val="00724A67"/>
    <w:rsid w:val="0072571B"/>
    <w:rsid w:val="00725835"/>
    <w:rsid w:val="00732D70"/>
    <w:rsid w:val="00733CA5"/>
    <w:rsid w:val="007354F1"/>
    <w:rsid w:val="007360C3"/>
    <w:rsid w:val="00736B3E"/>
    <w:rsid w:val="00737BF1"/>
    <w:rsid w:val="00740696"/>
    <w:rsid w:val="007425D7"/>
    <w:rsid w:val="007449B4"/>
    <w:rsid w:val="007456AC"/>
    <w:rsid w:val="007508A5"/>
    <w:rsid w:val="00753B19"/>
    <w:rsid w:val="00756AAF"/>
    <w:rsid w:val="00761E68"/>
    <w:rsid w:val="007620A2"/>
    <w:rsid w:val="007620AE"/>
    <w:rsid w:val="00764F31"/>
    <w:rsid w:val="00766242"/>
    <w:rsid w:val="007676B8"/>
    <w:rsid w:val="00774EBF"/>
    <w:rsid w:val="00776351"/>
    <w:rsid w:val="00783106"/>
    <w:rsid w:val="00785F39"/>
    <w:rsid w:val="007867AF"/>
    <w:rsid w:val="00790628"/>
    <w:rsid w:val="00790CDC"/>
    <w:rsid w:val="00791C57"/>
    <w:rsid w:val="00792559"/>
    <w:rsid w:val="00795A01"/>
    <w:rsid w:val="00795A6D"/>
    <w:rsid w:val="00795CB0"/>
    <w:rsid w:val="007967FA"/>
    <w:rsid w:val="00797A2C"/>
    <w:rsid w:val="007A06CA"/>
    <w:rsid w:val="007A425A"/>
    <w:rsid w:val="007A6409"/>
    <w:rsid w:val="007A6AC2"/>
    <w:rsid w:val="007B2875"/>
    <w:rsid w:val="007B2DC7"/>
    <w:rsid w:val="007B64C8"/>
    <w:rsid w:val="007C0512"/>
    <w:rsid w:val="007C415F"/>
    <w:rsid w:val="007C7F85"/>
    <w:rsid w:val="007D0136"/>
    <w:rsid w:val="007D44FA"/>
    <w:rsid w:val="007D4DB5"/>
    <w:rsid w:val="007E00E2"/>
    <w:rsid w:val="007E2BEB"/>
    <w:rsid w:val="007E4852"/>
    <w:rsid w:val="007E4CD0"/>
    <w:rsid w:val="007E6283"/>
    <w:rsid w:val="007F0D61"/>
    <w:rsid w:val="007F0EC6"/>
    <w:rsid w:val="007F3ECD"/>
    <w:rsid w:val="007F45C2"/>
    <w:rsid w:val="007F4F3D"/>
    <w:rsid w:val="007F67FB"/>
    <w:rsid w:val="007F68ED"/>
    <w:rsid w:val="007F7339"/>
    <w:rsid w:val="007F742C"/>
    <w:rsid w:val="00801244"/>
    <w:rsid w:val="00803C0D"/>
    <w:rsid w:val="0080446D"/>
    <w:rsid w:val="00806ACF"/>
    <w:rsid w:val="008100C6"/>
    <w:rsid w:val="00812909"/>
    <w:rsid w:val="00812C05"/>
    <w:rsid w:val="0082343A"/>
    <w:rsid w:val="00831841"/>
    <w:rsid w:val="008327AC"/>
    <w:rsid w:val="008357E4"/>
    <w:rsid w:val="008366C3"/>
    <w:rsid w:val="00847816"/>
    <w:rsid w:val="00852EC8"/>
    <w:rsid w:val="00854D92"/>
    <w:rsid w:val="00854F3E"/>
    <w:rsid w:val="00856F02"/>
    <w:rsid w:val="00857DFC"/>
    <w:rsid w:val="00860663"/>
    <w:rsid w:val="0086332D"/>
    <w:rsid w:val="00864435"/>
    <w:rsid w:val="0086484B"/>
    <w:rsid w:val="0086550E"/>
    <w:rsid w:val="0086641A"/>
    <w:rsid w:val="00866EFC"/>
    <w:rsid w:val="00867D88"/>
    <w:rsid w:val="008716E7"/>
    <w:rsid w:val="00874997"/>
    <w:rsid w:val="00874D24"/>
    <w:rsid w:val="00874F69"/>
    <w:rsid w:val="0088020F"/>
    <w:rsid w:val="0088061A"/>
    <w:rsid w:val="008870F8"/>
    <w:rsid w:val="00887FDA"/>
    <w:rsid w:val="00896F56"/>
    <w:rsid w:val="008971B1"/>
    <w:rsid w:val="008A2C33"/>
    <w:rsid w:val="008A2FC0"/>
    <w:rsid w:val="008A5298"/>
    <w:rsid w:val="008A55B9"/>
    <w:rsid w:val="008A6C1E"/>
    <w:rsid w:val="008B0D56"/>
    <w:rsid w:val="008B3B03"/>
    <w:rsid w:val="008B4EFD"/>
    <w:rsid w:val="008B5467"/>
    <w:rsid w:val="008B6BFD"/>
    <w:rsid w:val="008C2388"/>
    <w:rsid w:val="008C2D0C"/>
    <w:rsid w:val="008C2E8E"/>
    <w:rsid w:val="008C65CB"/>
    <w:rsid w:val="008C7370"/>
    <w:rsid w:val="008D1281"/>
    <w:rsid w:val="008D2D34"/>
    <w:rsid w:val="008D35FA"/>
    <w:rsid w:val="008D36FA"/>
    <w:rsid w:val="008D39D2"/>
    <w:rsid w:val="008D3E3E"/>
    <w:rsid w:val="008D5663"/>
    <w:rsid w:val="008E0C59"/>
    <w:rsid w:val="008E0ED1"/>
    <w:rsid w:val="008E1C2B"/>
    <w:rsid w:val="008E28CF"/>
    <w:rsid w:val="008E47DB"/>
    <w:rsid w:val="008E6978"/>
    <w:rsid w:val="008F20F0"/>
    <w:rsid w:val="008F2B98"/>
    <w:rsid w:val="008F4087"/>
    <w:rsid w:val="008F46A3"/>
    <w:rsid w:val="008F49C2"/>
    <w:rsid w:val="008F4A57"/>
    <w:rsid w:val="008F4D0F"/>
    <w:rsid w:val="008F66D0"/>
    <w:rsid w:val="008F7784"/>
    <w:rsid w:val="00901304"/>
    <w:rsid w:val="00903844"/>
    <w:rsid w:val="00903F9C"/>
    <w:rsid w:val="009044B0"/>
    <w:rsid w:val="00904D2E"/>
    <w:rsid w:val="009056D3"/>
    <w:rsid w:val="00905D11"/>
    <w:rsid w:val="0090603C"/>
    <w:rsid w:val="009060F7"/>
    <w:rsid w:val="00906C67"/>
    <w:rsid w:val="00914CC3"/>
    <w:rsid w:val="00916043"/>
    <w:rsid w:val="009161FD"/>
    <w:rsid w:val="009174B1"/>
    <w:rsid w:val="009201F2"/>
    <w:rsid w:val="00921573"/>
    <w:rsid w:val="00922573"/>
    <w:rsid w:val="00922A22"/>
    <w:rsid w:val="00923F1A"/>
    <w:rsid w:val="00925E0F"/>
    <w:rsid w:val="00932620"/>
    <w:rsid w:val="00934B49"/>
    <w:rsid w:val="00935CEB"/>
    <w:rsid w:val="0093745C"/>
    <w:rsid w:val="00937C7A"/>
    <w:rsid w:val="00937F8C"/>
    <w:rsid w:val="00943D44"/>
    <w:rsid w:val="00943EAF"/>
    <w:rsid w:val="00951466"/>
    <w:rsid w:val="00951FC1"/>
    <w:rsid w:val="00954C23"/>
    <w:rsid w:val="009550F9"/>
    <w:rsid w:val="00956736"/>
    <w:rsid w:val="00957843"/>
    <w:rsid w:val="009626B1"/>
    <w:rsid w:val="00962F88"/>
    <w:rsid w:val="00963E35"/>
    <w:rsid w:val="00965B4B"/>
    <w:rsid w:val="009660F2"/>
    <w:rsid w:val="00966EA4"/>
    <w:rsid w:val="00967BF9"/>
    <w:rsid w:val="00970AA6"/>
    <w:rsid w:val="00970FAF"/>
    <w:rsid w:val="00980F45"/>
    <w:rsid w:val="00981290"/>
    <w:rsid w:val="009815CD"/>
    <w:rsid w:val="00982145"/>
    <w:rsid w:val="0098294A"/>
    <w:rsid w:val="009869DC"/>
    <w:rsid w:val="00987268"/>
    <w:rsid w:val="009872ED"/>
    <w:rsid w:val="00993B8E"/>
    <w:rsid w:val="00995505"/>
    <w:rsid w:val="009A0AC8"/>
    <w:rsid w:val="009A3070"/>
    <w:rsid w:val="009A3C40"/>
    <w:rsid w:val="009A433E"/>
    <w:rsid w:val="009A5AC3"/>
    <w:rsid w:val="009A6073"/>
    <w:rsid w:val="009B078E"/>
    <w:rsid w:val="009B4DFD"/>
    <w:rsid w:val="009B4E27"/>
    <w:rsid w:val="009C0A28"/>
    <w:rsid w:val="009C0E09"/>
    <w:rsid w:val="009C3192"/>
    <w:rsid w:val="009C43BC"/>
    <w:rsid w:val="009C5A08"/>
    <w:rsid w:val="009C60A3"/>
    <w:rsid w:val="009C6B43"/>
    <w:rsid w:val="009C6DD3"/>
    <w:rsid w:val="009C7B4A"/>
    <w:rsid w:val="009D1D00"/>
    <w:rsid w:val="009D44DD"/>
    <w:rsid w:val="009D4F41"/>
    <w:rsid w:val="009D645B"/>
    <w:rsid w:val="009E013B"/>
    <w:rsid w:val="009E3B5B"/>
    <w:rsid w:val="009E401C"/>
    <w:rsid w:val="009E7692"/>
    <w:rsid w:val="009F0C5A"/>
    <w:rsid w:val="009F20D1"/>
    <w:rsid w:val="009F3C9A"/>
    <w:rsid w:val="009F4E83"/>
    <w:rsid w:val="009F4EB4"/>
    <w:rsid w:val="009F5178"/>
    <w:rsid w:val="009F5949"/>
    <w:rsid w:val="009F6187"/>
    <w:rsid w:val="00A0234E"/>
    <w:rsid w:val="00A02436"/>
    <w:rsid w:val="00A06B49"/>
    <w:rsid w:val="00A06EF0"/>
    <w:rsid w:val="00A10E2A"/>
    <w:rsid w:val="00A13DAA"/>
    <w:rsid w:val="00A15178"/>
    <w:rsid w:val="00A15CBD"/>
    <w:rsid w:val="00A15D0F"/>
    <w:rsid w:val="00A2068C"/>
    <w:rsid w:val="00A24877"/>
    <w:rsid w:val="00A3041E"/>
    <w:rsid w:val="00A31018"/>
    <w:rsid w:val="00A35374"/>
    <w:rsid w:val="00A404C9"/>
    <w:rsid w:val="00A4571D"/>
    <w:rsid w:val="00A46AF6"/>
    <w:rsid w:val="00A5049F"/>
    <w:rsid w:val="00A51BD1"/>
    <w:rsid w:val="00A529B3"/>
    <w:rsid w:val="00A54EB7"/>
    <w:rsid w:val="00A56D27"/>
    <w:rsid w:val="00A578BB"/>
    <w:rsid w:val="00A60222"/>
    <w:rsid w:val="00A607B7"/>
    <w:rsid w:val="00A636C6"/>
    <w:rsid w:val="00A652AB"/>
    <w:rsid w:val="00A655FF"/>
    <w:rsid w:val="00A657F6"/>
    <w:rsid w:val="00A65B72"/>
    <w:rsid w:val="00A66691"/>
    <w:rsid w:val="00A71F86"/>
    <w:rsid w:val="00A741C2"/>
    <w:rsid w:val="00A751D5"/>
    <w:rsid w:val="00A81426"/>
    <w:rsid w:val="00A82B9E"/>
    <w:rsid w:val="00A837C2"/>
    <w:rsid w:val="00A842D3"/>
    <w:rsid w:val="00A8472E"/>
    <w:rsid w:val="00A8513D"/>
    <w:rsid w:val="00A921AC"/>
    <w:rsid w:val="00A942A0"/>
    <w:rsid w:val="00A94458"/>
    <w:rsid w:val="00A9521A"/>
    <w:rsid w:val="00A978EC"/>
    <w:rsid w:val="00AA0194"/>
    <w:rsid w:val="00AA19CB"/>
    <w:rsid w:val="00AA208A"/>
    <w:rsid w:val="00AA2A03"/>
    <w:rsid w:val="00AA3AA8"/>
    <w:rsid w:val="00AA63E4"/>
    <w:rsid w:val="00AA6B7A"/>
    <w:rsid w:val="00AA6F7C"/>
    <w:rsid w:val="00AA719B"/>
    <w:rsid w:val="00AB13A6"/>
    <w:rsid w:val="00AB1DAF"/>
    <w:rsid w:val="00AB215B"/>
    <w:rsid w:val="00AB48F0"/>
    <w:rsid w:val="00AB4F49"/>
    <w:rsid w:val="00AB6318"/>
    <w:rsid w:val="00AB6B50"/>
    <w:rsid w:val="00AB6B79"/>
    <w:rsid w:val="00AC4CC0"/>
    <w:rsid w:val="00AC532B"/>
    <w:rsid w:val="00AC5A04"/>
    <w:rsid w:val="00AC6065"/>
    <w:rsid w:val="00AC687F"/>
    <w:rsid w:val="00AC6DDC"/>
    <w:rsid w:val="00AC7D45"/>
    <w:rsid w:val="00AD0848"/>
    <w:rsid w:val="00AD25BF"/>
    <w:rsid w:val="00AD5271"/>
    <w:rsid w:val="00AE0192"/>
    <w:rsid w:val="00AE0309"/>
    <w:rsid w:val="00AE1605"/>
    <w:rsid w:val="00AE6673"/>
    <w:rsid w:val="00AE6A1C"/>
    <w:rsid w:val="00AF1398"/>
    <w:rsid w:val="00AF1A2B"/>
    <w:rsid w:val="00AF1B1E"/>
    <w:rsid w:val="00AF4873"/>
    <w:rsid w:val="00AF794B"/>
    <w:rsid w:val="00B016F1"/>
    <w:rsid w:val="00B05CD0"/>
    <w:rsid w:val="00B06D8B"/>
    <w:rsid w:val="00B10432"/>
    <w:rsid w:val="00B10B0E"/>
    <w:rsid w:val="00B11776"/>
    <w:rsid w:val="00B11ACD"/>
    <w:rsid w:val="00B17CAF"/>
    <w:rsid w:val="00B211F0"/>
    <w:rsid w:val="00B21890"/>
    <w:rsid w:val="00B21A4B"/>
    <w:rsid w:val="00B25864"/>
    <w:rsid w:val="00B25BDB"/>
    <w:rsid w:val="00B2766C"/>
    <w:rsid w:val="00B339CB"/>
    <w:rsid w:val="00B36DD6"/>
    <w:rsid w:val="00B410E3"/>
    <w:rsid w:val="00B43608"/>
    <w:rsid w:val="00B44CAB"/>
    <w:rsid w:val="00B4692B"/>
    <w:rsid w:val="00B47C09"/>
    <w:rsid w:val="00B52DBD"/>
    <w:rsid w:val="00B52ECD"/>
    <w:rsid w:val="00B559A9"/>
    <w:rsid w:val="00B70354"/>
    <w:rsid w:val="00B757AD"/>
    <w:rsid w:val="00B75806"/>
    <w:rsid w:val="00B770AE"/>
    <w:rsid w:val="00B770DC"/>
    <w:rsid w:val="00B81E91"/>
    <w:rsid w:val="00B834C2"/>
    <w:rsid w:val="00B83694"/>
    <w:rsid w:val="00B90F35"/>
    <w:rsid w:val="00B917BF"/>
    <w:rsid w:val="00B924F4"/>
    <w:rsid w:val="00B936DB"/>
    <w:rsid w:val="00B950AB"/>
    <w:rsid w:val="00B96203"/>
    <w:rsid w:val="00B97265"/>
    <w:rsid w:val="00BA2987"/>
    <w:rsid w:val="00BA2FB2"/>
    <w:rsid w:val="00BA7996"/>
    <w:rsid w:val="00BB0215"/>
    <w:rsid w:val="00BB0876"/>
    <w:rsid w:val="00BB316E"/>
    <w:rsid w:val="00BC044A"/>
    <w:rsid w:val="00BC0C15"/>
    <w:rsid w:val="00BC205E"/>
    <w:rsid w:val="00BC2BBB"/>
    <w:rsid w:val="00BC39BB"/>
    <w:rsid w:val="00BC51AF"/>
    <w:rsid w:val="00BC6EA0"/>
    <w:rsid w:val="00BD131D"/>
    <w:rsid w:val="00BD3138"/>
    <w:rsid w:val="00BD5DD4"/>
    <w:rsid w:val="00BD7F35"/>
    <w:rsid w:val="00BE28CC"/>
    <w:rsid w:val="00BE3541"/>
    <w:rsid w:val="00BE68CD"/>
    <w:rsid w:val="00BE693B"/>
    <w:rsid w:val="00BF01CB"/>
    <w:rsid w:val="00BF0C2F"/>
    <w:rsid w:val="00BF2835"/>
    <w:rsid w:val="00BF6B29"/>
    <w:rsid w:val="00C02B55"/>
    <w:rsid w:val="00C037C0"/>
    <w:rsid w:val="00C04FF1"/>
    <w:rsid w:val="00C10A2B"/>
    <w:rsid w:val="00C10B23"/>
    <w:rsid w:val="00C11B87"/>
    <w:rsid w:val="00C11D67"/>
    <w:rsid w:val="00C132A1"/>
    <w:rsid w:val="00C1440C"/>
    <w:rsid w:val="00C14CAA"/>
    <w:rsid w:val="00C152BB"/>
    <w:rsid w:val="00C156DF"/>
    <w:rsid w:val="00C15871"/>
    <w:rsid w:val="00C1773C"/>
    <w:rsid w:val="00C17F2B"/>
    <w:rsid w:val="00C21A42"/>
    <w:rsid w:val="00C248A8"/>
    <w:rsid w:val="00C26389"/>
    <w:rsid w:val="00C27E69"/>
    <w:rsid w:val="00C3165E"/>
    <w:rsid w:val="00C31A8F"/>
    <w:rsid w:val="00C33390"/>
    <w:rsid w:val="00C33929"/>
    <w:rsid w:val="00C33D64"/>
    <w:rsid w:val="00C3514A"/>
    <w:rsid w:val="00C35A47"/>
    <w:rsid w:val="00C37439"/>
    <w:rsid w:val="00C4104B"/>
    <w:rsid w:val="00C438A3"/>
    <w:rsid w:val="00C46854"/>
    <w:rsid w:val="00C4773F"/>
    <w:rsid w:val="00C50B2E"/>
    <w:rsid w:val="00C5284B"/>
    <w:rsid w:val="00C53C2C"/>
    <w:rsid w:val="00C555B9"/>
    <w:rsid w:val="00C56297"/>
    <w:rsid w:val="00C566A7"/>
    <w:rsid w:val="00C60A3F"/>
    <w:rsid w:val="00C60BDC"/>
    <w:rsid w:val="00C60CF7"/>
    <w:rsid w:val="00C6498C"/>
    <w:rsid w:val="00C655A6"/>
    <w:rsid w:val="00C65853"/>
    <w:rsid w:val="00C675BF"/>
    <w:rsid w:val="00C67E41"/>
    <w:rsid w:val="00C73E10"/>
    <w:rsid w:val="00C77619"/>
    <w:rsid w:val="00C81949"/>
    <w:rsid w:val="00C81E62"/>
    <w:rsid w:val="00C8251E"/>
    <w:rsid w:val="00C82BD7"/>
    <w:rsid w:val="00C84092"/>
    <w:rsid w:val="00C86192"/>
    <w:rsid w:val="00C87FF6"/>
    <w:rsid w:val="00C905D2"/>
    <w:rsid w:val="00C91486"/>
    <w:rsid w:val="00C915CE"/>
    <w:rsid w:val="00C9467E"/>
    <w:rsid w:val="00CA025F"/>
    <w:rsid w:val="00CA031D"/>
    <w:rsid w:val="00CA0755"/>
    <w:rsid w:val="00CA1130"/>
    <w:rsid w:val="00CA3180"/>
    <w:rsid w:val="00CA3BB8"/>
    <w:rsid w:val="00CA4FF1"/>
    <w:rsid w:val="00CA587B"/>
    <w:rsid w:val="00CA643E"/>
    <w:rsid w:val="00CA686B"/>
    <w:rsid w:val="00CB4334"/>
    <w:rsid w:val="00CB4894"/>
    <w:rsid w:val="00CB4E97"/>
    <w:rsid w:val="00CB593A"/>
    <w:rsid w:val="00CC09DD"/>
    <w:rsid w:val="00CC1A7D"/>
    <w:rsid w:val="00CC5778"/>
    <w:rsid w:val="00CC6DF9"/>
    <w:rsid w:val="00CC78FC"/>
    <w:rsid w:val="00CD238D"/>
    <w:rsid w:val="00CD3FB5"/>
    <w:rsid w:val="00CD4A81"/>
    <w:rsid w:val="00CD616F"/>
    <w:rsid w:val="00CE4CC0"/>
    <w:rsid w:val="00CE7880"/>
    <w:rsid w:val="00CE7ECE"/>
    <w:rsid w:val="00CF0C2D"/>
    <w:rsid w:val="00CF13B3"/>
    <w:rsid w:val="00CF444F"/>
    <w:rsid w:val="00CF5A34"/>
    <w:rsid w:val="00CF7883"/>
    <w:rsid w:val="00CF7A0E"/>
    <w:rsid w:val="00D00669"/>
    <w:rsid w:val="00D00F62"/>
    <w:rsid w:val="00D024B5"/>
    <w:rsid w:val="00D02B53"/>
    <w:rsid w:val="00D05FB7"/>
    <w:rsid w:val="00D062D6"/>
    <w:rsid w:val="00D069B3"/>
    <w:rsid w:val="00D0749B"/>
    <w:rsid w:val="00D11007"/>
    <w:rsid w:val="00D13564"/>
    <w:rsid w:val="00D143FE"/>
    <w:rsid w:val="00D153D2"/>
    <w:rsid w:val="00D15D6E"/>
    <w:rsid w:val="00D16591"/>
    <w:rsid w:val="00D165A9"/>
    <w:rsid w:val="00D16B15"/>
    <w:rsid w:val="00D16B53"/>
    <w:rsid w:val="00D17447"/>
    <w:rsid w:val="00D21B89"/>
    <w:rsid w:val="00D22774"/>
    <w:rsid w:val="00D22B2D"/>
    <w:rsid w:val="00D22C8C"/>
    <w:rsid w:val="00D239C8"/>
    <w:rsid w:val="00D2516F"/>
    <w:rsid w:val="00D30C33"/>
    <w:rsid w:val="00D311EC"/>
    <w:rsid w:val="00D31D19"/>
    <w:rsid w:val="00D3224E"/>
    <w:rsid w:val="00D4334C"/>
    <w:rsid w:val="00D43DA8"/>
    <w:rsid w:val="00D45D27"/>
    <w:rsid w:val="00D47283"/>
    <w:rsid w:val="00D47559"/>
    <w:rsid w:val="00D47664"/>
    <w:rsid w:val="00D51231"/>
    <w:rsid w:val="00D51C96"/>
    <w:rsid w:val="00D5228C"/>
    <w:rsid w:val="00D52318"/>
    <w:rsid w:val="00D5343D"/>
    <w:rsid w:val="00D53FEE"/>
    <w:rsid w:val="00D56F05"/>
    <w:rsid w:val="00D5764B"/>
    <w:rsid w:val="00D57986"/>
    <w:rsid w:val="00D61AC6"/>
    <w:rsid w:val="00D67287"/>
    <w:rsid w:val="00D673A2"/>
    <w:rsid w:val="00D673C0"/>
    <w:rsid w:val="00D70107"/>
    <w:rsid w:val="00D713A5"/>
    <w:rsid w:val="00D733FF"/>
    <w:rsid w:val="00D765E5"/>
    <w:rsid w:val="00D80423"/>
    <w:rsid w:val="00D8405A"/>
    <w:rsid w:val="00D91800"/>
    <w:rsid w:val="00D91B4C"/>
    <w:rsid w:val="00D91B8C"/>
    <w:rsid w:val="00D92760"/>
    <w:rsid w:val="00D92C2A"/>
    <w:rsid w:val="00D9384C"/>
    <w:rsid w:val="00D93A2D"/>
    <w:rsid w:val="00D94F76"/>
    <w:rsid w:val="00DA5716"/>
    <w:rsid w:val="00DA7633"/>
    <w:rsid w:val="00DA79C0"/>
    <w:rsid w:val="00DA7DAE"/>
    <w:rsid w:val="00DB12E4"/>
    <w:rsid w:val="00DB2C16"/>
    <w:rsid w:val="00DB4027"/>
    <w:rsid w:val="00DB4273"/>
    <w:rsid w:val="00DB42FC"/>
    <w:rsid w:val="00DB7E37"/>
    <w:rsid w:val="00DC4D8A"/>
    <w:rsid w:val="00DC5037"/>
    <w:rsid w:val="00DC7EBB"/>
    <w:rsid w:val="00DD0025"/>
    <w:rsid w:val="00DD1F4A"/>
    <w:rsid w:val="00DD2440"/>
    <w:rsid w:val="00DD2ADD"/>
    <w:rsid w:val="00DD2BA3"/>
    <w:rsid w:val="00DD375F"/>
    <w:rsid w:val="00DD4248"/>
    <w:rsid w:val="00DD5EA9"/>
    <w:rsid w:val="00DD77CF"/>
    <w:rsid w:val="00DE2B43"/>
    <w:rsid w:val="00DE36AD"/>
    <w:rsid w:val="00DE3A07"/>
    <w:rsid w:val="00DE3AD6"/>
    <w:rsid w:val="00DE5559"/>
    <w:rsid w:val="00DE689F"/>
    <w:rsid w:val="00DE68CB"/>
    <w:rsid w:val="00DF2024"/>
    <w:rsid w:val="00DF2093"/>
    <w:rsid w:val="00DF23F9"/>
    <w:rsid w:val="00DF2A69"/>
    <w:rsid w:val="00DF3FF1"/>
    <w:rsid w:val="00DF5644"/>
    <w:rsid w:val="00E0330C"/>
    <w:rsid w:val="00E03626"/>
    <w:rsid w:val="00E1460A"/>
    <w:rsid w:val="00E14BCF"/>
    <w:rsid w:val="00E14F8B"/>
    <w:rsid w:val="00E16E57"/>
    <w:rsid w:val="00E2026F"/>
    <w:rsid w:val="00E21A81"/>
    <w:rsid w:val="00E21B21"/>
    <w:rsid w:val="00E24A79"/>
    <w:rsid w:val="00E24CC8"/>
    <w:rsid w:val="00E25FC4"/>
    <w:rsid w:val="00E26AD7"/>
    <w:rsid w:val="00E271D7"/>
    <w:rsid w:val="00E27F6E"/>
    <w:rsid w:val="00E30409"/>
    <w:rsid w:val="00E314B5"/>
    <w:rsid w:val="00E3220C"/>
    <w:rsid w:val="00E33395"/>
    <w:rsid w:val="00E3444F"/>
    <w:rsid w:val="00E35167"/>
    <w:rsid w:val="00E35A53"/>
    <w:rsid w:val="00E363C4"/>
    <w:rsid w:val="00E37482"/>
    <w:rsid w:val="00E3756C"/>
    <w:rsid w:val="00E44571"/>
    <w:rsid w:val="00E45B63"/>
    <w:rsid w:val="00E46471"/>
    <w:rsid w:val="00E46659"/>
    <w:rsid w:val="00E50BE0"/>
    <w:rsid w:val="00E5150B"/>
    <w:rsid w:val="00E535CE"/>
    <w:rsid w:val="00E53FD6"/>
    <w:rsid w:val="00E56244"/>
    <w:rsid w:val="00E57677"/>
    <w:rsid w:val="00E60D0B"/>
    <w:rsid w:val="00E627F8"/>
    <w:rsid w:val="00E70FB2"/>
    <w:rsid w:val="00E7328D"/>
    <w:rsid w:val="00E77963"/>
    <w:rsid w:val="00E84DAA"/>
    <w:rsid w:val="00E90A0C"/>
    <w:rsid w:val="00E91169"/>
    <w:rsid w:val="00E91851"/>
    <w:rsid w:val="00E91E95"/>
    <w:rsid w:val="00E95E5A"/>
    <w:rsid w:val="00E9758E"/>
    <w:rsid w:val="00EA2DA7"/>
    <w:rsid w:val="00EA4D07"/>
    <w:rsid w:val="00EA5177"/>
    <w:rsid w:val="00EA55E7"/>
    <w:rsid w:val="00EA6EB2"/>
    <w:rsid w:val="00EA70CA"/>
    <w:rsid w:val="00EA7206"/>
    <w:rsid w:val="00EB03EB"/>
    <w:rsid w:val="00EB08E3"/>
    <w:rsid w:val="00EB125E"/>
    <w:rsid w:val="00EB1B59"/>
    <w:rsid w:val="00EB4501"/>
    <w:rsid w:val="00EB62E3"/>
    <w:rsid w:val="00EC170F"/>
    <w:rsid w:val="00EC1900"/>
    <w:rsid w:val="00EC2B5C"/>
    <w:rsid w:val="00EC4174"/>
    <w:rsid w:val="00ED339D"/>
    <w:rsid w:val="00ED3722"/>
    <w:rsid w:val="00ED49CD"/>
    <w:rsid w:val="00ED7D2B"/>
    <w:rsid w:val="00EE0773"/>
    <w:rsid w:val="00EE13A3"/>
    <w:rsid w:val="00EE352F"/>
    <w:rsid w:val="00EE394B"/>
    <w:rsid w:val="00EE3D56"/>
    <w:rsid w:val="00EE6EF3"/>
    <w:rsid w:val="00EE736B"/>
    <w:rsid w:val="00EF1135"/>
    <w:rsid w:val="00EF2411"/>
    <w:rsid w:val="00EF5796"/>
    <w:rsid w:val="00EF73A8"/>
    <w:rsid w:val="00F00954"/>
    <w:rsid w:val="00F06A41"/>
    <w:rsid w:val="00F07DE1"/>
    <w:rsid w:val="00F110FC"/>
    <w:rsid w:val="00F15ADC"/>
    <w:rsid w:val="00F166BE"/>
    <w:rsid w:val="00F17D46"/>
    <w:rsid w:val="00F20677"/>
    <w:rsid w:val="00F20737"/>
    <w:rsid w:val="00F22F68"/>
    <w:rsid w:val="00F23AF0"/>
    <w:rsid w:val="00F24703"/>
    <w:rsid w:val="00F27D75"/>
    <w:rsid w:val="00F300B1"/>
    <w:rsid w:val="00F3254F"/>
    <w:rsid w:val="00F3371D"/>
    <w:rsid w:val="00F33A1C"/>
    <w:rsid w:val="00F35D84"/>
    <w:rsid w:val="00F36398"/>
    <w:rsid w:val="00F37169"/>
    <w:rsid w:val="00F423D1"/>
    <w:rsid w:val="00F44A59"/>
    <w:rsid w:val="00F453E9"/>
    <w:rsid w:val="00F50041"/>
    <w:rsid w:val="00F51787"/>
    <w:rsid w:val="00F5178C"/>
    <w:rsid w:val="00F5223A"/>
    <w:rsid w:val="00F53755"/>
    <w:rsid w:val="00F55B52"/>
    <w:rsid w:val="00F5784A"/>
    <w:rsid w:val="00F601E0"/>
    <w:rsid w:val="00F614DD"/>
    <w:rsid w:val="00F64368"/>
    <w:rsid w:val="00F6446A"/>
    <w:rsid w:val="00F64E99"/>
    <w:rsid w:val="00F654AA"/>
    <w:rsid w:val="00F66134"/>
    <w:rsid w:val="00F66983"/>
    <w:rsid w:val="00F67FB7"/>
    <w:rsid w:val="00F7404A"/>
    <w:rsid w:val="00F7419D"/>
    <w:rsid w:val="00F744F8"/>
    <w:rsid w:val="00F813DE"/>
    <w:rsid w:val="00F84506"/>
    <w:rsid w:val="00F85003"/>
    <w:rsid w:val="00F85EA7"/>
    <w:rsid w:val="00F907ED"/>
    <w:rsid w:val="00F92222"/>
    <w:rsid w:val="00F93AA4"/>
    <w:rsid w:val="00F94DEE"/>
    <w:rsid w:val="00F97856"/>
    <w:rsid w:val="00FA0E8D"/>
    <w:rsid w:val="00FA341B"/>
    <w:rsid w:val="00FA44A7"/>
    <w:rsid w:val="00FA557D"/>
    <w:rsid w:val="00FA7392"/>
    <w:rsid w:val="00FA7C69"/>
    <w:rsid w:val="00FA7D1C"/>
    <w:rsid w:val="00FB6D67"/>
    <w:rsid w:val="00FB71E0"/>
    <w:rsid w:val="00FC59B3"/>
    <w:rsid w:val="00FC6255"/>
    <w:rsid w:val="00FC6310"/>
    <w:rsid w:val="00FC6A96"/>
    <w:rsid w:val="00FD0FCB"/>
    <w:rsid w:val="00FD162C"/>
    <w:rsid w:val="00FD31F8"/>
    <w:rsid w:val="00FD5BC6"/>
    <w:rsid w:val="00FD7AF4"/>
    <w:rsid w:val="00FE2095"/>
    <w:rsid w:val="00FE479D"/>
    <w:rsid w:val="00FE480C"/>
    <w:rsid w:val="00FE58EC"/>
    <w:rsid w:val="00FE7638"/>
    <w:rsid w:val="00FE7EBB"/>
    <w:rsid w:val="00FF3165"/>
    <w:rsid w:val="00FF3312"/>
    <w:rsid w:val="00FF7929"/>
    <w:rsid w:val="01B95707"/>
    <w:rsid w:val="049C1A5C"/>
    <w:rsid w:val="050D54CE"/>
    <w:rsid w:val="0541783B"/>
    <w:rsid w:val="05F56F28"/>
    <w:rsid w:val="08634C14"/>
    <w:rsid w:val="0B50226B"/>
    <w:rsid w:val="0DED5B5E"/>
    <w:rsid w:val="0E1F77AA"/>
    <w:rsid w:val="0F0C791F"/>
    <w:rsid w:val="105E2E5C"/>
    <w:rsid w:val="10B80ACB"/>
    <w:rsid w:val="137809C1"/>
    <w:rsid w:val="156264EB"/>
    <w:rsid w:val="15BD7C03"/>
    <w:rsid w:val="179D1E56"/>
    <w:rsid w:val="1AFB344A"/>
    <w:rsid w:val="1B492A80"/>
    <w:rsid w:val="1BD641A0"/>
    <w:rsid w:val="1C014F97"/>
    <w:rsid w:val="1C156116"/>
    <w:rsid w:val="1C381D54"/>
    <w:rsid w:val="1DEA3AA7"/>
    <w:rsid w:val="20F3330B"/>
    <w:rsid w:val="23C036C2"/>
    <w:rsid w:val="24000FEA"/>
    <w:rsid w:val="248462BF"/>
    <w:rsid w:val="255E3DF4"/>
    <w:rsid w:val="268E0C0C"/>
    <w:rsid w:val="279F1D54"/>
    <w:rsid w:val="281C4588"/>
    <w:rsid w:val="2AB551B1"/>
    <w:rsid w:val="2C7F4733"/>
    <w:rsid w:val="2C9D0974"/>
    <w:rsid w:val="2F352B2C"/>
    <w:rsid w:val="30340008"/>
    <w:rsid w:val="304377D3"/>
    <w:rsid w:val="304E2375"/>
    <w:rsid w:val="352D33ED"/>
    <w:rsid w:val="36C07143"/>
    <w:rsid w:val="3AE828BF"/>
    <w:rsid w:val="3BEF8B2A"/>
    <w:rsid w:val="3C1D3DDD"/>
    <w:rsid w:val="3DDAD2C4"/>
    <w:rsid w:val="3F3C05B3"/>
    <w:rsid w:val="40AC1995"/>
    <w:rsid w:val="42165044"/>
    <w:rsid w:val="431775F1"/>
    <w:rsid w:val="44B3734F"/>
    <w:rsid w:val="44DA134B"/>
    <w:rsid w:val="45156122"/>
    <w:rsid w:val="454A4F1E"/>
    <w:rsid w:val="472A652D"/>
    <w:rsid w:val="4A477C7F"/>
    <w:rsid w:val="4AF2617D"/>
    <w:rsid w:val="4B0978A1"/>
    <w:rsid w:val="4B652D40"/>
    <w:rsid w:val="53BC6465"/>
    <w:rsid w:val="54962724"/>
    <w:rsid w:val="54BA0B8F"/>
    <w:rsid w:val="55703B13"/>
    <w:rsid w:val="57AF0677"/>
    <w:rsid w:val="59552A64"/>
    <w:rsid w:val="59B51C2E"/>
    <w:rsid w:val="5AB26B9A"/>
    <w:rsid w:val="5B8161A6"/>
    <w:rsid w:val="5C3240BE"/>
    <w:rsid w:val="5E591C11"/>
    <w:rsid w:val="5EF5753F"/>
    <w:rsid w:val="5F541D6D"/>
    <w:rsid w:val="5FD34363"/>
    <w:rsid w:val="5FFE1F36"/>
    <w:rsid w:val="62E04030"/>
    <w:rsid w:val="65B37365"/>
    <w:rsid w:val="65FD3508"/>
    <w:rsid w:val="664A5D9B"/>
    <w:rsid w:val="68A17036"/>
    <w:rsid w:val="69BB58A7"/>
    <w:rsid w:val="6A6A05F7"/>
    <w:rsid w:val="6C4B15C8"/>
    <w:rsid w:val="6C71402F"/>
    <w:rsid w:val="6CF06760"/>
    <w:rsid w:val="6E1E087A"/>
    <w:rsid w:val="700A6768"/>
    <w:rsid w:val="70F5267F"/>
    <w:rsid w:val="728955C8"/>
    <w:rsid w:val="75DC1A46"/>
    <w:rsid w:val="78DF4BA6"/>
    <w:rsid w:val="7AAC28CE"/>
    <w:rsid w:val="7BE02E81"/>
    <w:rsid w:val="7CED5882"/>
    <w:rsid w:val="7D347A27"/>
    <w:rsid w:val="7D797230"/>
    <w:rsid w:val="7F17C897"/>
    <w:rsid w:val="7FA00847"/>
    <w:rsid w:val="9ACF0A3A"/>
    <w:rsid w:val="BBAF1B98"/>
    <w:rsid w:val="BBFEB24B"/>
    <w:rsid w:val="BF7F79AA"/>
    <w:rsid w:val="F7DE5E9E"/>
    <w:rsid w:val="FBFF4FB7"/>
    <w:rsid w:val="FE7F46EB"/>
    <w:rsid w:val="FEBD4D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5">
    <w:name w:val="heading 3"/>
    <w:basedOn w:val="1"/>
    <w:next w:val="6"/>
    <w:link w:val="50"/>
    <w:qFormat/>
    <w:uiPriority w:val="0"/>
    <w:pPr>
      <w:keepNext/>
      <w:keepLines/>
      <w:numPr>
        <w:ilvl w:val="2"/>
        <w:numId w:val="1"/>
      </w:numPr>
      <w:spacing w:line="360" w:lineRule="auto"/>
      <w:ind w:firstLine="720" w:firstLineChars="200"/>
      <w:jc w:val="left"/>
      <w:outlineLvl w:val="2"/>
    </w:pPr>
    <w:rPr>
      <w:rFonts w:ascii="仿宋_GB2312" w:hAnsi="仿宋_GB2312" w:eastAsia="微软雅黑"/>
      <w:b/>
      <w:bCs/>
      <w:szCs w:val="20"/>
    </w:rPr>
  </w:style>
  <w:style w:type="paragraph" w:styleId="7">
    <w:name w:val="heading 4"/>
    <w:basedOn w:val="1"/>
    <w:next w:val="1"/>
    <w:link w:val="88"/>
    <w:unhideWhenUsed/>
    <w:qFormat/>
    <w:uiPriority w:val="0"/>
    <w:pPr>
      <w:keepNext/>
      <w:keepLines/>
      <w:numPr>
        <w:ilvl w:val="3"/>
        <w:numId w:val="1"/>
      </w:numPr>
      <w:spacing w:line="372" w:lineRule="auto"/>
      <w:outlineLvl w:val="3"/>
    </w:pPr>
    <w:rPr>
      <w:rFonts w:ascii="Arial" w:hAnsi="Arial" w:eastAsia="黑体"/>
      <w:b/>
      <w:sz w:val="28"/>
    </w:rPr>
  </w:style>
  <w:style w:type="paragraph" w:styleId="8">
    <w:name w:val="heading 5"/>
    <w:basedOn w:val="1"/>
    <w:next w:val="1"/>
    <w:unhideWhenUsed/>
    <w:qFormat/>
    <w:uiPriority w:val="0"/>
    <w:pPr>
      <w:keepNext/>
      <w:keepLines/>
      <w:numPr>
        <w:ilvl w:val="4"/>
        <w:numId w:val="1"/>
      </w:numPr>
      <w:spacing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7"/>
    <w:qFormat/>
    <w:uiPriority w:val="0"/>
    <w:pPr>
      <w:spacing w:after="120"/>
    </w:pPr>
    <w:rPr>
      <w:sz w:val="28"/>
    </w:rPr>
  </w:style>
  <w:style w:type="paragraph" w:styleId="6">
    <w:name w:val="Normal Indent"/>
    <w:basedOn w:val="1"/>
    <w:link w:val="49"/>
    <w:qFormat/>
    <w:uiPriority w:val="0"/>
    <w:pPr>
      <w:ind w:firstLine="420"/>
    </w:pPr>
    <w:rPr>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73"/>
    <w:qFormat/>
    <w:uiPriority w:val="0"/>
    <w:pPr>
      <w:jc w:val="left"/>
    </w:p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Indent"/>
    <w:basedOn w:val="1"/>
    <w:link w:val="56"/>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53"/>
    <w:qFormat/>
    <w:uiPriority w:val="0"/>
    <w:pPr>
      <w:spacing w:beforeLines="50" w:afterLines="50" w:line="400" w:lineRule="exact"/>
    </w:pPr>
    <w:rPr>
      <w:rFonts w:ascii="宋体" w:hAnsi="Courier New"/>
      <w:sz w:val="24"/>
    </w:rPr>
  </w:style>
  <w:style w:type="paragraph" w:styleId="23">
    <w:name w:val="Date"/>
    <w:basedOn w:val="1"/>
    <w:next w:val="1"/>
    <w:qFormat/>
    <w:uiPriority w:val="0"/>
    <w:pPr>
      <w:ind w:left="2500" w:leftChars="2500"/>
    </w:pPr>
    <w:rPr>
      <w:rFonts w:eastAsia="楷体_GB2312"/>
      <w:sz w:val="32"/>
      <w:szCs w:val="20"/>
    </w:rPr>
  </w:style>
  <w:style w:type="paragraph" w:styleId="24">
    <w:name w:val="Body Text Indent 2"/>
    <w:basedOn w:val="1"/>
    <w:qFormat/>
    <w:uiPriority w:val="0"/>
    <w:pPr>
      <w:snapToGrid w:val="0"/>
      <w:ind w:firstLine="542" w:firstLineChars="225"/>
    </w:pPr>
    <w:rPr>
      <w:rFonts w:ascii="仿宋_GB2312" w:hAnsi="宋体" w:cs="Arial"/>
      <w:b/>
      <w:bCs/>
      <w:color w:val="000000"/>
      <w:sz w:val="24"/>
    </w:rPr>
  </w:style>
  <w:style w:type="paragraph" w:styleId="25">
    <w:name w:val="Balloon Text"/>
    <w:basedOn w:val="1"/>
    <w:link w:val="78"/>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rFonts w:eastAsia="黑体"/>
      <w:snapToGrid w:val="0"/>
      <w:kern w:val="0"/>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0">
    <w:name w:val="List"/>
    <w:basedOn w:val="1"/>
    <w:qFormat/>
    <w:uiPriority w:val="0"/>
    <w:pPr>
      <w:ind w:left="200" w:hanging="200" w:hangingChars="200"/>
    </w:pPr>
    <w:rPr>
      <w:sz w:val="28"/>
    </w:rPr>
  </w:style>
  <w:style w:type="paragraph" w:styleId="31">
    <w:name w:val="footnote text"/>
    <w:basedOn w:val="1"/>
    <w:link w:val="79"/>
    <w:unhideWhenUsed/>
    <w:qFormat/>
    <w:uiPriority w:val="99"/>
    <w:pPr>
      <w:snapToGrid w:val="0"/>
      <w:jc w:val="left"/>
    </w:pPr>
    <w:rPr>
      <w:sz w:val="18"/>
      <w:szCs w:val="18"/>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39"/>
    <w:pPr>
      <w:ind w:left="420" w:leftChars="200"/>
    </w:pPr>
  </w:style>
  <w:style w:type="paragraph" w:styleId="34">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mbria" w:hAnsi="Cambria" w:eastAsia="微软雅黑"/>
      <w:b/>
      <w:bCs/>
      <w:sz w:val="32"/>
      <w:szCs w:val="32"/>
    </w:rPr>
  </w:style>
  <w:style w:type="paragraph" w:styleId="37">
    <w:name w:val="annotation subject"/>
    <w:basedOn w:val="16"/>
    <w:next w:val="16"/>
    <w:link w:val="74"/>
    <w:qFormat/>
    <w:uiPriority w:val="0"/>
    <w:rPr>
      <w:b/>
      <w:bCs/>
    </w:rPr>
  </w:style>
  <w:style w:type="paragraph" w:styleId="38">
    <w:name w:val="Body Text First Indent"/>
    <w:basedOn w:val="2"/>
    <w:link w:val="70"/>
    <w:qFormat/>
    <w:uiPriority w:val="0"/>
    <w:pPr>
      <w:ind w:firstLine="420" w:firstLineChars="100"/>
    </w:pPr>
    <w:rPr>
      <w:sz w:val="21"/>
    </w:r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unhideWhenUsed/>
    <w:qFormat/>
    <w:uiPriority w:val="99"/>
    <w:rPr>
      <w:vertAlign w:val="superscript"/>
    </w:rPr>
  </w:style>
  <w:style w:type="character" w:customStyle="1" w:styleId="48">
    <w:name w:val="标题 1 字符"/>
    <w:link w:val="3"/>
    <w:qFormat/>
    <w:uiPriority w:val="0"/>
    <w:rPr>
      <w:b/>
      <w:bCs/>
      <w:kern w:val="44"/>
      <w:sz w:val="44"/>
      <w:szCs w:val="44"/>
    </w:rPr>
  </w:style>
  <w:style w:type="character" w:customStyle="1" w:styleId="49">
    <w:name w:val="正文缩进 字符"/>
    <w:link w:val="6"/>
    <w:qFormat/>
    <w:uiPriority w:val="0"/>
    <w:rPr>
      <w:rFonts w:eastAsia="宋体"/>
      <w:kern w:val="2"/>
      <w:sz w:val="21"/>
      <w:lang w:bidi="ar-SA"/>
    </w:rPr>
  </w:style>
  <w:style w:type="character" w:customStyle="1" w:styleId="50">
    <w:name w:val="标题 3 字符"/>
    <w:link w:val="5"/>
    <w:qFormat/>
    <w:uiPriority w:val="0"/>
    <w:rPr>
      <w:rFonts w:ascii="仿宋_GB2312" w:hAnsi="仿宋_GB2312" w:eastAsia="微软雅黑"/>
      <w:b/>
      <w:bCs/>
      <w:kern w:val="2"/>
      <w:sz w:val="21"/>
    </w:rPr>
  </w:style>
  <w:style w:type="character" w:customStyle="1" w:styleId="51">
    <w:name w:val="页脚 字符"/>
    <w:link w:val="26"/>
    <w:qFormat/>
    <w:uiPriority w:val="99"/>
    <w:rPr>
      <w:rFonts w:eastAsia="黑体"/>
      <w:snapToGrid w:val="0"/>
      <w:sz w:val="18"/>
      <w:szCs w:val="18"/>
      <w:lang w:bidi="ar-SA"/>
    </w:rPr>
  </w:style>
  <w:style w:type="paragraph" w:customStyle="1" w:styleId="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3">
    <w:name w:val="纯文本 字符"/>
    <w:link w:val="22"/>
    <w:qFormat/>
    <w:uiPriority w:val="0"/>
    <w:rPr>
      <w:rFonts w:ascii="宋体" w:hAnsi="Courier New" w:eastAsia="宋体"/>
      <w:kern w:val="2"/>
      <w:sz w:val="24"/>
      <w:szCs w:val="24"/>
      <w:lang w:val="en-US" w:eastAsia="zh-CN" w:bidi="ar-SA"/>
    </w:rPr>
  </w:style>
  <w:style w:type="paragraph" w:customStyle="1" w:styleId="54">
    <w:name w:val="正文段"/>
    <w:basedOn w:val="1"/>
    <w:qFormat/>
    <w:uiPriority w:val="0"/>
    <w:pPr>
      <w:widowControl/>
      <w:snapToGrid w:val="0"/>
      <w:spacing w:afterLines="50"/>
      <w:ind w:firstLine="200" w:firstLineChars="200"/>
    </w:pPr>
    <w:rPr>
      <w:kern w:val="0"/>
      <w:sz w:val="24"/>
      <w:szCs w:val="20"/>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正文文本缩进 字符"/>
    <w:link w:val="18"/>
    <w:qFormat/>
    <w:uiPriority w:val="0"/>
    <w:rPr>
      <w:rFonts w:ascii="宋体" w:hAnsi="Courier New" w:eastAsia="宋体"/>
      <w:spacing w:val="-4"/>
      <w:kern w:val="2"/>
      <w:sz w:val="18"/>
      <w:lang w:bidi="ar-SA"/>
    </w:rPr>
  </w:style>
  <w:style w:type="character" w:customStyle="1" w:styleId="57">
    <w:name w:val="正文文本 字符"/>
    <w:link w:val="2"/>
    <w:qFormat/>
    <w:uiPriority w:val="0"/>
    <w:rPr>
      <w:rFonts w:eastAsia="宋体"/>
      <w:kern w:val="2"/>
      <w:sz w:val="28"/>
      <w:szCs w:val="24"/>
      <w:lang w:bidi="ar-SA"/>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59">
    <w:name w:val="页眉 字符"/>
    <w:link w:val="27"/>
    <w:qFormat/>
    <w:uiPriority w:val="99"/>
    <w:rPr>
      <w:rFonts w:eastAsia="仿宋_GB2312"/>
      <w:kern w:val="2"/>
      <w:sz w:val="18"/>
      <w:lang w:bidi="ar-SA"/>
    </w:rPr>
  </w:style>
  <w:style w:type="paragraph" w:customStyle="1" w:styleId="60">
    <w:name w:val="默认段落字体 Para Char Char Char Char"/>
    <w:basedOn w:val="1"/>
    <w:qFormat/>
    <w:uiPriority w:val="0"/>
    <w:rPr>
      <w:rFonts w:ascii="Arial" w:hAnsi="Arial" w:cs="Arial"/>
      <w:szCs w:val="21"/>
    </w:rPr>
  </w:style>
  <w:style w:type="paragraph" w:customStyle="1" w:styleId="61">
    <w:name w:val="1 Char Char Char Char"/>
    <w:basedOn w:val="1"/>
    <w:qFormat/>
    <w:uiPriority w:val="0"/>
    <w:rPr>
      <w:rFonts w:ascii="Tahoma" w:hAnsi="Tahoma"/>
      <w:sz w:val="24"/>
      <w:szCs w:val="20"/>
    </w:r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默认段落字体 Para Char Char Char Char Char Char Char Char Char Char Char Char Char"/>
    <w:basedOn w:val="15"/>
    <w:qFormat/>
    <w:uiPriority w:val="0"/>
    <w:rPr>
      <w:rFonts w:ascii="Tahoma" w:hAnsi="Tahoma" w:cs="Tahoma"/>
      <w:sz w:val="24"/>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样式 表格正文 + 两端对齐"/>
    <w:basedOn w:val="1"/>
    <w:qFormat/>
    <w:uiPriority w:val="0"/>
    <w:pPr>
      <w:spacing w:line="300" w:lineRule="auto"/>
    </w:pPr>
    <w:rPr>
      <w:sz w:val="24"/>
      <w:szCs w:val="20"/>
    </w:rPr>
  </w:style>
  <w:style w:type="paragraph" w:customStyle="1" w:styleId="67">
    <w:name w:val="此正文"/>
    <w:basedOn w:val="1"/>
    <w:qFormat/>
    <w:uiPriority w:val="0"/>
    <w:pPr>
      <w:spacing w:line="360" w:lineRule="auto"/>
      <w:ind w:firstLine="200" w:firstLineChars="200"/>
    </w:pPr>
    <w:rPr>
      <w:sz w:val="24"/>
      <w:szCs w:val="20"/>
    </w:rPr>
  </w:style>
  <w:style w:type="character" w:customStyle="1" w:styleId="68">
    <w:name w:val="标题 字符"/>
    <w:link w:val="36"/>
    <w:qFormat/>
    <w:uiPriority w:val="0"/>
    <w:rPr>
      <w:rFonts w:ascii="Cambria" w:hAnsi="Cambria" w:eastAsia="微软雅黑"/>
      <w:b/>
      <w:bCs/>
      <w:kern w:val="2"/>
      <w:sz w:val="32"/>
      <w:szCs w:val="32"/>
    </w:rPr>
  </w:style>
  <w:style w:type="paragraph" w:customStyle="1" w:styleId="69">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character" w:customStyle="1" w:styleId="70">
    <w:name w:val="正文文本首行缩进 字符"/>
    <w:link w:val="38"/>
    <w:qFormat/>
    <w:uiPriority w:val="0"/>
    <w:rPr>
      <w:rFonts w:eastAsia="宋体"/>
      <w:kern w:val="2"/>
      <w:sz w:val="21"/>
      <w:szCs w:val="24"/>
      <w:lang w:bidi="ar-SA"/>
    </w:rPr>
  </w:style>
  <w:style w:type="paragraph" w:customStyle="1" w:styleId="71">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2">
    <w:name w:val="15"/>
    <w:qFormat/>
    <w:uiPriority w:val="0"/>
    <w:rPr>
      <w:rFonts w:ascii="Verdana" w:hAnsi="Verdana" w:cs="Times New Roman"/>
      <w:color w:val="C90000"/>
      <w:sz w:val="18"/>
    </w:rPr>
  </w:style>
  <w:style w:type="character" w:customStyle="1" w:styleId="73">
    <w:name w:val="批注文字 字符"/>
    <w:link w:val="16"/>
    <w:qFormat/>
    <w:uiPriority w:val="0"/>
    <w:rPr>
      <w:rFonts w:eastAsia="宋体"/>
      <w:kern w:val="2"/>
      <w:sz w:val="21"/>
      <w:szCs w:val="24"/>
      <w:lang w:val="en-US" w:eastAsia="zh-CN" w:bidi="ar-SA"/>
    </w:rPr>
  </w:style>
  <w:style w:type="character" w:customStyle="1" w:styleId="74">
    <w:name w:val="批注主题 字符"/>
    <w:link w:val="37"/>
    <w:qFormat/>
    <w:uiPriority w:val="0"/>
    <w:rPr>
      <w:rFonts w:eastAsia="宋体"/>
      <w:b/>
      <w:bCs/>
      <w:kern w:val="2"/>
      <w:sz w:val="21"/>
      <w:szCs w:val="24"/>
      <w:lang w:val="en-US" w:eastAsia="zh-CN" w:bidi="ar-SA"/>
    </w:rPr>
  </w:style>
  <w:style w:type="paragraph" w:customStyle="1" w:styleId="75">
    <w:name w:val="正文－恩普"/>
    <w:basedOn w:val="6"/>
    <w:qFormat/>
    <w:uiPriority w:val="0"/>
    <w:pPr>
      <w:widowControl/>
      <w:spacing w:afterLines="50" w:line="360" w:lineRule="auto"/>
      <w:ind w:firstLine="480" w:firstLineChars="200"/>
      <w:jc w:val="left"/>
    </w:pPr>
    <w:rPr>
      <w:kern w:val="0"/>
      <w:sz w:val="24"/>
    </w:rPr>
  </w:style>
  <w:style w:type="paragraph" w:customStyle="1" w:styleId="7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w:basedOn w:val="1"/>
    <w:qFormat/>
    <w:uiPriority w:val="0"/>
    <w:rPr>
      <w:szCs w:val="21"/>
    </w:rPr>
  </w:style>
  <w:style w:type="character" w:customStyle="1" w:styleId="78">
    <w:name w:val="批注框文本 字符"/>
    <w:link w:val="25"/>
    <w:qFormat/>
    <w:uiPriority w:val="0"/>
    <w:rPr>
      <w:kern w:val="2"/>
      <w:sz w:val="18"/>
      <w:szCs w:val="18"/>
    </w:rPr>
  </w:style>
  <w:style w:type="character" w:customStyle="1" w:styleId="79">
    <w:name w:val="脚注文本 字符"/>
    <w:basedOn w:val="40"/>
    <w:link w:val="31"/>
    <w:qFormat/>
    <w:uiPriority w:val="99"/>
    <w:rPr>
      <w:kern w:val="2"/>
      <w:sz w:val="18"/>
      <w:szCs w:val="18"/>
    </w:rPr>
  </w:style>
  <w:style w:type="paragraph" w:customStyle="1" w:styleId="8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1">
    <w:name w:val="副标题 字符"/>
    <w:basedOn w:val="40"/>
    <w:link w:val="29"/>
    <w:qFormat/>
    <w:uiPriority w:val="0"/>
    <w:rPr>
      <w:rFonts w:asciiTheme="majorHAnsi" w:hAnsiTheme="majorHAnsi" w:cstheme="majorBidi"/>
      <w:b/>
      <w:bCs/>
      <w:kern w:val="28"/>
      <w:sz w:val="32"/>
      <w:szCs w:val="32"/>
    </w:rPr>
  </w:style>
  <w:style w:type="character" w:customStyle="1" w:styleId="82">
    <w:name w:val="页脚 Char"/>
    <w:qFormat/>
    <w:locked/>
    <w:uiPriority w:val="99"/>
    <w:rPr>
      <w:rFonts w:eastAsia="黑体"/>
      <w:snapToGrid w:val="0"/>
      <w:sz w:val="18"/>
      <w:szCs w:val="18"/>
    </w:rPr>
  </w:style>
  <w:style w:type="character" w:customStyle="1" w:styleId="83">
    <w:name w:val="页眉 Char"/>
    <w:qFormat/>
    <w:uiPriority w:val="99"/>
    <w:rPr>
      <w:rFonts w:eastAsia="仿宋_GB2312"/>
      <w:kern w:val="2"/>
      <w:sz w:val="18"/>
    </w:rPr>
  </w:style>
  <w:style w:type="paragraph" w:customStyle="1" w:styleId="8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TOC 标题3"/>
    <w:basedOn w:val="3"/>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4 字符"/>
    <w:basedOn w:val="40"/>
    <w:link w:val="7"/>
    <w:qFormat/>
    <w:uiPriority w:val="0"/>
    <w:rPr>
      <w:rFonts w:ascii="Arial" w:hAnsi="Arial" w:eastAsia="黑体"/>
      <w:b/>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117</Words>
  <Characters>163</Characters>
  <Lines>131</Lines>
  <Paragraphs>37</Paragraphs>
  <TotalTime>60</TotalTime>
  <ScaleCrop>false</ScaleCrop>
  <LinksUpToDate>false</LinksUpToDate>
  <CharactersWithSpaces>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2019-10-12T22:43:00Z</dcterms:created>
  <dc:creator>WinXP</dc:creator>
  <cp:lastModifiedBy>章大莉</cp:lastModifiedBy>
  <cp:lastPrinted>2025-06-26T07:24:51Z</cp:lastPrinted>
  <dcterms:modified xsi:type="dcterms:W3CDTF">2025-06-26T08:23:21Z</dcterms:modified>
  <dc:title>2016年（第一期）嘉兴市本级公共资金</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89CBA812E22149FD93AEBA9AF7C4B907_13</vt:lpwstr>
  </property>
  <property fmtid="{D5CDD505-2E9C-101B-9397-08002B2CF9AE}" pid="4" name="KSOTemplateDocerSaveRecord">
    <vt:lpwstr>eyJoZGlkIjoiMzFjZDM1ODRlMmVhOTJkY2EwMDg3NTg4ZTM0OGRmZTYiLCJ1c2VySWQiOiIxMTUwNjU0MTEyIn0=</vt:lpwstr>
  </property>
</Properties>
</file>