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7B1B9F1">
      <w:pPr>
        <w:tabs>
          <w:tab w:val="left" w:pos="3449"/>
        </w:tabs>
        <w:spacing w:line="360" w:lineRule="auto"/>
        <w:jc w:val="center"/>
        <w:rPr>
          <w:rFonts w:hint="eastAsia" w:ascii="宋体" w:hAnsi="宋体"/>
          <w:b/>
          <w:bCs/>
          <w:color w:val="auto"/>
          <w:sz w:val="48"/>
          <w:szCs w:val="48"/>
          <w:highlight w:val="none"/>
        </w:rPr>
      </w:pPr>
      <w:bookmarkStart w:id="119" w:name="_GoBack"/>
      <w:r>
        <w:rPr>
          <w:rFonts w:hint="eastAsia" w:ascii="宋体" w:hAnsi="宋体"/>
          <w:b/>
          <w:bCs/>
          <w:color w:val="auto"/>
          <w:sz w:val="48"/>
          <w:szCs w:val="48"/>
          <w:highlight w:val="none"/>
          <w:lang w:eastAsia="zh-CN"/>
        </w:rPr>
        <w:t>2025年（第二期）</w:t>
      </w:r>
      <w:r>
        <w:rPr>
          <w:rFonts w:hint="eastAsia" w:ascii="宋体" w:hAnsi="宋体"/>
          <w:b/>
          <w:bCs/>
          <w:color w:val="auto"/>
          <w:sz w:val="48"/>
          <w:szCs w:val="48"/>
          <w:highlight w:val="none"/>
        </w:rPr>
        <w:t>嘉兴经济技术开发区公共资金竞争性存放项目</w:t>
      </w:r>
    </w:p>
    <w:p w14:paraId="2A25400C">
      <w:pPr>
        <w:spacing w:before="156" w:beforeLines="50" w:line="360" w:lineRule="auto"/>
        <w:jc w:val="center"/>
        <w:rPr>
          <w:rFonts w:hint="eastAsia" w:ascii="宋体" w:hAnsi="宋体"/>
          <w:b/>
          <w:color w:val="auto"/>
          <w:sz w:val="48"/>
          <w:szCs w:val="48"/>
          <w:highlight w:val="none"/>
        </w:rPr>
      </w:pPr>
    </w:p>
    <w:p w14:paraId="133319BC">
      <w:pPr>
        <w:spacing w:before="156" w:beforeLines="50" w:line="360" w:lineRule="auto"/>
        <w:jc w:val="center"/>
        <w:rPr>
          <w:rFonts w:hint="eastAsia" w:ascii="宋体" w:hAnsi="宋体"/>
          <w:b/>
          <w:color w:val="auto"/>
          <w:sz w:val="72"/>
          <w:szCs w:val="72"/>
          <w:highlight w:val="none"/>
        </w:rPr>
      </w:pPr>
      <w:r>
        <w:rPr>
          <w:rFonts w:hint="eastAsia" w:ascii="宋体" w:hAnsi="宋体"/>
          <w:b/>
          <w:color w:val="auto"/>
          <w:sz w:val="72"/>
          <w:szCs w:val="72"/>
          <w:highlight w:val="none"/>
        </w:rPr>
        <w:t>公</w:t>
      </w:r>
    </w:p>
    <w:p w14:paraId="59D5DC3D">
      <w:pPr>
        <w:spacing w:before="156" w:beforeLines="50" w:line="360" w:lineRule="auto"/>
        <w:jc w:val="center"/>
        <w:rPr>
          <w:rFonts w:hint="eastAsia" w:ascii="宋体" w:hAnsi="宋体"/>
          <w:b/>
          <w:color w:val="auto"/>
          <w:sz w:val="72"/>
          <w:szCs w:val="72"/>
          <w:highlight w:val="none"/>
        </w:rPr>
      </w:pPr>
      <w:r>
        <w:rPr>
          <w:rFonts w:hint="eastAsia" w:ascii="宋体" w:hAnsi="宋体"/>
          <w:b/>
          <w:color w:val="auto"/>
          <w:sz w:val="72"/>
          <w:szCs w:val="72"/>
          <w:highlight w:val="none"/>
        </w:rPr>
        <w:t>开</w:t>
      </w:r>
    </w:p>
    <w:p w14:paraId="50963010">
      <w:pPr>
        <w:spacing w:before="156" w:beforeLines="50" w:line="360" w:lineRule="auto"/>
        <w:jc w:val="center"/>
        <w:rPr>
          <w:rFonts w:hint="eastAsia" w:ascii="宋体" w:hAnsi="宋体"/>
          <w:b/>
          <w:color w:val="auto"/>
          <w:sz w:val="72"/>
          <w:szCs w:val="72"/>
          <w:highlight w:val="none"/>
        </w:rPr>
      </w:pPr>
      <w:r>
        <w:rPr>
          <w:rFonts w:hint="eastAsia" w:ascii="宋体" w:hAnsi="宋体"/>
          <w:b/>
          <w:color w:val="auto"/>
          <w:sz w:val="72"/>
          <w:szCs w:val="72"/>
          <w:highlight w:val="none"/>
        </w:rPr>
        <w:t>招</w:t>
      </w:r>
    </w:p>
    <w:p w14:paraId="23B0C9DB">
      <w:pPr>
        <w:spacing w:before="156" w:beforeLines="50" w:line="360" w:lineRule="auto"/>
        <w:jc w:val="center"/>
        <w:rPr>
          <w:rFonts w:hint="eastAsia" w:ascii="宋体" w:hAnsi="宋体"/>
          <w:b/>
          <w:color w:val="auto"/>
          <w:sz w:val="72"/>
          <w:szCs w:val="72"/>
          <w:highlight w:val="none"/>
        </w:rPr>
      </w:pPr>
      <w:r>
        <w:rPr>
          <w:rFonts w:hint="eastAsia" w:ascii="宋体" w:hAnsi="宋体"/>
          <w:b/>
          <w:color w:val="auto"/>
          <w:sz w:val="72"/>
          <w:szCs w:val="72"/>
          <w:highlight w:val="none"/>
        </w:rPr>
        <w:t>标</w:t>
      </w:r>
    </w:p>
    <w:p w14:paraId="411301DE">
      <w:pPr>
        <w:spacing w:before="156" w:beforeLines="50" w:line="360" w:lineRule="auto"/>
        <w:jc w:val="center"/>
        <w:rPr>
          <w:rFonts w:hint="eastAsia" w:ascii="宋体" w:hAnsi="宋体"/>
          <w:b/>
          <w:color w:val="auto"/>
          <w:sz w:val="72"/>
          <w:szCs w:val="72"/>
          <w:highlight w:val="none"/>
        </w:rPr>
      </w:pPr>
      <w:r>
        <w:rPr>
          <w:rFonts w:hint="eastAsia" w:ascii="宋体" w:hAnsi="宋体"/>
          <w:b/>
          <w:color w:val="auto"/>
          <w:sz w:val="72"/>
          <w:szCs w:val="72"/>
          <w:highlight w:val="none"/>
        </w:rPr>
        <w:t>文</w:t>
      </w:r>
    </w:p>
    <w:p w14:paraId="70740901">
      <w:pPr>
        <w:spacing w:before="156" w:beforeLines="50" w:line="360" w:lineRule="auto"/>
        <w:jc w:val="center"/>
        <w:rPr>
          <w:rFonts w:hint="eastAsia" w:ascii="宋体" w:hAnsi="宋体"/>
          <w:b/>
          <w:color w:val="auto"/>
          <w:sz w:val="72"/>
          <w:szCs w:val="72"/>
          <w:highlight w:val="none"/>
        </w:rPr>
      </w:pPr>
      <w:r>
        <w:rPr>
          <w:rFonts w:hint="eastAsia" w:ascii="宋体" w:hAnsi="宋体"/>
          <w:b/>
          <w:color w:val="auto"/>
          <w:sz w:val="72"/>
          <w:szCs w:val="72"/>
          <w:highlight w:val="none"/>
        </w:rPr>
        <w:t>件</w:t>
      </w:r>
    </w:p>
    <w:p w14:paraId="7B1EE74D">
      <w:pPr>
        <w:spacing w:before="156" w:beforeLines="50" w:line="360" w:lineRule="auto"/>
        <w:ind w:firstLine="1440" w:firstLineChars="478"/>
        <w:jc w:val="center"/>
        <w:rPr>
          <w:rFonts w:hint="eastAsia" w:ascii="宋体" w:hAnsi="宋体"/>
          <w:b/>
          <w:color w:val="auto"/>
          <w:sz w:val="30"/>
          <w:szCs w:val="30"/>
          <w:highlight w:val="none"/>
        </w:rPr>
      </w:pPr>
    </w:p>
    <w:p w14:paraId="3C5F4914">
      <w:pPr>
        <w:pStyle w:val="22"/>
        <w:snapToGrid w:val="0"/>
        <w:spacing w:before="156" w:after="156" w:line="360" w:lineRule="auto"/>
        <w:ind w:firstLine="1343" w:firstLineChars="446"/>
        <w:rPr>
          <w:rFonts w:hint="eastAsia" w:hAnsi="宋体" w:eastAsia="宋体"/>
          <w:b/>
          <w:bCs/>
          <w:color w:val="auto"/>
          <w:sz w:val="30"/>
          <w:szCs w:val="30"/>
          <w:highlight w:val="none"/>
          <w:lang w:eastAsia="zh-CN"/>
        </w:rPr>
      </w:pPr>
      <w:r>
        <w:rPr>
          <w:rFonts w:hint="eastAsia" w:hAnsi="宋体"/>
          <w:b/>
          <w:bCs/>
          <w:color w:val="auto"/>
          <w:sz w:val="30"/>
          <w:szCs w:val="30"/>
          <w:highlight w:val="none"/>
        </w:rPr>
        <w:t>项目编号：</w:t>
      </w:r>
      <w:r>
        <w:rPr>
          <w:rFonts w:hint="eastAsia" w:hAnsi="宋体"/>
          <w:b/>
          <w:bCs/>
          <w:color w:val="auto"/>
          <w:sz w:val="30"/>
          <w:szCs w:val="30"/>
          <w:highlight w:val="none"/>
          <w:lang w:eastAsia="zh-CN"/>
        </w:rPr>
        <w:t>定存（2025）02</w:t>
      </w:r>
    </w:p>
    <w:p w14:paraId="63CE570D">
      <w:pPr>
        <w:pStyle w:val="22"/>
        <w:snapToGrid w:val="0"/>
        <w:spacing w:before="156" w:after="156" w:line="360" w:lineRule="auto"/>
        <w:ind w:firstLine="1343" w:firstLineChars="446"/>
        <w:rPr>
          <w:rFonts w:hint="eastAsia" w:hAnsi="宋体"/>
          <w:b/>
          <w:bCs/>
          <w:color w:val="auto"/>
          <w:sz w:val="30"/>
          <w:szCs w:val="30"/>
          <w:highlight w:val="none"/>
        </w:rPr>
      </w:pPr>
      <w:r>
        <w:rPr>
          <w:rFonts w:hint="eastAsia" w:hAnsi="宋体"/>
          <w:b/>
          <w:bCs/>
          <w:color w:val="auto"/>
          <w:sz w:val="30"/>
          <w:szCs w:val="30"/>
          <w:highlight w:val="none"/>
        </w:rPr>
        <w:t>招标单位：嘉兴经济技术开发区行政事业单位</w:t>
      </w:r>
    </w:p>
    <w:p w14:paraId="5EB81CC5">
      <w:pPr>
        <w:pStyle w:val="22"/>
        <w:snapToGrid w:val="0"/>
        <w:spacing w:before="156" w:after="156" w:line="360" w:lineRule="auto"/>
        <w:ind w:firstLine="1343" w:firstLineChars="446"/>
        <w:rPr>
          <w:rFonts w:hint="eastAsia" w:hAnsi="宋体"/>
          <w:b/>
          <w:bCs/>
          <w:color w:val="auto"/>
          <w:sz w:val="30"/>
          <w:szCs w:val="30"/>
          <w:highlight w:val="none"/>
        </w:rPr>
      </w:pPr>
      <w:r>
        <w:rPr>
          <w:rFonts w:hint="eastAsia" w:hAnsi="宋体"/>
          <w:b/>
          <w:bCs/>
          <w:color w:val="auto"/>
          <w:sz w:val="30"/>
          <w:szCs w:val="30"/>
          <w:highlight w:val="none"/>
        </w:rPr>
        <w:t>招标组织单位：嘉兴经济技术开发区财政金融部</w:t>
      </w:r>
    </w:p>
    <w:p w14:paraId="31B7BBB6">
      <w:pPr>
        <w:pStyle w:val="22"/>
        <w:snapToGrid w:val="0"/>
        <w:spacing w:before="156" w:after="156" w:line="360" w:lineRule="auto"/>
        <w:ind w:firstLine="1343" w:firstLineChars="446"/>
        <w:rPr>
          <w:rFonts w:hint="eastAsia" w:hAnsi="宋体"/>
          <w:b/>
          <w:bCs/>
          <w:color w:val="auto"/>
          <w:sz w:val="30"/>
          <w:szCs w:val="30"/>
          <w:highlight w:val="none"/>
        </w:rPr>
      </w:pPr>
      <w:r>
        <w:rPr>
          <w:rFonts w:hint="eastAsia" w:hAnsi="宋体"/>
          <w:b/>
          <w:bCs/>
          <w:color w:val="auto"/>
          <w:sz w:val="30"/>
          <w:szCs w:val="30"/>
          <w:highlight w:val="none"/>
        </w:rPr>
        <w:t>代理机构：嘉兴市千秋工程咨询有限公司</w:t>
      </w:r>
    </w:p>
    <w:p w14:paraId="6C08B08B">
      <w:pPr>
        <w:snapToGrid w:val="0"/>
        <w:spacing w:before="156" w:beforeLines="50" w:line="360" w:lineRule="auto"/>
        <w:jc w:val="center"/>
        <w:rPr>
          <w:rFonts w:hint="eastAsia" w:asciiTheme="minorEastAsia" w:hAnsiTheme="minorEastAsia" w:eastAsiaTheme="minorEastAsia" w:cstheme="majorBidi"/>
          <w:color w:val="auto"/>
          <w:kern w:val="28"/>
          <w:sz w:val="32"/>
          <w:szCs w:val="32"/>
          <w:highlight w:val="none"/>
        </w:rPr>
      </w:pPr>
      <w:r>
        <w:rPr>
          <w:rFonts w:ascii="宋体" w:hAnsi="宋体"/>
          <w:b/>
          <w:bCs/>
          <w:color w:val="auto"/>
          <w:w w:val="95"/>
          <w:sz w:val="30"/>
          <w:szCs w:val="30"/>
          <w:highlight w:val="none"/>
        </w:rPr>
        <w:t>20</w:t>
      </w:r>
      <w:r>
        <w:rPr>
          <w:rFonts w:hint="eastAsia" w:ascii="宋体" w:hAnsi="宋体"/>
          <w:b/>
          <w:bCs/>
          <w:color w:val="auto"/>
          <w:w w:val="95"/>
          <w:sz w:val="30"/>
          <w:szCs w:val="30"/>
          <w:highlight w:val="none"/>
        </w:rPr>
        <w:t>2</w:t>
      </w:r>
      <w:r>
        <w:rPr>
          <w:rFonts w:hint="eastAsia" w:ascii="宋体" w:hAnsi="宋体"/>
          <w:b/>
          <w:bCs/>
          <w:color w:val="auto"/>
          <w:w w:val="95"/>
          <w:sz w:val="30"/>
          <w:szCs w:val="30"/>
          <w:highlight w:val="none"/>
          <w:lang w:val="en-US" w:eastAsia="zh-CN"/>
        </w:rPr>
        <w:t>5</w:t>
      </w:r>
      <w:r>
        <w:rPr>
          <w:rFonts w:ascii="宋体" w:hAnsi="宋体"/>
          <w:b/>
          <w:bCs/>
          <w:color w:val="auto"/>
          <w:w w:val="95"/>
          <w:sz w:val="30"/>
          <w:szCs w:val="30"/>
          <w:highlight w:val="none"/>
        </w:rPr>
        <w:t>年</w:t>
      </w:r>
      <w:r>
        <w:rPr>
          <w:rFonts w:hint="eastAsia" w:asciiTheme="minorEastAsia" w:hAnsiTheme="minorEastAsia" w:eastAsiaTheme="minorEastAsia"/>
          <w:b/>
          <w:bCs/>
          <w:color w:val="auto"/>
          <w:w w:val="95"/>
          <w:sz w:val="30"/>
          <w:szCs w:val="30"/>
          <w:highlight w:val="none"/>
          <w:lang w:val="en-US" w:eastAsia="zh-CN"/>
        </w:rPr>
        <w:t>04</w:t>
      </w:r>
      <w:r>
        <w:rPr>
          <w:rFonts w:ascii="宋体" w:hAnsi="宋体"/>
          <w:b/>
          <w:bCs/>
          <w:color w:val="auto"/>
          <w:w w:val="95"/>
          <w:sz w:val="30"/>
          <w:szCs w:val="30"/>
          <w:highlight w:val="none"/>
        </w:rPr>
        <w:t>月</w:t>
      </w:r>
      <w:r>
        <w:rPr>
          <w:rFonts w:hint="eastAsia" w:ascii="宋体" w:hAnsi="宋体"/>
          <w:b/>
          <w:bCs/>
          <w:color w:val="auto"/>
          <w:w w:val="95"/>
          <w:sz w:val="30"/>
          <w:szCs w:val="30"/>
          <w:highlight w:val="none"/>
          <w:lang w:val="en-US" w:eastAsia="zh-CN"/>
        </w:rPr>
        <w:t>01</w:t>
      </w:r>
      <w:r>
        <w:rPr>
          <w:rFonts w:ascii="宋体" w:hAnsi="宋体"/>
          <w:b/>
          <w:bCs/>
          <w:color w:val="auto"/>
          <w:w w:val="95"/>
          <w:sz w:val="30"/>
          <w:szCs w:val="30"/>
          <w:highlight w:val="none"/>
        </w:rPr>
        <w:t>日</w:t>
      </w:r>
    </w:p>
    <w:p w14:paraId="1EB687C0">
      <w:pPr>
        <w:spacing w:line="360" w:lineRule="auto"/>
        <w:rPr>
          <w:rFonts w:hint="eastAsia" w:asciiTheme="minorEastAsia" w:hAnsiTheme="minorEastAsia" w:eastAsiaTheme="minorEastAsia" w:cstheme="majorBidi"/>
          <w:color w:val="auto"/>
          <w:kern w:val="28"/>
          <w:sz w:val="32"/>
          <w:szCs w:val="32"/>
          <w:highlight w:val="none"/>
        </w:rPr>
        <w:sectPr>
          <w:footerReference r:id="rId6" w:type="first"/>
          <w:headerReference r:id="rId3" w:type="default"/>
          <w:footerReference r:id="rId4" w:type="default"/>
          <w:footerReference r:id="rId5" w:type="even"/>
          <w:pgSz w:w="11907" w:h="16840"/>
          <w:pgMar w:top="1440" w:right="1797" w:bottom="1440" w:left="1797" w:header="851" w:footer="851" w:gutter="0"/>
          <w:pgNumType w:start="1"/>
          <w:cols w:space="425" w:num="1"/>
          <w:titlePg/>
          <w:docGrid w:type="lines" w:linePitch="312" w:charSpace="0"/>
        </w:sectPr>
      </w:pPr>
    </w:p>
    <w:p w14:paraId="62415602">
      <w:pPr>
        <w:tabs>
          <w:tab w:val="left" w:pos="1440"/>
        </w:tabs>
        <w:spacing w:line="360" w:lineRule="auto"/>
        <w:rPr>
          <w:rFonts w:hint="eastAsia" w:asciiTheme="minorEastAsia" w:hAnsiTheme="minorEastAsia" w:eastAsiaTheme="minorEastAsia" w:cstheme="majorBidi"/>
          <w:color w:val="auto"/>
          <w:kern w:val="28"/>
          <w:sz w:val="28"/>
          <w:szCs w:val="28"/>
          <w:highlight w:val="none"/>
        </w:rPr>
      </w:pPr>
      <w:r>
        <w:rPr>
          <w:rFonts w:asciiTheme="minorEastAsia" w:hAnsiTheme="minorEastAsia" w:eastAsiaTheme="minorEastAsia" w:cstheme="majorBidi"/>
          <w:color w:val="auto"/>
          <w:kern w:val="28"/>
          <w:sz w:val="28"/>
          <w:szCs w:val="28"/>
          <w:highlight w:val="none"/>
        </w:rPr>
        <w:tab/>
      </w:r>
    </w:p>
    <w:sdt>
      <w:sdtPr>
        <w:rPr>
          <w:rFonts w:cs="Times New Roman" w:asciiTheme="minorEastAsia" w:hAnsiTheme="minorEastAsia" w:eastAsiaTheme="minorEastAsia"/>
          <w:b w:val="0"/>
          <w:bCs w:val="0"/>
          <w:color w:val="auto"/>
          <w:kern w:val="2"/>
          <w:sz w:val="21"/>
          <w:szCs w:val="24"/>
          <w:highlight w:val="none"/>
          <w:lang w:val="zh-CN"/>
        </w:rPr>
        <w:id w:val="95592265"/>
      </w:sdtPr>
      <w:sdtEndPr>
        <w:rPr>
          <w:rFonts w:cs="Times New Roman" w:asciiTheme="minorEastAsia" w:hAnsiTheme="minorEastAsia" w:eastAsiaTheme="minorEastAsia"/>
          <w:b w:val="0"/>
          <w:bCs w:val="0"/>
          <w:color w:val="auto"/>
          <w:kern w:val="2"/>
          <w:sz w:val="21"/>
          <w:szCs w:val="24"/>
          <w:highlight w:val="none"/>
          <w:lang w:val="en-US"/>
        </w:rPr>
      </w:sdtEndPr>
      <w:sdtContent>
        <w:p w14:paraId="3EB6EF4B">
          <w:pPr>
            <w:pStyle w:val="87"/>
            <w:spacing w:line="360" w:lineRule="auto"/>
            <w:jc w:val="center"/>
            <w:rPr>
              <w:rFonts w:hint="eastAsia" w:asciiTheme="minorEastAsia" w:hAnsiTheme="minorEastAsia" w:eastAsiaTheme="minorEastAsia"/>
              <w:color w:val="auto"/>
              <w:highlight w:val="none"/>
            </w:rPr>
          </w:pPr>
          <w:r>
            <w:rPr>
              <w:rFonts w:asciiTheme="minorEastAsia" w:hAnsiTheme="minorEastAsia" w:eastAsiaTheme="minorEastAsia"/>
              <w:color w:val="auto"/>
              <w:highlight w:val="none"/>
              <w:lang w:val="zh-CN"/>
            </w:rPr>
            <w:t>目录</w:t>
          </w:r>
        </w:p>
        <w:p w14:paraId="67981BF6">
          <w:pPr>
            <w:pStyle w:val="28"/>
            <w:tabs>
              <w:tab w:val="right" w:leader="dot" w:pos="8303"/>
            </w:tabs>
            <w:spacing w:line="360" w:lineRule="auto"/>
            <w:rPr>
              <w:rFonts w:hint="eastAsia" w:asciiTheme="minorEastAsia" w:hAnsiTheme="minorEastAsia" w:eastAsiaTheme="minorEastAsia" w:cstheme="minorBidi"/>
              <w:color w:val="auto"/>
              <w:szCs w:val="22"/>
              <w:highlight w:val="none"/>
            </w:rPr>
          </w:pPr>
          <w:r>
            <w:rPr>
              <w:rFonts w:asciiTheme="minorEastAsia" w:hAnsiTheme="minorEastAsia" w:eastAsiaTheme="minorEastAsia"/>
              <w:color w:val="auto"/>
              <w:highlight w:val="none"/>
            </w:rPr>
            <w:fldChar w:fldCharType="begin"/>
          </w:r>
          <w:r>
            <w:rPr>
              <w:rFonts w:asciiTheme="minorEastAsia" w:hAnsiTheme="minorEastAsia" w:eastAsiaTheme="minorEastAsia"/>
              <w:color w:val="auto"/>
              <w:highlight w:val="none"/>
            </w:rPr>
            <w:instrText xml:space="preserve"> TOC \o "1-3" \h \z \u </w:instrText>
          </w:r>
          <w:r>
            <w:rPr>
              <w:rFonts w:asciiTheme="minorEastAsia" w:hAnsiTheme="minorEastAsia" w:eastAsiaTheme="minorEastAsia"/>
              <w:color w:val="auto"/>
              <w:highlight w:val="none"/>
            </w:rPr>
            <w:fldChar w:fldCharType="separate"/>
          </w:r>
          <w:r>
            <w:rPr>
              <w:color w:val="auto"/>
              <w:highlight w:val="none"/>
            </w:rPr>
            <w:fldChar w:fldCharType="begin"/>
          </w:r>
          <w:r>
            <w:rPr>
              <w:color w:val="auto"/>
              <w:highlight w:val="none"/>
            </w:rPr>
            <w:instrText xml:space="preserve"> HYPERLINK \l "_Toc98019223" </w:instrText>
          </w:r>
          <w:r>
            <w:rPr>
              <w:color w:val="auto"/>
              <w:highlight w:val="none"/>
            </w:rPr>
            <w:fldChar w:fldCharType="separate"/>
          </w:r>
          <w:r>
            <w:rPr>
              <w:rStyle w:val="45"/>
              <w:rFonts w:hint="eastAsia" w:asciiTheme="minorEastAsia" w:hAnsiTheme="minorEastAsia" w:eastAsiaTheme="minorEastAsia"/>
              <w:color w:val="auto"/>
              <w:highlight w:val="none"/>
            </w:rPr>
            <w:t>第一章 公开招标公告</w:t>
          </w:r>
          <w:r>
            <w:rPr>
              <w:rFonts w:asciiTheme="minorEastAsia" w:hAnsiTheme="minorEastAsia" w:eastAsiaTheme="minorEastAsia"/>
              <w:color w:val="auto"/>
              <w:highlight w:val="none"/>
            </w:rPr>
            <w:tab/>
          </w:r>
          <w:r>
            <w:rPr>
              <w:rFonts w:asciiTheme="minorEastAsia" w:hAnsiTheme="minorEastAsia" w:eastAsiaTheme="minorEastAsia"/>
              <w:color w:val="auto"/>
              <w:highlight w:val="none"/>
            </w:rPr>
            <w:fldChar w:fldCharType="begin"/>
          </w:r>
          <w:r>
            <w:rPr>
              <w:rFonts w:asciiTheme="minorEastAsia" w:hAnsiTheme="minorEastAsia" w:eastAsiaTheme="minorEastAsia"/>
              <w:color w:val="auto"/>
              <w:highlight w:val="none"/>
            </w:rPr>
            <w:instrText xml:space="preserve"> PAGEREF _Toc98019223 \h </w:instrText>
          </w:r>
          <w:r>
            <w:rPr>
              <w:rFonts w:asciiTheme="minorEastAsia" w:hAnsiTheme="minorEastAsia" w:eastAsiaTheme="minorEastAsia"/>
              <w:color w:val="auto"/>
              <w:highlight w:val="none"/>
            </w:rPr>
            <w:fldChar w:fldCharType="separate"/>
          </w:r>
          <w:r>
            <w:rPr>
              <w:rFonts w:asciiTheme="minorEastAsia" w:hAnsiTheme="minorEastAsia" w:eastAsiaTheme="minorEastAsia"/>
              <w:color w:val="auto"/>
              <w:highlight w:val="none"/>
            </w:rPr>
            <w:t>2</w:t>
          </w:r>
          <w:r>
            <w:rPr>
              <w:rFonts w:asciiTheme="minorEastAsia" w:hAnsiTheme="minorEastAsia" w:eastAsiaTheme="minorEastAsia"/>
              <w:color w:val="auto"/>
              <w:highlight w:val="none"/>
            </w:rPr>
            <w:fldChar w:fldCharType="end"/>
          </w:r>
          <w:r>
            <w:rPr>
              <w:rFonts w:asciiTheme="minorEastAsia" w:hAnsiTheme="minorEastAsia" w:eastAsiaTheme="minorEastAsia"/>
              <w:color w:val="auto"/>
              <w:highlight w:val="none"/>
            </w:rPr>
            <w:fldChar w:fldCharType="end"/>
          </w:r>
        </w:p>
        <w:p w14:paraId="79CC0DD5">
          <w:pPr>
            <w:pStyle w:val="28"/>
            <w:tabs>
              <w:tab w:val="right" w:leader="dot" w:pos="8303"/>
            </w:tabs>
            <w:spacing w:line="360" w:lineRule="auto"/>
            <w:rPr>
              <w:rFonts w:hint="eastAsia" w:asciiTheme="minorEastAsia" w:hAnsiTheme="minorEastAsia" w:eastAsiaTheme="minorEastAsia" w:cstheme="minorBidi"/>
              <w:color w:val="auto"/>
              <w:szCs w:val="22"/>
              <w:highlight w:val="none"/>
            </w:rPr>
          </w:pPr>
          <w:r>
            <w:rPr>
              <w:color w:val="auto"/>
              <w:highlight w:val="none"/>
            </w:rPr>
            <w:fldChar w:fldCharType="begin"/>
          </w:r>
          <w:r>
            <w:rPr>
              <w:color w:val="auto"/>
              <w:highlight w:val="none"/>
            </w:rPr>
            <w:instrText xml:space="preserve"> HYPERLINK \l "_Toc98019233" </w:instrText>
          </w:r>
          <w:r>
            <w:rPr>
              <w:color w:val="auto"/>
              <w:highlight w:val="none"/>
            </w:rPr>
            <w:fldChar w:fldCharType="separate"/>
          </w:r>
          <w:r>
            <w:rPr>
              <w:rStyle w:val="45"/>
              <w:rFonts w:hint="eastAsia" w:asciiTheme="minorEastAsia" w:hAnsiTheme="minorEastAsia" w:eastAsiaTheme="minorEastAsia"/>
              <w:color w:val="auto"/>
              <w:highlight w:val="none"/>
            </w:rPr>
            <w:t>第二章 招标需求</w:t>
          </w:r>
          <w:r>
            <w:rPr>
              <w:rFonts w:asciiTheme="minorEastAsia" w:hAnsiTheme="minorEastAsia" w:eastAsiaTheme="minorEastAsia"/>
              <w:color w:val="auto"/>
              <w:highlight w:val="none"/>
            </w:rPr>
            <w:tab/>
          </w:r>
          <w:r>
            <w:rPr>
              <w:rFonts w:asciiTheme="minorEastAsia" w:hAnsiTheme="minorEastAsia" w:eastAsiaTheme="minorEastAsia"/>
              <w:color w:val="auto"/>
              <w:highlight w:val="none"/>
            </w:rPr>
            <w:fldChar w:fldCharType="begin"/>
          </w:r>
          <w:r>
            <w:rPr>
              <w:rFonts w:asciiTheme="minorEastAsia" w:hAnsiTheme="minorEastAsia" w:eastAsiaTheme="minorEastAsia"/>
              <w:color w:val="auto"/>
              <w:highlight w:val="none"/>
            </w:rPr>
            <w:instrText xml:space="preserve"> PAGEREF _Toc98019233 \h </w:instrText>
          </w:r>
          <w:r>
            <w:rPr>
              <w:rFonts w:asciiTheme="minorEastAsia" w:hAnsiTheme="minorEastAsia" w:eastAsiaTheme="minorEastAsia"/>
              <w:color w:val="auto"/>
              <w:highlight w:val="none"/>
            </w:rPr>
            <w:fldChar w:fldCharType="separate"/>
          </w:r>
          <w:r>
            <w:rPr>
              <w:rFonts w:asciiTheme="minorEastAsia" w:hAnsiTheme="minorEastAsia" w:eastAsiaTheme="minorEastAsia"/>
              <w:color w:val="auto"/>
              <w:highlight w:val="none"/>
            </w:rPr>
            <w:t>4</w:t>
          </w:r>
          <w:r>
            <w:rPr>
              <w:rFonts w:asciiTheme="minorEastAsia" w:hAnsiTheme="minorEastAsia" w:eastAsiaTheme="minorEastAsia"/>
              <w:color w:val="auto"/>
              <w:highlight w:val="none"/>
            </w:rPr>
            <w:fldChar w:fldCharType="end"/>
          </w:r>
          <w:r>
            <w:rPr>
              <w:rFonts w:asciiTheme="minorEastAsia" w:hAnsiTheme="minorEastAsia" w:eastAsiaTheme="minorEastAsia"/>
              <w:color w:val="auto"/>
              <w:highlight w:val="none"/>
            </w:rPr>
            <w:fldChar w:fldCharType="end"/>
          </w:r>
        </w:p>
        <w:p w14:paraId="165D221C">
          <w:pPr>
            <w:pStyle w:val="28"/>
            <w:tabs>
              <w:tab w:val="right" w:leader="dot" w:pos="8303"/>
            </w:tabs>
            <w:spacing w:line="360" w:lineRule="auto"/>
            <w:rPr>
              <w:rFonts w:hint="eastAsia" w:asciiTheme="minorEastAsia" w:hAnsiTheme="minorEastAsia" w:eastAsiaTheme="minorEastAsia" w:cstheme="minorBidi"/>
              <w:color w:val="auto"/>
              <w:szCs w:val="22"/>
              <w:highlight w:val="none"/>
            </w:rPr>
          </w:pPr>
          <w:r>
            <w:rPr>
              <w:color w:val="auto"/>
              <w:highlight w:val="none"/>
            </w:rPr>
            <w:fldChar w:fldCharType="begin"/>
          </w:r>
          <w:r>
            <w:rPr>
              <w:color w:val="auto"/>
              <w:highlight w:val="none"/>
            </w:rPr>
            <w:instrText xml:space="preserve"> HYPERLINK \l "_Toc98019234" </w:instrText>
          </w:r>
          <w:r>
            <w:rPr>
              <w:color w:val="auto"/>
              <w:highlight w:val="none"/>
            </w:rPr>
            <w:fldChar w:fldCharType="separate"/>
          </w:r>
          <w:r>
            <w:rPr>
              <w:rStyle w:val="45"/>
              <w:rFonts w:hint="eastAsia" w:asciiTheme="minorEastAsia" w:hAnsiTheme="minorEastAsia" w:eastAsiaTheme="minorEastAsia"/>
              <w:color w:val="auto"/>
              <w:highlight w:val="none"/>
            </w:rPr>
            <w:t>第三章 投标人须知</w:t>
          </w:r>
          <w:r>
            <w:rPr>
              <w:rFonts w:asciiTheme="minorEastAsia" w:hAnsiTheme="minorEastAsia" w:eastAsiaTheme="minorEastAsia"/>
              <w:color w:val="auto"/>
              <w:highlight w:val="none"/>
            </w:rPr>
            <w:tab/>
          </w:r>
          <w:r>
            <w:rPr>
              <w:rFonts w:asciiTheme="minorEastAsia" w:hAnsiTheme="minorEastAsia" w:eastAsiaTheme="minorEastAsia"/>
              <w:color w:val="auto"/>
              <w:highlight w:val="none"/>
            </w:rPr>
            <w:fldChar w:fldCharType="begin"/>
          </w:r>
          <w:r>
            <w:rPr>
              <w:rFonts w:asciiTheme="minorEastAsia" w:hAnsiTheme="minorEastAsia" w:eastAsiaTheme="minorEastAsia"/>
              <w:color w:val="auto"/>
              <w:highlight w:val="none"/>
            </w:rPr>
            <w:instrText xml:space="preserve"> PAGEREF _Toc98019234 \h </w:instrText>
          </w:r>
          <w:r>
            <w:rPr>
              <w:rFonts w:asciiTheme="minorEastAsia" w:hAnsiTheme="minorEastAsia" w:eastAsiaTheme="minorEastAsia"/>
              <w:color w:val="auto"/>
              <w:highlight w:val="none"/>
            </w:rPr>
            <w:fldChar w:fldCharType="separate"/>
          </w:r>
          <w:r>
            <w:rPr>
              <w:rFonts w:asciiTheme="minorEastAsia" w:hAnsiTheme="minorEastAsia" w:eastAsiaTheme="minorEastAsia"/>
              <w:color w:val="auto"/>
              <w:highlight w:val="none"/>
            </w:rPr>
            <w:t>5</w:t>
          </w:r>
          <w:r>
            <w:rPr>
              <w:rFonts w:asciiTheme="minorEastAsia" w:hAnsiTheme="minorEastAsia" w:eastAsiaTheme="minorEastAsia"/>
              <w:color w:val="auto"/>
              <w:highlight w:val="none"/>
            </w:rPr>
            <w:fldChar w:fldCharType="end"/>
          </w:r>
          <w:r>
            <w:rPr>
              <w:rFonts w:asciiTheme="minorEastAsia" w:hAnsiTheme="minorEastAsia" w:eastAsiaTheme="minorEastAsia"/>
              <w:color w:val="auto"/>
              <w:highlight w:val="none"/>
            </w:rPr>
            <w:fldChar w:fldCharType="end"/>
          </w:r>
        </w:p>
        <w:p w14:paraId="739DC267">
          <w:pPr>
            <w:pStyle w:val="28"/>
            <w:tabs>
              <w:tab w:val="right" w:leader="dot" w:pos="8303"/>
            </w:tabs>
            <w:spacing w:line="360" w:lineRule="auto"/>
            <w:rPr>
              <w:rFonts w:hint="eastAsia" w:asciiTheme="minorEastAsia" w:hAnsiTheme="minorEastAsia" w:eastAsiaTheme="minorEastAsia" w:cstheme="minorBidi"/>
              <w:color w:val="auto"/>
              <w:szCs w:val="22"/>
              <w:highlight w:val="none"/>
            </w:rPr>
          </w:pPr>
          <w:r>
            <w:rPr>
              <w:color w:val="auto"/>
              <w:highlight w:val="none"/>
            </w:rPr>
            <w:fldChar w:fldCharType="begin"/>
          </w:r>
          <w:r>
            <w:rPr>
              <w:color w:val="auto"/>
              <w:highlight w:val="none"/>
            </w:rPr>
            <w:instrText xml:space="preserve"> HYPERLINK \l "_Toc98019286" </w:instrText>
          </w:r>
          <w:r>
            <w:rPr>
              <w:color w:val="auto"/>
              <w:highlight w:val="none"/>
            </w:rPr>
            <w:fldChar w:fldCharType="separate"/>
          </w:r>
          <w:r>
            <w:rPr>
              <w:rStyle w:val="45"/>
              <w:rFonts w:hint="eastAsia" w:asciiTheme="minorEastAsia" w:hAnsiTheme="minorEastAsia" w:eastAsiaTheme="minorEastAsia"/>
              <w:color w:val="auto"/>
              <w:highlight w:val="none"/>
            </w:rPr>
            <w:t>第四章 评标办法及评分标准</w:t>
          </w:r>
          <w:r>
            <w:rPr>
              <w:rFonts w:asciiTheme="minorEastAsia" w:hAnsiTheme="minorEastAsia" w:eastAsiaTheme="minorEastAsia"/>
              <w:color w:val="auto"/>
              <w:highlight w:val="none"/>
            </w:rPr>
            <w:tab/>
          </w:r>
          <w:r>
            <w:rPr>
              <w:rFonts w:asciiTheme="minorEastAsia" w:hAnsiTheme="minorEastAsia" w:eastAsiaTheme="minorEastAsia"/>
              <w:color w:val="auto"/>
              <w:highlight w:val="none"/>
            </w:rPr>
            <w:fldChar w:fldCharType="begin"/>
          </w:r>
          <w:r>
            <w:rPr>
              <w:rFonts w:asciiTheme="minorEastAsia" w:hAnsiTheme="minorEastAsia" w:eastAsiaTheme="minorEastAsia"/>
              <w:color w:val="auto"/>
              <w:highlight w:val="none"/>
            </w:rPr>
            <w:instrText xml:space="preserve"> PAGEREF _Toc98019286 \h </w:instrText>
          </w:r>
          <w:r>
            <w:rPr>
              <w:rFonts w:asciiTheme="minorEastAsia" w:hAnsiTheme="minorEastAsia" w:eastAsiaTheme="minorEastAsia"/>
              <w:color w:val="auto"/>
              <w:highlight w:val="none"/>
            </w:rPr>
            <w:fldChar w:fldCharType="separate"/>
          </w:r>
          <w:r>
            <w:rPr>
              <w:rFonts w:asciiTheme="minorEastAsia" w:hAnsiTheme="minorEastAsia" w:eastAsiaTheme="minorEastAsia"/>
              <w:color w:val="auto"/>
              <w:highlight w:val="none"/>
            </w:rPr>
            <w:t>13</w:t>
          </w:r>
          <w:r>
            <w:rPr>
              <w:rFonts w:asciiTheme="minorEastAsia" w:hAnsiTheme="minorEastAsia" w:eastAsiaTheme="minorEastAsia"/>
              <w:color w:val="auto"/>
              <w:highlight w:val="none"/>
            </w:rPr>
            <w:fldChar w:fldCharType="end"/>
          </w:r>
          <w:r>
            <w:rPr>
              <w:rFonts w:asciiTheme="minorEastAsia" w:hAnsiTheme="minorEastAsia" w:eastAsiaTheme="minorEastAsia"/>
              <w:color w:val="auto"/>
              <w:highlight w:val="none"/>
            </w:rPr>
            <w:fldChar w:fldCharType="end"/>
          </w:r>
        </w:p>
        <w:p w14:paraId="1A7CBEED">
          <w:pPr>
            <w:pStyle w:val="28"/>
            <w:tabs>
              <w:tab w:val="right" w:leader="dot" w:pos="8303"/>
            </w:tabs>
            <w:spacing w:line="360" w:lineRule="auto"/>
            <w:rPr>
              <w:rFonts w:hint="eastAsia" w:asciiTheme="minorEastAsia" w:hAnsiTheme="minorEastAsia" w:eastAsiaTheme="minorEastAsia" w:cstheme="minorBidi"/>
              <w:color w:val="auto"/>
              <w:szCs w:val="22"/>
              <w:highlight w:val="none"/>
            </w:rPr>
          </w:pPr>
          <w:r>
            <w:rPr>
              <w:color w:val="auto"/>
              <w:highlight w:val="none"/>
            </w:rPr>
            <w:fldChar w:fldCharType="begin"/>
          </w:r>
          <w:r>
            <w:rPr>
              <w:color w:val="auto"/>
              <w:highlight w:val="none"/>
            </w:rPr>
            <w:instrText xml:space="preserve"> HYPERLINK \l "_Toc98019294" </w:instrText>
          </w:r>
          <w:r>
            <w:rPr>
              <w:color w:val="auto"/>
              <w:highlight w:val="none"/>
            </w:rPr>
            <w:fldChar w:fldCharType="separate"/>
          </w:r>
          <w:r>
            <w:rPr>
              <w:rStyle w:val="45"/>
              <w:rFonts w:hint="eastAsia" w:asciiTheme="minorEastAsia" w:hAnsiTheme="minorEastAsia" w:eastAsiaTheme="minorEastAsia"/>
              <w:color w:val="auto"/>
              <w:highlight w:val="none"/>
            </w:rPr>
            <w:t>第五章 协议主要条款</w:t>
          </w:r>
          <w:r>
            <w:rPr>
              <w:rFonts w:asciiTheme="minorEastAsia" w:hAnsiTheme="minorEastAsia" w:eastAsiaTheme="minorEastAsia"/>
              <w:color w:val="auto"/>
              <w:highlight w:val="none"/>
            </w:rPr>
            <w:tab/>
          </w:r>
          <w:r>
            <w:rPr>
              <w:rFonts w:asciiTheme="minorEastAsia" w:hAnsiTheme="minorEastAsia" w:eastAsiaTheme="minorEastAsia"/>
              <w:color w:val="auto"/>
              <w:highlight w:val="none"/>
            </w:rPr>
            <w:fldChar w:fldCharType="begin"/>
          </w:r>
          <w:r>
            <w:rPr>
              <w:rFonts w:asciiTheme="minorEastAsia" w:hAnsiTheme="minorEastAsia" w:eastAsiaTheme="minorEastAsia"/>
              <w:color w:val="auto"/>
              <w:highlight w:val="none"/>
            </w:rPr>
            <w:instrText xml:space="preserve"> PAGEREF _Toc98019294 \h </w:instrText>
          </w:r>
          <w:r>
            <w:rPr>
              <w:rFonts w:asciiTheme="minorEastAsia" w:hAnsiTheme="minorEastAsia" w:eastAsiaTheme="minorEastAsia"/>
              <w:color w:val="auto"/>
              <w:highlight w:val="none"/>
            </w:rPr>
            <w:fldChar w:fldCharType="separate"/>
          </w:r>
          <w:r>
            <w:rPr>
              <w:rFonts w:asciiTheme="minorEastAsia" w:hAnsiTheme="minorEastAsia" w:eastAsiaTheme="minorEastAsia"/>
              <w:color w:val="auto"/>
              <w:highlight w:val="none"/>
            </w:rPr>
            <w:t>17</w:t>
          </w:r>
          <w:r>
            <w:rPr>
              <w:rFonts w:asciiTheme="minorEastAsia" w:hAnsiTheme="minorEastAsia" w:eastAsiaTheme="minorEastAsia"/>
              <w:color w:val="auto"/>
              <w:highlight w:val="none"/>
            </w:rPr>
            <w:fldChar w:fldCharType="end"/>
          </w:r>
          <w:r>
            <w:rPr>
              <w:rFonts w:asciiTheme="minorEastAsia" w:hAnsiTheme="minorEastAsia" w:eastAsiaTheme="minorEastAsia"/>
              <w:color w:val="auto"/>
              <w:highlight w:val="none"/>
            </w:rPr>
            <w:fldChar w:fldCharType="end"/>
          </w:r>
        </w:p>
        <w:p w14:paraId="418BCC3C">
          <w:pPr>
            <w:pStyle w:val="28"/>
            <w:tabs>
              <w:tab w:val="right" w:leader="dot" w:pos="8303"/>
            </w:tabs>
            <w:spacing w:line="360" w:lineRule="auto"/>
            <w:rPr>
              <w:rFonts w:hint="eastAsia" w:asciiTheme="minorEastAsia" w:hAnsiTheme="minorEastAsia" w:eastAsiaTheme="minorEastAsia" w:cstheme="minorBidi"/>
              <w:color w:val="auto"/>
              <w:szCs w:val="22"/>
              <w:highlight w:val="none"/>
            </w:rPr>
          </w:pPr>
          <w:r>
            <w:rPr>
              <w:color w:val="auto"/>
              <w:highlight w:val="none"/>
            </w:rPr>
            <w:fldChar w:fldCharType="begin"/>
          </w:r>
          <w:r>
            <w:rPr>
              <w:color w:val="auto"/>
              <w:highlight w:val="none"/>
            </w:rPr>
            <w:instrText xml:space="preserve"> HYPERLINK \l "_Toc98019297" </w:instrText>
          </w:r>
          <w:r>
            <w:rPr>
              <w:color w:val="auto"/>
              <w:highlight w:val="none"/>
            </w:rPr>
            <w:fldChar w:fldCharType="separate"/>
          </w:r>
          <w:r>
            <w:rPr>
              <w:rStyle w:val="45"/>
              <w:rFonts w:hint="eastAsia" w:asciiTheme="minorEastAsia" w:hAnsiTheme="minorEastAsia" w:eastAsiaTheme="minorEastAsia"/>
              <w:color w:val="auto"/>
              <w:highlight w:val="none"/>
            </w:rPr>
            <w:t>第六章 投标文件格式</w:t>
          </w:r>
          <w:r>
            <w:rPr>
              <w:rFonts w:asciiTheme="minorEastAsia" w:hAnsiTheme="minorEastAsia" w:eastAsiaTheme="minorEastAsia"/>
              <w:color w:val="auto"/>
              <w:highlight w:val="none"/>
            </w:rPr>
            <w:tab/>
          </w:r>
          <w:r>
            <w:rPr>
              <w:rFonts w:asciiTheme="minorEastAsia" w:hAnsiTheme="minorEastAsia" w:eastAsiaTheme="minorEastAsia"/>
              <w:color w:val="auto"/>
              <w:highlight w:val="none"/>
            </w:rPr>
            <w:fldChar w:fldCharType="begin"/>
          </w:r>
          <w:r>
            <w:rPr>
              <w:rFonts w:asciiTheme="minorEastAsia" w:hAnsiTheme="minorEastAsia" w:eastAsiaTheme="minorEastAsia"/>
              <w:color w:val="auto"/>
              <w:highlight w:val="none"/>
            </w:rPr>
            <w:instrText xml:space="preserve"> PAGEREF _Toc98019297 \h </w:instrText>
          </w:r>
          <w:r>
            <w:rPr>
              <w:rFonts w:asciiTheme="minorEastAsia" w:hAnsiTheme="minorEastAsia" w:eastAsiaTheme="minorEastAsia"/>
              <w:color w:val="auto"/>
              <w:highlight w:val="none"/>
            </w:rPr>
            <w:fldChar w:fldCharType="separate"/>
          </w:r>
          <w:r>
            <w:rPr>
              <w:rFonts w:asciiTheme="minorEastAsia" w:hAnsiTheme="minorEastAsia" w:eastAsiaTheme="minorEastAsia"/>
              <w:color w:val="auto"/>
              <w:highlight w:val="none"/>
            </w:rPr>
            <w:t>19</w:t>
          </w:r>
          <w:r>
            <w:rPr>
              <w:rFonts w:asciiTheme="minorEastAsia" w:hAnsiTheme="minorEastAsia" w:eastAsiaTheme="minorEastAsia"/>
              <w:color w:val="auto"/>
              <w:highlight w:val="none"/>
            </w:rPr>
            <w:fldChar w:fldCharType="end"/>
          </w:r>
          <w:r>
            <w:rPr>
              <w:rFonts w:asciiTheme="minorEastAsia" w:hAnsiTheme="minorEastAsia" w:eastAsiaTheme="minorEastAsia"/>
              <w:color w:val="auto"/>
              <w:highlight w:val="none"/>
            </w:rPr>
            <w:fldChar w:fldCharType="end"/>
          </w:r>
        </w:p>
        <w:p w14:paraId="440FD3A9">
          <w:pPr>
            <w:spacing w:line="360" w:lineRule="auto"/>
            <w:rPr>
              <w:rFonts w:hint="eastAsia" w:asciiTheme="minorEastAsia" w:hAnsiTheme="minorEastAsia" w:eastAsiaTheme="minorEastAsia"/>
              <w:color w:val="auto"/>
              <w:highlight w:val="none"/>
            </w:rPr>
          </w:pPr>
          <w:r>
            <w:rPr>
              <w:rFonts w:asciiTheme="minorEastAsia" w:hAnsiTheme="minorEastAsia" w:eastAsiaTheme="minorEastAsia"/>
              <w:color w:val="auto"/>
              <w:highlight w:val="none"/>
            </w:rPr>
            <w:fldChar w:fldCharType="end"/>
          </w:r>
        </w:p>
      </w:sdtContent>
    </w:sdt>
    <w:p w14:paraId="496097B4">
      <w:pPr>
        <w:tabs>
          <w:tab w:val="left" w:pos="3960"/>
          <w:tab w:val="left" w:pos="5554"/>
        </w:tabs>
        <w:spacing w:line="360" w:lineRule="auto"/>
        <w:rPr>
          <w:rFonts w:hint="eastAsia" w:asciiTheme="minorEastAsia" w:hAnsiTheme="minorEastAsia" w:eastAsiaTheme="minorEastAsia" w:cstheme="majorBidi"/>
          <w:color w:val="auto"/>
          <w:kern w:val="28"/>
          <w:sz w:val="32"/>
          <w:szCs w:val="32"/>
          <w:highlight w:val="none"/>
        </w:rPr>
      </w:pPr>
      <w:r>
        <w:rPr>
          <w:rFonts w:asciiTheme="minorEastAsia" w:hAnsiTheme="minorEastAsia" w:eastAsiaTheme="minorEastAsia" w:cstheme="majorBidi"/>
          <w:color w:val="auto"/>
          <w:kern w:val="28"/>
          <w:sz w:val="32"/>
          <w:szCs w:val="32"/>
          <w:highlight w:val="none"/>
        </w:rPr>
        <w:tab/>
      </w:r>
      <w:r>
        <w:rPr>
          <w:rFonts w:asciiTheme="minorEastAsia" w:hAnsiTheme="minorEastAsia" w:eastAsiaTheme="minorEastAsia" w:cstheme="majorBidi"/>
          <w:color w:val="auto"/>
          <w:kern w:val="28"/>
          <w:sz w:val="32"/>
          <w:szCs w:val="32"/>
          <w:highlight w:val="none"/>
        </w:rPr>
        <w:tab/>
      </w:r>
    </w:p>
    <w:p w14:paraId="1A0B01F6">
      <w:pPr>
        <w:spacing w:line="360" w:lineRule="auto"/>
        <w:rPr>
          <w:rFonts w:hint="eastAsia" w:asciiTheme="minorEastAsia" w:hAnsiTheme="minorEastAsia" w:eastAsiaTheme="minorEastAsia" w:cstheme="majorBidi"/>
          <w:color w:val="auto"/>
          <w:kern w:val="28"/>
          <w:sz w:val="32"/>
          <w:szCs w:val="32"/>
          <w:highlight w:val="none"/>
        </w:rPr>
      </w:pPr>
    </w:p>
    <w:p w14:paraId="7A8686D0">
      <w:pPr>
        <w:pStyle w:val="36"/>
        <w:spacing w:line="360" w:lineRule="auto"/>
        <w:outlineLvl w:val="9"/>
        <w:rPr>
          <w:rFonts w:hint="eastAsia" w:asciiTheme="minorEastAsia" w:hAnsiTheme="minorEastAsia" w:eastAsiaTheme="minorEastAsia"/>
          <w:color w:val="auto"/>
          <w:highlight w:val="none"/>
        </w:rPr>
      </w:pPr>
      <w:bookmarkStart w:id="0" w:name="_Toc11650166"/>
      <w:bookmarkStart w:id="1" w:name="_Toc9342476"/>
    </w:p>
    <w:p w14:paraId="7D02B322">
      <w:pPr>
        <w:widowControl/>
        <w:spacing w:line="360" w:lineRule="auto"/>
        <w:jc w:val="left"/>
        <w:rPr>
          <w:rFonts w:hint="eastAsia" w:asciiTheme="minorEastAsia" w:hAnsiTheme="minorEastAsia" w:eastAsiaTheme="minorEastAsia"/>
          <w:b/>
          <w:bCs/>
          <w:color w:val="auto"/>
          <w:sz w:val="32"/>
          <w:szCs w:val="32"/>
          <w:highlight w:val="none"/>
        </w:rPr>
      </w:pPr>
      <w:r>
        <w:rPr>
          <w:rFonts w:asciiTheme="minorEastAsia" w:hAnsiTheme="minorEastAsia" w:eastAsiaTheme="minorEastAsia"/>
          <w:color w:val="auto"/>
          <w:highlight w:val="none"/>
        </w:rPr>
        <w:br w:type="page"/>
      </w:r>
    </w:p>
    <w:p w14:paraId="722413A7">
      <w:pPr>
        <w:pStyle w:val="36"/>
        <w:numPr>
          <w:ilvl w:val="0"/>
          <w:numId w:val="3"/>
        </w:numPr>
        <w:spacing w:line="360" w:lineRule="auto"/>
        <w:rPr>
          <w:rFonts w:hint="eastAsia" w:asciiTheme="minorEastAsia" w:hAnsiTheme="minorEastAsia" w:eastAsiaTheme="minorEastAsia"/>
          <w:color w:val="auto"/>
          <w:highlight w:val="none"/>
        </w:rPr>
      </w:pPr>
      <w:bookmarkStart w:id="2" w:name="_Toc98019223"/>
      <w:bookmarkStart w:id="3" w:name="_Hlk104999974"/>
      <w:bookmarkStart w:id="4" w:name="_Hlk152078683"/>
      <w:r>
        <w:rPr>
          <w:rFonts w:hint="eastAsia" w:asciiTheme="minorEastAsia" w:hAnsiTheme="minorEastAsia" w:eastAsiaTheme="minorEastAsia"/>
          <w:color w:val="auto"/>
          <w:highlight w:val="none"/>
        </w:rPr>
        <w:t>公开招标公告</w:t>
      </w:r>
      <w:bookmarkEnd w:id="0"/>
      <w:bookmarkEnd w:id="1"/>
      <w:bookmarkEnd w:id="2"/>
    </w:p>
    <w:bookmarkEnd w:id="3"/>
    <w:p w14:paraId="0B29D2C3">
      <w:pPr>
        <w:snapToGrid w:val="0"/>
        <w:spacing w:line="360" w:lineRule="auto"/>
        <w:ind w:firstLine="420" w:firstLineChars="200"/>
        <w:rPr>
          <w:rFonts w:hint="eastAsia" w:asciiTheme="minorEastAsia" w:hAnsiTheme="minorEastAsia" w:eastAsiaTheme="minorEastAsia"/>
          <w:color w:val="auto"/>
          <w:szCs w:val="21"/>
          <w:highlight w:val="none"/>
        </w:rPr>
      </w:pPr>
      <w:bookmarkStart w:id="5" w:name="_Toc9342477"/>
      <w:bookmarkStart w:id="6" w:name="_Toc11650167"/>
      <w:r>
        <w:rPr>
          <w:rFonts w:hint="eastAsia" w:asciiTheme="minorEastAsia" w:hAnsiTheme="minorEastAsia" w:eastAsiaTheme="minorEastAsia"/>
          <w:color w:val="auto"/>
          <w:szCs w:val="21"/>
          <w:highlight w:val="none"/>
        </w:rPr>
        <w:t>根据相关法律规定，</w:t>
      </w:r>
      <w:r>
        <w:rPr>
          <w:rFonts w:hint="eastAsia" w:cs="宋体" w:asciiTheme="minorEastAsia" w:hAnsiTheme="minorEastAsia" w:eastAsiaTheme="minorEastAsia"/>
          <w:color w:val="auto"/>
          <w:szCs w:val="21"/>
          <w:highlight w:val="none"/>
        </w:rPr>
        <w:t>嘉兴市千秋工程咨询有限公司</w:t>
      </w:r>
      <w:r>
        <w:rPr>
          <w:rFonts w:hint="eastAsia" w:asciiTheme="minorEastAsia" w:hAnsiTheme="minorEastAsia" w:eastAsiaTheme="minorEastAsia"/>
          <w:color w:val="auto"/>
          <w:szCs w:val="21"/>
          <w:highlight w:val="none"/>
        </w:rPr>
        <w:t>受嘉兴经济技术开发区财政金融部委托，就下列项目进行公开招标，特邀请国内合格的投标人前来投标，现将有关事项公告如下：</w:t>
      </w:r>
    </w:p>
    <w:p w14:paraId="1696B0A6">
      <w:pPr>
        <w:pStyle w:val="3"/>
        <w:numPr>
          <w:ilvl w:val="0"/>
          <w:numId w:val="4"/>
        </w:numPr>
        <w:spacing w:before="0" w:after="0" w:line="360" w:lineRule="auto"/>
        <w:ind w:firstLine="422" w:firstLineChars="200"/>
        <w:rPr>
          <w:rFonts w:hint="eastAsia" w:asciiTheme="minorEastAsia" w:hAnsiTheme="minorEastAsia" w:eastAsiaTheme="minorEastAsia"/>
          <w:color w:val="auto"/>
          <w:szCs w:val="21"/>
          <w:highlight w:val="none"/>
        </w:rPr>
      </w:pPr>
      <w:bookmarkStart w:id="7" w:name="_Toc98019224"/>
      <w:r>
        <w:rPr>
          <w:rFonts w:hint="eastAsia" w:asciiTheme="minorEastAsia" w:hAnsiTheme="minorEastAsia" w:eastAsiaTheme="minorEastAsia"/>
          <w:color w:val="auto"/>
          <w:szCs w:val="21"/>
          <w:highlight w:val="none"/>
        </w:rPr>
        <w:t>项目编号：</w:t>
      </w:r>
      <w:bookmarkEnd w:id="7"/>
      <w:r>
        <w:rPr>
          <w:rFonts w:hint="eastAsia" w:ascii="宋体" w:hAnsi="宋体" w:eastAsia="宋体"/>
          <w:b w:val="0"/>
          <w:bCs w:val="0"/>
          <w:color w:val="auto"/>
          <w:szCs w:val="21"/>
          <w:highlight w:val="none"/>
          <w:lang w:eastAsia="zh-CN"/>
        </w:rPr>
        <w:t>定存（2025）02</w:t>
      </w:r>
    </w:p>
    <w:p w14:paraId="7C734C7E">
      <w:pPr>
        <w:pStyle w:val="3"/>
        <w:numPr>
          <w:ilvl w:val="0"/>
          <w:numId w:val="4"/>
        </w:numPr>
        <w:spacing w:before="0" w:after="0" w:line="360" w:lineRule="auto"/>
        <w:ind w:firstLine="422" w:firstLineChars="200"/>
        <w:rPr>
          <w:rFonts w:hint="eastAsia" w:asciiTheme="minorEastAsia" w:hAnsiTheme="minorEastAsia" w:eastAsiaTheme="minorEastAsia"/>
          <w:color w:val="auto"/>
          <w:szCs w:val="21"/>
          <w:highlight w:val="none"/>
        </w:rPr>
      </w:pPr>
      <w:bookmarkStart w:id="8" w:name="_Toc98019225"/>
      <w:r>
        <w:rPr>
          <w:rFonts w:hint="eastAsia" w:asciiTheme="minorEastAsia" w:hAnsiTheme="minorEastAsia" w:eastAsiaTheme="minorEastAsia"/>
          <w:color w:val="auto"/>
          <w:szCs w:val="21"/>
          <w:highlight w:val="none"/>
        </w:rPr>
        <w:t>招标方式：</w:t>
      </w:r>
      <w:r>
        <w:rPr>
          <w:rFonts w:hint="eastAsia" w:asciiTheme="minorEastAsia" w:hAnsiTheme="minorEastAsia" w:eastAsiaTheme="minorEastAsia"/>
          <w:b w:val="0"/>
          <w:color w:val="auto"/>
          <w:szCs w:val="21"/>
          <w:highlight w:val="none"/>
        </w:rPr>
        <w:t>公开招标</w:t>
      </w:r>
      <w:bookmarkEnd w:id="8"/>
    </w:p>
    <w:p w14:paraId="5F8713EE">
      <w:pPr>
        <w:pStyle w:val="3"/>
        <w:numPr>
          <w:ilvl w:val="0"/>
          <w:numId w:val="4"/>
        </w:numPr>
        <w:spacing w:before="0" w:after="0" w:line="360" w:lineRule="auto"/>
        <w:ind w:firstLine="422" w:firstLineChars="200"/>
        <w:rPr>
          <w:rFonts w:hint="eastAsia" w:asciiTheme="minorEastAsia" w:hAnsiTheme="minorEastAsia" w:eastAsiaTheme="minorEastAsia"/>
          <w:color w:val="auto"/>
          <w:szCs w:val="21"/>
          <w:highlight w:val="none"/>
        </w:rPr>
      </w:pPr>
      <w:bookmarkStart w:id="9" w:name="_Toc98019226"/>
      <w:r>
        <w:rPr>
          <w:rFonts w:hint="eastAsia" w:asciiTheme="minorEastAsia" w:hAnsiTheme="minorEastAsia" w:eastAsiaTheme="minorEastAsia"/>
          <w:color w:val="auto"/>
          <w:szCs w:val="21"/>
          <w:highlight w:val="none"/>
        </w:rPr>
        <w:t>招标项目：</w:t>
      </w:r>
      <w:r>
        <w:rPr>
          <w:rFonts w:hint="eastAsia" w:asciiTheme="minorEastAsia" w:hAnsiTheme="minorEastAsia" w:eastAsiaTheme="minorEastAsia"/>
          <w:b w:val="0"/>
          <w:color w:val="auto"/>
          <w:szCs w:val="21"/>
          <w:highlight w:val="none"/>
          <w:lang w:eastAsia="zh-CN"/>
        </w:rPr>
        <w:t>2025年（第二期）</w:t>
      </w:r>
      <w:r>
        <w:rPr>
          <w:rFonts w:hint="eastAsia" w:asciiTheme="minorEastAsia" w:hAnsiTheme="minorEastAsia" w:eastAsiaTheme="minorEastAsia"/>
          <w:b w:val="0"/>
          <w:color w:val="auto"/>
          <w:szCs w:val="21"/>
          <w:highlight w:val="none"/>
        </w:rPr>
        <w:t>嘉兴经济技术开发区公共资金竞争性存放项目</w:t>
      </w:r>
      <w:bookmarkEnd w:id="9"/>
    </w:p>
    <w:p w14:paraId="027B27C6">
      <w:pPr>
        <w:pStyle w:val="3"/>
        <w:numPr>
          <w:ilvl w:val="0"/>
          <w:numId w:val="4"/>
        </w:numPr>
        <w:spacing w:before="0" w:after="0" w:line="360" w:lineRule="auto"/>
        <w:ind w:firstLine="422" w:firstLineChars="200"/>
        <w:rPr>
          <w:rFonts w:hint="eastAsia" w:asciiTheme="minorEastAsia" w:hAnsiTheme="minorEastAsia" w:eastAsiaTheme="minorEastAsia"/>
          <w:color w:val="auto"/>
          <w:szCs w:val="21"/>
          <w:highlight w:val="none"/>
        </w:rPr>
      </w:pPr>
      <w:bookmarkStart w:id="10" w:name="_Toc98019227"/>
      <w:r>
        <w:rPr>
          <w:rFonts w:hint="eastAsia" w:asciiTheme="minorEastAsia" w:hAnsiTheme="minorEastAsia" w:eastAsiaTheme="minorEastAsia"/>
          <w:color w:val="auto"/>
          <w:szCs w:val="21"/>
          <w:highlight w:val="none"/>
        </w:rPr>
        <w:t>招标内容：</w:t>
      </w:r>
      <w:bookmarkEnd w:id="10"/>
      <w:r>
        <w:rPr>
          <w:rFonts w:hint="eastAsia" w:asciiTheme="minorEastAsia" w:hAnsiTheme="minorEastAsia" w:eastAsiaTheme="minorEastAsia"/>
          <w:color w:val="auto"/>
          <w:szCs w:val="21"/>
          <w:highlight w:val="none"/>
        </w:rPr>
        <w:tab/>
      </w:r>
    </w:p>
    <w:tbl>
      <w:tblPr>
        <w:tblStyle w:val="39"/>
        <w:tblW w:w="5684"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843"/>
        <w:gridCol w:w="2841"/>
      </w:tblGrid>
      <w:tr w14:paraId="52C24A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843" w:type="dxa"/>
            <w:shd w:val="clear" w:color="auto" w:fill="auto"/>
            <w:vAlign w:val="center"/>
          </w:tcPr>
          <w:p w14:paraId="640DAB93">
            <w:pPr>
              <w:spacing w:line="360" w:lineRule="auto"/>
              <w:jc w:val="center"/>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金额（万元）</w:t>
            </w:r>
          </w:p>
        </w:tc>
        <w:tc>
          <w:tcPr>
            <w:tcW w:w="2841" w:type="dxa"/>
            <w:shd w:val="clear" w:color="auto" w:fill="auto"/>
            <w:vAlign w:val="center"/>
          </w:tcPr>
          <w:p w14:paraId="088C4D1E">
            <w:pPr>
              <w:spacing w:line="360" w:lineRule="auto"/>
              <w:jc w:val="center"/>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存期</w:t>
            </w:r>
          </w:p>
        </w:tc>
      </w:tr>
      <w:tr w14:paraId="25CB14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843" w:type="dxa"/>
            <w:shd w:val="clear" w:color="auto" w:fill="auto"/>
          </w:tcPr>
          <w:p w14:paraId="09DACB55">
            <w:pPr>
              <w:spacing w:line="360" w:lineRule="auto"/>
              <w:jc w:val="center"/>
              <w:rPr>
                <w:rFonts w:hint="default" w:asciiTheme="minorEastAsia" w:hAnsiTheme="minorEastAsia" w:eastAsiaTheme="minorEastAsia"/>
                <w:color w:val="auto"/>
                <w:szCs w:val="21"/>
                <w:highlight w:val="none"/>
                <w:lang w:val="en-US" w:eastAsia="zh-CN"/>
              </w:rPr>
            </w:pPr>
            <w:r>
              <w:rPr>
                <w:rFonts w:hint="eastAsia" w:asciiTheme="minorEastAsia" w:hAnsiTheme="minorEastAsia" w:eastAsiaTheme="minorEastAsia"/>
                <w:color w:val="auto"/>
                <w:szCs w:val="21"/>
                <w:highlight w:val="none"/>
                <w:lang w:val="en-US" w:eastAsia="zh-CN"/>
              </w:rPr>
              <w:t>37600</w:t>
            </w:r>
          </w:p>
        </w:tc>
        <w:tc>
          <w:tcPr>
            <w:tcW w:w="2841" w:type="dxa"/>
            <w:shd w:val="clear" w:color="auto" w:fill="auto"/>
            <w:vAlign w:val="center"/>
          </w:tcPr>
          <w:p w14:paraId="3684A99E">
            <w:pPr>
              <w:spacing w:line="360" w:lineRule="auto"/>
              <w:jc w:val="center"/>
              <w:rPr>
                <w:rFonts w:hint="eastAsia" w:asciiTheme="minorEastAsia" w:hAnsiTheme="minorEastAsia" w:eastAsiaTheme="minorEastAsia"/>
                <w:color w:val="auto"/>
                <w:szCs w:val="21"/>
                <w:highlight w:val="none"/>
              </w:rPr>
            </w:pPr>
            <w:r>
              <w:rPr>
                <w:rFonts w:hint="eastAsia" w:ascii="宋体" w:hAnsi="宋体"/>
                <w:color w:val="auto"/>
                <w:szCs w:val="21"/>
                <w:highlight w:val="none"/>
              </w:rPr>
              <w:t>3个月</w:t>
            </w:r>
          </w:p>
        </w:tc>
      </w:tr>
    </w:tbl>
    <w:p w14:paraId="0957C79D">
      <w:pPr>
        <w:pStyle w:val="3"/>
        <w:numPr>
          <w:ilvl w:val="0"/>
          <w:numId w:val="4"/>
        </w:numPr>
        <w:spacing w:before="0" w:after="0" w:line="360" w:lineRule="auto"/>
        <w:ind w:firstLine="422" w:firstLineChars="200"/>
        <w:rPr>
          <w:rFonts w:hint="eastAsia" w:asciiTheme="minorEastAsia" w:hAnsiTheme="minorEastAsia" w:eastAsiaTheme="minorEastAsia"/>
          <w:color w:val="auto"/>
          <w:szCs w:val="21"/>
          <w:highlight w:val="none"/>
        </w:rPr>
      </w:pPr>
      <w:bookmarkStart w:id="11" w:name="_Toc98019228"/>
      <w:r>
        <w:rPr>
          <w:rFonts w:hint="eastAsia" w:asciiTheme="minorEastAsia" w:hAnsiTheme="minorEastAsia" w:eastAsiaTheme="minorEastAsia"/>
          <w:color w:val="auto"/>
          <w:szCs w:val="21"/>
          <w:highlight w:val="none"/>
        </w:rPr>
        <w:t>合格投标人的资格要求</w:t>
      </w:r>
      <w:bookmarkEnd w:id="11"/>
      <w:r>
        <w:rPr>
          <w:rFonts w:hint="eastAsia" w:asciiTheme="minorEastAsia" w:hAnsiTheme="minorEastAsia" w:eastAsiaTheme="minorEastAsia"/>
          <w:color w:val="auto"/>
          <w:szCs w:val="21"/>
          <w:highlight w:val="none"/>
          <w:lang w:eastAsia="zh-CN"/>
        </w:rPr>
        <w:t>：</w:t>
      </w:r>
    </w:p>
    <w:p w14:paraId="531FF01D">
      <w:pPr>
        <w:numPr>
          <w:ilvl w:val="0"/>
          <w:numId w:val="5"/>
        </w:numPr>
        <w:spacing w:line="360" w:lineRule="auto"/>
        <w:ind w:left="0" w:firstLine="420" w:firstLineChars="200"/>
        <w:rPr>
          <w:rFonts w:hint="eastAsia"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在嘉兴市本级设有经办机构；</w:t>
      </w:r>
    </w:p>
    <w:p w14:paraId="22EB5556">
      <w:pPr>
        <w:numPr>
          <w:ilvl w:val="0"/>
          <w:numId w:val="5"/>
        </w:numPr>
        <w:spacing w:line="360" w:lineRule="auto"/>
        <w:ind w:left="0" w:firstLine="420" w:firstLineChars="200"/>
        <w:rPr>
          <w:rFonts w:hint="eastAsia"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依法开展经营活动，内部管理机制健全，具有较强的风险控制能力，近3年内在经营活动中无重大违法违规记录、未发生金融风险及重大违约事件；</w:t>
      </w:r>
    </w:p>
    <w:p w14:paraId="71E33C71">
      <w:pPr>
        <w:numPr>
          <w:ilvl w:val="0"/>
          <w:numId w:val="5"/>
        </w:numPr>
        <w:spacing w:line="360" w:lineRule="auto"/>
        <w:ind w:left="0" w:firstLine="420" w:firstLineChars="200"/>
        <w:rPr>
          <w:rFonts w:hint="eastAsia"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纳入监管评级的银行，人行嘉兴市中心支行上年度综合评价达到Ｂ级及以上。不纳入人民银行评级范围的银行不受此条款限制。</w:t>
      </w:r>
    </w:p>
    <w:p w14:paraId="25D85C06">
      <w:pPr>
        <w:pStyle w:val="3"/>
        <w:numPr>
          <w:ilvl w:val="0"/>
          <w:numId w:val="4"/>
        </w:numPr>
        <w:spacing w:before="0" w:after="0" w:line="360" w:lineRule="auto"/>
        <w:ind w:firstLine="422" w:firstLineChars="200"/>
        <w:rPr>
          <w:rFonts w:hint="eastAsia" w:asciiTheme="minorEastAsia" w:hAnsiTheme="minorEastAsia" w:eastAsiaTheme="minorEastAsia"/>
          <w:color w:val="auto"/>
          <w:szCs w:val="21"/>
          <w:highlight w:val="none"/>
        </w:rPr>
      </w:pPr>
      <w:bookmarkStart w:id="12" w:name="_Toc98019229"/>
      <w:r>
        <w:rPr>
          <w:rFonts w:hint="eastAsia" w:asciiTheme="minorEastAsia" w:hAnsiTheme="minorEastAsia" w:eastAsiaTheme="minorEastAsia"/>
          <w:color w:val="auto"/>
          <w:szCs w:val="21"/>
          <w:highlight w:val="none"/>
        </w:rPr>
        <w:t>招标文件的获取：</w:t>
      </w:r>
      <w:bookmarkEnd w:id="12"/>
    </w:p>
    <w:p w14:paraId="27958D73">
      <w:pPr>
        <w:pStyle w:val="62"/>
        <w:numPr>
          <w:ilvl w:val="0"/>
          <w:numId w:val="6"/>
        </w:numPr>
        <w:snapToGrid w:val="0"/>
        <w:spacing w:line="360" w:lineRule="auto"/>
        <w:ind w:left="0" w:firstLine="472" w:firstLineChars="225"/>
        <w:rPr>
          <w:rFonts w:hint="eastAsia" w:cs="Arial" w:asciiTheme="minorEastAsia" w:hAnsiTheme="minorEastAsia" w:eastAsiaTheme="minorEastAsia"/>
          <w:color w:val="auto"/>
          <w:szCs w:val="21"/>
          <w:highlight w:val="none"/>
        </w:rPr>
      </w:pPr>
      <w:r>
        <w:rPr>
          <w:rFonts w:hint="eastAsia" w:cs="Arial" w:asciiTheme="minorEastAsia" w:hAnsiTheme="minorEastAsia" w:eastAsiaTheme="minorEastAsia"/>
          <w:bCs/>
          <w:color w:val="auto"/>
          <w:szCs w:val="21"/>
          <w:highlight w:val="none"/>
        </w:rPr>
        <w:t>获取</w:t>
      </w:r>
      <w:r>
        <w:rPr>
          <w:rFonts w:hint="eastAsia" w:cs="Arial" w:asciiTheme="minorEastAsia" w:hAnsiTheme="minorEastAsia" w:eastAsiaTheme="minorEastAsia"/>
          <w:color w:val="auto"/>
          <w:szCs w:val="21"/>
          <w:highlight w:val="none"/>
        </w:rPr>
        <w:t>方式（网站下载）</w:t>
      </w:r>
      <w:r>
        <w:rPr>
          <w:rFonts w:cs="Arial" w:asciiTheme="minorEastAsia" w:hAnsiTheme="minorEastAsia" w:eastAsiaTheme="minorEastAsia"/>
          <w:color w:val="auto"/>
          <w:szCs w:val="21"/>
          <w:highlight w:val="none"/>
        </w:rPr>
        <w:t>：</w:t>
      </w:r>
      <w:r>
        <w:rPr>
          <w:rFonts w:hint="eastAsia" w:cs="Arial" w:asciiTheme="minorEastAsia" w:hAnsiTheme="minorEastAsia" w:eastAsiaTheme="minorEastAsia"/>
          <w:color w:val="auto"/>
          <w:szCs w:val="21"/>
          <w:highlight w:val="none"/>
        </w:rPr>
        <w:t>浙江政府采购网（</w:t>
      </w:r>
      <w:r>
        <w:rPr>
          <w:color w:val="auto"/>
          <w:highlight w:val="none"/>
        </w:rPr>
        <w:fldChar w:fldCharType="begin"/>
      </w:r>
      <w:r>
        <w:rPr>
          <w:color w:val="auto"/>
          <w:highlight w:val="none"/>
        </w:rPr>
        <w:instrText xml:space="preserve"> HYPERLINK "https://zfcg.czt.zj.gov.cn/" </w:instrText>
      </w:r>
      <w:r>
        <w:rPr>
          <w:color w:val="auto"/>
          <w:highlight w:val="none"/>
        </w:rPr>
        <w:fldChar w:fldCharType="separate"/>
      </w:r>
      <w:r>
        <w:rPr>
          <w:rStyle w:val="45"/>
          <w:rFonts w:cs="Arial" w:asciiTheme="minorEastAsia" w:hAnsiTheme="minorEastAsia" w:eastAsiaTheme="minorEastAsia"/>
          <w:color w:val="auto"/>
          <w:szCs w:val="21"/>
          <w:highlight w:val="none"/>
        </w:rPr>
        <w:t>https://zfcg.czt.zj.gov.cn/</w:t>
      </w:r>
      <w:r>
        <w:rPr>
          <w:rStyle w:val="45"/>
          <w:rFonts w:cs="Arial" w:asciiTheme="minorEastAsia" w:hAnsiTheme="minorEastAsia" w:eastAsiaTheme="minorEastAsia"/>
          <w:color w:val="auto"/>
          <w:szCs w:val="21"/>
          <w:highlight w:val="none"/>
        </w:rPr>
        <w:fldChar w:fldCharType="end"/>
      </w:r>
      <w:r>
        <w:rPr>
          <w:rFonts w:hint="eastAsia" w:cs="Arial" w:asciiTheme="minorEastAsia" w:hAnsiTheme="minorEastAsia" w:eastAsiaTheme="minorEastAsia"/>
          <w:color w:val="auto"/>
          <w:szCs w:val="21"/>
          <w:highlight w:val="none"/>
        </w:rPr>
        <w:t>）、国家级嘉兴经济技术开发区 嘉兴国际商务区网</w:t>
      </w:r>
      <w:r>
        <w:rPr>
          <w:rStyle w:val="45"/>
          <w:rFonts w:hint="eastAsia" w:asciiTheme="minorEastAsia" w:hAnsiTheme="minorEastAsia" w:eastAsiaTheme="minorEastAsia"/>
          <w:color w:val="auto"/>
          <w:szCs w:val="21"/>
          <w:highlight w:val="none"/>
        </w:rPr>
        <w:t>（</w:t>
      </w:r>
      <w:r>
        <w:rPr>
          <w:color w:val="auto"/>
          <w:highlight w:val="none"/>
        </w:rPr>
        <w:fldChar w:fldCharType="begin"/>
      </w:r>
      <w:r>
        <w:rPr>
          <w:color w:val="auto"/>
          <w:highlight w:val="none"/>
        </w:rPr>
        <w:instrText xml:space="preserve"> HYPERLINK "http://jxedz.jiaxing.gov.cn/" </w:instrText>
      </w:r>
      <w:r>
        <w:rPr>
          <w:color w:val="auto"/>
          <w:highlight w:val="none"/>
        </w:rPr>
        <w:fldChar w:fldCharType="separate"/>
      </w:r>
      <w:r>
        <w:rPr>
          <w:rStyle w:val="45"/>
          <w:rFonts w:cs="Arial" w:asciiTheme="minorEastAsia" w:hAnsiTheme="minorEastAsia" w:eastAsiaTheme="minorEastAsia"/>
          <w:color w:val="auto"/>
          <w:szCs w:val="21"/>
          <w:highlight w:val="none"/>
        </w:rPr>
        <w:t>http://jxedz.jiaxing.gov.cn/</w:t>
      </w:r>
      <w:r>
        <w:rPr>
          <w:rStyle w:val="45"/>
          <w:rFonts w:cs="Arial" w:asciiTheme="minorEastAsia" w:hAnsiTheme="minorEastAsia" w:eastAsiaTheme="minorEastAsia"/>
          <w:color w:val="auto"/>
          <w:szCs w:val="21"/>
          <w:highlight w:val="none"/>
        </w:rPr>
        <w:fldChar w:fldCharType="end"/>
      </w:r>
      <w:r>
        <w:rPr>
          <w:rStyle w:val="45"/>
          <w:rFonts w:hint="eastAsia" w:cs="Arial" w:asciiTheme="minorEastAsia" w:hAnsiTheme="minorEastAsia" w:eastAsiaTheme="minorEastAsia"/>
          <w:color w:val="auto"/>
          <w:szCs w:val="21"/>
          <w:highlight w:val="none"/>
        </w:rPr>
        <w:t>)</w:t>
      </w:r>
      <w:r>
        <w:rPr>
          <w:rFonts w:hint="eastAsia" w:cs="Arial" w:asciiTheme="minorEastAsia" w:hAnsiTheme="minorEastAsia" w:eastAsiaTheme="minorEastAsia"/>
          <w:color w:val="auto"/>
          <w:szCs w:val="21"/>
          <w:highlight w:val="none"/>
        </w:rPr>
        <w:t>。</w:t>
      </w:r>
    </w:p>
    <w:p w14:paraId="1B3583CA">
      <w:pPr>
        <w:pStyle w:val="62"/>
        <w:numPr>
          <w:ilvl w:val="0"/>
          <w:numId w:val="6"/>
        </w:numPr>
        <w:snapToGrid w:val="0"/>
        <w:spacing w:line="360" w:lineRule="auto"/>
        <w:ind w:left="0" w:firstLine="472" w:firstLineChars="225"/>
        <w:rPr>
          <w:rFonts w:hint="eastAsia" w:cs="Arial" w:asciiTheme="minorEastAsia" w:hAnsiTheme="minorEastAsia" w:eastAsiaTheme="minorEastAsia"/>
          <w:color w:val="auto"/>
          <w:szCs w:val="21"/>
          <w:highlight w:val="none"/>
        </w:rPr>
      </w:pPr>
      <w:r>
        <w:rPr>
          <w:rFonts w:cs="Arial" w:asciiTheme="minorEastAsia" w:hAnsiTheme="minorEastAsia" w:eastAsiaTheme="minorEastAsia"/>
          <w:color w:val="auto"/>
          <w:szCs w:val="21"/>
          <w:highlight w:val="none"/>
        </w:rPr>
        <w:t>招标文件</w:t>
      </w:r>
      <w:r>
        <w:rPr>
          <w:rFonts w:hint="eastAsia" w:cs="Arial" w:asciiTheme="minorEastAsia" w:hAnsiTheme="minorEastAsia" w:eastAsiaTheme="minorEastAsia"/>
          <w:color w:val="auto"/>
          <w:szCs w:val="21"/>
          <w:highlight w:val="none"/>
        </w:rPr>
        <w:t>免费下载</w:t>
      </w:r>
      <w:r>
        <w:rPr>
          <w:rFonts w:cs="Arial" w:asciiTheme="minorEastAsia" w:hAnsiTheme="minorEastAsia" w:eastAsiaTheme="minorEastAsia"/>
          <w:color w:val="auto"/>
          <w:szCs w:val="21"/>
          <w:highlight w:val="none"/>
        </w:rPr>
        <w:t>。</w:t>
      </w:r>
    </w:p>
    <w:p w14:paraId="12DB9812">
      <w:pPr>
        <w:pStyle w:val="3"/>
        <w:numPr>
          <w:ilvl w:val="0"/>
          <w:numId w:val="4"/>
        </w:numPr>
        <w:spacing w:before="0" w:after="0" w:line="360" w:lineRule="auto"/>
        <w:ind w:firstLine="422" w:firstLineChars="200"/>
        <w:rPr>
          <w:rFonts w:hint="eastAsia" w:asciiTheme="minorEastAsia" w:hAnsiTheme="minorEastAsia" w:eastAsiaTheme="minorEastAsia"/>
          <w:color w:val="auto"/>
          <w:highlight w:val="none"/>
        </w:rPr>
      </w:pPr>
      <w:bookmarkStart w:id="13" w:name="_Toc98019230"/>
      <w:r>
        <w:rPr>
          <w:rFonts w:hint="eastAsia" w:asciiTheme="minorEastAsia" w:hAnsiTheme="minorEastAsia" w:eastAsiaTheme="minorEastAsia"/>
          <w:color w:val="auto"/>
          <w:szCs w:val="21"/>
          <w:highlight w:val="none"/>
        </w:rPr>
        <w:t>报名：</w:t>
      </w:r>
      <w:bookmarkEnd w:id="13"/>
    </w:p>
    <w:p w14:paraId="2FC7DAC2">
      <w:pPr>
        <w:snapToGrid w:val="0"/>
        <w:spacing w:line="360" w:lineRule="auto"/>
        <w:ind w:firstLine="422" w:firstLineChars="200"/>
        <w:rPr>
          <w:rFonts w:hint="eastAsia" w:cs="Arial" w:asciiTheme="minorEastAsia" w:hAnsiTheme="minorEastAsia" w:eastAsiaTheme="minorEastAsia"/>
          <w:color w:val="auto"/>
          <w:szCs w:val="21"/>
          <w:highlight w:val="none"/>
        </w:rPr>
      </w:pPr>
      <w:r>
        <w:rPr>
          <w:rFonts w:hint="eastAsia" w:cs="Arial" w:asciiTheme="minorEastAsia" w:hAnsiTheme="minorEastAsia" w:eastAsiaTheme="minorEastAsia"/>
          <w:b/>
          <w:bCs/>
          <w:color w:val="auto"/>
          <w:szCs w:val="21"/>
          <w:highlight w:val="none"/>
        </w:rPr>
        <w:t>报名时间：</w:t>
      </w:r>
      <w:r>
        <w:rPr>
          <w:rFonts w:hint="eastAsia" w:cs="Arial" w:asciiTheme="minorEastAsia" w:hAnsiTheme="minorEastAsia" w:eastAsiaTheme="minorEastAsia"/>
          <w:bCs/>
          <w:color w:val="auto"/>
          <w:szCs w:val="21"/>
          <w:highlight w:val="none"/>
          <w:u w:val="single"/>
        </w:rPr>
        <w:t>202</w:t>
      </w:r>
      <w:r>
        <w:rPr>
          <w:rFonts w:hint="eastAsia" w:cs="Arial" w:asciiTheme="minorEastAsia" w:hAnsiTheme="minorEastAsia" w:eastAsiaTheme="minorEastAsia"/>
          <w:bCs/>
          <w:color w:val="auto"/>
          <w:szCs w:val="21"/>
          <w:highlight w:val="none"/>
          <w:u w:val="single"/>
          <w:lang w:val="en-US" w:eastAsia="zh-CN"/>
        </w:rPr>
        <w:t>5</w:t>
      </w:r>
      <w:r>
        <w:rPr>
          <w:rFonts w:hint="eastAsia" w:cs="Arial" w:asciiTheme="minorEastAsia" w:hAnsiTheme="minorEastAsia" w:eastAsiaTheme="minorEastAsia"/>
          <w:color w:val="auto"/>
          <w:szCs w:val="21"/>
          <w:highlight w:val="none"/>
          <w:u w:val="single"/>
        </w:rPr>
        <w:t>年</w:t>
      </w:r>
      <w:r>
        <w:rPr>
          <w:rFonts w:hint="eastAsia" w:cs="Arial" w:asciiTheme="minorEastAsia" w:hAnsiTheme="minorEastAsia" w:eastAsiaTheme="minorEastAsia"/>
          <w:color w:val="auto"/>
          <w:szCs w:val="21"/>
          <w:highlight w:val="none"/>
          <w:u w:val="single"/>
          <w:lang w:val="en-US" w:eastAsia="zh-CN"/>
        </w:rPr>
        <w:t>04</w:t>
      </w:r>
      <w:r>
        <w:rPr>
          <w:rFonts w:hint="eastAsia" w:cs="Arial" w:asciiTheme="minorEastAsia" w:hAnsiTheme="minorEastAsia" w:eastAsiaTheme="minorEastAsia"/>
          <w:color w:val="auto"/>
          <w:szCs w:val="21"/>
          <w:highlight w:val="none"/>
          <w:u w:val="single"/>
        </w:rPr>
        <w:t>月</w:t>
      </w:r>
      <w:r>
        <w:rPr>
          <w:rFonts w:hint="eastAsia" w:cs="Arial" w:asciiTheme="minorEastAsia" w:hAnsiTheme="minorEastAsia" w:eastAsiaTheme="minorEastAsia"/>
          <w:color w:val="auto"/>
          <w:szCs w:val="21"/>
          <w:highlight w:val="none"/>
          <w:u w:val="single"/>
          <w:lang w:val="en-US" w:eastAsia="zh-CN"/>
        </w:rPr>
        <w:t>01</w:t>
      </w:r>
      <w:r>
        <w:rPr>
          <w:rFonts w:hint="eastAsia" w:cs="Arial" w:asciiTheme="minorEastAsia" w:hAnsiTheme="minorEastAsia" w:eastAsiaTheme="minorEastAsia"/>
          <w:color w:val="auto"/>
          <w:szCs w:val="21"/>
          <w:highlight w:val="none"/>
          <w:u w:val="single"/>
        </w:rPr>
        <w:t>日</w:t>
      </w:r>
      <w:r>
        <w:rPr>
          <w:rFonts w:hint="eastAsia" w:cs="Arial" w:asciiTheme="minorEastAsia" w:hAnsiTheme="minorEastAsia" w:eastAsiaTheme="minorEastAsia"/>
          <w:color w:val="auto"/>
          <w:szCs w:val="21"/>
          <w:highlight w:val="none"/>
        </w:rPr>
        <w:t>至</w:t>
      </w:r>
      <w:r>
        <w:rPr>
          <w:rFonts w:hint="eastAsia" w:cs="Arial" w:asciiTheme="minorEastAsia" w:hAnsiTheme="minorEastAsia" w:eastAsiaTheme="minorEastAsia"/>
          <w:color w:val="auto"/>
          <w:szCs w:val="21"/>
          <w:highlight w:val="none"/>
          <w:u w:val="single"/>
        </w:rPr>
        <w:t>2025年0</w:t>
      </w:r>
      <w:r>
        <w:rPr>
          <w:rFonts w:hint="eastAsia" w:cs="Arial" w:asciiTheme="minorEastAsia" w:hAnsiTheme="minorEastAsia" w:eastAsiaTheme="minorEastAsia"/>
          <w:color w:val="auto"/>
          <w:szCs w:val="21"/>
          <w:highlight w:val="none"/>
          <w:u w:val="single"/>
          <w:lang w:val="en-US" w:eastAsia="zh-CN"/>
        </w:rPr>
        <w:t>4</w:t>
      </w:r>
      <w:r>
        <w:rPr>
          <w:rFonts w:hint="eastAsia" w:cs="Arial" w:asciiTheme="minorEastAsia" w:hAnsiTheme="minorEastAsia" w:eastAsiaTheme="minorEastAsia"/>
          <w:color w:val="auto"/>
          <w:szCs w:val="21"/>
          <w:highlight w:val="none"/>
          <w:u w:val="single"/>
        </w:rPr>
        <w:t>月</w:t>
      </w:r>
      <w:r>
        <w:rPr>
          <w:rFonts w:hint="eastAsia" w:cs="Arial" w:asciiTheme="minorEastAsia" w:hAnsiTheme="minorEastAsia" w:eastAsiaTheme="minorEastAsia"/>
          <w:color w:val="auto"/>
          <w:szCs w:val="21"/>
          <w:highlight w:val="none"/>
          <w:u w:val="single"/>
          <w:lang w:val="en-US" w:eastAsia="zh-CN"/>
        </w:rPr>
        <w:t>21</w:t>
      </w:r>
      <w:r>
        <w:rPr>
          <w:rFonts w:hint="eastAsia" w:cs="Arial" w:asciiTheme="minorEastAsia" w:hAnsiTheme="minorEastAsia" w:eastAsiaTheme="minorEastAsia"/>
          <w:color w:val="auto"/>
          <w:szCs w:val="21"/>
          <w:highlight w:val="none"/>
          <w:u w:val="single"/>
        </w:rPr>
        <w:t>日09：30</w:t>
      </w:r>
      <w:r>
        <w:rPr>
          <w:rFonts w:hint="eastAsia" w:cs="Arial" w:asciiTheme="minorEastAsia" w:hAnsiTheme="minorEastAsia" w:eastAsiaTheme="minorEastAsia"/>
          <w:color w:val="auto"/>
          <w:szCs w:val="21"/>
          <w:highlight w:val="none"/>
        </w:rPr>
        <w:t>。</w:t>
      </w:r>
    </w:p>
    <w:p w14:paraId="2E455E8F">
      <w:pPr>
        <w:snapToGrid w:val="0"/>
        <w:spacing w:line="360" w:lineRule="auto"/>
        <w:ind w:firstLine="422" w:firstLineChars="200"/>
        <w:rPr>
          <w:rFonts w:hint="eastAsia" w:cs="Arial" w:asciiTheme="minorEastAsia" w:hAnsiTheme="minorEastAsia" w:eastAsiaTheme="minorEastAsia"/>
          <w:color w:val="auto"/>
          <w:szCs w:val="21"/>
          <w:highlight w:val="none"/>
        </w:rPr>
      </w:pPr>
      <w:r>
        <w:rPr>
          <w:rFonts w:hint="eastAsia" w:asciiTheme="minorEastAsia" w:hAnsiTheme="minorEastAsia" w:eastAsiaTheme="minorEastAsia"/>
          <w:b/>
          <w:color w:val="auto"/>
          <w:szCs w:val="21"/>
          <w:highlight w:val="none"/>
        </w:rPr>
        <w:t>报名方式：</w:t>
      </w:r>
      <w:r>
        <w:rPr>
          <w:rFonts w:hint="eastAsia" w:asciiTheme="minorEastAsia" w:hAnsiTheme="minorEastAsia" w:eastAsiaTheme="minorEastAsia"/>
          <w:color w:val="auto"/>
          <w:szCs w:val="21"/>
          <w:highlight w:val="none"/>
        </w:rPr>
        <w:t>本项目实行</w:t>
      </w:r>
      <w:r>
        <w:rPr>
          <w:rFonts w:hint="eastAsia" w:asciiTheme="minorEastAsia" w:hAnsiTheme="minorEastAsia" w:eastAsiaTheme="minorEastAsia"/>
          <w:color w:val="auto"/>
          <w:szCs w:val="21"/>
          <w:highlight w:val="none"/>
          <w:u w:val="single"/>
        </w:rPr>
        <w:t>网上</w:t>
      </w:r>
      <w:r>
        <w:rPr>
          <w:rFonts w:hint="eastAsia" w:asciiTheme="minorEastAsia" w:hAnsiTheme="minorEastAsia" w:eastAsiaTheme="minorEastAsia"/>
          <w:color w:val="auto"/>
          <w:szCs w:val="21"/>
          <w:highlight w:val="none"/>
        </w:rPr>
        <w:t>报名。报名银行登录政府采购云平台（</w:t>
      </w:r>
      <w:r>
        <w:rPr>
          <w:color w:val="auto"/>
          <w:highlight w:val="none"/>
        </w:rPr>
        <w:fldChar w:fldCharType="begin"/>
      </w:r>
      <w:r>
        <w:rPr>
          <w:color w:val="auto"/>
          <w:highlight w:val="none"/>
        </w:rPr>
        <w:instrText xml:space="preserve"> HYPERLINK "https://login.zcygov.cn/user-login/" \l "/login" </w:instrText>
      </w:r>
      <w:r>
        <w:rPr>
          <w:color w:val="auto"/>
          <w:highlight w:val="none"/>
        </w:rPr>
        <w:fldChar w:fldCharType="separate"/>
      </w:r>
      <w:r>
        <w:rPr>
          <w:rStyle w:val="45"/>
          <w:rFonts w:asciiTheme="minorEastAsia" w:hAnsiTheme="minorEastAsia" w:eastAsiaTheme="minorEastAsia"/>
          <w:color w:val="auto"/>
          <w:szCs w:val="21"/>
          <w:highlight w:val="none"/>
        </w:rPr>
        <w:t>https://login.zcygov.cn/user-login/#/login</w:t>
      </w:r>
      <w:r>
        <w:rPr>
          <w:rStyle w:val="45"/>
          <w:rFonts w:asciiTheme="minorEastAsia" w:hAnsiTheme="minorEastAsia" w:eastAsiaTheme="minorEastAsia"/>
          <w:color w:val="auto"/>
          <w:szCs w:val="21"/>
          <w:highlight w:val="none"/>
        </w:rPr>
        <w:fldChar w:fldCharType="end"/>
      </w:r>
      <w:r>
        <w:rPr>
          <w:rFonts w:hint="eastAsia" w:asciiTheme="minorEastAsia" w:hAnsiTheme="minorEastAsia" w:eastAsiaTheme="minorEastAsia"/>
          <w:color w:val="auto"/>
          <w:szCs w:val="21"/>
          <w:highlight w:val="none"/>
        </w:rPr>
        <w:t>）,进入公款竞争性存放招标系统（以下简称“招标系统”），在财政资金竞争性存放-竞标项目内按规定进行报名。第一步：选择本期招标项目，第二步：填写报名信息。报名成功后联系人会收到短信通知，逾期报名视为未报名。</w:t>
      </w:r>
    </w:p>
    <w:p w14:paraId="17118025">
      <w:pPr>
        <w:snapToGrid w:val="0"/>
        <w:spacing w:line="360" w:lineRule="auto"/>
        <w:ind w:firstLine="422" w:firstLineChars="200"/>
        <w:rPr>
          <w:rFonts w:hint="eastAsia" w:cs="Arial" w:asciiTheme="minorEastAsia" w:hAnsiTheme="minorEastAsia" w:eastAsiaTheme="minorEastAsia"/>
          <w:b/>
          <w:bCs/>
          <w:color w:val="auto"/>
          <w:szCs w:val="21"/>
          <w:highlight w:val="none"/>
        </w:rPr>
      </w:pPr>
      <w:r>
        <w:rPr>
          <w:rFonts w:hint="eastAsia" w:cs="Arial" w:asciiTheme="minorEastAsia" w:hAnsiTheme="minorEastAsia" w:eastAsiaTheme="minorEastAsia"/>
          <w:b/>
          <w:bCs/>
          <w:color w:val="auto"/>
          <w:szCs w:val="21"/>
          <w:highlight w:val="none"/>
        </w:rPr>
        <w:t>报名应提供以下资料：</w:t>
      </w:r>
    </w:p>
    <w:p w14:paraId="16579E5A">
      <w:pPr>
        <w:snapToGrid w:val="0"/>
        <w:spacing w:line="360" w:lineRule="auto"/>
        <w:ind w:firstLine="472" w:firstLineChars="225"/>
        <w:rPr>
          <w:rFonts w:hint="eastAsia" w:cs="Arial" w:asciiTheme="minorEastAsia" w:hAnsiTheme="minorEastAsia" w:eastAsiaTheme="minorEastAsia"/>
          <w:color w:val="auto"/>
          <w:szCs w:val="21"/>
          <w:highlight w:val="none"/>
        </w:rPr>
      </w:pPr>
      <w:r>
        <w:rPr>
          <w:rFonts w:cs="Arial" w:asciiTheme="minorEastAsia" w:hAnsiTheme="minorEastAsia" w:eastAsiaTheme="minorEastAsia"/>
          <w:color w:val="auto"/>
          <w:szCs w:val="21"/>
          <w:highlight w:val="none"/>
        </w:rPr>
        <w:t>1</w:t>
      </w:r>
      <w:r>
        <w:rPr>
          <w:rFonts w:hint="eastAsia" w:cs="Arial" w:asciiTheme="minorEastAsia" w:hAnsiTheme="minorEastAsia" w:eastAsiaTheme="minorEastAsia"/>
          <w:color w:val="auto"/>
          <w:szCs w:val="21"/>
          <w:highlight w:val="none"/>
        </w:rPr>
        <w:t>.</w:t>
      </w:r>
      <w:r>
        <w:rPr>
          <w:rFonts w:cs="Arial" w:asciiTheme="minorEastAsia" w:hAnsiTheme="minorEastAsia" w:eastAsiaTheme="minorEastAsia"/>
          <w:color w:val="auto"/>
          <w:szCs w:val="21"/>
          <w:highlight w:val="none"/>
        </w:rPr>
        <w:t>经有关部门年检通过的企业法人营业执照</w:t>
      </w:r>
      <w:r>
        <w:rPr>
          <w:rFonts w:hint="eastAsia" w:cs="Arial" w:asciiTheme="minorEastAsia" w:hAnsiTheme="minorEastAsia" w:eastAsiaTheme="minorEastAsia"/>
          <w:color w:val="auto"/>
          <w:szCs w:val="21"/>
          <w:highlight w:val="none"/>
        </w:rPr>
        <w:t>副本</w:t>
      </w:r>
      <w:r>
        <w:rPr>
          <w:rFonts w:cs="Arial" w:asciiTheme="minorEastAsia" w:hAnsiTheme="minorEastAsia" w:eastAsiaTheme="minorEastAsia"/>
          <w:color w:val="auto"/>
          <w:szCs w:val="21"/>
          <w:highlight w:val="none"/>
        </w:rPr>
        <w:t>复印件</w:t>
      </w:r>
      <w:r>
        <w:rPr>
          <w:rFonts w:hint="eastAsia" w:cs="Arial" w:asciiTheme="minorEastAsia" w:hAnsiTheme="minorEastAsia" w:eastAsiaTheme="minorEastAsia"/>
          <w:color w:val="auto"/>
          <w:szCs w:val="21"/>
          <w:highlight w:val="none"/>
        </w:rPr>
        <w:t>（加盖单位公章）</w:t>
      </w:r>
      <w:r>
        <w:rPr>
          <w:rFonts w:cs="Arial" w:asciiTheme="minorEastAsia" w:hAnsiTheme="minorEastAsia" w:eastAsiaTheme="minorEastAsia"/>
          <w:color w:val="auto"/>
          <w:szCs w:val="21"/>
          <w:highlight w:val="none"/>
        </w:rPr>
        <w:t>；</w:t>
      </w:r>
    </w:p>
    <w:p w14:paraId="3A7AE7A3">
      <w:pPr>
        <w:snapToGrid w:val="0"/>
        <w:spacing w:line="360" w:lineRule="auto"/>
        <w:ind w:firstLine="472" w:firstLineChars="225"/>
        <w:rPr>
          <w:rFonts w:hint="eastAsia" w:cs="Arial" w:asciiTheme="minorEastAsia" w:hAnsiTheme="minorEastAsia" w:eastAsiaTheme="minorEastAsia"/>
          <w:color w:val="auto"/>
          <w:szCs w:val="21"/>
          <w:highlight w:val="none"/>
        </w:rPr>
      </w:pPr>
      <w:r>
        <w:rPr>
          <w:rFonts w:cs="Arial" w:asciiTheme="minorEastAsia" w:hAnsiTheme="minorEastAsia" w:eastAsiaTheme="minorEastAsia"/>
          <w:color w:val="auto"/>
          <w:szCs w:val="21"/>
          <w:highlight w:val="none"/>
        </w:rPr>
        <w:t>2</w:t>
      </w:r>
      <w:r>
        <w:rPr>
          <w:rFonts w:hint="eastAsia" w:cs="Arial" w:asciiTheme="minorEastAsia" w:hAnsiTheme="minorEastAsia" w:eastAsiaTheme="minorEastAsia"/>
          <w:color w:val="auto"/>
          <w:szCs w:val="21"/>
          <w:highlight w:val="none"/>
        </w:rPr>
        <w:t>.</w:t>
      </w:r>
      <w:r>
        <w:rPr>
          <w:rFonts w:cs="Arial" w:asciiTheme="minorEastAsia" w:hAnsiTheme="minorEastAsia" w:eastAsiaTheme="minorEastAsia"/>
          <w:color w:val="auto"/>
          <w:szCs w:val="21"/>
          <w:highlight w:val="none"/>
        </w:rPr>
        <w:t>报名人</w:t>
      </w:r>
      <w:r>
        <w:rPr>
          <w:rFonts w:hint="eastAsia" w:cs="Arial" w:asciiTheme="minorEastAsia" w:hAnsiTheme="minorEastAsia" w:eastAsiaTheme="minorEastAsia"/>
          <w:color w:val="auto"/>
          <w:szCs w:val="21"/>
          <w:highlight w:val="none"/>
        </w:rPr>
        <w:t>有效</w:t>
      </w:r>
      <w:r>
        <w:rPr>
          <w:rFonts w:cs="Arial" w:asciiTheme="minorEastAsia" w:hAnsiTheme="minorEastAsia" w:eastAsiaTheme="minorEastAsia"/>
          <w:color w:val="auto"/>
          <w:szCs w:val="21"/>
          <w:highlight w:val="none"/>
        </w:rPr>
        <w:t>身份证</w:t>
      </w:r>
      <w:r>
        <w:rPr>
          <w:rFonts w:hint="eastAsia" w:cs="Arial" w:asciiTheme="minorEastAsia" w:hAnsiTheme="minorEastAsia" w:eastAsiaTheme="minorEastAsia"/>
          <w:color w:val="auto"/>
          <w:szCs w:val="21"/>
          <w:highlight w:val="none"/>
        </w:rPr>
        <w:t>件</w:t>
      </w:r>
      <w:r>
        <w:rPr>
          <w:rFonts w:cs="Arial" w:asciiTheme="minorEastAsia" w:hAnsiTheme="minorEastAsia" w:eastAsiaTheme="minorEastAsia"/>
          <w:color w:val="auto"/>
          <w:szCs w:val="21"/>
          <w:highlight w:val="none"/>
        </w:rPr>
        <w:t>复印件</w:t>
      </w:r>
      <w:r>
        <w:rPr>
          <w:rFonts w:hint="eastAsia" w:cs="Arial" w:asciiTheme="minorEastAsia" w:hAnsiTheme="minorEastAsia" w:eastAsiaTheme="minorEastAsia"/>
          <w:color w:val="auto"/>
          <w:szCs w:val="21"/>
          <w:highlight w:val="none"/>
        </w:rPr>
        <w:t>（加盖单位公章）；</w:t>
      </w:r>
    </w:p>
    <w:p w14:paraId="094B6003">
      <w:pPr>
        <w:snapToGrid w:val="0"/>
        <w:spacing w:line="360" w:lineRule="auto"/>
        <w:ind w:firstLine="472" w:firstLineChars="225"/>
        <w:rPr>
          <w:rFonts w:hint="eastAsia"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3.投标银行报名表（加盖单位公章）。</w:t>
      </w:r>
    </w:p>
    <w:p w14:paraId="0348BB40">
      <w:pPr>
        <w:pStyle w:val="3"/>
        <w:numPr>
          <w:ilvl w:val="0"/>
          <w:numId w:val="4"/>
        </w:numPr>
        <w:spacing w:before="0" w:after="0" w:line="360" w:lineRule="auto"/>
        <w:ind w:firstLine="422" w:firstLineChars="200"/>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投标方式、线下投标截止时间和网上投标</w:t>
      </w:r>
      <w:r>
        <w:rPr>
          <w:rFonts w:hint="eastAsia" w:asciiTheme="minorEastAsia" w:hAnsiTheme="minorEastAsia" w:eastAsiaTheme="minorEastAsia"/>
          <w:color w:val="auto"/>
          <w:highlight w:val="none"/>
        </w:rPr>
        <w:t>起止时间</w:t>
      </w:r>
      <w:r>
        <w:rPr>
          <w:rFonts w:hint="eastAsia" w:asciiTheme="minorEastAsia" w:hAnsiTheme="minorEastAsia" w:eastAsiaTheme="minorEastAsia"/>
          <w:color w:val="auto"/>
          <w:szCs w:val="21"/>
          <w:highlight w:val="none"/>
        </w:rPr>
        <w:t>：</w:t>
      </w:r>
    </w:p>
    <w:p w14:paraId="1F349305">
      <w:pPr>
        <w:spacing w:line="360" w:lineRule="auto"/>
        <w:ind w:firstLine="411" w:firstLineChars="196"/>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本项目实行线下纸质投标叠加网上电子投标。线下纸质投标文件接收截止时间：</w:t>
      </w:r>
      <w:r>
        <w:rPr>
          <w:rFonts w:hint="eastAsia" w:cs="Arial" w:asciiTheme="minorEastAsia" w:hAnsiTheme="minorEastAsia" w:eastAsiaTheme="minorEastAsia"/>
          <w:color w:val="auto"/>
          <w:szCs w:val="21"/>
          <w:highlight w:val="none"/>
        </w:rPr>
        <w:t>2025年0</w:t>
      </w:r>
      <w:r>
        <w:rPr>
          <w:rFonts w:hint="eastAsia" w:cs="Arial" w:asciiTheme="minorEastAsia" w:hAnsiTheme="minorEastAsia" w:eastAsiaTheme="minorEastAsia"/>
          <w:color w:val="auto"/>
          <w:szCs w:val="21"/>
          <w:highlight w:val="none"/>
          <w:lang w:val="en-US" w:eastAsia="zh-CN"/>
        </w:rPr>
        <w:t>4</w:t>
      </w:r>
      <w:r>
        <w:rPr>
          <w:rFonts w:hint="eastAsia" w:cs="Arial" w:asciiTheme="minorEastAsia" w:hAnsiTheme="minorEastAsia" w:eastAsiaTheme="minorEastAsia"/>
          <w:color w:val="auto"/>
          <w:szCs w:val="21"/>
          <w:highlight w:val="none"/>
        </w:rPr>
        <w:t>月</w:t>
      </w:r>
      <w:r>
        <w:rPr>
          <w:rFonts w:hint="eastAsia" w:cs="Arial" w:asciiTheme="minorEastAsia" w:hAnsiTheme="minorEastAsia" w:eastAsiaTheme="minorEastAsia"/>
          <w:color w:val="auto"/>
          <w:szCs w:val="21"/>
          <w:highlight w:val="none"/>
          <w:lang w:val="en-US" w:eastAsia="zh-CN"/>
        </w:rPr>
        <w:t>21</w:t>
      </w:r>
      <w:r>
        <w:rPr>
          <w:rFonts w:hint="eastAsia" w:cs="Arial" w:asciiTheme="minorEastAsia" w:hAnsiTheme="minorEastAsia" w:eastAsiaTheme="minorEastAsia"/>
          <w:color w:val="auto"/>
          <w:szCs w:val="21"/>
          <w:highlight w:val="none"/>
        </w:rPr>
        <w:t>日14：00</w:t>
      </w:r>
      <w:r>
        <w:rPr>
          <w:rFonts w:hint="eastAsia" w:asciiTheme="minorEastAsia" w:hAnsiTheme="minorEastAsia" w:eastAsiaTheme="minorEastAsia"/>
          <w:color w:val="auto"/>
          <w:szCs w:val="21"/>
          <w:highlight w:val="none"/>
        </w:rPr>
        <w:t>，未按时寄达或送达指定地点的，均视为自动放弃。网上电子投标投标人应于：</w:t>
      </w:r>
      <w:r>
        <w:rPr>
          <w:rFonts w:hint="eastAsia" w:cs="Arial" w:asciiTheme="minorEastAsia" w:hAnsiTheme="minorEastAsia" w:eastAsiaTheme="minorEastAsia"/>
          <w:color w:val="auto"/>
          <w:szCs w:val="21"/>
          <w:highlight w:val="none"/>
        </w:rPr>
        <w:t>2025年0</w:t>
      </w:r>
      <w:r>
        <w:rPr>
          <w:rFonts w:hint="eastAsia" w:cs="Arial" w:asciiTheme="minorEastAsia" w:hAnsiTheme="minorEastAsia" w:eastAsiaTheme="minorEastAsia"/>
          <w:color w:val="auto"/>
          <w:szCs w:val="21"/>
          <w:highlight w:val="none"/>
          <w:lang w:val="en-US" w:eastAsia="zh-CN"/>
        </w:rPr>
        <w:t>4</w:t>
      </w:r>
      <w:r>
        <w:rPr>
          <w:rFonts w:hint="eastAsia" w:cs="Arial" w:asciiTheme="minorEastAsia" w:hAnsiTheme="minorEastAsia" w:eastAsiaTheme="minorEastAsia"/>
          <w:color w:val="auto"/>
          <w:szCs w:val="21"/>
          <w:highlight w:val="none"/>
        </w:rPr>
        <w:t>月</w:t>
      </w:r>
      <w:r>
        <w:rPr>
          <w:rFonts w:hint="eastAsia" w:cs="Arial" w:asciiTheme="minorEastAsia" w:hAnsiTheme="minorEastAsia" w:eastAsiaTheme="minorEastAsia"/>
          <w:color w:val="auto"/>
          <w:szCs w:val="21"/>
          <w:highlight w:val="none"/>
          <w:lang w:val="en-US" w:eastAsia="zh-CN"/>
        </w:rPr>
        <w:t>21</w:t>
      </w:r>
      <w:r>
        <w:rPr>
          <w:rFonts w:hint="eastAsia" w:cs="Arial" w:asciiTheme="minorEastAsia" w:hAnsiTheme="minorEastAsia" w:eastAsiaTheme="minorEastAsia"/>
          <w:color w:val="auto"/>
          <w:szCs w:val="21"/>
          <w:highlight w:val="none"/>
        </w:rPr>
        <w:t>日14：00</w:t>
      </w:r>
      <w:r>
        <w:rPr>
          <w:rFonts w:hint="eastAsia" w:asciiTheme="minorEastAsia" w:hAnsiTheme="minorEastAsia" w:eastAsiaTheme="minorEastAsia"/>
          <w:color w:val="auto"/>
          <w:szCs w:val="21"/>
          <w:highlight w:val="none"/>
        </w:rPr>
        <w:t>，登录政府采购云平台，进入招标系统，按规定进行投标。投标成功会接收短信通知，逾期投标视为未投标。</w:t>
      </w:r>
    </w:p>
    <w:p w14:paraId="113C51C1">
      <w:pPr>
        <w:pStyle w:val="3"/>
        <w:numPr>
          <w:ilvl w:val="0"/>
          <w:numId w:val="4"/>
        </w:numPr>
        <w:spacing w:before="0" w:after="0" w:line="360" w:lineRule="auto"/>
        <w:ind w:firstLine="422" w:firstLineChars="200"/>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开标时间及地点：</w:t>
      </w:r>
    </w:p>
    <w:p w14:paraId="07388F9F">
      <w:pPr>
        <w:snapToGrid w:val="0"/>
        <w:spacing w:line="360" w:lineRule="auto"/>
        <w:ind w:firstLine="308" w:firstLineChars="147"/>
        <w:rPr>
          <w:rFonts w:hint="eastAsia"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本次招标将于在</w:t>
      </w:r>
      <w:r>
        <w:rPr>
          <w:rFonts w:hint="eastAsia" w:asciiTheme="minorEastAsia" w:hAnsiTheme="minorEastAsia" w:eastAsiaTheme="minorEastAsia"/>
          <w:color w:val="auto"/>
          <w:szCs w:val="21"/>
          <w:highlight w:val="none"/>
        </w:rPr>
        <w:t>：</w:t>
      </w:r>
      <w:r>
        <w:rPr>
          <w:rFonts w:hint="eastAsia" w:cs="Arial" w:asciiTheme="minorEastAsia" w:hAnsiTheme="minorEastAsia" w:eastAsiaTheme="minorEastAsia"/>
          <w:color w:val="auto"/>
          <w:szCs w:val="21"/>
          <w:highlight w:val="none"/>
        </w:rPr>
        <w:t>2025年0</w:t>
      </w:r>
      <w:r>
        <w:rPr>
          <w:rFonts w:hint="eastAsia" w:cs="Arial" w:asciiTheme="minorEastAsia" w:hAnsiTheme="minorEastAsia" w:eastAsiaTheme="minorEastAsia"/>
          <w:color w:val="auto"/>
          <w:szCs w:val="21"/>
          <w:highlight w:val="none"/>
          <w:lang w:val="en-US" w:eastAsia="zh-CN"/>
        </w:rPr>
        <w:t>4</w:t>
      </w:r>
      <w:r>
        <w:rPr>
          <w:rFonts w:hint="eastAsia" w:cs="Arial" w:asciiTheme="minorEastAsia" w:hAnsiTheme="minorEastAsia" w:eastAsiaTheme="minorEastAsia"/>
          <w:color w:val="auto"/>
          <w:szCs w:val="21"/>
          <w:highlight w:val="none"/>
        </w:rPr>
        <w:t>月</w:t>
      </w:r>
      <w:r>
        <w:rPr>
          <w:rFonts w:hint="eastAsia" w:cs="Arial" w:asciiTheme="minorEastAsia" w:hAnsiTheme="minorEastAsia" w:eastAsiaTheme="minorEastAsia"/>
          <w:color w:val="auto"/>
          <w:szCs w:val="21"/>
          <w:highlight w:val="none"/>
          <w:lang w:val="en-US" w:eastAsia="zh-CN"/>
        </w:rPr>
        <w:t>21</w:t>
      </w:r>
      <w:r>
        <w:rPr>
          <w:rFonts w:hint="eastAsia" w:cs="Arial" w:asciiTheme="minorEastAsia" w:hAnsiTheme="minorEastAsia" w:eastAsiaTheme="minorEastAsia"/>
          <w:color w:val="auto"/>
          <w:szCs w:val="21"/>
          <w:highlight w:val="none"/>
        </w:rPr>
        <w:t>日14：00嘉兴市千秋工程咨询有限公司</w:t>
      </w:r>
      <w:r>
        <w:rPr>
          <w:rFonts w:hint="eastAsia" w:cs="Arial" w:asciiTheme="minorEastAsia" w:hAnsiTheme="minorEastAsia" w:eastAsiaTheme="minorEastAsia"/>
          <w:color w:val="auto"/>
          <w:szCs w:val="21"/>
          <w:highlight w:val="none"/>
          <w:lang w:val="en-US" w:eastAsia="zh-CN"/>
        </w:rPr>
        <w:t>一</w:t>
      </w:r>
      <w:r>
        <w:rPr>
          <w:rFonts w:hint="eastAsia" w:cs="Arial" w:asciiTheme="minorEastAsia" w:hAnsiTheme="minorEastAsia" w:eastAsiaTheme="minorEastAsia"/>
          <w:color w:val="auto"/>
          <w:szCs w:val="21"/>
          <w:highlight w:val="none"/>
        </w:rPr>
        <w:t>号会议室（嘉兴市秀洲区新平路299号中禾广场</w:t>
      </w:r>
      <w:r>
        <w:rPr>
          <w:rFonts w:hint="eastAsia" w:cs="Arial" w:asciiTheme="minorEastAsia" w:hAnsiTheme="minorEastAsia" w:eastAsiaTheme="minorEastAsia"/>
          <w:color w:val="auto"/>
          <w:szCs w:val="21"/>
          <w:highlight w:val="none"/>
          <w:lang w:val="en-US" w:eastAsia="zh-CN"/>
        </w:rPr>
        <w:t>17A右侧</w:t>
      </w:r>
      <w:r>
        <w:rPr>
          <w:rFonts w:hint="eastAsia" w:cs="Arial" w:asciiTheme="minorEastAsia" w:hAnsiTheme="minorEastAsia" w:eastAsiaTheme="minorEastAsia"/>
          <w:color w:val="auto"/>
          <w:szCs w:val="21"/>
          <w:highlight w:val="none"/>
        </w:rPr>
        <w:t>）开标。</w:t>
      </w:r>
    </w:p>
    <w:p w14:paraId="5BEBCC16">
      <w:pPr>
        <w:pStyle w:val="3"/>
        <w:numPr>
          <w:ilvl w:val="0"/>
          <w:numId w:val="4"/>
        </w:numPr>
        <w:spacing w:before="0" w:after="0" w:line="360" w:lineRule="auto"/>
        <w:ind w:firstLine="422" w:firstLineChars="200"/>
        <w:rPr>
          <w:rFonts w:hint="eastAsia" w:asciiTheme="minorEastAsia" w:hAnsiTheme="minorEastAsia" w:eastAsiaTheme="minorEastAsia"/>
          <w:color w:val="auto"/>
          <w:szCs w:val="21"/>
          <w:highlight w:val="none"/>
        </w:rPr>
      </w:pPr>
      <w:bookmarkStart w:id="14" w:name="_Toc98019231"/>
      <w:r>
        <w:rPr>
          <w:rFonts w:hint="eastAsia" w:asciiTheme="minorEastAsia" w:hAnsiTheme="minorEastAsia" w:eastAsiaTheme="minorEastAsia"/>
          <w:color w:val="auto"/>
          <w:szCs w:val="21"/>
          <w:highlight w:val="none"/>
        </w:rPr>
        <w:t>招标公告发布于：</w:t>
      </w:r>
      <w:bookmarkEnd w:id="14"/>
    </w:p>
    <w:p w14:paraId="092F8569">
      <w:pPr>
        <w:snapToGrid w:val="0"/>
        <w:spacing w:line="360" w:lineRule="auto"/>
        <w:ind w:firstLine="420"/>
        <w:rPr>
          <w:rFonts w:hint="eastAsia" w:cs="Arial" w:asciiTheme="minorEastAsia" w:hAnsiTheme="minorEastAsia" w:eastAsiaTheme="minorEastAsia"/>
          <w:b/>
          <w:color w:val="auto"/>
          <w:szCs w:val="21"/>
          <w:highlight w:val="none"/>
        </w:rPr>
      </w:pPr>
      <w:r>
        <w:rPr>
          <w:rFonts w:hint="eastAsia" w:cs="Arial" w:asciiTheme="minorEastAsia" w:hAnsiTheme="minorEastAsia" w:eastAsiaTheme="minorEastAsia"/>
          <w:color w:val="auto"/>
          <w:szCs w:val="21"/>
          <w:highlight w:val="none"/>
        </w:rPr>
        <w:t>浙江政府采购网（</w:t>
      </w:r>
      <w:r>
        <w:rPr>
          <w:color w:val="auto"/>
          <w:highlight w:val="none"/>
        </w:rPr>
        <w:fldChar w:fldCharType="begin"/>
      </w:r>
      <w:r>
        <w:rPr>
          <w:color w:val="auto"/>
          <w:highlight w:val="none"/>
        </w:rPr>
        <w:instrText xml:space="preserve"> HYPERLINK "https://zfcg.czt.zj.gov.cn/" </w:instrText>
      </w:r>
      <w:r>
        <w:rPr>
          <w:color w:val="auto"/>
          <w:highlight w:val="none"/>
        </w:rPr>
        <w:fldChar w:fldCharType="separate"/>
      </w:r>
      <w:r>
        <w:rPr>
          <w:rStyle w:val="45"/>
          <w:rFonts w:cs="Arial" w:asciiTheme="minorEastAsia" w:hAnsiTheme="minorEastAsia" w:eastAsiaTheme="minorEastAsia"/>
          <w:color w:val="auto"/>
          <w:szCs w:val="21"/>
          <w:highlight w:val="none"/>
        </w:rPr>
        <w:t>https://zfcg.czt.zj.gov.cn/</w:t>
      </w:r>
      <w:r>
        <w:rPr>
          <w:rStyle w:val="45"/>
          <w:rFonts w:cs="Arial" w:asciiTheme="minorEastAsia" w:hAnsiTheme="minorEastAsia" w:eastAsiaTheme="minorEastAsia"/>
          <w:color w:val="auto"/>
          <w:szCs w:val="21"/>
          <w:highlight w:val="none"/>
        </w:rPr>
        <w:fldChar w:fldCharType="end"/>
      </w:r>
      <w:r>
        <w:rPr>
          <w:rFonts w:hint="eastAsia" w:cs="Arial" w:asciiTheme="minorEastAsia" w:hAnsiTheme="minorEastAsia" w:eastAsiaTheme="minorEastAsia"/>
          <w:color w:val="auto"/>
          <w:szCs w:val="21"/>
          <w:highlight w:val="none"/>
        </w:rPr>
        <w:t>）、国家级嘉兴经济技术开发区嘉兴国际商务区网</w:t>
      </w:r>
      <w:r>
        <w:rPr>
          <w:rStyle w:val="45"/>
          <w:rFonts w:hint="eastAsia" w:asciiTheme="minorEastAsia" w:hAnsiTheme="minorEastAsia" w:eastAsiaTheme="minorEastAsia"/>
          <w:color w:val="auto"/>
          <w:szCs w:val="21"/>
          <w:highlight w:val="none"/>
        </w:rPr>
        <w:t>（</w:t>
      </w:r>
      <w:r>
        <w:rPr>
          <w:color w:val="auto"/>
          <w:highlight w:val="none"/>
        </w:rPr>
        <w:fldChar w:fldCharType="begin"/>
      </w:r>
      <w:r>
        <w:rPr>
          <w:color w:val="auto"/>
          <w:highlight w:val="none"/>
        </w:rPr>
        <w:instrText xml:space="preserve"> HYPERLINK "http://jxedz.jiaxing.gov.cn/" </w:instrText>
      </w:r>
      <w:r>
        <w:rPr>
          <w:color w:val="auto"/>
          <w:highlight w:val="none"/>
        </w:rPr>
        <w:fldChar w:fldCharType="separate"/>
      </w:r>
      <w:r>
        <w:rPr>
          <w:rStyle w:val="45"/>
          <w:rFonts w:cs="Arial" w:asciiTheme="minorEastAsia" w:hAnsiTheme="minorEastAsia" w:eastAsiaTheme="minorEastAsia"/>
          <w:color w:val="auto"/>
          <w:szCs w:val="21"/>
          <w:highlight w:val="none"/>
        </w:rPr>
        <w:t>http://jxedz.jiaxing.gov.cn/</w:t>
      </w:r>
      <w:r>
        <w:rPr>
          <w:rStyle w:val="45"/>
          <w:rFonts w:cs="Arial" w:asciiTheme="minorEastAsia" w:hAnsiTheme="minorEastAsia" w:eastAsiaTheme="minorEastAsia"/>
          <w:color w:val="auto"/>
          <w:szCs w:val="21"/>
          <w:highlight w:val="none"/>
        </w:rPr>
        <w:fldChar w:fldCharType="end"/>
      </w:r>
      <w:r>
        <w:rPr>
          <w:rStyle w:val="45"/>
          <w:rFonts w:hint="eastAsia" w:cs="Arial" w:asciiTheme="minorEastAsia" w:hAnsiTheme="minorEastAsia" w:eastAsiaTheme="minorEastAsia"/>
          <w:color w:val="auto"/>
          <w:szCs w:val="21"/>
          <w:highlight w:val="none"/>
        </w:rPr>
        <w:t>)</w:t>
      </w:r>
      <w:r>
        <w:rPr>
          <w:rStyle w:val="45"/>
          <w:rFonts w:hint="eastAsia" w:cs="Arial" w:asciiTheme="minorEastAsia" w:hAnsiTheme="minorEastAsia" w:eastAsiaTheme="minorEastAsia"/>
          <w:color w:val="auto"/>
          <w:szCs w:val="21"/>
          <w:highlight w:val="none"/>
          <w:u w:val="none"/>
        </w:rPr>
        <w:t>。</w:t>
      </w:r>
    </w:p>
    <w:p w14:paraId="41CB7AEF">
      <w:pPr>
        <w:pStyle w:val="3"/>
        <w:numPr>
          <w:ilvl w:val="0"/>
          <w:numId w:val="4"/>
        </w:numPr>
        <w:spacing w:before="0" w:after="0" w:line="360" w:lineRule="auto"/>
        <w:ind w:firstLine="422" w:firstLineChars="200"/>
        <w:rPr>
          <w:rFonts w:hint="eastAsia" w:asciiTheme="minorEastAsia" w:hAnsiTheme="minorEastAsia" w:eastAsiaTheme="minorEastAsia"/>
          <w:color w:val="auto"/>
          <w:szCs w:val="21"/>
          <w:highlight w:val="none"/>
        </w:rPr>
      </w:pPr>
      <w:bookmarkStart w:id="15" w:name="_Toc98019232"/>
      <w:r>
        <w:rPr>
          <w:rFonts w:hint="eastAsia" w:asciiTheme="minorEastAsia" w:hAnsiTheme="minorEastAsia" w:eastAsiaTheme="minorEastAsia"/>
          <w:color w:val="auto"/>
          <w:szCs w:val="21"/>
          <w:highlight w:val="none"/>
        </w:rPr>
        <w:t>业务咨询：</w:t>
      </w:r>
      <w:bookmarkEnd w:id="15"/>
    </w:p>
    <w:p w14:paraId="4ED8652A">
      <w:pPr>
        <w:snapToGrid w:val="0"/>
        <w:spacing w:line="360" w:lineRule="auto"/>
        <w:ind w:firstLine="420"/>
        <w:rPr>
          <w:rFonts w:hint="eastAsia"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嘉兴经济技术开发区财政金融部</w:t>
      </w:r>
    </w:p>
    <w:p w14:paraId="5E282928">
      <w:pPr>
        <w:snapToGrid w:val="0"/>
        <w:spacing w:line="360" w:lineRule="auto"/>
        <w:ind w:firstLine="420"/>
        <w:rPr>
          <w:rFonts w:hint="eastAsia"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 xml:space="preserve">项目联系人：江伶丽     联系电话： </w:t>
      </w:r>
      <w:r>
        <w:rPr>
          <w:rFonts w:cs="Arial" w:asciiTheme="minorEastAsia" w:hAnsiTheme="minorEastAsia" w:eastAsiaTheme="minorEastAsia"/>
          <w:color w:val="auto"/>
          <w:szCs w:val="21"/>
          <w:highlight w:val="none"/>
        </w:rPr>
        <w:t>0573-83677759</w:t>
      </w:r>
    </w:p>
    <w:p w14:paraId="0EB3C7E0">
      <w:pPr>
        <w:snapToGrid w:val="0"/>
        <w:spacing w:line="360" w:lineRule="auto"/>
        <w:ind w:firstLine="420"/>
        <w:rPr>
          <w:rFonts w:hint="eastAsia" w:cs="Arial" w:asciiTheme="minorEastAsia" w:hAnsiTheme="minorEastAsia" w:eastAsiaTheme="minorEastAsia"/>
          <w:bCs/>
          <w:color w:val="auto"/>
          <w:szCs w:val="21"/>
          <w:highlight w:val="none"/>
        </w:rPr>
      </w:pPr>
      <w:r>
        <w:rPr>
          <w:rFonts w:hint="eastAsia" w:cs="Arial" w:asciiTheme="minorEastAsia" w:hAnsiTheme="minorEastAsia" w:eastAsiaTheme="minorEastAsia"/>
          <w:bCs/>
          <w:color w:val="auto"/>
          <w:szCs w:val="21"/>
          <w:highlight w:val="none"/>
        </w:rPr>
        <w:t xml:space="preserve">嘉兴市千秋工程咨询有限公司  </w:t>
      </w:r>
    </w:p>
    <w:p w14:paraId="5A55E899">
      <w:pPr>
        <w:snapToGrid w:val="0"/>
        <w:spacing w:line="360" w:lineRule="auto"/>
        <w:ind w:firstLine="420"/>
        <w:rPr>
          <w:rFonts w:hint="eastAsia"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 xml:space="preserve">联系人：章莉莉 </w:t>
      </w:r>
      <w:r>
        <w:rPr>
          <w:rFonts w:hint="eastAsia" w:cs="Arial" w:asciiTheme="minorEastAsia" w:hAnsiTheme="minorEastAsia" w:eastAsiaTheme="minorEastAsia"/>
          <w:color w:val="auto"/>
          <w:szCs w:val="21"/>
          <w:highlight w:val="none"/>
          <w:lang w:val="en-US" w:eastAsia="zh-CN"/>
        </w:rPr>
        <w:t xml:space="preserve">  李建良</w:t>
      </w:r>
      <w:r>
        <w:rPr>
          <w:rFonts w:hint="eastAsia" w:cs="Arial" w:asciiTheme="minorEastAsia" w:hAnsiTheme="minorEastAsia" w:eastAsiaTheme="minorEastAsia"/>
          <w:color w:val="auto"/>
          <w:szCs w:val="21"/>
          <w:highlight w:val="none"/>
        </w:rPr>
        <w:t xml:space="preserve"> </w:t>
      </w:r>
    </w:p>
    <w:p w14:paraId="4F356F4F">
      <w:pPr>
        <w:snapToGrid w:val="0"/>
        <w:spacing w:line="360" w:lineRule="auto"/>
        <w:ind w:firstLine="420"/>
        <w:rPr>
          <w:rFonts w:hint="eastAsia"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联系电话：0573- 83705015   13605735186</w:t>
      </w:r>
    </w:p>
    <w:p w14:paraId="6EA00490">
      <w:pPr>
        <w:snapToGrid w:val="0"/>
        <w:spacing w:line="360" w:lineRule="auto"/>
        <w:ind w:left="238"/>
        <w:jc w:val="right"/>
        <w:rPr>
          <w:rFonts w:hint="eastAsia"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嘉兴经济技术开发区财政金融部</w:t>
      </w:r>
    </w:p>
    <w:p w14:paraId="19A8072C">
      <w:pPr>
        <w:snapToGrid w:val="0"/>
        <w:spacing w:line="360" w:lineRule="auto"/>
        <w:ind w:left="238"/>
        <w:jc w:val="right"/>
        <w:rPr>
          <w:rFonts w:hint="eastAsia" w:asciiTheme="minorEastAsia" w:hAnsiTheme="minorEastAsia" w:eastAsiaTheme="minorEastAsia"/>
          <w:color w:val="auto"/>
          <w:szCs w:val="21"/>
          <w:highlight w:val="none"/>
        </w:rPr>
      </w:pPr>
      <w:r>
        <w:rPr>
          <w:rFonts w:hint="eastAsia" w:cs="Arial" w:asciiTheme="minorEastAsia" w:hAnsiTheme="minorEastAsia" w:eastAsiaTheme="minorEastAsia"/>
          <w:bCs/>
          <w:color w:val="auto"/>
          <w:szCs w:val="21"/>
          <w:highlight w:val="none"/>
        </w:rPr>
        <w:t>嘉兴市千秋工程咨询有限公司</w:t>
      </w:r>
    </w:p>
    <w:p w14:paraId="0509700D">
      <w:pPr>
        <w:wordWrap w:val="0"/>
        <w:spacing w:line="360" w:lineRule="auto"/>
        <w:ind w:right="-51"/>
        <w:jc w:val="right"/>
        <w:rPr>
          <w:rFonts w:hint="eastAsia" w:asciiTheme="minorEastAsia" w:hAnsiTheme="minorEastAsia" w:eastAsiaTheme="minorEastAsia"/>
          <w:color w:val="auto"/>
          <w:highlight w:val="none"/>
        </w:rPr>
        <w:sectPr>
          <w:headerReference r:id="rId7" w:type="first"/>
          <w:footerReference r:id="rId8" w:type="first"/>
          <w:pgSz w:w="11907" w:h="16840"/>
          <w:pgMar w:top="1440" w:right="1797" w:bottom="1440" w:left="1797" w:header="851" w:footer="851" w:gutter="0"/>
          <w:pgNumType w:start="1"/>
          <w:cols w:space="425" w:num="1"/>
          <w:titlePg/>
          <w:docGrid w:type="lines" w:linePitch="312" w:charSpace="0"/>
        </w:sectPr>
      </w:pPr>
      <w:r>
        <w:rPr>
          <w:rFonts w:hint="eastAsia" w:asciiTheme="minorEastAsia" w:hAnsiTheme="minorEastAsia" w:eastAsiaTheme="minorEastAsia"/>
          <w:color w:val="auto"/>
          <w:szCs w:val="21"/>
          <w:highlight w:val="none"/>
        </w:rPr>
        <w:t>202</w:t>
      </w:r>
      <w:r>
        <w:rPr>
          <w:rFonts w:hint="eastAsia" w:asciiTheme="minorEastAsia" w:hAnsiTheme="minorEastAsia" w:eastAsiaTheme="minorEastAsia"/>
          <w:color w:val="auto"/>
          <w:szCs w:val="21"/>
          <w:highlight w:val="none"/>
          <w:lang w:val="en-US" w:eastAsia="zh-CN"/>
        </w:rPr>
        <w:t>5</w:t>
      </w:r>
      <w:r>
        <w:rPr>
          <w:rFonts w:hint="eastAsia" w:asciiTheme="minorEastAsia" w:hAnsiTheme="minorEastAsia" w:eastAsiaTheme="minorEastAsia"/>
          <w:color w:val="auto"/>
          <w:szCs w:val="21"/>
          <w:highlight w:val="none"/>
        </w:rPr>
        <w:t>年</w:t>
      </w:r>
      <w:r>
        <w:rPr>
          <w:rFonts w:hint="eastAsia" w:asciiTheme="minorEastAsia" w:hAnsiTheme="minorEastAsia" w:eastAsiaTheme="minorEastAsia"/>
          <w:color w:val="auto"/>
          <w:szCs w:val="21"/>
          <w:highlight w:val="none"/>
          <w:lang w:val="en-US" w:eastAsia="zh-CN"/>
        </w:rPr>
        <w:t>04</w:t>
      </w:r>
      <w:r>
        <w:rPr>
          <w:rFonts w:hint="eastAsia" w:asciiTheme="minorEastAsia" w:hAnsiTheme="minorEastAsia" w:eastAsiaTheme="minorEastAsia"/>
          <w:color w:val="auto"/>
          <w:szCs w:val="21"/>
          <w:highlight w:val="none"/>
        </w:rPr>
        <w:t>月</w:t>
      </w:r>
      <w:r>
        <w:rPr>
          <w:rFonts w:hint="eastAsia" w:asciiTheme="minorEastAsia" w:hAnsiTheme="minorEastAsia" w:eastAsiaTheme="minorEastAsia"/>
          <w:color w:val="auto"/>
          <w:szCs w:val="21"/>
          <w:highlight w:val="none"/>
          <w:lang w:val="en-US" w:eastAsia="zh-CN"/>
        </w:rPr>
        <w:t>01</w:t>
      </w:r>
      <w:r>
        <w:rPr>
          <w:rFonts w:hint="eastAsia" w:asciiTheme="minorEastAsia" w:hAnsiTheme="minorEastAsia" w:eastAsiaTheme="minorEastAsia"/>
          <w:color w:val="auto"/>
          <w:szCs w:val="21"/>
          <w:highlight w:val="none"/>
        </w:rPr>
        <w:t>日</w:t>
      </w:r>
      <w:bookmarkEnd w:id="4"/>
    </w:p>
    <w:p w14:paraId="420BF57C">
      <w:pPr>
        <w:pStyle w:val="36"/>
        <w:numPr>
          <w:ilvl w:val="0"/>
          <w:numId w:val="3"/>
        </w:numPr>
        <w:spacing w:line="360" w:lineRule="auto"/>
        <w:rPr>
          <w:rFonts w:hint="eastAsia" w:asciiTheme="minorEastAsia" w:hAnsiTheme="minorEastAsia" w:eastAsiaTheme="minorEastAsia"/>
          <w:color w:val="auto"/>
          <w:highlight w:val="none"/>
        </w:rPr>
      </w:pPr>
      <w:bookmarkStart w:id="16" w:name="_Toc98019233"/>
      <w:r>
        <w:rPr>
          <w:rFonts w:hint="eastAsia" w:asciiTheme="minorEastAsia" w:hAnsiTheme="minorEastAsia" w:eastAsiaTheme="minorEastAsia"/>
          <w:color w:val="auto"/>
          <w:highlight w:val="none"/>
        </w:rPr>
        <w:t>招标需求</w:t>
      </w:r>
      <w:bookmarkEnd w:id="5"/>
      <w:bookmarkEnd w:id="6"/>
      <w:bookmarkEnd w:id="16"/>
    </w:p>
    <w:p w14:paraId="017C6FB4">
      <w:pPr>
        <w:snapToGrid w:val="0"/>
        <w:spacing w:line="360" w:lineRule="auto"/>
        <w:ind w:firstLine="525" w:firstLineChars="250"/>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本招标文件是</w:t>
      </w:r>
      <w:r>
        <w:rPr>
          <w:rFonts w:hint="eastAsia" w:asciiTheme="minorEastAsia" w:hAnsiTheme="minorEastAsia" w:eastAsiaTheme="minorEastAsia"/>
          <w:color w:val="auto"/>
          <w:highlight w:val="none"/>
          <w:lang w:eastAsia="zh-CN"/>
        </w:rPr>
        <w:t>2025年（第二期）</w:t>
      </w:r>
      <w:r>
        <w:rPr>
          <w:rFonts w:hint="eastAsia" w:asciiTheme="minorEastAsia" w:hAnsiTheme="minorEastAsia" w:eastAsiaTheme="minorEastAsia"/>
          <w:color w:val="auto"/>
          <w:highlight w:val="none"/>
        </w:rPr>
        <w:t>嘉兴经济技术开发区公共资金竞争性存放项目</w:t>
      </w:r>
      <w:r>
        <w:rPr>
          <w:rFonts w:hint="eastAsia" w:asciiTheme="minorEastAsia" w:hAnsiTheme="minorEastAsia" w:eastAsiaTheme="minorEastAsia"/>
          <w:color w:val="auto"/>
          <w:szCs w:val="21"/>
          <w:highlight w:val="none"/>
        </w:rPr>
        <w:t>的规范性文件，是投标人编制投标文件的依据。该文件解释权归招标组织单位，招标方式：公开招标。</w:t>
      </w:r>
    </w:p>
    <w:p w14:paraId="38EDB26E">
      <w:pPr>
        <w:numPr>
          <w:ilvl w:val="0"/>
          <w:numId w:val="7"/>
        </w:numPr>
        <w:snapToGrid w:val="0"/>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招标文件、投标文件及其共同确定的补充文件是合同的有效组成部分，与合同具备同等的法律效力。</w:t>
      </w:r>
    </w:p>
    <w:p w14:paraId="770E1D94">
      <w:pPr>
        <w:numPr>
          <w:ilvl w:val="0"/>
          <w:numId w:val="7"/>
        </w:numPr>
        <w:snapToGrid w:val="0"/>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投标人应按招标文件的要求提供投标文件，并保证所提供的全部资料的真实性，使其投标对招标文件做出实质性响应，否则，其投标将被拒绝。招标人保留进一步要求投标人补充提供有关材料的权利，拒绝提供补充材料或提供材料不真实，将被视为自动放弃投标资格。未报名者，投标无效。</w:t>
      </w:r>
    </w:p>
    <w:p w14:paraId="24AC4A7A">
      <w:pPr>
        <w:numPr>
          <w:ilvl w:val="0"/>
          <w:numId w:val="7"/>
        </w:numPr>
        <w:snapToGrid w:val="0"/>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投标人应承担其在投标准备、编制、递交投标文件和签订合同协议书的整个过程中发生的一切费用而不论其投标结果如何。</w:t>
      </w:r>
    </w:p>
    <w:p w14:paraId="5238F26A">
      <w:pPr>
        <w:numPr>
          <w:ilvl w:val="0"/>
          <w:numId w:val="7"/>
        </w:numPr>
        <w:snapToGrid w:val="0"/>
        <w:spacing w:line="360" w:lineRule="auto"/>
        <w:ind w:left="420" w:firstLine="0"/>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具体招标标的：</w:t>
      </w:r>
    </w:p>
    <w:tbl>
      <w:tblPr>
        <w:tblStyle w:val="39"/>
        <w:tblW w:w="892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3"/>
        <w:gridCol w:w="5079"/>
        <w:gridCol w:w="1441"/>
        <w:gridCol w:w="1762"/>
      </w:tblGrid>
      <w:tr w14:paraId="505AF3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jc w:val="center"/>
        </w:trPr>
        <w:tc>
          <w:tcPr>
            <w:tcW w:w="643" w:type="dxa"/>
            <w:shd w:val="clear" w:color="auto" w:fill="auto"/>
            <w:vAlign w:val="center"/>
          </w:tcPr>
          <w:p w14:paraId="431E31E5">
            <w:pPr>
              <w:spacing w:line="360" w:lineRule="auto"/>
              <w:jc w:val="center"/>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序号</w:t>
            </w:r>
          </w:p>
        </w:tc>
        <w:tc>
          <w:tcPr>
            <w:tcW w:w="5079" w:type="dxa"/>
            <w:shd w:val="clear" w:color="auto" w:fill="auto"/>
            <w:vAlign w:val="center"/>
          </w:tcPr>
          <w:p w14:paraId="35460EE2">
            <w:pPr>
              <w:spacing w:line="360" w:lineRule="auto"/>
              <w:jc w:val="center"/>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单位</w:t>
            </w:r>
          </w:p>
        </w:tc>
        <w:tc>
          <w:tcPr>
            <w:tcW w:w="1441" w:type="dxa"/>
            <w:shd w:val="clear" w:color="auto" w:fill="auto"/>
            <w:vAlign w:val="center"/>
          </w:tcPr>
          <w:p w14:paraId="642A6B61">
            <w:pPr>
              <w:spacing w:line="360" w:lineRule="auto"/>
              <w:jc w:val="center"/>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金额（万元）</w:t>
            </w:r>
          </w:p>
        </w:tc>
        <w:tc>
          <w:tcPr>
            <w:tcW w:w="1762" w:type="dxa"/>
            <w:shd w:val="clear" w:color="auto" w:fill="auto"/>
            <w:vAlign w:val="center"/>
          </w:tcPr>
          <w:p w14:paraId="71DAC0A3">
            <w:pPr>
              <w:spacing w:line="360" w:lineRule="auto"/>
              <w:jc w:val="center"/>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存期</w:t>
            </w:r>
          </w:p>
        </w:tc>
      </w:tr>
      <w:tr w14:paraId="4AC16E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jc w:val="center"/>
        </w:trPr>
        <w:tc>
          <w:tcPr>
            <w:tcW w:w="643" w:type="dxa"/>
            <w:shd w:val="clear" w:color="auto" w:fill="auto"/>
            <w:vAlign w:val="center"/>
          </w:tcPr>
          <w:p w14:paraId="6FD98C2F">
            <w:pPr>
              <w:spacing w:line="360" w:lineRule="auto"/>
              <w:jc w:val="center"/>
              <w:rPr>
                <w:rFonts w:hint="eastAsia" w:asciiTheme="minorEastAsia" w:hAnsiTheme="minorEastAsia" w:eastAsiaTheme="minorEastAsia"/>
                <w:color w:val="auto"/>
                <w:szCs w:val="21"/>
                <w:highlight w:val="none"/>
              </w:rPr>
            </w:pPr>
            <w:r>
              <w:rPr>
                <w:rFonts w:hint="eastAsia" w:asciiTheme="minorEastAsia" w:hAnsiTheme="minorEastAsia" w:eastAsiaTheme="minorEastAsia"/>
                <w:szCs w:val="21"/>
                <w:highlight w:val="none"/>
              </w:rPr>
              <w:t>1</w:t>
            </w:r>
          </w:p>
        </w:tc>
        <w:tc>
          <w:tcPr>
            <w:tcW w:w="5079" w:type="dxa"/>
            <w:shd w:val="clear" w:color="auto" w:fill="auto"/>
            <w:vAlign w:val="center"/>
          </w:tcPr>
          <w:p w14:paraId="5C664834">
            <w:pPr>
              <w:snapToGrid w:val="0"/>
              <w:spacing w:line="360" w:lineRule="auto"/>
              <w:jc w:val="center"/>
              <w:rPr>
                <w:rFonts w:hint="eastAsia" w:asciiTheme="minorEastAsia" w:hAnsiTheme="minorEastAsia" w:eastAsiaTheme="minorEastAsia"/>
                <w:color w:val="auto"/>
                <w:szCs w:val="21"/>
                <w:highlight w:val="none"/>
                <w:lang w:val="en-US" w:eastAsia="zh-CN"/>
              </w:rPr>
            </w:pPr>
            <w:r>
              <w:rPr>
                <w:rFonts w:hint="eastAsia" w:asciiTheme="minorEastAsia" w:hAnsiTheme="minorEastAsia" w:eastAsiaTheme="minorEastAsia"/>
                <w:szCs w:val="21"/>
                <w:highlight w:val="none"/>
              </w:rPr>
              <w:t>嘉兴经济技术开发区财政局</w:t>
            </w:r>
          </w:p>
        </w:tc>
        <w:tc>
          <w:tcPr>
            <w:tcW w:w="1441" w:type="dxa"/>
            <w:shd w:val="clear" w:color="auto" w:fill="auto"/>
            <w:vAlign w:val="center"/>
          </w:tcPr>
          <w:p w14:paraId="0457AF9E">
            <w:pPr>
              <w:snapToGrid w:val="0"/>
              <w:spacing w:line="360" w:lineRule="auto"/>
              <w:jc w:val="center"/>
              <w:rPr>
                <w:rFonts w:hint="eastAsia" w:asciiTheme="minorEastAsia" w:hAnsiTheme="minorEastAsia" w:eastAsiaTheme="minorEastAsia"/>
                <w:color w:val="auto"/>
                <w:szCs w:val="21"/>
                <w:highlight w:val="none"/>
                <w:lang w:val="en-US" w:eastAsia="zh-CN"/>
              </w:rPr>
            </w:pPr>
            <w:r>
              <w:rPr>
                <w:rFonts w:hint="eastAsia" w:asciiTheme="minorEastAsia" w:hAnsiTheme="minorEastAsia" w:eastAsiaTheme="minorEastAsia"/>
                <w:szCs w:val="21"/>
                <w:highlight w:val="none"/>
              </w:rPr>
              <w:t>37600</w:t>
            </w:r>
          </w:p>
        </w:tc>
        <w:tc>
          <w:tcPr>
            <w:tcW w:w="1762" w:type="dxa"/>
            <w:shd w:val="clear" w:color="auto" w:fill="auto"/>
            <w:vAlign w:val="center"/>
          </w:tcPr>
          <w:p w14:paraId="60C03F96">
            <w:pPr>
              <w:snapToGrid w:val="0"/>
              <w:spacing w:line="360" w:lineRule="auto"/>
              <w:jc w:val="center"/>
              <w:rPr>
                <w:rFonts w:hint="eastAsia" w:asciiTheme="minorEastAsia" w:hAnsiTheme="minorEastAsia" w:eastAsiaTheme="minorEastAsia"/>
                <w:color w:val="auto"/>
                <w:szCs w:val="21"/>
                <w:highlight w:val="none"/>
              </w:rPr>
            </w:pPr>
            <w:r>
              <w:rPr>
                <w:rFonts w:hint="eastAsia" w:asciiTheme="minorEastAsia" w:hAnsiTheme="minorEastAsia" w:eastAsiaTheme="minorEastAsia"/>
                <w:szCs w:val="21"/>
                <w:highlight w:val="none"/>
              </w:rPr>
              <w:t>3个月</w:t>
            </w:r>
          </w:p>
        </w:tc>
      </w:tr>
      <w:tr w14:paraId="2C6A34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atLeast"/>
          <w:jc w:val="center"/>
        </w:trPr>
        <w:tc>
          <w:tcPr>
            <w:tcW w:w="643" w:type="dxa"/>
            <w:shd w:val="clear" w:color="auto" w:fill="auto"/>
            <w:vAlign w:val="center"/>
          </w:tcPr>
          <w:p w14:paraId="46054CCE">
            <w:pPr>
              <w:spacing w:line="360" w:lineRule="auto"/>
              <w:jc w:val="center"/>
              <w:rPr>
                <w:rFonts w:hint="eastAsia" w:asciiTheme="minorEastAsia" w:hAnsiTheme="minorEastAsia" w:eastAsiaTheme="minorEastAsia"/>
                <w:color w:val="auto"/>
                <w:szCs w:val="21"/>
                <w:highlight w:val="none"/>
              </w:rPr>
            </w:pPr>
          </w:p>
        </w:tc>
        <w:tc>
          <w:tcPr>
            <w:tcW w:w="5079" w:type="dxa"/>
            <w:shd w:val="clear" w:color="auto" w:fill="auto"/>
            <w:vAlign w:val="center"/>
          </w:tcPr>
          <w:p w14:paraId="1F267FC6">
            <w:pPr>
              <w:spacing w:line="360" w:lineRule="auto"/>
              <w:jc w:val="center"/>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合计</w:t>
            </w:r>
          </w:p>
        </w:tc>
        <w:tc>
          <w:tcPr>
            <w:tcW w:w="1441" w:type="dxa"/>
            <w:shd w:val="clear" w:color="auto" w:fill="auto"/>
            <w:vAlign w:val="center"/>
          </w:tcPr>
          <w:p w14:paraId="2B4B0FA5">
            <w:pPr>
              <w:spacing w:line="360" w:lineRule="auto"/>
              <w:jc w:val="center"/>
              <w:rPr>
                <w:rFonts w:hint="default" w:asciiTheme="minorEastAsia" w:hAnsiTheme="minorEastAsia" w:eastAsiaTheme="minorEastAsia"/>
                <w:color w:val="auto"/>
                <w:szCs w:val="21"/>
                <w:highlight w:val="none"/>
                <w:lang w:val="en-US" w:eastAsia="zh-CN"/>
              </w:rPr>
            </w:pPr>
            <w:r>
              <w:rPr>
                <w:rFonts w:hint="eastAsia" w:asciiTheme="minorEastAsia" w:hAnsiTheme="minorEastAsia" w:eastAsiaTheme="minorEastAsia"/>
                <w:color w:val="auto"/>
                <w:szCs w:val="21"/>
                <w:highlight w:val="none"/>
                <w:lang w:val="en-US" w:eastAsia="zh-CN"/>
              </w:rPr>
              <w:t>37600</w:t>
            </w:r>
          </w:p>
        </w:tc>
        <w:tc>
          <w:tcPr>
            <w:tcW w:w="1762" w:type="dxa"/>
            <w:shd w:val="clear" w:color="auto" w:fill="auto"/>
            <w:vAlign w:val="center"/>
          </w:tcPr>
          <w:p w14:paraId="640255B1">
            <w:pPr>
              <w:spacing w:line="360" w:lineRule="auto"/>
              <w:jc w:val="center"/>
              <w:rPr>
                <w:rFonts w:hint="eastAsia" w:asciiTheme="minorEastAsia" w:hAnsiTheme="minorEastAsia" w:eastAsiaTheme="minorEastAsia"/>
                <w:color w:val="auto"/>
                <w:szCs w:val="21"/>
                <w:highlight w:val="none"/>
              </w:rPr>
            </w:pPr>
          </w:p>
        </w:tc>
      </w:tr>
    </w:tbl>
    <w:p w14:paraId="477A512C">
      <w:pPr>
        <w:numPr>
          <w:ilvl w:val="0"/>
          <w:numId w:val="7"/>
        </w:numPr>
        <w:snapToGrid w:val="0"/>
        <w:spacing w:line="360" w:lineRule="auto"/>
        <w:ind w:left="420" w:firstLine="0"/>
        <w:rPr>
          <w:rFonts w:hint="eastAsia"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投标额规则</w:t>
      </w:r>
    </w:p>
    <w:p w14:paraId="5EBF7AA3">
      <w:pPr>
        <w:snapToGrid w:val="0"/>
        <w:spacing w:line="360" w:lineRule="auto"/>
        <w:ind w:firstLine="420"/>
        <w:rPr>
          <w:rFonts w:hint="eastAsia" w:cs="Arial" w:asciiTheme="minorEastAsia" w:hAnsiTheme="minorEastAsia" w:eastAsiaTheme="minorEastAsia"/>
          <w:color w:val="auto"/>
          <w:szCs w:val="21"/>
          <w:highlight w:val="none"/>
        </w:rPr>
      </w:pPr>
      <w:r>
        <w:rPr>
          <w:rFonts w:hint="eastAsia" w:cs="Arial" w:asciiTheme="minorEastAsia" w:hAnsiTheme="minorEastAsia" w:eastAsiaTheme="minorEastAsia"/>
          <w:szCs w:val="21"/>
          <w:highlight w:val="none"/>
        </w:rPr>
        <w:t>份额设定为</w:t>
      </w:r>
      <w:r>
        <w:rPr>
          <w:rFonts w:hint="eastAsia" w:cs="Arial" w:asciiTheme="minorEastAsia" w:hAnsiTheme="minorEastAsia" w:eastAsiaTheme="minorEastAsia"/>
          <w:szCs w:val="21"/>
          <w:highlight w:val="none"/>
          <w:lang w:val="en-US" w:eastAsia="zh-CN"/>
        </w:rPr>
        <w:t>8</w:t>
      </w:r>
      <w:r>
        <w:rPr>
          <w:rFonts w:hint="eastAsia" w:cs="Arial" w:asciiTheme="minorEastAsia" w:hAnsiTheme="minorEastAsia" w:eastAsiaTheme="minorEastAsia"/>
          <w:szCs w:val="21"/>
          <w:highlight w:val="none"/>
        </w:rPr>
        <w:t>份，按中标单位名次，第一名</w:t>
      </w:r>
      <w:r>
        <w:rPr>
          <w:rFonts w:hint="eastAsia" w:cs="Arial" w:asciiTheme="minorEastAsia" w:hAnsiTheme="minorEastAsia" w:eastAsiaTheme="minorEastAsia"/>
          <w:szCs w:val="21"/>
          <w:highlight w:val="none"/>
          <w:lang w:val="en-US" w:eastAsia="zh-CN"/>
        </w:rPr>
        <w:t>7100</w:t>
      </w:r>
      <w:r>
        <w:rPr>
          <w:rFonts w:hint="eastAsia" w:cs="Arial" w:asciiTheme="minorEastAsia" w:hAnsiTheme="minorEastAsia" w:eastAsiaTheme="minorEastAsia"/>
          <w:szCs w:val="21"/>
          <w:highlight w:val="none"/>
        </w:rPr>
        <w:t>万元；第二</w:t>
      </w:r>
      <w:r>
        <w:rPr>
          <w:rFonts w:hint="eastAsia" w:cs="Arial" w:asciiTheme="minorEastAsia" w:hAnsiTheme="minorEastAsia" w:eastAsiaTheme="minorEastAsia"/>
          <w:szCs w:val="21"/>
          <w:highlight w:val="none"/>
          <w:lang w:val="en-US" w:eastAsia="zh-CN"/>
        </w:rPr>
        <w:t>名6000</w:t>
      </w:r>
      <w:r>
        <w:rPr>
          <w:rFonts w:cs="Arial" w:asciiTheme="minorEastAsia" w:hAnsiTheme="minorEastAsia" w:eastAsiaTheme="minorEastAsia"/>
          <w:szCs w:val="21"/>
          <w:highlight w:val="none"/>
        </w:rPr>
        <w:t>万元</w:t>
      </w:r>
      <w:r>
        <w:rPr>
          <w:rFonts w:hint="eastAsia" w:cs="Arial" w:asciiTheme="minorEastAsia" w:hAnsiTheme="minorEastAsia" w:eastAsiaTheme="minorEastAsia"/>
          <w:szCs w:val="21"/>
          <w:highlight w:val="none"/>
        </w:rPr>
        <w:t>；第三名</w:t>
      </w:r>
      <w:r>
        <w:rPr>
          <w:rFonts w:hint="eastAsia" w:cs="Arial" w:asciiTheme="minorEastAsia" w:hAnsiTheme="minorEastAsia" w:eastAsiaTheme="minorEastAsia"/>
          <w:szCs w:val="21"/>
          <w:highlight w:val="none"/>
          <w:lang w:val="en-US" w:eastAsia="zh-CN"/>
        </w:rPr>
        <w:t>5300</w:t>
      </w:r>
      <w:r>
        <w:rPr>
          <w:rFonts w:cs="Arial" w:asciiTheme="minorEastAsia" w:hAnsiTheme="minorEastAsia" w:eastAsiaTheme="minorEastAsia"/>
          <w:szCs w:val="21"/>
          <w:highlight w:val="none"/>
        </w:rPr>
        <w:t>万元</w:t>
      </w:r>
      <w:r>
        <w:rPr>
          <w:rFonts w:hint="eastAsia" w:cs="Arial" w:asciiTheme="minorEastAsia" w:hAnsiTheme="minorEastAsia" w:eastAsiaTheme="minorEastAsia"/>
          <w:szCs w:val="21"/>
          <w:highlight w:val="none"/>
        </w:rPr>
        <w:t>；第四名</w:t>
      </w:r>
      <w:r>
        <w:rPr>
          <w:rFonts w:hint="eastAsia" w:cs="Arial" w:asciiTheme="minorEastAsia" w:hAnsiTheme="minorEastAsia" w:eastAsiaTheme="minorEastAsia"/>
          <w:szCs w:val="21"/>
          <w:highlight w:val="none"/>
          <w:lang w:val="en-US" w:eastAsia="zh-CN"/>
        </w:rPr>
        <w:t>4500</w:t>
      </w:r>
      <w:r>
        <w:rPr>
          <w:rFonts w:cs="Arial" w:asciiTheme="minorEastAsia" w:hAnsiTheme="minorEastAsia" w:eastAsiaTheme="minorEastAsia"/>
          <w:szCs w:val="21"/>
          <w:highlight w:val="none"/>
        </w:rPr>
        <w:t>万元</w:t>
      </w:r>
      <w:r>
        <w:rPr>
          <w:rFonts w:hint="eastAsia" w:cs="Arial" w:asciiTheme="minorEastAsia" w:hAnsiTheme="minorEastAsia" w:eastAsiaTheme="minorEastAsia"/>
          <w:szCs w:val="21"/>
          <w:highlight w:val="none"/>
        </w:rPr>
        <w:t>；第五名</w:t>
      </w:r>
      <w:r>
        <w:rPr>
          <w:rFonts w:hint="eastAsia" w:cs="Arial" w:asciiTheme="minorEastAsia" w:hAnsiTheme="minorEastAsia" w:eastAsiaTheme="minorEastAsia"/>
          <w:szCs w:val="21"/>
          <w:highlight w:val="none"/>
          <w:lang w:val="en-US" w:eastAsia="zh-CN"/>
        </w:rPr>
        <w:t>4100</w:t>
      </w:r>
      <w:r>
        <w:rPr>
          <w:rFonts w:cs="Arial" w:asciiTheme="minorEastAsia" w:hAnsiTheme="minorEastAsia" w:eastAsiaTheme="minorEastAsia"/>
          <w:szCs w:val="21"/>
          <w:highlight w:val="none"/>
        </w:rPr>
        <w:t>万元</w:t>
      </w:r>
      <w:r>
        <w:rPr>
          <w:rFonts w:hint="eastAsia" w:cs="Arial" w:asciiTheme="minorEastAsia" w:hAnsiTheme="minorEastAsia" w:eastAsiaTheme="minorEastAsia"/>
          <w:szCs w:val="21"/>
          <w:highlight w:val="none"/>
          <w:lang w:eastAsia="zh-CN"/>
        </w:rPr>
        <w:t>；</w:t>
      </w:r>
      <w:r>
        <w:rPr>
          <w:rFonts w:hint="eastAsia" w:cs="Arial" w:asciiTheme="minorEastAsia" w:hAnsiTheme="minorEastAsia" w:eastAsiaTheme="minorEastAsia"/>
          <w:szCs w:val="21"/>
          <w:highlight w:val="none"/>
        </w:rPr>
        <w:t>第</w:t>
      </w:r>
      <w:r>
        <w:rPr>
          <w:rFonts w:hint="eastAsia" w:cs="Arial" w:asciiTheme="minorEastAsia" w:hAnsiTheme="minorEastAsia" w:eastAsiaTheme="minorEastAsia"/>
          <w:szCs w:val="21"/>
          <w:highlight w:val="none"/>
          <w:lang w:val="en-US" w:eastAsia="zh-CN"/>
        </w:rPr>
        <w:t>六</w:t>
      </w:r>
      <w:r>
        <w:rPr>
          <w:rFonts w:hint="eastAsia" w:cs="Arial" w:asciiTheme="minorEastAsia" w:hAnsiTheme="minorEastAsia" w:eastAsiaTheme="minorEastAsia"/>
          <w:szCs w:val="21"/>
          <w:highlight w:val="none"/>
        </w:rPr>
        <w:t>名</w:t>
      </w:r>
      <w:r>
        <w:rPr>
          <w:rFonts w:hint="eastAsia" w:cs="Arial" w:asciiTheme="minorEastAsia" w:hAnsiTheme="minorEastAsia" w:eastAsiaTheme="minorEastAsia"/>
          <w:szCs w:val="21"/>
          <w:highlight w:val="none"/>
          <w:lang w:val="en-US" w:eastAsia="zh-CN"/>
        </w:rPr>
        <w:t>3800</w:t>
      </w:r>
      <w:r>
        <w:rPr>
          <w:rFonts w:cs="Arial" w:asciiTheme="minorEastAsia" w:hAnsiTheme="minorEastAsia" w:eastAsiaTheme="minorEastAsia"/>
          <w:szCs w:val="21"/>
          <w:highlight w:val="none"/>
        </w:rPr>
        <w:t>万元</w:t>
      </w:r>
      <w:r>
        <w:rPr>
          <w:rFonts w:hint="eastAsia" w:cs="Arial" w:asciiTheme="minorEastAsia" w:hAnsiTheme="minorEastAsia" w:eastAsiaTheme="minorEastAsia"/>
          <w:szCs w:val="21"/>
          <w:highlight w:val="none"/>
          <w:lang w:eastAsia="zh-CN"/>
        </w:rPr>
        <w:t>；</w:t>
      </w:r>
      <w:r>
        <w:rPr>
          <w:rFonts w:hint="eastAsia" w:cs="Arial" w:asciiTheme="minorEastAsia" w:hAnsiTheme="minorEastAsia" w:eastAsiaTheme="minorEastAsia"/>
          <w:szCs w:val="21"/>
          <w:highlight w:val="none"/>
        </w:rPr>
        <w:t>第</w:t>
      </w:r>
      <w:r>
        <w:rPr>
          <w:rFonts w:hint="eastAsia" w:cs="Arial" w:asciiTheme="minorEastAsia" w:hAnsiTheme="minorEastAsia" w:eastAsiaTheme="minorEastAsia"/>
          <w:szCs w:val="21"/>
          <w:highlight w:val="none"/>
          <w:lang w:val="en-US" w:eastAsia="zh-CN"/>
        </w:rPr>
        <w:t>七</w:t>
      </w:r>
      <w:r>
        <w:rPr>
          <w:rFonts w:hint="eastAsia" w:cs="Arial" w:asciiTheme="minorEastAsia" w:hAnsiTheme="minorEastAsia" w:eastAsiaTheme="minorEastAsia"/>
          <w:szCs w:val="21"/>
          <w:highlight w:val="none"/>
        </w:rPr>
        <w:t>名</w:t>
      </w:r>
      <w:r>
        <w:rPr>
          <w:rFonts w:hint="eastAsia" w:cs="Arial" w:asciiTheme="minorEastAsia" w:hAnsiTheme="minorEastAsia" w:eastAsiaTheme="minorEastAsia"/>
          <w:szCs w:val="21"/>
          <w:highlight w:val="none"/>
          <w:lang w:val="en-US" w:eastAsia="zh-CN"/>
        </w:rPr>
        <w:t>3400</w:t>
      </w:r>
      <w:r>
        <w:rPr>
          <w:rFonts w:cs="Arial" w:asciiTheme="minorEastAsia" w:hAnsiTheme="minorEastAsia" w:eastAsiaTheme="minorEastAsia"/>
          <w:szCs w:val="21"/>
          <w:highlight w:val="none"/>
        </w:rPr>
        <w:t>万元</w:t>
      </w:r>
      <w:r>
        <w:rPr>
          <w:rFonts w:hint="eastAsia" w:cs="Arial" w:asciiTheme="minorEastAsia" w:hAnsiTheme="minorEastAsia" w:eastAsiaTheme="minorEastAsia"/>
          <w:szCs w:val="21"/>
          <w:highlight w:val="none"/>
          <w:lang w:eastAsia="zh-CN"/>
        </w:rPr>
        <w:t>；</w:t>
      </w:r>
      <w:r>
        <w:rPr>
          <w:rFonts w:hint="eastAsia" w:cs="Arial" w:asciiTheme="minorEastAsia" w:hAnsiTheme="minorEastAsia" w:eastAsiaTheme="minorEastAsia"/>
          <w:szCs w:val="21"/>
          <w:highlight w:val="none"/>
        </w:rPr>
        <w:t>第</w:t>
      </w:r>
      <w:r>
        <w:rPr>
          <w:rFonts w:hint="eastAsia" w:cs="Arial" w:asciiTheme="minorEastAsia" w:hAnsiTheme="minorEastAsia" w:eastAsiaTheme="minorEastAsia"/>
          <w:szCs w:val="21"/>
          <w:highlight w:val="none"/>
          <w:lang w:val="en-US" w:eastAsia="zh-CN"/>
        </w:rPr>
        <w:t>八</w:t>
      </w:r>
      <w:r>
        <w:rPr>
          <w:rFonts w:hint="eastAsia" w:cs="Arial" w:asciiTheme="minorEastAsia" w:hAnsiTheme="minorEastAsia" w:eastAsiaTheme="minorEastAsia"/>
          <w:szCs w:val="21"/>
          <w:highlight w:val="none"/>
        </w:rPr>
        <w:t>名</w:t>
      </w:r>
      <w:r>
        <w:rPr>
          <w:rFonts w:hint="eastAsia" w:cs="Arial" w:asciiTheme="minorEastAsia" w:hAnsiTheme="minorEastAsia" w:eastAsiaTheme="minorEastAsia"/>
          <w:szCs w:val="21"/>
          <w:highlight w:val="none"/>
          <w:lang w:val="en-US" w:eastAsia="zh-CN"/>
        </w:rPr>
        <w:t>3400</w:t>
      </w:r>
      <w:r>
        <w:rPr>
          <w:rFonts w:cs="Arial" w:asciiTheme="minorEastAsia" w:hAnsiTheme="minorEastAsia" w:eastAsiaTheme="minorEastAsia"/>
          <w:szCs w:val="21"/>
          <w:highlight w:val="none"/>
        </w:rPr>
        <w:t>万元</w:t>
      </w:r>
      <w:r>
        <w:rPr>
          <w:rFonts w:cs="Arial" w:asciiTheme="minorEastAsia" w:hAnsiTheme="minorEastAsia" w:eastAsiaTheme="minorEastAsia"/>
          <w:color w:val="auto"/>
          <w:szCs w:val="21"/>
          <w:highlight w:val="none"/>
        </w:rPr>
        <w:t>。</w:t>
      </w:r>
    </w:p>
    <w:p w14:paraId="43C59805">
      <w:pPr>
        <w:snapToGrid w:val="0"/>
        <w:spacing w:line="360" w:lineRule="auto"/>
        <w:ind w:firstLine="420"/>
        <w:rPr>
          <w:rFonts w:hint="eastAsia"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每一投标银行最多可投标份数为1份。中标结果确定后存3个月定期，且一次招标一次存放完成。</w:t>
      </w:r>
    </w:p>
    <w:p w14:paraId="4571F659">
      <w:pPr>
        <w:pStyle w:val="36"/>
        <w:spacing w:line="360" w:lineRule="auto"/>
        <w:outlineLvl w:val="9"/>
        <w:rPr>
          <w:rFonts w:hint="eastAsia" w:asciiTheme="minorEastAsia" w:hAnsiTheme="minorEastAsia" w:eastAsiaTheme="minorEastAsia"/>
          <w:color w:val="auto"/>
          <w:highlight w:val="none"/>
        </w:rPr>
        <w:sectPr>
          <w:pgSz w:w="11907" w:h="16840"/>
          <w:pgMar w:top="1440" w:right="1797" w:bottom="1440" w:left="1797" w:header="851" w:footer="851" w:gutter="0"/>
          <w:cols w:space="425" w:num="1"/>
          <w:titlePg/>
          <w:docGrid w:type="lines" w:linePitch="312" w:charSpace="0"/>
        </w:sectPr>
      </w:pPr>
      <w:bookmarkStart w:id="17" w:name="_Toc9342478"/>
      <w:bookmarkStart w:id="18" w:name="_Toc11650168"/>
    </w:p>
    <w:p w14:paraId="30EB740B">
      <w:pPr>
        <w:pStyle w:val="36"/>
        <w:numPr>
          <w:ilvl w:val="0"/>
          <w:numId w:val="3"/>
        </w:numPr>
        <w:spacing w:line="360" w:lineRule="auto"/>
        <w:rPr>
          <w:rFonts w:hint="eastAsia" w:asciiTheme="minorEastAsia" w:hAnsiTheme="minorEastAsia" w:eastAsiaTheme="minorEastAsia"/>
          <w:color w:val="auto"/>
          <w:highlight w:val="none"/>
        </w:rPr>
      </w:pPr>
      <w:bookmarkStart w:id="19" w:name="_Toc98019234"/>
      <w:r>
        <w:rPr>
          <w:rFonts w:hint="eastAsia" w:asciiTheme="minorEastAsia" w:hAnsiTheme="minorEastAsia" w:eastAsiaTheme="minorEastAsia"/>
          <w:color w:val="auto"/>
          <w:highlight w:val="none"/>
        </w:rPr>
        <w:t>投标人须知</w:t>
      </w:r>
      <w:bookmarkEnd w:id="17"/>
      <w:bookmarkEnd w:id="18"/>
      <w:bookmarkEnd w:id="19"/>
    </w:p>
    <w:tbl>
      <w:tblPr>
        <w:tblStyle w:val="39"/>
        <w:tblW w:w="918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00"/>
        <w:gridCol w:w="8480"/>
      </w:tblGrid>
      <w:tr w14:paraId="4F44D7F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0" w:hRule="atLeast"/>
          <w:jc w:val="center"/>
        </w:trPr>
        <w:tc>
          <w:tcPr>
            <w:tcW w:w="700" w:type="dxa"/>
            <w:tcBorders>
              <w:top w:val="single" w:color="auto" w:sz="4" w:space="0"/>
              <w:left w:val="single" w:color="auto" w:sz="4" w:space="0"/>
              <w:bottom w:val="single" w:color="auto" w:sz="4" w:space="0"/>
              <w:right w:val="single" w:color="auto" w:sz="4" w:space="0"/>
            </w:tcBorders>
            <w:vAlign w:val="center"/>
          </w:tcPr>
          <w:p w14:paraId="038727FA">
            <w:pPr>
              <w:snapToGrid w:val="0"/>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序号</w:t>
            </w:r>
          </w:p>
        </w:tc>
        <w:tc>
          <w:tcPr>
            <w:tcW w:w="8480" w:type="dxa"/>
            <w:tcBorders>
              <w:top w:val="single" w:color="auto" w:sz="4" w:space="0"/>
              <w:left w:val="single" w:color="auto" w:sz="4" w:space="0"/>
              <w:bottom w:val="single" w:color="auto" w:sz="4" w:space="0"/>
              <w:right w:val="single" w:color="auto" w:sz="4" w:space="0"/>
            </w:tcBorders>
            <w:vAlign w:val="center"/>
          </w:tcPr>
          <w:p w14:paraId="7637DB08">
            <w:pPr>
              <w:snapToGrid w:val="0"/>
              <w:spacing w:line="360" w:lineRule="auto"/>
              <w:jc w:val="center"/>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内容、要求</w:t>
            </w:r>
          </w:p>
        </w:tc>
      </w:tr>
      <w:tr w14:paraId="769D039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70" w:hRule="atLeast"/>
          <w:jc w:val="center"/>
        </w:trPr>
        <w:tc>
          <w:tcPr>
            <w:tcW w:w="700" w:type="dxa"/>
            <w:tcBorders>
              <w:top w:val="single" w:color="auto" w:sz="4" w:space="0"/>
              <w:left w:val="single" w:color="auto" w:sz="4" w:space="0"/>
              <w:bottom w:val="single" w:color="auto" w:sz="4" w:space="0"/>
              <w:right w:val="single" w:color="auto" w:sz="4" w:space="0"/>
            </w:tcBorders>
            <w:vAlign w:val="center"/>
          </w:tcPr>
          <w:p w14:paraId="490F4316">
            <w:pPr>
              <w:snapToGrid w:val="0"/>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w:t>
            </w:r>
          </w:p>
        </w:tc>
        <w:tc>
          <w:tcPr>
            <w:tcW w:w="8480" w:type="dxa"/>
            <w:tcBorders>
              <w:top w:val="single" w:color="auto" w:sz="4" w:space="0"/>
              <w:left w:val="single" w:color="auto" w:sz="4" w:space="0"/>
              <w:bottom w:val="single" w:color="auto" w:sz="4" w:space="0"/>
              <w:right w:val="single" w:color="auto" w:sz="4" w:space="0"/>
            </w:tcBorders>
            <w:vAlign w:val="center"/>
          </w:tcPr>
          <w:p w14:paraId="79921841">
            <w:pPr>
              <w:snapToGrid w:val="0"/>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项目名称：</w:t>
            </w:r>
            <w:r>
              <w:rPr>
                <w:rFonts w:hint="eastAsia" w:asciiTheme="minorEastAsia" w:hAnsiTheme="minorEastAsia" w:eastAsiaTheme="minorEastAsia"/>
                <w:color w:val="auto"/>
                <w:highlight w:val="none"/>
                <w:lang w:eastAsia="zh-CN"/>
              </w:rPr>
              <w:t>2025年（第二期）</w:t>
            </w:r>
            <w:r>
              <w:rPr>
                <w:rFonts w:hint="eastAsia" w:asciiTheme="minorEastAsia" w:hAnsiTheme="minorEastAsia" w:eastAsiaTheme="minorEastAsia"/>
                <w:color w:val="auto"/>
                <w:highlight w:val="none"/>
              </w:rPr>
              <w:t>嘉兴经济技术开发区公共资金竞争性存放项目</w:t>
            </w:r>
          </w:p>
        </w:tc>
      </w:tr>
      <w:tr w14:paraId="24F57B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5" w:hRule="atLeast"/>
          <w:jc w:val="center"/>
        </w:trPr>
        <w:tc>
          <w:tcPr>
            <w:tcW w:w="700" w:type="dxa"/>
            <w:tcBorders>
              <w:top w:val="single" w:color="auto" w:sz="4" w:space="0"/>
              <w:left w:val="single" w:color="auto" w:sz="4" w:space="0"/>
              <w:bottom w:val="single" w:color="auto" w:sz="4" w:space="0"/>
              <w:right w:val="single" w:color="auto" w:sz="4" w:space="0"/>
            </w:tcBorders>
            <w:vAlign w:val="center"/>
          </w:tcPr>
          <w:p w14:paraId="4FC4D1DE">
            <w:pPr>
              <w:snapToGrid w:val="0"/>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w:t>
            </w:r>
          </w:p>
        </w:tc>
        <w:tc>
          <w:tcPr>
            <w:tcW w:w="8480" w:type="dxa"/>
            <w:tcBorders>
              <w:top w:val="single" w:color="auto" w:sz="4" w:space="0"/>
              <w:left w:val="single" w:color="auto" w:sz="4" w:space="0"/>
              <w:bottom w:val="single" w:color="auto" w:sz="4" w:space="0"/>
              <w:right w:val="single" w:color="auto" w:sz="4" w:space="0"/>
            </w:tcBorders>
            <w:vAlign w:val="center"/>
          </w:tcPr>
          <w:p w14:paraId="574FA732">
            <w:pPr>
              <w:snapToGrid w:val="0"/>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招标内容：</w:t>
            </w:r>
            <w:r>
              <w:rPr>
                <w:rFonts w:hint="eastAsia" w:asciiTheme="minorEastAsia" w:hAnsiTheme="minorEastAsia" w:eastAsiaTheme="minorEastAsia"/>
                <w:color w:val="auto"/>
                <w:highlight w:val="none"/>
              </w:rPr>
              <w:t>公款竞争性存放</w:t>
            </w:r>
            <w:r>
              <w:rPr>
                <w:rFonts w:hint="eastAsia" w:cs="Arial" w:asciiTheme="minorEastAsia" w:hAnsiTheme="minorEastAsia" w:eastAsiaTheme="minorEastAsia"/>
                <w:color w:val="auto"/>
                <w:szCs w:val="21"/>
                <w:highlight w:val="none"/>
              </w:rPr>
              <w:t>。</w:t>
            </w:r>
          </w:p>
        </w:tc>
      </w:tr>
      <w:tr w14:paraId="09603C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32" w:hRule="atLeast"/>
          <w:jc w:val="center"/>
        </w:trPr>
        <w:tc>
          <w:tcPr>
            <w:tcW w:w="700" w:type="dxa"/>
            <w:tcBorders>
              <w:top w:val="single" w:color="auto" w:sz="4" w:space="0"/>
              <w:left w:val="single" w:color="auto" w:sz="4" w:space="0"/>
              <w:bottom w:val="single" w:color="auto" w:sz="4" w:space="0"/>
              <w:right w:val="single" w:color="auto" w:sz="4" w:space="0"/>
            </w:tcBorders>
            <w:vAlign w:val="center"/>
          </w:tcPr>
          <w:p w14:paraId="03C979F9">
            <w:pPr>
              <w:snapToGrid w:val="0"/>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w:t>
            </w:r>
          </w:p>
        </w:tc>
        <w:tc>
          <w:tcPr>
            <w:tcW w:w="8480" w:type="dxa"/>
            <w:tcBorders>
              <w:top w:val="single" w:color="auto" w:sz="4" w:space="0"/>
              <w:left w:val="single" w:color="auto" w:sz="4" w:space="0"/>
              <w:bottom w:val="single" w:color="auto" w:sz="4" w:space="0"/>
              <w:right w:val="single" w:color="auto" w:sz="4" w:space="0"/>
            </w:tcBorders>
            <w:vAlign w:val="center"/>
          </w:tcPr>
          <w:p w14:paraId="7D78BCFE">
            <w:pPr>
              <w:snapToGrid w:val="0"/>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投标报价及费用：</w:t>
            </w:r>
          </w:p>
          <w:p w14:paraId="6A76724A">
            <w:pPr>
              <w:snapToGrid w:val="0"/>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1、本项目投标应以人民币报价；</w:t>
            </w:r>
          </w:p>
          <w:p w14:paraId="591B6E91">
            <w:pPr>
              <w:snapToGrid w:val="0"/>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2、不论投标结果如何，投标人均应自行承担所有与投标有关的全部费用。</w:t>
            </w:r>
          </w:p>
        </w:tc>
      </w:tr>
      <w:tr w14:paraId="153F65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5" w:hRule="atLeast"/>
          <w:jc w:val="center"/>
        </w:trPr>
        <w:tc>
          <w:tcPr>
            <w:tcW w:w="700" w:type="dxa"/>
            <w:tcBorders>
              <w:top w:val="single" w:color="auto" w:sz="4" w:space="0"/>
              <w:left w:val="single" w:color="auto" w:sz="4" w:space="0"/>
              <w:bottom w:val="single" w:color="auto" w:sz="4" w:space="0"/>
              <w:right w:val="single" w:color="auto" w:sz="4" w:space="0"/>
            </w:tcBorders>
            <w:vAlign w:val="center"/>
          </w:tcPr>
          <w:p w14:paraId="5B9D8590">
            <w:pPr>
              <w:snapToGrid w:val="0"/>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4</w:t>
            </w:r>
          </w:p>
        </w:tc>
        <w:tc>
          <w:tcPr>
            <w:tcW w:w="8480" w:type="dxa"/>
            <w:tcBorders>
              <w:top w:val="single" w:color="auto" w:sz="4" w:space="0"/>
              <w:left w:val="single" w:color="auto" w:sz="4" w:space="0"/>
              <w:bottom w:val="single" w:color="auto" w:sz="4" w:space="0"/>
              <w:right w:val="single" w:color="auto" w:sz="4" w:space="0"/>
            </w:tcBorders>
            <w:vAlign w:val="center"/>
          </w:tcPr>
          <w:p w14:paraId="6E8829AC">
            <w:pPr>
              <w:snapToGrid w:val="0"/>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投标人获取招标文件后，可与招标单位联系。</w:t>
            </w:r>
          </w:p>
        </w:tc>
      </w:tr>
      <w:tr w14:paraId="55BD26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46" w:hRule="atLeast"/>
          <w:jc w:val="center"/>
        </w:trPr>
        <w:tc>
          <w:tcPr>
            <w:tcW w:w="700" w:type="dxa"/>
            <w:tcBorders>
              <w:top w:val="single" w:color="auto" w:sz="4" w:space="0"/>
              <w:left w:val="single" w:color="auto" w:sz="4" w:space="0"/>
              <w:bottom w:val="single" w:color="auto" w:sz="4" w:space="0"/>
              <w:right w:val="single" w:color="auto" w:sz="4" w:space="0"/>
            </w:tcBorders>
            <w:vAlign w:val="center"/>
          </w:tcPr>
          <w:p w14:paraId="36FA11FF">
            <w:pPr>
              <w:snapToGrid w:val="0"/>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5</w:t>
            </w:r>
          </w:p>
        </w:tc>
        <w:tc>
          <w:tcPr>
            <w:tcW w:w="8480" w:type="dxa"/>
            <w:tcBorders>
              <w:top w:val="single" w:color="auto" w:sz="4" w:space="0"/>
              <w:left w:val="single" w:color="auto" w:sz="4" w:space="0"/>
              <w:bottom w:val="single" w:color="auto" w:sz="4" w:space="0"/>
              <w:right w:val="single" w:color="auto" w:sz="4" w:space="0"/>
            </w:tcBorders>
            <w:vAlign w:val="center"/>
          </w:tcPr>
          <w:p w14:paraId="41107614">
            <w:pPr>
              <w:snapToGrid w:val="0"/>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答疑与澄清：投标人应认真阅读本招标文件，发现其中有误或不理解的，投标人必须在2025年0</w:t>
            </w:r>
            <w:r>
              <w:rPr>
                <w:rFonts w:hint="eastAsia" w:asciiTheme="minorEastAsia" w:hAnsiTheme="minorEastAsia" w:eastAsiaTheme="minorEastAsia"/>
                <w:color w:val="auto"/>
                <w:szCs w:val="21"/>
                <w:highlight w:val="none"/>
                <w:lang w:val="en-US" w:eastAsia="zh-CN"/>
              </w:rPr>
              <w:t>4</w:t>
            </w:r>
            <w:r>
              <w:rPr>
                <w:rFonts w:hint="eastAsia" w:asciiTheme="minorEastAsia" w:hAnsiTheme="minorEastAsia" w:eastAsiaTheme="minorEastAsia"/>
                <w:color w:val="auto"/>
                <w:szCs w:val="21"/>
                <w:highlight w:val="none"/>
              </w:rPr>
              <w:t>月</w:t>
            </w:r>
            <w:r>
              <w:rPr>
                <w:rFonts w:hint="eastAsia" w:asciiTheme="minorEastAsia" w:hAnsiTheme="minorEastAsia" w:eastAsiaTheme="minorEastAsia"/>
                <w:color w:val="auto"/>
                <w:szCs w:val="21"/>
                <w:highlight w:val="none"/>
                <w:lang w:val="en-US" w:eastAsia="zh-CN"/>
              </w:rPr>
              <w:t>11</w:t>
            </w:r>
            <w:r>
              <w:rPr>
                <w:rFonts w:hint="eastAsia" w:asciiTheme="minorEastAsia" w:hAnsiTheme="minorEastAsia" w:eastAsiaTheme="minorEastAsia"/>
                <w:color w:val="auto"/>
                <w:szCs w:val="21"/>
                <w:highlight w:val="none"/>
              </w:rPr>
              <w:t>日16时00分前以书面形式要求采购代理机构澄清，否则，由此产生的后果由投标人负责。</w:t>
            </w:r>
          </w:p>
        </w:tc>
      </w:tr>
      <w:tr w14:paraId="1D394A4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2" w:hRule="atLeast"/>
          <w:jc w:val="center"/>
        </w:trPr>
        <w:tc>
          <w:tcPr>
            <w:tcW w:w="700" w:type="dxa"/>
            <w:tcBorders>
              <w:top w:val="single" w:color="auto" w:sz="4" w:space="0"/>
              <w:left w:val="single" w:color="auto" w:sz="4" w:space="0"/>
              <w:bottom w:val="single" w:color="auto" w:sz="4" w:space="0"/>
              <w:right w:val="single" w:color="auto" w:sz="4" w:space="0"/>
            </w:tcBorders>
            <w:vAlign w:val="center"/>
          </w:tcPr>
          <w:p w14:paraId="7B0A0579">
            <w:pPr>
              <w:snapToGrid w:val="0"/>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6</w:t>
            </w:r>
          </w:p>
        </w:tc>
        <w:tc>
          <w:tcPr>
            <w:tcW w:w="8480" w:type="dxa"/>
            <w:tcBorders>
              <w:top w:val="single" w:color="auto" w:sz="4" w:space="0"/>
              <w:left w:val="single" w:color="auto" w:sz="4" w:space="0"/>
              <w:bottom w:val="single" w:color="auto" w:sz="4" w:space="0"/>
              <w:right w:val="single" w:color="auto" w:sz="4" w:space="0"/>
            </w:tcBorders>
            <w:vAlign w:val="center"/>
          </w:tcPr>
          <w:p w14:paraId="4840F237">
            <w:pPr>
              <w:snapToGrid w:val="0"/>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线下投标文件组成：投标文件的资信技术文件和投标报价文件装订成一本，正本</w:t>
            </w:r>
            <w:r>
              <w:rPr>
                <w:rFonts w:hint="eastAsia" w:cs="Arial" w:asciiTheme="minorEastAsia" w:hAnsiTheme="minorEastAsia" w:eastAsiaTheme="minorEastAsia"/>
                <w:color w:val="auto"/>
                <w:szCs w:val="21"/>
                <w:highlight w:val="none"/>
              </w:rPr>
              <w:t>1</w:t>
            </w:r>
            <w:r>
              <w:rPr>
                <w:rFonts w:hint="eastAsia" w:asciiTheme="minorEastAsia" w:hAnsiTheme="minorEastAsia" w:eastAsiaTheme="minorEastAsia"/>
                <w:color w:val="auto"/>
                <w:szCs w:val="21"/>
                <w:highlight w:val="none"/>
              </w:rPr>
              <w:t>份副本</w:t>
            </w:r>
            <w:r>
              <w:rPr>
                <w:rFonts w:hint="eastAsia" w:cs="Arial" w:asciiTheme="minorEastAsia" w:hAnsiTheme="minorEastAsia" w:eastAsiaTheme="minorEastAsia"/>
                <w:color w:val="auto"/>
                <w:szCs w:val="21"/>
                <w:highlight w:val="none"/>
              </w:rPr>
              <w:t>1</w:t>
            </w:r>
            <w:r>
              <w:rPr>
                <w:rFonts w:hint="eastAsia" w:asciiTheme="minorEastAsia" w:hAnsiTheme="minorEastAsia" w:eastAsiaTheme="minorEastAsia"/>
                <w:color w:val="auto"/>
                <w:szCs w:val="21"/>
                <w:highlight w:val="none"/>
              </w:rPr>
              <w:t>份。</w:t>
            </w:r>
          </w:p>
        </w:tc>
      </w:tr>
      <w:tr w14:paraId="1281D29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9" w:hRule="atLeast"/>
          <w:jc w:val="center"/>
        </w:trPr>
        <w:tc>
          <w:tcPr>
            <w:tcW w:w="700" w:type="dxa"/>
            <w:tcBorders>
              <w:top w:val="single" w:color="auto" w:sz="4" w:space="0"/>
              <w:left w:val="single" w:color="auto" w:sz="4" w:space="0"/>
              <w:bottom w:val="single" w:color="auto" w:sz="4" w:space="0"/>
              <w:right w:val="single" w:color="auto" w:sz="4" w:space="0"/>
            </w:tcBorders>
            <w:vAlign w:val="center"/>
          </w:tcPr>
          <w:p w14:paraId="7FE811EB">
            <w:pPr>
              <w:snapToGrid w:val="0"/>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7</w:t>
            </w:r>
          </w:p>
        </w:tc>
        <w:tc>
          <w:tcPr>
            <w:tcW w:w="8480" w:type="dxa"/>
            <w:tcBorders>
              <w:top w:val="single" w:color="auto" w:sz="4" w:space="0"/>
              <w:left w:val="single" w:color="auto" w:sz="4" w:space="0"/>
              <w:bottom w:val="single" w:color="auto" w:sz="4" w:space="0"/>
              <w:right w:val="single" w:color="auto" w:sz="4" w:space="0"/>
            </w:tcBorders>
            <w:vAlign w:val="center"/>
          </w:tcPr>
          <w:p w14:paraId="3E88F4A4">
            <w:pPr>
              <w:snapToGrid w:val="0"/>
              <w:spacing w:line="360" w:lineRule="auto"/>
              <w:rPr>
                <w:rFonts w:hint="eastAsia" w:cs="Arial"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线下投标截止时间及地点：投标人应于：</w:t>
            </w:r>
            <w:r>
              <w:rPr>
                <w:rFonts w:hint="eastAsia" w:cs="Arial" w:asciiTheme="minorEastAsia" w:hAnsiTheme="minorEastAsia" w:eastAsiaTheme="minorEastAsia"/>
                <w:color w:val="auto"/>
                <w:szCs w:val="21"/>
                <w:highlight w:val="none"/>
              </w:rPr>
              <w:t>2025年0</w:t>
            </w:r>
            <w:r>
              <w:rPr>
                <w:rFonts w:hint="eastAsia" w:cs="Arial" w:asciiTheme="minorEastAsia" w:hAnsiTheme="minorEastAsia" w:eastAsiaTheme="minorEastAsia"/>
                <w:color w:val="auto"/>
                <w:szCs w:val="21"/>
                <w:highlight w:val="none"/>
                <w:lang w:val="en-US" w:eastAsia="zh-CN"/>
              </w:rPr>
              <w:t>4</w:t>
            </w:r>
            <w:r>
              <w:rPr>
                <w:rFonts w:hint="eastAsia" w:cs="Arial" w:asciiTheme="minorEastAsia" w:hAnsiTheme="minorEastAsia" w:eastAsiaTheme="minorEastAsia"/>
                <w:color w:val="auto"/>
                <w:szCs w:val="21"/>
                <w:highlight w:val="none"/>
              </w:rPr>
              <w:t>月</w:t>
            </w:r>
            <w:r>
              <w:rPr>
                <w:rFonts w:hint="eastAsia" w:cs="Arial" w:asciiTheme="minorEastAsia" w:hAnsiTheme="minorEastAsia" w:eastAsiaTheme="minorEastAsia"/>
                <w:color w:val="auto"/>
                <w:szCs w:val="21"/>
                <w:highlight w:val="none"/>
                <w:lang w:val="en-US" w:eastAsia="zh-CN"/>
              </w:rPr>
              <w:t>21</w:t>
            </w:r>
            <w:r>
              <w:rPr>
                <w:rFonts w:hint="eastAsia" w:cs="Arial" w:asciiTheme="minorEastAsia" w:hAnsiTheme="minorEastAsia" w:eastAsiaTheme="minorEastAsia"/>
                <w:color w:val="auto"/>
                <w:szCs w:val="21"/>
                <w:highlight w:val="none"/>
              </w:rPr>
              <w:t>日14：00</w:t>
            </w:r>
            <w:r>
              <w:rPr>
                <w:rFonts w:hint="eastAsia" w:asciiTheme="minorEastAsia" w:hAnsiTheme="minorEastAsia" w:eastAsiaTheme="minorEastAsia"/>
                <w:color w:val="auto"/>
                <w:szCs w:val="21"/>
                <w:highlight w:val="none"/>
              </w:rPr>
              <w:t>前将纸质投标文件装袋密封后，通过邮寄快递（或直接送达）方式邮寄（或直接送达）至嘉兴市千秋工程咨询有限公司。密封袋上接缝处需加盖投标人单位公章。（注：①邮寄或直接送达地址：浙江省嘉兴市秀洲区新平路299号中禾广场</w:t>
            </w:r>
            <w:r>
              <w:rPr>
                <w:rFonts w:hint="eastAsia" w:asciiTheme="minorEastAsia" w:hAnsiTheme="minorEastAsia" w:eastAsiaTheme="minorEastAsia"/>
                <w:color w:val="auto"/>
                <w:szCs w:val="21"/>
                <w:highlight w:val="none"/>
                <w:lang w:val="en-US" w:eastAsia="zh-CN"/>
              </w:rPr>
              <w:t>17A</w:t>
            </w:r>
            <w:r>
              <w:rPr>
                <w:rFonts w:hint="eastAsia" w:asciiTheme="minorEastAsia" w:hAnsiTheme="minorEastAsia" w:eastAsiaTheme="minorEastAsia"/>
                <w:color w:val="auto"/>
                <w:szCs w:val="21"/>
                <w:highlight w:val="none"/>
              </w:rPr>
              <w:t>楼</w:t>
            </w:r>
            <w:r>
              <w:rPr>
                <w:rFonts w:hint="eastAsia" w:asciiTheme="minorEastAsia" w:hAnsiTheme="minorEastAsia" w:eastAsiaTheme="minorEastAsia"/>
                <w:color w:val="auto"/>
                <w:szCs w:val="21"/>
                <w:highlight w:val="none"/>
                <w:lang w:eastAsia="zh-CN"/>
              </w:rPr>
              <w:t>（</w:t>
            </w:r>
            <w:r>
              <w:rPr>
                <w:rFonts w:hint="eastAsia" w:asciiTheme="minorEastAsia" w:hAnsiTheme="minorEastAsia" w:eastAsiaTheme="minorEastAsia"/>
                <w:color w:val="auto"/>
                <w:szCs w:val="21"/>
                <w:highlight w:val="none"/>
              </w:rPr>
              <w:t>嘉兴市千秋工程咨询有限公司</w:t>
            </w:r>
            <w:r>
              <w:rPr>
                <w:rFonts w:hint="eastAsia" w:asciiTheme="minorEastAsia" w:hAnsiTheme="minorEastAsia" w:eastAsiaTheme="minorEastAsia"/>
                <w:color w:val="auto"/>
                <w:szCs w:val="21"/>
                <w:highlight w:val="none"/>
                <w:lang w:val="en-US" w:eastAsia="zh-CN"/>
              </w:rPr>
              <w:t>政府采购办公室）</w:t>
            </w:r>
            <w:r>
              <w:rPr>
                <w:rFonts w:hint="eastAsia" w:asciiTheme="minorEastAsia" w:hAnsiTheme="minorEastAsia" w:eastAsiaTheme="minorEastAsia"/>
                <w:color w:val="auto"/>
                <w:szCs w:val="21"/>
                <w:highlight w:val="none"/>
              </w:rPr>
              <w:t>，收件人：章莉莉，联系电话：13605735186；②若投标人采用寄件方式递交投标文件的，请务必在密封袋上注明联系人姓名及联系电话，以便于代理公司工作人员及时通知投标人确认投标文件的接收情况；③由代理公司工作人员做好投标文件交接签收记录，鉴于快递送达时间存在一定的不确定因素，投标人应充分考虑投标文件制作及投标文件邮寄所需的时间，由于快递邮寄原因不能按时寄达的，后果由投标人自负。）</w:t>
            </w:r>
          </w:p>
        </w:tc>
      </w:tr>
      <w:tr w14:paraId="20B826A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20" w:hRule="atLeast"/>
          <w:jc w:val="center"/>
        </w:trPr>
        <w:tc>
          <w:tcPr>
            <w:tcW w:w="700" w:type="dxa"/>
            <w:tcBorders>
              <w:top w:val="single" w:color="auto" w:sz="4" w:space="0"/>
              <w:left w:val="single" w:color="auto" w:sz="4" w:space="0"/>
              <w:bottom w:val="single" w:color="auto" w:sz="4" w:space="0"/>
              <w:right w:val="single" w:color="auto" w:sz="4" w:space="0"/>
            </w:tcBorders>
            <w:vAlign w:val="center"/>
          </w:tcPr>
          <w:p w14:paraId="13805764">
            <w:pPr>
              <w:snapToGrid w:val="0"/>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8</w:t>
            </w:r>
          </w:p>
        </w:tc>
        <w:tc>
          <w:tcPr>
            <w:tcW w:w="8480" w:type="dxa"/>
            <w:tcBorders>
              <w:top w:val="single" w:color="auto" w:sz="4" w:space="0"/>
              <w:left w:val="single" w:color="auto" w:sz="4" w:space="0"/>
              <w:bottom w:val="single" w:color="auto" w:sz="4" w:space="0"/>
              <w:right w:val="single" w:color="auto" w:sz="4" w:space="0"/>
            </w:tcBorders>
            <w:vAlign w:val="center"/>
          </w:tcPr>
          <w:p w14:paraId="5C46CCD9">
            <w:pPr>
              <w:snapToGrid w:val="0"/>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开标时间及地点：</w:t>
            </w:r>
            <w:r>
              <w:rPr>
                <w:rFonts w:hint="eastAsia" w:cs="Arial" w:asciiTheme="minorEastAsia" w:hAnsiTheme="minorEastAsia" w:eastAsiaTheme="minorEastAsia"/>
                <w:color w:val="auto"/>
                <w:szCs w:val="21"/>
                <w:highlight w:val="none"/>
              </w:rPr>
              <w:t>2025年0</w:t>
            </w:r>
            <w:r>
              <w:rPr>
                <w:rFonts w:hint="eastAsia" w:cs="Arial" w:asciiTheme="minorEastAsia" w:hAnsiTheme="minorEastAsia" w:eastAsiaTheme="minorEastAsia"/>
                <w:color w:val="auto"/>
                <w:szCs w:val="21"/>
                <w:highlight w:val="none"/>
                <w:lang w:val="en-US" w:eastAsia="zh-CN"/>
              </w:rPr>
              <w:t>4</w:t>
            </w:r>
            <w:r>
              <w:rPr>
                <w:rFonts w:hint="eastAsia" w:cs="Arial" w:asciiTheme="minorEastAsia" w:hAnsiTheme="minorEastAsia" w:eastAsiaTheme="minorEastAsia"/>
                <w:color w:val="auto"/>
                <w:szCs w:val="21"/>
                <w:highlight w:val="none"/>
              </w:rPr>
              <w:t>月</w:t>
            </w:r>
            <w:r>
              <w:rPr>
                <w:rFonts w:hint="eastAsia" w:cs="Arial" w:asciiTheme="minorEastAsia" w:hAnsiTheme="minorEastAsia" w:eastAsiaTheme="minorEastAsia"/>
                <w:color w:val="auto"/>
                <w:szCs w:val="21"/>
                <w:highlight w:val="none"/>
                <w:lang w:val="en-US" w:eastAsia="zh-CN"/>
              </w:rPr>
              <w:t>21</w:t>
            </w:r>
            <w:r>
              <w:rPr>
                <w:rFonts w:hint="eastAsia" w:cs="Arial" w:asciiTheme="minorEastAsia" w:hAnsiTheme="minorEastAsia" w:eastAsiaTheme="minorEastAsia"/>
                <w:color w:val="auto"/>
                <w:szCs w:val="21"/>
                <w:highlight w:val="none"/>
              </w:rPr>
              <w:t>日14：00在嘉兴市千秋工程咨询有限公司</w:t>
            </w:r>
            <w:r>
              <w:rPr>
                <w:rFonts w:hint="eastAsia" w:cs="Arial" w:asciiTheme="minorEastAsia" w:hAnsiTheme="minorEastAsia" w:eastAsiaTheme="minorEastAsia"/>
                <w:color w:val="auto"/>
                <w:szCs w:val="21"/>
                <w:highlight w:val="none"/>
                <w:lang w:val="en-US" w:eastAsia="zh-CN"/>
              </w:rPr>
              <w:t>一</w:t>
            </w:r>
            <w:r>
              <w:rPr>
                <w:rFonts w:hint="eastAsia" w:cs="Arial" w:asciiTheme="minorEastAsia" w:hAnsiTheme="minorEastAsia" w:eastAsiaTheme="minorEastAsia"/>
                <w:color w:val="auto"/>
                <w:szCs w:val="21"/>
                <w:highlight w:val="none"/>
              </w:rPr>
              <w:t>号会议室（嘉兴市秀洲区新平路299号中禾广场</w:t>
            </w:r>
            <w:r>
              <w:rPr>
                <w:rFonts w:hint="eastAsia" w:cs="Arial" w:asciiTheme="minorEastAsia" w:hAnsiTheme="minorEastAsia" w:eastAsiaTheme="minorEastAsia"/>
                <w:color w:val="auto"/>
                <w:szCs w:val="21"/>
                <w:highlight w:val="none"/>
                <w:lang w:val="en-US" w:eastAsia="zh-CN"/>
              </w:rPr>
              <w:t>17A右侧</w:t>
            </w:r>
            <w:r>
              <w:rPr>
                <w:rFonts w:hint="eastAsia" w:cs="Arial" w:asciiTheme="minorEastAsia" w:hAnsiTheme="minorEastAsia" w:eastAsiaTheme="minorEastAsia"/>
                <w:color w:val="auto"/>
                <w:szCs w:val="21"/>
                <w:highlight w:val="none"/>
              </w:rPr>
              <w:t>）</w:t>
            </w:r>
            <w:r>
              <w:rPr>
                <w:rFonts w:hint="eastAsia" w:asciiTheme="minorEastAsia" w:hAnsiTheme="minorEastAsia" w:eastAsiaTheme="minorEastAsia"/>
                <w:color w:val="auto"/>
                <w:szCs w:val="21"/>
                <w:highlight w:val="none"/>
              </w:rPr>
              <w:t>开</w:t>
            </w:r>
            <w:r>
              <w:rPr>
                <w:rFonts w:hint="eastAsia" w:cs="Arial" w:asciiTheme="minorEastAsia" w:hAnsiTheme="minorEastAsia" w:eastAsiaTheme="minorEastAsia"/>
                <w:color w:val="auto"/>
                <w:szCs w:val="21"/>
                <w:highlight w:val="none"/>
              </w:rPr>
              <w:t>标。</w:t>
            </w:r>
            <w:r>
              <w:rPr>
                <w:rFonts w:hint="eastAsia" w:asciiTheme="minorEastAsia" w:hAnsiTheme="minorEastAsia" w:eastAsiaTheme="minorEastAsia"/>
                <w:color w:val="auto"/>
                <w:kern w:val="0"/>
                <w:szCs w:val="21"/>
                <w:highlight w:val="none"/>
              </w:rPr>
              <w:t>本项目不要求投标人至开标现场参加开标及开启投标文件活动。</w:t>
            </w:r>
          </w:p>
        </w:tc>
      </w:tr>
      <w:tr w14:paraId="5C135E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5" w:hRule="atLeast"/>
          <w:jc w:val="center"/>
        </w:trPr>
        <w:tc>
          <w:tcPr>
            <w:tcW w:w="700" w:type="dxa"/>
            <w:tcBorders>
              <w:top w:val="single" w:color="auto" w:sz="4" w:space="0"/>
              <w:left w:val="single" w:color="auto" w:sz="4" w:space="0"/>
              <w:bottom w:val="single" w:color="auto" w:sz="4" w:space="0"/>
              <w:right w:val="single" w:color="auto" w:sz="4" w:space="0"/>
            </w:tcBorders>
            <w:vAlign w:val="center"/>
          </w:tcPr>
          <w:p w14:paraId="6FDC6017">
            <w:pPr>
              <w:snapToGrid w:val="0"/>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9</w:t>
            </w:r>
          </w:p>
        </w:tc>
        <w:tc>
          <w:tcPr>
            <w:tcW w:w="8480" w:type="dxa"/>
            <w:tcBorders>
              <w:top w:val="single" w:color="auto" w:sz="4" w:space="0"/>
              <w:left w:val="single" w:color="auto" w:sz="4" w:space="0"/>
              <w:bottom w:val="single" w:color="auto" w:sz="4" w:space="0"/>
              <w:right w:val="single" w:color="auto" w:sz="4" w:space="0"/>
            </w:tcBorders>
            <w:vAlign w:val="center"/>
          </w:tcPr>
          <w:p w14:paraId="517493FB">
            <w:pPr>
              <w:autoSpaceDE w:val="0"/>
              <w:autoSpaceDN w:val="0"/>
              <w:snapToGrid w:val="0"/>
              <w:spacing w:line="360" w:lineRule="auto"/>
              <w:textAlignment w:val="bottom"/>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评标办法及评分标准：详见第四章。</w:t>
            </w:r>
          </w:p>
        </w:tc>
      </w:tr>
      <w:tr w14:paraId="7A95985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7" w:hRule="atLeast"/>
          <w:jc w:val="center"/>
        </w:trPr>
        <w:tc>
          <w:tcPr>
            <w:tcW w:w="700" w:type="dxa"/>
            <w:tcBorders>
              <w:top w:val="single" w:color="auto" w:sz="4" w:space="0"/>
              <w:left w:val="single" w:color="auto" w:sz="4" w:space="0"/>
              <w:bottom w:val="single" w:color="auto" w:sz="4" w:space="0"/>
              <w:right w:val="single" w:color="auto" w:sz="4" w:space="0"/>
            </w:tcBorders>
            <w:vAlign w:val="center"/>
          </w:tcPr>
          <w:p w14:paraId="463D9490">
            <w:pPr>
              <w:snapToGrid w:val="0"/>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10</w:t>
            </w:r>
          </w:p>
        </w:tc>
        <w:tc>
          <w:tcPr>
            <w:tcW w:w="8480" w:type="dxa"/>
            <w:tcBorders>
              <w:top w:val="single" w:color="auto" w:sz="4" w:space="0"/>
              <w:left w:val="single" w:color="auto" w:sz="4" w:space="0"/>
              <w:bottom w:val="single" w:color="auto" w:sz="4" w:space="0"/>
              <w:right w:val="single" w:color="auto" w:sz="4" w:space="0"/>
            </w:tcBorders>
            <w:vAlign w:val="center"/>
          </w:tcPr>
          <w:p w14:paraId="62BEBEA1">
            <w:pPr>
              <w:autoSpaceDE w:val="0"/>
              <w:autoSpaceDN w:val="0"/>
              <w:snapToGrid w:val="0"/>
              <w:spacing w:line="360" w:lineRule="auto"/>
              <w:textAlignment w:val="bottom"/>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投标人只允许市级银行业金融机构由其管辖行做为唯一投标人，其分支机构不能做为投标人参加投标。</w:t>
            </w:r>
          </w:p>
        </w:tc>
      </w:tr>
      <w:tr w14:paraId="35EE20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3" w:hRule="atLeast"/>
          <w:jc w:val="center"/>
        </w:trPr>
        <w:tc>
          <w:tcPr>
            <w:tcW w:w="700" w:type="dxa"/>
            <w:tcBorders>
              <w:top w:val="single" w:color="auto" w:sz="4" w:space="0"/>
              <w:left w:val="single" w:color="auto" w:sz="4" w:space="0"/>
              <w:bottom w:val="single" w:color="auto" w:sz="4" w:space="0"/>
              <w:right w:val="single" w:color="auto" w:sz="4" w:space="0"/>
            </w:tcBorders>
            <w:vAlign w:val="center"/>
          </w:tcPr>
          <w:p w14:paraId="6D4B14B9">
            <w:pPr>
              <w:snapToGrid w:val="0"/>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11</w:t>
            </w:r>
          </w:p>
        </w:tc>
        <w:tc>
          <w:tcPr>
            <w:tcW w:w="8480" w:type="dxa"/>
            <w:tcBorders>
              <w:top w:val="single" w:color="auto" w:sz="4" w:space="0"/>
              <w:left w:val="single" w:color="auto" w:sz="4" w:space="0"/>
              <w:bottom w:val="single" w:color="auto" w:sz="4" w:space="0"/>
              <w:right w:val="single" w:color="auto" w:sz="4" w:space="0"/>
            </w:tcBorders>
            <w:vAlign w:val="center"/>
          </w:tcPr>
          <w:p w14:paraId="38B857AF">
            <w:pPr>
              <w:snapToGrid w:val="0"/>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评标结果公告：</w:t>
            </w:r>
            <w:r>
              <w:rPr>
                <w:rFonts w:hint="eastAsia" w:cs="Arial" w:asciiTheme="minorEastAsia" w:hAnsiTheme="minorEastAsia" w:eastAsiaTheme="minorEastAsia"/>
                <w:color w:val="auto"/>
                <w:szCs w:val="21"/>
                <w:highlight w:val="none"/>
              </w:rPr>
              <w:t>浙江政府采购网（</w:t>
            </w:r>
            <w:r>
              <w:rPr>
                <w:color w:val="auto"/>
                <w:highlight w:val="none"/>
              </w:rPr>
              <w:fldChar w:fldCharType="begin"/>
            </w:r>
            <w:r>
              <w:rPr>
                <w:color w:val="auto"/>
                <w:highlight w:val="none"/>
              </w:rPr>
              <w:instrText xml:space="preserve"> HYPERLINK "https://zfcg.czt.zj.gov.cn/" </w:instrText>
            </w:r>
            <w:r>
              <w:rPr>
                <w:color w:val="auto"/>
                <w:highlight w:val="none"/>
              </w:rPr>
              <w:fldChar w:fldCharType="separate"/>
            </w:r>
            <w:r>
              <w:rPr>
                <w:rStyle w:val="45"/>
                <w:rFonts w:cs="Arial" w:asciiTheme="minorEastAsia" w:hAnsiTheme="minorEastAsia" w:eastAsiaTheme="minorEastAsia"/>
                <w:color w:val="auto"/>
                <w:szCs w:val="21"/>
                <w:highlight w:val="none"/>
              </w:rPr>
              <w:t>https://zfcg.czt.zj.gov.cn/</w:t>
            </w:r>
            <w:r>
              <w:rPr>
                <w:rStyle w:val="45"/>
                <w:rFonts w:cs="Arial" w:asciiTheme="minorEastAsia" w:hAnsiTheme="minorEastAsia" w:eastAsiaTheme="minorEastAsia"/>
                <w:color w:val="auto"/>
                <w:szCs w:val="21"/>
                <w:highlight w:val="none"/>
              </w:rPr>
              <w:fldChar w:fldCharType="end"/>
            </w:r>
            <w:r>
              <w:rPr>
                <w:rFonts w:hint="eastAsia" w:cs="Arial" w:asciiTheme="minorEastAsia" w:hAnsiTheme="minorEastAsia" w:eastAsiaTheme="minorEastAsia"/>
                <w:color w:val="auto"/>
                <w:szCs w:val="21"/>
                <w:highlight w:val="none"/>
              </w:rPr>
              <w:t>）、国家级嘉兴经济技术开发区 嘉兴国际商务区网</w:t>
            </w:r>
            <w:r>
              <w:rPr>
                <w:rStyle w:val="45"/>
                <w:rFonts w:hint="eastAsia" w:asciiTheme="minorEastAsia" w:hAnsiTheme="minorEastAsia" w:eastAsiaTheme="minorEastAsia"/>
                <w:color w:val="auto"/>
                <w:szCs w:val="21"/>
                <w:highlight w:val="none"/>
              </w:rPr>
              <w:t>（</w:t>
            </w:r>
            <w:r>
              <w:rPr>
                <w:color w:val="auto"/>
                <w:highlight w:val="none"/>
              </w:rPr>
              <w:fldChar w:fldCharType="begin"/>
            </w:r>
            <w:r>
              <w:rPr>
                <w:color w:val="auto"/>
                <w:highlight w:val="none"/>
              </w:rPr>
              <w:instrText xml:space="preserve"> HYPERLINK "http://jxedz.jiaxing.gov.cn/" </w:instrText>
            </w:r>
            <w:r>
              <w:rPr>
                <w:color w:val="auto"/>
                <w:highlight w:val="none"/>
              </w:rPr>
              <w:fldChar w:fldCharType="separate"/>
            </w:r>
            <w:r>
              <w:rPr>
                <w:rStyle w:val="45"/>
                <w:rFonts w:cs="Arial" w:asciiTheme="minorEastAsia" w:hAnsiTheme="minorEastAsia" w:eastAsiaTheme="minorEastAsia"/>
                <w:color w:val="auto"/>
                <w:szCs w:val="21"/>
                <w:highlight w:val="none"/>
              </w:rPr>
              <w:t>http://jxedz.jiaxing.gov.cn/</w:t>
            </w:r>
            <w:r>
              <w:rPr>
                <w:rStyle w:val="45"/>
                <w:rFonts w:cs="Arial" w:asciiTheme="minorEastAsia" w:hAnsiTheme="minorEastAsia" w:eastAsiaTheme="minorEastAsia"/>
                <w:color w:val="auto"/>
                <w:szCs w:val="21"/>
                <w:highlight w:val="none"/>
              </w:rPr>
              <w:fldChar w:fldCharType="end"/>
            </w:r>
            <w:r>
              <w:rPr>
                <w:rStyle w:val="45"/>
                <w:rFonts w:hint="eastAsia" w:cs="Arial" w:asciiTheme="minorEastAsia" w:hAnsiTheme="minorEastAsia" w:eastAsiaTheme="minorEastAsia"/>
                <w:color w:val="auto"/>
                <w:szCs w:val="21"/>
                <w:highlight w:val="none"/>
              </w:rPr>
              <w:t>)</w:t>
            </w:r>
            <w:r>
              <w:rPr>
                <w:rFonts w:hint="eastAsia" w:asciiTheme="minorEastAsia" w:hAnsiTheme="minorEastAsia" w:eastAsiaTheme="minorEastAsia"/>
                <w:color w:val="auto"/>
                <w:szCs w:val="21"/>
                <w:highlight w:val="none"/>
              </w:rPr>
              <w:t>。</w:t>
            </w:r>
          </w:p>
        </w:tc>
      </w:tr>
      <w:tr w14:paraId="4BDD0CE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0" w:hRule="atLeast"/>
          <w:jc w:val="center"/>
        </w:trPr>
        <w:tc>
          <w:tcPr>
            <w:tcW w:w="700" w:type="dxa"/>
            <w:tcBorders>
              <w:top w:val="single" w:color="auto" w:sz="4" w:space="0"/>
              <w:left w:val="single" w:color="auto" w:sz="4" w:space="0"/>
              <w:bottom w:val="single" w:color="auto" w:sz="4" w:space="0"/>
              <w:right w:val="single" w:color="auto" w:sz="4" w:space="0"/>
            </w:tcBorders>
            <w:vAlign w:val="center"/>
          </w:tcPr>
          <w:p w14:paraId="28DFC7A0">
            <w:pPr>
              <w:snapToGrid w:val="0"/>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12</w:t>
            </w:r>
          </w:p>
        </w:tc>
        <w:tc>
          <w:tcPr>
            <w:tcW w:w="8480" w:type="dxa"/>
            <w:tcBorders>
              <w:top w:val="single" w:color="auto" w:sz="4" w:space="0"/>
              <w:left w:val="single" w:color="auto" w:sz="4" w:space="0"/>
              <w:bottom w:val="single" w:color="auto" w:sz="4" w:space="0"/>
              <w:right w:val="single" w:color="auto" w:sz="4" w:space="0"/>
            </w:tcBorders>
            <w:vAlign w:val="center"/>
          </w:tcPr>
          <w:p w14:paraId="5BDFB8E2">
            <w:pPr>
              <w:autoSpaceDE w:val="0"/>
              <w:autoSpaceDN w:val="0"/>
              <w:snapToGrid w:val="0"/>
              <w:spacing w:line="360" w:lineRule="auto"/>
              <w:textAlignment w:val="bottom"/>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中标公告及中标通知书：评标结束后3日内，中标公告发布于上述媒体。</w:t>
            </w:r>
          </w:p>
        </w:tc>
      </w:tr>
      <w:tr w14:paraId="61A7DB0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91" w:hRule="atLeast"/>
          <w:jc w:val="center"/>
        </w:trPr>
        <w:tc>
          <w:tcPr>
            <w:tcW w:w="700" w:type="dxa"/>
            <w:tcBorders>
              <w:top w:val="single" w:color="auto" w:sz="4" w:space="0"/>
              <w:left w:val="single" w:color="auto" w:sz="4" w:space="0"/>
              <w:bottom w:val="single" w:color="auto" w:sz="4" w:space="0"/>
              <w:right w:val="single" w:color="auto" w:sz="4" w:space="0"/>
            </w:tcBorders>
            <w:vAlign w:val="center"/>
          </w:tcPr>
          <w:p w14:paraId="4AFD496E">
            <w:pPr>
              <w:snapToGrid w:val="0"/>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13</w:t>
            </w:r>
          </w:p>
        </w:tc>
        <w:tc>
          <w:tcPr>
            <w:tcW w:w="8480" w:type="dxa"/>
            <w:tcBorders>
              <w:top w:val="single" w:color="auto" w:sz="4" w:space="0"/>
              <w:left w:val="single" w:color="auto" w:sz="4" w:space="0"/>
              <w:bottom w:val="single" w:color="auto" w:sz="4" w:space="0"/>
              <w:right w:val="single" w:color="auto" w:sz="4" w:space="0"/>
            </w:tcBorders>
            <w:vAlign w:val="center"/>
          </w:tcPr>
          <w:p w14:paraId="560B576C">
            <w:pPr>
              <w:autoSpaceDE w:val="0"/>
              <w:autoSpaceDN w:val="0"/>
              <w:snapToGrid w:val="0"/>
              <w:spacing w:line="360" w:lineRule="auto"/>
              <w:textAlignment w:val="bottom"/>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签订合同时间：中标通知书发出后30日内。</w:t>
            </w:r>
          </w:p>
          <w:p w14:paraId="172D5064">
            <w:pPr>
              <w:autoSpaceDE w:val="0"/>
              <w:autoSpaceDN w:val="0"/>
              <w:snapToGrid w:val="0"/>
              <w:spacing w:line="360" w:lineRule="auto"/>
              <w:textAlignment w:val="bottom"/>
              <w:rPr>
                <w:rFonts w:hint="eastAsia" w:asciiTheme="minorEastAsia" w:hAnsiTheme="minorEastAsia" w:eastAsiaTheme="minorEastAsia"/>
                <w:color w:val="auto"/>
                <w:szCs w:val="21"/>
                <w:highlight w:val="none"/>
              </w:rPr>
            </w:pPr>
            <w:r>
              <w:rPr>
                <w:rFonts w:hint="eastAsia" w:asciiTheme="minorEastAsia" w:hAnsiTheme="minorEastAsia" w:eastAsiaTheme="minorEastAsia"/>
                <w:b w:val="0"/>
                <w:bCs w:val="0"/>
                <w:color w:val="auto"/>
                <w:szCs w:val="21"/>
                <w:highlight w:val="none"/>
                <w:lang w:val="en-US" w:eastAsia="zh-CN"/>
              </w:rPr>
              <w:t>嘉</w:t>
            </w:r>
            <w:r>
              <w:rPr>
                <w:rFonts w:hint="eastAsia" w:asciiTheme="minorEastAsia" w:hAnsiTheme="minorEastAsia" w:eastAsiaTheme="minorEastAsia"/>
                <w:b w:val="0"/>
                <w:bCs w:val="0"/>
                <w:color w:val="auto"/>
                <w:szCs w:val="21"/>
                <w:highlight w:val="none"/>
              </w:rPr>
              <w:t>兴经济技术开发区财政金融部</w:t>
            </w:r>
            <w:r>
              <w:rPr>
                <w:rFonts w:hint="eastAsia" w:eastAsiaTheme="minorEastAsia"/>
                <w:b w:val="0"/>
                <w:bCs w:val="0"/>
                <w:color w:val="auto"/>
                <w:highlight w:val="none"/>
                <w:lang w:val="en-US" w:eastAsia="zh-CN"/>
              </w:rPr>
              <w:t>如果仅作为</w:t>
            </w:r>
            <w:r>
              <w:rPr>
                <w:b w:val="0"/>
                <w:bCs w:val="0"/>
                <w:color w:val="auto"/>
                <w:highlight w:val="none"/>
              </w:rPr>
              <w:t>招标组织单位，仅负责牵头协调；</w:t>
            </w:r>
            <w:r>
              <w:rPr>
                <w:rFonts w:hint="eastAsia"/>
                <w:b w:val="0"/>
                <w:bCs w:val="0"/>
                <w:color w:val="auto"/>
                <w:highlight w:val="none"/>
                <w:lang w:val="en-US" w:eastAsia="zh-CN"/>
              </w:rPr>
              <w:t>如果同时作为招标单位和</w:t>
            </w:r>
            <w:r>
              <w:rPr>
                <w:b w:val="0"/>
                <w:bCs w:val="0"/>
                <w:color w:val="auto"/>
                <w:highlight w:val="none"/>
              </w:rPr>
              <w:t>招标组织单位</w:t>
            </w:r>
            <w:r>
              <w:rPr>
                <w:rFonts w:hint="eastAsia"/>
                <w:b w:val="0"/>
                <w:bCs w:val="0"/>
                <w:color w:val="auto"/>
                <w:highlight w:val="none"/>
                <w:lang w:val="en-US" w:eastAsia="zh-CN"/>
              </w:rPr>
              <w:t>的，适用招标文件中招标人的其他相关规定；</w:t>
            </w:r>
            <w:r>
              <w:rPr>
                <w:b w:val="0"/>
                <w:bCs w:val="0"/>
                <w:color w:val="auto"/>
                <w:highlight w:val="none"/>
              </w:rPr>
              <w:t>中标后《存款</w:t>
            </w:r>
            <w:r>
              <w:rPr>
                <w:rFonts w:hint="eastAsia"/>
                <w:b w:val="0"/>
                <w:bCs w:val="0"/>
                <w:color w:val="auto"/>
                <w:highlight w:val="none"/>
                <w:lang w:val="en-US" w:eastAsia="zh-CN"/>
              </w:rPr>
              <w:t>协议</w:t>
            </w:r>
            <w:r>
              <w:rPr>
                <w:b w:val="0"/>
                <w:bCs w:val="0"/>
                <w:color w:val="auto"/>
                <w:highlight w:val="none"/>
              </w:rPr>
              <w:t xml:space="preserve">》由招标人与中标人签署、履行。 </w:t>
            </w:r>
          </w:p>
        </w:tc>
      </w:tr>
      <w:tr w14:paraId="353565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5" w:hRule="atLeast"/>
          <w:jc w:val="center"/>
        </w:trPr>
        <w:tc>
          <w:tcPr>
            <w:tcW w:w="700" w:type="dxa"/>
            <w:tcBorders>
              <w:top w:val="single" w:color="auto" w:sz="4" w:space="0"/>
              <w:left w:val="single" w:color="auto" w:sz="4" w:space="0"/>
              <w:bottom w:val="single" w:color="auto" w:sz="4" w:space="0"/>
              <w:right w:val="single" w:color="auto" w:sz="4" w:space="0"/>
            </w:tcBorders>
            <w:vAlign w:val="center"/>
          </w:tcPr>
          <w:p w14:paraId="61889A8D">
            <w:pPr>
              <w:snapToGrid w:val="0"/>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14</w:t>
            </w:r>
          </w:p>
        </w:tc>
        <w:tc>
          <w:tcPr>
            <w:tcW w:w="8480" w:type="dxa"/>
            <w:tcBorders>
              <w:top w:val="single" w:color="auto" w:sz="4" w:space="0"/>
              <w:left w:val="single" w:color="auto" w:sz="4" w:space="0"/>
              <w:bottom w:val="single" w:color="auto" w:sz="4" w:space="0"/>
              <w:right w:val="single" w:color="auto" w:sz="4" w:space="0"/>
            </w:tcBorders>
            <w:vAlign w:val="center"/>
          </w:tcPr>
          <w:p w14:paraId="1561167E">
            <w:pPr>
              <w:autoSpaceDE w:val="0"/>
              <w:autoSpaceDN w:val="0"/>
              <w:snapToGrid w:val="0"/>
              <w:spacing w:line="360" w:lineRule="auto"/>
              <w:textAlignment w:val="bottom"/>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投标文件有效期：</w:t>
            </w:r>
            <w:r>
              <w:rPr>
                <w:rFonts w:hint="eastAsia" w:asciiTheme="minorEastAsia" w:hAnsiTheme="minorEastAsia" w:eastAsiaTheme="minorEastAsia"/>
                <w:color w:val="auto"/>
                <w:szCs w:val="21"/>
                <w:highlight w:val="none"/>
                <w:u w:val="single"/>
              </w:rPr>
              <w:t xml:space="preserve"> 60 </w:t>
            </w:r>
            <w:r>
              <w:rPr>
                <w:rFonts w:hint="eastAsia" w:cs="Arial" w:asciiTheme="minorEastAsia" w:hAnsiTheme="minorEastAsia" w:eastAsiaTheme="minorEastAsia"/>
                <w:color w:val="auto"/>
                <w:szCs w:val="21"/>
                <w:highlight w:val="none"/>
              </w:rPr>
              <w:t>天。</w:t>
            </w:r>
          </w:p>
        </w:tc>
      </w:tr>
      <w:tr w14:paraId="0835A8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7" w:hRule="atLeast"/>
          <w:jc w:val="center"/>
        </w:trPr>
        <w:tc>
          <w:tcPr>
            <w:tcW w:w="700" w:type="dxa"/>
            <w:tcBorders>
              <w:top w:val="single" w:color="auto" w:sz="4" w:space="0"/>
              <w:left w:val="single" w:color="auto" w:sz="4" w:space="0"/>
              <w:bottom w:val="single" w:color="auto" w:sz="4" w:space="0"/>
              <w:right w:val="single" w:color="auto" w:sz="4" w:space="0"/>
            </w:tcBorders>
            <w:vAlign w:val="center"/>
          </w:tcPr>
          <w:p w14:paraId="085E391C">
            <w:pPr>
              <w:snapToGrid w:val="0"/>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15</w:t>
            </w:r>
          </w:p>
        </w:tc>
        <w:tc>
          <w:tcPr>
            <w:tcW w:w="8480" w:type="dxa"/>
            <w:tcBorders>
              <w:top w:val="single" w:color="auto" w:sz="4" w:space="0"/>
              <w:left w:val="single" w:color="auto" w:sz="4" w:space="0"/>
              <w:bottom w:val="single" w:color="auto" w:sz="4" w:space="0"/>
              <w:right w:val="single" w:color="auto" w:sz="4" w:space="0"/>
            </w:tcBorders>
            <w:vAlign w:val="center"/>
          </w:tcPr>
          <w:p w14:paraId="6D4AE0F9">
            <w:pPr>
              <w:pStyle w:val="35"/>
              <w:keepNext w:val="0"/>
              <w:keepLines w:val="0"/>
              <w:widowControl/>
              <w:suppressLineNumbers w:val="0"/>
              <w:rPr>
                <w:rFonts w:hint="eastAsia" w:asciiTheme="minorEastAsia" w:hAnsiTheme="minorEastAsia" w:eastAsiaTheme="minorEastAsia"/>
                <w:b/>
                <w:bCs/>
                <w:color w:val="auto"/>
                <w:szCs w:val="21"/>
                <w:highlight w:val="none"/>
              </w:rPr>
            </w:pPr>
            <w:r>
              <w:rPr>
                <w:rFonts w:hint="eastAsia" w:cs="Times New Roman" w:asciiTheme="minorEastAsia" w:hAnsiTheme="minorEastAsia" w:eastAsiaTheme="minorEastAsia"/>
                <w:color w:val="auto"/>
                <w:kern w:val="2"/>
                <w:sz w:val="21"/>
                <w:szCs w:val="21"/>
                <w:highlight w:val="none"/>
                <w:lang w:val="en-US" w:eastAsia="zh-CN" w:bidi="ar-SA"/>
              </w:rPr>
              <w:t>解释：本招标文件的解释权属于嘉兴经济技术开发区财政金融部。</w:t>
            </w:r>
          </w:p>
        </w:tc>
      </w:tr>
    </w:tbl>
    <w:p w14:paraId="3EC93A31">
      <w:pPr>
        <w:widowControl/>
        <w:spacing w:line="360" w:lineRule="auto"/>
        <w:ind w:firstLine="422" w:firstLineChars="200"/>
        <w:jc w:val="left"/>
        <w:rPr>
          <w:rFonts w:hint="eastAsia" w:asciiTheme="minorEastAsia" w:hAnsiTheme="minorEastAsia" w:eastAsiaTheme="minorEastAsia"/>
          <w:b/>
          <w:color w:val="auto"/>
          <w:szCs w:val="21"/>
          <w:highlight w:val="none"/>
        </w:rPr>
        <w:sectPr>
          <w:pgSz w:w="11907" w:h="16840"/>
          <w:pgMar w:top="1440" w:right="1797" w:bottom="1440" w:left="1797" w:header="851" w:footer="851" w:gutter="0"/>
          <w:cols w:space="425" w:num="1"/>
          <w:titlePg/>
          <w:docGrid w:type="lines" w:linePitch="312" w:charSpace="0"/>
        </w:sectPr>
      </w:pPr>
    </w:p>
    <w:p w14:paraId="52279BFF">
      <w:pPr>
        <w:pStyle w:val="2"/>
        <w:numPr>
          <w:ilvl w:val="0"/>
          <w:numId w:val="8"/>
        </w:numPr>
        <w:spacing w:before="0" w:after="0" w:line="360" w:lineRule="auto"/>
        <w:ind w:firstLine="422" w:firstLineChars="200"/>
        <w:jc w:val="center"/>
        <w:rPr>
          <w:rFonts w:hint="eastAsia" w:cs="微软雅黑" w:asciiTheme="minorEastAsia" w:hAnsiTheme="minorEastAsia" w:eastAsiaTheme="minorEastAsia"/>
          <w:color w:val="auto"/>
          <w:sz w:val="21"/>
          <w:szCs w:val="21"/>
          <w:highlight w:val="none"/>
        </w:rPr>
      </w:pPr>
      <w:bookmarkStart w:id="20" w:name="_Toc98019235"/>
      <w:bookmarkStart w:id="21" w:name="_Toc16633"/>
      <w:r>
        <w:rPr>
          <w:rFonts w:hint="eastAsia" w:cs="微软雅黑" w:asciiTheme="minorEastAsia" w:hAnsiTheme="minorEastAsia" w:eastAsiaTheme="minorEastAsia"/>
          <w:color w:val="auto"/>
          <w:sz w:val="21"/>
          <w:szCs w:val="21"/>
          <w:highlight w:val="none"/>
        </w:rPr>
        <w:t>总  则</w:t>
      </w:r>
      <w:bookmarkEnd w:id="20"/>
      <w:bookmarkEnd w:id="21"/>
    </w:p>
    <w:p w14:paraId="43C2B6E8">
      <w:pPr>
        <w:pStyle w:val="3"/>
        <w:numPr>
          <w:ilvl w:val="1"/>
          <w:numId w:val="9"/>
        </w:numPr>
        <w:spacing w:before="0" w:after="0" w:line="360" w:lineRule="auto"/>
        <w:ind w:firstLine="422" w:firstLineChars="200"/>
        <w:rPr>
          <w:rFonts w:hint="eastAsia" w:asciiTheme="minorEastAsia" w:hAnsiTheme="minorEastAsia" w:eastAsiaTheme="minorEastAsia"/>
          <w:color w:val="auto"/>
          <w:highlight w:val="none"/>
        </w:rPr>
      </w:pPr>
      <w:bookmarkStart w:id="22" w:name="_Toc11650169"/>
      <w:bookmarkStart w:id="23" w:name="_Toc98019236"/>
      <w:bookmarkStart w:id="24" w:name="_Toc9342479"/>
      <w:r>
        <w:rPr>
          <w:rFonts w:hint="eastAsia" w:asciiTheme="minorEastAsia" w:hAnsiTheme="minorEastAsia" w:eastAsiaTheme="minorEastAsia"/>
          <w:color w:val="auto"/>
          <w:highlight w:val="none"/>
        </w:rPr>
        <w:t>适用范围</w:t>
      </w:r>
      <w:bookmarkEnd w:id="22"/>
      <w:bookmarkEnd w:id="23"/>
      <w:bookmarkEnd w:id="24"/>
    </w:p>
    <w:p w14:paraId="2E24B255">
      <w:pPr>
        <w:snapToGrid w:val="0"/>
        <w:spacing w:line="360" w:lineRule="auto"/>
        <w:ind w:firstLine="420"/>
        <w:rPr>
          <w:rFonts w:hint="eastAsia" w:cs="Arial" w:asciiTheme="minorEastAsia" w:hAnsiTheme="minorEastAsia" w:eastAsiaTheme="minorEastAsia"/>
          <w:color w:val="auto"/>
          <w:szCs w:val="21"/>
          <w:highlight w:val="none"/>
        </w:rPr>
      </w:pPr>
      <w:r>
        <w:rPr>
          <w:rFonts w:hint="eastAsia" w:cs="Arial" w:asciiTheme="minorEastAsia" w:hAnsiTheme="minorEastAsia" w:eastAsiaTheme="minorEastAsia"/>
          <w:color w:val="auto"/>
          <w:szCs w:val="21"/>
          <w:highlight w:val="none"/>
        </w:rPr>
        <w:t>本招标文件适用于</w:t>
      </w:r>
      <w:r>
        <w:rPr>
          <w:rFonts w:hint="eastAsia" w:cs="Arial" w:asciiTheme="minorEastAsia" w:hAnsiTheme="minorEastAsia" w:eastAsiaTheme="minorEastAsia"/>
          <w:color w:val="auto"/>
          <w:szCs w:val="21"/>
          <w:highlight w:val="none"/>
          <w:lang w:eastAsia="zh-CN"/>
        </w:rPr>
        <w:t>2025年（第二期）</w:t>
      </w:r>
      <w:r>
        <w:rPr>
          <w:rFonts w:hint="eastAsia" w:cs="Arial" w:asciiTheme="minorEastAsia" w:hAnsiTheme="minorEastAsia" w:eastAsiaTheme="minorEastAsia"/>
          <w:color w:val="auto"/>
          <w:szCs w:val="21"/>
          <w:highlight w:val="none"/>
        </w:rPr>
        <w:t>嘉兴经济技术开发区公共资金竞争性存放项目的招标、投标、评标、定标、验收、合同履约、付款等行为（法律、法规另有规定的，从其规定）。</w:t>
      </w:r>
    </w:p>
    <w:p w14:paraId="0BD0803A">
      <w:pPr>
        <w:pStyle w:val="3"/>
        <w:numPr>
          <w:ilvl w:val="1"/>
          <w:numId w:val="9"/>
        </w:numPr>
        <w:spacing w:before="0" w:after="0" w:line="360" w:lineRule="auto"/>
        <w:ind w:firstLine="422" w:firstLineChars="200"/>
        <w:rPr>
          <w:rFonts w:hint="eastAsia" w:asciiTheme="minorEastAsia" w:hAnsiTheme="minorEastAsia" w:eastAsiaTheme="minorEastAsia"/>
          <w:color w:val="auto"/>
          <w:highlight w:val="none"/>
        </w:rPr>
      </w:pPr>
      <w:bookmarkStart w:id="25" w:name="_Toc11650170"/>
      <w:bookmarkStart w:id="26" w:name="_Toc9342480"/>
      <w:bookmarkStart w:id="27" w:name="_Toc98019237"/>
      <w:r>
        <w:rPr>
          <w:rFonts w:hint="eastAsia" w:asciiTheme="minorEastAsia" w:hAnsiTheme="minorEastAsia" w:eastAsiaTheme="minorEastAsia"/>
          <w:color w:val="auto"/>
          <w:highlight w:val="none"/>
        </w:rPr>
        <w:t>定义</w:t>
      </w:r>
      <w:bookmarkEnd w:id="25"/>
      <w:bookmarkEnd w:id="26"/>
      <w:bookmarkEnd w:id="27"/>
    </w:p>
    <w:p w14:paraId="710952AE">
      <w:pPr>
        <w:numPr>
          <w:ilvl w:val="0"/>
          <w:numId w:val="10"/>
        </w:numPr>
        <w:tabs>
          <w:tab w:val="left" w:pos="709"/>
        </w:tabs>
        <w:snapToGrid w:val="0"/>
        <w:spacing w:line="360" w:lineRule="auto"/>
        <w:ind w:left="0" w:firstLine="420" w:firstLineChars="20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“招标人”系指组织本次招标的代理机构和存款单位。</w:t>
      </w:r>
    </w:p>
    <w:p w14:paraId="0D9DAB76">
      <w:pPr>
        <w:numPr>
          <w:ilvl w:val="0"/>
          <w:numId w:val="10"/>
        </w:numPr>
        <w:tabs>
          <w:tab w:val="left" w:pos="709"/>
        </w:tabs>
        <w:snapToGrid w:val="0"/>
        <w:spacing w:line="360" w:lineRule="auto"/>
        <w:ind w:left="0" w:firstLine="420" w:firstLineChars="20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“投标人”系指向招标方提交投标文件的银行业金融机构。</w:t>
      </w:r>
    </w:p>
    <w:p w14:paraId="08EE0991">
      <w:pPr>
        <w:numPr>
          <w:ilvl w:val="0"/>
          <w:numId w:val="10"/>
        </w:numPr>
        <w:tabs>
          <w:tab w:val="left" w:pos="709"/>
        </w:tabs>
        <w:snapToGrid w:val="0"/>
        <w:spacing w:line="360" w:lineRule="auto"/>
        <w:ind w:left="0" w:firstLine="420" w:firstLineChars="20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“产品”系指供方按招标文件规定，须向招标人提供的有关技术资料和材料。</w:t>
      </w:r>
    </w:p>
    <w:p w14:paraId="625B62E3">
      <w:pPr>
        <w:numPr>
          <w:ilvl w:val="0"/>
          <w:numId w:val="10"/>
        </w:numPr>
        <w:tabs>
          <w:tab w:val="left" w:pos="709"/>
        </w:tabs>
        <w:snapToGrid w:val="0"/>
        <w:spacing w:line="360" w:lineRule="auto"/>
        <w:ind w:left="0" w:firstLine="420" w:firstLineChars="20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“服务”系指招标文件规定投标人须承担的其他类似的义务。</w:t>
      </w:r>
    </w:p>
    <w:p w14:paraId="59D9D41F">
      <w:pPr>
        <w:numPr>
          <w:ilvl w:val="0"/>
          <w:numId w:val="10"/>
        </w:numPr>
        <w:tabs>
          <w:tab w:val="left" w:pos="709"/>
        </w:tabs>
        <w:snapToGrid w:val="0"/>
        <w:spacing w:line="360" w:lineRule="auto"/>
        <w:ind w:left="0" w:firstLine="420" w:firstLineChars="20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“项目”系指投标人按招标文件规定向招标人提供的产品和服务。</w:t>
      </w:r>
    </w:p>
    <w:p w14:paraId="6B0E89CF">
      <w:pPr>
        <w:numPr>
          <w:ilvl w:val="0"/>
          <w:numId w:val="10"/>
        </w:numPr>
        <w:tabs>
          <w:tab w:val="left" w:pos="709"/>
        </w:tabs>
        <w:snapToGrid w:val="0"/>
        <w:spacing w:line="360" w:lineRule="auto"/>
        <w:ind w:left="0" w:firstLine="420" w:firstLineChars="20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“书面形式”包括信函、传真、电报等。</w:t>
      </w:r>
    </w:p>
    <w:p w14:paraId="07229F1A">
      <w:pPr>
        <w:numPr>
          <w:ilvl w:val="0"/>
          <w:numId w:val="10"/>
        </w:numPr>
        <w:tabs>
          <w:tab w:val="left" w:pos="709"/>
        </w:tabs>
        <w:snapToGrid w:val="0"/>
        <w:spacing w:line="360" w:lineRule="auto"/>
        <w:ind w:left="0" w:firstLine="420" w:firstLineChars="20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“▲”系指实质性要求条款。</w:t>
      </w:r>
    </w:p>
    <w:p w14:paraId="653ED85B">
      <w:pPr>
        <w:pStyle w:val="3"/>
        <w:numPr>
          <w:ilvl w:val="1"/>
          <w:numId w:val="9"/>
        </w:numPr>
        <w:spacing w:before="0" w:after="0" w:line="360" w:lineRule="auto"/>
        <w:ind w:firstLine="422" w:firstLineChars="200"/>
        <w:rPr>
          <w:rFonts w:hint="eastAsia" w:asciiTheme="minorEastAsia" w:hAnsiTheme="minorEastAsia" w:eastAsiaTheme="minorEastAsia"/>
          <w:color w:val="auto"/>
          <w:highlight w:val="none"/>
        </w:rPr>
      </w:pPr>
      <w:bookmarkStart w:id="28" w:name="_Toc9342481"/>
      <w:bookmarkStart w:id="29" w:name="_Toc11650171"/>
      <w:bookmarkStart w:id="30" w:name="_Toc98019238"/>
      <w:r>
        <w:rPr>
          <w:rFonts w:hint="eastAsia" w:asciiTheme="minorEastAsia" w:hAnsiTheme="minorEastAsia" w:eastAsiaTheme="minorEastAsia"/>
          <w:color w:val="auto"/>
          <w:highlight w:val="none"/>
        </w:rPr>
        <w:t>招标方式</w:t>
      </w:r>
      <w:bookmarkEnd w:id="28"/>
      <w:bookmarkEnd w:id="29"/>
      <w:bookmarkEnd w:id="30"/>
    </w:p>
    <w:p w14:paraId="4BBB2618">
      <w:pPr>
        <w:snapToGrid w:val="0"/>
        <w:spacing w:line="360" w:lineRule="auto"/>
        <w:ind w:firstLine="420" w:firstLineChars="20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本次招标采用公开招标方式进行。</w:t>
      </w:r>
    </w:p>
    <w:p w14:paraId="1FDF0A26">
      <w:pPr>
        <w:pStyle w:val="3"/>
        <w:numPr>
          <w:ilvl w:val="1"/>
          <w:numId w:val="9"/>
        </w:numPr>
        <w:spacing w:before="0" w:after="0" w:line="360" w:lineRule="auto"/>
        <w:ind w:firstLine="422" w:firstLineChars="200"/>
        <w:rPr>
          <w:rFonts w:hint="eastAsia" w:asciiTheme="minorEastAsia" w:hAnsiTheme="minorEastAsia" w:eastAsiaTheme="minorEastAsia"/>
          <w:color w:val="auto"/>
          <w:highlight w:val="none"/>
        </w:rPr>
      </w:pPr>
      <w:bookmarkStart w:id="31" w:name="_Toc9342482"/>
      <w:bookmarkStart w:id="32" w:name="_Toc98019239"/>
      <w:bookmarkStart w:id="33" w:name="_Toc11650172"/>
      <w:r>
        <w:rPr>
          <w:rFonts w:hint="eastAsia" w:asciiTheme="minorEastAsia" w:hAnsiTheme="minorEastAsia" w:eastAsiaTheme="minorEastAsia"/>
          <w:color w:val="auto"/>
          <w:highlight w:val="none"/>
        </w:rPr>
        <w:t>投标委托</w:t>
      </w:r>
      <w:bookmarkEnd w:id="31"/>
      <w:bookmarkEnd w:id="32"/>
      <w:bookmarkEnd w:id="33"/>
    </w:p>
    <w:p w14:paraId="0191949D">
      <w:pPr>
        <w:pStyle w:val="18"/>
        <w:snapToGrid w:val="0"/>
        <w:spacing w:line="360" w:lineRule="auto"/>
        <w:ind w:firstLine="404" w:firstLineChars="200"/>
        <w:jc w:val="left"/>
        <w:rPr>
          <w:rFonts w:hint="eastAsia"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如投标人代表不是法定代表人（负责人），须有法定代表人（负责人）出具的授权委托书（正本用原件，副本用复印件，格式见附件）。如果投标单位无法定代表人，则由单位负责人代替。</w:t>
      </w:r>
    </w:p>
    <w:p w14:paraId="7BCA0F8E">
      <w:pPr>
        <w:pStyle w:val="3"/>
        <w:numPr>
          <w:ilvl w:val="1"/>
          <w:numId w:val="9"/>
        </w:numPr>
        <w:spacing w:before="0" w:after="0" w:line="360" w:lineRule="auto"/>
        <w:ind w:firstLine="422" w:firstLineChars="200"/>
        <w:rPr>
          <w:rFonts w:hint="eastAsia" w:asciiTheme="minorEastAsia" w:hAnsiTheme="minorEastAsia" w:eastAsiaTheme="minorEastAsia"/>
          <w:color w:val="auto"/>
          <w:highlight w:val="none"/>
        </w:rPr>
      </w:pPr>
      <w:bookmarkStart w:id="34" w:name="_Toc9342483"/>
      <w:bookmarkStart w:id="35" w:name="_Toc98019240"/>
      <w:bookmarkStart w:id="36" w:name="_Toc11650173"/>
      <w:r>
        <w:rPr>
          <w:rFonts w:hint="eastAsia" w:asciiTheme="minorEastAsia" w:hAnsiTheme="minorEastAsia" w:eastAsiaTheme="minorEastAsia"/>
          <w:color w:val="auto"/>
          <w:highlight w:val="none"/>
        </w:rPr>
        <w:t>投标费用</w:t>
      </w:r>
      <w:bookmarkEnd w:id="34"/>
      <w:bookmarkEnd w:id="35"/>
      <w:bookmarkEnd w:id="36"/>
    </w:p>
    <w:p w14:paraId="5ED25841">
      <w:pPr>
        <w:snapToGrid w:val="0"/>
        <w:spacing w:line="360" w:lineRule="auto"/>
        <w:ind w:firstLine="420" w:firstLineChars="20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不论投标结果如何，投标人均应自行承担所有与投标有关的全部费用。</w:t>
      </w:r>
    </w:p>
    <w:p w14:paraId="58989551">
      <w:pPr>
        <w:pStyle w:val="3"/>
        <w:numPr>
          <w:ilvl w:val="1"/>
          <w:numId w:val="9"/>
        </w:numPr>
        <w:spacing w:before="0" w:after="0" w:line="360" w:lineRule="auto"/>
        <w:ind w:firstLine="422" w:firstLineChars="200"/>
        <w:rPr>
          <w:rFonts w:hint="eastAsia" w:asciiTheme="minorEastAsia" w:hAnsiTheme="minorEastAsia" w:eastAsiaTheme="minorEastAsia"/>
          <w:color w:val="auto"/>
          <w:highlight w:val="none"/>
        </w:rPr>
      </w:pPr>
      <w:bookmarkStart w:id="37" w:name="_Toc98019241"/>
      <w:bookmarkStart w:id="38" w:name="_Toc9342484"/>
      <w:bookmarkStart w:id="39" w:name="_Toc11650174"/>
      <w:r>
        <w:rPr>
          <w:rFonts w:hint="eastAsia" w:asciiTheme="minorEastAsia" w:hAnsiTheme="minorEastAsia" w:eastAsiaTheme="minorEastAsia"/>
          <w:color w:val="auto"/>
          <w:highlight w:val="none"/>
        </w:rPr>
        <w:t>特别说明：</w:t>
      </w:r>
      <w:bookmarkEnd w:id="37"/>
      <w:bookmarkEnd w:id="38"/>
      <w:bookmarkEnd w:id="39"/>
    </w:p>
    <w:p w14:paraId="0C8ED98F">
      <w:pPr>
        <w:numPr>
          <w:ilvl w:val="0"/>
          <w:numId w:val="11"/>
        </w:numPr>
        <w:tabs>
          <w:tab w:val="left" w:pos="709"/>
        </w:tabs>
        <w:snapToGrid w:val="0"/>
        <w:spacing w:line="360" w:lineRule="auto"/>
        <w:ind w:left="0" w:firstLine="420" w:firstLineChars="20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▲投标人投标所使用的资格、信誉、荣誉、业绩与企业认证必须为投标单位所拥有。</w:t>
      </w:r>
    </w:p>
    <w:p w14:paraId="524F9F64">
      <w:pPr>
        <w:numPr>
          <w:ilvl w:val="0"/>
          <w:numId w:val="11"/>
        </w:numPr>
        <w:tabs>
          <w:tab w:val="left" w:pos="709"/>
        </w:tabs>
        <w:snapToGrid w:val="0"/>
        <w:spacing w:line="360" w:lineRule="auto"/>
        <w:ind w:left="0" w:firstLine="420" w:firstLineChars="20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▲投标人应仔细阅读招标文件的所有内容，按照招标文件的要求提交投标文件，并对所提供的全部资料的真实性承担法律责任。</w:t>
      </w:r>
    </w:p>
    <w:p w14:paraId="6042605A">
      <w:pPr>
        <w:numPr>
          <w:ilvl w:val="0"/>
          <w:numId w:val="11"/>
        </w:numPr>
        <w:tabs>
          <w:tab w:val="left" w:pos="709"/>
        </w:tabs>
        <w:snapToGrid w:val="0"/>
        <w:spacing w:line="360" w:lineRule="auto"/>
        <w:ind w:left="0" w:firstLine="420" w:firstLineChars="20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w:t>
      </w:r>
      <w:r>
        <w:rPr>
          <w:rFonts w:asciiTheme="minorEastAsia" w:hAnsiTheme="minorEastAsia" w:eastAsiaTheme="minorEastAsia"/>
          <w:color w:val="auto"/>
          <w:szCs w:val="21"/>
          <w:highlight w:val="none"/>
        </w:rPr>
        <w:t>投标人在投标活动中提供任何虚假材料,</w:t>
      </w:r>
      <w:r>
        <w:rPr>
          <w:rFonts w:hint="eastAsia" w:asciiTheme="minorEastAsia" w:hAnsiTheme="minorEastAsia" w:eastAsiaTheme="minorEastAsia"/>
          <w:color w:val="auto"/>
          <w:szCs w:val="21"/>
          <w:highlight w:val="none"/>
        </w:rPr>
        <w:t>其投标无效，并依照(嘉开财[2018] 152号）文件及相关规定进行相应处罚。</w:t>
      </w:r>
    </w:p>
    <w:p w14:paraId="29ED454C">
      <w:pPr>
        <w:pStyle w:val="3"/>
        <w:numPr>
          <w:ilvl w:val="1"/>
          <w:numId w:val="9"/>
        </w:numPr>
        <w:spacing w:before="0" w:after="0" w:line="360" w:lineRule="auto"/>
        <w:ind w:firstLine="422" w:firstLineChars="200"/>
        <w:rPr>
          <w:rFonts w:hint="eastAsia" w:asciiTheme="minorEastAsia" w:hAnsiTheme="minorEastAsia" w:eastAsiaTheme="minorEastAsia"/>
          <w:color w:val="auto"/>
          <w:highlight w:val="none"/>
        </w:rPr>
      </w:pPr>
      <w:bookmarkStart w:id="40" w:name="_Toc11650175"/>
      <w:bookmarkStart w:id="41" w:name="_Toc9342485"/>
      <w:bookmarkStart w:id="42" w:name="_Toc98019242"/>
      <w:r>
        <w:rPr>
          <w:rFonts w:hint="eastAsia" w:asciiTheme="minorEastAsia" w:hAnsiTheme="minorEastAsia" w:eastAsiaTheme="minorEastAsia"/>
          <w:color w:val="auto"/>
          <w:highlight w:val="none"/>
        </w:rPr>
        <w:t>质疑和投诉</w:t>
      </w:r>
      <w:bookmarkEnd w:id="40"/>
      <w:bookmarkEnd w:id="41"/>
      <w:bookmarkEnd w:id="42"/>
    </w:p>
    <w:p w14:paraId="7CD680B6">
      <w:pPr>
        <w:numPr>
          <w:ilvl w:val="0"/>
          <w:numId w:val="12"/>
        </w:numPr>
        <w:tabs>
          <w:tab w:val="left" w:pos="709"/>
        </w:tabs>
        <w:snapToGrid w:val="0"/>
        <w:spacing w:line="360" w:lineRule="auto"/>
        <w:ind w:left="0" w:firstLine="420" w:firstLineChars="20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投标人认为招标文件、招标过程或中标结果使自己的合法权益受到损害的，应当在知道或者应知其权益受到损害之日起七个工作日内，以书面形式向招标人提出质疑。投标人对招标人的质疑答复不满意或者招标人未在规定时间内作出答复的，可以在答复期满后十五个工作日内向监管部门投诉。</w:t>
      </w:r>
    </w:p>
    <w:p w14:paraId="5664B3DF">
      <w:pPr>
        <w:numPr>
          <w:ilvl w:val="0"/>
          <w:numId w:val="12"/>
        </w:numPr>
        <w:tabs>
          <w:tab w:val="left" w:pos="709"/>
        </w:tabs>
        <w:snapToGrid w:val="0"/>
        <w:spacing w:line="360" w:lineRule="auto"/>
        <w:ind w:left="0" w:firstLine="420" w:firstLineChars="20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质疑、投诉应当采用书面形式，质疑书、投诉书均应明确阐述招标文件、招标过程或中标结果中使自己合法权益受到损害的实质性内容，提供相关事实、依据和证据及其来源或线索，便于有关单位调查、答复和处理。</w:t>
      </w:r>
    </w:p>
    <w:p w14:paraId="13006946">
      <w:pPr>
        <w:pStyle w:val="2"/>
        <w:numPr>
          <w:ilvl w:val="0"/>
          <w:numId w:val="8"/>
        </w:numPr>
        <w:spacing w:before="0" w:after="0" w:line="360" w:lineRule="auto"/>
        <w:ind w:firstLine="422" w:firstLineChars="200"/>
        <w:jc w:val="center"/>
        <w:rPr>
          <w:rFonts w:hint="eastAsia" w:cs="微软雅黑" w:asciiTheme="minorEastAsia" w:hAnsiTheme="minorEastAsia" w:eastAsiaTheme="minorEastAsia"/>
          <w:color w:val="auto"/>
          <w:sz w:val="21"/>
          <w:szCs w:val="21"/>
          <w:highlight w:val="none"/>
        </w:rPr>
      </w:pPr>
      <w:bookmarkStart w:id="43" w:name="_Toc9342486"/>
      <w:bookmarkStart w:id="44" w:name="_Toc98019243"/>
      <w:bookmarkStart w:id="45" w:name="_Toc11650176"/>
      <w:bookmarkStart w:id="46" w:name="_Toc30613"/>
      <w:r>
        <w:rPr>
          <w:rFonts w:hint="eastAsia" w:cs="微软雅黑" w:asciiTheme="minorEastAsia" w:hAnsiTheme="minorEastAsia" w:eastAsiaTheme="minorEastAsia"/>
          <w:color w:val="auto"/>
          <w:sz w:val="21"/>
          <w:szCs w:val="21"/>
          <w:highlight w:val="none"/>
        </w:rPr>
        <w:t>招标文件</w:t>
      </w:r>
      <w:bookmarkEnd w:id="43"/>
      <w:bookmarkEnd w:id="44"/>
      <w:bookmarkEnd w:id="45"/>
      <w:bookmarkEnd w:id="46"/>
    </w:p>
    <w:p w14:paraId="271A828C">
      <w:pPr>
        <w:pStyle w:val="3"/>
        <w:numPr>
          <w:ilvl w:val="1"/>
          <w:numId w:val="9"/>
        </w:numPr>
        <w:spacing w:before="0" w:after="0" w:line="360" w:lineRule="auto"/>
        <w:ind w:firstLine="422" w:firstLineChars="200"/>
        <w:rPr>
          <w:rFonts w:hint="eastAsia" w:asciiTheme="minorEastAsia" w:hAnsiTheme="minorEastAsia" w:eastAsiaTheme="minorEastAsia"/>
          <w:color w:val="auto"/>
          <w:highlight w:val="none"/>
        </w:rPr>
      </w:pPr>
      <w:bookmarkStart w:id="47" w:name="_Toc98019244"/>
      <w:r>
        <w:rPr>
          <w:rFonts w:hint="eastAsia" w:asciiTheme="minorEastAsia" w:hAnsiTheme="minorEastAsia" w:eastAsiaTheme="minorEastAsia"/>
          <w:color w:val="auto"/>
          <w:highlight w:val="none"/>
        </w:rPr>
        <w:t>招标文件的构成。本招标文件由以下部</w:t>
      </w:r>
      <w:r>
        <w:rPr>
          <w:rFonts w:hint="eastAsia" w:asciiTheme="minorEastAsia" w:hAnsiTheme="minorEastAsia" w:eastAsiaTheme="minorEastAsia"/>
          <w:color w:val="auto"/>
          <w:highlight w:val="none"/>
          <w:lang w:val="en-US" w:eastAsia="zh-CN"/>
        </w:rPr>
        <w:t>分</w:t>
      </w:r>
      <w:r>
        <w:rPr>
          <w:rFonts w:hint="eastAsia" w:asciiTheme="minorEastAsia" w:hAnsiTheme="minorEastAsia" w:eastAsiaTheme="minorEastAsia"/>
          <w:color w:val="auto"/>
          <w:highlight w:val="none"/>
        </w:rPr>
        <w:t>组成：</w:t>
      </w:r>
      <w:bookmarkEnd w:id="47"/>
    </w:p>
    <w:p w14:paraId="165831FA">
      <w:pPr>
        <w:numPr>
          <w:ilvl w:val="0"/>
          <w:numId w:val="13"/>
        </w:numPr>
        <w:tabs>
          <w:tab w:val="left" w:pos="709"/>
        </w:tabs>
        <w:snapToGrid w:val="0"/>
        <w:spacing w:line="360" w:lineRule="auto"/>
        <w:ind w:left="0" w:firstLine="420" w:firstLineChars="20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招标公告</w:t>
      </w:r>
    </w:p>
    <w:p w14:paraId="18527CEB">
      <w:pPr>
        <w:numPr>
          <w:ilvl w:val="0"/>
          <w:numId w:val="13"/>
        </w:numPr>
        <w:tabs>
          <w:tab w:val="left" w:pos="709"/>
        </w:tabs>
        <w:snapToGrid w:val="0"/>
        <w:spacing w:line="360" w:lineRule="auto"/>
        <w:ind w:left="0" w:firstLine="420" w:firstLineChars="20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招标需求</w:t>
      </w:r>
    </w:p>
    <w:p w14:paraId="0730C1FE">
      <w:pPr>
        <w:numPr>
          <w:ilvl w:val="0"/>
          <w:numId w:val="13"/>
        </w:numPr>
        <w:tabs>
          <w:tab w:val="left" w:pos="709"/>
        </w:tabs>
        <w:snapToGrid w:val="0"/>
        <w:spacing w:line="360" w:lineRule="auto"/>
        <w:ind w:left="0" w:firstLine="420" w:firstLineChars="20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投标人须知</w:t>
      </w:r>
    </w:p>
    <w:p w14:paraId="3489E6CD">
      <w:pPr>
        <w:numPr>
          <w:ilvl w:val="0"/>
          <w:numId w:val="13"/>
        </w:numPr>
        <w:tabs>
          <w:tab w:val="left" w:pos="709"/>
        </w:tabs>
        <w:snapToGrid w:val="0"/>
        <w:spacing w:line="360" w:lineRule="auto"/>
        <w:ind w:left="0" w:firstLine="420" w:firstLineChars="20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评标办法及标准</w:t>
      </w:r>
    </w:p>
    <w:p w14:paraId="78BECEB9">
      <w:pPr>
        <w:numPr>
          <w:ilvl w:val="0"/>
          <w:numId w:val="13"/>
        </w:numPr>
        <w:tabs>
          <w:tab w:val="left" w:pos="709"/>
        </w:tabs>
        <w:snapToGrid w:val="0"/>
        <w:spacing w:line="360" w:lineRule="auto"/>
        <w:ind w:left="0" w:firstLine="420" w:firstLineChars="20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合同主要条款</w:t>
      </w:r>
    </w:p>
    <w:p w14:paraId="61E4C6EE">
      <w:pPr>
        <w:numPr>
          <w:ilvl w:val="0"/>
          <w:numId w:val="13"/>
        </w:numPr>
        <w:tabs>
          <w:tab w:val="left" w:pos="709"/>
        </w:tabs>
        <w:snapToGrid w:val="0"/>
        <w:spacing w:line="360" w:lineRule="auto"/>
        <w:ind w:left="0" w:firstLine="420" w:firstLineChars="20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投标文件格式</w:t>
      </w:r>
    </w:p>
    <w:p w14:paraId="1293B6D6">
      <w:pPr>
        <w:numPr>
          <w:ilvl w:val="0"/>
          <w:numId w:val="13"/>
        </w:numPr>
        <w:tabs>
          <w:tab w:val="left" w:pos="709"/>
        </w:tabs>
        <w:snapToGrid w:val="0"/>
        <w:spacing w:line="360" w:lineRule="auto"/>
        <w:ind w:left="0" w:firstLine="420" w:firstLineChars="20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本项目招标文件的澄清、答复、修改、补充的内容（如有）</w:t>
      </w:r>
    </w:p>
    <w:p w14:paraId="32C169A3">
      <w:pPr>
        <w:pStyle w:val="3"/>
        <w:numPr>
          <w:ilvl w:val="1"/>
          <w:numId w:val="9"/>
        </w:numPr>
        <w:spacing w:before="0" w:after="0" w:line="360" w:lineRule="auto"/>
        <w:ind w:firstLine="422" w:firstLineChars="200"/>
        <w:rPr>
          <w:rFonts w:hint="eastAsia" w:asciiTheme="minorEastAsia" w:hAnsiTheme="minorEastAsia" w:eastAsiaTheme="minorEastAsia"/>
          <w:color w:val="auto"/>
          <w:highlight w:val="none"/>
        </w:rPr>
      </w:pPr>
      <w:bookmarkStart w:id="48" w:name="_Toc98019245"/>
      <w:r>
        <w:rPr>
          <w:rFonts w:hint="eastAsia" w:asciiTheme="minorEastAsia" w:hAnsiTheme="minorEastAsia" w:eastAsiaTheme="minorEastAsia"/>
          <w:color w:val="auto"/>
          <w:highlight w:val="none"/>
        </w:rPr>
        <w:t>投标人的风险</w:t>
      </w:r>
      <w:bookmarkEnd w:id="48"/>
    </w:p>
    <w:p w14:paraId="221425AF">
      <w:pPr>
        <w:pStyle w:val="32"/>
        <w:spacing w:line="360" w:lineRule="auto"/>
        <w:ind w:firstLine="420"/>
        <w:rPr>
          <w:rFonts w:hint="eastAsia" w:asciiTheme="minorEastAsia" w:hAnsiTheme="minorEastAsia" w:eastAsiaTheme="minorEastAsia"/>
          <w:color w:val="auto"/>
          <w:sz w:val="21"/>
          <w:szCs w:val="21"/>
          <w:highlight w:val="none"/>
        </w:rPr>
      </w:pPr>
      <w:r>
        <w:rPr>
          <w:rFonts w:hint="eastAsia" w:asciiTheme="minorEastAsia" w:hAnsiTheme="minorEastAsia" w:eastAsiaTheme="minorEastAsia"/>
          <w:color w:val="auto"/>
          <w:sz w:val="21"/>
          <w:szCs w:val="21"/>
          <w:highlight w:val="none"/>
        </w:rPr>
        <w:t>投标人没有按照招标文件要求提供全部资料，或者投标人没有对招标文件在各方面作出实质性响应是投标人的风险，并可能导致其投标被拒绝。</w:t>
      </w:r>
    </w:p>
    <w:p w14:paraId="62E23673">
      <w:pPr>
        <w:pStyle w:val="3"/>
        <w:numPr>
          <w:ilvl w:val="1"/>
          <w:numId w:val="9"/>
        </w:numPr>
        <w:spacing w:before="0" w:after="0" w:line="360" w:lineRule="auto"/>
        <w:ind w:firstLine="422" w:firstLineChars="200"/>
        <w:rPr>
          <w:rFonts w:hint="eastAsia" w:asciiTheme="minorEastAsia" w:hAnsiTheme="minorEastAsia" w:eastAsiaTheme="minorEastAsia"/>
          <w:color w:val="auto"/>
          <w:highlight w:val="none"/>
        </w:rPr>
      </w:pPr>
      <w:bookmarkStart w:id="49" w:name="_Toc98019246"/>
      <w:r>
        <w:rPr>
          <w:rFonts w:hint="eastAsia" w:asciiTheme="minorEastAsia" w:hAnsiTheme="minorEastAsia" w:eastAsiaTheme="minorEastAsia"/>
          <w:color w:val="auto"/>
          <w:highlight w:val="none"/>
        </w:rPr>
        <w:t>招标文件的澄清与修改</w:t>
      </w:r>
      <w:bookmarkEnd w:id="49"/>
    </w:p>
    <w:p w14:paraId="7F294068">
      <w:pPr>
        <w:numPr>
          <w:ilvl w:val="0"/>
          <w:numId w:val="14"/>
        </w:numPr>
        <w:tabs>
          <w:tab w:val="left" w:pos="709"/>
        </w:tabs>
        <w:snapToGrid w:val="0"/>
        <w:spacing w:line="360" w:lineRule="auto"/>
        <w:ind w:left="0" w:firstLine="420" w:firstLineChars="200"/>
        <w:jc w:val="left"/>
        <w:rPr>
          <w:rFonts w:hint="eastAsia" w:asciiTheme="minorEastAsia" w:hAnsiTheme="minorEastAsia" w:eastAsiaTheme="minorEastAsia"/>
          <w:color w:val="auto"/>
          <w:szCs w:val="21"/>
          <w:highlight w:val="none"/>
        </w:rPr>
      </w:pPr>
      <w:bookmarkStart w:id="50" w:name="_Toc9342487"/>
      <w:bookmarkStart w:id="51" w:name="_Toc11650177"/>
      <w:r>
        <w:rPr>
          <w:rFonts w:hint="eastAsia" w:asciiTheme="minorEastAsia" w:hAnsiTheme="minorEastAsia" w:eastAsiaTheme="minorEastAsia"/>
          <w:color w:val="auto"/>
          <w:szCs w:val="21"/>
          <w:highlight w:val="none"/>
        </w:rPr>
        <w:t>投标人应认真阅读本招标文件，发现其中有误或有不合理要求的，投标人必须在前附表规定的时间前以书面形式要求招标人澄清。招标人对已发出的招标文件进行必要澄清、答复、修改或补充的，应当在招标文件要求提交投标文件截止时间前，以书面形式通知投标人。</w:t>
      </w:r>
      <w:bookmarkEnd w:id="50"/>
      <w:bookmarkEnd w:id="51"/>
    </w:p>
    <w:p w14:paraId="6CC46396">
      <w:pPr>
        <w:numPr>
          <w:ilvl w:val="0"/>
          <w:numId w:val="14"/>
        </w:numPr>
        <w:tabs>
          <w:tab w:val="left" w:pos="709"/>
        </w:tabs>
        <w:snapToGrid w:val="0"/>
        <w:spacing w:line="360" w:lineRule="auto"/>
        <w:ind w:left="0" w:firstLine="420" w:firstLineChars="200"/>
        <w:jc w:val="left"/>
        <w:rPr>
          <w:rFonts w:hint="eastAsia" w:asciiTheme="minorEastAsia" w:hAnsiTheme="minorEastAsia" w:eastAsiaTheme="minorEastAsia"/>
          <w:color w:val="auto"/>
          <w:szCs w:val="21"/>
          <w:highlight w:val="none"/>
        </w:rPr>
      </w:pPr>
      <w:bookmarkStart w:id="52" w:name="_Toc9342488"/>
      <w:bookmarkStart w:id="53" w:name="_Toc11650178"/>
      <w:r>
        <w:rPr>
          <w:rFonts w:hint="eastAsia" w:asciiTheme="minorEastAsia" w:hAnsiTheme="minorEastAsia" w:eastAsiaTheme="minorEastAsia"/>
          <w:color w:val="auto"/>
          <w:szCs w:val="21"/>
          <w:highlight w:val="none"/>
        </w:rPr>
        <w:t>招标文件澄清、答复、修改、补充的内容为招标文件的组成部分。当招标文件与招标文件的答复、澄清、修改、补充通知就同一内容的表述不一致时，以最后发出的为准。</w:t>
      </w:r>
      <w:bookmarkEnd w:id="52"/>
      <w:bookmarkEnd w:id="53"/>
    </w:p>
    <w:p w14:paraId="7BF83D62">
      <w:pPr>
        <w:numPr>
          <w:ilvl w:val="0"/>
          <w:numId w:val="14"/>
        </w:numPr>
        <w:tabs>
          <w:tab w:val="left" w:pos="709"/>
        </w:tabs>
        <w:snapToGrid w:val="0"/>
        <w:spacing w:line="360" w:lineRule="auto"/>
        <w:ind w:left="0" w:firstLine="420" w:firstLineChars="200"/>
        <w:jc w:val="left"/>
        <w:rPr>
          <w:rFonts w:hint="eastAsia" w:asciiTheme="minorEastAsia" w:hAnsiTheme="minorEastAsia" w:eastAsiaTheme="minorEastAsia"/>
          <w:color w:val="auto"/>
          <w:szCs w:val="21"/>
          <w:highlight w:val="none"/>
        </w:rPr>
      </w:pPr>
      <w:bookmarkStart w:id="54" w:name="_Toc11650179"/>
      <w:bookmarkStart w:id="55" w:name="_Toc9342489"/>
      <w:r>
        <w:rPr>
          <w:rFonts w:hint="eastAsia" w:asciiTheme="minorEastAsia" w:hAnsiTheme="minorEastAsia" w:eastAsiaTheme="minorEastAsia"/>
          <w:color w:val="auto"/>
          <w:szCs w:val="21"/>
          <w:highlight w:val="none"/>
        </w:rPr>
        <w:t>招标文件的澄清、答复、修改或补充都应该通过招标人以法定形式发布，存款单位没有通过招标人，不得擅自澄清、答复、修改或补充招标文件。</w:t>
      </w:r>
      <w:bookmarkEnd w:id="54"/>
      <w:bookmarkEnd w:id="55"/>
    </w:p>
    <w:p w14:paraId="70AFEDF8">
      <w:pPr>
        <w:pStyle w:val="2"/>
        <w:numPr>
          <w:ilvl w:val="0"/>
          <w:numId w:val="8"/>
        </w:numPr>
        <w:spacing w:before="0" w:after="0" w:line="360" w:lineRule="auto"/>
        <w:ind w:firstLine="422" w:firstLineChars="200"/>
        <w:jc w:val="center"/>
        <w:rPr>
          <w:rFonts w:hint="eastAsia" w:cs="微软雅黑" w:asciiTheme="minorEastAsia" w:hAnsiTheme="minorEastAsia" w:eastAsiaTheme="minorEastAsia"/>
          <w:color w:val="auto"/>
          <w:sz w:val="21"/>
          <w:szCs w:val="21"/>
          <w:highlight w:val="none"/>
        </w:rPr>
      </w:pPr>
      <w:bookmarkStart w:id="56" w:name="_Toc11650180"/>
      <w:bookmarkStart w:id="57" w:name="_Toc9342490"/>
      <w:bookmarkStart w:id="58" w:name="_Toc24216"/>
      <w:bookmarkStart w:id="59" w:name="_Toc98019247"/>
      <w:r>
        <w:rPr>
          <w:rFonts w:hint="eastAsia" w:cs="微软雅黑" w:asciiTheme="minorEastAsia" w:hAnsiTheme="minorEastAsia" w:eastAsiaTheme="minorEastAsia"/>
          <w:color w:val="auto"/>
          <w:sz w:val="21"/>
          <w:szCs w:val="21"/>
          <w:highlight w:val="none"/>
        </w:rPr>
        <w:t>投标文件的编制</w:t>
      </w:r>
      <w:bookmarkEnd w:id="56"/>
      <w:bookmarkEnd w:id="57"/>
      <w:bookmarkEnd w:id="58"/>
      <w:bookmarkEnd w:id="59"/>
    </w:p>
    <w:p w14:paraId="73290A7E">
      <w:pPr>
        <w:pStyle w:val="3"/>
        <w:numPr>
          <w:ilvl w:val="1"/>
          <w:numId w:val="9"/>
        </w:numPr>
        <w:spacing w:before="0" w:after="0" w:line="360" w:lineRule="auto"/>
        <w:ind w:firstLine="422" w:firstLineChars="200"/>
        <w:rPr>
          <w:rFonts w:hint="eastAsia" w:asciiTheme="minorEastAsia" w:hAnsiTheme="minorEastAsia" w:eastAsiaTheme="minorEastAsia"/>
          <w:color w:val="auto"/>
          <w:highlight w:val="none"/>
        </w:rPr>
      </w:pPr>
      <w:bookmarkStart w:id="60" w:name="_Toc11650181"/>
      <w:bookmarkStart w:id="61" w:name="_Toc98019248"/>
      <w:bookmarkStart w:id="62" w:name="_Toc9342491"/>
      <w:r>
        <w:rPr>
          <w:rFonts w:hint="eastAsia" w:asciiTheme="minorEastAsia" w:hAnsiTheme="minorEastAsia" w:eastAsiaTheme="minorEastAsia"/>
          <w:color w:val="auto"/>
          <w:highlight w:val="none"/>
        </w:rPr>
        <w:t>投标文件的组成</w:t>
      </w:r>
      <w:bookmarkEnd w:id="60"/>
      <w:bookmarkEnd w:id="61"/>
      <w:bookmarkEnd w:id="62"/>
    </w:p>
    <w:p w14:paraId="59E40C04">
      <w:pPr>
        <w:snapToGrid w:val="0"/>
        <w:spacing w:line="360" w:lineRule="auto"/>
        <w:ind w:firstLine="420" w:firstLineChars="20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投标文件的资信技术文件和投标报价文件装订成一本。</w:t>
      </w:r>
    </w:p>
    <w:p w14:paraId="4FF6D7A8">
      <w:pPr>
        <w:numPr>
          <w:ilvl w:val="0"/>
          <w:numId w:val="15"/>
        </w:numPr>
        <w:tabs>
          <w:tab w:val="left" w:pos="709"/>
        </w:tabs>
        <w:snapToGrid w:val="0"/>
        <w:spacing w:line="360" w:lineRule="auto"/>
        <w:ind w:left="0" w:firstLine="420" w:firstLineChars="20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▲投标声明书（格式见附件）；</w:t>
      </w:r>
    </w:p>
    <w:p w14:paraId="7DD72A9B">
      <w:pPr>
        <w:numPr>
          <w:ilvl w:val="0"/>
          <w:numId w:val="15"/>
        </w:numPr>
        <w:tabs>
          <w:tab w:val="left" w:pos="709"/>
        </w:tabs>
        <w:snapToGrid w:val="0"/>
        <w:spacing w:line="360" w:lineRule="auto"/>
        <w:ind w:left="0" w:firstLine="420" w:firstLineChars="20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▲法定代表人（负责人）授权书(格式见附件)；</w:t>
      </w:r>
    </w:p>
    <w:p w14:paraId="32470FC5">
      <w:pPr>
        <w:numPr>
          <w:ilvl w:val="0"/>
          <w:numId w:val="15"/>
        </w:numPr>
        <w:tabs>
          <w:tab w:val="left" w:pos="709"/>
        </w:tabs>
        <w:snapToGrid w:val="0"/>
        <w:spacing w:line="360" w:lineRule="auto"/>
        <w:ind w:left="0" w:firstLine="420" w:firstLineChars="20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▲投标函（格式见附件）；</w:t>
      </w:r>
    </w:p>
    <w:p w14:paraId="7CBA83F3">
      <w:pPr>
        <w:numPr>
          <w:ilvl w:val="0"/>
          <w:numId w:val="15"/>
        </w:numPr>
        <w:tabs>
          <w:tab w:val="left" w:pos="709"/>
        </w:tabs>
        <w:snapToGrid w:val="0"/>
        <w:spacing w:line="360" w:lineRule="auto"/>
        <w:ind w:left="0" w:firstLine="420" w:firstLineChars="20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▲投标报价一览表（格式见附件）</w:t>
      </w:r>
    </w:p>
    <w:p w14:paraId="4B8863E1">
      <w:pPr>
        <w:numPr>
          <w:ilvl w:val="0"/>
          <w:numId w:val="15"/>
        </w:numPr>
        <w:tabs>
          <w:tab w:val="left" w:pos="709"/>
        </w:tabs>
        <w:snapToGrid w:val="0"/>
        <w:spacing w:line="360" w:lineRule="auto"/>
        <w:ind w:left="0" w:firstLine="420" w:firstLineChars="20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人民银行评价材料 (复印件)；</w:t>
      </w:r>
    </w:p>
    <w:p w14:paraId="7489528B">
      <w:pPr>
        <w:numPr>
          <w:ilvl w:val="0"/>
          <w:numId w:val="15"/>
        </w:numPr>
        <w:tabs>
          <w:tab w:val="left" w:pos="709"/>
        </w:tabs>
        <w:snapToGrid w:val="0"/>
        <w:spacing w:line="360" w:lineRule="auto"/>
        <w:ind w:left="0" w:firstLine="420" w:firstLineChars="20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▲营业执照副本(复印件)；</w:t>
      </w:r>
    </w:p>
    <w:p w14:paraId="6C8546EC">
      <w:pPr>
        <w:numPr>
          <w:ilvl w:val="0"/>
          <w:numId w:val="15"/>
        </w:numPr>
        <w:tabs>
          <w:tab w:val="left" w:pos="709"/>
        </w:tabs>
        <w:snapToGrid w:val="0"/>
        <w:spacing w:line="360" w:lineRule="auto"/>
        <w:ind w:left="0" w:firstLine="420" w:firstLineChars="20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▲《中华人民共和国金融许可证》（复印件）；</w:t>
      </w:r>
    </w:p>
    <w:p w14:paraId="66874FDA">
      <w:pPr>
        <w:numPr>
          <w:ilvl w:val="0"/>
          <w:numId w:val="15"/>
        </w:numPr>
        <w:tabs>
          <w:tab w:val="left" w:pos="709"/>
        </w:tabs>
        <w:snapToGrid w:val="0"/>
        <w:spacing w:line="360" w:lineRule="auto"/>
        <w:ind w:left="0" w:firstLine="420" w:firstLineChars="200"/>
        <w:jc w:val="left"/>
        <w:rPr>
          <w:rFonts w:hint="eastAsia"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w:t>
      </w:r>
      <w:r>
        <w:rPr>
          <w:rFonts w:hint="eastAsia" w:asciiTheme="minorEastAsia" w:hAnsiTheme="minorEastAsia" w:eastAsiaTheme="minorEastAsia"/>
          <w:color w:val="auto"/>
          <w:szCs w:val="21"/>
          <w:highlight w:val="none"/>
        </w:rPr>
        <w:t>廉政承诺书（格式见附件）；</w:t>
      </w:r>
    </w:p>
    <w:p w14:paraId="50745FEE">
      <w:pPr>
        <w:numPr>
          <w:ilvl w:val="0"/>
          <w:numId w:val="15"/>
        </w:numPr>
        <w:tabs>
          <w:tab w:val="left" w:pos="709"/>
        </w:tabs>
        <w:snapToGrid w:val="0"/>
        <w:spacing w:line="360" w:lineRule="auto"/>
        <w:ind w:left="0" w:firstLine="420" w:firstLineChars="200"/>
        <w:jc w:val="left"/>
        <w:rPr>
          <w:rFonts w:hint="eastAsia"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w:t>
      </w:r>
      <w:r>
        <w:rPr>
          <w:rFonts w:hint="eastAsia" w:asciiTheme="minorEastAsia" w:hAnsiTheme="minorEastAsia" w:eastAsiaTheme="minorEastAsia"/>
          <w:color w:val="auto"/>
          <w:szCs w:val="21"/>
          <w:highlight w:val="none"/>
        </w:rPr>
        <w:t>拨备覆盖率、资本充足率数据（格式见附件）；</w:t>
      </w:r>
    </w:p>
    <w:p w14:paraId="687A9BD8">
      <w:pPr>
        <w:numPr>
          <w:ilvl w:val="0"/>
          <w:numId w:val="15"/>
        </w:numPr>
        <w:tabs>
          <w:tab w:val="left" w:pos="709"/>
        </w:tabs>
        <w:snapToGrid w:val="0"/>
        <w:spacing w:line="360" w:lineRule="auto"/>
        <w:ind w:left="0" w:firstLine="420" w:firstLineChars="20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投标人需提供的其他材料（格式自拟）。</w:t>
      </w:r>
    </w:p>
    <w:p w14:paraId="4AD33959">
      <w:pPr>
        <w:pStyle w:val="3"/>
        <w:numPr>
          <w:ilvl w:val="1"/>
          <w:numId w:val="9"/>
        </w:numPr>
        <w:spacing w:before="0" w:after="0" w:line="360" w:lineRule="auto"/>
        <w:ind w:firstLine="422" w:firstLineChars="200"/>
        <w:rPr>
          <w:rFonts w:hint="eastAsia" w:asciiTheme="minorEastAsia" w:hAnsiTheme="minorEastAsia" w:eastAsiaTheme="minorEastAsia"/>
          <w:color w:val="auto"/>
          <w:highlight w:val="none"/>
        </w:rPr>
      </w:pPr>
      <w:bookmarkStart w:id="63" w:name="_Toc9342492"/>
      <w:bookmarkStart w:id="64" w:name="_Toc98019249"/>
      <w:bookmarkStart w:id="65" w:name="_Toc11650182"/>
      <w:r>
        <w:rPr>
          <w:rFonts w:hint="eastAsia" w:asciiTheme="minorEastAsia" w:hAnsiTheme="minorEastAsia" w:eastAsiaTheme="minorEastAsia"/>
          <w:color w:val="auto"/>
          <w:highlight w:val="none"/>
        </w:rPr>
        <w:t>投标文件的语言及计量</w:t>
      </w:r>
      <w:bookmarkEnd w:id="63"/>
      <w:bookmarkEnd w:id="64"/>
      <w:bookmarkEnd w:id="65"/>
    </w:p>
    <w:p w14:paraId="5CA74B9C">
      <w:pPr>
        <w:numPr>
          <w:ilvl w:val="0"/>
          <w:numId w:val="16"/>
        </w:numPr>
        <w:snapToGrid w:val="0"/>
        <w:spacing w:line="360" w:lineRule="auto"/>
        <w:ind w:left="0" w:firstLine="420" w:firstLineChars="20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▲投标文件以及投标方与招标方就有关投标事宜的所有来往函电，均应以中文汉语书写。除签名、盖章、专用名称等特殊情形外，以中文汉语以外的文字表述的投标文件视同未提供。</w:t>
      </w:r>
    </w:p>
    <w:p w14:paraId="2893608A">
      <w:pPr>
        <w:numPr>
          <w:ilvl w:val="0"/>
          <w:numId w:val="16"/>
        </w:numPr>
        <w:snapToGrid w:val="0"/>
        <w:spacing w:line="360" w:lineRule="auto"/>
        <w:ind w:left="0" w:firstLine="420" w:firstLineChars="20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▲投标计量单位，招标文件已有明确规定的，使用招标文件规定的计量单位；招标文件没有规定的，应采用中华人民共和国法定计量单位（货币单位：人民币元），否则视同未响应。</w:t>
      </w:r>
    </w:p>
    <w:p w14:paraId="040BD266">
      <w:pPr>
        <w:pStyle w:val="3"/>
        <w:numPr>
          <w:ilvl w:val="1"/>
          <w:numId w:val="9"/>
        </w:numPr>
        <w:spacing w:before="0" w:after="0" w:line="360" w:lineRule="auto"/>
        <w:ind w:firstLine="422" w:firstLineChars="200"/>
        <w:rPr>
          <w:rFonts w:hint="eastAsia" w:asciiTheme="minorEastAsia" w:hAnsiTheme="minorEastAsia" w:eastAsiaTheme="minorEastAsia"/>
          <w:color w:val="auto"/>
          <w:highlight w:val="none"/>
        </w:rPr>
      </w:pPr>
      <w:bookmarkStart w:id="66" w:name="_Toc11650183"/>
      <w:bookmarkStart w:id="67" w:name="_Toc98019250"/>
      <w:bookmarkStart w:id="68" w:name="_Toc9342493"/>
      <w:r>
        <w:rPr>
          <w:rFonts w:hint="eastAsia" w:asciiTheme="minorEastAsia" w:hAnsiTheme="minorEastAsia" w:eastAsiaTheme="minorEastAsia"/>
          <w:color w:val="auto"/>
          <w:highlight w:val="none"/>
        </w:rPr>
        <w:t>投标报价</w:t>
      </w:r>
      <w:bookmarkEnd w:id="66"/>
      <w:bookmarkEnd w:id="67"/>
      <w:bookmarkEnd w:id="68"/>
    </w:p>
    <w:p w14:paraId="3F3B1DDE">
      <w:pPr>
        <w:numPr>
          <w:ilvl w:val="0"/>
          <w:numId w:val="17"/>
        </w:numPr>
        <w:tabs>
          <w:tab w:val="left" w:pos="709"/>
        </w:tabs>
        <w:snapToGrid w:val="0"/>
        <w:spacing w:line="360" w:lineRule="auto"/>
        <w:ind w:left="0" w:firstLine="420" w:firstLineChars="20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投标报价应按招标文件中相关附表格式填写。</w:t>
      </w:r>
    </w:p>
    <w:p w14:paraId="35981362">
      <w:pPr>
        <w:numPr>
          <w:ilvl w:val="0"/>
          <w:numId w:val="17"/>
        </w:numPr>
        <w:tabs>
          <w:tab w:val="left" w:pos="709"/>
        </w:tabs>
        <w:snapToGrid w:val="0"/>
        <w:spacing w:line="360" w:lineRule="auto"/>
        <w:ind w:left="0" w:firstLine="420" w:firstLineChars="20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▲投标报价只允许有一个报价，有选择的报价将不予接受。</w:t>
      </w:r>
    </w:p>
    <w:p w14:paraId="14C01741">
      <w:pPr>
        <w:numPr>
          <w:ilvl w:val="0"/>
          <w:numId w:val="17"/>
        </w:numPr>
        <w:tabs>
          <w:tab w:val="left" w:pos="709"/>
        </w:tabs>
        <w:snapToGrid w:val="0"/>
        <w:spacing w:line="360" w:lineRule="auto"/>
        <w:ind w:left="0" w:firstLine="420" w:firstLineChars="20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投标人须充分了解项目全部风险，综合考虑投标报价。</w:t>
      </w:r>
    </w:p>
    <w:p w14:paraId="76C1D51B">
      <w:pPr>
        <w:pStyle w:val="88"/>
        <w:numPr>
          <w:ilvl w:val="0"/>
          <w:numId w:val="17"/>
        </w:numPr>
        <w:ind w:left="0" w:firstLine="426" w:firstLineChars="0"/>
        <w:rPr>
          <w:rFonts w:hint="eastAsia" w:asciiTheme="minorEastAsia" w:hAnsiTheme="minorEastAsia" w:eastAsiaTheme="minorEastAsia"/>
          <w:b/>
          <w:color w:val="auto"/>
          <w:szCs w:val="21"/>
          <w:highlight w:val="none"/>
          <w:shd w:val="pct10" w:color="auto" w:fill="FFFFFF"/>
        </w:rPr>
      </w:pPr>
      <w:r>
        <w:rPr>
          <w:rFonts w:hint="eastAsia" w:asciiTheme="minorEastAsia" w:hAnsiTheme="minorEastAsia" w:eastAsiaTheme="minorEastAsia"/>
          <w:color w:val="auto"/>
          <w:szCs w:val="21"/>
          <w:highlight w:val="none"/>
        </w:rPr>
        <w:t>▲</w:t>
      </w:r>
      <w:r>
        <w:rPr>
          <w:rFonts w:hint="eastAsia" w:asciiTheme="minorEastAsia" w:hAnsiTheme="minorEastAsia" w:eastAsiaTheme="minorEastAsia"/>
          <w:b/>
          <w:color w:val="auto"/>
          <w:szCs w:val="21"/>
          <w:highlight w:val="none"/>
          <w:shd w:val="pct10" w:color="auto" w:fill="FFFFFF"/>
        </w:rPr>
        <w:t>投标人报价不得违反国家利率政策和市场利率定价自律机制规定。</w:t>
      </w:r>
    </w:p>
    <w:p w14:paraId="31F285B1">
      <w:pPr>
        <w:numPr>
          <w:ilvl w:val="0"/>
          <w:numId w:val="17"/>
        </w:numPr>
        <w:tabs>
          <w:tab w:val="left" w:pos="709"/>
        </w:tabs>
        <w:snapToGrid w:val="0"/>
        <w:spacing w:line="360" w:lineRule="auto"/>
        <w:ind w:left="0" w:firstLine="420" w:firstLineChars="20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投标人提交可选择报价视为非实质性响应招标文件的要求，按无效标处理。</w:t>
      </w:r>
    </w:p>
    <w:p w14:paraId="056D855E">
      <w:pPr>
        <w:pStyle w:val="3"/>
        <w:numPr>
          <w:ilvl w:val="1"/>
          <w:numId w:val="9"/>
        </w:numPr>
        <w:spacing w:before="0" w:after="0" w:line="360" w:lineRule="auto"/>
        <w:ind w:firstLine="422" w:firstLineChars="200"/>
        <w:rPr>
          <w:rFonts w:hint="eastAsia" w:asciiTheme="minorEastAsia" w:hAnsiTheme="minorEastAsia" w:eastAsiaTheme="minorEastAsia"/>
          <w:color w:val="auto"/>
          <w:highlight w:val="none"/>
        </w:rPr>
      </w:pPr>
      <w:bookmarkStart w:id="69" w:name="_Toc98019251"/>
      <w:r>
        <w:rPr>
          <w:rFonts w:hint="eastAsia" w:asciiTheme="minorEastAsia" w:hAnsiTheme="minorEastAsia" w:eastAsiaTheme="minorEastAsia"/>
          <w:color w:val="auto"/>
          <w:highlight w:val="none"/>
        </w:rPr>
        <w:t>投标文件的有效期</w:t>
      </w:r>
      <w:bookmarkEnd w:id="69"/>
    </w:p>
    <w:p w14:paraId="2770A269">
      <w:pPr>
        <w:numPr>
          <w:ilvl w:val="0"/>
          <w:numId w:val="18"/>
        </w:numPr>
        <w:snapToGrid w:val="0"/>
        <w:spacing w:line="360" w:lineRule="auto"/>
        <w:ind w:left="0" w:firstLine="420" w:firstLineChars="20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▲自投标截止日起60天投标文件应保持有效。有效期不足的投标文件将被拒绝。</w:t>
      </w:r>
    </w:p>
    <w:p w14:paraId="17ACCC30">
      <w:pPr>
        <w:numPr>
          <w:ilvl w:val="0"/>
          <w:numId w:val="18"/>
        </w:numPr>
        <w:snapToGrid w:val="0"/>
        <w:spacing w:line="360" w:lineRule="auto"/>
        <w:ind w:left="0" w:firstLine="420" w:firstLineChars="200"/>
        <w:jc w:val="left"/>
        <w:rPr>
          <w:rFonts w:hint="eastAsia" w:asciiTheme="minorEastAsia" w:hAnsiTheme="minorEastAsia" w:eastAsiaTheme="minorEastAsia"/>
          <w:color w:val="auto"/>
          <w:szCs w:val="21"/>
          <w:highlight w:val="none"/>
        </w:rPr>
      </w:pPr>
      <w:bookmarkStart w:id="70" w:name="_Toc11650184"/>
      <w:bookmarkStart w:id="71" w:name="_Toc9342494"/>
      <w:r>
        <w:rPr>
          <w:rFonts w:hint="eastAsia" w:asciiTheme="minorEastAsia" w:hAnsiTheme="minorEastAsia" w:eastAsiaTheme="minorEastAsia"/>
          <w:color w:val="auto"/>
          <w:szCs w:val="21"/>
          <w:highlight w:val="none"/>
        </w:rPr>
        <w:t>中标人的投标文件自开标之日起至合同履行完毕止均应保持有效。</w:t>
      </w:r>
      <w:bookmarkEnd w:id="70"/>
      <w:bookmarkEnd w:id="71"/>
    </w:p>
    <w:p w14:paraId="416F55A6">
      <w:pPr>
        <w:pStyle w:val="3"/>
        <w:numPr>
          <w:ilvl w:val="1"/>
          <w:numId w:val="9"/>
        </w:numPr>
        <w:spacing w:before="0" w:after="0" w:line="360" w:lineRule="auto"/>
        <w:ind w:firstLine="422" w:firstLineChars="200"/>
        <w:rPr>
          <w:rFonts w:hint="eastAsia" w:asciiTheme="minorEastAsia" w:hAnsiTheme="minorEastAsia" w:eastAsiaTheme="minorEastAsia"/>
          <w:color w:val="auto"/>
          <w:highlight w:val="none"/>
        </w:rPr>
      </w:pPr>
      <w:bookmarkStart w:id="72" w:name="_Toc98019252"/>
      <w:r>
        <w:rPr>
          <w:rFonts w:hint="eastAsia" w:asciiTheme="minorEastAsia" w:hAnsiTheme="minorEastAsia" w:eastAsiaTheme="minorEastAsia"/>
          <w:color w:val="auto"/>
          <w:highlight w:val="none"/>
        </w:rPr>
        <w:t>投标文件的签署和份数</w:t>
      </w:r>
      <w:bookmarkEnd w:id="72"/>
    </w:p>
    <w:p w14:paraId="5D5D8B97">
      <w:pPr>
        <w:numPr>
          <w:ilvl w:val="0"/>
          <w:numId w:val="19"/>
        </w:numPr>
        <w:tabs>
          <w:tab w:val="left" w:pos="709"/>
        </w:tabs>
        <w:snapToGrid w:val="0"/>
        <w:spacing w:line="360" w:lineRule="auto"/>
        <w:ind w:left="0" w:firstLine="424" w:firstLineChars="202"/>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w:t>
      </w:r>
      <w:r>
        <w:rPr>
          <w:rFonts w:hint="eastAsia" w:asciiTheme="minorEastAsia" w:hAnsiTheme="minorEastAsia" w:eastAsiaTheme="minorEastAsia"/>
          <w:color w:val="auto"/>
          <w:szCs w:val="21"/>
          <w:highlight w:val="none"/>
          <w:u w:val="single"/>
        </w:rPr>
        <w:t>线下纸质投标文件</w:t>
      </w:r>
      <w:r>
        <w:rPr>
          <w:rFonts w:asciiTheme="minorEastAsia" w:hAnsiTheme="minorEastAsia" w:eastAsiaTheme="minorEastAsia"/>
          <w:color w:val="auto"/>
          <w:szCs w:val="21"/>
          <w:highlight w:val="none"/>
          <w:u w:val="single"/>
        </w:rPr>
        <w:t>正本一份和副本</w:t>
      </w:r>
      <w:r>
        <w:rPr>
          <w:rFonts w:hint="eastAsia" w:asciiTheme="minorEastAsia" w:hAnsiTheme="minorEastAsia" w:eastAsiaTheme="minorEastAsia"/>
          <w:color w:val="auto"/>
          <w:szCs w:val="21"/>
          <w:highlight w:val="none"/>
          <w:u w:val="single"/>
        </w:rPr>
        <w:t>一份</w:t>
      </w:r>
      <w:r>
        <w:rPr>
          <w:rFonts w:hint="eastAsia" w:asciiTheme="minorEastAsia" w:hAnsiTheme="minorEastAsia" w:eastAsiaTheme="minorEastAsia"/>
          <w:color w:val="auto"/>
          <w:szCs w:val="21"/>
          <w:highlight w:val="none"/>
        </w:rPr>
        <w:t>。投标文件的正本需打印或用不褪色的墨水填写，并注明“正本”字样，投标文件正本除本招标须知中规定的可提供复印件外均须提供原件。副本可为正本的复印件。投标文件应装订密封，且在封口上加盖投标单位的公章。</w:t>
      </w:r>
    </w:p>
    <w:p w14:paraId="676494B9">
      <w:pPr>
        <w:numPr>
          <w:ilvl w:val="0"/>
          <w:numId w:val="19"/>
        </w:numPr>
        <w:tabs>
          <w:tab w:val="left" w:pos="709"/>
        </w:tabs>
        <w:snapToGrid w:val="0"/>
        <w:spacing w:line="360" w:lineRule="auto"/>
        <w:ind w:left="0" w:firstLine="426" w:firstLineChars="202"/>
        <w:jc w:val="left"/>
        <w:rPr>
          <w:rFonts w:hint="eastAsia" w:asciiTheme="minorEastAsia" w:hAnsiTheme="minorEastAsia" w:eastAsiaTheme="minorEastAsia"/>
          <w:b/>
          <w:color w:val="auto"/>
          <w:szCs w:val="21"/>
          <w:highlight w:val="none"/>
          <w:shd w:val="pct10" w:color="auto" w:fill="FFFFFF"/>
        </w:rPr>
      </w:pPr>
      <w:r>
        <w:rPr>
          <w:rFonts w:hint="eastAsia" w:asciiTheme="minorEastAsia" w:hAnsiTheme="minorEastAsia" w:eastAsiaTheme="minorEastAsia"/>
          <w:b/>
          <w:color w:val="auto"/>
          <w:szCs w:val="21"/>
          <w:highlight w:val="none"/>
          <w:shd w:val="pct10" w:color="auto" w:fill="FFFFFF"/>
        </w:rPr>
        <w:t>▲投标文件须由投标人在规定位置盖章并由法定代表人/负责人或法定代表授权人签署，投标人应写全称。投标文件不得涂改，若有修改错漏处，须加盖单位公章或者法定代表人/负责人或授权委托人签字或盖章。投标文件因字迹潦草或表达不清所引起的后果由投标人负责。</w:t>
      </w:r>
    </w:p>
    <w:p w14:paraId="4944C946">
      <w:pPr>
        <w:numPr>
          <w:ilvl w:val="0"/>
          <w:numId w:val="19"/>
        </w:numPr>
        <w:tabs>
          <w:tab w:val="left" w:pos="709"/>
        </w:tabs>
        <w:snapToGrid w:val="0"/>
        <w:spacing w:line="360" w:lineRule="auto"/>
        <w:ind w:left="0" w:firstLine="424" w:firstLineChars="202"/>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▲网上电子投标文件按招标文件要求及招标系统流程、时间、格式上传。</w:t>
      </w:r>
    </w:p>
    <w:p w14:paraId="44516273">
      <w:pPr>
        <w:pStyle w:val="3"/>
        <w:numPr>
          <w:ilvl w:val="1"/>
          <w:numId w:val="9"/>
        </w:numPr>
        <w:spacing w:before="0" w:after="0" w:line="360" w:lineRule="auto"/>
        <w:ind w:firstLine="422" w:firstLineChars="200"/>
        <w:rPr>
          <w:rFonts w:hint="eastAsia" w:asciiTheme="minorEastAsia" w:hAnsiTheme="minorEastAsia" w:eastAsiaTheme="minorEastAsia"/>
          <w:color w:val="auto"/>
          <w:highlight w:val="none"/>
        </w:rPr>
      </w:pPr>
      <w:bookmarkStart w:id="73" w:name="_Toc98019253"/>
      <w:r>
        <w:rPr>
          <w:rFonts w:hint="eastAsia" w:asciiTheme="minorEastAsia" w:hAnsiTheme="minorEastAsia" w:eastAsiaTheme="minorEastAsia"/>
          <w:color w:val="auto"/>
          <w:highlight w:val="none"/>
        </w:rPr>
        <w:t>投标文件的包装、递交、修改和撤回</w:t>
      </w:r>
      <w:bookmarkEnd w:id="73"/>
    </w:p>
    <w:p w14:paraId="319EF373">
      <w:pPr>
        <w:numPr>
          <w:ilvl w:val="0"/>
          <w:numId w:val="20"/>
        </w:numPr>
        <w:tabs>
          <w:tab w:val="left" w:pos="709"/>
        </w:tabs>
        <w:snapToGrid w:val="0"/>
        <w:spacing w:line="360" w:lineRule="auto"/>
        <w:ind w:left="0" w:firstLine="420" w:firstLineChars="20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投标人的投标文件应密封封装。投标文件的包装封面上应注明投标人名称、投标人地址、投标文件名称、投标项目名称、项目编号，并加盖投标人公章。</w:t>
      </w:r>
    </w:p>
    <w:p w14:paraId="18D0AF82">
      <w:pPr>
        <w:numPr>
          <w:ilvl w:val="0"/>
          <w:numId w:val="20"/>
        </w:numPr>
        <w:tabs>
          <w:tab w:val="left" w:pos="709"/>
        </w:tabs>
        <w:snapToGrid w:val="0"/>
        <w:spacing w:line="360" w:lineRule="auto"/>
        <w:ind w:left="0" w:firstLine="420" w:firstLineChars="20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未按规定密封或标记的投标文件将被拒绝，由此造成投标文件被误投或提前拆封的风险由投标人承担。</w:t>
      </w:r>
    </w:p>
    <w:p w14:paraId="5A9C0AE1">
      <w:pPr>
        <w:numPr>
          <w:ilvl w:val="0"/>
          <w:numId w:val="20"/>
        </w:numPr>
        <w:tabs>
          <w:tab w:val="left" w:pos="709"/>
        </w:tabs>
        <w:snapToGrid w:val="0"/>
        <w:spacing w:line="360" w:lineRule="auto"/>
        <w:ind w:left="0" w:firstLine="420" w:firstLineChars="20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投标人在投标截止时间之前，可以对已提交的投标文件进行修改或撤回，并书面通知招标单位；投标截止时间后，投标人不得撤回、修改投标文件。修改后重新递交的投标文件应当按本招标文件的要求签署、盖章和密封。</w:t>
      </w:r>
    </w:p>
    <w:p w14:paraId="367E6641">
      <w:pPr>
        <w:pStyle w:val="3"/>
        <w:numPr>
          <w:ilvl w:val="1"/>
          <w:numId w:val="9"/>
        </w:numPr>
        <w:spacing w:before="0" w:after="0" w:line="360" w:lineRule="auto"/>
        <w:ind w:firstLine="422" w:firstLineChars="200"/>
        <w:rPr>
          <w:rFonts w:hint="eastAsia" w:asciiTheme="minorEastAsia" w:hAnsiTheme="minorEastAsia" w:eastAsiaTheme="minorEastAsia"/>
          <w:color w:val="auto"/>
          <w:highlight w:val="none"/>
        </w:rPr>
      </w:pPr>
      <w:bookmarkStart w:id="74" w:name="_Toc98019254"/>
      <w:r>
        <w:rPr>
          <w:rFonts w:hint="eastAsia" w:asciiTheme="minorEastAsia" w:hAnsiTheme="minorEastAsia" w:eastAsiaTheme="minorEastAsia"/>
          <w:color w:val="auto"/>
          <w:highlight w:val="none"/>
        </w:rPr>
        <w:t>投标无效的情形</w:t>
      </w:r>
      <w:bookmarkEnd w:id="74"/>
    </w:p>
    <w:p w14:paraId="7CBC3B65">
      <w:pPr>
        <w:snapToGrid w:val="0"/>
        <w:spacing w:line="360" w:lineRule="auto"/>
        <w:ind w:firstLine="422" w:firstLineChars="200"/>
        <w:rPr>
          <w:rFonts w:hint="eastAsia" w:asciiTheme="minorEastAsia" w:hAnsiTheme="minorEastAsia" w:eastAsiaTheme="minorEastAsia"/>
          <w:bCs/>
          <w:color w:val="auto"/>
          <w:szCs w:val="21"/>
          <w:highlight w:val="none"/>
        </w:rPr>
      </w:pPr>
      <w:r>
        <w:rPr>
          <w:rFonts w:hint="eastAsia" w:asciiTheme="minorEastAsia" w:hAnsiTheme="minorEastAsia" w:eastAsiaTheme="minorEastAsia"/>
          <w:b/>
          <w:bCs/>
          <w:color w:val="auto"/>
          <w:szCs w:val="21"/>
          <w:highlight w:val="none"/>
        </w:rPr>
        <w:t>实质上没有响应招标文件要求的投标将被视为无效投标。</w:t>
      </w:r>
    </w:p>
    <w:p w14:paraId="341896F5">
      <w:pPr>
        <w:numPr>
          <w:ilvl w:val="0"/>
          <w:numId w:val="21"/>
        </w:numPr>
        <w:snapToGrid w:val="0"/>
        <w:spacing w:line="360" w:lineRule="auto"/>
        <w:ind w:left="0" w:firstLine="422" w:firstLineChars="200"/>
        <w:jc w:val="left"/>
        <w:rPr>
          <w:rFonts w:hint="eastAsia" w:asciiTheme="minorEastAsia" w:hAnsiTheme="minorEastAsia" w:eastAsiaTheme="minorEastAsia"/>
          <w:b/>
          <w:bCs/>
          <w:color w:val="auto"/>
          <w:szCs w:val="21"/>
          <w:highlight w:val="none"/>
        </w:rPr>
      </w:pPr>
      <w:r>
        <w:rPr>
          <w:rFonts w:hint="eastAsia" w:asciiTheme="minorEastAsia" w:hAnsiTheme="minorEastAsia" w:eastAsiaTheme="minorEastAsia"/>
          <w:b/>
          <w:bCs/>
          <w:color w:val="auto"/>
          <w:szCs w:val="21"/>
          <w:highlight w:val="none"/>
        </w:rPr>
        <w:t>在符合性审查和商务评审时，如发现下列情形之一的，投标文件将被视为无效：</w:t>
      </w:r>
    </w:p>
    <w:p w14:paraId="02814DEA">
      <w:pPr>
        <w:numPr>
          <w:ilvl w:val="1"/>
          <w:numId w:val="21"/>
        </w:numPr>
        <w:snapToGrid w:val="0"/>
        <w:spacing w:line="360" w:lineRule="auto"/>
        <w:ind w:left="0" w:firstLine="420" w:firstLineChars="20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资格证明文件不全的，或者不符合招标文件标明的资格要求的；</w:t>
      </w:r>
    </w:p>
    <w:p w14:paraId="6648B4F2">
      <w:pPr>
        <w:numPr>
          <w:ilvl w:val="1"/>
          <w:numId w:val="21"/>
        </w:numPr>
        <w:snapToGrid w:val="0"/>
        <w:spacing w:line="360" w:lineRule="auto"/>
        <w:ind w:left="0" w:firstLine="420" w:firstLineChars="20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投标文件无法定代表人（负责人）签字,或未提供法定代表人（负责人）授权委托书、投标声明书或者填写项目不齐全的；</w:t>
      </w:r>
    </w:p>
    <w:p w14:paraId="63F88B98">
      <w:pPr>
        <w:numPr>
          <w:ilvl w:val="1"/>
          <w:numId w:val="21"/>
        </w:numPr>
        <w:snapToGrid w:val="0"/>
        <w:spacing w:line="360" w:lineRule="auto"/>
        <w:ind w:left="0" w:firstLine="420" w:firstLineChars="20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 xml:space="preserve">投标代表人未能出具身份证明或与法定代表人（负责人）授权委托人身份不符的； </w:t>
      </w:r>
    </w:p>
    <w:p w14:paraId="6CB01BE1">
      <w:pPr>
        <w:numPr>
          <w:ilvl w:val="1"/>
          <w:numId w:val="21"/>
        </w:numPr>
        <w:snapToGrid w:val="0"/>
        <w:spacing w:line="360" w:lineRule="auto"/>
        <w:ind w:left="0" w:firstLine="420" w:firstLineChars="20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投标文件未按要求装订、格式不规范、项目不齐全或者内容虚假的；</w:t>
      </w:r>
    </w:p>
    <w:p w14:paraId="5D2CEC70">
      <w:pPr>
        <w:numPr>
          <w:ilvl w:val="1"/>
          <w:numId w:val="21"/>
        </w:numPr>
        <w:snapToGrid w:val="0"/>
        <w:spacing w:line="360" w:lineRule="auto"/>
        <w:ind w:left="0" w:firstLine="420" w:firstLineChars="20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投标文件的实质性内容意思表述不明确、前后矛盾或者使用计量单位不符合招标文件要求的（经评标委员会认定并允许其当场更正的笔误除外）；</w:t>
      </w:r>
    </w:p>
    <w:p w14:paraId="26D68FDC">
      <w:pPr>
        <w:numPr>
          <w:ilvl w:val="1"/>
          <w:numId w:val="21"/>
        </w:numPr>
        <w:snapToGrid w:val="0"/>
        <w:spacing w:line="360" w:lineRule="auto"/>
        <w:ind w:left="0" w:firstLine="420" w:firstLineChars="20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未实质性响应招标文件要求的；</w:t>
      </w:r>
    </w:p>
    <w:p w14:paraId="76ACEA8D">
      <w:pPr>
        <w:numPr>
          <w:ilvl w:val="0"/>
          <w:numId w:val="21"/>
        </w:numPr>
        <w:snapToGrid w:val="0"/>
        <w:spacing w:line="360" w:lineRule="auto"/>
        <w:ind w:left="0" w:firstLine="422" w:firstLineChars="200"/>
        <w:jc w:val="left"/>
        <w:rPr>
          <w:rFonts w:hint="eastAsia" w:asciiTheme="minorEastAsia" w:hAnsiTheme="minorEastAsia" w:eastAsiaTheme="minorEastAsia"/>
          <w:b/>
          <w:bCs/>
          <w:color w:val="auto"/>
          <w:szCs w:val="21"/>
          <w:highlight w:val="none"/>
        </w:rPr>
      </w:pPr>
      <w:r>
        <w:rPr>
          <w:rFonts w:hint="eastAsia" w:asciiTheme="minorEastAsia" w:hAnsiTheme="minorEastAsia" w:eastAsiaTheme="minorEastAsia"/>
          <w:b/>
          <w:bCs/>
          <w:color w:val="auto"/>
          <w:szCs w:val="21"/>
          <w:highlight w:val="none"/>
        </w:rPr>
        <w:t>在技术评审时，如发现下列情形之一的，投标文件将被视为无效：</w:t>
      </w:r>
    </w:p>
    <w:p w14:paraId="7504F2C8">
      <w:pPr>
        <w:numPr>
          <w:ilvl w:val="1"/>
          <w:numId w:val="21"/>
        </w:numPr>
        <w:snapToGrid w:val="0"/>
        <w:spacing w:line="360" w:lineRule="auto"/>
        <w:ind w:left="0" w:firstLine="420" w:firstLineChars="20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投标文件标明的响应或偏离与事实不符或虚假投标的；</w:t>
      </w:r>
    </w:p>
    <w:p w14:paraId="6D14518D">
      <w:pPr>
        <w:numPr>
          <w:ilvl w:val="1"/>
          <w:numId w:val="21"/>
        </w:numPr>
        <w:snapToGrid w:val="0"/>
        <w:spacing w:line="360" w:lineRule="auto"/>
        <w:ind w:left="0" w:firstLine="420" w:firstLineChars="20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与招标文件中标“▲”的技术指标、主要功能项目发生实质性偏离的；</w:t>
      </w:r>
    </w:p>
    <w:p w14:paraId="40FEE930">
      <w:pPr>
        <w:numPr>
          <w:ilvl w:val="1"/>
          <w:numId w:val="21"/>
        </w:numPr>
        <w:snapToGrid w:val="0"/>
        <w:spacing w:line="360" w:lineRule="auto"/>
        <w:ind w:left="0" w:firstLine="420" w:firstLineChars="20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投标技术方案不明确，存在一个或一个以上备选（替代）投标方案的；</w:t>
      </w:r>
    </w:p>
    <w:p w14:paraId="1A8D33BF">
      <w:pPr>
        <w:numPr>
          <w:ilvl w:val="0"/>
          <w:numId w:val="21"/>
        </w:numPr>
        <w:snapToGrid w:val="0"/>
        <w:spacing w:line="360" w:lineRule="auto"/>
        <w:ind w:left="0" w:firstLine="422" w:firstLineChars="200"/>
        <w:jc w:val="left"/>
        <w:rPr>
          <w:rFonts w:hint="eastAsia" w:asciiTheme="minorEastAsia" w:hAnsiTheme="minorEastAsia" w:eastAsiaTheme="minorEastAsia"/>
          <w:b/>
          <w:bCs/>
          <w:color w:val="auto"/>
          <w:szCs w:val="21"/>
          <w:highlight w:val="none"/>
        </w:rPr>
      </w:pPr>
      <w:r>
        <w:rPr>
          <w:rFonts w:hint="eastAsia" w:asciiTheme="minorEastAsia" w:hAnsiTheme="minorEastAsia" w:eastAsiaTheme="minorEastAsia"/>
          <w:b/>
          <w:bCs/>
          <w:color w:val="auto"/>
          <w:szCs w:val="21"/>
          <w:highlight w:val="none"/>
        </w:rPr>
        <w:t>在报价评审时，如发现下列情形之一的，投标文件将被视为无效：</w:t>
      </w:r>
    </w:p>
    <w:p w14:paraId="559DD02E">
      <w:pPr>
        <w:numPr>
          <w:ilvl w:val="1"/>
          <w:numId w:val="21"/>
        </w:numPr>
        <w:snapToGrid w:val="0"/>
        <w:spacing w:line="360" w:lineRule="auto"/>
        <w:ind w:left="0" w:firstLine="420" w:firstLineChars="20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未提供投标报价表的；</w:t>
      </w:r>
    </w:p>
    <w:p w14:paraId="2CE22822">
      <w:pPr>
        <w:numPr>
          <w:ilvl w:val="1"/>
          <w:numId w:val="21"/>
        </w:numPr>
        <w:snapToGrid w:val="0"/>
        <w:spacing w:line="360" w:lineRule="auto"/>
        <w:ind w:left="0" w:firstLine="420" w:firstLineChars="20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投标报价方案不明确，存在一个或一个以上备选（替代）投标方案的；</w:t>
      </w:r>
    </w:p>
    <w:p w14:paraId="587C3729">
      <w:pPr>
        <w:numPr>
          <w:ilvl w:val="1"/>
          <w:numId w:val="21"/>
        </w:numPr>
        <w:snapToGrid w:val="0"/>
        <w:spacing w:line="360" w:lineRule="auto"/>
        <w:ind w:left="0" w:firstLine="420" w:firstLineChars="20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投标报价违反国家利率政策和市场利率定价自律机制规定的</w:t>
      </w:r>
      <w:r>
        <w:rPr>
          <w:rFonts w:hint="eastAsia" w:asciiTheme="minorEastAsia" w:hAnsiTheme="minorEastAsia" w:eastAsiaTheme="minorEastAsia"/>
          <w:color w:val="auto"/>
          <w:szCs w:val="21"/>
          <w:highlight w:val="none"/>
          <w:lang w:eastAsia="zh-CN"/>
        </w:rPr>
        <w:t>。</w:t>
      </w:r>
    </w:p>
    <w:p w14:paraId="679577CC">
      <w:pPr>
        <w:pStyle w:val="62"/>
        <w:numPr>
          <w:ilvl w:val="0"/>
          <w:numId w:val="21"/>
        </w:numPr>
        <w:snapToGrid w:val="0"/>
        <w:spacing w:line="360" w:lineRule="auto"/>
        <w:ind w:firstLine="1" w:firstLineChars="0"/>
        <w:rPr>
          <w:rFonts w:hint="eastAsia"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被拒绝的投标文件为无效。</w:t>
      </w:r>
    </w:p>
    <w:p w14:paraId="260A861F">
      <w:pPr>
        <w:pStyle w:val="62"/>
        <w:numPr>
          <w:ilvl w:val="0"/>
          <w:numId w:val="21"/>
        </w:numPr>
        <w:snapToGrid w:val="0"/>
        <w:spacing w:line="360" w:lineRule="auto"/>
        <w:ind w:firstLine="1" w:firstLineChars="0"/>
        <w:rPr>
          <w:rFonts w:hint="eastAsia"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如网上投标文件与纸质投标文件不一致的，做无效标处理（因系统原因显示表述不一致的除外）。</w:t>
      </w:r>
    </w:p>
    <w:p w14:paraId="497DC7EF">
      <w:pPr>
        <w:pStyle w:val="2"/>
        <w:numPr>
          <w:ilvl w:val="0"/>
          <w:numId w:val="8"/>
        </w:numPr>
        <w:spacing w:before="0" w:after="0" w:line="360" w:lineRule="auto"/>
        <w:ind w:firstLine="422" w:firstLineChars="200"/>
        <w:jc w:val="center"/>
        <w:rPr>
          <w:rFonts w:hint="eastAsia" w:cs="微软雅黑" w:asciiTheme="minorEastAsia" w:hAnsiTheme="minorEastAsia" w:eastAsiaTheme="minorEastAsia"/>
          <w:color w:val="auto"/>
          <w:sz w:val="21"/>
          <w:szCs w:val="21"/>
          <w:highlight w:val="none"/>
        </w:rPr>
      </w:pPr>
      <w:bookmarkStart w:id="75" w:name="_Toc23544"/>
      <w:bookmarkStart w:id="76" w:name="_Toc98019255"/>
      <w:r>
        <w:rPr>
          <w:rFonts w:hint="eastAsia" w:cs="微软雅黑" w:asciiTheme="minorEastAsia" w:hAnsiTheme="minorEastAsia" w:eastAsiaTheme="minorEastAsia"/>
          <w:color w:val="auto"/>
          <w:sz w:val="21"/>
          <w:szCs w:val="21"/>
          <w:highlight w:val="none"/>
        </w:rPr>
        <w:t>开标</w:t>
      </w:r>
      <w:bookmarkEnd w:id="75"/>
      <w:bookmarkEnd w:id="76"/>
    </w:p>
    <w:p w14:paraId="2E78B0FA">
      <w:pPr>
        <w:pStyle w:val="3"/>
        <w:numPr>
          <w:ilvl w:val="0"/>
          <w:numId w:val="0"/>
        </w:numPr>
        <w:spacing w:before="0" w:after="0" w:line="360" w:lineRule="auto"/>
        <w:ind w:firstLine="424" w:firstLineChars="202"/>
        <w:rPr>
          <w:rFonts w:hint="eastAsia" w:asciiTheme="minorEastAsia" w:hAnsiTheme="minorEastAsia" w:eastAsiaTheme="minorEastAsia"/>
          <w:b w:val="0"/>
          <w:color w:val="auto"/>
          <w:szCs w:val="21"/>
          <w:highlight w:val="none"/>
        </w:rPr>
      </w:pPr>
      <w:bookmarkStart w:id="77" w:name="_Toc98019262"/>
      <w:r>
        <w:rPr>
          <w:rFonts w:hint="eastAsia" w:asciiTheme="minorEastAsia" w:hAnsiTheme="minorEastAsia" w:eastAsiaTheme="minorEastAsia"/>
          <w:b w:val="0"/>
          <w:color w:val="auto"/>
          <w:kern w:val="0"/>
          <w:szCs w:val="21"/>
          <w:highlight w:val="none"/>
        </w:rPr>
        <w:t>本项目不要求投标人至开标现场参加开标及开启投标文件活动。</w:t>
      </w:r>
      <w:r>
        <w:rPr>
          <w:rFonts w:hint="eastAsia" w:asciiTheme="minorEastAsia" w:hAnsiTheme="minorEastAsia" w:eastAsiaTheme="minorEastAsia"/>
          <w:b w:val="0"/>
          <w:color w:val="auto"/>
          <w:szCs w:val="21"/>
          <w:highlight w:val="none"/>
        </w:rPr>
        <w:t>招标代理机构将在规定的时间和地点进行开标。</w:t>
      </w:r>
    </w:p>
    <w:p w14:paraId="29B2A695">
      <w:pPr>
        <w:pStyle w:val="3"/>
        <w:numPr>
          <w:ilvl w:val="0"/>
          <w:numId w:val="0"/>
        </w:numPr>
        <w:spacing w:before="0" w:after="0" w:line="360" w:lineRule="auto"/>
        <w:ind w:firstLine="424" w:firstLineChars="202"/>
        <w:rPr>
          <w:rFonts w:hint="eastAsia" w:asciiTheme="minorEastAsia" w:hAnsiTheme="minorEastAsia" w:eastAsiaTheme="minorEastAsia"/>
          <w:b w:val="0"/>
          <w:color w:val="auto"/>
          <w:szCs w:val="21"/>
          <w:highlight w:val="none"/>
        </w:rPr>
      </w:pPr>
      <w:r>
        <w:rPr>
          <w:rFonts w:hint="eastAsia" w:asciiTheme="minorEastAsia" w:hAnsiTheme="minorEastAsia" w:eastAsiaTheme="minorEastAsia"/>
          <w:b w:val="0"/>
          <w:color w:val="auto"/>
          <w:szCs w:val="21"/>
          <w:highlight w:val="none"/>
        </w:rPr>
        <w:t>招标人将与监督部门对投标文件的密封情况、开标评标工作等全过程进行现场监督。</w:t>
      </w:r>
      <w:bookmarkEnd w:id="77"/>
    </w:p>
    <w:p w14:paraId="6D3A2707">
      <w:pPr>
        <w:pStyle w:val="2"/>
        <w:numPr>
          <w:ilvl w:val="0"/>
          <w:numId w:val="8"/>
        </w:numPr>
        <w:spacing w:before="0" w:after="0" w:line="360" w:lineRule="auto"/>
        <w:ind w:firstLine="422" w:firstLineChars="200"/>
        <w:jc w:val="center"/>
        <w:rPr>
          <w:rFonts w:hint="eastAsia" w:cs="微软雅黑" w:asciiTheme="minorEastAsia" w:hAnsiTheme="minorEastAsia" w:eastAsiaTheme="minorEastAsia"/>
          <w:color w:val="auto"/>
          <w:sz w:val="21"/>
          <w:szCs w:val="21"/>
          <w:highlight w:val="none"/>
        </w:rPr>
      </w:pPr>
      <w:bookmarkStart w:id="78" w:name="_Toc5071"/>
      <w:bookmarkStart w:id="79" w:name="_Toc98019263"/>
      <w:r>
        <w:rPr>
          <w:rFonts w:hint="eastAsia" w:cs="微软雅黑" w:asciiTheme="minorEastAsia" w:hAnsiTheme="minorEastAsia" w:eastAsiaTheme="minorEastAsia"/>
          <w:color w:val="auto"/>
          <w:sz w:val="21"/>
          <w:szCs w:val="21"/>
          <w:highlight w:val="none"/>
        </w:rPr>
        <w:t>评标</w:t>
      </w:r>
      <w:bookmarkEnd w:id="78"/>
      <w:bookmarkEnd w:id="79"/>
    </w:p>
    <w:p w14:paraId="5A71E72D">
      <w:pPr>
        <w:pStyle w:val="3"/>
        <w:numPr>
          <w:ilvl w:val="1"/>
          <w:numId w:val="9"/>
        </w:numPr>
        <w:spacing w:before="0" w:after="0" w:line="360" w:lineRule="auto"/>
        <w:ind w:firstLine="422" w:firstLineChars="200"/>
        <w:rPr>
          <w:rFonts w:hint="eastAsia" w:asciiTheme="minorEastAsia" w:hAnsiTheme="minorEastAsia" w:eastAsiaTheme="minorEastAsia"/>
          <w:color w:val="auto"/>
          <w:highlight w:val="none"/>
        </w:rPr>
      </w:pPr>
      <w:bookmarkStart w:id="80" w:name="_Toc98019264"/>
      <w:r>
        <w:rPr>
          <w:rFonts w:hint="eastAsia" w:asciiTheme="minorEastAsia" w:hAnsiTheme="minorEastAsia" w:eastAsiaTheme="minorEastAsia"/>
          <w:color w:val="auto"/>
          <w:highlight w:val="none"/>
        </w:rPr>
        <w:t>评标组织</w:t>
      </w:r>
      <w:bookmarkEnd w:id="80"/>
    </w:p>
    <w:p w14:paraId="396519E0">
      <w:pPr>
        <w:snapToGrid w:val="0"/>
        <w:spacing w:line="360" w:lineRule="auto"/>
        <w:ind w:firstLine="420" w:firstLineChars="200"/>
        <w:jc w:val="left"/>
        <w:rPr>
          <w:rFonts w:hint="eastAsia"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本项目</w:t>
      </w:r>
      <w:r>
        <w:rPr>
          <w:rFonts w:hint="eastAsia" w:asciiTheme="minorEastAsia" w:hAnsiTheme="minorEastAsia" w:eastAsiaTheme="minorEastAsia"/>
          <w:color w:val="auto"/>
          <w:szCs w:val="21"/>
          <w:highlight w:val="none"/>
        </w:rPr>
        <w:t>评审小组</w:t>
      </w:r>
      <w:r>
        <w:rPr>
          <w:rFonts w:asciiTheme="minorEastAsia" w:hAnsiTheme="minorEastAsia" w:eastAsiaTheme="minorEastAsia"/>
          <w:color w:val="auto"/>
          <w:szCs w:val="21"/>
          <w:highlight w:val="none"/>
        </w:rPr>
        <w:t>评审</w:t>
      </w:r>
      <w:r>
        <w:rPr>
          <w:rFonts w:hint="eastAsia" w:asciiTheme="minorEastAsia" w:hAnsiTheme="minorEastAsia" w:eastAsiaTheme="minorEastAsia"/>
          <w:color w:val="auto"/>
          <w:szCs w:val="21"/>
          <w:highlight w:val="none"/>
        </w:rPr>
        <w:t>专家4人，业主专家1人，共5人组成。</w:t>
      </w:r>
    </w:p>
    <w:p w14:paraId="4DCC9DC9">
      <w:pPr>
        <w:snapToGrid w:val="0"/>
        <w:spacing w:line="360" w:lineRule="auto"/>
        <w:ind w:firstLine="420" w:firstLineChars="20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评标、决标全过程由有关部门监督。</w:t>
      </w:r>
    </w:p>
    <w:p w14:paraId="4D2A2E7B">
      <w:pPr>
        <w:pStyle w:val="3"/>
        <w:numPr>
          <w:ilvl w:val="1"/>
          <w:numId w:val="9"/>
        </w:numPr>
        <w:spacing w:before="0" w:after="0" w:line="360" w:lineRule="auto"/>
        <w:ind w:firstLine="422" w:firstLineChars="200"/>
        <w:rPr>
          <w:rFonts w:hint="eastAsia" w:asciiTheme="minorEastAsia" w:hAnsiTheme="minorEastAsia" w:eastAsiaTheme="minorEastAsia"/>
          <w:color w:val="auto"/>
          <w:highlight w:val="none"/>
        </w:rPr>
      </w:pPr>
      <w:bookmarkStart w:id="81" w:name="_Toc98019265"/>
      <w:r>
        <w:rPr>
          <w:rFonts w:hint="eastAsia" w:asciiTheme="minorEastAsia" w:hAnsiTheme="minorEastAsia" w:eastAsiaTheme="minorEastAsia"/>
          <w:color w:val="auto"/>
          <w:highlight w:val="none"/>
        </w:rPr>
        <w:t>评标的方式</w:t>
      </w:r>
      <w:bookmarkEnd w:id="81"/>
    </w:p>
    <w:p w14:paraId="5D735824">
      <w:pPr>
        <w:snapToGrid w:val="0"/>
        <w:spacing w:line="360" w:lineRule="auto"/>
        <w:ind w:firstLine="420" w:firstLineChars="20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本招标项目采用不公开方式评标，评标的依据为招标文件和投标文件。</w:t>
      </w:r>
    </w:p>
    <w:p w14:paraId="77AE9A39">
      <w:pPr>
        <w:pStyle w:val="62"/>
        <w:numPr>
          <w:ilvl w:val="1"/>
          <w:numId w:val="22"/>
        </w:numPr>
        <w:snapToGrid w:val="0"/>
        <w:spacing w:line="360" w:lineRule="auto"/>
        <w:ind w:left="0" w:firstLine="424" w:firstLineChars="202"/>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本招标项目采用不公开方式评标，评标的依据为招标文件和投标文件。</w:t>
      </w:r>
    </w:p>
    <w:p w14:paraId="237395BA">
      <w:pPr>
        <w:pStyle w:val="62"/>
        <w:numPr>
          <w:ilvl w:val="1"/>
          <w:numId w:val="22"/>
        </w:numPr>
        <w:snapToGrid w:val="0"/>
        <w:spacing w:line="360" w:lineRule="auto"/>
        <w:ind w:left="0" w:firstLine="420" w:firstLineChars="0"/>
        <w:jc w:val="left"/>
        <w:rPr>
          <w:rFonts w:hint="eastAsia" w:ascii="宋体" w:hAnsi="宋体"/>
          <w:color w:val="auto"/>
          <w:szCs w:val="21"/>
          <w:highlight w:val="none"/>
        </w:rPr>
      </w:pPr>
      <w:r>
        <w:rPr>
          <w:rFonts w:hint="eastAsia" w:ascii="宋体" w:hAnsi="宋体"/>
          <w:color w:val="auto"/>
          <w:szCs w:val="21"/>
          <w:highlight w:val="none"/>
        </w:rPr>
        <w:t>本项目实行线下纸质投标叠加网上电子投标，如网上投标文件与纸质投标文件不一致的，且因系统原因显示表述不一致的情况下，以线下纸质投标文件为准；因招标系统故障不能进行线上评审，本项目以线下纸质投标文件为准。</w:t>
      </w:r>
    </w:p>
    <w:p w14:paraId="3902BAE2">
      <w:pPr>
        <w:pStyle w:val="3"/>
        <w:numPr>
          <w:ilvl w:val="1"/>
          <w:numId w:val="9"/>
        </w:numPr>
        <w:spacing w:before="0" w:after="0" w:line="360" w:lineRule="auto"/>
        <w:ind w:firstLine="422" w:firstLineChars="200"/>
        <w:rPr>
          <w:rFonts w:hint="eastAsia" w:asciiTheme="minorEastAsia" w:hAnsiTheme="minorEastAsia" w:eastAsiaTheme="minorEastAsia"/>
          <w:color w:val="auto"/>
          <w:highlight w:val="none"/>
        </w:rPr>
      </w:pPr>
      <w:bookmarkStart w:id="82" w:name="_Toc98019266"/>
      <w:r>
        <w:rPr>
          <w:rFonts w:hint="eastAsia" w:asciiTheme="minorEastAsia" w:hAnsiTheme="minorEastAsia" w:eastAsiaTheme="minorEastAsia"/>
          <w:color w:val="auto"/>
          <w:highlight w:val="none"/>
        </w:rPr>
        <w:t>评标程序</w:t>
      </w:r>
      <w:bookmarkEnd w:id="82"/>
    </w:p>
    <w:p w14:paraId="39C1512C">
      <w:pPr>
        <w:pStyle w:val="4"/>
        <w:ind w:firstLine="400" w:firstLineChars="0"/>
        <w:rPr>
          <w:rFonts w:hint="eastAsia" w:asciiTheme="minorEastAsia" w:hAnsiTheme="minorEastAsia" w:eastAsiaTheme="minorEastAsia"/>
          <w:color w:val="auto"/>
          <w:highlight w:val="none"/>
        </w:rPr>
      </w:pPr>
      <w:bookmarkStart w:id="83" w:name="_Toc98019267"/>
      <w:r>
        <w:rPr>
          <w:rFonts w:hint="eastAsia" w:asciiTheme="minorEastAsia" w:hAnsiTheme="minorEastAsia" w:eastAsiaTheme="minorEastAsia"/>
          <w:color w:val="auto"/>
          <w:highlight w:val="none"/>
        </w:rPr>
        <w:t>形式审查</w:t>
      </w:r>
      <w:bookmarkEnd w:id="83"/>
    </w:p>
    <w:p w14:paraId="61FD99AA">
      <w:pPr>
        <w:snapToGrid w:val="0"/>
        <w:spacing w:line="360" w:lineRule="auto"/>
        <w:ind w:firstLine="420" w:firstLineChars="20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评标委员会将审查投标文件是否真实、完整,总体编排是否有序,文件签署是否正确等。</w:t>
      </w:r>
    </w:p>
    <w:p w14:paraId="06D50C96">
      <w:pPr>
        <w:pStyle w:val="4"/>
        <w:ind w:firstLine="400" w:firstLineChars="0"/>
        <w:rPr>
          <w:rFonts w:hint="eastAsia" w:asciiTheme="minorEastAsia" w:hAnsiTheme="minorEastAsia" w:eastAsiaTheme="minorEastAsia"/>
          <w:color w:val="auto"/>
          <w:highlight w:val="none"/>
        </w:rPr>
      </w:pPr>
      <w:bookmarkStart w:id="84" w:name="_Toc98019268"/>
      <w:r>
        <w:rPr>
          <w:rFonts w:hint="eastAsia" w:asciiTheme="minorEastAsia" w:hAnsiTheme="minorEastAsia" w:eastAsiaTheme="minorEastAsia"/>
          <w:color w:val="auto"/>
          <w:highlight w:val="none"/>
        </w:rPr>
        <w:t>实质审查与比较</w:t>
      </w:r>
      <w:bookmarkEnd w:id="84"/>
    </w:p>
    <w:p w14:paraId="443BD437">
      <w:pPr>
        <w:numPr>
          <w:ilvl w:val="0"/>
          <w:numId w:val="23"/>
        </w:numPr>
        <w:snapToGrid w:val="0"/>
        <w:spacing w:line="360" w:lineRule="auto"/>
        <w:ind w:left="0" w:firstLine="420" w:firstLineChars="20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评标委员会审查投标文件的实质性内容是否符合招标文件的实质性要求。</w:t>
      </w:r>
    </w:p>
    <w:p w14:paraId="383428FA">
      <w:pPr>
        <w:numPr>
          <w:ilvl w:val="0"/>
          <w:numId w:val="23"/>
        </w:numPr>
        <w:snapToGrid w:val="0"/>
        <w:spacing w:line="360" w:lineRule="auto"/>
        <w:ind w:left="0" w:firstLine="420" w:firstLineChars="20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 xml:space="preserve">评标委员会将根据投标人的投标文件的资信进行审查、核对,如有疑问,将对投标人进行询标,投标人要向评标委员会澄清有关问题,并最终以书面形式进行答复。 </w:t>
      </w:r>
    </w:p>
    <w:p w14:paraId="3B534A50">
      <w:pPr>
        <w:numPr>
          <w:ilvl w:val="0"/>
          <w:numId w:val="23"/>
        </w:numPr>
        <w:snapToGrid w:val="0"/>
        <w:spacing w:line="360" w:lineRule="auto"/>
        <w:ind w:left="0" w:firstLine="420" w:firstLineChars="20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评标委员会将根据投标人的投标文件进行详细审查、核对,如有疑问,将对投标人进行询标,投标人要向评标委员会澄清有关问题,并最终以书面形式进行答复。</w:t>
      </w:r>
    </w:p>
    <w:p w14:paraId="3B42EFFF">
      <w:pPr>
        <w:numPr>
          <w:ilvl w:val="0"/>
          <w:numId w:val="23"/>
        </w:numPr>
        <w:snapToGrid w:val="0"/>
        <w:spacing w:line="360" w:lineRule="auto"/>
        <w:ind w:left="0" w:firstLine="420" w:firstLineChars="20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评标委员会将根据投标人的报价,计算各投标人的报价最终得分。</w:t>
      </w:r>
    </w:p>
    <w:p w14:paraId="58CC4FFA">
      <w:pPr>
        <w:numPr>
          <w:ilvl w:val="0"/>
          <w:numId w:val="23"/>
        </w:numPr>
        <w:snapToGrid w:val="0"/>
        <w:spacing w:line="360" w:lineRule="auto"/>
        <w:ind w:left="0" w:firstLine="420" w:firstLineChars="20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评标委员会完成评标后,评委对各部分得分汇总,得出本项目最终得分,评标委员会按评标原则确定中标人同时起草评标报告。</w:t>
      </w:r>
    </w:p>
    <w:p w14:paraId="46745CF6">
      <w:pPr>
        <w:pStyle w:val="3"/>
        <w:numPr>
          <w:ilvl w:val="1"/>
          <w:numId w:val="9"/>
        </w:numPr>
        <w:spacing w:before="0" w:after="0" w:line="360" w:lineRule="auto"/>
        <w:ind w:firstLine="422" w:firstLineChars="200"/>
        <w:rPr>
          <w:rFonts w:hint="eastAsia" w:asciiTheme="minorEastAsia" w:hAnsiTheme="minorEastAsia" w:eastAsiaTheme="minorEastAsia"/>
          <w:color w:val="auto"/>
          <w:highlight w:val="none"/>
        </w:rPr>
      </w:pPr>
      <w:bookmarkStart w:id="85" w:name="_Toc98019269"/>
      <w:r>
        <w:rPr>
          <w:rFonts w:hint="eastAsia" w:asciiTheme="minorEastAsia" w:hAnsiTheme="minorEastAsia" w:eastAsiaTheme="minorEastAsia"/>
          <w:color w:val="auto"/>
          <w:highlight w:val="none"/>
        </w:rPr>
        <w:t>澄清问题的形式</w:t>
      </w:r>
      <w:bookmarkEnd w:id="85"/>
    </w:p>
    <w:p w14:paraId="488B132A">
      <w:pPr>
        <w:snapToGrid w:val="0"/>
        <w:spacing w:line="360" w:lineRule="auto"/>
        <w:ind w:firstLine="420" w:firstLineChars="20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对投标文件中含义不明确、同类问题表述不一致或者有明显文字和计算错误的内容，评标委员会可以书面形式要求投标人作出必要的澄清、说明或者纠正。投标人的澄清、说明或者补正应当采用书面形式，由其法定代表人或委托代理人签字或盖章确认，但不得超出投标文件的范围或者改变投标文件的实质性内容。</w:t>
      </w:r>
    </w:p>
    <w:p w14:paraId="23E719C0">
      <w:pPr>
        <w:pStyle w:val="3"/>
        <w:numPr>
          <w:ilvl w:val="1"/>
          <w:numId w:val="9"/>
        </w:numPr>
        <w:spacing w:before="0" w:after="0" w:line="360" w:lineRule="auto"/>
        <w:ind w:firstLine="422" w:firstLineChars="200"/>
        <w:rPr>
          <w:rFonts w:hint="eastAsia" w:asciiTheme="minorEastAsia" w:hAnsiTheme="minorEastAsia" w:eastAsiaTheme="minorEastAsia"/>
          <w:color w:val="auto"/>
          <w:highlight w:val="none"/>
        </w:rPr>
      </w:pPr>
      <w:bookmarkStart w:id="86" w:name="_Toc98019270"/>
      <w:r>
        <w:rPr>
          <w:rFonts w:hint="eastAsia" w:asciiTheme="minorEastAsia" w:hAnsiTheme="minorEastAsia" w:eastAsiaTheme="minorEastAsia"/>
          <w:color w:val="auto"/>
          <w:highlight w:val="none"/>
        </w:rPr>
        <w:t>评标过程的保密性</w:t>
      </w:r>
      <w:bookmarkEnd w:id="86"/>
    </w:p>
    <w:p w14:paraId="75C9F94E">
      <w:pPr>
        <w:snapToGrid w:val="0"/>
        <w:spacing w:line="360" w:lineRule="auto"/>
        <w:ind w:firstLine="420" w:firstLineChars="20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凡是属于审查、澄清、评审和比较的有关资料以及授标建议，任何人均不得向投标人或其他无关的人员透露。投标人在评标过程中，所进行的力图影响评标结果的不公正活动，可能导致其投标被拒绝。</w:t>
      </w:r>
    </w:p>
    <w:p w14:paraId="461F2877">
      <w:pPr>
        <w:pStyle w:val="3"/>
        <w:numPr>
          <w:ilvl w:val="1"/>
          <w:numId w:val="9"/>
        </w:numPr>
        <w:spacing w:before="0" w:after="0" w:line="360" w:lineRule="auto"/>
        <w:ind w:firstLine="422" w:firstLineChars="200"/>
        <w:rPr>
          <w:rFonts w:hint="eastAsia" w:asciiTheme="minorEastAsia" w:hAnsiTheme="minorEastAsia" w:eastAsiaTheme="minorEastAsia"/>
          <w:color w:val="auto"/>
          <w:highlight w:val="none"/>
        </w:rPr>
      </w:pPr>
      <w:bookmarkStart w:id="87" w:name="_Toc98019271"/>
      <w:r>
        <w:rPr>
          <w:rFonts w:hint="eastAsia" w:asciiTheme="minorEastAsia" w:hAnsiTheme="minorEastAsia" w:eastAsiaTheme="minorEastAsia"/>
          <w:color w:val="auto"/>
          <w:highlight w:val="none"/>
        </w:rPr>
        <w:t>评标原则和评标办法</w:t>
      </w:r>
      <w:bookmarkEnd w:id="87"/>
    </w:p>
    <w:p w14:paraId="7A0490D0">
      <w:pPr>
        <w:numPr>
          <w:ilvl w:val="0"/>
          <w:numId w:val="24"/>
        </w:numPr>
        <w:tabs>
          <w:tab w:val="left" w:pos="567"/>
        </w:tabs>
        <w:snapToGrid w:val="0"/>
        <w:spacing w:line="360" w:lineRule="auto"/>
        <w:ind w:left="0" w:firstLine="420" w:firstLineChars="20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评标原则：评标委员会必须做到公平、公正、客观，不带任何倾向性和启发性；不得向外界透露任何与评标有关的内容；任何单位和个人不得干扰、影响评标的正常进行；评标委员会及有关工作人员不得私下与竞标银行接触。</w:t>
      </w:r>
    </w:p>
    <w:p w14:paraId="147DFDAA">
      <w:pPr>
        <w:numPr>
          <w:ilvl w:val="0"/>
          <w:numId w:val="24"/>
        </w:numPr>
        <w:tabs>
          <w:tab w:val="left" w:pos="567"/>
        </w:tabs>
        <w:snapToGrid w:val="0"/>
        <w:spacing w:line="360" w:lineRule="auto"/>
        <w:ind w:left="0" w:firstLine="420" w:firstLineChars="20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评标办法：本项目的具体评标办法详见第四章的《评标办法及评分标准》。</w:t>
      </w:r>
    </w:p>
    <w:p w14:paraId="581C55C3">
      <w:pPr>
        <w:pStyle w:val="3"/>
        <w:numPr>
          <w:ilvl w:val="1"/>
          <w:numId w:val="9"/>
        </w:numPr>
        <w:spacing w:before="0" w:after="0" w:line="360" w:lineRule="auto"/>
        <w:ind w:firstLine="422" w:firstLineChars="200"/>
        <w:rPr>
          <w:rFonts w:hint="eastAsia" w:asciiTheme="minorEastAsia" w:hAnsiTheme="minorEastAsia" w:eastAsiaTheme="minorEastAsia"/>
          <w:color w:val="auto"/>
          <w:highlight w:val="none"/>
        </w:rPr>
      </w:pPr>
      <w:bookmarkStart w:id="88" w:name="_Toc98019272"/>
      <w:r>
        <w:rPr>
          <w:rFonts w:hint="eastAsia" w:asciiTheme="minorEastAsia" w:hAnsiTheme="minorEastAsia" w:eastAsiaTheme="minorEastAsia"/>
          <w:color w:val="auto"/>
          <w:highlight w:val="none"/>
        </w:rPr>
        <w:t>评标过程的监控</w:t>
      </w:r>
      <w:bookmarkEnd w:id="88"/>
    </w:p>
    <w:p w14:paraId="65E7CFB4">
      <w:pPr>
        <w:snapToGrid w:val="0"/>
        <w:spacing w:line="360" w:lineRule="auto"/>
        <w:ind w:firstLine="420" w:firstLineChars="20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本项目评标过程实行全程录音、录像监控，投标人在评标过程中所进行的试图影响评标结果的不公正活动，可能导致其投标被拒绝。</w:t>
      </w:r>
    </w:p>
    <w:p w14:paraId="713FCB8C">
      <w:pPr>
        <w:pStyle w:val="2"/>
        <w:numPr>
          <w:ilvl w:val="0"/>
          <w:numId w:val="8"/>
        </w:numPr>
        <w:spacing w:before="0" w:after="0" w:line="360" w:lineRule="auto"/>
        <w:ind w:firstLine="422" w:firstLineChars="200"/>
        <w:jc w:val="center"/>
        <w:rPr>
          <w:rFonts w:hint="eastAsia" w:cs="微软雅黑" w:asciiTheme="minorEastAsia" w:hAnsiTheme="minorEastAsia" w:eastAsiaTheme="minorEastAsia"/>
          <w:color w:val="auto"/>
          <w:sz w:val="21"/>
          <w:szCs w:val="21"/>
          <w:highlight w:val="none"/>
        </w:rPr>
      </w:pPr>
      <w:bookmarkStart w:id="89" w:name="_Toc18132"/>
      <w:bookmarkStart w:id="90" w:name="_Toc98019273"/>
      <w:r>
        <w:rPr>
          <w:rFonts w:hint="eastAsia" w:cs="微软雅黑" w:asciiTheme="minorEastAsia" w:hAnsiTheme="minorEastAsia" w:eastAsiaTheme="minorEastAsia"/>
          <w:color w:val="auto"/>
          <w:sz w:val="21"/>
          <w:szCs w:val="21"/>
          <w:highlight w:val="none"/>
        </w:rPr>
        <w:t>定标</w:t>
      </w:r>
      <w:bookmarkEnd w:id="89"/>
      <w:bookmarkEnd w:id="90"/>
    </w:p>
    <w:p w14:paraId="3B6CA2FC">
      <w:pPr>
        <w:pStyle w:val="3"/>
        <w:numPr>
          <w:ilvl w:val="1"/>
          <w:numId w:val="9"/>
        </w:numPr>
        <w:spacing w:before="0" w:after="0" w:line="360" w:lineRule="auto"/>
        <w:ind w:firstLine="422" w:firstLineChars="200"/>
        <w:rPr>
          <w:rFonts w:hint="eastAsia" w:asciiTheme="minorEastAsia" w:hAnsiTheme="minorEastAsia" w:eastAsiaTheme="minorEastAsia"/>
          <w:color w:val="auto"/>
          <w:highlight w:val="none"/>
        </w:rPr>
      </w:pPr>
      <w:bookmarkStart w:id="91" w:name="_Toc98019274"/>
      <w:r>
        <w:rPr>
          <w:rFonts w:hint="eastAsia" w:asciiTheme="minorEastAsia" w:hAnsiTheme="minorEastAsia" w:eastAsiaTheme="minorEastAsia"/>
          <w:color w:val="auto"/>
          <w:highlight w:val="none"/>
        </w:rPr>
        <w:t>确定中标人。本项目由评标委员会确定中标人。</w:t>
      </w:r>
      <w:bookmarkEnd w:id="91"/>
    </w:p>
    <w:p w14:paraId="23ED4169">
      <w:pPr>
        <w:pStyle w:val="62"/>
        <w:numPr>
          <w:ilvl w:val="0"/>
          <w:numId w:val="25"/>
        </w:numPr>
        <w:tabs>
          <w:tab w:val="left" w:pos="426"/>
          <w:tab w:val="left" w:pos="709"/>
        </w:tabs>
        <w:snapToGrid w:val="0"/>
        <w:spacing w:line="360" w:lineRule="auto"/>
        <w:ind w:left="0" w:firstLine="420" w:firstLineChars="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招标代理机构在评标结束后3日内将评标结果告知存款单位，同时在发布招标公告的网站上对评标结果进行公告。</w:t>
      </w:r>
    </w:p>
    <w:p w14:paraId="7267F94C">
      <w:pPr>
        <w:pStyle w:val="62"/>
        <w:numPr>
          <w:ilvl w:val="0"/>
          <w:numId w:val="25"/>
        </w:numPr>
        <w:tabs>
          <w:tab w:val="left" w:pos="426"/>
          <w:tab w:val="left" w:pos="709"/>
        </w:tabs>
        <w:snapToGrid w:val="0"/>
        <w:spacing w:line="360" w:lineRule="auto"/>
        <w:ind w:left="0" w:firstLine="420" w:firstLineChars="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如有投标人对评标结果提出质疑的，招标人可在质疑处理完毕后确定中标人。</w:t>
      </w:r>
    </w:p>
    <w:p w14:paraId="01899AC7">
      <w:pPr>
        <w:pStyle w:val="62"/>
        <w:numPr>
          <w:ilvl w:val="0"/>
          <w:numId w:val="25"/>
        </w:numPr>
        <w:tabs>
          <w:tab w:val="left" w:pos="426"/>
          <w:tab w:val="left" w:pos="709"/>
        </w:tabs>
        <w:snapToGrid w:val="0"/>
        <w:spacing w:line="360" w:lineRule="auto"/>
        <w:ind w:left="0" w:firstLine="420" w:firstLineChars="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公告公示期满后2</w:t>
      </w:r>
      <w:r>
        <w:rPr>
          <w:rFonts w:asciiTheme="minorEastAsia" w:hAnsiTheme="minorEastAsia" w:eastAsiaTheme="minorEastAsia"/>
          <w:color w:val="auto"/>
          <w:szCs w:val="21"/>
          <w:highlight w:val="none"/>
        </w:rPr>
        <w:t>个工作日内</w:t>
      </w:r>
      <w:r>
        <w:rPr>
          <w:rFonts w:hint="eastAsia" w:asciiTheme="minorEastAsia" w:hAnsiTheme="minorEastAsia" w:eastAsiaTheme="minorEastAsia"/>
          <w:color w:val="auto"/>
          <w:szCs w:val="21"/>
          <w:highlight w:val="none"/>
        </w:rPr>
        <w:t>，招标代理机构以书面形式发出《中标通知书》。</w:t>
      </w:r>
    </w:p>
    <w:p w14:paraId="73A439BC">
      <w:pPr>
        <w:pStyle w:val="2"/>
        <w:numPr>
          <w:ilvl w:val="0"/>
          <w:numId w:val="8"/>
        </w:numPr>
        <w:spacing w:before="0" w:after="0" w:line="360" w:lineRule="auto"/>
        <w:ind w:firstLine="422" w:firstLineChars="200"/>
        <w:jc w:val="center"/>
        <w:rPr>
          <w:rFonts w:hint="eastAsia" w:cs="微软雅黑" w:asciiTheme="minorEastAsia" w:hAnsiTheme="minorEastAsia" w:eastAsiaTheme="minorEastAsia"/>
          <w:color w:val="auto"/>
          <w:sz w:val="21"/>
          <w:szCs w:val="21"/>
          <w:highlight w:val="none"/>
        </w:rPr>
      </w:pPr>
      <w:bookmarkStart w:id="92" w:name="_Toc7898"/>
      <w:bookmarkStart w:id="93" w:name="_Toc98019275"/>
      <w:r>
        <w:rPr>
          <w:rFonts w:hint="eastAsia" w:cs="微软雅黑" w:asciiTheme="minorEastAsia" w:hAnsiTheme="minorEastAsia" w:eastAsiaTheme="minorEastAsia"/>
          <w:color w:val="auto"/>
          <w:sz w:val="21"/>
          <w:szCs w:val="21"/>
          <w:highlight w:val="none"/>
        </w:rPr>
        <w:t>合同授予</w:t>
      </w:r>
      <w:bookmarkEnd w:id="92"/>
      <w:bookmarkEnd w:id="93"/>
    </w:p>
    <w:p w14:paraId="10C21517">
      <w:pPr>
        <w:pStyle w:val="3"/>
        <w:numPr>
          <w:ilvl w:val="1"/>
          <w:numId w:val="9"/>
        </w:numPr>
        <w:spacing w:before="0" w:after="0" w:line="360" w:lineRule="auto"/>
        <w:ind w:firstLine="420" w:firstLineChars="200"/>
        <w:rPr>
          <w:rFonts w:hint="eastAsia" w:asciiTheme="minorEastAsia" w:hAnsiTheme="minorEastAsia" w:eastAsiaTheme="minorEastAsia"/>
          <w:b w:val="0"/>
          <w:bCs w:val="0"/>
          <w:color w:val="auto"/>
          <w:highlight w:val="none"/>
        </w:rPr>
      </w:pPr>
      <w:bookmarkStart w:id="94" w:name="_Toc98019276"/>
      <w:r>
        <w:rPr>
          <w:rFonts w:hint="eastAsia" w:asciiTheme="minorEastAsia" w:hAnsiTheme="minorEastAsia" w:eastAsiaTheme="minorEastAsia"/>
          <w:b w:val="0"/>
          <w:bCs w:val="0"/>
          <w:color w:val="auto"/>
          <w:highlight w:val="none"/>
        </w:rPr>
        <w:t>存款单位与中标人应当在《中标通知书》发出之日起30日内签订存款合同。同时，招标代理机构对合同内容进行审查，如发现与采购结果和投标承诺内容不一致的，应予以纠正。</w:t>
      </w:r>
      <w:bookmarkEnd w:id="94"/>
    </w:p>
    <w:p w14:paraId="48B640E7">
      <w:pPr>
        <w:pStyle w:val="3"/>
        <w:numPr>
          <w:ilvl w:val="1"/>
          <w:numId w:val="0"/>
        </w:numPr>
        <w:spacing w:before="0" w:after="0" w:line="360" w:lineRule="auto"/>
        <w:ind w:left="0" w:leftChars="0" w:firstLine="420" w:firstLineChars="200"/>
        <w:rPr>
          <w:rFonts w:hint="eastAsia" w:ascii="宋体" w:hAnsi="宋体" w:eastAsia="宋体" w:cs="宋体"/>
          <w:b w:val="0"/>
          <w:bCs w:val="0"/>
          <w:color w:val="auto"/>
          <w:highlight w:val="none"/>
        </w:rPr>
      </w:pPr>
      <w:r>
        <w:rPr>
          <w:rFonts w:hint="eastAsia" w:ascii="宋体" w:hAnsi="宋体" w:eastAsia="宋体" w:cs="宋体"/>
          <w:b w:val="0"/>
          <w:bCs w:val="0"/>
          <w:color w:val="auto"/>
          <w:szCs w:val="21"/>
          <w:highlight w:val="none"/>
          <w:lang w:val="en-US" w:eastAsia="zh-CN"/>
        </w:rPr>
        <w:t>嘉</w:t>
      </w:r>
      <w:r>
        <w:rPr>
          <w:rFonts w:hint="eastAsia" w:ascii="宋体" w:hAnsi="宋体" w:eastAsia="宋体" w:cs="宋体"/>
          <w:b w:val="0"/>
          <w:bCs w:val="0"/>
          <w:color w:val="auto"/>
          <w:szCs w:val="21"/>
          <w:highlight w:val="none"/>
        </w:rPr>
        <w:t>兴经济技术开发区财政金融部</w:t>
      </w:r>
      <w:r>
        <w:rPr>
          <w:rFonts w:hint="eastAsia" w:ascii="宋体" w:hAnsi="宋体" w:eastAsia="宋体" w:cs="宋体"/>
          <w:b w:val="0"/>
          <w:bCs w:val="0"/>
          <w:color w:val="auto"/>
          <w:highlight w:val="none"/>
        </w:rPr>
        <w:t>如果仅作为招标组织单位，仅负责牵头协调；如果同时作为招标单位和招标组织单位的，适用招标文件中招标人的其他相关规定；中标后《存款</w:t>
      </w:r>
      <w:r>
        <w:rPr>
          <w:rFonts w:hint="eastAsia" w:ascii="宋体" w:hAnsi="宋体" w:eastAsia="宋体" w:cs="宋体"/>
          <w:b w:val="0"/>
          <w:bCs w:val="0"/>
          <w:color w:val="auto"/>
          <w:highlight w:val="none"/>
          <w:lang w:val="en-US" w:eastAsia="zh-CN"/>
        </w:rPr>
        <w:t>协议</w:t>
      </w:r>
      <w:r>
        <w:rPr>
          <w:rFonts w:hint="eastAsia" w:ascii="宋体" w:hAnsi="宋体" w:eastAsia="宋体" w:cs="宋体"/>
          <w:b w:val="0"/>
          <w:bCs w:val="0"/>
          <w:color w:val="auto"/>
          <w:highlight w:val="none"/>
        </w:rPr>
        <w:t xml:space="preserve">》由招标人与中标人签署、履行。 </w:t>
      </w:r>
    </w:p>
    <w:p w14:paraId="1F23C92B">
      <w:pPr>
        <w:pStyle w:val="3"/>
        <w:numPr>
          <w:ilvl w:val="1"/>
          <w:numId w:val="9"/>
        </w:numPr>
        <w:spacing w:before="0" w:after="0" w:line="360" w:lineRule="auto"/>
        <w:ind w:firstLine="420" w:firstLineChars="200"/>
        <w:rPr>
          <w:rFonts w:hint="eastAsia" w:asciiTheme="minorEastAsia" w:hAnsiTheme="minorEastAsia" w:eastAsiaTheme="minorEastAsia"/>
          <w:b w:val="0"/>
          <w:bCs w:val="0"/>
          <w:color w:val="auto"/>
          <w:highlight w:val="none"/>
        </w:rPr>
      </w:pPr>
      <w:bookmarkStart w:id="95" w:name="_Toc98019277"/>
      <w:r>
        <w:rPr>
          <w:rFonts w:hint="eastAsia" w:asciiTheme="minorEastAsia" w:hAnsiTheme="minorEastAsia" w:eastAsiaTheme="minorEastAsia"/>
          <w:b w:val="0"/>
          <w:bCs w:val="0"/>
          <w:color w:val="auto"/>
          <w:highlight w:val="none"/>
        </w:rPr>
        <w:t>中标人拖延、拒签合同或无理由放弃中标的</w:t>
      </w:r>
      <w:r>
        <w:rPr>
          <w:rFonts w:hint="eastAsia" w:asciiTheme="minorEastAsia" w:hAnsiTheme="minorEastAsia" w:eastAsiaTheme="minorEastAsia"/>
          <w:b w:val="0"/>
          <w:bCs w:val="0"/>
          <w:color w:val="auto"/>
          <w:highlight w:val="none"/>
          <w:lang w:eastAsia="zh-CN"/>
        </w:rPr>
        <w:t>，</w:t>
      </w:r>
      <w:r>
        <w:rPr>
          <w:rFonts w:hint="eastAsia" w:asciiTheme="minorEastAsia" w:hAnsiTheme="minorEastAsia" w:eastAsiaTheme="minorEastAsia"/>
          <w:b w:val="0"/>
          <w:bCs w:val="0"/>
          <w:color w:val="auto"/>
          <w:highlight w:val="none"/>
        </w:rPr>
        <w:t>取消中标资格，赔偿招标人因此造成的损失。</w:t>
      </w:r>
      <w:bookmarkEnd w:id="95"/>
    </w:p>
    <w:p w14:paraId="36D32B83">
      <w:pPr>
        <w:rPr>
          <w:rFonts w:hint="eastAsia" w:asciiTheme="minorEastAsia" w:hAnsiTheme="minorEastAsia" w:eastAsiaTheme="minorEastAsia"/>
          <w:b w:val="0"/>
          <w:bCs w:val="0"/>
          <w:color w:val="auto"/>
          <w:highlight w:val="none"/>
        </w:rPr>
      </w:pPr>
    </w:p>
    <w:p w14:paraId="1B024AEC">
      <w:pPr>
        <w:rPr>
          <w:rFonts w:hint="eastAsia" w:asciiTheme="minorEastAsia" w:hAnsiTheme="minorEastAsia" w:eastAsiaTheme="minorEastAsia"/>
          <w:b w:val="0"/>
          <w:bCs w:val="0"/>
          <w:color w:val="auto"/>
          <w:highlight w:val="none"/>
        </w:rPr>
      </w:pPr>
    </w:p>
    <w:p w14:paraId="34F53E58">
      <w:pPr>
        <w:rPr>
          <w:rFonts w:hint="eastAsia" w:asciiTheme="minorEastAsia" w:hAnsiTheme="minorEastAsia" w:eastAsiaTheme="minorEastAsia"/>
          <w:b w:val="0"/>
          <w:bCs w:val="0"/>
          <w:color w:val="auto"/>
          <w:highlight w:val="none"/>
        </w:rPr>
      </w:pPr>
    </w:p>
    <w:p w14:paraId="5EB11386">
      <w:pPr>
        <w:rPr>
          <w:rFonts w:hint="eastAsia" w:asciiTheme="minorEastAsia" w:hAnsiTheme="minorEastAsia" w:eastAsiaTheme="minorEastAsia"/>
          <w:b w:val="0"/>
          <w:bCs w:val="0"/>
          <w:color w:val="auto"/>
          <w:highlight w:val="none"/>
        </w:rPr>
      </w:pPr>
    </w:p>
    <w:p w14:paraId="4A960364">
      <w:pPr>
        <w:rPr>
          <w:rFonts w:hint="eastAsia" w:asciiTheme="minorEastAsia" w:hAnsiTheme="minorEastAsia" w:eastAsiaTheme="minorEastAsia"/>
          <w:b w:val="0"/>
          <w:bCs w:val="0"/>
          <w:color w:val="auto"/>
          <w:highlight w:val="none"/>
        </w:rPr>
      </w:pPr>
    </w:p>
    <w:p w14:paraId="18DE97B2">
      <w:pPr>
        <w:rPr>
          <w:rFonts w:hint="eastAsia" w:asciiTheme="minorEastAsia" w:hAnsiTheme="minorEastAsia" w:eastAsiaTheme="minorEastAsia"/>
          <w:b w:val="0"/>
          <w:bCs w:val="0"/>
          <w:color w:val="auto"/>
          <w:highlight w:val="none"/>
        </w:rPr>
      </w:pPr>
    </w:p>
    <w:p w14:paraId="5CA0995D">
      <w:pPr>
        <w:rPr>
          <w:rFonts w:hint="eastAsia" w:asciiTheme="minorEastAsia" w:hAnsiTheme="minorEastAsia" w:eastAsiaTheme="minorEastAsia"/>
          <w:b w:val="0"/>
          <w:bCs w:val="0"/>
          <w:color w:val="auto"/>
          <w:highlight w:val="none"/>
        </w:rPr>
      </w:pPr>
    </w:p>
    <w:p w14:paraId="6E7EECF4">
      <w:pPr>
        <w:rPr>
          <w:rFonts w:hint="eastAsia" w:asciiTheme="minorEastAsia" w:hAnsiTheme="minorEastAsia" w:eastAsiaTheme="minorEastAsia"/>
          <w:b w:val="0"/>
          <w:bCs w:val="0"/>
          <w:color w:val="auto"/>
          <w:highlight w:val="none"/>
        </w:rPr>
      </w:pPr>
    </w:p>
    <w:p w14:paraId="7B7723BC">
      <w:pPr>
        <w:rPr>
          <w:rFonts w:hint="eastAsia" w:asciiTheme="minorEastAsia" w:hAnsiTheme="minorEastAsia" w:eastAsiaTheme="minorEastAsia"/>
          <w:b w:val="0"/>
          <w:bCs w:val="0"/>
          <w:color w:val="auto"/>
          <w:highlight w:val="none"/>
        </w:rPr>
      </w:pPr>
    </w:p>
    <w:p w14:paraId="3BACDA10">
      <w:pPr>
        <w:rPr>
          <w:rFonts w:hint="eastAsia" w:asciiTheme="minorEastAsia" w:hAnsiTheme="minorEastAsia" w:eastAsiaTheme="minorEastAsia"/>
          <w:b w:val="0"/>
          <w:bCs w:val="0"/>
          <w:color w:val="auto"/>
          <w:highlight w:val="none"/>
        </w:rPr>
      </w:pPr>
    </w:p>
    <w:p w14:paraId="59652FE5">
      <w:pPr>
        <w:rPr>
          <w:rFonts w:hint="eastAsia" w:asciiTheme="minorEastAsia" w:hAnsiTheme="minorEastAsia" w:eastAsiaTheme="minorEastAsia"/>
          <w:b w:val="0"/>
          <w:bCs w:val="0"/>
          <w:color w:val="auto"/>
          <w:highlight w:val="none"/>
        </w:rPr>
      </w:pPr>
    </w:p>
    <w:p w14:paraId="4BC4DD86">
      <w:pPr>
        <w:rPr>
          <w:rFonts w:hint="eastAsia" w:asciiTheme="minorEastAsia" w:hAnsiTheme="minorEastAsia" w:eastAsiaTheme="minorEastAsia"/>
          <w:b w:val="0"/>
          <w:bCs w:val="0"/>
          <w:color w:val="auto"/>
          <w:highlight w:val="none"/>
        </w:rPr>
      </w:pPr>
    </w:p>
    <w:p w14:paraId="715D62F0">
      <w:pPr>
        <w:rPr>
          <w:rFonts w:hint="eastAsia" w:asciiTheme="minorEastAsia" w:hAnsiTheme="minorEastAsia" w:eastAsiaTheme="minorEastAsia"/>
          <w:b w:val="0"/>
          <w:bCs w:val="0"/>
          <w:color w:val="auto"/>
          <w:highlight w:val="none"/>
        </w:rPr>
      </w:pPr>
    </w:p>
    <w:p w14:paraId="5ECA9096">
      <w:pPr>
        <w:rPr>
          <w:rFonts w:hint="eastAsia" w:asciiTheme="minorEastAsia" w:hAnsiTheme="minorEastAsia" w:eastAsiaTheme="minorEastAsia"/>
          <w:b w:val="0"/>
          <w:bCs w:val="0"/>
          <w:color w:val="auto"/>
          <w:highlight w:val="none"/>
        </w:rPr>
      </w:pPr>
    </w:p>
    <w:p w14:paraId="7EBF666F">
      <w:pPr>
        <w:rPr>
          <w:rFonts w:hint="eastAsia" w:asciiTheme="minorEastAsia" w:hAnsiTheme="minorEastAsia" w:eastAsiaTheme="minorEastAsia"/>
          <w:b w:val="0"/>
          <w:bCs w:val="0"/>
          <w:color w:val="auto"/>
          <w:highlight w:val="none"/>
        </w:rPr>
      </w:pPr>
    </w:p>
    <w:p w14:paraId="66B0723A">
      <w:pPr>
        <w:rPr>
          <w:rFonts w:hint="eastAsia" w:asciiTheme="minorEastAsia" w:hAnsiTheme="minorEastAsia" w:eastAsiaTheme="minorEastAsia"/>
          <w:b w:val="0"/>
          <w:bCs w:val="0"/>
          <w:color w:val="auto"/>
          <w:highlight w:val="none"/>
        </w:rPr>
      </w:pPr>
    </w:p>
    <w:p w14:paraId="27C2D53D">
      <w:pPr>
        <w:rPr>
          <w:rFonts w:hint="eastAsia" w:asciiTheme="minorEastAsia" w:hAnsiTheme="minorEastAsia" w:eastAsiaTheme="minorEastAsia"/>
          <w:b w:val="0"/>
          <w:bCs w:val="0"/>
          <w:color w:val="auto"/>
          <w:highlight w:val="none"/>
        </w:rPr>
      </w:pPr>
    </w:p>
    <w:p w14:paraId="1ECFA4A5">
      <w:pPr>
        <w:rPr>
          <w:rFonts w:hint="eastAsia" w:asciiTheme="minorEastAsia" w:hAnsiTheme="minorEastAsia" w:eastAsiaTheme="minorEastAsia"/>
          <w:b w:val="0"/>
          <w:bCs w:val="0"/>
          <w:color w:val="auto"/>
          <w:highlight w:val="none"/>
        </w:rPr>
      </w:pPr>
    </w:p>
    <w:p w14:paraId="1D432890">
      <w:pPr>
        <w:pStyle w:val="36"/>
        <w:numPr>
          <w:ilvl w:val="0"/>
          <w:numId w:val="3"/>
        </w:numPr>
        <w:spacing w:line="360" w:lineRule="auto"/>
        <w:rPr>
          <w:rFonts w:hint="eastAsia" w:asciiTheme="minorEastAsia" w:hAnsiTheme="minorEastAsia" w:eastAsiaTheme="minorEastAsia"/>
          <w:color w:val="auto"/>
          <w:highlight w:val="none"/>
        </w:rPr>
      </w:pPr>
      <w:bookmarkStart w:id="96" w:name="_Toc9342495"/>
      <w:bookmarkStart w:id="97" w:name="_Toc98019286"/>
      <w:bookmarkStart w:id="98" w:name="_Toc11650185"/>
      <w:r>
        <w:rPr>
          <w:rFonts w:hint="eastAsia" w:asciiTheme="minorEastAsia" w:hAnsiTheme="minorEastAsia" w:eastAsiaTheme="minorEastAsia"/>
          <w:color w:val="auto"/>
          <w:highlight w:val="none"/>
        </w:rPr>
        <w:t>评标办法及评分标准</w:t>
      </w:r>
      <w:bookmarkEnd w:id="96"/>
      <w:bookmarkEnd w:id="97"/>
      <w:bookmarkEnd w:id="98"/>
    </w:p>
    <w:p w14:paraId="74C1D2A8">
      <w:pPr>
        <w:widowControl/>
        <w:spacing w:line="360" w:lineRule="auto"/>
        <w:ind w:firstLine="424" w:firstLineChars="202"/>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根据有关法律法规及《嘉兴经济技术开发区、嘉兴国际商务区区级财政部门和预算单位资金存放管理实施办法》（嘉开财〔2018〕152号），《嘉兴经济技术开发区区级财政部门和行政事业单位资金竞争性存放评分指标与评标规则》等的规定，</w:t>
      </w:r>
      <w:r>
        <w:rPr>
          <w:rFonts w:hint="eastAsia" w:asciiTheme="minorEastAsia" w:hAnsiTheme="minorEastAsia" w:eastAsiaTheme="minorEastAsia"/>
          <w:color w:val="auto"/>
          <w:szCs w:val="21"/>
          <w:highlight w:val="none"/>
          <w:lang w:eastAsia="zh-CN"/>
        </w:rPr>
        <w:t>2025年（第二期）</w:t>
      </w:r>
      <w:r>
        <w:rPr>
          <w:rFonts w:hint="eastAsia" w:asciiTheme="minorEastAsia" w:hAnsiTheme="minorEastAsia" w:eastAsiaTheme="minorEastAsia"/>
          <w:color w:val="auto"/>
          <w:szCs w:val="21"/>
          <w:highlight w:val="none"/>
        </w:rPr>
        <w:t>嘉兴经济技术开发区公共资金竞争性存放评标办法和评分标准如下：</w:t>
      </w:r>
    </w:p>
    <w:p w14:paraId="79A0F66E">
      <w:pPr>
        <w:pStyle w:val="4"/>
        <w:numPr>
          <w:ilvl w:val="0"/>
          <w:numId w:val="26"/>
        </w:numPr>
        <w:ind w:firstLineChars="0"/>
        <w:rPr>
          <w:rFonts w:hint="eastAsia" w:asciiTheme="minorEastAsia" w:hAnsiTheme="minorEastAsia" w:eastAsiaTheme="minorEastAsia"/>
          <w:color w:val="auto"/>
          <w:highlight w:val="none"/>
        </w:rPr>
      </w:pPr>
      <w:bookmarkStart w:id="99" w:name="_Toc98019287"/>
      <w:r>
        <w:rPr>
          <w:rFonts w:hint="eastAsia" w:asciiTheme="minorEastAsia" w:hAnsiTheme="minorEastAsia" w:eastAsiaTheme="minorEastAsia"/>
          <w:color w:val="auto"/>
          <w:highlight w:val="none"/>
        </w:rPr>
        <w:t>总则</w:t>
      </w:r>
      <w:bookmarkEnd w:id="99"/>
    </w:p>
    <w:p w14:paraId="007A99C7">
      <w:pPr>
        <w:tabs>
          <w:tab w:val="left" w:pos="0"/>
          <w:tab w:val="left" w:pos="720"/>
          <w:tab w:val="left" w:pos="1440"/>
          <w:tab w:val="left" w:pos="2160"/>
          <w:tab w:val="left" w:pos="2880"/>
          <w:tab w:val="left" w:pos="3600"/>
          <w:tab w:val="left" w:pos="4320"/>
        </w:tabs>
        <w:autoSpaceDE w:val="0"/>
        <w:autoSpaceDN w:val="0"/>
        <w:spacing w:line="360" w:lineRule="auto"/>
        <w:ind w:firstLine="424" w:firstLineChars="202"/>
        <w:jc w:val="left"/>
        <w:rPr>
          <w:rFonts w:hint="eastAsia" w:asciiTheme="minorEastAsia" w:hAnsiTheme="minorEastAsia" w:eastAsiaTheme="minorEastAsia"/>
          <w:color w:val="auto"/>
          <w:szCs w:val="21"/>
          <w:highlight w:val="none"/>
        </w:rPr>
      </w:pPr>
      <w:bookmarkStart w:id="100" w:name="_Toc170792813"/>
      <w:r>
        <w:rPr>
          <w:rFonts w:hint="eastAsia" w:asciiTheme="minorEastAsia" w:hAnsiTheme="minorEastAsia" w:eastAsiaTheme="minorEastAsia"/>
          <w:color w:val="auto"/>
          <w:szCs w:val="21"/>
          <w:highlight w:val="none"/>
        </w:rPr>
        <w:t>本次评标采用综合评分法，分为价格分、资信技术分两部分。合格投标人的评标得分为各项目汇总得分，中标候选资格按评标得分由高到低顺序排列，得分相同的，按价格分由高到低顺序排列；得分且价格分相同的，按资信技术分由高到低顺序排列。均相同的则按政采云系统内投标时间先后顺序。中标单位按招标需求中招标单位序号顺序依次分配中标金额。</w:t>
      </w:r>
    </w:p>
    <w:p w14:paraId="6E46D771">
      <w:pPr>
        <w:pStyle w:val="62"/>
        <w:spacing w:before="156" w:beforeLines="50" w:after="156" w:afterLines="50"/>
        <w:ind w:firstLine="424" w:firstLineChars="202"/>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投标人评标综合得分=价格分+资信技术分。</w:t>
      </w:r>
    </w:p>
    <w:p w14:paraId="512660B6">
      <w:pPr>
        <w:pStyle w:val="62"/>
        <w:spacing w:before="156" w:beforeLines="50" w:after="156" w:afterLines="50"/>
        <w:ind w:firstLine="424" w:firstLineChars="202"/>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价格分=利率水平指标得分。</w:t>
      </w:r>
    </w:p>
    <w:p w14:paraId="32AF0B81">
      <w:pPr>
        <w:pStyle w:val="62"/>
        <w:spacing w:before="156" w:beforeLines="50" w:after="156" w:afterLines="50"/>
        <w:ind w:firstLine="424" w:firstLineChars="202"/>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资信技术分=经营状况得分+经济贡献度得分+服务水平得分+加分扣分项。</w:t>
      </w:r>
    </w:p>
    <w:bookmarkEnd w:id="100"/>
    <w:p w14:paraId="33C8D002">
      <w:pPr>
        <w:pStyle w:val="4"/>
        <w:numPr>
          <w:ilvl w:val="0"/>
          <w:numId w:val="26"/>
        </w:numPr>
        <w:ind w:firstLineChars="0"/>
        <w:rPr>
          <w:rFonts w:hint="eastAsia" w:asciiTheme="minorEastAsia" w:hAnsiTheme="minorEastAsia" w:eastAsiaTheme="minorEastAsia"/>
          <w:color w:val="auto"/>
          <w:highlight w:val="none"/>
        </w:rPr>
      </w:pPr>
      <w:bookmarkStart w:id="101" w:name="_Toc98019288"/>
      <w:r>
        <w:rPr>
          <w:rFonts w:hint="eastAsia" w:asciiTheme="minorEastAsia" w:hAnsiTheme="minorEastAsia" w:eastAsiaTheme="minorEastAsia"/>
          <w:color w:val="auto"/>
          <w:highlight w:val="none"/>
        </w:rPr>
        <w:t>评分内容和标准</w:t>
      </w:r>
      <w:bookmarkEnd w:id="101"/>
    </w:p>
    <w:p w14:paraId="082A34C1">
      <w:pPr>
        <w:adjustRightInd w:val="0"/>
        <w:snapToGrid w:val="0"/>
        <w:spacing w:line="360" w:lineRule="auto"/>
        <w:ind w:firstLine="420" w:firstLineChars="200"/>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评分指标包括：利率水平指标（15分）、经营状况指标（40分）、经济贡献度指标（30分）、服务水平项目指标(15分)和加分扣分项。评委根据投标银行的定期存款年利率和相关部门（或投标银行）提供的评标数据、佐证资料，对照评分标准计算各投标银行得分。计算得分时，保留二位小数。</w:t>
      </w:r>
    </w:p>
    <w:p w14:paraId="0A7CE2D5">
      <w:pPr>
        <w:pStyle w:val="3"/>
        <w:numPr>
          <w:ilvl w:val="0"/>
          <w:numId w:val="27"/>
        </w:numPr>
        <w:spacing w:before="0" w:after="0" w:line="360" w:lineRule="auto"/>
        <w:rPr>
          <w:rFonts w:hint="eastAsia" w:asciiTheme="minorEastAsia" w:hAnsiTheme="minorEastAsia" w:eastAsiaTheme="minorEastAsia"/>
          <w:color w:val="auto"/>
          <w:szCs w:val="21"/>
          <w:highlight w:val="none"/>
          <w:shd w:val="pct10" w:color="auto" w:fill="FFFFFF"/>
        </w:rPr>
      </w:pPr>
      <w:bookmarkStart w:id="102" w:name="_Toc98019289"/>
      <w:r>
        <w:rPr>
          <w:rFonts w:hint="eastAsia" w:asciiTheme="minorEastAsia" w:hAnsiTheme="minorEastAsia" w:eastAsiaTheme="minorEastAsia"/>
          <w:color w:val="auto"/>
          <w:szCs w:val="21"/>
          <w:highlight w:val="none"/>
          <w:shd w:val="pct10" w:color="auto" w:fill="FFFFFF"/>
        </w:rPr>
        <w:t>利率水平指标（满分15分）。</w:t>
      </w:r>
      <w:bookmarkEnd w:id="102"/>
    </w:p>
    <w:p w14:paraId="2919C360">
      <w:pPr>
        <w:adjustRightInd w:val="0"/>
        <w:snapToGrid w:val="0"/>
        <w:spacing w:line="360" w:lineRule="auto"/>
        <w:ind w:firstLine="411" w:firstLineChars="196"/>
        <w:rPr>
          <w:rFonts w:hint="eastAsia" w:asciiTheme="minorEastAsia" w:hAnsiTheme="minorEastAsia" w:eastAsiaTheme="minorEastAsia"/>
          <w:color w:val="auto"/>
          <w:szCs w:val="21"/>
          <w:highlight w:val="none"/>
        </w:rPr>
      </w:pPr>
      <w:r>
        <w:rPr>
          <w:rFonts w:hint="eastAsia" w:asciiTheme="minorEastAsia" w:hAnsiTheme="minorEastAsia" w:eastAsiaTheme="minorEastAsia" w:cstheme="minorEastAsia"/>
          <w:color w:val="auto"/>
          <w:szCs w:val="21"/>
          <w:highlight w:val="none"/>
        </w:rPr>
        <w:t>根据有效竞标银行投标利率为评分依据。有效竞标银行报价与同期限人民币存款基准利率相比上浮基点（BP）最高的银行得满分，上浮基点（BP）每下降一个基点扣0.1分，扣至0分为止</w:t>
      </w:r>
      <w:r>
        <w:rPr>
          <w:rFonts w:hint="eastAsia" w:ascii="仿宋_GB2312" w:hAnsi="仿宋_GB2312" w:eastAsia="仿宋_GB2312" w:cs="仿宋_GB2312"/>
          <w:color w:val="auto"/>
          <w:sz w:val="32"/>
          <w:szCs w:val="32"/>
          <w:highlight w:val="none"/>
        </w:rPr>
        <w:t>。</w:t>
      </w:r>
    </w:p>
    <w:p w14:paraId="37488E34">
      <w:pPr>
        <w:pStyle w:val="3"/>
        <w:numPr>
          <w:ilvl w:val="0"/>
          <w:numId w:val="27"/>
        </w:numPr>
        <w:spacing w:before="0" w:after="0" w:line="360" w:lineRule="auto"/>
        <w:rPr>
          <w:rFonts w:hint="eastAsia" w:asciiTheme="minorEastAsia" w:hAnsiTheme="minorEastAsia" w:eastAsiaTheme="minorEastAsia"/>
          <w:color w:val="auto"/>
          <w:szCs w:val="21"/>
          <w:highlight w:val="none"/>
          <w:shd w:val="pct10" w:color="auto" w:fill="FFFFFF"/>
        </w:rPr>
      </w:pPr>
      <w:bookmarkStart w:id="103" w:name="_Toc98019290"/>
      <w:r>
        <w:rPr>
          <w:rFonts w:hint="eastAsia" w:asciiTheme="minorEastAsia" w:hAnsiTheme="minorEastAsia" w:eastAsiaTheme="minorEastAsia"/>
          <w:color w:val="auto"/>
          <w:szCs w:val="21"/>
          <w:highlight w:val="none"/>
          <w:shd w:val="pct10" w:color="auto" w:fill="FFFFFF"/>
        </w:rPr>
        <w:t>经营状况指标（满分40分）。</w:t>
      </w:r>
      <w:bookmarkEnd w:id="103"/>
    </w:p>
    <w:p w14:paraId="7F3151FB">
      <w:pPr>
        <w:adjustRightInd w:val="0"/>
        <w:snapToGrid w:val="0"/>
        <w:spacing w:line="360" w:lineRule="auto"/>
        <w:ind w:firstLine="420" w:firstLineChars="200"/>
        <w:rPr>
          <w:rFonts w:hint="eastAsia" w:asciiTheme="minorEastAsia" w:hAnsiTheme="minorEastAsia" w:eastAsiaTheme="minorEastAsia"/>
          <w:color w:val="auto"/>
          <w:szCs w:val="21"/>
          <w:highlight w:val="none"/>
        </w:rPr>
      </w:pPr>
      <w:r>
        <w:rPr>
          <w:rFonts w:hint="eastAsia" w:ascii="宋体" w:hAnsi="宋体"/>
          <w:color w:val="auto"/>
          <w:szCs w:val="21"/>
          <w:highlight w:val="none"/>
        </w:rPr>
        <w:t>经营状况指标设置包括拨备覆盖率、资本充足率、不良贷款率、不良贷款处置率、利润总额、利润增长率、内控水平指标</w:t>
      </w:r>
      <w:r>
        <w:rPr>
          <w:rFonts w:hint="eastAsia" w:asciiTheme="minorEastAsia" w:hAnsiTheme="minorEastAsia" w:eastAsiaTheme="minorEastAsia"/>
          <w:color w:val="auto"/>
          <w:szCs w:val="21"/>
          <w:highlight w:val="none"/>
        </w:rPr>
        <w:t>。</w:t>
      </w:r>
    </w:p>
    <w:p w14:paraId="33BD5422">
      <w:pPr>
        <w:pStyle w:val="62"/>
        <w:numPr>
          <w:ilvl w:val="0"/>
          <w:numId w:val="28"/>
        </w:numPr>
        <w:tabs>
          <w:tab w:val="left" w:pos="640"/>
        </w:tabs>
        <w:spacing w:line="360" w:lineRule="auto"/>
        <w:ind w:left="0" w:firstLine="426" w:firstLineChars="0"/>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偿付能力（10分）。根据有效竞标银行</w:t>
      </w:r>
      <w:r>
        <w:rPr>
          <w:rFonts w:hint="eastAsia" w:cs="仿宋_GB2312" w:asciiTheme="minorEastAsia" w:hAnsiTheme="minorEastAsia" w:eastAsiaTheme="minorEastAsia"/>
          <w:color w:val="auto"/>
          <w:szCs w:val="21"/>
          <w:highlight w:val="none"/>
          <w:lang w:val="en-US" w:eastAsia="zh-CN"/>
        </w:rPr>
        <w:t>2023年度</w:t>
      </w:r>
      <w:r>
        <w:rPr>
          <w:rFonts w:hint="eastAsia" w:cs="仿宋_GB2312" w:asciiTheme="minorEastAsia" w:hAnsiTheme="minorEastAsia" w:eastAsiaTheme="minorEastAsia"/>
          <w:color w:val="auto"/>
          <w:szCs w:val="21"/>
          <w:highlight w:val="none"/>
        </w:rPr>
        <w:t>末法人拨备覆盖率和资本充足率进行评分。</w:t>
      </w:r>
    </w:p>
    <w:p w14:paraId="51C158E9">
      <w:pPr>
        <w:pStyle w:val="62"/>
        <w:numPr>
          <w:ilvl w:val="1"/>
          <w:numId w:val="29"/>
        </w:numPr>
        <w:tabs>
          <w:tab w:val="left" w:pos="851"/>
        </w:tabs>
        <w:spacing w:line="360" w:lineRule="auto"/>
        <w:ind w:left="0" w:firstLine="424" w:firstLineChars="202"/>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拨备覆盖率（5分）。按照有效竞标银行</w:t>
      </w:r>
      <w:r>
        <w:rPr>
          <w:rFonts w:hint="eastAsia" w:cs="仿宋_GB2312" w:asciiTheme="minorEastAsia" w:hAnsiTheme="minorEastAsia" w:eastAsiaTheme="minorEastAsia"/>
          <w:color w:val="auto"/>
          <w:szCs w:val="21"/>
          <w:highlight w:val="none"/>
          <w:lang w:val="en-US" w:eastAsia="zh-CN"/>
        </w:rPr>
        <w:t>2023年度</w:t>
      </w:r>
      <w:r>
        <w:rPr>
          <w:rFonts w:hint="eastAsia" w:cs="仿宋_GB2312" w:asciiTheme="minorEastAsia" w:hAnsiTheme="minorEastAsia" w:eastAsiaTheme="minorEastAsia"/>
          <w:color w:val="auto"/>
          <w:szCs w:val="21"/>
          <w:highlight w:val="none"/>
        </w:rPr>
        <w:t>法人拨备覆盖率赋分。得分标准为：150%及以上得5分；150%以下、120%及以上，与150%相比每下降一个百分点减0.1分；120%以下，不得分。</w:t>
      </w:r>
    </w:p>
    <w:p w14:paraId="6BFC6F1C">
      <w:pPr>
        <w:pStyle w:val="62"/>
        <w:numPr>
          <w:ilvl w:val="1"/>
          <w:numId w:val="29"/>
        </w:numPr>
        <w:tabs>
          <w:tab w:val="left" w:pos="851"/>
        </w:tabs>
        <w:spacing w:line="360" w:lineRule="auto"/>
        <w:ind w:left="0" w:firstLine="424" w:firstLineChars="202"/>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资本充足率（5分）。按照有效竞标银行</w:t>
      </w:r>
      <w:r>
        <w:rPr>
          <w:rFonts w:hint="eastAsia" w:cs="仿宋_GB2312" w:asciiTheme="minorEastAsia" w:hAnsiTheme="minorEastAsia" w:eastAsiaTheme="minorEastAsia"/>
          <w:color w:val="auto"/>
          <w:szCs w:val="21"/>
          <w:highlight w:val="none"/>
          <w:lang w:val="en-US" w:eastAsia="zh-CN"/>
        </w:rPr>
        <w:t>2023年度</w:t>
      </w:r>
      <w:r>
        <w:rPr>
          <w:rFonts w:hint="eastAsia" w:cs="仿宋_GB2312" w:asciiTheme="minorEastAsia" w:hAnsiTheme="minorEastAsia" w:eastAsiaTheme="minorEastAsia"/>
          <w:color w:val="auto"/>
          <w:szCs w:val="21"/>
          <w:highlight w:val="none"/>
        </w:rPr>
        <w:t>法人资本充足率赋分。得分标准为：10.5%及以上得5分；10.5%以下不得分。政策性银行的资本充足率按5分计算。</w:t>
      </w:r>
    </w:p>
    <w:p w14:paraId="46A4FCC2">
      <w:pPr>
        <w:adjustRightInd w:val="0"/>
        <w:snapToGrid w:val="0"/>
        <w:spacing w:line="540" w:lineRule="exact"/>
        <w:ind w:firstLine="426"/>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（该指标数据由竞标银行提供，资本充足率指标数据由各投标银行提供，在系统内按小数填报【例：0.105】）</w:t>
      </w:r>
    </w:p>
    <w:p w14:paraId="22A6D0F2">
      <w:pPr>
        <w:pStyle w:val="62"/>
        <w:numPr>
          <w:ilvl w:val="0"/>
          <w:numId w:val="28"/>
        </w:numPr>
        <w:tabs>
          <w:tab w:val="left" w:pos="640"/>
        </w:tabs>
        <w:spacing w:line="360" w:lineRule="auto"/>
        <w:ind w:left="0" w:firstLine="426" w:firstLineChars="0"/>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资产质量（12分）。根据有效竞标银行嘉兴市本外币不良贷款率及不良贷款处置率进行评分。</w:t>
      </w:r>
    </w:p>
    <w:p w14:paraId="2A05B714">
      <w:pPr>
        <w:pStyle w:val="62"/>
        <w:numPr>
          <w:ilvl w:val="0"/>
          <w:numId w:val="29"/>
        </w:numPr>
        <w:adjustRightInd w:val="0"/>
        <w:snapToGrid w:val="0"/>
        <w:spacing w:line="360" w:lineRule="auto"/>
        <w:ind w:firstLineChars="0"/>
        <w:rPr>
          <w:rFonts w:hint="eastAsia" w:cs="仿宋_GB2312" w:asciiTheme="minorEastAsia" w:hAnsiTheme="minorEastAsia" w:eastAsiaTheme="minorEastAsia"/>
          <w:vanish/>
          <w:color w:val="auto"/>
          <w:szCs w:val="21"/>
          <w:highlight w:val="none"/>
        </w:rPr>
      </w:pPr>
    </w:p>
    <w:p w14:paraId="0648D944">
      <w:pPr>
        <w:pStyle w:val="62"/>
        <w:numPr>
          <w:ilvl w:val="1"/>
          <w:numId w:val="29"/>
        </w:numPr>
        <w:tabs>
          <w:tab w:val="left" w:pos="851"/>
        </w:tabs>
        <w:adjustRightInd w:val="0"/>
        <w:snapToGrid w:val="0"/>
        <w:spacing w:line="360" w:lineRule="auto"/>
        <w:ind w:left="0" w:firstLine="424" w:firstLineChars="202"/>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不良贷款率(4分)。</w:t>
      </w:r>
    </w:p>
    <w:p w14:paraId="0D11BB67">
      <w:pPr>
        <w:spacing w:line="360" w:lineRule="auto"/>
        <w:ind w:firstLine="279" w:firstLineChars="133"/>
        <w:jc w:val="left"/>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不良贷款率指标得分=不良贷款率季度得分*0.2+不良贷款率年度得分*0.8。</w:t>
      </w:r>
    </w:p>
    <w:p w14:paraId="7A0557F1">
      <w:pPr>
        <w:adjustRightInd w:val="0"/>
        <w:snapToGrid w:val="0"/>
        <w:spacing w:line="360" w:lineRule="auto"/>
        <w:ind w:firstLine="279" w:firstLineChars="133"/>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不良贷款率季度得分按照有效竞标银行截至2024年四季度末全市本外币不良贷款率赋分。得分标准为：1.0%及以下得4分；1.0%以上、1.5%及以下的，得3.5分；1.5%以上、2.0%及以下的，得3分；2.0%以上不得分。</w:t>
      </w:r>
    </w:p>
    <w:p w14:paraId="0EA484EC">
      <w:pPr>
        <w:adjustRightInd w:val="0"/>
        <w:snapToGrid w:val="0"/>
        <w:spacing w:line="360" w:lineRule="auto"/>
        <w:ind w:firstLine="279" w:firstLineChars="133"/>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不良贷款率年度得分按照竞标银行</w:t>
      </w:r>
      <w:r>
        <w:rPr>
          <w:rFonts w:hint="eastAsia" w:cs="仿宋_GB2312" w:asciiTheme="minorEastAsia" w:hAnsiTheme="minorEastAsia" w:eastAsiaTheme="minorEastAsia"/>
          <w:color w:val="auto"/>
          <w:kern w:val="2"/>
          <w:sz w:val="21"/>
          <w:szCs w:val="21"/>
          <w:highlight w:val="none"/>
          <w:lang w:val="en-US" w:eastAsia="zh-CN" w:bidi="ar-SA"/>
        </w:rPr>
        <w:t>2023年度</w:t>
      </w:r>
      <w:r>
        <w:rPr>
          <w:rFonts w:hint="eastAsia" w:cs="仿宋_GB2312" w:asciiTheme="minorEastAsia" w:hAnsiTheme="minorEastAsia" w:eastAsiaTheme="minorEastAsia"/>
          <w:color w:val="auto"/>
          <w:szCs w:val="21"/>
          <w:highlight w:val="none"/>
        </w:rPr>
        <w:t>全市本外币不良贷款率赋分。得分标准为：1.0%及以下得4分；1.0%以上、1.5%及以下的，得3.5分；1.5%以上、2.0%及以下的，得3分；2.0%以上不得分。</w:t>
      </w:r>
    </w:p>
    <w:p w14:paraId="13CF673A">
      <w:pPr>
        <w:pStyle w:val="62"/>
        <w:numPr>
          <w:ilvl w:val="1"/>
          <w:numId w:val="29"/>
        </w:numPr>
        <w:tabs>
          <w:tab w:val="left" w:pos="851"/>
        </w:tabs>
        <w:adjustRightInd w:val="0"/>
        <w:snapToGrid w:val="0"/>
        <w:spacing w:line="360" w:lineRule="auto"/>
        <w:ind w:left="0" w:firstLine="424" w:firstLineChars="202"/>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不良贷款处置率(8分)。</w:t>
      </w:r>
    </w:p>
    <w:p w14:paraId="607363CD">
      <w:pPr>
        <w:spacing w:line="360" w:lineRule="auto"/>
        <w:ind w:firstLine="294" w:firstLineChars="140"/>
        <w:jc w:val="left"/>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不良贷款处置率指标得分=不良贷款处置率季度得分*0.2+不良贷款处置率年度得分*0.8。</w:t>
      </w:r>
    </w:p>
    <w:p w14:paraId="788A058D">
      <w:pPr>
        <w:adjustRightInd w:val="0"/>
        <w:snapToGrid w:val="0"/>
        <w:spacing w:line="360" w:lineRule="auto"/>
        <w:ind w:firstLine="424" w:firstLineChars="202"/>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不良贷款处置率季度得分按照有效竞标银行截至2024年四季度末全市不良贷款处置率赋分。得分标准为：70%以上得8分；70%及以下、50%以上的，得7分；50%及以下、40%以上的，得6分；40%及以下、30%以上的，得5分；30%及以下不得分。截至2024年四季度末</w:t>
      </w:r>
      <w:r>
        <w:rPr>
          <w:rFonts w:hint="eastAsia" w:cs="仿宋_GB2312" w:asciiTheme="minorEastAsia" w:hAnsiTheme="minorEastAsia" w:eastAsiaTheme="minorEastAsia"/>
          <w:color w:val="auto"/>
          <w:szCs w:val="21"/>
          <w:highlight w:val="none"/>
          <w:lang w:val="en-US" w:eastAsia="zh-CN"/>
        </w:rPr>
        <w:t>当年未</w:t>
      </w:r>
      <w:r>
        <w:rPr>
          <w:rFonts w:hint="default" w:cs="仿宋_GB2312" w:asciiTheme="minorEastAsia" w:hAnsiTheme="minorEastAsia" w:eastAsiaTheme="minorEastAsia"/>
          <w:color w:val="auto"/>
          <w:szCs w:val="21"/>
          <w:highlight w:val="none"/>
          <w:lang w:eastAsia="zh-CN"/>
          <w:woUserID w:val="1"/>
        </w:rPr>
        <w:t>新</w:t>
      </w:r>
      <w:r>
        <w:rPr>
          <w:rFonts w:hint="eastAsia" w:cs="仿宋_GB2312" w:asciiTheme="minorEastAsia" w:hAnsiTheme="minorEastAsia" w:eastAsiaTheme="minorEastAsia"/>
          <w:color w:val="auto"/>
          <w:szCs w:val="21"/>
          <w:highlight w:val="none"/>
        </w:rPr>
        <w:t>发生不良贷款的，不良贷款处置率得8分。</w:t>
      </w:r>
    </w:p>
    <w:p w14:paraId="68B3F90E">
      <w:pPr>
        <w:adjustRightInd w:val="0"/>
        <w:snapToGrid w:val="0"/>
        <w:spacing w:line="360" w:lineRule="auto"/>
        <w:ind w:firstLine="424" w:firstLineChars="202"/>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不良贷款处置率年度得分按照竞标银行</w:t>
      </w:r>
      <w:r>
        <w:rPr>
          <w:rFonts w:hint="eastAsia" w:cs="仿宋_GB2312" w:asciiTheme="minorEastAsia" w:hAnsiTheme="minorEastAsia" w:eastAsiaTheme="minorEastAsia"/>
          <w:color w:val="auto"/>
          <w:kern w:val="2"/>
          <w:sz w:val="21"/>
          <w:szCs w:val="21"/>
          <w:highlight w:val="none"/>
          <w:lang w:val="en-US" w:eastAsia="zh-CN" w:bidi="ar-SA"/>
        </w:rPr>
        <w:t>2023年度</w:t>
      </w:r>
      <w:r>
        <w:rPr>
          <w:rFonts w:hint="eastAsia" w:cs="仿宋_GB2312" w:asciiTheme="minorEastAsia" w:hAnsiTheme="minorEastAsia" w:eastAsiaTheme="minorEastAsia"/>
          <w:color w:val="auto"/>
          <w:szCs w:val="21"/>
          <w:highlight w:val="none"/>
        </w:rPr>
        <w:t>全市不良贷款处置率赋分。得分标准为：70%以上得8分；70%及以下、50%以上的，得7分；50%及以下、40%以上的，得6分；40%及以下、30%以上的，得5分；30%及以下不得分。</w:t>
      </w:r>
      <w:r>
        <w:rPr>
          <w:rFonts w:hint="eastAsia" w:cs="仿宋_GB2312" w:asciiTheme="minorEastAsia" w:hAnsiTheme="minorEastAsia" w:eastAsiaTheme="minorEastAsia"/>
          <w:color w:val="auto"/>
          <w:szCs w:val="21"/>
          <w:highlight w:val="none"/>
          <w:lang w:val="en-US" w:eastAsia="zh-CN"/>
        </w:rPr>
        <w:t>2023年度</w:t>
      </w:r>
      <w:r>
        <w:rPr>
          <w:rFonts w:hint="eastAsia" w:cs="仿宋_GB2312" w:asciiTheme="minorEastAsia" w:hAnsiTheme="minorEastAsia" w:eastAsiaTheme="minorEastAsia"/>
          <w:color w:val="auto"/>
          <w:szCs w:val="21"/>
          <w:highlight w:val="none"/>
        </w:rPr>
        <w:t>未发生不良贷款的，不良贷款处置率得8分。</w:t>
      </w:r>
    </w:p>
    <w:p w14:paraId="51270BA0">
      <w:pPr>
        <w:adjustRightInd w:val="0"/>
        <w:snapToGrid w:val="0"/>
        <w:spacing w:line="360" w:lineRule="auto"/>
        <w:ind w:firstLine="279" w:firstLineChars="133"/>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（该指标数据由国家金融监督管理总局嘉兴监管分局提供。）</w:t>
      </w:r>
    </w:p>
    <w:p w14:paraId="501ADC0C">
      <w:pPr>
        <w:pStyle w:val="62"/>
        <w:numPr>
          <w:ilvl w:val="0"/>
          <w:numId w:val="28"/>
        </w:numPr>
        <w:tabs>
          <w:tab w:val="left" w:pos="640"/>
        </w:tabs>
        <w:spacing w:line="360" w:lineRule="auto"/>
        <w:ind w:left="0" w:firstLine="426" w:firstLineChars="0"/>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运营能力（10分）。根据有效竞标银行</w:t>
      </w:r>
      <w:r>
        <w:rPr>
          <w:rFonts w:hint="eastAsia" w:cs="仿宋_GB2312" w:asciiTheme="minorEastAsia" w:hAnsiTheme="minorEastAsia" w:eastAsiaTheme="minorEastAsia"/>
          <w:color w:val="auto"/>
          <w:kern w:val="2"/>
          <w:sz w:val="21"/>
          <w:szCs w:val="21"/>
          <w:highlight w:val="none"/>
          <w:lang w:val="en-US" w:eastAsia="zh-CN" w:bidi="ar-SA"/>
        </w:rPr>
        <w:t>2023年度</w:t>
      </w:r>
      <w:r>
        <w:rPr>
          <w:rFonts w:hint="eastAsia" w:cs="仿宋_GB2312" w:asciiTheme="minorEastAsia" w:hAnsiTheme="minorEastAsia" w:eastAsiaTheme="minorEastAsia"/>
          <w:color w:val="auto"/>
          <w:szCs w:val="21"/>
          <w:highlight w:val="none"/>
        </w:rPr>
        <w:t>在嘉兴市的利润总额和利润增长率进行评分。</w:t>
      </w:r>
    </w:p>
    <w:p w14:paraId="51B8C9C4">
      <w:pPr>
        <w:pStyle w:val="62"/>
        <w:numPr>
          <w:ilvl w:val="0"/>
          <w:numId w:val="30"/>
        </w:numPr>
        <w:adjustRightInd w:val="0"/>
        <w:snapToGrid w:val="0"/>
        <w:spacing w:line="360" w:lineRule="auto"/>
        <w:ind w:firstLineChars="0"/>
        <w:rPr>
          <w:rFonts w:hint="eastAsia" w:cs="仿宋_GB2312" w:asciiTheme="minorEastAsia" w:hAnsiTheme="minorEastAsia" w:eastAsiaTheme="minorEastAsia"/>
          <w:vanish/>
          <w:color w:val="auto"/>
          <w:szCs w:val="21"/>
          <w:highlight w:val="none"/>
        </w:rPr>
      </w:pPr>
    </w:p>
    <w:p w14:paraId="2F5E95E1">
      <w:pPr>
        <w:pStyle w:val="62"/>
        <w:numPr>
          <w:ilvl w:val="0"/>
          <w:numId w:val="30"/>
        </w:numPr>
        <w:adjustRightInd w:val="0"/>
        <w:snapToGrid w:val="0"/>
        <w:spacing w:line="360" w:lineRule="auto"/>
        <w:ind w:firstLineChars="0"/>
        <w:rPr>
          <w:rFonts w:hint="eastAsia" w:cs="仿宋_GB2312" w:asciiTheme="minorEastAsia" w:hAnsiTheme="minorEastAsia" w:eastAsiaTheme="minorEastAsia"/>
          <w:vanish/>
          <w:color w:val="auto"/>
          <w:szCs w:val="21"/>
          <w:highlight w:val="none"/>
        </w:rPr>
      </w:pPr>
    </w:p>
    <w:p w14:paraId="145C1031">
      <w:pPr>
        <w:pStyle w:val="62"/>
        <w:numPr>
          <w:ilvl w:val="0"/>
          <w:numId w:val="30"/>
        </w:numPr>
        <w:adjustRightInd w:val="0"/>
        <w:snapToGrid w:val="0"/>
        <w:spacing w:line="360" w:lineRule="auto"/>
        <w:ind w:firstLineChars="0"/>
        <w:rPr>
          <w:rFonts w:hint="eastAsia" w:cs="仿宋_GB2312" w:asciiTheme="minorEastAsia" w:hAnsiTheme="minorEastAsia" w:eastAsiaTheme="minorEastAsia"/>
          <w:vanish/>
          <w:color w:val="auto"/>
          <w:szCs w:val="21"/>
          <w:highlight w:val="none"/>
        </w:rPr>
      </w:pPr>
    </w:p>
    <w:p w14:paraId="65461D28">
      <w:pPr>
        <w:pStyle w:val="62"/>
        <w:numPr>
          <w:ilvl w:val="1"/>
          <w:numId w:val="30"/>
        </w:numPr>
        <w:tabs>
          <w:tab w:val="left" w:pos="851"/>
        </w:tabs>
        <w:adjustRightInd w:val="0"/>
        <w:snapToGrid w:val="0"/>
        <w:spacing w:line="360" w:lineRule="auto"/>
        <w:ind w:left="0" w:firstLine="426" w:firstLineChars="0"/>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利润总额（8分）。按有效竞标银行</w:t>
      </w:r>
      <w:r>
        <w:rPr>
          <w:rFonts w:hint="eastAsia" w:cs="仿宋_GB2312" w:asciiTheme="minorEastAsia" w:hAnsiTheme="minorEastAsia" w:eastAsiaTheme="minorEastAsia"/>
          <w:color w:val="auto"/>
          <w:kern w:val="2"/>
          <w:sz w:val="21"/>
          <w:szCs w:val="21"/>
          <w:highlight w:val="none"/>
          <w:lang w:val="en-US" w:eastAsia="zh-CN" w:bidi="ar-SA"/>
        </w:rPr>
        <w:t>2023年度</w:t>
      </w:r>
      <w:r>
        <w:rPr>
          <w:rFonts w:hint="eastAsia" w:cs="仿宋_GB2312" w:asciiTheme="minorEastAsia" w:hAnsiTheme="minorEastAsia" w:eastAsiaTheme="minorEastAsia"/>
          <w:color w:val="auto"/>
          <w:szCs w:val="21"/>
          <w:highlight w:val="none"/>
        </w:rPr>
        <w:t>全市利润总额由高到低排名，排名第一名的得8分，每递减一名减0.2分，减至0分为止。排名相同时，下一名跳跃排名计分，以下遇有按排名计分的均按此跳跃排名计分。</w:t>
      </w:r>
    </w:p>
    <w:p w14:paraId="79736DEF">
      <w:pPr>
        <w:pStyle w:val="62"/>
        <w:numPr>
          <w:ilvl w:val="1"/>
          <w:numId w:val="30"/>
        </w:numPr>
        <w:tabs>
          <w:tab w:val="left" w:pos="851"/>
        </w:tabs>
        <w:adjustRightInd w:val="0"/>
        <w:snapToGrid w:val="0"/>
        <w:spacing w:line="360" w:lineRule="auto"/>
        <w:ind w:left="0" w:firstLine="426" w:firstLineChars="0"/>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利润增长率（2分）。按有效竞标银行</w:t>
      </w:r>
      <w:r>
        <w:rPr>
          <w:rFonts w:hint="eastAsia" w:cs="仿宋_GB2312" w:asciiTheme="minorEastAsia" w:hAnsiTheme="minorEastAsia" w:eastAsiaTheme="minorEastAsia"/>
          <w:color w:val="auto"/>
          <w:kern w:val="2"/>
          <w:sz w:val="21"/>
          <w:szCs w:val="21"/>
          <w:highlight w:val="none"/>
          <w:lang w:val="en-US" w:eastAsia="zh-CN" w:bidi="ar-SA"/>
        </w:rPr>
        <w:t>2023年度</w:t>
      </w:r>
      <w:r>
        <w:rPr>
          <w:rFonts w:hint="eastAsia" w:cs="仿宋_GB2312" w:asciiTheme="minorEastAsia" w:hAnsiTheme="minorEastAsia" w:eastAsiaTheme="minorEastAsia"/>
          <w:color w:val="auto"/>
          <w:szCs w:val="21"/>
          <w:highlight w:val="none"/>
        </w:rPr>
        <w:t>全市利润增长率由高到低排名，排名第一名的得2分，每递减一名减0.05分，减至0分为止。</w:t>
      </w:r>
    </w:p>
    <w:p w14:paraId="7F793D3C">
      <w:pPr>
        <w:adjustRightInd w:val="0"/>
        <w:snapToGrid w:val="0"/>
        <w:spacing w:line="360" w:lineRule="auto"/>
        <w:ind w:firstLine="279" w:firstLineChars="133"/>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（该指标数据由国家金融监督管理总局嘉兴监管分局提供。）</w:t>
      </w:r>
    </w:p>
    <w:p w14:paraId="7C6BEBB5">
      <w:pPr>
        <w:pStyle w:val="62"/>
        <w:numPr>
          <w:ilvl w:val="0"/>
          <w:numId w:val="28"/>
        </w:numPr>
        <w:tabs>
          <w:tab w:val="left" w:pos="640"/>
        </w:tabs>
        <w:spacing w:line="360" w:lineRule="auto"/>
        <w:ind w:left="0" w:firstLine="426" w:firstLineChars="0"/>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内控水平（8分）。根据人民银行嘉兴市分行</w:t>
      </w:r>
      <w:r>
        <w:rPr>
          <w:rFonts w:hint="eastAsia" w:cs="仿宋_GB2312" w:asciiTheme="minorEastAsia" w:hAnsiTheme="minorEastAsia" w:eastAsiaTheme="minorEastAsia"/>
          <w:color w:val="auto"/>
          <w:kern w:val="2"/>
          <w:sz w:val="21"/>
          <w:szCs w:val="21"/>
          <w:highlight w:val="none"/>
          <w:lang w:val="en-US" w:eastAsia="zh-CN" w:bidi="ar-SA"/>
        </w:rPr>
        <w:t>2023年度</w:t>
      </w:r>
      <w:r>
        <w:rPr>
          <w:rFonts w:hint="eastAsia" w:cs="仿宋_GB2312" w:asciiTheme="minorEastAsia" w:hAnsiTheme="minorEastAsia" w:eastAsiaTheme="minorEastAsia"/>
          <w:color w:val="auto"/>
          <w:szCs w:val="21"/>
          <w:highlight w:val="none"/>
        </w:rPr>
        <w:t>对有效竞标银行综合评价结果进行评分，综合评价为A级的，得8分；综合评价为B+、B、B-级的，分别得7、6、5分。</w:t>
      </w:r>
    </w:p>
    <w:p w14:paraId="021DC9F9">
      <w:pPr>
        <w:adjustRightInd w:val="0"/>
        <w:snapToGrid w:val="0"/>
        <w:spacing w:line="360" w:lineRule="auto"/>
        <w:ind w:firstLine="279" w:firstLineChars="133"/>
        <w:rPr>
          <w:rFonts w:hint="eastAsia" w:ascii="仿宋_GB2312" w:hAnsi="仿宋_GB2312" w:eastAsia="仿宋_GB2312" w:cs="仿宋_GB2312"/>
          <w:color w:val="auto"/>
          <w:sz w:val="32"/>
          <w:szCs w:val="32"/>
          <w:highlight w:val="none"/>
        </w:rPr>
      </w:pPr>
      <w:r>
        <w:rPr>
          <w:rFonts w:hint="eastAsia" w:cs="仿宋_GB2312" w:asciiTheme="minorEastAsia" w:hAnsiTheme="minorEastAsia" w:eastAsiaTheme="minorEastAsia"/>
          <w:color w:val="auto"/>
          <w:szCs w:val="21"/>
          <w:highlight w:val="none"/>
        </w:rPr>
        <w:t>（该指标数据由中国人民银行嘉兴市分行提供。）</w:t>
      </w:r>
    </w:p>
    <w:p w14:paraId="18767842">
      <w:pPr>
        <w:pStyle w:val="62"/>
        <w:keepNext/>
        <w:keepLines/>
        <w:numPr>
          <w:ilvl w:val="0"/>
          <w:numId w:val="31"/>
        </w:numPr>
        <w:spacing w:line="360" w:lineRule="auto"/>
        <w:ind w:firstLineChars="0"/>
        <w:jc w:val="left"/>
        <w:outlineLvl w:val="1"/>
        <w:rPr>
          <w:rFonts w:hint="eastAsia" w:asciiTheme="minorEastAsia" w:hAnsiTheme="minorEastAsia" w:eastAsiaTheme="minorEastAsia"/>
          <w:b/>
          <w:bCs/>
          <w:vanish/>
          <w:color w:val="auto"/>
          <w:sz w:val="28"/>
          <w:szCs w:val="28"/>
          <w:highlight w:val="none"/>
        </w:rPr>
      </w:pPr>
      <w:bookmarkStart w:id="104" w:name="_Toc98019291"/>
    </w:p>
    <w:p w14:paraId="2CBEF139">
      <w:pPr>
        <w:pStyle w:val="62"/>
        <w:keepNext/>
        <w:keepLines/>
        <w:numPr>
          <w:ilvl w:val="0"/>
          <w:numId w:val="31"/>
        </w:numPr>
        <w:spacing w:line="360" w:lineRule="auto"/>
        <w:ind w:firstLineChars="0"/>
        <w:jc w:val="left"/>
        <w:outlineLvl w:val="1"/>
        <w:rPr>
          <w:rFonts w:hint="eastAsia" w:asciiTheme="minorEastAsia" w:hAnsiTheme="minorEastAsia" w:eastAsiaTheme="minorEastAsia"/>
          <w:b/>
          <w:bCs/>
          <w:vanish/>
          <w:color w:val="auto"/>
          <w:sz w:val="28"/>
          <w:szCs w:val="28"/>
          <w:highlight w:val="none"/>
        </w:rPr>
      </w:pPr>
    </w:p>
    <w:p w14:paraId="0273DB67">
      <w:pPr>
        <w:pStyle w:val="3"/>
        <w:numPr>
          <w:ilvl w:val="0"/>
          <w:numId w:val="27"/>
        </w:numPr>
        <w:spacing w:before="0" w:after="0" w:line="360" w:lineRule="auto"/>
        <w:rPr>
          <w:rFonts w:hint="eastAsia" w:asciiTheme="minorEastAsia" w:hAnsiTheme="minorEastAsia" w:eastAsiaTheme="minorEastAsia"/>
          <w:color w:val="auto"/>
          <w:szCs w:val="21"/>
          <w:highlight w:val="none"/>
          <w:shd w:val="pct10" w:color="auto" w:fill="FFFFFF"/>
        </w:rPr>
      </w:pPr>
      <w:r>
        <w:rPr>
          <w:rFonts w:hint="eastAsia" w:asciiTheme="minorEastAsia" w:hAnsiTheme="minorEastAsia" w:eastAsiaTheme="minorEastAsia"/>
          <w:color w:val="auto"/>
          <w:szCs w:val="21"/>
          <w:highlight w:val="none"/>
          <w:shd w:val="pct10" w:color="auto" w:fill="FFFFFF"/>
        </w:rPr>
        <w:t>经济贡献度指标（满分30分）。</w:t>
      </w:r>
      <w:bookmarkEnd w:id="104"/>
    </w:p>
    <w:p w14:paraId="287A9661">
      <w:pPr>
        <w:pStyle w:val="3"/>
        <w:numPr>
          <w:ilvl w:val="0"/>
          <w:numId w:val="0"/>
        </w:numPr>
        <w:spacing w:before="0" w:after="0" w:line="360" w:lineRule="auto"/>
        <w:ind w:firstLine="422" w:firstLineChars="201"/>
        <w:rPr>
          <w:rFonts w:hint="eastAsia" w:asciiTheme="minorEastAsia" w:hAnsiTheme="minorEastAsia" w:eastAsiaTheme="minorEastAsia"/>
          <w:color w:val="auto"/>
          <w:szCs w:val="21"/>
          <w:highlight w:val="none"/>
          <w:shd w:val="pct10" w:color="auto" w:fill="FFFFFF"/>
        </w:rPr>
      </w:pPr>
      <w:r>
        <w:rPr>
          <w:rFonts w:hint="eastAsia" w:cs="仿宋_GB2312" w:asciiTheme="minorEastAsia" w:hAnsiTheme="minorEastAsia" w:eastAsiaTheme="minorEastAsia"/>
          <w:b w:val="0"/>
          <w:color w:val="auto"/>
          <w:szCs w:val="21"/>
          <w:highlight w:val="none"/>
        </w:rPr>
        <w:t>经济贡献度指标设置包括一般公共预算收入指标和支持地方经济发展业绩考评结果应用指标。</w:t>
      </w:r>
    </w:p>
    <w:p w14:paraId="306E9C66">
      <w:pPr>
        <w:pStyle w:val="62"/>
        <w:numPr>
          <w:ilvl w:val="1"/>
          <w:numId w:val="32"/>
        </w:numPr>
        <w:tabs>
          <w:tab w:val="left" w:pos="640"/>
        </w:tabs>
        <w:adjustRightInd w:val="0"/>
        <w:snapToGrid w:val="0"/>
        <w:spacing w:line="360" w:lineRule="auto"/>
        <w:ind w:left="0" w:firstLine="426" w:firstLineChars="0"/>
        <w:rPr>
          <w:rFonts w:hint="eastAsia" w:cs="仿宋_GB2312" w:asciiTheme="minorEastAsia" w:hAnsiTheme="minorEastAsia" w:eastAsiaTheme="minorEastAsia"/>
          <w:bCs/>
          <w:color w:val="auto"/>
          <w:szCs w:val="21"/>
          <w:highlight w:val="none"/>
        </w:rPr>
      </w:pPr>
      <w:r>
        <w:rPr>
          <w:rFonts w:hint="eastAsia" w:cs="仿宋_GB2312" w:asciiTheme="minorEastAsia" w:hAnsiTheme="minorEastAsia" w:eastAsiaTheme="minorEastAsia"/>
          <w:bCs/>
          <w:color w:val="auto"/>
          <w:szCs w:val="21"/>
          <w:highlight w:val="none"/>
        </w:rPr>
        <w:t>一般公共预算收入指标（18分）。按</w:t>
      </w:r>
      <w:r>
        <w:rPr>
          <w:rFonts w:hint="eastAsia" w:cs="仿宋_GB2312" w:asciiTheme="minorEastAsia" w:hAnsiTheme="minorEastAsia" w:eastAsiaTheme="minorEastAsia"/>
          <w:color w:val="auto"/>
          <w:szCs w:val="21"/>
          <w:highlight w:val="none"/>
        </w:rPr>
        <w:t>竞</w:t>
      </w:r>
      <w:r>
        <w:rPr>
          <w:rFonts w:hint="eastAsia" w:cs="仿宋_GB2312" w:asciiTheme="minorEastAsia" w:hAnsiTheme="minorEastAsia" w:eastAsiaTheme="minorEastAsia"/>
          <w:bCs/>
          <w:color w:val="auto"/>
          <w:szCs w:val="21"/>
          <w:highlight w:val="none"/>
        </w:rPr>
        <w:t>标银行在经开区截至</w:t>
      </w:r>
      <w:r>
        <w:rPr>
          <w:rFonts w:hint="eastAsia" w:cs="仿宋_GB2312" w:asciiTheme="minorEastAsia" w:hAnsiTheme="minorEastAsia" w:eastAsiaTheme="minorEastAsia"/>
          <w:color w:val="auto"/>
          <w:szCs w:val="21"/>
          <w:highlight w:val="none"/>
        </w:rPr>
        <w:t>竞标日上季度末</w:t>
      </w:r>
      <w:r>
        <w:rPr>
          <w:rFonts w:hint="eastAsia" w:cs="仿宋_GB2312" w:asciiTheme="minorEastAsia" w:hAnsiTheme="minorEastAsia" w:eastAsiaTheme="minorEastAsia"/>
          <w:bCs/>
          <w:color w:val="auto"/>
          <w:szCs w:val="21"/>
          <w:highlight w:val="none"/>
        </w:rPr>
        <w:t>的当年一般公共预算收入累计数计算，我区无收入的得0分。</w:t>
      </w:r>
    </w:p>
    <w:p w14:paraId="75AA4FE0">
      <w:pPr>
        <w:pStyle w:val="62"/>
        <w:numPr>
          <w:ilvl w:val="1"/>
          <w:numId w:val="33"/>
        </w:numPr>
        <w:tabs>
          <w:tab w:val="left" w:pos="993"/>
        </w:tabs>
        <w:adjustRightInd w:val="0"/>
        <w:snapToGrid w:val="0"/>
        <w:spacing w:line="360" w:lineRule="auto"/>
        <w:ind w:left="0" w:firstLine="424" w:firstLineChars="202"/>
        <w:rPr>
          <w:rFonts w:hint="eastAsia" w:cs="仿宋_GB2312" w:asciiTheme="minorEastAsia" w:hAnsiTheme="minorEastAsia" w:eastAsiaTheme="minorEastAsia"/>
          <w:bCs/>
          <w:color w:val="auto"/>
          <w:szCs w:val="21"/>
          <w:highlight w:val="none"/>
        </w:rPr>
      </w:pPr>
      <w:r>
        <w:rPr>
          <w:rFonts w:hint="eastAsia" w:cs="仿宋_GB2312" w:asciiTheme="minorEastAsia" w:hAnsiTheme="minorEastAsia" w:eastAsiaTheme="minorEastAsia"/>
          <w:bCs/>
          <w:color w:val="auto"/>
          <w:szCs w:val="21"/>
          <w:highlight w:val="none"/>
        </w:rPr>
        <w:t>一般公共预算收入总量排名得分（5分）：以一般公共预算收入总量最高的竞标银行为第一名得5分，</w:t>
      </w:r>
      <w:r>
        <w:rPr>
          <w:rFonts w:hint="eastAsia" w:cs="仿宋_GB2312" w:asciiTheme="minorEastAsia" w:hAnsiTheme="minorEastAsia" w:eastAsiaTheme="minorEastAsia"/>
          <w:color w:val="auto"/>
          <w:szCs w:val="21"/>
          <w:highlight w:val="none"/>
        </w:rPr>
        <w:t>每递减一名减0.2分</w:t>
      </w:r>
      <w:r>
        <w:rPr>
          <w:rFonts w:hint="eastAsia" w:cs="仿宋_GB2312" w:asciiTheme="minorEastAsia" w:hAnsiTheme="minorEastAsia" w:eastAsiaTheme="minorEastAsia"/>
          <w:bCs/>
          <w:color w:val="auto"/>
          <w:szCs w:val="21"/>
          <w:highlight w:val="none"/>
        </w:rPr>
        <w:t>，减至0分为止。</w:t>
      </w:r>
    </w:p>
    <w:p w14:paraId="03481C42">
      <w:pPr>
        <w:pStyle w:val="62"/>
        <w:numPr>
          <w:ilvl w:val="1"/>
          <w:numId w:val="33"/>
        </w:numPr>
        <w:tabs>
          <w:tab w:val="left" w:pos="993"/>
        </w:tabs>
        <w:adjustRightInd w:val="0"/>
        <w:snapToGrid w:val="0"/>
        <w:spacing w:line="360" w:lineRule="auto"/>
        <w:ind w:left="0" w:firstLine="424" w:firstLineChars="202"/>
        <w:rPr>
          <w:rFonts w:hint="eastAsia" w:cs="仿宋_GB2312" w:asciiTheme="minorEastAsia" w:hAnsiTheme="minorEastAsia" w:eastAsiaTheme="minorEastAsia"/>
          <w:bCs/>
          <w:color w:val="auto"/>
          <w:szCs w:val="21"/>
          <w:highlight w:val="none"/>
        </w:rPr>
      </w:pPr>
      <w:r>
        <w:rPr>
          <w:rFonts w:hint="eastAsia" w:cs="仿宋_GB2312" w:asciiTheme="minorEastAsia" w:hAnsiTheme="minorEastAsia" w:eastAsiaTheme="minorEastAsia"/>
          <w:bCs/>
          <w:color w:val="auto"/>
          <w:szCs w:val="21"/>
          <w:highlight w:val="none"/>
        </w:rPr>
        <w:t>一般公共预算收入同比增量排名得分（8分）。以一般公共预算收入同比增量最高的竞标银行为第一名得8分，</w:t>
      </w:r>
      <w:r>
        <w:rPr>
          <w:rFonts w:hint="eastAsia" w:cs="仿宋_GB2312" w:asciiTheme="minorEastAsia" w:hAnsiTheme="minorEastAsia" w:eastAsiaTheme="minorEastAsia"/>
          <w:color w:val="auto"/>
          <w:szCs w:val="21"/>
          <w:highlight w:val="none"/>
        </w:rPr>
        <w:t>每递减一名减0.2分</w:t>
      </w:r>
      <w:r>
        <w:rPr>
          <w:rFonts w:hint="eastAsia" w:cs="仿宋_GB2312" w:asciiTheme="minorEastAsia" w:hAnsiTheme="minorEastAsia" w:eastAsiaTheme="minorEastAsia"/>
          <w:bCs/>
          <w:color w:val="auto"/>
          <w:szCs w:val="21"/>
          <w:highlight w:val="none"/>
        </w:rPr>
        <w:t>，减至0分为止。</w:t>
      </w:r>
    </w:p>
    <w:p w14:paraId="6F32350B">
      <w:pPr>
        <w:pStyle w:val="62"/>
        <w:numPr>
          <w:ilvl w:val="1"/>
          <w:numId w:val="33"/>
        </w:numPr>
        <w:tabs>
          <w:tab w:val="left" w:pos="993"/>
        </w:tabs>
        <w:adjustRightInd w:val="0"/>
        <w:snapToGrid w:val="0"/>
        <w:spacing w:line="360" w:lineRule="auto"/>
        <w:ind w:left="0" w:firstLine="424" w:firstLineChars="202"/>
        <w:rPr>
          <w:rFonts w:hint="eastAsia" w:cs="仿宋_GB2312" w:asciiTheme="minorEastAsia" w:hAnsiTheme="minorEastAsia" w:eastAsiaTheme="minorEastAsia"/>
          <w:bCs/>
          <w:color w:val="auto"/>
          <w:szCs w:val="21"/>
          <w:highlight w:val="none"/>
        </w:rPr>
      </w:pPr>
      <w:r>
        <w:rPr>
          <w:rFonts w:hint="eastAsia" w:cs="仿宋_GB2312" w:asciiTheme="minorEastAsia" w:hAnsiTheme="minorEastAsia" w:eastAsiaTheme="minorEastAsia"/>
          <w:bCs/>
          <w:color w:val="auto"/>
          <w:szCs w:val="21"/>
          <w:highlight w:val="none"/>
        </w:rPr>
        <w:t>一般公共预算收入同比增幅排名得分（5分）。以一般公共预算收入同比增幅最高的竞标银行为第一名得5分，</w:t>
      </w:r>
      <w:r>
        <w:rPr>
          <w:rFonts w:hint="eastAsia" w:cs="仿宋_GB2312" w:asciiTheme="minorEastAsia" w:hAnsiTheme="minorEastAsia" w:eastAsiaTheme="minorEastAsia"/>
          <w:color w:val="auto"/>
          <w:szCs w:val="21"/>
          <w:highlight w:val="none"/>
        </w:rPr>
        <w:t>每递减一名减0.2分</w:t>
      </w:r>
      <w:r>
        <w:rPr>
          <w:rFonts w:hint="eastAsia" w:cs="仿宋_GB2312" w:asciiTheme="minorEastAsia" w:hAnsiTheme="minorEastAsia" w:eastAsiaTheme="minorEastAsia"/>
          <w:bCs/>
          <w:color w:val="auto"/>
          <w:szCs w:val="21"/>
          <w:highlight w:val="none"/>
        </w:rPr>
        <w:t>，减至0分为止。</w:t>
      </w:r>
    </w:p>
    <w:p w14:paraId="54DB6A83">
      <w:pPr>
        <w:adjustRightInd w:val="0"/>
        <w:snapToGrid w:val="0"/>
        <w:spacing w:line="360" w:lineRule="auto"/>
        <w:ind w:firstLine="279" w:firstLineChars="133"/>
        <w:rPr>
          <w:rFonts w:hint="eastAsia" w:cs="仿宋_GB2312" w:asciiTheme="minorEastAsia" w:hAnsiTheme="minorEastAsia" w:eastAsiaTheme="minorEastAsia"/>
          <w:bCs/>
          <w:color w:val="auto"/>
          <w:szCs w:val="21"/>
          <w:highlight w:val="none"/>
        </w:rPr>
      </w:pPr>
      <w:r>
        <w:rPr>
          <w:rFonts w:hint="eastAsia" w:cs="仿宋_GB2312" w:asciiTheme="minorEastAsia" w:hAnsiTheme="minorEastAsia" w:eastAsiaTheme="minorEastAsia"/>
          <w:bCs/>
          <w:color w:val="auto"/>
          <w:szCs w:val="21"/>
          <w:highlight w:val="none"/>
        </w:rPr>
        <w:t>（一般公共预算收入数指标数据由区财政金融部提供）</w:t>
      </w:r>
    </w:p>
    <w:p w14:paraId="75169DBB">
      <w:pPr>
        <w:pStyle w:val="62"/>
        <w:numPr>
          <w:ilvl w:val="1"/>
          <w:numId w:val="32"/>
        </w:numPr>
        <w:tabs>
          <w:tab w:val="left" w:pos="640"/>
        </w:tabs>
        <w:adjustRightInd w:val="0"/>
        <w:snapToGrid w:val="0"/>
        <w:spacing w:line="360" w:lineRule="auto"/>
        <w:ind w:left="0" w:firstLine="426" w:firstLineChars="0"/>
        <w:rPr>
          <w:rFonts w:hint="eastAsia" w:cs="仿宋_GB2312" w:asciiTheme="minorEastAsia" w:hAnsiTheme="minorEastAsia" w:eastAsiaTheme="minorEastAsia"/>
          <w:bCs/>
          <w:color w:val="auto"/>
          <w:szCs w:val="21"/>
          <w:highlight w:val="none"/>
        </w:rPr>
      </w:pPr>
      <w:r>
        <w:rPr>
          <w:rFonts w:hint="eastAsia" w:cs="仿宋_GB2312" w:asciiTheme="minorEastAsia" w:hAnsiTheme="minorEastAsia" w:eastAsiaTheme="minorEastAsia"/>
          <w:bCs/>
          <w:color w:val="auto"/>
          <w:szCs w:val="21"/>
          <w:highlight w:val="none"/>
        </w:rPr>
        <w:t>支持地方经济发展业绩考评结果应用指标（12分）。根据</w:t>
      </w:r>
      <w:r>
        <w:rPr>
          <w:rFonts w:hint="eastAsia" w:cs="仿宋_GB2312" w:asciiTheme="minorEastAsia" w:hAnsiTheme="minorEastAsia" w:eastAsiaTheme="minorEastAsia"/>
          <w:color w:val="auto"/>
          <w:kern w:val="2"/>
          <w:sz w:val="21"/>
          <w:szCs w:val="21"/>
          <w:highlight w:val="none"/>
          <w:lang w:val="en-US" w:eastAsia="zh-CN" w:bidi="ar-SA"/>
        </w:rPr>
        <w:t>2023年度</w:t>
      </w:r>
      <w:r>
        <w:rPr>
          <w:rFonts w:hint="eastAsia" w:cs="仿宋_GB2312" w:asciiTheme="minorEastAsia" w:hAnsiTheme="minorEastAsia" w:eastAsiaTheme="minorEastAsia"/>
          <w:bCs/>
          <w:color w:val="auto"/>
          <w:szCs w:val="21"/>
          <w:highlight w:val="none"/>
        </w:rPr>
        <w:t>市本级银行业金融机构支持地方经济发展业绩的考评结果进行评分。得分标准为：以考评得分最高的竞标银行为第一名得12分；每递减一名减0.5分，减至0分为止。</w:t>
      </w:r>
    </w:p>
    <w:p w14:paraId="07A8CAA7">
      <w:pPr>
        <w:adjustRightInd w:val="0"/>
        <w:snapToGrid w:val="0"/>
        <w:spacing w:line="360" w:lineRule="auto"/>
        <w:ind w:firstLine="279" w:firstLineChars="133"/>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（该指标数据由市人民政府办公室提供。）</w:t>
      </w:r>
    </w:p>
    <w:p w14:paraId="6AA08D03">
      <w:pPr>
        <w:pStyle w:val="3"/>
        <w:numPr>
          <w:ilvl w:val="0"/>
          <w:numId w:val="27"/>
        </w:numPr>
        <w:spacing w:before="0" w:after="0" w:line="360" w:lineRule="auto"/>
        <w:rPr>
          <w:rFonts w:hint="eastAsia" w:asciiTheme="minorEastAsia" w:hAnsiTheme="minorEastAsia" w:eastAsiaTheme="minorEastAsia"/>
          <w:color w:val="auto"/>
          <w:szCs w:val="21"/>
          <w:highlight w:val="none"/>
          <w:shd w:val="pct10" w:color="auto" w:fill="FFFFFF"/>
        </w:rPr>
      </w:pPr>
      <w:bookmarkStart w:id="105" w:name="_Toc98019292"/>
      <w:r>
        <w:rPr>
          <w:rFonts w:hint="eastAsia" w:asciiTheme="minorEastAsia" w:hAnsiTheme="minorEastAsia" w:eastAsiaTheme="minorEastAsia"/>
          <w:color w:val="auto"/>
          <w:szCs w:val="21"/>
          <w:highlight w:val="none"/>
          <w:shd w:val="pct10" w:color="auto" w:fill="FFFFFF"/>
        </w:rPr>
        <w:t>服务水平项目指标（满分15分）。</w:t>
      </w:r>
      <w:bookmarkEnd w:id="105"/>
    </w:p>
    <w:p w14:paraId="7CCE1F75">
      <w:pPr>
        <w:pStyle w:val="62"/>
        <w:tabs>
          <w:tab w:val="left" w:pos="0"/>
          <w:tab w:val="left" w:pos="709"/>
          <w:tab w:val="left" w:pos="2160"/>
          <w:tab w:val="left" w:pos="2880"/>
          <w:tab w:val="left" w:pos="3600"/>
          <w:tab w:val="left" w:pos="4320"/>
        </w:tabs>
        <w:autoSpaceDE w:val="0"/>
        <w:autoSpaceDN w:val="0"/>
        <w:adjustRightInd w:val="0"/>
        <w:spacing w:line="360" w:lineRule="auto"/>
        <w:ind w:firstLine="422" w:firstLineChars="201"/>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服务水平项目指标（满分15分）。主要为资金存放银行提供服务的能力和水平，以及以往提供服务履约等方面的情况。根据我区《商业银行服务质量季度考评制度》，以有效竞标银行截至竞标日的上一季度考评得分从高到低排序，最高的得15分，每递减一名减1分，减至0分为止。</w:t>
      </w:r>
    </w:p>
    <w:p w14:paraId="7D8D21E2">
      <w:pPr>
        <w:pStyle w:val="62"/>
        <w:tabs>
          <w:tab w:val="left" w:pos="0"/>
          <w:tab w:val="left" w:pos="709"/>
          <w:tab w:val="left" w:pos="2160"/>
          <w:tab w:val="left" w:pos="2880"/>
          <w:tab w:val="left" w:pos="3600"/>
          <w:tab w:val="left" w:pos="4320"/>
        </w:tabs>
        <w:autoSpaceDE w:val="0"/>
        <w:autoSpaceDN w:val="0"/>
        <w:adjustRightInd w:val="0"/>
        <w:spacing w:line="360" w:lineRule="auto"/>
        <w:ind w:firstLine="422" w:firstLineChars="201"/>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（商业银行服务质量评分表由区财政金融部汇总后提供。）</w:t>
      </w:r>
    </w:p>
    <w:p w14:paraId="25242FC3">
      <w:pPr>
        <w:pStyle w:val="3"/>
        <w:numPr>
          <w:ilvl w:val="0"/>
          <w:numId w:val="27"/>
        </w:numPr>
        <w:spacing w:before="0" w:after="0" w:line="360" w:lineRule="auto"/>
        <w:rPr>
          <w:rFonts w:hint="eastAsia" w:asciiTheme="minorEastAsia" w:hAnsiTheme="minorEastAsia" w:eastAsiaTheme="minorEastAsia"/>
          <w:color w:val="auto"/>
          <w:szCs w:val="21"/>
          <w:highlight w:val="none"/>
          <w:shd w:val="pct10" w:color="auto" w:fill="FFFFFF"/>
        </w:rPr>
      </w:pPr>
      <w:r>
        <w:rPr>
          <w:rFonts w:hint="eastAsia" w:asciiTheme="minorEastAsia" w:hAnsiTheme="minorEastAsia" w:eastAsiaTheme="minorEastAsia"/>
          <w:color w:val="auto"/>
          <w:szCs w:val="21"/>
          <w:highlight w:val="none"/>
          <w:shd w:val="pct10" w:color="auto" w:fill="FFFFFF"/>
        </w:rPr>
        <w:t>加分扣分项。根据区有关政策执行。</w:t>
      </w:r>
    </w:p>
    <w:p w14:paraId="479A8CDB">
      <w:pPr>
        <w:spacing w:line="360" w:lineRule="auto"/>
        <w:ind w:firstLine="424" w:firstLineChars="202"/>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加分项（分值1-5分）：对因资金问题可能产生较严重涉稳后果的企业，相关投标银行在区党工委、管委会的协调要求下给予信贷支持助力渡难关，推动矛盾化解，促进转型发展的，由区相关部门提出加分意见。</w:t>
      </w:r>
    </w:p>
    <w:p w14:paraId="254FF5DE">
      <w:pPr>
        <w:spacing w:line="360" w:lineRule="auto"/>
        <w:ind w:firstLine="424" w:firstLineChars="202"/>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扣分项（分值1-5分）（如有扣分， 在服务水平项目指标内进行扣分，扣完为止）：相关投标银行发生抽贷、压贷或不配合区党工委、管委会中心工作，导致企业出现资金风险，造成较大影响的，由区相关部门提出扣分意见。</w:t>
      </w:r>
    </w:p>
    <w:p w14:paraId="49557B06">
      <w:pPr>
        <w:pStyle w:val="62"/>
        <w:tabs>
          <w:tab w:val="left" w:pos="0"/>
          <w:tab w:val="left" w:pos="709"/>
          <w:tab w:val="left" w:pos="2160"/>
          <w:tab w:val="left" w:pos="2880"/>
          <w:tab w:val="left" w:pos="3600"/>
          <w:tab w:val="left" w:pos="4320"/>
        </w:tabs>
        <w:autoSpaceDE w:val="0"/>
        <w:autoSpaceDN w:val="0"/>
        <w:adjustRightInd w:val="0"/>
        <w:spacing w:line="360" w:lineRule="auto"/>
        <w:ind w:firstLine="422" w:firstLineChars="201"/>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此项数据由区相关部门于开标前三个工作日将区党工委、管委会批准的加分、扣分意见提供给区财政金融部，由区财政金融部统一提供给评委组。</w:t>
      </w:r>
    </w:p>
    <w:p w14:paraId="14279101">
      <w:pPr>
        <w:pStyle w:val="4"/>
        <w:numPr>
          <w:ilvl w:val="0"/>
          <w:numId w:val="26"/>
        </w:numPr>
        <w:ind w:firstLineChars="0"/>
        <w:rPr>
          <w:rFonts w:hint="eastAsia" w:asciiTheme="minorEastAsia" w:hAnsiTheme="minorEastAsia" w:eastAsiaTheme="minorEastAsia"/>
          <w:color w:val="auto"/>
          <w:highlight w:val="none"/>
        </w:rPr>
      </w:pPr>
      <w:bookmarkStart w:id="106" w:name="_Toc98019293"/>
      <w:r>
        <w:rPr>
          <w:rFonts w:hint="eastAsia" w:asciiTheme="minorEastAsia" w:hAnsiTheme="minorEastAsia" w:eastAsiaTheme="minorEastAsia"/>
          <w:color w:val="auto"/>
          <w:highlight w:val="none"/>
        </w:rPr>
        <w:t>中标规则：</w:t>
      </w:r>
      <w:bookmarkEnd w:id="106"/>
    </w:p>
    <w:p w14:paraId="6AD28D2E">
      <w:pPr>
        <w:adjustRightInd w:val="0"/>
        <w:snapToGrid w:val="0"/>
        <w:spacing w:line="360" w:lineRule="auto"/>
        <w:ind w:firstLine="424" w:firstLineChars="202"/>
        <w:rPr>
          <w:rFonts w:hint="eastAsia" w:asciiTheme="minorEastAsia" w:hAnsiTheme="minorEastAsia" w:eastAsiaTheme="minorEastAsia"/>
          <w:color w:val="auto"/>
          <w:szCs w:val="21"/>
          <w:highlight w:val="none"/>
        </w:rPr>
      </w:pPr>
      <w:bookmarkStart w:id="107" w:name="_Toc11650186"/>
      <w:bookmarkStart w:id="108" w:name="_Toc9342496"/>
      <w:r>
        <w:rPr>
          <w:rFonts w:hint="eastAsia" w:asciiTheme="minorEastAsia" w:hAnsiTheme="minorEastAsia" w:eastAsiaTheme="minorEastAsia"/>
          <w:color w:val="auto"/>
          <w:szCs w:val="21"/>
          <w:highlight w:val="none"/>
        </w:rPr>
        <w:t>（一）确定中标额时，遇有投标银行投标时已申明放弃中标额、中标银行无法正常履行存放业务或实际有效投标银行少于中标银行数量的，中标银行正常分配后的剩余额由没有申明放弃的得分最高的银行中标（按得分计算的中标金额以外增加的中标）。</w:t>
      </w:r>
    </w:p>
    <w:p w14:paraId="34D38231">
      <w:pPr>
        <w:pStyle w:val="62"/>
        <w:adjustRightInd w:val="0"/>
        <w:snapToGrid w:val="0"/>
        <w:spacing w:line="360" w:lineRule="auto"/>
        <w:ind w:firstLine="424" w:firstLineChars="202"/>
        <w:rPr>
          <w:rFonts w:hint="eastAsia" w:asciiTheme="minorEastAsia" w:hAnsiTheme="minorEastAsia" w:eastAsiaTheme="minorEastAsia"/>
          <w:color w:val="auto"/>
          <w:highlight w:val="none"/>
        </w:rPr>
        <w:sectPr>
          <w:pgSz w:w="11907" w:h="16840"/>
          <w:pgMar w:top="1440" w:right="1797" w:bottom="1440" w:left="1843" w:header="851" w:footer="851" w:gutter="0"/>
          <w:cols w:space="425" w:num="1"/>
          <w:titlePg/>
          <w:docGrid w:type="lines" w:linePitch="312" w:charSpace="0"/>
        </w:sectPr>
      </w:pPr>
      <w:r>
        <w:rPr>
          <w:rFonts w:hint="eastAsia" w:asciiTheme="minorEastAsia" w:hAnsiTheme="minorEastAsia" w:eastAsiaTheme="minorEastAsia"/>
          <w:color w:val="auto"/>
          <w:szCs w:val="21"/>
          <w:highlight w:val="none"/>
        </w:rPr>
        <w:t>（二）发生上述以外情况时，根据高得分优先的原则确定。</w:t>
      </w:r>
      <w:r>
        <w:rPr>
          <w:rFonts w:asciiTheme="minorEastAsia" w:hAnsiTheme="minorEastAsia" w:eastAsiaTheme="minorEastAsia"/>
          <w:color w:val="auto"/>
          <w:highlight w:val="none"/>
        </w:rPr>
        <w:br w:type="page"/>
      </w:r>
    </w:p>
    <w:p w14:paraId="4C826E5E">
      <w:pPr>
        <w:pStyle w:val="36"/>
        <w:spacing w:line="360" w:lineRule="auto"/>
        <w:rPr>
          <w:rFonts w:hint="eastAsia" w:asciiTheme="minorEastAsia" w:hAnsiTheme="minorEastAsia" w:eastAsiaTheme="minorEastAsia"/>
          <w:color w:val="auto"/>
          <w:highlight w:val="none"/>
        </w:rPr>
      </w:pPr>
      <w:bookmarkStart w:id="109" w:name="_Toc98019294"/>
      <w:r>
        <w:rPr>
          <w:rFonts w:hint="eastAsia" w:asciiTheme="minorEastAsia" w:hAnsiTheme="minorEastAsia" w:eastAsiaTheme="minorEastAsia"/>
          <w:color w:val="auto"/>
          <w:highlight w:val="none"/>
        </w:rPr>
        <w:t>第五章 协议主要条款</w:t>
      </w:r>
      <w:bookmarkEnd w:id="107"/>
      <w:bookmarkEnd w:id="108"/>
      <w:bookmarkEnd w:id="109"/>
    </w:p>
    <w:p w14:paraId="7DE7AA20">
      <w:pPr>
        <w:spacing w:line="400" w:lineRule="exact"/>
        <w:jc w:val="center"/>
        <w:rPr>
          <w:rFonts w:hint="eastAsia" w:ascii="宋体" w:hAnsi="宋体"/>
          <w:b/>
          <w:color w:val="auto"/>
          <w:sz w:val="32"/>
          <w:szCs w:val="32"/>
          <w:highlight w:val="none"/>
        </w:rPr>
      </w:pPr>
      <w:bookmarkStart w:id="110" w:name="_Toc98019295"/>
      <w:bookmarkStart w:id="111" w:name="_Toc11650187"/>
      <w:bookmarkStart w:id="112" w:name="_Toc9342497"/>
      <w:bookmarkStart w:id="113" w:name="_Toc11650188"/>
      <w:r>
        <w:rPr>
          <w:rFonts w:hint="eastAsia" w:ascii="宋体" w:hAnsi="宋体"/>
          <w:b/>
          <w:color w:val="auto"/>
          <w:sz w:val="32"/>
          <w:szCs w:val="32"/>
          <w:highlight w:val="none"/>
        </w:rPr>
        <w:t>定期存款协议</w:t>
      </w:r>
      <w:bookmarkEnd w:id="110"/>
      <w:bookmarkEnd w:id="111"/>
      <w:bookmarkEnd w:id="112"/>
      <w:r>
        <w:rPr>
          <w:rFonts w:hint="eastAsia" w:ascii="宋体" w:hAnsi="宋体"/>
          <w:b/>
          <w:color w:val="auto"/>
          <w:sz w:val="32"/>
          <w:szCs w:val="32"/>
          <w:highlight w:val="none"/>
        </w:rPr>
        <w:t>（样本）</w:t>
      </w:r>
    </w:p>
    <w:p w14:paraId="0F9227F5">
      <w:pPr>
        <w:spacing w:line="360" w:lineRule="auto"/>
        <w:rPr>
          <w:rFonts w:hint="eastAsia" w:ascii="宋体" w:hAnsi="宋体"/>
          <w:color w:val="auto"/>
          <w:szCs w:val="21"/>
          <w:highlight w:val="none"/>
        </w:rPr>
      </w:pPr>
      <w:r>
        <w:rPr>
          <w:rFonts w:hint="eastAsia" w:ascii="宋体" w:hAnsi="宋体"/>
          <w:color w:val="auto"/>
          <w:szCs w:val="21"/>
          <w:highlight w:val="none"/>
        </w:rPr>
        <w:t>甲方（单位）：</w:t>
      </w:r>
      <w:r>
        <w:rPr>
          <w:rFonts w:ascii="宋体" w:hAnsi="宋体"/>
          <w:color w:val="auto"/>
          <w:szCs w:val="21"/>
          <w:highlight w:val="none"/>
        </w:rPr>
        <w:t xml:space="preserve"> </w:t>
      </w:r>
    </w:p>
    <w:p w14:paraId="1F52B259">
      <w:pPr>
        <w:spacing w:line="360" w:lineRule="auto"/>
        <w:rPr>
          <w:rFonts w:hint="eastAsia" w:ascii="宋体" w:hAnsi="宋体"/>
          <w:color w:val="auto"/>
          <w:szCs w:val="21"/>
          <w:highlight w:val="none"/>
        </w:rPr>
      </w:pPr>
      <w:r>
        <w:rPr>
          <w:rFonts w:hint="eastAsia" w:ascii="宋体" w:hAnsi="宋体"/>
          <w:color w:val="auto"/>
          <w:szCs w:val="21"/>
          <w:highlight w:val="none"/>
        </w:rPr>
        <w:t xml:space="preserve">乙方（银行）： </w:t>
      </w:r>
    </w:p>
    <w:p w14:paraId="048EDC09">
      <w:pPr>
        <w:spacing w:line="360" w:lineRule="auto"/>
        <w:ind w:firstLine="424" w:firstLineChars="202"/>
        <w:rPr>
          <w:rFonts w:hint="eastAsia" w:ascii="宋体" w:hAnsi="宋体"/>
          <w:color w:val="auto"/>
          <w:szCs w:val="21"/>
          <w:highlight w:val="none"/>
        </w:rPr>
      </w:pPr>
      <w:r>
        <w:rPr>
          <w:rFonts w:hint="eastAsia" w:asciiTheme="minorEastAsia" w:hAnsiTheme="minorEastAsia" w:eastAsiaTheme="minorEastAsia"/>
          <w:color w:val="auto"/>
          <w:szCs w:val="21"/>
          <w:highlight w:val="none"/>
        </w:rPr>
        <w:t>根据《中华人民共和国商业银行法》、</w:t>
      </w:r>
      <w:r>
        <w:rPr>
          <w:rFonts w:hint="eastAsia" w:asciiTheme="minorEastAsia" w:hAnsiTheme="minorEastAsia" w:eastAsiaTheme="minorEastAsia"/>
          <w:color w:val="auto"/>
          <w:kern w:val="0"/>
          <w:szCs w:val="21"/>
          <w:highlight w:val="none"/>
        </w:rPr>
        <w:t>《中华人民共和国民法典合同编》、</w:t>
      </w:r>
      <w:r>
        <w:rPr>
          <w:rFonts w:hint="eastAsia" w:asciiTheme="minorEastAsia" w:hAnsiTheme="minorEastAsia" w:eastAsiaTheme="minorEastAsia"/>
          <w:color w:val="auto"/>
          <w:szCs w:val="21"/>
          <w:highlight w:val="none"/>
        </w:rPr>
        <w:t>《嘉兴经济技术开发区、嘉兴国际商务区区级财政部门和预算单位资金存放管理实施办法》（嘉开财〔2018〕152号）等规定，以及202</w:t>
      </w:r>
      <w:r>
        <w:rPr>
          <w:rFonts w:hint="eastAsia" w:asciiTheme="minorEastAsia" w:hAnsiTheme="minorEastAsia" w:eastAsiaTheme="minorEastAsia"/>
          <w:color w:val="auto"/>
          <w:szCs w:val="21"/>
          <w:highlight w:val="none"/>
          <w:lang w:val="en-US" w:eastAsia="zh-CN"/>
        </w:rPr>
        <w:t>5</w:t>
      </w:r>
      <w:r>
        <w:rPr>
          <w:rFonts w:hint="eastAsia" w:asciiTheme="minorEastAsia" w:hAnsiTheme="minorEastAsia" w:eastAsiaTheme="minorEastAsia"/>
          <w:color w:val="auto"/>
          <w:szCs w:val="21"/>
          <w:highlight w:val="none"/>
        </w:rPr>
        <w:t>年(</w:t>
      </w:r>
      <w:r>
        <w:rPr>
          <w:rFonts w:hint="eastAsia" w:asciiTheme="minorEastAsia" w:hAnsiTheme="minorEastAsia" w:eastAsiaTheme="minorEastAsia"/>
          <w:color w:val="auto"/>
          <w:szCs w:val="21"/>
          <w:highlight w:val="none"/>
          <w:lang w:eastAsia="zh-CN"/>
        </w:rPr>
        <w:t>第二期</w:t>
      </w:r>
      <w:r>
        <w:rPr>
          <w:rFonts w:hint="eastAsia" w:asciiTheme="minorEastAsia" w:hAnsiTheme="minorEastAsia" w:eastAsiaTheme="minorEastAsia"/>
          <w:color w:val="auto"/>
          <w:szCs w:val="21"/>
          <w:highlight w:val="none"/>
        </w:rPr>
        <w:t>)嘉兴经济技术开发区公共资金竞争性存放项目评标结果，签订定期存款协议如下</w:t>
      </w:r>
      <w:r>
        <w:rPr>
          <w:rFonts w:hint="eastAsia" w:ascii="宋体" w:hAnsi="宋体"/>
          <w:color w:val="auto"/>
          <w:szCs w:val="21"/>
          <w:highlight w:val="none"/>
        </w:rPr>
        <w:t>：</w:t>
      </w:r>
    </w:p>
    <w:p w14:paraId="28A51063">
      <w:pPr>
        <w:spacing w:line="360" w:lineRule="auto"/>
        <w:ind w:firstLine="420" w:firstLineChars="200"/>
        <w:rPr>
          <w:rFonts w:hint="eastAsia" w:ascii="宋体" w:hAnsi="宋体"/>
          <w:color w:val="auto"/>
          <w:szCs w:val="21"/>
          <w:highlight w:val="none"/>
        </w:rPr>
      </w:pPr>
      <w:bookmarkStart w:id="114" w:name="_Hlk120391308"/>
      <w:r>
        <w:rPr>
          <w:rFonts w:hint="eastAsia" w:ascii="宋体" w:hAnsi="宋体"/>
          <w:color w:val="auto"/>
          <w:szCs w:val="21"/>
          <w:highlight w:val="none"/>
        </w:rPr>
        <w:t>一、</w:t>
      </w:r>
      <w:r>
        <w:rPr>
          <w:rFonts w:hint="eastAsia" w:asciiTheme="minorEastAsia" w:hAnsiTheme="minorEastAsia" w:eastAsiaTheme="minorEastAsia"/>
          <w:color w:val="auto"/>
          <w:szCs w:val="21"/>
          <w:highlight w:val="none"/>
        </w:rPr>
        <w:t>甲乙双方应当在《中标通知书》发出之日起30日内</w:t>
      </w:r>
      <w:r>
        <w:rPr>
          <w:rFonts w:hint="eastAsia" w:ascii="宋体" w:hAnsi="宋体"/>
          <w:color w:val="auto"/>
          <w:szCs w:val="21"/>
          <w:highlight w:val="none"/>
        </w:rPr>
        <w:t>，</w:t>
      </w:r>
      <w:r>
        <w:rPr>
          <w:rFonts w:hint="eastAsia" w:asciiTheme="minorEastAsia" w:hAnsiTheme="minorEastAsia" w:eastAsiaTheme="minorEastAsia"/>
          <w:color w:val="auto"/>
          <w:szCs w:val="21"/>
          <w:highlight w:val="none"/>
        </w:rPr>
        <w:t>签订本定期存款协议并完成划款和提供定期存款证实书</w:t>
      </w:r>
      <w:r>
        <w:rPr>
          <w:rFonts w:hint="eastAsia" w:ascii="宋体" w:hAnsi="宋体"/>
          <w:color w:val="auto"/>
          <w:szCs w:val="21"/>
          <w:highlight w:val="none"/>
        </w:rPr>
        <w:t>。</w:t>
      </w:r>
    </w:p>
    <w:p w14:paraId="012DDF94">
      <w:pPr>
        <w:adjustRightInd w:val="0"/>
        <w:snapToGrid w:val="0"/>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二、</w:t>
      </w:r>
      <w:r>
        <w:rPr>
          <w:rFonts w:hint="eastAsia" w:asciiTheme="minorEastAsia" w:hAnsiTheme="minorEastAsia" w:eastAsiaTheme="minorEastAsia"/>
          <w:color w:val="auto"/>
          <w:szCs w:val="21"/>
          <w:highlight w:val="none"/>
        </w:rPr>
        <w:t>甲方向乙方划拨</w:t>
      </w:r>
      <w:r>
        <w:rPr>
          <w:rFonts w:hint="eastAsia" w:asciiTheme="minorEastAsia" w:hAnsiTheme="minorEastAsia" w:eastAsiaTheme="minorEastAsia"/>
          <w:color w:val="auto"/>
          <w:szCs w:val="21"/>
          <w:highlight w:val="none"/>
          <w:u w:val="single"/>
          <w:lang w:val="en-US" w:eastAsia="zh-CN"/>
        </w:rPr>
        <w:t xml:space="preserve"> </w:t>
      </w:r>
      <w:r>
        <w:rPr>
          <w:rFonts w:hint="eastAsia" w:asciiTheme="minorEastAsia" w:hAnsiTheme="minorEastAsia" w:eastAsiaTheme="minorEastAsia"/>
          <w:color w:val="auto"/>
          <w:szCs w:val="21"/>
          <w:highlight w:val="none"/>
          <w:u w:val="single"/>
        </w:rPr>
        <w:t>3</w:t>
      </w:r>
      <w:r>
        <w:rPr>
          <w:rFonts w:hint="eastAsia" w:asciiTheme="minorEastAsia" w:hAnsiTheme="minorEastAsia" w:eastAsiaTheme="minorEastAsia"/>
          <w:color w:val="auto"/>
          <w:szCs w:val="21"/>
          <w:highlight w:val="none"/>
          <w:u w:val="single"/>
          <w:lang w:val="en-US" w:eastAsia="zh-CN"/>
        </w:rPr>
        <w:t xml:space="preserve"> </w:t>
      </w:r>
      <w:r>
        <w:rPr>
          <w:rFonts w:hint="eastAsia" w:asciiTheme="minorEastAsia" w:hAnsiTheme="minorEastAsia" w:eastAsiaTheme="minorEastAsia"/>
          <w:color w:val="auto"/>
          <w:szCs w:val="21"/>
          <w:highlight w:val="none"/>
        </w:rPr>
        <w:t>个月存期存款资金</w:t>
      </w:r>
      <w:r>
        <w:rPr>
          <w:rFonts w:hint="eastAsia" w:asciiTheme="minorEastAsia" w:hAnsiTheme="minorEastAsia" w:eastAsiaTheme="minorEastAsia"/>
          <w:color w:val="auto"/>
          <w:szCs w:val="21"/>
          <w:highlight w:val="none"/>
          <w:u w:val="single"/>
        </w:rPr>
        <w:t>（大写）</w:t>
      </w:r>
      <w:r>
        <w:rPr>
          <w:rFonts w:hint="eastAsia" w:asciiTheme="minorEastAsia" w:hAnsiTheme="minorEastAsia" w:eastAsiaTheme="minorEastAsia"/>
          <w:color w:val="auto"/>
          <w:szCs w:val="21"/>
          <w:highlight w:val="none"/>
        </w:rPr>
        <w:t>元（￥_____元），存期自____年____月____日至____年____月____日，年利率按____%执行</w:t>
      </w:r>
      <w:r>
        <w:rPr>
          <w:rFonts w:hint="eastAsia" w:ascii="宋体" w:hAnsi="宋体"/>
          <w:color w:val="auto"/>
          <w:sz w:val="22"/>
          <w:szCs w:val="22"/>
          <w:highlight w:val="none"/>
        </w:rPr>
        <w:t>。</w:t>
      </w:r>
    </w:p>
    <w:bookmarkEnd w:id="114"/>
    <w:p w14:paraId="08D1A73F">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三、</w:t>
      </w:r>
      <w:r>
        <w:rPr>
          <w:rFonts w:hint="eastAsia" w:asciiTheme="minorEastAsia" w:hAnsiTheme="minorEastAsia" w:eastAsiaTheme="minorEastAsia"/>
          <w:color w:val="auto"/>
          <w:szCs w:val="21"/>
          <w:highlight w:val="none"/>
        </w:rPr>
        <w:t>乙方应于收到甲方划拨存款资金日，开具定期存款证实书。定期存款证实书至少应载明：存款单位全称、存款金额、存款期限、存款日期（记息起始日期）、利息率（年利率/月利率）、盖章，并且定期存款证实书必须为机器打印不得手写和涂改</w:t>
      </w:r>
      <w:r>
        <w:rPr>
          <w:rFonts w:hint="eastAsia" w:ascii="宋体" w:hAnsi="宋体"/>
          <w:color w:val="auto"/>
          <w:szCs w:val="21"/>
          <w:highlight w:val="none"/>
        </w:rPr>
        <w:t>。</w:t>
      </w:r>
    </w:p>
    <w:p w14:paraId="2E8DD52F">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四、</w:t>
      </w:r>
      <w:r>
        <w:rPr>
          <w:rFonts w:hint="eastAsia" w:asciiTheme="minorEastAsia" w:hAnsiTheme="minorEastAsia" w:eastAsiaTheme="minorEastAsia"/>
          <w:color w:val="auto"/>
          <w:szCs w:val="21"/>
          <w:highlight w:val="none"/>
        </w:rPr>
        <w:t>定期存款到期日，甲方应持定期存款证实书等资料向乙方办理定期存款兑付手续，将存款本息划回甲方原存款银行结算账户。遇有双休日或节假日时顺延</w:t>
      </w:r>
      <w:r>
        <w:rPr>
          <w:rFonts w:hint="eastAsia" w:ascii="宋体" w:hAnsi="宋体"/>
          <w:color w:val="auto"/>
          <w:szCs w:val="21"/>
          <w:highlight w:val="none"/>
        </w:rPr>
        <w:t>。</w:t>
      </w:r>
    </w:p>
    <w:p w14:paraId="754C5798">
      <w:pPr>
        <w:spacing w:line="360" w:lineRule="auto"/>
        <w:rPr>
          <w:rFonts w:hint="eastAsia" w:ascii="宋体" w:hAnsi="宋体"/>
          <w:color w:val="auto"/>
          <w:szCs w:val="21"/>
          <w:highlight w:val="none"/>
        </w:rPr>
      </w:pPr>
      <w:r>
        <w:rPr>
          <w:rFonts w:hint="eastAsia" w:ascii="宋体" w:hAnsi="宋体"/>
          <w:color w:val="auto"/>
          <w:szCs w:val="21"/>
          <w:highlight w:val="none"/>
        </w:rPr>
        <w:t>　　五、</w:t>
      </w:r>
      <w:r>
        <w:rPr>
          <w:rFonts w:hint="eastAsia" w:asciiTheme="minorEastAsia" w:hAnsiTheme="minorEastAsia" w:eastAsiaTheme="minorEastAsia"/>
          <w:color w:val="auto"/>
          <w:szCs w:val="21"/>
          <w:highlight w:val="none"/>
        </w:rPr>
        <w:t>协议履行期间，有证据证明乙方出现以下情形之一的，甲方有权终止协议，提前收回存款并追究乙方责任</w:t>
      </w:r>
      <w:r>
        <w:rPr>
          <w:rFonts w:hint="eastAsia" w:ascii="宋体" w:hAnsi="宋体"/>
          <w:color w:val="auto"/>
          <w:szCs w:val="21"/>
          <w:highlight w:val="none"/>
        </w:rPr>
        <w:t>：</w:t>
      </w:r>
    </w:p>
    <w:p w14:paraId="7B1BA74B">
      <w:pPr>
        <w:spacing w:line="360" w:lineRule="auto"/>
        <w:ind w:firstLine="411" w:firstLineChars="196"/>
        <w:rPr>
          <w:rFonts w:hint="eastAsia" w:ascii="宋体" w:hAnsi="宋体"/>
          <w:color w:val="auto"/>
          <w:szCs w:val="21"/>
          <w:highlight w:val="none"/>
        </w:rPr>
      </w:pPr>
      <w:r>
        <w:rPr>
          <w:rFonts w:hint="eastAsia" w:ascii="宋体" w:hAnsi="宋体"/>
          <w:color w:val="auto"/>
          <w:szCs w:val="21"/>
          <w:highlight w:val="none"/>
        </w:rPr>
        <w:t>（一）未遵守廉政承诺或在资金存放中存在其他利益输送行为的；</w:t>
      </w:r>
    </w:p>
    <w:p w14:paraId="01A30F21">
      <w:pPr>
        <w:spacing w:line="360" w:lineRule="auto"/>
        <w:ind w:firstLine="411" w:firstLineChars="196"/>
        <w:rPr>
          <w:rFonts w:hint="eastAsia" w:ascii="宋体" w:hAnsi="宋体"/>
          <w:color w:val="auto"/>
          <w:szCs w:val="21"/>
          <w:highlight w:val="none"/>
        </w:rPr>
      </w:pPr>
      <w:r>
        <w:rPr>
          <w:rFonts w:hint="eastAsia" w:ascii="宋体" w:hAnsi="宋体"/>
          <w:color w:val="auto"/>
          <w:szCs w:val="21"/>
          <w:highlight w:val="none"/>
        </w:rPr>
        <w:t>（二）出现资金安全事故、重大违法违规情况或财务恶化的；</w:t>
      </w:r>
    </w:p>
    <w:p w14:paraId="3397919A">
      <w:pPr>
        <w:spacing w:line="360" w:lineRule="auto"/>
        <w:ind w:firstLine="411" w:firstLineChars="196"/>
        <w:rPr>
          <w:rFonts w:hint="eastAsia" w:ascii="宋体" w:hAnsi="宋体"/>
          <w:color w:val="auto"/>
          <w:szCs w:val="21"/>
          <w:highlight w:val="none"/>
        </w:rPr>
      </w:pPr>
      <w:r>
        <w:rPr>
          <w:rFonts w:hint="eastAsia" w:ascii="宋体" w:hAnsi="宋体"/>
          <w:color w:val="auto"/>
          <w:szCs w:val="21"/>
          <w:highlight w:val="none"/>
        </w:rPr>
        <w:t>（三）监管评级降低，监管部门认为存在较大运营风险的；</w:t>
      </w:r>
    </w:p>
    <w:p w14:paraId="2933851E">
      <w:pPr>
        <w:spacing w:line="360" w:lineRule="auto"/>
        <w:ind w:firstLine="411" w:firstLineChars="196"/>
        <w:rPr>
          <w:rFonts w:hint="eastAsia" w:ascii="宋体" w:hAnsi="宋体"/>
          <w:color w:val="auto"/>
          <w:szCs w:val="21"/>
          <w:highlight w:val="none"/>
        </w:rPr>
      </w:pPr>
      <w:r>
        <w:rPr>
          <w:rFonts w:hint="eastAsia" w:ascii="宋体" w:hAnsi="宋体"/>
          <w:color w:val="auto"/>
          <w:szCs w:val="21"/>
          <w:highlight w:val="none"/>
        </w:rPr>
        <w:t>（四）存在弄虚作假等严重不正当竞标行为的；</w:t>
      </w:r>
    </w:p>
    <w:p w14:paraId="511A1B58">
      <w:pPr>
        <w:spacing w:line="360" w:lineRule="auto"/>
        <w:ind w:firstLine="411" w:firstLineChars="196"/>
        <w:rPr>
          <w:rFonts w:hint="eastAsia" w:ascii="宋体" w:hAnsi="宋体"/>
          <w:color w:val="auto"/>
          <w:szCs w:val="21"/>
          <w:highlight w:val="none"/>
        </w:rPr>
      </w:pPr>
      <w:r>
        <w:rPr>
          <w:rFonts w:hint="eastAsia" w:ascii="宋体" w:hAnsi="宋体"/>
          <w:color w:val="auto"/>
          <w:szCs w:val="21"/>
          <w:highlight w:val="none"/>
        </w:rPr>
        <w:t>（五）未按照中标协议承诺履行相应的责任和义务的；</w:t>
      </w:r>
    </w:p>
    <w:p w14:paraId="3256CE17">
      <w:pPr>
        <w:spacing w:line="360" w:lineRule="auto"/>
        <w:ind w:firstLine="411" w:firstLineChars="196"/>
        <w:rPr>
          <w:rFonts w:hint="eastAsia" w:ascii="宋体" w:hAnsi="宋体"/>
          <w:color w:val="auto"/>
          <w:szCs w:val="21"/>
          <w:highlight w:val="none"/>
        </w:rPr>
      </w:pPr>
      <w:r>
        <w:rPr>
          <w:rFonts w:hint="eastAsia" w:ascii="宋体" w:hAnsi="宋体"/>
          <w:color w:val="auto"/>
          <w:szCs w:val="21"/>
          <w:highlight w:val="none"/>
        </w:rPr>
        <w:t>（六）可能妨碍存款单位资金安全的其他情况。</w:t>
      </w:r>
    </w:p>
    <w:p w14:paraId="4862F002">
      <w:pPr>
        <w:spacing w:line="360" w:lineRule="auto"/>
        <w:ind w:firstLine="480"/>
        <w:rPr>
          <w:rFonts w:hint="eastAsia" w:ascii="宋体" w:hAnsi="宋体"/>
          <w:color w:val="auto"/>
          <w:szCs w:val="21"/>
          <w:highlight w:val="none"/>
        </w:rPr>
      </w:pPr>
      <w:r>
        <w:rPr>
          <w:rFonts w:hint="eastAsia" w:ascii="宋体" w:hAnsi="宋体"/>
          <w:color w:val="auto"/>
          <w:szCs w:val="21"/>
          <w:highlight w:val="none"/>
        </w:rPr>
        <w:t>六、</w:t>
      </w:r>
      <w:r>
        <w:rPr>
          <w:rFonts w:hint="eastAsia" w:asciiTheme="minorEastAsia" w:hAnsiTheme="minorEastAsia" w:eastAsiaTheme="minorEastAsia"/>
          <w:color w:val="auto"/>
          <w:szCs w:val="21"/>
          <w:highlight w:val="none"/>
        </w:rPr>
        <w:t>甲方因急需使用资金而要求提前支取定期存款的，原则上应按照该单位对应账户类型存放银行的中标名次，从末位依次将存款从有关商业银行调回使用。提前支取的定期存款，乙方按活期存款利率及实际存放天数计算支付利息</w:t>
      </w:r>
      <w:r>
        <w:rPr>
          <w:rFonts w:hint="eastAsia" w:ascii="宋体" w:hAnsi="宋体"/>
          <w:color w:val="auto"/>
          <w:szCs w:val="21"/>
          <w:highlight w:val="none"/>
        </w:rPr>
        <w:t>。</w:t>
      </w:r>
    </w:p>
    <w:p w14:paraId="417ED36D">
      <w:pPr>
        <w:spacing w:line="360" w:lineRule="auto"/>
        <w:ind w:firstLine="480"/>
        <w:rPr>
          <w:rFonts w:hint="eastAsia" w:ascii="宋体" w:hAnsi="宋体"/>
          <w:color w:val="auto"/>
          <w:szCs w:val="21"/>
          <w:highlight w:val="none"/>
        </w:rPr>
      </w:pPr>
      <w:r>
        <w:rPr>
          <w:rFonts w:hint="eastAsia" w:ascii="宋体" w:hAnsi="宋体"/>
          <w:color w:val="auto"/>
          <w:szCs w:val="21"/>
          <w:highlight w:val="none"/>
        </w:rPr>
        <w:t>七、协议存款期间，如乙方擅自提前终止存放的，乙方应按存款协议约定的存款利率和期限赔偿甲方利息损失。</w:t>
      </w:r>
    </w:p>
    <w:p w14:paraId="794879BC">
      <w:pPr>
        <w:spacing w:line="360" w:lineRule="auto"/>
        <w:ind w:firstLine="420"/>
        <w:rPr>
          <w:rFonts w:hint="eastAsia" w:ascii="宋体" w:hAnsi="宋体"/>
          <w:color w:val="auto"/>
          <w:szCs w:val="21"/>
          <w:highlight w:val="none"/>
        </w:rPr>
      </w:pPr>
      <w:r>
        <w:rPr>
          <w:rFonts w:hint="eastAsia" w:ascii="宋体" w:hAnsi="宋体"/>
          <w:color w:val="auto"/>
          <w:szCs w:val="21"/>
          <w:highlight w:val="none"/>
          <w:lang w:val="en-US" w:eastAsia="zh-CN"/>
        </w:rPr>
        <w:t>八</w:t>
      </w:r>
      <w:r>
        <w:rPr>
          <w:rFonts w:hint="eastAsia" w:ascii="宋体" w:hAnsi="宋体"/>
          <w:color w:val="auto"/>
          <w:szCs w:val="21"/>
          <w:highlight w:val="none"/>
        </w:rPr>
        <w:t>、</w:t>
      </w:r>
      <w:r>
        <w:rPr>
          <w:rFonts w:hint="eastAsia" w:asciiTheme="minorEastAsia" w:hAnsiTheme="minorEastAsia" w:eastAsiaTheme="minorEastAsia"/>
          <w:color w:val="auto"/>
          <w:szCs w:val="21"/>
          <w:highlight w:val="none"/>
        </w:rPr>
        <w:t>定期存款兑付日，乙方未将存款本息全额划回甲方原存款银行结算账户的，应按迟划回本息额及迟划回天数，以中标定期存款利率的两倍折成日利率，支付违约金。兑付日为双休日或节假日的顺延情况除外</w:t>
      </w:r>
      <w:r>
        <w:rPr>
          <w:rFonts w:hint="eastAsia" w:ascii="宋体" w:hAnsi="宋体"/>
          <w:color w:val="auto"/>
          <w:szCs w:val="21"/>
          <w:highlight w:val="none"/>
        </w:rPr>
        <w:t>。</w:t>
      </w:r>
    </w:p>
    <w:p w14:paraId="25CE3BDD">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lang w:val="en-US" w:eastAsia="zh-CN"/>
        </w:rPr>
        <w:t>九</w:t>
      </w:r>
      <w:r>
        <w:rPr>
          <w:rFonts w:hint="eastAsia" w:ascii="宋体" w:hAnsi="宋体"/>
          <w:color w:val="auto"/>
          <w:szCs w:val="21"/>
          <w:highlight w:val="none"/>
        </w:rPr>
        <w:t>、</w:t>
      </w:r>
      <w:r>
        <w:rPr>
          <w:rFonts w:hint="eastAsia" w:asciiTheme="minorEastAsia" w:hAnsiTheme="minorEastAsia" w:eastAsiaTheme="minorEastAsia"/>
          <w:color w:val="auto"/>
          <w:szCs w:val="21"/>
          <w:highlight w:val="none"/>
        </w:rPr>
        <w:t>乙方应确保甲方定期存款在乙方存续期间的资金安全</w:t>
      </w:r>
      <w:r>
        <w:rPr>
          <w:rFonts w:hint="eastAsia" w:ascii="宋体" w:hAnsi="宋体"/>
          <w:color w:val="auto"/>
          <w:kern w:val="0"/>
          <w:szCs w:val="21"/>
          <w:highlight w:val="none"/>
        </w:rPr>
        <w:t>。</w:t>
      </w:r>
    </w:p>
    <w:p w14:paraId="69C1D5F9">
      <w:pPr>
        <w:spacing w:line="360" w:lineRule="auto"/>
        <w:ind w:firstLine="420"/>
        <w:rPr>
          <w:rFonts w:hint="eastAsia" w:ascii="宋体" w:hAnsi="宋体"/>
          <w:color w:val="auto"/>
          <w:szCs w:val="21"/>
          <w:highlight w:val="none"/>
        </w:rPr>
      </w:pPr>
      <w:r>
        <w:rPr>
          <w:rFonts w:hint="eastAsia" w:ascii="宋体" w:hAnsi="宋体"/>
          <w:color w:val="auto"/>
          <w:szCs w:val="21"/>
          <w:highlight w:val="none"/>
        </w:rPr>
        <w:t>十、协议有效期内，若利率相关的法律法规、规章政策调整，或中国人民银行存款基准利率、存款自律约定、银行总行存款利率内部授权上限等发生调整（银行存款利率内部授权上限调整，是指银行为满足国家宏观调控目标要求或落实存款利率市场化调整机制要求等，对本行可执行的内部授权上限进行的具有主动性、自律性、普遍性的调整），导致协议约定的利率水平超出允许范围，乙方应在按本协议约定存款业务开办前及时书面通知甲方银行存款利率调整情况。甲方有权提前终止本协议，并以书面形式告知。若甲方选择继续执行本协议，则自相应调整生效当日起，新办理存款业务执行利率按最新允许范围上限的利率执行。</w:t>
      </w:r>
    </w:p>
    <w:p w14:paraId="4A6843E9">
      <w:pPr>
        <w:spacing w:line="360" w:lineRule="auto"/>
        <w:rPr>
          <w:rFonts w:hint="eastAsia" w:ascii="宋体" w:hAnsi="宋体"/>
          <w:color w:val="auto"/>
          <w:szCs w:val="21"/>
          <w:highlight w:val="none"/>
        </w:rPr>
      </w:pPr>
      <w:r>
        <w:rPr>
          <w:rFonts w:hint="eastAsia" w:ascii="宋体" w:hAnsi="宋体"/>
          <w:color w:val="auto"/>
          <w:szCs w:val="21"/>
          <w:highlight w:val="none"/>
        </w:rPr>
        <w:t>　　十</w:t>
      </w:r>
      <w:r>
        <w:rPr>
          <w:rFonts w:hint="eastAsia" w:ascii="宋体" w:hAnsi="宋体"/>
          <w:color w:val="auto"/>
          <w:szCs w:val="21"/>
          <w:highlight w:val="none"/>
          <w:lang w:val="en-US" w:eastAsia="zh-CN"/>
        </w:rPr>
        <w:t>一</w:t>
      </w:r>
      <w:r>
        <w:rPr>
          <w:rFonts w:hint="eastAsia" w:ascii="宋体" w:hAnsi="宋体"/>
          <w:color w:val="auto"/>
          <w:szCs w:val="21"/>
          <w:highlight w:val="none"/>
        </w:rPr>
        <w:t>、</w:t>
      </w:r>
      <w:r>
        <w:rPr>
          <w:rFonts w:hint="eastAsia" w:ascii="宋体" w:hAnsi="宋体"/>
          <w:bCs/>
          <w:color w:val="auto"/>
          <w:kern w:val="0"/>
          <w:szCs w:val="21"/>
          <w:highlight w:val="none"/>
        </w:rPr>
        <w:t>协议期限。</w:t>
      </w:r>
      <w:r>
        <w:rPr>
          <w:rFonts w:hint="eastAsia" w:asciiTheme="minorEastAsia" w:hAnsiTheme="minorEastAsia" w:eastAsiaTheme="minorEastAsia"/>
          <w:color w:val="auto"/>
          <w:szCs w:val="21"/>
          <w:highlight w:val="none"/>
        </w:rPr>
        <w:t>本协议自签订日起至定期存款兑付完毕日</w:t>
      </w:r>
      <w:r>
        <w:rPr>
          <w:rFonts w:hint="eastAsia" w:ascii="宋体" w:hAnsi="宋体"/>
          <w:color w:val="auto"/>
          <w:kern w:val="0"/>
          <w:szCs w:val="21"/>
          <w:highlight w:val="none"/>
        </w:rPr>
        <w:t>止。</w:t>
      </w:r>
    </w:p>
    <w:p w14:paraId="0BC014A6">
      <w:pPr>
        <w:spacing w:line="360" w:lineRule="auto"/>
        <w:rPr>
          <w:rFonts w:hint="eastAsia" w:ascii="宋体" w:hAnsi="宋体"/>
          <w:color w:val="auto"/>
          <w:kern w:val="0"/>
          <w:szCs w:val="21"/>
          <w:highlight w:val="none"/>
        </w:rPr>
      </w:pPr>
      <w:r>
        <w:rPr>
          <w:rFonts w:hint="eastAsia" w:ascii="宋体" w:hAnsi="宋体"/>
          <w:color w:val="auto"/>
          <w:kern w:val="0"/>
          <w:szCs w:val="21"/>
          <w:highlight w:val="none"/>
        </w:rPr>
        <w:t>　　十</w:t>
      </w:r>
      <w:r>
        <w:rPr>
          <w:rFonts w:hint="eastAsia" w:ascii="宋体" w:hAnsi="宋体"/>
          <w:color w:val="auto"/>
          <w:kern w:val="0"/>
          <w:szCs w:val="21"/>
          <w:highlight w:val="none"/>
          <w:lang w:val="en-US" w:eastAsia="zh-CN"/>
        </w:rPr>
        <w:t>二</w:t>
      </w:r>
      <w:r>
        <w:rPr>
          <w:rFonts w:hint="eastAsia" w:ascii="宋体" w:hAnsi="宋体"/>
          <w:color w:val="auto"/>
          <w:kern w:val="0"/>
          <w:szCs w:val="21"/>
          <w:highlight w:val="none"/>
        </w:rPr>
        <w:t>、本协议一式三份，甲乙双方各执一份，抄送嘉兴经济技术开发区财政金融部一份（请乙方送）。</w:t>
      </w:r>
    </w:p>
    <w:p w14:paraId="0A160B7F">
      <w:pPr>
        <w:spacing w:line="360" w:lineRule="auto"/>
        <w:ind w:firstLine="420" w:firstLineChars="200"/>
        <w:rPr>
          <w:rFonts w:hint="eastAsia" w:ascii="宋体" w:hAnsi="宋体"/>
          <w:color w:val="auto"/>
          <w:szCs w:val="21"/>
          <w:highlight w:val="none"/>
        </w:rPr>
      </w:pPr>
      <w:r>
        <w:rPr>
          <w:rFonts w:hint="eastAsia" w:ascii="宋体" w:hAnsi="宋体"/>
          <w:color w:val="auto"/>
          <w:szCs w:val="21"/>
          <w:highlight w:val="none"/>
        </w:rPr>
        <w:t>十</w:t>
      </w:r>
      <w:r>
        <w:rPr>
          <w:rFonts w:hint="eastAsia" w:ascii="宋体" w:hAnsi="宋体"/>
          <w:color w:val="auto"/>
          <w:szCs w:val="21"/>
          <w:highlight w:val="none"/>
          <w:lang w:val="en-US" w:eastAsia="zh-CN"/>
        </w:rPr>
        <w:t>三</w:t>
      </w:r>
      <w:r>
        <w:rPr>
          <w:rFonts w:hint="eastAsia" w:ascii="宋体" w:hAnsi="宋体"/>
          <w:color w:val="auto"/>
          <w:szCs w:val="21"/>
          <w:highlight w:val="none"/>
        </w:rPr>
        <w:t>、本协议未尽事宜，双方应本着友好协商的精神妥善处理，协商不成的，向嘉兴市南湖区人民法院提起诉讼。</w:t>
      </w:r>
    </w:p>
    <w:p w14:paraId="79B0DFB0">
      <w:pPr>
        <w:spacing w:line="360" w:lineRule="auto"/>
        <w:rPr>
          <w:rFonts w:hint="eastAsia" w:ascii="宋体" w:hAnsi="宋体"/>
          <w:color w:val="auto"/>
          <w:szCs w:val="21"/>
          <w:highlight w:val="none"/>
        </w:rPr>
      </w:pPr>
      <w:r>
        <w:rPr>
          <w:rFonts w:hint="eastAsia" w:ascii="宋体" w:hAnsi="宋体"/>
          <w:color w:val="auto"/>
          <w:szCs w:val="21"/>
          <w:highlight w:val="none"/>
        </w:rPr>
        <w:t>甲方（公章）：　　　　　　 　　乙方（公章）：</w:t>
      </w:r>
    </w:p>
    <w:p w14:paraId="384C0506">
      <w:pPr>
        <w:spacing w:line="360" w:lineRule="auto"/>
        <w:rPr>
          <w:rFonts w:hint="eastAsia" w:ascii="宋体" w:hAnsi="宋体"/>
          <w:color w:val="auto"/>
          <w:szCs w:val="21"/>
          <w:highlight w:val="none"/>
        </w:rPr>
      </w:pPr>
      <w:r>
        <w:rPr>
          <w:rFonts w:hint="eastAsia" w:ascii="宋体" w:hAnsi="宋体"/>
          <w:color w:val="auto"/>
          <w:szCs w:val="21"/>
          <w:highlight w:val="none"/>
        </w:rPr>
        <w:t>代表人签章：　　　　　　　　　 代表人签章：</w:t>
      </w:r>
    </w:p>
    <w:p w14:paraId="418605E1">
      <w:pPr>
        <w:spacing w:line="360" w:lineRule="auto"/>
        <w:ind w:firstLine="4410" w:firstLineChars="2100"/>
        <w:rPr>
          <w:rFonts w:hint="eastAsia" w:ascii="宋体" w:hAnsi="宋体"/>
          <w:color w:val="auto"/>
          <w:szCs w:val="21"/>
          <w:highlight w:val="none"/>
        </w:rPr>
      </w:pPr>
      <w:r>
        <w:rPr>
          <w:rFonts w:hint="eastAsia" w:ascii="宋体" w:hAnsi="宋体"/>
          <w:color w:val="auto"/>
          <w:szCs w:val="21"/>
          <w:highlight w:val="none"/>
        </w:rPr>
        <w:t>日期：    年　月　日</w:t>
      </w:r>
    </w:p>
    <w:p w14:paraId="75BDBCBF">
      <w:pPr>
        <w:pStyle w:val="36"/>
        <w:spacing w:line="360" w:lineRule="auto"/>
        <w:outlineLvl w:val="9"/>
        <w:rPr>
          <w:rFonts w:hint="eastAsia" w:asciiTheme="minorEastAsia" w:hAnsiTheme="minorEastAsia" w:eastAsiaTheme="minorEastAsia"/>
          <w:color w:val="auto"/>
          <w:sz w:val="21"/>
          <w:szCs w:val="21"/>
          <w:highlight w:val="none"/>
        </w:rPr>
        <w:sectPr>
          <w:pgSz w:w="11907" w:h="16840"/>
          <w:pgMar w:top="1440" w:right="1797" w:bottom="1440" w:left="1797" w:header="851" w:footer="851" w:gutter="0"/>
          <w:cols w:space="425" w:num="1"/>
          <w:titlePg/>
          <w:docGrid w:type="lines" w:linePitch="312" w:charSpace="0"/>
        </w:sectPr>
      </w:pPr>
    </w:p>
    <w:p w14:paraId="36579928">
      <w:pPr>
        <w:pStyle w:val="36"/>
        <w:spacing w:line="360" w:lineRule="auto"/>
        <w:rPr>
          <w:rFonts w:hint="eastAsia" w:asciiTheme="minorEastAsia" w:hAnsiTheme="minorEastAsia" w:eastAsiaTheme="minorEastAsia"/>
          <w:color w:val="auto"/>
          <w:highlight w:val="none"/>
        </w:rPr>
      </w:pPr>
      <w:bookmarkStart w:id="115" w:name="_Toc98019297"/>
      <w:r>
        <w:rPr>
          <w:rFonts w:hint="eastAsia" w:asciiTheme="minorEastAsia" w:hAnsiTheme="minorEastAsia" w:eastAsiaTheme="minorEastAsia"/>
          <w:color w:val="auto"/>
          <w:highlight w:val="none"/>
        </w:rPr>
        <w:t>第六章　投标文件格式</w:t>
      </w:r>
      <w:bookmarkEnd w:id="113"/>
      <w:bookmarkEnd w:id="115"/>
    </w:p>
    <w:p w14:paraId="6C18729D">
      <w:pPr>
        <w:snapToGrid w:val="0"/>
        <w:spacing w:before="50" w:after="50" w:line="360" w:lineRule="auto"/>
        <w:rPr>
          <w:rFonts w:hint="eastAsia" w:asciiTheme="minorEastAsia" w:hAnsiTheme="minorEastAsia" w:eastAsiaTheme="minorEastAsia"/>
          <w:color w:val="auto"/>
          <w:szCs w:val="21"/>
          <w:highlight w:val="none"/>
        </w:rPr>
      </w:pPr>
    </w:p>
    <w:p w14:paraId="69248BED">
      <w:pPr>
        <w:snapToGrid w:val="0"/>
        <w:spacing w:before="156" w:beforeLines="50" w:after="50" w:line="360" w:lineRule="auto"/>
        <w:outlineLvl w:val="1"/>
        <w:rPr>
          <w:rFonts w:hint="eastAsia" w:asciiTheme="minorEastAsia" w:hAnsiTheme="minorEastAsia" w:eastAsiaTheme="minorEastAsia"/>
          <w:b/>
          <w:bCs/>
          <w:color w:val="auto"/>
          <w:szCs w:val="21"/>
          <w:highlight w:val="none"/>
        </w:rPr>
      </w:pPr>
      <w:bookmarkStart w:id="116" w:name="_Toc98019298"/>
      <w:bookmarkStart w:id="117" w:name="_Toc11650189"/>
      <w:bookmarkStart w:id="118" w:name="_Toc9342498"/>
      <w:r>
        <w:rPr>
          <w:rFonts w:hint="eastAsia" w:asciiTheme="minorEastAsia" w:hAnsiTheme="minorEastAsia" w:eastAsiaTheme="minorEastAsia"/>
          <w:b/>
          <w:bCs/>
          <w:color w:val="auto"/>
          <w:szCs w:val="21"/>
          <w:highlight w:val="none"/>
        </w:rPr>
        <w:t>一、投标文件外层包装封面格式</w:t>
      </w:r>
      <w:bookmarkEnd w:id="116"/>
      <w:bookmarkEnd w:id="117"/>
      <w:bookmarkEnd w:id="118"/>
    </w:p>
    <w:p w14:paraId="3D12F051">
      <w:pPr>
        <w:snapToGrid w:val="0"/>
        <w:spacing w:before="156" w:beforeLines="50" w:after="50" w:line="360" w:lineRule="auto"/>
        <w:jc w:val="center"/>
        <w:rPr>
          <w:rFonts w:hint="eastAsia" w:asciiTheme="minorEastAsia" w:hAnsiTheme="minorEastAsia" w:eastAsiaTheme="minorEastAsia"/>
          <w:b/>
          <w:bCs/>
          <w:color w:val="auto"/>
          <w:szCs w:val="21"/>
          <w:highlight w:val="none"/>
        </w:rPr>
      </w:pPr>
    </w:p>
    <w:p w14:paraId="30BCF0B6">
      <w:pPr>
        <w:snapToGrid w:val="0"/>
        <w:spacing w:before="156" w:beforeLines="50" w:after="50" w:line="360" w:lineRule="auto"/>
        <w:rPr>
          <w:rFonts w:hint="eastAsia" w:asciiTheme="minorEastAsia" w:hAnsiTheme="minorEastAsia" w:eastAsiaTheme="minorEastAsia"/>
          <w:bCs/>
          <w:color w:val="auto"/>
          <w:szCs w:val="21"/>
          <w:highlight w:val="none"/>
        </w:rPr>
      </w:pPr>
    </w:p>
    <w:p w14:paraId="3D06A1FC">
      <w:pPr>
        <w:snapToGrid w:val="0"/>
        <w:spacing w:before="156" w:beforeLines="50" w:after="50" w:line="360" w:lineRule="auto"/>
        <w:rPr>
          <w:rFonts w:hint="eastAsia" w:asciiTheme="minorEastAsia" w:hAnsiTheme="minorEastAsia" w:eastAsiaTheme="minorEastAsia"/>
          <w:bCs/>
          <w:color w:val="auto"/>
          <w:szCs w:val="21"/>
          <w:highlight w:val="none"/>
        </w:rPr>
      </w:pPr>
      <w:r>
        <w:rPr>
          <w:rFonts w:hint="eastAsia" w:asciiTheme="minorEastAsia" w:hAnsiTheme="minorEastAsia" w:eastAsiaTheme="minorEastAsia"/>
          <w:bCs/>
          <w:color w:val="auto"/>
          <w:szCs w:val="21"/>
          <w:highlight w:val="none"/>
        </w:rPr>
        <w:t>项目名称：</w:t>
      </w:r>
      <w:r>
        <w:rPr>
          <w:rFonts w:hint="eastAsia" w:asciiTheme="minorEastAsia" w:hAnsiTheme="minorEastAsia" w:eastAsiaTheme="minorEastAsia"/>
          <w:bCs/>
          <w:color w:val="auto"/>
          <w:szCs w:val="21"/>
          <w:highlight w:val="none"/>
          <w:lang w:eastAsia="zh-CN"/>
        </w:rPr>
        <w:t>2025年（第二期）</w:t>
      </w:r>
      <w:r>
        <w:rPr>
          <w:rFonts w:hint="eastAsia" w:asciiTheme="minorEastAsia" w:hAnsiTheme="minorEastAsia" w:eastAsiaTheme="minorEastAsia"/>
          <w:bCs/>
          <w:color w:val="auto"/>
          <w:szCs w:val="21"/>
          <w:highlight w:val="none"/>
        </w:rPr>
        <w:t>嘉兴经济技术开发区公共资金竞争性存放项目</w:t>
      </w:r>
    </w:p>
    <w:p w14:paraId="4AA4E5A2">
      <w:pPr>
        <w:snapToGrid w:val="0"/>
        <w:spacing w:before="156" w:beforeLines="50" w:after="50" w:line="360" w:lineRule="auto"/>
        <w:rPr>
          <w:rFonts w:hint="eastAsia" w:asciiTheme="minorEastAsia" w:hAnsiTheme="minorEastAsia" w:eastAsiaTheme="minorEastAsia"/>
          <w:bCs/>
          <w:color w:val="auto"/>
          <w:szCs w:val="21"/>
          <w:highlight w:val="none"/>
          <w:lang w:eastAsia="zh-CN"/>
        </w:rPr>
      </w:pPr>
      <w:r>
        <w:rPr>
          <w:rFonts w:hint="eastAsia" w:asciiTheme="minorEastAsia" w:hAnsiTheme="minorEastAsia" w:eastAsiaTheme="minorEastAsia"/>
          <w:bCs/>
          <w:color w:val="auto"/>
          <w:szCs w:val="21"/>
          <w:highlight w:val="none"/>
        </w:rPr>
        <w:t>项目编号：</w:t>
      </w:r>
      <w:r>
        <w:rPr>
          <w:rFonts w:hint="eastAsia" w:asciiTheme="minorEastAsia" w:hAnsiTheme="minorEastAsia" w:eastAsiaTheme="minorEastAsia"/>
          <w:bCs/>
          <w:color w:val="auto"/>
          <w:szCs w:val="21"/>
          <w:highlight w:val="none"/>
          <w:lang w:eastAsia="zh-CN"/>
        </w:rPr>
        <w:t>定存（2025）02</w:t>
      </w:r>
    </w:p>
    <w:p w14:paraId="4F55A899">
      <w:pPr>
        <w:pStyle w:val="5"/>
        <w:snapToGrid w:val="0"/>
        <w:spacing w:before="50" w:after="50" w:line="360" w:lineRule="auto"/>
        <w:ind w:firstLine="0"/>
        <w:rPr>
          <w:rFonts w:hint="eastAsia" w:asciiTheme="minorEastAsia" w:hAnsiTheme="minorEastAsia" w:eastAsiaTheme="minorEastAsia"/>
          <w:bCs/>
          <w:color w:val="auto"/>
          <w:szCs w:val="21"/>
          <w:highlight w:val="none"/>
        </w:rPr>
      </w:pPr>
      <w:r>
        <w:rPr>
          <w:rFonts w:hint="eastAsia" w:asciiTheme="minorEastAsia" w:hAnsiTheme="minorEastAsia" w:eastAsiaTheme="minorEastAsia"/>
          <w:bCs/>
          <w:color w:val="auto"/>
          <w:szCs w:val="21"/>
          <w:highlight w:val="none"/>
        </w:rPr>
        <w:t>投标人名称：</w:t>
      </w:r>
    </w:p>
    <w:p w14:paraId="7DA14038">
      <w:pPr>
        <w:pStyle w:val="5"/>
        <w:snapToGrid w:val="0"/>
        <w:spacing w:before="50" w:after="50" w:line="360" w:lineRule="auto"/>
        <w:ind w:firstLine="0"/>
        <w:rPr>
          <w:rFonts w:hint="eastAsia" w:asciiTheme="minorEastAsia" w:hAnsiTheme="minorEastAsia" w:eastAsiaTheme="minorEastAsia"/>
          <w:bCs/>
          <w:color w:val="auto"/>
          <w:szCs w:val="21"/>
          <w:highlight w:val="none"/>
        </w:rPr>
      </w:pPr>
      <w:r>
        <w:rPr>
          <w:rFonts w:hint="eastAsia" w:asciiTheme="minorEastAsia" w:hAnsiTheme="minorEastAsia" w:eastAsiaTheme="minorEastAsia"/>
          <w:bCs/>
          <w:color w:val="auto"/>
          <w:szCs w:val="21"/>
          <w:highlight w:val="none"/>
        </w:rPr>
        <w:t>投标人地址：</w:t>
      </w:r>
    </w:p>
    <w:p w14:paraId="739AE8D3">
      <w:pPr>
        <w:pStyle w:val="5"/>
        <w:snapToGrid w:val="0"/>
        <w:spacing w:before="50" w:after="50" w:line="360" w:lineRule="auto"/>
        <w:ind w:firstLine="0"/>
        <w:rPr>
          <w:rFonts w:hint="eastAsia" w:asciiTheme="minorEastAsia" w:hAnsiTheme="minorEastAsia" w:eastAsiaTheme="minorEastAsia"/>
          <w:bCs/>
          <w:color w:val="auto"/>
          <w:szCs w:val="21"/>
          <w:highlight w:val="none"/>
        </w:rPr>
      </w:pPr>
      <w:r>
        <w:rPr>
          <w:rFonts w:hint="eastAsia" w:asciiTheme="minorEastAsia" w:hAnsiTheme="minorEastAsia" w:eastAsiaTheme="minorEastAsia"/>
          <w:bCs/>
          <w:color w:val="auto"/>
          <w:szCs w:val="21"/>
          <w:highlight w:val="none"/>
        </w:rPr>
        <w:t xml:space="preserve">在    年  月  日 </w:t>
      </w:r>
      <w:r>
        <w:rPr>
          <w:rFonts w:asciiTheme="minorEastAsia" w:hAnsiTheme="minorEastAsia" w:eastAsiaTheme="minorEastAsia"/>
          <w:bCs/>
          <w:color w:val="auto"/>
          <w:szCs w:val="21"/>
          <w:highlight w:val="none"/>
        </w:rPr>
        <w:t xml:space="preserve">  </w:t>
      </w:r>
      <w:r>
        <w:rPr>
          <w:rFonts w:hint="eastAsia" w:asciiTheme="minorEastAsia" w:hAnsiTheme="minorEastAsia" w:eastAsiaTheme="minorEastAsia"/>
          <w:bCs/>
          <w:color w:val="auto"/>
          <w:szCs w:val="21"/>
          <w:highlight w:val="none"/>
        </w:rPr>
        <w:t xml:space="preserve">时 </w:t>
      </w:r>
      <w:r>
        <w:rPr>
          <w:rFonts w:asciiTheme="minorEastAsia" w:hAnsiTheme="minorEastAsia" w:eastAsiaTheme="minorEastAsia"/>
          <w:bCs/>
          <w:color w:val="auto"/>
          <w:szCs w:val="21"/>
          <w:highlight w:val="none"/>
        </w:rPr>
        <w:t xml:space="preserve">  </w:t>
      </w:r>
      <w:r>
        <w:rPr>
          <w:rFonts w:hint="eastAsia" w:asciiTheme="minorEastAsia" w:hAnsiTheme="minorEastAsia" w:eastAsiaTheme="minorEastAsia"/>
          <w:bCs/>
          <w:color w:val="auto"/>
          <w:szCs w:val="21"/>
          <w:highlight w:val="none"/>
        </w:rPr>
        <w:t>分之前不得启封</w:t>
      </w:r>
    </w:p>
    <w:p w14:paraId="7C03E14C">
      <w:pPr>
        <w:pStyle w:val="5"/>
        <w:snapToGrid w:val="0"/>
        <w:spacing w:before="50" w:after="50" w:line="360" w:lineRule="auto"/>
        <w:ind w:firstLine="0"/>
        <w:rPr>
          <w:rFonts w:hint="eastAsia" w:asciiTheme="minorEastAsia" w:hAnsiTheme="minorEastAsia" w:eastAsiaTheme="minorEastAsia"/>
          <w:bCs/>
          <w:color w:val="auto"/>
          <w:szCs w:val="21"/>
          <w:highlight w:val="none"/>
        </w:rPr>
      </w:pPr>
    </w:p>
    <w:p w14:paraId="4C89D662">
      <w:pPr>
        <w:pStyle w:val="5"/>
        <w:snapToGrid w:val="0"/>
        <w:spacing w:before="50" w:after="50" w:line="360" w:lineRule="auto"/>
        <w:ind w:firstLine="934" w:firstLineChars="445"/>
        <w:rPr>
          <w:rFonts w:hint="eastAsia" w:asciiTheme="minorEastAsia" w:hAnsiTheme="minorEastAsia" w:eastAsiaTheme="minorEastAsia"/>
          <w:bCs/>
          <w:color w:val="auto"/>
          <w:szCs w:val="21"/>
          <w:highlight w:val="none"/>
        </w:rPr>
      </w:pPr>
    </w:p>
    <w:p w14:paraId="6928EB4F">
      <w:pPr>
        <w:pStyle w:val="5"/>
        <w:snapToGrid w:val="0"/>
        <w:spacing w:before="50" w:after="50" w:line="360" w:lineRule="auto"/>
        <w:ind w:firstLine="4714" w:firstLineChars="2245"/>
        <w:rPr>
          <w:rFonts w:hint="eastAsia" w:asciiTheme="minorEastAsia" w:hAnsiTheme="minorEastAsia" w:eastAsiaTheme="minorEastAsia"/>
          <w:bCs/>
          <w:color w:val="auto"/>
          <w:szCs w:val="21"/>
          <w:highlight w:val="none"/>
        </w:rPr>
      </w:pPr>
      <w:r>
        <w:rPr>
          <w:rFonts w:hint="eastAsia" w:asciiTheme="minorEastAsia" w:hAnsiTheme="minorEastAsia" w:eastAsiaTheme="minorEastAsia"/>
          <w:color w:val="auto"/>
          <w:szCs w:val="21"/>
          <w:highlight w:val="none"/>
        </w:rPr>
        <w:t>（公章）</w:t>
      </w:r>
    </w:p>
    <w:p w14:paraId="2CB679B9">
      <w:pPr>
        <w:snapToGrid w:val="0"/>
        <w:spacing w:before="156" w:beforeLines="50" w:after="50" w:line="360" w:lineRule="auto"/>
        <w:ind w:firstLine="645"/>
        <w:jc w:val="center"/>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日期：     年  月  日</w:t>
      </w:r>
    </w:p>
    <w:p w14:paraId="11D64AEB">
      <w:pPr>
        <w:snapToGrid w:val="0"/>
        <w:spacing w:before="156" w:beforeLines="50" w:after="50" w:line="360" w:lineRule="auto"/>
        <w:ind w:firstLine="645"/>
        <w:jc w:val="center"/>
        <w:rPr>
          <w:rFonts w:hint="eastAsia" w:asciiTheme="minorEastAsia" w:hAnsiTheme="minorEastAsia" w:eastAsiaTheme="minorEastAsia"/>
          <w:color w:val="auto"/>
          <w:szCs w:val="21"/>
          <w:highlight w:val="none"/>
        </w:rPr>
      </w:pPr>
    </w:p>
    <w:p w14:paraId="4E10C7EE">
      <w:pPr>
        <w:snapToGrid w:val="0"/>
        <w:spacing w:before="156" w:beforeLines="50" w:after="50" w:line="360" w:lineRule="auto"/>
        <w:outlineLvl w:val="1"/>
        <w:rPr>
          <w:rFonts w:hint="eastAsia" w:asciiTheme="minorEastAsia" w:hAnsiTheme="minorEastAsia" w:eastAsiaTheme="minorEastAsia"/>
          <w:b/>
          <w:bCs/>
          <w:color w:val="auto"/>
          <w:szCs w:val="21"/>
          <w:highlight w:val="none"/>
        </w:rPr>
        <w:sectPr>
          <w:pgSz w:w="11907" w:h="16840"/>
          <w:pgMar w:top="1440" w:right="1797" w:bottom="1440" w:left="1797" w:header="851" w:footer="851" w:gutter="0"/>
          <w:cols w:space="425" w:num="1"/>
          <w:titlePg/>
          <w:docGrid w:type="lines" w:linePitch="312" w:charSpace="0"/>
        </w:sectPr>
      </w:pPr>
    </w:p>
    <w:p w14:paraId="7EFE2C8E">
      <w:pPr>
        <w:snapToGrid w:val="0"/>
        <w:spacing w:before="156" w:beforeLines="50" w:after="50" w:line="360" w:lineRule="auto"/>
        <w:outlineLvl w:val="1"/>
        <w:rPr>
          <w:rFonts w:hint="eastAsia" w:asciiTheme="minorEastAsia" w:hAnsiTheme="minorEastAsia" w:eastAsiaTheme="minorEastAsia"/>
          <w:b/>
          <w:bCs/>
          <w:color w:val="auto"/>
          <w:szCs w:val="21"/>
          <w:highlight w:val="none"/>
        </w:rPr>
      </w:pPr>
      <w:r>
        <w:rPr>
          <w:rFonts w:hint="eastAsia" w:asciiTheme="minorEastAsia" w:hAnsiTheme="minorEastAsia" w:eastAsiaTheme="minorEastAsia"/>
          <w:b/>
          <w:bCs/>
          <w:color w:val="auto"/>
          <w:szCs w:val="21"/>
          <w:highlight w:val="none"/>
        </w:rPr>
        <w:t>二、投标文件封面格式</w:t>
      </w:r>
    </w:p>
    <w:p w14:paraId="2884B1A0">
      <w:pPr>
        <w:snapToGrid w:val="0"/>
        <w:spacing w:before="156" w:beforeLines="50" w:after="50" w:line="360" w:lineRule="auto"/>
        <w:rPr>
          <w:rFonts w:hint="eastAsia" w:ascii="宋体" w:hAnsi="宋体"/>
          <w:b/>
          <w:bCs/>
          <w:color w:val="auto"/>
          <w:szCs w:val="21"/>
          <w:highlight w:val="none"/>
        </w:rPr>
      </w:pPr>
      <w:r>
        <w:rPr>
          <w:rFonts w:hint="eastAsia" w:ascii="宋体" w:hAnsi="宋体"/>
          <w:b/>
          <w:bCs/>
          <w:color w:val="auto"/>
          <w:szCs w:val="21"/>
          <w:highlight w:val="none"/>
        </w:rPr>
        <w:t>正本</w:t>
      </w:r>
      <w:r>
        <w:rPr>
          <w:rFonts w:ascii="宋体" w:hAnsi="宋体"/>
          <w:b/>
          <w:bCs/>
          <w:color w:val="auto"/>
          <w:szCs w:val="21"/>
          <w:highlight w:val="none"/>
        </w:rPr>
        <w:t>/</w:t>
      </w:r>
      <w:r>
        <w:rPr>
          <w:rFonts w:hint="eastAsia" w:ascii="宋体" w:hAnsi="宋体"/>
          <w:b/>
          <w:bCs/>
          <w:color w:val="auto"/>
          <w:szCs w:val="21"/>
          <w:highlight w:val="none"/>
        </w:rPr>
        <w:t>或副本</w:t>
      </w:r>
    </w:p>
    <w:p w14:paraId="04682BEF">
      <w:pPr>
        <w:snapToGrid w:val="0"/>
        <w:spacing w:before="156" w:beforeLines="50" w:after="50" w:line="360" w:lineRule="auto"/>
        <w:rPr>
          <w:rFonts w:hint="eastAsia" w:ascii="宋体" w:hAnsi="宋体"/>
          <w:color w:val="auto"/>
          <w:szCs w:val="21"/>
          <w:highlight w:val="none"/>
        </w:rPr>
      </w:pPr>
    </w:p>
    <w:p w14:paraId="23347035">
      <w:pPr>
        <w:snapToGrid w:val="0"/>
        <w:spacing w:before="156" w:beforeLines="50" w:after="50" w:line="360" w:lineRule="auto"/>
        <w:jc w:val="center"/>
        <w:rPr>
          <w:rFonts w:hint="eastAsia" w:ascii="宋体" w:hAnsi="宋体"/>
          <w:bCs/>
          <w:color w:val="auto"/>
          <w:szCs w:val="21"/>
          <w:highlight w:val="none"/>
        </w:rPr>
      </w:pPr>
    </w:p>
    <w:p w14:paraId="58805372">
      <w:pPr>
        <w:snapToGrid w:val="0"/>
        <w:spacing w:before="156" w:beforeLines="50" w:after="50" w:line="360" w:lineRule="auto"/>
        <w:jc w:val="center"/>
        <w:rPr>
          <w:rFonts w:hint="eastAsia" w:ascii="宋体" w:hAnsi="宋体"/>
          <w:b/>
          <w:color w:val="auto"/>
          <w:szCs w:val="21"/>
          <w:highlight w:val="none"/>
        </w:rPr>
      </w:pPr>
      <w:r>
        <w:rPr>
          <w:rFonts w:hint="eastAsia" w:ascii="宋体" w:hAnsi="宋体"/>
          <w:b/>
          <w:color w:val="auto"/>
          <w:szCs w:val="21"/>
          <w:highlight w:val="none"/>
        </w:rPr>
        <w:t>投标文件</w:t>
      </w:r>
    </w:p>
    <w:p w14:paraId="3760AC5C">
      <w:pPr>
        <w:snapToGrid w:val="0"/>
        <w:spacing w:before="156" w:beforeLines="50" w:after="50" w:line="360" w:lineRule="auto"/>
        <w:rPr>
          <w:rFonts w:hint="eastAsia" w:ascii="宋体" w:hAnsi="宋体"/>
          <w:bCs/>
          <w:color w:val="auto"/>
          <w:szCs w:val="21"/>
          <w:highlight w:val="none"/>
        </w:rPr>
      </w:pPr>
    </w:p>
    <w:p w14:paraId="543DE6E9">
      <w:pPr>
        <w:snapToGrid w:val="0"/>
        <w:spacing w:before="156" w:beforeLines="50" w:after="50" w:line="360" w:lineRule="auto"/>
        <w:ind w:firstLine="934" w:firstLineChars="445"/>
        <w:rPr>
          <w:rFonts w:hint="eastAsia" w:ascii="宋体" w:hAnsi="宋体"/>
          <w:bCs/>
          <w:color w:val="auto"/>
          <w:szCs w:val="21"/>
          <w:highlight w:val="none"/>
        </w:rPr>
      </w:pPr>
      <w:r>
        <w:rPr>
          <w:rFonts w:hint="eastAsia" w:ascii="宋体" w:hAnsi="宋体"/>
          <w:bCs/>
          <w:color w:val="auto"/>
          <w:szCs w:val="21"/>
          <w:highlight w:val="none"/>
        </w:rPr>
        <w:t>项目名称：</w:t>
      </w:r>
      <w:r>
        <w:rPr>
          <w:rFonts w:hint="eastAsia" w:ascii="宋体" w:hAnsi="宋体" w:cs="Arial"/>
          <w:color w:val="auto"/>
          <w:szCs w:val="21"/>
          <w:highlight w:val="none"/>
          <w:lang w:eastAsia="zh-CN"/>
        </w:rPr>
        <w:t>2025年（第二期）</w:t>
      </w:r>
      <w:r>
        <w:rPr>
          <w:rFonts w:hint="eastAsia" w:ascii="宋体" w:hAnsi="宋体" w:cs="Arial"/>
          <w:color w:val="auto"/>
          <w:szCs w:val="21"/>
          <w:highlight w:val="none"/>
        </w:rPr>
        <w:t>嘉兴经济技术开发区公共资金竞争性存放项目</w:t>
      </w:r>
    </w:p>
    <w:p w14:paraId="6B0254C4">
      <w:pPr>
        <w:snapToGrid w:val="0"/>
        <w:spacing w:before="156" w:beforeLines="50" w:after="50" w:line="360" w:lineRule="auto"/>
        <w:ind w:firstLine="896" w:firstLineChars="427"/>
        <w:rPr>
          <w:rFonts w:hint="eastAsia" w:ascii="宋体" w:hAnsi="宋体" w:eastAsia="宋体"/>
          <w:bCs/>
          <w:color w:val="auto"/>
          <w:szCs w:val="21"/>
          <w:highlight w:val="none"/>
          <w:lang w:eastAsia="zh-CN"/>
        </w:rPr>
      </w:pPr>
      <w:r>
        <w:rPr>
          <w:rFonts w:hint="eastAsia" w:ascii="宋体" w:hAnsi="宋体"/>
          <w:bCs/>
          <w:color w:val="auto"/>
          <w:szCs w:val="21"/>
          <w:highlight w:val="none"/>
        </w:rPr>
        <w:t>项目编号：</w:t>
      </w:r>
      <w:r>
        <w:rPr>
          <w:rFonts w:hint="eastAsia" w:ascii="宋体" w:hAnsi="宋体" w:cs="Arial"/>
          <w:color w:val="auto"/>
          <w:szCs w:val="21"/>
          <w:highlight w:val="none"/>
          <w:lang w:eastAsia="zh-CN"/>
        </w:rPr>
        <w:t>定存（2025）02</w:t>
      </w:r>
    </w:p>
    <w:p w14:paraId="0457F79F">
      <w:pPr>
        <w:pStyle w:val="5"/>
        <w:snapToGrid w:val="0"/>
        <w:spacing w:before="50" w:after="50" w:line="360" w:lineRule="auto"/>
        <w:ind w:firstLine="896" w:firstLineChars="427"/>
        <w:rPr>
          <w:rFonts w:hint="eastAsia" w:ascii="宋体" w:hAnsi="宋体"/>
          <w:bCs/>
          <w:color w:val="auto"/>
          <w:szCs w:val="21"/>
          <w:highlight w:val="none"/>
        </w:rPr>
      </w:pPr>
      <w:r>
        <w:rPr>
          <w:rFonts w:hint="eastAsia" w:ascii="宋体" w:hAnsi="宋体"/>
          <w:bCs/>
          <w:color w:val="auto"/>
          <w:szCs w:val="21"/>
          <w:highlight w:val="none"/>
        </w:rPr>
        <w:t>投标人名称：</w:t>
      </w:r>
    </w:p>
    <w:p w14:paraId="79217A75">
      <w:pPr>
        <w:pStyle w:val="5"/>
        <w:snapToGrid w:val="0"/>
        <w:spacing w:before="50" w:after="50" w:line="360" w:lineRule="auto"/>
        <w:ind w:firstLine="896" w:firstLineChars="427"/>
        <w:rPr>
          <w:rFonts w:hint="eastAsia" w:ascii="宋体" w:hAnsi="宋体"/>
          <w:bCs/>
          <w:color w:val="auto"/>
          <w:szCs w:val="21"/>
          <w:highlight w:val="none"/>
        </w:rPr>
      </w:pPr>
      <w:r>
        <w:rPr>
          <w:rFonts w:hint="eastAsia" w:ascii="宋体" w:hAnsi="宋体"/>
          <w:bCs/>
          <w:color w:val="auto"/>
          <w:szCs w:val="21"/>
          <w:highlight w:val="none"/>
        </w:rPr>
        <w:t>投标人地址：</w:t>
      </w:r>
    </w:p>
    <w:p w14:paraId="301B70D4">
      <w:pPr>
        <w:pStyle w:val="5"/>
        <w:snapToGrid w:val="0"/>
        <w:spacing w:before="50" w:after="50" w:line="360" w:lineRule="auto"/>
        <w:ind w:firstLine="0"/>
        <w:rPr>
          <w:rFonts w:hint="eastAsia" w:ascii="宋体" w:hAnsi="宋体"/>
          <w:color w:val="auto"/>
          <w:szCs w:val="21"/>
          <w:highlight w:val="none"/>
        </w:rPr>
      </w:pPr>
    </w:p>
    <w:p w14:paraId="43324742">
      <w:pPr>
        <w:snapToGrid w:val="0"/>
        <w:spacing w:before="156" w:beforeLines="50" w:after="50" w:line="360" w:lineRule="auto"/>
        <w:ind w:firstLine="3570" w:firstLineChars="1700"/>
        <w:rPr>
          <w:rFonts w:hint="eastAsia" w:ascii="宋体" w:hAnsi="宋体"/>
          <w:color w:val="auto"/>
          <w:szCs w:val="21"/>
          <w:highlight w:val="none"/>
        </w:rPr>
      </w:pPr>
      <w:r>
        <w:rPr>
          <w:rFonts w:hint="eastAsia" w:ascii="宋体" w:hAnsi="宋体"/>
          <w:color w:val="auto"/>
          <w:szCs w:val="21"/>
          <w:highlight w:val="none"/>
        </w:rPr>
        <w:t xml:space="preserve">           （公章）</w:t>
      </w:r>
    </w:p>
    <w:p w14:paraId="7339F6F6">
      <w:pPr>
        <w:snapToGrid w:val="0"/>
        <w:spacing w:before="156" w:beforeLines="50" w:after="50" w:line="360" w:lineRule="auto"/>
        <w:ind w:firstLine="645"/>
        <w:jc w:val="center"/>
        <w:rPr>
          <w:rFonts w:hint="eastAsia" w:ascii="宋体" w:hAnsi="宋体"/>
          <w:color w:val="auto"/>
          <w:szCs w:val="21"/>
          <w:highlight w:val="none"/>
        </w:rPr>
      </w:pPr>
      <w:r>
        <w:rPr>
          <w:rFonts w:ascii="宋体" w:hAnsi="宋体"/>
          <w:color w:val="auto"/>
          <w:szCs w:val="21"/>
          <w:highlight w:val="none"/>
        </w:rPr>
        <w:t xml:space="preserve">       </w:t>
      </w:r>
      <w:r>
        <w:rPr>
          <w:rFonts w:hint="eastAsia" w:ascii="宋体" w:hAnsi="宋体"/>
          <w:color w:val="auto"/>
          <w:szCs w:val="21"/>
          <w:highlight w:val="none"/>
        </w:rPr>
        <w:t xml:space="preserve"> 年 </w:t>
      </w:r>
      <w:r>
        <w:rPr>
          <w:rFonts w:ascii="宋体" w:hAnsi="宋体"/>
          <w:color w:val="auto"/>
          <w:szCs w:val="21"/>
          <w:highlight w:val="none"/>
        </w:rPr>
        <w:t xml:space="preserve">  </w:t>
      </w:r>
      <w:r>
        <w:rPr>
          <w:rFonts w:hint="eastAsia" w:ascii="宋体" w:hAnsi="宋体"/>
          <w:color w:val="auto"/>
          <w:szCs w:val="21"/>
          <w:highlight w:val="none"/>
        </w:rPr>
        <w:t xml:space="preserve">月 </w:t>
      </w:r>
      <w:r>
        <w:rPr>
          <w:rFonts w:ascii="宋体" w:hAnsi="宋体"/>
          <w:color w:val="auto"/>
          <w:szCs w:val="21"/>
          <w:highlight w:val="none"/>
        </w:rPr>
        <w:t xml:space="preserve">   </w:t>
      </w:r>
      <w:r>
        <w:rPr>
          <w:rFonts w:hint="eastAsia" w:ascii="宋体" w:hAnsi="宋体"/>
          <w:color w:val="auto"/>
          <w:szCs w:val="21"/>
          <w:highlight w:val="none"/>
        </w:rPr>
        <w:t>日</w:t>
      </w:r>
    </w:p>
    <w:p w14:paraId="40BDA9AE">
      <w:pPr>
        <w:snapToGrid w:val="0"/>
        <w:spacing w:before="156" w:beforeLines="50" w:after="50" w:line="360" w:lineRule="auto"/>
        <w:rPr>
          <w:rFonts w:hint="eastAsia" w:asciiTheme="minorEastAsia" w:hAnsiTheme="minorEastAsia" w:eastAsiaTheme="minorEastAsia"/>
          <w:b/>
          <w:color w:val="auto"/>
          <w:szCs w:val="21"/>
          <w:highlight w:val="none"/>
        </w:rPr>
        <w:sectPr>
          <w:pgSz w:w="11907" w:h="16840"/>
          <w:pgMar w:top="1440" w:right="1797" w:bottom="1440" w:left="1797" w:header="851" w:footer="851" w:gutter="0"/>
          <w:cols w:space="425" w:num="1"/>
          <w:titlePg/>
          <w:docGrid w:type="lines" w:linePitch="312" w:charSpace="0"/>
        </w:sectPr>
      </w:pPr>
    </w:p>
    <w:p w14:paraId="5D3AB571">
      <w:pPr>
        <w:snapToGrid w:val="0"/>
        <w:spacing w:before="156" w:beforeLines="50" w:after="50" w:line="360" w:lineRule="auto"/>
        <w:outlineLvl w:val="1"/>
        <w:rPr>
          <w:rFonts w:hint="eastAsia" w:asciiTheme="minorEastAsia" w:hAnsiTheme="minorEastAsia" w:eastAsiaTheme="minorEastAsia"/>
          <w:b/>
          <w:bCs/>
          <w:color w:val="auto"/>
          <w:szCs w:val="21"/>
          <w:highlight w:val="none"/>
        </w:rPr>
      </w:pPr>
      <w:r>
        <w:rPr>
          <w:rFonts w:hint="eastAsia" w:asciiTheme="minorEastAsia" w:hAnsiTheme="minorEastAsia" w:eastAsiaTheme="minorEastAsia"/>
          <w:b/>
          <w:bCs/>
          <w:color w:val="auto"/>
          <w:szCs w:val="21"/>
          <w:highlight w:val="none"/>
        </w:rPr>
        <w:t>三、投标声明书格式</w:t>
      </w:r>
    </w:p>
    <w:p w14:paraId="7ED43273">
      <w:pPr>
        <w:snapToGrid w:val="0"/>
        <w:spacing w:line="360" w:lineRule="auto"/>
        <w:jc w:val="center"/>
        <w:rPr>
          <w:rFonts w:hint="eastAsia"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投标声明书</w:t>
      </w:r>
    </w:p>
    <w:p w14:paraId="61640ED8">
      <w:pPr>
        <w:pStyle w:val="35"/>
        <w:keepNext w:val="0"/>
        <w:keepLines w:val="0"/>
        <w:widowControl/>
        <w:suppressLineNumbers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致：</w:t>
      </w:r>
      <w:r>
        <w:rPr>
          <w:rFonts w:hint="eastAsia" w:ascii="宋体" w:hAnsi="宋体" w:eastAsia="宋体" w:cs="宋体"/>
          <w:b/>
          <w:color w:val="auto"/>
          <w:sz w:val="21"/>
          <w:szCs w:val="21"/>
          <w:highlight w:val="none"/>
        </w:rPr>
        <w:t>嘉兴经济技术开发区财政金融部（招标组织单位）</w:t>
      </w:r>
      <w:r>
        <w:rPr>
          <w:rFonts w:hint="eastAsia" w:ascii="宋体" w:hAnsi="宋体" w:eastAsia="宋体" w:cs="宋体"/>
          <w:color w:val="auto"/>
          <w:sz w:val="21"/>
          <w:szCs w:val="21"/>
          <w:highlight w:val="none"/>
        </w:rPr>
        <w:t xml:space="preserve"> </w:t>
      </w:r>
    </w:p>
    <w:p w14:paraId="5137649E">
      <w:pPr>
        <w:snapToGrid w:val="0"/>
        <w:spacing w:line="360" w:lineRule="auto"/>
        <w:rPr>
          <w:rFonts w:hint="eastAsia" w:asciiTheme="minorEastAsia" w:hAnsiTheme="minorEastAsia" w:eastAsiaTheme="minorEastAsia"/>
          <w:color w:val="auto"/>
          <w:szCs w:val="21"/>
          <w:highlight w:val="none"/>
        </w:rPr>
      </w:pPr>
    </w:p>
    <w:p w14:paraId="08CECAE4">
      <w:pPr>
        <w:snapToGrid w:val="0"/>
        <w:spacing w:line="360" w:lineRule="auto"/>
        <w:ind w:firstLine="735" w:firstLineChars="350"/>
        <w:jc w:val="left"/>
        <w:rPr>
          <w:rFonts w:hint="eastAsia" w:asciiTheme="minorEastAsia" w:hAnsiTheme="minorEastAsia" w:eastAsiaTheme="minorEastAsia"/>
          <w:color w:val="auto"/>
          <w:szCs w:val="21"/>
          <w:highlight w:val="none"/>
          <w:u w:val="single"/>
        </w:rPr>
      </w:pP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（投标人名称）系中华人民共和国合法企业，经营地址</w:t>
      </w:r>
      <w:r>
        <w:rPr>
          <w:rFonts w:hint="eastAsia" w:asciiTheme="minorEastAsia" w:hAnsiTheme="minorEastAsia" w:eastAsiaTheme="minorEastAsia"/>
          <w:color w:val="auto"/>
          <w:szCs w:val="21"/>
          <w:highlight w:val="none"/>
          <w:u w:val="single"/>
        </w:rPr>
        <w:t xml:space="preserve">             。</w:t>
      </w:r>
    </w:p>
    <w:p w14:paraId="31B46AB3">
      <w:pPr>
        <w:snapToGrid w:val="0"/>
        <w:spacing w:line="360" w:lineRule="auto"/>
        <w:ind w:firstLine="645"/>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我</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（姓名）系</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（投标人名称）的法定代表人（负责人），我方愿意参加贵方组织的</w:t>
      </w:r>
      <w:r>
        <w:rPr>
          <w:rFonts w:hint="eastAsia" w:cs="Arial" w:asciiTheme="minorEastAsia" w:hAnsiTheme="minorEastAsia" w:eastAsiaTheme="minorEastAsia"/>
          <w:b/>
          <w:color w:val="auto"/>
          <w:szCs w:val="21"/>
          <w:highlight w:val="none"/>
          <w:u w:val="single"/>
          <w:lang w:eastAsia="zh-CN"/>
        </w:rPr>
        <w:t>2025年（第二期）</w:t>
      </w:r>
      <w:r>
        <w:rPr>
          <w:rFonts w:hint="eastAsia" w:cs="Arial" w:asciiTheme="minorEastAsia" w:hAnsiTheme="minorEastAsia" w:eastAsiaTheme="minorEastAsia"/>
          <w:b/>
          <w:color w:val="auto"/>
          <w:szCs w:val="21"/>
          <w:highlight w:val="none"/>
          <w:u w:val="single"/>
        </w:rPr>
        <w:t>嘉兴经济技术开发区公共资金竞争性存放项目</w:t>
      </w:r>
      <w:r>
        <w:rPr>
          <w:rFonts w:hint="eastAsia" w:asciiTheme="minorEastAsia" w:hAnsiTheme="minorEastAsia" w:eastAsiaTheme="minorEastAsia"/>
          <w:color w:val="auto"/>
          <w:szCs w:val="21"/>
          <w:highlight w:val="none"/>
        </w:rPr>
        <w:t>的投标，为便于贵方公正、择优地确定中标人及其投标产品和服务，我方就本次投标有关事项郑重声明如下：</w:t>
      </w:r>
    </w:p>
    <w:p w14:paraId="2D42D238">
      <w:pPr>
        <w:numPr>
          <w:ilvl w:val="0"/>
          <w:numId w:val="34"/>
        </w:numPr>
        <w:tabs>
          <w:tab w:val="left" w:pos="709"/>
        </w:tabs>
        <w:snapToGrid w:val="0"/>
        <w:spacing w:line="360" w:lineRule="auto"/>
        <w:ind w:left="0" w:firstLine="420" w:firstLineChars="200"/>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我方向贵方提交的所有投标文件、资料都是准确的和真实的；</w:t>
      </w:r>
    </w:p>
    <w:p w14:paraId="5C9F1FD1">
      <w:pPr>
        <w:numPr>
          <w:ilvl w:val="0"/>
          <w:numId w:val="34"/>
        </w:numPr>
        <w:tabs>
          <w:tab w:val="left" w:pos="709"/>
        </w:tabs>
        <w:snapToGrid w:val="0"/>
        <w:spacing w:line="360" w:lineRule="auto"/>
        <w:ind w:left="0" w:firstLine="420" w:firstLineChars="200"/>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我方为银行嘉兴所在地区最高机构；</w:t>
      </w:r>
    </w:p>
    <w:p w14:paraId="1C16FCD0">
      <w:pPr>
        <w:numPr>
          <w:ilvl w:val="0"/>
          <w:numId w:val="34"/>
        </w:numPr>
        <w:tabs>
          <w:tab w:val="left" w:pos="709"/>
        </w:tabs>
        <w:snapToGrid w:val="0"/>
        <w:spacing w:line="360" w:lineRule="auto"/>
        <w:ind w:left="0" w:firstLine="420" w:firstLineChars="200"/>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我方此次向贵方提供的产品为：</w:t>
      </w:r>
      <w:r>
        <w:rPr>
          <w:rFonts w:hint="eastAsia" w:asciiTheme="minorEastAsia" w:hAnsiTheme="minorEastAsia" w:eastAsiaTheme="minorEastAsia"/>
          <w:color w:val="auto"/>
          <w:szCs w:val="21"/>
          <w:highlight w:val="none"/>
          <w:u w:val="single"/>
        </w:rPr>
        <w:t>三个月定期存款</w:t>
      </w:r>
      <w:r>
        <w:rPr>
          <w:rFonts w:hint="eastAsia" w:asciiTheme="minorEastAsia" w:hAnsiTheme="minorEastAsia" w:eastAsiaTheme="minorEastAsia"/>
          <w:color w:val="auto"/>
          <w:szCs w:val="21"/>
          <w:highlight w:val="none"/>
        </w:rPr>
        <w:t>；</w:t>
      </w:r>
    </w:p>
    <w:p w14:paraId="00E1A083">
      <w:pPr>
        <w:numPr>
          <w:ilvl w:val="0"/>
          <w:numId w:val="34"/>
        </w:numPr>
        <w:tabs>
          <w:tab w:val="left" w:pos="709"/>
        </w:tabs>
        <w:snapToGrid w:val="0"/>
        <w:spacing w:line="360" w:lineRule="auto"/>
        <w:ind w:left="0" w:firstLine="420" w:firstLineChars="200"/>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采用条款费率为：</w:t>
      </w:r>
      <w:r>
        <w:rPr>
          <w:rFonts w:hint="eastAsia" w:ascii="宋体" w:hAnsi="宋体"/>
          <w:color w:val="auto"/>
          <w:sz w:val="22"/>
          <w:szCs w:val="22"/>
          <w:highlight w:val="none"/>
          <w:u w:val="single"/>
        </w:rPr>
        <w:t>按中国人民银行公布的定期存款基准上浮基点（BP）进行报价；</w:t>
      </w:r>
    </w:p>
    <w:p w14:paraId="4E204019">
      <w:pPr>
        <w:pStyle w:val="18"/>
        <w:numPr>
          <w:ilvl w:val="0"/>
          <w:numId w:val="34"/>
        </w:numPr>
        <w:tabs>
          <w:tab w:val="left" w:pos="709"/>
        </w:tabs>
        <w:snapToGrid w:val="0"/>
        <w:spacing w:line="360" w:lineRule="auto"/>
        <w:ind w:left="0" w:firstLine="420" w:firstLineChars="200"/>
        <w:rPr>
          <w:rFonts w:hint="eastAsia" w:asciiTheme="minorEastAsia" w:hAnsiTheme="minorEastAsia" w:eastAsiaTheme="minorEastAsia"/>
          <w:color w:val="auto"/>
          <w:spacing w:val="0"/>
          <w:sz w:val="21"/>
          <w:szCs w:val="21"/>
          <w:highlight w:val="none"/>
          <w:u w:val="single"/>
        </w:rPr>
      </w:pPr>
      <w:r>
        <w:rPr>
          <w:rFonts w:hint="eastAsia" w:asciiTheme="minorEastAsia" w:hAnsiTheme="minorEastAsia" w:eastAsiaTheme="minorEastAsia"/>
          <w:color w:val="auto"/>
          <w:spacing w:val="0"/>
          <w:sz w:val="21"/>
          <w:szCs w:val="21"/>
          <w:highlight w:val="none"/>
        </w:rPr>
        <w:t>我方及由本人担任法定代表人（负责人）的其他机构最近三年内没有被通报或者被处罚的违规违法行为；</w:t>
      </w:r>
    </w:p>
    <w:p w14:paraId="01FFD906">
      <w:pPr>
        <w:numPr>
          <w:ilvl w:val="0"/>
          <w:numId w:val="34"/>
        </w:numPr>
        <w:tabs>
          <w:tab w:val="left" w:pos="709"/>
        </w:tabs>
        <w:snapToGrid w:val="0"/>
        <w:spacing w:line="360" w:lineRule="auto"/>
        <w:ind w:left="0" w:firstLine="420" w:firstLineChars="200"/>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以上事项如有虚假或隐瞒，我方愿意承担一切后果，并不再寻求任何旨在减轻或免除法律责任的辩解。</w:t>
      </w:r>
    </w:p>
    <w:p w14:paraId="08D9CB55">
      <w:pPr>
        <w:snapToGrid w:val="0"/>
        <w:spacing w:line="360" w:lineRule="auto"/>
        <w:ind w:firstLine="200"/>
        <w:rPr>
          <w:rFonts w:hint="eastAsia" w:asciiTheme="minorEastAsia" w:hAnsiTheme="minorEastAsia" w:eastAsiaTheme="minorEastAsia"/>
          <w:color w:val="auto"/>
          <w:szCs w:val="21"/>
          <w:highlight w:val="none"/>
        </w:rPr>
      </w:pPr>
    </w:p>
    <w:p w14:paraId="58B6FA54">
      <w:pPr>
        <w:snapToGrid w:val="0"/>
        <w:spacing w:line="360" w:lineRule="auto"/>
        <w:ind w:firstLine="200"/>
        <w:rPr>
          <w:rFonts w:hint="eastAsia" w:asciiTheme="minorEastAsia" w:hAnsiTheme="minorEastAsia" w:eastAsiaTheme="minorEastAsia"/>
          <w:color w:val="auto"/>
          <w:szCs w:val="21"/>
          <w:highlight w:val="none"/>
          <w:u w:val="single"/>
        </w:rPr>
      </w:pPr>
      <w:r>
        <w:rPr>
          <w:rFonts w:hint="eastAsia" w:asciiTheme="minorEastAsia" w:hAnsiTheme="minorEastAsia" w:eastAsiaTheme="minorEastAsia"/>
          <w:color w:val="auto"/>
          <w:szCs w:val="21"/>
          <w:highlight w:val="none"/>
        </w:rPr>
        <w:t>法定代表人（负责人）签字或盖章：</w:t>
      </w:r>
    </w:p>
    <w:p w14:paraId="4D71F613">
      <w:pPr>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 xml:space="preserve">  （公章）</w:t>
      </w:r>
    </w:p>
    <w:p w14:paraId="72A31E1A">
      <w:pPr>
        <w:snapToGrid w:val="0"/>
        <w:spacing w:line="360" w:lineRule="auto"/>
        <w:ind w:firstLine="3675" w:firstLineChars="1750"/>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日期：    年  月  日</w:t>
      </w:r>
    </w:p>
    <w:p w14:paraId="700CAA6D">
      <w:pPr>
        <w:snapToGrid w:val="0"/>
        <w:spacing w:before="156" w:beforeLines="50" w:after="50" w:line="360" w:lineRule="auto"/>
        <w:outlineLvl w:val="1"/>
        <w:rPr>
          <w:rFonts w:hint="eastAsia" w:asciiTheme="minorEastAsia" w:hAnsiTheme="minorEastAsia" w:eastAsiaTheme="minorEastAsia"/>
          <w:b/>
          <w:bCs/>
          <w:color w:val="auto"/>
          <w:szCs w:val="21"/>
          <w:highlight w:val="none"/>
        </w:rPr>
      </w:pPr>
      <w:r>
        <w:rPr>
          <w:rFonts w:asciiTheme="minorEastAsia" w:hAnsiTheme="minorEastAsia" w:eastAsiaTheme="minorEastAsia"/>
          <w:b/>
          <w:color w:val="auto"/>
          <w:szCs w:val="21"/>
          <w:highlight w:val="none"/>
        </w:rPr>
        <w:br w:type="page"/>
      </w:r>
      <w:r>
        <w:rPr>
          <w:rFonts w:hint="eastAsia" w:asciiTheme="minorEastAsia" w:hAnsiTheme="minorEastAsia" w:eastAsiaTheme="minorEastAsia"/>
          <w:b/>
          <w:bCs/>
          <w:color w:val="auto"/>
          <w:szCs w:val="21"/>
          <w:highlight w:val="none"/>
        </w:rPr>
        <w:t>四、法定代表人（负责人）授权委托书格式</w:t>
      </w:r>
    </w:p>
    <w:p w14:paraId="706884C4">
      <w:pPr>
        <w:snapToGrid w:val="0"/>
        <w:spacing w:before="156" w:beforeLines="50" w:after="50" w:line="360" w:lineRule="auto"/>
        <w:jc w:val="center"/>
        <w:rPr>
          <w:rFonts w:hint="eastAsia" w:asciiTheme="minorEastAsia" w:hAnsiTheme="minorEastAsia" w:eastAsiaTheme="minorEastAsia"/>
          <w:color w:val="auto"/>
          <w:szCs w:val="21"/>
          <w:highlight w:val="none"/>
        </w:rPr>
      </w:pPr>
    </w:p>
    <w:p w14:paraId="70E6D3BC">
      <w:pPr>
        <w:snapToGrid w:val="0"/>
        <w:spacing w:line="360" w:lineRule="auto"/>
        <w:jc w:val="center"/>
        <w:rPr>
          <w:rFonts w:hint="eastAsia"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法定代表人（负责人）授权委托书</w:t>
      </w:r>
    </w:p>
    <w:p w14:paraId="13B02493">
      <w:pPr>
        <w:snapToGrid w:val="0"/>
        <w:spacing w:line="360" w:lineRule="auto"/>
        <w:rPr>
          <w:rFonts w:hint="eastAsia" w:asciiTheme="minorEastAsia" w:hAnsiTheme="minorEastAsia" w:eastAsiaTheme="minorEastAsia"/>
          <w:bCs/>
          <w:color w:val="auto"/>
          <w:szCs w:val="21"/>
          <w:highlight w:val="none"/>
        </w:rPr>
      </w:pPr>
    </w:p>
    <w:p w14:paraId="1B800EBC">
      <w:pPr>
        <w:snapToGrid w:val="0"/>
        <w:spacing w:line="360" w:lineRule="auto"/>
        <w:rPr>
          <w:rFonts w:hint="eastAsia" w:asciiTheme="minorEastAsia" w:hAnsiTheme="minorEastAsia" w:eastAsiaTheme="minorEastAsia"/>
          <w:b/>
          <w:bCs/>
          <w:color w:val="auto"/>
          <w:szCs w:val="21"/>
          <w:highlight w:val="none"/>
        </w:rPr>
      </w:pPr>
      <w:r>
        <w:rPr>
          <w:rFonts w:hint="eastAsia" w:asciiTheme="minorEastAsia" w:hAnsiTheme="minorEastAsia" w:eastAsiaTheme="minorEastAsia"/>
          <w:bCs/>
          <w:color w:val="auto"/>
          <w:szCs w:val="21"/>
          <w:highlight w:val="none"/>
        </w:rPr>
        <w:t>致：</w:t>
      </w:r>
      <w:r>
        <w:rPr>
          <w:rFonts w:hint="eastAsia" w:ascii="宋体" w:hAnsi="宋体" w:eastAsia="宋体" w:cs="宋体"/>
          <w:b/>
          <w:color w:val="auto"/>
          <w:sz w:val="21"/>
          <w:szCs w:val="21"/>
          <w:highlight w:val="none"/>
        </w:rPr>
        <w:t>嘉兴经济技术开发区财政金融部（招标组织单位）</w:t>
      </w:r>
    </w:p>
    <w:p w14:paraId="0E9E75BB">
      <w:pPr>
        <w:snapToGrid w:val="0"/>
        <w:spacing w:line="360" w:lineRule="auto"/>
        <w:ind w:firstLine="424" w:firstLineChars="202"/>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我</w:t>
      </w:r>
      <w:r>
        <w:rPr>
          <w:rFonts w:hint="eastAsia" w:asciiTheme="minorEastAsia" w:hAnsiTheme="minorEastAsia" w:eastAsiaTheme="minorEastAsia"/>
          <w:color w:val="auto"/>
          <w:szCs w:val="21"/>
          <w:highlight w:val="none"/>
          <w:u w:val="single"/>
        </w:rPr>
        <w:t xml:space="preserve">      </w:t>
      </w:r>
      <w:r>
        <w:rPr>
          <w:rFonts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（姓名）系</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（投标人名称）的法定代表人（负责人），现授权委托本单位在职职工</w:t>
      </w:r>
      <w:r>
        <w:rPr>
          <w:rFonts w:hint="eastAsia" w:asciiTheme="minorEastAsia" w:hAnsiTheme="minorEastAsia" w:eastAsiaTheme="minorEastAsia"/>
          <w:color w:val="auto"/>
          <w:szCs w:val="21"/>
          <w:highlight w:val="none"/>
          <w:u w:val="single"/>
        </w:rPr>
        <w:t xml:space="preserve">      </w:t>
      </w:r>
      <w:r>
        <w:rPr>
          <w:rFonts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 xml:space="preserve"> （姓名）以我方的名义参加</w:t>
      </w:r>
      <w:r>
        <w:rPr>
          <w:rFonts w:hint="eastAsia" w:asciiTheme="minorEastAsia" w:hAnsiTheme="minorEastAsia" w:eastAsiaTheme="minorEastAsia"/>
          <w:b/>
          <w:bCs/>
          <w:color w:val="auto"/>
          <w:szCs w:val="21"/>
          <w:highlight w:val="none"/>
          <w:u w:val="single"/>
          <w:lang w:eastAsia="zh-CN"/>
        </w:rPr>
        <w:t>2025年（第二期）</w:t>
      </w:r>
      <w:r>
        <w:rPr>
          <w:rFonts w:hint="eastAsia" w:asciiTheme="minorEastAsia" w:hAnsiTheme="minorEastAsia" w:eastAsiaTheme="minorEastAsia"/>
          <w:b/>
          <w:bCs/>
          <w:color w:val="auto"/>
          <w:szCs w:val="21"/>
          <w:highlight w:val="none"/>
          <w:u w:val="single"/>
        </w:rPr>
        <w:t>嘉兴经济技术开发区公共资金竞争性存放项目</w:t>
      </w:r>
      <w:r>
        <w:rPr>
          <w:rFonts w:hint="eastAsia" w:asciiTheme="minorEastAsia" w:hAnsiTheme="minorEastAsia" w:eastAsiaTheme="minorEastAsia"/>
          <w:color w:val="auto"/>
          <w:szCs w:val="21"/>
          <w:highlight w:val="none"/>
        </w:rPr>
        <w:t>的投标活动，并代表我方全权办理针对上述项目的投标、开标、评标、签约等具体事务和签署相关文件。</w:t>
      </w:r>
    </w:p>
    <w:p w14:paraId="680EFB99">
      <w:pPr>
        <w:snapToGrid w:val="0"/>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 xml:space="preserve">    我方对被授权人的签名事项负全部责任。</w:t>
      </w:r>
    </w:p>
    <w:p w14:paraId="351B1C8F">
      <w:pPr>
        <w:snapToGrid w:val="0"/>
        <w:spacing w:line="360" w:lineRule="auto"/>
        <w:ind w:firstLine="426"/>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在撤销授权的书面通知以前，本授权书一直有效。被授权人在授权书有效期内签署的所有文件不因授权的撤销而失效。</w:t>
      </w:r>
    </w:p>
    <w:p w14:paraId="379C18EE">
      <w:pPr>
        <w:snapToGrid w:val="0"/>
        <w:spacing w:line="360" w:lineRule="auto"/>
        <w:ind w:firstLine="426"/>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被授权人无转委托权，特此委托。</w:t>
      </w:r>
    </w:p>
    <w:p w14:paraId="36D3E0CD">
      <w:pPr>
        <w:snapToGrid w:val="0"/>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法定代表人（负责人）签字或盖章：</w:t>
      </w:r>
    </w:p>
    <w:p w14:paraId="2BFC46B7">
      <w:pPr>
        <w:snapToGrid w:val="0"/>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被授权人签名：                   授权人手机：</w:t>
      </w:r>
    </w:p>
    <w:p w14:paraId="7DBE4CC4">
      <w:pPr>
        <w:snapToGrid w:val="0"/>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被授权人身份证号码：</w:t>
      </w:r>
    </w:p>
    <w:p w14:paraId="1EF68DEA">
      <w:pPr>
        <w:snapToGrid w:val="0"/>
        <w:spacing w:line="360" w:lineRule="auto"/>
        <w:rPr>
          <w:rFonts w:hint="eastAsia" w:asciiTheme="minorEastAsia" w:hAnsiTheme="minorEastAsia" w:eastAsiaTheme="minorEastAsia"/>
          <w:color w:val="auto"/>
          <w:szCs w:val="21"/>
          <w:highlight w:val="none"/>
        </w:rPr>
      </w:pPr>
    </w:p>
    <w:p w14:paraId="41FADE09">
      <w:pPr>
        <w:snapToGrid w:val="0"/>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（公章）</w:t>
      </w:r>
    </w:p>
    <w:p w14:paraId="29A25DEA">
      <w:pPr>
        <w:snapToGrid w:val="0"/>
        <w:spacing w:line="360" w:lineRule="auto"/>
        <w:jc w:val="center"/>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日期：   年   月   日</w:t>
      </w:r>
    </w:p>
    <w:p w14:paraId="2D16BDDE">
      <w:pPr>
        <w:snapToGrid w:val="0"/>
        <w:spacing w:line="360" w:lineRule="auto"/>
        <w:rPr>
          <w:rFonts w:hint="eastAsia" w:asciiTheme="minorEastAsia" w:hAnsiTheme="minorEastAsia" w:eastAsiaTheme="minorEastAsia"/>
          <w:color w:val="auto"/>
          <w:szCs w:val="21"/>
          <w:highlight w:val="none"/>
        </w:rPr>
      </w:pPr>
    </w:p>
    <w:p w14:paraId="30B64934">
      <w:pPr>
        <w:snapToGrid w:val="0"/>
        <w:spacing w:line="360" w:lineRule="auto"/>
        <w:rPr>
          <w:rFonts w:hint="eastAsia" w:asciiTheme="minorEastAsia" w:hAnsiTheme="minorEastAsia" w:eastAsiaTheme="minorEastAsia"/>
          <w:color w:val="auto"/>
          <w:szCs w:val="21"/>
          <w:highlight w:val="none"/>
        </w:rPr>
      </w:pPr>
    </w:p>
    <w:p w14:paraId="592FF929">
      <w:pPr>
        <w:snapToGrid w:val="0"/>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法定代表人（负责人）身份证复印件（正反面）：</w:t>
      </w:r>
    </w:p>
    <w:p w14:paraId="606950D6">
      <w:pPr>
        <w:snapToGrid w:val="0"/>
        <w:spacing w:line="360" w:lineRule="auto"/>
        <w:rPr>
          <w:rFonts w:hint="eastAsia" w:asciiTheme="minorEastAsia" w:hAnsiTheme="minorEastAsia" w:eastAsiaTheme="minorEastAsia"/>
          <w:color w:val="auto"/>
          <w:szCs w:val="21"/>
          <w:highlight w:val="none"/>
        </w:rPr>
      </w:pPr>
    </w:p>
    <w:p w14:paraId="6AC3ED5F">
      <w:pPr>
        <w:snapToGrid w:val="0"/>
        <w:spacing w:line="360" w:lineRule="auto"/>
        <w:rPr>
          <w:rFonts w:hint="eastAsia" w:asciiTheme="minorEastAsia" w:hAnsiTheme="minorEastAsia" w:eastAsiaTheme="minorEastAsia"/>
          <w:color w:val="auto"/>
          <w:szCs w:val="21"/>
          <w:highlight w:val="none"/>
        </w:rPr>
      </w:pPr>
    </w:p>
    <w:p w14:paraId="3BEC0790">
      <w:pPr>
        <w:snapToGrid w:val="0"/>
        <w:spacing w:line="360" w:lineRule="auto"/>
        <w:rPr>
          <w:rFonts w:hint="eastAsia" w:asciiTheme="minorEastAsia" w:hAnsiTheme="minorEastAsia" w:eastAsiaTheme="minorEastAsia"/>
          <w:color w:val="auto"/>
          <w:szCs w:val="21"/>
          <w:highlight w:val="none"/>
        </w:rPr>
      </w:pPr>
    </w:p>
    <w:p w14:paraId="4BA8C31F">
      <w:pPr>
        <w:snapToGrid w:val="0"/>
        <w:spacing w:line="360" w:lineRule="auto"/>
        <w:rPr>
          <w:rFonts w:hint="eastAsia" w:asciiTheme="minorEastAsia" w:hAnsiTheme="minorEastAsia" w:eastAsiaTheme="minorEastAsia"/>
          <w:color w:val="auto"/>
          <w:szCs w:val="21"/>
          <w:highlight w:val="none"/>
        </w:rPr>
      </w:pPr>
    </w:p>
    <w:p w14:paraId="15A1FA7A">
      <w:pPr>
        <w:snapToGrid w:val="0"/>
        <w:spacing w:line="360" w:lineRule="auto"/>
        <w:rPr>
          <w:rFonts w:hint="eastAsia" w:asciiTheme="minorEastAsia" w:hAnsiTheme="minorEastAsia" w:eastAsiaTheme="minorEastAsia"/>
          <w:color w:val="auto"/>
          <w:szCs w:val="21"/>
          <w:highlight w:val="none"/>
        </w:rPr>
      </w:pPr>
    </w:p>
    <w:p w14:paraId="0E4F8876">
      <w:pPr>
        <w:snapToGrid w:val="0"/>
        <w:spacing w:line="360" w:lineRule="auto"/>
        <w:rPr>
          <w:rFonts w:hint="eastAsia" w:asciiTheme="minorEastAsia" w:hAnsiTheme="minorEastAsia" w:eastAsiaTheme="minorEastAsia"/>
          <w:color w:val="auto"/>
          <w:szCs w:val="21"/>
          <w:highlight w:val="none"/>
        </w:rPr>
      </w:pPr>
    </w:p>
    <w:p w14:paraId="70870C3B">
      <w:pPr>
        <w:snapToGrid w:val="0"/>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被授权人身份证复印件（正反面）：</w:t>
      </w:r>
    </w:p>
    <w:p w14:paraId="550D3017">
      <w:pPr>
        <w:snapToGrid w:val="0"/>
        <w:spacing w:line="360" w:lineRule="auto"/>
        <w:rPr>
          <w:rFonts w:hint="eastAsia" w:asciiTheme="minorEastAsia" w:hAnsiTheme="minorEastAsia" w:eastAsiaTheme="minorEastAsia"/>
          <w:color w:val="auto"/>
          <w:szCs w:val="21"/>
          <w:highlight w:val="none"/>
        </w:rPr>
      </w:pPr>
    </w:p>
    <w:p w14:paraId="2813534E">
      <w:pPr>
        <w:widowControl/>
        <w:spacing w:line="360" w:lineRule="auto"/>
        <w:jc w:val="left"/>
        <w:rPr>
          <w:rFonts w:hint="eastAsia" w:asciiTheme="minorEastAsia" w:hAnsiTheme="minorEastAsia" w:eastAsiaTheme="minorEastAsia"/>
          <w:b/>
          <w:color w:val="auto"/>
          <w:szCs w:val="21"/>
          <w:highlight w:val="none"/>
        </w:rPr>
      </w:pPr>
      <w:r>
        <w:rPr>
          <w:rFonts w:asciiTheme="minorEastAsia" w:hAnsiTheme="minorEastAsia" w:eastAsiaTheme="minorEastAsia"/>
          <w:b/>
          <w:color w:val="auto"/>
          <w:szCs w:val="21"/>
          <w:highlight w:val="none"/>
        </w:rPr>
        <w:br w:type="page"/>
      </w:r>
    </w:p>
    <w:p w14:paraId="5C8F960D">
      <w:pPr>
        <w:snapToGrid w:val="0"/>
        <w:spacing w:before="156" w:beforeLines="50" w:after="50" w:line="360" w:lineRule="auto"/>
        <w:outlineLvl w:val="1"/>
        <w:rPr>
          <w:rFonts w:hint="eastAsia" w:asciiTheme="minorEastAsia" w:hAnsiTheme="minorEastAsia" w:eastAsiaTheme="minorEastAsia"/>
          <w:b/>
          <w:bCs/>
          <w:color w:val="auto"/>
          <w:szCs w:val="21"/>
          <w:highlight w:val="none"/>
        </w:rPr>
      </w:pPr>
      <w:r>
        <w:rPr>
          <w:rFonts w:hint="eastAsia" w:asciiTheme="minorEastAsia" w:hAnsiTheme="minorEastAsia" w:eastAsiaTheme="minorEastAsia"/>
          <w:b/>
          <w:bCs/>
          <w:color w:val="auto"/>
          <w:szCs w:val="21"/>
          <w:highlight w:val="none"/>
        </w:rPr>
        <w:t>五、投标函格式</w:t>
      </w:r>
    </w:p>
    <w:p w14:paraId="42C73FA8">
      <w:pPr>
        <w:snapToGrid w:val="0"/>
        <w:spacing w:before="156" w:beforeLines="50" w:after="50" w:line="360" w:lineRule="auto"/>
        <w:rPr>
          <w:rFonts w:hint="eastAsia" w:asciiTheme="minorEastAsia" w:hAnsiTheme="minorEastAsia" w:eastAsiaTheme="minorEastAsia"/>
          <w:b/>
          <w:color w:val="auto"/>
          <w:szCs w:val="21"/>
          <w:highlight w:val="none"/>
        </w:rPr>
      </w:pPr>
    </w:p>
    <w:p w14:paraId="79BD0A03">
      <w:pPr>
        <w:snapToGrid w:val="0"/>
        <w:spacing w:before="156" w:beforeLines="50" w:after="50" w:line="360" w:lineRule="auto"/>
        <w:jc w:val="center"/>
        <w:rPr>
          <w:rFonts w:hint="eastAsia"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投 标 函</w:t>
      </w:r>
    </w:p>
    <w:p w14:paraId="032D7144">
      <w:pPr>
        <w:snapToGrid w:val="0"/>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致：</w:t>
      </w:r>
      <w:r>
        <w:rPr>
          <w:rFonts w:hint="eastAsia" w:ascii="宋体" w:hAnsi="宋体" w:eastAsia="宋体" w:cs="宋体"/>
          <w:b/>
          <w:color w:val="auto"/>
          <w:sz w:val="21"/>
          <w:szCs w:val="21"/>
          <w:highlight w:val="none"/>
        </w:rPr>
        <w:t>嘉兴经济技术开发区财政金融部（招标组织单位）</w:t>
      </w:r>
    </w:p>
    <w:p w14:paraId="5F43E269">
      <w:pPr>
        <w:snapToGrid w:val="0"/>
        <w:spacing w:line="360" w:lineRule="auto"/>
        <w:ind w:firstLine="480"/>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根据贵方</w:t>
      </w:r>
      <w:r>
        <w:rPr>
          <w:rFonts w:hint="eastAsia" w:asciiTheme="minorEastAsia" w:hAnsiTheme="minorEastAsia" w:eastAsiaTheme="minorEastAsia"/>
          <w:color w:val="auto"/>
          <w:szCs w:val="21"/>
          <w:highlight w:val="none"/>
          <w:u w:val="single"/>
          <w:lang w:eastAsia="zh-CN"/>
        </w:rPr>
        <w:t>2025年（第二期）</w:t>
      </w:r>
      <w:r>
        <w:rPr>
          <w:rFonts w:hint="eastAsia" w:asciiTheme="minorEastAsia" w:hAnsiTheme="minorEastAsia" w:eastAsiaTheme="minorEastAsia"/>
          <w:color w:val="auto"/>
          <w:szCs w:val="21"/>
          <w:highlight w:val="none"/>
          <w:u w:val="single"/>
        </w:rPr>
        <w:t>嘉兴经济技术开发区公共资金竞争性存放项目</w:t>
      </w:r>
      <w:r>
        <w:rPr>
          <w:rFonts w:hint="eastAsia" w:asciiTheme="minorEastAsia" w:hAnsiTheme="minorEastAsia" w:eastAsiaTheme="minorEastAsia"/>
          <w:color w:val="auto"/>
          <w:szCs w:val="21"/>
          <w:highlight w:val="none"/>
        </w:rPr>
        <w:t>的招标公告〔项目编号：</w:t>
      </w:r>
      <w:r>
        <w:rPr>
          <w:rFonts w:hint="eastAsia" w:asciiTheme="minorEastAsia" w:hAnsiTheme="minorEastAsia" w:eastAsiaTheme="minorEastAsia"/>
          <w:color w:val="auto"/>
          <w:szCs w:val="21"/>
          <w:highlight w:val="none"/>
          <w:u w:val="single"/>
          <w:lang w:eastAsia="zh-CN"/>
        </w:rPr>
        <w:t>定存（2025）02</w:t>
      </w:r>
      <w:r>
        <w:rPr>
          <w:rFonts w:hint="eastAsia" w:asciiTheme="minorEastAsia" w:hAnsiTheme="minorEastAsia" w:eastAsiaTheme="minorEastAsia"/>
          <w:color w:val="auto"/>
          <w:szCs w:val="21"/>
          <w:highlight w:val="none"/>
          <w:u w:val="single"/>
        </w:rPr>
        <w:t>〕</w:t>
      </w:r>
      <w:r>
        <w:rPr>
          <w:rFonts w:hint="eastAsia" w:asciiTheme="minorEastAsia" w:hAnsiTheme="minorEastAsia" w:eastAsiaTheme="minorEastAsia"/>
          <w:color w:val="auto"/>
          <w:szCs w:val="21"/>
          <w:highlight w:val="none"/>
        </w:rPr>
        <w:t>，被授权人</w:t>
      </w:r>
      <w:r>
        <w:rPr>
          <w:rFonts w:hint="eastAsia" w:asciiTheme="minorEastAsia" w:hAnsiTheme="minorEastAsia" w:eastAsiaTheme="minorEastAsia"/>
          <w:color w:val="auto"/>
          <w:szCs w:val="21"/>
          <w:highlight w:val="none"/>
          <w:u w:val="single"/>
        </w:rPr>
        <w:t xml:space="preserve">     </w:t>
      </w:r>
      <w:r>
        <w:rPr>
          <w:rFonts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u w:val="single"/>
        </w:rPr>
        <w:t xml:space="preserve"> </w:t>
      </w:r>
      <w:r>
        <w:rPr>
          <w:rFonts w:hint="eastAsia" w:asciiTheme="minorEastAsia" w:hAnsiTheme="minorEastAsia" w:eastAsiaTheme="minorEastAsia"/>
          <w:color w:val="auto"/>
          <w:szCs w:val="21"/>
          <w:highlight w:val="none"/>
        </w:rPr>
        <w:t>（姓名）经正式授权并代表投标人</w:t>
      </w:r>
      <w:r>
        <w:rPr>
          <w:rFonts w:hint="eastAsia" w:asciiTheme="minorEastAsia" w:hAnsiTheme="minorEastAsia" w:eastAsiaTheme="minorEastAsia"/>
          <w:color w:val="auto"/>
          <w:szCs w:val="21"/>
          <w:highlight w:val="none"/>
          <w:u w:val="single"/>
        </w:rPr>
        <w:t xml:space="preserve">_              </w:t>
      </w:r>
      <w:r>
        <w:rPr>
          <w:rFonts w:hint="eastAsia" w:asciiTheme="minorEastAsia" w:hAnsiTheme="minorEastAsia" w:eastAsiaTheme="minorEastAsia"/>
          <w:color w:val="auto"/>
          <w:szCs w:val="21"/>
          <w:highlight w:val="none"/>
        </w:rPr>
        <w:t>（投标人名称）提交资信技术文件及报价文件</w:t>
      </w:r>
      <w:r>
        <w:rPr>
          <w:rFonts w:hint="eastAsia" w:asciiTheme="minorEastAsia" w:hAnsiTheme="minorEastAsia" w:eastAsiaTheme="minorEastAsia"/>
          <w:color w:val="auto"/>
          <w:szCs w:val="21"/>
          <w:highlight w:val="none"/>
          <w:u w:val="single"/>
        </w:rPr>
        <w:t>正本一份、副本一份</w:t>
      </w:r>
      <w:r>
        <w:rPr>
          <w:rFonts w:hint="eastAsia" w:asciiTheme="minorEastAsia" w:hAnsiTheme="minorEastAsia" w:eastAsiaTheme="minorEastAsia"/>
          <w:color w:val="auto"/>
          <w:szCs w:val="21"/>
          <w:highlight w:val="none"/>
        </w:rPr>
        <w:t>。</w:t>
      </w:r>
    </w:p>
    <w:p w14:paraId="3626C378">
      <w:pPr>
        <w:snapToGrid w:val="0"/>
        <w:spacing w:line="360" w:lineRule="auto"/>
        <w:ind w:firstLine="420" w:firstLineChars="200"/>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据此函，签字代表宣布同意如下：</w:t>
      </w:r>
    </w:p>
    <w:p w14:paraId="48F01022">
      <w:pPr>
        <w:pStyle w:val="62"/>
        <w:numPr>
          <w:ilvl w:val="2"/>
          <w:numId w:val="35"/>
        </w:numPr>
        <w:tabs>
          <w:tab w:val="left" w:pos="709"/>
        </w:tabs>
        <w:snapToGrid w:val="0"/>
        <w:spacing w:line="360" w:lineRule="auto"/>
        <w:ind w:left="0" w:firstLine="426" w:firstLineChars="0"/>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投标人已详细审查全部“招标文件”，包括修改文件（如有的话）以及全部参考资料和有关附件，已经了解我方对于招标文件、招标过程、招标结果有依法进行询问、质疑、投诉的权利及相关渠道和要求。</w:t>
      </w:r>
    </w:p>
    <w:p w14:paraId="1639BCE2">
      <w:pPr>
        <w:pStyle w:val="62"/>
        <w:numPr>
          <w:ilvl w:val="2"/>
          <w:numId w:val="35"/>
        </w:numPr>
        <w:tabs>
          <w:tab w:val="left" w:pos="709"/>
        </w:tabs>
        <w:snapToGrid w:val="0"/>
        <w:spacing w:line="360" w:lineRule="auto"/>
        <w:ind w:left="0" w:firstLine="426" w:firstLineChars="0"/>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投标人在投标之前已经与贵方进行了充分的沟通，完全理解并接受招标文件的各项规定和要求，对招标文件的合理性、合法性不再有异议。</w:t>
      </w:r>
    </w:p>
    <w:p w14:paraId="0FE8BCBE">
      <w:pPr>
        <w:pStyle w:val="62"/>
        <w:numPr>
          <w:ilvl w:val="2"/>
          <w:numId w:val="35"/>
        </w:numPr>
        <w:tabs>
          <w:tab w:val="left" w:pos="709"/>
        </w:tabs>
        <w:snapToGrid w:val="0"/>
        <w:spacing w:line="360" w:lineRule="auto"/>
        <w:ind w:left="0" w:firstLine="426" w:firstLineChars="0"/>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本投标有效期自开标日起60日。</w:t>
      </w:r>
    </w:p>
    <w:p w14:paraId="368BD954">
      <w:pPr>
        <w:pStyle w:val="62"/>
        <w:numPr>
          <w:ilvl w:val="2"/>
          <w:numId w:val="35"/>
        </w:numPr>
        <w:tabs>
          <w:tab w:val="left" w:pos="709"/>
        </w:tabs>
        <w:snapToGrid w:val="0"/>
        <w:spacing w:line="360" w:lineRule="auto"/>
        <w:ind w:left="0" w:firstLine="426" w:firstLineChars="0"/>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如中标，本投标文件至本项目合同履行完毕止均保持有效，本投标人将按“招标文件”及招投标法律、法规的规定履行合同责任和义务。</w:t>
      </w:r>
    </w:p>
    <w:p w14:paraId="682708D5">
      <w:pPr>
        <w:pStyle w:val="62"/>
        <w:numPr>
          <w:ilvl w:val="2"/>
          <w:numId w:val="35"/>
        </w:numPr>
        <w:tabs>
          <w:tab w:val="left" w:pos="709"/>
        </w:tabs>
        <w:snapToGrid w:val="0"/>
        <w:spacing w:line="360" w:lineRule="auto"/>
        <w:ind w:left="0" w:firstLine="426" w:firstLineChars="0"/>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投标人同意按照贵方要求提供与投标有关的一切数据或资料。</w:t>
      </w:r>
    </w:p>
    <w:p w14:paraId="0B39475E">
      <w:pPr>
        <w:pStyle w:val="62"/>
        <w:numPr>
          <w:ilvl w:val="2"/>
          <w:numId w:val="35"/>
        </w:numPr>
        <w:tabs>
          <w:tab w:val="left" w:pos="709"/>
        </w:tabs>
        <w:snapToGrid w:val="0"/>
        <w:spacing w:line="360" w:lineRule="auto"/>
        <w:ind w:left="0" w:firstLine="426" w:firstLineChars="0"/>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与本投标有关的一切正式往来信函请寄：</w:t>
      </w:r>
    </w:p>
    <w:p w14:paraId="7019A52E">
      <w:pPr>
        <w:snapToGrid w:val="0"/>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地址：___________________邮编：_________传真：____________</w:t>
      </w:r>
    </w:p>
    <w:p w14:paraId="51EB0910">
      <w:pPr>
        <w:snapToGrid w:val="0"/>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被授权人姓名：_________________  电话：_________________</w:t>
      </w:r>
    </w:p>
    <w:p w14:paraId="385CA388">
      <w:pPr>
        <w:snapToGrid w:val="0"/>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 xml:space="preserve">被授权人签字:_________________   </w:t>
      </w:r>
    </w:p>
    <w:p w14:paraId="1915198C">
      <w:pPr>
        <w:snapToGrid w:val="0"/>
        <w:spacing w:line="360" w:lineRule="auto"/>
        <w:jc w:val="left"/>
        <w:rPr>
          <w:rFonts w:hint="eastAsia" w:asciiTheme="minorEastAsia" w:hAnsiTheme="minorEastAsia" w:eastAsiaTheme="minorEastAsia"/>
          <w:color w:val="auto"/>
          <w:szCs w:val="21"/>
          <w:highlight w:val="none"/>
        </w:rPr>
      </w:pPr>
    </w:p>
    <w:p w14:paraId="371F835B">
      <w:pPr>
        <w:snapToGrid w:val="0"/>
        <w:spacing w:line="360" w:lineRule="auto"/>
        <w:jc w:val="left"/>
        <w:rPr>
          <w:rFonts w:hint="eastAsia" w:asciiTheme="minorEastAsia" w:hAnsiTheme="minorEastAsia" w:eastAsiaTheme="minorEastAsia"/>
          <w:color w:val="auto"/>
          <w:szCs w:val="21"/>
          <w:highlight w:val="none"/>
        </w:rPr>
      </w:pPr>
    </w:p>
    <w:p w14:paraId="441F8397">
      <w:pPr>
        <w:snapToGrid w:val="0"/>
        <w:spacing w:line="360" w:lineRule="auto"/>
        <w:jc w:val="left"/>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(公章)</w:t>
      </w:r>
    </w:p>
    <w:p w14:paraId="282B79A0">
      <w:pPr>
        <w:snapToGrid w:val="0"/>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 xml:space="preserve">日期: </w:t>
      </w:r>
      <w:r>
        <w:rPr>
          <w:rFonts w:asciiTheme="minorEastAsia" w:hAnsiTheme="minorEastAsia" w:eastAsiaTheme="minorEastAsia"/>
          <w:color w:val="auto"/>
          <w:szCs w:val="21"/>
          <w:highlight w:val="none"/>
        </w:rPr>
        <w:t xml:space="preserve"> </w:t>
      </w:r>
      <w:r>
        <w:rPr>
          <w:rFonts w:hint="eastAsia" w:asciiTheme="minorEastAsia" w:hAnsiTheme="minorEastAsia" w:eastAsiaTheme="minorEastAsia"/>
          <w:color w:val="auto"/>
          <w:szCs w:val="21"/>
          <w:highlight w:val="none"/>
        </w:rPr>
        <w:t xml:space="preserve">  年   月   日</w:t>
      </w:r>
    </w:p>
    <w:p w14:paraId="48C0316B">
      <w:pPr>
        <w:widowControl/>
        <w:spacing w:line="360" w:lineRule="auto"/>
        <w:jc w:val="left"/>
        <w:rPr>
          <w:rFonts w:hint="eastAsia" w:asciiTheme="minorEastAsia" w:hAnsiTheme="minorEastAsia" w:eastAsiaTheme="minorEastAsia"/>
          <w:b/>
          <w:color w:val="auto"/>
          <w:szCs w:val="21"/>
          <w:highlight w:val="none"/>
        </w:rPr>
      </w:pPr>
      <w:r>
        <w:rPr>
          <w:rFonts w:asciiTheme="minorEastAsia" w:hAnsiTheme="minorEastAsia" w:eastAsiaTheme="minorEastAsia"/>
          <w:b/>
          <w:color w:val="auto"/>
          <w:szCs w:val="21"/>
          <w:highlight w:val="none"/>
        </w:rPr>
        <w:br w:type="page"/>
      </w:r>
    </w:p>
    <w:p w14:paraId="285C1BCC">
      <w:pPr>
        <w:snapToGrid w:val="0"/>
        <w:spacing w:before="156" w:beforeLines="50" w:after="50" w:line="360" w:lineRule="auto"/>
        <w:outlineLvl w:val="1"/>
        <w:rPr>
          <w:rFonts w:hint="eastAsia" w:asciiTheme="minorEastAsia" w:hAnsiTheme="minorEastAsia" w:eastAsiaTheme="minorEastAsia"/>
          <w:b/>
          <w:bCs/>
          <w:color w:val="auto"/>
          <w:szCs w:val="21"/>
          <w:highlight w:val="none"/>
        </w:rPr>
      </w:pPr>
      <w:r>
        <w:rPr>
          <w:rFonts w:hint="eastAsia" w:asciiTheme="minorEastAsia" w:hAnsiTheme="minorEastAsia" w:eastAsiaTheme="minorEastAsia"/>
          <w:b/>
          <w:bCs/>
          <w:color w:val="auto"/>
          <w:szCs w:val="21"/>
          <w:highlight w:val="none"/>
        </w:rPr>
        <w:t>六、廉政承诺书格式</w:t>
      </w:r>
    </w:p>
    <w:p w14:paraId="288D93E9">
      <w:pPr>
        <w:snapToGrid w:val="0"/>
        <w:spacing w:before="50" w:after="156" w:afterLines="50" w:line="360" w:lineRule="auto"/>
        <w:jc w:val="left"/>
        <w:rPr>
          <w:rFonts w:hint="eastAsia" w:asciiTheme="minorEastAsia" w:hAnsiTheme="minorEastAsia" w:eastAsiaTheme="minorEastAsia"/>
          <w:color w:val="auto"/>
          <w:szCs w:val="21"/>
          <w:highlight w:val="none"/>
        </w:rPr>
      </w:pPr>
    </w:p>
    <w:p w14:paraId="4A15F53A">
      <w:pPr>
        <w:spacing w:line="360" w:lineRule="auto"/>
        <w:jc w:val="center"/>
        <w:rPr>
          <w:rFonts w:hint="eastAsia" w:cs="方正小标宋简体" w:asciiTheme="minorEastAsia" w:hAnsiTheme="minorEastAsia" w:eastAsiaTheme="minorEastAsia"/>
          <w:b/>
          <w:color w:val="auto"/>
          <w:szCs w:val="21"/>
          <w:highlight w:val="none"/>
        </w:rPr>
      </w:pPr>
      <w:r>
        <w:rPr>
          <w:rFonts w:hint="eastAsia" w:cs="方正小标宋简体" w:asciiTheme="minorEastAsia" w:hAnsiTheme="minorEastAsia" w:eastAsiaTheme="minorEastAsia"/>
          <w:b/>
          <w:color w:val="auto"/>
          <w:szCs w:val="21"/>
          <w:highlight w:val="none"/>
        </w:rPr>
        <w:t>廉政承诺书</w:t>
      </w:r>
    </w:p>
    <w:p w14:paraId="285DFDF0">
      <w:pPr>
        <w:spacing w:line="360" w:lineRule="auto"/>
        <w:jc w:val="center"/>
        <w:rPr>
          <w:rFonts w:hint="eastAsia" w:cs="仿宋_GB2312" w:asciiTheme="minorEastAsia" w:hAnsiTheme="minorEastAsia" w:eastAsiaTheme="minorEastAsia"/>
          <w:color w:val="auto"/>
          <w:szCs w:val="21"/>
          <w:highlight w:val="none"/>
        </w:rPr>
      </w:pPr>
    </w:p>
    <w:p w14:paraId="3E3C2755">
      <w:pPr>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致：</w:t>
      </w:r>
      <w:r>
        <w:rPr>
          <w:rFonts w:hint="eastAsia" w:ascii="宋体" w:hAnsi="宋体" w:eastAsia="宋体" w:cs="宋体"/>
          <w:b/>
          <w:color w:val="auto"/>
          <w:sz w:val="21"/>
          <w:szCs w:val="21"/>
          <w:highlight w:val="none"/>
        </w:rPr>
        <w:t>嘉兴经济技术开发区财政金融部（招标组织单位）</w:t>
      </w:r>
    </w:p>
    <w:p w14:paraId="3B5CFCC6">
      <w:pPr>
        <w:spacing w:line="360" w:lineRule="auto"/>
        <w:ind w:firstLine="420" w:firstLineChars="200"/>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根据《嘉兴经济技术开发区、嘉兴国际商务区区级财政部门和预算单位资金存放管理实施办法》（嘉开财〔2018〕152号）相关规定，现就本行参加贵单位</w:t>
      </w:r>
      <w:r>
        <w:rPr>
          <w:rFonts w:hint="eastAsia" w:asciiTheme="minorEastAsia" w:hAnsiTheme="minorEastAsia" w:eastAsiaTheme="minorEastAsia"/>
          <w:color w:val="auto"/>
          <w:szCs w:val="21"/>
          <w:highlight w:val="none"/>
          <w:lang w:eastAsia="zh-CN"/>
        </w:rPr>
        <w:t>2025年（第二期）</w:t>
      </w:r>
      <w:r>
        <w:rPr>
          <w:rFonts w:hint="eastAsia" w:asciiTheme="minorEastAsia" w:hAnsiTheme="minorEastAsia" w:eastAsiaTheme="minorEastAsia"/>
          <w:color w:val="auto"/>
          <w:szCs w:val="21"/>
          <w:highlight w:val="none"/>
        </w:rPr>
        <w:t>嘉兴经济技术开发区公共资金竞争性存放作出如下承诺：</w:t>
      </w:r>
    </w:p>
    <w:p w14:paraId="6324B496">
      <w:pPr>
        <w:spacing w:line="360" w:lineRule="auto"/>
        <w:rPr>
          <w:rFonts w:hint="eastAsia"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 xml:space="preserve">    1.</w:t>
      </w:r>
      <w:r>
        <w:rPr>
          <w:rFonts w:hint="eastAsia" w:asciiTheme="minorEastAsia" w:hAnsiTheme="minorEastAsia" w:eastAsiaTheme="minorEastAsia"/>
          <w:color w:val="auto"/>
          <w:szCs w:val="21"/>
          <w:highlight w:val="none"/>
        </w:rPr>
        <w:t>不向贵部门（单位）负责资金存放管理的领导及相关人员进行利益输送；</w:t>
      </w:r>
    </w:p>
    <w:p w14:paraId="411EC854">
      <w:pPr>
        <w:spacing w:line="360" w:lineRule="auto"/>
        <w:ind w:firstLine="420" w:firstLineChars="200"/>
        <w:rPr>
          <w:rFonts w:hint="eastAsia"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2.</w:t>
      </w:r>
      <w:r>
        <w:rPr>
          <w:rFonts w:hint="eastAsia" w:asciiTheme="minorEastAsia" w:hAnsiTheme="minorEastAsia" w:eastAsiaTheme="minorEastAsia"/>
          <w:color w:val="auto"/>
          <w:szCs w:val="21"/>
          <w:highlight w:val="none"/>
        </w:rPr>
        <w:t>不将资金存放与贵部门（单位）负责资金存放管理的领导及相关人员在本行的配偶、子女及其配偶和其他直接利益相关人员的业绩、收入、晋升等利益挂钩；</w:t>
      </w:r>
    </w:p>
    <w:p w14:paraId="33775CAD">
      <w:pPr>
        <w:spacing w:line="360" w:lineRule="auto"/>
        <w:ind w:firstLine="420" w:firstLineChars="200"/>
        <w:rPr>
          <w:rFonts w:hint="eastAsia"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3.</w:t>
      </w:r>
      <w:r>
        <w:rPr>
          <w:rFonts w:hint="eastAsia" w:asciiTheme="minorEastAsia" w:hAnsiTheme="minorEastAsia" w:eastAsiaTheme="minorEastAsia"/>
          <w:color w:val="auto"/>
          <w:szCs w:val="21"/>
          <w:highlight w:val="none"/>
        </w:rPr>
        <w:t>各主管部门自行组织或委托招标代理机构组织实施资金竞争性存放的，严格执行利益回避制度，贵部门（单位）负责资金竞争性存放相关人员的配偶、子女及其配偶和其他直接利益相关人员为本行工作人员的，不参与资金竞争性存放工作；</w:t>
      </w:r>
    </w:p>
    <w:p w14:paraId="10153A89">
      <w:pPr>
        <w:spacing w:line="360" w:lineRule="auto"/>
        <w:rPr>
          <w:rFonts w:hint="eastAsia" w:asciiTheme="minorEastAsia" w:hAnsiTheme="minorEastAsia" w:eastAsiaTheme="minorEastAsia"/>
          <w:color w:val="auto"/>
          <w:szCs w:val="21"/>
          <w:highlight w:val="none"/>
        </w:rPr>
      </w:pPr>
      <w:r>
        <w:rPr>
          <w:rFonts w:asciiTheme="minorEastAsia" w:hAnsiTheme="minorEastAsia" w:eastAsiaTheme="minorEastAsia"/>
          <w:color w:val="auto"/>
          <w:szCs w:val="21"/>
          <w:highlight w:val="none"/>
        </w:rPr>
        <w:t xml:space="preserve">    4.</w:t>
      </w:r>
      <w:r>
        <w:rPr>
          <w:rFonts w:hint="eastAsia" w:asciiTheme="minorEastAsia" w:hAnsiTheme="minorEastAsia" w:eastAsiaTheme="minorEastAsia"/>
          <w:color w:val="auto"/>
          <w:szCs w:val="21"/>
          <w:highlight w:val="none"/>
        </w:rPr>
        <w:t>不发生除上述行为之外的其他任何利益输送行为。</w:t>
      </w:r>
    </w:p>
    <w:p w14:paraId="53D69AFA">
      <w:pPr>
        <w:spacing w:line="360" w:lineRule="auto"/>
        <w:ind w:firstLine="420" w:firstLineChars="200"/>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未遵守以上承诺的，本行自愿接受财政部门通报和处理，承担相应的一切后果。</w:t>
      </w:r>
    </w:p>
    <w:p w14:paraId="2533A46B">
      <w:pPr>
        <w:spacing w:line="360" w:lineRule="auto"/>
        <w:ind w:firstLine="630"/>
        <w:rPr>
          <w:rFonts w:hint="eastAsia" w:asciiTheme="minorEastAsia" w:hAnsiTheme="minorEastAsia" w:eastAsiaTheme="minorEastAsia"/>
          <w:color w:val="auto"/>
          <w:szCs w:val="21"/>
          <w:highlight w:val="none"/>
        </w:rPr>
      </w:pPr>
    </w:p>
    <w:p w14:paraId="5577EE19">
      <w:pPr>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投标人公章：</w:t>
      </w:r>
      <w:r>
        <w:rPr>
          <w:rFonts w:asciiTheme="minorEastAsia" w:hAnsiTheme="minorEastAsia" w:eastAsiaTheme="minorEastAsia"/>
          <w:color w:val="auto"/>
          <w:szCs w:val="21"/>
          <w:highlight w:val="none"/>
        </w:rPr>
        <w:t>________</w:t>
      </w:r>
      <w:r>
        <w:rPr>
          <w:rFonts w:hint="eastAsia" w:asciiTheme="minorEastAsia" w:hAnsiTheme="minorEastAsia" w:eastAsiaTheme="minorEastAsia"/>
          <w:color w:val="auto"/>
          <w:szCs w:val="21"/>
          <w:highlight w:val="none"/>
        </w:rPr>
        <w:t>_____</w:t>
      </w:r>
      <w:r>
        <w:rPr>
          <w:rFonts w:asciiTheme="minorEastAsia" w:hAnsiTheme="minorEastAsia" w:eastAsiaTheme="minorEastAsia"/>
          <w:color w:val="auto"/>
          <w:szCs w:val="21"/>
          <w:highlight w:val="none"/>
        </w:rPr>
        <w:t>_</w:t>
      </w:r>
    </w:p>
    <w:p w14:paraId="643EC345">
      <w:pPr>
        <w:spacing w:line="360" w:lineRule="auto"/>
        <w:rPr>
          <w:rFonts w:hint="eastAsia" w:asciiTheme="minorEastAsia" w:hAnsiTheme="minorEastAsia" w:eastAsiaTheme="minorEastAsia"/>
          <w:color w:val="auto"/>
          <w:szCs w:val="21"/>
          <w:highlight w:val="none"/>
        </w:rPr>
      </w:pPr>
    </w:p>
    <w:p w14:paraId="77F99022">
      <w:pPr>
        <w:snapToGrid w:val="0"/>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日期:   年   月   日</w:t>
      </w:r>
    </w:p>
    <w:p w14:paraId="4696AFAA">
      <w:pPr>
        <w:spacing w:line="360" w:lineRule="auto"/>
        <w:ind w:firstLine="630" w:firstLineChars="300"/>
        <w:rPr>
          <w:rFonts w:hint="eastAsia" w:asciiTheme="minorEastAsia" w:hAnsiTheme="minorEastAsia" w:eastAsiaTheme="minorEastAsia"/>
          <w:color w:val="auto"/>
          <w:szCs w:val="21"/>
          <w:highlight w:val="none"/>
        </w:rPr>
      </w:pPr>
    </w:p>
    <w:p w14:paraId="0994B94C">
      <w:pPr>
        <w:pStyle w:val="22"/>
        <w:snapToGrid w:val="0"/>
        <w:spacing w:beforeLines="0" w:afterLines="0" w:line="360" w:lineRule="auto"/>
        <w:rPr>
          <w:rFonts w:hint="eastAsia" w:asciiTheme="minorEastAsia" w:hAnsiTheme="minorEastAsia" w:eastAsiaTheme="minorEastAsia"/>
          <w:b/>
          <w:color w:val="auto"/>
          <w:sz w:val="21"/>
          <w:szCs w:val="21"/>
          <w:highlight w:val="none"/>
        </w:rPr>
      </w:pPr>
    </w:p>
    <w:p w14:paraId="4A02DAF7">
      <w:pPr>
        <w:pStyle w:val="22"/>
        <w:snapToGrid w:val="0"/>
        <w:spacing w:beforeLines="0" w:afterLines="0" w:line="360" w:lineRule="auto"/>
        <w:rPr>
          <w:rFonts w:hint="eastAsia" w:asciiTheme="minorEastAsia" w:hAnsiTheme="minorEastAsia" w:eastAsiaTheme="minorEastAsia"/>
          <w:b/>
          <w:color w:val="auto"/>
          <w:sz w:val="21"/>
          <w:szCs w:val="21"/>
          <w:highlight w:val="none"/>
        </w:rPr>
      </w:pPr>
    </w:p>
    <w:p w14:paraId="7E59D237">
      <w:pPr>
        <w:pStyle w:val="22"/>
        <w:snapToGrid w:val="0"/>
        <w:spacing w:beforeLines="0" w:afterLines="0" w:line="360" w:lineRule="auto"/>
        <w:rPr>
          <w:rFonts w:hint="eastAsia" w:asciiTheme="minorEastAsia" w:hAnsiTheme="minorEastAsia" w:eastAsiaTheme="minorEastAsia"/>
          <w:b/>
          <w:color w:val="auto"/>
          <w:sz w:val="21"/>
          <w:szCs w:val="21"/>
          <w:highlight w:val="none"/>
        </w:rPr>
      </w:pPr>
    </w:p>
    <w:p w14:paraId="4632DF5B">
      <w:pPr>
        <w:pStyle w:val="22"/>
        <w:snapToGrid w:val="0"/>
        <w:spacing w:beforeLines="0" w:afterLines="0" w:line="360" w:lineRule="auto"/>
        <w:rPr>
          <w:rFonts w:hint="eastAsia" w:asciiTheme="minorEastAsia" w:hAnsiTheme="minorEastAsia" w:eastAsiaTheme="minorEastAsia"/>
          <w:b/>
          <w:color w:val="auto"/>
          <w:sz w:val="21"/>
          <w:szCs w:val="21"/>
          <w:highlight w:val="none"/>
        </w:rPr>
      </w:pPr>
    </w:p>
    <w:p w14:paraId="6EC227E4">
      <w:pPr>
        <w:pStyle w:val="22"/>
        <w:snapToGrid w:val="0"/>
        <w:spacing w:beforeLines="0" w:afterLines="0" w:line="360" w:lineRule="auto"/>
        <w:rPr>
          <w:rFonts w:hint="eastAsia" w:asciiTheme="minorEastAsia" w:hAnsiTheme="minorEastAsia" w:eastAsiaTheme="minorEastAsia"/>
          <w:b/>
          <w:color w:val="auto"/>
          <w:sz w:val="21"/>
          <w:szCs w:val="21"/>
          <w:highlight w:val="none"/>
        </w:rPr>
      </w:pPr>
    </w:p>
    <w:p w14:paraId="48E627D8">
      <w:pPr>
        <w:pStyle w:val="22"/>
        <w:snapToGrid w:val="0"/>
        <w:spacing w:beforeLines="0" w:afterLines="0" w:line="360" w:lineRule="auto"/>
        <w:rPr>
          <w:rFonts w:hint="eastAsia" w:asciiTheme="minorEastAsia" w:hAnsiTheme="minorEastAsia" w:eastAsiaTheme="minorEastAsia"/>
          <w:b/>
          <w:color w:val="auto"/>
          <w:sz w:val="21"/>
          <w:szCs w:val="21"/>
          <w:highlight w:val="none"/>
        </w:rPr>
        <w:sectPr>
          <w:pgSz w:w="11907" w:h="16840"/>
          <w:pgMar w:top="1440" w:right="1797" w:bottom="1440" w:left="1797" w:header="851" w:footer="851" w:gutter="0"/>
          <w:cols w:space="425" w:num="1"/>
          <w:titlePg/>
          <w:docGrid w:type="lines" w:linePitch="312" w:charSpace="0"/>
        </w:sectPr>
      </w:pPr>
    </w:p>
    <w:p w14:paraId="534113B6">
      <w:pPr>
        <w:snapToGrid w:val="0"/>
        <w:spacing w:before="156" w:beforeLines="50" w:after="50" w:line="360" w:lineRule="auto"/>
        <w:outlineLvl w:val="1"/>
        <w:rPr>
          <w:rFonts w:hint="eastAsia" w:asciiTheme="minorEastAsia" w:hAnsiTheme="minorEastAsia" w:eastAsiaTheme="minorEastAsia"/>
          <w:b/>
          <w:bCs/>
          <w:color w:val="auto"/>
          <w:szCs w:val="21"/>
          <w:highlight w:val="none"/>
        </w:rPr>
      </w:pPr>
      <w:r>
        <w:rPr>
          <w:rFonts w:hint="eastAsia" w:asciiTheme="minorEastAsia" w:hAnsiTheme="minorEastAsia" w:eastAsiaTheme="minorEastAsia"/>
          <w:b/>
          <w:bCs/>
          <w:color w:val="auto"/>
          <w:szCs w:val="21"/>
          <w:highlight w:val="none"/>
        </w:rPr>
        <w:t>七、投标报价表格式</w:t>
      </w:r>
    </w:p>
    <w:p w14:paraId="5FCDB675">
      <w:pPr>
        <w:spacing w:line="360" w:lineRule="auto"/>
        <w:ind w:firstLine="422" w:firstLineChars="200"/>
        <w:jc w:val="center"/>
        <w:rPr>
          <w:rFonts w:hint="eastAsia"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lang w:eastAsia="zh-CN"/>
        </w:rPr>
        <w:t>2025年（第二期）</w:t>
      </w:r>
      <w:r>
        <w:rPr>
          <w:rFonts w:hint="eastAsia" w:asciiTheme="minorEastAsia" w:hAnsiTheme="minorEastAsia" w:eastAsiaTheme="minorEastAsia"/>
          <w:b/>
          <w:color w:val="auto"/>
          <w:szCs w:val="21"/>
          <w:highlight w:val="none"/>
        </w:rPr>
        <w:t>嘉兴经济技术开发区公共资金竞争性存放项目</w:t>
      </w:r>
    </w:p>
    <w:p w14:paraId="12FA8609">
      <w:pPr>
        <w:spacing w:line="360" w:lineRule="auto"/>
        <w:ind w:firstLine="422" w:firstLineChars="200"/>
        <w:jc w:val="center"/>
        <w:rPr>
          <w:rFonts w:hint="eastAsia" w:asciiTheme="minorEastAsia" w:hAnsiTheme="minorEastAsia" w:eastAsiaTheme="minorEastAsia"/>
          <w:b/>
          <w:color w:val="auto"/>
          <w:szCs w:val="21"/>
          <w:highlight w:val="none"/>
        </w:rPr>
      </w:pPr>
      <w:r>
        <w:rPr>
          <w:rFonts w:hint="eastAsia" w:asciiTheme="minorEastAsia" w:hAnsiTheme="minorEastAsia" w:eastAsiaTheme="minorEastAsia"/>
          <w:b/>
          <w:color w:val="auto"/>
          <w:szCs w:val="21"/>
          <w:highlight w:val="none"/>
        </w:rPr>
        <w:t>投标报价一览表</w:t>
      </w:r>
    </w:p>
    <w:p w14:paraId="161F96D3">
      <w:pPr>
        <w:spacing w:line="360" w:lineRule="auto"/>
        <w:jc w:val="center"/>
        <w:rPr>
          <w:rFonts w:hint="eastAsia" w:asciiTheme="minorEastAsia" w:hAnsiTheme="minorEastAsia" w:eastAsiaTheme="minorEastAsia"/>
          <w:color w:val="auto"/>
          <w:szCs w:val="21"/>
          <w:highlight w:val="none"/>
          <w:u w:val="single"/>
        </w:rPr>
      </w:pPr>
    </w:p>
    <w:p w14:paraId="6CEBE8FD">
      <w:pPr>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致：</w:t>
      </w:r>
      <w:r>
        <w:rPr>
          <w:rFonts w:hint="eastAsia" w:ascii="宋体" w:hAnsi="宋体" w:eastAsia="宋体" w:cs="宋体"/>
          <w:b/>
          <w:color w:val="auto"/>
          <w:sz w:val="21"/>
          <w:szCs w:val="21"/>
          <w:highlight w:val="none"/>
        </w:rPr>
        <w:t>嘉兴经济技术开发区财政金融部（招标组织单位）</w:t>
      </w:r>
    </w:p>
    <w:p w14:paraId="3F3B4090">
      <w:pPr>
        <w:spacing w:line="360" w:lineRule="auto"/>
        <w:ind w:firstLine="420" w:firstLineChars="200"/>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我单位承诺：本投标书由我单位被授权人填写，内容真实、准确、完整。</w:t>
      </w:r>
    </w:p>
    <w:p w14:paraId="6C6D30EF">
      <w:pPr>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投标人名称：________________________________________________</w:t>
      </w:r>
    </w:p>
    <w:p w14:paraId="3F860A4D">
      <w:pPr>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被授权人姓名：___________________ 联系电话：________________</w:t>
      </w:r>
    </w:p>
    <w:p w14:paraId="49247F20">
      <w:pPr>
        <w:spacing w:line="360" w:lineRule="auto"/>
        <w:rPr>
          <w:rFonts w:hint="eastAsia" w:asciiTheme="minorEastAsia" w:hAnsiTheme="minorEastAsia" w:eastAsiaTheme="minorEastAsia"/>
          <w:color w:val="auto"/>
          <w:szCs w:val="21"/>
          <w:highlight w:val="none"/>
        </w:rPr>
      </w:pPr>
    </w:p>
    <w:tbl>
      <w:tblPr>
        <w:tblStyle w:val="39"/>
        <w:tblW w:w="777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93"/>
        <w:gridCol w:w="1984"/>
        <w:gridCol w:w="2268"/>
        <w:gridCol w:w="1431"/>
      </w:tblGrid>
      <w:tr w14:paraId="244F0B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trPr>
        <w:tc>
          <w:tcPr>
            <w:tcW w:w="2093" w:type="dxa"/>
            <w:vAlign w:val="center"/>
          </w:tcPr>
          <w:p w14:paraId="47707941">
            <w:pPr>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（存期）</w:t>
            </w:r>
          </w:p>
        </w:tc>
        <w:tc>
          <w:tcPr>
            <w:tcW w:w="1984" w:type="dxa"/>
            <w:vAlign w:val="center"/>
          </w:tcPr>
          <w:p w14:paraId="6FFC265A">
            <w:pPr>
              <w:spacing w:line="360" w:lineRule="auto"/>
              <w:ind w:right="84" w:rightChars="40"/>
              <w:rPr>
                <w:rFonts w:hint="eastAsia" w:asciiTheme="minorEastAsia" w:hAnsiTheme="minorEastAsia" w:eastAsiaTheme="minorEastAsia"/>
                <w:color w:val="auto"/>
                <w:szCs w:val="21"/>
                <w:highlight w:val="none"/>
              </w:rPr>
            </w:pPr>
            <w:r>
              <w:rPr>
                <w:rFonts w:hint="eastAsia" w:ascii="宋体" w:hAnsi="宋体"/>
                <w:color w:val="auto"/>
                <w:szCs w:val="21"/>
                <w:highlight w:val="none"/>
              </w:rPr>
              <w:t>央行基准利率</w:t>
            </w:r>
          </w:p>
        </w:tc>
        <w:tc>
          <w:tcPr>
            <w:tcW w:w="2268" w:type="dxa"/>
            <w:vAlign w:val="center"/>
          </w:tcPr>
          <w:p w14:paraId="217EF6C6">
            <w:pPr>
              <w:spacing w:line="360" w:lineRule="auto"/>
              <w:ind w:right="84" w:rightChars="40"/>
              <w:rPr>
                <w:rFonts w:hint="eastAsia" w:asciiTheme="minorEastAsia" w:hAnsiTheme="minorEastAsia" w:eastAsiaTheme="minorEastAsia"/>
                <w:color w:val="auto"/>
                <w:szCs w:val="21"/>
                <w:highlight w:val="none"/>
              </w:rPr>
            </w:pPr>
            <w:r>
              <w:rPr>
                <w:rFonts w:hint="eastAsia" w:ascii="宋体" w:hAnsi="宋体"/>
                <w:color w:val="auto"/>
                <w:szCs w:val="21"/>
                <w:highlight w:val="none"/>
              </w:rPr>
              <w:t>上浮基点（BP）</w:t>
            </w:r>
          </w:p>
        </w:tc>
        <w:tc>
          <w:tcPr>
            <w:tcW w:w="1431" w:type="dxa"/>
            <w:vAlign w:val="center"/>
          </w:tcPr>
          <w:p w14:paraId="268BD202">
            <w:pPr>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备注</w:t>
            </w:r>
          </w:p>
        </w:tc>
      </w:tr>
      <w:tr w14:paraId="78E305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2093" w:type="dxa"/>
            <w:vAlign w:val="center"/>
          </w:tcPr>
          <w:p w14:paraId="79A7F472">
            <w:pPr>
              <w:spacing w:line="360" w:lineRule="auto"/>
              <w:rPr>
                <w:rFonts w:hint="eastAsia" w:asciiTheme="minorEastAsia" w:hAnsiTheme="minorEastAsia" w:eastAsiaTheme="minorEastAsia"/>
                <w:color w:val="auto"/>
                <w:szCs w:val="21"/>
                <w:highlight w:val="none"/>
              </w:rPr>
            </w:pPr>
            <w:r>
              <w:rPr>
                <w:rFonts w:hint="eastAsia" w:ascii="宋体" w:hAnsi="宋体"/>
                <w:color w:val="auto"/>
                <w:sz w:val="22"/>
                <w:szCs w:val="22"/>
                <w:highlight w:val="none"/>
              </w:rPr>
              <w:t>3个月定期存款</w:t>
            </w:r>
          </w:p>
        </w:tc>
        <w:tc>
          <w:tcPr>
            <w:tcW w:w="1984" w:type="dxa"/>
          </w:tcPr>
          <w:p w14:paraId="07CE2D94">
            <w:pPr>
              <w:spacing w:line="360" w:lineRule="auto"/>
              <w:rPr>
                <w:rFonts w:hint="eastAsia" w:ascii="MingLiU_HKSCS-ExtB" w:hAnsi="MingLiU_HKSCS-ExtB" w:eastAsia="MingLiU_HKSCS-ExtB"/>
                <w:color w:val="auto"/>
                <w:szCs w:val="21"/>
                <w:highlight w:val="none"/>
              </w:rPr>
            </w:pPr>
          </w:p>
        </w:tc>
        <w:tc>
          <w:tcPr>
            <w:tcW w:w="2268" w:type="dxa"/>
          </w:tcPr>
          <w:p w14:paraId="1826F6E3">
            <w:pPr>
              <w:spacing w:line="360" w:lineRule="auto"/>
              <w:rPr>
                <w:rFonts w:hint="eastAsia" w:ascii="MingLiU_HKSCS-ExtB" w:hAnsi="MingLiU_HKSCS-ExtB" w:eastAsia="MingLiU_HKSCS-ExtB"/>
                <w:color w:val="auto"/>
                <w:szCs w:val="21"/>
                <w:highlight w:val="none"/>
              </w:rPr>
            </w:pPr>
          </w:p>
        </w:tc>
        <w:tc>
          <w:tcPr>
            <w:tcW w:w="1431" w:type="dxa"/>
          </w:tcPr>
          <w:p w14:paraId="55F75103">
            <w:pPr>
              <w:spacing w:line="360" w:lineRule="auto"/>
              <w:rPr>
                <w:rFonts w:hint="eastAsia" w:asciiTheme="minorEastAsia" w:hAnsiTheme="minorEastAsia" w:eastAsiaTheme="minorEastAsia"/>
                <w:color w:val="auto"/>
                <w:szCs w:val="21"/>
                <w:highlight w:val="none"/>
              </w:rPr>
            </w:pPr>
          </w:p>
        </w:tc>
      </w:tr>
    </w:tbl>
    <w:p w14:paraId="45EF00ED">
      <w:pPr>
        <w:spacing w:line="360" w:lineRule="auto"/>
        <w:rPr>
          <w:rFonts w:hint="eastAsia" w:asciiTheme="minorEastAsia" w:hAnsiTheme="minorEastAsia" w:eastAsiaTheme="minorEastAsia"/>
          <w:color w:val="auto"/>
          <w:szCs w:val="21"/>
          <w:highlight w:val="none"/>
        </w:rPr>
      </w:pPr>
    </w:p>
    <w:p w14:paraId="647AEEC1">
      <w:pPr>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被授权人签字：</w:t>
      </w:r>
    </w:p>
    <w:p w14:paraId="7FD5F9F9">
      <w:pPr>
        <w:spacing w:line="360" w:lineRule="auto"/>
        <w:rPr>
          <w:rFonts w:hint="eastAsia" w:asciiTheme="minorEastAsia" w:hAnsiTheme="minorEastAsia" w:eastAsiaTheme="minorEastAsia"/>
          <w:color w:val="auto"/>
          <w:szCs w:val="21"/>
          <w:highlight w:val="none"/>
        </w:rPr>
      </w:pPr>
    </w:p>
    <w:p w14:paraId="2A1E8FF0">
      <w:pPr>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投标单位(公章）:</w:t>
      </w:r>
    </w:p>
    <w:p w14:paraId="4A3855B4">
      <w:pPr>
        <w:spacing w:line="360" w:lineRule="auto"/>
        <w:rPr>
          <w:rFonts w:hint="eastAsia" w:asciiTheme="minorEastAsia" w:hAnsiTheme="minorEastAsia" w:eastAsiaTheme="minorEastAsia"/>
          <w:color w:val="auto"/>
          <w:szCs w:val="21"/>
          <w:highlight w:val="none"/>
        </w:rPr>
      </w:pPr>
    </w:p>
    <w:p w14:paraId="39E33F56">
      <w:pPr>
        <w:snapToGrid w:val="0"/>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日期:   年   月   日</w:t>
      </w:r>
    </w:p>
    <w:p w14:paraId="155D2511">
      <w:pPr>
        <w:spacing w:line="360" w:lineRule="auto"/>
        <w:rPr>
          <w:rFonts w:hint="eastAsia" w:asciiTheme="minorEastAsia" w:hAnsiTheme="minorEastAsia" w:eastAsiaTheme="minorEastAsia"/>
          <w:color w:val="auto"/>
          <w:szCs w:val="21"/>
          <w:highlight w:val="none"/>
        </w:rPr>
      </w:pPr>
    </w:p>
    <w:p w14:paraId="636B77E9">
      <w:pPr>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说明：</w:t>
      </w:r>
    </w:p>
    <w:p w14:paraId="11467A6A">
      <w:pPr>
        <w:numPr>
          <w:ilvl w:val="0"/>
          <w:numId w:val="0"/>
        </w:numPr>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lang w:val="en-US" w:eastAsia="zh-CN"/>
        </w:rPr>
        <w:t>1、</w:t>
      </w:r>
      <w:r>
        <w:rPr>
          <w:rFonts w:hint="eastAsia" w:asciiTheme="minorEastAsia" w:hAnsiTheme="minorEastAsia" w:eastAsiaTheme="minorEastAsia" w:cstheme="minorEastAsia"/>
          <w:color w:val="auto"/>
          <w:szCs w:val="21"/>
          <w:highlight w:val="none"/>
        </w:rPr>
        <w:t>投标人报价</w:t>
      </w:r>
      <w:r>
        <w:rPr>
          <w:rFonts w:hint="eastAsia" w:asciiTheme="minorEastAsia" w:hAnsiTheme="minorEastAsia" w:eastAsiaTheme="minorEastAsia"/>
          <w:color w:val="auto"/>
          <w:szCs w:val="21"/>
          <w:highlight w:val="none"/>
        </w:rPr>
        <w:t>不得违反国家利率政策</w:t>
      </w:r>
      <w:r>
        <w:rPr>
          <w:rFonts w:hint="eastAsia" w:asciiTheme="minorEastAsia" w:hAnsiTheme="minorEastAsia" w:eastAsiaTheme="minorEastAsia" w:cstheme="minorEastAsia"/>
          <w:color w:val="auto"/>
          <w:szCs w:val="21"/>
          <w:highlight w:val="none"/>
        </w:rPr>
        <w:t>和市场利率定价自律机制规定</w:t>
      </w:r>
      <w:r>
        <w:rPr>
          <w:rFonts w:hint="eastAsia" w:asciiTheme="minorEastAsia" w:hAnsiTheme="minorEastAsia" w:eastAsiaTheme="minorEastAsia" w:cstheme="minorEastAsia"/>
          <w:color w:val="auto"/>
          <w:szCs w:val="21"/>
          <w:highlight w:val="none"/>
          <w:lang w:eastAsia="zh-CN"/>
        </w:rPr>
        <w:t>。</w:t>
      </w:r>
      <w:r>
        <w:rPr>
          <w:rFonts w:hint="eastAsia" w:asciiTheme="minorEastAsia" w:hAnsiTheme="minorEastAsia" w:eastAsiaTheme="minorEastAsia" w:cstheme="minorEastAsia"/>
          <w:color w:val="auto"/>
          <w:szCs w:val="21"/>
          <w:highlight w:val="none"/>
        </w:rPr>
        <w:t>有效期内，若利率相关的法律法规、规章政策调整，或中国人民银行存款基准利率、存款自律约定、银行总行存款利率内部授权上限等发生调整，按市场利率定价自律机制相关规定操作。</w:t>
      </w:r>
    </w:p>
    <w:p w14:paraId="56E6011E">
      <w:pPr>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2、存款年利率最多保留3位小数。</w:t>
      </w:r>
    </w:p>
    <w:p w14:paraId="48D3AABA">
      <w:pPr>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3、本投标书填写须清晰，不得涂改。</w:t>
      </w:r>
    </w:p>
    <w:p w14:paraId="1FA91B09">
      <w:pPr>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4、在系统里只报BP。</w:t>
      </w:r>
    </w:p>
    <w:p w14:paraId="6FC34C7E">
      <w:pPr>
        <w:pStyle w:val="22"/>
        <w:snapToGrid w:val="0"/>
        <w:spacing w:beforeLines="0" w:afterLines="0" w:line="360" w:lineRule="auto"/>
        <w:rPr>
          <w:rFonts w:hint="eastAsia" w:asciiTheme="minorEastAsia" w:hAnsiTheme="minorEastAsia" w:eastAsiaTheme="minorEastAsia"/>
          <w:b/>
          <w:color w:val="auto"/>
          <w:sz w:val="21"/>
          <w:szCs w:val="21"/>
          <w:highlight w:val="none"/>
        </w:rPr>
        <w:sectPr>
          <w:pgSz w:w="11907" w:h="16840"/>
          <w:pgMar w:top="1440" w:right="1797" w:bottom="1440" w:left="1797" w:header="851" w:footer="851" w:gutter="0"/>
          <w:cols w:space="425" w:num="1"/>
          <w:titlePg/>
          <w:docGrid w:type="lines" w:linePitch="312" w:charSpace="0"/>
        </w:sectPr>
      </w:pPr>
    </w:p>
    <w:p w14:paraId="714A58BC">
      <w:pPr>
        <w:snapToGrid w:val="0"/>
        <w:spacing w:before="156" w:beforeLines="50" w:after="50" w:line="360" w:lineRule="auto"/>
        <w:outlineLvl w:val="1"/>
        <w:rPr>
          <w:rFonts w:hint="eastAsia" w:asciiTheme="minorEastAsia" w:hAnsiTheme="minorEastAsia" w:eastAsiaTheme="minorEastAsia"/>
          <w:b/>
          <w:bCs/>
          <w:color w:val="auto"/>
          <w:szCs w:val="21"/>
          <w:highlight w:val="none"/>
        </w:rPr>
      </w:pPr>
      <w:r>
        <w:rPr>
          <w:rFonts w:hint="eastAsia" w:asciiTheme="minorEastAsia" w:hAnsiTheme="minorEastAsia" w:eastAsiaTheme="minorEastAsia"/>
          <w:b/>
          <w:bCs/>
          <w:color w:val="auto"/>
          <w:szCs w:val="21"/>
          <w:highlight w:val="none"/>
        </w:rPr>
        <w:t>八、数据提供</w:t>
      </w:r>
    </w:p>
    <w:tbl>
      <w:tblPr>
        <w:tblStyle w:val="39"/>
        <w:tblW w:w="850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9"/>
        <w:gridCol w:w="1861"/>
        <w:gridCol w:w="3827"/>
        <w:gridCol w:w="2017"/>
      </w:tblGrid>
      <w:tr w14:paraId="569A11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9" w:type="dxa"/>
            <w:vAlign w:val="center"/>
          </w:tcPr>
          <w:p w14:paraId="6DAE589C">
            <w:pPr>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序号</w:t>
            </w:r>
          </w:p>
        </w:tc>
        <w:tc>
          <w:tcPr>
            <w:tcW w:w="1861" w:type="dxa"/>
            <w:vAlign w:val="center"/>
          </w:tcPr>
          <w:p w14:paraId="7F7C3D32">
            <w:pPr>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指标</w:t>
            </w:r>
          </w:p>
        </w:tc>
        <w:tc>
          <w:tcPr>
            <w:tcW w:w="3827" w:type="dxa"/>
            <w:vAlign w:val="center"/>
          </w:tcPr>
          <w:p w14:paraId="5D2B336F">
            <w:pPr>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内容</w:t>
            </w:r>
          </w:p>
        </w:tc>
        <w:tc>
          <w:tcPr>
            <w:tcW w:w="2017" w:type="dxa"/>
            <w:vAlign w:val="center"/>
          </w:tcPr>
          <w:p w14:paraId="5D9A9F5C">
            <w:pPr>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数据%</w:t>
            </w:r>
          </w:p>
        </w:tc>
      </w:tr>
      <w:tr w14:paraId="1E79D2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9" w:type="dxa"/>
            <w:vAlign w:val="center"/>
          </w:tcPr>
          <w:p w14:paraId="1EF51362">
            <w:pPr>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1</w:t>
            </w:r>
          </w:p>
        </w:tc>
        <w:tc>
          <w:tcPr>
            <w:tcW w:w="1861" w:type="dxa"/>
            <w:vAlign w:val="center"/>
          </w:tcPr>
          <w:p w14:paraId="552BD6B0">
            <w:pPr>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拨备覆盖率指标</w:t>
            </w:r>
          </w:p>
        </w:tc>
        <w:tc>
          <w:tcPr>
            <w:tcW w:w="3827" w:type="dxa"/>
            <w:vAlign w:val="center"/>
          </w:tcPr>
          <w:p w14:paraId="64FE0800">
            <w:pPr>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投标银行</w:t>
            </w:r>
            <w:r>
              <w:rPr>
                <w:rFonts w:hint="eastAsia" w:cs="仿宋_GB2312" w:asciiTheme="minorEastAsia" w:hAnsiTheme="minorEastAsia" w:eastAsiaTheme="minorEastAsia"/>
                <w:color w:val="auto"/>
                <w:szCs w:val="21"/>
                <w:highlight w:val="none"/>
                <w:lang w:val="en-US" w:eastAsia="zh-CN"/>
              </w:rPr>
              <w:t>2023年度</w:t>
            </w:r>
            <w:r>
              <w:rPr>
                <w:rFonts w:hint="eastAsia" w:cs="仿宋_GB2312" w:asciiTheme="minorEastAsia" w:hAnsiTheme="minorEastAsia" w:eastAsiaTheme="minorEastAsia"/>
                <w:color w:val="auto"/>
                <w:szCs w:val="21"/>
                <w:highlight w:val="none"/>
              </w:rPr>
              <w:t>末法人拨备覆盖率</w:t>
            </w:r>
          </w:p>
        </w:tc>
        <w:tc>
          <w:tcPr>
            <w:tcW w:w="2017" w:type="dxa"/>
            <w:vAlign w:val="center"/>
          </w:tcPr>
          <w:p w14:paraId="118D7E2F">
            <w:pPr>
              <w:spacing w:line="360" w:lineRule="auto"/>
              <w:rPr>
                <w:rFonts w:hint="eastAsia" w:asciiTheme="minorEastAsia" w:hAnsiTheme="minorEastAsia" w:eastAsiaTheme="minorEastAsia"/>
                <w:color w:val="auto"/>
                <w:szCs w:val="21"/>
                <w:highlight w:val="none"/>
              </w:rPr>
            </w:pPr>
          </w:p>
        </w:tc>
      </w:tr>
      <w:tr w14:paraId="030433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trPr>
        <w:tc>
          <w:tcPr>
            <w:tcW w:w="799" w:type="dxa"/>
            <w:vAlign w:val="center"/>
          </w:tcPr>
          <w:p w14:paraId="256D081D">
            <w:pPr>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2</w:t>
            </w:r>
          </w:p>
        </w:tc>
        <w:tc>
          <w:tcPr>
            <w:tcW w:w="1861" w:type="dxa"/>
            <w:vAlign w:val="center"/>
          </w:tcPr>
          <w:p w14:paraId="454270AD">
            <w:pPr>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资本充足率</w:t>
            </w:r>
          </w:p>
        </w:tc>
        <w:tc>
          <w:tcPr>
            <w:tcW w:w="3827" w:type="dxa"/>
            <w:vAlign w:val="center"/>
          </w:tcPr>
          <w:p w14:paraId="5BD000C1">
            <w:pPr>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投标银行</w:t>
            </w:r>
            <w:r>
              <w:rPr>
                <w:rFonts w:hint="eastAsia" w:cs="仿宋_GB2312" w:asciiTheme="minorEastAsia" w:hAnsiTheme="minorEastAsia" w:eastAsiaTheme="minorEastAsia"/>
                <w:color w:val="auto"/>
                <w:szCs w:val="21"/>
                <w:highlight w:val="none"/>
                <w:lang w:val="en-US" w:eastAsia="zh-CN"/>
              </w:rPr>
              <w:t>2023年度</w:t>
            </w:r>
            <w:r>
              <w:rPr>
                <w:rFonts w:hint="eastAsia" w:cs="仿宋_GB2312" w:asciiTheme="minorEastAsia" w:hAnsiTheme="minorEastAsia" w:eastAsiaTheme="minorEastAsia"/>
                <w:color w:val="auto"/>
                <w:szCs w:val="21"/>
                <w:highlight w:val="none"/>
              </w:rPr>
              <w:t>末法人</w:t>
            </w:r>
            <w:r>
              <w:rPr>
                <w:rFonts w:hint="eastAsia" w:asciiTheme="minorEastAsia" w:hAnsiTheme="minorEastAsia" w:eastAsiaTheme="minorEastAsia"/>
                <w:color w:val="auto"/>
                <w:szCs w:val="21"/>
                <w:highlight w:val="none"/>
              </w:rPr>
              <w:t>资本充足率</w:t>
            </w:r>
          </w:p>
        </w:tc>
        <w:tc>
          <w:tcPr>
            <w:tcW w:w="2017" w:type="dxa"/>
            <w:vAlign w:val="center"/>
          </w:tcPr>
          <w:p w14:paraId="5EC80540">
            <w:pPr>
              <w:spacing w:line="360" w:lineRule="auto"/>
              <w:rPr>
                <w:rFonts w:hint="eastAsia" w:asciiTheme="minorEastAsia" w:hAnsiTheme="minorEastAsia" w:eastAsiaTheme="minorEastAsia"/>
                <w:color w:val="auto"/>
                <w:szCs w:val="21"/>
                <w:highlight w:val="none"/>
                <w:u w:val="single"/>
              </w:rPr>
            </w:pPr>
          </w:p>
        </w:tc>
      </w:tr>
    </w:tbl>
    <w:p w14:paraId="76C63D68">
      <w:pPr>
        <w:spacing w:line="360" w:lineRule="auto"/>
        <w:rPr>
          <w:rFonts w:hint="eastAsia" w:asciiTheme="minorEastAsia" w:hAnsiTheme="minorEastAsia" w:eastAsiaTheme="minorEastAsia"/>
          <w:color w:val="auto"/>
          <w:szCs w:val="21"/>
          <w:highlight w:val="none"/>
        </w:rPr>
      </w:pPr>
    </w:p>
    <w:p w14:paraId="261046E8">
      <w:pPr>
        <w:spacing w:line="360" w:lineRule="auto"/>
        <w:rPr>
          <w:rFonts w:hint="eastAsia" w:asciiTheme="minorEastAsia" w:hAnsiTheme="minorEastAsia" w:eastAsiaTheme="minorEastAsia"/>
          <w:color w:val="auto"/>
          <w:szCs w:val="21"/>
          <w:highlight w:val="none"/>
        </w:rPr>
      </w:pPr>
    </w:p>
    <w:p w14:paraId="687D8EBF">
      <w:pPr>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投标单位(公章）:</w:t>
      </w:r>
    </w:p>
    <w:p w14:paraId="09664498">
      <w:pPr>
        <w:spacing w:line="360" w:lineRule="auto"/>
        <w:rPr>
          <w:rFonts w:hint="eastAsia" w:asciiTheme="minorEastAsia" w:hAnsiTheme="minorEastAsia" w:eastAsiaTheme="minorEastAsia"/>
          <w:color w:val="auto"/>
          <w:szCs w:val="21"/>
          <w:highlight w:val="none"/>
        </w:rPr>
      </w:pPr>
    </w:p>
    <w:p w14:paraId="16F94F91">
      <w:pPr>
        <w:spacing w:line="360" w:lineRule="auto"/>
        <w:rPr>
          <w:rFonts w:hint="eastAsia" w:asciiTheme="minorEastAsia" w:hAnsiTheme="minorEastAsia" w:eastAsiaTheme="minorEastAsia"/>
          <w:color w:val="auto"/>
          <w:szCs w:val="21"/>
          <w:highlight w:val="none"/>
        </w:rPr>
      </w:pPr>
    </w:p>
    <w:p w14:paraId="3F133F11">
      <w:pPr>
        <w:snapToGrid w:val="0"/>
        <w:spacing w:line="360" w:lineRule="auto"/>
        <w:rPr>
          <w:rFonts w:hint="eastAsia"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日期:   年   月   日</w:t>
      </w:r>
    </w:p>
    <w:p w14:paraId="4FFAA9E0">
      <w:pPr>
        <w:spacing w:line="360" w:lineRule="auto"/>
        <w:rPr>
          <w:rFonts w:hint="eastAsia" w:asciiTheme="minorEastAsia" w:hAnsiTheme="minorEastAsia" w:eastAsiaTheme="minorEastAsia"/>
          <w:color w:val="auto"/>
          <w:szCs w:val="21"/>
          <w:highlight w:val="none"/>
        </w:rPr>
      </w:pPr>
    </w:p>
    <w:p w14:paraId="487C87B4">
      <w:pPr>
        <w:spacing w:line="360" w:lineRule="auto"/>
        <w:rPr>
          <w:rFonts w:hint="eastAsia" w:asciiTheme="minorEastAsia" w:hAnsiTheme="minorEastAsia" w:eastAsiaTheme="minorEastAsia"/>
          <w:color w:val="auto"/>
          <w:szCs w:val="21"/>
          <w:highlight w:val="none"/>
        </w:rPr>
        <w:sectPr>
          <w:pgSz w:w="11907" w:h="16840"/>
          <w:pgMar w:top="1440" w:right="1797" w:bottom="1440" w:left="1797" w:header="851" w:footer="851" w:gutter="0"/>
          <w:cols w:space="425" w:num="1"/>
          <w:titlePg/>
          <w:docGrid w:type="lines" w:linePitch="312" w:charSpace="0"/>
        </w:sectPr>
      </w:pPr>
    </w:p>
    <w:p w14:paraId="3FAEF2CC">
      <w:pPr>
        <w:snapToGrid w:val="0"/>
        <w:spacing w:before="156" w:beforeLines="50" w:after="50" w:line="360" w:lineRule="auto"/>
        <w:outlineLvl w:val="1"/>
        <w:rPr>
          <w:rFonts w:hint="eastAsia" w:asciiTheme="minorEastAsia" w:hAnsiTheme="minorEastAsia" w:eastAsiaTheme="minorEastAsia"/>
          <w:b/>
          <w:bCs/>
          <w:color w:val="auto"/>
          <w:szCs w:val="21"/>
          <w:highlight w:val="none"/>
        </w:rPr>
      </w:pPr>
      <w:r>
        <w:rPr>
          <w:rFonts w:hint="eastAsia" w:asciiTheme="minorEastAsia" w:hAnsiTheme="minorEastAsia" w:eastAsiaTheme="minorEastAsia"/>
          <w:b/>
          <w:bCs/>
          <w:color w:val="auto"/>
          <w:szCs w:val="21"/>
          <w:highlight w:val="none"/>
          <w:lang w:val="en-US" w:eastAsia="zh-CN"/>
        </w:rPr>
        <w:t>九</w:t>
      </w:r>
      <w:r>
        <w:rPr>
          <w:rFonts w:hint="eastAsia" w:asciiTheme="minorEastAsia" w:hAnsiTheme="minorEastAsia" w:eastAsiaTheme="minorEastAsia"/>
          <w:b/>
          <w:bCs/>
          <w:color w:val="auto"/>
          <w:szCs w:val="21"/>
          <w:highlight w:val="none"/>
        </w:rPr>
        <w:t>、投标银行报名表格式</w:t>
      </w:r>
    </w:p>
    <w:p w14:paraId="39AB0DEA">
      <w:pPr>
        <w:pStyle w:val="35"/>
        <w:spacing w:before="0" w:beforeAutospacing="0" w:after="0" w:afterAutospacing="0" w:line="360" w:lineRule="auto"/>
        <w:jc w:val="center"/>
        <w:rPr>
          <w:rFonts w:hint="eastAsia" w:cs="黑体" w:asciiTheme="minorEastAsia" w:hAnsiTheme="minorEastAsia" w:eastAsiaTheme="minorEastAsia"/>
          <w:color w:val="auto"/>
          <w:sz w:val="21"/>
          <w:szCs w:val="21"/>
          <w:highlight w:val="none"/>
        </w:rPr>
      </w:pPr>
      <w:r>
        <w:rPr>
          <w:rStyle w:val="41"/>
          <w:rFonts w:hint="eastAsia" w:cs="黑体" w:asciiTheme="minorEastAsia" w:hAnsiTheme="minorEastAsia" w:eastAsiaTheme="minorEastAsia"/>
          <w:color w:val="auto"/>
          <w:spacing w:val="45"/>
          <w:sz w:val="21"/>
          <w:szCs w:val="21"/>
          <w:highlight w:val="none"/>
          <w:shd w:val="clear" w:color="auto" w:fill="FFFFFF"/>
        </w:rPr>
        <w:t>投标银行报名表</w:t>
      </w:r>
    </w:p>
    <w:tbl>
      <w:tblPr>
        <w:tblStyle w:val="39"/>
        <w:tblW w:w="8454" w:type="dxa"/>
        <w:tblInd w:w="0" w:type="dxa"/>
        <w:tblBorders>
          <w:top w:val="single" w:color="E4E6E7" w:sz="6" w:space="0"/>
          <w:left w:val="single" w:color="E4E6E7" w:sz="6" w:space="0"/>
          <w:bottom w:val="single" w:color="E4E6E7" w:sz="6" w:space="0"/>
          <w:right w:val="single" w:color="E4E6E7" w:sz="6" w:space="0"/>
          <w:insideH w:val="none" w:color="auto" w:sz="0" w:space="0"/>
          <w:insideV w:val="none" w:color="auto" w:sz="0" w:space="0"/>
        </w:tblBorders>
        <w:tblLayout w:type="fixed"/>
        <w:tblCellMar>
          <w:top w:w="0" w:type="dxa"/>
          <w:left w:w="0" w:type="dxa"/>
          <w:bottom w:w="0" w:type="dxa"/>
          <w:right w:w="0" w:type="dxa"/>
        </w:tblCellMar>
      </w:tblPr>
      <w:tblGrid>
        <w:gridCol w:w="1607"/>
        <w:gridCol w:w="1306"/>
        <w:gridCol w:w="1306"/>
        <w:gridCol w:w="1306"/>
        <w:gridCol w:w="1306"/>
        <w:gridCol w:w="1623"/>
      </w:tblGrid>
      <w:tr w14:paraId="4E65D7FB">
        <w:tblPrEx>
          <w:tblBorders>
            <w:top w:val="single" w:color="E4E6E7" w:sz="6" w:space="0"/>
            <w:left w:val="single" w:color="E4E6E7" w:sz="6" w:space="0"/>
            <w:bottom w:val="single" w:color="E4E6E7" w:sz="6" w:space="0"/>
            <w:right w:val="single" w:color="E4E6E7" w:sz="6" w:space="0"/>
            <w:insideH w:val="none" w:color="auto" w:sz="0" w:space="0"/>
            <w:insideV w:val="none" w:color="auto" w:sz="0" w:space="0"/>
          </w:tblBorders>
          <w:tblCellMar>
            <w:top w:w="0" w:type="dxa"/>
            <w:left w:w="0" w:type="dxa"/>
            <w:bottom w:w="0" w:type="dxa"/>
            <w:right w:w="0" w:type="dxa"/>
          </w:tblCellMar>
        </w:tblPrEx>
        <w:trPr>
          <w:trHeight w:val="840" w:hRule="atLeast"/>
        </w:trPr>
        <w:tc>
          <w:tcPr>
            <w:tcW w:w="1607" w:type="dxa"/>
            <w:tcBorders>
              <w:top w:val="single" w:color="auto" w:sz="4" w:space="0"/>
              <w:left w:val="single" w:color="auto" w:sz="4" w:space="0"/>
              <w:bottom w:val="single" w:color="auto" w:sz="4" w:space="0"/>
              <w:right w:val="single" w:color="auto" w:sz="4" w:space="0"/>
            </w:tcBorders>
            <w:tcMar>
              <w:top w:w="75" w:type="dxa"/>
              <w:left w:w="75" w:type="dxa"/>
              <w:bottom w:w="75" w:type="dxa"/>
              <w:right w:w="75" w:type="dxa"/>
            </w:tcMar>
            <w:vAlign w:val="center"/>
          </w:tcPr>
          <w:p w14:paraId="30CCF589">
            <w:pPr>
              <w:pStyle w:val="35"/>
              <w:spacing w:before="0" w:beforeAutospacing="0" w:after="0" w:afterAutospacing="0" w:line="360" w:lineRule="auto"/>
              <w:jc w:val="center"/>
              <w:rPr>
                <w:rFonts w:hint="eastAsia" w:asciiTheme="minorEastAsia" w:hAnsiTheme="minorEastAsia" w:eastAsiaTheme="minorEastAsia"/>
                <w:color w:val="auto"/>
                <w:kern w:val="2"/>
                <w:sz w:val="21"/>
                <w:szCs w:val="21"/>
                <w:highlight w:val="none"/>
              </w:rPr>
            </w:pPr>
            <w:r>
              <w:rPr>
                <w:rFonts w:hint="eastAsia" w:cs="仿宋_GB2312" w:asciiTheme="minorEastAsia" w:hAnsiTheme="minorEastAsia" w:eastAsiaTheme="minorEastAsia"/>
                <w:color w:val="auto"/>
                <w:kern w:val="2"/>
                <w:sz w:val="21"/>
                <w:szCs w:val="21"/>
                <w:highlight w:val="none"/>
              </w:rPr>
              <w:t>报名单位</w:t>
            </w:r>
          </w:p>
        </w:tc>
        <w:tc>
          <w:tcPr>
            <w:tcW w:w="6847" w:type="dxa"/>
            <w:gridSpan w:val="5"/>
            <w:tcBorders>
              <w:top w:val="single" w:color="auto" w:sz="4" w:space="0"/>
              <w:left w:val="single" w:color="auto" w:sz="4" w:space="0"/>
              <w:bottom w:val="single" w:color="auto" w:sz="4" w:space="0"/>
              <w:right w:val="single" w:color="auto" w:sz="4" w:space="0"/>
            </w:tcBorders>
            <w:tcMar>
              <w:top w:w="75" w:type="dxa"/>
              <w:left w:w="75" w:type="dxa"/>
              <w:bottom w:w="75" w:type="dxa"/>
              <w:right w:w="75" w:type="dxa"/>
            </w:tcMar>
            <w:vAlign w:val="center"/>
          </w:tcPr>
          <w:p w14:paraId="75A6C072">
            <w:pPr>
              <w:spacing w:line="360" w:lineRule="auto"/>
              <w:jc w:val="left"/>
              <w:rPr>
                <w:rFonts w:hint="eastAsia" w:cs="-apple-system" w:asciiTheme="minorEastAsia" w:hAnsiTheme="minorEastAsia" w:eastAsiaTheme="minorEastAsia"/>
                <w:color w:val="auto"/>
                <w:szCs w:val="21"/>
                <w:highlight w:val="none"/>
              </w:rPr>
            </w:pPr>
          </w:p>
        </w:tc>
      </w:tr>
      <w:tr w14:paraId="3621295F">
        <w:tblPrEx>
          <w:tblBorders>
            <w:top w:val="single" w:color="E4E6E7" w:sz="6" w:space="0"/>
            <w:left w:val="single" w:color="E4E6E7" w:sz="6" w:space="0"/>
            <w:bottom w:val="single" w:color="E4E6E7" w:sz="6" w:space="0"/>
            <w:right w:val="single" w:color="E4E6E7" w:sz="6" w:space="0"/>
            <w:insideH w:val="none" w:color="auto" w:sz="0" w:space="0"/>
            <w:insideV w:val="none" w:color="auto" w:sz="0" w:space="0"/>
          </w:tblBorders>
          <w:tblCellMar>
            <w:top w:w="0" w:type="dxa"/>
            <w:left w:w="0" w:type="dxa"/>
            <w:bottom w:w="0" w:type="dxa"/>
            <w:right w:w="0" w:type="dxa"/>
          </w:tblCellMar>
        </w:tblPrEx>
        <w:trPr>
          <w:trHeight w:val="840" w:hRule="atLeast"/>
        </w:trPr>
        <w:tc>
          <w:tcPr>
            <w:tcW w:w="1607" w:type="dxa"/>
            <w:tcBorders>
              <w:top w:val="single" w:color="auto" w:sz="4" w:space="0"/>
              <w:left w:val="single" w:color="auto" w:sz="4" w:space="0"/>
              <w:bottom w:val="single" w:color="auto" w:sz="4" w:space="0"/>
              <w:right w:val="single" w:color="auto" w:sz="4" w:space="0"/>
            </w:tcBorders>
            <w:tcMar>
              <w:top w:w="75" w:type="dxa"/>
              <w:left w:w="75" w:type="dxa"/>
              <w:bottom w:w="75" w:type="dxa"/>
              <w:right w:w="75" w:type="dxa"/>
            </w:tcMar>
            <w:vAlign w:val="center"/>
          </w:tcPr>
          <w:p w14:paraId="3AFDD33D">
            <w:pPr>
              <w:pStyle w:val="35"/>
              <w:spacing w:before="0" w:beforeAutospacing="0" w:after="0" w:afterAutospacing="0" w:line="360" w:lineRule="auto"/>
              <w:jc w:val="center"/>
              <w:rPr>
                <w:rFonts w:hint="eastAsia" w:asciiTheme="minorEastAsia" w:hAnsiTheme="minorEastAsia" w:eastAsiaTheme="minorEastAsia"/>
                <w:color w:val="auto"/>
                <w:kern w:val="2"/>
                <w:sz w:val="21"/>
                <w:szCs w:val="21"/>
                <w:highlight w:val="none"/>
              </w:rPr>
            </w:pPr>
            <w:r>
              <w:rPr>
                <w:rFonts w:hint="eastAsia" w:cs="仿宋_GB2312" w:asciiTheme="minorEastAsia" w:hAnsiTheme="minorEastAsia" w:eastAsiaTheme="minorEastAsia"/>
                <w:color w:val="auto"/>
                <w:kern w:val="2"/>
                <w:sz w:val="21"/>
                <w:szCs w:val="21"/>
                <w:highlight w:val="none"/>
              </w:rPr>
              <w:t>项目联系人</w:t>
            </w:r>
          </w:p>
        </w:tc>
        <w:tc>
          <w:tcPr>
            <w:tcW w:w="1306" w:type="dxa"/>
            <w:tcBorders>
              <w:top w:val="single" w:color="auto" w:sz="4" w:space="0"/>
              <w:left w:val="single" w:color="auto" w:sz="4" w:space="0"/>
              <w:bottom w:val="single" w:color="auto" w:sz="4" w:space="0"/>
              <w:right w:val="single" w:color="auto" w:sz="4" w:space="0"/>
            </w:tcBorders>
            <w:tcMar>
              <w:top w:w="75" w:type="dxa"/>
              <w:left w:w="75" w:type="dxa"/>
              <w:bottom w:w="75" w:type="dxa"/>
              <w:right w:w="75" w:type="dxa"/>
            </w:tcMar>
            <w:vAlign w:val="center"/>
          </w:tcPr>
          <w:p w14:paraId="233D570C">
            <w:pPr>
              <w:spacing w:line="360" w:lineRule="auto"/>
              <w:jc w:val="left"/>
              <w:rPr>
                <w:rFonts w:hint="eastAsia" w:cs="-apple-system" w:asciiTheme="minorEastAsia" w:hAnsiTheme="minorEastAsia" w:eastAsiaTheme="minorEastAsia"/>
                <w:color w:val="auto"/>
                <w:szCs w:val="21"/>
                <w:highlight w:val="none"/>
              </w:rPr>
            </w:pPr>
          </w:p>
        </w:tc>
        <w:tc>
          <w:tcPr>
            <w:tcW w:w="1306" w:type="dxa"/>
            <w:tcBorders>
              <w:top w:val="single" w:color="auto" w:sz="4" w:space="0"/>
              <w:left w:val="single" w:color="auto" w:sz="4" w:space="0"/>
              <w:bottom w:val="single" w:color="auto" w:sz="4" w:space="0"/>
              <w:right w:val="single" w:color="auto" w:sz="4" w:space="0"/>
            </w:tcBorders>
            <w:tcMar>
              <w:top w:w="75" w:type="dxa"/>
              <w:left w:w="75" w:type="dxa"/>
              <w:bottom w:w="75" w:type="dxa"/>
              <w:right w:w="75" w:type="dxa"/>
            </w:tcMar>
            <w:vAlign w:val="center"/>
          </w:tcPr>
          <w:p w14:paraId="43F01AE2">
            <w:pPr>
              <w:pStyle w:val="35"/>
              <w:spacing w:before="0" w:beforeAutospacing="0" w:after="0" w:afterAutospacing="0" w:line="360" w:lineRule="auto"/>
              <w:jc w:val="center"/>
              <w:rPr>
                <w:rFonts w:hint="eastAsia" w:asciiTheme="minorEastAsia" w:hAnsiTheme="minorEastAsia" w:eastAsiaTheme="minorEastAsia"/>
                <w:color w:val="auto"/>
                <w:kern w:val="2"/>
                <w:sz w:val="21"/>
                <w:szCs w:val="21"/>
                <w:highlight w:val="none"/>
              </w:rPr>
            </w:pPr>
            <w:r>
              <w:rPr>
                <w:rFonts w:hint="eastAsia" w:cs="仿宋_GB2312" w:asciiTheme="minorEastAsia" w:hAnsiTheme="minorEastAsia" w:eastAsiaTheme="minorEastAsia"/>
                <w:color w:val="auto"/>
                <w:kern w:val="2"/>
                <w:sz w:val="21"/>
                <w:szCs w:val="21"/>
                <w:highlight w:val="none"/>
              </w:rPr>
              <w:t>固定电话</w:t>
            </w:r>
          </w:p>
        </w:tc>
        <w:tc>
          <w:tcPr>
            <w:tcW w:w="1306" w:type="dxa"/>
            <w:tcBorders>
              <w:top w:val="single" w:color="auto" w:sz="4" w:space="0"/>
              <w:left w:val="single" w:color="auto" w:sz="4" w:space="0"/>
              <w:bottom w:val="single" w:color="auto" w:sz="4" w:space="0"/>
              <w:right w:val="single" w:color="auto" w:sz="4" w:space="0"/>
            </w:tcBorders>
            <w:tcMar>
              <w:top w:w="75" w:type="dxa"/>
              <w:left w:w="75" w:type="dxa"/>
              <w:bottom w:w="75" w:type="dxa"/>
              <w:right w:w="75" w:type="dxa"/>
            </w:tcMar>
            <w:vAlign w:val="center"/>
          </w:tcPr>
          <w:p w14:paraId="5B3D87ED">
            <w:pPr>
              <w:spacing w:line="360" w:lineRule="auto"/>
              <w:jc w:val="left"/>
              <w:rPr>
                <w:rFonts w:hint="eastAsia" w:cs="-apple-system" w:asciiTheme="minorEastAsia" w:hAnsiTheme="minorEastAsia" w:eastAsiaTheme="minorEastAsia"/>
                <w:color w:val="auto"/>
                <w:szCs w:val="21"/>
                <w:highlight w:val="none"/>
              </w:rPr>
            </w:pPr>
          </w:p>
        </w:tc>
        <w:tc>
          <w:tcPr>
            <w:tcW w:w="1306" w:type="dxa"/>
            <w:tcBorders>
              <w:top w:val="single" w:color="auto" w:sz="4" w:space="0"/>
              <w:left w:val="single" w:color="auto" w:sz="4" w:space="0"/>
              <w:bottom w:val="single" w:color="auto" w:sz="4" w:space="0"/>
              <w:right w:val="single" w:color="auto" w:sz="4" w:space="0"/>
            </w:tcBorders>
            <w:tcMar>
              <w:top w:w="75" w:type="dxa"/>
              <w:left w:w="75" w:type="dxa"/>
              <w:bottom w:w="75" w:type="dxa"/>
              <w:right w:w="75" w:type="dxa"/>
            </w:tcMar>
            <w:vAlign w:val="center"/>
          </w:tcPr>
          <w:p w14:paraId="3AE4B3E8">
            <w:pPr>
              <w:pStyle w:val="35"/>
              <w:spacing w:before="0" w:beforeAutospacing="0" w:after="0" w:afterAutospacing="0" w:line="360" w:lineRule="auto"/>
              <w:jc w:val="center"/>
              <w:rPr>
                <w:rFonts w:hint="eastAsia" w:asciiTheme="minorEastAsia" w:hAnsiTheme="minorEastAsia" w:eastAsiaTheme="minorEastAsia"/>
                <w:color w:val="auto"/>
                <w:kern w:val="2"/>
                <w:sz w:val="21"/>
                <w:szCs w:val="21"/>
                <w:highlight w:val="none"/>
              </w:rPr>
            </w:pPr>
            <w:r>
              <w:rPr>
                <w:rFonts w:hint="eastAsia" w:cs="仿宋_GB2312" w:asciiTheme="minorEastAsia" w:hAnsiTheme="minorEastAsia" w:eastAsiaTheme="minorEastAsia"/>
                <w:color w:val="auto"/>
                <w:kern w:val="2"/>
                <w:sz w:val="21"/>
                <w:szCs w:val="21"/>
                <w:highlight w:val="none"/>
              </w:rPr>
              <w:t>手机号码</w:t>
            </w:r>
          </w:p>
        </w:tc>
        <w:tc>
          <w:tcPr>
            <w:tcW w:w="1623" w:type="dxa"/>
            <w:tcBorders>
              <w:top w:val="single" w:color="auto" w:sz="4" w:space="0"/>
              <w:left w:val="single" w:color="auto" w:sz="4" w:space="0"/>
              <w:bottom w:val="single" w:color="auto" w:sz="4" w:space="0"/>
              <w:right w:val="single" w:color="auto" w:sz="4" w:space="0"/>
            </w:tcBorders>
            <w:tcMar>
              <w:top w:w="75" w:type="dxa"/>
              <w:left w:w="75" w:type="dxa"/>
              <w:bottom w:w="75" w:type="dxa"/>
              <w:right w:w="75" w:type="dxa"/>
            </w:tcMar>
            <w:vAlign w:val="center"/>
          </w:tcPr>
          <w:p w14:paraId="1122A50A">
            <w:pPr>
              <w:spacing w:line="360" w:lineRule="auto"/>
              <w:jc w:val="left"/>
              <w:rPr>
                <w:rFonts w:hint="eastAsia" w:cs="-apple-system" w:asciiTheme="minorEastAsia" w:hAnsiTheme="minorEastAsia" w:eastAsiaTheme="minorEastAsia"/>
                <w:color w:val="auto"/>
                <w:szCs w:val="21"/>
                <w:highlight w:val="none"/>
              </w:rPr>
            </w:pPr>
          </w:p>
        </w:tc>
      </w:tr>
      <w:tr w14:paraId="47EC692B">
        <w:tblPrEx>
          <w:tblBorders>
            <w:top w:val="single" w:color="E4E6E7" w:sz="6" w:space="0"/>
            <w:left w:val="single" w:color="E4E6E7" w:sz="6" w:space="0"/>
            <w:bottom w:val="single" w:color="E4E6E7" w:sz="6" w:space="0"/>
            <w:right w:val="single" w:color="E4E6E7" w:sz="6" w:space="0"/>
            <w:insideH w:val="none" w:color="auto" w:sz="0" w:space="0"/>
            <w:insideV w:val="none" w:color="auto" w:sz="0" w:space="0"/>
          </w:tblBorders>
          <w:tblCellMar>
            <w:top w:w="0" w:type="dxa"/>
            <w:left w:w="0" w:type="dxa"/>
            <w:bottom w:w="0" w:type="dxa"/>
            <w:right w:w="0" w:type="dxa"/>
          </w:tblCellMar>
        </w:tblPrEx>
        <w:trPr>
          <w:trHeight w:val="690" w:hRule="atLeast"/>
        </w:trPr>
        <w:tc>
          <w:tcPr>
            <w:tcW w:w="1607" w:type="dxa"/>
            <w:tcBorders>
              <w:top w:val="single" w:color="auto" w:sz="4" w:space="0"/>
              <w:left w:val="single" w:color="auto" w:sz="4" w:space="0"/>
              <w:bottom w:val="single" w:color="auto" w:sz="4" w:space="0"/>
              <w:right w:val="single" w:color="auto" w:sz="4" w:space="0"/>
            </w:tcBorders>
            <w:vAlign w:val="center"/>
          </w:tcPr>
          <w:p w14:paraId="7A0F15AD">
            <w:pPr>
              <w:pStyle w:val="35"/>
              <w:spacing w:before="0" w:beforeAutospacing="0" w:after="0" w:afterAutospacing="0" w:line="360" w:lineRule="auto"/>
              <w:jc w:val="center"/>
              <w:rPr>
                <w:rFonts w:hint="eastAsia" w:asciiTheme="minorEastAsia" w:hAnsiTheme="minorEastAsia" w:eastAsiaTheme="minorEastAsia"/>
                <w:color w:val="auto"/>
                <w:kern w:val="2"/>
                <w:sz w:val="21"/>
                <w:szCs w:val="21"/>
                <w:highlight w:val="none"/>
              </w:rPr>
            </w:pPr>
            <w:r>
              <w:rPr>
                <w:rFonts w:hint="eastAsia" w:cs="仿宋_GB2312" w:asciiTheme="minorEastAsia" w:hAnsiTheme="minorEastAsia" w:eastAsiaTheme="minorEastAsia"/>
                <w:color w:val="auto"/>
                <w:kern w:val="2"/>
                <w:sz w:val="21"/>
                <w:szCs w:val="21"/>
                <w:highlight w:val="none"/>
              </w:rPr>
              <w:t>详细地址</w:t>
            </w:r>
          </w:p>
        </w:tc>
        <w:tc>
          <w:tcPr>
            <w:tcW w:w="3918" w:type="dxa"/>
            <w:gridSpan w:val="3"/>
            <w:tcBorders>
              <w:top w:val="single" w:color="auto" w:sz="4" w:space="0"/>
              <w:left w:val="single" w:color="auto" w:sz="4" w:space="0"/>
              <w:bottom w:val="single" w:color="auto" w:sz="4" w:space="0"/>
              <w:right w:val="single" w:color="auto" w:sz="4" w:space="0"/>
            </w:tcBorders>
            <w:vAlign w:val="center"/>
          </w:tcPr>
          <w:p w14:paraId="1565C3B0">
            <w:pPr>
              <w:spacing w:line="360" w:lineRule="auto"/>
              <w:jc w:val="left"/>
              <w:rPr>
                <w:rFonts w:hint="eastAsia" w:cs="-apple-system" w:asciiTheme="minorEastAsia" w:hAnsiTheme="minorEastAsia" w:eastAsiaTheme="minorEastAsia"/>
                <w:color w:val="auto"/>
                <w:szCs w:val="21"/>
                <w:highlight w:val="none"/>
              </w:rPr>
            </w:pPr>
          </w:p>
        </w:tc>
        <w:tc>
          <w:tcPr>
            <w:tcW w:w="1306" w:type="dxa"/>
            <w:tcBorders>
              <w:top w:val="single" w:color="auto" w:sz="4" w:space="0"/>
              <w:left w:val="single" w:color="auto" w:sz="4" w:space="0"/>
              <w:bottom w:val="single" w:color="auto" w:sz="4" w:space="0"/>
              <w:right w:val="single" w:color="auto" w:sz="4" w:space="0"/>
            </w:tcBorders>
            <w:tcMar>
              <w:top w:w="75" w:type="dxa"/>
              <w:left w:w="75" w:type="dxa"/>
              <w:bottom w:w="75" w:type="dxa"/>
              <w:right w:w="75" w:type="dxa"/>
            </w:tcMar>
            <w:vAlign w:val="center"/>
          </w:tcPr>
          <w:p w14:paraId="1F9BB266">
            <w:pPr>
              <w:pStyle w:val="35"/>
              <w:spacing w:before="0" w:beforeAutospacing="0" w:after="0" w:afterAutospacing="0" w:line="360" w:lineRule="auto"/>
              <w:jc w:val="center"/>
              <w:rPr>
                <w:rFonts w:hint="eastAsia" w:asciiTheme="minorEastAsia" w:hAnsiTheme="minorEastAsia" w:eastAsiaTheme="minorEastAsia"/>
                <w:color w:val="auto"/>
                <w:kern w:val="2"/>
                <w:sz w:val="21"/>
                <w:szCs w:val="21"/>
                <w:highlight w:val="none"/>
              </w:rPr>
            </w:pPr>
            <w:r>
              <w:rPr>
                <w:rFonts w:hint="eastAsia" w:cs="仿宋_GB2312" w:asciiTheme="minorEastAsia" w:hAnsiTheme="minorEastAsia" w:eastAsiaTheme="minorEastAsia"/>
                <w:color w:val="auto"/>
                <w:kern w:val="2"/>
                <w:sz w:val="21"/>
                <w:szCs w:val="21"/>
                <w:highlight w:val="none"/>
              </w:rPr>
              <w:t>邮 编</w:t>
            </w:r>
          </w:p>
        </w:tc>
        <w:tc>
          <w:tcPr>
            <w:tcW w:w="1623" w:type="dxa"/>
            <w:tcBorders>
              <w:top w:val="single" w:color="auto" w:sz="4" w:space="0"/>
              <w:left w:val="single" w:color="auto" w:sz="4" w:space="0"/>
              <w:bottom w:val="single" w:color="auto" w:sz="4" w:space="0"/>
              <w:right w:val="single" w:color="auto" w:sz="4" w:space="0"/>
            </w:tcBorders>
            <w:tcMar>
              <w:top w:w="75" w:type="dxa"/>
              <w:left w:w="75" w:type="dxa"/>
              <w:bottom w:w="75" w:type="dxa"/>
              <w:right w:w="75" w:type="dxa"/>
            </w:tcMar>
            <w:vAlign w:val="center"/>
          </w:tcPr>
          <w:p w14:paraId="4EBE039C">
            <w:pPr>
              <w:spacing w:line="360" w:lineRule="auto"/>
              <w:jc w:val="left"/>
              <w:rPr>
                <w:rFonts w:hint="eastAsia" w:cs="-apple-system" w:asciiTheme="minorEastAsia" w:hAnsiTheme="minorEastAsia" w:eastAsiaTheme="minorEastAsia"/>
                <w:color w:val="auto"/>
                <w:szCs w:val="21"/>
                <w:highlight w:val="none"/>
              </w:rPr>
            </w:pPr>
          </w:p>
        </w:tc>
      </w:tr>
      <w:tr w14:paraId="2B1989D1">
        <w:tblPrEx>
          <w:tblBorders>
            <w:top w:val="single" w:color="E4E6E7" w:sz="6" w:space="0"/>
            <w:left w:val="single" w:color="E4E6E7" w:sz="6" w:space="0"/>
            <w:bottom w:val="single" w:color="E4E6E7" w:sz="6" w:space="0"/>
            <w:right w:val="single" w:color="E4E6E7" w:sz="6" w:space="0"/>
            <w:insideH w:val="none" w:color="auto" w:sz="0" w:space="0"/>
            <w:insideV w:val="none" w:color="auto" w:sz="0" w:space="0"/>
          </w:tblBorders>
          <w:tblCellMar>
            <w:top w:w="0" w:type="dxa"/>
            <w:left w:w="0" w:type="dxa"/>
            <w:bottom w:w="0" w:type="dxa"/>
            <w:right w:w="0" w:type="dxa"/>
          </w:tblCellMar>
        </w:tblPrEx>
        <w:trPr>
          <w:trHeight w:val="8979" w:hRule="atLeast"/>
        </w:trPr>
        <w:tc>
          <w:tcPr>
            <w:tcW w:w="8454" w:type="dxa"/>
            <w:gridSpan w:val="6"/>
            <w:tcBorders>
              <w:top w:val="single" w:color="auto" w:sz="4" w:space="0"/>
              <w:left w:val="single" w:color="auto" w:sz="4" w:space="0"/>
              <w:bottom w:val="single" w:color="auto" w:sz="4" w:space="0"/>
              <w:right w:val="single" w:color="auto" w:sz="4" w:space="0"/>
            </w:tcBorders>
            <w:tcMar>
              <w:top w:w="75" w:type="dxa"/>
              <w:left w:w="75" w:type="dxa"/>
              <w:bottom w:w="75" w:type="dxa"/>
              <w:right w:w="75" w:type="dxa"/>
            </w:tcMar>
          </w:tcPr>
          <w:p w14:paraId="475A5BE0">
            <w:pPr>
              <w:pStyle w:val="35"/>
              <w:wordWrap w:val="0"/>
              <w:spacing w:before="120" w:beforeAutospacing="0" w:after="0" w:afterAutospacing="0" w:line="360" w:lineRule="auto"/>
              <w:rPr>
                <w:rFonts w:hint="eastAsia" w:asciiTheme="minorEastAsia" w:hAnsiTheme="minorEastAsia" w:eastAsiaTheme="minorEastAsia"/>
                <w:color w:val="auto"/>
                <w:kern w:val="2"/>
                <w:sz w:val="21"/>
                <w:szCs w:val="21"/>
                <w:highlight w:val="none"/>
              </w:rPr>
            </w:pPr>
            <w:r>
              <w:rPr>
                <w:rFonts w:hint="eastAsia" w:cs="仿宋_GB2312" w:asciiTheme="minorEastAsia" w:hAnsiTheme="minorEastAsia" w:eastAsiaTheme="minorEastAsia"/>
                <w:color w:val="auto"/>
                <w:kern w:val="2"/>
                <w:sz w:val="21"/>
                <w:szCs w:val="21"/>
                <w:highlight w:val="none"/>
              </w:rPr>
              <w:t>嘉兴市千秋工程咨询有限公司：</w:t>
            </w:r>
          </w:p>
          <w:p w14:paraId="56F6761A">
            <w:pPr>
              <w:adjustRightInd w:val="0"/>
              <w:snapToGrid w:val="0"/>
              <w:spacing w:line="360" w:lineRule="auto"/>
              <w:ind w:firstLine="420" w:firstLineChars="200"/>
              <w:rPr>
                <w:rFonts w:hint="eastAsia" w:cs="仿宋_GB2312"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我公司报名参加贵单位组织的</w:t>
            </w:r>
            <w:r>
              <w:rPr>
                <w:rFonts w:hint="eastAsia" w:asciiTheme="minorEastAsia" w:hAnsiTheme="minorEastAsia" w:eastAsiaTheme="minorEastAsia"/>
                <w:color w:val="auto"/>
                <w:highlight w:val="none"/>
                <w:u w:val="single"/>
                <w:lang w:eastAsia="zh-CN"/>
              </w:rPr>
              <w:t>2025年（第二期）</w:t>
            </w:r>
            <w:r>
              <w:rPr>
                <w:rFonts w:hint="eastAsia" w:asciiTheme="minorEastAsia" w:hAnsiTheme="minorEastAsia" w:eastAsiaTheme="minorEastAsia"/>
                <w:color w:val="auto"/>
                <w:highlight w:val="none"/>
                <w:u w:val="single"/>
              </w:rPr>
              <w:t>嘉兴经济技术开发区公共资金竞争性存放项目</w:t>
            </w:r>
            <w:r>
              <w:rPr>
                <w:rFonts w:hint="eastAsia" w:cs="仿宋_GB2312" w:asciiTheme="minorEastAsia" w:hAnsiTheme="minorEastAsia" w:eastAsiaTheme="minorEastAsia"/>
                <w:color w:val="auto"/>
                <w:szCs w:val="21"/>
                <w:highlight w:val="none"/>
              </w:rPr>
              <w:t>（项目编号为</w:t>
            </w:r>
            <w:r>
              <w:rPr>
                <w:rFonts w:hint="eastAsia" w:asciiTheme="minorEastAsia" w:hAnsiTheme="minorEastAsia" w:eastAsiaTheme="minorEastAsia"/>
                <w:color w:val="auto"/>
                <w:highlight w:val="none"/>
                <w:u w:val="single"/>
                <w:lang w:eastAsia="zh-CN"/>
              </w:rPr>
              <w:t>定存（2025）02</w:t>
            </w:r>
            <w:r>
              <w:rPr>
                <w:rFonts w:hint="eastAsia" w:asciiTheme="minorEastAsia" w:hAnsiTheme="minorEastAsia" w:eastAsiaTheme="minorEastAsia"/>
                <w:color w:val="auto"/>
                <w:highlight w:val="none"/>
                <w:u w:val="single"/>
              </w:rPr>
              <w:t>）</w:t>
            </w:r>
            <w:r>
              <w:rPr>
                <w:rFonts w:hint="eastAsia" w:cs="仿宋_GB2312" w:asciiTheme="minorEastAsia" w:hAnsiTheme="minorEastAsia" w:eastAsiaTheme="minorEastAsia"/>
                <w:color w:val="auto"/>
                <w:szCs w:val="21"/>
                <w:highlight w:val="none"/>
              </w:rPr>
              <w:t>的招标活动。</w:t>
            </w:r>
          </w:p>
          <w:p w14:paraId="7CAF8D07">
            <w:pPr>
              <w:spacing w:line="360" w:lineRule="auto"/>
              <w:rPr>
                <w:rFonts w:hint="eastAsia" w:cs="仿宋" w:asciiTheme="minorEastAsia" w:hAnsiTheme="minorEastAsia" w:eastAsiaTheme="minorEastAsia"/>
                <w:color w:val="auto"/>
                <w:szCs w:val="21"/>
                <w:highlight w:val="none"/>
              </w:rPr>
            </w:pPr>
            <w:r>
              <w:rPr>
                <w:rStyle w:val="41"/>
                <w:rFonts w:hint="eastAsia" w:cs="宋体" w:asciiTheme="minorEastAsia" w:hAnsiTheme="minorEastAsia" w:eastAsiaTheme="minorEastAsia"/>
                <w:color w:val="auto"/>
                <w:szCs w:val="21"/>
                <w:highlight w:val="none"/>
              </w:rPr>
              <w:t xml:space="preserve">   </w:t>
            </w:r>
            <w:r>
              <w:rPr>
                <w:rFonts w:hint="eastAsia" w:cs="仿宋" w:asciiTheme="minorEastAsia" w:hAnsiTheme="minorEastAsia" w:eastAsiaTheme="minorEastAsia"/>
                <w:color w:val="auto"/>
                <w:szCs w:val="21"/>
                <w:highlight w:val="none"/>
              </w:rPr>
              <w:t>附：1.有效的营业执照副本复印件（加盖单位公章）；</w:t>
            </w:r>
          </w:p>
          <w:p w14:paraId="0EA92419">
            <w:pPr>
              <w:spacing w:line="360" w:lineRule="auto"/>
              <w:rPr>
                <w:rFonts w:hint="eastAsia" w:cs="仿宋" w:asciiTheme="minorEastAsia" w:hAnsiTheme="minorEastAsia" w:eastAsiaTheme="minorEastAsia"/>
                <w:color w:val="auto"/>
                <w:szCs w:val="21"/>
                <w:highlight w:val="none"/>
              </w:rPr>
            </w:pPr>
            <w:r>
              <w:rPr>
                <w:rFonts w:hint="eastAsia" w:cs="仿宋" w:asciiTheme="minorEastAsia" w:hAnsiTheme="minorEastAsia" w:eastAsiaTheme="minorEastAsia"/>
                <w:color w:val="auto"/>
                <w:szCs w:val="21"/>
                <w:highlight w:val="none"/>
              </w:rPr>
              <w:t xml:space="preserve">      </w:t>
            </w:r>
            <w:r>
              <w:rPr>
                <w:rFonts w:cs="仿宋" w:asciiTheme="minorEastAsia" w:hAnsiTheme="minorEastAsia" w:eastAsiaTheme="minorEastAsia"/>
                <w:color w:val="auto"/>
                <w:szCs w:val="21"/>
                <w:highlight w:val="none"/>
              </w:rPr>
              <w:t xml:space="preserve"> </w:t>
            </w:r>
            <w:r>
              <w:rPr>
                <w:rFonts w:hint="eastAsia" w:cs="仿宋" w:asciiTheme="minorEastAsia" w:hAnsiTheme="minorEastAsia" w:eastAsiaTheme="minorEastAsia"/>
                <w:color w:val="auto"/>
                <w:szCs w:val="21"/>
                <w:highlight w:val="none"/>
              </w:rPr>
              <w:t xml:space="preserve"> 2.报名人有效身份证件复印件（加盖单位公章）。</w:t>
            </w:r>
          </w:p>
          <w:p w14:paraId="0D5B3D25">
            <w:pPr>
              <w:spacing w:line="360" w:lineRule="auto"/>
              <w:rPr>
                <w:rFonts w:hint="eastAsia" w:cs="仿宋" w:asciiTheme="minorEastAsia" w:hAnsiTheme="minorEastAsia" w:eastAsiaTheme="minorEastAsia"/>
                <w:color w:val="auto"/>
                <w:szCs w:val="21"/>
                <w:highlight w:val="none"/>
              </w:rPr>
            </w:pPr>
          </w:p>
          <w:p w14:paraId="4C5DD949">
            <w:pPr>
              <w:spacing w:line="360" w:lineRule="auto"/>
              <w:rPr>
                <w:rFonts w:hint="eastAsia" w:cs="仿宋" w:asciiTheme="minorEastAsia" w:hAnsiTheme="minorEastAsia" w:eastAsiaTheme="minorEastAsia"/>
                <w:color w:val="auto"/>
                <w:szCs w:val="21"/>
                <w:highlight w:val="none"/>
              </w:rPr>
            </w:pPr>
          </w:p>
          <w:p w14:paraId="1DFBDE4C">
            <w:pPr>
              <w:pStyle w:val="35"/>
              <w:wordWrap w:val="0"/>
              <w:spacing w:before="0" w:beforeAutospacing="0" w:after="0" w:afterAutospacing="0" w:line="360" w:lineRule="auto"/>
              <w:ind w:firstLine="555"/>
              <w:rPr>
                <w:rFonts w:hint="eastAsia" w:asciiTheme="minorEastAsia" w:hAnsiTheme="minorEastAsia" w:eastAsiaTheme="minorEastAsia"/>
                <w:color w:val="auto"/>
                <w:kern w:val="2"/>
                <w:sz w:val="21"/>
                <w:szCs w:val="21"/>
                <w:highlight w:val="none"/>
              </w:rPr>
            </w:pPr>
          </w:p>
          <w:p w14:paraId="7477CC15">
            <w:pPr>
              <w:pStyle w:val="35"/>
              <w:wordWrap w:val="0"/>
              <w:spacing w:before="0" w:beforeAutospacing="0" w:after="0" w:afterAutospacing="0" w:line="360" w:lineRule="auto"/>
              <w:ind w:left="540" w:firstLine="30"/>
              <w:jc w:val="center"/>
              <w:rPr>
                <w:rFonts w:hint="eastAsia" w:asciiTheme="minorEastAsia" w:hAnsiTheme="minorEastAsia" w:eastAsiaTheme="minorEastAsia"/>
                <w:color w:val="auto"/>
                <w:kern w:val="2"/>
                <w:sz w:val="21"/>
                <w:szCs w:val="21"/>
                <w:highlight w:val="none"/>
              </w:rPr>
            </w:pPr>
            <w:r>
              <w:rPr>
                <w:rFonts w:hint="eastAsia" w:asciiTheme="minorEastAsia" w:hAnsiTheme="minorEastAsia" w:eastAsiaTheme="minorEastAsia"/>
                <w:color w:val="auto"/>
                <w:kern w:val="2"/>
                <w:sz w:val="21"/>
                <w:szCs w:val="21"/>
                <w:highlight w:val="none"/>
              </w:rPr>
              <w:t> </w:t>
            </w:r>
          </w:p>
          <w:p w14:paraId="59039BC1">
            <w:pPr>
              <w:pStyle w:val="35"/>
              <w:wordWrap w:val="0"/>
              <w:spacing w:before="0" w:beforeAutospacing="0" w:after="0" w:afterAutospacing="0" w:line="360" w:lineRule="auto"/>
              <w:rPr>
                <w:rFonts w:hint="eastAsia" w:asciiTheme="minorEastAsia" w:hAnsiTheme="minorEastAsia" w:eastAsiaTheme="minorEastAsia"/>
                <w:color w:val="auto"/>
                <w:kern w:val="2"/>
                <w:sz w:val="21"/>
                <w:szCs w:val="21"/>
                <w:highlight w:val="none"/>
              </w:rPr>
            </w:pPr>
            <w:r>
              <w:rPr>
                <w:rFonts w:hint="eastAsia" w:cs="仿宋_GB2312" w:asciiTheme="minorEastAsia" w:hAnsiTheme="minorEastAsia" w:eastAsiaTheme="minorEastAsia"/>
                <w:color w:val="auto"/>
                <w:kern w:val="2"/>
                <w:sz w:val="21"/>
                <w:szCs w:val="21"/>
                <w:highlight w:val="none"/>
              </w:rPr>
              <w:t xml:space="preserve">    报名单位公章：</w:t>
            </w:r>
            <w:r>
              <w:rPr>
                <w:rFonts w:hint="eastAsia" w:asciiTheme="minorEastAsia" w:hAnsiTheme="minorEastAsia" w:eastAsiaTheme="minorEastAsia"/>
                <w:color w:val="auto"/>
                <w:kern w:val="2"/>
                <w:sz w:val="21"/>
                <w:szCs w:val="21"/>
                <w:highlight w:val="none"/>
                <w:u w:val="single"/>
              </w:rPr>
              <w:t>          </w:t>
            </w:r>
            <w:r>
              <w:rPr>
                <w:rFonts w:hint="eastAsia" w:asciiTheme="minorEastAsia" w:hAnsiTheme="minorEastAsia" w:eastAsiaTheme="minorEastAsia"/>
                <w:color w:val="auto"/>
                <w:kern w:val="2"/>
                <w:sz w:val="21"/>
                <w:szCs w:val="21"/>
                <w:highlight w:val="none"/>
              </w:rPr>
              <w:t>        </w:t>
            </w:r>
          </w:p>
          <w:p w14:paraId="39A01856">
            <w:pPr>
              <w:pStyle w:val="35"/>
              <w:wordWrap w:val="0"/>
              <w:spacing w:before="0" w:beforeAutospacing="0" w:after="0" w:afterAutospacing="0" w:line="360" w:lineRule="auto"/>
              <w:ind w:left="540" w:firstLine="30"/>
              <w:jc w:val="both"/>
              <w:rPr>
                <w:rFonts w:hint="eastAsia" w:cs="仿宋_GB2312" w:asciiTheme="minorEastAsia" w:hAnsiTheme="minorEastAsia" w:eastAsiaTheme="minorEastAsia"/>
                <w:color w:val="auto"/>
                <w:kern w:val="2"/>
                <w:sz w:val="21"/>
                <w:szCs w:val="21"/>
                <w:highlight w:val="none"/>
              </w:rPr>
            </w:pPr>
          </w:p>
          <w:p w14:paraId="386C9AB0">
            <w:pPr>
              <w:pStyle w:val="35"/>
              <w:wordWrap w:val="0"/>
              <w:spacing w:before="0" w:beforeAutospacing="0" w:after="0" w:afterAutospacing="0" w:line="360" w:lineRule="auto"/>
              <w:ind w:firstLine="420" w:firstLineChars="200"/>
              <w:jc w:val="both"/>
              <w:rPr>
                <w:rFonts w:hint="eastAsia" w:asciiTheme="minorEastAsia" w:hAnsiTheme="minorEastAsia" w:eastAsiaTheme="minorEastAsia"/>
                <w:color w:val="auto"/>
                <w:kern w:val="2"/>
                <w:sz w:val="21"/>
                <w:szCs w:val="21"/>
                <w:highlight w:val="none"/>
              </w:rPr>
            </w:pPr>
            <w:r>
              <w:rPr>
                <w:rFonts w:hint="eastAsia" w:cs="仿宋_GB2312" w:asciiTheme="minorEastAsia" w:hAnsiTheme="minorEastAsia" w:eastAsiaTheme="minorEastAsia"/>
                <w:color w:val="auto"/>
                <w:kern w:val="2"/>
                <w:sz w:val="21"/>
                <w:szCs w:val="21"/>
                <w:highlight w:val="none"/>
              </w:rPr>
              <w:t>法人代表或负责人盖章或签字：</w:t>
            </w:r>
            <w:r>
              <w:rPr>
                <w:rFonts w:hint="eastAsia" w:asciiTheme="minorEastAsia" w:hAnsiTheme="minorEastAsia" w:eastAsiaTheme="minorEastAsia"/>
                <w:color w:val="auto"/>
                <w:kern w:val="2"/>
                <w:sz w:val="21"/>
                <w:szCs w:val="21"/>
                <w:highlight w:val="none"/>
                <w:u w:val="single"/>
              </w:rPr>
              <w:t>         </w:t>
            </w:r>
          </w:p>
          <w:p w14:paraId="32EA3EAA">
            <w:pPr>
              <w:pStyle w:val="35"/>
              <w:wordWrap w:val="0"/>
              <w:spacing w:before="0" w:beforeAutospacing="0" w:after="0" w:afterAutospacing="0" w:line="360" w:lineRule="auto"/>
              <w:ind w:left="540" w:firstLine="30"/>
              <w:jc w:val="center"/>
              <w:rPr>
                <w:rFonts w:hint="eastAsia" w:asciiTheme="minorEastAsia" w:hAnsiTheme="minorEastAsia" w:eastAsiaTheme="minorEastAsia"/>
                <w:color w:val="auto"/>
                <w:kern w:val="2"/>
                <w:sz w:val="21"/>
                <w:szCs w:val="21"/>
                <w:highlight w:val="none"/>
              </w:rPr>
            </w:pPr>
            <w:r>
              <w:rPr>
                <w:rFonts w:hint="eastAsia" w:asciiTheme="minorEastAsia" w:hAnsiTheme="minorEastAsia" w:eastAsiaTheme="minorEastAsia"/>
                <w:color w:val="auto"/>
                <w:kern w:val="2"/>
                <w:sz w:val="21"/>
                <w:szCs w:val="21"/>
                <w:highlight w:val="none"/>
              </w:rPr>
              <w:t>                           </w:t>
            </w:r>
          </w:p>
          <w:p w14:paraId="492FAB42">
            <w:pPr>
              <w:pStyle w:val="35"/>
              <w:wordWrap w:val="0"/>
              <w:spacing w:before="0" w:beforeAutospacing="0" w:after="0" w:afterAutospacing="0" w:line="360" w:lineRule="auto"/>
              <w:rPr>
                <w:rFonts w:hint="eastAsia" w:asciiTheme="minorEastAsia" w:hAnsiTheme="minorEastAsia" w:eastAsiaTheme="minorEastAsia"/>
                <w:color w:val="auto"/>
                <w:kern w:val="2"/>
                <w:sz w:val="21"/>
                <w:szCs w:val="21"/>
                <w:highlight w:val="none"/>
              </w:rPr>
            </w:pPr>
            <w:r>
              <w:rPr>
                <w:rFonts w:hint="eastAsia" w:asciiTheme="minorEastAsia" w:hAnsiTheme="minorEastAsia" w:eastAsiaTheme="minorEastAsia"/>
                <w:color w:val="auto"/>
                <w:kern w:val="2"/>
                <w:sz w:val="21"/>
                <w:szCs w:val="21"/>
                <w:highlight w:val="none"/>
              </w:rPr>
              <w:t> </w:t>
            </w:r>
          </w:p>
          <w:p w14:paraId="5479C882">
            <w:pPr>
              <w:pStyle w:val="35"/>
              <w:wordWrap w:val="0"/>
              <w:spacing w:before="0" w:beforeAutospacing="0" w:after="0" w:afterAutospacing="0" w:line="360" w:lineRule="auto"/>
              <w:rPr>
                <w:rFonts w:hint="eastAsia" w:asciiTheme="minorEastAsia" w:hAnsiTheme="minorEastAsia" w:eastAsiaTheme="minorEastAsia"/>
                <w:color w:val="auto"/>
                <w:kern w:val="2"/>
                <w:sz w:val="21"/>
                <w:szCs w:val="21"/>
                <w:highlight w:val="none"/>
              </w:rPr>
            </w:pPr>
            <w:r>
              <w:rPr>
                <w:rFonts w:hint="eastAsia" w:asciiTheme="minorEastAsia" w:hAnsiTheme="minorEastAsia" w:eastAsiaTheme="minorEastAsia"/>
                <w:color w:val="auto"/>
                <w:kern w:val="2"/>
                <w:sz w:val="21"/>
                <w:szCs w:val="21"/>
                <w:highlight w:val="none"/>
              </w:rPr>
              <w:t>                  </w:t>
            </w:r>
            <w:r>
              <w:rPr>
                <w:rFonts w:hint="eastAsia" w:cs="仿宋_GB2312" w:asciiTheme="minorEastAsia" w:hAnsiTheme="minorEastAsia" w:eastAsiaTheme="minorEastAsia"/>
                <w:color w:val="auto"/>
                <w:kern w:val="2"/>
                <w:sz w:val="21"/>
                <w:szCs w:val="21"/>
                <w:highlight w:val="none"/>
              </w:rPr>
              <w:t> </w:t>
            </w:r>
            <w:r>
              <w:rPr>
                <w:rFonts w:hint="eastAsia" w:asciiTheme="minorEastAsia" w:hAnsiTheme="minorEastAsia" w:eastAsiaTheme="minorEastAsia"/>
                <w:color w:val="auto"/>
                <w:sz w:val="21"/>
                <w:szCs w:val="21"/>
                <w:highlight w:val="none"/>
              </w:rPr>
              <w:t xml:space="preserve">   年   月   日</w:t>
            </w:r>
          </w:p>
        </w:tc>
      </w:tr>
    </w:tbl>
    <w:p w14:paraId="0F87BC38">
      <w:pPr>
        <w:spacing w:line="360" w:lineRule="auto"/>
        <w:rPr>
          <w:rFonts w:hint="eastAsia" w:asciiTheme="minorEastAsia" w:hAnsiTheme="minorEastAsia" w:eastAsiaTheme="minorEastAsia"/>
          <w:color w:val="auto"/>
          <w:szCs w:val="21"/>
          <w:highlight w:val="none"/>
        </w:rPr>
      </w:pPr>
    </w:p>
    <w:bookmarkEnd w:id="119"/>
    <w:sectPr>
      <w:pgSz w:w="11907" w:h="16840"/>
      <w:pgMar w:top="1440" w:right="1797" w:bottom="1440" w:left="1797" w:header="851" w:footer="851" w:gutter="0"/>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A74062B4-5C19-444B-9699-1EA281B0FFCF}"/>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embedRegular r:id="rId2" w:fontKey="{56343A77-9B88-4830-8857-1CDFB21C9043}"/>
  </w:font>
  <w:font w:name="仿宋">
    <w:panose1 w:val="02010609060101010101"/>
    <w:charset w:val="86"/>
    <w:family w:val="modern"/>
    <w:pitch w:val="default"/>
    <w:sig w:usb0="800002BF" w:usb1="38CF7CFA" w:usb2="00000016" w:usb3="00000000" w:csb0="00040001" w:csb1="00000000"/>
    <w:embedRegular r:id="rId3" w:fontKey="{0C2A9489-B83E-43A0-A964-C69F71E7EDC7}"/>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Helvetica">
    <w:altName w:val="Arial"/>
    <w:panose1 w:val="020B0504020202030204"/>
    <w:charset w:val="00"/>
    <w:family w:val="swiss"/>
    <w:pitch w:val="default"/>
    <w:sig w:usb0="00000000" w:usb1="00000000" w:usb2="00000000" w:usb3="00000000" w:csb0="00000093"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方正小标宋简体">
    <w:panose1 w:val="02000000000000000000"/>
    <w:charset w:val="86"/>
    <w:family w:val="script"/>
    <w:pitch w:val="default"/>
    <w:sig w:usb0="00000001" w:usb1="08000000" w:usb2="00000000" w:usb3="00000000" w:csb0="00040000" w:csb1="00000000"/>
    <w:embedRegular r:id="rId4" w:fontKey="{572E8EE2-562C-4936-B7CB-AA769CC8C666}"/>
  </w:font>
  <w:font w:name="MingLiU_HKSCS-ExtB">
    <w:panose1 w:val="02020500000000000000"/>
    <w:charset w:val="88"/>
    <w:family w:val="roman"/>
    <w:pitch w:val="default"/>
    <w:sig w:usb0="8000002F" w:usb1="02000008" w:usb2="00000000" w:usb3="00000000" w:csb0="00100001" w:csb1="00000000"/>
    <w:embedRegular r:id="rId5" w:fontKey="{A3B4D40C-C327-4D4B-9C38-6A5979C24744}"/>
  </w:font>
  <w:font w:name="-apple-system">
    <w:altName w:val="标准粗黑"/>
    <w:panose1 w:val="00000000000000000000"/>
    <w:charset w:val="00"/>
    <w:family w:val="auto"/>
    <w:pitch w:val="default"/>
    <w:sig w:usb0="00000000" w:usb1="00000000" w:usb2="00000000" w:usb3="00000000" w:csb0="00040001" w:csb1="00000000"/>
    <w:embedRegular r:id="rId6" w:fontKey="{A87B6641-7724-4769-BA96-A1CD74680549}"/>
  </w:font>
  <w:font w:name="标准粗黑">
    <w:panose1 w:val="02000503000000000000"/>
    <w:charset w:val="86"/>
    <w:family w:val="auto"/>
    <w:pitch w:val="default"/>
    <w:sig w:usb0="8000002F" w:usb1="084164FA" w:usb2="00000012"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08789256"/>
    </w:sdtPr>
    <w:sdtContent>
      <w:p w14:paraId="007625BD">
        <w:pPr>
          <w:pStyle w:val="26"/>
          <w:jc w:val="right"/>
        </w:pPr>
        <w:r>
          <w:rPr>
            <w:lang w:val="zh-CN"/>
          </w:rPr>
          <w:fldChar w:fldCharType="begin"/>
        </w:r>
        <w:r>
          <w:rPr>
            <w:lang w:val="zh-CN"/>
          </w:rPr>
          <w:instrText xml:space="preserve"> PAGE   \* MERGEFORMAT </w:instrText>
        </w:r>
        <w:r>
          <w:rPr>
            <w:lang w:val="zh-CN"/>
          </w:rPr>
          <w:fldChar w:fldCharType="separate"/>
        </w:r>
        <w:r>
          <w:rPr>
            <w:lang w:val="zh-CN"/>
          </w:rPr>
          <w:t>24</w:t>
        </w:r>
        <w:r>
          <w:rPr>
            <w:lang w:val="zh-CN"/>
          </w:rPr>
          <w:fldChar w:fldCharType="end"/>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A99648">
    <w:pPr>
      <w:pStyle w:val="26"/>
      <w:framePr w:wrap="around" w:vAnchor="text" w:hAnchor="margin" w:xAlign="outside" w:y="1"/>
      <w:rPr>
        <w:rStyle w:val="42"/>
      </w:rPr>
    </w:pPr>
    <w:r>
      <w:rPr>
        <w:rStyle w:val="42"/>
      </w:rPr>
      <w:fldChar w:fldCharType="begin"/>
    </w:r>
    <w:r>
      <w:rPr>
        <w:rStyle w:val="42"/>
      </w:rPr>
      <w:instrText xml:space="preserve">PAGE  </w:instrText>
    </w:r>
    <w:r>
      <w:rPr>
        <w:rStyle w:val="42"/>
      </w:rPr>
      <w:fldChar w:fldCharType="end"/>
    </w:r>
  </w:p>
  <w:p w14:paraId="2F7D1E63">
    <w:pPr>
      <w:pStyle w:val="26"/>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F75FFC">
    <w:pPr>
      <w:pStyle w:val="26"/>
      <w:jc w:val="right"/>
    </w:pPr>
  </w:p>
  <w:p w14:paraId="712261DE">
    <w:pPr>
      <w:pStyle w:val="26"/>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15433688"/>
    </w:sdtPr>
    <w:sdtContent>
      <w:p w14:paraId="390AF502">
        <w:pPr>
          <w:pStyle w:val="26"/>
          <w:jc w:val="right"/>
        </w:pPr>
        <w:r>
          <w:fldChar w:fldCharType="begin"/>
        </w:r>
        <w:r>
          <w:instrText xml:space="preserve"> PAGE   \* MERGEFORMAT </w:instrText>
        </w:r>
        <w:r>
          <w:fldChar w:fldCharType="separate"/>
        </w:r>
        <w:r>
          <w:rPr>
            <w:lang w:val="zh-CN"/>
          </w:rPr>
          <w:t>27</w:t>
        </w:r>
        <w:r>
          <w:rPr>
            <w:lang w:val="zh-CN"/>
          </w:rPr>
          <w:fldChar w:fldCharType="end"/>
        </w:r>
      </w:p>
    </w:sdtContent>
  </w:sdt>
  <w:p w14:paraId="254E483A">
    <w:pPr>
      <w:pStyle w:val="26"/>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5FBCEA">
    <w:pPr>
      <w:pStyle w:val="27"/>
      <w:jc w:val="right"/>
      <w:rPr>
        <w:rFonts w:hint="eastAsia" w:asciiTheme="minorEastAsia" w:hAnsiTheme="minorEastAsia" w:eastAsiaTheme="minorEastAsia"/>
        <w:sz w:val="18"/>
        <w:szCs w:val="18"/>
      </w:rPr>
    </w:pPr>
    <w:r>
      <w:rPr>
        <w:rFonts w:asciiTheme="minorEastAsia" w:hAnsiTheme="minorEastAsia" w:eastAsiaTheme="minorEastAsia"/>
        <w:sz w:val="18"/>
        <w:szCs w:val="18"/>
      </w:rPr>
      <w:drawing>
        <wp:anchor distT="0" distB="0" distL="114300" distR="114300" simplePos="0" relativeHeight="251660288" behindDoc="0" locked="0" layoutInCell="1" allowOverlap="1">
          <wp:simplePos x="0" y="0"/>
          <wp:positionH relativeFrom="column">
            <wp:posOffset>40005</wp:posOffset>
          </wp:positionH>
          <wp:positionV relativeFrom="paragraph">
            <wp:posOffset>-140335</wp:posOffset>
          </wp:positionV>
          <wp:extent cx="447675" cy="390525"/>
          <wp:effectExtent l="19050" t="0" r="9525" b="0"/>
          <wp:wrapNone/>
          <wp:docPr id="8" name="图片 7" descr="1022673275238364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7" descr="102267327523836409"/>
                  <pic:cNvPicPr>
                    <a:picLocks noChangeAspect="1" noChangeArrowheads="1"/>
                  </pic:cNvPicPr>
                </pic:nvPicPr>
                <pic:blipFill>
                  <a:blip r:embed="rId1"/>
                  <a:srcRect/>
                  <a:stretch>
                    <a:fillRect/>
                  </a:stretch>
                </pic:blipFill>
                <pic:spPr>
                  <a:xfrm>
                    <a:off x="0" y="0"/>
                    <a:ext cx="447675" cy="390525"/>
                  </a:xfrm>
                  <a:prstGeom prst="rect">
                    <a:avLst/>
                  </a:prstGeom>
                  <a:noFill/>
                  <a:ln w="9525" cmpd="sng">
                    <a:noFill/>
                    <a:miter lim="800000"/>
                    <a:headEnd/>
                    <a:tailEnd/>
                  </a:ln>
                </pic:spPr>
              </pic:pic>
            </a:graphicData>
          </a:graphic>
        </wp:anchor>
      </w:drawing>
    </w:r>
    <w:r>
      <w:rPr>
        <w:rFonts w:hint="eastAsia" w:asciiTheme="minorEastAsia" w:hAnsiTheme="minorEastAsia" w:eastAsiaTheme="minorEastAsia"/>
        <w:sz w:val="18"/>
        <w:szCs w:val="18"/>
        <w:lang w:eastAsia="zh-CN"/>
      </w:rPr>
      <w:t>2025年（第二期）</w:t>
    </w:r>
    <w:r>
      <w:rPr>
        <w:rFonts w:hint="eastAsia" w:asciiTheme="minorEastAsia" w:hAnsiTheme="minorEastAsia" w:eastAsiaTheme="minorEastAsia"/>
        <w:sz w:val="18"/>
        <w:szCs w:val="18"/>
      </w:rPr>
      <w:t>嘉兴经济技术开发区公共资金竞争性存放项目.招标文件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CAE43B">
    <w:pPr>
      <w:pStyle w:val="27"/>
      <w:jc w:val="right"/>
      <w:rPr>
        <w:rFonts w:hint="eastAsia" w:asciiTheme="minorEastAsia" w:hAnsiTheme="minorEastAsia" w:eastAsiaTheme="minorEastAsia"/>
      </w:rPr>
    </w:pPr>
    <w:r>
      <w:rPr>
        <w:rFonts w:asciiTheme="minorEastAsia" w:hAnsiTheme="minorEastAsia" w:eastAsiaTheme="minorEastAsia"/>
      </w:rPr>
      <w:drawing>
        <wp:anchor distT="0" distB="0" distL="114300" distR="114300" simplePos="0" relativeHeight="251659264" behindDoc="0" locked="0" layoutInCell="1" allowOverlap="1">
          <wp:simplePos x="0" y="0"/>
          <wp:positionH relativeFrom="column">
            <wp:posOffset>135255</wp:posOffset>
          </wp:positionH>
          <wp:positionV relativeFrom="paragraph">
            <wp:posOffset>-111760</wp:posOffset>
          </wp:positionV>
          <wp:extent cx="447675" cy="390525"/>
          <wp:effectExtent l="19050" t="0" r="9525" b="0"/>
          <wp:wrapNone/>
          <wp:docPr id="2" name="图片 2" descr="1022673275238364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102267327523836409"/>
                  <pic:cNvPicPr>
                    <a:picLocks noChangeAspect="1" noChangeArrowheads="1"/>
                  </pic:cNvPicPr>
                </pic:nvPicPr>
                <pic:blipFill>
                  <a:blip r:embed="rId1"/>
                  <a:srcRect/>
                  <a:stretch>
                    <a:fillRect/>
                  </a:stretch>
                </pic:blipFill>
                <pic:spPr>
                  <a:xfrm>
                    <a:off x="0" y="0"/>
                    <a:ext cx="447675" cy="390525"/>
                  </a:xfrm>
                  <a:prstGeom prst="rect">
                    <a:avLst/>
                  </a:prstGeom>
                  <a:noFill/>
                  <a:ln w="9525" cmpd="sng">
                    <a:noFill/>
                    <a:miter lim="800000"/>
                    <a:headEnd/>
                    <a:tailEnd/>
                  </a:ln>
                </pic:spPr>
              </pic:pic>
            </a:graphicData>
          </a:graphic>
        </wp:anchor>
      </w:drawing>
    </w:r>
    <w:r>
      <w:rPr>
        <w:rFonts w:hint="eastAsia" w:asciiTheme="minorEastAsia" w:hAnsiTheme="minorEastAsia" w:eastAsiaTheme="minorEastAsia"/>
        <w:lang w:eastAsia="zh-CN"/>
      </w:rPr>
      <w:t>2025年（第二期）</w:t>
    </w:r>
    <w:r>
      <w:rPr>
        <w:rFonts w:hint="eastAsia" w:asciiTheme="minorEastAsia" w:hAnsiTheme="minorEastAsia" w:eastAsiaTheme="minorEastAsia"/>
      </w:rPr>
      <w:t>嘉兴经济技术开发区公共资金竞争性存放项目.招标文件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8A52BDC"/>
    <w:multiLevelType w:val="singleLevel"/>
    <w:tmpl w:val="88A52BDC"/>
    <w:lvl w:ilvl="0" w:tentative="0">
      <w:start w:val="1"/>
      <w:numFmt w:val="decimal"/>
      <w:lvlText w:val="%1."/>
      <w:lvlJc w:val="left"/>
      <w:pPr>
        <w:ind w:left="6828" w:hanging="425"/>
      </w:pPr>
      <w:rPr>
        <w:rFonts w:hint="default"/>
      </w:rPr>
    </w:lvl>
  </w:abstractNum>
  <w:abstractNum w:abstractNumId="1">
    <w:nsid w:val="8A826A00"/>
    <w:multiLevelType w:val="multilevel"/>
    <w:tmpl w:val="8A826A00"/>
    <w:lvl w:ilvl="0" w:tentative="0">
      <w:start w:val="1"/>
      <w:numFmt w:val="decimal"/>
      <w:lvlText w:val="%1."/>
      <w:lvlJc w:val="left"/>
      <w:pPr>
        <w:ind w:left="425" w:hanging="425"/>
      </w:pPr>
      <w:rPr>
        <w:rFonts w:hint="default"/>
      </w:rPr>
    </w:lvl>
    <w:lvl w:ilvl="1" w:tentative="0">
      <w:start w:val="1"/>
      <w:numFmt w:val="decimal"/>
      <w:lvlText w:val="(%2)"/>
      <w:lvlJc w:val="left"/>
      <w:pPr>
        <w:tabs>
          <w:tab w:val="left" w:pos="840"/>
        </w:tabs>
        <w:ind w:left="840" w:hanging="420"/>
      </w:pPr>
      <w:rPr>
        <w:rFonts w:hint="default"/>
      </w:rPr>
    </w:lvl>
    <w:lvl w:ilvl="2" w:tentative="0">
      <w:start w:val="1"/>
      <w:numFmt w:val="decimalEnclosedCircleChinese"/>
      <w:lvlText w:val="%3"/>
      <w:lvlJc w:val="left"/>
      <w:pPr>
        <w:tabs>
          <w:tab w:val="left" w:pos="1260"/>
        </w:tabs>
        <w:ind w:left="1260" w:hanging="420"/>
      </w:pPr>
      <w:rPr>
        <w:rFonts w:hint="default"/>
      </w:rPr>
    </w:lvl>
    <w:lvl w:ilvl="3" w:tentative="0">
      <w:start w:val="1"/>
      <w:numFmt w:val="decimal"/>
      <w:lvlText w:val="%4)"/>
      <w:lvlJc w:val="left"/>
      <w:pPr>
        <w:tabs>
          <w:tab w:val="left" w:pos="1680"/>
        </w:tabs>
        <w:ind w:left="1680" w:hanging="420"/>
      </w:pPr>
      <w:rPr>
        <w:rFonts w:hint="default"/>
      </w:rPr>
    </w:lvl>
    <w:lvl w:ilvl="4" w:tentative="0">
      <w:start w:val="1"/>
      <w:numFmt w:val="lowerLetter"/>
      <w:lvlText w:val="%5."/>
      <w:lvlJc w:val="left"/>
      <w:pPr>
        <w:tabs>
          <w:tab w:val="left" w:pos="2100"/>
        </w:tabs>
        <w:ind w:left="2100" w:hanging="420"/>
      </w:pPr>
      <w:rPr>
        <w:rFonts w:hint="default"/>
      </w:rPr>
    </w:lvl>
    <w:lvl w:ilvl="5" w:tentative="0">
      <w:start w:val="1"/>
      <w:numFmt w:val="lowerLetter"/>
      <w:lvlText w:val="%6)"/>
      <w:lvlJc w:val="left"/>
      <w:pPr>
        <w:tabs>
          <w:tab w:val="left" w:pos="2520"/>
        </w:tabs>
        <w:ind w:left="2520" w:hanging="420"/>
      </w:pPr>
      <w:rPr>
        <w:rFonts w:hint="default"/>
      </w:rPr>
    </w:lvl>
    <w:lvl w:ilvl="6" w:tentative="0">
      <w:start w:val="1"/>
      <w:numFmt w:val="lowerRoman"/>
      <w:lvlText w:val="%7."/>
      <w:lvlJc w:val="left"/>
      <w:pPr>
        <w:tabs>
          <w:tab w:val="left" w:pos="2940"/>
        </w:tabs>
        <w:ind w:left="2940" w:hanging="420"/>
      </w:pPr>
      <w:rPr>
        <w:rFonts w:hint="default"/>
      </w:rPr>
    </w:lvl>
    <w:lvl w:ilvl="7" w:tentative="0">
      <w:start w:val="1"/>
      <w:numFmt w:val="lowerRoman"/>
      <w:lvlText w:val="%8)"/>
      <w:lvlJc w:val="left"/>
      <w:pPr>
        <w:tabs>
          <w:tab w:val="left" w:pos="3360"/>
        </w:tabs>
        <w:ind w:left="3360" w:hanging="420"/>
      </w:pPr>
      <w:rPr>
        <w:rFonts w:hint="default"/>
      </w:rPr>
    </w:lvl>
    <w:lvl w:ilvl="8" w:tentative="0">
      <w:start w:val="1"/>
      <w:numFmt w:val="lowerLetter"/>
      <w:lvlText w:val="%9."/>
      <w:lvlJc w:val="left"/>
      <w:pPr>
        <w:tabs>
          <w:tab w:val="left" w:pos="3780"/>
        </w:tabs>
        <w:ind w:left="3780" w:hanging="420"/>
      </w:pPr>
      <w:rPr>
        <w:rFonts w:hint="default"/>
      </w:rPr>
    </w:lvl>
  </w:abstractNum>
  <w:abstractNum w:abstractNumId="2">
    <w:nsid w:val="90A31765"/>
    <w:multiLevelType w:val="singleLevel"/>
    <w:tmpl w:val="90A31765"/>
    <w:lvl w:ilvl="0" w:tentative="0">
      <w:start w:val="1"/>
      <w:numFmt w:val="decimal"/>
      <w:lvlText w:val="(%1)"/>
      <w:lvlJc w:val="left"/>
      <w:pPr>
        <w:ind w:left="425" w:hanging="425"/>
      </w:pPr>
      <w:rPr>
        <w:rFonts w:hint="default"/>
      </w:rPr>
    </w:lvl>
  </w:abstractNum>
  <w:abstractNum w:abstractNumId="3">
    <w:nsid w:val="95BCF98A"/>
    <w:multiLevelType w:val="singleLevel"/>
    <w:tmpl w:val="95BCF98A"/>
    <w:lvl w:ilvl="0" w:tentative="0">
      <w:start w:val="1"/>
      <w:numFmt w:val="decimal"/>
      <w:lvlText w:val="%1."/>
      <w:lvlJc w:val="left"/>
      <w:pPr>
        <w:ind w:left="425" w:hanging="425"/>
      </w:pPr>
      <w:rPr>
        <w:rFonts w:hint="default"/>
      </w:rPr>
    </w:lvl>
  </w:abstractNum>
  <w:abstractNum w:abstractNumId="4">
    <w:nsid w:val="A507EC89"/>
    <w:multiLevelType w:val="singleLevel"/>
    <w:tmpl w:val="A507EC89"/>
    <w:lvl w:ilvl="0" w:tentative="0">
      <w:start w:val="1"/>
      <w:numFmt w:val="chineseCounting"/>
      <w:suff w:val="nothing"/>
      <w:lvlText w:val="%1、"/>
      <w:lvlJc w:val="left"/>
      <w:pPr>
        <w:ind w:left="0" w:firstLine="420"/>
      </w:pPr>
      <w:rPr>
        <w:rFonts w:hint="eastAsia"/>
      </w:rPr>
    </w:lvl>
  </w:abstractNum>
  <w:abstractNum w:abstractNumId="5">
    <w:nsid w:val="B3C48481"/>
    <w:multiLevelType w:val="multilevel"/>
    <w:tmpl w:val="B3C48481"/>
    <w:lvl w:ilvl="0" w:tentative="0">
      <w:start w:val="1"/>
      <w:numFmt w:val="chineseCounting"/>
      <w:pStyle w:val="2"/>
      <w:suff w:val="nothing"/>
      <w:lvlText w:val="%1、"/>
      <w:lvlJc w:val="left"/>
      <w:pPr>
        <w:ind w:left="0" w:firstLine="0"/>
      </w:pPr>
      <w:rPr>
        <w:rFonts w:hint="eastAsia"/>
      </w:rPr>
    </w:lvl>
    <w:lvl w:ilvl="1" w:tentative="0">
      <w:start w:val="1"/>
      <w:numFmt w:val="chineseCounting"/>
      <w:pStyle w:val="3"/>
      <w:suff w:val="nothing"/>
      <w:lvlText w:val="（%2）"/>
      <w:lvlJc w:val="left"/>
      <w:pPr>
        <w:ind w:left="0" w:firstLine="0"/>
      </w:pPr>
      <w:rPr>
        <w:rFonts w:hint="eastAsia"/>
      </w:rPr>
    </w:lvl>
    <w:lvl w:ilvl="2" w:tentative="0">
      <w:start w:val="1"/>
      <w:numFmt w:val="decimal"/>
      <w:pStyle w:val="4"/>
      <w:suff w:val="nothing"/>
      <w:lvlText w:val="%3．"/>
      <w:lvlJc w:val="left"/>
      <w:pPr>
        <w:ind w:left="0" w:firstLine="400"/>
      </w:pPr>
      <w:rPr>
        <w:rFonts w:hint="eastAsia"/>
      </w:rPr>
    </w:lvl>
    <w:lvl w:ilvl="3" w:tentative="0">
      <w:start w:val="1"/>
      <w:numFmt w:val="decimal"/>
      <w:pStyle w:val="6"/>
      <w:suff w:val="nothing"/>
      <w:lvlText w:val="（%4）"/>
      <w:lvlJc w:val="left"/>
      <w:pPr>
        <w:ind w:left="0" w:firstLine="402"/>
      </w:pPr>
      <w:rPr>
        <w:rFonts w:hint="eastAsia"/>
      </w:rPr>
    </w:lvl>
    <w:lvl w:ilvl="4" w:tentative="0">
      <w:start w:val="1"/>
      <w:numFmt w:val="decimalEnclosedCircleChinese"/>
      <w:pStyle w:val="7"/>
      <w:suff w:val="nothing"/>
      <w:lvlText w:val="%5"/>
      <w:lvlJc w:val="left"/>
      <w:pPr>
        <w:ind w:left="0" w:firstLine="402"/>
      </w:pPr>
      <w:rPr>
        <w:rFonts w:hint="eastAsia"/>
      </w:rPr>
    </w:lvl>
    <w:lvl w:ilvl="5" w:tentative="0">
      <w:start w:val="1"/>
      <w:numFmt w:val="decimal"/>
      <w:pStyle w:val="8"/>
      <w:suff w:val="nothing"/>
      <w:lvlText w:val="%6）"/>
      <w:lvlJc w:val="left"/>
      <w:pPr>
        <w:ind w:left="0" w:firstLine="402"/>
      </w:pPr>
      <w:rPr>
        <w:rFonts w:hint="eastAsia"/>
      </w:rPr>
    </w:lvl>
    <w:lvl w:ilvl="6" w:tentative="0">
      <w:start w:val="1"/>
      <w:numFmt w:val="lowerLetter"/>
      <w:pStyle w:val="9"/>
      <w:suff w:val="nothing"/>
      <w:lvlText w:val="%7．"/>
      <w:lvlJc w:val="left"/>
      <w:pPr>
        <w:ind w:left="0" w:firstLine="402"/>
      </w:pPr>
      <w:rPr>
        <w:rFonts w:hint="eastAsia"/>
      </w:rPr>
    </w:lvl>
    <w:lvl w:ilvl="7" w:tentative="0">
      <w:start w:val="1"/>
      <w:numFmt w:val="lowerLetter"/>
      <w:pStyle w:val="10"/>
      <w:suff w:val="nothing"/>
      <w:lvlText w:val="%8）"/>
      <w:lvlJc w:val="left"/>
      <w:pPr>
        <w:ind w:left="0" w:firstLine="402"/>
      </w:pPr>
      <w:rPr>
        <w:rFonts w:hint="eastAsia"/>
      </w:rPr>
    </w:lvl>
    <w:lvl w:ilvl="8" w:tentative="0">
      <w:start w:val="1"/>
      <w:numFmt w:val="lowerRoman"/>
      <w:pStyle w:val="11"/>
      <w:suff w:val="nothing"/>
      <w:lvlText w:val="%9 "/>
      <w:lvlJc w:val="left"/>
      <w:pPr>
        <w:ind w:left="0" w:firstLine="402"/>
      </w:pPr>
      <w:rPr>
        <w:rFonts w:hint="eastAsia"/>
      </w:rPr>
    </w:lvl>
  </w:abstractNum>
  <w:abstractNum w:abstractNumId="6">
    <w:nsid w:val="C30591CF"/>
    <w:multiLevelType w:val="singleLevel"/>
    <w:tmpl w:val="C30591CF"/>
    <w:lvl w:ilvl="0" w:tentative="0">
      <w:start w:val="1"/>
      <w:numFmt w:val="decimal"/>
      <w:lvlText w:val="(%1)"/>
      <w:lvlJc w:val="left"/>
      <w:pPr>
        <w:ind w:left="425" w:hanging="425"/>
      </w:pPr>
      <w:rPr>
        <w:rFonts w:hint="default"/>
      </w:rPr>
    </w:lvl>
  </w:abstractNum>
  <w:abstractNum w:abstractNumId="7">
    <w:nsid w:val="C70EAB13"/>
    <w:multiLevelType w:val="singleLevel"/>
    <w:tmpl w:val="C70EAB13"/>
    <w:lvl w:ilvl="0" w:tentative="0">
      <w:start w:val="1"/>
      <w:numFmt w:val="decimal"/>
      <w:lvlText w:val="%1."/>
      <w:lvlJc w:val="left"/>
      <w:pPr>
        <w:ind w:left="425" w:hanging="425"/>
      </w:pPr>
      <w:rPr>
        <w:rFonts w:hint="default"/>
      </w:rPr>
    </w:lvl>
  </w:abstractNum>
  <w:abstractNum w:abstractNumId="8">
    <w:nsid w:val="CBE9ACB4"/>
    <w:multiLevelType w:val="singleLevel"/>
    <w:tmpl w:val="CBE9ACB4"/>
    <w:lvl w:ilvl="0" w:tentative="0">
      <w:start w:val="1"/>
      <w:numFmt w:val="decimal"/>
      <w:lvlText w:val="%1."/>
      <w:lvlJc w:val="left"/>
      <w:pPr>
        <w:ind w:left="425" w:hanging="425"/>
      </w:pPr>
      <w:rPr>
        <w:rFonts w:hint="default"/>
      </w:rPr>
    </w:lvl>
  </w:abstractNum>
  <w:abstractNum w:abstractNumId="9">
    <w:nsid w:val="D33917DA"/>
    <w:multiLevelType w:val="multilevel"/>
    <w:tmpl w:val="D33917DA"/>
    <w:lvl w:ilvl="0" w:tentative="0">
      <w:start w:val="1"/>
      <w:numFmt w:val="chineseCounting"/>
      <w:suff w:val="nothing"/>
      <w:lvlText w:val="第%1章 "/>
      <w:lvlJc w:val="left"/>
      <w:pPr>
        <w:ind w:left="0" w:firstLine="402"/>
      </w:pPr>
      <w:rPr>
        <w:rFonts w:hint="eastAsia"/>
      </w:rPr>
    </w:lvl>
    <w:lvl w:ilvl="1" w:tentative="0">
      <w:start w:val="1"/>
      <w:numFmt w:val="chineseCounting"/>
      <w:suff w:val="nothing"/>
      <w:lvlText w:val="%2、"/>
      <w:lvlJc w:val="left"/>
      <w:pPr>
        <w:ind w:left="0" w:firstLine="402"/>
      </w:pPr>
      <w:rPr>
        <w:rFonts w:hint="eastAsia"/>
      </w:rPr>
    </w:lvl>
    <w:lvl w:ilvl="2" w:tentative="0">
      <w:start w:val="1"/>
      <w:numFmt w:val="decimal"/>
      <w:suff w:val="nothing"/>
      <w:lvlText w:val="%3．"/>
      <w:lvlJc w:val="left"/>
      <w:pPr>
        <w:ind w:left="0" w:firstLine="402"/>
      </w:pPr>
      <w:rPr>
        <w:rFonts w:hint="eastAsia"/>
      </w:rPr>
    </w:lvl>
    <w:lvl w:ilvl="3" w:tentative="0">
      <w:start w:val="1"/>
      <w:numFmt w:val="decimal"/>
      <w:suff w:val="nothing"/>
      <w:lvlText w:val="（%4）"/>
      <w:lvlJc w:val="left"/>
      <w:pPr>
        <w:ind w:left="0" w:firstLine="402"/>
      </w:pPr>
      <w:rPr>
        <w:rFonts w:hint="eastAsia"/>
      </w:rPr>
    </w:lvl>
    <w:lvl w:ilvl="4" w:tentative="0">
      <w:start w:val="1"/>
      <w:numFmt w:val="decimalEnclosedCircleChinese"/>
      <w:suff w:val="nothing"/>
      <w:lvlText w:val="%5 "/>
      <w:lvlJc w:val="left"/>
      <w:pPr>
        <w:ind w:left="0" w:firstLine="402"/>
      </w:pPr>
      <w:rPr>
        <w:rFonts w:hint="eastAsia"/>
      </w:rPr>
    </w:lvl>
    <w:lvl w:ilvl="5" w:tentative="0">
      <w:start w:val="1"/>
      <w:numFmt w:val="decimal"/>
      <w:suff w:val="nothing"/>
      <w:lvlText w:val="%6）"/>
      <w:lvlJc w:val="left"/>
      <w:pPr>
        <w:ind w:left="0" w:firstLine="402"/>
      </w:pPr>
      <w:rPr>
        <w:rFonts w:hint="eastAsia"/>
      </w:rPr>
    </w:lvl>
    <w:lvl w:ilvl="6" w:tentative="0">
      <w:start w:val="1"/>
      <w:numFmt w:val="lowerLetter"/>
      <w:suff w:val="nothing"/>
      <w:lvlText w:val="%7．"/>
      <w:lvlJc w:val="left"/>
      <w:pPr>
        <w:ind w:left="0" w:firstLine="402"/>
      </w:pPr>
      <w:rPr>
        <w:rFonts w:hint="eastAsia"/>
      </w:rPr>
    </w:lvl>
    <w:lvl w:ilvl="7" w:tentative="0">
      <w:start w:val="1"/>
      <w:numFmt w:val="lowerLetter"/>
      <w:suff w:val="nothing"/>
      <w:lvlText w:val="%8）"/>
      <w:lvlJc w:val="left"/>
      <w:pPr>
        <w:ind w:left="0" w:firstLine="402"/>
      </w:pPr>
      <w:rPr>
        <w:rFonts w:hint="eastAsia"/>
      </w:rPr>
    </w:lvl>
    <w:lvl w:ilvl="8" w:tentative="0">
      <w:start w:val="1"/>
      <w:numFmt w:val="lowerRoman"/>
      <w:suff w:val="nothing"/>
      <w:lvlText w:val="%9. "/>
      <w:lvlJc w:val="left"/>
      <w:pPr>
        <w:ind w:left="0" w:firstLine="402"/>
      </w:pPr>
      <w:rPr>
        <w:rFonts w:hint="eastAsia"/>
      </w:rPr>
    </w:lvl>
  </w:abstractNum>
  <w:abstractNum w:abstractNumId="10">
    <w:nsid w:val="D8B03D13"/>
    <w:multiLevelType w:val="singleLevel"/>
    <w:tmpl w:val="D8B03D13"/>
    <w:lvl w:ilvl="0" w:tentative="0">
      <w:start w:val="1"/>
      <w:numFmt w:val="decimal"/>
      <w:lvlText w:val="%1."/>
      <w:lvlJc w:val="left"/>
      <w:pPr>
        <w:ind w:left="425" w:hanging="425"/>
      </w:pPr>
      <w:rPr>
        <w:rFonts w:hint="default"/>
      </w:rPr>
    </w:lvl>
  </w:abstractNum>
  <w:abstractNum w:abstractNumId="11">
    <w:nsid w:val="E3E6BB85"/>
    <w:multiLevelType w:val="singleLevel"/>
    <w:tmpl w:val="E3E6BB85"/>
    <w:lvl w:ilvl="0" w:tentative="0">
      <w:start w:val="1"/>
      <w:numFmt w:val="decimal"/>
      <w:lvlText w:val="%1."/>
      <w:lvlJc w:val="left"/>
      <w:pPr>
        <w:ind w:left="425" w:hanging="425"/>
      </w:pPr>
      <w:rPr>
        <w:rFonts w:hint="default"/>
      </w:rPr>
    </w:lvl>
  </w:abstractNum>
  <w:abstractNum w:abstractNumId="12">
    <w:nsid w:val="E475F1C9"/>
    <w:multiLevelType w:val="singleLevel"/>
    <w:tmpl w:val="E475F1C9"/>
    <w:lvl w:ilvl="0" w:tentative="0">
      <w:start w:val="1"/>
      <w:numFmt w:val="decimal"/>
      <w:lvlText w:val="%1."/>
      <w:lvlJc w:val="left"/>
      <w:pPr>
        <w:ind w:left="425" w:hanging="425"/>
      </w:pPr>
      <w:rPr>
        <w:rFonts w:hint="default"/>
      </w:rPr>
    </w:lvl>
  </w:abstractNum>
  <w:abstractNum w:abstractNumId="13">
    <w:nsid w:val="F921381C"/>
    <w:multiLevelType w:val="singleLevel"/>
    <w:tmpl w:val="F921381C"/>
    <w:lvl w:ilvl="0" w:tentative="0">
      <w:start w:val="1"/>
      <w:numFmt w:val="decimal"/>
      <w:lvlText w:val="%1."/>
      <w:lvlJc w:val="left"/>
      <w:pPr>
        <w:ind w:left="425" w:hanging="425"/>
      </w:pPr>
      <w:rPr>
        <w:rFonts w:hint="default"/>
      </w:rPr>
    </w:lvl>
  </w:abstractNum>
  <w:abstractNum w:abstractNumId="14">
    <w:nsid w:val="FFFFFF7E"/>
    <w:multiLevelType w:val="singleLevel"/>
    <w:tmpl w:val="FFFFFF7E"/>
    <w:lvl w:ilvl="0" w:tentative="0">
      <w:start w:val="1"/>
      <w:numFmt w:val="decimal"/>
      <w:pStyle w:val="19"/>
      <w:lvlText w:val="%1."/>
      <w:lvlJc w:val="left"/>
      <w:pPr>
        <w:tabs>
          <w:tab w:val="left" w:pos="1200"/>
        </w:tabs>
        <w:ind w:left="1200" w:leftChars="400" w:hanging="360" w:hangingChars="200"/>
      </w:pPr>
    </w:lvl>
  </w:abstractNum>
  <w:abstractNum w:abstractNumId="15">
    <w:nsid w:val="00D64AA4"/>
    <w:multiLevelType w:val="multilevel"/>
    <w:tmpl w:val="00D64AA4"/>
    <w:lvl w:ilvl="0" w:tentative="0">
      <w:start w:val="1"/>
      <w:numFmt w:val="decimal"/>
      <w:lvlText w:val="%1."/>
      <w:lvlJc w:val="left"/>
      <w:pPr>
        <w:ind w:left="1575" w:hanging="1035"/>
      </w:pPr>
      <w:rPr>
        <w:rFonts w:hint="default"/>
      </w:rPr>
    </w:lvl>
    <w:lvl w:ilvl="1" w:tentative="0">
      <w:start w:val="1"/>
      <w:numFmt w:val="lowerLetter"/>
      <w:lvlText w:val="%2)"/>
      <w:lvlJc w:val="left"/>
      <w:pPr>
        <w:ind w:left="1380" w:hanging="420"/>
      </w:pPr>
    </w:lvl>
    <w:lvl w:ilvl="2" w:tentative="0">
      <w:start w:val="1"/>
      <w:numFmt w:val="lowerRoman"/>
      <w:lvlText w:val="%3."/>
      <w:lvlJc w:val="right"/>
      <w:pPr>
        <w:ind w:left="1800" w:hanging="420"/>
      </w:pPr>
    </w:lvl>
    <w:lvl w:ilvl="3" w:tentative="0">
      <w:start w:val="1"/>
      <w:numFmt w:val="decimal"/>
      <w:lvlText w:val="%4."/>
      <w:lvlJc w:val="left"/>
      <w:pPr>
        <w:ind w:left="2220" w:hanging="420"/>
      </w:pPr>
    </w:lvl>
    <w:lvl w:ilvl="4" w:tentative="0">
      <w:start w:val="1"/>
      <w:numFmt w:val="lowerLetter"/>
      <w:lvlText w:val="%5)"/>
      <w:lvlJc w:val="left"/>
      <w:pPr>
        <w:ind w:left="2640" w:hanging="420"/>
      </w:pPr>
    </w:lvl>
    <w:lvl w:ilvl="5" w:tentative="0">
      <w:start w:val="1"/>
      <w:numFmt w:val="lowerRoman"/>
      <w:lvlText w:val="%6."/>
      <w:lvlJc w:val="right"/>
      <w:pPr>
        <w:ind w:left="3060" w:hanging="420"/>
      </w:pPr>
    </w:lvl>
    <w:lvl w:ilvl="6" w:tentative="0">
      <w:start w:val="1"/>
      <w:numFmt w:val="decimal"/>
      <w:lvlText w:val="%7."/>
      <w:lvlJc w:val="left"/>
      <w:pPr>
        <w:ind w:left="3480" w:hanging="420"/>
      </w:pPr>
    </w:lvl>
    <w:lvl w:ilvl="7" w:tentative="0">
      <w:start w:val="1"/>
      <w:numFmt w:val="lowerLetter"/>
      <w:lvlText w:val="%8)"/>
      <w:lvlJc w:val="left"/>
      <w:pPr>
        <w:ind w:left="3900" w:hanging="420"/>
      </w:pPr>
    </w:lvl>
    <w:lvl w:ilvl="8" w:tentative="0">
      <w:start w:val="1"/>
      <w:numFmt w:val="lowerRoman"/>
      <w:lvlText w:val="%9."/>
      <w:lvlJc w:val="right"/>
      <w:pPr>
        <w:ind w:left="4320" w:hanging="420"/>
      </w:pPr>
    </w:lvl>
  </w:abstractNum>
  <w:abstractNum w:abstractNumId="16">
    <w:nsid w:val="07D52D55"/>
    <w:multiLevelType w:val="multilevel"/>
    <w:tmpl w:val="07D52D55"/>
    <w:lvl w:ilvl="0" w:tentative="0">
      <w:start w:val="1"/>
      <w:numFmt w:val="decimal"/>
      <w:lvlText w:val="%1."/>
      <w:lvlJc w:val="left"/>
      <w:pPr>
        <w:ind w:left="1080" w:hanging="440"/>
      </w:pPr>
    </w:lvl>
    <w:lvl w:ilvl="1" w:tentative="0">
      <w:start w:val="1"/>
      <w:numFmt w:val="japaneseCounting"/>
      <w:lvlText w:val="（%2）"/>
      <w:lvlJc w:val="left"/>
      <w:pPr>
        <w:ind w:left="1800" w:hanging="720"/>
      </w:pPr>
      <w:rPr>
        <w:rFonts w:hint="default"/>
      </w:rPr>
    </w:lvl>
    <w:lvl w:ilvl="2" w:tentative="0">
      <w:start w:val="1"/>
      <w:numFmt w:val="lowerRoman"/>
      <w:lvlText w:val="%3."/>
      <w:lvlJc w:val="right"/>
      <w:pPr>
        <w:ind w:left="1960" w:hanging="440"/>
      </w:pPr>
    </w:lvl>
    <w:lvl w:ilvl="3" w:tentative="0">
      <w:start w:val="1"/>
      <w:numFmt w:val="decimal"/>
      <w:lvlText w:val="%4."/>
      <w:lvlJc w:val="left"/>
      <w:pPr>
        <w:ind w:left="2400" w:hanging="440"/>
      </w:pPr>
    </w:lvl>
    <w:lvl w:ilvl="4" w:tentative="0">
      <w:start w:val="1"/>
      <w:numFmt w:val="lowerLetter"/>
      <w:lvlText w:val="%5)"/>
      <w:lvlJc w:val="left"/>
      <w:pPr>
        <w:ind w:left="2840" w:hanging="440"/>
      </w:pPr>
    </w:lvl>
    <w:lvl w:ilvl="5" w:tentative="0">
      <w:start w:val="1"/>
      <w:numFmt w:val="lowerRoman"/>
      <w:lvlText w:val="%6."/>
      <w:lvlJc w:val="right"/>
      <w:pPr>
        <w:ind w:left="3280" w:hanging="440"/>
      </w:pPr>
    </w:lvl>
    <w:lvl w:ilvl="6" w:tentative="0">
      <w:start w:val="1"/>
      <w:numFmt w:val="decimal"/>
      <w:lvlText w:val="%7."/>
      <w:lvlJc w:val="left"/>
      <w:pPr>
        <w:ind w:left="3720" w:hanging="440"/>
      </w:pPr>
    </w:lvl>
    <w:lvl w:ilvl="7" w:tentative="0">
      <w:start w:val="1"/>
      <w:numFmt w:val="lowerLetter"/>
      <w:lvlText w:val="%8)"/>
      <w:lvlJc w:val="left"/>
      <w:pPr>
        <w:ind w:left="4160" w:hanging="440"/>
      </w:pPr>
    </w:lvl>
    <w:lvl w:ilvl="8" w:tentative="0">
      <w:start w:val="1"/>
      <w:numFmt w:val="lowerRoman"/>
      <w:lvlText w:val="%9."/>
      <w:lvlJc w:val="right"/>
      <w:pPr>
        <w:ind w:left="4600" w:hanging="440"/>
      </w:pPr>
    </w:lvl>
  </w:abstractNum>
  <w:abstractNum w:abstractNumId="17">
    <w:nsid w:val="12EB7DF2"/>
    <w:multiLevelType w:val="multilevel"/>
    <w:tmpl w:val="12EB7DF2"/>
    <w:lvl w:ilvl="0" w:tentative="0">
      <w:start w:val="1"/>
      <w:numFmt w:val="decimal"/>
      <w:lvlText w:val="%1."/>
      <w:lvlJc w:val="left"/>
      <w:pPr>
        <w:ind w:left="860" w:hanging="440"/>
      </w:pPr>
    </w:lvl>
    <w:lvl w:ilvl="1" w:tentative="0">
      <w:start w:val="1"/>
      <w:numFmt w:val="lowerLetter"/>
      <w:lvlText w:val="%2)"/>
      <w:lvlJc w:val="left"/>
      <w:pPr>
        <w:ind w:left="1300" w:hanging="440"/>
      </w:pPr>
    </w:lvl>
    <w:lvl w:ilvl="2" w:tentative="0">
      <w:start w:val="1"/>
      <w:numFmt w:val="lowerRoman"/>
      <w:lvlText w:val="%3."/>
      <w:lvlJc w:val="right"/>
      <w:pPr>
        <w:ind w:left="1740" w:hanging="440"/>
      </w:pPr>
    </w:lvl>
    <w:lvl w:ilvl="3" w:tentative="0">
      <w:start w:val="1"/>
      <w:numFmt w:val="decimal"/>
      <w:lvlText w:val="%4."/>
      <w:lvlJc w:val="left"/>
      <w:pPr>
        <w:ind w:left="2180" w:hanging="440"/>
      </w:pPr>
    </w:lvl>
    <w:lvl w:ilvl="4" w:tentative="0">
      <w:start w:val="1"/>
      <w:numFmt w:val="lowerLetter"/>
      <w:lvlText w:val="%5)"/>
      <w:lvlJc w:val="left"/>
      <w:pPr>
        <w:ind w:left="2620" w:hanging="440"/>
      </w:pPr>
    </w:lvl>
    <w:lvl w:ilvl="5" w:tentative="0">
      <w:start w:val="1"/>
      <w:numFmt w:val="lowerRoman"/>
      <w:lvlText w:val="%6."/>
      <w:lvlJc w:val="right"/>
      <w:pPr>
        <w:ind w:left="3060" w:hanging="440"/>
      </w:pPr>
    </w:lvl>
    <w:lvl w:ilvl="6" w:tentative="0">
      <w:start w:val="1"/>
      <w:numFmt w:val="decimal"/>
      <w:lvlText w:val="%7."/>
      <w:lvlJc w:val="left"/>
      <w:pPr>
        <w:ind w:left="3500" w:hanging="440"/>
      </w:pPr>
    </w:lvl>
    <w:lvl w:ilvl="7" w:tentative="0">
      <w:start w:val="1"/>
      <w:numFmt w:val="lowerLetter"/>
      <w:lvlText w:val="%8)"/>
      <w:lvlJc w:val="left"/>
      <w:pPr>
        <w:ind w:left="3940" w:hanging="440"/>
      </w:pPr>
    </w:lvl>
    <w:lvl w:ilvl="8" w:tentative="0">
      <w:start w:val="1"/>
      <w:numFmt w:val="lowerRoman"/>
      <w:lvlText w:val="%9."/>
      <w:lvlJc w:val="right"/>
      <w:pPr>
        <w:ind w:left="4380" w:hanging="440"/>
      </w:pPr>
    </w:lvl>
  </w:abstractNum>
  <w:abstractNum w:abstractNumId="18">
    <w:nsid w:val="1ED9D2B8"/>
    <w:multiLevelType w:val="singleLevel"/>
    <w:tmpl w:val="1ED9D2B8"/>
    <w:lvl w:ilvl="0" w:tentative="0">
      <w:start w:val="1"/>
      <w:numFmt w:val="decimal"/>
      <w:lvlText w:val="%1."/>
      <w:lvlJc w:val="left"/>
      <w:pPr>
        <w:ind w:left="425" w:hanging="425"/>
      </w:pPr>
      <w:rPr>
        <w:rFonts w:hint="default"/>
      </w:rPr>
    </w:lvl>
  </w:abstractNum>
  <w:abstractNum w:abstractNumId="19">
    <w:nsid w:val="1F4F5E16"/>
    <w:multiLevelType w:val="multilevel"/>
    <w:tmpl w:val="1F4F5E16"/>
    <w:lvl w:ilvl="0" w:tentative="0">
      <w:start w:val="1"/>
      <w:numFmt w:val="decimal"/>
      <w:lvlText w:val="%1."/>
      <w:lvlJc w:val="left"/>
      <w:pPr>
        <w:ind w:left="425" w:hanging="425"/>
      </w:pPr>
    </w:lvl>
    <w:lvl w:ilvl="1" w:tentative="0">
      <w:start w:val="1"/>
      <w:numFmt w:val="decimal"/>
      <w:lvlText w:val="%1.%2."/>
      <w:lvlJc w:val="left"/>
      <w:pPr>
        <w:ind w:left="567" w:hanging="567"/>
      </w:pPr>
    </w:lvl>
    <w:lvl w:ilvl="2" w:tentative="0">
      <w:start w:val="1"/>
      <w:numFmt w:val="decimal"/>
      <w:lvlText w:val="%1.%2.%3."/>
      <w:lvlJc w:val="left"/>
      <w:pPr>
        <w:ind w:left="709" w:hanging="709"/>
      </w:pPr>
    </w:lvl>
    <w:lvl w:ilvl="3" w:tentative="0">
      <w:start w:val="1"/>
      <w:numFmt w:val="decimal"/>
      <w:lvlText w:val="%1.%2.%3.%4."/>
      <w:lvlJc w:val="left"/>
      <w:pPr>
        <w:ind w:left="851" w:hanging="851"/>
      </w:pPr>
    </w:lvl>
    <w:lvl w:ilvl="4" w:tentative="0">
      <w:start w:val="1"/>
      <w:numFmt w:val="decimal"/>
      <w:lvlText w:val="%1.%2.%3.%4.%5."/>
      <w:lvlJc w:val="left"/>
      <w:pPr>
        <w:ind w:left="992" w:hanging="992"/>
      </w:pPr>
    </w:lvl>
    <w:lvl w:ilvl="5" w:tentative="0">
      <w:start w:val="1"/>
      <w:numFmt w:val="decimal"/>
      <w:lvlText w:val="%1.%2.%3.%4.%5.%6."/>
      <w:lvlJc w:val="left"/>
      <w:pPr>
        <w:ind w:left="1134" w:hanging="1134"/>
      </w:pPr>
    </w:lvl>
    <w:lvl w:ilvl="6" w:tentative="0">
      <w:start w:val="1"/>
      <w:numFmt w:val="decimal"/>
      <w:lvlText w:val="%1.%2.%3.%4.%5.%6.%7."/>
      <w:lvlJc w:val="left"/>
      <w:pPr>
        <w:ind w:left="1276" w:hanging="1276"/>
      </w:pPr>
    </w:lvl>
    <w:lvl w:ilvl="7" w:tentative="0">
      <w:start w:val="1"/>
      <w:numFmt w:val="decimal"/>
      <w:lvlText w:val="%1.%2.%3.%4.%5.%6.%7.%8."/>
      <w:lvlJc w:val="left"/>
      <w:pPr>
        <w:ind w:left="1418" w:hanging="1418"/>
      </w:pPr>
    </w:lvl>
    <w:lvl w:ilvl="8" w:tentative="0">
      <w:start w:val="1"/>
      <w:numFmt w:val="decimal"/>
      <w:lvlText w:val="%1.%2.%3.%4.%5.%6.%7.%8.%9."/>
      <w:lvlJc w:val="left"/>
      <w:pPr>
        <w:ind w:left="1559" w:hanging="1559"/>
      </w:pPr>
    </w:lvl>
  </w:abstractNum>
  <w:abstractNum w:abstractNumId="20">
    <w:nsid w:val="20E80DF0"/>
    <w:multiLevelType w:val="multilevel"/>
    <w:tmpl w:val="20E80DF0"/>
    <w:lvl w:ilvl="0" w:tentative="0">
      <w:start w:val="1"/>
      <w:numFmt w:val="chineseCountingThousand"/>
      <w:lvlText w:val="(%1)"/>
      <w:lvlJc w:val="left"/>
      <w:pPr>
        <w:ind w:left="864" w:hanging="440"/>
      </w:pPr>
    </w:lvl>
    <w:lvl w:ilvl="1" w:tentative="0">
      <w:start w:val="1"/>
      <w:numFmt w:val="lowerLetter"/>
      <w:lvlText w:val="%2)"/>
      <w:lvlJc w:val="left"/>
      <w:pPr>
        <w:ind w:left="1304" w:hanging="440"/>
      </w:pPr>
    </w:lvl>
    <w:lvl w:ilvl="2" w:tentative="0">
      <w:start w:val="1"/>
      <w:numFmt w:val="lowerRoman"/>
      <w:lvlText w:val="%3."/>
      <w:lvlJc w:val="right"/>
      <w:pPr>
        <w:ind w:left="1744" w:hanging="440"/>
      </w:pPr>
    </w:lvl>
    <w:lvl w:ilvl="3" w:tentative="0">
      <w:start w:val="1"/>
      <w:numFmt w:val="decimal"/>
      <w:lvlText w:val="%4."/>
      <w:lvlJc w:val="left"/>
      <w:pPr>
        <w:ind w:left="2184" w:hanging="440"/>
      </w:pPr>
    </w:lvl>
    <w:lvl w:ilvl="4" w:tentative="0">
      <w:start w:val="1"/>
      <w:numFmt w:val="lowerLetter"/>
      <w:lvlText w:val="%5)"/>
      <w:lvlJc w:val="left"/>
      <w:pPr>
        <w:ind w:left="2624" w:hanging="440"/>
      </w:pPr>
    </w:lvl>
    <w:lvl w:ilvl="5" w:tentative="0">
      <w:start w:val="1"/>
      <w:numFmt w:val="lowerRoman"/>
      <w:lvlText w:val="%6."/>
      <w:lvlJc w:val="right"/>
      <w:pPr>
        <w:ind w:left="3064" w:hanging="440"/>
      </w:pPr>
    </w:lvl>
    <w:lvl w:ilvl="6" w:tentative="0">
      <w:start w:val="1"/>
      <w:numFmt w:val="decimal"/>
      <w:lvlText w:val="%7."/>
      <w:lvlJc w:val="left"/>
      <w:pPr>
        <w:ind w:left="3504" w:hanging="440"/>
      </w:pPr>
    </w:lvl>
    <w:lvl w:ilvl="7" w:tentative="0">
      <w:start w:val="1"/>
      <w:numFmt w:val="lowerLetter"/>
      <w:lvlText w:val="%8)"/>
      <w:lvlJc w:val="left"/>
      <w:pPr>
        <w:ind w:left="3944" w:hanging="440"/>
      </w:pPr>
    </w:lvl>
    <w:lvl w:ilvl="8" w:tentative="0">
      <w:start w:val="1"/>
      <w:numFmt w:val="lowerRoman"/>
      <w:lvlText w:val="%9."/>
      <w:lvlJc w:val="right"/>
      <w:pPr>
        <w:ind w:left="4384" w:hanging="440"/>
      </w:pPr>
    </w:lvl>
  </w:abstractNum>
  <w:abstractNum w:abstractNumId="21">
    <w:nsid w:val="20FC13BD"/>
    <w:multiLevelType w:val="singleLevel"/>
    <w:tmpl w:val="20FC13BD"/>
    <w:lvl w:ilvl="0" w:tentative="0">
      <w:start w:val="1"/>
      <w:numFmt w:val="decimal"/>
      <w:lvlText w:val="%1."/>
      <w:lvlJc w:val="left"/>
      <w:pPr>
        <w:ind w:left="425" w:hanging="425"/>
      </w:pPr>
      <w:rPr>
        <w:rFonts w:hint="default"/>
      </w:rPr>
    </w:lvl>
  </w:abstractNum>
  <w:abstractNum w:abstractNumId="22">
    <w:nsid w:val="28F7E069"/>
    <w:multiLevelType w:val="singleLevel"/>
    <w:tmpl w:val="28F7E069"/>
    <w:lvl w:ilvl="0" w:tentative="0">
      <w:start w:val="1"/>
      <w:numFmt w:val="decimal"/>
      <w:lvlText w:val="%1."/>
      <w:lvlJc w:val="left"/>
      <w:pPr>
        <w:ind w:left="425" w:hanging="425"/>
      </w:pPr>
      <w:rPr>
        <w:rFonts w:hint="default"/>
      </w:rPr>
    </w:lvl>
  </w:abstractNum>
  <w:abstractNum w:abstractNumId="23">
    <w:nsid w:val="387D4D16"/>
    <w:multiLevelType w:val="multilevel"/>
    <w:tmpl w:val="387D4D16"/>
    <w:lvl w:ilvl="0" w:tentative="0">
      <w:start w:val="1"/>
      <w:numFmt w:val="chineseCountingThousand"/>
      <w:lvlText w:val="(%1)"/>
      <w:lvlJc w:val="left"/>
      <w:pPr>
        <w:ind w:left="719" w:hanging="440"/>
      </w:pPr>
    </w:lvl>
    <w:lvl w:ilvl="1" w:tentative="0">
      <w:start w:val="1"/>
      <w:numFmt w:val="decimal"/>
      <w:lvlText w:val="%2."/>
      <w:lvlJc w:val="left"/>
      <w:pPr>
        <w:ind w:left="1080" w:hanging="440"/>
      </w:pPr>
    </w:lvl>
    <w:lvl w:ilvl="2" w:tentative="0">
      <w:start w:val="1"/>
      <w:numFmt w:val="decimal"/>
      <w:lvlText w:val="%3、"/>
      <w:lvlJc w:val="left"/>
      <w:pPr>
        <w:ind w:left="1519" w:hanging="360"/>
      </w:pPr>
      <w:rPr>
        <w:rFonts w:hint="default"/>
      </w:rPr>
    </w:lvl>
    <w:lvl w:ilvl="3" w:tentative="0">
      <w:start w:val="1"/>
      <w:numFmt w:val="decimal"/>
      <w:lvlText w:val="%4."/>
      <w:lvlJc w:val="left"/>
      <w:pPr>
        <w:ind w:left="2039" w:hanging="440"/>
      </w:pPr>
    </w:lvl>
    <w:lvl w:ilvl="4" w:tentative="0">
      <w:start w:val="1"/>
      <w:numFmt w:val="lowerLetter"/>
      <w:lvlText w:val="%5)"/>
      <w:lvlJc w:val="left"/>
      <w:pPr>
        <w:ind w:left="2479" w:hanging="440"/>
      </w:pPr>
    </w:lvl>
    <w:lvl w:ilvl="5" w:tentative="0">
      <w:start w:val="1"/>
      <w:numFmt w:val="lowerRoman"/>
      <w:lvlText w:val="%6."/>
      <w:lvlJc w:val="right"/>
      <w:pPr>
        <w:ind w:left="2919" w:hanging="440"/>
      </w:pPr>
    </w:lvl>
    <w:lvl w:ilvl="6" w:tentative="0">
      <w:start w:val="1"/>
      <w:numFmt w:val="decimal"/>
      <w:lvlText w:val="%7."/>
      <w:lvlJc w:val="left"/>
      <w:pPr>
        <w:ind w:left="3359" w:hanging="440"/>
      </w:pPr>
    </w:lvl>
    <w:lvl w:ilvl="7" w:tentative="0">
      <w:start w:val="1"/>
      <w:numFmt w:val="lowerLetter"/>
      <w:lvlText w:val="%8)"/>
      <w:lvlJc w:val="left"/>
      <w:pPr>
        <w:ind w:left="3799" w:hanging="440"/>
      </w:pPr>
    </w:lvl>
    <w:lvl w:ilvl="8" w:tentative="0">
      <w:start w:val="1"/>
      <w:numFmt w:val="lowerRoman"/>
      <w:lvlText w:val="%9."/>
      <w:lvlJc w:val="right"/>
      <w:pPr>
        <w:ind w:left="4239" w:hanging="440"/>
      </w:pPr>
    </w:lvl>
  </w:abstractNum>
  <w:abstractNum w:abstractNumId="24">
    <w:nsid w:val="3A731C1A"/>
    <w:multiLevelType w:val="multilevel"/>
    <w:tmpl w:val="3A731C1A"/>
    <w:lvl w:ilvl="0" w:tentative="0">
      <w:start w:val="1"/>
      <w:numFmt w:val="chineseCounting"/>
      <w:lvlText w:val="（%1）"/>
      <w:lvlJc w:val="left"/>
      <w:pPr>
        <w:ind w:left="982" w:hanging="420"/>
      </w:pPr>
      <w:rPr>
        <w:rFonts w:hint="eastAsia"/>
      </w:rPr>
    </w:lvl>
    <w:lvl w:ilvl="1" w:tentative="0">
      <w:start w:val="1"/>
      <w:numFmt w:val="lowerLetter"/>
      <w:lvlText w:val="%2)"/>
      <w:lvlJc w:val="left"/>
      <w:pPr>
        <w:ind w:left="1402" w:hanging="420"/>
      </w:pPr>
    </w:lvl>
    <w:lvl w:ilvl="2" w:tentative="0">
      <w:start w:val="1"/>
      <w:numFmt w:val="lowerRoman"/>
      <w:lvlText w:val="%3."/>
      <w:lvlJc w:val="right"/>
      <w:pPr>
        <w:ind w:left="1822" w:hanging="420"/>
      </w:pPr>
    </w:lvl>
    <w:lvl w:ilvl="3" w:tentative="0">
      <w:start w:val="1"/>
      <w:numFmt w:val="decimal"/>
      <w:lvlText w:val="%4."/>
      <w:lvlJc w:val="left"/>
      <w:pPr>
        <w:ind w:left="2242" w:hanging="420"/>
      </w:pPr>
    </w:lvl>
    <w:lvl w:ilvl="4" w:tentative="0">
      <w:start w:val="1"/>
      <w:numFmt w:val="lowerLetter"/>
      <w:lvlText w:val="%5)"/>
      <w:lvlJc w:val="left"/>
      <w:pPr>
        <w:ind w:left="2662" w:hanging="420"/>
      </w:pPr>
    </w:lvl>
    <w:lvl w:ilvl="5" w:tentative="0">
      <w:start w:val="1"/>
      <w:numFmt w:val="lowerRoman"/>
      <w:lvlText w:val="%6."/>
      <w:lvlJc w:val="right"/>
      <w:pPr>
        <w:ind w:left="3082" w:hanging="420"/>
      </w:pPr>
    </w:lvl>
    <w:lvl w:ilvl="6" w:tentative="0">
      <w:start w:val="1"/>
      <w:numFmt w:val="decimal"/>
      <w:lvlText w:val="%7."/>
      <w:lvlJc w:val="left"/>
      <w:pPr>
        <w:ind w:left="3502" w:hanging="420"/>
      </w:pPr>
    </w:lvl>
    <w:lvl w:ilvl="7" w:tentative="0">
      <w:start w:val="1"/>
      <w:numFmt w:val="lowerLetter"/>
      <w:lvlText w:val="%8)"/>
      <w:lvlJc w:val="left"/>
      <w:pPr>
        <w:ind w:left="3922" w:hanging="420"/>
      </w:pPr>
    </w:lvl>
    <w:lvl w:ilvl="8" w:tentative="0">
      <w:start w:val="1"/>
      <w:numFmt w:val="lowerRoman"/>
      <w:lvlText w:val="%9."/>
      <w:lvlJc w:val="right"/>
      <w:pPr>
        <w:ind w:left="4342" w:hanging="420"/>
      </w:pPr>
    </w:lvl>
  </w:abstractNum>
  <w:abstractNum w:abstractNumId="25">
    <w:nsid w:val="4A9EB156"/>
    <w:multiLevelType w:val="singleLevel"/>
    <w:tmpl w:val="4A9EB156"/>
    <w:lvl w:ilvl="0" w:tentative="0">
      <w:start w:val="1"/>
      <w:numFmt w:val="chineseCounting"/>
      <w:suff w:val="nothing"/>
      <w:lvlText w:val="%1、"/>
      <w:lvlJc w:val="left"/>
      <w:pPr>
        <w:ind w:left="0" w:firstLine="420"/>
      </w:pPr>
      <w:rPr>
        <w:rFonts w:hint="eastAsia"/>
      </w:rPr>
    </w:lvl>
  </w:abstractNum>
  <w:abstractNum w:abstractNumId="26">
    <w:nsid w:val="4C714DD7"/>
    <w:multiLevelType w:val="multilevel"/>
    <w:tmpl w:val="4C714DD7"/>
    <w:lvl w:ilvl="0" w:tentative="0">
      <w:start w:val="1"/>
      <w:numFmt w:val="decimal"/>
      <w:lvlText w:val="%1."/>
      <w:lvlJc w:val="left"/>
      <w:pPr>
        <w:ind w:left="840" w:hanging="420"/>
      </w:pPr>
      <w:rPr>
        <w:rFonts w:hint="eastAsia"/>
      </w:rPr>
    </w:lvl>
    <w:lvl w:ilvl="1" w:tentative="0">
      <w:start w:val="1"/>
      <w:numFmt w:val="decimal"/>
      <w:lvlText w:val="%2."/>
      <w:lvlJc w:val="left"/>
      <w:pPr>
        <w:ind w:left="840" w:hanging="420"/>
      </w:pPr>
      <w:rPr>
        <w:rFonts w:hint="eastAsia"/>
      </w:r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7">
    <w:nsid w:val="625A00BB"/>
    <w:multiLevelType w:val="singleLevel"/>
    <w:tmpl w:val="625A00BB"/>
    <w:lvl w:ilvl="0" w:tentative="0">
      <w:start w:val="1"/>
      <w:numFmt w:val="decimal"/>
      <w:lvlText w:val="%1."/>
      <w:lvlJc w:val="left"/>
      <w:pPr>
        <w:ind w:left="425" w:hanging="425"/>
      </w:pPr>
      <w:rPr>
        <w:rFonts w:hint="default"/>
      </w:rPr>
    </w:lvl>
  </w:abstractNum>
  <w:abstractNum w:abstractNumId="28">
    <w:nsid w:val="63EEBE5E"/>
    <w:multiLevelType w:val="singleLevel"/>
    <w:tmpl w:val="63EEBE5E"/>
    <w:lvl w:ilvl="0" w:tentative="0">
      <w:start w:val="1"/>
      <w:numFmt w:val="decimal"/>
      <w:lvlText w:val="%1."/>
      <w:lvlJc w:val="left"/>
      <w:pPr>
        <w:ind w:left="425" w:hanging="425"/>
      </w:pPr>
      <w:rPr>
        <w:rFonts w:hint="default"/>
      </w:rPr>
    </w:lvl>
  </w:abstractNum>
  <w:abstractNum w:abstractNumId="29">
    <w:nsid w:val="65787766"/>
    <w:multiLevelType w:val="multilevel"/>
    <w:tmpl w:val="65787766"/>
    <w:lvl w:ilvl="0" w:tentative="0">
      <w:start w:val="1"/>
      <w:numFmt w:val="decimal"/>
      <w:lvlText w:val="%1."/>
      <w:lvlJc w:val="left"/>
      <w:pPr>
        <w:ind w:left="425" w:hanging="425"/>
      </w:pPr>
    </w:lvl>
    <w:lvl w:ilvl="1" w:tentative="0">
      <w:start w:val="1"/>
      <w:numFmt w:val="decimal"/>
      <w:lvlText w:val="%1.%2."/>
      <w:lvlJc w:val="left"/>
      <w:pPr>
        <w:ind w:left="1986" w:hanging="567"/>
      </w:pPr>
    </w:lvl>
    <w:lvl w:ilvl="2" w:tentative="0">
      <w:start w:val="1"/>
      <w:numFmt w:val="decimal"/>
      <w:lvlText w:val="%1.%2.%3."/>
      <w:lvlJc w:val="left"/>
      <w:pPr>
        <w:ind w:left="709" w:hanging="709"/>
      </w:pPr>
    </w:lvl>
    <w:lvl w:ilvl="3" w:tentative="0">
      <w:start w:val="1"/>
      <w:numFmt w:val="decimal"/>
      <w:lvlText w:val="%1.%2.%3.%4."/>
      <w:lvlJc w:val="left"/>
      <w:pPr>
        <w:ind w:left="851" w:hanging="851"/>
      </w:pPr>
    </w:lvl>
    <w:lvl w:ilvl="4" w:tentative="0">
      <w:start w:val="1"/>
      <w:numFmt w:val="decimal"/>
      <w:lvlText w:val="%1.%2.%3.%4.%5."/>
      <w:lvlJc w:val="left"/>
      <w:pPr>
        <w:ind w:left="992" w:hanging="992"/>
      </w:pPr>
    </w:lvl>
    <w:lvl w:ilvl="5" w:tentative="0">
      <w:start w:val="1"/>
      <w:numFmt w:val="decimal"/>
      <w:lvlText w:val="%1.%2.%3.%4.%5.%6."/>
      <w:lvlJc w:val="left"/>
      <w:pPr>
        <w:ind w:left="1134" w:hanging="1134"/>
      </w:pPr>
    </w:lvl>
    <w:lvl w:ilvl="6" w:tentative="0">
      <w:start w:val="1"/>
      <w:numFmt w:val="decimal"/>
      <w:lvlText w:val="%1.%2.%3.%4.%5.%6.%7."/>
      <w:lvlJc w:val="left"/>
      <w:pPr>
        <w:ind w:left="1276" w:hanging="1276"/>
      </w:pPr>
    </w:lvl>
    <w:lvl w:ilvl="7" w:tentative="0">
      <w:start w:val="1"/>
      <w:numFmt w:val="decimal"/>
      <w:lvlText w:val="%1.%2.%3.%4.%5.%6.%7.%8."/>
      <w:lvlJc w:val="left"/>
      <w:pPr>
        <w:ind w:left="1418" w:hanging="1418"/>
      </w:pPr>
    </w:lvl>
    <w:lvl w:ilvl="8" w:tentative="0">
      <w:start w:val="1"/>
      <w:numFmt w:val="decimal"/>
      <w:lvlText w:val="%1.%2.%3.%4.%5.%6.%7.%8.%9."/>
      <w:lvlJc w:val="left"/>
      <w:pPr>
        <w:ind w:left="1559" w:hanging="1559"/>
      </w:pPr>
    </w:lvl>
  </w:abstractNum>
  <w:abstractNum w:abstractNumId="30">
    <w:nsid w:val="68850382"/>
    <w:multiLevelType w:val="multilevel"/>
    <w:tmpl w:val="68850382"/>
    <w:lvl w:ilvl="0" w:tentative="0">
      <w:start w:val="1"/>
      <w:numFmt w:val="decimal"/>
      <w:lvlText w:val="%1."/>
      <w:lvlJc w:val="left"/>
      <w:pPr>
        <w:ind w:left="425" w:hanging="425"/>
      </w:pPr>
    </w:lvl>
    <w:lvl w:ilvl="1" w:tentative="0">
      <w:start w:val="1"/>
      <w:numFmt w:val="decimal"/>
      <w:lvlText w:val="%1.%2."/>
      <w:lvlJc w:val="left"/>
      <w:pPr>
        <w:ind w:left="567" w:hanging="567"/>
      </w:pPr>
    </w:lvl>
    <w:lvl w:ilvl="2" w:tentative="0">
      <w:start w:val="1"/>
      <w:numFmt w:val="decimal"/>
      <w:lvlText w:val="%1.%2.%3."/>
      <w:lvlJc w:val="left"/>
      <w:pPr>
        <w:ind w:left="709" w:hanging="709"/>
      </w:pPr>
    </w:lvl>
    <w:lvl w:ilvl="3" w:tentative="0">
      <w:start w:val="1"/>
      <w:numFmt w:val="decimal"/>
      <w:lvlText w:val="%1.%2.%3.%4."/>
      <w:lvlJc w:val="left"/>
      <w:pPr>
        <w:ind w:left="851" w:hanging="851"/>
      </w:pPr>
    </w:lvl>
    <w:lvl w:ilvl="4" w:tentative="0">
      <w:start w:val="1"/>
      <w:numFmt w:val="decimal"/>
      <w:lvlText w:val="%1.%2.%3.%4.%5."/>
      <w:lvlJc w:val="left"/>
      <w:pPr>
        <w:ind w:left="992" w:hanging="992"/>
      </w:pPr>
    </w:lvl>
    <w:lvl w:ilvl="5" w:tentative="0">
      <w:start w:val="1"/>
      <w:numFmt w:val="decimal"/>
      <w:lvlText w:val="%1.%2.%3.%4.%5.%6."/>
      <w:lvlJc w:val="left"/>
      <w:pPr>
        <w:ind w:left="1134" w:hanging="1134"/>
      </w:pPr>
    </w:lvl>
    <w:lvl w:ilvl="6" w:tentative="0">
      <w:start w:val="1"/>
      <w:numFmt w:val="decimal"/>
      <w:lvlText w:val="%1.%2.%3.%4.%5.%6.%7."/>
      <w:lvlJc w:val="left"/>
      <w:pPr>
        <w:ind w:left="1276" w:hanging="1276"/>
      </w:pPr>
    </w:lvl>
    <w:lvl w:ilvl="7" w:tentative="0">
      <w:start w:val="1"/>
      <w:numFmt w:val="decimal"/>
      <w:lvlText w:val="%1.%2.%3.%4.%5.%6.%7.%8."/>
      <w:lvlJc w:val="left"/>
      <w:pPr>
        <w:ind w:left="1418" w:hanging="1418"/>
      </w:pPr>
    </w:lvl>
    <w:lvl w:ilvl="8" w:tentative="0">
      <w:start w:val="1"/>
      <w:numFmt w:val="decimal"/>
      <w:lvlText w:val="%1.%2.%3.%4.%5.%6.%7.%8.%9."/>
      <w:lvlJc w:val="left"/>
      <w:pPr>
        <w:ind w:left="1559" w:hanging="1559"/>
      </w:pPr>
    </w:lvl>
  </w:abstractNum>
  <w:abstractNum w:abstractNumId="31">
    <w:nsid w:val="6D8C2D0B"/>
    <w:multiLevelType w:val="singleLevel"/>
    <w:tmpl w:val="6D8C2D0B"/>
    <w:lvl w:ilvl="0" w:tentative="0">
      <w:start w:val="1"/>
      <w:numFmt w:val="chineseCounting"/>
      <w:suff w:val="nothing"/>
      <w:lvlText w:val="%1、"/>
      <w:lvlJc w:val="left"/>
      <w:pPr>
        <w:ind w:left="6" w:firstLine="420"/>
      </w:pPr>
      <w:rPr>
        <w:rFonts w:hint="eastAsia"/>
      </w:rPr>
    </w:lvl>
  </w:abstractNum>
  <w:abstractNum w:abstractNumId="32">
    <w:nsid w:val="6F90409B"/>
    <w:multiLevelType w:val="multilevel"/>
    <w:tmpl w:val="6F90409B"/>
    <w:lvl w:ilvl="0" w:tentative="0">
      <w:start w:val="1"/>
      <w:numFmt w:val="decimal"/>
      <w:lvlText w:val="%1."/>
      <w:lvlJc w:val="left"/>
      <w:pPr>
        <w:ind w:left="860" w:hanging="440"/>
      </w:pPr>
    </w:lvl>
    <w:lvl w:ilvl="1" w:tentative="0">
      <w:start w:val="1"/>
      <w:numFmt w:val="lowerLetter"/>
      <w:lvlText w:val="%2)"/>
      <w:lvlJc w:val="left"/>
      <w:pPr>
        <w:ind w:left="1300" w:hanging="440"/>
      </w:pPr>
    </w:lvl>
    <w:lvl w:ilvl="2" w:tentative="0">
      <w:start w:val="1"/>
      <w:numFmt w:val="decimal"/>
      <w:lvlText w:val="%3."/>
      <w:lvlJc w:val="left"/>
      <w:pPr>
        <w:ind w:left="1080" w:hanging="440"/>
      </w:pPr>
    </w:lvl>
    <w:lvl w:ilvl="3" w:tentative="0">
      <w:start w:val="1"/>
      <w:numFmt w:val="decimal"/>
      <w:lvlText w:val="%4."/>
      <w:lvlJc w:val="left"/>
      <w:pPr>
        <w:ind w:left="2180" w:hanging="440"/>
      </w:pPr>
    </w:lvl>
    <w:lvl w:ilvl="4" w:tentative="0">
      <w:start w:val="1"/>
      <w:numFmt w:val="lowerLetter"/>
      <w:lvlText w:val="%5)"/>
      <w:lvlJc w:val="left"/>
      <w:pPr>
        <w:ind w:left="2620" w:hanging="440"/>
      </w:pPr>
    </w:lvl>
    <w:lvl w:ilvl="5" w:tentative="0">
      <w:start w:val="1"/>
      <w:numFmt w:val="lowerRoman"/>
      <w:lvlText w:val="%6."/>
      <w:lvlJc w:val="right"/>
      <w:pPr>
        <w:ind w:left="3060" w:hanging="440"/>
      </w:pPr>
    </w:lvl>
    <w:lvl w:ilvl="6" w:tentative="0">
      <w:start w:val="1"/>
      <w:numFmt w:val="decimal"/>
      <w:lvlText w:val="%7."/>
      <w:lvlJc w:val="left"/>
      <w:pPr>
        <w:ind w:left="3500" w:hanging="440"/>
      </w:pPr>
    </w:lvl>
    <w:lvl w:ilvl="7" w:tentative="0">
      <w:start w:val="1"/>
      <w:numFmt w:val="lowerLetter"/>
      <w:lvlText w:val="%8)"/>
      <w:lvlJc w:val="left"/>
      <w:pPr>
        <w:ind w:left="3940" w:hanging="440"/>
      </w:pPr>
    </w:lvl>
    <w:lvl w:ilvl="8" w:tentative="0">
      <w:start w:val="1"/>
      <w:numFmt w:val="lowerRoman"/>
      <w:lvlText w:val="%9."/>
      <w:lvlJc w:val="right"/>
      <w:pPr>
        <w:ind w:left="4380" w:hanging="440"/>
      </w:pPr>
    </w:lvl>
  </w:abstractNum>
  <w:num w:numId="1">
    <w:abstractNumId w:val="5"/>
  </w:num>
  <w:num w:numId="2">
    <w:abstractNumId w:val="14"/>
  </w:num>
  <w:num w:numId="3">
    <w:abstractNumId w:val="9"/>
  </w:num>
  <w:num w:numId="4">
    <w:abstractNumId w:val="31"/>
    <w:lvlOverride w:ilvl="0">
      <w:startOverride w:val="1"/>
    </w:lvlOverride>
  </w:num>
  <w:num w:numId="5">
    <w:abstractNumId w:val="27"/>
    <w:lvlOverride w:ilvl="0">
      <w:startOverride w:val="1"/>
    </w:lvlOverride>
  </w:num>
  <w:num w:numId="6">
    <w:abstractNumId w:val="15"/>
  </w:num>
  <w:num w:numId="7">
    <w:abstractNumId w:val="4"/>
  </w:num>
  <w:num w:numId="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8"/>
  </w:num>
  <w:num w:numId="11">
    <w:abstractNumId w:val="21"/>
  </w:num>
  <w:num w:numId="12">
    <w:abstractNumId w:val="10"/>
  </w:num>
  <w:num w:numId="13">
    <w:abstractNumId w:val="3"/>
  </w:num>
  <w:num w:numId="14">
    <w:abstractNumId w:val="0"/>
  </w:num>
  <w:num w:numId="15">
    <w:abstractNumId w:val="18"/>
  </w:num>
  <w:num w:numId="16">
    <w:abstractNumId w:val="12"/>
  </w:num>
  <w:num w:numId="17">
    <w:abstractNumId w:val="7"/>
  </w:num>
  <w:num w:numId="18">
    <w:abstractNumId w:val="13"/>
  </w:num>
  <w:num w:numId="19">
    <w:abstractNumId w:val="22"/>
  </w:num>
  <w:num w:numId="20">
    <w:abstractNumId w:val="8"/>
  </w:num>
  <w:num w:numId="21">
    <w:abstractNumId w:val="1"/>
  </w:num>
  <w:num w:numId="22">
    <w:abstractNumId w:val="26"/>
  </w:num>
  <w:num w:numId="23">
    <w:abstractNumId w:val="2"/>
  </w:num>
  <w:num w:numId="24">
    <w:abstractNumId w:val="6"/>
  </w:num>
  <w:num w:numId="25">
    <w:abstractNumId w:val="17"/>
  </w:num>
  <w:num w:numId="26">
    <w:abstractNumId w:val="25"/>
  </w:num>
  <w:num w:numId="27">
    <w:abstractNumId w:val="20"/>
  </w:num>
  <w:num w:numId="28">
    <w:abstractNumId w:val="16"/>
  </w:num>
  <w:num w:numId="29">
    <w:abstractNumId w:val="19"/>
  </w:num>
  <w:num w:numId="30">
    <w:abstractNumId w:val="29"/>
  </w:num>
  <w:num w:numId="31">
    <w:abstractNumId w:val="24"/>
  </w:num>
  <w:num w:numId="32">
    <w:abstractNumId w:val="23"/>
  </w:num>
  <w:num w:numId="33">
    <w:abstractNumId w:val="30"/>
  </w:num>
  <w:num w:numId="34">
    <w:abstractNumId w:val="11"/>
  </w:num>
  <w:num w:numId="35">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VkMzZmMWIxZGZhMTNkZGI4ZDYyZDM4Y2IzMjVmNDcifQ=="/>
  </w:docVars>
  <w:rsids>
    <w:rsidRoot w:val="006D32D0"/>
    <w:rsid w:val="0000149B"/>
    <w:rsid w:val="00002187"/>
    <w:rsid w:val="000065F1"/>
    <w:rsid w:val="00007C69"/>
    <w:rsid w:val="00010B5D"/>
    <w:rsid w:val="0003290F"/>
    <w:rsid w:val="00033AF5"/>
    <w:rsid w:val="000340B0"/>
    <w:rsid w:val="00035DC4"/>
    <w:rsid w:val="0003635C"/>
    <w:rsid w:val="000404F9"/>
    <w:rsid w:val="00040BF8"/>
    <w:rsid w:val="0004175F"/>
    <w:rsid w:val="00042F14"/>
    <w:rsid w:val="00045DDF"/>
    <w:rsid w:val="000500E0"/>
    <w:rsid w:val="0005248B"/>
    <w:rsid w:val="0005510C"/>
    <w:rsid w:val="00060249"/>
    <w:rsid w:val="0006419B"/>
    <w:rsid w:val="00064C8B"/>
    <w:rsid w:val="00066145"/>
    <w:rsid w:val="00066D2F"/>
    <w:rsid w:val="000735A5"/>
    <w:rsid w:val="00074098"/>
    <w:rsid w:val="00077796"/>
    <w:rsid w:val="000835AE"/>
    <w:rsid w:val="000836B9"/>
    <w:rsid w:val="000858A8"/>
    <w:rsid w:val="0008614C"/>
    <w:rsid w:val="00090918"/>
    <w:rsid w:val="000921D0"/>
    <w:rsid w:val="0009344E"/>
    <w:rsid w:val="00094BA1"/>
    <w:rsid w:val="00094D78"/>
    <w:rsid w:val="0009514B"/>
    <w:rsid w:val="000A0BEA"/>
    <w:rsid w:val="000A4A5C"/>
    <w:rsid w:val="000A4E02"/>
    <w:rsid w:val="000A4E58"/>
    <w:rsid w:val="000A6662"/>
    <w:rsid w:val="000A6A55"/>
    <w:rsid w:val="000A790D"/>
    <w:rsid w:val="000B1CD8"/>
    <w:rsid w:val="000B22BA"/>
    <w:rsid w:val="000B247C"/>
    <w:rsid w:val="000B5037"/>
    <w:rsid w:val="000C03E1"/>
    <w:rsid w:val="000C2093"/>
    <w:rsid w:val="000C55F1"/>
    <w:rsid w:val="000C6E5D"/>
    <w:rsid w:val="000C7FE1"/>
    <w:rsid w:val="000D197A"/>
    <w:rsid w:val="000D1C0F"/>
    <w:rsid w:val="000D24D2"/>
    <w:rsid w:val="000D2952"/>
    <w:rsid w:val="000D534C"/>
    <w:rsid w:val="000D65E1"/>
    <w:rsid w:val="000D7889"/>
    <w:rsid w:val="000E05F4"/>
    <w:rsid w:val="000E25A5"/>
    <w:rsid w:val="000E397D"/>
    <w:rsid w:val="000E4652"/>
    <w:rsid w:val="000E5A3A"/>
    <w:rsid w:val="000E6F76"/>
    <w:rsid w:val="000F098A"/>
    <w:rsid w:val="000F0A09"/>
    <w:rsid w:val="000F0D6E"/>
    <w:rsid w:val="000F1452"/>
    <w:rsid w:val="000F2893"/>
    <w:rsid w:val="000F43EA"/>
    <w:rsid w:val="000F5654"/>
    <w:rsid w:val="000F6E21"/>
    <w:rsid w:val="00101C48"/>
    <w:rsid w:val="00102B5F"/>
    <w:rsid w:val="00104FD8"/>
    <w:rsid w:val="001053A7"/>
    <w:rsid w:val="001056F1"/>
    <w:rsid w:val="001057E0"/>
    <w:rsid w:val="00105AC7"/>
    <w:rsid w:val="00105BF4"/>
    <w:rsid w:val="00105E04"/>
    <w:rsid w:val="001060E9"/>
    <w:rsid w:val="001079C8"/>
    <w:rsid w:val="00107F10"/>
    <w:rsid w:val="00110D44"/>
    <w:rsid w:val="00112301"/>
    <w:rsid w:val="00114500"/>
    <w:rsid w:val="00114950"/>
    <w:rsid w:val="00117387"/>
    <w:rsid w:val="00117A31"/>
    <w:rsid w:val="001201EC"/>
    <w:rsid w:val="00123B7A"/>
    <w:rsid w:val="001243B9"/>
    <w:rsid w:val="001245B7"/>
    <w:rsid w:val="00125657"/>
    <w:rsid w:val="00125918"/>
    <w:rsid w:val="00127434"/>
    <w:rsid w:val="00127FD6"/>
    <w:rsid w:val="00131C36"/>
    <w:rsid w:val="00131C61"/>
    <w:rsid w:val="00132299"/>
    <w:rsid w:val="00140425"/>
    <w:rsid w:val="00140AD3"/>
    <w:rsid w:val="001426C5"/>
    <w:rsid w:val="00145218"/>
    <w:rsid w:val="00145C7D"/>
    <w:rsid w:val="001468EB"/>
    <w:rsid w:val="00147046"/>
    <w:rsid w:val="001503F0"/>
    <w:rsid w:val="001505CF"/>
    <w:rsid w:val="00154C0B"/>
    <w:rsid w:val="00157908"/>
    <w:rsid w:val="0016134D"/>
    <w:rsid w:val="00165526"/>
    <w:rsid w:val="001659F3"/>
    <w:rsid w:val="00170430"/>
    <w:rsid w:val="001716CD"/>
    <w:rsid w:val="001748E9"/>
    <w:rsid w:val="00174F4C"/>
    <w:rsid w:val="001751BB"/>
    <w:rsid w:val="001756E6"/>
    <w:rsid w:val="001801CA"/>
    <w:rsid w:val="00181F89"/>
    <w:rsid w:val="001833E8"/>
    <w:rsid w:val="00183931"/>
    <w:rsid w:val="001847A4"/>
    <w:rsid w:val="00184C36"/>
    <w:rsid w:val="0018586C"/>
    <w:rsid w:val="00185D73"/>
    <w:rsid w:val="00186659"/>
    <w:rsid w:val="00186E99"/>
    <w:rsid w:val="001918FE"/>
    <w:rsid w:val="0019327B"/>
    <w:rsid w:val="00194B51"/>
    <w:rsid w:val="001960DB"/>
    <w:rsid w:val="00196D8E"/>
    <w:rsid w:val="001A1A19"/>
    <w:rsid w:val="001A2156"/>
    <w:rsid w:val="001A44BF"/>
    <w:rsid w:val="001A458C"/>
    <w:rsid w:val="001B2018"/>
    <w:rsid w:val="001B38FB"/>
    <w:rsid w:val="001C232E"/>
    <w:rsid w:val="001C2FE3"/>
    <w:rsid w:val="001C322D"/>
    <w:rsid w:val="001C3377"/>
    <w:rsid w:val="001C41AC"/>
    <w:rsid w:val="001C5A61"/>
    <w:rsid w:val="001D3EC8"/>
    <w:rsid w:val="001D4146"/>
    <w:rsid w:val="001D43B3"/>
    <w:rsid w:val="001D471D"/>
    <w:rsid w:val="001D61A6"/>
    <w:rsid w:val="001D70E3"/>
    <w:rsid w:val="001D7238"/>
    <w:rsid w:val="001E267F"/>
    <w:rsid w:val="001E3319"/>
    <w:rsid w:val="001E43D3"/>
    <w:rsid w:val="001E448D"/>
    <w:rsid w:val="001E4C23"/>
    <w:rsid w:val="001E4FDD"/>
    <w:rsid w:val="001E501D"/>
    <w:rsid w:val="001E742D"/>
    <w:rsid w:val="001F3842"/>
    <w:rsid w:val="001F5B88"/>
    <w:rsid w:val="002004F1"/>
    <w:rsid w:val="00202A3D"/>
    <w:rsid w:val="00202C28"/>
    <w:rsid w:val="00203727"/>
    <w:rsid w:val="0020382C"/>
    <w:rsid w:val="0020486E"/>
    <w:rsid w:val="00204D20"/>
    <w:rsid w:val="00206468"/>
    <w:rsid w:val="00210717"/>
    <w:rsid w:val="00213211"/>
    <w:rsid w:val="00213D91"/>
    <w:rsid w:val="00216E9A"/>
    <w:rsid w:val="00220968"/>
    <w:rsid w:val="0022105D"/>
    <w:rsid w:val="002216B9"/>
    <w:rsid w:val="00222FA3"/>
    <w:rsid w:val="00223F6E"/>
    <w:rsid w:val="00224234"/>
    <w:rsid w:val="0023142B"/>
    <w:rsid w:val="00232E8A"/>
    <w:rsid w:val="00234CAB"/>
    <w:rsid w:val="00241039"/>
    <w:rsid w:val="00242F52"/>
    <w:rsid w:val="00243DBB"/>
    <w:rsid w:val="00244A4E"/>
    <w:rsid w:val="0024573C"/>
    <w:rsid w:val="00250FA4"/>
    <w:rsid w:val="00252606"/>
    <w:rsid w:val="00252A9E"/>
    <w:rsid w:val="0025375C"/>
    <w:rsid w:val="002540AA"/>
    <w:rsid w:val="00254BA3"/>
    <w:rsid w:val="00256B16"/>
    <w:rsid w:val="00267649"/>
    <w:rsid w:val="00270EA8"/>
    <w:rsid w:val="00274D05"/>
    <w:rsid w:val="00275554"/>
    <w:rsid w:val="0027666B"/>
    <w:rsid w:val="002769E4"/>
    <w:rsid w:val="00281BCE"/>
    <w:rsid w:val="00281C0F"/>
    <w:rsid w:val="0028537B"/>
    <w:rsid w:val="002877AB"/>
    <w:rsid w:val="002916F7"/>
    <w:rsid w:val="00291D51"/>
    <w:rsid w:val="00292409"/>
    <w:rsid w:val="002946CB"/>
    <w:rsid w:val="00294CA1"/>
    <w:rsid w:val="002961E9"/>
    <w:rsid w:val="00297560"/>
    <w:rsid w:val="0029773B"/>
    <w:rsid w:val="002A101B"/>
    <w:rsid w:val="002A140D"/>
    <w:rsid w:val="002A1B05"/>
    <w:rsid w:val="002A237D"/>
    <w:rsid w:val="002A2696"/>
    <w:rsid w:val="002A67E0"/>
    <w:rsid w:val="002A7611"/>
    <w:rsid w:val="002B1C4B"/>
    <w:rsid w:val="002B204B"/>
    <w:rsid w:val="002B3865"/>
    <w:rsid w:val="002B3FBD"/>
    <w:rsid w:val="002B5D62"/>
    <w:rsid w:val="002B667C"/>
    <w:rsid w:val="002C1ECB"/>
    <w:rsid w:val="002C2298"/>
    <w:rsid w:val="002C275B"/>
    <w:rsid w:val="002C4073"/>
    <w:rsid w:val="002C6D45"/>
    <w:rsid w:val="002C7403"/>
    <w:rsid w:val="002C7710"/>
    <w:rsid w:val="002C787B"/>
    <w:rsid w:val="002D1F59"/>
    <w:rsid w:val="002D351B"/>
    <w:rsid w:val="002D43DE"/>
    <w:rsid w:val="002D6B3B"/>
    <w:rsid w:val="002E1852"/>
    <w:rsid w:val="002E1DDD"/>
    <w:rsid w:val="002E3F9D"/>
    <w:rsid w:val="002E6B60"/>
    <w:rsid w:val="002E71C6"/>
    <w:rsid w:val="002E7C55"/>
    <w:rsid w:val="002F1B6C"/>
    <w:rsid w:val="002F669F"/>
    <w:rsid w:val="00300B33"/>
    <w:rsid w:val="00301097"/>
    <w:rsid w:val="00303856"/>
    <w:rsid w:val="003047BC"/>
    <w:rsid w:val="003052E2"/>
    <w:rsid w:val="0030689F"/>
    <w:rsid w:val="00307346"/>
    <w:rsid w:val="00310009"/>
    <w:rsid w:val="0031022A"/>
    <w:rsid w:val="00310C3D"/>
    <w:rsid w:val="00311968"/>
    <w:rsid w:val="003129C0"/>
    <w:rsid w:val="003134D8"/>
    <w:rsid w:val="003152F9"/>
    <w:rsid w:val="0031684D"/>
    <w:rsid w:val="0031764A"/>
    <w:rsid w:val="00320C35"/>
    <w:rsid w:val="003220FE"/>
    <w:rsid w:val="003230DE"/>
    <w:rsid w:val="0032333C"/>
    <w:rsid w:val="00323A82"/>
    <w:rsid w:val="003244E9"/>
    <w:rsid w:val="003249B2"/>
    <w:rsid w:val="00325EB4"/>
    <w:rsid w:val="003304DD"/>
    <w:rsid w:val="00330623"/>
    <w:rsid w:val="00335394"/>
    <w:rsid w:val="00335C29"/>
    <w:rsid w:val="003370F9"/>
    <w:rsid w:val="0033766F"/>
    <w:rsid w:val="003378A7"/>
    <w:rsid w:val="00340A1C"/>
    <w:rsid w:val="00341BA8"/>
    <w:rsid w:val="00342F53"/>
    <w:rsid w:val="00343089"/>
    <w:rsid w:val="00343867"/>
    <w:rsid w:val="00343905"/>
    <w:rsid w:val="00350ADB"/>
    <w:rsid w:val="00353B55"/>
    <w:rsid w:val="003541DB"/>
    <w:rsid w:val="003549F2"/>
    <w:rsid w:val="00355846"/>
    <w:rsid w:val="003569B9"/>
    <w:rsid w:val="00361526"/>
    <w:rsid w:val="00362814"/>
    <w:rsid w:val="00362E8D"/>
    <w:rsid w:val="003653CE"/>
    <w:rsid w:val="003656D3"/>
    <w:rsid w:val="003661E4"/>
    <w:rsid w:val="003663D0"/>
    <w:rsid w:val="00366CB7"/>
    <w:rsid w:val="00367E9D"/>
    <w:rsid w:val="00370B95"/>
    <w:rsid w:val="00373626"/>
    <w:rsid w:val="00374445"/>
    <w:rsid w:val="00374C83"/>
    <w:rsid w:val="00375670"/>
    <w:rsid w:val="0037695B"/>
    <w:rsid w:val="003810B2"/>
    <w:rsid w:val="003810F2"/>
    <w:rsid w:val="003817EE"/>
    <w:rsid w:val="003821B3"/>
    <w:rsid w:val="003837FB"/>
    <w:rsid w:val="0038487E"/>
    <w:rsid w:val="003859E1"/>
    <w:rsid w:val="00387485"/>
    <w:rsid w:val="00387D3C"/>
    <w:rsid w:val="0039052B"/>
    <w:rsid w:val="00391A89"/>
    <w:rsid w:val="00391EC3"/>
    <w:rsid w:val="00393D13"/>
    <w:rsid w:val="003A055B"/>
    <w:rsid w:val="003A0FAF"/>
    <w:rsid w:val="003A10C9"/>
    <w:rsid w:val="003A392B"/>
    <w:rsid w:val="003A3A91"/>
    <w:rsid w:val="003A431C"/>
    <w:rsid w:val="003A4598"/>
    <w:rsid w:val="003A5554"/>
    <w:rsid w:val="003A57FE"/>
    <w:rsid w:val="003A7015"/>
    <w:rsid w:val="003A79F0"/>
    <w:rsid w:val="003B1DAC"/>
    <w:rsid w:val="003B38AB"/>
    <w:rsid w:val="003B6C49"/>
    <w:rsid w:val="003B7C77"/>
    <w:rsid w:val="003C037D"/>
    <w:rsid w:val="003C44D2"/>
    <w:rsid w:val="003C4E1B"/>
    <w:rsid w:val="003C51C5"/>
    <w:rsid w:val="003D4CFD"/>
    <w:rsid w:val="003D4EB3"/>
    <w:rsid w:val="003E3B6C"/>
    <w:rsid w:val="003E4629"/>
    <w:rsid w:val="003E4BB3"/>
    <w:rsid w:val="003E5BCD"/>
    <w:rsid w:val="003F02D4"/>
    <w:rsid w:val="003F0AD2"/>
    <w:rsid w:val="003F0B62"/>
    <w:rsid w:val="003F1149"/>
    <w:rsid w:val="003F1A76"/>
    <w:rsid w:val="003F66B7"/>
    <w:rsid w:val="003F6F7E"/>
    <w:rsid w:val="00400EBE"/>
    <w:rsid w:val="0040111A"/>
    <w:rsid w:val="004014D9"/>
    <w:rsid w:val="00403072"/>
    <w:rsid w:val="00404D63"/>
    <w:rsid w:val="00404F87"/>
    <w:rsid w:val="00406F2A"/>
    <w:rsid w:val="0040785F"/>
    <w:rsid w:val="00411236"/>
    <w:rsid w:val="0041311C"/>
    <w:rsid w:val="00414336"/>
    <w:rsid w:val="00420D76"/>
    <w:rsid w:val="00421C99"/>
    <w:rsid w:val="00424445"/>
    <w:rsid w:val="00425A0A"/>
    <w:rsid w:val="00426994"/>
    <w:rsid w:val="00427437"/>
    <w:rsid w:val="004276FB"/>
    <w:rsid w:val="00427729"/>
    <w:rsid w:val="004339AC"/>
    <w:rsid w:val="00434D42"/>
    <w:rsid w:val="00436AA2"/>
    <w:rsid w:val="004371BD"/>
    <w:rsid w:val="00437E4C"/>
    <w:rsid w:val="00440BF8"/>
    <w:rsid w:val="0044527E"/>
    <w:rsid w:val="004453EC"/>
    <w:rsid w:val="004459E5"/>
    <w:rsid w:val="00447414"/>
    <w:rsid w:val="00451D2D"/>
    <w:rsid w:val="0045599C"/>
    <w:rsid w:val="00462742"/>
    <w:rsid w:val="00462AFB"/>
    <w:rsid w:val="00463712"/>
    <w:rsid w:val="00465C3A"/>
    <w:rsid w:val="004664B1"/>
    <w:rsid w:val="00471F75"/>
    <w:rsid w:val="0047261B"/>
    <w:rsid w:val="0047268E"/>
    <w:rsid w:val="00480D38"/>
    <w:rsid w:val="004812DB"/>
    <w:rsid w:val="00481C8D"/>
    <w:rsid w:val="00481CA3"/>
    <w:rsid w:val="00482056"/>
    <w:rsid w:val="00482292"/>
    <w:rsid w:val="00483404"/>
    <w:rsid w:val="0048387D"/>
    <w:rsid w:val="0048754D"/>
    <w:rsid w:val="004875B1"/>
    <w:rsid w:val="0049104E"/>
    <w:rsid w:val="004940BD"/>
    <w:rsid w:val="0049417E"/>
    <w:rsid w:val="00494434"/>
    <w:rsid w:val="00495121"/>
    <w:rsid w:val="00497DC6"/>
    <w:rsid w:val="004A42F3"/>
    <w:rsid w:val="004A5F67"/>
    <w:rsid w:val="004A63BC"/>
    <w:rsid w:val="004A6F9B"/>
    <w:rsid w:val="004B1955"/>
    <w:rsid w:val="004B25CE"/>
    <w:rsid w:val="004B34D0"/>
    <w:rsid w:val="004B36AB"/>
    <w:rsid w:val="004B507B"/>
    <w:rsid w:val="004B6208"/>
    <w:rsid w:val="004B6921"/>
    <w:rsid w:val="004B69DF"/>
    <w:rsid w:val="004B6FE7"/>
    <w:rsid w:val="004B7197"/>
    <w:rsid w:val="004C3B84"/>
    <w:rsid w:val="004C61D2"/>
    <w:rsid w:val="004D0E4C"/>
    <w:rsid w:val="004D1E14"/>
    <w:rsid w:val="004D1F0A"/>
    <w:rsid w:val="004D1FFA"/>
    <w:rsid w:val="004D2AD4"/>
    <w:rsid w:val="004D7AFD"/>
    <w:rsid w:val="004E0814"/>
    <w:rsid w:val="004E1215"/>
    <w:rsid w:val="004E281A"/>
    <w:rsid w:val="004E3F9D"/>
    <w:rsid w:val="004E5E82"/>
    <w:rsid w:val="004E6021"/>
    <w:rsid w:val="004E616C"/>
    <w:rsid w:val="004E6935"/>
    <w:rsid w:val="004E7C59"/>
    <w:rsid w:val="004F01B2"/>
    <w:rsid w:val="004F34A3"/>
    <w:rsid w:val="004F3816"/>
    <w:rsid w:val="004F3B84"/>
    <w:rsid w:val="004F49E5"/>
    <w:rsid w:val="005007A1"/>
    <w:rsid w:val="00500E35"/>
    <w:rsid w:val="0050191D"/>
    <w:rsid w:val="005032AF"/>
    <w:rsid w:val="0050517A"/>
    <w:rsid w:val="00506BC0"/>
    <w:rsid w:val="00507B2A"/>
    <w:rsid w:val="00507FB8"/>
    <w:rsid w:val="00512B3D"/>
    <w:rsid w:val="00512E6A"/>
    <w:rsid w:val="00513065"/>
    <w:rsid w:val="0051396A"/>
    <w:rsid w:val="00515C88"/>
    <w:rsid w:val="00515E25"/>
    <w:rsid w:val="0051627E"/>
    <w:rsid w:val="0051785A"/>
    <w:rsid w:val="00517AEF"/>
    <w:rsid w:val="00525C77"/>
    <w:rsid w:val="00526423"/>
    <w:rsid w:val="0052725F"/>
    <w:rsid w:val="00527AC2"/>
    <w:rsid w:val="00532923"/>
    <w:rsid w:val="0053389A"/>
    <w:rsid w:val="00534533"/>
    <w:rsid w:val="00534E6C"/>
    <w:rsid w:val="005368B0"/>
    <w:rsid w:val="00536D24"/>
    <w:rsid w:val="00537703"/>
    <w:rsid w:val="00537922"/>
    <w:rsid w:val="00544442"/>
    <w:rsid w:val="00545380"/>
    <w:rsid w:val="00545916"/>
    <w:rsid w:val="00547833"/>
    <w:rsid w:val="00550AD4"/>
    <w:rsid w:val="00551CA0"/>
    <w:rsid w:val="00551FC0"/>
    <w:rsid w:val="00552157"/>
    <w:rsid w:val="005529DF"/>
    <w:rsid w:val="00554204"/>
    <w:rsid w:val="00554760"/>
    <w:rsid w:val="0055494A"/>
    <w:rsid w:val="005618C4"/>
    <w:rsid w:val="005626ED"/>
    <w:rsid w:val="00563944"/>
    <w:rsid w:val="00564A80"/>
    <w:rsid w:val="00572F6F"/>
    <w:rsid w:val="00573690"/>
    <w:rsid w:val="005740FF"/>
    <w:rsid w:val="00574645"/>
    <w:rsid w:val="0057624F"/>
    <w:rsid w:val="00577856"/>
    <w:rsid w:val="0058012F"/>
    <w:rsid w:val="005801F1"/>
    <w:rsid w:val="005801FF"/>
    <w:rsid w:val="005809C4"/>
    <w:rsid w:val="00581156"/>
    <w:rsid w:val="005812DF"/>
    <w:rsid w:val="00582A8B"/>
    <w:rsid w:val="005844B5"/>
    <w:rsid w:val="00586CA5"/>
    <w:rsid w:val="005900DF"/>
    <w:rsid w:val="00590118"/>
    <w:rsid w:val="00590363"/>
    <w:rsid w:val="00590425"/>
    <w:rsid w:val="005907AF"/>
    <w:rsid w:val="00593CA8"/>
    <w:rsid w:val="00594BAF"/>
    <w:rsid w:val="00595253"/>
    <w:rsid w:val="00596F4B"/>
    <w:rsid w:val="005A0C14"/>
    <w:rsid w:val="005A39B4"/>
    <w:rsid w:val="005A4CB9"/>
    <w:rsid w:val="005A7853"/>
    <w:rsid w:val="005B1ACC"/>
    <w:rsid w:val="005B2D93"/>
    <w:rsid w:val="005B4A6A"/>
    <w:rsid w:val="005B7CA1"/>
    <w:rsid w:val="005C05FC"/>
    <w:rsid w:val="005C1820"/>
    <w:rsid w:val="005D015A"/>
    <w:rsid w:val="005D02E7"/>
    <w:rsid w:val="005D2DB8"/>
    <w:rsid w:val="005D375C"/>
    <w:rsid w:val="005D4E08"/>
    <w:rsid w:val="005D644B"/>
    <w:rsid w:val="005D6AFC"/>
    <w:rsid w:val="005D6E4C"/>
    <w:rsid w:val="005E178E"/>
    <w:rsid w:val="005E1BEB"/>
    <w:rsid w:val="005E24A0"/>
    <w:rsid w:val="005E60B6"/>
    <w:rsid w:val="005F1CA0"/>
    <w:rsid w:val="005F3A48"/>
    <w:rsid w:val="005F4EAF"/>
    <w:rsid w:val="005F5691"/>
    <w:rsid w:val="005F6004"/>
    <w:rsid w:val="005F6541"/>
    <w:rsid w:val="005F6D0A"/>
    <w:rsid w:val="005F6E59"/>
    <w:rsid w:val="00600194"/>
    <w:rsid w:val="00601230"/>
    <w:rsid w:val="00602167"/>
    <w:rsid w:val="00606D07"/>
    <w:rsid w:val="006117BF"/>
    <w:rsid w:val="0061323C"/>
    <w:rsid w:val="00614D5B"/>
    <w:rsid w:val="0061569F"/>
    <w:rsid w:val="00622644"/>
    <w:rsid w:val="00623932"/>
    <w:rsid w:val="0062397E"/>
    <w:rsid w:val="006243CE"/>
    <w:rsid w:val="00626127"/>
    <w:rsid w:val="006309BB"/>
    <w:rsid w:val="0063364B"/>
    <w:rsid w:val="00634B7C"/>
    <w:rsid w:val="00634BB3"/>
    <w:rsid w:val="00634DFC"/>
    <w:rsid w:val="00634FA5"/>
    <w:rsid w:val="006366F5"/>
    <w:rsid w:val="00643307"/>
    <w:rsid w:val="00644F31"/>
    <w:rsid w:val="00647C0A"/>
    <w:rsid w:val="00650E5D"/>
    <w:rsid w:val="006529AA"/>
    <w:rsid w:val="00652A8C"/>
    <w:rsid w:val="00656014"/>
    <w:rsid w:val="00656B03"/>
    <w:rsid w:val="00661B6E"/>
    <w:rsid w:val="0066657B"/>
    <w:rsid w:val="00667A3C"/>
    <w:rsid w:val="006701E2"/>
    <w:rsid w:val="00670D47"/>
    <w:rsid w:val="00672199"/>
    <w:rsid w:val="00672370"/>
    <w:rsid w:val="00673348"/>
    <w:rsid w:val="0067437C"/>
    <w:rsid w:val="0067722C"/>
    <w:rsid w:val="00682075"/>
    <w:rsid w:val="006852E5"/>
    <w:rsid w:val="0068547D"/>
    <w:rsid w:val="00685FCE"/>
    <w:rsid w:val="0068603A"/>
    <w:rsid w:val="00686625"/>
    <w:rsid w:val="006866D2"/>
    <w:rsid w:val="006866FD"/>
    <w:rsid w:val="00686F15"/>
    <w:rsid w:val="00690C3C"/>
    <w:rsid w:val="006933F0"/>
    <w:rsid w:val="006A0905"/>
    <w:rsid w:val="006A11D1"/>
    <w:rsid w:val="006A140B"/>
    <w:rsid w:val="006A1645"/>
    <w:rsid w:val="006A3515"/>
    <w:rsid w:val="006A398E"/>
    <w:rsid w:val="006A4105"/>
    <w:rsid w:val="006A5564"/>
    <w:rsid w:val="006A75D7"/>
    <w:rsid w:val="006A7FF4"/>
    <w:rsid w:val="006B127C"/>
    <w:rsid w:val="006B3AC0"/>
    <w:rsid w:val="006B3E12"/>
    <w:rsid w:val="006B677E"/>
    <w:rsid w:val="006B7861"/>
    <w:rsid w:val="006C120B"/>
    <w:rsid w:val="006C2084"/>
    <w:rsid w:val="006C30CC"/>
    <w:rsid w:val="006C7C4D"/>
    <w:rsid w:val="006D0D3F"/>
    <w:rsid w:val="006D20E2"/>
    <w:rsid w:val="006D2281"/>
    <w:rsid w:val="006D303C"/>
    <w:rsid w:val="006D32D0"/>
    <w:rsid w:val="006D36DB"/>
    <w:rsid w:val="006D5C1B"/>
    <w:rsid w:val="006D6FC0"/>
    <w:rsid w:val="006D7758"/>
    <w:rsid w:val="006D7B64"/>
    <w:rsid w:val="006E3D96"/>
    <w:rsid w:val="006E655C"/>
    <w:rsid w:val="006E6F42"/>
    <w:rsid w:val="006E7EFA"/>
    <w:rsid w:val="006F0DC0"/>
    <w:rsid w:val="006F0DDB"/>
    <w:rsid w:val="006F61E5"/>
    <w:rsid w:val="006F6649"/>
    <w:rsid w:val="00700168"/>
    <w:rsid w:val="00700337"/>
    <w:rsid w:val="00701328"/>
    <w:rsid w:val="007023B0"/>
    <w:rsid w:val="00702A6C"/>
    <w:rsid w:val="00704782"/>
    <w:rsid w:val="00704A60"/>
    <w:rsid w:val="0071017C"/>
    <w:rsid w:val="007118BE"/>
    <w:rsid w:val="007122FE"/>
    <w:rsid w:val="00712750"/>
    <w:rsid w:val="007144F9"/>
    <w:rsid w:val="007146EB"/>
    <w:rsid w:val="007164E1"/>
    <w:rsid w:val="00721009"/>
    <w:rsid w:val="007229CB"/>
    <w:rsid w:val="00723AE7"/>
    <w:rsid w:val="00724A67"/>
    <w:rsid w:val="0072571B"/>
    <w:rsid w:val="00725835"/>
    <w:rsid w:val="00732D70"/>
    <w:rsid w:val="00733CA5"/>
    <w:rsid w:val="007354F1"/>
    <w:rsid w:val="007360C3"/>
    <w:rsid w:val="00736A3B"/>
    <w:rsid w:val="00736B3E"/>
    <w:rsid w:val="00737AD9"/>
    <w:rsid w:val="00740696"/>
    <w:rsid w:val="00740744"/>
    <w:rsid w:val="007425D7"/>
    <w:rsid w:val="007449B4"/>
    <w:rsid w:val="007456AC"/>
    <w:rsid w:val="007508A5"/>
    <w:rsid w:val="00753B19"/>
    <w:rsid w:val="0075549D"/>
    <w:rsid w:val="00756AAF"/>
    <w:rsid w:val="007620AE"/>
    <w:rsid w:val="00764528"/>
    <w:rsid w:val="00765DE6"/>
    <w:rsid w:val="00766CDE"/>
    <w:rsid w:val="007676B8"/>
    <w:rsid w:val="00773B55"/>
    <w:rsid w:val="00774EBF"/>
    <w:rsid w:val="00776351"/>
    <w:rsid w:val="007764BE"/>
    <w:rsid w:val="007830D6"/>
    <w:rsid w:val="00783106"/>
    <w:rsid w:val="00784D6E"/>
    <w:rsid w:val="00785F39"/>
    <w:rsid w:val="007867AF"/>
    <w:rsid w:val="00790CDC"/>
    <w:rsid w:val="00791162"/>
    <w:rsid w:val="00791C57"/>
    <w:rsid w:val="00791DE9"/>
    <w:rsid w:val="00792559"/>
    <w:rsid w:val="00795A01"/>
    <w:rsid w:val="00795A6D"/>
    <w:rsid w:val="00795CB0"/>
    <w:rsid w:val="007967FA"/>
    <w:rsid w:val="00797A2C"/>
    <w:rsid w:val="007A425A"/>
    <w:rsid w:val="007A4CAF"/>
    <w:rsid w:val="007A6409"/>
    <w:rsid w:val="007A6AC2"/>
    <w:rsid w:val="007B2875"/>
    <w:rsid w:val="007B35EA"/>
    <w:rsid w:val="007B64C8"/>
    <w:rsid w:val="007B7786"/>
    <w:rsid w:val="007C0512"/>
    <w:rsid w:val="007C415F"/>
    <w:rsid w:val="007C7F85"/>
    <w:rsid w:val="007D0136"/>
    <w:rsid w:val="007D44FA"/>
    <w:rsid w:val="007D4DB5"/>
    <w:rsid w:val="007E2544"/>
    <w:rsid w:val="007E4852"/>
    <w:rsid w:val="007E4CD0"/>
    <w:rsid w:val="007F0D61"/>
    <w:rsid w:val="007F0EC6"/>
    <w:rsid w:val="007F1BE9"/>
    <w:rsid w:val="007F3ECD"/>
    <w:rsid w:val="007F4F3D"/>
    <w:rsid w:val="007F67FB"/>
    <w:rsid w:val="00800450"/>
    <w:rsid w:val="00801244"/>
    <w:rsid w:val="00803C0D"/>
    <w:rsid w:val="00803D7A"/>
    <w:rsid w:val="00804208"/>
    <w:rsid w:val="00804EDD"/>
    <w:rsid w:val="00806ACF"/>
    <w:rsid w:val="008100C6"/>
    <w:rsid w:val="0081263E"/>
    <w:rsid w:val="00812C05"/>
    <w:rsid w:val="00816037"/>
    <w:rsid w:val="00820EEC"/>
    <w:rsid w:val="0082343A"/>
    <w:rsid w:val="008327AC"/>
    <w:rsid w:val="008357E4"/>
    <w:rsid w:val="00835DE4"/>
    <w:rsid w:val="008366C3"/>
    <w:rsid w:val="00846722"/>
    <w:rsid w:val="00847816"/>
    <w:rsid w:val="00852EC8"/>
    <w:rsid w:val="00854D92"/>
    <w:rsid w:val="00854F3E"/>
    <w:rsid w:val="00856F02"/>
    <w:rsid w:val="00857DFC"/>
    <w:rsid w:val="00860663"/>
    <w:rsid w:val="008640E8"/>
    <w:rsid w:val="0086484B"/>
    <w:rsid w:val="0086550E"/>
    <w:rsid w:val="00865694"/>
    <w:rsid w:val="0086641A"/>
    <w:rsid w:val="00866EFC"/>
    <w:rsid w:val="00867D88"/>
    <w:rsid w:val="008703A2"/>
    <w:rsid w:val="008716E7"/>
    <w:rsid w:val="00874997"/>
    <w:rsid w:val="00874D24"/>
    <w:rsid w:val="00874F69"/>
    <w:rsid w:val="0088020F"/>
    <w:rsid w:val="008804C2"/>
    <w:rsid w:val="0088061A"/>
    <w:rsid w:val="00887FDA"/>
    <w:rsid w:val="008965A4"/>
    <w:rsid w:val="008971B1"/>
    <w:rsid w:val="008A2FC0"/>
    <w:rsid w:val="008A55B9"/>
    <w:rsid w:val="008A6C1E"/>
    <w:rsid w:val="008B3B03"/>
    <w:rsid w:val="008B4EFD"/>
    <w:rsid w:val="008B5467"/>
    <w:rsid w:val="008B6BFD"/>
    <w:rsid w:val="008C084A"/>
    <w:rsid w:val="008C131B"/>
    <w:rsid w:val="008C2388"/>
    <w:rsid w:val="008C2D0C"/>
    <w:rsid w:val="008C2E8E"/>
    <w:rsid w:val="008C3499"/>
    <w:rsid w:val="008C65CB"/>
    <w:rsid w:val="008C7370"/>
    <w:rsid w:val="008D0041"/>
    <w:rsid w:val="008D1281"/>
    <w:rsid w:val="008D2D34"/>
    <w:rsid w:val="008D35FA"/>
    <w:rsid w:val="008D39D2"/>
    <w:rsid w:val="008D3E3E"/>
    <w:rsid w:val="008D5663"/>
    <w:rsid w:val="008E0567"/>
    <w:rsid w:val="008E0ED1"/>
    <w:rsid w:val="008E1C2B"/>
    <w:rsid w:val="008E28CF"/>
    <w:rsid w:val="008E453A"/>
    <w:rsid w:val="008E47DB"/>
    <w:rsid w:val="008E7935"/>
    <w:rsid w:val="008F20F0"/>
    <w:rsid w:val="008F2B98"/>
    <w:rsid w:val="008F4087"/>
    <w:rsid w:val="008F46A3"/>
    <w:rsid w:val="008F49C2"/>
    <w:rsid w:val="008F4A57"/>
    <w:rsid w:val="008F4D0F"/>
    <w:rsid w:val="008F57DD"/>
    <w:rsid w:val="008F66D0"/>
    <w:rsid w:val="00901304"/>
    <w:rsid w:val="00903844"/>
    <w:rsid w:val="00903F9C"/>
    <w:rsid w:val="009044B0"/>
    <w:rsid w:val="00904D2E"/>
    <w:rsid w:val="009056D3"/>
    <w:rsid w:val="00905D11"/>
    <w:rsid w:val="0090603C"/>
    <w:rsid w:val="009060F7"/>
    <w:rsid w:val="00906C67"/>
    <w:rsid w:val="009128A8"/>
    <w:rsid w:val="00914CC3"/>
    <w:rsid w:val="00914E8B"/>
    <w:rsid w:val="00916043"/>
    <w:rsid w:val="009161FD"/>
    <w:rsid w:val="009173CE"/>
    <w:rsid w:val="009201F2"/>
    <w:rsid w:val="00921573"/>
    <w:rsid w:val="00922573"/>
    <w:rsid w:val="00922A22"/>
    <w:rsid w:val="00925E0F"/>
    <w:rsid w:val="00931162"/>
    <w:rsid w:val="00932620"/>
    <w:rsid w:val="00934503"/>
    <w:rsid w:val="00937C7A"/>
    <w:rsid w:val="00937F8C"/>
    <w:rsid w:val="00943D44"/>
    <w:rsid w:val="00947960"/>
    <w:rsid w:val="00951FC1"/>
    <w:rsid w:val="00954C23"/>
    <w:rsid w:val="009550F9"/>
    <w:rsid w:val="00956736"/>
    <w:rsid w:val="009626B1"/>
    <w:rsid w:val="00962F88"/>
    <w:rsid w:val="00963E35"/>
    <w:rsid w:val="00965B4B"/>
    <w:rsid w:val="009660F2"/>
    <w:rsid w:val="00966EA4"/>
    <w:rsid w:val="00967BF9"/>
    <w:rsid w:val="00970AA6"/>
    <w:rsid w:val="00970C01"/>
    <w:rsid w:val="00970FAF"/>
    <w:rsid w:val="00972DA3"/>
    <w:rsid w:val="00980F45"/>
    <w:rsid w:val="00981290"/>
    <w:rsid w:val="00981481"/>
    <w:rsid w:val="009815CD"/>
    <w:rsid w:val="00982145"/>
    <w:rsid w:val="0098294A"/>
    <w:rsid w:val="00983D41"/>
    <w:rsid w:val="009869DC"/>
    <w:rsid w:val="00987268"/>
    <w:rsid w:val="009872ED"/>
    <w:rsid w:val="00990172"/>
    <w:rsid w:val="00991362"/>
    <w:rsid w:val="0099360C"/>
    <w:rsid w:val="00993B8E"/>
    <w:rsid w:val="00995505"/>
    <w:rsid w:val="00997C27"/>
    <w:rsid w:val="009A0AC8"/>
    <w:rsid w:val="009A1DC3"/>
    <w:rsid w:val="009A3C40"/>
    <w:rsid w:val="009A433E"/>
    <w:rsid w:val="009A5AC3"/>
    <w:rsid w:val="009A6073"/>
    <w:rsid w:val="009B0041"/>
    <w:rsid w:val="009B078E"/>
    <w:rsid w:val="009B314B"/>
    <w:rsid w:val="009B4E27"/>
    <w:rsid w:val="009B5F78"/>
    <w:rsid w:val="009C0A28"/>
    <w:rsid w:val="009C3192"/>
    <w:rsid w:val="009C43BC"/>
    <w:rsid w:val="009C5854"/>
    <w:rsid w:val="009C5A08"/>
    <w:rsid w:val="009C640B"/>
    <w:rsid w:val="009C6C43"/>
    <w:rsid w:val="009C6DD3"/>
    <w:rsid w:val="009C7B4A"/>
    <w:rsid w:val="009D01F6"/>
    <w:rsid w:val="009D1D00"/>
    <w:rsid w:val="009D44DD"/>
    <w:rsid w:val="009D4F41"/>
    <w:rsid w:val="009E013B"/>
    <w:rsid w:val="009E3B5B"/>
    <w:rsid w:val="009E401C"/>
    <w:rsid w:val="009E7692"/>
    <w:rsid w:val="009F0C5A"/>
    <w:rsid w:val="009F20D1"/>
    <w:rsid w:val="009F3C9A"/>
    <w:rsid w:val="009F4BAA"/>
    <w:rsid w:val="009F4E83"/>
    <w:rsid w:val="009F4EB4"/>
    <w:rsid w:val="009F5178"/>
    <w:rsid w:val="009F5949"/>
    <w:rsid w:val="009F77B2"/>
    <w:rsid w:val="009F7EC3"/>
    <w:rsid w:val="00A0234E"/>
    <w:rsid w:val="00A02436"/>
    <w:rsid w:val="00A06B49"/>
    <w:rsid w:val="00A06EF0"/>
    <w:rsid w:val="00A10E2A"/>
    <w:rsid w:val="00A126E7"/>
    <w:rsid w:val="00A15178"/>
    <w:rsid w:val="00A15CBD"/>
    <w:rsid w:val="00A15D0F"/>
    <w:rsid w:val="00A2068C"/>
    <w:rsid w:val="00A24877"/>
    <w:rsid w:val="00A3041E"/>
    <w:rsid w:val="00A31018"/>
    <w:rsid w:val="00A35374"/>
    <w:rsid w:val="00A404C9"/>
    <w:rsid w:val="00A40D86"/>
    <w:rsid w:val="00A4476C"/>
    <w:rsid w:val="00A4571D"/>
    <w:rsid w:val="00A46AF6"/>
    <w:rsid w:val="00A5049F"/>
    <w:rsid w:val="00A529B3"/>
    <w:rsid w:val="00A54EB7"/>
    <w:rsid w:val="00A55404"/>
    <w:rsid w:val="00A56D27"/>
    <w:rsid w:val="00A578BB"/>
    <w:rsid w:val="00A60471"/>
    <w:rsid w:val="00A607B7"/>
    <w:rsid w:val="00A652AB"/>
    <w:rsid w:val="00A655FF"/>
    <w:rsid w:val="00A657F6"/>
    <w:rsid w:val="00A65B72"/>
    <w:rsid w:val="00A66691"/>
    <w:rsid w:val="00A717BB"/>
    <w:rsid w:val="00A71F86"/>
    <w:rsid w:val="00A72049"/>
    <w:rsid w:val="00A7332E"/>
    <w:rsid w:val="00A73DF9"/>
    <w:rsid w:val="00A741C2"/>
    <w:rsid w:val="00A751D5"/>
    <w:rsid w:val="00A82B9E"/>
    <w:rsid w:val="00A837C2"/>
    <w:rsid w:val="00A842D3"/>
    <w:rsid w:val="00A8472E"/>
    <w:rsid w:val="00A8513D"/>
    <w:rsid w:val="00A85BAC"/>
    <w:rsid w:val="00A921AC"/>
    <w:rsid w:val="00A93040"/>
    <w:rsid w:val="00A942A0"/>
    <w:rsid w:val="00A94458"/>
    <w:rsid w:val="00A9521A"/>
    <w:rsid w:val="00A971A0"/>
    <w:rsid w:val="00A978EC"/>
    <w:rsid w:val="00AA0194"/>
    <w:rsid w:val="00AA19CB"/>
    <w:rsid w:val="00AA208A"/>
    <w:rsid w:val="00AA220F"/>
    <w:rsid w:val="00AA29A1"/>
    <w:rsid w:val="00AA2A03"/>
    <w:rsid w:val="00AA304E"/>
    <w:rsid w:val="00AA37A8"/>
    <w:rsid w:val="00AA63E4"/>
    <w:rsid w:val="00AA6B7A"/>
    <w:rsid w:val="00AA6F7C"/>
    <w:rsid w:val="00AA719B"/>
    <w:rsid w:val="00AA722C"/>
    <w:rsid w:val="00AA78B7"/>
    <w:rsid w:val="00AB0839"/>
    <w:rsid w:val="00AB1DAF"/>
    <w:rsid w:val="00AB215B"/>
    <w:rsid w:val="00AB3BFB"/>
    <w:rsid w:val="00AB48F0"/>
    <w:rsid w:val="00AB6318"/>
    <w:rsid w:val="00AB6B50"/>
    <w:rsid w:val="00AB6B79"/>
    <w:rsid w:val="00AC4CC0"/>
    <w:rsid w:val="00AC532B"/>
    <w:rsid w:val="00AC5A04"/>
    <w:rsid w:val="00AC6065"/>
    <w:rsid w:val="00AC687F"/>
    <w:rsid w:val="00AC6DDC"/>
    <w:rsid w:val="00AC7D45"/>
    <w:rsid w:val="00AD0848"/>
    <w:rsid w:val="00AD25BF"/>
    <w:rsid w:val="00AD5271"/>
    <w:rsid w:val="00AE0192"/>
    <w:rsid w:val="00AE0309"/>
    <w:rsid w:val="00AE1605"/>
    <w:rsid w:val="00AE6673"/>
    <w:rsid w:val="00AE6A1C"/>
    <w:rsid w:val="00AF1398"/>
    <w:rsid w:val="00AF1B1E"/>
    <w:rsid w:val="00AF4873"/>
    <w:rsid w:val="00AF794B"/>
    <w:rsid w:val="00B016F1"/>
    <w:rsid w:val="00B0373A"/>
    <w:rsid w:val="00B05CD0"/>
    <w:rsid w:val="00B06D8B"/>
    <w:rsid w:val="00B10432"/>
    <w:rsid w:val="00B10B0E"/>
    <w:rsid w:val="00B11776"/>
    <w:rsid w:val="00B1177A"/>
    <w:rsid w:val="00B11ACD"/>
    <w:rsid w:val="00B11E4D"/>
    <w:rsid w:val="00B17CAF"/>
    <w:rsid w:val="00B211F0"/>
    <w:rsid w:val="00B21890"/>
    <w:rsid w:val="00B21A4B"/>
    <w:rsid w:val="00B24983"/>
    <w:rsid w:val="00B25864"/>
    <w:rsid w:val="00B25BDB"/>
    <w:rsid w:val="00B2766C"/>
    <w:rsid w:val="00B339CB"/>
    <w:rsid w:val="00B36DD6"/>
    <w:rsid w:val="00B43608"/>
    <w:rsid w:val="00B44CAB"/>
    <w:rsid w:val="00B4692B"/>
    <w:rsid w:val="00B52DBD"/>
    <w:rsid w:val="00B52ECD"/>
    <w:rsid w:val="00B559A9"/>
    <w:rsid w:val="00B629B4"/>
    <w:rsid w:val="00B636ED"/>
    <w:rsid w:val="00B6464A"/>
    <w:rsid w:val="00B6660C"/>
    <w:rsid w:val="00B70354"/>
    <w:rsid w:val="00B75102"/>
    <w:rsid w:val="00B757AD"/>
    <w:rsid w:val="00B75806"/>
    <w:rsid w:val="00B770DC"/>
    <w:rsid w:val="00B81E91"/>
    <w:rsid w:val="00B82945"/>
    <w:rsid w:val="00B834C2"/>
    <w:rsid w:val="00B83694"/>
    <w:rsid w:val="00B90F35"/>
    <w:rsid w:val="00B9100F"/>
    <w:rsid w:val="00B917BF"/>
    <w:rsid w:val="00B924F4"/>
    <w:rsid w:val="00B936DB"/>
    <w:rsid w:val="00B93988"/>
    <w:rsid w:val="00B950AB"/>
    <w:rsid w:val="00B96203"/>
    <w:rsid w:val="00B97265"/>
    <w:rsid w:val="00B97D70"/>
    <w:rsid w:val="00BA09DA"/>
    <w:rsid w:val="00BA2987"/>
    <w:rsid w:val="00BA2D0D"/>
    <w:rsid w:val="00BA2FB2"/>
    <w:rsid w:val="00BA7996"/>
    <w:rsid w:val="00BB0215"/>
    <w:rsid w:val="00BB0876"/>
    <w:rsid w:val="00BB316E"/>
    <w:rsid w:val="00BC044A"/>
    <w:rsid w:val="00BC0C15"/>
    <w:rsid w:val="00BC1A60"/>
    <w:rsid w:val="00BC205E"/>
    <w:rsid w:val="00BC51AF"/>
    <w:rsid w:val="00BC6EA0"/>
    <w:rsid w:val="00BD041F"/>
    <w:rsid w:val="00BD131D"/>
    <w:rsid w:val="00BD3138"/>
    <w:rsid w:val="00BD7F35"/>
    <w:rsid w:val="00BE28CC"/>
    <w:rsid w:val="00BE3541"/>
    <w:rsid w:val="00BE68CD"/>
    <w:rsid w:val="00BF01CB"/>
    <w:rsid w:val="00BF0200"/>
    <w:rsid w:val="00BF0C2F"/>
    <w:rsid w:val="00BF2835"/>
    <w:rsid w:val="00BF602D"/>
    <w:rsid w:val="00BF6B29"/>
    <w:rsid w:val="00C026F1"/>
    <w:rsid w:val="00C02B55"/>
    <w:rsid w:val="00C037C0"/>
    <w:rsid w:val="00C04FF1"/>
    <w:rsid w:val="00C054A4"/>
    <w:rsid w:val="00C10852"/>
    <w:rsid w:val="00C10B23"/>
    <w:rsid w:val="00C11B87"/>
    <w:rsid w:val="00C132A1"/>
    <w:rsid w:val="00C1440C"/>
    <w:rsid w:val="00C14CAA"/>
    <w:rsid w:val="00C152BB"/>
    <w:rsid w:val="00C156DF"/>
    <w:rsid w:val="00C15871"/>
    <w:rsid w:val="00C1773C"/>
    <w:rsid w:val="00C17F2B"/>
    <w:rsid w:val="00C21A42"/>
    <w:rsid w:val="00C248A8"/>
    <w:rsid w:val="00C26389"/>
    <w:rsid w:val="00C279F4"/>
    <w:rsid w:val="00C27E69"/>
    <w:rsid w:val="00C3165E"/>
    <w:rsid w:val="00C31A8F"/>
    <w:rsid w:val="00C33929"/>
    <w:rsid w:val="00C33B11"/>
    <w:rsid w:val="00C33D64"/>
    <w:rsid w:val="00C35146"/>
    <w:rsid w:val="00C35A47"/>
    <w:rsid w:val="00C3688C"/>
    <w:rsid w:val="00C37439"/>
    <w:rsid w:val="00C4104B"/>
    <w:rsid w:val="00C438A3"/>
    <w:rsid w:val="00C50B2E"/>
    <w:rsid w:val="00C5284B"/>
    <w:rsid w:val="00C539C3"/>
    <w:rsid w:val="00C53B24"/>
    <w:rsid w:val="00C53C2C"/>
    <w:rsid w:val="00C555B9"/>
    <w:rsid w:val="00C56297"/>
    <w:rsid w:val="00C566A7"/>
    <w:rsid w:val="00C57585"/>
    <w:rsid w:val="00C60A3F"/>
    <w:rsid w:val="00C60BDC"/>
    <w:rsid w:val="00C60CF7"/>
    <w:rsid w:val="00C6498C"/>
    <w:rsid w:val="00C655A6"/>
    <w:rsid w:val="00C65703"/>
    <w:rsid w:val="00C65853"/>
    <w:rsid w:val="00C675BF"/>
    <w:rsid w:val="00C67E41"/>
    <w:rsid w:val="00C73E10"/>
    <w:rsid w:val="00C75D41"/>
    <w:rsid w:val="00C77619"/>
    <w:rsid w:val="00C81949"/>
    <w:rsid w:val="00C8251E"/>
    <w:rsid w:val="00C82829"/>
    <w:rsid w:val="00C84092"/>
    <w:rsid w:val="00C86192"/>
    <w:rsid w:val="00C87FF6"/>
    <w:rsid w:val="00C905D2"/>
    <w:rsid w:val="00C91486"/>
    <w:rsid w:val="00C915CE"/>
    <w:rsid w:val="00C9467E"/>
    <w:rsid w:val="00CA025F"/>
    <w:rsid w:val="00CA031D"/>
    <w:rsid w:val="00CA0755"/>
    <w:rsid w:val="00CA3180"/>
    <w:rsid w:val="00CA3BB8"/>
    <w:rsid w:val="00CA4824"/>
    <w:rsid w:val="00CA4FD3"/>
    <w:rsid w:val="00CA4FF1"/>
    <w:rsid w:val="00CA529A"/>
    <w:rsid w:val="00CA587B"/>
    <w:rsid w:val="00CA643E"/>
    <w:rsid w:val="00CA686B"/>
    <w:rsid w:val="00CB08F5"/>
    <w:rsid w:val="00CB4334"/>
    <w:rsid w:val="00CB4894"/>
    <w:rsid w:val="00CB4E97"/>
    <w:rsid w:val="00CB50EA"/>
    <w:rsid w:val="00CB5893"/>
    <w:rsid w:val="00CB593A"/>
    <w:rsid w:val="00CB7994"/>
    <w:rsid w:val="00CC09DD"/>
    <w:rsid w:val="00CC1A7D"/>
    <w:rsid w:val="00CC5778"/>
    <w:rsid w:val="00CC6DF9"/>
    <w:rsid w:val="00CC7680"/>
    <w:rsid w:val="00CC78FC"/>
    <w:rsid w:val="00CD4A81"/>
    <w:rsid w:val="00CD616F"/>
    <w:rsid w:val="00CE4CC0"/>
    <w:rsid w:val="00CE5498"/>
    <w:rsid w:val="00CE593F"/>
    <w:rsid w:val="00CE7880"/>
    <w:rsid w:val="00CF0C2D"/>
    <w:rsid w:val="00CF13B3"/>
    <w:rsid w:val="00CF444F"/>
    <w:rsid w:val="00CF5A34"/>
    <w:rsid w:val="00CF7883"/>
    <w:rsid w:val="00CF7A0E"/>
    <w:rsid w:val="00D00669"/>
    <w:rsid w:val="00D00F62"/>
    <w:rsid w:val="00D024B5"/>
    <w:rsid w:val="00D05FB7"/>
    <w:rsid w:val="00D062D6"/>
    <w:rsid w:val="00D0749B"/>
    <w:rsid w:val="00D13447"/>
    <w:rsid w:val="00D13564"/>
    <w:rsid w:val="00D1406A"/>
    <w:rsid w:val="00D143FE"/>
    <w:rsid w:val="00D153D2"/>
    <w:rsid w:val="00D15D6E"/>
    <w:rsid w:val="00D16591"/>
    <w:rsid w:val="00D165A9"/>
    <w:rsid w:val="00D16B15"/>
    <w:rsid w:val="00D16B53"/>
    <w:rsid w:val="00D17447"/>
    <w:rsid w:val="00D21B89"/>
    <w:rsid w:val="00D2213C"/>
    <w:rsid w:val="00D22774"/>
    <w:rsid w:val="00D22B2D"/>
    <w:rsid w:val="00D22C8C"/>
    <w:rsid w:val="00D239C8"/>
    <w:rsid w:val="00D2516F"/>
    <w:rsid w:val="00D30C33"/>
    <w:rsid w:val="00D311EC"/>
    <w:rsid w:val="00D31D19"/>
    <w:rsid w:val="00D3224E"/>
    <w:rsid w:val="00D33E08"/>
    <w:rsid w:val="00D42D6E"/>
    <w:rsid w:val="00D4334C"/>
    <w:rsid w:val="00D43BF9"/>
    <w:rsid w:val="00D43DA8"/>
    <w:rsid w:val="00D45D27"/>
    <w:rsid w:val="00D471F4"/>
    <w:rsid w:val="00D47283"/>
    <w:rsid w:val="00D47559"/>
    <w:rsid w:val="00D47664"/>
    <w:rsid w:val="00D51231"/>
    <w:rsid w:val="00D51C96"/>
    <w:rsid w:val="00D5228C"/>
    <w:rsid w:val="00D5343D"/>
    <w:rsid w:val="00D53FEE"/>
    <w:rsid w:val="00D56F05"/>
    <w:rsid w:val="00D61AC6"/>
    <w:rsid w:val="00D64751"/>
    <w:rsid w:val="00D67287"/>
    <w:rsid w:val="00D673A2"/>
    <w:rsid w:val="00D70107"/>
    <w:rsid w:val="00D765E5"/>
    <w:rsid w:val="00D774A1"/>
    <w:rsid w:val="00D80423"/>
    <w:rsid w:val="00D8405A"/>
    <w:rsid w:val="00D91800"/>
    <w:rsid w:val="00D91B4C"/>
    <w:rsid w:val="00D91B8C"/>
    <w:rsid w:val="00D92760"/>
    <w:rsid w:val="00D92C2A"/>
    <w:rsid w:val="00D93A2D"/>
    <w:rsid w:val="00D94F76"/>
    <w:rsid w:val="00D97036"/>
    <w:rsid w:val="00D97A11"/>
    <w:rsid w:val="00DA5716"/>
    <w:rsid w:val="00DA7633"/>
    <w:rsid w:val="00DA79C0"/>
    <w:rsid w:val="00DB12E4"/>
    <w:rsid w:val="00DB2C16"/>
    <w:rsid w:val="00DB3E8D"/>
    <w:rsid w:val="00DB4027"/>
    <w:rsid w:val="00DB42FC"/>
    <w:rsid w:val="00DC0451"/>
    <w:rsid w:val="00DC4D8A"/>
    <w:rsid w:val="00DC5298"/>
    <w:rsid w:val="00DC7EBB"/>
    <w:rsid w:val="00DD0025"/>
    <w:rsid w:val="00DD1F4A"/>
    <w:rsid w:val="00DD2440"/>
    <w:rsid w:val="00DD2ADD"/>
    <w:rsid w:val="00DD2BA3"/>
    <w:rsid w:val="00DD2E98"/>
    <w:rsid w:val="00DD375F"/>
    <w:rsid w:val="00DD4248"/>
    <w:rsid w:val="00DD5EA9"/>
    <w:rsid w:val="00DD77CF"/>
    <w:rsid w:val="00DE20EA"/>
    <w:rsid w:val="00DE2B43"/>
    <w:rsid w:val="00DE36AD"/>
    <w:rsid w:val="00DE3A07"/>
    <w:rsid w:val="00DE3AD6"/>
    <w:rsid w:val="00DE5559"/>
    <w:rsid w:val="00DE689F"/>
    <w:rsid w:val="00DE68CB"/>
    <w:rsid w:val="00DF2093"/>
    <w:rsid w:val="00DF23F9"/>
    <w:rsid w:val="00DF2A69"/>
    <w:rsid w:val="00DF32B7"/>
    <w:rsid w:val="00DF3FF1"/>
    <w:rsid w:val="00DF42F4"/>
    <w:rsid w:val="00DF5644"/>
    <w:rsid w:val="00E0160E"/>
    <w:rsid w:val="00E0330C"/>
    <w:rsid w:val="00E03626"/>
    <w:rsid w:val="00E14BCF"/>
    <w:rsid w:val="00E14F8B"/>
    <w:rsid w:val="00E16E57"/>
    <w:rsid w:val="00E17DF3"/>
    <w:rsid w:val="00E2026F"/>
    <w:rsid w:val="00E21A81"/>
    <w:rsid w:val="00E24A79"/>
    <w:rsid w:val="00E24CC8"/>
    <w:rsid w:val="00E26AD7"/>
    <w:rsid w:val="00E271D7"/>
    <w:rsid w:val="00E27F6E"/>
    <w:rsid w:val="00E311A6"/>
    <w:rsid w:val="00E314B5"/>
    <w:rsid w:val="00E3220C"/>
    <w:rsid w:val="00E33395"/>
    <w:rsid w:val="00E35167"/>
    <w:rsid w:val="00E35A53"/>
    <w:rsid w:val="00E363C4"/>
    <w:rsid w:val="00E37482"/>
    <w:rsid w:val="00E3756C"/>
    <w:rsid w:val="00E40A55"/>
    <w:rsid w:val="00E44571"/>
    <w:rsid w:val="00E45B63"/>
    <w:rsid w:val="00E46471"/>
    <w:rsid w:val="00E46659"/>
    <w:rsid w:val="00E46D32"/>
    <w:rsid w:val="00E50BE0"/>
    <w:rsid w:val="00E50D22"/>
    <w:rsid w:val="00E5150B"/>
    <w:rsid w:val="00E535CE"/>
    <w:rsid w:val="00E57677"/>
    <w:rsid w:val="00E60D0B"/>
    <w:rsid w:val="00E6172D"/>
    <w:rsid w:val="00E627F8"/>
    <w:rsid w:val="00E67F06"/>
    <w:rsid w:val="00E70FB2"/>
    <w:rsid w:val="00E7328D"/>
    <w:rsid w:val="00E75AB9"/>
    <w:rsid w:val="00E77394"/>
    <w:rsid w:val="00E77963"/>
    <w:rsid w:val="00E84DAA"/>
    <w:rsid w:val="00E852DF"/>
    <w:rsid w:val="00E8596B"/>
    <w:rsid w:val="00E90A0C"/>
    <w:rsid w:val="00E91169"/>
    <w:rsid w:val="00E91851"/>
    <w:rsid w:val="00E91E95"/>
    <w:rsid w:val="00E920B4"/>
    <w:rsid w:val="00E927AF"/>
    <w:rsid w:val="00E9352B"/>
    <w:rsid w:val="00E95E5A"/>
    <w:rsid w:val="00E9758E"/>
    <w:rsid w:val="00E97693"/>
    <w:rsid w:val="00EA2DA7"/>
    <w:rsid w:val="00EA4D07"/>
    <w:rsid w:val="00EA5177"/>
    <w:rsid w:val="00EA55E7"/>
    <w:rsid w:val="00EA7206"/>
    <w:rsid w:val="00EA7537"/>
    <w:rsid w:val="00EB03EB"/>
    <w:rsid w:val="00EB125E"/>
    <w:rsid w:val="00EB1AB6"/>
    <w:rsid w:val="00EB1B59"/>
    <w:rsid w:val="00EB4F34"/>
    <w:rsid w:val="00EB62E3"/>
    <w:rsid w:val="00EC170F"/>
    <w:rsid w:val="00EC1900"/>
    <w:rsid w:val="00EC2454"/>
    <w:rsid w:val="00EC2B5C"/>
    <w:rsid w:val="00EC4174"/>
    <w:rsid w:val="00ED339D"/>
    <w:rsid w:val="00ED3722"/>
    <w:rsid w:val="00ED49CD"/>
    <w:rsid w:val="00ED53A7"/>
    <w:rsid w:val="00EE0773"/>
    <w:rsid w:val="00EE13A3"/>
    <w:rsid w:val="00EE1BA9"/>
    <w:rsid w:val="00EE352F"/>
    <w:rsid w:val="00EE394B"/>
    <w:rsid w:val="00EE3D56"/>
    <w:rsid w:val="00EE6EF3"/>
    <w:rsid w:val="00EE736B"/>
    <w:rsid w:val="00EF1135"/>
    <w:rsid w:val="00EF5796"/>
    <w:rsid w:val="00F00954"/>
    <w:rsid w:val="00F02554"/>
    <w:rsid w:val="00F06A41"/>
    <w:rsid w:val="00F110FC"/>
    <w:rsid w:val="00F15301"/>
    <w:rsid w:val="00F15ADC"/>
    <w:rsid w:val="00F17D46"/>
    <w:rsid w:val="00F20677"/>
    <w:rsid w:val="00F22F68"/>
    <w:rsid w:val="00F23AF0"/>
    <w:rsid w:val="00F24703"/>
    <w:rsid w:val="00F27D75"/>
    <w:rsid w:val="00F300B1"/>
    <w:rsid w:val="00F3212F"/>
    <w:rsid w:val="00F3371D"/>
    <w:rsid w:val="00F33A1C"/>
    <w:rsid w:val="00F34C88"/>
    <w:rsid w:val="00F355D2"/>
    <w:rsid w:val="00F35D84"/>
    <w:rsid w:val="00F36398"/>
    <w:rsid w:val="00F377AE"/>
    <w:rsid w:val="00F37E0D"/>
    <w:rsid w:val="00F423D1"/>
    <w:rsid w:val="00F4520C"/>
    <w:rsid w:val="00F453E9"/>
    <w:rsid w:val="00F50A4E"/>
    <w:rsid w:val="00F51787"/>
    <w:rsid w:val="00F5178C"/>
    <w:rsid w:val="00F5223A"/>
    <w:rsid w:val="00F53755"/>
    <w:rsid w:val="00F5784A"/>
    <w:rsid w:val="00F601E0"/>
    <w:rsid w:val="00F64368"/>
    <w:rsid w:val="00F6446A"/>
    <w:rsid w:val="00F64E99"/>
    <w:rsid w:val="00F66134"/>
    <w:rsid w:val="00F66983"/>
    <w:rsid w:val="00F67BE6"/>
    <w:rsid w:val="00F67FB7"/>
    <w:rsid w:val="00F710FB"/>
    <w:rsid w:val="00F73667"/>
    <w:rsid w:val="00F7404A"/>
    <w:rsid w:val="00F7419D"/>
    <w:rsid w:val="00F744F8"/>
    <w:rsid w:val="00F8087F"/>
    <w:rsid w:val="00F80C6A"/>
    <w:rsid w:val="00F813DE"/>
    <w:rsid w:val="00F84506"/>
    <w:rsid w:val="00F85003"/>
    <w:rsid w:val="00F85B75"/>
    <w:rsid w:val="00F85EA7"/>
    <w:rsid w:val="00F907ED"/>
    <w:rsid w:val="00F92222"/>
    <w:rsid w:val="00F93AA4"/>
    <w:rsid w:val="00F94DEE"/>
    <w:rsid w:val="00F9545C"/>
    <w:rsid w:val="00F97856"/>
    <w:rsid w:val="00FA341B"/>
    <w:rsid w:val="00FA44A7"/>
    <w:rsid w:val="00FA557D"/>
    <w:rsid w:val="00FA5B4B"/>
    <w:rsid w:val="00FA7392"/>
    <w:rsid w:val="00FA7C69"/>
    <w:rsid w:val="00FA7D1C"/>
    <w:rsid w:val="00FB6D67"/>
    <w:rsid w:val="00FC59B3"/>
    <w:rsid w:val="00FC6255"/>
    <w:rsid w:val="00FC6310"/>
    <w:rsid w:val="00FC6A96"/>
    <w:rsid w:val="00FD0FCB"/>
    <w:rsid w:val="00FD31F8"/>
    <w:rsid w:val="00FD5BC6"/>
    <w:rsid w:val="00FD7AF4"/>
    <w:rsid w:val="00FE2095"/>
    <w:rsid w:val="00FE479D"/>
    <w:rsid w:val="00FE480C"/>
    <w:rsid w:val="00FE51AC"/>
    <w:rsid w:val="00FE58EC"/>
    <w:rsid w:val="00FE7638"/>
    <w:rsid w:val="00FE7EBB"/>
    <w:rsid w:val="00FF0092"/>
    <w:rsid w:val="00FF3165"/>
    <w:rsid w:val="01EB5E57"/>
    <w:rsid w:val="03EA7678"/>
    <w:rsid w:val="04A601E4"/>
    <w:rsid w:val="050D54CE"/>
    <w:rsid w:val="05BF09E5"/>
    <w:rsid w:val="05F56F28"/>
    <w:rsid w:val="0737795B"/>
    <w:rsid w:val="085E6AC5"/>
    <w:rsid w:val="08634C14"/>
    <w:rsid w:val="0989114A"/>
    <w:rsid w:val="0B1C57E6"/>
    <w:rsid w:val="0B50226B"/>
    <w:rsid w:val="0BD72E90"/>
    <w:rsid w:val="0E1F77AA"/>
    <w:rsid w:val="105E2E5C"/>
    <w:rsid w:val="11E0751A"/>
    <w:rsid w:val="12053CE4"/>
    <w:rsid w:val="12B62076"/>
    <w:rsid w:val="152F4368"/>
    <w:rsid w:val="17393040"/>
    <w:rsid w:val="179D1E56"/>
    <w:rsid w:val="1A496F30"/>
    <w:rsid w:val="1B492A80"/>
    <w:rsid w:val="1BD641A0"/>
    <w:rsid w:val="1C606903"/>
    <w:rsid w:val="1DEA3AA7"/>
    <w:rsid w:val="1E691F30"/>
    <w:rsid w:val="1E6A1572"/>
    <w:rsid w:val="1F777932"/>
    <w:rsid w:val="20631369"/>
    <w:rsid w:val="20F3330B"/>
    <w:rsid w:val="21464C29"/>
    <w:rsid w:val="21F5962F"/>
    <w:rsid w:val="22786436"/>
    <w:rsid w:val="22B75202"/>
    <w:rsid w:val="233A4564"/>
    <w:rsid w:val="23C036C2"/>
    <w:rsid w:val="24000FEA"/>
    <w:rsid w:val="28575C58"/>
    <w:rsid w:val="2AB551B1"/>
    <w:rsid w:val="2C9D0974"/>
    <w:rsid w:val="2F5F5A23"/>
    <w:rsid w:val="2FC178F1"/>
    <w:rsid w:val="30340008"/>
    <w:rsid w:val="304377D3"/>
    <w:rsid w:val="304E2375"/>
    <w:rsid w:val="337163DF"/>
    <w:rsid w:val="34D46229"/>
    <w:rsid w:val="34D83D1E"/>
    <w:rsid w:val="352D33ED"/>
    <w:rsid w:val="36C07143"/>
    <w:rsid w:val="37030CCA"/>
    <w:rsid w:val="38F11AE6"/>
    <w:rsid w:val="3A4D4D62"/>
    <w:rsid w:val="3AE828BF"/>
    <w:rsid w:val="3B551EAF"/>
    <w:rsid w:val="3B6327A5"/>
    <w:rsid w:val="3C1D3DDD"/>
    <w:rsid w:val="3D5A60F9"/>
    <w:rsid w:val="3DDAD2C4"/>
    <w:rsid w:val="40AC1995"/>
    <w:rsid w:val="4162149D"/>
    <w:rsid w:val="41A85868"/>
    <w:rsid w:val="41E25F56"/>
    <w:rsid w:val="42521512"/>
    <w:rsid w:val="43023801"/>
    <w:rsid w:val="431775F1"/>
    <w:rsid w:val="43CA2B23"/>
    <w:rsid w:val="43EB4717"/>
    <w:rsid w:val="44B3734F"/>
    <w:rsid w:val="44DA134B"/>
    <w:rsid w:val="45156122"/>
    <w:rsid w:val="45844B3A"/>
    <w:rsid w:val="46AF25A6"/>
    <w:rsid w:val="47E76823"/>
    <w:rsid w:val="48664C15"/>
    <w:rsid w:val="4A1D4FAF"/>
    <w:rsid w:val="4AF2617D"/>
    <w:rsid w:val="4C920651"/>
    <w:rsid w:val="4DB35F47"/>
    <w:rsid w:val="508952CA"/>
    <w:rsid w:val="53A71C00"/>
    <w:rsid w:val="53BC6465"/>
    <w:rsid w:val="54962724"/>
    <w:rsid w:val="55703B13"/>
    <w:rsid w:val="57AF0677"/>
    <w:rsid w:val="587E7580"/>
    <w:rsid w:val="58C91B73"/>
    <w:rsid w:val="58F8392A"/>
    <w:rsid w:val="59552A64"/>
    <w:rsid w:val="59B51C2E"/>
    <w:rsid w:val="5A4C2893"/>
    <w:rsid w:val="5A4E660B"/>
    <w:rsid w:val="5AB543FB"/>
    <w:rsid w:val="5B8161A6"/>
    <w:rsid w:val="5C3240BE"/>
    <w:rsid w:val="5DF378DB"/>
    <w:rsid w:val="5E591C11"/>
    <w:rsid w:val="5E6A43DE"/>
    <w:rsid w:val="5FD34363"/>
    <w:rsid w:val="60E930B4"/>
    <w:rsid w:val="61B2130F"/>
    <w:rsid w:val="62165FCF"/>
    <w:rsid w:val="64D477B0"/>
    <w:rsid w:val="65AC2FF2"/>
    <w:rsid w:val="65B37365"/>
    <w:rsid w:val="65FD3508"/>
    <w:rsid w:val="664A5D9B"/>
    <w:rsid w:val="66876CE5"/>
    <w:rsid w:val="66E444F5"/>
    <w:rsid w:val="69121BD7"/>
    <w:rsid w:val="691A14D4"/>
    <w:rsid w:val="69BB58A7"/>
    <w:rsid w:val="69CD62F0"/>
    <w:rsid w:val="6A8D6CDC"/>
    <w:rsid w:val="6AAD5175"/>
    <w:rsid w:val="6E163FE1"/>
    <w:rsid w:val="6EBB7947"/>
    <w:rsid w:val="6FC27CBB"/>
    <w:rsid w:val="706C2EEF"/>
    <w:rsid w:val="70F5267F"/>
    <w:rsid w:val="728955C8"/>
    <w:rsid w:val="72B5493F"/>
    <w:rsid w:val="739F3F4C"/>
    <w:rsid w:val="768E6ABC"/>
    <w:rsid w:val="78120820"/>
    <w:rsid w:val="78DF4BA6"/>
    <w:rsid w:val="7AA03540"/>
    <w:rsid w:val="7BE02E81"/>
    <w:rsid w:val="7CC53AF2"/>
    <w:rsid w:val="7D347A27"/>
    <w:rsid w:val="7D797230"/>
    <w:rsid w:val="7DDE2304"/>
    <w:rsid w:val="7FA00847"/>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semiHidden="0" w:name="heading 4"/>
    <w:lsdException w:qFormat="1" w:uiPriority="0" w:semiHidden="0" w:name="heading 5"/>
    <w:lsdException w:qFormat="1" w:uiPriority="0" w:semiHidden="0" w:name="heading 6"/>
    <w:lsdException w:qFormat="1" w:uiPriority="0" w:semiHidden="0" w:name="heading 7"/>
    <w:lsdException w:qFormat="1" w:uiPriority="0" w:semiHidden="0" w:name="heading 8"/>
    <w:lsdException w:qFormat="1" w:uiPriority="0" w:semiHidden="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nhideWhenUsed="0" w:uiPriority="39" w:semiHidden="0" w:name="toc 3"/>
    <w:lsdException w:uiPriority="0" w:name="toc 4"/>
    <w:lsdException w:uiPriority="0" w:name="toc 5"/>
    <w:lsdException w:uiPriority="0" w:name="toc 6"/>
    <w:lsdException w:uiPriority="0" w:name="toc 7"/>
    <w:lsdException w:uiPriority="0" w:name="toc 8"/>
    <w:lsdException w:uiPriority="0" w:name="toc 9"/>
    <w:lsdException w:qFormat="1" w:unhideWhenUsed="0" w:uiPriority="0" w:semiHidden="0" w:name="Normal Indent"/>
    <w:lsdException w:qFormat="1" w:uiPriority="99"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iPriority="0" w:name="index heading"/>
    <w:lsdException w:qFormat="1" w:unhideWhenUsed="0" w:uiPriority="0" w:semiHidden="0" w:name="caption"/>
    <w:lsdException w:uiPriority="0" w:name="table of figures"/>
    <w:lsdException w:uiPriority="0" w:name="envelope address"/>
    <w:lsdException w:uiPriority="0" w:name="envelope return"/>
    <w:lsdException w:qFormat="1" w:uiPriority="99" w:semiHidden="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qFormat="1" w:unhideWhenUsed="0" w:uiPriority="0" w:semiHidden="0" w:name="List"/>
    <w:lsdException w:uiPriority="0" w:name="List Bullet"/>
    <w:lsdException w:qFormat="1" w:unhideWhenUsed="0" w:uiPriority="0" w:semiHidden="0" w:name="List Number"/>
    <w:lsdException w:qFormat="1" w:unhideWhenUsed="0" w:uiPriority="0" w:semiHidden="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qFormat="1" w:unhideWhenUsed="0" w:uiPriority="0" w:semiHidden="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iPriority="0" w:name="Salutation"/>
    <w:lsdException w:qFormat="1" w:unhideWhenUsed="0" w:uiPriority="0" w:semiHidden="0" w:name="Date"/>
    <w:lsdException w:qFormat="1" w:unhideWhenUsed="0" w:uiPriority="0" w:semiHidden="0" w:name="Body Text First Indent"/>
    <w:lsdException w:uiPriority="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iPriority="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semiHidden="0"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48"/>
    <w:qFormat/>
    <w:uiPriority w:val="0"/>
    <w:pPr>
      <w:keepNext/>
      <w:keepLines/>
      <w:numPr>
        <w:ilvl w:val="0"/>
        <w:numId w:val="1"/>
      </w:numPr>
      <w:spacing w:before="340" w:after="330" w:line="578" w:lineRule="auto"/>
      <w:outlineLvl w:val="0"/>
    </w:pPr>
    <w:rPr>
      <w:b/>
      <w:bCs/>
      <w:kern w:val="44"/>
      <w:sz w:val="44"/>
      <w:szCs w:val="44"/>
    </w:rPr>
  </w:style>
  <w:style w:type="paragraph" w:styleId="3">
    <w:name w:val="heading 2"/>
    <w:basedOn w:val="1"/>
    <w:next w:val="1"/>
    <w:qFormat/>
    <w:uiPriority w:val="0"/>
    <w:pPr>
      <w:keepNext/>
      <w:keepLines/>
      <w:numPr>
        <w:ilvl w:val="1"/>
        <w:numId w:val="1"/>
      </w:numPr>
      <w:spacing w:before="260" w:after="260" w:line="416" w:lineRule="auto"/>
      <w:jc w:val="left"/>
      <w:outlineLvl w:val="1"/>
    </w:pPr>
    <w:rPr>
      <w:rFonts w:ascii="Arial" w:hAnsi="Arial" w:eastAsia="微软雅黑"/>
      <w:b/>
      <w:bCs/>
      <w:szCs w:val="32"/>
    </w:rPr>
  </w:style>
  <w:style w:type="paragraph" w:styleId="4">
    <w:name w:val="heading 3"/>
    <w:basedOn w:val="1"/>
    <w:next w:val="5"/>
    <w:link w:val="50"/>
    <w:qFormat/>
    <w:uiPriority w:val="0"/>
    <w:pPr>
      <w:keepNext/>
      <w:keepLines/>
      <w:numPr>
        <w:ilvl w:val="2"/>
        <w:numId w:val="1"/>
      </w:numPr>
      <w:spacing w:line="360" w:lineRule="auto"/>
      <w:ind w:firstLine="720" w:firstLineChars="200"/>
      <w:jc w:val="left"/>
      <w:outlineLvl w:val="2"/>
    </w:pPr>
    <w:rPr>
      <w:rFonts w:ascii="仿宋_GB2312" w:hAnsi="仿宋_GB2312" w:eastAsia="微软雅黑"/>
      <w:b/>
      <w:bCs/>
      <w:szCs w:val="20"/>
    </w:rPr>
  </w:style>
  <w:style w:type="paragraph" w:styleId="6">
    <w:name w:val="heading 4"/>
    <w:basedOn w:val="1"/>
    <w:next w:val="1"/>
    <w:unhideWhenUsed/>
    <w:qFormat/>
    <w:uiPriority w:val="0"/>
    <w:pPr>
      <w:keepNext/>
      <w:keepLines/>
      <w:numPr>
        <w:ilvl w:val="3"/>
        <w:numId w:val="1"/>
      </w:numPr>
      <w:spacing w:line="372" w:lineRule="auto"/>
      <w:outlineLvl w:val="3"/>
    </w:pPr>
    <w:rPr>
      <w:rFonts w:ascii="Arial" w:hAnsi="Arial" w:eastAsia="黑体"/>
      <w:b/>
      <w:sz w:val="28"/>
    </w:rPr>
  </w:style>
  <w:style w:type="paragraph" w:styleId="7">
    <w:name w:val="heading 5"/>
    <w:basedOn w:val="1"/>
    <w:next w:val="1"/>
    <w:unhideWhenUsed/>
    <w:qFormat/>
    <w:uiPriority w:val="0"/>
    <w:pPr>
      <w:keepNext/>
      <w:keepLines/>
      <w:numPr>
        <w:ilvl w:val="4"/>
        <w:numId w:val="1"/>
      </w:numPr>
      <w:spacing w:line="372" w:lineRule="auto"/>
      <w:outlineLvl w:val="4"/>
    </w:pPr>
    <w:rPr>
      <w:b/>
      <w:sz w:val="28"/>
    </w:rPr>
  </w:style>
  <w:style w:type="paragraph" w:styleId="8">
    <w:name w:val="heading 6"/>
    <w:basedOn w:val="1"/>
    <w:next w:val="1"/>
    <w:unhideWhenUsed/>
    <w:qFormat/>
    <w:uiPriority w:val="0"/>
    <w:pPr>
      <w:keepNext/>
      <w:keepLines/>
      <w:numPr>
        <w:ilvl w:val="5"/>
        <w:numId w:val="1"/>
      </w:numPr>
      <w:spacing w:line="317" w:lineRule="auto"/>
      <w:outlineLvl w:val="5"/>
    </w:pPr>
    <w:rPr>
      <w:rFonts w:ascii="Arial" w:hAnsi="Arial" w:eastAsia="黑体"/>
      <w:b/>
      <w:sz w:val="24"/>
    </w:rPr>
  </w:style>
  <w:style w:type="paragraph" w:styleId="9">
    <w:name w:val="heading 7"/>
    <w:basedOn w:val="1"/>
    <w:next w:val="1"/>
    <w:unhideWhenUsed/>
    <w:qFormat/>
    <w:uiPriority w:val="0"/>
    <w:pPr>
      <w:keepNext/>
      <w:keepLines/>
      <w:numPr>
        <w:ilvl w:val="6"/>
        <w:numId w:val="1"/>
      </w:numPr>
      <w:spacing w:line="317" w:lineRule="auto"/>
      <w:outlineLvl w:val="6"/>
    </w:pPr>
    <w:rPr>
      <w:b/>
      <w:sz w:val="24"/>
    </w:rPr>
  </w:style>
  <w:style w:type="paragraph" w:styleId="10">
    <w:name w:val="heading 8"/>
    <w:basedOn w:val="1"/>
    <w:next w:val="1"/>
    <w:unhideWhenUsed/>
    <w:qFormat/>
    <w:uiPriority w:val="0"/>
    <w:pPr>
      <w:keepNext/>
      <w:keepLines/>
      <w:numPr>
        <w:ilvl w:val="7"/>
        <w:numId w:val="1"/>
      </w:numPr>
      <w:spacing w:line="317" w:lineRule="auto"/>
      <w:outlineLvl w:val="7"/>
    </w:pPr>
    <w:rPr>
      <w:rFonts w:ascii="Arial" w:hAnsi="Arial" w:eastAsia="黑体"/>
      <w:sz w:val="24"/>
    </w:rPr>
  </w:style>
  <w:style w:type="paragraph" w:styleId="11">
    <w:name w:val="heading 9"/>
    <w:basedOn w:val="1"/>
    <w:next w:val="1"/>
    <w:unhideWhenUsed/>
    <w:qFormat/>
    <w:uiPriority w:val="0"/>
    <w:pPr>
      <w:keepNext/>
      <w:keepLines/>
      <w:numPr>
        <w:ilvl w:val="8"/>
        <w:numId w:val="1"/>
      </w:numPr>
      <w:spacing w:line="317" w:lineRule="auto"/>
      <w:outlineLvl w:val="8"/>
    </w:pPr>
    <w:rPr>
      <w:rFonts w:ascii="Arial" w:hAnsi="Arial" w:eastAsia="黑体"/>
    </w:rPr>
  </w:style>
  <w:style w:type="character" w:default="1" w:styleId="40">
    <w:name w:val="Default Paragraph Font"/>
    <w:unhideWhenUsed/>
    <w:qFormat/>
    <w:uiPriority w:val="1"/>
  </w:style>
  <w:style w:type="table" w:default="1" w:styleId="39">
    <w:name w:val="Normal Table"/>
    <w:unhideWhenUsed/>
    <w:qFormat/>
    <w:uiPriority w:val="99"/>
    <w:tblPr>
      <w:tblCellMar>
        <w:top w:w="0" w:type="dxa"/>
        <w:left w:w="108" w:type="dxa"/>
        <w:bottom w:w="0" w:type="dxa"/>
        <w:right w:w="108" w:type="dxa"/>
      </w:tblCellMar>
    </w:tblPr>
  </w:style>
  <w:style w:type="paragraph" w:styleId="5">
    <w:name w:val="Normal Indent"/>
    <w:basedOn w:val="1"/>
    <w:link w:val="49"/>
    <w:qFormat/>
    <w:uiPriority w:val="0"/>
    <w:pPr>
      <w:ind w:firstLine="420"/>
    </w:pPr>
    <w:rPr>
      <w:szCs w:val="20"/>
    </w:rPr>
  </w:style>
  <w:style w:type="paragraph" w:styleId="12">
    <w:name w:val="List Number"/>
    <w:basedOn w:val="1"/>
    <w:qFormat/>
    <w:uiPriority w:val="0"/>
    <w:pPr>
      <w:widowControl/>
      <w:tabs>
        <w:tab w:val="left" w:pos="454"/>
        <w:tab w:val="left" w:pos="720"/>
      </w:tabs>
      <w:spacing w:afterLines="50"/>
      <w:ind w:left="454" w:hanging="284"/>
      <w:jc w:val="left"/>
    </w:pPr>
    <w:rPr>
      <w:kern w:val="0"/>
      <w:sz w:val="24"/>
      <w:szCs w:val="20"/>
    </w:rPr>
  </w:style>
  <w:style w:type="paragraph" w:styleId="13">
    <w:name w:val="caption"/>
    <w:basedOn w:val="1"/>
    <w:next w:val="1"/>
    <w:qFormat/>
    <w:uiPriority w:val="0"/>
    <w:pPr>
      <w:spacing w:before="152" w:after="160"/>
    </w:pPr>
    <w:rPr>
      <w:rFonts w:ascii="Arial" w:hAnsi="Arial" w:eastAsia="黑体" w:cs="Arial"/>
      <w:sz w:val="20"/>
      <w:szCs w:val="20"/>
    </w:rPr>
  </w:style>
  <w:style w:type="paragraph" w:styleId="14">
    <w:name w:val="Document Map"/>
    <w:basedOn w:val="1"/>
    <w:semiHidden/>
    <w:qFormat/>
    <w:uiPriority w:val="0"/>
    <w:pPr>
      <w:shd w:val="clear" w:color="auto" w:fill="000080"/>
    </w:pPr>
  </w:style>
  <w:style w:type="paragraph" w:styleId="15">
    <w:name w:val="annotation text"/>
    <w:basedOn w:val="1"/>
    <w:link w:val="73"/>
    <w:qFormat/>
    <w:uiPriority w:val="0"/>
    <w:pPr>
      <w:jc w:val="left"/>
    </w:pPr>
  </w:style>
  <w:style w:type="paragraph" w:styleId="16">
    <w:name w:val="Body Text 3"/>
    <w:basedOn w:val="1"/>
    <w:qFormat/>
    <w:uiPriority w:val="0"/>
    <w:pPr>
      <w:snapToGrid w:val="0"/>
      <w:spacing w:before="50" w:after="50"/>
    </w:pPr>
    <w:rPr>
      <w:rFonts w:hAnsi="宋体" w:eastAsia="仿宋_GB2312"/>
      <w:b/>
      <w:bCs/>
      <w:sz w:val="24"/>
      <w:szCs w:val="20"/>
    </w:rPr>
  </w:style>
  <w:style w:type="paragraph" w:styleId="17">
    <w:name w:val="Body Text"/>
    <w:basedOn w:val="1"/>
    <w:link w:val="57"/>
    <w:qFormat/>
    <w:uiPriority w:val="0"/>
    <w:pPr>
      <w:spacing w:after="120"/>
    </w:pPr>
    <w:rPr>
      <w:sz w:val="28"/>
    </w:rPr>
  </w:style>
  <w:style w:type="paragraph" w:styleId="18">
    <w:name w:val="Body Text Indent"/>
    <w:basedOn w:val="1"/>
    <w:link w:val="56"/>
    <w:qFormat/>
    <w:uiPriority w:val="0"/>
    <w:pPr>
      <w:spacing w:line="200" w:lineRule="exact"/>
      <w:ind w:firstLine="301"/>
    </w:pPr>
    <w:rPr>
      <w:rFonts w:ascii="宋体" w:hAnsi="Courier New"/>
      <w:spacing w:val="-4"/>
      <w:sz w:val="18"/>
      <w:szCs w:val="20"/>
    </w:rPr>
  </w:style>
  <w:style w:type="paragraph" w:styleId="19">
    <w:name w:val="List Number 3"/>
    <w:basedOn w:val="1"/>
    <w:qFormat/>
    <w:uiPriority w:val="0"/>
    <w:pPr>
      <w:numPr>
        <w:ilvl w:val="0"/>
        <w:numId w:val="2"/>
      </w:numPr>
    </w:pPr>
  </w:style>
  <w:style w:type="paragraph" w:styleId="20">
    <w:name w:val="List 2"/>
    <w:basedOn w:val="1"/>
    <w:qFormat/>
    <w:uiPriority w:val="0"/>
    <w:pPr>
      <w:ind w:left="100" w:leftChars="200" w:hanging="200" w:hangingChars="200"/>
    </w:pPr>
    <w:rPr>
      <w:sz w:val="28"/>
    </w:rPr>
  </w:style>
  <w:style w:type="paragraph" w:styleId="21">
    <w:name w:val="toc 3"/>
    <w:basedOn w:val="1"/>
    <w:next w:val="1"/>
    <w:qFormat/>
    <w:uiPriority w:val="39"/>
    <w:pPr>
      <w:ind w:left="840" w:leftChars="400"/>
    </w:pPr>
  </w:style>
  <w:style w:type="paragraph" w:styleId="22">
    <w:name w:val="Plain Text"/>
    <w:basedOn w:val="1"/>
    <w:link w:val="53"/>
    <w:qFormat/>
    <w:uiPriority w:val="0"/>
    <w:pPr>
      <w:spacing w:beforeLines="50" w:afterLines="50" w:line="400" w:lineRule="exact"/>
    </w:pPr>
    <w:rPr>
      <w:rFonts w:ascii="宋体" w:hAnsi="Courier New"/>
      <w:sz w:val="24"/>
    </w:rPr>
  </w:style>
  <w:style w:type="paragraph" w:styleId="23">
    <w:name w:val="Date"/>
    <w:basedOn w:val="1"/>
    <w:next w:val="1"/>
    <w:qFormat/>
    <w:uiPriority w:val="0"/>
    <w:pPr>
      <w:ind w:left="2500" w:leftChars="2500"/>
    </w:pPr>
    <w:rPr>
      <w:rFonts w:eastAsia="楷体_GB2312"/>
      <w:sz w:val="32"/>
      <w:szCs w:val="20"/>
    </w:rPr>
  </w:style>
  <w:style w:type="paragraph" w:styleId="24">
    <w:name w:val="Body Text Indent 2"/>
    <w:basedOn w:val="1"/>
    <w:qFormat/>
    <w:uiPriority w:val="0"/>
    <w:pPr>
      <w:snapToGrid w:val="0"/>
      <w:ind w:firstLine="542" w:firstLineChars="225"/>
    </w:pPr>
    <w:rPr>
      <w:rFonts w:ascii="仿宋_GB2312" w:hAnsi="宋体" w:cs="Arial"/>
      <w:b/>
      <w:bCs/>
      <w:color w:val="000000"/>
      <w:sz w:val="24"/>
    </w:rPr>
  </w:style>
  <w:style w:type="paragraph" w:styleId="25">
    <w:name w:val="Balloon Text"/>
    <w:basedOn w:val="1"/>
    <w:link w:val="78"/>
    <w:qFormat/>
    <w:uiPriority w:val="0"/>
    <w:rPr>
      <w:sz w:val="18"/>
      <w:szCs w:val="18"/>
    </w:rPr>
  </w:style>
  <w:style w:type="paragraph" w:styleId="26">
    <w:name w:val="footer"/>
    <w:basedOn w:val="1"/>
    <w:link w:val="51"/>
    <w:qFormat/>
    <w:uiPriority w:val="99"/>
    <w:pPr>
      <w:tabs>
        <w:tab w:val="center" w:pos="4153"/>
        <w:tab w:val="right" w:pos="8306"/>
      </w:tabs>
      <w:snapToGrid w:val="0"/>
      <w:jc w:val="left"/>
    </w:pPr>
    <w:rPr>
      <w:rFonts w:eastAsia="黑体"/>
      <w:snapToGrid w:val="0"/>
      <w:kern w:val="0"/>
      <w:sz w:val="18"/>
      <w:szCs w:val="18"/>
    </w:rPr>
  </w:style>
  <w:style w:type="paragraph" w:styleId="27">
    <w:name w:val="header"/>
    <w:basedOn w:val="1"/>
    <w:link w:val="59"/>
    <w:qFormat/>
    <w:uiPriority w:val="99"/>
    <w:pPr>
      <w:pBdr>
        <w:bottom w:val="single" w:color="auto" w:sz="6" w:space="1"/>
      </w:pBdr>
      <w:tabs>
        <w:tab w:val="center" w:pos="4153"/>
        <w:tab w:val="right" w:pos="8306"/>
      </w:tabs>
      <w:snapToGrid w:val="0"/>
      <w:jc w:val="center"/>
    </w:pPr>
    <w:rPr>
      <w:rFonts w:eastAsia="仿宋_GB2312"/>
      <w:sz w:val="18"/>
      <w:szCs w:val="20"/>
    </w:rPr>
  </w:style>
  <w:style w:type="paragraph" w:styleId="28">
    <w:name w:val="toc 1"/>
    <w:basedOn w:val="1"/>
    <w:next w:val="1"/>
    <w:qFormat/>
    <w:uiPriority w:val="39"/>
  </w:style>
  <w:style w:type="paragraph" w:styleId="29">
    <w:name w:val="Subtitle"/>
    <w:basedOn w:val="1"/>
    <w:next w:val="1"/>
    <w:link w:val="81"/>
    <w:qFormat/>
    <w:uiPriority w:val="0"/>
    <w:pPr>
      <w:spacing w:before="240" w:after="60" w:line="312" w:lineRule="auto"/>
      <w:jc w:val="center"/>
      <w:outlineLvl w:val="1"/>
    </w:pPr>
    <w:rPr>
      <w:rFonts w:asciiTheme="majorHAnsi" w:hAnsiTheme="majorHAnsi" w:cstheme="majorBidi"/>
      <w:b/>
      <w:bCs/>
      <w:kern w:val="28"/>
      <w:sz w:val="32"/>
      <w:szCs w:val="32"/>
    </w:rPr>
  </w:style>
  <w:style w:type="paragraph" w:styleId="30">
    <w:name w:val="List"/>
    <w:basedOn w:val="1"/>
    <w:qFormat/>
    <w:uiPriority w:val="0"/>
    <w:pPr>
      <w:ind w:left="200" w:hanging="200" w:hangingChars="200"/>
    </w:pPr>
    <w:rPr>
      <w:sz w:val="28"/>
    </w:rPr>
  </w:style>
  <w:style w:type="paragraph" w:styleId="31">
    <w:name w:val="footnote text"/>
    <w:basedOn w:val="1"/>
    <w:link w:val="79"/>
    <w:unhideWhenUsed/>
    <w:qFormat/>
    <w:uiPriority w:val="99"/>
    <w:pPr>
      <w:snapToGrid w:val="0"/>
      <w:jc w:val="left"/>
    </w:pPr>
    <w:rPr>
      <w:sz w:val="18"/>
      <w:szCs w:val="18"/>
    </w:rPr>
  </w:style>
  <w:style w:type="paragraph" w:styleId="32">
    <w:name w:val="Body Text Indent 3"/>
    <w:basedOn w:val="1"/>
    <w:qFormat/>
    <w:uiPriority w:val="0"/>
    <w:pPr>
      <w:snapToGrid w:val="0"/>
      <w:ind w:firstLine="480" w:firstLineChars="200"/>
      <w:jc w:val="left"/>
    </w:pPr>
    <w:rPr>
      <w:rFonts w:ascii="仿宋_GB2312" w:hAnsi="宋体" w:eastAsia="仿宋_GB2312"/>
      <w:color w:val="000000"/>
      <w:sz w:val="24"/>
    </w:rPr>
  </w:style>
  <w:style w:type="paragraph" w:styleId="33">
    <w:name w:val="toc 2"/>
    <w:basedOn w:val="1"/>
    <w:next w:val="1"/>
    <w:qFormat/>
    <w:uiPriority w:val="39"/>
    <w:pPr>
      <w:ind w:left="420" w:leftChars="200"/>
    </w:pPr>
  </w:style>
  <w:style w:type="paragraph" w:styleId="34">
    <w:name w:val="Body Text 2"/>
    <w:basedOn w:val="1"/>
    <w:qFormat/>
    <w:uiPriority w:val="0"/>
    <w:pPr>
      <w:widowControl/>
      <w:snapToGrid w:val="0"/>
      <w:spacing w:before="50" w:afterLines="50" w:line="400" w:lineRule="exact"/>
      <w:jc w:val="left"/>
    </w:pPr>
    <w:rPr>
      <w:rFonts w:ascii="宋体" w:hAnsi="宋体"/>
      <w:color w:val="000000"/>
      <w:sz w:val="24"/>
    </w:rPr>
  </w:style>
  <w:style w:type="paragraph" w:styleId="35">
    <w:name w:val="Normal (Web)"/>
    <w:basedOn w:val="1"/>
    <w:qFormat/>
    <w:uiPriority w:val="99"/>
    <w:pPr>
      <w:widowControl/>
      <w:spacing w:before="100" w:beforeAutospacing="1" w:after="100" w:afterAutospacing="1"/>
      <w:jc w:val="left"/>
    </w:pPr>
    <w:rPr>
      <w:rFonts w:ascii="宋体" w:hAnsi="宋体" w:cs="宋体"/>
      <w:kern w:val="0"/>
      <w:sz w:val="24"/>
    </w:rPr>
  </w:style>
  <w:style w:type="paragraph" w:styleId="36">
    <w:name w:val="Title"/>
    <w:basedOn w:val="1"/>
    <w:next w:val="1"/>
    <w:link w:val="68"/>
    <w:qFormat/>
    <w:uiPriority w:val="0"/>
    <w:pPr>
      <w:spacing w:before="240" w:after="60"/>
      <w:jc w:val="center"/>
      <w:outlineLvl w:val="0"/>
    </w:pPr>
    <w:rPr>
      <w:rFonts w:ascii="Cambria" w:hAnsi="Cambria" w:eastAsia="微软雅黑"/>
      <w:b/>
      <w:bCs/>
      <w:sz w:val="32"/>
      <w:szCs w:val="32"/>
    </w:rPr>
  </w:style>
  <w:style w:type="paragraph" w:styleId="37">
    <w:name w:val="annotation subject"/>
    <w:basedOn w:val="15"/>
    <w:next w:val="15"/>
    <w:link w:val="74"/>
    <w:qFormat/>
    <w:uiPriority w:val="0"/>
    <w:rPr>
      <w:b/>
      <w:bCs/>
    </w:rPr>
  </w:style>
  <w:style w:type="paragraph" w:styleId="38">
    <w:name w:val="Body Text First Indent"/>
    <w:basedOn w:val="17"/>
    <w:link w:val="70"/>
    <w:qFormat/>
    <w:uiPriority w:val="0"/>
    <w:pPr>
      <w:ind w:firstLine="420" w:firstLineChars="100"/>
    </w:pPr>
    <w:rPr>
      <w:sz w:val="21"/>
    </w:rPr>
  </w:style>
  <w:style w:type="character" w:styleId="41">
    <w:name w:val="Strong"/>
    <w:basedOn w:val="40"/>
    <w:qFormat/>
    <w:uiPriority w:val="22"/>
    <w:rPr>
      <w:b/>
      <w:bCs/>
    </w:rPr>
  </w:style>
  <w:style w:type="character" w:styleId="42">
    <w:name w:val="page number"/>
    <w:basedOn w:val="40"/>
    <w:qFormat/>
    <w:uiPriority w:val="0"/>
  </w:style>
  <w:style w:type="character" w:styleId="43">
    <w:name w:val="FollowedHyperlink"/>
    <w:qFormat/>
    <w:uiPriority w:val="0"/>
    <w:rPr>
      <w:color w:val="800080"/>
      <w:u w:val="single"/>
    </w:rPr>
  </w:style>
  <w:style w:type="character" w:styleId="44">
    <w:name w:val="Emphasis"/>
    <w:qFormat/>
    <w:uiPriority w:val="0"/>
    <w:rPr>
      <w:i/>
      <w:iCs/>
    </w:rPr>
  </w:style>
  <w:style w:type="character" w:styleId="45">
    <w:name w:val="Hyperlink"/>
    <w:qFormat/>
    <w:uiPriority w:val="0"/>
    <w:rPr>
      <w:color w:val="0000FF"/>
      <w:u w:val="single"/>
    </w:rPr>
  </w:style>
  <w:style w:type="character" w:styleId="46">
    <w:name w:val="annotation reference"/>
    <w:qFormat/>
    <w:uiPriority w:val="0"/>
    <w:rPr>
      <w:sz w:val="21"/>
      <w:szCs w:val="21"/>
    </w:rPr>
  </w:style>
  <w:style w:type="character" w:styleId="47">
    <w:name w:val="footnote reference"/>
    <w:unhideWhenUsed/>
    <w:qFormat/>
    <w:uiPriority w:val="99"/>
    <w:rPr>
      <w:vertAlign w:val="superscript"/>
    </w:rPr>
  </w:style>
  <w:style w:type="character" w:customStyle="1" w:styleId="48">
    <w:name w:val="标题 1 字符"/>
    <w:link w:val="2"/>
    <w:qFormat/>
    <w:uiPriority w:val="0"/>
    <w:rPr>
      <w:b/>
      <w:bCs/>
      <w:kern w:val="44"/>
      <w:sz w:val="44"/>
      <w:szCs w:val="44"/>
    </w:rPr>
  </w:style>
  <w:style w:type="character" w:customStyle="1" w:styleId="49">
    <w:name w:val="正文缩进 字符"/>
    <w:link w:val="5"/>
    <w:qFormat/>
    <w:uiPriority w:val="0"/>
    <w:rPr>
      <w:rFonts w:eastAsia="宋体"/>
      <w:kern w:val="2"/>
      <w:sz w:val="21"/>
      <w:lang w:bidi="ar-SA"/>
    </w:rPr>
  </w:style>
  <w:style w:type="character" w:customStyle="1" w:styleId="50">
    <w:name w:val="标题 3 字符"/>
    <w:link w:val="4"/>
    <w:qFormat/>
    <w:uiPriority w:val="0"/>
    <w:rPr>
      <w:rFonts w:ascii="仿宋_GB2312" w:hAnsi="仿宋_GB2312" w:eastAsia="微软雅黑"/>
      <w:b/>
      <w:bCs/>
      <w:kern w:val="2"/>
      <w:sz w:val="21"/>
    </w:rPr>
  </w:style>
  <w:style w:type="character" w:customStyle="1" w:styleId="51">
    <w:name w:val="页脚 字符"/>
    <w:link w:val="26"/>
    <w:qFormat/>
    <w:uiPriority w:val="99"/>
    <w:rPr>
      <w:rFonts w:eastAsia="黑体"/>
      <w:snapToGrid w:val="0"/>
      <w:sz w:val="18"/>
      <w:szCs w:val="18"/>
      <w:lang w:bidi="ar-SA"/>
    </w:rPr>
  </w:style>
  <w:style w:type="paragraph" w:customStyle="1" w:styleId="52">
    <w:name w:val="f1"/>
    <w:basedOn w:val="1"/>
    <w:qFormat/>
    <w:uiPriority w:val="0"/>
    <w:pPr>
      <w:widowControl/>
      <w:spacing w:before="100" w:beforeAutospacing="1" w:after="100" w:afterAutospacing="1"/>
      <w:jc w:val="center"/>
    </w:pPr>
    <w:rPr>
      <w:rFonts w:ascii="Helvetica" w:hAnsi="Helvetica" w:cs="Helvetica"/>
      <w:b/>
      <w:bCs/>
      <w:color w:val="FF8080"/>
      <w:spacing w:val="160"/>
      <w:kern w:val="0"/>
      <w:sz w:val="80"/>
      <w:szCs w:val="80"/>
    </w:rPr>
  </w:style>
  <w:style w:type="character" w:customStyle="1" w:styleId="53">
    <w:name w:val="纯文本 字符"/>
    <w:link w:val="22"/>
    <w:qFormat/>
    <w:uiPriority w:val="0"/>
    <w:rPr>
      <w:rFonts w:ascii="宋体" w:hAnsi="Courier New" w:eastAsia="宋体"/>
      <w:kern w:val="2"/>
      <w:sz w:val="24"/>
      <w:szCs w:val="24"/>
      <w:lang w:val="en-US" w:eastAsia="zh-CN" w:bidi="ar-SA"/>
    </w:rPr>
  </w:style>
  <w:style w:type="paragraph" w:customStyle="1" w:styleId="54">
    <w:name w:val="正文段"/>
    <w:basedOn w:val="1"/>
    <w:qFormat/>
    <w:uiPriority w:val="0"/>
    <w:pPr>
      <w:widowControl/>
      <w:snapToGrid w:val="0"/>
      <w:spacing w:afterLines="50"/>
      <w:ind w:firstLine="200" w:firstLineChars="200"/>
    </w:pPr>
    <w:rPr>
      <w:kern w:val="0"/>
      <w:sz w:val="24"/>
      <w:szCs w:val="20"/>
    </w:rPr>
  </w:style>
  <w:style w:type="paragraph" w:customStyle="1" w:styleId="55">
    <w:name w:val="默认段落字体 Para Char Char Char Char Char Char Char Char Char1 Char Char Char Char"/>
    <w:basedOn w:val="1"/>
    <w:qFormat/>
    <w:uiPriority w:val="0"/>
    <w:rPr>
      <w:rFonts w:ascii="Tahoma" w:hAnsi="Tahoma"/>
      <w:sz w:val="24"/>
      <w:szCs w:val="20"/>
    </w:rPr>
  </w:style>
  <w:style w:type="character" w:customStyle="1" w:styleId="56">
    <w:name w:val="正文文本缩进 字符"/>
    <w:link w:val="18"/>
    <w:qFormat/>
    <w:uiPriority w:val="0"/>
    <w:rPr>
      <w:rFonts w:ascii="宋体" w:hAnsi="Courier New" w:eastAsia="宋体"/>
      <w:spacing w:val="-4"/>
      <w:kern w:val="2"/>
      <w:sz w:val="18"/>
      <w:lang w:bidi="ar-SA"/>
    </w:rPr>
  </w:style>
  <w:style w:type="character" w:customStyle="1" w:styleId="57">
    <w:name w:val="正文文本 字符"/>
    <w:link w:val="17"/>
    <w:qFormat/>
    <w:uiPriority w:val="0"/>
    <w:rPr>
      <w:rFonts w:eastAsia="宋体"/>
      <w:kern w:val="2"/>
      <w:sz w:val="28"/>
      <w:szCs w:val="24"/>
      <w:lang w:bidi="ar-SA"/>
    </w:rPr>
  </w:style>
  <w:style w:type="paragraph" w:customStyle="1" w:styleId="58">
    <w:name w:val="表内文字"/>
    <w:basedOn w:val="1"/>
    <w:qFormat/>
    <w:uiPriority w:val="0"/>
    <w:pPr>
      <w:tabs>
        <w:tab w:val="left" w:pos="1418"/>
      </w:tabs>
      <w:spacing w:line="360" w:lineRule="auto"/>
      <w:jc w:val="center"/>
    </w:pPr>
    <w:rPr>
      <w:rFonts w:ascii="仿宋_GB2312" w:eastAsia="仿宋_GB2312"/>
      <w:spacing w:val="-20"/>
      <w:kern w:val="0"/>
      <w:sz w:val="24"/>
    </w:rPr>
  </w:style>
  <w:style w:type="character" w:customStyle="1" w:styleId="59">
    <w:name w:val="页眉 字符"/>
    <w:link w:val="27"/>
    <w:qFormat/>
    <w:uiPriority w:val="99"/>
    <w:rPr>
      <w:rFonts w:eastAsia="仿宋_GB2312"/>
      <w:kern w:val="2"/>
      <w:sz w:val="18"/>
      <w:lang w:bidi="ar-SA"/>
    </w:rPr>
  </w:style>
  <w:style w:type="paragraph" w:customStyle="1" w:styleId="60">
    <w:name w:val="默认段落字体 Para Char Char Char Char"/>
    <w:basedOn w:val="1"/>
    <w:qFormat/>
    <w:uiPriority w:val="0"/>
    <w:rPr>
      <w:rFonts w:ascii="Arial" w:hAnsi="Arial" w:cs="Arial"/>
      <w:szCs w:val="21"/>
    </w:rPr>
  </w:style>
  <w:style w:type="paragraph" w:customStyle="1" w:styleId="61">
    <w:name w:val="1 Char Char Char Char"/>
    <w:basedOn w:val="1"/>
    <w:qFormat/>
    <w:uiPriority w:val="0"/>
    <w:rPr>
      <w:rFonts w:ascii="Tahoma" w:hAnsi="Tahoma"/>
      <w:sz w:val="24"/>
      <w:szCs w:val="20"/>
    </w:rPr>
  </w:style>
  <w:style w:type="paragraph" w:customStyle="1" w:styleId="62">
    <w:name w:val="列表段落1"/>
    <w:basedOn w:val="1"/>
    <w:qFormat/>
    <w:uiPriority w:val="0"/>
    <w:pPr>
      <w:ind w:firstLine="420" w:firstLineChars="200"/>
    </w:pPr>
    <w:rPr>
      <w:rFonts w:ascii="Calibri" w:hAnsi="Calibri"/>
      <w:szCs w:val="22"/>
    </w:rPr>
  </w:style>
  <w:style w:type="paragraph" w:customStyle="1" w:styleId="63">
    <w:name w:val="正文2"/>
    <w:basedOn w:val="1"/>
    <w:qFormat/>
    <w:uiPriority w:val="0"/>
    <w:pPr>
      <w:spacing w:before="156" w:line="360" w:lineRule="auto"/>
      <w:ind w:firstLine="510" w:firstLineChars="200"/>
    </w:pPr>
    <w:rPr>
      <w:sz w:val="24"/>
      <w:szCs w:val="20"/>
    </w:rPr>
  </w:style>
  <w:style w:type="paragraph" w:customStyle="1" w:styleId="64">
    <w:name w:val="默认段落字体 Para Char Char Char Char Char Char Char Char Char Char Char Char Char"/>
    <w:basedOn w:val="14"/>
    <w:qFormat/>
    <w:uiPriority w:val="0"/>
    <w:rPr>
      <w:rFonts w:ascii="Tahoma" w:hAnsi="Tahoma" w:cs="Tahoma"/>
      <w:sz w:val="24"/>
    </w:rPr>
  </w:style>
  <w:style w:type="paragraph" w:customStyle="1" w:styleId="65">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66">
    <w:name w:val="样式 表格正文 + 两端对齐"/>
    <w:basedOn w:val="1"/>
    <w:qFormat/>
    <w:uiPriority w:val="0"/>
    <w:pPr>
      <w:spacing w:line="300" w:lineRule="auto"/>
    </w:pPr>
    <w:rPr>
      <w:sz w:val="24"/>
      <w:szCs w:val="20"/>
    </w:rPr>
  </w:style>
  <w:style w:type="paragraph" w:customStyle="1" w:styleId="67">
    <w:name w:val="此正文"/>
    <w:basedOn w:val="1"/>
    <w:qFormat/>
    <w:uiPriority w:val="0"/>
    <w:pPr>
      <w:spacing w:line="360" w:lineRule="auto"/>
      <w:ind w:firstLine="200" w:firstLineChars="200"/>
    </w:pPr>
    <w:rPr>
      <w:sz w:val="24"/>
      <w:szCs w:val="20"/>
    </w:rPr>
  </w:style>
  <w:style w:type="character" w:customStyle="1" w:styleId="68">
    <w:name w:val="标题 字符"/>
    <w:link w:val="36"/>
    <w:qFormat/>
    <w:uiPriority w:val="0"/>
    <w:rPr>
      <w:rFonts w:ascii="Cambria" w:hAnsi="Cambria" w:eastAsia="微软雅黑"/>
      <w:b/>
      <w:bCs/>
      <w:kern w:val="2"/>
      <w:sz w:val="32"/>
      <w:szCs w:val="32"/>
    </w:rPr>
  </w:style>
  <w:style w:type="paragraph" w:customStyle="1" w:styleId="69">
    <w:name w:val="tabletext"/>
    <w:basedOn w:val="1"/>
    <w:qFormat/>
    <w:uiPriority w:val="0"/>
    <w:pPr>
      <w:widowControl/>
      <w:spacing w:before="100" w:beforeAutospacing="1" w:after="100" w:afterAutospacing="1"/>
      <w:jc w:val="left"/>
    </w:pPr>
    <w:rPr>
      <w:rFonts w:ascii="宋体" w:hAnsi="宋体" w:cs="宋体"/>
      <w:kern w:val="0"/>
      <w:sz w:val="24"/>
      <w:lang w:eastAsia="en-US" w:bidi="en-US"/>
    </w:rPr>
  </w:style>
  <w:style w:type="character" w:customStyle="1" w:styleId="70">
    <w:name w:val="正文文本首行缩进 字符"/>
    <w:link w:val="38"/>
    <w:qFormat/>
    <w:uiPriority w:val="0"/>
    <w:rPr>
      <w:rFonts w:eastAsia="宋体"/>
      <w:kern w:val="2"/>
      <w:sz w:val="21"/>
      <w:szCs w:val="24"/>
      <w:lang w:bidi="ar-SA"/>
    </w:rPr>
  </w:style>
  <w:style w:type="paragraph" w:customStyle="1" w:styleId="71">
    <w:name w:val="Char Char Char Char"/>
    <w:basedOn w:val="1"/>
    <w:qFormat/>
    <w:uiPriority w:val="0"/>
    <w:pPr>
      <w:widowControl/>
      <w:spacing w:line="400" w:lineRule="exact"/>
      <w:outlineLvl w:val="1"/>
    </w:pPr>
    <w:rPr>
      <w:rFonts w:ascii="Verdana" w:hAnsi="Verdana"/>
      <w:b/>
      <w:kern w:val="0"/>
      <w:sz w:val="24"/>
      <w:lang w:eastAsia="en-US"/>
    </w:rPr>
  </w:style>
  <w:style w:type="character" w:customStyle="1" w:styleId="72">
    <w:name w:val="15"/>
    <w:qFormat/>
    <w:uiPriority w:val="0"/>
    <w:rPr>
      <w:rFonts w:ascii="Verdana" w:hAnsi="Verdana" w:cs="Times New Roman"/>
      <w:color w:val="C90000"/>
      <w:sz w:val="18"/>
    </w:rPr>
  </w:style>
  <w:style w:type="character" w:customStyle="1" w:styleId="73">
    <w:name w:val="批注文字 字符"/>
    <w:link w:val="15"/>
    <w:qFormat/>
    <w:uiPriority w:val="0"/>
    <w:rPr>
      <w:rFonts w:eastAsia="宋体"/>
      <w:kern w:val="2"/>
      <w:sz w:val="21"/>
      <w:szCs w:val="24"/>
      <w:lang w:val="en-US" w:eastAsia="zh-CN" w:bidi="ar-SA"/>
    </w:rPr>
  </w:style>
  <w:style w:type="character" w:customStyle="1" w:styleId="74">
    <w:name w:val="批注主题 字符"/>
    <w:link w:val="37"/>
    <w:qFormat/>
    <w:uiPriority w:val="0"/>
    <w:rPr>
      <w:rFonts w:eastAsia="宋体"/>
      <w:b/>
      <w:bCs/>
      <w:kern w:val="2"/>
      <w:sz w:val="21"/>
      <w:szCs w:val="24"/>
      <w:lang w:val="en-US" w:eastAsia="zh-CN" w:bidi="ar-SA"/>
    </w:rPr>
  </w:style>
  <w:style w:type="paragraph" w:customStyle="1" w:styleId="75">
    <w:name w:val="正文－恩普"/>
    <w:basedOn w:val="5"/>
    <w:qFormat/>
    <w:uiPriority w:val="0"/>
    <w:pPr>
      <w:widowControl/>
      <w:spacing w:afterLines="50" w:line="360" w:lineRule="auto"/>
      <w:ind w:firstLine="480" w:firstLineChars="200"/>
      <w:jc w:val="left"/>
    </w:pPr>
    <w:rPr>
      <w:kern w:val="0"/>
      <w:sz w:val="24"/>
    </w:rPr>
  </w:style>
  <w:style w:type="paragraph" w:customStyle="1" w:styleId="76">
    <w:name w:val="Char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77">
    <w:name w:val="Char Char Char Char Char Char Char"/>
    <w:basedOn w:val="1"/>
    <w:qFormat/>
    <w:uiPriority w:val="0"/>
    <w:rPr>
      <w:szCs w:val="21"/>
    </w:rPr>
  </w:style>
  <w:style w:type="character" w:customStyle="1" w:styleId="78">
    <w:name w:val="批注框文本 字符"/>
    <w:link w:val="25"/>
    <w:qFormat/>
    <w:uiPriority w:val="0"/>
    <w:rPr>
      <w:kern w:val="2"/>
      <w:sz w:val="18"/>
      <w:szCs w:val="18"/>
    </w:rPr>
  </w:style>
  <w:style w:type="character" w:customStyle="1" w:styleId="79">
    <w:name w:val="脚注文本 字符"/>
    <w:basedOn w:val="40"/>
    <w:link w:val="31"/>
    <w:qFormat/>
    <w:uiPriority w:val="99"/>
    <w:rPr>
      <w:kern w:val="2"/>
      <w:sz w:val="18"/>
      <w:szCs w:val="18"/>
    </w:rPr>
  </w:style>
  <w:style w:type="paragraph" w:customStyle="1" w:styleId="80">
    <w:name w:val="TOC 标题1"/>
    <w:basedOn w:val="2"/>
    <w:next w:val="1"/>
    <w:unhideWhenUsed/>
    <w:qFormat/>
    <w:uiPriority w:val="39"/>
    <w:pPr>
      <w:widowControl/>
      <w:spacing w:before="480" w:after="0" w:line="276" w:lineRule="auto"/>
      <w:jc w:val="left"/>
      <w:outlineLvl w:val="9"/>
    </w:pPr>
    <w:rPr>
      <w:rFonts w:asciiTheme="majorHAnsi" w:hAnsiTheme="majorHAnsi" w:eastAsiaTheme="majorEastAsia" w:cstheme="majorBidi"/>
      <w:color w:val="376092" w:themeColor="accent1" w:themeShade="BF"/>
      <w:kern w:val="0"/>
      <w:sz w:val="28"/>
      <w:szCs w:val="28"/>
    </w:rPr>
  </w:style>
  <w:style w:type="character" w:customStyle="1" w:styleId="81">
    <w:name w:val="副标题 字符"/>
    <w:basedOn w:val="40"/>
    <w:link w:val="29"/>
    <w:qFormat/>
    <w:uiPriority w:val="0"/>
    <w:rPr>
      <w:rFonts w:asciiTheme="majorHAnsi" w:hAnsiTheme="majorHAnsi" w:cstheme="majorBidi"/>
      <w:b/>
      <w:bCs/>
      <w:kern w:val="28"/>
      <w:sz w:val="32"/>
      <w:szCs w:val="32"/>
    </w:rPr>
  </w:style>
  <w:style w:type="character" w:customStyle="1" w:styleId="82">
    <w:name w:val="页脚 Char"/>
    <w:qFormat/>
    <w:locked/>
    <w:uiPriority w:val="99"/>
    <w:rPr>
      <w:rFonts w:eastAsia="黑体"/>
      <w:snapToGrid w:val="0"/>
      <w:sz w:val="18"/>
      <w:szCs w:val="18"/>
    </w:rPr>
  </w:style>
  <w:style w:type="character" w:customStyle="1" w:styleId="83">
    <w:name w:val="页眉 Char"/>
    <w:qFormat/>
    <w:uiPriority w:val="99"/>
    <w:rPr>
      <w:rFonts w:eastAsia="仿宋_GB2312"/>
      <w:kern w:val="2"/>
      <w:sz w:val="18"/>
    </w:rPr>
  </w:style>
  <w:style w:type="paragraph" w:customStyle="1" w:styleId="84">
    <w:name w:val="TOC 标题2"/>
    <w:basedOn w:val="2"/>
    <w:next w:val="1"/>
    <w:unhideWhenUsed/>
    <w:qFormat/>
    <w:uiPriority w:val="39"/>
    <w:pPr>
      <w:widowControl/>
      <w:spacing w:before="480" w:after="0" w:line="276" w:lineRule="auto"/>
      <w:jc w:val="left"/>
      <w:outlineLvl w:val="9"/>
    </w:pPr>
    <w:rPr>
      <w:rFonts w:asciiTheme="majorHAnsi" w:hAnsiTheme="majorHAnsi" w:eastAsiaTheme="majorEastAsia" w:cstheme="majorBidi"/>
      <w:color w:val="376092" w:themeColor="accent1" w:themeShade="BF"/>
      <w:kern w:val="0"/>
      <w:sz w:val="28"/>
      <w:szCs w:val="28"/>
    </w:rPr>
  </w:style>
  <w:style w:type="paragraph" w:customStyle="1" w:styleId="85">
    <w:name w:val="_Style 3"/>
    <w:qFormat/>
    <w:uiPriority w:val="1"/>
    <w:pPr>
      <w:widowControl w:val="0"/>
      <w:jc w:val="both"/>
    </w:pPr>
    <w:rPr>
      <w:rFonts w:ascii="Times New Roman" w:hAnsi="Times New Roman" w:eastAsia="宋体" w:cs="Times New Roman"/>
      <w:kern w:val="2"/>
      <w:sz w:val="21"/>
      <w:szCs w:val="22"/>
      <w:lang w:val="en-US" w:eastAsia="zh-CN" w:bidi="ar-SA"/>
    </w:rPr>
  </w:style>
  <w:style w:type="paragraph" w:customStyle="1" w:styleId="86">
    <w:name w:val="WPSOffice手动目录 1"/>
    <w:qFormat/>
    <w:uiPriority w:val="0"/>
    <w:rPr>
      <w:rFonts w:ascii="Times New Roman" w:hAnsi="Times New Roman" w:eastAsia="宋体" w:cs="Times New Roman"/>
      <w:lang w:val="en-US" w:eastAsia="zh-CN" w:bidi="ar-SA"/>
    </w:rPr>
  </w:style>
  <w:style w:type="paragraph" w:customStyle="1" w:styleId="87">
    <w:name w:val="TOC 标题3"/>
    <w:basedOn w:val="2"/>
    <w:next w:val="1"/>
    <w:unhideWhenUsed/>
    <w:qFormat/>
    <w:uiPriority w:val="39"/>
    <w:pPr>
      <w:widowControl/>
      <w:numPr>
        <w:numId w:val="0"/>
      </w:numPr>
      <w:spacing w:before="480" w:after="0" w:line="276" w:lineRule="auto"/>
      <w:jc w:val="left"/>
      <w:outlineLvl w:val="9"/>
    </w:pPr>
    <w:rPr>
      <w:rFonts w:asciiTheme="majorHAnsi" w:hAnsiTheme="majorHAnsi" w:eastAsiaTheme="majorEastAsia" w:cstheme="majorBidi"/>
      <w:color w:val="376092" w:themeColor="accent1" w:themeShade="BF"/>
      <w:kern w:val="0"/>
      <w:sz w:val="28"/>
      <w:szCs w:val="28"/>
    </w:rPr>
  </w:style>
  <w:style w:type="paragraph" w:customStyle="1" w:styleId="88">
    <w:name w:val="List Paragraph"/>
    <w:basedOn w:val="1"/>
    <w:unhideWhenUsed/>
    <w:qFormat/>
    <w:uiPriority w:val="99"/>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4.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Company>Microsoft</Company>
  <Pages>28</Pages>
  <Words>13414</Words>
  <Characters>14300</Characters>
  <Lines>116</Lines>
  <Paragraphs>32</Paragraphs>
  <TotalTime>30</TotalTime>
  <ScaleCrop>false</ScaleCrop>
  <LinksUpToDate>false</LinksUpToDate>
  <CharactersWithSpaces>14789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2019-10-11T14:43:00Z</dcterms:created>
  <dc:creator>WinXP</dc:creator>
  <cp:lastModifiedBy>章大莉</cp:lastModifiedBy>
  <cp:lastPrinted>2025-02-18T10:16:00Z</cp:lastPrinted>
  <dcterms:modified xsi:type="dcterms:W3CDTF">2025-03-31T03:45:36Z</dcterms:modified>
  <dc:title>2016年（第一期）嘉兴市本级公共资金</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D63460BF73AF4F18BC1A50CC93B5A9BF_13</vt:lpwstr>
  </property>
  <property fmtid="{D5CDD505-2E9C-101B-9397-08002B2CF9AE}" pid="4" name="KSOTemplateDocerSaveRecord">
    <vt:lpwstr>eyJoZGlkIjoiMTJlMTYyNTAxYWM3MWI0NzliODIyODNmMjdmN2NhNGEiLCJ1c2VySWQiOiIxMjkzODA4MDU5In0=</vt:lpwstr>
  </property>
</Properties>
</file>