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20CB89">
      <w:pPr>
        <w:tabs>
          <w:tab w:val="left" w:pos="3449"/>
        </w:tabs>
        <w:spacing w:line="360" w:lineRule="auto"/>
        <w:rPr>
          <w:rFonts w:hint="eastAsia" w:ascii="微软雅黑" w:hAnsi="微软雅黑" w:eastAsia="微软雅黑" w:cs="微软雅黑"/>
          <w:b/>
          <w:color w:val="auto"/>
          <w:sz w:val="36"/>
          <w:szCs w:val="36"/>
          <w:highlight w:val="none"/>
        </w:rPr>
      </w:pPr>
    </w:p>
    <w:p w14:paraId="182D02F1">
      <w:pPr>
        <w:pStyle w:val="85"/>
        <w:jc w:val="center"/>
        <w:rPr>
          <w:rFonts w:hint="eastAsia" w:ascii="方正粗黑宋简体" w:hAnsi="方正粗黑宋简体" w:eastAsia="方正粗黑宋简体"/>
          <w:b/>
          <w:bCs/>
          <w:color w:val="auto"/>
          <w:sz w:val="72"/>
          <w:szCs w:val="72"/>
          <w:highlight w:val="none"/>
        </w:rPr>
      </w:pPr>
      <w:r>
        <w:rPr>
          <w:rFonts w:hint="eastAsia" w:ascii="方正粗黑宋简体" w:hAnsi="方正粗黑宋简体" w:eastAsia="方正粗黑宋简体"/>
          <w:b/>
          <w:bCs/>
          <w:color w:val="auto"/>
          <w:sz w:val="72"/>
          <w:szCs w:val="72"/>
          <w:highlight w:val="none"/>
        </w:rPr>
        <w:t>公 开 招 标 采 购 文 件</w:t>
      </w:r>
    </w:p>
    <w:p w14:paraId="11D6858F">
      <w:pPr>
        <w:pStyle w:val="85"/>
        <w:jc w:val="center"/>
        <w:rPr>
          <w:rFonts w:hint="eastAsia" w:ascii="方正粗黑宋简体" w:hAnsi="方正粗黑宋简体" w:eastAsia="方正粗黑宋简体"/>
          <w:color w:val="auto"/>
          <w:sz w:val="52"/>
          <w:szCs w:val="52"/>
          <w:highlight w:val="none"/>
        </w:rPr>
      </w:pPr>
    </w:p>
    <w:p w14:paraId="6DCE86A7">
      <w:pPr>
        <w:pStyle w:val="85"/>
        <w:rPr>
          <w:color w:val="auto"/>
          <w:highlight w:val="none"/>
        </w:rPr>
      </w:pPr>
    </w:p>
    <w:p w14:paraId="2710AE5A">
      <w:pPr>
        <w:spacing w:line="360" w:lineRule="auto"/>
        <w:ind w:left="120" w:leftChars="-337" w:right="-804" w:rightChars="-383" w:hanging="828" w:hangingChars="230"/>
        <w:jc w:val="center"/>
        <w:rPr>
          <w:rFonts w:hint="eastAsia" w:ascii="微软雅黑" w:hAnsi="微软雅黑" w:eastAsia="微软雅黑"/>
          <w:b/>
          <w:bCs/>
          <w:color w:val="auto"/>
          <w:sz w:val="36"/>
          <w:szCs w:val="36"/>
          <w:highlight w:val="none"/>
        </w:rPr>
      </w:pPr>
      <w:r>
        <w:rPr>
          <w:rFonts w:ascii="微软雅黑" w:hAnsi="微软雅黑" w:eastAsia="微软雅黑"/>
          <w:b/>
          <w:color w:val="auto"/>
          <w:sz w:val="36"/>
          <w:szCs w:val="36"/>
          <w:highlight w:val="none"/>
        </w:rPr>
        <w:drawing>
          <wp:inline distT="0" distB="0" distL="0" distR="0">
            <wp:extent cx="2095500" cy="2000250"/>
            <wp:effectExtent l="19050" t="0" r="0" b="0"/>
            <wp:docPr id="1" name="图片 1" descr="C:\Users\ADMINI~1\AppData\Local\Temp\16394511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1\AppData\Local\Temp\1639451168.jpg"/>
                    <pic:cNvPicPr>
                      <a:picLocks noChangeAspect="1" noChangeArrowheads="1"/>
                    </pic:cNvPicPr>
                  </pic:nvPicPr>
                  <pic:blipFill>
                    <a:blip r:embed="rId10"/>
                    <a:srcRect/>
                    <a:stretch>
                      <a:fillRect/>
                    </a:stretch>
                  </pic:blipFill>
                  <pic:spPr>
                    <a:xfrm>
                      <a:off x="0" y="0"/>
                      <a:ext cx="2095500" cy="2000250"/>
                    </a:xfrm>
                    <a:prstGeom prst="rect">
                      <a:avLst/>
                    </a:prstGeom>
                    <a:noFill/>
                    <a:ln w="9525" cmpd="sng">
                      <a:noFill/>
                      <a:miter lim="800000"/>
                      <a:headEnd/>
                      <a:tailEnd/>
                    </a:ln>
                    <a:effectLst/>
                  </pic:spPr>
                </pic:pic>
              </a:graphicData>
            </a:graphic>
          </wp:inline>
        </w:drawing>
      </w:r>
    </w:p>
    <w:p w14:paraId="45FD8BEF">
      <w:pPr>
        <w:pStyle w:val="22"/>
        <w:pBdr>
          <w:bottom w:val="thinThickThinMediumGap" w:color="auto" w:sz="18" w:space="1"/>
        </w:pBdr>
        <w:spacing w:before="156" w:after="156"/>
        <w:jc w:val="distribute"/>
        <w:rPr>
          <w:rFonts w:hint="eastAsia" w:ascii="微软雅黑" w:hAnsi="微软雅黑" w:eastAsia="微软雅黑"/>
          <w:b/>
          <w:bCs/>
          <w:color w:val="auto"/>
          <w:w w:val="95"/>
          <w:sz w:val="28"/>
          <w:szCs w:val="28"/>
          <w:highlight w:val="none"/>
        </w:rPr>
      </w:pPr>
    </w:p>
    <w:p w14:paraId="2AEE367A">
      <w:pPr>
        <w:pStyle w:val="22"/>
        <w:pBdr>
          <w:bottom w:val="thinThickThinMediumGap" w:color="auto" w:sz="18" w:space="1"/>
        </w:pBdr>
        <w:spacing w:before="156" w:after="156"/>
        <w:jc w:val="distribute"/>
        <w:rPr>
          <w:rFonts w:hint="eastAsia" w:ascii="微软雅黑" w:hAnsi="微软雅黑" w:eastAsia="微软雅黑"/>
          <w:b/>
          <w:bCs/>
          <w:color w:val="auto"/>
          <w:w w:val="95"/>
          <w:sz w:val="28"/>
          <w:szCs w:val="28"/>
          <w:highlight w:val="none"/>
        </w:rPr>
      </w:pPr>
      <w:r>
        <w:rPr>
          <w:rFonts w:hint="eastAsia" w:ascii="微软雅黑" w:hAnsi="微软雅黑" w:eastAsia="微软雅黑"/>
          <w:b/>
          <w:bCs/>
          <w:color w:val="auto"/>
          <w:w w:val="95"/>
          <w:sz w:val="28"/>
          <w:szCs w:val="28"/>
          <w:highlight w:val="none"/>
        </w:rPr>
        <w:t>嘉兴市千秋工程咨询有限公司</w:t>
      </w:r>
    </w:p>
    <w:p w14:paraId="0FACBA51">
      <w:pPr>
        <w:pStyle w:val="22"/>
        <w:pBdr>
          <w:bottom w:val="thinThickThinMediumGap" w:color="auto" w:sz="18" w:space="1"/>
        </w:pBdr>
        <w:spacing w:before="156" w:after="156"/>
        <w:jc w:val="distribute"/>
        <w:rPr>
          <w:rFonts w:hint="eastAsia" w:ascii="微软雅黑" w:hAnsi="微软雅黑" w:eastAsia="微软雅黑"/>
          <w:b/>
          <w:bCs/>
          <w:color w:val="auto"/>
          <w:w w:val="95"/>
          <w:sz w:val="28"/>
          <w:szCs w:val="28"/>
          <w:highlight w:val="none"/>
        </w:rPr>
      </w:pPr>
      <w:r>
        <w:rPr>
          <w:rFonts w:hint="eastAsia" w:ascii="微软雅黑" w:hAnsi="微软雅黑" w:eastAsia="微软雅黑"/>
          <w:b/>
          <w:bCs/>
          <w:color w:val="auto"/>
          <w:w w:val="95"/>
          <w:sz w:val="28"/>
          <w:szCs w:val="28"/>
          <w:highlight w:val="none"/>
        </w:rPr>
        <w:t>Jiaxing Qianqiu Engineering Consulting Co., Ltd</w:t>
      </w:r>
    </w:p>
    <w:p w14:paraId="707480A7">
      <w:pPr>
        <w:pStyle w:val="22"/>
        <w:spacing w:before="156" w:after="156" w:line="240" w:lineRule="exact"/>
        <w:jc w:val="left"/>
        <w:rPr>
          <w:rFonts w:hint="eastAsia" w:ascii="微软雅黑" w:hAnsi="微软雅黑" w:eastAsia="微软雅黑"/>
          <w:bCs/>
          <w:color w:val="auto"/>
          <w:w w:val="95"/>
          <w:sz w:val="28"/>
          <w:szCs w:val="28"/>
          <w:highlight w:val="none"/>
        </w:rPr>
      </w:pPr>
    </w:p>
    <w:p w14:paraId="40786E98">
      <w:pPr>
        <w:pStyle w:val="22"/>
        <w:spacing w:before="156" w:after="156" w:line="360" w:lineRule="auto"/>
        <w:jc w:val="left"/>
        <w:rPr>
          <w:rFonts w:hint="eastAsia" w:ascii="微软雅黑" w:hAnsi="微软雅黑" w:eastAsia="微软雅黑"/>
          <w:bCs/>
          <w:color w:val="auto"/>
          <w:w w:val="95"/>
          <w:sz w:val="28"/>
          <w:szCs w:val="28"/>
          <w:highlight w:val="none"/>
        </w:rPr>
      </w:pPr>
      <w:r>
        <w:rPr>
          <w:rFonts w:hint="eastAsia" w:ascii="微软雅黑" w:hAnsi="微软雅黑" w:eastAsia="微软雅黑"/>
          <w:bCs/>
          <w:color w:val="auto"/>
          <w:w w:val="95"/>
          <w:sz w:val="28"/>
          <w:szCs w:val="28"/>
          <w:highlight w:val="none"/>
        </w:rPr>
        <w:t>项目名称：</w:t>
      </w:r>
      <w:r>
        <w:rPr>
          <w:rFonts w:hint="eastAsia" w:ascii="微软雅黑" w:hAnsi="微软雅黑" w:eastAsia="微软雅黑"/>
          <w:bCs/>
          <w:color w:val="auto"/>
          <w:w w:val="95"/>
          <w:sz w:val="28"/>
          <w:szCs w:val="28"/>
          <w:highlight w:val="none"/>
          <w:lang w:eastAsia="zh-CN"/>
        </w:rPr>
        <w:t>秀洲区2025年度第一期财政资金竞争性存放项目</w:t>
      </w:r>
    </w:p>
    <w:p w14:paraId="673794A8">
      <w:pPr>
        <w:pStyle w:val="22"/>
        <w:spacing w:before="156" w:after="156" w:line="360" w:lineRule="auto"/>
        <w:jc w:val="left"/>
        <w:rPr>
          <w:rFonts w:hint="eastAsia" w:ascii="微软雅黑" w:hAnsi="微软雅黑" w:eastAsia="微软雅黑"/>
          <w:bCs/>
          <w:color w:val="auto"/>
          <w:w w:val="95"/>
          <w:sz w:val="28"/>
          <w:szCs w:val="28"/>
          <w:highlight w:val="none"/>
          <w:lang w:eastAsia="zh-CN"/>
        </w:rPr>
      </w:pPr>
      <w:r>
        <w:rPr>
          <w:rFonts w:hint="eastAsia" w:ascii="微软雅黑" w:hAnsi="微软雅黑" w:eastAsia="微软雅黑"/>
          <w:bCs/>
          <w:color w:val="auto"/>
          <w:w w:val="95"/>
          <w:sz w:val="28"/>
          <w:szCs w:val="28"/>
          <w:highlight w:val="none"/>
        </w:rPr>
        <w:t>招标编号：</w:t>
      </w:r>
      <w:r>
        <w:rPr>
          <w:rFonts w:hint="eastAsia" w:ascii="微软雅黑" w:hAnsi="微软雅黑" w:eastAsia="微软雅黑"/>
          <w:bCs/>
          <w:color w:val="auto"/>
          <w:w w:val="95"/>
          <w:sz w:val="28"/>
          <w:szCs w:val="28"/>
          <w:highlight w:val="none"/>
          <w:lang w:eastAsia="zh-CN"/>
        </w:rPr>
        <w:t>千秋-XZCF（2025）第07号</w:t>
      </w:r>
    </w:p>
    <w:p w14:paraId="5A4EF042">
      <w:pPr>
        <w:pStyle w:val="22"/>
        <w:spacing w:before="156" w:after="156" w:line="360" w:lineRule="auto"/>
        <w:jc w:val="left"/>
        <w:rPr>
          <w:rFonts w:hint="eastAsia" w:ascii="微软雅黑" w:hAnsi="微软雅黑" w:eastAsia="微软雅黑"/>
          <w:bCs/>
          <w:color w:val="auto"/>
          <w:w w:val="95"/>
          <w:sz w:val="28"/>
          <w:szCs w:val="28"/>
          <w:highlight w:val="none"/>
          <w:lang w:eastAsia="zh-CN"/>
        </w:rPr>
      </w:pPr>
      <w:r>
        <w:rPr>
          <w:rFonts w:hint="eastAsia" w:ascii="微软雅黑" w:hAnsi="微软雅黑" w:eastAsia="微软雅黑"/>
          <w:bCs/>
          <w:color w:val="auto"/>
          <w:w w:val="95"/>
          <w:sz w:val="28"/>
          <w:szCs w:val="28"/>
          <w:highlight w:val="none"/>
        </w:rPr>
        <w:t>采购单位：</w:t>
      </w:r>
      <w:r>
        <w:rPr>
          <w:rFonts w:hint="eastAsia" w:ascii="微软雅黑" w:hAnsi="微软雅黑" w:eastAsia="微软雅黑"/>
          <w:bCs/>
          <w:color w:val="auto"/>
          <w:w w:val="95"/>
          <w:sz w:val="28"/>
          <w:szCs w:val="28"/>
          <w:highlight w:val="none"/>
          <w:lang w:eastAsia="zh-CN"/>
        </w:rPr>
        <w:t>嘉兴市秀洲区财政局</w:t>
      </w:r>
    </w:p>
    <w:p w14:paraId="2163FE27">
      <w:pPr>
        <w:pStyle w:val="22"/>
        <w:spacing w:before="156" w:after="156" w:line="360" w:lineRule="auto"/>
        <w:jc w:val="left"/>
        <w:rPr>
          <w:rFonts w:hint="eastAsia" w:ascii="微软雅黑" w:hAnsi="微软雅黑" w:eastAsia="微软雅黑"/>
          <w:bCs/>
          <w:color w:val="auto"/>
          <w:w w:val="95"/>
          <w:sz w:val="28"/>
          <w:szCs w:val="28"/>
          <w:highlight w:val="none"/>
        </w:rPr>
      </w:pPr>
      <w:r>
        <w:rPr>
          <w:rFonts w:hint="eastAsia" w:ascii="微软雅黑" w:hAnsi="微软雅黑" w:eastAsia="微软雅黑"/>
          <w:bCs/>
          <w:color w:val="auto"/>
          <w:w w:val="95"/>
          <w:sz w:val="28"/>
          <w:szCs w:val="28"/>
          <w:highlight w:val="none"/>
        </w:rPr>
        <w:t>代理机构：嘉兴市千秋工程咨询有限公司</w:t>
      </w:r>
    </w:p>
    <w:p w14:paraId="1419E068">
      <w:pPr>
        <w:pStyle w:val="22"/>
        <w:spacing w:before="156" w:after="156" w:line="360" w:lineRule="auto"/>
        <w:jc w:val="left"/>
        <w:rPr>
          <w:rFonts w:cstheme="majorBidi"/>
          <w:color w:val="auto"/>
          <w:kern w:val="28"/>
          <w:sz w:val="32"/>
          <w:szCs w:val="32"/>
          <w:highlight w:val="none"/>
        </w:rPr>
      </w:pPr>
      <w:bookmarkStart w:id="0" w:name="_Toc493511539"/>
      <w:bookmarkStart w:id="1" w:name="_Toc50012812"/>
      <w:bookmarkStart w:id="2" w:name="_Toc427915753"/>
      <w:r>
        <w:rPr>
          <w:rFonts w:hint="eastAsia" w:ascii="微软雅黑" w:hAnsi="微软雅黑" w:eastAsia="微软雅黑"/>
          <w:bCs/>
          <w:color w:val="auto"/>
          <w:w w:val="95"/>
          <w:sz w:val="28"/>
          <w:szCs w:val="28"/>
          <w:highlight w:val="none"/>
        </w:rPr>
        <w:t>日    期：202</w:t>
      </w:r>
      <w:r>
        <w:rPr>
          <w:rFonts w:hint="eastAsia" w:ascii="微软雅黑" w:hAnsi="微软雅黑" w:eastAsia="微软雅黑"/>
          <w:bCs/>
          <w:color w:val="auto"/>
          <w:w w:val="95"/>
          <w:sz w:val="28"/>
          <w:szCs w:val="28"/>
          <w:highlight w:val="none"/>
          <w:lang w:val="en-US" w:eastAsia="zh-CN"/>
        </w:rPr>
        <w:t>5</w:t>
      </w:r>
      <w:r>
        <w:rPr>
          <w:rFonts w:hint="eastAsia" w:ascii="微软雅黑" w:hAnsi="微软雅黑" w:eastAsia="微软雅黑"/>
          <w:bCs/>
          <w:color w:val="auto"/>
          <w:w w:val="95"/>
          <w:sz w:val="28"/>
          <w:szCs w:val="28"/>
          <w:highlight w:val="none"/>
        </w:rPr>
        <w:t>年</w:t>
      </w:r>
      <w:r>
        <w:rPr>
          <w:rFonts w:hint="eastAsia" w:ascii="微软雅黑" w:hAnsi="微软雅黑" w:eastAsia="微软雅黑"/>
          <w:bCs/>
          <w:color w:val="auto"/>
          <w:w w:val="95"/>
          <w:sz w:val="28"/>
          <w:szCs w:val="28"/>
          <w:highlight w:val="none"/>
          <w:lang w:val="en-US" w:eastAsia="zh-CN"/>
        </w:rPr>
        <w:t>03</w:t>
      </w:r>
      <w:r>
        <w:rPr>
          <w:rFonts w:hint="eastAsia" w:ascii="微软雅黑" w:hAnsi="微软雅黑" w:eastAsia="微软雅黑"/>
          <w:bCs/>
          <w:color w:val="auto"/>
          <w:w w:val="95"/>
          <w:sz w:val="28"/>
          <w:szCs w:val="28"/>
          <w:highlight w:val="none"/>
        </w:rPr>
        <w:t>月</w:t>
      </w:r>
      <w:r>
        <w:rPr>
          <w:rFonts w:hint="eastAsia" w:ascii="微软雅黑" w:hAnsi="微软雅黑" w:eastAsia="微软雅黑"/>
          <w:bCs/>
          <w:color w:val="auto"/>
          <w:w w:val="95"/>
          <w:sz w:val="28"/>
          <w:szCs w:val="28"/>
          <w:highlight w:val="none"/>
          <w:lang w:val="en-US" w:eastAsia="zh-CN"/>
        </w:rPr>
        <w:t>31</w:t>
      </w:r>
      <w:r>
        <w:rPr>
          <w:rFonts w:hint="eastAsia" w:ascii="微软雅黑" w:hAnsi="微软雅黑" w:eastAsia="微软雅黑"/>
          <w:bCs/>
          <w:color w:val="auto"/>
          <w:w w:val="95"/>
          <w:sz w:val="28"/>
          <w:szCs w:val="28"/>
          <w:highlight w:val="none"/>
        </w:rPr>
        <w:t>日</w:t>
      </w:r>
      <w:bookmarkEnd w:id="0"/>
      <w:bookmarkEnd w:id="1"/>
      <w:bookmarkEnd w:id="2"/>
    </w:p>
    <w:p w14:paraId="6E7BB645">
      <w:pPr>
        <w:rPr>
          <w:rFonts w:cstheme="majorBidi"/>
          <w:color w:val="auto"/>
          <w:kern w:val="28"/>
          <w:sz w:val="32"/>
          <w:szCs w:val="32"/>
          <w:highlight w:val="none"/>
        </w:rPr>
        <w:sectPr>
          <w:footerReference r:id="rId6" w:type="first"/>
          <w:headerReference r:id="rId3" w:type="default"/>
          <w:footerReference r:id="rId4" w:type="default"/>
          <w:footerReference r:id="rId5" w:type="even"/>
          <w:pgSz w:w="11907" w:h="16840"/>
          <w:pgMar w:top="1440" w:right="1797" w:bottom="1440" w:left="1797" w:header="851" w:footer="851" w:gutter="0"/>
          <w:pgNumType w:start="1"/>
          <w:cols w:space="425" w:num="1"/>
          <w:titlePg/>
          <w:docGrid w:type="lines" w:linePitch="312" w:charSpace="0"/>
        </w:sectPr>
      </w:pPr>
    </w:p>
    <w:p w14:paraId="2D2B74E3">
      <w:pPr>
        <w:rPr>
          <w:rFonts w:cstheme="majorBidi"/>
          <w:color w:val="auto"/>
          <w:kern w:val="28"/>
          <w:sz w:val="28"/>
          <w:szCs w:val="28"/>
          <w:highlight w:val="none"/>
        </w:rPr>
      </w:pPr>
    </w:p>
    <w:sdt>
      <w:sdtPr>
        <w:rPr>
          <w:rFonts w:ascii="Times New Roman" w:hAnsi="Times New Roman" w:eastAsia="宋体" w:cs="Times New Roman"/>
          <w:b w:val="0"/>
          <w:bCs w:val="0"/>
          <w:color w:val="auto"/>
          <w:kern w:val="2"/>
          <w:sz w:val="21"/>
          <w:szCs w:val="24"/>
          <w:highlight w:val="none"/>
          <w:lang w:val="zh-CN"/>
        </w:rPr>
        <w:id w:val="95592265"/>
        <w:docPartObj>
          <w:docPartGallery w:val="Table of Contents"/>
          <w:docPartUnique/>
        </w:docPartObj>
      </w:sdtPr>
      <w:sdtEndPr>
        <w:rPr>
          <w:rFonts w:ascii="Times New Roman" w:hAnsi="Times New Roman" w:eastAsia="宋体" w:cs="Times New Roman"/>
          <w:b w:val="0"/>
          <w:bCs w:val="0"/>
          <w:color w:val="auto"/>
          <w:kern w:val="2"/>
          <w:sz w:val="21"/>
          <w:szCs w:val="24"/>
          <w:highlight w:val="none"/>
          <w:lang w:val="en-US"/>
        </w:rPr>
      </w:sdtEndPr>
      <w:sdtContent>
        <w:p w14:paraId="772FF3C4">
          <w:pPr>
            <w:pStyle w:val="87"/>
            <w:jc w:val="center"/>
            <w:rPr>
              <w:color w:val="auto"/>
              <w:highlight w:val="none"/>
            </w:rPr>
          </w:pPr>
          <w:r>
            <w:rPr>
              <w:color w:val="auto"/>
              <w:highlight w:val="none"/>
              <w:lang w:val="zh-CN"/>
            </w:rPr>
            <w:t>目录</w:t>
          </w:r>
        </w:p>
        <w:p w14:paraId="05A7951A">
          <w:pPr>
            <w:pStyle w:val="28"/>
            <w:tabs>
              <w:tab w:val="right" w:leader="dot" w:pos="8303"/>
            </w:tabs>
            <w:spacing w:line="480" w:lineRule="auto"/>
            <w:rPr>
              <w:rFonts w:hint="eastAsia" w:ascii="微软雅黑" w:hAnsi="微软雅黑" w:eastAsia="微软雅黑" w:cstheme="minorBidi"/>
              <w:color w:val="auto"/>
              <w:szCs w:val="22"/>
              <w:highlight w:val="none"/>
            </w:rPr>
          </w:pPr>
          <w:r>
            <w:rPr>
              <w:rFonts w:ascii="微软雅黑" w:hAnsi="微软雅黑" w:eastAsia="微软雅黑"/>
              <w:color w:val="auto"/>
              <w:highlight w:val="none"/>
            </w:rPr>
            <w:fldChar w:fldCharType="begin"/>
          </w:r>
          <w:r>
            <w:rPr>
              <w:rFonts w:ascii="微软雅黑" w:hAnsi="微软雅黑" w:eastAsia="微软雅黑"/>
              <w:color w:val="auto"/>
              <w:highlight w:val="none"/>
            </w:rPr>
            <w:instrText xml:space="preserve"> TOC \o "1-3" \h \z \u </w:instrText>
          </w:r>
          <w:r>
            <w:rPr>
              <w:rFonts w:ascii="微软雅黑" w:hAnsi="微软雅黑" w:eastAsia="微软雅黑"/>
              <w:color w:val="auto"/>
              <w:highlight w:val="none"/>
            </w:rPr>
            <w:fldChar w:fldCharType="separate"/>
          </w:r>
          <w:r>
            <w:rPr>
              <w:color w:val="auto"/>
              <w:highlight w:val="none"/>
            </w:rPr>
            <w:fldChar w:fldCharType="begin"/>
          </w:r>
          <w:r>
            <w:rPr>
              <w:color w:val="auto"/>
              <w:highlight w:val="none"/>
            </w:rPr>
            <w:instrText xml:space="preserve"> HYPERLINK \l "_Toc98019223" </w:instrText>
          </w:r>
          <w:r>
            <w:rPr>
              <w:color w:val="auto"/>
              <w:highlight w:val="none"/>
            </w:rPr>
            <w:fldChar w:fldCharType="separate"/>
          </w:r>
          <w:r>
            <w:rPr>
              <w:rStyle w:val="45"/>
              <w:rFonts w:hint="eastAsia" w:ascii="微软雅黑" w:hAnsi="微软雅黑" w:eastAsia="微软雅黑"/>
              <w:color w:val="auto"/>
              <w:highlight w:val="none"/>
            </w:rPr>
            <w:t>第一章 公开招标公告</w:t>
          </w:r>
          <w:r>
            <w:rPr>
              <w:rFonts w:ascii="微软雅黑" w:hAnsi="微软雅黑" w:eastAsia="微软雅黑"/>
              <w:color w:val="auto"/>
              <w:highlight w:val="none"/>
            </w:rPr>
            <w:tab/>
          </w:r>
          <w:r>
            <w:rPr>
              <w:rFonts w:ascii="微软雅黑" w:hAnsi="微软雅黑" w:eastAsia="微软雅黑"/>
              <w:color w:val="auto"/>
              <w:highlight w:val="none"/>
            </w:rPr>
            <w:fldChar w:fldCharType="begin"/>
          </w:r>
          <w:r>
            <w:rPr>
              <w:rFonts w:ascii="微软雅黑" w:hAnsi="微软雅黑" w:eastAsia="微软雅黑"/>
              <w:color w:val="auto"/>
              <w:highlight w:val="none"/>
            </w:rPr>
            <w:instrText xml:space="preserve"> PAGEREF _Toc98019223 \h </w:instrText>
          </w:r>
          <w:r>
            <w:rPr>
              <w:rFonts w:ascii="微软雅黑" w:hAnsi="微软雅黑" w:eastAsia="微软雅黑"/>
              <w:color w:val="auto"/>
              <w:highlight w:val="none"/>
            </w:rPr>
            <w:fldChar w:fldCharType="separate"/>
          </w:r>
          <w:r>
            <w:rPr>
              <w:rFonts w:ascii="微软雅黑" w:hAnsi="微软雅黑" w:eastAsia="微软雅黑"/>
              <w:color w:val="auto"/>
              <w:highlight w:val="none"/>
            </w:rPr>
            <w:t>2</w:t>
          </w:r>
          <w:r>
            <w:rPr>
              <w:rFonts w:ascii="微软雅黑" w:hAnsi="微软雅黑" w:eastAsia="微软雅黑"/>
              <w:color w:val="auto"/>
              <w:highlight w:val="none"/>
            </w:rPr>
            <w:fldChar w:fldCharType="end"/>
          </w:r>
          <w:r>
            <w:rPr>
              <w:rFonts w:ascii="微软雅黑" w:hAnsi="微软雅黑" w:eastAsia="微软雅黑"/>
              <w:color w:val="auto"/>
              <w:highlight w:val="none"/>
            </w:rPr>
            <w:fldChar w:fldCharType="end"/>
          </w:r>
        </w:p>
        <w:p w14:paraId="090FB355">
          <w:pPr>
            <w:pStyle w:val="28"/>
            <w:tabs>
              <w:tab w:val="right" w:leader="dot" w:pos="8303"/>
            </w:tabs>
            <w:spacing w:line="480" w:lineRule="auto"/>
            <w:rPr>
              <w:rFonts w:hint="eastAsia" w:ascii="微软雅黑" w:hAnsi="微软雅黑" w:eastAsia="微软雅黑" w:cstheme="minorBidi"/>
              <w:color w:val="auto"/>
              <w:szCs w:val="22"/>
              <w:highlight w:val="none"/>
            </w:rPr>
          </w:pPr>
          <w:r>
            <w:rPr>
              <w:color w:val="auto"/>
              <w:highlight w:val="none"/>
            </w:rPr>
            <w:fldChar w:fldCharType="begin"/>
          </w:r>
          <w:r>
            <w:rPr>
              <w:color w:val="auto"/>
              <w:highlight w:val="none"/>
            </w:rPr>
            <w:instrText xml:space="preserve"> HYPERLINK \l "_Toc98019233" </w:instrText>
          </w:r>
          <w:r>
            <w:rPr>
              <w:color w:val="auto"/>
              <w:highlight w:val="none"/>
            </w:rPr>
            <w:fldChar w:fldCharType="separate"/>
          </w:r>
          <w:r>
            <w:rPr>
              <w:rStyle w:val="45"/>
              <w:rFonts w:hint="eastAsia" w:ascii="微软雅黑" w:hAnsi="微软雅黑" w:eastAsia="微软雅黑"/>
              <w:color w:val="auto"/>
              <w:highlight w:val="none"/>
            </w:rPr>
            <w:t>第二章 招标需求</w:t>
          </w:r>
          <w:r>
            <w:rPr>
              <w:rFonts w:ascii="微软雅黑" w:hAnsi="微软雅黑" w:eastAsia="微软雅黑"/>
              <w:color w:val="auto"/>
              <w:highlight w:val="none"/>
            </w:rPr>
            <w:tab/>
          </w:r>
          <w:r>
            <w:rPr>
              <w:rFonts w:ascii="微软雅黑" w:hAnsi="微软雅黑" w:eastAsia="微软雅黑"/>
              <w:color w:val="auto"/>
              <w:highlight w:val="none"/>
            </w:rPr>
            <w:fldChar w:fldCharType="begin"/>
          </w:r>
          <w:r>
            <w:rPr>
              <w:rFonts w:ascii="微软雅黑" w:hAnsi="微软雅黑" w:eastAsia="微软雅黑"/>
              <w:color w:val="auto"/>
              <w:highlight w:val="none"/>
            </w:rPr>
            <w:instrText xml:space="preserve"> PAGEREF _Toc98019233 \h </w:instrText>
          </w:r>
          <w:r>
            <w:rPr>
              <w:rFonts w:ascii="微软雅黑" w:hAnsi="微软雅黑" w:eastAsia="微软雅黑"/>
              <w:color w:val="auto"/>
              <w:highlight w:val="none"/>
            </w:rPr>
            <w:fldChar w:fldCharType="separate"/>
          </w:r>
          <w:r>
            <w:rPr>
              <w:rFonts w:ascii="微软雅黑" w:hAnsi="微软雅黑" w:eastAsia="微软雅黑"/>
              <w:color w:val="auto"/>
              <w:highlight w:val="none"/>
            </w:rPr>
            <w:t>4</w:t>
          </w:r>
          <w:r>
            <w:rPr>
              <w:rFonts w:ascii="微软雅黑" w:hAnsi="微软雅黑" w:eastAsia="微软雅黑"/>
              <w:color w:val="auto"/>
              <w:highlight w:val="none"/>
            </w:rPr>
            <w:fldChar w:fldCharType="end"/>
          </w:r>
          <w:r>
            <w:rPr>
              <w:rFonts w:ascii="微软雅黑" w:hAnsi="微软雅黑" w:eastAsia="微软雅黑"/>
              <w:color w:val="auto"/>
              <w:highlight w:val="none"/>
            </w:rPr>
            <w:fldChar w:fldCharType="end"/>
          </w:r>
        </w:p>
        <w:p w14:paraId="3A5F6FCA">
          <w:pPr>
            <w:pStyle w:val="28"/>
            <w:tabs>
              <w:tab w:val="right" w:leader="dot" w:pos="8303"/>
            </w:tabs>
            <w:spacing w:line="480" w:lineRule="auto"/>
            <w:rPr>
              <w:rFonts w:hint="eastAsia" w:ascii="微软雅黑" w:hAnsi="微软雅黑" w:eastAsia="微软雅黑" w:cstheme="minorBidi"/>
              <w:color w:val="auto"/>
              <w:szCs w:val="22"/>
              <w:highlight w:val="none"/>
            </w:rPr>
          </w:pPr>
          <w:r>
            <w:rPr>
              <w:color w:val="auto"/>
              <w:highlight w:val="none"/>
            </w:rPr>
            <w:fldChar w:fldCharType="begin"/>
          </w:r>
          <w:r>
            <w:rPr>
              <w:color w:val="auto"/>
              <w:highlight w:val="none"/>
            </w:rPr>
            <w:instrText xml:space="preserve"> HYPERLINK \l "_Toc98019234" </w:instrText>
          </w:r>
          <w:r>
            <w:rPr>
              <w:color w:val="auto"/>
              <w:highlight w:val="none"/>
            </w:rPr>
            <w:fldChar w:fldCharType="separate"/>
          </w:r>
          <w:r>
            <w:rPr>
              <w:rStyle w:val="45"/>
              <w:rFonts w:hint="eastAsia" w:ascii="微软雅黑" w:hAnsi="微软雅黑" w:eastAsia="微软雅黑"/>
              <w:color w:val="auto"/>
              <w:highlight w:val="none"/>
            </w:rPr>
            <w:t>第三章 投标人须知</w:t>
          </w:r>
          <w:r>
            <w:rPr>
              <w:rFonts w:ascii="微软雅黑" w:hAnsi="微软雅黑" w:eastAsia="微软雅黑"/>
              <w:color w:val="auto"/>
              <w:highlight w:val="none"/>
            </w:rPr>
            <w:tab/>
          </w:r>
          <w:r>
            <w:rPr>
              <w:rFonts w:ascii="微软雅黑" w:hAnsi="微软雅黑" w:eastAsia="微软雅黑"/>
              <w:color w:val="auto"/>
              <w:highlight w:val="none"/>
            </w:rPr>
            <w:fldChar w:fldCharType="begin"/>
          </w:r>
          <w:r>
            <w:rPr>
              <w:rFonts w:ascii="微软雅黑" w:hAnsi="微软雅黑" w:eastAsia="微软雅黑"/>
              <w:color w:val="auto"/>
              <w:highlight w:val="none"/>
            </w:rPr>
            <w:instrText xml:space="preserve"> PAGEREF _Toc98019234 \h </w:instrText>
          </w:r>
          <w:r>
            <w:rPr>
              <w:rFonts w:ascii="微软雅黑" w:hAnsi="微软雅黑" w:eastAsia="微软雅黑"/>
              <w:color w:val="auto"/>
              <w:highlight w:val="none"/>
            </w:rPr>
            <w:fldChar w:fldCharType="separate"/>
          </w:r>
          <w:r>
            <w:rPr>
              <w:rFonts w:ascii="微软雅黑" w:hAnsi="微软雅黑" w:eastAsia="微软雅黑"/>
              <w:color w:val="auto"/>
              <w:highlight w:val="none"/>
            </w:rPr>
            <w:t>5</w:t>
          </w:r>
          <w:r>
            <w:rPr>
              <w:rFonts w:ascii="微软雅黑" w:hAnsi="微软雅黑" w:eastAsia="微软雅黑"/>
              <w:color w:val="auto"/>
              <w:highlight w:val="none"/>
            </w:rPr>
            <w:fldChar w:fldCharType="end"/>
          </w:r>
          <w:r>
            <w:rPr>
              <w:rFonts w:ascii="微软雅黑" w:hAnsi="微软雅黑" w:eastAsia="微软雅黑"/>
              <w:color w:val="auto"/>
              <w:highlight w:val="none"/>
            </w:rPr>
            <w:fldChar w:fldCharType="end"/>
          </w:r>
        </w:p>
        <w:p w14:paraId="7A505CCA">
          <w:pPr>
            <w:pStyle w:val="28"/>
            <w:tabs>
              <w:tab w:val="right" w:leader="dot" w:pos="8303"/>
            </w:tabs>
            <w:spacing w:line="480" w:lineRule="auto"/>
            <w:rPr>
              <w:rFonts w:hint="eastAsia" w:ascii="微软雅黑" w:hAnsi="微软雅黑" w:eastAsia="微软雅黑" w:cstheme="minorBidi"/>
              <w:color w:val="auto"/>
              <w:szCs w:val="22"/>
              <w:highlight w:val="none"/>
            </w:rPr>
          </w:pPr>
          <w:r>
            <w:rPr>
              <w:color w:val="auto"/>
              <w:highlight w:val="none"/>
            </w:rPr>
            <w:fldChar w:fldCharType="begin"/>
          </w:r>
          <w:r>
            <w:rPr>
              <w:color w:val="auto"/>
              <w:highlight w:val="none"/>
            </w:rPr>
            <w:instrText xml:space="preserve"> HYPERLINK \l "_Toc98019286" </w:instrText>
          </w:r>
          <w:r>
            <w:rPr>
              <w:color w:val="auto"/>
              <w:highlight w:val="none"/>
            </w:rPr>
            <w:fldChar w:fldCharType="separate"/>
          </w:r>
          <w:r>
            <w:rPr>
              <w:rStyle w:val="45"/>
              <w:rFonts w:hint="eastAsia" w:ascii="微软雅黑" w:hAnsi="微软雅黑" w:eastAsia="微软雅黑"/>
              <w:color w:val="auto"/>
              <w:highlight w:val="none"/>
            </w:rPr>
            <w:t>第四章 评标办法及评分标准</w:t>
          </w:r>
          <w:r>
            <w:rPr>
              <w:rFonts w:ascii="微软雅黑" w:hAnsi="微软雅黑" w:eastAsia="微软雅黑"/>
              <w:color w:val="auto"/>
              <w:highlight w:val="none"/>
            </w:rPr>
            <w:tab/>
          </w:r>
          <w:r>
            <w:rPr>
              <w:rFonts w:ascii="微软雅黑" w:hAnsi="微软雅黑" w:eastAsia="微软雅黑"/>
              <w:color w:val="auto"/>
              <w:highlight w:val="none"/>
            </w:rPr>
            <w:fldChar w:fldCharType="begin"/>
          </w:r>
          <w:r>
            <w:rPr>
              <w:rFonts w:ascii="微软雅黑" w:hAnsi="微软雅黑" w:eastAsia="微软雅黑"/>
              <w:color w:val="auto"/>
              <w:highlight w:val="none"/>
            </w:rPr>
            <w:instrText xml:space="preserve"> PAGEREF _Toc98019286 \h </w:instrText>
          </w:r>
          <w:r>
            <w:rPr>
              <w:rFonts w:ascii="微软雅黑" w:hAnsi="微软雅黑" w:eastAsia="微软雅黑"/>
              <w:color w:val="auto"/>
              <w:highlight w:val="none"/>
            </w:rPr>
            <w:fldChar w:fldCharType="separate"/>
          </w:r>
          <w:r>
            <w:rPr>
              <w:rFonts w:ascii="微软雅黑" w:hAnsi="微软雅黑" w:eastAsia="微软雅黑"/>
              <w:color w:val="auto"/>
              <w:highlight w:val="none"/>
            </w:rPr>
            <w:t>15</w:t>
          </w:r>
          <w:r>
            <w:rPr>
              <w:rFonts w:ascii="微软雅黑" w:hAnsi="微软雅黑" w:eastAsia="微软雅黑"/>
              <w:color w:val="auto"/>
              <w:highlight w:val="none"/>
            </w:rPr>
            <w:fldChar w:fldCharType="end"/>
          </w:r>
          <w:r>
            <w:rPr>
              <w:rFonts w:ascii="微软雅黑" w:hAnsi="微软雅黑" w:eastAsia="微软雅黑"/>
              <w:color w:val="auto"/>
              <w:highlight w:val="none"/>
            </w:rPr>
            <w:fldChar w:fldCharType="end"/>
          </w:r>
        </w:p>
        <w:p w14:paraId="7804AB5D">
          <w:pPr>
            <w:pStyle w:val="28"/>
            <w:tabs>
              <w:tab w:val="right" w:leader="dot" w:pos="8303"/>
            </w:tabs>
            <w:spacing w:line="480" w:lineRule="auto"/>
            <w:rPr>
              <w:rFonts w:hint="eastAsia" w:ascii="微软雅黑" w:hAnsi="微软雅黑" w:eastAsia="微软雅黑" w:cstheme="minorBidi"/>
              <w:color w:val="auto"/>
              <w:szCs w:val="22"/>
              <w:highlight w:val="none"/>
            </w:rPr>
          </w:pPr>
          <w:r>
            <w:rPr>
              <w:color w:val="auto"/>
              <w:highlight w:val="none"/>
            </w:rPr>
            <w:fldChar w:fldCharType="begin"/>
          </w:r>
          <w:r>
            <w:rPr>
              <w:color w:val="auto"/>
              <w:highlight w:val="none"/>
            </w:rPr>
            <w:instrText xml:space="preserve"> HYPERLINK \l "_Toc98019294" </w:instrText>
          </w:r>
          <w:r>
            <w:rPr>
              <w:color w:val="auto"/>
              <w:highlight w:val="none"/>
            </w:rPr>
            <w:fldChar w:fldCharType="separate"/>
          </w:r>
          <w:r>
            <w:rPr>
              <w:rStyle w:val="45"/>
              <w:rFonts w:hint="eastAsia" w:ascii="微软雅黑" w:hAnsi="微软雅黑" w:eastAsia="微软雅黑"/>
              <w:color w:val="auto"/>
              <w:highlight w:val="none"/>
            </w:rPr>
            <w:t>第五章 协议主要条款</w:t>
          </w:r>
          <w:r>
            <w:rPr>
              <w:rFonts w:ascii="微软雅黑" w:hAnsi="微软雅黑" w:eastAsia="微软雅黑"/>
              <w:color w:val="auto"/>
              <w:highlight w:val="none"/>
            </w:rPr>
            <w:tab/>
          </w:r>
          <w:r>
            <w:rPr>
              <w:rFonts w:ascii="微软雅黑" w:hAnsi="微软雅黑" w:eastAsia="微软雅黑"/>
              <w:color w:val="auto"/>
              <w:highlight w:val="none"/>
            </w:rPr>
            <w:fldChar w:fldCharType="begin"/>
          </w:r>
          <w:r>
            <w:rPr>
              <w:rFonts w:ascii="微软雅黑" w:hAnsi="微软雅黑" w:eastAsia="微软雅黑"/>
              <w:color w:val="auto"/>
              <w:highlight w:val="none"/>
            </w:rPr>
            <w:instrText xml:space="preserve"> PAGEREF _Toc98019294 \h </w:instrText>
          </w:r>
          <w:r>
            <w:rPr>
              <w:rFonts w:ascii="微软雅黑" w:hAnsi="微软雅黑" w:eastAsia="微软雅黑"/>
              <w:color w:val="auto"/>
              <w:highlight w:val="none"/>
            </w:rPr>
            <w:fldChar w:fldCharType="separate"/>
          </w:r>
          <w:r>
            <w:rPr>
              <w:rFonts w:ascii="微软雅黑" w:hAnsi="微软雅黑" w:eastAsia="微软雅黑"/>
              <w:color w:val="auto"/>
              <w:highlight w:val="none"/>
            </w:rPr>
            <w:t>21</w:t>
          </w:r>
          <w:r>
            <w:rPr>
              <w:rFonts w:ascii="微软雅黑" w:hAnsi="微软雅黑" w:eastAsia="微软雅黑"/>
              <w:color w:val="auto"/>
              <w:highlight w:val="none"/>
            </w:rPr>
            <w:fldChar w:fldCharType="end"/>
          </w:r>
          <w:r>
            <w:rPr>
              <w:rFonts w:ascii="微软雅黑" w:hAnsi="微软雅黑" w:eastAsia="微软雅黑"/>
              <w:color w:val="auto"/>
              <w:highlight w:val="none"/>
            </w:rPr>
            <w:fldChar w:fldCharType="end"/>
          </w:r>
        </w:p>
        <w:p w14:paraId="662F03E5">
          <w:pPr>
            <w:pStyle w:val="28"/>
            <w:tabs>
              <w:tab w:val="right" w:leader="dot" w:pos="8303"/>
            </w:tabs>
            <w:spacing w:line="480" w:lineRule="auto"/>
            <w:rPr>
              <w:rFonts w:hint="eastAsia" w:ascii="微软雅黑" w:hAnsi="微软雅黑" w:eastAsia="微软雅黑" w:cstheme="minorBidi"/>
              <w:color w:val="auto"/>
              <w:szCs w:val="22"/>
              <w:highlight w:val="none"/>
            </w:rPr>
          </w:pPr>
          <w:r>
            <w:rPr>
              <w:color w:val="auto"/>
              <w:highlight w:val="none"/>
            </w:rPr>
            <w:fldChar w:fldCharType="begin"/>
          </w:r>
          <w:r>
            <w:rPr>
              <w:color w:val="auto"/>
              <w:highlight w:val="none"/>
            </w:rPr>
            <w:instrText xml:space="preserve"> HYPERLINK \l "_Toc98019297" </w:instrText>
          </w:r>
          <w:r>
            <w:rPr>
              <w:color w:val="auto"/>
              <w:highlight w:val="none"/>
            </w:rPr>
            <w:fldChar w:fldCharType="separate"/>
          </w:r>
          <w:r>
            <w:rPr>
              <w:rStyle w:val="45"/>
              <w:rFonts w:hint="eastAsia" w:ascii="微软雅黑" w:hAnsi="微软雅黑" w:eastAsia="微软雅黑"/>
              <w:color w:val="auto"/>
              <w:highlight w:val="none"/>
            </w:rPr>
            <w:t>第六章 投标文件格式</w:t>
          </w:r>
          <w:r>
            <w:rPr>
              <w:rFonts w:ascii="微软雅黑" w:hAnsi="微软雅黑" w:eastAsia="微软雅黑"/>
              <w:color w:val="auto"/>
              <w:highlight w:val="none"/>
            </w:rPr>
            <w:tab/>
          </w:r>
          <w:r>
            <w:rPr>
              <w:rFonts w:ascii="微软雅黑" w:hAnsi="微软雅黑" w:eastAsia="微软雅黑"/>
              <w:color w:val="auto"/>
              <w:highlight w:val="none"/>
            </w:rPr>
            <w:fldChar w:fldCharType="begin"/>
          </w:r>
          <w:r>
            <w:rPr>
              <w:rFonts w:ascii="微软雅黑" w:hAnsi="微软雅黑" w:eastAsia="微软雅黑"/>
              <w:color w:val="auto"/>
              <w:highlight w:val="none"/>
            </w:rPr>
            <w:instrText xml:space="preserve"> PAGEREF _Toc98019297 \h </w:instrText>
          </w:r>
          <w:r>
            <w:rPr>
              <w:rFonts w:ascii="微软雅黑" w:hAnsi="微软雅黑" w:eastAsia="微软雅黑"/>
              <w:color w:val="auto"/>
              <w:highlight w:val="none"/>
            </w:rPr>
            <w:fldChar w:fldCharType="separate"/>
          </w:r>
          <w:r>
            <w:rPr>
              <w:rFonts w:ascii="微软雅黑" w:hAnsi="微软雅黑" w:eastAsia="微软雅黑"/>
              <w:color w:val="auto"/>
              <w:highlight w:val="none"/>
            </w:rPr>
            <w:t>26</w:t>
          </w:r>
          <w:r>
            <w:rPr>
              <w:rFonts w:ascii="微软雅黑" w:hAnsi="微软雅黑" w:eastAsia="微软雅黑"/>
              <w:color w:val="auto"/>
              <w:highlight w:val="none"/>
            </w:rPr>
            <w:fldChar w:fldCharType="end"/>
          </w:r>
          <w:r>
            <w:rPr>
              <w:rFonts w:ascii="微软雅黑" w:hAnsi="微软雅黑" w:eastAsia="微软雅黑"/>
              <w:color w:val="auto"/>
              <w:highlight w:val="none"/>
            </w:rPr>
            <w:fldChar w:fldCharType="end"/>
          </w:r>
        </w:p>
        <w:p w14:paraId="34B564CC">
          <w:pPr>
            <w:spacing w:line="480" w:lineRule="auto"/>
            <w:rPr>
              <w:color w:val="auto"/>
              <w:highlight w:val="none"/>
            </w:rPr>
          </w:pPr>
          <w:r>
            <w:rPr>
              <w:rFonts w:ascii="微软雅黑" w:hAnsi="微软雅黑" w:eastAsia="微软雅黑"/>
              <w:color w:val="auto"/>
              <w:highlight w:val="none"/>
            </w:rPr>
            <w:fldChar w:fldCharType="end"/>
          </w:r>
        </w:p>
      </w:sdtContent>
    </w:sdt>
    <w:p w14:paraId="2DE8C293">
      <w:pPr>
        <w:tabs>
          <w:tab w:val="left" w:pos="5554"/>
        </w:tabs>
        <w:rPr>
          <w:rFonts w:cstheme="majorBidi"/>
          <w:color w:val="auto"/>
          <w:kern w:val="28"/>
          <w:sz w:val="32"/>
          <w:szCs w:val="32"/>
          <w:highlight w:val="none"/>
        </w:rPr>
      </w:pPr>
      <w:r>
        <w:rPr>
          <w:rFonts w:cstheme="majorBidi"/>
          <w:color w:val="auto"/>
          <w:kern w:val="28"/>
          <w:sz w:val="32"/>
          <w:szCs w:val="32"/>
          <w:highlight w:val="none"/>
        </w:rPr>
        <w:tab/>
      </w:r>
    </w:p>
    <w:p w14:paraId="557D3A6C">
      <w:pPr>
        <w:rPr>
          <w:rFonts w:cstheme="majorBidi"/>
          <w:color w:val="auto"/>
          <w:kern w:val="28"/>
          <w:sz w:val="32"/>
          <w:szCs w:val="32"/>
          <w:highlight w:val="none"/>
        </w:rPr>
      </w:pPr>
    </w:p>
    <w:p w14:paraId="403723D7">
      <w:pPr>
        <w:pStyle w:val="36"/>
        <w:outlineLvl w:val="9"/>
        <w:rPr>
          <w:color w:val="auto"/>
          <w:highlight w:val="none"/>
        </w:rPr>
      </w:pPr>
      <w:bookmarkStart w:id="3" w:name="_Toc9342476"/>
      <w:bookmarkStart w:id="4" w:name="_Toc11650166"/>
    </w:p>
    <w:p w14:paraId="1E66CA72">
      <w:pPr>
        <w:widowControl/>
        <w:jc w:val="left"/>
        <w:rPr>
          <w:rFonts w:ascii="Cambria" w:hAnsi="Cambria" w:eastAsia="微软雅黑"/>
          <w:b/>
          <w:bCs/>
          <w:color w:val="auto"/>
          <w:sz w:val="32"/>
          <w:szCs w:val="32"/>
          <w:highlight w:val="none"/>
        </w:rPr>
      </w:pPr>
      <w:r>
        <w:rPr>
          <w:color w:val="auto"/>
          <w:highlight w:val="none"/>
        </w:rPr>
        <w:br w:type="page"/>
      </w:r>
    </w:p>
    <w:p w14:paraId="68713AFF">
      <w:pPr>
        <w:pStyle w:val="36"/>
        <w:numPr>
          <w:ilvl w:val="0"/>
          <w:numId w:val="3"/>
        </w:numPr>
        <w:rPr>
          <w:color w:val="auto"/>
          <w:highlight w:val="none"/>
        </w:rPr>
      </w:pPr>
      <w:bookmarkStart w:id="5" w:name="_Toc98019223"/>
      <w:r>
        <w:rPr>
          <w:rFonts w:hint="eastAsia"/>
          <w:color w:val="auto"/>
          <w:highlight w:val="none"/>
        </w:rPr>
        <w:t>公开招标公告</w:t>
      </w:r>
      <w:bookmarkEnd w:id="3"/>
      <w:bookmarkEnd w:id="4"/>
      <w:bookmarkEnd w:id="5"/>
    </w:p>
    <w:p w14:paraId="5AF142B2">
      <w:pPr>
        <w:snapToGrid w:val="0"/>
        <w:spacing w:line="460" w:lineRule="exact"/>
        <w:ind w:firstLine="420" w:firstLineChars="200"/>
        <w:rPr>
          <w:rFonts w:hint="eastAsia" w:ascii="微软雅黑" w:hAnsi="微软雅黑" w:eastAsia="微软雅黑"/>
          <w:color w:val="auto"/>
          <w:szCs w:val="21"/>
          <w:highlight w:val="none"/>
        </w:rPr>
      </w:pPr>
      <w:bookmarkStart w:id="6" w:name="_Toc9342477"/>
      <w:bookmarkStart w:id="7" w:name="_Toc11650167"/>
      <w:r>
        <w:rPr>
          <w:rFonts w:hint="eastAsia" w:ascii="微软雅黑" w:hAnsi="微软雅黑" w:eastAsia="微软雅黑"/>
          <w:color w:val="auto"/>
          <w:szCs w:val="21"/>
          <w:highlight w:val="none"/>
        </w:rPr>
        <w:t>根据相关法律规定，</w:t>
      </w:r>
      <w:r>
        <w:rPr>
          <w:rFonts w:hint="eastAsia" w:ascii="微软雅黑" w:hAnsi="微软雅黑" w:eastAsia="微软雅黑" w:cs="宋体"/>
          <w:color w:val="auto"/>
          <w:szCs w:val="21"/>
          <w:highlight w:val="none"/>
        </w:rPr>
        <w:t>嘉兴市千秋工程咨询有限公司</w:t>
      </w:r>
      <w:r>
        <w:rPr>
          <w:rFonts w:hint="eastAsia" w:ascii="微软雅黑" w:hAnsi="微软雅黑" w:eastAsia="微软雅黑"/>
          <w:color w:val="auto"/>
          <w:szCs w:val="21"/>
          <w:highlight w:val="none"/>
        </w:rPr>
        <w:t>受</w:t>
      </w:r>
      <w:r>
        <w:rPr>
          <w:rFonts w:hint="eastAsia" w:ascii="微软雅黑" w:hAnsi="微软雅黑" w:eastAsia="微软雅黑"/>
          <w:color w:val="auto"/>
          <w:szCs w:val="21"/>
          <w:highlight w:val="none"/>
          <w:lang w:eastAsia="zh-CN"/>
        </w:rPr>
        <w:t>嘉兴市秀洲区财政局</w:t>
      </w:r>
      <w:r>
        <w:rPr>
          <w:rFonts w:hint="eastAsia" w:ascii="微软雅黑" w:hAnsi="微软雅黑" w:eastAsia="微软雅黑"/>
          <w:color w:val="auto"/>
          <w:szCs w:val="21"/>
          <w:highlight w:val="none"/>
        </w:rPr>
        <w:t>委托，就下列项目进行公开招标，特邀请国内合格的投标人前来投标，现将有关事项公告如下：</w:t>
      </w:r>
    </w:p>
    <w:p w14:paraId="74987C61">
      <w:pPr>
        <w:pStyle w:val="3"/>
        <w:numPr>
          <w:ilvl w:val="0"/>
          <w:numId w:val="4"/>
        </w:numPr>
        <w:spacing w:before="0" w:after="0" w:line="460" w:lineRule="exact"/>
        <w:ind w:firstLineChars="200"/>
        <w:rPr>
          <w:rFonts w:hint="eastAsia" w:ascii="微软雅黑" w:hAnsi="微软雅黑"/>
          <w:color w:val="auto"/>
          <w:szCs w:val="21"/>
          <w:highlight w:val="none"/>
        </w:rPr>
      </w:pPr>
      <w:bookmarkStart w:id="8" w:name="_Toc98019224"/>
      <w:r>
        <w:rPr>
          <w:rFonts w:hint="eastAsia" w:ascii="微软雅黑" w:hAnsi="微软雅黑"/>
          <w:color w:val="auto"/>
          <w:szCs w:val="21"/>
          <w:highlight w:val="none"/>
        </w:rPr>
        <w:t>项目编号：</w:t>
      </w:r>
      <w:bookmarkEnd w:id="8"/>
      <w:r>
        <w:rPr>
          <w:rFonts w:hint="eastAsia" w:ascii="微软雅黑" w:hAnsi="微软雅黑"/>
          <w:color w:val="auto"/>
          <w:szCs w:val="21"/>
          <w:highlight w:val="none"/>
          <w:lang w:eastAsia="zh-CN"/>
        </w:rPr>
        <w:t>千秋-XZCF（2025）第07号</w:t>
      </w:r>
    </w:p>
    <w:p w14:paraId="18E88DA7">
      <w:pPr>
        <w:pStyle w:val="3"/>
        <w:numPr>
          <w:ilvl w:val="0"/>
          <w:numId w:val="4"/>
        </w:numPr>
        <w:spacing w:before="0" w:after="0" w:line="460" w:lineRule="exact"/>
        <w:ind w:firstLineChars="200"/>
        <w:rPr>
          <w:rFonts w:hint="eastAsia" w:ascii="微软雅黑" w:hAnsi="微软雅黑"/>
          <w:color w:val="auto"/>
          <w:szCs w:val="21"/>
          <w:highlight w:val="none"/>
        </w:rPr>
      </w:pPr>
      <w:bookmarkStart w:id="9" w:name="_Toc98019225"/>
      <w:r>
        <w:rPr>
          <w:rFonts w:hint="eastAsia" w:ascii="微软雅黑" w:hAnsi="微软雅黑"/>
          <w:color w:val="auto"/>
          <w:szCs w:val="21"/>
          <w:highlight w:val="none"/>
        </w:rPr>
        <w:t>招标方式：公开招标</w:t>
      </w:r>
      <w:bookmarkEnd w:id="9"/>
    </w:p>
    <w:p w14:paraId="2C8EEF40">
      <w:pPr>
        <w:pStyle w:val="3"/>
        <w:numPr>
          <w:ilvl w:val="0"/>
          <w:numId w:val="4"/>
        </w:numPr>
        <w:spacing w:before="0" w:after="0" w:line="460" w:lineRule="exact"/>
        <w:ind w:firstLineChars="200"/>
        <w:rPr>
          <w:rFonts w:hint="eastAsia" w:ascii="微软雅黑" w:hAnsi="微软雅黑"/>
          <w:color w:val="auto"/>
          <w:szCs w:val="21"/>
          <w:highlight w:val="none"/>
        </w:rPr>
      </w:pPr>
      <w:bookmarkStart w:id="10" w:name="_Toc98019226"/>
      <w:r>
        <w:rPr>
          <w:rFonts w:hint="eastAsia" w:ascii="微软雅黑" w:hAnsi="微软雅黑"/>
          <w:color w:val="auto"/>
          <w:szCs w:val="21"/>
          <w:highlight w:val="none"/>
        </w:rPr>
        <w:t>招标项目：</w:t>
      </w:r>
      <w:bookmarkEnd w:id="10"/>
      <w:r>
        <w:rPr>
          <w:rFonts w:hint="eastAsia" w:ascii="微软雅黑" w:hAnsi="微软雅黑"/>
          <w:color w:val="auto"/>
          <w:szCs w:val="21"/>
          <w:highlight w:val="none"/>
          <w:lang w:eastAsia="zh-CN"/>
        </w:rPr>
        <w:t>秀洲区2025年度第一期财政资金竞争性存放项目</w:t>
      </w:r>
    </w:p>
    <w:p w14:paraId="027D2AD8">
      <w:pPr>
        <w:pStyle w:val="3"/>
        <w:numPr>
          <w:ilvl w:val="0"/>
          <w:numId w:val="4"/>
        </w:numPr>
        <w:spacing w:before="0" w:after="0" w:line="460" w:lineRule="exact"/>
        <w:ind w:firstLineChars="200"/>
        <w:rPr>
          <w:rFonts w:hint="eastAsia" w:ascii="微软雅黑" w:hAnsi="微软雅黑"/>
          <w:color w:val="auto"/>
          <w:szCs w:val="21"/>
          <w:highlight w:val="none"/>
        </w:rPr>
      </w:pPr>
      <w:bookmarkStart w:id="11" w:name="_Toc98019227"/>
      <w:r>
        <w:rPr>
          <w:rFonts w:hint="eastAsia" w:ascii="微软雅黑" w:hAnsi="微软雅黑"/>
          <w:color w:val="auto"/>
          <w:szCs w:val="21"/>
          <w:highlight w:val="none"/>
        </w:rPr>
        <w:t>招标内容：</w:t>
      </w:r>
      <w:bookmarkEnd w:id="11"/>
      <w:r>
        <w:rPr>
          <w:rFonts w:hint="eastAsia" w:ascii="微软雅黑" w:hAnsi="微软雅黑"/>
          <w:color w:val="auto"/>
          <w:szCs w:val="21"/>
          <w:highlight w:val="none"/>
        </w:rPr>
        <w:tab/>
      </w:r>
      <w:bookmarkStart w:id="12" w:name="_Toc98019228"/>
    </w:p>
    <w:p w14:paraId="16E1439D">
      <w:pPr>
        <w:pStyle w:val="62"/>
        <w:spacing w:line="560" w:lineRule="exact"/>
        <w:ind w:firstLine="424" w:firstLineChars="202"/>
        <w:rPr>
          <w:rFonts w:hint="eastAsia" w:ascii="微软雅黑" w:hAnsi="微软雅黑" w:eastAsia="微软雅黑" w:cs="仿宋_GB2312"/>
          <w:color w:val="auto"/>
          <w:szCs w:val="21"/>
          <w:highlight w:val="none"/>
        </w:rPr>
      </w:pPr>
      <w:r>
        <w:rPr>
          <w:rFonts w:hint="eastAsia" w:ascii="微软雅黑" w:hAnsi="微软雅黑" w:eastAsia="微软雅黑" w:cs="仿宋_GB2312"/>
          <w:color w:val="auto"/>
          <w:szCs w:val="21"/>
          <w:highlight w:val="none"/>
        </w:rPr>
        <w:t>资金金额为5亿元，存放期限为1年。综合得分排名1-5位，存放3500万元;综合得分排名6-10位，存放2900万元; 综合得分排名11-15位,存放2200万元；综合得分排名16-20位,存放1400万元。</w:t>
      </w:r>
    </w:p>
    <w:p w14:paraId="5AEB98C8">
      <w:pPr>
        <w:pStyle w:val="3"/>
        <w:numPr>
          <w:ilvl w:val="0"/>
          <w:numId w:val="4"/>
        </w:numPr>
        <w:spacing w:before="0" w:after="0" w:line="460" w:lineRule="exact"/>
        <w:ind w:firstLineChars="200"/>
        <w:rPr>
          <w:rFonts w:hint="eastAsia" w:ascii="微软雅黑" w:hAnsi="微软雅黑"/>
          <w:color w:val="auto"/>
          <w:szCs w:val="21"/>
          <w:highlight w:val="none"/>
        </w:rPr>
      </w:pPr>
      <w:r>
        <w:rPr>
          <w:rFonts w:hint="eastAsia" w:ascii="微软雅黑" w:hAnsi="微软雅黑"/>
          <w:color w:val="auto"/>
          <w:szCs w:val="21"/>
          <w:highlight w:val="none"/>
        </w:rPr>
        <w:t>合格投标人的资格要求</w:t>
      </w:r>
      <w:bookmarkEnd w:id="12"/>
    </w:p>
    <w:p w14:paraId="1B510AB9">
      <w:pPr>
        <w:numPr>
          <w:ilvl w:val="0"/>
          <w:numId w:val="5"/>
        </w:numPr>
        <w:spacing w:line="460" w:lineRule="exact"/>
        <w:ind w:left="0" w:firstLine="420" w:firstLineChars="200"/>
        <w:rPr>
          <w:rFonts w:hint="eastAsia" w:ascii="微软雅黑" w:hAnsi="微软雅黑" w:eastAsia="微软雅黑" w:cs="宋体"/>
          <w:color w:val="auto"/>
          <w:szCs w:val="21"/>
          <w:highlight w:val="none"/>
        </w:rPr>
      </w:pPr>
      <w:r>
        <w:rPr>
          <w:rFonts w:hint="eastAsia" w:ascii="微软雅黑" w:hAnsi="微软雅黑" w:eastAsia="微软雅黑" w:cs="宋体"/>
          <w:color w:val="auto"/>
          <w:szCs w:val="21"/>
          <w:highlight w:val="none"/>
        </w:rPr>
        <w:t>在嘉兴市本级设有经办机构；</w:t>
      </w:r>
    </w:p>
    <w:p w14:paraId="0F151B6D">
      <w:pPr>
        <w:numPr>
          <w:ilvl w:val="0"/>
          <w:numId w:val="5"/>
        </w:numPr>
        <w:spacing w:line="460" w:lineRule="exact"/>
        <w:ind w:left="0" w:firstLine="420" w:firstLineChars="200"/>
        <w:rPr>
          <w:rFonts w:hint="eastAsia" w:ascii="微软雅黑" w:hAnsi="微软雅黑" w:eastAsia="微软雅黑" w:cs="宋体"/>
          <w:color w:val="auto"/>
          <w:szCs w:val="21"/>
          <w:highlight w:val="none"/>
        </w:rPr>
      </w:pPr>
      <w:r>
        <w:rPr>
          <w:rFonts w:hint="eastAsia" w:ascii="微软雅黑" w:hAnsi="微软雅黑" w:eastAsia="微软雅黑" w:cs="宋体"/>
          <w:color w:val="auto"/>
          <w:szCs w:val="21"/>
          <w:highlight w:val="none"/>
        </w:rPr>
        <w:t>依法开展经营活动，内部管理机制健全，具有较强的风险控制能力，近3年内在经营活动中无重大违法违规记录、未发生金融风险及重大违约事件；</w:t>
      </w:r>
    </w:p>
    <w:p w14:paraId="37C9CB43">
      <w:pPr>
        <w:numPr>
          <w:ilvl w:val="0"/>
          <w:numId w:val="5"/>
        </w:numPr>
        <w:spacing w:line="460" w:lineRule="exact"/>
        <w:ind w:left="0" w:firstLine="420" w:firstLineChars="200"/>
        <w:rPr>
          <w:rFonts w:hint="eastAsia" w:ascii="微软雅黑" w:hAnsi="微软雅黑" w:eastAsia="微软雅黑" w:cs="宋体"/>
          <w:color w:val="auto"/>
          <w:szCs w:val="21"/>
          <w:highlight w:val="none"/>
        </w:rPr>
      </w:pPr>
      <w:r>
        <w:rPr>
          <w:rFonts w:hint="eastAsia" w:ascii="微软雅黑" w:hAnsi="微软雅黑" w:eastAsia="微软雅黑" w:cs="宋体"/>
          <w:color w:val="auto"/>
          <w:szCs w:val="21"/>
          <w:highlight w:val="none"/>
        </w:rPr>
        <w:t>纳入监管评级的银行，人行嘉兴市中心支行上年度综合评价达到Ｂ级及以上。不纳入人民银行评级范围的银行不受此条款限制。</w:t>
      </w:r>
    </w:p>
    <w:p w14:paraId="538798B0">
      <w:pPr>
        <w:pStyle w:val="3"/>
        <w:numPr>
          <w:ilvl w:val="0"/>
          <w:numId w:val="4"/>
        </w:numPr>
        <w:spacing w:before="0" w:after="0" w:line="460" w:lineRule="exact"/>
        <w:ind w:firstLineChars="200"/>
        <w:rPr>
          <w:rFonts w:hint="eastAsia" w:ascii="微软雅黑" w:hAnsi="微软雅黑"/>
          <w:color w:val="auto"/>
          <w:szCs w:val="21"/>
          <w:highlight w:val="none"/>
        </w:rPr>
      </w:pPr>
      <w:bookmarkStart w:id="13" w:name="_Toc98019229"/>
      <w:r>
        <w:rPr>
          <w:rFonts w:hint="eastAsia" w:ascii="微软雅黑" w:hAnsi="微软雅黑"/>
          <w:color w:val="auto"/>
          <w:szCs w:val="21"/>
          <w:highlight w:val="none"/>
        </w:rPr>
        <w:t>招标文件的获取：</w:t>
      </w:r>
      <w:bookmarkEnd w:id="13"/>
    </w:p>
    <w:p w14:paraId="13F97F7E">
      <w:pPr>
        <w:pStyle w:val="62"/>
        <w:numPr>
          <w:ilvl w:val="0"/>
          <w:numId w:val="6"/>
        </w:numPr>
        <w:snapToGrid w:val="0"/>
        <w:spacing w:line="360" w:lineRule="auto"/>
        <w:ind w:left="0" w:firstLine="472" w:firstLineChars="225"/>
        <w:rPr>
          <w:rFonts w:hint="eastAsia" w:ascii="微软雅黑" w:hAnsi="微软雅黑" w:eastAsia="微软雅黑" w:cs="Arial"/>
          <w:color w:val="auto"/>
          <w:szCs w:val="21"/>
          <w:highlight w:val="none"/>
        </w:rPr>
      </w:pPr>
      <w:r>
        <w:rPr>
          <w:rFonts w:hint="eastAsia" w:ascii="微软雅黑" w:hAnsi="微软雅黑" w:eastAsia="微软雅黑" w:cs="Arial"/>
          <w:bCs/>
          <w:color w:val="auto"/>
          <w:szCs w:val="21"/>
          <w:highlight w:val="none"/>
        </w:rPr>
        <w:t>获取</w:t>
      </w:r>
      <w:r>
        <w:rPr>
          <w:rFonts w:hint="eastAsia" w:ascii="微软雅黑" w:hAnsi="微软雅黑" w:eastAsia="微软雅黑" w:cs="Arial"/>
          <w:color w:val="auto"/>
          <w:szCs w:val="21"/>
          <w:highlight w:val="none"/>
        </w:rPr>
        <w:t>方式（网站下载）</w:t>
      </w:r>
      <w:r>
        <w:rPr>
          <w:rFonts w:ascii="微软雅黑" w:hAnsi="微软雅黑" w:eastAsia="微软雅黑" w:cs="Arial"/>
          <w:color w:val="auto"/>
          <w:szCs w:val="21"/>
          <w:highlight w:val="none"/>
        </w:rPr>
        <w:t>：</w:t>
      </w:r>
      <w:r>
        <w:rPr>
          <w:rFonts w:hint="eastAsia" w:ascii="微软雅黑" w:hAnsi="微软雅黑" w:eastAsia="微软雅黑" w:cs="Arial"/>
          <w:color w:val="auto"/>
          <w:szCs w:val="21"/>
          <w:highlight w:val="none"/>
        </w:rPr>
        <w:t>浙江政府采购网网址（</w:t>
      </w:r>
      <w:r>
        <w:rPr>
          <w:color w:val="auto"/>
          <w:highlight w:val="none"/>
        </w:rPr>
        <w:fldChar w:fldCharType="begin"/>
      </w:r>
      <w:r>
        <w:rPr>
          <w:color w:val="auto"/>
          <w:highlight w:val="none"/>
        </w:rPr>
        <w:instrText xml:space="preserve"> HYPERLINK "https://zfcg.czt.zj.gov.cn/" </w:instrText>
      </w:r>
      <w:r>
        <w:rPr>
          <w:color w:val="auto"/>
          <w:highlight w:val="none"/>
        </w:rPr>
        <w:fldChar w:fldCharType="separate"/>
      </w:r>
      <w:r>
        <w:rPr>
          <w:rStyle w:val="45"/>
          <w:rFonts w:ascii="微软雅黑" w:hAnsi="微软雅黑" w:eastAsia="微软雅黑" w:cs="Arial"/>
          <w:color w:val="auto"/>
          <w:szCs w:val="21"/>
          <w:highlight w:val="none"/>
        </w:rPr>
        <w:t>https://zfcg.czt.zj.gov.cn/</w:t>
      </w:r>
      <w:r>
        <w:rPr>
          <w:rStyle w:val="45"/>
          <w:rFonts w:ascii="微软雅黑" w:hAnsi="微软雅黑" w:eastAsia="微软雅黑" w:cs="Arial"/>
          <w:color w:val="auto"/>
          <w:szCs w:val="21"/>
          <w:highlight w:val="none"/>
        </w:rPr>
        <w:fldChar w:fldCharType="end"/>
      </w:r>
      <w:r>
        <w:rPr>
          <w:rFonts w:hint="eastAsia" w:ascii="微软雅黑" w:hAnsi="微软雅黑" w:eastAsia="微软雅黑" w:cs="Arial"/>
          <w:color w:val="auto"/>
          <w:szCs w:val="21"/>
          <w:highlight w:val="none"/>
        </w:rPr>
        <w:t>）。</w:t>
      </w:r>
    </w:p>
    <w:p w14:paraId="659CB94C">
      <w:pPr>
        <w:pStyle w:val="62"/>
        <w:numPr>
          <w:ilvl w:val="0"/>
          <w:numId w:val="6"/>
        </w:numPr>
        <w:snapToGrid w:val="0"/>
        <w:spacing w:line="360" w:lineRule="auto"/>
        <w:ind w:left="0" w:firstLine="472" w:firstLineChars="225"/>
        <w:rPr>
          <w:rFonts w:hint="eastAsia" w:ascii="微软雅黑" w:hAnsi="微软雅黑" w:eastAsia="微软雅黑" w:cs="Arial"/>
          <w:color w:val="auto"/>
          <w:szCs w:val="21"/>
          <w:highlight w:val="none"/>
        </w:rPr>
      </w:pPr>
      <w:r>
        <w:rPr>
          <w:rFonts w:ascii="微软雅黑" w:hAnsi="微软雅黑" w:eastAsia="微软雅黑" w:cs="Arial"/>
          <w:color w:val="auto"/>
          <w:szCs w:val="21"/>
          <w:highlight w:val="none"/>
        </w:rPr>
        <w:t>招标文件</w:t>
      </w:r>
      <w:r>
        <w:rPr>
          <w:rFonts w:hint="eastAsia" w:ascii="微软雅黑" w:hAnsi="微软雅黑" w:eastAsia="微软雅黑" w:cs="Arial"/>
          <w:color w:val="auto"/>
          <w:szCs w:val="21"/>
          <w:highlight w:val="none"/>
        </w:rPr>
        <w:t>免费下载</w:t>
      </w:r>
      <w:r>
        <w:rPr>
          <w:rFonts w:ascii="微软雅黑" w:hAnsi="微软雅黑" w:eastAsia="微软雅黑" w:cs="Arial"/>
          <w:color w:val="auto"/>
          <w:szCs w:val="21"/>
          <w:highlight w:val="none"/>
        </w:rPr>
        <w:t>。</w:t>
      </w:r>
    </w:p>
    <w:p w14:paraId="487D7F1C">
      <w:pPr>
        <w:pStyle w:val="3"/>
        <w:numPr>
          <w:ilvl w:val="0"/>
          <w:numId w:val="4"/>
        </w:numPr>
        <w:spacing w:before="0" w:after="0" w:line="460" w:lineRule="exact"/>
        <w:ind w:firstLineChars="200"/>
        <w:rPr>
          <w:color w:val="auto"/>
          <w:highlight w:val="none"/>
        </w:rPr>
      </w:pPr>
      <w:bookmarkStart w:id="14" w:name="_Toc98019230"/>
      <w:r>
        <w:rPr>
          <w:rFonts w:hint="eastAsia" w:ascii="微软雅黑" w:hAnsi="微软雅黑"/>
          <w:color w:val="auto"/>
          <w:szCs w:val="21"/>
          <w:highlight w:val="none"/>
        </w:rPr>
        <w:t>报名：</w:t>
      </w:r>
      <w:bookmarkEnd w:id="14"/>
    </w:p>
    <w:p w14:paraId="11824199">
      <w:pPr>
        <w:snapToGrid w:val="0"/>
        <w:spacing w:line="360" w:lineRule="auto"/>
        <w:ind w:firstLine="420" w:firstLineChars="200"/>
        <w:rPr>
          <w:rFonts w:hint="eastAsia" w:ascii="微软雅黑" w:hAnsi="微软雅黑" w:eastAsia="微软雅黑" w:cs="Arial"/>
          <w:color w:val="auto"/>
          <w:szCs w:val="21"/>
          <w:highlight w:val="none"/>
        </w:rPr>
      </w:pPr>
      <w:r>
        <w:rPr>
          <w:rFonts w:hint="eastAsia" w:ascii="微软雅黑" w:hAnsi="微软雅黑" w:eastAsia="微软雅黑" w:cs="Arial"/>
          <w:b/>
          <w:bCs/>
          <w:color w:val="auto"/>
          <w:szCs w:val="21"/>
          <w:highlight w:val="none"/>
        </w:rPr>
        <w:t>报名时间：</w:t>
      </w:r>
      <w:r>
        <w:rPr>
          <w:rFonts w:hint="eastAsia" w:ascii="微软雅黑" w:hAnsi="微软雅黑" w:eastAsia="微软雅黑" w:cs="Arial"/>
          <w:bCs/>
          <w:color w:val="auto"/>
          <w:szCs w:val="21"/>
          <w:highlight w:val="none"/>
          <w:u w:val="single"/>
        </w:rPr>
        <w:t>202</w:t>
      </w:r>
      <w:r>
        <w:rPr>
          <w:rFonts w:hint="eastAsia" w:ascii="微软雅黑" w:hAnsi="微软雅黑" w:eastAsia="微软雅黑" w:cs="Arial"/>
          <w:bCs/>
          <w:color w:val="auto"/>
          <w:szCs w:val="21"/>
          <w:highlight w:val="none"/>
          <w:u w:val="single"/>
          <w:lang w:val="en-US" w:eastAsia="zh-CN"/>
        </w:rPr>
        <w:t>5</w:t>
      </w:r>
      <w:r>
        <w:rPr>
          <w:rFonts w:hint="eastAsia" w:ascii="微软雅黑" w:hAnsi="微软雅黑" w:eastAsia="微软雅黑" w:cs="Arial"/>
          <w:color w:val="auto"/>
          <w:szCs w:val="21"/>
          <w:highlight w:val="none"/>
          <w:u w:val="single"/>
        </w:rPr>
        <w:t>年</w:t>
      </w:r>
      <w:r>
        <w:rPr>
          <w:rFonts w:hint="eastAsia" w:ascii="微软雅黑" w:hAnsi="微软雅黑" w:eastAsia="微软雅黑" w:cs="Arial"/>
          <w:color w:val="auto"/>
          <w:szCs w:val="21"/>
          <w:highlight w:val="none"/>
          <w:u w:val="single"/>
          <w:lang w:val="en-US" w:eastAsia="zh-CN"/>
        </w:rPr>
        <w:t>03月31</w:t>
      </w:r>
      <w:r>
        <w:rPr>
          <w:rFonts w:hint="eastAsia" w:ascii="微软雅黑" w:hAnsi="微软雅黑" w:eastAsia="微软雅黑" w:cs="Arial"/>
          <w:color w:val="auto"/>
          <w:szCs w:val="21"/>
          <w:highlight w:val="none"/>
          <w:u w:val="single"/>
        </w:rPr>
        <w:t>日</w:t>
      </w:r>
      <w:r>
        <w:rPr>
          <w:rFonts w:hint="eastAsia" w:ascii="微软雅黑" w:hAnsi="微软雅黑" w:eastAsia="微软雅黑" w:cs="Arial"/>
          <w:color w:val="auto"/>
          <w:szCs w:val="21"/>
          <w:highlight w:val="none"/>
        </w:rPr>
        <w:t>至</w:t>
      </w:r>
      <w:r>
        <w:rPr>
          <w:rFonts w:hint="eastAsia" w:ascii="微软雅黑" w:hAnsi="微软雅黑" w:eastAsia="微软雅黑" w:cs="Arial"/>
          <w:color w:val="auto"/>
          <w:szCs w:val="21"/>
          <w:highlight w:val="none"/>
          <w:u w:val="single"/>
        </w:rPr>
        <w:t>202</w:t>
      </w:r>
      <w:r>
        <w:rPr>
          <w:rFonts w:hint="eastAsia" w:ascii="微软雅黑" w:hAnsi="微软雅黑" w:eastAsia="微软雅黑" w:cs="Arial"/>
          <w:color w:val="auto"/>
          <w:szCs w:val="21"/>
          <w:highlight w:val="none"/>
          <w:u w:val="single"/>
          <w:lang w:val="en-US" w:eastAsia="zh-CN"/>
        </w:rPr>
        <w:t>5</w:t>
      </w:r>
      <w:r>
        <w:rPr>
          <w:rFonts w:hint="eastAsia" w:ascii="微软雅黑" w:hAnsi="微软雅黑" w:eastAsia="微软雅黑" w:cs="Arial"/>
          <w:color w:val="auto"/>
          <w:szCs w:val="21"/>
          <w:highlight w:val="none"/>
          <w:u w:val="single"/>
        </w:rPr>
        <w:t>年</w:t>
      </w:r>
      <w:r>
        <w:rPr>
          <w:rFonts w:hint="eastAsia" w:ascii="微软雅黑" w:hAnsi="微软雅黑" w:eastAsia="微软雅黑" w:cs="Arial"/>
          <w:color w:val="auto"/>
          <w:szCs w:val="21"/>
          <w:highlight w:val="none"/>
          <w:u w:val="single"/>
          <w:lang w:val="en-US" w:eastAsia="zh-CN"/>
        </w:rPr>
        <w:t xml:space="preserve"> 04</w:t>
      </w:r>
      <w:r>
        <w:rPr>
          <w:rFonts w:hint="eastAsia" w:ascii="微软雅黑" w:hAnsi="微软雅黑" w:eastAsia="微软雅黑" w:cs="Arial"/>
          <w:color w:val="auto"/>
          <w:szCs w:val="21"/>
          <w:highlight w:val="none"/>
          <w:u w:val="single"/>
        </w:rPr>
        <w:t>月</w:t>
      </w:r>
      <w:r>
        <w:rPr>
          <w:rFonts w:hint="eastAsia" w:ascii="微软雅黑" w:hAnsi="微软雅黑" w:eastAsia="微软雅黑" w:cs="Arial"/>
          <w:color w:val="auto"/>
          <w:szCs w:val="21"/>
          <w:highlight w:val="none"/>
          <w:u w:val="single"/>
          <w:lang w:val="en-US" w:eastAsia="zh-CN"/>
        </w:rPr>
        <w:t>08</w:t>
      </w:r>
      <w:r>
        <w:rPr>
          <w:rFonts w:hint="eastAsia" w:ascii="微软雅黑" w:hAnsi="微软雅黑" w:eastAsia="微软雅黑" w:cs="Arial"/>
          <w:color w:val="auto"/>
          <w:szCs w:val="21"/>
          <w:highlight w:val="none"/>
          <w:u w:val="single"/>
        </w:rPr>
        <w:t>日</w:t>
      </w:r>
      <w:r>
        <w:rPr>
          <w:rFonts w:hint="eastAsia" w:ascii="微软雅黑" w:hAnsi="微软雅黑" w:eastAsia="微软雅黑" w:cs="Arial"/>
          <w:color w:val="auto"/>
          <w:szCs w:val="21"/>
          <w:highlight w:val="none"/>
          <w:u w:val="single"/>
          <w:lang w:val="en-US" w:eastAsia="zh-CN"/>
        </w:rPr>
        <w:t>17：30</w:t>
      </w:r>
      <w:r>
        <w:rPr>
          <w:rFonts w:hint="eastAsia" w:ascii="微软雅黑" w:hAnsi="微软雅黑" w:eastAsia="微软雅黑" w:cs="Arial"/>
          <w:color w:val="auto"/>
          <w:szCs w:val="21"/>
          <w:highlight w:val="none"/>
        </w:rPr>
        <w:t>。</w:t>
      </w:r>
    </w:p>
    <w:p w14:paraId="4D1B37B0">
      <w:pPr>
        <w:snapToGrid w:val="0"/>
        <w:spacing w:line="360" w:lineRule="auto"/>
        <w:ind w:firstLine="420" w:firstLineChars="200"/>
        <w:rPr>
          <w:rFonts w:hint="eastAsia" w:ascii="微软雅黑" w:hAnsi="微软雅黑" w:eastAsia="微软雅黑" w:cs="Arial"/>
          <w:color w:val="auto"/>
          <w:szCs w:val="21"/>
          <w:highlight w:val="none"/>
        </w:rPr>
      </w:pPr>
      <w:r>
        <w:rPr>
          <w:rFonts w:hint="eastAsia" w:ascii="微软雅黑" w:hAnsi="微软雅黑" w:eastAsia="微软雅黑"/>
          <w:b/>
          <w:color w:val="auto"/>
          <w:szCs w:val="21"/>
          <w:highlight w:val="none"/>
        </w:rPr>
        <w:t>报名方式：</w:t>
      </w:r>
      <w:r>
        <w:rPr>
          <w:rFonts w:hint="eastAsia" w:ascii="微软雅黑" w:hAnsi="微软雅黑" w:eastAsia="微软雅黑"/>
          <w:color w:val="auto"/>
          <w:szCs w:val="21"/>
          <w:highlight w:val="none"/>
        </w:rPr>
        <w:t>本项目实行</w:t>
      </w:r>
      <w:r>
        <w:rPr>
          <w:rFonts w:hint="eastAsia" w:ascii="微软雅黑" w:hAnsi="微软雅黑" w:eastAsia="微软雅黑"/>
          <w:color w:val="auto"/>
          <w:szCs w:val="21"/>
          <w:highlight w:val="none"/>
          <w:u w:val="single"/>
        </w:rPr>
        <w:t xml:space="preserve"> 网上</w:t>
      </w:r>
      <w:r>
        <w:rPr>
          <w:rFonts w:hint="eastAsia" w:ascii="微软雅黑" w:hAnsi="微软雅黑" w:eastAsia="微软雅黑"/>
          <w:color w:val="auto"/>
          <w:szCs w:val="21"/>
          <w:highlight w:val="none"/>
        </w:rPr>
        <w:t>报名。报名银行登录政府采购云平台（</w:t>
      </w:r>
      <w:r>
        <w:rPr>
          <w:color w:val="auto"/>
          <w:highlight w:val="none"/>
        </w:rPr>
        <w:fldChar w:fldCharType="begin"/>
      </w:r>
      <w:r>
        <w:rPr>
          <w:color w:val="auto"/>
          <w:highlight w:val="none"/>
        </w:rPr>
        <w:instrText xml:space="preserve"> HYPERLINK "https://login.zcygov.cn/user-login/" \l "/login" </w:instrText>
      </w:r>
      <w:r>
        <w:rPr>
          <w:color w:val="auto"/>
          <w:highlight w:val="none"/>
        </w:rPr>
        <w:fldChar w:fldCharType="separate"/>
      </w:r>
      <w:r>
        <w:rPr>
          <w:rStyle w:val="45"/>
          <w:rFonts w:ascii="微软雅黑" w:hAnsi="微软雅黑" w:eastAsia="微软雅黑"/>
          <w:color w:val="auto"/>
          <w:szCs w:val="21"/>
          <w:highlight w:val="none"/>
        </w:rPr>
        <w:t>https://login.zcygov.cn/user-login/#/login</w:t>
      </w:r>
      <w:r>
        <w:rPr>
          <w:rStyle w:val="45"/>
          <w:rFonts w:ascii="微软雅黑" w:hAnsi="微软雅黑" w:eastAsia="微软雅黑"/>
          <w:color w:val="auto"/>
          <w:szCs w:val="21"/>
          <w:highlight w:val="none"/>
        </w:rPr>
        <w:fldChar w:fldCharType="end"/>
      </w:r>
      <w:r>
        <w:rPr>
          <w:rFonts w:hint="eastAsia" w:ascii="微软雅黑" w:hAnsi="微软雅黑" w:eastAsia="微软雅黑"/>
          <w:color w:val="auto"/>
          <w:szCs w:val="21"/>
          <w:highlight w:val="none"/>
        </w:rPr>
        <w:t>）,进入公款竞争性存放招标系统（以下简称“招标系统”），在财政资金竞争性存放-竞标项目内按规定进行报名。第一步：选择本期招标项目，第二步：填写报名信息。报名成功后联系人会收到短信通知，逾期报名视为未报名。</w:t>
      </w:r>
    </w:p>
    <w:p w14:paraId="2834421E">
      <w:pPr>
        <w:snapToGrid w:val="0"/>
        <w:spacing w:line="360" w:lineRule="auto"/>
        <w:ind w:firstLine="420" w:firstLineChars="200"/>
        <w:rPr>
          <w:rFonts w:hint="eastAsia" w:ascii="微软雅黑" w:hAnsi="微软雅黑" w:eastAsia="微软雅黑" w:cs="Arial"/>
          <w:b/>
          <w:bCs/>
          <w:color w:val="auto"/>
          <w:szCs w:val="21"/>
          <w:highlight w:val="none"/>
        </w:rPr>
      </w:pPr>
      <w:r>
        <w:rPr>
          <w:rFonts w:hint="eastAsia" w:ascii="微软雅黑" w:hAnsi="微软雅黑" w:eastAsia="微软雅黑" w:cs="Arial"/>
          <w:b/>
          <w:bCs/>
          <w:color w:val="auto"/>
          <w:szCs w:val="21"/>
          <w:highlight w:val="none"/>
        </w:rPr>
        <w:t>报名应提供以下资料：</w:t>
      </w:r>
    </w:p>
    <w:p w14:paraId="77D930F1">
      <w:pPr>
        <w:snapToGrid w:val="0"/>
        <w:spacing w:line="360" w:lineRule="auto"/>
        <w:ind w:firstLine="472" w:firstLineChars="225"/>
        <w:rPr>
          <w:rFonts w:hint="eastAsia" w:ascii="微软雅黑" w:hAnsi="微软雅黑" w:eastAsia="微软雅黑" w:cs="Arial"/>
          <w:color w:val="auto"/>
          <w:szCs w:val="21"/>
          <w:highlight w:val="none"/>
        </w:rPr>
      </w:pPr>
      <w:r>
        <w:rPr>
          <w:rFonts w:ascii="微软雅黑" w:hAnsi="微软雅黑" w:eastAsia="微软雅黑" w:cs="Arial"/>
          <w:color w:val="auto"/>
          <w:szCs w:val="21"/>
          <w:highlight w:val="none"/>
        </w:rPr>
        <w:t>1</w:t>
      </w:r>
      <w:r>
        <w:rPr>
          <w:rFonts w:hint="eastAsia" w:ascii="微软雅黑" w:hAnsi="微软雅黑" w:eastAsia="微软雅黑" w:cs="Arial"/>
          <w:color w:val="auto"/>
          <w:szCs w:val="21"/>
          <w:highlight w:val="none"/>
        </w:rPr>
        <w:t>.</w:t>
      </w:r>
      <w:r>
        <w:rPr>
          <w:rFonts w:ascii="微软雅黑" w:hAnsi="微软雅黑" w:eastAsia="微软雅黑" w:cs="Arial"/>
          <w:color w:val="auto"/>
          <w:szCs w:val="21"/>
          <w:highlight w:val="none"/>
        </w:rPr>
        <w:t>经有关部门年检通过的企业法人营业执照</w:t>
      </w:r>
      <w:r>
        <w:rPr>
          <w:rFonts w:hint="eastAsia" w:ascii="微软雅黑" w:hAnsi="微软雅黑" w:eastAsia="微软雅黑" w:cs="Arial"/>
          <w:color w:val="auto"/>
          <w:szCs w:val="21"/>
          <w:highlight w:val="none"/>
        </w:rPr>
        <w:t>副本</w:t>
      </w:r>
      <w:r>
        <w:rPr>
          <w:rFonts w:ascii="微软雅黑" w:hAnsi="微软雅黑" w:eastAsia="微软雅黑" w:cs="Arial"/>
          <w:color w:val="auto"/>
          <w:szCs w:val="21"/>
          <w:highlight w:val="none"/>
        </w:rPr>
        <w:t>复印件</w:t>
      </w:r>
      <w:r>
        <w:rPr>
          <w:rFonts w:hint="eastAsia" w:ascii="微软雅黑" w:hAnsi="微软雅黑" w:eastAsia="微软雅黑" w:cs="Arial"/>
          <w:color w:val="auto"/>
          <w:szCs w:val="21"/>
          <w:highlight w:val="none"/>
        </w:rPr>
        <w:t>（加盖单位公章）</w:t>
      </w:r>
      <w:r>
        <w:rPr>
          <w:rFonts w:ascii="微软雅黑" w:hAnsi="微软雅黑" w:eastAsia="微软雅黑" w:cs="Arial"/>
          <w:color w:val="auto"/>
          <w:szCs w:val="21"/>
          <w:highlight w:val="none"/>
        </w:rPr>
        <w:t>；</w:t>
      </w:r>
    </w:p>
    <w:p w14:paraId="623788A8">
      <w:pPr>
        <w:snapToGrid w:val="0"/>
        <w:spacing w:line="360" w:lineRule="auto"/>
        <w:ind w:firstLine="472" w:firstLineChars="225"/>
        <w:rPr>
          <w:rFonts w:hint="eastAsia" w:ascii="微软雅黑" w:hAnsi="微软雅黑" w:eastAsia="微软雅黑" w:cs="Arial"/>
          <w:color w:val="auto"/>
          <w:szCs w:val="21"/>
          <w:highlight w:val="none"/>
        </w:rPr>
      </w:pPr>
      <w:r>
        <w:rPr>
          <w:rFonts w:ascii="微软雅黑" w:hAnsi="微软雅黑" w:eastAsia="微软雅黑" w:cs="Arial"/>
          <w:color w:val="auto"/>
          <w:szCs w:val="21"/>
          <w:highlight w:val="none"/>
        </w:rPr>
        <w:t>2</w:t>
      </w:r>
      <w:r>
        <w:rPr>
          <w:rFonts w:hint="eastAsia" w:ascii="微软雅黑" w:hAnsi="微软雅黑" w:eastAsia="微软雅黑" w:cs="Arial"/>
          <w:color w:val="auto"/>
          <w:szCs w:val="21"/>
          <w:highlight w:val="none"/>
        </w:rPr>
        <w:t>.</w:t>
      </w:r>
      <w:r>
        <w:rPr>
          <w:rFonts w:ascii="微软雅黑" w:hAnsi="微软雅黑" w:eastAsia="微软雅黑" w:cs="Arial"/>
          <w:color w:val="auto"/>
          <w:szCs w:val="21"/>
          <w:highlight w:val="none"/>
        </w:rPr>
        <w:t>报名人</w:t>
      </w:r>
      <w:r>
        <w:rPr>
          <w:rFonts w:hint="eastAsia" w:ascii="微软雅黑" w:hAnsi="微软雅黑" w:eastAsia="微软雅黑" w:cs="Arial"/>
          <w:color w:val="auto"/>
          <w:szCs w:val="21"/>
          <w:highlight w:val="none"/>
        </w:rPr>
        <w:t>有效</w:t>
      </w:r>
      <w:r>
        <w:rPr>
          <w:rFonts w:ascii="微软雅黑" w:hAnsi="微软雅黑" w:eastAsia="微软雅黑" w:cs="Arial"/>
          <w:color w:val="auto"/>
          <w:szCs w:val="21"/>
          <w:highlight w:val="none"/>
        </w:rPr>
        <w:t>身份证</w:t>
      </w:r>
      <w:r>
        <w:rPr>
          <w:rFonts w:hint="eastAsia" w:ascii="微软雅黑" w:hAnsi="微软雅黑" w:eastAsia="微软雅黑" w:cs="Arial"/>
          <w:color w:val="auto"/>
          <w:szCs w:val="21"/>
          <w:highlight w:val="none"/>
        </w:rPr>
        <w:t>件</w:t>
      </w:r>
      <w:r>
        <w:rPr>
          <w:rFonts w:ascii="微软雅黑" w:hAnsi="微软雅黑" w:eastAsia="微软雅黑" w:cs="Arial"/>
          <w:color w:val="auto"/>
          <w:szCs w:val="21"/>
          <w:highlight w:val="none"/>
        </w:rPr>
        <w:t>复印件</w:t>
      </w:r>
      <w:r>
        <w:rPr>
          <w:rFonts w:hint="eastAsia" w:ascii="微软雅黑" w:hAnsi="微软雅黑" w:eastAsia="微软雅黑" w:cs="Arial"/>
          <w:color w:val="auto"/>
          <w:szCs w:val="21"/>
          <w:highlight w:val="none"/>
        </w:rPr>
        <w:t>（加盖单位公章）；</w:t>
      </w:r>
    </w:p>
    <w:p w14:paraId="07827FA8">
      <w:pPr>
        <w:snapToGrid w:val="0"/>
        <w:spacing w:line="360" w:lineRule="auto"/>
        <w:ind w:firstLine="472" w:firstLineChars="225"/>
        <w:rPr>
          <w:rFonts w:hint="eastAsia" w:ascii="微软雅黑" w:hAnsi="微软雅黑" w:eastAsia="微软雅黑" w:cs="Arial"/>
          <w:color w:val="auto"/>
          <w:szCs w:val="21"/>
          <w:highlight w:val="none"/>
        </w:rPr>
      </w:pPr>
      <w:r>
        <w:rPr>
          <w:rFonts w:hint="eastAsia" w:ascii="微软雅黑" w:hAnsi="微软雅黑" w:eastAsia="微软雅黑" w:cs="Arial"/>
          <w:color w:val="auto"/>
          <w:szCs w:val="21"/>
          <w:highlight w:val="none"/>
        </w:rPr>
        <w:t>3.投标银行报名表（加盖单位公章）。</w:t>
      </w:r>
    </w:p>
    <w:p w14:paraId="346815B7">
      <w:pPr>
        <w:spacing w:before="156" w:beforeLines="50" w:after="156" w:afterLines="50" w:line="360" w:lineRule="auto"/>
        <w:ind w:firstLine="309" w:firstLineChars="147"/>
        <w:rPr>
          <w:rFonts w:hint="eastAsia" w:ascii="微软雅黑" w:hAnsi="微软雅黑" w:eastAsia="微软雅黑" w:cs="Arial"/>
          <w:color w:val="auto"/>
          <w:szCs w:val="21"/>
          <w:highlight w:val="none"/>
        </w:rPr>
      </w:pPr>
      <w:r>
        <w:rPr>
          <w:rFonts w:hint="eastAsia" w:ascii="微软雅黑" w:hAnsi="微软雅黑" w:eastAsia="微软雅黑" w:cs="Arial"/>
          <w:b/>
          <w:color w:val="auto"/>
          <w:szCs w:val="21"/>
          <w:highlight w:val="none"/>
        </w:rPr>
        <w:t>八</w:t>
      </w:r>
      <w:r>
        <w:rPr>
          <w:rFonts w:hint="eastAsia" w:ascii="微软雅黑" w:hAnsi="微软雅黑" w:eastAsia="微软雅黑" w:cs="Arial"/>
          <w:b/>
          <w:bCs/>
          <w:color w:val="auto"/>
          <w:szCs w:val="21"/>
          <w:highlight w:val="none"/>
        </w:rPr>
        <w:t>、投标方式、线下投标截止时间和网上投标</w:t>
      </w:r>
      <w:r>
        <w:rPr>
          <w:rStyle w:val="41"/>
          <w:rFonts w:hint="eastAsia" w:ascii="微软雅黑" w:hAnsi="微软雅黑" w:eastAsia="微软雅黑" w:cs="Courier New"/>
          <w:color w:val="auto"/>
          <w:szCs w:val="21"/>
          <w:highlight w:val="none"/>
        </w:rPr>
        <w:t>起止时间</w:t>
      </w:r>
      <w:r>
        <w:rPr>
          <w:rFonts w:hint="eastAsia" w:ascii="微软雅黑" w:hAnsi="微软雅黑" w:eastAsia="微软雅黑" w:cs="Arial"/>
          <w:color w:val="auto"/>
          <w:szCs w:val="21"/>
          <w:highlight w:val="none"/>
        </w:rPr>
        <w:t>：</w:t>
      </w:r>
    </w:p>
    <w:p w14:paraId="1815E47A">
      <w:pPr>
        <w:spacing w:line="360" w:lineRule="auto"/>
        <w:ind w:firstLine="411" w:firstLineChars="196"/>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本项目实行线下纸质投标叠加网上电子投标。线下纸质投标文件接收截止时间：202</w:t>
      </w:r>
      <w:r>
        <w:rPr>
          <w:rFonts w:hint="eastAsia" w:ascii="微软雅黑" w:hAnsi="微软雅黑" w:eastAsia="微软雅黑"/>
          <w:color w:val="auto"/>
          <w:szCs w:val="21"/>
          <w:highlight w:val="none"/>
          <w:lang w:val="en-US" w:eastAsia="zh-CN"/>
        </w:rPr>
        <w:t>5</w:t>
      </w:r>
      <w:r>
        <w:rPr>
          <w:rFonts w:hint="eastAsia" w:ascii="微软雅黑" w:hAnsi="微软雅黑" w:eastAsia="微软雅黑"/>
          <w:color w:val="auto"/>
          <w:szCs w:val="21"/>
          <w:highlight w:val="none"/>
        </w:rPr>
        <w:t>年</w:t>
      </w:r>
      <w:r>
        <w:rPr>
          <w:rFonts w:hint="eastAsia" w:ascii="微软雅黑" w:hAnsi="微软雅黑" w:eastAsia="微软雅黑"/>
          <w:color w:val="auto"/>
          <w:szCs w:val="21"/>
          <w:highlight w:val="none"/>
          <w:lang w:val="en-US" w:eastAsia="zh-CN"/>
        </w:rPr>
        <w:t>04</w:t>
      </w:r>
      <w:r>
        <w:rPr>
          <w:rFonts w:hint="eastAsia" w:ascii="微软雅黑" w:hAnsi="微软雅黑" w:eastAsia="微软雅黑"/>
          <w:color w:val="auto"/>
          <w:szCs w:val="21"/>
          <w:highlight w:val="none"/>
        </w:rPr>
        <w:t>月</w:t>
      </w:r>
      <w:r>
        <w:rPr>
          <w:rFonts w:hint="eastAsia" w:ascii="微软雅黑" w:hAnsi="微软雅黑" w:eastAsia="微软雅黑"/>
          <w:color w:val="auto"/>
          <w:szCs w:val="21"/>
          <w:highlight w:val="none"/>
          <w:lang w:val="en-US" w:eastAsia="zh-CN"/>
        </w:rPr>
        <w:t>09</w:t>
      </w:r>
      <w:r>
        <w:rPr>
          <w:rFonts w:hint="eastAsia" w:ascii="微软雅黑" w:hAnsi="微软雅黑" w:eastAsia="微软雅黑"/>
          <w:color w:val="auto"/>
          <w:szCs w:val="21"/>
          <w:highlight w:val="none"/>
        </w:rPr>
        <w:t>日</w:t>
      </w:r>
      <w:r>
        <w:rPr>
          <w:rFonts w:hint="eastAsia" w:ascii="微软雅黑" w:hAnsi="微软雅黑" w:eastAsia="微软雅黑"/>
          <w:color w:val="auto"/>
          <w:szCs w:val="21"/>
          <w:highlight w:val="none"/>
          <w:lang w:val="en-US" w:eastAsia="zh-CN"/>
        </w:rPr>
        <w:t>14</w:t>
      </w:r>
      <w:r>
        <w:rPr>
          <w:rFonts w:hint="eastAsia" w:ascii="微软雅黑" w:hAnsi="微软雅黑" w:eastAsia="微软雅黑"/>
          <w:color w:val="auto"/>
          <w:szCs w:val="21"/>
          <w:highlight w:val="none"/>
        </w:rPr>
        <w:t>时</w:t>
      </w:r>
      <w:r>
        <w:rPr>
          <w:rFonts w:hint="eastAsia" w:ascii="微软雅黑" w:hAnsi="微软雅黑" w:eastAsia="微软雅黑"/>
          <w:color w:val="auto"/>
          <w:szCs w:val="21"/>
          <w:highlight w:val="none"/>
          <w:lang w:val="en-US" w:eastAsia="zh-CN"/>
        </w:rPr>
        <w:t>30</w:t>
      </w:r>
      <w:r>
        <w:rPr>
          <w:rFonts w:hint="eastAsia" w:ascii="微软雅黑" w:hAnsi="微软雅黑" w:eastAsia="微软雅黑"/>
          <w:color w:val="auto"/>
          <w:szCs w:val="21"/>
          <w:highlight w:val="none"/>
        </w:rPr>
        <w:t>分，未按时寄达或送达指定地点的，均视为自动放弃。网上电子投标投标人应于202</w:t>
      </w:r>
      <w:r>
        <w:rPr>
          <w:rFonts w:hint="eastAsia" w:ascii="微软雅黑" w:hAnsi="微软雅黑" w:eastAsia="微软雅黑"/>
          <w:color w:val="auto"/>
          <w:szCs w:val="21"/>
          <w:highlight w:val="none"/>
          <w:lang w:val="en-US" w:eastAsia="zh-CN"/>
        </w:rPr>
        <w:t>5</w:t>
      </w:r>
      <w:r>
        <w:rPr>
          <w:rFonts w:hint="eastAsia" w:ascii="微软雅黑" w:hAnsi="微软雅黑" w:eastAsia="微软雅黑"/>
          <w:color w:val="auto"/>
          <w:szCs w:val="21"/>
          <w:highlight w:val="none"/>
        </w:rPr>
        <w:t>年</w:t>
      </w:r>
      <w:r>
        <w:rPr>
          <w:rFonts w:hint="eastAsia" w:ascii="微软雅黑" w:hAnsi="微软雅黑" w:eastAsia="微软雅黑"/>
          <w:color w:val="auto"/>
          <w:szCs w:val="21"/>
          <w:highlight w:val="none"/>
          <w:lang w:val="en-US" w:eastAsia="zh-CN"/>
        </w:rPr>
        <w:t>04</w:t>
      </w:r>
      <w:r>
        <w:rPr>
          <w:rFonts w:hint="eastAsia" w:ascii="微软雅黑" w:hAnsi="微软雅黑" w:eastAsia="微软雅黑"/>
          <w:color w:val="auto"/>
          <w:szCs w:val="21"/>
          <w:highlight w:val="none"/>
        </w:rPr>
        <w:t>月</w:t>
      </w:r>
      <w:r>
        <w:rPr>
          <w:rFonts w:hint="eastAsia" w:ascii="微软雅黑" w:hAnsi="微软雅黑" w:eastAsia="微软雅黑"/>
          <w:color w:val="auto"/>
          <w:szCs w:val="21"/>
          <w:highlight w:val="none"/>
          <w:lang w:val="en-US" w:eastAsia="zh-CN"/>
        </w:rPr>
        <w:t>09</w:t>
      </w:r>
      <w:r>
        <w:rPr>
          <w:rFonts w:hint="eastAsia" w:ascii="微软雅黑" w:hAnsi="微软雅黑" w:eastAsia="微软雅黑"/>
          <w:color w:val="auto"/>
          <w:szCs w:val="21"/>
          <w:highlight w:val="none"/>
        </w:rPr>
        <w:t>日</w:t>
      </w:r>
      <w:r>
        <w:rPr>
          <w:rFonts w:hint="eastAsia" w:ascii="微软雅黑" w:hAnsi="微软雅黑" w:eastAsia="微软雅黑"/>
          <w:color w:val="auto"/>
          <w:szCs w:val="21"/>
          <w:highlight w:val="none"/>
          <w:lang w:val="en-US" w:eastAsia="zh-CN"/>
        </w:rPr>
        <w:t>14</w:t>
      </w:r>
      <w:r>
        <w:rPr>
          <w:rFonts w:hint="eastAsia" w:ascii="微软雅黑" w:hAnsi="微软雅黑" w:eastAsia="微软雅黑"/>
          <w:color w:val="auto"/>
          <w:szCs w:val="21"/>
          <w:highlight w:val="none"/>
        </w:rPr>
        <w:t>时</w:t>
      </w:r>
      <w:r>
        <w:rPr>
          <w:rFonts w:hint="eastAsia" w:ascii="微软雅黑" w:hAnsi="微软雅黑" w:eastAsia="微软雅黑"/>
          <w:color w:val="auto"/>
          <w:szCs w:val="21"/>
          <w:highlight w:val="none"/>
          <w:lang w:val="en-US" w:eastAsia="zh-CN"/>
        </w:rPr>
        <w:t>30</w:t>
      </w:r>
      <w:r>
        <w:rPr>
          <w:rFonts w:hint="eastAsia" w:ascii="微软雅黑" w:hAnsi="微软雅黑" w:eastAsia="微软雅黑"/>
          <w:color w:val="auto"/>
          <w:szCs w:val="21"/>
          <w:highlight w:val="none"/>
        </w:rPr>
        <w:t>分前，登录政府采购云平台，进入招标系统，按规定进行投标。投标成功会接收短信通知，逾期投标视为未投标。</w:t>
      </w:r>
    </w:p>
    <w:p w14:paraId="1AEACB61">
      <w:pPr>
        <w:snapToGrid w:val="0"/>
        <w:spacing w:line="360" w:lineRule="auto"/>
        <w:ind w:firstLine="309" w:firstLineChars="147"/>
        <w:rPr>
          <w:rFonts w:hint="eastAsia" w:ascii="微软雅黑" w:hAnsi="微软雅黑" w:eastAsia="微软雅黑" w:cs="Arial"/>
          <w:color w:val="auto"/>
          <w:szCs w:val="21"/>
          <w:highlight w:val="none"/>
        </w:rPr>
      </w:pPr>
      <w:r>
        <w:rPr>
          <w:rFonts w:hint="eastAsia" w:ascii="微软雅黑" w:hAnsi="微软雅黑" w:eastAsia="微软雅黑" w:cs="Arial"/>
          <w:b/>
          <w:bCs/>
          <w:color w:val="auto"/>
          <w:szCs w:val="21"/>
          <w:highlight w:val="none"/>
        </w:rPr>
        <w:t>九、开标时间及地点</w:t>
      </w:r>
      <w:r>
        <w:rPr>
          <w:rFonts w:hint="eastAsia" w:ascii="微软雅黑" w:hAnsi="微软雅黑" w:eastAsia="微软雅黑" w:cs="Arial"/>
          <w:color w:val="auto"/>
          <w:szCs w:val="21"/>
          <w:highlight w:val="none"/>
        </w:rPr>
        <w:t>：</w:t>
      </w:r>
    </w:p>
    <w:p w14:paraId="3C88FE69">
      <w:pPr>
        <w:snapToGrid w:val="0"/>
        <w:spacing w:line="360" w:lineRule="auto"/>
        <w:ind w:firstLine="308" w:firstLineChars="147"/>
        <w:rPr>
          <w:rFonts w:hint="eastAsia" w:ascii="微软雅黑" w:hAnsi="微软雅黑" w:eastAsia="微软雅黑" w:cs="Arial"/>
          <w:color w:val="auto"/>
          <w:szCs w:val="21"/>
          <w:highlight w:val="none"/>
        </w:rPr>
      </w:pPr>
      <w:r>
        <w:rPr>
          <w:rFonts w:hint="eastAsia" w:ascii="微软雅黑" w:hAnsi="微软雅黑" w:eastAsia="微软雅黑" w:cs="Arial"/>
          <w:color w:val="auto"/>
          <w:szCs w:val="21"/>
          <w:highlight w:val="none"/>
        </w:rPr>
        <w:t>本次招标将于</w:t>
      </w:r>
      <w:r>
        <w:rPr>
          <w:rFonts w:hint="eastAsia" w:ascii="微软雅黑" w:hAnsi="微软雅黑" w:eastAsia="微软雅黑"/>
          <w:color w:val="auto"/>
          <w:szCs w:val="21"/>
          <w:highlight w:val="none"/>
        </w:rPr>
        <w:t>202</w:t>
      </w:r>
      <w:r>
        <w:rPr>
          <w:rFonts w:hint="eastAsia" w:ascii="微软雅黑" w:hAnsi="微软雅黑" w:eastAsia="微软雅黑"/>
          <w:color w:val="auto"/>
          <w:szCs w:val="21"/>
          <w:highlight w:val="none"/>
          <w:lang w:val="en-US" w:eastAsia="zh-CN"/>
        </w:rPr>
        <w:t>5</w:t>
      </w:r>
      <w:r>
        <w:rPr>
          <w:rFonts w:hint="eastAsia" w:ascii="微软雅黑" w:hAnsi="微软雅黑" w:eastAsia="微软雅黑"/>
          <w:color w:val="auto"/>
          <w:szCs w:val="21"/>
          <w:highlight w:val="none"/>
        </w:rPr>
        <w:t>年</w:t>
      </w:r>
      <w:r>
        <w:rPr>
          <w:rFonts w:hint="eastAsia" w:ascii="微软雅黑" w:hAnsi="微软雅黑" w:eastAsia="微软雅黑"/>
          <w:color w:val="auto"/>
          <w:szCs w:val="21"/>
          <w:highlight w:val="none"/>
          <w:lang w:val="en-US" w:eastAsia="zh-CN"/>
        </w:rPr>
        <w:t>04</w:t>
      </w:r>
      <w:r>
        <w:rPr>
          <w:rFonts w:hint="eastAsia" w:ascii="微软雅黑" w:hAnsi="微软雅黑" w:eastAsia="微软雅黑"/>
          <w:color w:val="auto"/>
          <w:szCs w:val="21"/>
          <w:highlight w:val="none"/>
        </w:rPr>
        <w:t>月</w:t>
      </w:r>
      <w:r>
        <w:rPr>
          <w:rFonts w:hint="eastAsia" w:ascii="微软雅黑" w:hAnsi="微软雅黑" w:eastAsia="微软雅黑"/>
          <w:color w:val="auto"/>
          <w:szCs w:val="21"/>
          <w:highlight w:val="none"/>
          <w:lang w:val="en-US" w:eastAsia="zh-CN"/>
        </w:rPr>
        <w:t>09</w:t>
      </w:r>
      <w:r>
        <w:rPr>
          <w:rFonts w:hint="eastAsia" w:ascii="微软雅黑" w:hAnsi="微软雅黑" w:eastAsia="微软雅黑"/>
          <w:color w:val="auto"/>
          <w:szCs w:val="21"/>
          <w:highlight w:val="none"/>
        </w:rPr>
        <w:t>日</w:t>
      </w:r>
      <w:r>
        <w:rPr>
          <w:rFonts w:hint="eastAsia" w:ascii="微软雅黑" w:hAnsi="微软雅黑" w:eastAsia="微软雅黑"/>
          <w:color w:val="auto"/>
          <w:szCs w:val="21"/>
          <w:highlight w:val="none"/>
          <w:lang w:val="en-US" w:eastAsia="zh-CN"/>
        </w:rPr>
        <w:t>14</w:t>
      </w:r>
      <w:r>
        <w:rPr>
          <w:rFonts w:hint="eastAsia" w:ascii="微软雅黑" w:hAnsi="微软雅黑" w:eastAsia="微软雅黑"/>
          <w:color w:val="auto"/>
          <w:szCs w:val="21"/>
          <w:highlight w:val="none"/>
        </w:rPr>
        <w:t>时</w:t>
      </w:r>
      <w:r>
        <w:rPr>
          <w:rFonts w:hint="eastAsia" w:ascii="微软雅黑" w:hAnsi="微软雅黑" w:eastAsia="微软雅黑"/>
          <w:color w:val="auto"/>
          <w:szCs w:val="21"/>
          <w:highlight w:val="none"/>
          <w:lang w:val="en-US" w:eastAsia="zh-CN"/>
        </w:rPr>
        <w:t>30</w:t>
      </w:r>
      <w:r>
        <w:rPr>
          <w:rFonts w:hint="eastAsia" w:ascii="微软雅黑" w:hAnsi="微软雅黑" w:eastAsia="微软雅黑"/>
          <w:color w:val="auto"/>
          <w:szCs w:val="21"/>
          <w:highlight w:val="none"/>
        </w:rPr>
        <w:t>分</w:t>
      </w:r>
      <w:r>
        <w:rPr>
          <w:rFonts w:hint="eastAsia" w:ascii="微软雅黑" w:hAnsi="微软雅黑" w:eastAsia="微软雅黑" w:cs="Arial"/>
          <w:color w:val="auto"/>
          <w:szCs w:val="21"/>
          <w:highlight w:val="none"/>
        </w:rPr>
        <w:t>在</w:t>
      </w:r>
      <w:r>
        <w:rPr>
          <w:rFonts w:hint="eastAsia" w:ascii="微软雅黑" w:hAnsi="微软雅黑" w:eastAsia="微软雅黑"/>
          <w:color w:val="auto"/>
          <w:highlight w:val="none"/>
        </w:rPr>
        <w:t>嘉兴市秀洲区公共资源交易中心五楼开标室(嘉兴市秀洲区成秀路328号)</w:t>
      </w:r>
      <w:r>
        <w:rPr>
          <w:rFonts w:hint="eastAsia" w:ascii="微软雅黑" w:hAnsi="微软雅黑" w:eastAsia="微软雅黑" w:cs="Arial"/>
          <w:color w:val="auto"/>
          <w:szCs w:val="21"/>
          <w:highlight w:val="none"/>
        </w:rPr>
        <w:t>。</w:t>
      </w:r>
    </w:p>
    <w:p w14:paraId="6E94E87E">
      <w:pPr>
        <w:pStyle w:val="3"/>
        <w:numPr>
          <w:ilvl w:val="0"/>
          <w:numId w:val="4"/>
        </w:numPr>
        <w:spacing w:before="0" w:after="0" w:line="460" w:lineRule="exact"/>
        <w:ind w:firstLineChars="200"/>
        <w:rPr>
          <w:rFonts w:hint="eastAsia" w:ascii="微软雅黑" w:hAnsi="微软雅黑"/>
          <w:color w:val="auto"/>
          <w:szCs w:val="21"/>
          <w:highlight w:val="none"/>
        </w:rPr>
      </w:pPr>
      <w:bookmarkStart w:id="15" w:name="_Toc98019231"/>
      <w:r>
        <w:rPr>
          <w:rFonts w:hint="eastAsia" w:ascii="微软雅黑" w:hAnsi="微软雅黑"/>
          <w:color w:val="auto"/>
          <w:szCs w:val="21"/>
          <w:highlight w:val="none"/>
        </w:rPr>
        <w:t>招标公告发布于：</w:t>
      </w:r>
      <w:bookmarkEnd w:id="15"/>
    </w:p>
    <w:p w14:paraId="61A82E9F">
      <w:pPr>
        <w:snapToGrid w:val="0"/>
        <w:spacing w:line="460" w:lineRule="exact"/>
        <w:ind w:firstLine="420"/>
        <w:jc w:val="left"/>
        <w:rPr>
          <w:rFonts w:hint="eastAsia" w:ascii="微软雅黑" w:hAnsi="微软雅黑" w:eastAsia="微软雅黑" w:cs="Arial"/>
          <w:b/>
          <w:color w:val="auto"/>
          <w:szCs w:val="21"/>
          <w:highlight w:val="none"/>
          <w:lang w:eastAsia="zh-CN"/>
        </w:rPr>
      </w:pPr>
      <w:r>
        <w:rPr>
          <w:rFonts w:hint="eastAsia" w:ascii="微软雅黑" w:hAnsi="微软雅黑" w:eastAsia="微软雅黑"/>
          <w:color w:val="auto"/>
          <w:szCs w:val="21"/>
          <w:highlight w:val="none"/>
        </w:rPr>
        <w:t>浙江政府采购网（</w:t>
      </w:r>
      <w:r>
        <w:rPr>
          <w:color w:val="auto"/>
          <w:highlight w:val="none"/>
        </w:rPr>
        <w:fldChar w:fldCharType="begin"/>
      </w:r>
      <w:r>
        <w:rPr>
          <w:color w:val="auto"/>
          <w:highlight w:val="none"/>
        </w:rPr>
        <w:instrText xml:space="preserve"> HYPERLINK "https://zfcg.czt.zj.gov.cn/" </w:instrText>
      </w:r>
      <w:r>
        <w:rPr>
          <w:color w:val="auto"/>
          <w:highlight w:val="none"/>
        </w:rPr>
        <w:fldChar w:fldCharType="separate"/>
      </w:r>
      <w:r>
        <w:rPr>
          <w:rStyle w:val="45"/>
          <w:rFonts w:hint="eastAsia" w:ascii="微软雅黑" w:hAnsi="微软雅黑" w:eastAsia="微软雅黑"/>
          <w:color w:val="auto"/>
          <w:szCs w:val="21"/>
          <w:highlight w:val="none"/>
        </w:rPr>
        <w:t>https://zfcg.czt.zj.gov.cn/</w:t>
      </w:r>
      <w:r>
        <w:rPr>
          <w:rStyle w:val="45"/>
          <w:rFonts w:hint="eastAsia" w:ascii="微软雅黑" w:hAnsi="微软雅黑" w:eastAsia="微软雅黑"/>
          <w:color w:val="auto"/>
          <w:szCs w:val="21"/>
          <w:highlight w:val="none"/>
        </w:rPr>
        <w:fldChar w:fldCharType="end"/>
      </w:r>
      <w:r>
        <w:rPr>
          <w:rFonts w:hint="eastAsia" w:ascii="微软雅黑" w:hAnsi="微软雅黑" w:eastAsia="微软雅黑"/>
          <w:color w:val="auto"/>
          <w:szCs w:val="21"/>
          <w:highlight w:val="none"/>
        </w:rPr>
        <w:t>）和易秀招（</w:t>
      </w:r>
      <w:r>
        <w:rPr>
          <w:rStyle w:val="45"/>
          <w:rFonts w:ascii="微软雅黑" w:hAnsi="微软雅黑" w:eastAsia="微软雅黑"/>
          <w:color w:val="auto"/>
          <w:szCs w:val="21"/>
          <w:highlight w:val="none"/>
        </w:rPr>
        <w:t>https://xiuzhou.hibidding.com/web/home /</w:t>
      </w:r>
      <w:r>
        <w:rPr>
          <w:rFonts w:hint="eastAsia" w:ascii="微软雅黑" w:hAnsi="微软雅黑" w:eastAsia="微软雅黑"/>
          <w:color w:val="auto"/>
          <w:szCs w:val="21"/>
          <w:highlight w:val="none"/>
        </w:rPr>
        <w:t>）</w:t>
      </w:r>
      <w:r>
        <w:rPr>
          <w:rFonts w:hint="eastAsia" w:ascii="微软雅黑" w:hAnsi="微软雅黑" w:eastAsia="微软雅黑"/>
          <w:color w:val="auto"/>
          <w:szCs w:val="21"/>
          <w:highlight w:val="none"/>
          <w:lang w:eastAsia="zh-CN"/>
        </w:rPr>
        <w:t>。</w:t>
      </w:r>
    </w:p>
    <w:p w14:paraId="0C11658D">
      <w:pPr>
        <w:pStyle w:val="3"/>
        <w:numPr>
          <w:ilvl w:val="0"/>
          <w:numId w:val="4"/>
        </w:numPr>
        <w:spacing w:before="0" w:after="0" w:line="460" w:lineRule="exact"/>
        <w:ind w:firstLineChars="200"/>
        <w:rPr>
          <w:rFonts w:hint="eastAsia" w:ascii="微软雅黑" w:hAnsi="微软雅黑"/>
          <w:color w:val="auto"/>
          <w:szCs w:val="21"/>
          <w:highlight w:val="none"/>
        </w:rPr>
      </w:pPr>
      <w:bookmarkStart w:id="16" w:name="_Toc98019232"/>
      <w:r>
        <w:rPr>
          <w:rFonts w:hint="eastAsia" w:ascii="微软雅黑" w:hAnsi="微软雅黑"/>
          <w:color w:val="auto"/>
          <w:szCs w:val="21"/>
          <w:highlight w:val="none"/>
        </w:rPr>
        <w:t>业务咨询：</w:t>
      </w:r>
      <w:bookmarkEnd w:id="16"/>
    </w:p>
    <w:p w14:paraId="12719942">
      <w:pPr>
        <w:snapToGrid w:val="0"/>
        <w:spacing w:line="460" w:lineRule="exact"/>
        <w:ind w:firstLine="420"/>
        <w:rPr>
          <w:rFonts w:hint="eastAsia" w:ascii="微软雅黑" w:hAnsi="微软雅黑" w:eastAsia="微软雅黑" w:cs="Arial"/>
          <w:color w:val="auto"/>
          <w:szCs w:val="21"/>
          <w:highlight w:val="none"/>
          <w:lang w:eastAsia="zh-CN"/>
        </w:rPr>
      </w:pPr>
      <w:r>
        <w:rPr>
          <w:rFonts w:hint="eastAsia" w:ascii="微软雅黑" w:hAnsi="微软雅黑" w:eastAsia="微软雅黑" w:cs="Arial"/>
          <w:color w:val="auto"/>
          <w:szCs w:val="21"/>
          <w:highlight w:val="none"/>
          <w:lang w:eastAsia="zh-CN"/>
        </w:rPr>
        <w:t>嘉兴市秀洲区财政局</w:t>
      </w:r>
    </w:p>
    <w:p w14:paraId="2B1133F2">
      <w:pPr>
        <w:snapToGrid w:val="0"/>
        <w:spacing w:line="460" w:lineRule="exact"/>
        <w:ind w:firstLine="420"/>
        <w:rPr>
          <w:rFonts w:hint="eastAsia" w:ascii="微软雅黑" w:hAnsi="微软雅黑" w:eastAsia="微软雅黑" w:cs="Arial"/>
          <w:color w:val="auto"/>
          <w:szCs w:val="21"/>
          <w:highlight w:val="none"/>
        </w:rPr>
      </w:pPr>
      <w:r>
        <w:rPr>
          <w:rFonts w:hint="eastAsia" w:ascii="微软雅黑" w:hAnsi="微软雅黑" w:eastAsia="微软雅黑" w:cs="Arial"/>
          <w:color w:val="auto"/>
          <w:szCs w:val="21"/>
          <w:highlight w:val="none"/>
        </w:rPr>
        <w:t>项目联系人：</w:t>
      </w:r>
      <w:r>
        <w:rPr>
          <w:rFonts w:hint="eastAsia" w:ascii="微软雅黑" w:hAnsi="微软雅黑" w:eastAsia="微软雅黑"/>
          <w:color w:val="auto"/>
          <w:szCs w:val="21"/>
          <w:highlight w:val="none"/>
          <w:shd w:val="clear" w:color="auto" w:fill="FFFFFF"/>
        </w:rPr>
        <w:t xml:space="preserve">冯列钧   </w:t>
      </w:r>
      <w:r>
        <w:rPr>
          <w:rFonts w:hint="eastAsia" w:ascii="微软雅黑" w:hAnsi="微软雅黑" w:eastAsia="微软雅黑" w:cs="Arial"/>
          <w:color w:val="auto"/>
          <w:szCs w:val="21"/>
          <w:highlight w:val="none"/>
        </w:rPr>
        <w:t>联系电话：</w:t>
      </w:r>
      <w:r>
        <w:rPr>
          <w:rFonts w:ascii="微软雅黑" w:hAnsi="微软雅黑" w:eastAsia="微软雅黑" w:cs="Arial"/>
          <w:color w:val="auto"/>
          <w:szCs w:val="21"/>
          <w:highlight w:val="none"/>
        </w:rPr>
        <w:t>0573-82720085</w:t>
      </w:r>
    </w:p>
    <w:p w14:paraId="4E02A2E1">
      <w:pPr>
        <w:snapToGrid w:val="0"/>
        <w:spacing w:line="460" w:lineRule="exact"/>
        <w:ind w:firstLine="420"/>
        <w:rPr>
          <w:rFonts w:hint="eastAsia" w:ascii="微软雅黑" w:hAnsi="微软雅黑" w:eastAsia="微软雅黑" w:cs="Arial"/>
          <w:bCs/>
          <w:color w:val="auto"/>
          <w:szCs w:val="21"/>
          <w:highlight w:val="none"/>
        </w:rPr>
      </w:pPr>
      <w:r>
        <w:rPr>
          <w:rFonts w:hint="eastAsia" w:ascii="微软雅黑" w:hAnsi="微软雅黑" w:eastAsia="微软雅黑" w:cs="Arial"/>
          <w:bCs/>
          <w:color w:val="auto"/>
          <w:szCs w:val="21"/>
          <w:highlight w:val="none"/>
        </w:rPr>
        <w:t xml:space="preserve">嘉兴市千秋工程咨询有限公司  </w:t>
      </w:r>
    </w:p>
    <w:p w14:paraId="562F7504">
      <w:pPr>
        <w:snapToGrid w:val="0"/>
        <w:spacing w:line="460" w:lineRule="exact"/>
        <w:ind w:firstLine="420"/>
        <w:rPr>
          <w:rFonts w:hint="eastAsia" w:ascii="微软雅黑" w:hAnsi="微软雅黑" w:eastAsia="微软雅黑" w:cs="Arial"/>
          <w:color w:val="auto"/>
          <w:szCs w:val="21"/>
          <w:highlight w:val="none"/>
        </w:rPr>
      </w:pPr>
      <w:r>
        <w:rPr>
          <w:rFonts w:hint="eastAsia" w:ascii="微软雅黑" w:hAnsi="微软雅黑" w:eastAsia="微软雅黑" w:cs="Arial"/>
          <w:color w:val="auto"/>
          <w:szCs w:val="21"/>
          <w:highlight w:val="none"/>
        </w:rPr>
        <w:t>联系人：章莉莉</w:t>
      </w:r>
      <w:r>
        <w:rPr>
          <w:rFonts w:hint="eastAsia" w:ascii="微软雅黑" w:hAnsi="微软雅黑" w:eastAsia="微软雅黑" w:cs="Arial"/>
          <w:color w:val="auto"/>
          <w:szCs w:val="21"/>
          <w:highlight w:val="none"/>
          <w:lang w:val="en-US" w:eastAsia="zh-CN"/>
        </w:rPr>
        <w:t xml:space="preserve">   李建良</w:t>
      </w:r>
      <w:r>
        <w:rPr>
          <w:rFonts w:hint="eastAsia" w:ascii="微软雅黑" w:hAnsi="微软雅黑" w:eastAsia="微软雅黑" w:cs="Arial"/>
          <w:color w:val="auto"/>
          <w:szCs w:val="21"/>
          <w:highlight w:val="none"/>
        </w:rPr>
        <w:t xml:space="preserve">  </w:t>
      </w:r>
    </w:p>
    <w:p w14:paraId="75A90E24">
      <w:pPr>
        <w:snapToGrid w:val="0"/>
        <w:spacing w:line="460" w:lineRule="exact"/>
        <w:ind w:firstLine="420"/>
        <w:rPr>
          <w:rFonts w:hint="eastAsia" w:ascii="微软雅黑" w:hAnsi="微软雅黑" w:eastAsia="微软雅黑" w:cs="Arial"/>
          <w:color w:val="auto"/>
          <w:szCs w:val="21"/>
          <w:highlight w:val="none"/>
        </w:rPr>
      </w:pPr>
      <w:r>
        <w:rPr>
          <w:rFonts w:hint="eastAsia" w:ascii="微软雅黑" w:hAnsi="微软雅黑" w:eastAsia="微软雅黑" w:cs="Arial"/>
          <w:color w:val="auto"/>
          <w:szCs w:val="21"/>
          <w:highlight w:val="none"/>
        </w:rPr>
        <w:t>联系电话：0573- 83705015  13605735186</w:t>
      </w:r>
    </w:p>
    <w:p w14:paraId="7190664C">
      <w:pPr>
        <w:snapToGrid w:val="0"/>
        <w:spacing w:line="460" w:lineRule="exact"/>
        <w:ind w:left="238"/>
        <w:jc w:val="right"/>
        <w:rPr>
          <w:rFonts w:hint="eastAsia" w:ascii="微软雅黑" w:hAnsi="微软雅黑" w:eastAsia="微软雅黑" w:cs="Arial"/>
          <w:color w:val="auto"/>
          <w:szCs w:val="21"/>
          <w:highlight w:val="none"/>
        </w:rPr>
      </w:pPr>
    </w:p>
    <w:p w14:paraId="4BB16F1D">
      <w:pPr>
        <w:snapToGrid w:val="0"/>
        <w:spacing w:line="460" w:lineRule="exact"/>
        <w:ind w:left="238"/>
        <w:jc w:val="right"/>
        <w:rPr>
          <w:rFonts w:hint="eastAsia" w:ascii="微软雅黑" w:hAnsi="微软雅黑" w:eastAsia="微软雅黑" w:cs="Arial"/>
          <w:color w:val="auto"/>
          <w:szCs w:val="21"/>
          <w:highlight w:val="none"/>
          <w:lang w:eastAsia="zh-CN"/>
        </w:rPr>
      </w:pPr>
      <w:r>
        <w:rPr>
          <w:rFonts w:hint="eastAsia" w:ascii="微软雅黑" w:hAnsi="微软雅黑" w:eastAsia="微软雅黑" w:cs="Arial"/>
          <w:color w:val="auto"/>
          <w:szCs w:val="21"/>
          <w:highlight w:val="none"/>
          <w:lang w:eastAsia="zh-CN"/>
        </w:rPr>
        <w:t>嘉兴市秀洲区财政局</w:t>
      </w:r>
    </w:p>
    <w:p w14:paraId="71008EF6">
      <w:pPr>
        <w:snapToGrid w:val="0"/>
        <w:spacing w:line="460" w:lineRule="exact"/>
        <w:ind w:left="238"/>
        <w:jc w:val="right"/>
        <w:rPr>
          <w:rFonts w:hint="eastAsia" w:ascii="微软雅黑" w:hAnsi="微软雅黑" w:eastAsia="微软雅黑"/>
          <w:color w:val="auto"/>
          <w:szCs w:val="21"/>
          <w:highlight w:val="none"/>
        </w:rPr>
      </w:pPr>
      <w:r>
        <w:rPr>
          <w:rFonts w:hint="eastAsia" w:ascii="微软雅黑" w:hAnsi="微软雅黑" w:eastAsia="微软雅黑" w:cs="Arial"/>
          <w:bCs/>
          <w:color w:val="auto"/>
          <w:szCs w:val="21"/>
          <w:highlight w:val="none"/>
        </w:rPr>
        <w:t>嘉兴市千秋工程咨询有限公司</w:t>
      </w:r>
    </w:p>
    <w:p w14:paraId="3D7974FE">
      <w:pPr>
        <w:spacing w:line="460" w:lineRule="exact"/>
        <w:jc w:val="righ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 202</w:t>
      </w:r>
      <w:r>
        <w:rPr>
          <w:rFonts w:hint="eastAsia" w:ascii="微软雅黑" w:hAnsi="微软雅黑" w:eastAsia="微软雅黑"/>
          <w:color w:val="auto"/>
          <w:szCs w:val="21"/>
          <w:highlight w:val="none"/>
          <w:lang w:val="en-US" w:eastAsia="zh-CN"/>
        </w:rPr>
        <w:t>5</w:t>
      </w:r>
      <w:r>
        <w:rPr>
          <w:rFonts w:hint="eastAsia" w:ascii="微软雅黑" w:hAnsi="微软雅黑" w:eastAsia="微软雅黑"/>
          <w:color w:val="auto"/>
          <w:szCs w:val="21"/>
          <w:highlight w:val="none"/>
        </w:rPr>
        <w:t>年</w:t>
      </w:r>
      <w:r>
        <w:rPr>
          <w:rFonts w:hint="eastAsia" w:ascii="微软雅黑" w:hAnsi="微软雅黑" w:eastAsia="微软雅黑"/>
          <w:color w:val="auto"/>
          <w:szCs w:val="21"/>
          <w:highlight w:val="none"/>
          <w:lang w:val="en-US" w:eastAsia="zh-CN"/>
        </w:rPr>
        <w:t>03月31</w:t>
      </w:r>
      <w:r>
        <w:rPr>
          <w:rFonts w:hint="eastAsia" w:ascii="微软雅黑" w:hAnsi="微软雅黑" w:eastAsia="微软雅黑"/>
          <w:color w:val="auto"/>
          <w:szCs w:val="21"/>
          <w:highlight w:val="none"/>
        </w:rPr>
        <w:t>日</w:t>
      </w:r>
    </w:p>
    <w:p w14:paraId="6A163B15">
      <w:pPr>
        <w:pStyle w:val="36"/>
        <w:numPr>
          <w:ilvl w:val="0"/>
          <w:numId w:val="3"/>
        </w:numPr>
        <w:rPr>
          <w:color w:val="auto"/>
          <w:highlight w:val="none"/>
        </w:rPr>
        <w:sectPr>
          <w:headerReference r:id="rId7" w:type="first"/>
          <w:footerReference r:id="rId8" w:type="first"/>
          <w:pgSz w:w="11907" w:h="16840"/>
          <w:pgMar w:top="1440" w:right="1797" w:bottom="1440" w:left="1797" w:header="851" w:footer="851" w:gutter="0"/>
          <w:pgNumType w:start="1"/>
          <w:cols w:space="425" w:num="1"/>
          <w:titlePg/>
          <w:docGrid w:type="lines" w:linePitch="312" w:charSpace="0"/>
        </w:sectPr>
      </w:pPr>
    </w:p>
    <w:p w14:paraId="07B0B02D">
      <w:pPr>
        <w:pStyle w:val="36"/>
        <w:numPr>
          <w:ilvl w:val="0"/>
          <w:numId w:val="3"/>
        </w:numPr>
        <w:rPr>
          <w:color w:val="auto"/>
          <w:highlight w:val="none"/>
        </w:rPr>
      </w:pPr>
      <w:bookmarkStart w:id="17" w:name="_Toc98019233"/>
      <w:r>
        <w:rPr>
          <w:rFonts w:hint="eastAsia"/>
          <w:color w:val="auto"/>
          <w:highlight w:val="none"/>
        </w:rPr>
        <w:t>招标需求</w:t>
      </w:r>
      <w:bookmarkEnd w:id="6"/>
      <w:bookmarkEnd w:id="7"/>
      <w:bookmarkEnd w:id="17"/>
    </w:p>
    <w:p w14:paraId="2063553D">
      <w:pPr>
        <w:snapToGrid w:val="0"/>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本招标文件是</w:t>
      </w:r>
      <w:r>
        <w:rPr>
          <w:rFonts w:hint="eastAsia" w:ascii="微软雅黑" w:hAnsi="微软雅黑" w:eastAsia="微软雅黑"/>
          <w:color w:val="auto"/>
          <w:highlight w:val="none"/>
          <w:lang w:eastAsia="zh-CN"/>
        </w:rPr>
        <w:t>秀洲区2025年度第一期财政资金竞争性存放项目</w:t>
      </w:r>
      <w:r>
        <w:rPr>
          <w:rFonts w:hint="eastAsia" w:ascii="微软雅黑" w:hAnsi="微软雅黑" w:eastAsia="微软雅黑"/>
          <w:color w:val="auto"/>
          <w:szCs w:val="21"/>
          <w:highlight w:val="none"/>
        </w:rPr>
        <w:t>的规范性文件，是投标人编制投标文件的依据。该文件解释权归招标单位，招标方式：公开招标。</w:t>
      </w:r>
    </w:p>
    <w:p w14:paraId="1DC9C30E">
      <w:pPr>
        <w:numPr>
          <w:ilvl w:val="0"/>
          <w:numId w:val="7"/>
        </w:num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招标文件、投标文件及其共同确定的补充文件是合同的有效组成部分，与合同具备同等的法律效力。</w:t>
      </w:r>
    </w:p>
    <w:p w14:paraId="604CA4E9">
      <w:pPr>
        <w:numPr>
          <w:ilvl w:val="0"/>
          <w:numId w:val="7"/>
        </w:num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人应按招标文件的要求提供投标文件，并保证所提供的全部资料的真实性，使其投标对招标文件做出实质性响应，否则，其投标将被拒绝。招标人保留进一步要求投标人补充提供有关材料的权利，拒绝提供补充材料或提供材料不真实，将被视为自动放弃投标资格。未报名者，投标无效。</w:t>
      </w:r>
    </w:p>
    <w:p w14:paraId="775F5AA7">
      <w:pPr>
        <w:numPr>
          <w:ilvl w:val="0"/>
          <w:numId w:val="7"/>
        </w:num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投标人应承担其在投标准备、编制、递交投标文件和签订合同协议书的整个过程中发生的一切费用而不论其投标结果如何。</w:t>
      </w:r>
    </w:p>
    <w:p w14:paraId="2025BAF8">
      <w:pPr>
        <w:numPr>
          <w:ilvl w:val="0"/>
          <w:numId w:val="7"/>
        </w:numPr>
        <w:snapToGrid w:val="0"/>
        <w:spacing w:line="360" w:lineRule="auto"/>
        <w:ind w:left="420" w:firstLine="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具体招标标的：</w:t>
      </w:r>
    </w:p>
    <w:p w14:paraId="4606CBC6">
      <w:pPr>
        <w:snapToGrid w:val="0"/>
        <w:spacing w:line="360" w:lineRule="auto"/>
        <w:ind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s="仿宋_GB2312"/>
          <w:color w:val="auto"/>
          <w:szCs w:val="21"/>
          <w:highlight w:val="none"/>
        </w:rPr>
        <w:t>资金金额为5亿元，存放期限为1年。综合得分排名1-5位，存放3500万元;综合得分排名6-10位，存放2900万元; 综合得分排名11-15位,存放2200万元；综合得分排名16-20位,存放1400万元</w:t>
      </w:r>
      <w:r>
        <w:rPr>
          <w:rFonts w:hint="eastAsia" w:ascii="微软雅黑" w:hAnsi="微软雅黑" w:eastAsia="微软雅黑"/>
          <w:color w:val="auto"/>
          <w:szCs w:val="21"/>
          <w:highlight w:val="none"/>
        </w:rPr>
        <w:t>。</w:t>
      </w:r>
    </w:p>
    <w:p w14:paraId="2BA2B6FB">
      <w:pPr>
        <w:snapToGrid w:val="0"/>
        <w:spacing w:line="360" w:lineRule="auto"/>
        <w:ind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如中标单位少于20家，则剩余资金由采购单位收回。</w:t>
      </w:r>
    </w:p>
    <w:p w14:paraId="5FDE1D59">
      <w:pPr>
        <w:numPr>
          <w:ilvl w:val="0"/>
          <w:numId w:val="7"/>
        </w:numPr>
        <w:snapToGrid w:val="0"/>
        <w:spacing w:line="360" w:lineRule="auto"/>
        <w:ind w:left="420" w:firstLine="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其它</w:t>
      </w:r>
    </w:p>
    <w:p w14:paraId="6718B81F">
      <w:pPr>
        <w:pStyle w:val="62"/>
        <w:numPr>
          <w:ilvl w:val="2"/>
          <w:numId w:val="8"/>
        </w:numPr>
        <w:snapToGrid w:val="0"/>
        <w:spacing w:line="360" w:lineRule="auto"/>
        <w:ind w:left="0" w:firstLine="426" w:firstLineChars="0"/>
        <w:jc w:val="left"/>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rPr>
        <w:t>中标银行须在</w:t>
      </w:r>
      <w:r>
        <w:rPr>
          <w:rFonts w:hint="eastAsia" w:ascii="微软雅黑" w:hAnsi="微软雅黑" w:eastAsia="微软雅黑"/>
          <w:b/>
          <w:bCs/>
          <w:color w:val="auto"/>
          <w:szCs w:val="21"/>
          <w:highlight w:val="none"/>
        </w:rPr>
        <w:t>中标公示结束后二个工作日内</w:t>
      </w:r>
      <w:r>
        <w:rPr>
          <w:rFonts w:hint="eastAsia" w:ascii="微软雅黑" w:hAnsi="微软雅黑" w:eastAsia="微软雅黑"/>
          <w:b/>
          <w:color w:val="auto"/>
          <w:szCs w:val="21"/>
          <w:highlight w:val="none"/>
        </w:rPr>
        <w:t>完成领取中标通知书的手续以及到招标代理公司的领取工作。</w:t>
      </w:r>
    </w:p>
    <w:p w14:paraId="3A5C6078">
      <w:pPr>
        <w:pStyle w:val="62"/>
        <w:numPr>
          <w:ilvl w:val="2"/>
          <w:numId w:val="8"/>
        </w:numPr>
        <w:snapToGrid w:val="0"/>
        <w:spacing w:line="360" w:lineRule="auto"/>
        <w:ind w:left="0" w:firstLine="426" w:firstLineChars="0"/>
        <w:jc w:val="left"/>
        <w:rPr>
          <w:rFonts w:hint="eastAsia" w:ascii="微软雅黑" w:hAnsi="微软雅黑" w:eastAsia="微软雅黑"/>
          <w:b/>
          <w:bCs/>
          <w:color w:val="auto"/>
          <w:szCs w:val="21"/>
          <w:highlight w:val="none"/>
        </w:rPr>
      </w:pPr>
      <w:r>
        <w:rPr>
          <w:rFonts w:hint="eastAsia" w:ascii="微软雅黑" w:hAnsi="微软雅黑" w:eastAsia="微软雅黑"/>
          <w:b/>
          <w:color w:val="auto"/>
          <w:szCs w:val="21"/>
          <w:highlight w:val="none"/>
        </w:rPr>
        <w:t>中标银行</w:t>
      </w:r>
      <w:r>
        <w:rPr>
          <w:rFonts w:hint="eastAsia" w:ascii="微软雅黑" w:hAnsi="微软雅黑" w:eastAsia="微软雅黑"/>
          <w:b/>
          <w:bCs/>
          <w:color w:val="auto"/>
          <w:szCs w:val="21"/>
          <w:highlight w:val="none"/>
        </w:rPr>
        <w:t>在收到中标通知书后5个工作日内完成与招标单位的存款手续。</w:t>
      </w:r>
    </w:p>
    <w:p w14:paraId="04EDA1F5">
      <w:pPr>
        <w:pStyle w:val="62"/>
        <w:numPr>
          <w:ilvl w:val="2"/>
          <w:numId w:val="8"/>
        </w:numPr>
        <w:snapToGrid w:val="0"/>
        <w:spacing w:line="360" w:lineRule="auto"/>
        <w:ind w:left="0" w:firstLine="426" w:firstLineChars="0"/>
        <w:jc w:val="left"/>
        <w:rPr>
          <w:rFonts w:hint="eastAsia" w:ascii="微软雅黑" w:hAnsi="微软雅黑" w:eastAsia="微软雅黑"/>
          <w:b/>
          <w:bCs/>
          <w:color w:val="auto"/>
          <w:szCs w:val="21"/>
          <w:highlight w:val="none"/>
        </w:rPr>
      </w:pPr>
      <w:r>
        <w:rPr>
          <w:rFonts w:hint="eastAsia" w:ascii="微软雅黑" w:hAnsi="微软雅黑" w:eastAsia="微软雅黑"/>
          <w:b/>
          <w:bCs/>
          <w:color w:val="auto"/>
          <w:szCs w:val="21"/>
          <w:highlight w:val="none"/>
        </w:rPr>
        <w:t>中标银行任何不按照1、2规定工作要求的行为均按中标单位违约处理。</w:t>
      </w:r>
    </w:p>
    <w:p w14:paraId="6E66C9C4">
      <w:pPr>
        <w:snapToGrid w:val="0"/>
        <w:spacing w:line="360" w:lineRule="auto"/>
        <w:ind w:firstLine="420" w:firstLineChars="200"/>
        <w:jc w:val="left"/>
        <w:rPr>
          <w:rFonts w:hint="eastAsia" w:ascii="微软雅黑" w:hAnsi="微软雅黑" w:eastAsia="微软雅黑"/>
          <w:color w:val="auto"/>
          <w:szCs w:val="21"/>
          <w:highlight w:val="none"/>
        </w:rPr>
      </w:pPr>
    </w:p>
    <w:p w14:paraId="5C988F5D">
      <w:pPr>
        <w:pStyle w:val="36"/>
        <w:numPr>
          <w:ilvl w:val="0"/>
          <w:numId w:val="3"/>
        </w:numPr>
        <w:rPr>
          <w:color w:val="auto"/>
          <w:highlight w:val="none"/>
        </w:rPr>
        <w:sectPr>
          <w:pgSz w:w="11907" w:h="16840"/>
          <w:pgMar w:top="1440" w:right="1797" w:bottom="1440" w:left="1797" w:header="851" w:footer="851" w:gutter="0"/>
          <w:cols w:space="425" w:num="1"/>
          <w:titlePg/>
          <w:docGrid w:type="lines" w:linePitch="312" w:charSpace="0"/>
        </w:sectPr>
      </w:pPr>
      <w:bookmarkStart w:id="18" w:name="_Toc9342478"/>
      <w:bookmarkStart w:id="19" w:name="_Toc98019234"/>
      <w:bookmarkStart w:id="20" w:name="_Toc11650168"/>
    </w:p>
    <w:p w14:paraId="3CC5D44B">
      <w:pPr>
        <w:pStyle w:val="36"/>
        <w:numPr>
          <w:ilvl w:val="0"/>
          <w:numId w:val="3"/>
        </w:numPr>
        <w:rPr>
          <w:color w:val="auto"/>
          <w:highlight w:val="none"/>
        </w:rPr>
      </w:pPr>
      <w:r>
        <w:rPr>
          <w:rFonts w:hint="eastAsia"/>
          <w:color w:val="auto"/>
          <w:highlight w:val="none"/>
        </w:rPr>
        <w:t>投标人须知</w:t>
      </w:r>
      <w:bookmarkEnd w:id="18"/>
      <w:bookmarkEnd w:id="19"/>
      <w:bookmarkEnd w:id="20"/>
    </w:p>
    <w:tbl>
      <w:tblPr>
        <w:tblStyle w:val="39"/>
        <w:tblW w:w="918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0"/>
        <w:gridCol w:w="8480"/>
      </w:tblGrid>
      <w:tr w14:paraId="7860D2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0C6E0835">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序号</w:t>
            </w:r>
          </w:p>
        </w:tc>
        <w:tc>
          <w:tcPr>
            <w:tcW w:w="8480" w:type="dxa"/>
            <w:tcBorders>
              <w:top w:val="single" w:color="auto" w:sz="4" w:space="0"/>
              <w:left w:val="single" w:color="auto" w:sz="4" w:space="0"/>
              <w:bottom w:val="single" w:color="auto" w:sz="4" w:space="0"/>
              <w:right w:val="single" w:color="auto" w:sz="4" w:space="0"/>
            </w:tcBorders>
            <w:vAlign w:val="center"/>
          </w:tcPr>
          <w:p w14:paraId="743D8D40">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内容、要求</w:t>
            </w:r>
          </w:p>
        </w:tc>
      </w:tr>
      <w:tr w14:paraId="63C29D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0"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35800002">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w:t>
            </w:r>
          </w:p>
        </w:tc>
        <w:tc>
          <w:tcPr>
            <w:tcW w:w="8480" w:type="dxa"/>
            <w:tcBorders>
              <w:top w:val="single" w:color="auto" w:sz="4" w:space="0"/>
              <w:left w:val="single" w:color="auto" w:sz="4" w:space="0"/>
              <w:bottom w:val="single" w:color="auto" w:sz="4" w:space="0"/>
              <w:right w:val="single" w:color="auto" w:sz="4" w:space="0"/>
            </w:tcBorders>
            <w:vAlign w:val="center"/>
          </w:tcPr>
          <w:p w14:paraId="0A8D249F">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项目名称：</w:t>
            </w:r>
            <w:r>
              <w:rPr>
                <w:rFonts w:hint="eastAsia" w:ascii="微软雅黑" w:hAnsi="微软雅黑" w:eastAsia="微软雅黑"/>
                <w:color w:val="auto"/>
                <w:highlight w:val="none"/>
                <w:lang w:eastAsia="zh-CN"/>
              </w:rPr>
              <w:t>秀洲区2025年度第一期财政资金竞争性存放项目</w:t>
            </w:r>
          </w:p>
        </w:tc>
      </w:tr>
      <w:tr w14:paraId="0E5F42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3C292091">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2</w:t>
            </w:r>
          </w:p>
        </w:tc>
        <w:tc>
          <w:tcPr>
            <w:tcW w:w="8480" w:type="dxa"/>
            <w:tcBorders>
              <w:top w:val="single" w:color="auto" w:sz="4" w:space="0"/>
              <w:left w:val="single" w:color="auto" w:sz="4" w:space="0"/>
              <w:bottom w:val="single" w:color="auto" w:sz="4" w:space="0"/>
              <w:right w:val="single" w:color="auto" w:sz="4" w:space="0"/>
            </w:tcBorders>
            <w:vAlign w:val="center"/>
          </w:tcPr>
          <w:p w14:paraId="10D31F2A">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招标内容：</w:t>
            </w:r>
            <w:r>
              <w:rPr>
                <w:rFonts w:hint="eastAsia" w:ascii="微软雅黑" w:hAnsi="微软雅黑" w:eastAsia="微软雅黑"/>
                <w:color w:val="auto"/>
                <w:highlight w:val="none"/>
              </w:rPr>
              <w:t>公款竞争性存放</w:t>
            </w:r>
            <w:r>
              <w:rPr>
                <w:rFonts w:hint="eastAsia" w:ascii="微软雅黑" w:hAnsi="微软雅黑" w:eastAsia="微软雅黑" w:cs="Arial"/>
                <w:color w:val="auto"/>
                <w:szCs w:val="21"/>
                <w:highlight w:val="none"/>
              </w:rPr>
              <w:t>。</w:t>
            </w:r>
          </w:p>
        </w:tc>
      </w:tr>
      <w:tr w14:paraId="4BE1C6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2"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778659AC">
            <w:pPr>
              <w:snapToGrid w:val="0"/>
              <w:spacing w:line="276"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3</w:t>
            </w:r>
          </w:p>
        </w:tc>
        <w:tc>
          <w:tcPr>
            <w:tcW w:w="8480" w:type="dxa"/>
            <w:tcBorders>
              <w:top w:val="single" w:color="auto" w:sz="4" w:space="0"/>
              <w:left w:val="single" w:color="auto" w:sz="4" w:space="0"/>
              <w:bottom w:val="single" w:color="auto" w:sz="4" w:space="0"/>
              <w:right w:val="single" w:color="auto" w:sz="4" w:space="0"/>
            </w:tcBorders>
            <w:vAlign w:val="center"/>
          </w:tcPr>
          <w:p w14:paraId="782B1863">
            <w:pPr>
              <w:snapToGrid w:val="0"/>
              <w:spacing w:line="276"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投标报价及费用：</w:t>
            </w:r>
          </w:p>
          <w:p w14:paraId="28538660">
            <w:pPr>
              <w:snapToGrid w:val="0"/>
              <w:spacing w:line="276"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1、本项目投标应以人民币报价；</w:t>
            </w:r>
          </w:p>
          <w:p w14:paraId="2756E6D2">
            <w:pPr>
              <w:snapToGrid w:val="0"/>
              <w:spacing w:line="276"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2、不论投标结果如何，投标人均应自行承担所有与投标有关的全部费用。</w:t>
            </w:r>
          </w:p>
        </w:tc>
      </w:tr>
      <w:tr w14:paraId="386DCF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2F976F3F">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4</w:t>
            </w:r>
          </w:p>
        </w:tc>
        <w:tc>
          <w:tcPr>
            <w:tcW w:w="8480" w:type="dxa"/>
            <w:tcBorders>
              <w:top w:val="single" w:color="auto" w:sz="4" w:space="0"/>
              <w:left w:val="single" w:color="auto" w:sz="4" w:space="0"/>
              <w:bottom w:val="single" w:color="auto" w:sz="4" w:space="0"/>
              <w:right w:val="single" w:color="auto" w:sz="4" w:space="0"/>
            </w:tcBorders>
            <w:vAlign w:val="center"/>
          </w:tcPr>
          <w:p w14:paraId="5F937EA1">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投标人获取招标文件后，可与招标单位联系。</w:t>
            </w:r>
          </w:p>
        </w:tc>
      </w:tr>
      <w:tr w14:paraId="51D0C7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6"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67CE0D49">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5</w:t>
            </w:r>
          </w:p>
        </w:tc>
        <w:tc>
          <w:tcPr>
            <w:tcW w:w="8480" w:type="dxa"/>
            <w:tcBorders>
              <w:top w:val="single" w:color="auto" w:sz="4" w:space="0"/>
              <w:left w:val="single" w:color="auto" w:sz="4" w:space="0"/>
              <w:bottom w:val="single" w:color="auto" w:sz="4" w:space="0"/>
              <w:right w:val="single" w:color="auto" w:sz="4" w:space="0"/>
            </w:tcBorders>
            <w:vAlign w:val="center"/>
          </w:tcPr>
          <w:p w14:paraId="66E09C15">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答疑与澄清：投标人应认真阅读本招标文件，发现其中有误或不理解的，投标人必须在投标截止3日前以书面形式要求采购代理机构澄清，否则，由此产生的后果由投标人负责。</w:t>
            </w:r>
          </w:p>
        </w:tc>
      </w:tr>
      <w:tr w14:paraId="374F30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517F1C07">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6</w:t>
            </w:r>
          </w:p>
        </w:tc>
        <w:tc>
          <w:tcPr>
            <w:tcW w:w="8480" w:type="dxa"/>
            <w:tcBorders>
              <w:top w:val="single" w:color="auto" w:sz="4" w:space="0"/>
              <w:left w:val="single" w:color="auto" w:sz="4" w:space="0"/>
              <w:bottom w:val="single" w:color="auto" w:sz="4" w:space="0"/>
              <w:right w:val="single" w:color="auto" w:sz="4" w:space="0"/>
            </w:tcBorders>
            <w:vAlign w:val="center"/>
          </w:tcPr>
          <w:p w14:paraId="14630F50">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线下投标文件组成：投标文件的资信技术文件和投标报价文件装订成一本，正本</w:t>
            </w:r>
            <w:r>
              <w:rPr>
                <w:rFonts w:hint="eastAsia" w:ascii="微软雅黑" w:hAnsi="微软雅黑" w:eastAsia="微软雅黑" w:cs="Arial"/>
                <w:color w:val="auto"/>
                <w:szCs w:val="21"/>
                <w:highlight w:val="none"/>
              </w:rPr>
              <w:t>1</w:t>
            </w:r>
            <w:r>
              <w:rPr>
                <w:rFonts w:hint="eastAsia" w:ascii="微软雅黑" w:hAnsi="微软雅黑" w:eastAsia="微软雅黑"/>
                <w:color w:val="auto"/>
                <w:szCs w:val="21"/>
                <w:highlight w:val="none"/>
              </w:rPr>
              <w:t>份副本</w:t>
            </w:r>
            <w:r>
              <w:rPr>
                <w:rFonts w:hint="eastAsia" w:ascii="微软雅黑" w:hAnsi="微软雅黑" w:eastAsia="微软雅黑" w:cs="Arial"/>
                <w:color w:val="auto"/>
                <w:szCs w:val="21"/>
                <w:highlight w:val="none"/>
              </w:rPr>
              <w:t>1</w:t>
            </w:r>
            <w:r>
              <w:rPr>
                <w:rFonts w:hint="eastAsia" w:ascii="微软雅黑" w:hAnsi="微软雅黑" w:eastAsia="微软雅黑"/>
                <w:color w:val="auto"/>
                <w:szCs w:val="21"/>
                <w:highlight w:val="none"/>
              </w:rPr>
              <w:t>份。</w:t>
            </w:r>
          </w:p>
        </w:tc>
      </w:tr>
      <w:tr w14:paraId="3F1940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9"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7407604D">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7</w:t>
            </w:r>
          </w:p>
        </w:tc>
        <w:tc>
          <w:tcPr>
            <w:tcW w:w="8480" w:type="dxa"/>
            <w:tcBorders>
              <w:top w:val="single" w:color="auto" w:sz="4" w:space="0"/>
              <w:left w:val="single" w:color="auto" w:sz="4" w:space="0"/>
              <w:bottom w:val="single" w:color="auto" w:sz="4" w:space="0"/>
              <w:right w:val="single" w:color="auto" w:sz="4" w:space="0"/>
            </w:tcBorders>
            <w:vAlign w:val="center"/>
          </w:tcPr>
          <w:p w14:paraId="5A064F33">
            <w:pPr>
              <w:snapToGrid w:val="0"/>
              <w:spacing w:line="276" w:lineRule="auto"/>
              <w:rPr>
                <w:rFonts w:hint="eastAsia" w:ascii="微软雅黑" w:hAnsi="微软雅黑" w:eastAsia="微软雅黑" w:cs="Arial"/>
                <w:color w:val="auto"/>
                <w:szCs w:val="21"/>
                <w:highlight w:val="none"/>
              </w:rPr>
            </w:pPr>
            <w:r>
              <w:rPr>
                <w:rFonts w:hint="eastAsia" w:ascii="微软雅黑" w:hAnsi="微软雅黑" w:eastAsia="微软雅黑"/>
                <w:color w:val="auto"/>
                <w:szCs w:val="21"/>
                <w:highlight w:val="none"/>
              </w:rPr>
              <w:t>线下投标截止时间及地点：投标人应于202</w:t>
            </w:r>
            <w:r>
              <w:rPr>
                <w:rFonts w:hint="eastAsia" w:ascii="微软雅黑" w:hAnsi="微软雅黑" w:eastAsia="微软雅黑"/>
                <w:color w:val="auto"/>
                <w:szCs w:val="21"/>
                <w:highlight w:val="none"/>
                <w:lang w:val="en-US" w:eastAsia="zh-CN"/>
              </w:rPr>
              <w:t>5</w:t>
            </w:r>
            <w:r>
              <w:rPr>
                <w:rFonts w:hint="eastAsia" w:ascii="微软雅黑" w:hAnsi="微软雅黑" w:eastAsia="微软雅黑"/>
                <w:color w:val="auto"/>
                <w:szCs w:val="21"/>
                <w:highlight w:val="none"/>
              </w:rPr>
              <w:t>年</w:t>
            </w:r>
            <w:r>
              <w:rPr>
                <w:rFonts w:hint="eastAsia" w:ascii="微软雅黑" w:hAnsi="微软雅黑" w:eastAsia="微软雅黑"/>
                <w:color w:val="auto"/>
                <w:szCs w:val="21"/>
                <w:highlight w:val="none"/>
                <w:lang w:val="en-US" w:eastAsia="zh-CN"/>
              </w:rPr>
              <w:t>04</w:t>
            </w:r>
            <w:r>
              <w:rPr>
                <w:rFonts w:hint="eastAsia" w:ascii="微软雅黑" w:hAnsi="微软雅黑" w:eastAsia="微软雅黑"/>
                <w:color w:val="auto"/>
                <w:szCs w:val="21"/>
                <w:highlight w:val="none"/>
              </w:rPr>
              <w:t>月</w:t>
            </w:r>
            <w:r>
              <w:rPr>
                <w:rFonts w:hint="eastAsia" w:ascii="微软雅黑" w:hAnsi="微软雅黑" w:eastAsia="微软雅黑"/>
                <w:color w:val="auto"/>
                <w:szCs w:val="21"/>
                <w:highlight w:val="none"/>
                <w:lang w:val="en-US" w:eastAsia="zh-CN"/>
              </w:rPr>
              <w:t>09</w:t>
            </w:r>
            <w:r>
              <w:rPr>
                <w:rFonts w:hint="eastAsia" w:ascii="微软雅黑" w:hAnsi="微软雅黑" w:eastAsia="微软雅黑"/>
                <w:color w:val="auto"/>
                <w:szCs w:val="21"/>
                <w:highlight w:val="none"/>
              </w:rPr>
              <w:t>日</w:t>
            </w:r>
            <w:r>
              <w:rPr>
                <w:rFonts w:hint="eastAsia" w:ascii="微软雅黑" w:hAnsi="微软雅黑" w:eastAsia="微软雅黑"/>
                <w:color w:val="auto"/>
                <w:szCs w:val="21"/>
                <w:highlight w:val="none"/>
                <w:lang w:val="en-US" w:eastAsia="zh-CN"/>
              </w:rPr>
              <w:t>14</w:t>
            </w:r>
            <w:r>
              <w:rPr>
                <w:rFonts w:hint="eastAsia" w:ascii="微软雅黑" w:hAnsi="微软雅黑" w:eastAsia="微软雅黑"/>
                <w:color w:val="auto"/>
                <w:szCs w:val="21"/>
                <w:highlight w:val="none"/>
              </w:rPr>
              <w:t>时</w:t>
            </w:r>
            <w:r>
              <w:rPr>
                <w:rFonts w:hint="eastAsia" w:ascii="微软雅黑" w:hAnsi="微软雅黑" w:eastAsia="微软雅黑"/>
                <w:color w:val="auto"/>
                <w:szCs w:val="21"/>
                <w:highlight w:val="none"/>
                <w:lang w:val="en-US" w:eastAsia="zh-CN"/>
              </w:rPr>
              <w:t>30</w:t>
            </w:r>
            <w:r>
              <w:rPr>
                <w:rFonts w:hint="eastAsia" w:ascii="微软雅黑" w:hAnsi="微软雅黑" w:eastAsia="微软雅黑"/>
                <w:color w:val="auto"/>
                <w:szCs w:val="21"/>
                <w:highlight w:val="none"/>
              </w:rPr>
              <w:t>分前将纸质投标文件装袋密封后，通过邮寄快递（或直接送达）方式邮寄（或直接送达）至嘉兴市千秋工程咨询有限公司。（注：①邮寄或直接送达地址：嘉兴市秀洲区新平路299号中禾广场</w:t>
            </w:r>
            <w:r>
              <w:rPr>
                <w:rFonts w:hint="eastAsia" w:ascii="微软雅黑" w:hAnsi="微软雅黑" w:eastAsia="微软雅黑"/>
                <w:color w:val="auto"/>
                <w:szCs w:val="21"/>
                <w:highlight w:val="none"/>
                <w:lang w:val="en-US" w:eastAsia="zh-CN"/>
              </w:rPr>
              <w:t>17A</w:t>
            </w:r>
            <w:r>
              <w:rPr>
                <w:rFonts w:hint="eastAsia" w:ascii="微软雅黑" w:hAnsi="微软雅黑" w:eastAsia="微软雅黑"/>
                <w:color w:val="auto"/>
                <w:szCs w:val="21"/>
                <w:highlight w:val="none"/>
              </w:rPr>
              <w:t>楼</w:t>
            </w:r>
            <w:r>
              <w:rPr>
                <w:rFonts w:hint="eastAsia" w:ascii="微软雅黑" w:hAnsi="微软雅黑" w:eastAsia="微软雅黑"/>
                <w:color w:val="auto"/>
                <w:szCs w:val="21"/>
                <w:highlight w:val="none"/>
                <w:lang w:val="en-US" w:eastAsia="zh-CN"/>
              </w:rPr>
              <w:t>政府采购办公室</w:t>
            </w:r>
            <w:r>
              <w:rPr>
                <w:rFonts w:hint="eastAsia" w:ascii="微软雅黑" w:hAnsi="微软雅黑" w:eastAsia="微软雅黑"/>
                <w:color w:val="auto"/>
                <w:szCs w:val="21"/>
                <w:highlight w:val="none"/>
              </w:rPr>
              <w:t>，收件人：章莉莉，联系电话：13605735186；②若投标人采用寄件方式递交投标文件的，请务必在密封袋上注明联系人姓名及联系电话，以便于代理公司工作人员及时通知投标人确认投标文件的接收情况；③由代理公司工作人员做好投标文件交接签收记录，鉴于快递送达时间存在一定的不确定因素，投标人应充分考虑投标文件制作及投标文件邮寄所需的时间，由于快递邮寄原因不能按时寄达的，后果由投标人自负。）</w:t>
            </w:r>
          </w:p>
        </w:tc>
      </w:tr>
      <w:tr w14:paraId="79868B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0"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46D21A70">
            <w:pPr>
              <w:snapToGrid w:val="0"/>
              <w:spacing w:line="24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8</w:t>
            </w:r>
          </w:p>
        </w:tc>
        <w:tc>
          <w:tcPr>
            <w:tcW w:w="8480" w:type="dxa"/>
            <w:tcBorders>
              <w:top w:val="single" w:color="auto" w:sz="4" w:space="0"/>
              <w:left w:val="single" w:color="auto" w:sz="4" w:space="0"/>
              <w:bottom w:val="single" w:color="auto" w:sz="4" w:space="0"/>
              <w:right w:val="single" w:color="auto" w:sz="4" w:space="0"/>
            </w:tcBorders>
            <w:vAlign w:val="center"/>
          </w:tcPr>
          <w:p w14:paraId="054D1761">
            <w:pPr>
              <w:snapToGrid w:val="0"/>
              <w:spacing w:line="24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开标时间及地点：202</w:t>
            </w:r>
            <w:r>
              <w:rPr>
                <w:rFonts w:hint="eastAsia" w:ascii="微软雅黑" w:hAnsi="微软雅黑" w:eastAsia="微软雅黑"/>
                <w:color w:val="auto"/>
                <w:szCs w:val="21"/>
                <w:highlight w:val="none"/>
                <w:lang w:val="en-US" w:eastAsia="zh-CN"/>
              </w:rPr>
              <w:t>5</w:t>
            </w:r>
            <w:r>
              <w:rPr>
                <w:rFonts w:hint="eastAsia" w:ascii="微软雅黑" w:hAnsi="微软雅黑" w:eastAsia="微软雅黑"/>
                <w:color w:val="auto"/>
                <w:szCs w:val="21"/>
                <w:highlight w:val="none"/>
              </w:rPr>
              <w:t>年</w:t>
            </w:r>
            <w:r>
              <w:rPr>
                <w:rFonts w:hint="eastAsia" w:ascii="微软雅黑" w:hAnsi="微软雅黑" w:eastAsia="微软雅黑"/>
                <w:color w:val="auto"/>
                <w:szCs w:val="21"/>
                <w:highlight w:val="none"/>
                <w:lang w:val="en-US" w:eastAsia="zh-CN"/>
              </w:rPr>
              <w:t>04</w:t>
            </w:r>
            <w:r>
              <w:rPr>
                <w:rFonts w:hint="eastAsia" w:ascii="微软雅黑" w:hAnsi="微软雅黑" w:eastAsia="微软雅黑"/>
                <w:color w:val="auto"/>
                <w:szCs w:val="21"/>
                <w:highlight w:val="none"/>
              </w:rPr>
              <w:t>月</w:t>
            </w:r>
            <w:r>
              <w:rPr>
                <w:rFonts w:hint="eastAsia" w:ascii="微软雅黑" w:hAnsi="微软雅黑" w:eastAsia="微软雅黑"/>
                <w:color w:val="auto"/>
                <w:szCs w:val="21"/>
                <w:highlight w:val="none"/>
                <w:lang w:val="en-US" w:eastAsia="zh-CN"/>
              </w:rPr>
              <w:t>09</w:t>
            </w:r>
            <w:r>
              <w:rPr>
                <w:rFonts w:hint="eastAsia" w:ascii="微软雅黑" w:hAnsi="微软雅黑" w:eastAsia="微软雅黑"/>
                <w:color w:val="auto"/>
                <w:szCs w:val="21"/>
                <w:highlight w:val="none"/>
              </w:rPr>
              <w:t>日</w:t>
            </w:r>
            <w:r>
              <w:rPr>
                <w:rFonts w:hint="eastAsia" w:ascii="微软雅黑" w:hAnsi="微软雅黑" w:eastAsia="微软雅黑"/>
                <w:color w:val="auto"/>
                <w:szCs w:val="21"/>
                <w:highlight w:val="none"/>
                <w:lang w:val="en-US" w:eastAsia="zh-CN"/>
              </w:rPr>
              <w:t>14</w:t>
            </w:r>
            <w:r>
              <w:rPr>
                <w:rFonts w:hint="eastAsia" w:ascii="微软雅黑" w:hAnsi="微软雅黑" w:eastAsia="微软雅黑"/>
                <w:color w:val="auto"/>
                <w:szCs w:val="21"/>
                <w:highlight w:val="none"/>
              </w:rPr>
              <w:t>时</w:t>
            </w:r>
            <w:r>
              <w:rPr>
                <w:rFonts w:hint="eastAsia" w:ascii="微软雅黑" w:hAnsi="微软雅黑" w:eastAsia="微软雅黑"/>
                <w:color w:val="auto"/>
                <w:szCs w:val="21"/>
                <w:highlight w:val="none"/>
                <w:lang w:val="en-US" w:eastAsia="zh-CN"/>
              </w:rPr>
              <w:t>30</w:t>
            </w:r>
            <w:r>
              <w:rPr>
                <w:rFonts w:hint="eastAsia" w:ascii="微软雅黑" w:hAnsi="微软雅黑" w:eastAsia="微软雅黑"/>
                <w:color w:val="auto"/>
                <w:szCs w:val="21"/>
                <w:highlight w:val="none"/>
              </w:rPr>
              <w:t>分</w:t>
            </w:r>
            <w:r>
              <w:rPr>
                <w:rFonts w:hint="eastAsia" w:ascii="微软雅黑" w:hAnsi="微软雅黑" w:eastAsia="微软雅黑" w:cs="Arial"/>
                <w:color w:val="auto"/>
                <w:szCs w:val="21"/>
                <w:highlight w:val="none"/>
              </w:rPr>
              <w:t>在</w:t>
            </w:r>
            <w:r>
              <w:rPr>
                <w:rFonts w:hint="eastAsia" w:ascii="微软雅黑" w:hAnsi="微软雅黑" w:eastAsia="微软雅黑"/>
                <w:color w:val="auto"/>
                <w:highlight w:val="none"/>
              </w:rPr>
              <w:t>嘉兴市秀洲区公共资源交易中心五楼开标室(嘉兴市秀洲区成秀路328号)</w:t>
            </w:r>
            <w:r>
              <w:rPr>
                <w:rFonts w:hint="eastAsia" w:ascii="微软雅黑" w:hAnsi="微软雅黑" w:eastAsia="微软雅黑"/>
                <w:color w:val="auto"/>
                <w:szCs w:val="21"/>
                <w:highlight w:val="none"/>
              </w:rPr>
              <w:t>开</w:t>
            </w:r>
            <w:r>
              <w:rPr>
                <w:rFonts w:hint="eastAsia" w:ascii="微软雅黑" w:hAnsi="微软雅黑" w:eastAsia="微软雅黑" w:cs="Arial"/>
                <w:color w:val="auto"/>
                <w:szCs w:val="21"/>
                <w:highlight w:val="none"/>
              </w:rPr>
              <w:t>标。</w:t>
            </w:r>
            <w:r>
              <w:rPr>
                <w:rFonts w:hint="eastAsia" w:ascii="微软雅黑" w:hAnsi="微软雅黑" w:eastAsia="微软雅黑"/>
                <w:color w:val="auto"/>
                <w:kern w:val="0"/>
                <w:szCs w:val="21"/>
                <w:highlight w:val="none"/>
              </w:rPr>
              <w:t>本项目不要求投标人至开标现场参加开标及开启投标文件活动。</w:t>
            </w:r>
          </w:p>
        </w:tc>
      </w:tr>
      <w:tr w14:paraId="6FC739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39AE0DB7">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9</w:t>
            </w:r>
          </w:p>
        </w:tc>
        <w:tc>
          <w:tcPr>
            <w:tcW w:w="8480" w:type="dxa"/>
            <w:tcBorders>
              <w:top w:val="single" w:color="auto" w:sz="4" w:space="0"/>
              <w:left w:val="single" w:color="auto" w:sz="4" w:space="0"/>
              <w:bottom w:val="single" w:color="auto" w:sz="4" w:space="0"/>
              <w:right w:val="single" w:color="auto" w:sz="4" w:space="0"/>
            </w:tcBorders>
            <w:vAlign w:val="center"/>
          </w:tcPr>
          <w:p w14:paraId="65510204">
            <w:pPr>
              <w:autoSpaceDE w:val="0"/>
              <w:autoSpaceDN w:val="0"/>
              <w:snapToGrid w:val="0"/>
              <w:spacing w:line="540" w:lineRule="exact"/>
              <w:textAlignment w:val="bottom"/>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评标办法及评分标准：详见第四章。</w:t>
            </w:r>
          </w:p>
        </w:tc>
      </w:tr>
      <w:tr w14:paraId="200FE7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7"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49017252">
            <w:pPr>
              <w:snapToGrid w:val="0"/>
              <w:spacing w:line="24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10</w:t>
            </w:r>
          </w:p>
        </w:tc>
        <w:tc>
          <w:tcPr>
            <w:tcW w:w="8480" w:type="dxa"/>
            <w:tcBorders>
              <w:top w:val="single" w:color="auto" w:sz="4" w:space="0"/>
              <w:left w:val="single" w:color="auto" w:sz="4" w:space="0"/>
              <w:bottom w:val="single" w:color="auto" w:sz="4" w:space="0"/>
              <w:right w:val="single" w:color="auto" w:sz="4" w:space="0"/>
            </w:tcBorders>
            <w:vAlign w:val="center"/>
          </w:tcPr>
          <w:p w14:paraId="578B8F93">
            <w:pPr>
              <w:autoSpaceDE w:val="0"/>
              <w:autoSpaceDN w:val="0"/>
              <w:snapToGrid w:val="0"/>
              <w:spacing w:line="240" w:lineRule="auto"/>
              <w:textAlignment w:val="bottom"/>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投标人只允许市级银行业金融机构由其管辖行做为唯一投标人，其分支机构不能做为投标人参加投标。</w:t>
            </w:r>
          </w:p>
        </w:tc>
      </w:tr>
      <w:tr w14:paraId="083495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1D3C5E72">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11</w:t>
            </w:r>
          </w:p>
        </w:tc>
        <w:tc>
          <w:tcPr>
            <w:tcW w:w="8480" w:type="dxa"/>
            <w:tcBorders>
              <w:top w:val="single" w:color="auto" w:sz="4" w:space="0"/>
              <w:left w:val="single" w:color="auto" w:sz="4" w:space="0"/>
              <w:bottom w:val="single" w:color="auto" w:sz="4" w:space="0"/>
              <w:right w:val="single" w:color="auto" w:sz="4" w:space="0"/>
            </w:tcBorders>
            <w:vAlign w:val="center"/>
          </w:tcPr>
          <w:p w14:paraId="2FFFED05">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评标结果公告：浙江政府采购网（</w:t>
            </w:r>
            <w:r>
              <w:rPr>
                <w:color w:val="auto"/>
                <w:highlight w:val="none"/>
              </w:rPr>
              <w:fldChar w:fldCharType="begin"/>
            </w:r>
            <w:r>
              <w:rPr>
                <w:color w:val="auto"/>
                <w:highlight w:val="none"/>
              </w:rPr>
              <w:instrText xml:space="preserve"> HYPERLINK "https://zfcg.czt.zj.gov.cn/" </w:instrText>
            </w:r>
            <w:r>
              <w:rPr>
                <w:color w:val="auto"/>
                <w:highlight w:val="none"/>
              </w:rPr>
              <w:fldChar w:fldCharType="separate"/>
            </w:r>
            <w:r>
              <w:rPr>
                <w:rStyle w:val="45"/>
                <w:rFonts w:hint="eastAsia" w:ascii="微软雅黑" w:hAnsi="微软雅黑" w:eastAsia="微软雅黑"/>
                <w:color w:val="auto"/>
                <w:szCs w:val="21"/>
                <w:highlight w:val="none"/>
              </w:rPr>
              <w:t>https://zfcg.czt.zj.gov.cn/</w:t>
            </w:r>
            <w:r>
              <w:rPr>
                <w:rStyle w:val="45"/>
                <w:rFonts w:hint="eastAsia" w:ascii="微软雅黑" w:hAnsi="微软雅黑" w:eastAsia="微软雅黑"/>
                <w:color w:val="auto"/>
                <w:szCs w:val="21"/>
                <w:highlight w:val="none"/>
              </w:rPr>
              <w:fldChar w:fldCharType="end"/>
            </w:r>
            <w:r>
              <w:rPr>
                <w:rFonts w:hint="eastAsia" w:ascii="微软雅黑" w:hAnsi="微软雅黑" w:eastAsia="微软雅黑"/>
                <w:color w:val="auto"/>
                <w:szCs w:val="21"/>
                <w:highlight w:val="none"/>
              </w:rPr>
              <w:t>）和易秀招（</w:t>
            </w:r>
            <w:r>
              <w:rPr>
                <w:rStyle w:val="45"/>
                <w:rFonts w:ascii="微软雅黑" w:hAnsi="微软雅黑" w:eastAsia="微软雅黑"/>
                <w:color w:val="auto"/>
                <w:szCs w:val="21"/>
                <w:highlight w:val="none"/>
              </w:rPr>
              <w:t>https://xiuzhou.hibidding.com/web/home</w:t>
            </w:r>
            <w:r>
              <w:rPr>
                <w:rFonts w:hint="eastAsia" w:ascii="微软雅黑" w:hAnsi="微软雅黑" w:eastAsia="微软雅黑"/>
                <w:color w:val="auto"/>
                <w:szCs w:val="21"/>
                <w:highlight w:val="none"/>
              </w:rPr>
              <w:t>）</w:t>
            </w:r>
          </w:p>
        </w:tc>
      </w:tr>
      <w:tr w14:paraId="522F0A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0"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64611A9F">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12</w:t>
            </w:r>
          </w:p>
        </w:tc>
        <w:tc>
          <w:tcPr>
            <w:tcW w:w="8480" w:type="dxa"/>
            <w:tcBorders>
              <w:top w:val="single" w:color="auto" w:sz="4" w:space="0"/>
              <w:left w:val="single" w:color="auto" w:sz="4" w:space="0"/>
              <w:bottom w:val="single" w:color="auto" w:sz="4" w:space="0"/>
              <w:right w:val="single" w:color="auto" w:sz="4" w:space="0"/>
            </w:tcBorders>
            <w:vAlign w:val="center"/>
          </w:tcPr>
          <w:p w14:paraId="7C4730FB">
            <w:pPr>
              <w:autoSpaceDE w:val="0"/>
              <w:autoSpaceDN w:val="0"/>
              <w:snapToGrid w:val="0"/>
              <w:spacing w:line="540" w:lineRule="exact"/>
              <w:textAlignment w:val="bottom"/>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中标公告及中标通知书：评标结束后2个工作日内，中标公告发布于上述媒体。</w:t>
            </w:r>
          </w:p>
        </w:tc>
      </w:tr>
      <w:tr w14:paraId="42AC12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1"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71B70592">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13</w:t>
            </w:r>
          </w:p>
        </w:tc>
        <w:tc>
          <w:tcPr>
            <w:tcW w:w="8480" w:type="dxa"/>
            <w:tcBorders>
              <w:top w:val="single" w:color="auto" w:sz="4" w:space="0"/>
              <w:left w:val="single" w:color="auto" w:sz="4" w:space="0"/>
              <w:bottom w:val="single" w:color="auto" w:sz="4" w:space="0"/>
              <w:right w:val="single" w:color="auto" w:sz="4" w:space="0"/>
            </w:tcBorders>
            <w:vAlign w:val="center"/>
          </w:tcPr>
          <w:p w14:paraId="155D9865">
            <w:pPr>
              <w:autoSpaceDE w:val="0"/>
              <w:autoSpaceDN w:val="0"/>
              <w:snapToGrid w:val="0"/>
              <w:spacing w:line="540" w:lineRule="exact"/>
              <w:textAlignment w:val="bottom"/>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签订合同时间：</w:t>
            </w:r>
            <w:r>
              <w:rPr>
                <w:rFonts w:hint="eastAsia" w:ascii="微软雅黑" w:hAnsi="微软雅黑" w:eastAsia="微软雅黑" w:cs="微软雅黑"/>
                <w:color w:val="auto"/>
                <w:szCs w:val="21"/>
                <w:highlight w:val="none"/>
              </w:rPr>
              <w:t>中标通知书发出后30日内。</w:t>
            </w:r>
          </w:p>
        </w:tc>
      </w:tr>
      <w:tr w14:paraId="132027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5"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5E605104">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14</w:t>
            </w:r>
          </w:p>
        </w:tc>
        <w:tc>
          <w:tcPr>
            <w:tcW w:w="8480" w:type="dxa"/>
            <w:tcBorders>
              <w:top w:val="single" w:color="auto" w:sz="4" w:space="0"/>
              <w:left w:val="single" w:color="auto" w:sz="4" w:space="0"/>
              <w:bottom w:val="single" w:color="auto" w:sz="4" w:space="0"/>
              <w:right w:val="single" w:color="auto" w:sz="4" w:space="0"/>
            </w:tcBorders>
            <w:vAlign w:val="center"/>
          </w:tcPr>
          <w:p w14:paraId="3010E4A4">
            <w:pPr>
              <w:autoSpaceDE w:val="0"/>
              <w:autoSpaceDN w:val="0"/>
              <w:snapToGrid w:val="0"/>
              <w:spacing w:line="540" w:lineRule="exact"/>
              <w:textAlignment w:val="bottom"/>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投标文件有效期：</w:t>
            </w:r>
            <w:r>
              <w:rPr>
                <w:rFonts w:hint="eastAsia" w:ascii="微软雅黑" w:hAnsi="微软雅黑" w:eastAsia="微软雅黑"/>
                <w:color w:val="auto"/>
                <w:szCs w:val="21"/>
                <w:highlight w:val="none"/>
                <w:u w:val="single"/>
              </w:rPr>
              <w:t xml:space="preserve"> 60 </w:t>
            </w:r>
            <w:r>
              <w:rPr>
                <w:rFonts w:hint="eastAsia" w:ascii="微软雅黑" w:hAnsi="微软雅黑" w:eastAsia="微软雅黑" w:cs="Arial"/>
                <w:color w:val="auto"/>
                <w:szCs w:val="21"/>
                <w:highlight w:val="none"/>
              </w:rPr>
              <w:t>天。</w:t>
            </w:r>
          </w:p>
        </w:tc>
      </w:tr>
      <w:tr w14:paraId="5FAA64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7"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5395046B">
            <w:pPr>
              <w:snapToGrid w:val="0"/>
              <w:spacing w:line="54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15</w:t>
            </w:r>
          </w:p>
        </w:tc>
        <w:tc>
          <w:tcPr>
            <w:tcW w:w="8480" w:type="dxa"/>
            <w:tcBorders>
              <w:top w:val="single" w:color="auto" w:sz="4" w:space="0"/>
              <w:left w:val="single" w:color="auto" w:sz="4" w:space="0"/>
              <w:bottom w:val="single" w:color="auto" w:sz="4" w:space="0"/>
              <w:right w:val="single" w:color="auto" w:sz="4" w:space="0"/>
            </w:tcBorders>
            <w:vAlign w:val="center"/>
          </w:tcPr>
          <w:p w14:paraId="16D760D4">
            <w:pPr>
              <w:autoSpaceDE w:val="0"/>
              <w:autoSpaceDN w:val="0"/>
              <w:snapToGrid w:val="0"/>
              <w:spacing w:line="540" w:lineRule="exact"/>
              <w:textAlignment w:val="bottom"/>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解释：本招标文件的解释权属于</w:t>
            </w:r>
            <w:r>
              <w:rPr>
                <w:rFonts w:hint="eastAsia" w:ascii="微软雅黑" w:hAnsi="微软雅黑" w:eastAsia="微软雅黑"/>
                <w:b/>
                <w:bCs/>
                <w:color w:val="auto"/>
                <w:szCs w:val="21"/>
                <w:highlight w:val="none"/>
                <w:lang w:eastAsia="zh-CN"/>
              </w:rPr>
              <w:t>嘉兴市秀洲区财政局</w:t>
            </w:r>
            <w:r>
              <w:rPr>
                <w:rFonts w:hint="eastAsia" w:ascii="微软雅黑" w:hAnsi="微软雅黑" w:eastAsia="微软雅黑"/>
                <w:b/>
                <w:bCs/>
                <w:color w:val="auto"/>
                <w:szCs w:val="21"/>
                <w:highlight w:val="none"/>
              </w:rPr>
              <w:t>。</w:t>
            </w:r>
          </w:p>
        </w:tc>
      </w:tr>
    </w:tbl>
    <w:p w14:paraId="451896AF">
      <w:pPr>
        <w:widowControl/>
        <w:spacing w:line="480" w:lineRule="exact"/>
        <w:ind w:firstLine="420" w:firstLineChars="200"/>
        <w:jc w:val="left"/>
        <w:rPr>
          <w:rFonts w:hint="eastAsia" w:ascii="微软雅黑" w:hAnsi="微软雅黑" w:eastAsia="微软雅黑"/>
          <w:b/>
          <w:color w:val="auto"/>
          <w:szCs w:val="21"/>
          <w:highlight w:val="none"/>
        </w:rPr>
        <w:sectPr>
          <w:pgSz w:w="11907" w:h="16840"/>
          <w:pgMar w:top="1440" w:right="1797" w:bottom="1440" w:left="1797" w:header="851" w:footer="851" w:gutter="0"/>
          <w:cols w:space="425" w:num="1"/>
          <w:titlePg/>
          <w:docGrid w:type="lines" w:linePitch="312" w:charSpace="0"/>
        </w:sectPr>
      </w:pPr>
    </w:p>
    <w:p w14:paraId="41606887">
      <w:pPr>
        <w:pStyle w:val="2"/>
        <w:numPr>
          <w:ilvl w:val="0"/>
          <w:numId w:val="9"/>
        </w:numPr>
        <w:spacing w:before="0" w:after="0" w:line="360" w:lineRule="auto"/>
        <w:ind w:firstLine="420" w:firstLineChars="200"/>
        <w:jc w:val="center"/>
        <w:rPr>
          <w:rFonts w:hint="eastAsia" w:ascii="微软雅黑" w:hAnsi="微软雅黑" w:eastAsia="微软雅黑" w:cs="微软雅黑"/>
          <w:color w:val="auto"/>
          <w:sz w:val="21"/>
          <w:szCs w:val="21"/>
          <w:highlight w:val="none"/>
        </w:rPr>
      </w:pPr>
      <w:bookmarkStart w:id="21" w:name="_Toc16633"/>
      <w:bookmarkStart w:id="22" w:name="_Toc98019235"/>
      <w:r>
        <w:rPr>
          <w:rFonts w:hint="eastAsia" w:ascii="微软雅黑" w:hAnsi="微软雅黑" w:eastAsia="微软雅黑" w:cs="微软雅黑"/>
          <w:color w:val="auto"/>
          <w:sz w:val="21"/>
          <w:szCs w:val="21"/>
          <w:highlight w:val="none"/>
        </w:rPr>
        <w:t>总  则</w:t>
      </w:r>
      <w:bookmarkEnd w:id="21"/>
      <w:bookmarkEnd w:id="22"/>
    </w:p>
    <w:p w14:paraId="2A96E61A">
      <w:pPr>
        <w:pStyle w:val="3"/>
        <w:numPr>
          <w:ilvl w:val="1"/>
          <w:numId w:val="10"/>
        </w:numPr>
        <w:spacing w:before="0" w:after="0" w:line="360" w:lineRule="auto"/>
        <w:ind w:firstLine="420" w:firstLineChars="200"/>
        <w:rPr>
          <w:color w:val="auto"/>
          <w:highlight w:val="none"/>
        </w:rPr>
      </w:pPr>
      <w:bookmarkStart w:id="23" w:name="_Toc9342479"/>
      <w:bookmarkStart w:id="24" w:name="_Toc98019236"/>
      <w:bookmarkStart w:id="25" w:name="_Toc11650169"/>
      <w:r>
        <w:rPr>
          <w:rFonts w:hint="eastAsia"/>
          <w:color w:val="auto"/>
          <w:highlight w:val="none"/>
        </w:rPr>
        <w:t>适用范围</w:t>
      </w:r>
      <w:bookmarkEnd w:id="23"/>
      <w:bookmarkEnd w:id="24"/>
      <w:bookmarkEnd w:id="25"/>
    </w:p>
    <w:p w14:paraId="7A062BDD">
      <w:pPr>
        <w:snapToGrid w:val="0"/>
        <w:spacing w:line="360" w:lineRule="auto"/>
        <w:ind w:firstLine="420"/>
        <w:rPr>
          <w:rFonts w:hint="eastAsia" w:ascii="微软雅黑" w:hAnsi="微软雅黑" w:eastAsia="微软雅黑" w:cs="Arial"/>
          <w:color w:val="auto"/>
          <w:szCs w:val="21"/>
          <w:highlight w:val="none"/>
        </w:rPr>
      </w:pPr>
      <w:r>
        <w:rPr>
          <w:rFonts w:hint="eastAsia" w:ascii="微软雅黑" w:hAnsi="微软雅黑" w:eastAsia="微软雅黑" w:cs="Arial"/>
          <w:color w:val="auto"/>
          <w:szCs w:val="21"/>
          <w:highlight w:val="none"/>
        </w:rPr>
        <w:t>本招标文件适用于</w:t>
      </w:r>
      <w:r>
        <w:rPr>
          <w:rFonts w:hint="eastAsia" w:ascii="微软雅黑" w:hAnsi="微软雅黑" w:eastAsia="微软雅黑" w:cs="Arial"/>
          <w:color w:val="auto"/>
          <w:szCs w:val="21"/>
          <w:highlight w:val="none"/>
          <w:lang w:eastAsia="zh-CN"/>
        </w:rPr>
        <w:t>秀洲区2025年度第一期财政资金竞争性存放项目</w:t>
      </w:r>
      <w:r>
        <w:rPr>
          <w:rFonts w:hint="eastAsia" w:ascii="微软雅黑" w:hAnsi="微软雅黑" w:eastAsia="微软雅黑" w:cs="Arial"/>
          <w:color w:val="auto"/>
          <w:szCs w:val="21"/>
          <w:highlight w:val="none"/>
        </w:rPr>
        <w:t>的招标、投标、评标、定标、验收、合同履约、付款等行为（法律、法规另有规定的，从其规定）。</w:t>
      </w:r>
    </w:p>
    <w:p w14:paraId="59CDB4DF">
      <w:pPr>
        <w:pStyle w:val="3"/>
        <w:numPr>
          <w:ilvl w:val="1"/>
          <w:numId w:val="10"/>
        </w:numPr>
        <w:spacing w:before="0" w:after="0" w:line="360" w:lineRule="auto"/>
        <w:ind w:firstLine="420" w:firstLineChars="200"/>
        <w:rPr>
          <w:color w:val="auto"/>
          <w:highlight w:val="none"/>
        </w:rPr>
      </w:pPr>
      <w:bookmarkStart w:id="26" w:name="_Toc11650170"/>
      <w:bookmarkStart w:id="27" w:name="_Toc9342480"/>
      <w:bookmarkStart w:id="28" w:name="_Toc98019237"/>
      <w:r>
        <w:rPr>
          <w:rFonts w:hint="eastAsia"/>
          <w:color w:val="auto"/>
          <w:highlight w:val="none"/>
        </w:rPr>
        <w:t>定义</w:t>
      </w:r>
      <w:bookmarkEnd w:id="26"/>
      <w:bookmarkEnd w:id="27"/>
      <w:bookmarkEnd w:id="28"/>
    </w:p>
    <w:p w14:paraId="43A0A4F4">
      <w:pPr>
        <w:numPr>
          <w:ilvl w:val="0"/>
          <w:numId w:val="11"/>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“招标人”系指组织本次招标的代理机构和存款单位。</w:t>
      </w:r>
    </w:p>
    <w:p w14:paraId="04E50B99">
      <w:pPr>
        <w:numPr>
          <w:ilvl w:val="0"/>
          <w:numId w:val="11"/>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“投标人”系指向招标方提交投标文件的银行业金融机构。</w:t>
      </w:r>
    </w:p>
    <w:p w14:paraId="61FA8FB9">
      <w:pPr>
        <w:numPr>
          <w:ilvl w:val="0"/>
          <w:numId w:val="11"/>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“产品”系指供方按招标文件规定，须向招标人提供的有关技术资料和材料。</w:t>
      </w:r>
    </w:p>
    <w:p w14:paraId="64688D50">
      <w:pPr>
        <w:numPr>
          <w:ilvl w:val="0"/>
          <w:numId w:val="11"/>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“服务”系指招标文件规定投标人须承担的其他类似的义务。</w:t>
      </w:r>
    </w:p>
    <w:p w14:paraId="1A021F7D">
      <w:pPr>
        <w:numPr>
          <w:ilvl w:val="0"/>
          <w:numId w:val="11"/>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“项目”系指投标人按招标文件规定向招标人提供的产品和服务。</w:t>
      </w:r>
    </w:p>
    <w:p w14:paraId="5E7EC7B0">
      <w:pPr>
        <w:numPr>
          <w:ilvl w:val="0"/>
          <w:numId w:val="11"/>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“书面形式”包括信函、传真、电报等。</w:t>
      </w:r>
    </w:p>
    <w:p w14:paraId="40BF9D81">
      <w:pPr>
        <w:numPr>
          <w:ilvl w:val="0"/>
          <w:numId w:val="11"/>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“▲”系指实质性要求条款。</w:t>
      </w:r>
    </w:p>
    <w:p w14:paraId="120A2D4A">
      <w:pPr>
        <w:pStyle w:val="3"/>
        <w:numPr>
          <w:ilvl w:val="1"/>
          <w:numId w:val="10"/>
        </w:numPr>
        <w:spacing w:before="0" w:after="0" w:line="360" w:lineRule="auto"/>
        <w:ind w:firstLine="420" w:firstLineChars="200"/>
        <w:rPr>
          <w:color w:val="auto"/>
          <w:highlight w:val="none"/>
        </w:rPr>
      </w:pPr>
      <w:bookmarkStart w:id="29" w:name="_Toc98019238"/>
      <w:bookmarkStart w:id="30" w:name="_Toc11650171"/>
      <w:bookmarkStart w:id="31" w:name="_Toc9342481"/>
      <w:r>
        <w:rPr>
          <w:rFonts w:hint="eastAsia"/>
          <w:color w:val="auto"/>
          <w:highlight w:val="none"/>
        </w:rPr>
        <w:t>招标方式</w:t>
      </w:r>
      <w:bookmarkEnd w:id="29"/>
      <w:bookmarkEnd w:id="30"/>
      <w:bookmarkEnd w:id="31"/>
    </w:p>
    <w:p w14:paraId="2B78380A">
      <w:pPr>
        <w:snapToGrid w:val="0"/>
        <w:spacing w:line="480" w:lineRule="exact"/>
        <w:ind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本次招标采用公开招标方式进行。</w:t>
      </w:r>
    </w:p>
    <w:p w14:paraId="3E0AAE66">
      <w:pPr>
        <w:pStyle w:val="3"/>
        <w:numPr>
          <w:ilvl w:val="1"/>
          <w:numId w:val="10"/>
        </w:numPr>
        <w:spacing w:before="0" w:after="0" w:line="360" w:lineRule="auto"/>
        <w:ind w:firstLine="420" w:firstLineChars="200"/>
        <w:rPr>
          <w:color w:val="auto"/>
          <w:highlight w:val="none"/>
        </w:rPr>
      </w:pPr>
      <w:bookmarkStart w:id="32" w:name="_Toc11650172"/>
      <w:bookmarkStart w:id="33" w:name="_Toc98019239"/>
      <w:bookmarkStart w:id="34" w:name="_Toc9342482"/>
      <w:r>
        <w:rPr>
          <w:rFonts w:hint="eastAsia"/>
          <w:color w:val="auto"/>
          <w:highlight w:val="none"/>
        </w:rPr>
        <w:t>投标委托</w:t>
      </w:r>
      <w:bookmarkEnd w:id="32"/>
      <w:bookmarkEnd w:id="33"/>
      <w:bookmarkEnd w:id="34"/>
    </w:p>
    <w:p w14:paraId="3AD165EF">
      <w:pPr>
        <w:pStyle w:val="18"/>
        <w:snapToGrid w:val="0"/>
        <w:spacing w:line="480" w:lineRule="exact"/>
        <w:ind w:firstLine="404" w:firstLineChars="200"/>
        <w:jc w:val="left"/>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如投标人代表不是法定代表人（负责人），须有法定代表人（负责人）出具的授权委托书（正本用原件，副本用复印件，格式见第四部分）。如果投标单位无法定代表人，则由单位负责人代替。</w:t>
      </w:r>
    </w:p>
    <w:p w14:paraId="0E40445D">
      <w:pPr>
        <w:pStyle w:val="3"/>
        <w:numPr>
          <w:ilvl w:val="1"/>
          <w:numId w:val="10"/>
        </w:numPr>
        <w:spacing w:before="0" w:after="0" w:line="360" w:lineRule="auto"/>
        <w:ind w:firstLine="420" w:firstLineChars="200"/>
        <w:rPr>
          <w:color w:val="auto"/>
          <w:highlight w:val="none"/>
        </w:rPr>
      </w:pPr>
      <w:bookmarkStart w:id="35" w:name="_Toc98019240"/>
      <w:bookmarkStart w:id="36" w:name="_Toc11650173"/>
      <w:bookmarkStart w:id="37" w:name="_Toc9342483"/>
      <w:r>
        <w:rPr>
          <w:rFonts w:hint="eastAsia"/>
          <w:color w:val="auto"/>
          <w:highlight w:val="none"/>
        </w:rPr>
        <w:t>投标费用</w:t>
      </w:r>
      <w:bookmarkEnd w:id="35"/>
      <w:bookmarkEnd w:id="36"/>
      <w:bookmarkEnd w:id="37"/>
    </w:p>
    <w:p w14:paraId="528B62A6">
      <w:pPr>
        <w:snapToGrid w:val="0"/>
        <w:spacing w:line="480" w:lineRule="exact"/>
        <w:ind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不论投标结果如何，投标人均应自行承担所有与投标有关的全部费用。</w:t>
      </w:r>
    </w:p>
    <w:p w14:paraId="4854635B">
      <w:pPr>
        <w:pStyle w:val="3"/>
        <w:numPr>
          <w:ilvl w:val="1"/>
          <w:numId w:val="10"/>
        </w:numPr>
        <w:spacing w:before="0" w:after="0" w:line="360" w:lineRule="auto"/>
        <w:ind w:firstLine="420" w:firstLineChars="200"/>
        <w:rPr>
          <w:color w:val="auto"/>
          <w:highlight w:val="none"/>
        </w:rPr>
      </w:pPr>
      <w:bookmarkStart w:id="38" w:name="_Toc98019241"/>
      <w:bookmarkStart w:id="39" w:name="_Toc11650174"/>
      <w:bookmarkStart w:id="40" w:name="_Toc9342484"/>
      <w:r>
        <w:rPr>
          <w:rFonts w:hint="eastAsia"/>
          <w:color w:val="auto"/>
          <w:highlight w:val="none"/>
        </w:rPr>
        <w:t>特别说明：</w:t>
      </w:r>
      <w:bookmarkEnd w:id="38"/>
      <w:bookmarkEnd w:id="39"/>
      <w:bookmarkEnd w:id="40"/>
    </w:p>
    <w:p w14:paraId="687466DC">
      <w:pPr>
        <w:numPr>
          <w:ilvl w:val="0"/>
          <w:numId w:val="12"/>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▲投标人投标所使用的资格、信誉、荣誉、业绩与企业认证必须为投标单位所拥有。</w:t>
      </w:r>
    </w:p>
    <w:p w14:paraId="549AE6BA">
      <w:pPr>
        <w:numPr>
          <w:ilvl w:val="0"/>
          <w:numId w:val="12"/>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▲投标人应仔细阅读招标文件的所有内容，按照招标文件的要求提交投标文件，并对所提供的全部资料的真实性承担法律责任。</w:t>
      </w:r>
    </w:p>
    <w:p w14:paraId="5592617C">
      <w:pPr>
        <w:numPr>
          <w:ilvl w:val="0"/>
          <w:numId w:val="12"/>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w:t>
      </w:r>
      <w:r>
        <w:rPr>
          <w:rFonts w:ascii="微软雅黑" w:hAnsi="微软雅黑" w:eastAsia="微软雅黑"/>
          <w:color w:val="auto"/>
          <w:szCs w:val="21"/>
          <w:highlight w:val="none"/>
        </w:rPr>
        <w:t>投标人在投标活动中提供任何虚假材料,</w:t>
      </w:r>
      <w:r>
        <w:rPr>
          <w:rFonts w:hint="eastAsia" w:ascii="微软雅黑" w:hAnsi="微软雅黑" w:eastAsia="微软雅黑"/>
          <w:color w:val="auto"/>
          <w:szCs w:val="21"/>
          <w:highlight w:val="none"/>
        </w:rPr>
        <w:t>其投标无效，并依照相关规定进行相应处罚。</w:t>
      </w:r>
    </w:p>
    <w:p w14:paraId="6BB2ABCF">
      <w:pPr>
        <w:pStyle w:val="3"/>
        <w:numPr>
          <w:ilvl w:val="1"/>
          <w:numId w:val="10"/>
        </w:numPr>
        <w:spacing w:before="0" w:after="0" w:line="360" w:lineRule="auto"/>
        <w:ind w:firstLine="420" w:firstLineChars="200"/>
        <w:rPr>
          <w:color w:val="auto"/>
          <w:highlight w:val="none"/>
        </w:rPr>
      </w:pPr>
      <w:bookmarkStart w:id="41" w:name="_Toc98019242"/>
      <w:bookmarkStart w:id="42" w:name="_Toc11650175"/>
      <w:bookmarkStart w:id="43" w:name="_Toc9342485"/>
      <w:r>
        <w:rPr>
          <w:rFonts w:hint="eastAsia"/>
          <w:color w:val="auto"/>
          <w:highlight w:val="none"/>
        </w:rPr>
        <w:t>质疑和投诉</w:t>
      </w:r>
      <w:bookmarkEnd w:id="41"/>
      <w:bookmarkEnd w:id="42"/>
      <w:bookmarkEnd w:id="43"/>
    </w:p>
    <w:p w14:paraId="40761544">
      <w:pPr>
        <w:numPr>
          <w:ilvl w:val="0"/>
          <w:numId w:val="13"/>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人认为招标文件、招标过程或中标结果使自己的合法权益受到损害的，应当在知道或者应知其权益受到损害之日起七个工作日内，以书面形式向招标人提出质疑。投标人对招标人的质疑答复不满意或者招标人未在规定时间内作出答复的，可以在答复期满后十五个工作日内向监管部门投诉。</w:t>
      </w:r>
    </w:p>
    <w:p w14:paraId="0D1AAF4B">
      <w:pPr>
        <w:numPr>
          <w:ilvl w:val="0"/>
          <w:numId w:val="13"/>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质疑、投诉应当采用书面形式，质疑书、投诉书均应明确阐述招标文件、招标过程或中标结果中使自己合法权益受到损害的实质性内容，提供相关事实、依据和证据及其来源或线索，便于有关单位调查、答复和处理。</w:t>
      </w:r>
    </w:p>
    <w:p w14:paraId="53C37EB3">
      <w:pPr>
        <w:pStyle w:val="2"/>
        <w:numPr>
          <w:ilvl w:val="0"/>
          <w:numId w:val="9"/>
        </w:numPr>
        <w:spacing w:before="0" w:after="0" w:line="360" w:lineRule="auto"/>
        <w:ind w:firstLine="420" w:firstLineChars="200"/>
        <w:jc w:val="center"/>
        <w:rPr>
          <w:rFonts w:hint="eastAsia" w:ascii="微软雅黑" w:hAnsi="微软雅黑" w:eastAsia="微软雅黑" w:cs="微软雅黑"/>
          <w:color w:val="auto"/>
          <w:sz w:val="21"/>
          <w:szCs w:val="21"/>
          <w:highlight w:val="none"/>
        </w:rPr>
      </w:pPr>
      <w:bookmarkStart w:id="44" w:name="_Toc30613"/>
      <w:bookmarkStart w:id="45" w:name="_Toc98019243"/>
      <w:bookmarkStart w:id="46" w:name="_Toc9342486"/>
      <w:bookmarkStart w:id="47" w:name="_Toc11650176"/>
      <w:r>
        <w:rPr>
          <w:rFonts w:hint="eastAsia" w:ascii="微软雅黑" w:hAnsi="微软雅黑" w:eastAsia="微软雅黑" w:cs="微软雅黑"/>
          <w:color w:val="auto"/>
          <w:sz w:val="21"/>
          <w:szCs w:val="21"/>
          <w:highlight w:val="none"/>
        </w:rPr>
        <w:t>招标文件</w:t>
      </w:r>
      <w:bookmarkEnd w:id="44"/>
      <w:bookmarkEnd w:id="45"/>
      <w:bookmarkEnd w:id="46"/>
      <w:bookmarkEnd w:id="47"/>
    </w:p>
    <w:p w14:paraId="0DE08A8C">
      <w:pPr>
        <w:pStyle w:val="3"/>
        <w:numPr>
          <w:ilvl w:val="1"/>
          <w:numId w:val="10"/>
        </w:numPr>
        <w:spacing w:before="0" w:after="0" w:line="360" w:lineRule="auto"/>
        <w:ind w:firstLine="420" w:firstLineChars="200"/>
        <w:rPr>
          <w:color w:val="auto"/>
          <w:highlight w:val="none"/>
        </w:rPr>
      </w:pPr>
      <w:bookmarkStart w:id="48" w:name="_Toc98019244"/>
      <w:r>
        <w:rPr>
          <w:rFonts w:hint="eastAsia"/>
          <w:color w:val="auto"/>
          <w:highlight w:val="none"/>
        </w:rPr>
        <w:t>招标文件的构成。本招标文件由以下部份组成：</w:t>
      </w:r>
      <w:bookmarkEnd w:id="48"/>
    </w:p>
    <w:p w14:paraId="7A2FD773">
      <w:pPr>
        <w:numPr>
          <w:ilvl w:val="0"/>
          <w:numId w:val="14"/>
        </w:numPr>
        <w:tabs>
          <w:tab w:val="left" w:pos="709"/>
        </w:tabs>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招标公告</w:t>
      </w:r>
    </w:p>
    <w:p w14:paraId="186958A1">
      <w:pPr>
        <w:numPr>
          <w:ilvl w:val="0"/>
          <w:numId w:val="14"/>
        </w:numPr>
        <w:tabs>
          <w:tab w:val="left" w:pos="709"/>
        </w:tabs>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招标需求</w:t>
      </w:r>
    </w:p>
    <w:p w14:paraId="1C79EA16">
      <w:pPr>
        <w:numPr>
          <w:ilvl w:val="0"/>
          <w:numId w:val="14"/>
        </w:numPr>
        <w:tabs>
          <w:tab w:val="left" w:pos="709"/>
        </w:tabs>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投标人须知</w:t>
      </w:r>
    </w:p>
    <w:p w14:paraId="0C16206B">
      <w:pPr>
        <w:numPr>
          <w:ilvl w:val="0"/>
          <w:numId w:val="14"/>
        </w:numPr>
        <w:tabs>
          <w:tab w:val="left" w:pos="709"/>
        </w:tabs>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评标办法及标准</w:t>
      </w:r>
    </w:p>
    <w:p w14:paraId="47E654DB">
      <w:pPr>
        <w:numPr>
          <w:ilvl w:val="0"/>
          <w:numId w:val="14"/>
        </w:numPr>
        <w:tabs>
          <w:tab w:val="left" w:pos="709"/>
        </w:tabs>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合同主要条款</w:t>
      </w:r>
    </w:p>
    <w:p w14:paraId="6A5220EF">
      <w:pPr>
        <w:numPr>
          <w:ilvl w:val="0"/>
          <w:numId w:val="14"/>
        </w:numPr>
        <w:tabs>
          <w:tab w:val="left" w:pos="709"/>
        </w:tabs>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投标文件格式</w:t>
      </w:r>
    </w:p>
    <w:p w14:paraId="6BC666AF">
      <w:pPr>
        <w:numPr>
          <w:ilvl w:val="0"/>
          <w:numId w:val="14"/>
        </w:numPr>
        <w:tabs>
          <w:tab w:val="left" w:pos="709"/>
        </w:tabs>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本项目招标文件的澄清、答复、修改、补充的内容（如有）</w:t>
      </w:r>
    </w:p>
    <w:p w14:paraId="355E3D10">
      <w:pPr>
        <w:pStyle w:val="3"/>
        <w:numPr>
          <w:ilvl w:val="1"/>
          <w:numId w:val="10"/>
        </w:numPr>
        <w:spacing w:before="0" w:after="0" w:line="360" w:lineRule="auto"/>
        <w:ind w:firstLine="420" w:firstLineChars="200"/>
        <w:rPr>
          <w:color w:val="auto"/>
          <w:highlight w:val="none"/>
        </w:rPr>
      </w:pPr>
      <w:bookmarkStart w:id="49" w:name="_Toc98019245"/>
      <w:r>
        <w:rPr>
          <w:rFonts w:hint="eastAsia"/>
          <w:color w:val="auto"/>
          <w:highlight w:val="none"/>
        </w:rPr>
        <w:t>投标人的风险</w:t>
      </w:r>
      <w:bookmarkEnd w:id="49"/>
    </w:p>
    <w:p w14:paraId="7B596175">
      <w:pPr>
        <w:pStyle w:val="32"/>
        <w:spacing w:line="480" w:lineRule="exact"/>
        <w:ind w:firstLine="420"/>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投标人没有按照招标文件要求提供全部资料，或者投标人没有对招标文件在各方面作出实质性响应是投标人的风险，并可能导致其投标被拒绝。</w:t>
      </w:r>
    </w:p>
    <w:p w14:paraId="2EFCACC2">
      <w:pPr>
        <w:pStyle w:val="3"/>
        <w:numPr>
          <w:ilvl w:val="1"/>
          <w:numId w:val="10"/>
        </w:numPr>
        <w:spacing w:before="0" w:after="0" w:line="360" w:lineRule="auto"/>
        <w:ind w:firstLine="420" w:firstLineChars="200"/>
        <w:rPr>
          <w:color w:val="auto"/>
          <w:highlight w:val="none"/>
        </w:rPr>
      </w:pPr>
      <w:bookmarkStart w:id="50" w:name="_Toc98019246"/>
      <w:r>
        <w:rPr>
          <w:rFonts w:hint="eastAsia"/>
          <w:color w:val="auto"/>
          <w:highlight w:val="none"/>
        </w:rPr>
        <w:t>招标文件的澄清与修改</w:t>
      </w:r>
      <w:bookmarkEnd w:id="50"/>
    </w:p>
    <w:p w14:paraId="2E7C4DA4">
      <w:pPr>
        <w:numPr>
          <w:ilvl w:val="0"/>
          <w:numId w:val="15"/>
        </w:numPr>
        <w:snapToGrid w:val="0"/>
        <w:spacing w:line="360" w:lineRule="auto"/>
        <w:ind w:left="0" w:firstLine="420" w:firstLineChars="200"/>
        <w:jc w:val="left"/>
        <w:rPr>
          <w:rFonts w:hint="eastAsia" w:ascii="微软雅黑" w:hAnsi="微软雅黑" w:eastAsia="微软雅黑"/>
          <w:color w:val="auto"/>
          <w:szCs w:val="21"/>
          <w:highlight w:val="none"/>
        </w:rPr>
      </w:pPr>
      <w:bookmarkStart w:id="51" w:name="_Toc11650177"/>
      <w:bookmarkStart w:id="52" w:name="_Toc9342487"/>
      <w:r>
        <w:rPr>
          <w:rFonts w:hint="eastAsia" w:ascii="微软雅黑" w:hAnsi="微软雅黑" w:eastAsia="微软雅黑"/>
          <w:color w:val="auto"/>
          <w:szCs w:val="21"/>
          <w:highlight w:val="none"/>
        </w:rPr>
        <w:t>投标人应认真阅读本招标文件，发现其中有误或有不合理要求的，投标人必须在前附表规定的时间前以书面形式要求招标人澄清。招标人对已发出的招标文件进行必要澄清、答复、修改或补充的，应当在招标文件要求提交投标文件截止时间前，以书面形式通知投标人。</w:t>
      </w:r>
      <w:bookmarkEnd w:id="51"/>
      <w:bookmarkEnd w:id="52"/>
    </w:p>
    <w:p w14:paraId="71BB6B23">
      <w:pPr>
        <w:numPr>
          <w:ilvl w:val="0"/>
          <w:numId w:val="15"/>
        </w:numPr>
        <w:snapToGrid w:val="0"/>
        <w:spacing w:line="360" w:lineRule="auto"/>
        <w:ind w:left="0" w:firstLine="420" w:firstLineChars="200"/>
        <w:jc w:val="left"/>
        <w:rPr>
          <w:rFonts w:hint="eastAsia" w:ascii="微软雅黑" w:hAnsi="微软雅黑" w:eastAsia="微软雅黑"/>
          <w:color w:val="auto"/>
          <w:szCs w:val="21"/>
          <w:highlight w:val="none"/>
        </w:rPr>
      </w:pPr>
      <w:bookmarkStart w:id="53" w:name="_Toc9342488"/>
      <w:bookmarkStart w:id="54" w:name="_Toc11650178"/>
      <w:r>
        <w:rPr>
          <w:rFonts w:hint="eastAsia" w:ascii="微软雅黑" w:hAnsi="微软雅黑" w:eastAsia="微软雅黑"/>
          <w:color w:val="auto"/>
          <w:szCs w:val="21"/>
          <w:highlight w:val="none"/>
        </w:rPr>
        <w:t>招标文件澄清、答复、修改、补充的内容为招标文件的组成部分。当招标文件与招标文件的答复、澄清、修改、补充通知就同一内容的表述不一致时，以最后发出的为准。</w:t>
      </w:r>
      <w:bookmarkEnd w:id="53"/>
      <w:bookmarkEnd w:id="54"/>
    </w:p>
    <w:p w14:paraId="3E0A0065">
      <w:pPr>
        <w:numPr>
          <w:ilvl w:val="0"/>
          <w:numId w:val="15"/>
        </w:numPr>
        <w:snapToGrid w:val="0"/>
        <w:spacing w:line="360" w:lineRule="auto"/>
        <w:ind w:left="0" w:firstLine="420" w:firstLineChars="200"/>
        <w:jc w:val="left"/>
        <w:rPr>
          <w:rFonts w:hint="eastAsia" w:ascii="微软雅黑" w:hAnsi="微软雅黑" w:eastAsia="微软雅黑"/>
          <w:color w:val="auto"/>
          <w:szCs w:val="21"/>
          <w:highlight w:val="none"/>
        </w:rPr>
      </w:pPr>
      <w:bookmarkStart w:id="55" w:name="_Toc9342489"/>
      <w:bookmarkStart w:id="56" w:name="_Toc11650179"/>
      <w:r>
        <w:rPr>
          <w:rFonts w:hint="eastAsia" w:ascii="微软雅黑" w:hAnsi="微软雅黑" w:eastAsia="微软雅黑"/>
          <w:color w:val="auto"/>
          <w:szCs w:val="21"/>
          <w:highlight w:val="none"/>
        </w:rPr>
        <w:t>招标文件的澄清、答复、修改或补充都应该通过招标人以法定形式发布。</w:t>
      </w:r>
      <w:bookmarkEnd w:id="55"/>
      <w:bookmarkEnd w:id="56"/>
    </w:p>
    <w:p w14:paraId="20BE0513">
      <w:pPr>
        <w:pStyle w:val="2"/>
        <w:numPr>
          <w:ilvl w:val="0"/>
          <w:numId w:val="9"/>
        </w:numPr>
        <w:spacing w:before="0" w:after="0" w:line="360" w:lineRule="auto"/>
        <w:ind w:firstLine="420" w:firstLineChars="200"/>
        <w:jc w:val="center"/>
        <w:rPr>
          <w:rFonts w:hint="eastAsia" w:ascii="微软雅黑" w:hAnsi="微软雅黑" w:eastAsia="微软雅黑" w:cs="微软雅黑"/>
          <w:color w:val="auto"/>
          <w:sz w:val="21"/>
          <w:szCs w:val="21"/>
          <w:highlight w:val="none"/>
        </w:rPr>
      </w:pPr>
      <w:bookmarkStart w:id="57" w:name="_Toc11650180"/>
      <w:bookmarkStart w:id="58" w:name="_Toc9342490"/>
      <w:bookmarkStart w:id="59" w:name="_Toc98019247"/>
      <w:bookmarkStart w:id="60" w:name="_Toc24216"/>
      <w:r>
        <w:rPr>
          <w:rFonts w:hint="eastAsia" w:ascii="微软雅黑" w:hAnsi="微软雅黑" w:eastAsia="微软雅黑" w:cs="微软雅黑"/>
          <w:color w:val="auto"/>
          <w:sz w:val="21"/>
          <w:szCs w:val="21"/>
          <w:highlight w:val="none"/>
        </w:rPr>
        <w:t>投标文件的编制</w:t>
      </w:r>
      <w:bookmarkEnd w:id="57"/>
      <w:bookmarkEnd w:id="58"/>
      <w:bookmarkEnd w:id="59"/>
      <w:bookmarkEnd w:id="60"/>
    </w:p>
    <w:p w14:paraId="34D57056">
      <w:pPr>
        <w:pStyle w:val="3"/>
        <w:numPr>
          <w:ilvl w:val="1"/>
          <w:numId w:val="10"/>
        </w:numPr>
        <w:spacing w:before="0" w:after="0" w:line="360" w:lineRule="auto"/>
        <w:ind w:firstLine="420" w:firstLineChars="200"/>
        <w:rPr>
          <w:color w:val="auto"/>
          <w:highlight w:val="none"/>
        </w:rPr>
      </w:pPr>
      <w:bookmarkStart w:id="61" w:name="_Toc11650181"/>
      <w:bookmarkStart w:id="62" w:name="_Toc9342491"/>
      <w:bookmarkStart w:id="63" w:name="_Toc98019248"/>
      <w:r>
        <w:rPr>
          <w:rFonts w:hint="eastAsia"/>
          <w:color w:val="auto"/>
          <w:highlight w:val="none"/>
        </w:rPr>
        <w:t>投标文件的组成</w:t>
      </w:r>
      <w:bookmarkEnd w:id="61"/>
      <w:bookmarkEnd w:id="62"/>
      <w:bookmarkEnd w:id="63"/>
    </w:p>
    <w:p w14:paraId="7B436330">
      <w:pPr>
        <w:snapToGrid w:val="0"/>
        <w:spacing w:line="480" w:lineRule="exact"/>
        <w:ind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投标文件的资信技术文件和投标报价文件装订成一本。</w:t>
      </w:r>
    </w:p>
    <w:p w14:paraId="6341215F">
      <w:pPr>
        <w:numPr>
          <w:ilvl w:val="0"/>
          <w:numId w:val="16"/>
        </w:numPr>
        <w:tabs>
          <w:tab w:val="left" w:pos="709"/>
        </w:tabs>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▲投标声明书（格式见附件）；</w:t>
      </w:r>
    </w:p>
    <w:p w14:paraId="54AA19F2">
      <w:pPr>
        <w:numPr>
          <w:ilvl w:val="0"/>
          <w:numId w:val="16"/>
        </w:numPr>
        <w:tabs>
          <w:tab w:val="left" w:pos="709"/>
        </w:tabs>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▲法定代表人（负责人）授权书(格式见附件)；</w:t>
      </w:r>
    </w:p>
    <w:p w14:paraId="1CB229FD">
      <w:pPr>
        <w:numPr>
          <w:ilvl w:val="0"/>
          <w:numId w:val="16"/>
        </w:numPr>
        <w:tabs>
          <w:tab w:val="left" w:pos="709"/>
        </w:tabs>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▲投标函（格式见附件）；</w:t>
      </w:r>
    </w:p>
    <w:p w14:paraId="7A0196EA">
      <w:pPr>
        <w:numPr>
          <w:ilvl w:val="0"/>
          <w:numId w:val="16"/>
        </w:numPr>
        <w:tabs>
          <w:tab w:val="left" w:pos="709"/>
        </w:tabs>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▲投标报价一览表（格式见附件）</w:t>
      </w:r>
    </w:p>
    <w:p w14:paraId="2A077E34">
      <w:pPr>
        <w:numPr>
          <w:ilvl w:val="0"/>
          <w:numId w:val="16"/>
        </w:numPr>
        <w:tabs>
          <w:tab w:val="left" w:pos="709"/>
        </w:tabs>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人民银行评价材料 (复印件)；</w:t>
      </w:r>
    </w:p>
    <w:p w14:paraId="7C8159A5">
      <w:pPr>
        <w:numPr>
          <w:ilvl w:val="0"/>
          <w:numId w:val="16"/>
        </w:numPr>
        <w:tabs>
          <w:tab w:val="left" w:pos="709"/>
        </w:tabs>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▲营业执照副本(复印件)；</w:t>
      </w:r>
    </w:p>
    <w:p w14:paraId="0958F718">
      <w:pPr>
        <w:numPr>
          <w:ilvl w:val="0"/>
          <w:numId w:val="16"/>
        </w:numPr>
        <w:tabs>
          <w:tab w:val="left" w:pos="709"/>
        </w:tabs>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▲《中华人民共和国金融许可证》（复印件）；</w:t>
      </w:r>
    </w:p>
    <w:p w14:paraId="350C19C7">
      <w:pPr>
        <w:numPr>
          <w:ilvl w:val="0"/>
          <w:numId w:val="16"/>
        </w:numPr>
        <w:tabs>
          <w:tab w:val="left" w:pos="709"/>
        </w:tabs>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投标人需提供的其他材料（格式自拟）。</w:t>
      </w:r>
    </w:p>
    <w:p w14:paraId="2C45BAC4">
      <w:pPr>
        <w:pStyle w:val="3"/>
        <w:numPr>
          <w:ilvl w:val="1"/>
          <w:numId w:val="10"/>
        </w:numPr>
        <w:spacing w:before="0" w:after="0" w:line="360" w:lineRule="auto"/>
        <w:ind w:firstLine="420" w:firstLineChars="200"/>
        <w:rPr>
          <w:color w:val="auto"/>
          <w:highlight w:val="none"/>
        </w:rPr>
      </w:pPr>
      <w:bookmarkStart w:id="64" w:name="_Toc9342492"/>
      <w:bookmarkStart w:id="65" w:name="_Toc11650182"/>
      <w:bookmarkStart w:id="66" w:name="_Toc98019249"/>
      <w:r>
        <w:rPr>
          <w:rFonts w:hint="eastAsia"/>
          <w:color w:val="auto"/>
          <w:highlight w:val="none"/>
        </w:rPr>
        <w:t>投标文件的语言及计量</w:t>
      </w:r>
      <w:bookmarkEnd w:id="64"/>
      <w:bookmarkEnd w:id="65"/>
      <w:bookmarkEnd w:id="66"/>
    </w:p>
    <w:p w14:paraId="0A1AB205">
      <w:pPr>
        <w:numPr>
          <w:ilvl w:val="0"/>
          <w:numId w:val="17"/>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▲投标文件以及投标方与招标方就有关投标事宜的所有来往函电，均应以中文汉语书写。除签名、盖章、专用名称等特殊情形外，以中文汉语以外的文字表述的投标文件视同未提供。</w:t>
      </w:r>
    </w:p>
    <w:p w14:paraId="3D2C21DD">
      <w:pPr>
        <w:numPr>
          <w:ilvl w:val="0"/>
          <w:numId w:val="17"/>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▲投标计量单位，招标文件已有明确规定的，使用招标文件规定的计量单位；招标文件没有规定的，应采用中华人民共和国法定计量单位（货币单位：人民币元），否则视同未响应。</w:t>
      </w:r>
    </w:p>
    <w:p w14:paraId="611BF007">
      <w:pPr>
        <w:pStyle w:val="3"/>
        <w:numPr>
          <w:ilvl w:val="1"/>
          <w:numId w:val="10"/>
        </w:numPr>
        <w:spacing w:before="0" w:after="0" w:line="360" w:lineRule="auto"/>
        <w:ind w:firstLine="420" w:firstLineChars="200"/>
        <w:rPr>
          <w:color w:val="auto"/>
          <w:highlight w:val="none"/>
        </w:rPr>
      </w:pPr>
      <w:bookmarkStart w:id="67" w:name="_Toc98019250"/>
      <w:bookmarkStart w:id="68" w:name="_Toc11650183"/>
      <w:bookmarkStart w:id="69" w:name="_Toc9342493"/>
      <w:r>
        <w:rPr>
          <w:rFonts w:hint="eastAsia"/>
          <w:color w:val="auto"/>
          <w:highlight w:val="none"/>
        </w:rPr>
        <w:t>投标报价</w:t>
      </w:r>
      <w:bookmarkEnd w:id="67"/>
      <w:bookmarkEnd w:id="68"/>
      <w:bookmarkEnd w:id="69"/>
    </w:p>
    <w:p w14:paraId="07D42718">
      <w:pPr>
        <w:numPr>
          <w:ilvl w:val="0"/>
          <w:numId w:val="18"/>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投标报价应按招标文件中相关附表格式填写。</w:t>
      </w:r>
    </w:p>
    <w:p w14:paraId="70EC826E">
      <w:pPr>
        <w:numPr>
          <w:ilvl w:val="0"/>
          <w:numId w:val="18"/>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▲投标报价只允许有一个报价，有选择的报价将不予接受。</w:t>
      </w:r>
    </w:p>
    <w:p w14:paraId="3C54B770">
      <w:pPr>
        <w:numPr>
          <w:ilvl w:val="0"/>
          <w:numId w:val="18"/>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投标人须充分了解项目全部风险，综合考虑投标报价。</w:t>
      </w:r>
    </w:p>
    <w:p w14:paraId="190E18BC">
      <w:pPr>
        <w:numPr>
          <w:ilvl w:val="0"/>
          <w:numId w:val="18"/>
        </w:numPr>
        <w:snapToGrid w:val="0"/>
        <w:spacing w:line="360" w:lineRule="auto"/>
        <w:ind w:left="0" w:firstLine="420" w:firstLineChars="200"/>
        <w:jc w:val="left"/>
        <w:rPr>
          <w:rFonts w:hint="eastAsia" w:ascii="微软雅黑" w:hAnsi="微软雅黑" w:eastAsia="微软雅黑"/>
          <w:b/>
          <w:color w:val="auto"/>
          <w:szCs w:val="21"/>
          <w:highlight w:val="none"/>
          <w:shd w:val="pct10" w:color="auto" w:fill="FFFFFF"/>
        </w:rPr>
      </w:pPr>
      <w:r>
        <w:rPr>
          <w:rFonts w:hint="eastAsia" w:ascii="微软雅黑" w:hAnsi="微软雅黑" w:eastAsia="微软雅黑"/>
          <w:b/>
          <w:color w:val="auto"/>
          <w:szCs w:val="21"/>
          <w:highlight w:val="none"/>
          <w:shd w:val="pct10" w:color="auto" w:fill="FFFFFF"/>
        </w:rPr>
        <w:t>投标人报价不得违反国家利率政策</w:t>
      </w:r>
      <w:r>
        <w:rPr>
          <w:rFonts w:hint="eastAsia" w:ascii="微软雅黑" w:hAnsi="微软雅黑" w:eastAsia="微软雅黑"/>
          <w:b/>
          <w:color w:val="auto"/>
          <w:szCs w:val="21"/>
          <w:highlight w:val="none"/>
          <w:shd w:val="pct10" w:color="auto" w:fill="FFFFFF"/>
          <w:lang w:val="en-US" w:eastAsia="zh-CN"/>
        </w:rPr>
        <w:t>及</w:t>
      </w:r>
      <w:r>
        <w:rPr>
          <w:rFonts w:hint="eastAsia" w:ascii="微软雅黑" w:hAnsi="微软雅黑" w:eastAsia="微软雅黑"/>
          <w:b/>
          <w:color w:val="auto"/>
          <w:szCs w:val="21"/>
          <w:highlight w:val="none"/>
          <w:shd w:val="pct10" w:color="auto" w:fill="FFFFFF"/>
        </w:rPr>
        <w:t>市场利率定价自律机制规定。</w:t>
      </w:r>
    </w:p>
    <w:p w14:paraId="4CD79DFE">
      <w:pPr>
        <w:numPr>
          <w:ilvl w:val="0"/>
          <w:numId w:val="18"/>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投标人提交可选择报价视为非实质性响应招标文件的要求，按无效标处理。</w:t>
      </w:r>
    </w:p>
    <w:p w14:paraId="06D4EDDF">
      <w:pPr>
        <w:pStyle w:val="3"/>
        <w:numPr>
          <w:ilvl w:val="1"/>
          <w:numId w:val="10"/>
        </w:numPr>
        <w:spacing w:before="0" w:after="0" w:line="360" w:lineRule="auto"/>
        <w:ind w:firstLine="420" w:firstLineChars="200"/>
        <w:rPr>
          <w:color w:val="auto"/>
          <w:highlight w:val="none"/>
        </w:rPr>
      </w:pPr>
      <w:bookmarkStart w:id="70" w:name="_Toc98019251"/>
      <w:r>
        <w:rPr>
          <w:rFonts w:hint="eastAsia"/>
          <w:color w:val="auto"/>
          <w:highlight w:val="none"/>
        </w:rPr>
        <w:t>投标文件的有效期</w:t>
      </w:r>
      <w:bookmarkEnd w:id="70"/>
    </w:p>
    <w:p w14:paraId="31B63A43">
      <w:pPr>
        <w:numPr>
          <w:ilvl w:val="0"/>
          <w:numId w:val="19"/>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▲自投标截止日起60天投标文件应保持有效。有效期不足的投标文件将被拒绝。</w:t>
      </w:r>
    </w:p>
    <w:p w14:paraId="36E5E34C">
      <w:pPr>
        <w:numPr>
          <w:ilvl w:val="0"/>
          <w:numId w:val="19"/>
        </w:numPr>
        <w:snapToGrid w:val="0"/>
        <w:spacing w:line="360" w:lineRule="auto"/>
        <w:ind w:left="0" w:firstLine="420" w:firstLineChars="200"/>
        <w:jc w:val="left"/>
        <w:rPr>
          <w:rFonts w:hint="eastAsia" w:ascii="微软雅黑" w:hAnsi="微软雅黑" w:eastAsia="微软雅黑"/>
          <w:color w:val="auto"/>
          <w:szCs w:val="21"/>
          <w:highlight w:val="none"/>
        </w:rPr>
      </w:pPr>
      <w:bookmarkStart w:id="71" w:name="_Toc11650184"/>
      <w:bookmarkStart w:id="72" w:name="_Toc9342494"/>
      <w:r>
        <w:rPr>
          <w:rFonts w:hint="eastAsia" w:ascii="微软雅黑" w:hAnsi="微软雅黑" w:eastAsia="微软雅黑"/>
          <w:color w:val="auto"/>
          <w:szCs w:val="21"/>
          <w:highlight w:val="none"/>
        </w:rPr>
        <w:t>中标人的投标文件自开标之日起至合同履行完毕止均应保持有效。</w:t>
      </w:r>
      <w:bookmarkEnd w:id="71"/>
      <w:bookmarkEnd w:id="72"/>
    </w:p>
    <w:p w14:paraId="2C4DB4F9">
      <w:pPr>
        <w:pStyle w:val="3"/>
        <w:numPr>
          <w:ilvl w:val="1"/>
          <w:numId w:val="10"/>
        </w:numPr>
        <w:spacing w:before="0" w:after="0" w:line="360" w:lineRule="auto"/>
        <w:ind w:firstLine="420" w:firstLineChars="200"/>
        <w:rPr>
          <w:color w:val="auto"/>
          <w:highlight w:val="none"/>
        </w:rPr>
      </w:pPr>
      <w:bookmarkStart w:id="73" w:name="_Toc98019252"/>
      <w:r>
        <w:rPr>
          <w:rFonts w:hint="eastAsia"/>
          <w:color w:val="auto"/>
          <w:highlight w:val="none"/>
        </w:rPr>
        <w:t>投标文件的签署和份数</w:t>
      </w:r>
      <w:bookmarkEnd w:id="73"/>
    </w:p>
    <w:p w14:paraId="3C24908B">
      <w:pPr>
        <w:numPr>
          <w:ilvl w:val="0"/>
          <w:numId w:val="20"/>
        </w:numPr>
        <w:tabs>
          <w:tab w:val="left" w:pos="709"/>
        </w:tabs>
        <w:snapToGrid w:val="0"/>
        <w:spacing w:line="360" w:lineRule="auto"/>
        <w:ind w:left="0" w:firstLine="424" w:firstLineChars="202"/>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w:t>
      </w:r>
      <w:r>
        <w:rPr>
          <w:rFonts w:hint="eastAsia" w:ascii="微软雅黑" w:hAnsi="微软雅黑" w:eastAsia="微软雅黑"/>
          <w:color w:val="auto"/>
          <w:szCs w:val="21"/>
          <w:highlight w:val="none"/>
          <w:u w:val="single"/>
        </w:rPr>
        <w:t>线下纸质投标文件</w:t>
      </w:r>
      <w:r>
        <w:rPr>
          <w:rFonts w:ascii="微软雅黑" w:hAnsi="微软雅黑" w:eastAsia="微软雅黑"/>
          <w:color w:val="auto"/>
          <w:szCs w:val="21"/>
          <w:highlight w:val="none"/>
          <w:u w:val="single"/>
        </w:rPr>
        <w:t>正本一份和副本</w:t>
      </w:r>
      <w:r>
        <w:rPr>
          <w:rFonts w:hint="eastAsia" w:ascii="微软雅黑" w:hAnsi="微软雅黑" w:eastAsia="微软雅黑"/>
          <w:color w:val="auto"/>
          <w:szCs w:val="21"/>
          <w:highlight w:val="none"/>
          <w:u w:val="single"/>
        </w:rPr>
        <w:t>一份</w:t>
      </w:r>
      <w:r>
        <w:rPr>
          <w:rFonts w:hint="eastAsia" w:ascii="微软雅黑" w:hAnsi="微软雅黑" w:eastAsia="微软雅黑"/>
          <w:color w:val="auto"/>
          <w:szCs w:val="21"/>
          <w:highlight w:val="none"/>
        </w:rPr>
        <w:t>。投标文件的正本需打印或用不褪色的墨水填写，并注明“正本”字样，投标文件正本除本招标须知中规定的可提供复印件外均须提供原件。副本可为正本的复印件。投标文件应装订密封，且在封口上加盖投标单位的公章。</w:t>
      </w:r>
    </w:p>
    <w:p w14:paraId="61CA0766">
      <w:pPr>
        <w:numPr>
          <w:ilvl w:val="0"/>
          <w:numId w:val="20"/>
        </w:numPr>
        <w:tabs>
          <w:tab w:val="left" w:pos="709"/>
        </w:tabs>
        <w:snapToGrid w:val="0"/>
        <w:spacing w:line="360" w:lineRule="auto"/>
        <w:ind w:left="0" w:firstLine="424" w:firstLineChars="202"/>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文件须由投标人在规定位置盖章并由法定代表人/负责人或法定代表授权人签署，投标人应写全称。投标文件不得涂改，若有修改错漏处，须加盖单位公章或者法定代表人/负责人或授权委托人签字或盖章。投标文件因字迹潦草或表达不清所引起的后果由投标人负责。</w:t>
      </w:r>
    </w:p>
    <w:p w14:paraId="1E8ACB45">
      <w:pPr>
        <w:numPr>
          <w:ilvl w:val="0"/>
          <w:numId w:val="20"/>
        </w:numPr>
        <w:tabs>
          <w:tab w:val="left" w:pos="709"/>
        </w:tabs>
        <w:snapToGrid w:val="0"/>
        <w:spacing w:line="360" w:lineRule="auto"/>
        <w:ind w:left="0" w:firstLine="424" w:firstLineChars="202"/>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▲网上电子投标文件按招标文件要求及招标系统流程、时间、格式上传。</w:t>
      </w:r>
    </w:p>
    <w:p w14:paraId="4DA4C92B">
      <w:pPr>
        <w:pStyle w:val="3"/>
        <w:numPr>
          <w:ilvl w:val="1"/>
          <w:numId w:val="10"/>
        </w:numPr>
        <w:spacing w:before="0" w:after="0" w:line="360" w:lineRule="auto"/>
        <w:ind w:firstLine="420" w:firstLineChars="200"/>
        <w:rPr>
          <w:color w:val="auto"/>
          <w:highlight w:val="none"/>
        </w:rPr>
      </w:pPr>
      <w:bookmarkStart w:id="74" w:name="_Toc98019253"/>
      <w:r>
        <w:rPr>
          <w:rFonts w:hint="eastAsia"/>
          <w:color w:val="auto"/>
          <w:highlight w:val="none"/>
        </w:rPr>
        <w:t>投标文件的包装、递交、修改和撤回</w:t>
      </w:r>
      <w:bookmarkEnd w:id="74"/>
    </w:p>
    <w:p w14:paraId="45C64BD1">
      <w:pPr>
        <w:numPr>
          <w:ilvl w:val="0"/>
          <w:numId w:val="21"/>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投标人的投标文件应密封封装。投标文件的包装封面上应注明投标人名称、投标人地址、投标文件名称、投标项目名称、项目编号，并加盖投标人公章。</w:t>
      </w:r>
    </w:p>
    <w:p w14:paraId="6357588E">
      <w:pPr>
        <w:numPr>
          <w:ilvl w:val="0"/>
          <w:numId w:val="21"/>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未按规定密封或标记的投标文件将被拒绝，由此造成投标文件被误投或提前拆封的风险由投标人承担。</w:t>
      </w:r>
    </w:p>
    <w:p w14:paraId="28ED324E">
      <w:pPr>
        <w:numPr>
          <w:ilvl w:val="0"/>
          <w:numId w:val="21"/>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人在投标截止时间之前，可以对已提交的投标文件进行修改或撤回，并书面通知招标单位；投标截止时间后，投标人不得撤回、修改投标文件。修改后重新递交的投标文件应当按本招标文件的要求签署、盖章和密封。</w:t>
      </w:r>
    </w:p>
    <w:p w14:paraId="2EAF9156">
      <w:pPr>
        <w:pStyle w:val="3"/>
        <w:numPr>
          <w:ilvl w:val="1"/>
          <w:numId w:val="10"/>
        </w:numPr>
        <w:spacing w:before="0" w:after="0" w:line="360" w:lineRule="auto"/>
        <w:ind w:firstLine="420" w:firstLineChars="200"/>
        <w:rPr>
          <w:color w:val="auto"/>
          <w:highlight w:val="none"/>
        </w:rPr>
      </w:pPr>
      <w:bookmarkStart w:id="75" w:name="_Toc98019254"/>
      <w:r>
        <w:rPr>
          <w:rFonts w:hint="eastAsia"/>
          <w:color w:val="auto"/>
          <w:highlight w:val="none"/>
        </w:rPr>
        <w:t>投标无效的情形</w:t>
      </w:r>
      <w:bookmarkEnd w:id="75"/>
    </w:p>
    <w:p w14:paraId="20675029">
      <w:pPr>
        <w:snapToGrid w:val="0"/>
        <w:spacing w:line="480" w:lineRule="exact"/>
        <w:ind w:firstLine="420" w:firstLineChars="200"/>
        <w:rPr>
          <w:rFonts w:hint="eastAsia" w:ascii="微软雅黑" w:hAnsi="微软雅黑" w:eastAsia="微软雅黑"/>
          <w:bCs/>
          <w:color w:val="auto"/>
          <w:szCs w:val="21"/>
          <w:highlight w:val="none"/>
        </w:rPr>
      </w:pPr>
      <w:r>
        <w:rPr>
          <w:rFonts w:hint="eastAsia" w:ascii="微软雅黑" w:hAnsi="微软雅黑" w:eastAsia="微软雅黑"/>
          <w:b/>
          <w:bCs/>
          <w:color w:val="auto"/>
          <w:szCs w:val="21"/>
          <w:highlight w:val="none"/>
        </w:rPr>
        <w:t>实质上没有响应招标文件要求的投标将被视为无效投标。</w:t>
      </w:r>
    </w:p>
    <w:p w14:paraId="367AE60C">
      <w:pPr>
        <w:numPr>
          <w:ilvl w:val="0"/>
          <w:numId w:val="22"/>
        </w:numPr>
        <w:snapToGrid w:val="0"/>
        <w:spacing w:line="360" w:lineRule="auto"/>
        <w:ind w:left="0" w:firstLine="420" w:firstLineChars="200"/>
        <w:jc w:val="left"/>
        <w:rPr>
          <w:rFonts w:hint="eastAsia" w:ascii="微软雅黑" w:hAnsi="微软雅黑" w:eastAsia="微软雅黑"/>
          <w:b/>
          <w:bCs/>
          <w:color w:val="auto"/>
          <w:szCs w:val="21"/>
          <w:highlight w:val="none"/>
        </w:rPr>
      </w:pPr>
      <w:r>
        <w:rPr>
          <w:rFonts w:hint="eastAsia" w:ascii="微软雅黑" w:hAnsi="微软雅黑" w:eastAsia="微软雅黑"/>
          <w:b/>
          <w:bCs/>
          <w:color w:val="auto"/>
          <w:szCs w:val="21"/>
          <w:highlight w:val="none"/>
        </w:rPr>
        <w:t>在符合性审查和商务评审时，如发现下列情形之一的，投标文件将被视为无效：</w:t>
      </w:r>
    </w:p>
    <w:p w14:paraId="23D83A32">
      <w:pPr>
        <w:numPr>
          <w:ilvl w:val="1"/>
          <w:numId w:val="22"/>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资格证明文件不全的，或者不符合招标文件标明的资格要求的；</w:t>
      </w:r>
    </w:p>
    <w:p w14:paraId="393D4FDB">
      <w:pPr>
        <w:numPr>
          <w:ilvl w:val="1"/>
          <w:numId w:val="22"/>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投标文件无法定代表人（负责人）签字,或未提供法定代表人（负责人）授权委托书、投标声明书或者填写项目不齐全的；</w:t>
      </w:r>
    </w:p>
    <w:p w14:paraId="002D472D">
      <w:pPr>
        <w:numPr>
          <w:ilvl w:val="1"/>
          <w:numId w:val="22"/>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投标代表人未能出具身份证明或与法定代表人（负责人）授权委托人身份不符的； </w:t>
      </w:r>
    </w:p>
    <w:p w14:paraId="641028D1">
      <w:pPr>
        <w:numPr>
          <w:ilvl w:val="1"/>
          <w:numId w:val="22"/>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投标文件未按要求装订、格式不规范、项目不齐全或者内容虚假的；</w:t>
      </w:r>
    </w:p>
    <w:p w14:paraId="5AFABEDB">
      <w:pPr>
        <w:numPr>
          <w:ilvl w:val="1"/>
          <w:numId w:val="22"/>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投标文件的实质性内容意思表述不明确、前后矛盾或者使用计量单位不符合招标文件要求的（经评标委员会认定并允许其当场更正的笔误除外）；</w:t>
      </w:r>
    </w:p>
    <w:p w14:paraId="6078B31F">
      <w:pPr>
        <w:numPr>
          <w:ilvl w:val="1"/>
          <w:numId w:val="22"/>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未实质性响应招标文件要求的；</w:t>
      </w:r>
    </w:p>
    <w:p w14:paraId="117C84C1">
      <w:pPr>
        <w:numPr>
          <w:ilvl w:val="0"/>
          <w:numId w:val="22"/>
        </w:numPr>
        <w:snapToGrid w:val="0"/>
        <w:spacing w:line="360" w:lineRule="auto"/>
        <w:ind w:left="0" w:firstLine="420" w:firstLineChars="200"/>
        <w:jc w:val="left"/>
        <w:rPr>
          <w:rFonts w:hint="eastAsia" w:ascii="微软雅黑" w:hAnsi="微软雅黑" w:eastAsia="微软雅黑"/>
          <w:b/>
          <w:bCs/>
          <w:color w:val="auto"/>
          <w:szCs w:val="21"/>
          <w:highlight w:val="none"/>
        </w:rPr>
      </w:pPr>
      <w:r>
        <w:rPr>
          <w:rFonts w:hint="eastAsia" w:ascii="微软雅黑" w:hAnsi="微软雅黑" w:eastAsia="微软雅黑"/>
          <w:b/>
          <w:bCs/>
          <w:color w:val="auto"/>
          <w:szCs w:val="21"/>
          <w:highlight w:val="none"/>
        </w:rPr>
        <w:t>在技术评审时，如发现下列情形之一的，投标文件将被视为无效：</w:t>
      </w:r>
    </w:p>
    <w:p w14:paraId="70FDA771">
      <w:pPr>
        <w:numPr>
          <w:ilvl w:val="1"/>
          <w:numId w:val="22"/>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投标文件标明的响应或偏离与事实不符或虚假投标的；</w:t>
      </w:r>
    </w:p>
    <w:p w14:paraId="4E0D9741">
      <w:pPr>
        <w:numPr>
          <w:ilvl w:val="1"/>
          <w:numId w:val="22"/>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与招标文件中标“▲”的技术指标、主要功能项目发生实质性偏离的；</w:t>
      </w:r>
    </w:p>
    <w:p w14:paraId="7A708688">
      <w:pPr>
        <w:numPr>
          <w:ilvl w:val="1"/>
          <w:numId w:val="22"/>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投标技术方案不明确，存在一个或一个以上备选（替代）投标方案的；</w:t>
      </w:r>
    </w:p>
    <w:p w14:paraId="49E5FB27">
      <w:pPr>
        <w:numPr>
          <w:ilvl w:val="0"/>
          <w:numId w:val="22"/>
        </w:numPr>
        <w:snapToGrid w:val="0"/>
        <w:spacing w:line="360" w:lineRule="auto"/>
        <w:ind w:left="0" w:firstLine="420" w:firstLineChars="200"/>
        <w:jc w:val="left"/>
        <w:rPr>
          <w:rFonts w:hint="eastAsia" w:ascii="微软雅黑" w:hAnsi="微软雅黑" w:eastAsia="微软雅黑"/>
          <w:b/>
          <w:bCs/>
          <w:color w:val="auto"/>
          <w:szCs w:val="21"/>
          <w:highlight w:val="none"/>
        </w:rPr>
      </w:pPr>
      <w:r>
        <w:rPr>
          <w:rFonts w:hint="eastAsia" w:ascii="微软雅黑" w:hAnsi="微软雅黑" w:eastAsia="微软雅黑"/>
          <w:b/>
          <w:bCs/>
          <w:color w:val="auto"/>
          <w:szCs w:val="21"/>
          <w:highlight w:val="none"/>
        </w:rPr>
        <w:t>在报价评审时，如发现下列情形之一的，投标文件将被视为无效：</w:t>
      </w:r>
    </w:p>
    <w:p w14:paraId="16E0E8CD">
      <w:pPr>
        <w:numPr>
          <w:ilvl w:val="1"/>
          <w:numId w:val="22"/>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未提供投标报价表的；</w:t>
      </w:r>
    </w:p>
    <w:p w14:paraId="4D4FCDF3">
      <w:pPr>
        <w:numPr>
          <w:ilvl w:val="1"/>
          <w:numId w:val="22"/>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投标报价方案不明确，存在一个或一个以上备选（替代）投标方案的；</w:t>
      </w:r>
    </w:p>
    <w:p w14:paraId="099CB614">
      <w:pPr>
        <w:pStyle w:val="62"/>
        <w:numPr>
          <w:ilvl w:val="0"/>
          <w:numId w:val="22"/>
        </w:numPr>
        <w:snapToGrid w:val="0"/>
        <w:spacing w:line="480" w:lineRule="exact"/>
        <w:ind w:firstLine="1" w:firstLineChars="0"/>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rPr>
        <w:t>被拒绝的投标文件为无效。</w:t>
      </w:r>
    </w:p>
    <w:p w14:paraId="5C01C5BA">
      <w:pPr>
        <w:pStyle w:val="62"/>
        <w:numPr>
          <w:ilvl w:val="0"/>
          <w:numId w:val="22"/>
        </w:numPr>
        <w:snapToGrid w:val="0"/>
        <w:spacing w:line="480" w:lineRule="exact"/>
        <w:ind w:left="0" w:firstLine="426" w:firstLineChars="0"/>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rPr>
        <w:t>如网上投标文件与纸质投标文件不一致的，做无效标处理（因系统原因显示表述不一致的除外）。</w:t>
      </w:r>
    </w:p>
    <w:p w14:paraId="4B0B4DB5">
      <w:pPr>
        <w:pStyle w:val="2"/>
        <w:numPr>
          <w:ilvl w:val="0"/>
          <w:numId w:val="9"/>
        </w:numPr>
        <w:spacing w:before="0" w:after="0" w:line="360" w:lineRule="auto"/>
        <w:ind w:firstLine="420" w:firstLineChars="200"/>
        <w:jc w:val="center"/>
        <w:rPr>
          <w:rFonts w:hint="eastAsia" w:ascii="微软雅黑" w:hAnsi="微软雅黑" w:eastAsia="微软雅黑" w:cs="微软雅黑"/>
          <w:color w:val="auto"/>
          <w:sz w:val="21"/>
          <w:szCs w:val="21"/>
          <w:highlight w:val="none"/>
        </w:rPr>
      </w:pPr>
      <w:bookmarkStart w:id="76" w:name="_Toc23544"/>
      <w:bookmarkStart w:id="77" w:name="_Toc98019255"/>
      <w:r>
        <w:rPr>
          <w:rFonts w:hint="eastAsia" w:ascii="微软雅黑" w:hAnsi="微软雅黑" w:eastAsia="微软雅黑" w:cs="微软雅黑"/>
          <w:color w:val="auto"/>
          <w:sz w:val="21"/>
          <w:szCs w:val="21"/>
          <w:highlight w:val="none"/>
        </w:rPr>
        <w:t>开标</w:t>
      </w:r>
      <w:bookmarkEnd w:id="76"/>
      <w:bookmarkEnd w:id="77"/>
    </w:p>
    <w:p w14:paraId="0BB0EA21">
      <w:pPr>
        <w:pStyle w:val="3"/>
        <w:numPr>
          <w:ilvl w:val="1"/>
          <w:numId w:val="10"/>
        </w:numPr>
        <w:spacing w:before="0" w:after="0" w:line="360" w:lineRule="auto"/>
        <w:ind w:firstLine="420" w:firstLineChars="200"/>
        <w:rPr>
          <w:color w:val="auto"/>
          <w:sz w:val="21"/>
          <w:szCs w:val="21"/>
          <w:highlight w:val="none"/>
        </w:rPr>
      </w:pPr>
      <w:bookmarkStart w:id="78" w:name="_Toc98019256"/>
      <w:r>
        <w:rPr>
          <w:rFonts w:hint="eastAsia"/>
          <w:color w:val="auto"/>
          <w:highlight w:val="none"/>
        </w:rPr>
        <w:t>本项目不要求投标人至开标现场参加开标及开启投标文件活动。招标代理机构将在规定的时间和地点进行开标</w:t>
      </w:r>
      <w:r>
        <w:rPr>
          <w:rFonts w:hint="eastAsia"/>
          <w:color w:val="auto"/>
          <w:sz w:val="21"/>
          <w:szCs w:val="21"/>
          <w:highlight w:val="none"/>
        </w:rPr>
        <w:t>。</w:t>
      </w:r>
      <w:bookmarkEnd w:id="78"/>
    </w:p>
    <w:p w14:paraId="1D12B182">
      <w:pPr>
        <w:pStyle w:val="3"/>
        <w:numPr>
          <w:ilvl w:val="1"/>
          <w:numId w:val="10"/>
        </w:numPr>
        <w:spacing w:before="0" w:after="0" w:line="360" w:lineRule="auto"/>
        <w:ind w:firstLine="420" w:firstLineChars="200"/>
        <w:rPr>
          <w:color w:val="auto"/>
          <w:highlight w:val="none"/>
        </w:rPr>
      </w:pPr>
      <w:bookmarkStart w:id="79" w:name="_Toc98019257"/>
      <w:r>
        <w:rPr>
          <w:rFonts w:hint="eastAsia"/>
          <w:color w:val="auto"/>
          <w:highlight w:val="none"/>
        </w:rPr>
        <w:t>开标程序：</w:t>
      </w:r>
      <w:bookmarkEnd w:id="79"/>
    </w:p>
    <w:p w14:paraId="71308092">
      <w:pPr>
        <w:pStyle w:val="4"/>
        <w:ind w:firstLine="400" w:firstLineChars="0"/>
        <w:rPr>
          <w:rFonts w:hint="eastAsia"/>
          <w:b w:val="0"/>
          <w:bCs w:val="0"/>
          <w:color w:val="auto"/>
          <w:highlight w:val="none"/>
        </w:rPr>
      </w:pPr>
      <w:bookmarkStart w:id="80" w:name="_Toc98019258"/>
      <w:r>
        <w:rPr>
          <w:rFonts w:hint="eastAsia"/>
          <w:b w:val="0"/>
          <w:bCs w:val="0"/>
          <w:color w:val="auto"/>
          <w:highlight w:val="none"/>
        </w:rPr>
        <w:t>开标会由招标代理机构主持，主持人宣布开标会议开始；</w:t>
      </w:r>
      <w:bookmarkEnd w:id="80"/>
    </w:p>
    <w:p w14:paraId="6CC151A7">
      <w:pPr>
        <w:pStyle w:val="4"/>
        <w:ind w:firstLine="400" w:firstLineChars="0"/>
        <w:rPr>
          <w:rFonts w:hint="eastAsia" w:ascii="微软雅黑" w:hAnsi="微软雅黑"/>
          <w:b w:val="0"/>
          <w:bCs w:val="0"/>
          <w:color w:val="auto"/>
          <w:szCs w:val="21"/>
          <w:highlight w:val="none"/>
        </w:rPr>
      </w:pPr>
      <w:bookmarkStart w:id="81" w:name="_Toc98019259"/>
      <w:r>
        <w:rPr>
          <w:rFonts w:hint="eastAsia"/>
          <w:b w:val="0"/>
          <w:bCs w:val="0"/>
          <w:color w:val="auto"/>
          <w:highlight w:val="none"/>
        </w:rPr>
        <w:t>介绍参加开标会的人员名单；</w:t>
      </w:r>
      <w:bookmarkEnd w:id="81"/>
    </w:p>
    <w:p w14:paraId="4F66742B">
      <w:pPr>
        <w:pStyle w:val="4"/>
        <w:ind w:firstLine="400" w:firstLineChars="0"/>
        <w:rPr>
          <w:rFonts w:hint="eastAsia" w:ascii="微软雅黑" w:hAnsi="微软雅黑"/>
          <w:b w:val="0"/>
          <w:bCs w:val="0"/>
          <w:color w:val="auto"/>
          <w:szCs w:val="21"/>
          <w:highlight w:val="none"/>
        </w:rPr>
      </w:pPr>
      <w:bookmarkStart w:id="82" w:name="_Toc98019260"/>
      <w:r>
        <w:rPr>
          <w:rFonts w:hint="eastAsia"/>
          <w:b w:val="0"/>
          <w:bCs w:val="0"/>
          <w:color w:val="auto"/>
          <w:highlight w:val="none"/>
        </w:rPr>
        <w:t>开标时，由相关监督人员检查其投标文件的密封情况，经确认无误后，由采购代理</w:t>
      </w:r>
      <w:r>
        <w:rPr>
          <w:rFonts w:hint="eastAsia" w:ascii="微软雅黑" w:hAnsi="微软雅黑"/>
          <w:b w:val="0"/>
          <w:bCs w:val="0"/>
          <w:color w:val="auto"/>
          <w:szCs w:val="21"/>
          <w:highlight w:val="none"/>
        </w:rPr>
        <w:t>机构工作人员当众拆封，由唱标人宣读投标人在其投标文件中承诺的投标报价以及招标代理机构认为有必要宣读的其他内容。唱标顺序按各投标人提交投标文件时间的先后顺序进行；</w:t>
      </w:r>
      <w:bookmarkEnd w:id="82"/>
    </w:p>
    <w:p w14:paraId="2883833E">
      <w:pPr>
        <w:pStyle w:val="4"/>
        <w:ind w:firstLine="400" w:firstLineChars="0"/>
        <w:rPr>
          <w:rFonts w:hint="eastAsia" w:ascii="微软雅黑" w:hAnsi="微软雅黑"/>
          <w:b w:val="0"/>
          <w:bCs w:val="0"/>
          <w:color w:val="auto"/>
          <w:szCs w:val="21"/>
          <w:highlight w:val="none"/>
        </w:rPr>
      </w:pPr>
      <w:bookmarkStart w:id="83" w:name="_Toc98019261"/>
      <w:r>
        <w:rPr>
          <w:rFonts w:hint="eastAsia" w:ascii="微软雅黑" w:hAnsi="微软雅黑"/>
          <w:b w:val="0"/>
          <w:bCs w:val="0"/>
          <w:color w:val="auto"/>
          <w:szCs w:val="21"/>
          <w:highlight w:val="none"/>
        </w:rPr>
        <w:t>宣布评标期间的有关事项</w:t>
      </w:r>
      <w:bookmarkEnd w:id="83"/>
      <w:r>
        <w:rPr>
          <w:rFonts w:hint="eastAsia" w:ascii="微软雅黑" w:hAnsi="微软雅黑"/>
          <w:b w:val="0"/>
          <w:bCs w:val="0"/>
          <w:color w:val="auto"/>
          <w:szCs w:val="21"/>
          <w:highlight w:val="none"/>
          <w:lang w:eastAsia="zh-CN"/>
        </w:rPr>
        <w:t>。</w:t>
      </w:r>
    </w:p>
    <w:p w14:paraId="584EB165">
      <w:pPr>
        <w:pStyle w:val="3"/>
        <w:numPr>
          <w:ilvl w:val="1"/>
          <w:numId w:val="10"/>
        </w:numPr>
        <w:spacing w:before="0" w:after="0" w:line="360" w:lineRule="auto"/>
        <w:ind w:firstLine="420" w:firstLineChars="200"/>
        <w:rPr>
          <w:color w:val="auto"/>
          <w:highlight w:val="none"/>
        </w:rPr>
      </w:pPr>
      <w:bookmarkStart w:id="84" w:name="_Toc98019262"/>
      <w:r>
        <w:rPr>
          <w:rFonts w:hint="eastAsia"/>
          <w:color w:val="auto"/>
          <w:highlight w:val="none"/>
        </w:rPr>
        <w:t>开标会议结束。</w:t>
      </w:r>
      <w:bookmarkEnd w:id="84"/>
    </w:p>
    <w:p w14:paraId="5DF861A8">
      <w:pPr>
        <w:pStyle w:val="2"/>
        <w:numPr>
          <w:ilvl w:val="0"/>
          <w:numId w:val="9"/>
        </w:numPr>
        <w:spacing w:before="0" w:after="0" w:line="360" w:lineRule="auto"/>
        <w:ind w:firstLine="420" w:firstLineChars="200"/>
        <w:jc w:val="center"/>
        <w:rPr>
          <w:rFonts w:hint="eastAsia" w:ascii="微软雅黑" w:hAnsi="微软雅黑" w:eastAsia="微软雅黑" w:cs="微软雅黑"/>
          <w:color w:val="auto"/>
          <w:sz w:val="21"/>
          <w:szCs w:val="21"/>
          <w:highlight w:val="none"/>
        </w:rPr>
      </w:pPr>
      <w:bookmarkStart w:id="85" w:name="_Toc98019263"/>
      <w:bookmarkStart w:id="86" w:name="_Toc5071"/>
      <w:r>
        <w:rPr>
          <w:rFonts w:hint="eastAsia" w:ascii="微软雅黑" w:hAnsi="微软雅黑" w:eastAsia="微软雅黑" w:cs="微软雅黑"/>
          <w:color w:val="auto"/>
          <w:sz w:val="21"/>
          <w:szCs w:val="21"/>
          <w:highlight w:val="none"/>
        </w:rPr>
        <w:t>评标</w:t>
      </w:r>
      <w:bookmarkEnd w:id="85"/>
      <w:bookmarkEnd w:id="86"/>
    </w:p>
    <w:p w14:paraId="1CC74E70">
      <w:pPr>
        <w:pStyle w:val="3"/>
        <w:numPr>
          <w:ilvl w:val="1"/>
          <w:numId w:val="10"/>
        </w:numPr>
        <w:spacing w:before="0" w:after="0" w:line="360" w:lineRule="auto"/>
        <w:ind w:firstLine="420" w:firstLineChars="200"/>
        <w:rPr>
          <w:color w:val="auto"/>
          <w:highlight w:val="none"/>
        </w:rPr>
      </w:pPr>
      <w:bookmarkStart w:id="87" w:name="_Toc98019264"/>
      <w:r>
        <w:rPr>
          <w:rFonts w:hint="eastAsia"/>
          <w:color w:val="auto"/>
          <w:highlight w:val="none"/>
        </w:rPr>
        <w:t>评标组织</w:t>
      </w:r>
      <w:bookmarkEnd w:id="87"/>
    </w:p>
    <w:p w14:paraId="2518E173">
      <w:pPr>
        <w:snapToGrid w:val="0"/>
        <w:spacing w:line="360" w:lineRule="auto"/>
        <w:ind w:firstLine="420" w:firstLineChars="200"/>
        <w:jc w:val="left"/>
        <w:rPr>
          <w:rFonts w:hint="eastAsia" w:ascii="微软雅黑" w:hAnsi="微软雅黑" w:eastAsia="微软雅黑"/>
          <w:color w:val="auto"/>
          <w:szCs w:val="21"/>
          <w:highlight w:val="none"/>
        </w:rPr>
      </w:pPr>
      <w:r>
        <w:rPr>
          <w:rFonts w:ascii="微软雅黑" w:hAnsi="微软雅黑" w:eastAsia="微软雅黑"/>
          <w:color w:val="auto"/>
          <w:szCs w:val="21"/>
          <w:highlight w:val="none"/>
        </w:rPr>
        <w:t>本项目</w:t>
      </w:r>
      <w:r>
        <w:rPr>
          <w:rFonts w:hint="eastAsia" w:ascii="微软雅黑" w:hAnsi="微软雅黑" w:eastAsia="微软雅黑"/>
          <w:color w:val="auto"/>
          <w:szCs w:val="21"/>
          <w:highlight w:val="none"/>
        </w:rPr>
        <w:t>评审小组</w:t>
      </w:r>
      <w:r>
        <w:rPr>
          <w:rFonts w:ascii="微软雅黑" w:hAnsi="微软雅黑" w:eastAsia="微软雅黑"/>
          <w:color w:val="auto"/>
          <w:szCs w:val="21"/>
          <w:highlight w:val="none"/>
        </w:rPr>
        <w:t>评审</w:t>
      </w:r>
      <w:r>
        <w:rPr>
          <w:rFonts w:hint="eastAsia" w:ascii="微软雅黑" w:hAnsi="微软雅黑" w:eastAsia="微软雅黑"/>
          <w:color w:val="auto"/>
          <w:szCs w:val="21"/>
          <w:highlight w:val="none"/>
        </w:rPr>
        <w:t>专家4人，业主专家1人，共5人组成。</w:t>
      </w:r>
    </w:p>
    <w:p w14:paraId="468DCC8C">
      <w:pPr>
        <w:snapToGrid w:val="0"/>
        <w:spacing w:line="360" w:lineRule="auto"/>
        <w:ind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评标、决标全过程由有关部门监督。</w:t>
      </w:r>
    </w:p>
    <w:p w14:paraId="48ECF38C">
      <w:pPr>
        <w:pStyle w:val="3"/>
        <w:numPr>
          <w:ilvl w:val="1"/>
          <w:numId w:val="10"/>
        </w:numPr>
        <w:spacing w:before="0" w:after="0" w:line="360" w:lineRule="auto"/>
        <w:ind w:firstLine="420" w:firstLineChars="200"/>
        <w:rPr>
          <w:color w:val="auto"/>
          <w:highlight w:val="none"/>
        </w:rPr>
      </w:pPr>
      <w:bookmarkStart w:id="88" w:name="_Toc98019265"/>
      <w:r>
        <w:rPr>
          <w:rFonts w:hint="eastAsia"/>
          <w:color w:val="auto"/>
          <w:highlight w:val="none"/>
        </w:rPr>
        <w:t>评标的方式</w:t>
      </w:r>
      <w:bookmarkEnd w:id="88"/>
    </w:p>
    <w:p w14:paraId="45480FC9">
      <w:pPr>
        <w:snapToGrid w:val="0"/>
        <w:spacing w:line="360" w:lineRule="auto"/>
        <w:ind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本招标项目采用不公开方式评标，评标的依据为招标文件和投标文件。</w:t>
      </w:r>
    </w:p>
    <w:p w14:paraId="78926842">
      <w:pPr>
        <w:pStyle w:val="62"/>
        <w:numPr>
          <w:ilvl w:val="1"/>
          <w:numId w:val="23"/>
        </w:numPr>
        <w:snapToGrid w:val="0"/>
        <w:spacing w:line="360" w:lineRule="auto"/>
        <w:ind w:left="0" w:firstLine="426" w:firstLineChars="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本招标项目采用不公开方式评标，评标的依据为招标文件和投标文件。</w:t>
      </w:r>
    </w:p>
    <w:p w14:paraId="23B6AECE">
      <w:pPr>
        <w:pStyle w:val="62"/>
        <w:numPr>
          <w:ilvl w:val="1"/>
          <w:numId w:val="23"/>
        </w:numPr>
        <w:snapToGrid w:val="0"/>
        <w:spacing w:line="360" w:lineRule="auto"/>
        <w:ind w:left="0" w:firstLine="426" w:firstLineChars="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本项目实行线下纸质投标叠加网上电子投标，招标系统会使本次网上电子投标成功或失败，本项目最终都以线下纸质投标文件为准。</w:t>
      </w:r>
    </w:p>
    <w:p w14:paraId="325CCE02">
      <w:pPr>
        <w:snapToGrid w:val="0"/>
        <w:spacing w:line="360" w:lineRule="auto"/>
        <w:ind w:firstLine="420" w:firstLineChars="200"/>
        <w:jc w:val="left"/>
        <w:rPr>
          <w:rFonts w:hint="eastAsia" w:ascii="微软雅黑" w:hAnsi="微软雅黑" w:eastAsia="微软雅黑"/>
          <w:color w:val="auto"/>
          <w:szCs w:val="21"/>
          <w:highlight w:val="none"/>
        </w:rPr>
      </w:pPr>
    </w:p>
    <w:p w14:paraId="2D57ECE8">
      <w:pPr>
        <w:pStyle w:val="3"/>
        <w:numPr>
          <w:ilvl w:val="1"/>
          <w:numId w:val="10"/>
        </w:numPr>
        <w:spacing w:before="0" w:after="0" w:line="360" w:lineRule="auto"/>
        <w:ind w:firstLine="420" w:firstLineChars="200"/>
        <w:rPr>
          <w:color w:val="auto"/>
          <w:highlight w:val="none"/>
        </w:rPr>
      </w:pPr>
      <w:bookmarkStart w:id="89" w:name="_Toc98019266"/>
      <w:r>
        <w:rPr>
          <w:rFonts w:hint="eastAsia"/>
          <w:color w:val="auto"/>
          <w:highlight w:val="none"/>
        </w:rPr>
        <w:t>评标程序</w:t>
      </w:r>
      <w:bookmarkEnd w:id="89"/>
    </w:p>
    <w:p w14:paraId="21285361">
      <w:pPr>
        <w:pStyle w:val="4"/>
        <w:ind w:firstLine="400" w:firstLineChars="0"/>
        <w:rPr>
          <w:rFonts w:hint="eastAsia"/>
          <w:color w:val="auto"/>
          <w:highlight w:val="none"/>
        </w:rPr>
      </w:pPr>
      <w:bookmarkStart w:id="90" w:name="_Toc98019267"/>
      <w:r>
        <w:rPr>
          <w:rFonts w:hint="eastAsia"/>
          <w:color w:val="auto"/>
          <w:highlight w:val="none"/>
        </w:rPr>
        <w:t>形式审查</w:t>
      </w:r>
      <w:bookmarkEnd w:id="90"/>
    </w:p>
    <w:p w14:paraId="23137493">
      <w:pPr>
        <w:snapToGrid w:val="0"/>
        <w:spacing w:line="360" w:lineRule="auto"/>
        <w:ind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评标委员会将审查投标文件是否真实、完整,总体编排是否有序,文件签署是否正确等。</w:t>
      </w:r>
    </w:p>
    <w:p w14:paraId="3C6BF80E">
      <w:pPr>
        <w:pStyle w:val="4"/>
        <w:ind w:firstLine="400" w:firstLineChars="0"/>
        <w:rPr>
          <w:rFonts w:hint="eastAsia"/>
          <w:color w:val="auto"/>
          <w:highlight w:val="none"/>
        </w:rPr>
      </w:pPr>
      <w:bookmarkStart w:id="91" w:name="_Toc98019268"/>
      <w:r>
        <w:rPr>
          <w:rFonts w:hint="eastAsia"/>
          <w:color w:val="auto"/>
          <w:highlight w:val="none"/>
        </w:rPr>
        <w:t>实质审查与比较</w:t>
      </w:r>
      <w:bookmarkEnd w:id="91"/>
    </w:p>
    <w:p w14:paraId="151803F6">
      <w:pPr>
        <w:numPr>
          <w:ilvl w:val="0"/>
          <w:numId w:val="24"/>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评标委员会审查投标文件的实质性内容是否符合招标文件的实质性要求。</w:t>
      </w:r>
    </w:p>
    <w:p w14:paraId="555CA3CC">
      <w:pPr>
        <w:numPr>
          <w:ilvl w:val="0"/>
          <w:numId w:val="24"/>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评标委员会将根据投标人的投标文件的资信进行审查、核对,如有疑问,将对投标人进行询标,投标人要向评标委员会澄清有关问题,并最终以书面形式进行答复。 </w:t>
      </w:r>
    </w:p>
    <w:p w14:paraId="5E04A21F">
      <w:pPr>
        <w:numPr>
          <w:ilvl w:val="0"/>
          <w:numId w:val="24"/>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评标委员会将根据投标人的投标文件进行详细审查、核对,如有疑问,将对投标人进行询标,投标人要向评标委员会澄清有关问题,并最终以书面形式进行答复。</w:t>
      </w:r>
    </w:p>
    <w:p w14:paraId="290C57DF">
      <w:pPr>
        <w:numPr>
          <w:ilvl w:val="0"/>
          <w:numId w:val="24"/>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评标委员会将根据投标人的报价,计算各投标人的报价最终得分。</w:t>
      </w:r>
    </w:p>
    <w:p w14:paraId="61430710">
      <w:pPr>
        <w:numPr>
          <w:ilvl w:val="0"/>
          <w:numId w:val="24"/>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 各投标人的资信技术分按照评标委员会成员的独立评分汇总后的算术平均分计算。</w:t>
      </w:r>
    </w:p>
    <w:p w14:paraId="5993D044">
      <w:pPr>
        <w:numPr>
          <w:ilvl w:val="0"/>
          <w:numId w:val="24"/>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评标委员会完成评标后,评委对各部分得分汇总,得出本项目最终得分,评标委员会按评标原则确定中标人同时起草评标报告。</w:t>
      </w:r>
    </w:p>
    <w:p w14:paraId="16A99AC5">
      <w:pPr>
        <w:pStyle w:val="4"/>
        <w:ind w:firstLine="400" w:firstLineChars="0"/>
        <w:rPr>
          <w:rFonts w:hint="eastAsia"/>
          <w:color w:val="auto"/>
          <w:highlight w:val="none"/>
        </w:rPr>
      </w:pPr>
      <w:bookmarkStart w:id="92" w:name="_Toc98019269"/>
      <w:r>
        <w:rPr>
          <w:rFonts w:hint="eastAsia"/>
          <w:color w:val="auto"/>
          <w:highlight w:val="none"/>
        </w:rPr>
        <w:t>澄清问题的形式</w:t>
      </w:r>
      <w:bookmarkEnd w:id="92"/>
    </w:p>
    <w:p w14:paraId="03A337C9">
      <w:pPr>
        <w:snapToGrid w:val="0"/>
        <w:spacing w:line="360" w:lineRule="auto"/>
        <w:ind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对投标文件中含义不明确、同类问题表述不一致或者有明显文字和计算错误的内容，评标委员会可以书面形式要求投标人作出必要的澄清、说明或者纠正。投标人的澄清、说明或者补正应当采用书面形式，由其法定代表人或委托代理人签字或盖章确认，但不得超出投标文件的范围或者改变投标文件的实质性内容。</w:t>
      </w:r>
    </w:p>
    <w:p w14:paraId="279FC0AF">
      <w:pPr>
        <w:pStyle w:val="4"/>
        <w:ind w:firstLine="400" w:firstLineChars="0"/>
        <w:rPr>
          <w:rFonts w:hint="eastAsia"/>
          <w:color w:val="auto"/>
          <w:highlight w:val="none"/>
        </w:rPr>
      </w:pPr>
      <w:bookmarkStart w:id="93" w:name="_Toc98019270"/>
      <w:r>
        <w:rPr>
          <w:rFonts w:hint="eastAsia"/>
          <w:color w:val="auto"/>
          <w:highlight w:val="none"/>
        </w:rPr>
        <w:t>评标过程的保密性</w:t>
      </w:r>
      <w:bookmarkEnd w:id="93"/>
    </w:p>
    <w:p w14:paraId="36AFC8ED">
      <w:pPr>
        <w:snapToGrid w:val="0"/>
        <w:spacing w:line="360" w:lineRule="auto"/>
        <w:ind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凡是属于审查、澄清、评审和比较的有关资料以及授标建议，任何人均不得向投标人或其他无关的人员透露。投标人在评标过程中，所进行的力图影响评标结果的不公正活动，可能导致其投标被拒绝。</w:t>
      </w:r>
    </w:p>
    <w:p w14:paraId="10BBED4A">
      <w:pPr>
        <w:pStyle w:val="4"/>
        <w:ind w:firstLine="400" w:firstLineChars="0"/>
        <w:rPr>
          <w:rFonts w:hint="eastAsia"/>
          <w:color w:val="auto"/>
          <w:highlight w:val="none"/>
        </w:rPr>
      </w:pPr>
      <w:bookmarkStart w:id="94" w:name="_Toc98019271"/>
      <w:r>
        <w:rPr>
          <w:rFonts w:hint="eastAsia"/>
          <w:color w:val="auto"/>
          <w:highlight w:val="none"/>
        </w:rPr>
        <w:t>评标原则和评标办法</w:t>
      </w:r>
      <w:bookmarkEnd w:id="94"/>
    </w:p>
    <w:p w14:paraId="148AE469">
      <w:pPr>
        <w:numPr>
          <w:ilvl w:val="0"/>
          <w:numId w:val="25"/>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评标原则：评标委员会必须做到公平、公正、客观，不带任何倾向性和启发性；不得向外界透露任何与评标有关的内容；任何单位和个人不得干扰、影响评标的正常进行；评标委员会及有关工作人员不得私下与竞标银行接触。</w:t>
      </w:r>
    </w:p>
    <w:p w14:paraId="2F695049">
      <w:pPr>
        <w:numPr>
          <w:ilvl w:val="0"/>
          <w:numId w:val="25"/>
        </w:numPr>
        <w:snapToGrid w:val="0"/>
        <w:spacing w:line="360" w:lineRule="auto"/>
        <w:ind w:left="0"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评标办法：本项目的具体评标办法详见第四章的《评标办法》。</w:t>
      </w:r>
    </w:p>
    <w:p w14:paraId="7639C693">
      <w:pPr>
        <w:pStyle w:val="4"/>
        <w:ind w:firstLine="420"/>
        <w:rPr>
          <w:rFonts w:hint="eastAsia"/>
          <w:color w:val="auto"/>
          <w:highlight w:val="none"/>
        </w:rPr>
      </w:pPr>
      <w:bookmarkStart w:id="95" w:name="_Toc98019272"/>
      <w:r>
        <w:rPr>
          <w:rFonts w:hint="eastAsia"/>
          <w:color w:val="auto"/>
          <w:highlight w:val="none"/>
        </w:rPr>
        <w:t>评标过程的监控</w:t>
      </w:r>
      <w:bookmarkEnd w:id="95"/>
    </w:p>
    <w:p w14:paraId="2183EF3D">
      <w:pPr>
        <w:snapToGrid w:val="0"/>
        <w:spacing w:line="480" w:lineRule="exact"/>
        <w:ind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本项目评标过程实行全程录音、录像监控，投标人在评标过程中所进行的试图影响评标结果的不公正活动，可能导致其投标被拒绝。</w:t>
      </w:r>
    </w:p>
    <w:p w14:paraId="5D7DB81F">
      <w:pPr>
        <w:pStyle w:val="2"/>
        <w:numPr>
          <w:ilvl w:val="0"/>
          <w:numId w:val="9"/>
        </w:numPr>
        <w:spacing w:before="0" w:after="0" w:line="360" w:lineRule="auto"/>
        <w:ind w:firstLine="420" w:firstLineChars="200"/>
        <w:jc w:val="center"/>
        <w:rPr>
          <w:rFonts w:hint="eastAsia" w:ascii="微软雅黑" w:hAnsi="微软雅黑" w:eastAsia="微软雅黑" w:cs="微软雅黑"/>
          <w:color w:val="auto"/>
          <w:sz w:val="21"/>
          <w:szCs w:val="21"/>
          <w:highlight w:val="none"/>
        </w:rPr>
      </w:pPr>
      <w:bookmarkStart w:id="96" w:name="_Toc18132"/>
      <w:bookmarkStart w:id="97" w:name="_Toc98019273"/>
      <w:r>
        <w:rPr>
          <w:rFonts w:hint="eastAsia" w:ascii="微软雅黑" w:hAnsi="微软雅黑" w:eastAsia="微软雅黑" w:cs="微软雅黑"/>
          <w:color w:val="auto"/>
          <w:sz w:val="21"/>
          <w:szCs w:val="21"/>
          <w:highlight w:val="none"/>
        </w:rPr>
        <w:t>定标</w:t>
      </w:r>
      <w:bookmarkEnd w:id="96"/>
      <w:bookmarkEnd w:id="97"/>
    </w:p>
    <w:p w14:paraId="3B0D699C">
      <w:pPr>
        <w:pStyle w:val="3"/>
        <w:numPr>
          <w:ilvl w:val="1"/>
          <w:numId w:val="10"/>
        </w:numPr>
        <w:spacing w:before="0" w:after="0" w:line="360" w:lineRule="auto"/>
        <w:ind w:firstLine="420" w:firstLineChars="200"/>
        <w:rPr>
          <w:color w:val="auto"/>
          <w:highlight w:val="none"/>
        </w:rPr>
      </w:pPr>
      <w:bookmarkStart w:id="98" w:name="_Toc98019274"/>
      <w:r>
        <w:rPr>
          <w:rFonts w:hint="eastAsia"/>
          <w:color w:val="auto"/>
          <w:highlight w:val="none"/>
        </w:rPr>
        <w:t>确定中标人。本项目由评标委员会确定中标人。</w:t>
      </w:r>
      <w:bookmarkEnd w:id="98"/>
    </w:p>
    <w:p w14:paraId="0C99522D">
      <w:pPr>
        <w:snapToGrid w:val="0"/>
        <w:spacing w:line="480" w:lineRule="exact"/>
        <w:ind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1、招标代理机构在评标结束后2个工作日内将评标结果告知存款单位，同时在发布招标公告的网站上对评标结果进行公告。</w:t>
      </w:r>
    </w:p>
    <w:p w14:paraId="70F24D47">
      <w:pPr>
        <w:snapToGrid w:val="0"/>
        <w:spacing w:line="480" w:lineRule="exact"/>
        <w:ind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2、如有投标人对评标结果提出质疑的，招标人可在质疑处理完毕后确定中标人。</w:t>
      </w:r>
    </w:p>
    <w:p w14:paraId="1A8BA132">
      <w:pPr>
        <w:snapToGrid w:val="0"/>
        <w:spacing w:line="480" w:lineRule="exact"/>
        <w:ind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3、</w:t>
      </w:r>
      <w:r>
        <w:rPr>
          <w:rFonts w:ascii="微软雅黑" w:hAnsi="微软雅黑" w:eastAsia="微软雅黑"/>
          <w:color w:val="auto"/>
          <w:szCs w:val="21"/>
          <w:highlight w:val="none"/>
        </w:rPr>
        <w:t>公示期3个工作日，公示期后2个工作日内招标代理机构以书面形式发出《中标通知书》</w:t>
      </w:r>
      <w:r>
        <w:rPr>
          <w:rFonts w:hint="eastAsia" w:ascii="微软雅黑" w:hAnsi="微软雅黑" w:eastAsia="微软雅黑"/>
          <w:color w:val="auto"/>
          <w:szCs w:val="21"/>
          <w:highlight w:val="none"/>
        </w:rPr>
        <w:t>。</w:t>
      </w:r>
    </w:p>
    <w:p w14:paraId="79B3AD23">
      <w:pPr>
        <w:pStyle w:val="2"/>
        <w:numPr>
          <w:ilvl w:val="0"/>
          <w:numId w:val="9"/>
        </w:numPr>
        <w:spacing w:before="0" w:after="0" w:line="360" w:lineRule="auto"/>
        <w:ind w:firstLine="420" w:firstLineChars="200"/>
        <w:jc w:val="center"/>
        <w:rPr>
          <w:rFonts w:hint="eastAsia" w:ascii="微软雅黑" w:hAnsi="微软雅黑" w:eastAsia="微软雅黑" w:cs="微软雅黑"/>
          <w:color w:val="auto"/>
          <w:sz w:val="21"/>
          <w:szCs w:val="21"/>
          <w:highlight w:val="none"/>
        </w:rPr>
      </w:pPr>
      <w:bookmarkStart w:id="99" w:name="_Toc7898"/>
      <w:bookmarkStart w:id="100" w:name="_Toc98019275"/>
      <w:r>
        <w:rPr>
          <w:rFonts w:hint="eastAsia" w:ascii="微软雅黑" w:hAnsi="微软雅黑" w:eastAsia="微软雅黑" w:cs="微软雅黑"/>
          <w:color w:val="auto"/>
          <w:sz w:val="21"/>
          <w:szCs w:val="21"/>
          <w:highlight w:val="none"/>
        </w:rPr>
        <w:t>合同授予</w:t>
      </w:r>
      <w:bookmarkEnd w:id="99"/>
      <w:bookmarkEnd w:id="100"/>
    </w:p>
    <w:p w14:paraId="7D061DD5">
      <w:pPr>
        <w:pStyle w:val="3"/>
        <w:numPr>
          <w:ilvl w:val="1"/>
          <w:numId w:val="10"/>
        </w:numPr>
        <w:spacing w:before="0" w:after="0" w:line="360" w:lineRule="auto"/>
        <w:ind w:firstLine="420" w:firstLineChars="200"/>
        <w:rPr>
          <w:rFonts w:hint="eastAsia" w:ascii="微软雅黑" w:hAnsi="微软雅黑" w:cs="Times New Roman"/>
          <w:b w:val="0"/>
          <w:color w:val="auto"/>
          <w:szCs w:val="21"/>
          <w:highlight w:val="none"/>
        </w:rPr>
      </w:pPr>
      <w:bookmarkStart w:id="101" w:name="_Toc98019276"/>
      <w:r>
        <w:rPr>
          <w:rFonts w:hint="eastAsia" w:ascii="微软雅黑" w:hAnsi="微软雅黑" w:cs="Times New Roman"/>
          <w:b w:val="0"/>
          <w:color w:val="auto"/>
          <w:szCs w:val="21"/>
          <w:highlight w:val="none"/>
        </w:rPr>
        <w:t>中标银行在收到中标通知书后</w:t>
      </w:r>
      <w:r>
        <w:rPr>
          <w:rFonts w:hint="eastAsia" w:ascii="微软雅黑" w:hAnsi="微软雅黑" w:cs="Times New Roman"/>
          <w:b w:val="0"/>
          <w:color w:val="auto"/>
          <w:szCs w:val="21"/>
          <w:highlight w:val="none"/>
          <w:lang w:val="en-US" w:eastAsia="zh-CN"/>
        </w:rPr>
        <w:t>30</w:t>
      </w:r>
      <w:r>
        <w:rPr>
          <w:rFonts w:hint="eastAsia" w:ascii="微软雅黑" w:hAnsi="微软雅黑" w:cs="Times New Roman"/>
          <w:b w:val="0"/>
          <w:color w:val="auto"/>
          <w:szCs w:val="21"/>
          <w:highlight w:val="none"/>
        </w:rPr>
        <w:t>日内签订存款合同。</w:t>
      </w:r>
      <w:bookmarkEnd w:id="101"/>
    </w:p>
    <w:p w14:paraId="6EB379F9">
      <w:pPr>
        <w:pStyle w:val="3"/>
        <w:numPr>
          <w:ilvl w:val="1"/>
          <w:numId w:val="10"/>
        </w:numPr>
        <w:spacing w:before="0" w:after="0" w:line="360" w:lineRule="auto"/>
        <w:ind w:firstLine="420" w:firstLineChars="200"/>
        <w:rPr>
          <w:b w:val="0"/>
          <w:bCs w:val="0"/>
          <w:color w:val="auto"/>
          <w:highlight w:val="none"/>
        </w:rPr>
      </w:pPr>
      <w:bookmarkStart w:id="102" w:name="_Toc98019277"/>
      <w:r>
        <w:rPr>
          <w:rFonts w:hint="eastAsia"/>
          <w:b w:val="0"/>
          <w:bCs w:val="0"/>
          <w:color w:val="auto"/>
          <w:highlight w:val="none"/>
        </w:rPr>
        <w:t>中标人拖延、拒签合同的,将被取消中标资格。</w:t>
      </w:r>
      <w:bookmarkEnd w:id="102"/>
    </w:p>
    <w:p w14:paraId="2E153EB0">
      <w:pPr>
        <w:pStyle w:val="36"/>
        <w:numPr>
          <w:ilvl w:val="0"/>
          <w:numId w:val="3"/>
        </w:numPr>
        <w:rPr>
          <w:color w:val="auto"/>
          <w:highlight w:val="none"/>
        </w:rPr>
        <w:sectPr>
          <w:pgSz w:w="11907" w:h="16840"/>
          <w:pgMar w:top="1440" w:right="1797" w:bottom="1440" w:left="1797" w:header="851" w:footer="851" w:gutter="0"/>
          <w:cols w:space="425" w:num="1"/>
          <w:titlePg/>
          <w:docGrid w:type="lines" w:linePitch="312" w:charSpace="0"/>
        </w:sectPr>
      </w:pPr>
      <w:bookmarkStart w:id="103" w:name="_Toc11650185"/>
      <w:bookmarkStart w:id="104" w:name="_Toc9342495"/>
      <w:bookmarkStart w:id="105" w:name="_Toc98019286"/>
    </w:p>
    <w:p w14:paraId="615EB2B4">
      <w:pPr>
        <w:pStyle w:val="36"/>
        <w:numPr>
          <w:ilvl w:val="0"/>
          <w:numId w:val="3"/>
        </w:numPr>
        <w:rPr>
          <w:color w:val="auto"/>
          <w:highlight w:val="none"/>
        </w:rPr>
      </w:pPr>
      <w:r>
        <w:rPr>
          <w:rFonts w:hint="eastAsia"/>
          <w:color w:val="auto"/>
          <w:highlight w:val="none"/>
        </w:rPr>
        <w:t>评标办法及评分标准</w:t>
      </w:r>
      <w:bookmarkEnd w:id="103"/>
      <w:bookmarkEnd w:id="104"/>
      <w:bookmarkEnd w:id="105"/>
    </w:p>
    <w:p w14:paraId="0EDC3881">
      <w:pPr>
        <w:pStyle w:val="62"/>
        <w:snapToGrid w:val="0"/>
        <w:spacing w:line="360" w:lineRule="auto"/>
        <w:ind w:firstLine="424" w:firstLineChars="202"/>
        <w:jc w:val="left"/>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为进一步规范区级财政部门和行政事业单位资金存放管理，引导银行业更好地服务于地方经济发展和支持区委区政府重点工作，根据《财政部关于切实加强地方预算执行和财政资金安全管理有关事宜的通知》（财库〔2019〕49号）和《秀洲区区级财政部门和行政事业单位资金竞争性存放管理办法》（秀洲财执库〔2018〕239号）等有关规定制定本评分指标与评分规则。</w:t>
      </w:r>
    </w:p>
    <w:p w14:paraId="37AFF528">
      <w:pPr>
        <w:pStyle w:val="4"/>
        <w:numPr>
          <w:ilvl w:val="0"/>
          <w:numId w:val="26"/>
        </w:numPr>
        <w:ind w:firstLineChars="0"/>
        <w:rPr>
          <w:rFonts w:hint="eastAsia"/>
          <w:color w:val="auto"/>
          <w:highlight w:val="none"/>
        </w:rPr>
      </w:pPr>
      <w:bookmarkStart w:id="106" w:name="_Toc98019288"/>
      <w:r>
        <w:rPr>
          <w:rFonts w:hint="eastAsia"/>
          <w:color w:val="auto"/>
          <w:highlight w:val="none"/>
          <w:lang w:val="en-US" w:eastAsia="zh-CN"/>
        </w:rPr>
        <w:t>总则</w:t>
      </w:r>
    </w:p>
    <w:p w14:paraId="29F87469">
      <w:pPr>
        <w:tabs>
          <w:tab w:val="left" w:pos="0"/>
          <w:tab w:val="left" w:pos="720"/>
          <w:tab w:val="left" w:pos="1440"/>
          <w:tab w:val="left" w:pos="2160"/>
          <w:tab w:val="left" w:pos="2880"/>
          <w:tab w:val="left" w:pos="3600"/>
          <w:tab w:val="left" w:pos="4320"/>
        </w:tabs>
        <w:autoSpaceDE w:val="0"/>
        <w:autoSpaceDN w:val="0"/>
        <w:spacing w:line="360" w:lineRule="auto"/>
        <w:ind w:firstLine="424" w:firstLineChars="202"/>
        <w:jc w:val="left"/>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本次评标采用综合评分法，分为价格分、资信技术分两部分。合格投标人的评标得分为各项目汇总得分，中标候选资格按评标得分由高到低顺序排列，得分相同的，按价格分由高到低顺序排列；得分且价格分相同的，按资信技术分由高到低顺序排列。均相同的则按政采云系统内投标时间先后顺序。中标单位按招标需求中招标单位序号顺序依次分配中标金额。</w:t>
      </w:r>
    </w:p>
    <w:p w14:paraId="2E104A95">
      <w:pPr>
        <w:pStyle w:val="90"/>
        <w:spacing w:before="156" w:beforeLines="50" w:after="156" w:afterLines="50"/>
        <w:ind w:firstLine="424" w:firstLineChars="202"/>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投标人评标综合得分=价格分+资信技术分。</w:t>
      </w:r>
    </w:p>
    <w:p w14:paraId="648FFFBA">
      <w:pPr>
        <w:pStyle w:val="90"/>
        <w:spacing w:before="156" w:beforeLines="50" w:after="156" w:afterLines="50"/>
        <w:ind w:firstLine="424" w:firstLineChars="202"/>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价格分=利率水平指标得分。</w:t>
      </w:r>
    </w:p>
    <w:p w14:paraId="6FA927D8">
      <w:pPr>
        <w:pStyle w:val="90"/>
        <w:spacing w:before="156" w:beforeLines="50" w:after="156" w:afterLines="50"/>
        <w:ind w:firstLine="424" w:firstLineChars="202"/>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资信技术分=经营状况得分+经济贡献度得分+服务水平得分。</w:t>
      </w:r>
    </w:p>
    <w:p w14:paraId="3170558D">
      <w:pPr>
        <w:pStyle w:val="4"/>
        <w:numPr>
          <w:ilvl w:val="0"/>
          <w:numId w:val="26"/>
        </w:numPr>
        <w:ind w:firstLineChars="0"/>
        <w:rPr>
          <w:rFonts w:hint="eastAsia"/>
          <w:color w:val="auto"/>
          <w:highlight w:val="none"/>
        </w:rPr>
      </w:pPr>
      <w:r>
        <w:rPr>
          <w:rFonts w:hint="eastAsia"/>
          <w:color w:val="auto"/>
          <w:highlight w:val="none"/>
        </w:rPr>
        <w:t>评分内容和标准</w:t>
      </w:r>
      <w:bookmarkEnd w:id="106"/>
    </w:p>
    <w:p w14:paraId="1B7FE850">
      <w:pPr>
        <w:adjustRightInd w:val="0"/>
        <w:snapToGrid w:val="0"/>
        <w:spacing w:line="540" w:lineRule="exact"/>
        <w:ind w:firstLine="420" w:firstLineChars="200"/>
        <w:rPr>
          <w:rFonts w:hint="eastAsia" w:ascii="微软雅黑" w:hAnsi="微软雅黑" w:eastAsia="微软雅黑" w:cs="微软雅黑"/>
          <w:color w:val="auto"/>
          <w:kern w:val="0"/>
          <w:sz w:val="21"/>
          <w:szCs w:val="21"/>
          <w:highlight w:val="none"/>
        </w:rPr>
      </w:pPr>
      <w:bookmarkStart w:id="107" w:name="_Toc170792813"/>
      <w:r>
        <w:rPr>
          <w:rFonts w:hint="eastAsia" w:ascii="微软雅黑" w:hAnsi="微软雅黑" w:eastAsia="微软雅黑" w:cs="微软雅黑"/>
          <w:color w:val="auto"/>
          <w:sz w:val="21"/>
          <w:szCs w:val="21"/>
          <w:highlight w:val="none"/>
        </w:rPr>
        <w:t>评分指标包括利率水平指标（10分）、经营状况指标（40分）、经济贡献度指标（40分）、和服务水平项目指标（10分）。</w:t>
      </w:r>
      <w:r>
        <w:rPr>
          <w:rFonts w:hint="eastAsia" w:ascii="微软雅黑" w:hAnsi="微软雅黑" w:eastAsia="微软雅黑" w:cs="微软雅黑"/>
          <w:color w:val="auto"/>
          <w:kern w:val="0"/>
          <w:sz w:val="21"/>
          <w:szCs w:val="21"/>
          <w:highlight w:val="none"/>
        </w:rPr>
        <w:t>评委根据投标银行的定期存款年利率和相关部门（或投标银行）提供的评标数据、佐证资料，对照评分标准计算各投标银行得分。计算得分时，保留</w:t>
      </w:r>
      <w:r>
        <w:rPr>
          <w:rFonts w:hint="eastAsia" w:ascii="微软雅黑" w:hAnsi="微软雅黑" w:eastAsia="微软雅黑" w:cs="微软雅黑"/>
          <w:color w:val="auto"/>
          <w:kern w:val="0"/>
          <w:sz w:val="21"/>
          <w:szCs w:val="21"/>
          <w:highlight w:val="none"/>
          <w:lang w:val="en-US" w:eastAsia="zh-CN"/>
        </w:rPr>
        <w:t>三</w:t>
      </w:r>
      <w:r>
        <w:rPr>
          <w:rFonts w:hint="eastAsia" w:ascii="微软雅黑" w:hAnsi="微软雅黑" w:eastAsia="微软雅黑" w:cs="微软雅黑"/>
          <w:color w:val="auto"/>
          <w:kern w:val="0"/>
          <w:sz w:val="21"/>
          <w:szCs w:val="21"/>
          <w:highlight w:val="none"/>
        </w:rPr>
        <w:t>位小数</w:t>
      </w:r>
      <w:r>
        <w:rPr>
          <w:rFonts w:hint="eastAsia" w:ascii="微软雅黑" w:hAnsi="微软雅黑" w:eastAsia="微软雅黑" w:cs="微软雅黑"/>
          <w:color w:val="auto"/>
          <w:kern w:val="0"/>
          <w:sz w:val="21"/>
          <w:szCs w:val="21"/>
          <w:highlight w:val="none"/>
          <w:lang w:eastAsia="zh-CN"/>
        </w:rPr>
        <w:t>（</w:t>
      </w:r>
      <w:r>
        <w:rPr>
          <w:rFonts w:hint="eastAsia" w:ascii="微软雅黑" w:hAnsi="微软雅黑" w:eastAsia="微软雅黑" w:cs="微软雅黑"/>
          <w:color w:val="auto"/>
          <w:kern w:val="0"/>
          <w:sz w:val="21"/>
          <w:szCs w:val="21"/>
          <w:highlight w:val="none"/>
          <w:lang w:val="en-US" w:eastAsia="zh-CN"/>
        </w:rPr>
        <w:t>四舍五入）</w:t>
      </w:r>
      <w:r>
        <w:rPr>
          <w:rFonts w:hint="eastAsia" w:ascii="微软雅黑" w:hAnsi="微软雅黑" w:eastAsia="微软雅黑" w:cs="微软雅黑"/>
          <w:color w:val="auto"/>
          <w:kern w:val="0"/>
          <w:sz w:val="21"/>
          <w:szCs w:val="21"/>
          <w:highlight w:val="none"/>
        </w:rPr>
        <w:t>。</w:t>
      </w:r>
    </w:p>
    <w:p w14:paraId="396AF81A">
      <w:pPr>
        <w:numPr>
          <w:ilvl w:val="0"/>
          <w:numId w:val="27"/>
        </w:numPr>
        <w:spacing w:line="560" w:lineRule="exact"/>
        <w:ind w:left="0" w:leftChars="0" w:firstLine="420" w:firstLineChars="0"/>
        <w:rPr>
          <w:rFonts w:hint="eastAsia" w:ascii="微软雅黑" w:hAnsi="微软雅黑" w:eastAsia="微软雅黑" w:cs="仿宋_GB2312"/>
          <w:color w:val="auto"/>
          <w:szCs w:val="21"/>
          <w:highlight w:val="none"/>
        </w:rPr>
      </w:pPr>
      <w:r>
        <w:rPr>
          <w:rFonts w:hint="eastAsia" w:ascii="微软雅黑" w:hAnsi="微软雅黑" w:eastAsia="微软雅黑" w:cs="楷体_GB2312"/>
          <w:b/>
          <w:bCs w:val="0"/>
          <w:color w:val="auto"/>
          <w:szCs w:val="21"/>
          <w:highlight w:val="none"/>
        </w:rPr>
        <w:t>利率水平指标（满分10分）</w:t>
      </w:r>
      <w:r>
        <w:rPr>
          <w:rFonts w:hint="eastAsia" w:ascii="微软雅黑" w:hAnsi="微软雅黑" w:eastAsia="微软雅黑" w:cs="楷体_GB2312"/>
          <w:b/>
          <w:color w:val="auto"/>
          <w:szCs w:val="21"/>
          <w:highlight w:val="none"/>
        </w:rPr>
        <w:t>。</w:t>
      </w:r>
      <w:r>
        <w:rPr>
          <w:rFonts w:hint="eastAsia" w:ascii="微软雅黑" w:hAnsi="微软雅黑" w:eastAsia="微软雅黑" w:cs="仿宋_GB2312"/>
          <w:color w:val="auto"/>
          <w:szCs w:val="21"/>
          <w:highlight w:val="none"/>
        </w:rPr>
        <w:t>根据有效竞标银行投标利率（含大额存单）为评分依据。有效竞标银行报价与同期限人民币存款基准利率相比上浮基点（BP）最高的银行得满分，上浮基点(BP)每下降一个基点扣0.08分，扣至0分为止。</w:t>
      </w:r>
    </w:p>
    <w:p w14:paraId="57BCD197">
      <w:pPr>
        <w:numPr>
          <w:ilvl w:val="0"/>
          <w:numId w:val="27"/>
        </w:numPr>
        <w:spacing w:line="560" w:lineRule="exact"/>
        <w:ind w:left="0" w:leftChars="0" w:firstLine="420" w:firstLineChars="0"/>
        <w:rPr>
          <w:rFonts w:hint="eastAsia" w:ascii="微软雅黑" w:hAnsi="微软雅黑" w:eastAsia="微软雅黑" w:cs="仿宋_GB2312"/>
          <w:color w:val="auto"/>
          <w:szCs w:val="21"/>
          <w:highlight w:val="none"/>
        </w:rPr>
      </w:pPr>
      <w:r>
        <w:rPr>
          <w:rFonts w:hint="eastAsia" w:ascii="微软雅黑" w:hAnsi="微软雅黑" w:eastAsia="微软雅黑" w:cs="楷体_GB2312"/>
          <w:b/>
          <w:bCs w:val="0"/>
          <w:color w:val="auto"/>
          <w:szCs w:val="21"/>
          <w:highlight w:val="none"/>
        </w:rPr>
        <w:t>经营状况指标（满分40分）</w:t>
      </w:r>
      <w:r>
        <w:rPr>
          <w:rFonts w:hint="eastAsia" w:ascii="微软雅黑" w:hAnsi="微软雅黑" w:eastAsia="微软雅黑" w:cs="楷体_GB2312"/>
          <w:b/>
          <w:color w:val="auto"/>
          <w:szCs w:val="21"/>
          <w:highlight w:val="none"/>
        </w:rPr>
        <w:t>。</w:t>
      </w:r>
      <w:r>
        <w:rPr>
          <w:rFonts w:hint="eastAsia" w:ascii="微软雅黑" w:hAnsi="微软雅黑" w:eastAsia="微软雅黑" w:cs="仿宋_GB2312"/>
          <w:color w:val="auto"/>
          <w:szCs w:val="21"/>
          <w:highlight w:val="none"/>
        </w:rPr>
        <w:t>经营状况指标设置包括偿付能力、资产质量、运营能力、内控水平指标。</w:t>
      </w:r>
    </w:p>
    <w:p w14:paraId="6731E5BA">
      <w:pPr>
        <w:keepNext w:val="0"/>
        <w:keepLines w:val="0"/>
        <w:pageBreakBefore w:val="0"/>
        <w:widowControl w:val="0"/>
        <w:numPr>
          <w:ilvl w:val="0"/>
          <w:numId w:val="28"/>
        </w:numPr>
        <w:kinsoku/>
        <w:wordWrap/>
        <w:overflowPunct/>
        <w:topLinePunct w:val="0"/>
        <w:autoSpaceDE/>
        <w:autoSpaceDN/>
        <w:bidi w:val="0"/>
        <w:snapToGrid w:val="0"/>
        <w:spacing w:line="560" w:lineRule="exact"/>
        <w:ind w:left="5" w:leftChars="0" w:firstLine="415" w:firstLineChars="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偿付能力（10分）。根据有效竞标银行</w:t>
      </w:r>
      <w:r>
        <w:rPr>
          <w:rFonts w:hint="eastAsia" w:ascii="微软雅黑" w:hAnsi="微软雅黑" w:eastAsia="微软雅黑"/>
          <w:color w:val="auto"/>
          <w:szCs w:val="21"/>
          <w:highlight w:val="none"/>
          <w:lang w:val="en-US" w:eastAsia="zh-CN"/>
        </w:rPr>
        <w:t>2023</w:t>
      </w:r>
      <w:r>
        <w:rPr>
          <w:rFonts w:hint="eastAsia" w:ascii="微软雅黑" w:hAnsi="微软雅黑" w:eastAsia="微软雅黑"/>
          <w:color w:val="auto"/>
          <w:szCs w:val="21"/>
          <w:highlight w:val="none"/>
        </w:rPr>
        <w:t>年</w:t>
      </w:r>
      <w:r>
        <w:rPr>
          <w:rFonts w:hint="eastAsia" w:ascii="微软雅黑" w:hAnsi="微软雅黑" w:eastAsia="微软雅黑" w:cs="微软雅黑"/>
          <w:color w:val="auto"/>
          <w:sz w:val="21"/>
          <w:szCs w:val="21"/>
          <w:highlight w:val="none"/>
        </w:rPr>
        <w:t>末法人拨备覆盖率和资本充足率进行评分。</w:t>
      </w:r>
    </w:p>
    <w:p w14:paraId="691F0A5C">
      <w:pPr>
        <w:keepNext w:val="0"/>
        <w:keepLines w:val="0"/>
        <w:pageBreakBefore w:val="0"/>
        <w:widowControl w:val="0"/>
        <w:numPr>
          <w:ilvl w:val="0"/>
          <w:numId w:val="29"/>
        </w:numPr>
        <w:kinsoku/>
        <w:wordWrap/>
        <w:overflowPunct/>
        <w:topLinePunct w:val="0"/>
        <w:autoSpaceDE/>
        <w:autoSpaceDN/>
        <w:bidi w:val="0"/>
        <w:snapToGrid w:val="0"/>
        <w:spacing w:line="560" w:lineRule="exact"/>
        <w:ind w:left="0" w:leftChars="0" w:firstLine="420" w:firstLineChars="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拨备覆盖率（5分）。按照有效竞标银行</w:t>
      </w:r>
      <w:r>
        <w:rPr>
          <w:rFonts w:hint="eastAsia" w:ascii="微软雅黑" w:hAnsi="微软雅黑" w:eastAsia="微软雅黑"/>
          <w:color w:val="auto"/>
          <w:szCs w:val="21"/>
          <w:highlight w:val="none"/>
          <w:lang w:val="en-US" w:eastAsia="zh-CN"/>
        </w:rPr>
        <w:t>2023</w:t>
      </w:r>
      <w:r>
        <w:rPr>
          <w:rFonts w:hint="eastAsia" w:ascii="微软雅黑" w:hAnsi="微软雅黑" w:eastAsia="微软雅黑"/>
          <w:color w:val="auto"/>
          <w:szCs w:val="21"/>
          <w:highlight w:val="none"/>
        </w:rPr>
        <w:t>年</w:t>
      </w:r>
      <w:r>
        <w:rPr>
          <w:rFonts w:hint="eastAsia" w:ascii="微软雅黑" w:hAnsi="微软雅黑" w:eastAsia="微软雅黑" w:cs="微软雅黑"/>
          <w:color w:val="auto"/>
          <w:sz w:val="21"/>
          <w:szCs w:val="21"/>
          <w:highlight w:val="none"/>
        </w:rPr>
        <w:t>末法人拨备覆盖率赋分。得分标准为：150%及以上得5分；150%以下、120%及以上，与150%相比每下降一个百分点减0.1分；低于120%以下，不得分。</w:t>
      </w:r>
    </w:p>
    <w:p w14:paraId="27FC75BB">
      <w:pPr>
        <w:keepNext w:val="0"/>
        <w:keepLines w:val="0"/>
        <w:pageBreakBefore w:val="0"/>
        <w:widowControl w:val="0"/>
        <w:numPr>
          <w:ilvl w:val="0"/>
          <w:numId w:val="29"/>
        </w:numPr>
        <w:kinsoku/>
        <w:wordWrap/>
        <w:overflowPunct/>
        <w:topLinePunct w:val="0"/>
        <w:autoSpaceDE/>
        <w:autoSpaceDN/>
        <w:bidi w:val="0"/>
        <w:snapToGrid w:val="0"/>
        <w:spacing w:line="560" w:lineRule="exact"/>
        <w:ind w:left="0" w:leftChars="0" w:firstLine="420" w:firstLineChars="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资本充足率（5分）。按照有效竞标银行</w:t>
      </w:r>
      <w:r>
        <w:rPr>
          <w:rFonts w:hint="eastAsia" w:ascii="微软雅黑" w:hAnsi="微软雅黑" w:eastAsia="微软雅黑"/>
          <w:color w:val="auto"/>
          <w:szCs w:val="21"/>
          <w:highlight w:val="none"/>
          <w:lang w:val="en-US" w:eastAsia="zh-CN"/>
        </w:rPr>
        <w:t>2023</w:t>
      </w:r>
      <w:r>
        <w:rPr>
          <w:rFonts w:hint="eastAsia" w:ascii="微软雅黑" w:hAnsi="微软雅黑" w:eastAsia="微软雅黑"/>
          <w:color w:val="auto"/>
          <w:szCs w:val="21"/>
          <w:highlight w:val="none"/>
        </w:rPr>
        <w:t>年</w:t>
      </w:r>
      <w:r>
        <w:rPr>
          <w:rFonts w:hint="eastAsia" w:ascii="微软雅黑" w:hAnsi="微软雅黑" w:eastAsia="微软雅黑" w:cs="微软雅黑"/>
          <w:color w:val="auto"/>
          <w:sz w:val="21"/>
          <w:szCs w:val="21"/>
          <w:highlight w:val="none"/>
        </w:rPr>
        <w:t>末法人资本充足率赋分。得分标准为：10.5%及以上得5分；10.5%以下不得分。政策性银行的资本充足率按5分计算。</w:t>
      </w:r>
    </w:p>
    <w:p w14:paraId="18D28664">
      <w:pPr>
        <w:snapToGrid w:val="0"/>
        <w:spacing w:line="560" w:lineRule="exact"/>
        <w:ind w:firstLine="424" w:firstLineChars="202"/>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（该指标数据由竞标银行提供</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rPr>
        <w:t>）（该指标数据由竞标银行提供</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rPr>
        <w:t>资本充足率指标数据在系统内按小数填报【例：0.105】）</w:t>
      </w:r>
    </w:p>
    <w:p w14:paraId="6CD80EF2">
      <w:pPr>
        <w:keepNext w:val="0"/>
        <w:keepLines w:val="0"/>
        <w:pageBreakBefore w:val="0"/>
        <w:widowControl w:val="0"/>
        <w:numPr>
          <w:ilvl w:val="0"/>
          <w:numId w:val="28"/>
        </w:numPr>
        <w:tabs>
          <w:tab w:val="left" w:pos="420"/>
          <w:tab w:val="left" w:pos="630"/>
        </w:tabs>
        <w:kinsoku/>
        <w:wordWrap/>
        <w:overflowPunct/>
        <w:topLinePunct w:val="0"/>
        <w:autoSpaceDE/>
        <w:autoSpaceDN/>
        <w:bidi w:val="0"/>
        <w:snapToGrid w:val="0"/>
        <w:spacing w:line="560" w:lineRule="exact"/>
        <w:ind w:left="5" w:leftChars="0" w:firstLine="415" w:firstLineChars="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资产质量（12分）。根据有效竞标银行嘉兴市本外币不良贷款率及不良贷款处置率进行评分。</w:t>
      </w:r>
    </w:p>
    <w:p w14:paraId="4CCB3AF9">
      <w:pPr>
        <w:keepNext w:val="0"/>
        <w:keepLines w:val="0"/>
        <w:pageBreakBefore w:val="0"/>
        <w:widowControl w:val="0"/>
        <w:numPr>
          <w:ilvl w:val="0"/>
          <w:numId w:val="30"/>
        </w:numPr>
        <w:kinsoku/>
        <w:wordWrap/>
        <w:overflowPunct/>
        <w:topLinePunct w:val="0"/>
        <w:autoSpaceDE/>
        <w:autoSpaceDN/>
        <w:bidi w:val="0"/>
        <w:snapToGrid w:val="0"/>
        <w:spacing w:line="560" w:lineRule="exact"/>
        <w:ind w:left="5" w:leftChars="0" w:firstLine="415" w:firstLineChars="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不良贷款率(4分)。</w:t>
      </w:r>
    </w:p>
    <w:p w14:paraId="0905D409">
      <w:pPr>
        <w:keepNext w:val="0"/>
        <w:keepLines w:val="0"/>
        <w:pageBreakBefore w:val="0"/>
        <w:widowControl w:val="0"/>
        <w:kinsoku/>
        <w:wordWrap/>
        <w:overflowPunct/>
        <w:topLinePunct w:val="0"/>
        <w:autoSpaceDE/>
        <w:autoSpaceDN/>
        <w:bidi w:val="0"/>
        <w:snapToGrid w:val="0"/>
        <w:spacing w:line="56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按照有效竞标银行上年度不良贷款率赋分。得分标准为：1.0%及以下得4分；1%以上、1.5%及以下的，得3.5分；1.5%以上、2.0%及以下的，得3分；2.0%以上不得分。</w:t>
      </w:r>
    </w:p>
    <w:p w14:paraId="1C878944">
      <w:pPr>
        <w:keepNext w:val="0"/>
        <w:keepLines w:val="0"/>
        <w:pageBreakBefore w:val="0"/>
        <w:widowControl w:val="0"/>
        <w:numPr>
          <w:ilvl w:val="0"/>
          <w:numId w:val="30"/>
        </w:numPr>
        <w:kinsoku/>
        <w:wordWrap/>
        <w:overflowPunct/>
        <w:topLinePunct w:val="0"/>
        <w:autoSpaceDE/>
        <w:autoSpaceDN/>
        <w:bidi w:val="0"/>
        <w:snapToGrid w:val="0"/>
        <w:spacing w:line="560" w:lineRule="exact"/>
        <w:ind w:left="5" w:leftChars="0" w:firstLine="415" w:firstLineChars="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不良贷款处置率(8分)。</w:t>
      </w:r>
    </w:p>
    <w:p w14:paraId="098C4135">
      <w:pPr>
        <w:keepNext w:val="0"/>
        <w:keepLines w:val="0"/>
        <w:pageBreakBefore w:val="0"/>
        <w:widowControl w:val="0"/>
        <w:kinsoku/>
        <w:wordWrap/>
        <w:overflowPunct/>
        <w:topLinePunct w:val="0"/>
        <w:autoSpaceDE/>
        <w:autoSpaceDN/>
        <w:bidi w:val="0"/>
        <w:snapToGrid w:val="0"/>
        <w:spacing w:line="56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按照有效竞标银行上年度不良贷款处置率赋分。得分标准为：70%以上得8分；70%及以下、50%以上的，得7分；50%及以下、40%以上的，得6分；40%及以下、30%以上的，得5分；30%及以下不得分。上年度未新发生不良贷款的，不良贷款处置率得8分。</w:t>
      </w:r>
    </w:p>
    <w:p w14:paraId="011DDF2F">
      <w:pPr>
        <w:snapToGrid w:val="0"/>
        <w:spacing w:line="560" w:lineRule="exact"/>
        <w:ind w:firstLine="424" w:firstLineChars="202"/>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 （该指标数据由国家金融监督管理总局嘉兴监管分局提供。）</w:t>
      </w:r>
    </w:p>
    <w:p w14:paraId="2E4F6EDD">
      <w:pPr>
        <w:keepNext w:val="0"/>
        <w:keepLines w:val="0"/>
        <w:pageBreakBefore w:val="0"/>
        <w:widowControl w:val="0"/>
        <w:numPr>
          <w:ilvl w:val="0"/>
          <w:numId w:val="28"/>
        </w:numPr>
        <w:tabs>
          <w:tab w:val="left" w:pos="420"/>
          <w:tab w:val="left" w:pos="630"/>
        </w:tabs>
        <w:kinsoku/>
        <w:wordWrap/>
        <w:overflowPunct/>
        <w:topLinePunct w:val="0"/>
        <w:autoSpaceDE/>
        <w:autoSpaceDN/>
        <w:bidi w:val="0"/>
        <w:snapToGrid w:val="0"/>
        <w:spacing w:line="560" w:lineRule="exact"/>
        <w:ind w:left="5" w:leftChars="0" w:firstLine="415" w:firstLineChars="0"/>
        <w:rPr>
          <w:rFonts w:hint="default"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rPr>
        <w:t>运营能力（10分）。根据有效竞标银行上年度在嘉兴市的利润总额和利润增长率进行评分</w:t>
      </w:r>
      <w:r>
        <w:rPr>
          <w:rFonts w:hint="eastAsia" w:ascii="微软雅黑" w:hAnsi="微软雅黑" w:eastAsia="微软雅黑" w:cs="微软雅黑"/>
          <w:color w:val="auto"/>
          <w:sz w:val="21"/>
          <w:szCs w:val="21"/>
          <w:highlight w:val="none"/>
          <w:lang w:eastAsia="zh-CN"/>
        </w:rPr>
        <w:t>。</w:t>
      </w:r>
    </w:p>
    <w:p w14:paraId="17CC05D2">
      <w:pPr>
        <w:keepNext w:val="0"/>
        <w:keepLines w:val="0"/>
        <w:pageBreakBefore w:val="0"/>
        <w:widowControl w:val="0"/>
        <w:numPr>
          <w:ilvl w:val="0"/>
          <w:numId w:val="31"/>
        </w:numPr>
        <w:kinsoku/>
        <w:wordWrap/>
        <w:overflowPunct/>
        <w:topLinePunct w:val="0"/>
        <w:autoSpaceDE/>
        <w:autoSpaceDN/>
        <w:bidi w:val="0"/>
        <w:snapToGrid w:val="0"/>
        <w:spacing w:line="560" w:lineRule="exact"/>
        <w:ind w:left="5" w:leftChars="0" w:firstLine="415" w:firstLineChars="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利润总额（8分）。按有效竞标银行上年度全市利润总额由高到低排名，排名第一名的得8分，每递减一名减0.2分，减至0分为止。</w:t>
      </w:r>
    </w:p>
    <w:p w14:paraId="3212EFB4">
      <w:pPr>
        <w:keepNext w:val="0"/>
        <w:keepLines w:val="0"/>
        <w:pageBreakBefore w:val="0"/>
        <w:widowControl w:val="0"/>
        <w:kinsoku/>
        <w:wordWrap/>
        <w:overflowPunct/>
        <w:topLinePunct w:val="0"/>
        <w:autoSpaceDE/>
        <w:autoSpaceDN/>
        <w:bidi w:val="0"/>
        <w:snapToGrid w:val="0"/>
        <w:spacing w:line="56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排名相同时，下一名跳跃排名计分，以下遇有按排名计分的均按此跳跃排名计分。</w:t>
      </w:r>
    </w:p>
    <w:p w14:paraId="7D592D4E">
      <w:pPr>
        <w:keepNext w:val="0"/>
        <w:keepLines w:val="0"/>
        <w:pageBreakBefore w:val="0"/>
        <w:widowControl w:val="0"/>
        <w:numPr>
          <w:ilvl w:val="0"/>
          <w:numId w:val="31"/>
        </w:numPr>
        <w:kinsoku/>
        <w:wordWrap/>
        <w:overflowPunct/>
        <w:topLinePunct w:val="0"/>
        <w:autoSpaceDE/>
        <w:autoSpaceDN/>
        <w:bidi w:val="0"/>
        <w:snapToGrid w:val="0"/>
        <w:spacing w:line="560" w:lineRule="exact"/>
        <w:ind w:left="5" w:leftChars="0" w:firstLine="415" w:firstLineChars="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利润增长率（2分）。按有效竞标银行上年度全市利润增长率由高到低排名，排名第一名的得2分，每递减一名减0.05分，减至0分为止。</w:t>
      </w:r>
    </w:p>
    <w:p w14:paraId="6D3DC7A6">
      <w:pPr>
        <w:keepNext w:val="0"/>
        <w:keepLines w:val="0"/>
        <w:pageBreakBefore w:val="0"/>
        <w:widowControl w:val="0"/>
        <w:numPr>
          <w:ilvl w:val="0"/>
          <w:numId w:val="0"/>
        </w:numPr>
        <w:kinsoku/>
        <w:wordWrap/>
        <w:overflowPunct/>
        <w:topLinePunct w:val="0"/>
        <w:autoSpaceDE/>
        <w:autoSpaceDN/>
        <w:bidi w:val="0"/>
        <w:snapToGrid w:val="0"/>
        <w:spacing w:line="56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（该指标数据由国家金融监督管理总局嘉兴监管分局提供。）</w:t>
      </w:r>
    </w:p>
    <w:p w14:paraId="3A9563A9">
      <w:pPr>
        <w:keepNext w:val="0"/>
        <w:keepLines w:val="0"/>
        <w:pageBreakBefore w:val="0"/>
        <w:widowControl w:val="0"/>
        <w:numPr>
          <w:ilvl w:val="0"/>
          <w:numId w:val="28"/>
        </w:numPr>
        <w:tabs>
          <w:tab w:val="left" w:pos="420"/>
          <w:tab w:val="left" w:pos="630"/>
        </w:tabs>
        <w:kinsoku/>
        <w:wordWrap/>
        <w:overflowPunct/>
        <w:topLinePunct w:val="0"/>
        <w:autoSpaceDE/>
        <w:autoSpaceDN/>
        <w:bidi w:val="0"/>
        <w:snapToGrid w:val="0"/>
        <w:spacing w:line="560" w:lineRule="exact"/>
        <w:ind w:left="5" w:leftChars="0" w:firstLine="415" w:firstLineChars="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内控水平（8分）。根据人民银行嘉兴市分行上一年度对有效竞标银行综合评价结果进行评分，综合评价为A级的，得8分；综合评价为B+、B</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lang w:val="en-US" w:eastAsia="zh-CN"/>
        </w:rPr>
        <w:t>B-</w:t>
      </w:r>
      <w:r>
        <w:rPr>
          <w:rFonts w:hint="eastAsia" w:ascii="微软雅黑" w:hAnsi="微软雅黑" w:eastAsia="微软雅黑" w:cs="微软雅黑"/>
          <w:color w:val="auto"/>
          <w:sz w:val="21"/>
          <w:szCs w:val="21"/>
          <w:highlight w:val="none"/>
        </w:rPr>
        <w:t>的，分别得</w:t>
      </w:r>
      <w:r>
        <w:rPr>
          <w:rFonts w:hint="eastAsia" w:ascii="微软雅黑" w:hAnsi="微软雅黑" w:eastAsia="微软雅黑" w:cs="微软雅黑"/>
          <w:color w:val="auto"/>
          <w:sz w:val="21"/>
          <w:szCs w:val="21"/>
          <w:highlight w:val="none"/>
          <w:lang w:val="en-US" w:eastAsia="zh-CN"/>
        </w:rPr>
        <w:t>7</w:t>
      </w:r>
      <w:r>
        <w:rPr>
          <w:rFonts w:hint="eastAsia" w:ascii="微软雅黑" w:hAnsi="微软雅黑" w:eastAsia="微软雅黑" w:cs="微软雅黑"/>
          <w:color w:val="auto"/>
          <w:sz w:val="21"/>
          <w:szCs w:val="21"/>
          <w:highlight w:val="none"/>
        </w:rPr>
        <w:t>、</w:t>
      </w:r>
      <w:r>
        <w:rPr>
          <w:rFonts w:hint="eastAsia" w:ascii="微软雅黑" w:hAnsi="微软雅黑" w:eastAsia="微软雅黑" w:cs="微软雅黑"/>
          <w:color w:val="auto"/>
          <w:sz w:val="21"/>
          <w:szCs w:val="21"/>
          <w:highlight w:val="none"/>
          <w:lang w:val="en-US" w:eastAsia="zh-CN"/>
        </w:rPr>
        <w:t>6、5</w:t>
      </w:r>
      <w:r>
        <w:rPr>
          <w:rFonts w:hint="eastAsia" w:ascii="微软雅黑" w:hAnsi="微软雅黑" w:eastAsia="微软雅黑" w:cs="微软雅黑"/>
          <w:color w:val="auto"/>
          <w:sz w:val="21"/>
          <w:szCs w:val="21"/>
          <w:highlight w:val="none"/>
        </w:rPr>
        <w:t>分。</w:t>
      </w:r>
    </w:p>
    <w:p w14:paraId="0B5229BC">
      <w:pPr>
        <w:keepNext w:val="0"/>
        <w:keepLines w:val="0"/>
        <w:pageBreakBefore w:val="0"/>
        <w:widowControl w:val="0"/>
        <w:numPr>
          <w:ilvl w:val="0"/>
          <w:numId w:val="0"/>
        </w:numPr>
        <w:tabs>
          <w:tab w:val="left" w:pos="420"/>
          <w:tab w:val="left" w:pos="630"/>
        </w:tabs>
        <w:kinsoku/>
        <w:wordWrap/>
        <w:overflowPunct/>
        <w:topLinePunct w:val="0"/>
        <w:autoSpaceDE/>
        <w:autoSpaceDN/>
        <w:bidi w:val="0"/>
        <w:snapToGrid w:val="0"/>
        <w:spacing w:line="560" w:lineRule="exact"/>
        <w:ind w:left="420" w:leftChars="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（该指标数据由中国人民银行嘉兴市分行提供。）</w:t>
      </w:r>
    </w:p>
    <w:p w14:paraId="6173F0E0">
      <w:pPr>
        <w:numPr>
          <w:ilvl w:val="0"/>
          <w:numId w:val="0"/>
        </w:numPr>
        <w:snapToGrid w:val="0"/>
        <w:spacing w:line="560" w:lineRule="exact"/>
        <w:ind w:left="420" w:leftChars="0"/>
        <w:rPr>
          <w:rFonts w:hint="eastAsia" w:ascii="微软雅黑" w:hAnsi="微软雅黑" w:eastAsia="微软雅黑" w:cs="仿宋_GB2312"/>
          <w:color w:val="auto"/>
          <w:szCs w:val="21"/>
          <w:highlight w:val="none"/>
        </w:rPr>
      </w:pPr>
      <w:r>
        <w:rPr>
          <w:rFonts w:hint="eastAsia" w:ascii="微软雅黑" w:hAnsi="微软雅黑" w:eastAsia="微软雅黑" w:cs="楷体_GB2312"/>
          <w:b/>
          <w:bCs w:val="0"/>
          <w:color w:val="auto"/>
          <w:szCs w:val="21"/>
          <w:highlight w:val="none"/>
        </w:rPr>
        <w:t>（三）经济贡献度指标（</w:t>
      </w:r>
      <w:r>
        <w:rPr>
          <w:rFonts w:hint="eastAsia" w:ascii="微软雅黑" w:hAnsi="微软雅黑" w:eastAsia="微软雅黑" w:cs="楷体_GB2312"/>
          <w:b/>
          <w:color w:val="auto"/>
          <w:szCs w:val="21"/>
          <w:highlight w:val="none"/>
        </w:rPr>
        <w:t>满分40分）。</w:t>
      </w:r>
      <w:r>
        <w:rPr>
          <w:rFonts w:hint="eastAsia" w:ascii="微软雅黑" w:hAnsi="微软雅黑" w:eastAsia="微软雅黑" w:cs="仿宋_GB2312"/>
          <w:color w:val="auto"/>
          <w:szCs w:val="21"/>
          <w:highlight w:val="none"/>
        </w:rPr>
        <w:t>经济贡献度指标（满分40分）。经济贡献度指标设置包括纳税情况、贷款新增额指标、支持地方经济发展业绩考评结果应用指标。</w:t>
      </w:r>
    </w:p>
    <w:p w14:paraId="514753F6">
      <w:pPr>
        <w:keepNext w:val="0"/>
        <w:keepLines w:val="0"/>
        <w:pageBreakBefore w:val="0"/>
        <w:widowControl w:val="0"/>
        <w:numPr>
          <w:ilvl w:val="0"/>
          <w:numId w:val="32"/>
        </w:numPr>
        <w:tabs>
          <w:tab w:val="left" w:pos="420"/>
          <w:tab w:val="left" w:pos="840"/>
        </w:tabs>
        <w:kinsoku/>
        <w:wordWrap/>
        <w:overflowPunct/>
        <w:topLinePunct w:val="0"/>
        <w:autoSpaceDE/>
        <w:autoSpaceDN/>
        <w:bidi w:val="0"/>
        <w:spacing w:line="560" w:lineRule="exact"/>
        <w:ind w:left="0" w:leftChars="0" w:firstLine="420" w:firstLineChars="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纳税情况（</w:t>
      </w:r>
      <w:r>
        <w:rPr>
          <w:rFonts w:hint="eastAsia" w:ascii="微软雅黑" w:hAnsi="微软雅黑" w:eastAsia="微软雅黑" w:cs="微软雅黑"/>
          <w:color w:val="auto"/>
          <w:sz w:val="21"/>
          <w:szCs w:val="21"/>
          <w:highlight w:val="none"/>
          <w:lang w:val="en-US" w:eastAsia="zh-CN"/>
        </w:rPr>
        <w:t>12</w:t>
      </w:r>
      <w:r>
        <w:rPr>
          <w:rFonts w:hint="eastAsia" w:ascii="微软雅黑" w:hAnsi="微软雅黑" w:eastAsia="微软雅黑" w:cs="微软雅黑"/>
          <w:color w:val="auto"/>
          <w:sz w:val="21"/>
          <w:szCs w:val="21"/>
          <w:highlight w:val="none"/>
        </w:rPr>
        <w:t>分）。</w:t>
      </w:r>
    </w:p>
    <w:p w14:paraId="5B8CB8BB">
      <w:pPr>
        <w:keepNext w:val="0"/>
        <w:keepLines w:val="0"/>
        <w:pageBreakBefore w:val="0"/>
        <w:widowControl w:val="0"/>
        <w:tabs>
          <w:tab w:val="left" w:pos="420"/>
          <w:tab w:val="left" w:pos="840"/>
        </w:tabs>
        <w:kinsoku/>
        <w:wordWrap/>
        <w:overflowPunct/>
        <w:topLinePunct w:val="0"/>
        <w:autoSpaceDE/>
        <w:autoSpaceDN/>
        <w:bidi w:val="0"/>
        <w:spacing w:line="560" w:lineRule="exact"/>
        <w:ind w:left="0" w:leftChars="0" w:firstLine="420" w:firstLineChars="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即有效竞标银行的秀洲区机构向</w:t>
      </w:r>
      <w:r>
        <w:rPr>
          <w:rFonts w:hint="eastAsia" w:ascii="微软雅黑" w:hAnsi="微软雅黑" w:eastAsia="微软雅黑" w:cs="微软雅黑"/>
          <w:color w:val="auto"/>
          <w:sz w:val="21"/>
          <w:szCs w:val="21"/>
          <w:highlight w:val="none"/>
          <w:lang w:eastAsia="zh-CN"/>
        </w:rPr>
        <w:t>本地</w:t>
      </w:r>
      <w:r>
        <w:rPr>
          <w:rFonts w:hint="eastAsia" w:ascii="微软雅黑" w:hAnsi="微软雅黑" w:eastAsia="微软雅黑" w:cs="微软雅黑"/>
          <w:color w:val="auto"/>
          <w:sz w:val="21"/>
          <w:szCs w:val="21"/>
          <w:highlight w:val="none"/>
        </w:rPr>
        <w:t>税务机关缴纳的各项税收，税收缴库额按实际入库数计算，不包括缴纳的地方教育附加、社保费等非税项目。根据有效竞标银行的税收缴库额情况进行评分，计分包括纳税规模、纳税新增额和纳税增幅。</w:t>
      </w:r>
    </w:p>
    <w:p w14:paraId="17F19204">
      <w:pPr>
        <w:keepNext w:val="0"/>
        <w:keepLines w:val="0"/>
        <w:pageBreakBefore w:val="0"/>
        <w:widowControl w:val="0"/>
        <w:numPr>
          <w:ilvl w:val="0"/>
          <w:numId w:val="33"/>
        </w:numPr>
        <w:tabs>
          <w:tab w:val="left" w:pos="420"/>
          <w:tab w:val="left" w:pos="840"/>
        </w:tabs>
        <w:kinsoku/>
        <w:wordWrap/>
        <w:overflowPunct/>
        <w:topLinePunct w:val="0"/>
        <w:autoSpaceDE/>
        <w:autoSpaceDN/>
        <w:bidi w:val="0"/>
        <w:spacing w:line="560" w:lineRule="exact"/>
        <w:ind w:left="0" w:leftChars="0" w:firstLine="420" w:firstLineChars="0"/>
        <w:rPr>
          <w:rFonts w:hint="eastAsia" w:ascii="微软雅黑" w:hAnsi="微软雅黑" w:eastAsia="微软雅黑" w:cs="微软雅黑"/>
          <w:color w:val="auto"/>
          <w:sz w:val="21"/>
          <w:szCs w:val="21"/>
          <w:highlight w:val="none"/>
          <w:lang w:eastAsia="zh-CN"/>
        </w:rPr>
      </w:pPr>
      <w:r>
        <w:rPr>
          <w:rFonts w:hint="eastAsia" w:ascii="微软雅黑" w:hAnsi="微软雅黑" w:eastAsia="微软雅黑" w:cs="微软雅黑"/>
          <w:color w:val="auto"/>
          <w:sz w:val="21"/>
          <w:szCs w:val="21"/>
          <w:highlight w:val="none"/>
          <w:lang w:eastAsia="zh-CN"/>
        </w:rPr>
        <w:t>年度</w:t>
      </w:r>
      <w:r>
        <w:rPr>
          <w:rFonts w:hint="eastAsia" w:ascii="微软雅黑" w:hAnsi="微软雅黑" w:eastAsia="微软雅黑" w:cs="微软雅黑"/>
          <w:color w:val="auto"/>
          <w:sz w:val="21"/>
          <w:szCs w:val="21"/>
          <w:highlight w:val="none"/>
        </w:rPr>
        <w:t>纳税规模（</w:t>
      </w:r>
      <w:r>
        <w:rPr>
          <w:rFonts w:hint="eastAsia" w:ascii="微软雅黑" w:hAnsi="微软雅黑" w:eastAsia="微软雅黑" w:cs="微软雅黑"/>
          <w:color w:val="auto"/>
          <w:sz w:val="21"/>
          <w:szCs w:val="21"/>
          <w:highlight w:val="none"/>
          <w:lang w:val="en-US" w:eastAsia="zh-CN"/>
        </w:rPr>
        <w:t>8</w:t>
      </w:r>
      <w:r>
        <w:rPr>
          <w:rFonts w:hint="eastAsia" w:ascii="微软雅黑" w:hAnsi="微软雅黑" w:eastAsia="微软雅黑" w:cs="微软雅黑"/>
          <w:color w:val="auto"/>
          <w:sz w:val="21"/>
          <w:szCs w:val="21"/>
          <w:highlight w:val="none"/>
        </w:rPr>
        <w:t>分）：</w:t>
      </w:r>
      <w:r>
        <w:rPr>
          <w:rFonts w:hint="eastAsia" w:ascii="微软雅黑" w:hAnsi="微软雅黑" w:eastAsia="微软雅黑" w:cs="微软雅黑"/>
          <w:color w:val="auto"/>
          <w:sz w:val="21"/>
          <w:szCs w:val="21"/>
          <w:highlight w:val="none"/>
          <w:lang w:val="en-US" w:eastAsia="zh-CN"/>
        </w:rPr>
        <w:t>根据</w:t>
      </w:r>
      <w:r>
        <w:rPr>
          <w:rFonts w:hint="eastAsia" w:ascii="微软雅黑" w:hAnsi="微软雅黑" w:eastAsia="微软雅黑" w:cs="微软雅黑"/>
          <w:color w:val="auto"/>
          <w:sz w:val="21"/>
          <w:szCs w:val="21"/>
          <w:highlight w:val="none"/>
        </w:rPr>
        <w:t>有效竞标银行上年度税收缴库</w:t>
      </w:r>
      <w:r>
        <w:rPr>
          <w:rFonts w:hint="eastAsia" w:ascii="微软雅黑" w:hAnsi="微软雅黑" w:eastAsia="微软雅黑" w:cs="微软雅黑"/>
          <w:color w:val="auto"/>
          <w:sz w:val="21"/>
          <w:szCs w:val="21"/>
          <w:highlight w:val="none"/>
          <w:lang w:eastAsia="zh-CN"/>
        </w:rPr>
        <w:t>额进行评分，分为排名分（</w:t>
      </w:r>
      <w:r>
        <w:rPr>
          <w:rFonts w:hint="eastAsia" w:ascii="微软雅黑" w:hAnsi="微软雅黑" w:eastAsia="微软雅黑" w:cs="微软雅黑"/>
          <w:color w:val="auto"/>
          <w:sz w:val="21"/>
          <w:szCs w:val="21"/>
          <w:highlight w:val="none"/>
          <w:lang w:val="en-US" w:eastAsia="zh-CN"/>
        </w:rPr>
        <w:t>5分</w:t>
      </w:r>
      <w:r>
        <w:rPr>
          <w:rFonts w:hint="eastAsia" w:ascii="微软雅黑" w:hAnsi="微软雅黑" w:eastAsia="微软雅黑" w:cs="微软雅黑"/>
          <w:color w:val="auto"/>
          <w:sz w:val="21"/>
          <w:szCs w:val="21"/>
          <w:highlight w:val="none"/>
          <w:lang w:eastAsia="zh-CN"/>
        </w:rPr>
        <w:t>）和金额分（</w:t>
      </w:r>
      <w:r>
        <w:rPr>
          <w:rFonts w:hint="eastAsia" w:ascii="微软雅黑" w:hAnsi="微软雅黑" w:eastAsia="微软雅黑" w:cs="微软雅黑"/>
          <w:color w:val="auto"/>
          <w:sz w:val="21"/>
          <w:szCs w:val="21"/>
          <w:highlight w:val="none"/>
          <w:lang w:val="en-US" w:eastAsia="zh-CN"/>
        </w:rPr>
        <w:t>3分</w:t>
      </w:r>
      <w:r>
        <w:rPr>
          <w:rFonts w:hint="eastAsia" w:ascii="微软雅黑" w:hAnsi="微软雅黑" w:eastAsia="微软雅黑" w:cs="微软雅黑"/>
          <w:color w:val="auto"/>
          <w:sz w:val="21"/>
          <w:szCs w:val="21"/>
          <w:highlight w:val="none"/>
          <w:lang w:eastAsia="zh-CN"/>
        </w:rPr>
        <w:t>）。</w:t>
      </w:r>
    </w:p>
    <w:p w14:paraId="5F82AFE4">
      <w:pPr>
        <w:keepNext w:val="0"/>
        <w:keepLines w:val="0"/>
        <w:pageBreakBefore w:val="0"/>
        <w:widowControl w:val="0"/>
        <w:numPr>
          <w:ilvl w:val="0"/>
          <w:numId w:val="0"/>
        </w:numPr>
        <w:tabs>
          <w:tab w:val="left" w:pos="420"/>
          <w:tab w:val="left" w:pos="840"/>
        </w:tabs>
        <w:kinsoku/>
        <w:wordWrap/>
        <w:overflowPunct/>
        <w:topLinePunct w:val="0"/>
        <w:autoSpaceDE/>
        <w:autoSpaceDN/>
        <w:bidi w:val="0"/>
        <w:spacing w:line="560" w:lineRule="exact"/>
        <w:ind w:left="0" w:leftChars="0" w:firstLine="420" w:firstLineChars="0"/>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eastAsia="zh-CN"/>
        </w:rPr>
        <w:t>排名分</w:t>
      </w:r>
      <w:r>
        <w:rPr>
          <w:rFonts w:hint="eastAsia" w:ascii="微软雅黑" w:hAnsi="微软雅黑" w:eastAsia="微软雅黑" w:cs="微软雅黑"/>
          <w:color w:val="auto"/>
          <w:sz w:val="21"/>
          <w:szCs w:val="21"/>
          <w:highlight w:val="none"/>
          <w:lang w:val="en-US" w:eastAsia="zh-CN"/>
        </w:rPr>
        <w:t>得分标准为</w:t>
      </w:r>
      <w:r>
        <w:rPr>
          <w:rFonts w:hint="eastAsia" w:ascii="微软雅黑" w:hAnsi="微软雅黑" w:eastAsia="微软雅黑" w:cs="微软雅黑"/>
          <w:color w:val="auto"/>
          <w:sz w:val="21"/>
          <w:szCs w:val="21"/>
          <w:highlight w:val="none"/>
          <w:lang w:eastAsia="zh-CN"/>
        </w:rPr>
        <w:t>：按上年度</w:t>
      </w:r>
      <w:r>
        <w:rPr>
          <w:rFonts w:hint="eastAsia" w:ascii="微软雅黑" w:hAnsi="微软雅黑" w:eastAsia="微软雅黑" w:cs="微软雅黑"/>
          <w:color w:val="auto"/>
          <w:sz w:val="21"/>
          <w:szCs w:val="21"/>
          <w:highlight w:val="none"/>
        </w:rPr>
        <w:t>纳税收缴库</w:t>
      </w:r>
      <w:r>
        <w:rPr>
          <w:rFonts w:hint="eastAsia" w:ascii="微软雅黑" w:hAnsi="微软雅黑" w:eastAsia="微软雅黑" w:cs="微软雅黑"/>
          <w:color w:val="auto"/>
          <w:sz w:val="21"/>
          <w:szCs w:val="21"/>
          <w:highlight w:val="none"/>
          <w:lang w:eastAsia="zh-CN"/>
        </w:rPr>
        <w:t>额从高到低排名，第一名得</w:t>
      </w:r>
      <w:r>
        <w:rPr>
          <w:rFonts w:hint="eastAsia" w:ascii="微软雅黑" w:hAnsi="微软雅黑" w:eastAsia="微软雅黑" w:cs="微软雅黑"/>
          <w:color w:val="auto"/>
          <w:sz w:val="21"/>
          <w:szCs w:val="21"/>
          <w:highlight w:val="none"/>
          <w:lang w:val="en-US" w:eastAsia="zh-CN"/>
        </w:rPr>
        <w:t>5分，</w:t>
      </w:r>
      <w:r>
        <w:rPr>
          <w:rFonts w:hint="eastAsia" w:ascii="微软雅黑" w:hAnsi="微软雅黑" w:eastAsia="微软雅黑" w:cs="微软雅黑"/>
          <w:color w:val="auto"/>
          <w:sz w:val="21"/>
          <w:szCs w:val="21"/>
          <w:highlight w:val="none"/>
        </w:rPr>
        <w:t>每递减一名减0.1</w:t>
      </w:r>
      <w:r>
        <w:rPr>
          <w:rFonts w:hint="eastAsia" w:ascii="微软雅黑" w:hAnsi="微软雅黑" w:eastAsia="微软雅黑" w:cs="微软雅黑"/>
          <w:color w:val="auto"/>
          <w:sz w:val="21"/>
          <w:szCs w:val="21"/>
          <w:highlight w:val="none"/>
          <w:lang w:val="en-US" w:eastAsia="zh-CN"/>
        </w:rPr>
        <w:t>25</w:t>
      </w:r>
      <w:r>
        <w:rPr>
          <w:rFonts w:hint="eastAsia" w:ascii="微软雅黑" w:hAnsi="微软雅黑" w:eastAsia="微软雅黑" w:cs="微软雅黑"/>
          <w:color w:val="auto"/>
          <w:sz w:val="21"/>
          <w:szCs w:val="21"/>
          <w:highlight w:val="none"/>
        </w:rPr>
        <w:t>分</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rPr>
        <w:t>减至0分为止</w:t>
      </w:r>
      <w:r>
        <w:rPr>
          <w:rFonts w:hint="eastAsia" w:ascii="微软雅黑" w:hAnsi="微软雅黑" w:eastAsia="微软雅黑" w:cs="微软雅黑"/>
          <w:color w:val="auto"/>
          <w:sz w:val="21"/>
          <w:szCs w:val="21"/>
          <w:highlight w:val="none"/>
          <w:lang w:val="en-US" w:eastAsia="zh-CN"/>
        </w:rPr>
        <w:t>；</w:t>
      </w:r>
      <w:r>
        <w:rPr>
          <w:rFonts w:hint="eastAsia" w:ascii="微软雅黑" w:hAnsi="微软雅黑" w:eastAsia="微软雅黑" w:cs="微软雅黑"/>
          <w:color w:val="auto"/>
          <w:sz w:val="21"/>
          <w:szCs w:val="21"/>
          <w:highlight w:val="none"/>
        </w:rPr>
        <w:t>上年度税收缴库额</w:t>
      </w:r>
      <w:r>
        <w:rPr>
          <w:rFonts w:hint="eastAsia" w:ascii="微软雅黑" w:hAnsi="微软雅黑" w:eastAsia="微软雅黑" w:cs="微软雅黑"/>
          <w:color w:val="auto"/>
          <w:sz w:val="21"/>
          <w:szCs w:val="21"/>
          <w:highlight w:val="none"/>
          <w:lang w:eastAsia="zh-CN"/>
        </w:rPr>
        <w:t>不足</w:t>
      </w:r>
      <w:r>
        <w:rPr>
          <w:rFonts w:hint="eastAsia" w:ascii="微软雅黑" w:hAnsi="微软雅黑" w:eastAsia="微软雅黑" w:cs="微软雅黑"/>
          <w:color w:val="auto"/>
          <w:sz w:val="21"/>
          <w:szCs w:val="21"/>
          <w:highlight w:val="none"/>
          <w:lang w:val="en-US" w:eastAsia="zh-CN"/>
        </w:rPr>
        <w:t>50万元不予排名，不得分。</w:t>
      </w:r>
    </w:p>
    <w:p w14:paraId="0364EF9D">
      <w:pPr>
        <w:keepNext w:val="0"/>
        <w:keepLines w:val="0"/>
        <w:pageBreakBefore w:val="0"/>
        <w:widowControl w:val="0"/>
        <w:numPr>
          <w:ilvl w:val="0"/>
          <w:numId w:val="0"/>
        </w:numPr>
        <w:tabs>
          <w:tab w:val="left" w:pos="420"/>
          <w:tab w:val="left" w:pos="840"/>
        </w:tabs>
        <w:kinsoku/>
        <w:wordWrap/>
        <w:overflowPunct/>
        <w:topLinePunct w:val="0"/>
        <w:autoSpaceDE/>
        <w:autoSpaceDN/>
        <w:bidi w:val="0"/>
        <w:spacing w:line="560" w:lineRule="exact"/>
        <w:ind w:left="0" w:leftChars="0" w:firstLine="420" w:firstLineChars="0"/>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eastAsia="zh-CN"/>
        </w:rPr>
        <w:t>金额分</w:t>
      </w:r>
      <w:r>
        <w:rPr>
          <w:rFonts w:hint="eastAsia" w:ascii="微软雅黑" w:hAnsi="微软雅黑" w:eastAsia="微软雅黑" w:cs="微软雅黑"/>
          <w:color w:val="auto"/>
          <w:sz w:val="21"/>
          <w:szCs w:val="21"/>
          <w:highlight w:val="none"/>
          <w:lang w:val="en-US" w:eastAsia="zh-CN"/>
        </w:rPr>
        <w:t>得分标准为</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rPr>
        <w:t>上年度税收缴库额</w:t>
      </w:r>
      <w:r>
        <w:rPr>
          <w:rFonts w:hint="eastAsia" w:ascii="微软雅黑" w:hAnsi="微软雅黑" w:eastAsia="微软雅黑" w:cs="微软雅黑"/>
          <w:color w:val="auto"/>
          <w:sz w:val="21"/>
          <w:szCs w:val="21"/>
          <w:highlight w:val="none"/>
          <w:lang w:val="en-US" w:eastAsia="zh-CN"/>
        </w:rPr>
        <w:t>300万元以下得0.1分，300万元及以上600万元以下得0.5分；600万元及以上900万元以下得1分；900万元及以上1200万元以下得1.5分；1200万元及以上1500万元以下得2分；1500万元及以上1800万元以下得2.5分；1800万元及以上得3分；</w:t>
      </w:r>
      <w:r>
        <w:rPr>
          <w:rFonts w:hint="eastAsia" w:ascii="微软雅黑" w:hAnsi="微软雅黑" w:eastAsia="微软雅黑" w:cs="微软雅黑"/>
          <w:color w:val="auto"/>
          <w:sz w:val="21"/>
          <w:szCs w:val="21"/>
          <w:highlight w:val="none"/>
        </w:rPr>
        <w:t>上年度税收缴库额</w:t>
      </w:r>
      <w:r>
        <w:rPr>
          <w:rFonts w:hint="eastAsia" w:ascii="微软雅黑" w:hAnsi="微软雅黑" w:eastAsia="微软雅黑" w:cs="微软雅黑"/>
          <w:color w:val="auto"/>
          <w:sz w:val="21"/>
          <w:szCs w:val="21"/>
          <w:highlight w:val="none"/>
          <w:lang w:eastAsia="zh-CN"/>
        </w:rPr>
        <w:t>为</w:t>
      </w:r>
      <w:r>
        <w:rPr>
          <w:rFonts w:hint="eastAsia" w:ascii="微软雅黑" w:hAnsi="微软雅黑" w:eastAsia="微软雅黑" w:cs="微软雅黑"/>
          <w:color w:val="auto"/>
          <w:sz w:val="21"/>
          <w:szCs w:val="21"/>
          <w:highlight w:val="none"/>
          <w:lang w:val="en-US" w:eastAsia="zh-CN"/>
        </w:rPr>
        <w:t>0的不得分。</w:t>
      </w:r>
    </w:p>
    <w:p w14:paraId="2CBB3F70">
      <w:pPr>
        <w:keepNext w:val="0"/>
        <w:keepLines w:val="0"/>
        <w:pageBreakBefore w:val="0"/>
        <w:widowControl w:val="0"/>
        <w:numPr>
          <w:ilvl w:val="0"/>
          <w:numId w:val="33"/>
        </w:numPr>
        <w:tabs>
          <w:tab w:val="left" w:pos="420"/>
          <w:tab w:val="left" w:pos="840"/>
        </w:tabs>
        <w:kinsoku/>
        <w:wordWrap/>
        <w:overflowPunct/>
        <w:topLinePunct w:val="0"/>
        <w:autoSpaceDE/>
        <w:autoSpaceDN/>
        <w:bidi w:val="0"/>
        <w:spacing w:line="560" w:lineRule="exact"/>
        <w:ind w:left="0" w:leftChars="0" w:firstLine="420" w:firstLineChars="0"/>
        <w:rPr>
          <w:rFonts w:hint="eastAsia" w:ascii="微软雅黑" w:hAnsi="微软雅黑" w:eastAsia="微软雅黑" w:cs="微软雅黑"/>
          <w:color w:val="auto"/>
          <w:sz w:val="21"/>
          <w:szCs w:val="21"/>
          <w:highlight w:val="none"/>
          <w:lang w:eastAsia="zh-CN"/>
        </w:rPr>
      </w:pPr>
      <w:bookmarkStart w:id="117" w:name="_GoBack"/>
      <w:r>
        <w:rPr>
          <w:rFonts w:hint="eastAsia" w:ascii="微软雅黑" w:hAnsi="微软雅黑" w:eastAsia="微软雅黑" w:cs="微软雅黑"/>
          <w:color w:val="auto"/>
          <w:sz w:val="21"/>
          <w:szCs w:val="21"/>
          <w:highlight w:val="none"/>
          <w:lang w:eastAsia="zh-CN"/>
        </w:rPr>
        <w:t>纳税新增额（</w:t>
      </w:r>
      <w:r>
        <w:rPr>
          <w:rFonts w:hint="eastAsia" w:ascii="微软雅黑" w:hAnsi="微软雅黑" w:eastAsia="微软雅黑" w:cs="微软雅黑"/>
          <w:color w:val="auto"/>
          <w:sz w:val="21"/>
          <w:szCs w:val="21"/>
          <w:highlight w:val="none"/>
          <w:lang w:val="en-US" w:eastAsia="zh-CN"/>
        </w:rPr>
        <w:t>4</w:t>
      </w:r>
      <w:r>
        <w:rPr>
          <w:rFonts w:hint="eastAsia" w:ascii="微软雅黑" w:hAnsi="微软雅黑" w:eastAsia="微软雅黑" w:cs="微软雅黑"/>
          <w:color w:val="auto"/>
          <w:sz w:val="21"/>
          <w:szCs w:val="21"/>
          <w:highlight w:val="none"/>
          <w:lang w:eastAsia="zh-CN"/>
        </w:rPr>
        <w:t>分）：按有效竞标银行当年度季末税收缴库新增额情况进行评分。得分标准为：按税收缴库新增额从高到低排名，第一名得</w:t>
      </w:r>
      <w:r>
        <w:rPr>
          <w:rFonts w:hint="eastAsia" w:ascii="微软雅黑" w:hAnsi="微软雅黑" w:eastAsia="微软雅黑" w:cs="微软雅黑"/>
          <w:color w:val="auto"/>
          <w:sz w:val="21"/>
          <w:szCs w:val="21"/>
          <w:highlight w:val="none"/>
          <w:lang w:val="en-US" w:eastAsia="zh-CN"/>
        </w:rPr>
        <w:t>4</w:t>
      </w:r>
      <w:r>
        <w:rPr>
          <w:rFonts w:hint="eastAsia" w:ascii="微软雅黑" w:hAnsi="微软雅黑" w:eastAsia="微软雅黑" w:cs="微软雅黑"/>
          <w:color w:val="auto"/>
          <w:sz w:val="21"/>
          <w:szCs w:val="21"/>
          <w:highlight w:val="none"/>
          <w:lang w:eastAsia="zh-CN"/>
        </w:rPr>
        <w:t>分，每递减一名减0.1分，直至0分；季均税收缴库新增额不足</w:t>
      </w:r>
      <w:r>
        <w:rPr>
          <w:rFonts w:hint="eastAsia" w:ascii="微软雅黑" w:hAnsi="微软雅黑" w:eastAsia="微软雅黑" w:cs="微软雅黑"/>
          <w:color w:val="auto"/>
          <w:sz w:val="21"/>
          <w:szCs w:val="21"/>
          <w:highlight w:val="none"/>
          <w:lang w:val="en-US" w:eastAsia="zh-CN"/>
        </w:rPr>
        <w:t>12.5万元的</w:t>
      </w:r>
      <w:r>
        <w:rPr>
          <w:rFonts w:hint="eastAsia" w:ascii="微软雅黑" w:hAnsi="微软雅黑" w:eastAsia="微软雅黑" w:cs="微软雅黑"/>
          <w:color w:val="auto"/>
          <w:sz w:val="21"/>
          <w:szCs w:val="21"/>
          <w:highlight w:val="none"/>
          <w:lang w:eastAsia="zh-CN"/>
        </w:rPr>
        <w:t>不予排名，不得</w:t>
      </w:r>
      <w:r>
        <w:rPr>
          <w:rFonts w:hint="eastAsia" w:ascii="微软雅黑" w:hAnsi="微软雅黑" w:eastAsia="微软雅黑" w:cs="微软雅黑"/>
          <w:color w:val="auto"/>
          <w:sz w:val="21"/>
          <w:szCs w:val="21"/>
          <w:highlight w:val="none"/>
          <w:lang w:val="en-US" w:eastAsia="zh-CN"/>
        </w:rPr>
        <w:t>分</w:t>
      </w:r>
      <w:r>
        <w:rPr>
          <w:rFonts w:hint="eastAsia" w:ascii="微软雅黑" w:hAnsi="微软雅黑" w:eastAsia="微软雅黑" w:cs="微软雅黑"/>
          <w:color w:val="auto"/>
          <w:sz w:val="21"/>
          <w:szCs w:val="21"/>
          <w:highlight w:val="none"/>
          <w:lang w:eastAsia="zh-CN"/>
        </w:rPr>
        <w:t>。（投标银行近三个月内首次在秀洲区纳税的，需在本招标公告发出之日起三个工作日内将完税证明等相关证明材料提交至秀洲区财政局预算执行局确认。）</w:t>
      </w:r>
    </w:p>
    <w:bookmarkEnd w:id="117"/>
    <w:p w14:paraId="76BF9014">
      <w:pPr>
        <w:keepNext w:val="0"/>
        <w:keepLines w:val="0"/>
        <w:pageBreakBefore w:val="0"/>
        <w:widowControl w:val="0"/>
        <w:tabs>
          <w:tab w:val="left" w:pos="420"/>
          <w:tab w:val="left" w:pos="840"/>
        </w:tabs>
        <w:kinsoku/>
        <w:wordWrap/>
        <w:overflowPunct/>
        <w:topLinePunct w:val="0"/>
        <w:autoSpaceDE/>
        <w:autoSpaceDN/>
        <w:bidi w:val="0"/>
        <w:spacing w:line="560" w:lineRule="exact"/>
        <w:ind w:left="0" w:leftChars="0" w:firstLine="420" w:firstLineChars="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（该指标数据由区财政局提供。）</w:t>
      </w:r>
    </w:p>
    <w:p w14:paraId="61DA1111">
      <w:pPr>
        <w:keepNext w:val="0"/>
        <w:keepLines w:val="0"/>
        <w:pageBreakBefore w:val="0"/>
        <w:widowControl w:val="0"/>
        <w:numPr>
          <w:ilvl w:val="0"/>
          <w:numId w:val="32"/>
        </w:numPr>
        <w:tabs>
          <w:tab w:val="left" w:pos="420"/>
          <w:tab w:val="left" w:pos="630"/>
          <w:tab w:val="left" w:pos="840"/>
        </w:tabs>
        <w:kinsoku/>
        <w:wordWrap/>
        <w:overflowPunct/>
        <w:topLinePunct w:val="0"/>
        <w:autoSpaceDE/>
        <w:autoSpaceDN/>
        <w:bidi w:val="0"/>
        <w:spacing w:line="560" w:lineRule="exact"/>
        <w:ind w:left="0" w:leftChars="0" w:firstLine="420" w:firstLineChars="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贷款</w:t>
      </w:r>
      <w:r>
        <w:rPr>
          <w:rFonts w:hint="eastAsia" w:ascii="微软雅黑" w:hAnsi="微软雅黑" w:eastAsia="微软雅黑" w:cs="微软雅黑"/>
          <w:color w:val="auto"/>
          <w:sz w:val="21"/>
          <w:szCs w:val="21"/>
          <w:highlight w:val="none"/>
          <w:lang w:eastAsia="zh-CN"/>
        </w:rPr>
        <w:t>情况</w:t>
      </w:r>
      <w:r>
        <w:rPr>
          <w:rFonts w:hint="eastAsia" w:ascii="微软雅黑" w:hAnsi="微软雅黑" w:eastAsia="微软雅黑" w:cs="微软雅黑"/>
          <w:color w:val="auto"/>
          <w:sz w:val="21"/>
          <w:szCs w:val="21"/>
          <w:highlight w:val="none"/>
        </w:rPr>
        <w:t>指标（</w:t>
      </w:r>
      <w:r>
        <w:rPr>
          <w:rFonts w:hint="eastAsia" w:ascii="微软雅黑" w:hAnsi="微软雅黑" w:eastAsia="微软雅黑" w:cs="微软雅黑"/>
          <w:color w:val="auto"/>
          <w:sz w:val="21"/>
          <w:szCs w:val="21"/>
          <w:highlight w:val="none"/>
          <w:lang w:val="en-US" w:eastAsia="zh-CN"/>
        </w:rPr>
        <w:t>8</w:t>
      </w:r>
      <w:r>
        <w:rPr>
          <w:rFonts w:hint="eastAsia" w:ascii="微软雅黑" w:hAnsi="微软雅黑" w:eastAsia="微软雅黑" w:cs="微软雅黑"/>
          <w:color w:val="auto"/>
          <w:sz w:val="21"/>
          <w:szCs w:val="21"/>
          <w:highlight w:val="none"/>
        </w:rPr>
        <w:t>分）。按</w:t>
      </w:r>
      <w:r>
        <w:rPr>
          <w:rFonts w:hint="eastAsia" w:ascii="微软雅黑" w:hAnsi="微软雅黑" w:eastAsia="微软雅黑" w:cs="微软雅黑"/>
          <w:color w:val="auto"/>
          <w:sz w:val="21"/>
          <w:szCs w:val="21"/>
          <w:highlight w:val="none"/>
          <w:lang w:eastAsia="zh-CN"/>
        </w:rPr>
        <w:t>有效</w:t>
      </w:r>
      <w:r>
        <w:rPr>
          <w:rFonts w:hint="eastAsia" w:ascii="微软雅黑" w:hAnsi="微软雅黑" w:eastAsia="微软雅黑" w:cs="微软雅黑"/>
          <w:color w:val="auto"/>
          <w:sz w:val="21"/>
          <w:szCs w:val="21"/>
          <w:highlight w:val="none"/>
          <w:lang w:val="en-US" w:eastAsia="zh-CN"/>
        </w:rPr>
        <w:t>竞标</w:t>
      </w:r>
      <w:r>
        <w:rPr>
          <w:rFonts w:hint="eastAsia" w:ascii="微软雅黑" w:hAnsi="微软雅黑" w:eastAsia="微软雅黑" w:cs="微软雅黑"/>
          <w:color w:val="auto"/>
          <w:sz w:val="21"/>
          <w:szCs w:val="21"/>
          <w:highlight w:val="none"/>
        </w:rPr>
        <w:t>银行</w:t>
      </w:r>
      <w:r>
        <w:rPr>
          <w:rFonts w:hint="eastAsia" w:ascii="微软雅黑" w:hAnsi="微软雅黑" w:eastAsia="微软雅黑" w:cs="微软雅黑"/>
          <w:color w:val="auto"/>
          <w:sz w:val="21"/>
          <w:szCs w:val="21"/>
          <w:highlight w:val="none"/>
          <w:lang w:eastAsia="zh-CN"/>
        </w:rPr>
        <w:t>上年度对秀洲区</w:t>
      </w:r>
      <w:r>
        <w:rPr>
          <w:rFonts w:hint="eastAsia" w:ascii="微软雅黑" w:hAnsi="微软雅黑" w:eastAsia="微软雅黑" w:cs="微软雅黑"/>
          <w:color w:val="auto"/>
          <w:sz w:val="21"/>
          <w:szCs w:val="21"/>
          <w:highlight w:val="none"/>
        </w:rPr>
        <w:t>贷款</w:t>
      </w:r>
      <w:r>
        <w:rPr>
          <w:rFonts w:hint="eastAsia" w:ascii="微软雅黑" w:hAnsi="微软雅黑" w:eastAsia="微软雅黑" w:cs="微软雅黑"/>
          <w:color w:val="auto"/>
          <w:sz w:val="21"/>
          <w:szCs w:val="21"/>
          <w:highlight w:val="none"/>
          <w:lang w:val="en-US" w:eastAsia="zh-CN"/>
        </w:rPr>
        <w:t>余额</w:t>
      </w:r>
      <w:r>
        <w:rPr>
          <w:rFonts w:hint="eastAsia" w:ascii="微软雅黑" w:hAnsi="微软雅黑" w:eastAsia="微软雅黑" w:cs="微软雅黑"/>
          <w:color w:val="auto"/>
          <w:sz w:val="21"/>
          <w:szCs w:val="21"/>
          <w:highlight w:val="none"/>
          <w:lang w:eastAsia="zh-CN"/>
        </w:rPr>
        <w:t>和贷款</w:t>
      </w:r>
      <w:r>
        <w:rPr>
          <w:rFonts w:hint="eastAsia" w:ascii="微软雅黑" w:hAnsi="微软雅黑" w:eastAsia="微软雅黑" w:cs="微软雅黑"/>
          <w:color w:val="auto"/>
          <w:sz w:val="21"/>
          <w:szCs w:val="21"/>
          <w:highlight w:val="none"/>
        </w:rPr>
        <w:t>新增</w:t>
      </w:r>
      <w:r>
        <w:rPr>
          <w:rFonts w:hint="eastAsia" w:ascii="微软雅黑" w:hAnsi="微软雅黑" w:eastAsia="微软雅黑" w:cs="微软雅黑"/>
          <w:color w:val="auto"/>
          <w:sz w:val="21"/>
          <w:szCs w:val="21"/>
          <w:highlight w:val="none"/>
          <w:lang w:eastAsia="zh-CN"/>
        </w:rPr>
        <w:t>额</w:t>
      </w:r>
      <w:r>
        <w:rPr>
          <w:rFonts w:hint="eastAsia" w:ascii="微软雅黑" w:hAnsi="微软雅黑" w:eastAsia="微软雅黑" w:cs="微软雅黑"/>
          <w:color w:val="auto"/>
          <w:sz w:val="21"/>
          <w:szCs w:val="21"/>
          <w:highlight w:val="none"/>
        </w:rPr>
        <w:t>进行赋分。</w:t>
      </w:r>
    </w:p>
    <w:p w14:paraId="625E90FA">
      <w:pPr>
        <w:keepNext w:val="0"/>
        <w:keepLines w:val="0"/>
        <w:pageBreakBefore w:val="0"/>
        <w:widowControl w:val="0"/>
        <w:numPr>
          <w:ilvl w:val="0"/>
          <w:numId w:val="34"/>
        </w:numPr>
        <w:tabs>
          <w:tab w:val="left" w:pos="840"/>
          <w:tab w:val="left" w:pos="1060"/>
        </w:tabs>
        <w:kinsoku/>
        <w:wordWrap/>
        <w:overflowPunct/>
        <w:topLinePunct w:val="0"/>
        <w:autoSpaceDE/>
        <w:autoSpaceDN/>
        <w:bidi w:val="0"/>
        <w:adjustRightInd w:val="0"/>
        <w:snapToGrid/>
        <w:spacing w:line="560" w:lineRule="exact"/>
        <w:ind w:left="5" w:leftChars="0" w:firstLine="415" w:firstLineChars="0"/>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贷款</w:t>
      </w:r>
      <w:r>
        <w:rPr>
          <w:rFonts w:hint="eastAsia" w:ascii="微软雅黑" w:hAnsi="微软雅黑" w:eastAsia="微软雅黑" w:cs="微软雅黑"/>
          <w:color w:val="auto"/>
          <w:sz w:val="21"/>
          <w:szCs w:val="21"/>
          <w:highlight w:val="none"/>
          <w:lang w:eastAsia="zh-CN"/>
        </w:rPr>
        <w:t>余额</w:t>
      </w:r>
      <w:r>
        <w:rPr>
          <w:rFonts w:hint="eastAsia" w:ascii="微软雅黑" w:hAnsi="微软雅黑" w:eastAsia="微软雅黑" w:cs="微软雅黑"/>
          <w:color w:val="auto"/>
          <w:sz w:val="21"/>
          <w:szCs w:val="21"/>
          <w:highlight w:val="none"/>
        </w:rPr>
        <w:t>指标（</w:t>
      </w:r>
      <w:r>
        <w:rPr>
          <w:rFonts w:hint="eastAsia" w:ascii="微软雅黑" w:hAnsi="微软雅黑" w:eastAsia="微软雅黑" w:cs="微软雅黑"/>
          <w:color w:val="auto"/>
          <w:sz w:val="21"/>
          <w:szCs w:val="21"/>
          <w:highlight w:val="none"/>
          <w:lang w:val="en-US" w:eastAsia="zh-CN"/>
        </w:rPr>
        <w:t>5</w:t>
      </w:r>
      <w:r>
        <w:rPr>
          <w:rFonts w:hint="eastAsia" w:ascii="微软雅黑" w:hAnsi="微软雅黑" w:eastAsia="微软雅黑" w:cs="微软雅黑"/>
          <w:color w:val="auto"/>
          <w:sz w:val="21"/>
          <w:szCs w:val="21"/>
          <w:highlight w:val="none"/>
        </w:rPr>
        <w:t>分）。</w:t>
      </w:r>
      <w:r>
        <w:rPr>
          <w:rFonts w:hint="eastAsia" w:ascii="微软雅黑" w:hAnsi="微软雅黑" w:eastAsia="微软雅黑" w:cs="微软雅黑"/>
          <w:color w:val="auto"/>
          <w:sz w:val="21"/>
          <w:szCs w:val="21"/>
          <w:highlight w:val="none"/>
          <w:lang w:val="en-US" w:eastAsia="zh-CN"/>
        </w:rPr>
        <w:t>按照</w:t>
      </w:r>
      <w:r>
        <w:rPr>
          <w:rFonts w:hint="eastAsia" w:ascii="微软雅黑" w:hAnsi="微软雅黑" w:eastAsia="微软雅黑" w:cs="微软雅黑"/>
          <w:color w:val="auto"/>
          <w:sz w:val="21"/>
          <w:szCs w:val="21"/>
          <w:highlight w:val="none"/>
          <w:lang w:eastAsia="zh-CN"/>
        </w:rPr>
        <w:t>有效</w:t>
      </w:r>
      <w:r>
        <w:rPr>
          <w:rFonts w:hint="eastAsia" w:ascii="微软雅黑" w:hAnsi="微软雅黑" w:eastAsia="微软雅黑" w:cs="微软雅黑"/>
          <w:color w:val="auto"/>
          <w:sz w:val="21"/>
          <w:szCs w:val="21"/>
          <w:highlight w:val="none"/>
          <w:lang w:val="en-US" w:eastAsia="zh-CN"/>
        </w:rPr>
        <w:t>竞标</w:t>
      </w:r>
      <w:r>
        <w:rPr>
          <w:rFonts w:hint="eastAsia" w:ascii="微软雅黑" w:hAnsi="微软雅黑" w:eastAsia="微软雅黑" w:cs="微软雅黑"/>
          <w:color w:val="auto"/>
          <w:sz w:val="21"/>
          <w:szCs w:val="21"/>
          <w:highlight w:val="none"/>
        </w:rPr>
        <w:t>银行</w:t>
      </w:r>
      <w:r>
        <w:rPr>
          <w:rFonts w:hint="eastAsia" w:ascii="微软雅黑" w:hAnsi="微软雅黑" w:eastAsia="微软雅黑" w:cs="微软雅黑"/>
          <w:color w:val="auto"/>
          <w:sz w:val="21"/>
          <w:szCs w:val="21"/>
          <w:highlight w:val="none"/>
          <w:lang w:eastAsia="zh-CN"/>
        </w:rPr>
        <w:t>秀洲区上年度</w:t>
      </w:r>
      <w:r>
        <w:rPr>
          <w:rFonts w:hint="eastAsia" w:ascii="微软雅黑" w:hAnsi="微软雅黑" w:eastAsia="微软雅黑" w:cs="微软雅黑"/>
          <w:color w:val="auto"/>
          <w:sz w:val="21"/>
          <w:szCs w:val="21"/>
          <w:highlight w:val="none"/>
        </w:rPr>
        <w:t>贷款进行赋分。以</w:t>
      </w:r>
      <w:r>
        <w:rPr>
          <w:rFonts w:hint="eastAsia" w:ascii="微软雅黑" w:hAnsi="微软雅黑" w:eastAsia="微软雅黑" w:cs="微软雅黑"/>
          <w:color w:val="auto"/>
          <w:sz w:val="21"/>
          <w:szCs w:val="21"/>
          <w:highlight w:val="none"/>
          <w:lang w:eastAsia="zh-CN"/>
        </w:rPr>
        <w:t>有效</w:t>
      </w:r>
      <w:r>
        <w:rPr>
          <w:rFonts w:hint="eastAsia" w:ascii="微软雅黑" w:hAnsi="微软雅黑" w:eastAsia="微软雅黑" w:cs="微软雅黑"/>
          <w:color w:val="auto"/>
          <w:sz w:val="21"/>
          <w:szCs w:val="21"/>
          <w:highlight w:val="none"/>
          <w:lang w:val="en-US" w:eastAsia="zh-CN"/>
        </w:rPr>
        <w:t>竞标</w:t>
      </w:r>
      <w:r>
        <w:rPr>
          <w:rFonts w:hint="eastAsia" w:ascii="微软雅黑" w:hAnsi="微软雅黑" w:eastAsia="微软雅黑" w:cs="微软雅黑"/>
          <w:color w:val="auto"/>
          <w:sz w:val="21"/>
          <w:szCs w:val="21"/>
          <w:highlight w:val="none"/>
        </w:rPr>
        <w:t>银行贷款</w:t>
      </w:r>
      <w:r>
        <w:rPr>
          <w:rFonts w:hint="eastAsia" w:ascii="微软雅黑" w:hAnsi="微软雅黑" w:eastAsia="微软雅黑" w:cs="微软雅黑"/>
          <w:color w:val="auto"/>
          <w:sz w:val="21"/>
          <w:szCs w:val="21"/>
          <w:highlight w:val="none"/>
          <w:lang w:val="en-US" w:eastAsia="zh-CN"/>
        </w:rPr>
        <w:t>余</w:t>
      </w:r>
      <w:r>
        <w:rPr>
          <w:rFonts w:hint="eastAsia" w:ascii="微软雅黑" w:hAnsi="微软雅黑" w:eastAsia="微软雅黑" w:cs="微软雅黑"/>
          <w:color w:val="auto"/>
          <w:sz w:val="21"/>
          <w:szCs w:val="21"/>
          <w:highlight w:val="none"/>
        </w:rPr>
        <w:t>额的平均数为基准额。</w:t>
      </w:r>
    </w:p>
    <w:p w14:paraId="44E9482F">
      <w:pPr>
        <w:keepNext w:val="0"/>
        <w:keepLines w:val="0"/>
        <w:pageBreakBefore w:val="0"/>
        <w:widowControl w:val="0"/>
        <w:kinsoku/>
        <w:wordWrap/>
        <w:overflowPunct/>
        <w:topLinePunct w:val="0"/>
        <w:autoSpaceDE/>
        <w:autoSpaceDN/>
        <w:bidi w:val="0"/>
        <w:spacing w:line="56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lang w:val="en-US" w:eastAsia="zh-CN"/>
        </w:rPr>
        <w:t>竞标</w:t>
      </w:r>
      <w:r>
        <w:rPr>
          <w:rFonts w:hint="eastAsia" w:ascii="微软雅黑" w:hAnsi="微软雅黑" w:eastAsia="微软雅黑" w:cs="微软雅黑"/>
          <w:color w:val="auto"/>
          <w:sz w:val="21"/>
          <w:szCs w:val="21"/>
          <w:highlight w:val="none"/>
        </w:rPr>
        <w:t>银行贷款</w:t>
      </w:r>
      <w:r>
        <w:rPr>
          <w:rFonts w:hint="eastAsia" w:ascii="微软雅黑" w:hAnsi="微软雅黑" w:eastAsia="微软雅黑" w:cs="微软雅黑"/>
          <w:color w:val="auto"/>
          <w:sz w:val="21"/>
          <w:szCs w:val="21"/>
          <w:highlight w:val="none"/>
          <w:lang w:eastAsia="zh-CN"/>
        </w:rPr>
        <w:t>余</w:t>
      </w:r>
      <w:r>
        <w:rPr>
          <w:rFonts w:hint="eastAsia" w:ascii="微软雅黑" w:hAnsi="微软雅黑" w:eastAsia="微软雅黑" w:cs="微软雅黑"/>
          <w:color w:val="auto"/>
          <w:sz w:val="21"/>
          <w:szCs w:val="21"/>
          <w:highlight w:val="none"/>
        </w:rPr>
        <w:t>额高于基准额，计算公式：贷款新增额得分＝</w:t>
      </w:r>
      <w:r>
        <w:rPr>
          <w:rFonts w:hint="eastAsia" w:ascii="微软雅黑" w:hAnsi="微软雅黑" w:eastAsia="微软雅黑" w:cs="微软雅黑"/>
          <w:color w:val="auto"/>
          <w:sz w:val="21"/>
          <w:szCs w:val="21"/>
          <w:highlight w:val="none"/>
          <w:lang w:val="en-US" w:eastAsia="zh-CN"/>
        </w:rPr>
        <w:t>3</w:t>
      </w:r>
      <w:r>
        <w:rPr>
          <w:rFonts w:hint="eastAsia" w:ascii="微软雅黑" w:hAnsi="微软雅黑" w:eastAsia="微软雅黑" w:cs="微软雅黑"/>
          <w:color w:val="auto"/>
          <w:sz w:val="21"/>
          <w:szCs w:val="21"/>
          <w:highlight w:val="none"/>
        </w:rPr>
        <w:t>+（</w:t>
      </w:r>
      <w:r>
        <w:rPr>
          <w:rFonts w:hint="eastAsia" w:ascii="微软雅黑" w:hAnsi="微软雅黑" w:eastAsia="微软雅黑" w:cs="微软雅黑"/>
          <w:color w:val="auto"/>
          <w:sz w:val="21"/>
          <w:szCs w:val="21"/>
          <w:highlight w:val="none"/>
          <w:lang w:val="en-US" w:eastAsia="zh-CN"/>
        </w:rPr>
        <w:t>竞标</w:t>
      </w:r>
      <w:r>
        <w:rPr>
          <w:rFonts w:hint="eastAsia" w:ascii="微软雅黑" w:hAnsi="微软雅黑" w:eastAsia="微软雅黑" w:cs="微软雅黑"/>
          <w:color w:val="auto"/>
          <w:sz w:val="21"/>
          <w:szCs w:val="21"/>
          <w:highlight w:val="none"/>
        </w:rPr>
        <w:t>银行贷款</w:t>
      </w:r>
      <w:r>
        <w:rPr>
          <w:rFonts w:hint="eastAsia" w:ascii="微软雅黑" w:hAnsi="微软雅黑" w:eastAsia="微软雅黑" w:cs="微软雅黑"/>
          <w:color w:val="auto"/>
          <w:sz w:val="21"/>
          <w:szCs w:val="21"/>
          <w:highlight w:val="none"/>
          <w:lang w:eastAsia="zh-CN"/>
        </w:rPr>
        <w:t>余</w:t>
      </w:r>
      <w:r>
        <w:rPr>
          <w:rFonts w:hint="eastAsia" w:ascii="微软雅黑" w:hAnsi="微软雅黑" w:eastAsia="微软雅黑" w:cs="微软雅黑"/>
          <w:color w:val="auto"/>
          <w:sz w:val="21"/>
          <w:szCs w:val="21"/>
          <w:highlight w:val="none"/>
        </w:rPr>
        <w:t>额÷最高贷款</w:t>
      </w:r>
      <w:r>
        <w:rPr>
          <w:rFonts w:hint="eastAsia" w:ascii="微软雅黑" w:hAnsi="微软雅黑" w:eastAsia="微软雅黑" w:cs="微软雅黑"/>
          <w:color w:val="auto"/>
          <w:sz w:val="21"/>
          <w:szCs w:val="21"/>
          <w:highlight w:val="none"/>
          <w:lang w:eastAsia="zh-CN"/>
        </w:rPr>
        <w:t>余</w:t>
      </w:r>
      <w:r>
        <w:rPr>
          <w:rFonts w:hint="eastAsia" w:ascii="微软雅黑" w:hAnsi="微软雅黑" w:eastAsia="微软雅黑" w:cs="微软雅黑"/>
          <w:color w:val="auto"/>
          <w:sz w:val="21"/>
          <w:szCs w:val="21"/>
          <w:highlight w:val="none"/>
        </w:rPr>
        <w:t>额）×</w:t>
      </w:r>
      <w:r>
        <w:rPr>
          <w:rFonts w:hint="eastAsia" w:ascii="微软雅黑" w:hAnsi="微软雅黑" w:eastAsia="微软雅黑" w:cs="微软雅黑"/>
          <w:color w:val="auto"/>
          <w:sz w:val="21"/>
          <w:szCs w:val="21"/>
          <w:highlight w:val="none"/>
          <w:lang w:val="en-US" w:eastAsia="zh-CN"/>
        </w:rPr>
        <w:t>2</w:t>
      </w:r>
      <w:r>
        <w:rPr>
          <w:rFonts w:hint="eastAsia" w:ascii="微软雅黑" w:hAnsi="微软雅黑" w:eastAsia="微软雅黑" w:cs="微软雅黑"/>
          <w:color w:val="auto"/>
          <w:sz w:val="21"/>
          <w:szCs w:val="21"/>
          <w:highlight w:val="none"/>
        </w:rPr>
        <w:t>；</w:t>
      </w:r>
    </w:p>
    <w:p w14:paraId="0CF990FD">
      <w:pPr>
        <w:keepNext w:val="0"/>
        <w:keepLines w:val="0"/>
        <w:pageBreakBefore w:val="0"/>
        <w:widowControl w:val="0"/>
        <w:kinsoku/>
        <w:wordWrap/>
        <w:overflowPunct/>
        <w:topLinePunct w:val="0"/>
        <w:autoSpaceDE/>
        <w:autoSpaceDN/>
        <w:bidi w:val="0"/>
        <w:spacing w:line="560" w:lineRule="exact"/>
        <w:ind w:firstLine="420" w:firstLineChars="200"/>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竞标</w:t>
      </w:r>
      <w:r>
        <w:rPr>
          <w:rFonts w:hint="eastAsia" w:ascii="微软雅黑" w:hAnsi="微软雅黑" w:eastAsia="微软雅黑" w:cs="微软雅黑"/>
          <w:color w:val="auto"/>
          <w:sz w:val="21"/>
          <w:szCs w:val="21"/>
          <w:highlight w:val="none"/>
        </w:rPr>
        <w:t>银行贷款新增额低于基准额，计算公式：贷款新增额得分＝</w:t>
      </w:r>
      <w:r>
        <w:rPr>
          <w:rFonts w:hint="eastAsia" w:ascii="微软雅黑" w:hAnsi="微软雅黑" w:eastAsia="微软雅黑" w:cs="微软雅黑"/>
          <w:color w:val="auto"/>
          <w:sz w:val="21"/>
          <w:szCs w:val="21"/>
          <w:highlight w:val="none"/>
          <w:lang w:val="en-US" w:eastAsia="zh-CN"/>
        </w:rPr>
        <w:t>3</w:t>
      </w:r>
      <w:r>
        <w:rPr>
          <w:rFonts w:hint="eastAsia" w:ascii="微软雅黑" w:hAnsi="微软雅黑" w:eastAsia="微软雅黑" w:cs="微软雅黑"/>
          <w:color w:val="auto"/>
          <w:sz w:val="21"/>
          <w:szCs w:val="21"/>
          <w:highlight w:val="none"/>
        </w:rPr>
        <w:t>-（最低贷款</w:t>
      </w:r>
      <w:r>
        <w:rPr>
          <w:rFonts w:hint="eastAsia" w:ascii="微软雅黑" w:hAnsi="微软雅黑" w:eastAsia="微软雅黑" w:cs="微软雅黑"/>
          <w:color w:val="auto"/>
          <w:sz w:val="21"/>
          <w:szCs w:val="21"/>
          <w:highlight w:val="none"/>
          <w:lang w:eastAsia="zh-CN"/>
        </w:rPr>
        <w:t>余</w:t>
      </w:r>
      <w:r>
        <w:rPr>
          <w:rFonts w:hint="eastAsia" w:ascii="微软雅黑" w:hAnsi="微软雅黑" w:eastAsia="微软雅黑" w:cs="微软雅黑"/>
          <w:color w:val="auto"/>
          <w:sz w:val="21"/>
          <w:szCs w:val="21"/>
          <w:highlight w:val="none"/>
        </w:rPr>
        <w:t>额÷</w:t>
      </w:r>
      <w:r>
        <w:rPr>
          <w:rFonts w:hint="eastAsia" w:ascii="微软雅黑" w:hAnsi="微软雅黑" w:eastAsia="微软雅黑" w:cs="微软雅黑"/>
          <w:color w:val="auto"/>
          <w:sz w:val="21"/>
          <w:szCs w:val="21"/>
          <w:highlight w:val="none"/>
          <w:lang w:val="en-US" w:eastAsia="zh-CN"/>
        </w:rPr>
        <w:t>竞标</w:t>
      </w:r>
      <w:r>
        <w:rPr>
          <w:rFonts w:hint="eastAsia" w:ascii="微软雅黑" w:hAnsi="微软雅黑" w:eastAsia="微软雅黑" w:cs="微软雅黑"/>
          <w:color w:val="auto"/>
          <w:sz w:val="21"/>
          <w:szCs w:val="21"/>
          <w:highlight w:val="none"/>
        </w:rPr>
        <w:t>银行贷款</w:t>
      </w:r>
      <w:r>
        <w:rPr>
          <w:rFonts w:hint="eastAsia" w:ascii="微软雅黑" w:hAnsi="微软雅黑" w:eastAsia="微软雅黑" w:cs="微软雅黑"/>
          <w:color w:val="auto"/>
          <w:sz w:val="21"/>
          <w:szCs w:val="21"/>
          <w:highlight w:val="none"/>
          <w:lang w:eastAsia="zh-CN"/>
        </w:rPr>
        <w:t>余</w:t>
      </w:r>
      <w:r>
        <w:rPr>
          <w:rFonts w:hint="eastAsia" w:ascii="微软雅黑" w:hAnsi="微软雅黑" w:eastAsia="微软雅黑" w:cs="微软雅黑"/>
          <w:color w:val="auto"/>
          <w:sz w:val="21"/>
          <w:szCs w:val="21"/>
          <w:highlight w:val="none"/>
        </w:rPr>
        <w:t>额）×</w:t>
      </w:r>
      <w:r>
        <w:rPr>
          <w:rFonts w:hint="eastAsia" w:ascii="微软雅黑" w:hAnsi="微软雅黑" w:eastAsia="微软雅黑" w:cs="微软雅黑"/>
          <w:color w:val="auto"/>
          <w:sz w:val="21"/>
          <w:szCs w:val="21"/>
          <w:highlight w:val="none"/>
          <w:lang w:val="en-US" w:eastAsia="zh-CN"/>
        </w:rPr>
        <w:t>2。</w:t>
      </w:r>
    </w:p>
    <w:p w14:paraId="2FCD12D3">
      <w:pPr>
        <w:keepNext w:val="0"/>
        <w:keepLines w:val="0"/>
        <w:pageBreakBefore w:val="0"/>
        <w:widowControl w:val="0"/>
        <w:numPr>
          <w:ilvl w:val="0"/>
          <w:numId w:val="34"/>
        </w:numPr>
        <w:tabs>
          <w:tab w:val="left" w:pos="840"/>
          <w:tab w:val="left" w:pos="1060"/>
        </w:tabs>
        <w:kinsoku/>
        <w:wordWrap/>
        <w:overflowPunct/>
        <w:topLinePunct w:val="0"/>
        <w:autoSpaceDE/>
        <w:autoSpaceDN/>
        <w:bidi w:val="0"/>
        <w:adjustRightInd w:val="0"/>
        <w:snapToGrid/>
        <w:spacing w:line="560" w:lineRule="exact"/>
        <w:ind w:left="5" w:leftChars="0" w:firstLine="415" w:firstLineChars="0"/>
        <w:textAlignment w:val="baseline"/>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贷款</w:t>
      </w:r>
      <w:r>
        <w:rPr>
          <w:rFonts w:hint="eastAsia" w:ascii="微软雅黑" w:hAnsi="微软雅黑" w:eastAsia="微软雅黑" w:cs="微软雅黑"/>
          <w:color w:val="auto"/>
          <w:sz w:val="21"/>
          <w:szCs w:val="21"/>
          <w:highlight w:val="none"/>
          <w:lang w:val="en-US" w:eastAsia="zh-CN"/>
        </w:rPr>
        <w:t>新增额</w:t>
      </w:r>
      <w:r>
        <w:rPr>
          <w:rFonts w:hint="eastAsia" w:ascii="微软雅黑" w:hAnsi="微软雅黑" w:eastAsia="微软雅黑" w:cs="微软雅黑"/>
          <w:color w:val="auto"/>
          <w:sz w:val="21"/>
          <w:szCs w:val="21"/>
          <w:highlight w:val="none"/>
        </w:rPr>
        <w:t>指标（</w:t>
      </w:r>
      <w:r>
        <w:rPr>
          <w:rFonts w:hint="eastAsia" w:ascii="微软雅黑" w:hAnsi="微软雅黑" w:eastAsia="微软雅黑" w:cs="微软雅黑"/>
          <w:color w:val="auto"/>
          <w:sz w:val="21"/>
          <w:szCs w:val="21"/>
          <w:highlight w:val="none"/>
          <w:lang w:val="en-US" w:eastAsia="zh-CN"/>
        </w:rPr>
        <w:t>3</w:t>
      </w:r>
      <w:r>
        <w:rPr>
          <w:rFonts w:hint="eastAsia" w:ascii="微软雅黑" w:hAnsi="微软雅黑" w:eastAsia="微软雅黑" w:cs="微软雅黑"/>
          <w:color w:val="auto"/>
          <w:sz w:val="21"/>
          <w:szCs w:val="21"/>
          <w:highlight w:val="none"/>
        </w:rPr>
        <w:t>分）。按照</w:t>
      </w:r>
      <w:r>
        <w:rPr>
          <w:rFonts w:hint="eastAsia" w:ascii="微软雅黑" w:hAnsi="微软雅黑" w:eastAsia="微软雅黑" w:cs="微软雅黑"/>
          <w:color w:val="auto"/>
          <w:sz w:val="21"/>
          <w:szCs w:val="21"/>
          <w:highlight w:val="none"/>
          <w:lang w:eastAsia="zh-CN"/>
        </w:rPr>
        <w:t>有效</w:t>
      </w:r>
      <w:r>
        <w:rPr>
          <w:rFonts w:hint="eastAsia" w:ascii="微软雅黑" w:hAnsi="微软雅黑" w:eastAsia="微软雅黑" w:cs="微软雅黑"/>
          <w:color w:val="auto"/>
          <w:sz w:val="21"/>
          <w:szCs w:val="21"/>
          <w:highlight w:val="none"/>
          <w:lang w:val="en-US" w:eastAsia="zh-CN"/>
        </w:rPr>
        <w:t>竞标</w:t>
      </w:r>
      <w:r>
        <w:rPr>
          <w:rFonts w:hint="eastAsia" w:ascii="微软雅黑" w:hAnsi="微软雅黑" w:eastAsia="微软雅黑" w:cs="微软雅黑"/>
          <w:color w:val="auto"/>
          <w:sz w:val="21"/>
          <w:szCs w:val="21"/>
          <w:highlight w:val="none"/>
        </w:rPr>
        <w:t>银行</w:t>
      </w:r>
      <w:r>
        <w:rPr>
          <w:rFonts w:hint="eastAsia" w:ascii="微软雅黑" w:hAnsi="微软雅黑" w:eastAsia="微软雅黑" w:cs="微软雅黑"/>
          <w:color w:val="auto"/>
          <w:sz w:val="21"/>
          <w:szCs w:val="21"/>
          <w:highlight w:val="none"/>
          <w:lang w:eastAsia="zh-CN"/>
        </w:rPr>
        <w:t>上年度秀洲区</w:t>
      </w:r>
      <w:r>
        <w:rPr>
          <w:rFonts w:hint="eastAsia" w:ascii="微软雅黑" w:hAnsi="微软雅黑" w:eastAsia="微软雅黑" w:cs="微软雅黑"/>
          <w:color w:val="auto"/>
          <w:sz w:val="21"/>
          <w:szCs w:val="21"/>
          <w:highlight w:val="none"/>
        </w:rPr>
        <w:t>贷款</w:t>
      </w:r>
      <w:r>
        <w:rPr>
          <w:rFonts w:hint="eastAsia" w:ascii="微软雅黑" w:hAnsi="微软雅黑" w:eastAsia="微软雅黑" w:cs="微软雅黑"/>
          <w:color w:val="auto"/>
          <w:sz w:val="21"/>
          <w:szCs w:val="21"/>
          <w:highlight w:val="none"/>
          <w:lang w:eastAsia="zh-CN"/>
        </w:rPr>
        <w:t>新增额</w:t>
      </w:r>
      <w:r>
        <w:rPr>
          <w:rFonts w:hint="eastAsia" w:ascii="微软雅黑" w:hAnsi="微软雅黑" w:eastAsia="微软雅黑" w:cs="微软雅黑"/>
          <w:color w:val="auto"/>
          <w:sz w:val="21"/>
          <w:szCs w:val="21"/>
          <w:highlight w:val="none"/>
        </w:rPr>
        <w:t>进行赋分。以</w:t>
      </w:r>
      <w:r>
        <w:rPr>
          <w:rFonts w:hint="eastAsia" w:ascii="微软雅黑" w:hAnsi="微软雅黑" w:eastAsia="微软雅黑" w:cs="微软雅黑"/>
          <w:color w:val="auto"/>
          <w:sz w:val="21"/>
          <w:szCs w:val="21"/>
          <w:highlight w:val="none"/>
          <w:lang w:eastAsia="zh-CN"/>
        </w:rPr>
        <w:t>有效</w:t>
      </w:r>
      <w:r>
        <w:rPr>
          <w:rFonts w:hint="eastAsia" w:ascii="微软雅黑" w:hAnsi="微软雅黑" w:eastAsia="微软雅黑" w:cs="微软雅黑"/>
          <w:color w:val="auto"/>
          <w:sz w:val="21"/>
          <w:szCs w:val="21"/>
          <w:highlight w:val="none"/>
          <w:lang w:val="en-US" w:eastAsia="zh-CN"/>
        </w:rPr>
        <w:t>竞标</w:t>
      </w:r>
      <w:r>
        <w:rPr>
          <w:rFonts w:hint="eastAsia" w:ascii="微软雅黑" w:hAnsi="微软雅黑" w:eastAsia="微软雅黑" w:cs="微软雅黑"/>
          <w:color w:val="auto"/>
          <w:sz w:val="21"/>
          <w:szCs w:val="21"/>
          <w:highlight w:val="none"/>
        </w:rPr>
        <w:t>银行贷款新增额的平均数为基准额。</w:t>
      </w:r>
    </w:p>
    <w:p w14:paraId="000C0ECD">
      <w:pPr>
        <w:keepNext w:val="0"/>
        <w:keepLines w:val="0"/>
        <w:pageBreakBefore w:val="0"/>
        <w:widowControl w:val="0"/>
        <w:kinsoku/>
        <w:wordWrap/>
        <w:overflowPunct/>
        <w:topLinePunct w:val="0"/>
        <w:autoSpaceDE/>
        <w:autoSpaceDN/>
        <w:bidi w:val="0"/>
        <w:spacing w:line="560" w:lineRule="exact"/>
        <w:ind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lang w:val="en-US" w:eastAsia="zh-CN"/>
        </w:rPr>
        <w:t>竞标</w:t>
      </w:r>
      <w:r>
        <w:rPr>
          <w:rFonts w:hint="eastAsia" w:ascii="微软雅黑" w:hAnsi="微软雅黑" w:eastAsia="微软雅黑" w:cs="微软雅黑"/>
          <w:color w:val="auto"/>
          <w:sz w:val="21"/>
          <w:szCs w:val="21"/>
          <w:highlight w:val="none"/>
        </w:rPr>
        <w:t>银行贷款新增额高于基准额，计算公式：贷款新增额得分＝</w:t>
      </w:r>
      <w:r>
        <w:rPr>
          <w:rFonts w:hint="eastAsia" w:ascii="微软雅黑" w:hAnsi="微软雅黑" w:eastAsia="微软雅黑" w:cs="微软雅黑"/>
          <w:color w:val="auto"/>
          <w:sz w:val="21"/>
          <w:szCs w:val="21"/>
          <w:highlight w:val="none"/>
          <w:lang w:val="en-US" w:eastAsia="zh-CN"/>
        </w:rPr>
        <w:t>2</w:t>
      </w:r>
      <w:r>
        <w:rPr>
          <w:rFonts w:hint="eastAsia" w:ascii="微软雅黑" w:hAnsi="微软雅黑" w:eastAsia="微软雅黑" w:cs="微软雅黑"/>
          <w:color w:val="auto"/>
          <w:sz w:val="21"/>
          <w:szCs w:val="21"/>
          <w:highlight w:val="none"/>
        </w:rPr>
        <w:t>+（</w:t>
      </w:r>
      <w:r>
        <w:rPr>
          <w:rFonts w:hint="eastAsia" w:ascii="微软雅黑" w:hAnsi="微软雅黑" w:eastAsia="微软雅黑" w:cs="微软雅黑"/>
          <w:color w:val="auto"/>
          <w:sz w:val="21"/>
          <w:szCs w:val="21"/>
          <w:highlight w:val="none"/>
          <w:lang w:val="en-US" w:eastAsia="zh-CN"/>
        </w:rPr>
        <w:t>竞标</w:t>
      </w:r>
      <w:r>
        <w:rPr>
          <w:rFonts w:hint="eastAsia" w:ascii="微软雅黑" w:hAnsi="微软雅黑" w:eastAsia="微软雅黑" w:cs="微软雅黑"/>
          <w:color w:val="auto"/>
          <w:sz w:val="21"/>
          <w:szCs w:val="21"/>
          <w:highlight w:val="none"/>
        </w:rPr>
        <w:t>银行贷款新增额÷最高贷款新增额）；</w:t>
      </w:r>
    </w:p>
    <w:p w14:paraId="50C96829">
      <w:pPr>
        <w:keepNext w:val="0"/>
        <w:keepLines w:val="0"/>
        <w:pageBreakBefore w:val="0"/>
        <w:widowControl w:val="0"/>
        <w:kinsoku/>
        <w:wordWrap/>
        <w:overflowPunct/>
        <w:topLinePunct w:val="0"/>
        <w:autoSpaceDE/>
        <w:autoSpaceDN/>
        <w:bidi w:val="0"/>
        <w:spacing w:line="560" w:lineRule="exact"/>
        <w:ind w:firstLine="420" w:firstLineChars="200"/>
        <w:rPr>
          <w:rFonts w:hint="eastAsia" w:ascii="微软雅黑" w:hAnsi="微软雅黑" w:eastAsia="微软雅黑" w:cs="微软雅黑"/>
          <w:color w:val="auto"/>
          <w:sz w:val="21"/>
          <w:szCs w:val="21"/>
          <w:highlight w:val="none"/>
          <w:lang w:eastAsia="zh-CN"/>
        </w:rPr>
      </w:pPr>
      <w:r>
        <w:rPr>
          <w:rFonts w:hint="eastAsia" w:ascii="微软雅黑" w:hAnsi="微软雅黑" w:eastAsia="微软雅黑" w:cs="微软雅黑"/>
          <w:color w:val="auto"/>
          <w:sz w:val="21"/>
          <w:szCs w:val="21"/>
          <w:highlight w:val="none"/>
          <w:lang w:val="en-US" w:eastAsia="zh-CN"/>
        </w:rPr>
        <w:t>竞标</w:t>
      </w:r>
      <w:r>
        <w:rPr>
          <w:rFonts w:hint="eastAsia" w:ascii="微软雅黑" w:hAnsi="微软雅黑" w:eastAsia="微软雅黑" w:cs="微软雅黑"/>
          <w:color w:val="auto"/>
          <w:sz w:val="21"/>
          <w:szCs w:val="21"/>
          <w:highlight w:val="none"/>
        </w:rPr>
        <w:t>银行贷款新增额低于基准额，计算公式：贷款新增额得分＝</w:t>
      </w:r>
      <w:r>
        <w:rPr>
          <w:rFonts w:hint="eastAsia" w:ascii="微软雅黑" w:hAnsi="微软雅黑" w:eastAsia="微软雅黑" w:cs="微软雅黑"/>
          <w:color w:val="auto"/>
          <w:sz w:val="21"/>
          <w:szCs w:val="21"/>
          <w:highlight w:val="none"/>
          <w:lang w:val="en-US" w:eastAsia="zh-CN"/>
        </w:rPr>
        <w:t>2</w:t>
      </w:r>
      <w:r>
        <w:rPr>
          <w:rFonts w:hint="eastAsia" w:ascii="微软雅黑" w:hAnsi="微软雅黑" w:eastAsia="微软雅黑" w:cs="微软雅黑"/>
          <w:color w:val="auto"/>
          <w:sz w:val="21"/>
          <w:szCs w:val="21"/>
          <w:highlight w:val="none"/>
        </w:rPr>
        <w:t>-（最低贷款新增额÷</w:t>
      </w:r>
      <w:r>
        <w:rPr>
          <w:rFonts w:hint="eastAsia" w:ascii="微软雅黑" w:hAnsi="微软雅黑" w:eastAsia="微软雅黑" w:cs="微软雅黑"/>
          <w:color w:val="auto"/>
          <w:sz w:val="21"/>
          <w:szCs w:val="21"/>
          <w:highlight w:val="none"/>
          <w:lang w:val="en-US" w:eastAsia="zh-CN"/>
        </w:rPr>
        <w:t>竞标</w:t>
      </w:r>
      <w:r>
        <w:rPr>
          <w:rFonts w:hint="eastAsia" w:ascii="微软雅黑" w:hAnsi="微软雅黑" w:eastAsia="微软雅黑" w:cs="微软雅黑"/>
          <w:color w:val="auto"/>
          <w:sz w:val="21"/>
          <w:szCs w:val="21"/>
          <w:highlight w:val="none"/>
        </w:rPr>
        <w:t>银行贷款新增额）</w:t>
      </w:r>
      <w:r>
        <w:rPr>
          <w:rFonts w:hint="eastAsia" w:ascii="微软雅黑" w:hAnsi="微软雅黑" w:eastAsia="微软雅黑" w:cs="微软雅黑"/>
          <w:color w:val="auto"/>
          <w:sz w:val="21"/>
          <w:szCs w:val="21"/>
          <w:highlight w:val="none"/>
          <w:lang w:eastAsia="zh-CN"/>
        </w:rPr>
        <w:t>。</w:t>
      </w:r>
    </w:p>
    <w:p w14:paraId="27446559">
      <w:pPr>
        <w:keepNext w:val="0"/>
        <w:keepLines w:val="0"/>
        <w:pageBreakBefore w:val="0"/>
        <w:widowControl w:val="0"/>
        <w:kinsoku/>
        <w:wordWrap/>
        <w:overflowPunct/>
        <w:topLinePunct w:val="0"/>
        <w:autoSpaceDE/>
        <w:autoSpaceDN/>
        <w:bidi w:val="0"/>
        <w:spacing w:line="560" w:lineRule="exact"/>
        <w:ind w:firstLine="612"/>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（该指标数据由</w:t>
      </w:r>
      <w:r>
        <w:rPr>
          <w:rFonts w:hint="eastAsia" w:ascii="微软雅黑" w:hAnsi="微软雅黑" w:eastAsia="微软雅黑" w:cs="微软雅黑"/>
          <w:color w:val="auto"/>
          <w:sz w:val="21"/>
          <w:szCs w:val="21"/>
          <w:highlight w:val="none"/>
          <w:lang w:eastAsia="zh-CN"/>
        </w:rPr>
        <w:t>区财政局、</w:t>
      </w:r>
      <w:r>
        <w:rPr>
          <w:rFonts w:hint="eastAsia" w:ascii="微软雅黑" w:hAnsi="微软雅黑" w:eastAsia="微软雅黑" w:cs="微软雅黑"/>
          <w:color w:val="auto"/>
          <w:sz w:val="21"/>
          <w:szCs w:val="21"/>
          <w:highlight w:val="none"/>
        </w:rPr>
        <w:t>区金融发展服务中心提供。）</w:t>
      </w:r>
    </w:p>
    <w:p w14:paraId="7453A2A8">
      <w:pPr>
        <w:keepNext w:val="0"/>
        <w:keepLines w:val="0"/>
        <w:pageBreakBefore w:val="0"/>
        <w:widowControl w:val="0"/>
        <w:numPr>
          <w:ilvl w:val="0"/>
          <w:numId w:val="32"/>
        </w:numPr>
        <w:tabs>
          <w:tab w:val="left" w:pos="420"/>
          <w:tab w:val="left" w:pos="630"/>
          <w:tab w:val="left" w:pos="840"/>
        </w:tabs>
        <w:kinsoku/>
        <w:wordWrap/>
        <w:overflowPunct/>
        <w:topLinePunct w:val="0"/>
        <w:autoSpaceDE/>
        <w:autoSpaceDN/>
        <w:bidi w:val="0"/>
        <w:spacing w:line="560" w:lineRule="exact"/>
        <w:ind w:left="0" w:leftChars="0" w:firstLine="420" w:firstLineChars="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支持地方经济发展业绩考评结果应用（20分）。根据上年度市本级银行业金融机构支持地方经济发展业绩的考评结果进行评分。得分标准为：以考评得分最高银行为第一名，得20分；每递减一名减0.</w:t>
      </w:r>
      <w:r>
        <w:rPr>
          <w:rFonts w:hint="eastAsia" w:ascii="微软雅黑" w:hAnsi="微软雅黑" w:eastAsia="微软雅黑" w:cs="微软雅黑"/>
          <w:color w:val="auto"/>
          <w:sz w:val="21"/>
          <w:szCs w:val="21"/>
          <w:highlight w:val="none"/>
          <w:lang w:val="en-US" w:eastAsia="zh-CN"/>
        </w:rPr>
        <w:t>5</w:t>
      </w:r>
      <w:r>
        <w:rPr>
          <w:rFonts w:hint="eastAsia" w:ascii="微软雅黑" w:hAnsi="微软雅黑" w:eastAsia="微软雅黑" w:cs="微软雅黑"/>
          <w:color w:val="auto"/>
          <w:sz w:val="21"/>
          <w:szCs w:val="21"/>
          <w:highlight w:val="none"/>
        </w:rPr>
        <w:t>分，减至0分为止。</w:t>
      </w:r>
    </w:p>
    <w:p w14:paraId="1E473A4D">
      <w:pPr>
        <w:keepNext w:val="0"/>
        <w:keepLines w:val="0"/>
        <w:pageBreakBefore w:val="0"/>
        <w:widowControl w:val="0"/>
        <w:numPr>
          <w:ilvl w:val="0"/>
          <w:numId w:val="0"/>
        </w:numPr>
        <w:tabs>
          <w:tab w:val="left" w:pos="420"/>
          <w:tab w:val="left" w:pos="630"/>
          <w:tab w:val="left" w:pos="840"/>
        </w:tabs>
        <w:kinsoku/>
        <w:wordWrap/>
        <w:overflowPunct/>
        <w:topLinePunct w:val="0"/>
        <w:autoSpaceDE/>
        <w:autoSpaceDN/>
        <w:bidi w:val="0"/>
        <w:spacing w:line="560" w:lineRule="exact"/>
        <w:ind w:left="420" w:leftChars="0"/>
        <w:rPr>
          <w:rFonts w:hint="eastAsia" w:ascii="微软雅黑" w:hAnsi="微软雅黑" w:eastAsia="微软雅黑" w:cs="微软雅黑"/>
          <w:color w:val="auto"/>
          <w:sz w:val="21"/>
          <w:szCs w:val="21"/>
          <w:highlight w:val="none"/>
          <w:lang w:eastAsia="zh-CN"/>
        </w:rPr>
      </w:pP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rPr>
        <w:t>该指标数据区金融发展服务中心提供</w:t>
      </w:r>
      <w:r>
        <w:rPr>
          <w:rFonts w:hint="eastAsia" w:ascii="微软雅黑" w:hAnsi="微软雅黑" w:eastAsia="微软雅黑" w:cs="微软雅黑"/>
          <w:color w:val="auto"/>
          <w:sz w:val="21"/>
          <w:szCs w:val="21"/>
          <w:highlight w:val="none"/>
          <w:lang w:eastAsia="zh-CN"/>
        </w:rPr>
        <w:t>）</w:t>
      </w:r>
    </w:p>
    <w:p w14:paraId="3FCA59A8">
      <w:pPr>
        <w:keepNext w:val="0"/>
        <w:keepLines w:val="0"/>
        <w:pageBreakBefore w:val="0"/>
        <w:widowControl w:val="0"/>
        <w:kinsoku/>
        <w:wordWrap/>
        <w:overflowPunct/>
        <w:topLinePunct w:val="0"/>
        <w:autoSpaceDE/>
        <w:autoSpaceDN/>
        <w:bidi w:val="0"/>
        <w:spacing w:line="560" w:lineRule="exact"/>
        <w:ind w:firstLine="420" w:firstLineChars="200"/>
        <w:rPr>
          <w:rFonts w:hint="eastAsia" w:ascii="微软雅黑" w:hAnsi="微软雅黑" w:eastAsia="微软雅黑" w:cs="微软雅黑"/>
          <w:color w:val="auto"/>
          <w:sz w:val="21"/>
          <w:szCs w:val="21"/>
          <w:highlight w:val="none"/>
          <w:lang w:val="en-US" w:eastAsia="zh-CN"/>
        </w:rPr>
      </w:pPr>
      <w:r>
        <w:rPr>
          <w:rFonts w:hint="eastAsia" w:ascii="微软雅黑" w:hAnsi="微软雅黑" w:eastAsia="微软雅黑" w:cs="微软雅黑"/>
          <w:color w:val="auto"/>
          <w:sz w:val="21"/>
          <w:szCs w:val="21"/>
          <w:highlight w:val="none"/>
          <w:lang w:val="en-US" w:eastAsia="zh-CN"/>
        </w:rPr>
        <w:t xml:space="preserve">注：以上评分内容中上年度指标如未出的则往前推一个年度，季度指标如未出的则往前推一个季度，具体以各数据提供部门提供的为准。 </w:t>
      </w:r>
    </w:p>
    <w:p w14:paraId="0AA37CA1">
      <w:pPr>
        <w:keepNext w:val="0"/>
        <w:keepLines w:val="0"/>
        <w:pageBreakBefore w:val="0"/>
        <w:widowControl w:val="0"/>
        <w:numPr>
          <w:ilvl w:val="0"/>
          <w:numId w:val="0"/>
        </w:numPr>
        <w:tabs>
          <w:tab w:val="left" w:pos="420"/>
          <w:tab w:val="left" w:pos="630"/>
          <w:tab w:val="left" w:pos="840"/>
        </w:tabs>
        <w:kinsoku/>
        <w:wordWrap/>
        <w:overflowPunct/>
        <w:topLinePunct w:val="0"/>
        <w:autoSpaceDE/>
        <w:autoSpaceDN/>
        <w:bidi w:val="0"/>
        <w:spacing w:line="560" w:lineRule="exact"/>
        <w:ind w:left="420" w:leftChars="0"/>
        <w:rPr>
          <w:rFonts w:hint="eastAsia" w:ascii="微软雅黑" w:hAnsi="微软雅黑" w:eastAsia="微软雅黑" w:cs="微软雅黑"/>
          <w:color w:val="auto"/>
          <w:sz w:val="21"/>
          <w:szCs w:val="21"/>
          <w:highlight w:val="none"/>
          <w:lang w:eastAsia="zh-CN"/>
        </w:rPr>
      </w:pPr>
    </w:p>
    <w:p w14:paraId="247051FF">
      <w:pPr>
        <w:keepNext w:val="0"/>
        <w:keepLines w:val="0"/>
        <w:pageBreakBefore w:val="0"/>
        <w:widowControl w:val="0"/>
        <w:numPr>
          <w:ilvl w:val="0"/>
          <w:numId w:val="0"/>
        </w:numPr>
        <w:tabs>
          <w:tab w:val="left" w:pos="630"/>
          <w:tab w:val="left" w:pos="840"/>
        </w:tabs>
        <w:kinsoku/>
        <w:wordWrap/>
        <w:overflowPunct/>
        <w:topLinePunct w:val="0"/>
        <w:autoSpaceDE/>
        <w:autoSpaceDN/>
        <w:bidi w:val="0"/>
        <w:spacing w:line="560" w:lineRule="exact"/>
        <w:ind w:left="0" w:leftChars="0" w:firstLine="420" w:firstLineChars="200"/>
        <w:rPr>
          <w:rFonts w:hint="eastAsia" w:ascii="微软雅黑" w:hAnsi="微软雅黑" w:eastAsia="微软雅黑" w:cs="楷体_GB2312"/>
          <w:b/>
          <w:color w:val="auto"/>
          <w:szCs w:val="21"/>
          <w:highlight w:val="none"/>
          <w:lang w:eastAsia="zh-CN"/>
        </w:rPr>
      </w:pPr>
      <w:r>
        <w:rPr>
          <w:rFonts w:hint="eastAsia" w:ascii="微软雅黑" w:hAnsi="微软雅黑" w:eastAsia="微软雅黑" w:cs="微软雅黑"/>
          <w:b/>
          <w:bCs/>
          <w:color w:val="auto"/>
          <w:sz w:val="21"/>
          <w:szCs w:val="21"/>
          <w:highlight w:val="none"/>
          <w:lang w:eastAsia="zh-CN"/>
        </w:rPr>
        <w:t>（</w:t>
      </w:r>
      <w:r>
        <w:rPr>
          <w:rFonts w:hint="eastAsia" w:ascii="微软雅黑" w:hAnsi="微软雅黑" w:eastAsia="微软雅黑" w:cs="微软雅黑"/>
          <w:b/>
          <w:bCs/>
          <w:color w:val="auto"/>
          <w:sz w:val="21"/>
          <w:szCs w:val="21"/>
          <w:highlight w:val="none"/>
          <w:lang w:val="en-US" w:eastAsia="zh-CN"/>
        </w:rPr>
        <w:t>四）</w:t>
      </w:r>
      <w:r>
        <w:rPr>
          <w:rFonts w:hint="eastAsia" w:ascii="微软雅黑" w:hAnsi="微软雅黑" w:eastAsia="微软雅黑" w:cs="微软雅黑"/>
          <w:b/>
          <w:bCs/>
          <w:color w:val="auto"/>
          <w:sz w:val="21"/>
          <w:szCs w:val="21"/>
          <w:highlight w:val="none"/>
        </w:rPr>
        <w:t>服务水平指标（满分10分）。</w:t>
      </w:r>
      <w:r>
        <w:rPr>
          <w:rFonts w:hint="eastAsia" w:ascii="微软雅黑" w:hAnsi="微软雅黑" w:eastAsia="微软雅黑" w:cs="楷体_GB2312"/>
          <w:b/>
          <w:color w:val="auto"/>
          <w:szCs w:val="21"/>
          <w:highlight w:val="none"/>
        </w:rPr>
        <w:t>由服务满意度评价、代理财政业务、政府采购信用贷款、服务承诺组成</w:t>
      </w:r>
      <w:r>
        <w:rPr>
          <w:rFonts w:hint="eastAsia" w:ascii="微软雅黑" w:hAnsi="微软雅黑" w:eastAsia="微软雅黑" w:cs="楷体_GB2312"/>
          <w:b/>
          <w:color w:val="auto"/>
          <w:szCs w:val="21"/>
          <w:highlight w:val="none"/>
          <w:lang w:eastAsia="zh-CN"/>
        </w:rPr>
        <w:t>。</w:t>
      </w:r>
    </w:p>
    <w:p w14:paraId="3AE5A107">
      <w:pPr>
        <w:pStyle w:val="62"/>
        <w:numPr>
          <w:ilvl w:val="3"/>
          <w:numId w:val="35"/>
        </w:numPr>
        <w:spacing w:line="360" w:lineRule="auto"/>
        <w:ind w:left="0" w:firstLine="426" w:firstLineChars="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服务满意度评价（2分）。预算执行局根据上年度银行提供的服务情况评价。</w:t>
      </w:r>
    </w:p>
    <w:p w14:paraId="165F5D17">
      <w:pPr>
        <w:pStyle w:val="62"/>
        <w:numPr>
          <w:ilvl w:val="3"/>
          <w:numId w:val="35"/>
        </w:numPr>
        <w:spacing w:line="360" w:lineRule="auto"/>
        <w:ind w:left="0" w:firstLine="426" w:firstLineChars="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代理财政业务（5分）。根据投标银行代理区级国库集中支付、非税收入执收、统发工资、公务卡、乡镇国库集中支付、乡镇公共服务平台、政策性业务等财政业务项目和服务质量，每一项业务得1分，最高限5分。投标银行得分情况由预算执行局确认提供。</w:t>
      </w:r>
    </w:p>
    <w:p w14:paraId="63830323">
      <w:pPr>
        <w:pStyle w:val="62"/>
        <w:numPr>
          <w:ilvl w:val="3"/>
          <w:numId w:val="35"/>
        </w:numPr>
        <w:spacing w:line="360" w:lineRule="auto"/>
        <w:ind w:left="0" w:firstLine="426" w:firstLineChars="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政府采购信用贷款（1分）。根据投标银行按《嘉兴市级政府采购支持中小企业信用融资暂行办法》开展政采贷业务情况，开展授信业务得0.5分，已发放贷款的得1分。投标银行提供上一年度对中小企业政府采购授信和发放贷款情况材料报预算执行局确认并提供证明。</w:t>
      </w:r>
    </w:p>
    <w:p w14:paraId="341C3001">
      <w:pPr>
        <w:pStyle w:val="62"/>
        <w:numPr>
          <w:ilvl w:val="3"/>
          <w:numId w:val="35"/>
        </w:numPr>
        <w:spacing w:line="360" w:lineRule="auto"/>
        <w:ind w:left="0" w:firstLine="426" w:firstLineChars="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服务承诺（2分）。投标银行根据服务水平和能力对收费优惠、对账服务、专人负责等相关业务作出承诺。评标专家按照投标银行响应文件内容赋分。</w:t>
      </w:r>
    </w:p>
    <w:p w14:paraId="1B94E8D1">
      <w:pPr>
        <w:pStyle w:val="62"/>
        <w:spacing w:line="360" w:lineRule="auto"/>
        <w:ind w:firstLine="424" w:firstLineChars="202"/>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服务承诺由竞标银行提供资料计分，竞标银行应确保提供的资料真实有效，一经发现有弄虚作假行为，取消该行本期竞标资格。</w:t>
      </w:r>
      <w:bookmarkEnd w:id="107"/>
    </w:p>
    <w:p w14:paraId="65AA34B5">
      <w:pPr>
        <w:spacing w:line="360" w:lineRule="auto"/>
        <w:ind w:firstLine="424" w:firstLineChars="202"/>
        <w:rPr>
          <w:rFonts w:hint="eastAsia" w:ascii="微软雅黑" w:hAnsi="微软雅黑" w:eastAsia="微软雅黑"/>
          <w:b/>
          <w:bCs/>
          <w:color w:val="auto"/>
          <w:szCs w:val="21"/>
          <w:highlight w:val="none"/>
        </w:rPr>
      </w:pPr>
      <w:r>
        <w:rPr>
          <w:rFonts w:hint="eastAsia" w:ascii="微软雅黑" w:hAnsi="微软雅黑" w:eastAsia="微软雅黑"/>
          <w:b/>
          <w:bCs/>
          <w:color w:val="auto"/>
          <w:szCs w:val="21"/>
          <w:highlight w:val="none"/>
        </w:rPr>
        <w:t>（五）加减分项（各5分），为有效提高投标银行对政府工作的配合度，特设加分减分项。</w:t>
      </w:r>
    </w:p>
    <w:p w14:paraId="4DB4FA97">
      <w:pPr>
        <w:pStyle w:val="62"/>
        <w:numPr>
          <w:ilvl w:val="3"/>
          <w:numId w:val="36"/>
        </w:numPr>
        <w:spacing w:line="360" w:lineRule="auto"/>
        <w:ind w:left="0" w:firstLine="426" w:firstLineChars="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加分项：投标银行支持、配合区委区政府开展工作有重大贡献的，酌情加分，最高不超过5分。证明材料由区金融发展服务中心提供。</w:t>
      </w:r>
    </w:p>
    <w:p w14:paraId="32FE4FD8">
      <w:pPr>
        <w:pStyle w:val="62"/>
        <w:numPr>
          <w:ilvl w:val="3"/>
          <w:numId w:val="36"/>
        </w:numPr>
        <w:spacing w:line="360" w:lineRule="auto"/>
        <w:ind w:left="0" w:firstLine="426" w:firstLineChars="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扣分项 </w:t>
      </w:r>
    </w:p>
    <w:p w14:paraId="6149D4E7">
      <w:pPr>
        <w:spacing w:line="360" w:lineRule="auto"/>
        <w:ind w:firstLine="424" w:firstLineChars="202"/>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①投标银行未落实防范化解地方政府隐性债务要求全面整改的，每笔扣1分。相关证明材料由区国资中心提供。</w:t>
      </w:r>
    </w:p>
    <w:p w14:paraId="49C5CD35">
      <w:pPr>
        <w:spacing w:line="360" w:lineRule="auto"/>
        <w:ind w:firstLine="424" w:firstLineChars="202"/>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②投标银行发生未能兑现承诺服务事项，未按规定及时办理业务，故意压票，延迟兑付，未及时补息，泄露账户信息，丢失资金支付单据等，每次扣1分。相关证明材料由预算执行局提供。</w:t>
      </w:r>
    </w:p>
    <w:p w14:paraId="1FCDC47D">
      <w:pPr>
        <w:spacing w:line="360" w:lineRule="auto"/>
        <w:ind w:firstLine="424" w:firstLineChars="202"/>
        <w:rPr>
          <w:rFonts w:hint="eastAsia" w:ascii="微软雅黑" w:hAnsi="微软雅黑" w:eastAsia="微软雅黑" w:cs="黑体"/>
          <w:b/>
          <w:bCs/>
          <w:color w:val="auto"/>
          <w:szCs w:val="21"/>
          <w:highlight w:val="none"/>
        </w:rPr>
      </w:pPr>
      <w:r>
        <w:rPr>
          <w:rFonts w:hint="eastAsia" w:ascii="微软雅黑" w:hAnsi="微软雅黑" w:eastAsia="微软雅黑"/>
          <w:b/>
          <w:bCs/>
          <w:color w:val="auto"/>
          <w:szCs w:val="21"/>
          <w:highlight w:val="none"/>
        </w:rPr>
        <w:t>上述扣分项扣完5分为限。</w:t>
      </w:r>
      <w:r>
        <w:rPr>
          <w:rFonts w:hint="eastAsia" w:ascii="微软雅黑" w:hAnsi="微软雅黑" w:eastAsia="微软雅黑" w:cs="黑体"/>
          <w:b/>
          <w:bCs/>
          <w:color w:val="auto"/>
          <w:szCs w:val="21"/>
          <w:highlight w:val="none"/>
        </w:rPr>
        <w:t xml:space="preserve"> </w:t>
      </w:r>
    </w:p>
    <w:p w14:paraId="33F7A25D">
      <w:pPr>
        <w:spacing w:line="560" w:lineRule="exact"/>
        <w:ind w:left="0" w:leftChars="0" w:firstLine="420" w:firstLineChars="200"/>
        <w:rPr>
          <w:rFonts w:hint="eastAsia" w:ascii="微软雅黑" w:hAnsi="微软雅黑" w:eastAsia="微软雅黑"/>
          <w:b/>
          <w:bCs/>
          <w:color w:val="auto"/>
          <w:szCs w:val="21"/>
          <w:highlight w:val="none"/>
        </w:rPr>
      </w:pPr>
      <w:r>
        <w:rPr>
          <w:rFonts w:hint="eastAsia" w:ascii="微软雅黑" w:hAnsi="微软雅黑" w:eastAsia="微软雅黑"/>
          <w:b/>
          <w:bCs/>
          <w:color w:val="auto"/>
          <w:szCs w:val="21"/>
          <w:highlight w:val="none"/>
        </w:rPr>
        <w:t>（六）投标银行得分相同时</w:t>
      </w:r>
    </w:p>
    <w:p w14:paraId="3E1C910B">
      <w:pPr>
        <w:pStyle w:val="62"/>
        <w:numPr>
          <w:ilvl w:val="3"/>
          <w:numId w:val="37"/>
        </w:numPr>
        <w:spacing w:line="560" w:lineRule="exact"/>
        <w:ind w:left="0" w:firstLine="426" w:firstLineChars="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相同标的投标金额合计小于等于未中标余额的，全部中标。</w:t>
      </w:r>
    </w:p>
    <w:p w14:paraId="68F522DE">
      <w:pPr>
        <w:pStyle w:val="62"/>
        <w:numPr>
          <w:ilvl w:val="3"/>
          <w:numId w:val="37"/>
        </w:numPr>
        <w:adjustRightInd w:val="0"/>
        <w:spacing w:line="560" w:lineRule="exact"/>
        <w:ind w:left="0" w:firstLine="426" w:firstLineChars="0"/>
        <w:textAlignment w:val="baseline"/>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相同标的投标金额合计大于未中标余额的，按投标金额与未中标余额的比例分摊中标。</w:t>
      </w:r>
    </w:p>
    <w:p w14:paraId="1F47909E">
      <w:pPr>
        <w:spacing w:line="560" w:lineRule="exact"/>
        <w:ind w:left="0" w:leftChars="0" w:firstLine="420" w:firstLineChars="200"/>
        <w:rPr>
          <w:rFonts w:hint="eastAsia" w:ascii="微软雅黑" w:hAnsi="微软雅黑" w:eastAsia="微软雅黑"/>
          <w:b/>
          <w:bCs/>
          <w:color w:val="auto"/>
          <w:szCs w:val="21"/>
          <w:highlight w:val="none"/>
        </w:rPr>
      </w:pPr>
      <w:r>
        <w:rPr>
          <w:rFonts w:hint="eastAsia" w:ascii="微软雅黑" w:hAnsi="微软雅黑" w:eastAsia="微软雅黑"/>
          <w:b/>
          <w:bCs/>
          <w:color w:val="auto"/>
          <w:szCs w:val="21"/>
          <w:highlight w:val="none"/>
        </w:rPr>
        <w:t>（七）计算得分或百分比时，保留两位小数。</w:t>
      </w:r>
    </w:p>
    <w:p w14:paraId="7C66F3DD">
      <w:pPr>
        <w:pStyle w:val="36"/>
        <w:ind w:left="0" w:leftChars="0" w:firstLine="640" w:firstLineChars="200"/>
        <w:rPr>
          <w:color w:val="auto"/>
          <w:highlight w:val="none"/>
        </w:rPr>
        <w:sectPr>
          <w:pgSz w:w="11907" w:h="16840"/>
          <w:pgMar w:top="1440" w:right="1797" w:bottom="1440" w:left="1797" w:header="851" w:footer="851" w:gutter="0"/>
          <w:cols w:space="425" w:num="1"/>
          <w:titlePg/>
          <w:docGrid w:type="lines" w:linePitch="312" w:charSpace="0"/>
        </w:sectPr>
      </w:pPr>
    </w:p>
    <w:p w14:paraId="211ABBDB">
      <w:pPr>
        <w:pStyle w:val="36"/>
        <w:rPr>
          <w:color w:val="auto"/>
          <w:highlight w:val="none"/>
        </w:rPr>
      </w:pPr>
      <w:bookmarkStart w:id="108" w:name="_Toc9342496"/>
      <w:bookmarkStart w:id="109" w:name="_Toc98019294"/>
      <w:bookmarkStart w:id="110" w:name="_Toc11650186"/>
      <w:r>
        <w:rPr>
          <w:rFonts w:hint="eastAsia"/>
          <w:color w:val="auto"/>
          <w:highlight w:val="none"/>
        </w:rPr>
        <w:t>第五章协议主要条款</w:t>
      </w:r>
      <w:bookmarkEnd w:id="108"/>
      <w:bookmarkEnd w:id="109"/>
      <w:bookmarkEnd w:id="110"/>
    </w:p>
    <w:p w14:paraId="19A5881E">
      <w:pPr>
        <w:pStyle w:val="22"/>
        <w:spacing w:beforeLines="0" w:afterLines="0" w:line="360" w:lineRule="auto"/>
        <w:jc w:val="center"/>
        <w:rPr>
          <w:rFonts w:hint="eastAsia" w:ascii="微软雅黑" w:hAnsi="微软雅黑" w:eastAsia="微软雅黑"/>
          <w:b/>
          <w:bCs/>
          <w:color w:val="auto"/>
          <w:kern w:val="44"/>
          <w:sz w:val="21"/>
          <w:highlight w:val="none"/>
        </w:rPr>
      </w:pPr>
      <w:bookmarkStart w:id="111" w:name="_Toc11650188"/>
      <w:r>
        <w:rPr>
          <w:rFonts w:hint="eastAsia" w:ascii="微软雅黑" w:hAnsi="微软雅黑" w:eastAsia="微软雅黑"/>
          <w:b/>
          <w:bCs/>
          <w:color w:val="auto"/>
          <w:kern w:val="44"/>
          <w:sz w:val="21"/>
          <w:highlight w:val="none"/>
          <w:lang w:eastAsia="zh-CN"/>
        </w:rPr>
        <w:t>秀洲区2025年度第一期财政资金竞争性存放项目</w:t>
      </w:r>
      <w:r>
        <w:rPr>
          <w:rFonts w:hint="eastAsia" w:ascii="微软雅黑" w:hAnsi="微软雅黑" w:eastAsia="微软雅黑"/>
          <w:b/>
          <w:bCs/>
          <w:color w:val="auto"/>
          <w:kern w:val="44"/>
          <w:sz w:val="21"/>
          <w:highlight w:val="none"/>
        </w:rPr>
        <w:t>协议书</w:t>
      </w:r>
    </w:p>
    <w:p w14:paraId="2996B799">
      <w:pPr>
        <w:pStyle w:val="22"/>
        <w:spacing w:beforeLines="0" w:afterLines="0" w:line="360" w:lineRule="auto"/>
        <w:jc w:val="center"/>
        <w:rPr>
          <w:rFonts w:hint="eastAsia" w:ascii="微软雅黑" w:hAnsi="微软雅黑" w:eastAsia="微软雅黑"/>
          <w:b/>
          <w:bCs/>
          <w:color w:val="auto"/>
          <w:kern w:val="44"/>
          <w:sz w:val="21"/>
          <w:szCs w:val="21"/>
          <w:highlight w:val="none"/>
        </w:rPr>
      </w:pPr>
      <w:r>
        <w:rPr>
          <w:rFonts w:hint="eastAsia" w:ascii="微软雅黑" w:hAnsi="微软雅黑" w:eastAsia="微软雅黑" w:cs="微软雅黑"/>
          <w:color w:val="auto"/>
          <w:sz w:val="21"/>
          <w:szCs w:val="21"/>
          <w:highlight w:val="none"/>
        </w:rPr>
        <w:t>（指引，本合同以甲方出具的正式合同条款为准）</w:t>
      </w:r>
    </w:p>
    <w:p w14:paraId="7E63AC47">
      <w:pPr>
        <w:snapToGrid w:val="0"/>
        <w:spacing w:line="360" w:lineRule="auto"/>
        <w:rPr>
          <w:rFonts w:hint="eastAsia" w:ascii="微软雅黑" w:hAnsi="微软雅黑" w:eastAsia="微软雅黑"/>
          <w:color w:val="auto"/>
          <w:szCs w:val="21"/>
          <w:highlight w:val="none"/>
          <w:lang w:eastAsia="zh-CN"/>
        </w:rPr>
      </w:pPr>
      <w:r>
        <w:rPr>
          <w:rFonts w:hint="eastAsia" w:ascii="微软雅黑" w:hAnsi="微软雅黑" w:eastAsia="微软雅黑"/>
          <w:color w:val="auto"/>
          <w:szCs w:val="21"/>
          <w:highlight w:val="none"/>
        </w:rPr>
        <w:t>甲方：</w:t>
      </w:r>
      <w:r>
        <w:rPr>
          <w:rFonts w:hint="eastAsia" w:ascii="微软雅黑" w:hAnsi="微软雅黑" w:eastAsia="微软雅黑"/>
          <w:color w:val="auto"/>
          <w:szCs w:val="21"/>
          <w:highlight w:val="none"/>
          <w:lang w:eastAsia="zh-CN"/>
        </w:rPr>
        <w:t>嘉兴市秀洲区财政局</w:t>
      </w:r>
    </w:p>
    <w:p w14:paraId="50D527A3">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乙方： </w:t>
      </w:r>
    </w:p>
    <w:p w14:paraId="1C5E7E32">
      <w:pPr>
        <w:autoSpaceDE w:val="0"/>
        <w:autoSpaceDN w:val="0"/>
        <w:adjustRightInd w:val="0"/>
        <w:spacing w:line="360" w:lineRule="auto"/>
        <w:ind w:firstLine="420" w:firstLineChars="200"/>
        <w:rPr>
          <w:rFonts w:hint="eastAsia" w:ascii="微软雅黑" w:hAnsi="微软雅黑" w:eastAsia="微软雅黑"/>
          <w:color w:val="auto"/>
          <w:szCs w:val="21"/>
          <w:highlight w:val="none"/>
          <w:u w:val="single"/>
        </w:rPr>
      </w:pPr>
      <w:r>
        <w:rPr>
          <w:rFonts w:hint="eastAsia" w:ascii="微软雅黑" w:hAnsi="微软雅黑" w:eastAsia="微软雅黑"/>
          <w:color w:val="auto"/>
          <w:szCs w:val="21"/>
          <w:highlight w:val="none"/>
        </w:rPr>
        <w:t>采购项目</w:t>
      </w:r>
      <w:r>
        <w:rPr>
          <w:rFonts w:hint="eastAsia" w:ascii="微软雅黑" w:hAnsi="微软雅黑" w:eastAsia="微软雅黑"/>
          <w:color w:val="auto"/>
          <w:kern w:val="0"/>
          <w:szCs w:val="21"/>
          <w:highlight w:val="none"/>
        </w:rPr>
        <w:t>（项目编号：＿＿＿＿＿）以＿＿＿＿＿采购方式实施了采购活动。</w:t>
      </w:r>
      <w:r>
        <w:rPr>
          <w:rFonts w:ascii="微软雅黑" w:hAnsi="微软雅黑" w:eastAsia="微软雅黑"/>
          <w:color w:val="auto"/>
          <w:kern w:val="0"/>
          <w:szCs w:val="21"/>
          <w:highlight w:val="none"/>
        </w:rPr>
        <w:t>根据</w:t>
      </w:r>
      <w:r>
        <w:rPr>
          <w:rFonts w:hint="eastAsia" w:ascii="微软雅黑" w:hAnsi="微软雅黑" w:eastAsia="微软雅黑"/>
          <w:color w:val="auto"/>
          <w:kern w:val="0"/>
          <w:szCs w:val="21"/>
          <w:highlight w:val="none"/>
        </w:rPr>
        <w:t>相关法律法规的规定，甲、乙双方同意签署本合同，并共同遵守。该项目相应的招标文件、投标文件和成交通知书为本合同组成部分。</w:t>
      </w:r>
    </w:p>
    <w:p w14:paraId="701BFFCE">
      <w:pPr>
        <w:spacing w:line="360" w:lineRule="auto"/>
        <w:ind w:firstLine="525" w:firstLineChars="250"/>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rPr>
        <w:t>一、总则</w:t>
      </w:r>
    </w:p>
    <w:p w14:paraId="7D317226">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（一） 根据《中华人民共和国民法典》，经甲、乙双方平等协商，签订本协议；</w:t>
      </w:r>
    </w:p>
    <w:p w14:paraId="6CF526CB">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（二）</w:t>
      </w:r>
      <w:r>
        <w:rPr>
          <w:rFonts w:hint="eastAsia" w:ascii="微软雅黑" w:hAnsi="微软雅黑" w:eastAsia="微软雅黑"/>
          <w:b/>
          <w:bCs/>
          <w:color w:val="auto"/>
          <w:kern w:val="44"/>
          <w:highlight w:val="none"/>
          <w:lang w:eastAsia="zh-CN"/>
        </w:rPr>
        <w:t>秀洲区2025年度第一期财政资金竞争性存放项目</w:t>
      </w:r>
      <w:r>
        <w:rPr>
          <w:rFonts w:hint="eastAsia" w:ascii="微软雅黑" w:hAnsi="微软雅黑" w:eastAsia="微软雅黑"/>
          <w:color w:val="auto"/>
          <w:szCs w:val="21"/>
          <w:highlight w:val="none"/>
        </w:rPr>
        <w:t>通过公开招标方式择优确定定期存款银行，其定期存款有关的资金管理、本息收回等活动适用本协议；</w:t>
      </w:r>
    </w:p>
    <w:p w14:paraId="13DE37DA">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（三）经公开招标确定，甲方在乙方开立定期存款帐户，存入一年期定期存款人民币万元，定期存款年利率</w:t>
      </w:r>
      <w:r>
        <w:rPr>
          <w:rFonts w:hint="eastAsia" w:ascii="微软雅黑" w:hAnsi="微软雅黑" w:eastAsia="微软雅黑"/>
          <w:color w:val="auto"/>
          <w:szCs w:val="21"/>
          <w:highlight w:val="none"/>
          <w:u w:val="single"/>
        </w:rPr>
        <w:t xml:space="preserve">      %</w:t>
      </w:r>
      <w:r>
        <w:rPr>
          <w:rFonts w:hint="eastAsia" w:ascii="微软雅黑" w:hAnsi="微软雅黑" w:eastAsia="微软雅黑"/>
          <w:color w:val="auto"/>
          <w:szCs w:val="21"/>
          <w:highlight w:val="none"/>
        </w:rPr>
        <w:t>；</w:t>
      </w:r>
    </w:p>
    <w:p w14:paraId="4F1174A5">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（四）</w:t>
      </w:r>
      <w:r>
        <w:rPr>
          <w:rFonts w:ascii="微软雅黑" w:hAnsi="微软雅黑" w:eastAsia="微软雅黑"/>
          <w:color w:val="auto"/>
          <w:szCs w:val="21"/>
          <w:highlight w:val="none"/>
        </w:rPr>
        <w:t>由</w:t>
      </w:r>
      <w:r>
        <w:rPr>
          <w:rFonts w:hint="eastAsia" w:ascii="微软雅黑" w:hAnsi="微软雅黑" w:eastAsia="微软雅黑"/>
          <w:color w:val="auto"/>
          <w:szCs w:val="21"/>
          <w:highlight w:val="none"/>
        </w:rPr>
        <w:t>甲方从</w:t>
      </w:r>
      <w:r>
        <w:rPr>
          <w:rFonts w:hint="eastAsia" w:ascii="微软雅黑" w:hAnsi="微软雅黑" w:eastAsia="微软雅黑"/>
          <w:color w:val="auto"/>
          <w:szCs w:val="21"/>
          <w:highlight w:val="none"/>
          <w:u w:val="single"/>
        </w:rPr>
        <w:t xml:space="preserve">                   账户</w:t>
      </w:r>
      <w:r>
        <w:rPr>
          <w:rFonts w:hint="eastAsia" w:ascii="微软雅黑" w:hAnsi="微软雅黑" w:eastAsia="微软雅黑"/>
          <w:color w:val="auto"/>
          <w:szCs w:val="21"/>
          <w:highlight w:val="none"/>
        </w:rPr>
        <w:t>划付资金，起息日为资金到帐日；</w:t>
      </w:r>
    </w:p>
    <w:p w14:paraId="6BB4BE99">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（五）存款到期日，乙方支付存款利息。利息收款账户为。</w:t>
      </w:r>
    </w:p>
    <w:p w14:paraId="1000D990">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户名： </w:t>
      </w:r>
    </w:p>
    <w:p w14:paraId="0BA72509">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账号：</w:t>
      </w:r>
    </w:p>
    <w:p w14:paraId="264474D5">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开户银行：</w:t>
      </w:r>
    </w:p>
    <w:p w14:paraId="2B42C973">
      <w:pPr>
        <w:spacing w:line="360" w:lineRule="auto"/>
        <w:ind w:firstLine="525" w:firstLineChars="250"/>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rPr>
        <w:t>二、甲方权利与义务</w:t>
      </w:r>
    </w:p>
    <w:p w14:paraId="3C3711DA">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（一）甲方权利主要包括：</w:t>
      </w:r>
    </w:p>
    <w:p w14:paraId="27B4A034">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1、要求乙方提供存款证明；</w:t>
      </w:r>
    </w:p>
    <w:p w14:paraId="5772B3B8">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2、对乙方资金定期存款业务实施监督管理。</w:t>
      </w:r>
    </w:p>
    <w:p w14:paraId="666588F6">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（二）甲方的义务主要包括：</w:t>
      </w:r>
    </w:p>
    <w:p w14:paraId="60442D84">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1、按规定签发划拨定期存款资金；</w:t>
      </w:r>
    </w:p>
    <w:p w14:paraId="32930D3A">
      <w:pPr>
        <w:spacing w:line="360" w:lineRule="auto"/>
        <w:ind w:firstLine="525" w:firstLineChars="250"/>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rPr>
        <w:t>三、乙方权利与义务</w:t>
      </w:r>
    </w:p>
    <w:p w14:paraId="4E6F2F9A">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（一）乙方权利主要包括</w:t>
      </w:r>
    </w:p>
    <w:p w14:paraId="1A82165E">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1、按规定金额存放甲方资金定期存款；</w:t>
      </w:r>
    </w:p>
    <w:p w14:paraId="0BA0CB73">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（二）乙方义务主要包括</w:t>
      </w:r>
    </w:p>
    <w:p w14:paraId="32A9B034">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1、按规定为甲方预留印鉴、办理帐户信息备案手续；</w:t>
      </w:r>
    </w:p>
    <w:p w14:paraId="32D981EC">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2、向甲方提供存款证明；</w:t>
      </w:r>
    </w:p>
    <w:p w14:paraId="5D5A1C11">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3、存款到期及时足额缴清甲方存款利息；</w:t>
      </w:r>
    </w:p>
    <w:p w14:paraId="64F39024">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4、确保甲方资金定期存款在乙方存续期间的资金安全；</w:t>
      </w:r>
    </w:p>
    <w:p w14:paraId="6EED985B">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5、接受甲方及有关方对资金定期存款业务的监督管理。</w:t>
      </w:r>
    </w:p>
    <w:p w14:paraId="2BFACEC0">
      <w:pPr>
        <w:spacing w:line="360" w:lineRule="auto"/>
        <w:ind w:firstLine="525" w:firstLineChars="250"/>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rPr>
        <w:t>四、违约责任</w:t>
      </w:r>
    </w:p>
    <w:p w14:paraId="4FDA609C">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除发生不可抗力外，违约责任按以下条款执行：</w:t>
      </w:r>
    </w:p>
    <w:p w14:paraId="07B917BE">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（一）、乙方未及时向甲方缴清到期存款本息的，应以当期资金定期存款利率的两倍折成日利率，按日向甲方支付违约金；</w:t>
      </w:r>
    </w:p>
    <w:p w14:paraId="62D08A0C">
      <w:pPr>
        <w:spacing w:line="360" w:lineRule="auto"/>
        <w:ind w:firstLine="525" w:firstLineChars="250"/>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rPr>
        <w:t>（二）、乙方有下列情形之一的，甲方有权提前收回定期存款以及取消乙方在以后各期的竞争性存放投标资格：</w:t>
      </w:r>
    </w:p>
    <w:p w14:paraId="754CC6C6">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1、未遵守廉政承诺或在资金存放中存在其他利益输送行为的；</w:t>
      </w:r>
    </w:p>
    <w:p w14:paraId="1D7280A9">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2、出现资金安全事故或重大违法违规情况或财务恶化的；</w:t>
      </w:r>
    </w:p>
    <w:p w14:paraId="4CBE8812">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3、监管评级降低，监管部门认为存在较大运营风险的；</w:t>
      </w:r>
    </w:p>
    <w:p w14:paraId="4476E89D">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4、存在弄虚作假等严重不正当竞标行为的；</w:t>
      </w:r>
    </w:p>
    <w:p w14:paraId="20C6B337">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5、未按照中标协议承诺履行相应的责任和义务的；</w:t>
      </w:r>
    </w:p>
    <w:p w14:paraId="01D61934">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6、未按规定将到期存款本息足额缴入单位账户的；</w:t>
      </w:r>
    </w:p>
    <w:p w14:paraId="0D9199AA">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7、可能妨碍资金安全的其他情况</w:t>
      </w:r>
    </w:p>
    <w:p w14:paraId="25C0C3F6">
      <w:pPr>
        <w:snapToGrid w:val="0"/>
        <w:spacing w:line="360" w:lineRule="auto"/>
        <w:ind w:firstLine="420" w:firstLineChars="200"/>
        <w:jc w:val="left"/>
        <w:rPr>
          <w:rFonts w:hint="eastAsia" w:ascii="微软雅黑" w:hAnsi="微软雅黑" w:eastAsia="微软雅黑"/>
          <w:b/>
          <w:bCs/>
          <w:color w:val="auto"/>
          <w:szCs w:val="21"/>
          <w:highlight w:val="none"/>
        </w:rPr>
      </w:pPr>
      <w:r>
        <w:rPr>
          <w:rFonts w:hint="eastAsia" w:ascii="微软雅黑" w:hAnsi="微软雅黑" w:eastAsia="微软雅黑"/>
          <w:color w:val="auto"/>
          <w:szCs w:val="21"/>
          <w:highlight w:val="none"/>
        </w:rPr>
        <w:t>（三）乙方在收到中标通知书后5个工作日内</w:t>
      </w:r>
      <w:r>
        <w:rPr>
          <w:rFonts w:hint="eastAsia" w:ascii="微软雅黑" w:hAnsi="微软雅黑" w:eastAsia="微软雅黑"/>
          <w:b/>
          <w:bCs/>
          <w:color w:val="auto"/>
          <w:szCs w:val="21"/>
          <w:highlight w:val="none"/>
        </w:rPr>
        <w:t>完成存款手续，否则视为违约，甲方有权收回乙方中标的存放资金。</w:t>
      </w:r>
    </w:p>
    <w:p w14:paraId="6F2A7D7F">
      <w:pPr>
        <w:spacing w:line="360" w:lineRule="auto"/>
        <w:ind w:firstLine="525" w:firstLineChars="250"/>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rPr>
        <w:t>五、提前支取：</w:t>
      </w:r>
    </w:p>
    <w:p w14:paraId="4C1D55C4">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经与乙方协商，甲方有权在到期日前提前支取资金定期存款，甲方至少在3 个工作日前通知乙方，提前支取金额按支取时国家有关利率政策规定计付利息，存续金额仍按原起息日、期限及存款利率计付利息。</w:t>
      </w:r>
    </w:p>
    <w:p w14:paraId="642E7BE6">
      <w:pPr>
        <w:spacing w:line="360" w:lineRule="auto"/>
        <w:ind w:left="0" w:leftChars="0" w:firstLine="420" w:firstLineChars="200"/>
        <w:rPr>
          <w:rFonts w:hint="eastAsia" w:ascii="微软雅黑" w:hAnsi="微软雅黑" w:eastAsia="微软雅黑"/>
          <w:b w:val="0"/>
          <w:bCs/>
          <w:color w:val="auto"/>
          <w:szCs w:val="21"/>
          <w:highlight w:val="none"/>
          <w:lang w:eastAsia="zh-CN"/>
        </w:rPr>
      </w:pPr>
      <w:r>
        <w:rPr>
          <w:rFonts w:hint="eastAsia" w:ascii="微软雅黑" w:hAnsi="微软雅黑" w:eastAsia="微软雅黑"/>
          <w:b w:val="0"/>
          <w:bCs/>
          <w:color w:val="auto"/>
          <w:szCs w:val="21"/>
          <w:highlight w:val="none"/>
        </w:rPr>
        <w:t>六、 协议有效期内，若利率相关的法律法规、规章政策调整，或中国人民银行存款基准利率、存款自律约定、银行总行存款利率内部授权上限等发生调整（银行存款利率内部授权上限调整，是指银行为满足国家宏观调控目标要求或落实存款利率市场化调整机制要求等，对本行可执行的内部授权上限进行的具有主动性、自律性、普遍性的调整），导致协议约定的利率水平超出允许范围，乙方应在按本协议约定存款业务开办前及时书面通知甲方银行存款利率调整情况。甲方有权提前终止本协议，并以书面形式告知。若甲方选择继续执行本协议，则自相应调整生效当日起，新办理存款业务执行利率按最新允许范围上限的利率执行</w:t>
      </w:r>
      <w:r>
        <w:rPr>
          <w:rFonts w:hint="eastAsia" w:ascii="微软雅黑" w:hAnsi="微软雅黑" w:eastAsia="微软雅黑"/>
          <w:b w:val="0"/>
          <w:bCs/>
          <w:color w:val="auto"/>
          <w:szCs w:val="21"/>
          <w:highlight w:val="none"/>
          <w:lang w:eastAsia="zh-CN"/>
        </w:rPr>
        <w:t>。</w:t>
      </w:r>
    </w:p>
    <w:p w14:paraId="1C7017F2">
      <w:pPr>
        <w:spacing w:line="360" w:lineRule="auto"/>
        <w:ind w:firstLine="525" w:firstLineChars="250"/>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lang w:val="en-US" w:eastAsia="zh-CN"/>
        </w:rPr>
        <w:t>七、</w:t>
      </w:r>
      <w:r>
        <w:rPr>
          <w:rFonts w:hint="eastAsia" w:ascii="微软雅黑" w:hAnsi="微软雅黑" w:eastAsia="微软雅黑"/>
          <w:b/>
          <w:color w:val="auto"/>
          <w:szCs w:val="21"/>
          <w:highlight w:val="none"/>
        </w:rPr>
        <w:t>协议期限</w:t>
      </w:r>
    </w:p>
    <w:p w14:paraId="13536D4B">
      <w:pPr>
        <w:snapToGrid w:val="0"/>
        <w:spacing w:line="360" w:lineRule="auto"/>
        <w:ind w:firstLine="420" w:firstLineChars="20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本协议期限为：</w:t>
      </w:r>
      <w:r>
        <w:rPr>
          <w:rFonts w:hint="eastAsia" w:ascii="微软雅黑" w:hAnsi="微软雅黑" w:eastAsia="微软雅黑"/>
          <w:b/>
          <w:color w:val="auto"/>
          <w:szCs w:val="21"/>
          <w:highlight w:val="none"/>
          <w:u w:val="single"/>
        </w:rPr>
        <w:t>一年期</w:t>
      </w:r>
      <w:r>
        <w:rPr>
          <w:rFonts w:hint="eastAsia" w:ascii="微软雅黑" w:hAnsi="微软雅黑" w:eastAsia="微软雅黑"/>
          <w:color w:val="auto"/>
          <w:szCs w:val="21"/>
          <w:highlight w:val="none"/>
        </w:rPr>
        <w:t>，自年月日起至</w:t>
      </w:r>
      <w:r>
        <w:rPr>
          <w:rFonts w:hint="eastAsia" w:ascii="微软雅黑" w:hAnsi="微软雅黑" w:eastAsia="微软雅黑"/>
          <w:color w:val="auto"/>
          <w:szCs w:val="21"/>
          <w:highlight w:val="none"/>
          <w:u w:val="single"/>
          <w:lang w:val="en-US" w:eastAsia="zh-CN"/>
        </w:rPr>
        <w:t xml:space="preserve">   </w:t>
      </w:r>
      <w:r>
        <w:rPr>
          <w:rFonts w:hint="eastAsia" w:ascii="微软雅黑" w:hAnsi="微软雅黑" w:eastAsia="微软雅黑"/>
          <w:color w:val="auto"/>
          <w:szCs w:val="21"/>
          <w:highlight w:val="none"/>
          <w:lang w:val="en-US" w:eastAsia="zh-CN"/>
        </w:rPr>
        <w:t xml:space="preserve"> </w:t>
      </w:r>
      <w:r>
        <w:rPr>
          <w:rFonts w:hint="eastAsia" w:ascii="微软雅黑" w:hAnsi="微软雅黑" w:eastAsia="微软雅黑"/>
          <w:color w:val="auto"/>
          <w:szCs w:val="21"/>
          <w:highlight w:val="none"/>
        </w:rPr>
        <w:t>年</w:t>
      </w:r>
      <w:r>
        <w:rPr>
          <w:rFonts w:hint="eastAsia" w:ascii="微软雅黑" w:hAnsi="微软雅黑" w:eastAsia="微软雅黑"/>
          <w:color w:val="auto"/>
          <w:szCs w:val="21"/>
          <w:highlight w:val="none"/>
          <w:u w:val="single"/>
          <w:lang w:val="en-US" w:eastAsia="zh-CN"/>
        </w:rPr>
        <w:t xml:space="preserve">   </w:t>
      </w:r>
      <w:r>
        <w:rPr>
          <w:rFonts w:hint="eastAsia" w:ascii="微软雅黑" w:hAnsi="微软雅黑" w:eastAsia="微软雅黑"/>
          <w:color w:val="auto"/>
          <w:szCs w:val="21"/>
          <w:highlight w:val="none"/>
        </w:rPr>
        <w:t>月</w:t>
      </w:r>
      <w:r>
        <w:rPr>
          <w:rFonts w:hint="eastAsia" w:ascii="微软雅黑" w:hAnsi="微软雅黑" w:eastAsia="微软雅黑"/>
          <w:color w:val="auto"/>
          <w:szCs w:val="21"/>
          <w:highlight w:val="none"/>
          <w:u w:val="single"/>
          <w:lang w:val="en-US" w:eastAsia="zh-CN"/>
        </w:rPr>
        <w:t xml:space="preserve">   </w:t>
      </w:r>
      <w:r>
        <w:rPr>
          <w:rFonts w:hint="eastAsia" w:ascii="微软雅黑" w:hAnsi="微软雅黑" w:eastAsia="微软雅黑"/>
          <w:color w:val="auto"/>
          <w:szCs w:val="21"/>
          <w:highlight w:val="none"/>
        </w:rPr>
        <w:t>日止。</w:t>
      </w:r>
    </w:p>
    <w:p w14:paraId="02948993">
      <w:pPr>
        <w:spacing w:line="360" w:lineRule="auto"/>
        <w:ind w:firstLine="525" w:firstLineChars="250"/>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lang w:val="en-US" w:eastAsia="zh-CN"/>
        </w:rPr>
        <w:t>八</w:t>
      </w:r>
      <w:r>
        <w:rPr>
          <w:rFonts w:hint="eastAsia" w:ascii="微软雅黑" w:hAnsi="微软雅黑" w:eastAsia="微软雅黑"/>
          <w:b/>
          <w:color w:val="auto"/>
          <w:szCs w:val="21"/>
          <w:highlight w:val="none"/>
        </w:rPr>
        <w:t>、 本合同未尽事宜，经甲、乙双方协商一致，订立补充协议。</w:t>
      </w:r>
    </w:p>
    <w:p w14:paraId="176E9024">
      <w:pPr>
        <w:spacing w:line="360" w:lineRule="auto"/>
        <w:ind w:firstLine="525" w:firstLineChars="2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补充协议为本合同不可分割的部分，具有同等法律效力。</w:t>
      </w:r>
    </w:p>
    <w:p w14:paraId="079C705A">
      <w:pPr>
        <w:spacing w:line="360" w:lineRule="auto"/>
        <w:ind w:firstLine="525" w:firstLineChars="250"/>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lang w:val="en-US" w:eastAsia="zh-CN"/>
        </w:rPr>
        <w:t>九</w:t>
      </w:r>
      <w:r>
        <w:rPr>
          <w:rFonts w:hint="eastAsia" w:ascii="微软雅黑" w:hAnsi="微软雅黑" w:eastAsia="微软雅黑"/>
          <w:b/>
          <w:color w:val="auto"/>
          <w:szCs w:val="21"/>
          <w:highlight w:val="none"/>
        </w:rPr>
        <w:t>、 本合同一式四份，甲方执二份，乙方执二份，经双方代表签字、盖章后即生效。</w:t>
      </w:r>
    </w:p>
    <w:p w14:paraId="178EEAD0">
      <w:pPr>
        <w:snapToGrid w:val="0"/>
        <w:spacing w:line="360" w:lineRule="auto"/>
        <w:ind w:left="403" w:leftChars="192"/>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甲方：                                乙方：      </w:t>
      </w:r>
    </w:p>
    <w:p w14:paraId="60D2F74A">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    代表：                                代表：</w:t>
      </w:r>
    </w:p>
    <w:p w14:paraId="1865C7E6">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    邮编：                                邮编：</w:t>
      </w:r>
    </w:p>
    <w:p w14:paraId="13B27941">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    电话                                  电话：</w:t>
      </w:r>
    </w:p>
    <w:p w14:paraId="40E27D04">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    传真：                                传真：</w:t>
      </w:r>
    </w:p>
    <w:p w14:paraId="4BE2EA74">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    地址:                                 地址:</w:t>
      </w:r>
    </w:p>
    <w:p w14:paraId="5B494279">
      <w:pPr>
        <w:snapToGrid w:val="0"/>
        <w:spacing w:line="360" w:lineRule="auto"/>
        <w:ind w:firstLine="420" w:firstLineChars="20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帐号：                                帐号：</w:t>
      </w:r>
    </w:p>
    <w:p w14:paraId="24881019">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    开户行：                              开户行：</w:t>
      </w:r>
    </w:p>
    <w:p w14:paraId="12DE5764">
      <w:pPr>
        <w:snapToGrid w:val="0"/>
        <w:spacing w:line="360" w:lineRule="auto"/>
        <w:ind w:firstLine="210" w:firstLineChars="10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  年  月  日                           年  月  日</w:t>
      </w:r>
    </w:p>
    <w:p w14:paraId="35C95B80">
      <w:pPr>
        <w:spacing w:line="540" w:lineRule="exact"/>
        <w:jc w:val="center"/>
        <w:rPr>
          <w:rFonts w:hint="eastAsia" w:ascii="微软雅黑" w:hAnsi="微软雅黑" w:eastAsia="微软雅黑" w:cs="方正小标宋简体"/>
          <w:b/>
          <w:bCs/>
          <w:color w:val="auto"/>
          <w:szCs w:val="21"/>
          <w:highlight w:val="none"/>
        </w:rPr>
        <w:sectPr>
          <w:pgSz w:w="11907" w:h="16840"/>
          <w:pgMar w:top="1440" w:right="1797" w:bottom="1440" w:left="1797" w:header="851" w:footer="851" w:gutter="0"/>
          <w:cols w:space="425" w:num="1"/>
          <w:titlePg/>
          <w:docGrid w:type="lines" w:linePitch="312" w:charSpace="0"/>
        </w:sectPr>
      </w:pPr>
    </w:p>
    <w:p w14:paraId="71A25FC1">
      <w:pPr>
        <w:spacing w:line="540" w:lineRule="exact"/>
        <w:jc w:val="center"/>
        <w:rPr>
          <w:rFonts w:hint="eastAsia" w:ascii="微软雅黑" w:hAnsi="微软雅黑" w:eastAsia="微软雅黑" w:cs="方正小标宋简体"/>
          <w:b/>
          <w:bCs/>
          <w:color w:val="auto"/>
          <w:szCs w:val="21"/>
          <w:highlight w:val="none"/>
        </w:rPr>
      </w:pPr>
      <w:r>
        <w:rPr>
          <w:rFonts w:hint="eastAsia" w:ascii="微软雅黑" w:hAnsi="微软雅黑" w:eastAsia="微软雅黑" w:cs="方正小标宋简体"/>
          <w:b/>
          <w:bCs/>
          <w:color w:val="auto"/>
          <w:szCs w:val="21"/>
          <w:highlight w:val="none"/>
        </w:rPr>
        <w:t>廉政承诺书</w:t>
      </w:r>
    </w:p>
    <w:p w14:paraId="7D4058D5">
      <w:pPr>
        <w:spacing w:line="540" w:lineRule="exact"/>
        <w:jc w:val="center"/>
        <w:rPr>
          <w:rFonts w:hint="eastAsia" w:ascii="微软雅黑" w:hAnsi="微软雅黑" w:eastAsia="微软雅黑" w:cs="仿宋_GB2312"/>
          <w:color w:val="auto"/>
          <w:szCs w:val="21"/>
          <w:highlight w:val="none"/>
        </w:rPr>
      </w:pPr>
    </w:p>
    <w:p w14:paraId="289CEEF9">
      <w:pPr>
        <w:topLinePunct/>
        <w:spacing w:line="560" w:lineRule="exact"/>
        <w:rPr>
          <w:rFonts w:hint="eastAsia" w:ascii="微软雅黑" w:hAnsi="微软雅黑" w:eastAsia="微软雅黑"/>
          <w:color w:val="auto"/>
          <w:highlight w:val="none"/>
        </w:rPr>
      </w:pPr>
      <w:r>
        <w:rPr>
          <w:rFonts w:ascii="微软雅黑" w:hAnsi="微软雅黑" w:eastAsia="微软雅黑"/>
          <w:color w:val="auto"/>
          <w:highlight w:val="none"/>
          <w:u w:val="single"/>
        </w:rPr>
        <w:t xml:space="preserve">     </w:t>
      </w:r>
      <w:r>
        <w:rPr>
          <w:rFonts w:hint="eastAsia" w:ascii="微软雅黑" w:hAnsi="微软雅黑" w:eastAsia="微软雅黑"/>
          <w:color w:val="auto"/>
          <w:highlight w:val="none"/>
          <w:u w:val="single"/>
        </w:rPr>
        <w:t xml:space="preserve">    </w:t>
      </w:r>
      <w:r>
        <w:rPr>
          <w:rFonts w:ascii="微软雅黑" w:hAnsi="微软雅黑" w:eastAsia="微软雅黑"/>
          <w:color w:val="auto"/>
          <w:highlight w:val="none"/>
          <w:u w:val="single"/>
        </w:rPr>
        <w:t xml:space="preserve">   </w:t>
      </w:r>
      <w:r>
        <w:rPr>
          <w:rFonts w:hint="eastAsia" w:ascii="微软雅黑" w:hAnsi="微软雅黑" w:eastAsia="微软雅黑"/>
          <w:color w:val="auto"/>
          <w:highlight w:val="none"/>
        </w:rPr>
        <w:t>部门（单位）：</w:t>
      </w:r>
    </w:p>
    <w:p w14:paraId="27888938">
      <w:pPr>
        <w:topLinePunct/>
        <w:spacing w:line="560" w:lineRule="exact"/>
        <w:rPr>
          <w:rFonts w:hint="eastAsia" w:ascii="微软雅黑" w:hAnsi="微软雅黑" w:eastAsia="微软雅黑"/>
          <w:color w:val="auto"/>
          <w:highlight w:val="none"/>
        </w:rPr>
      </w:pPr>
      <w:r>
        <w:rPr>
          <w:rFonts w:ascii="微软雅黑" w:hAnsi="微软雅黑" w:eastAsia="微软雅黑"/>
          <w:color w:val="auto"/>
          <w:highlight w:val="none"/>
        </w:rPr>
        <w:t xml:space="preserve">    </w:t>
      </w:r>
      <w:r>
        <w:rPr>
          <w:rFonts w:hint="eastAsia" w:ascii="微软雅黑" w:hAnsi="微软雅黑" w:eastAsia="微软雅黑"/>
          <w:color w:val="auto"/>
          <w:highlight w:val="none"/>
        </w:rPr>
        <w:t>根据《秀洲区区级财政部门和行政事业单位资金竞争性存放管理办法》（秀洲财执库〔2018〕239号）相关规定，现就本行参加贵单位</w:t>
      </w:r>
      <w:r>
        <w:rPr>
          <w:rFonts w:hint="eastAsia" w:ascii="微软雅黑" w:hAnsi="微软雅黑" w:eastAsia="微软雅黑"/>
          <w:color w:val="auto"/>
          <w:highlight w:val="none"/>
          <w:u w:val="single"/>
          <w:lang w:eastAsia="zh-CN"/>
        </w:rPr>
        <w:t>秀洲区2025年度第一期财政资金竞争性存放项目</w:t>
      </w:r>
      <w:r>
        <w:rPr>
          <w:rFonts w:hint="eastAsia" w:ascii="微软雅黑" w:hAnsi="微软雅黑" w:eastAsia="微软雅黑"/>
          <w:color w:val="auto"/>
          <w:highlight w:val="none"/>
        </w:rPr>
        <w:t>作出如下承诺：</w:t>
      </w:r>
    </w:p>
    <w:p w14:paraId="3C04FD1D">
      <w:pPr>
        <w:topLinePunct/>
        <w:spacing w:line="560" w:lineRule="exact"/>
        <w:rPr>
          <w:rFonts w:hint="eastAsia" w:ascii="微软雅黑" w:hAnsi="微软雅黑" w:eastAsia="微软雅黑"/>
          <w:color w:val="auto"/>
          <w:highlight w:val="none"/>
        </w:rPr>
      </w:pPr>
      <w:r>
        <w:rPr>
          <w:rFonts w:ascii="微软雅黑" w:hAnsi="微软雅黑" w:eastAsia="微软雅黑"/>
          <w:color w:val="auto"/>
          <w:highlight w:val="none"/>
        </w:rPr>
        <w:t xml:space="preserve">    1</w:t>
      </w:r>
      <w:r>
        <w:rPr>
          <w:rFonts w:hint="eastAsia" w:ascii="微软雅黑" w:hAnsi="微软雅黑" w:eastAsia="微软雅黑"/>
          <w:color w:val="auto"/>
          <w:highlight w:val="none"/>
        </w:rPr>
        <w:t>、不向贵部门（单位）负责资金存放管理的领导及相关人员进行利益输送；</w:t>
      </w:r>
    </w:p>
    <w:p w14:paraId="266F1E39">
      <w:pPr>
        <w:topLinePunct/>
        <w:spacing w:line="560" w:lineRule="exact"/>
        <w:ind w:firstLine="420" w:firstLineChars="200"/>
        <w:rPr>
          <w:rFonts w:hint="eastAsia" w:ascii="微软雅黑" w:hAnsi="微软雅黑" w:eastAsia="微软雅黑"/>
          <w:color w:val="auto"/>
          <w:highlight w:val="none"/>
        </w:rPr>
      </w:pPr>
      <w:r>
        <w:rPr>
          <w:rFonts w:ascii="微软雅黑" w:hAnsi="微软雅黑" w:eastAsia="微软雅黑"/>
          <w:color w:val="auto"/>
          <w:highlight w:val="none"/>
        </w:rPr>
        <w:t>2</w:t>
      </w:r>
      <w:r>
        <w:rPr>
          <w:rFonts w:hint="eastAsia" w:ascii="微软雅黑" w:hAnsi="微软雅黑" w:eastAsia="微软雅黑"/>
          <w:color w:val="auto"/>
          <w:highlight w:val="none"/>
        </w:rPr>
        <w:t>、不将资金存放与贵部门（单位）负责资金存放管理的领导及相关人员在本行的配偶、子女及其配偶和其他直接利益相关人员的业绩、收入、晋升等利益挂钩；</w:t>
      </w:r>
    </w:p>
    <w:p w14:paraId="0FE73EA3">
      <w:pPr>
        <w:topLinePunct/>
        <w:spacing w:line="560" w:lineRule="exact"/>
        <w:ind w:firstLine="420" w:firstLineChars="200"/>
        <w:rPr>
          <w:rFonts w:hint="eastAsia" w:ascii="微软雅黑" w:hAnsi="微软雅黑" w:eastAsia="微软雅黑"/>
          <w:color w:val="auto"/>
          <w:highlight w:val="none"/>
        </w:rPr>
      </w:pPr>
      <w:r>
        <w:rPr>
          <w:rFonts w:ascii="微软雅黑" w:hAnsi="微软雅黑" w:eastAsia="微软雅黑"/>
          <w:color w:val="auto"/>
          <w:highlight w:val="none"/>
        </w:rPr>
        <w:t>3</w:t>
      </w:r>
      <w:r>
        <w:rPr>
          <w:rFonts w:hint="eastAsia" w:ascii="微软雅黑" w:hAnsi="微软雅黑" w:eastAsia="微软雅黑"/>
          <w:color w:val="auto"/>
          <w:highlight w:val="none"/>
        </w:rPr>
        <w:t>、各主管部门自行组织或委托招标代理机构组织实施资金竞争性存放的，严格执行利益回避制度，贵部门（单位）负责资金竞争性存放相关人员的配偶、子女及其配偶和其他直接利益相关人员为本行工作人员的，不参与资金竞争性存放工作；</w:t>
      </w:r>
    </w:p>
    <w:p w14:paraId="355AA318">
      <w:pPr>
        <w:topLinePunct/>
        <w:spacing w:line="560" w:lineRule="exact"/>
        <w:rPr>
          <w:rFonts w:hint="eastAsia" w:ascii="微软雅黑" w:hAnsi="微软雅黑" w:eastAsia="微软雅黑"/>
          <w:color w:val="auto"/>
          <w:highlight w:val="none"/>
        </w:rPr>
      </w:pPr>
      <w:r>
        <w:rPr>
          <w:rFonts w:ascii="微软雅黑" w:hAnsi="微软雅黑" w:eastAsia="微软雅黑"/>
          <w:color w:val="auto"/>
          <w:highlight w:val="none"/>
        </w:rPr>
        <w:t xml:space="preserve">    4</w:t>
      </w:r>
      <w:r>
        <w:rPr>
          <w:rFonts w:hint="eastAsia" w:ascii="微软雅黑" w:hAnsi="微软雅黑" w:eastAsia="微软雅黑"/>
          <w:color w:val="auto"/>
          <w:highlight w:val="none"/>
        </w:rPr>
        <w:t>、不发生除上述行为之外的其他任何利益输送行为。</w:t>
      </w:r>
    </w:p>
    <w:p w14:paraId="712FAC2D">
      <w:pPr>
        <w:topLinePunct/>
        <w:spacing w:line="560" w:lineRule="exact"/>
        <w:ind w:firstLine="630"/>
        <w:rPr>
          <w:rFonts w:hint="eastAsia" w:ascii="微软雅黑" w:hAnsi="微软雅黑" w:eastAsia="微软雅黑"/>
          <w:color w:val="auto"/>
          <w:highlight w:val="none"/>
        </w:rPr>
      </w:pPr>
      <w:r>
        <w:rPr>
          <w:rFonts w:hint="eastAsia" w:ascii="微软雅黑" w:hAnsi="微软雅黑" w:eastAsia="微软雅黑"/>
          <w:color w:val="auto"/>
          <w:highlight w:val="none"/>
        </w:rPr>
        <w:t>未遵守以上承诺的，本行自愿接受财政部门通报和处理，承担相应的一切后果。</w:t>
      </w:r>
    </w:p>
    <w:p w14:paraId="4CED4018">
      <w:pPr>
        <w:topLinePunct/>
        <w:spacing w:line="560" w:lineRule="exact"/>
        <w:ind w:firstLine="630"/>
        <w:rPr>
          <w:rFonts w:hint="eastAsia" w:ascii="微软雅黑" w:hAnsi="微软雅黑" w:eastAsia="微软雅黑"/>
          <w:color w:val="auto"/>
          <w:highlight w:val="none"/>
        </w:rPr>
      </w:pPr>
    </w:p>
    <w:p w14:paraId="44C0BB66">
      <w:pPr>
        <w:topLinePunct/>
        <w:spacing w:line="560" w:lineRule="exact"/>
        <w:ind w:firstLine="630"/>
        <w:rPr>
          <w:rFonts w:hint="eastAsia" w:ascii="微软雅黑" w:hAnsi="微软雅黑" w:eastAsia="微软雅黑"/>
          <w:color w:val="auto"/>
          <w:highlight w:val="none"/>
        </w:rPr>
      </w:pPr>
    </w:p>
    <w:p w14:paraId="30E21A5D">
      <w:pPr>
        <w:topLinePunct/>
        <w:spacing w:line="560" w:lineRule="exact"/>
        <w:jc w:val="right"/>
        <w:rPr>
          <w:rFonts w:hint="eastAsia" w:ascii="微软雅黑" w:hAnsi="微软雅黑" w:eastAsia="微软雅黑"/>
          <w:color w:val="auto"/>
          <w:highlight w:val="none"/>
        </w:rPr>
      </w:pPr>
      <w:r>
        <w:rPr>
          <w:rFonts w:ascii="微软雅黑" w:hAnsi="微软雅黑" w:eastAsia="微软雅黑"/>
          <w:color w:val="auto"/>
          <w:highlight w:val="none"/>
        </w:rPr>
        <w:t xml:space="preserve">                                    </w:t>
      </w:r>
      <w:r>
        <w:rPr>
          <w:rFonts w:ascii="微软雅黑" w:hAnsi="微软雅黑" w:eastAsia="微软雅黑"/>
          <w:color w:val="auto"/>
          <w:highlight w:val="none"/>
          <w:u w:val="single"/>
        </w:rPr>
        <w:t xml:space="preserve">      </w:t>
      </w:r>
      <w:r>
        <w:rPr>
          <w:rFonts w:hint="eastAsia" w:ascii="微软雅黑" w:hAnsi="微软雅黑" w:eastAsia="微软雅黑"/>
          <w:color w:val="auto"/>
          <w:highlight w:val="none"/>
        </w:rPr>
        <w:t>银行（公章）</w:t>
      </w:r>
    </w:p>
    <w:p w14:paraId="6D1A213F">
      <w:pPr>
        <w:pStyle w:val="36"/>
        <w:outlineLvl w:val="9"/>
        <w:rPr>
          <w:b w:val="0"/>
          <w:color w:val="auto"/>
          <w:sz w:val="21"/>
          <w:szCs w:val="21"/>
          <w:highlight w:val="none"/>
        </w:rPr>
      </w:pPr>
      <w:r>
        <w:rPr>
          <w:rFonts w:ascii="微软雅黑" w:hAnsi="微软雅黑"/>
          <w:color w:val="auto"/>
          <w:highlight w:val="none"/>
        </w:rPr>
        <w:t xml:space="preserve">                                      </w:t>
      </w:r>
      <w:r>
        <w:rPr>
          <w:rFonts w:ascii="微软雅黑" w:hAnsi="微软雅黑"/>
          <w:b w:val="0"/>
          <w:color w:val="auto"/>
          <w:sz w:val="21"/>
          <w:szCs w:val="21"/>
          <w:highlight w:val="none"/>
        </w:rPr>
        <w:t xml:space="preserve"> </w:t>
      </w:r>
      <w:r>
        <w:rPr>
          <w:rFonts w:ascii="微软雅黑" w:hAnsi="微软雅黑"/>
          <w:b w:val="0"/>
          <w:color w:val="auto"/>
          <w:sz w:val="21"/>
          <w:szCs w:val="21"/>
          <w:highlight w:val="none"/>
          <w:u w:val="single"/>
        </w:rPr>
        <w:t xml:space="preserve">  </w:t>
      </w:r>
      <w:r>
        <w:rPr>
          <w:rFonts w:hint="eastAsia" w:ascii="微软雅黑" w:hAnsi="微软雅黑"/>
          <w:b w:val="0"/>
          <w:color w:val="auto"/>
          <w:sz w:val="21"/>
          <w:szCs w:val="21"/>
          <w:highlight w:val="none"/>
        </w:rPr>
        <w:t>年</w:t>
      </w:r>
      <w:r>
        <w:rPr>
          <w:rFonts w:ascii="微软雅黑" w:hAnsi="微软雅黑"/>
          <w:b w:val="0"/>
          <w:color w:val="auto"/>
          <w:sz w:val="21"/>
          <w:szCs w:val="21"/>
          <w:highlight w:val="none"/>
          <w:u w:val="single"/>
        </w:rPr>
        <w:t xml:space="preserve">  </w:t>
      </w:r>
      <w:r>
        <w:rPr>
          <w:rFonts w:hint="eastAsia" w:ascii="微软雅黑" w:hAnsi="微软雅黑"/>
          <w:b w:val="0"/>
          <w:color w:val="auto"/>
          <w:sz w:val="21"/>
          <w:szCs w:val="21"/>
          <w:highlight w:val="none"/>
        </w:rPr>
        <w:t>月</w:t>
      </w:r>
      <w:r>
        <w:rPr>
          <w:rFonts w:ascii="微软雅黑" w:hAnsi="微软雅黑"/>
          <w:b w:val="0"/>
          <w:color w:val="auto"/>
          <w:sz w:val="21"/>
          <w:szCs w:val="21"/>
          <w:highlight w:val="none"/>
          <w:u w:val="single"/>
        </w:rPr>
        <w:t xml:space="preserve">  </w:t>
      </w:r>
      <w:r>
        <w:rPr>
          <w:rFonts w:hint="eastAsia" w:ascii="微软雅黑" w:hAnsi="微软雅黑"/>
          <w:b w:val="0"/>
          <w:color w:val="auto"/>
          <w:sz w:val="21"/>
          <w:szCs w:val="21"/>
          <w:highlight w:val="none"/>
        </w:rPr>
        <w:t>日</w:t>
      </w:r>
    </w:p>
    <w:p w14:paraId="1E7A6852">
      <w:pPr>
        <w:pStyle w:val="36"/>
        <w:outlineLvl w:val="9"/>
        <w:rPr>
          <w:color w:val="auto"/>
          <w:highlight w:val="none"/>
        </w:rPr>
      </w:pPr>
    </w:p>
    <w:p w14:paraId="5900E422">
      <w:pPr>
        <w:pStyle w:val="36"/>
        <w:outlineLvl w:val="9"/>
        <w:rPr>
          <w:color w:val="auto"/>
          <w:highlight w:val="none"/>
        </w:rPr>
      </w:pPr>
    </w:p>
    <w:p w14:paraId="123CDE19">
      <w:pPr>
        <w:pStyle w:val="36"/>
        <w:outlineLvl w:val="9"/>
        <w:rPr>
          <w:color w:val="auto"/>
          <w:highlight w:val="none"/>
        </w:rPr>
      </w:pPr>
    </w:p>
    <w:p w14:paraId="737BFEEC">
      <w:pPr>
        <w:pStyle w:val="36"/>
        <w:outlineLvl w:val="9"/>
        <w:rPr>
          <w:color w:val="auto"/>
          <w:highlight w:val="none"/>
        </w:rPr>
        <w:sectPr>
          <w:pgSz w:w="11907" w:h="16840"/>
          <w:pgMar w:top="1440" w:right="1797" w:bottom="1440" w:left="1797" w:header="851" w:footer="851" w:gutter="0"/>
          <w:cols w:space="425" w:num="1"/>
          <w:titlePg/>
          <w:docGrid w:type="lines" w:linePitch="312" w:charSpace="0"/>
        </w:sectPr>
      </w:pPr>
    </w:p>
    <w:p w14:paraId="432B4978">
      <w:pPr>
        <w:pStyle w:val="36"/>
        <w:rPr>
          <w:color w:val="auto"/>
          <w:highlight w:val="none"/>
        </w:rPr>
      </w:pPr>
      <w:bookmarkStart w:id="112" w:name="_Toc98019297"/>
      <w:r>
        <w:rPr>
          <w:rFonts w:hint="eastAsia"/>
          <w:color w:val="auto"/>
          <w:highlight w:val="none"/>
        </w:rPr>
        <w:t>第六章　投标文件格式</w:t>
      </w:r>
      <w:bookmarkEnd w:id="111"/>
      <w:bookmarkEnd w:id="112"/>
    </w:p>
    <w:p w14:paraId="6EAE533D">
      <w:pPr>
        <w:snapToGrid w:val="0"/>
        <w:spacing w:before="50" w:after="50"/>
        <w:rPr>
          <w:rFonts w:hint="eastAsia" w:ascii="微软雅黑" w:hAnsi="微软雅黑" w:eastAsia="微软雅黑"/>
          <w:color w:val="auto"/>
          <w:szCs w:val="21"/>
          <w:highlight w:val="none"/>
        </w:rPr>
      </w:pPr>
    </w:p>
    <w:p w14:paraId="30BC326A">
      <w:pPr>
        <w:snapToGrid w:val="0"/>
        <w:spacing w:before="156" w:beforeLines="50" w:after="50"/>
        <w:outlineLvl w:val="1"/>
        <w:rPr>
          <w:rFonts w:hint="eastAsia" w:ascii="微软雅黑" w:hAnsi="微软雅黑" w:eastAsia="微软雅黑"/>
          <w:b/>
          <w:bCs/>
          <w:color w:val="auto"/>
          <w:szCs w:val="21"/>
          <w:highlight w:val="none"/>
        </w:rPr>
      </w:pPr>
      <w:bookmarkStart w:id="113" w:name="_Toc9342498"/>
      <w:bookmarkStart w:id="114" w:name="_Toc98019298"/>
      <w:bookmarkStart w:id="115" w:name="_Toc11650189"/>
      <w:r>
        <w:rPr>
          <w:rFonts w:hint="eastAsia" w:ascii="微软雅黑" w:hAnsi="微软雅黑" w:eastAsia="微软雅黑"/>
          <w:b/>
          <w:bCs/>
          <w:color w:val="auto"/>
          <w:szCs w:val="21"/>
          <w:highlight w:val="none"/>
        </w:rPr>
        <w:t>一、投标文件外层包装封面格式</w:t>
      </w:r>
      <w:bookmarkEnd w:id="113"/>
      <w:bookmarkEnd w:id="114"/>
      <w:bookmarkEnd w:id="115"/>
    </w:p>
    <w:p w14:paraId="3EE6CBAC">
      <w:pPr>
        <w:snapToGrid w:val="0"/>
        <w:spacing w:before="156" w:beforeLines="50" w:after="50" w:line="360" w:lineRule="auto"/>
        <w:jc w:val="center"/>
        <w:rPr>
          <w:rFonts w:hint="eastAsia" w:ascii="微软雅黑" w:hAnsi="微软雅黑" w:eastAsia="微软雅黑"/>
          <w:b/>
          <w:bCs/>
          <w:color w:val="auto"/>
          <w:szCs w:val="21"/>
          <w:highlight w:val="none"/>
        </w:rPr>
      </w:pPr>
    </w:p>
    <w:p w14:paraId="3720640B">
      <w:pPr>
        <w:snapToGrid w:val="0"/>
        <w:spacing w:before="156" w:beforeLines="50" w:after="50" w:line="360" w:lineRule="auto"/>
        <w:rPr>
          <w:rFonts w:hint="eastAsia" w:ascii="微软雅黑" w:hAnsi="微软雅黑" w:eastAsia="微软雅黑"/>
          <w:bCs/>
          <w:color w:val="auto"/>
          <w:szCs w:val="21"/>
          <w:highlight w:val="none"/>
        </w:rPr>
      </w:pPr>
    </w:p>
    <w:p w14:paraId="70AADCAD">
      <w:pPr>
        <w:snapToGrid w:val="0"/>
        <w:spacing w:before="156" w:beforeLines="50" w:after="50" w:line="360" w:lineRule="auto"/>
        <w:rPr>
          <w:rFonts w:hint="eastAsia" w:ascii="微软雅黑" w:hAnsi="微软雅黑" w:eastAsia="微软雅黑"/>
          <w:bCs/>
          <w:color w:val="auto"/>
          <w:szCs w:val="21"/>
          <w:highlight w:val="none"/>
        </w:rPr>
      </w:pPr>
      <w:r>
        <w:rPr>
          <w:rFonts w:hint="eastAsia" w:ascii="微软雅黑" w:hAnsi="微软雅黑" w:eastAsia="微软雅黑"/>
          <w:bCs/>
          <w:color w:val="auto"/>
          <w:szCs w:val="21"/>
          <w:highlight w:val="none"/>
        </w:rPr>
        <w:t>项目名称：</w:t>
      </w:r>
      <w:r>
        <w:rPr>
          <w:rFonts w:hint="eastAsia" w:ascii="微软雅黑" w:hAnsi="微软雅黑" w:eastAsia="微软雅黑"/>
          <w:bCs/>
          <w:color w:val="auto"/>
          <w:szCs w:val="21"/>
          <w:highlight w:val="none"/>
          <w:lang w:eastAsia="zh-CN"/>
        </w:rPr>
        <w:t>秀洲区2025年度第一期财政资金竞争性存放项目</w:t>
      </w:r>
    </w:p>
    <w:p w14:paraId="65E0BB27">
      <w:pPr>
        <w:snapToGrid w:val="0"/>
        <w:spacing w:before="156" w:beforeLines="50" w:after="50" w:line="360" w:lineRule="auto"/>
        <w:rPr>
          <w:rFonts w:hint="eastAsia" w:ascii="微软雅黑" w:hAnsi="微软雅黑" w:eastAsia="微软雅黑"/>
          <w:bCs/>
          <w:color w:val="auto"/>
          <w:szCs w:val="21"/>
          <w:highlight w:val="none"/>
          <w:lang w:eastAsia="zh-CN"/>
        </w:rPr>
      </w:pPr>
      <w:r>
        <w:rPr>
          <w:rFonts w:hint="eastAsia" w:ascii="微软雅黑" w:hAnsi="微软雅黑" w:eastAsia="微软雅黑"/>
          <w:bCs/>
          <w:color w:val="auto"/>
          <w:szCs w:val="21"/>
          <w:highlight w:val="none"/>
        </w:rPr>
        <w:t>项目编号：</w:t>
      </w:r>
      <w:r>
        <w:rPr>
          <w:rFonts w:hint="eastAsia" w:ascii="微软雅黑" w:hAnsi="微软雅黑" w:eastAsia="微软雅黑"/>
          <w:bCs/>
          <w:color w:val="auto"/>
          <w:szCs w:val="21"/>
          <w:highlight w:val="none"/>
          <w:lang w:eastAsia="zh-CN"/>
        </w:rPr>
        <w:t>千秋-XZCF（2025）第07号</w:t>
      </w:r>
    </w:p>
    <w:p w14:paraId="7978ACFE">
      <w:pPr>
        <w:pStyle w:val="5"/>
        <w:snapToGrid w:val="0"/>
        <w:spacing w:before="50" w:after="50" w:line="360" w:lineRule="auto"/>
        <w:ind w:firstLine="0"/>
        <w:rPr>
          <w:rFonts w:hint="eastAsia" w:ascii="微软雅黑" w:hAnsi="微软雅黑" w:eastAsia="微软雅黑"/>
          <w:bCs/>
          <w:color w:val="auto"/>
          <w:szCs w:val="21"/>
          <w:highlight w:val="none"/>
        </w:rPr>
      </w:pPr>
      <w:r>
        <w:rPr>
          <w:rFonts w:hint="eastAsia" w:ascii="微软雅黑" w:hAnsi="微软雅黑" w:eastAsia="微软雅黑"/>
          <w:bCs/>
          <w:color w:val="auto"/>
          <w:szCs w:val="21"/>
          <w:highlight w:val="none"/>
        </w:rPr>
        <w:t>投标人名称：</w:t>
      </w:r>
    </w:p>
    <w:p w14:paraId="259186B5">
      <w:pPr>
        <w:pStyle w:val="5"/>
        <w:snapToGrid w:val="0"/>
        <w:spacing w:before="50" w:after="50" w:line="360" w:lineRule="auto"/>
        <w:ind w:firstLine="0"/>
        <w:rPr>
          <w:rFonts w:hint="eastAsia" w:ascii="微软雅黑" w:hAnsi="微软雅黑" w:eastAsia="微软雅黑"/>
          <w:bCs/>
          <w:color w:val="auto"/>
          <w:szCs w:val="21"/>
          <w:highlight w:val="none"/>
        </w:rPr>
      </w:pPr>
      <w:r>
        <w:rPr>
          <w:rFonts w:hint="eastAsia" w:ascii="微软雅黑" w:hAnsi="微软雅黑" w:eastAsia="微软雅黑"/>
          <w:bCs/>
          <w:color w:val="auto"/>
          <w:szCs w:val="21"/>
          <w:highlight w:val="none"/>
        </w:rPr>
        <w:t>投标人地址：</w:t>
      </w:r>
    </w:p>
    <w:p w14:paraId="5AE9A019">
      <w:pPr>
        <w:pStyle w:val="5"/>
        <w:snapToGrid w:val="0"/>
        <w:spacing w:before="50" w:after="50" w:line="360" w:lineRule="auto"/>
        <w:ind w:firstLine="0"/>
        <w:rPr>
          <w:rFonts w:hint="eastAsia" w:ascii="微软雅黑" w:hAnsi="微软雅黑" w:eastAsia="微软雅黑"/>
          <w:bCs/>
          <w:color w:val="auto"/>
          <w:szCs w:val="21"/>
          <w:highlight w:val="none"/>
        </w:rPr>
      </w:pPr>
      <w:r>
        <w:rPr>
          <w:rFonts w:hint="eastAsia" w:ascii="微软雅黑" w:hAnsi="微软雅黑" w:eastAsia="微软雅黑"/>
          <w:bCs/>
          <w:color w:val="auto"/>
          <w:szCs w:val="21"/>
          <w:highlight w:val="none"/>
        </w:rPr>
        <w:t xml:space="preserve">在    年  月  日 </w:t>
      </w:r>
      <w:r>
        <w:rPr>
          <w:rFonts w:ascii="微软雅黑" w:hAnsi="微软雅黑" w:eastAsia="微软雅黑"/>
          <w:bCs/>
          <w:color w:val="auto"/>
          <w:szCs w:val="21"/>
          <w:highlight w:val="none"/>
        </w:rPr>
        <w:t xml:space="preserve"> </w:t>
      </w:r>
      <w:r>
        <w:rPr>
          <w:rFonts w:hint="eastAsia" w:ascii="微软雅黑" w:hAnsi="微软雅黑" w:eastAsia="微软雅黑"/>
          <w:bCs/>
          <w:color w:val="auto"/>
          <w:szCs w:val="21"/>
          <w:highlight w:val="none"/>
        </w:rPr>
        <w:t xml:space="preserve">时 </w:t>
      </w:r>
      <w:r>
        <w:rPr>
          <w:rFonts w:ascii="微软雅黑" w:hAnsi="微软雅黑" w:eastAsia="微软雅黑"/>
          <w:bCs/>
          <w:color w:val="auto"/>
          <w:szCs w:val="21"/>
          <w:highlight w:val="none"/>
        </w:rPr>
        <w:t xml:space="preserve"> </w:t>
      </w:r>
      <w:r>
        <w:rPr>
          <w:rFonts w:hint="eastAsia" w:ascii="微软雅黑" w:hAnsi="微软雅黑" w:eastAsia="微软雅黑"/>
          <w:bCs/>
          <w:color w:val="auto"/>
          <w:szCs w:val="21"/>
          <w:highlight w:val="none"/>
        </w:rPr>
        <w:t>分之前不得启封</w:t>
      </w:r>
    </w:p>
    <w:p w14:paraId="4FAFD0D3">
      <w:pPr>
        <w:pStyle w:val="5"/>
        <w:snapToGrid w:val="0"/>
        <w:spacing w:before="50" w:after="50" w:line="360" w:lineRule="auto"/>
        <w:ind w:firstLine="0"/>
        <w:rPr>
          <w:rFonts w:hint="eastAsia" w:ascii="微软雅黑" w:hAnsi="微软雅黑" w:eastAsia="微软雅黑"/>
          <w:bCs/>
          <w:color w:val="auto"/>
          <w:szCs w:val="21"/>
          <w:highlight w:val="none"/>
        </w:rPr>
      </w:pPr>
    </w:p>
    <w:p w14:paraId="26EAFE27">
      <w:pPr>
        <w:pStyle w:val="5"/>
        <w:snapToGrid w:val="0"/>
        <w:spacing w:before="50" w:after="50" w:line="360" w:lineRule="auto"/>
        <w:ind w:firstLine="934" w:firstLineChars="445"/>
        <w:rPr>
          <w:rFonts w:hint="eastAsia" w:ascii="微软雅黑" w:hAnsi="微软雅黑" w:eastAsia="微软雅黑"/>
          <w:bCs/>
          <w:color w:val="auto"/>
          <w:szCs w:val="21"/>
          <w:highlight w:val="none"/>
        </w:rPr>
      </w:pPr>
    </w:p>
    <w:p w14:paraId="2024ED4B">
      <w:pPr>
        <w:pStyle w:val="5"/>
        <w:snapToGrid w:val="0"/>
        <w:spacing w:before="50" w:after="50" w:line="360" w:lineRule="auto"/>
        <w:ind w:firstLine="4714" w:firstLineChars="2245"/>
        <w:rPr>
          <w:rFonts w:hint="eastAsia" w:ascii="微软雅黑" w:hAnsi="微软雅黑" w:eastAsia="微软雅黑"/>
          <w:bCs/>
          <w:color w:val="auto"/>
          <w:szCs w:val="21"/>
          <w:highlight w:val="none"/>
        </w:rPr>
      </w:pPr>
      <w:r>
        <w:rPr>
          <w:rFonts w:hint="eastAsia" w:ascii="微软雅黑" w:hAnsi="微软雅黑" w:eastAsia="微软雅黑"/>
          <w:color w:val="auto"/>
          <w:szCs w:val="21"/>
          <w:highlight w:val="none"/>
        </w:rPr>
        <w:t>（公章）</w:t>
      </w:r>
    </w:p>
    <w:p w14:paraId="43B028E4">
      <w:pPr>
        <w:snapToGrid w:val="0"/>
        <w:spacing w:before="156" w:beforeLines="50" w:after="50" w:line="360" w:lineRule="auto"/>
        <w:ind w:firstLine="645"/>
        <w:jc w:val="center"/>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日期：     年  月  日</w:t>
      </w:r>
    </w:p>
    <w:p w14:paraId="581D9A14">
      <w:pPr>
        <w:snapToGrid w:val="0"/>
        <w:spacing w:before="156" w:beforeLines="50" w:after="50" w:line="360" w:lineRule="auto"/>
        <w:ind w:firstLine="645"/>
        <w:jc w:val="center"/>
        <w:rPr>
          <w:rFonts w:hint="eastAsia" w:ascii="微软雅黑" w:hAnsi="微软雅黑" w:eastAsia="微软雅黑"/>
          <w:color w:val="auto"/>
          <w:szCs w:val="21"/>
          <w:highlight w:val="none"/>
        </w:rPr>
      </w:pPr>
    </w:p>
    <w:p w14:paraId="02ACD6A6">
      <w:pPr>
        <w:snapToGrid w:val="0"/>
        <w:spacing w:before="156" w:beforeLines="50" w:after="50"/>
        <w:rPr>
          <w:rFonts w:hint="eastAsia" w:ascii="微软雅黑" w:hAnsi="微软雅黑" w:eastAsia="微软雅黑"/>
          <w:b/>
          <w:color w:val="auto"/>
          <w:szCs w:val="21"/>
          <w:highlight w:val="none"/>
        </w:rPr>
      </w:pPr>
    </w:p>
    <w:p w14:paraId="3BB34891">
      <w:pPr>
        <w:snapToGrid w:val="0"/>
        <w:spacing w:before="156" w:beforeLines="50" w:after="50"/>
        <w:rPr>
          <w:rFonts w:hint="eastAsia" w:ascii="微软雅黑" w:hAnsi="微软雅黑" w:eastAsia="微软雅黑"/>
          <w:b/>
          <w:color w:val="auto"/>
          <w:szCs w:val="21"/>
          <w:highlight w:val="none"/>
        </w:rPr>
      </w:pPr>
    </w:p>
    <w:p w14:paraId="67F3A73C">
      <w:pPr>
        <w:snapToGrid w:val="0"/>
        <w:spacing w:before="156" w:beforeLines="50" w:after="50"/>
        <w:rPr>
          <w:rFonts w:hint="eastAsia" w:ascii="微软雅黑" w:hAnsi="微软雅黑" w:eastAsia="微软雅黑"/>
          <w:b/>
          <w:color w:val="auto"/>
          <w:szCs w:val="21"/>
          <w:highlight w:val="none"/>
        </w:rPr>
      </w:pPr>
    </w:p>
    <w:p w14:paraId="0963A15C">
      <w:pPr>
        <w:widowControl/>
        <w:jc w:val="left"/>
        <w:rPr>
          <w:rFonts w:hint="eastAsia" w:ascii="微软雅黑" w:hAnsi="微软雅黑" w:eastAsia="微软雅黑"/>
          <w:b/>
          <w:color w:val="auto"/>
          <w:szCs w:val="21"/>
          <w:highlight w:val="none"/>
        </w:rPr>
      </w:pPr>
      <w:r>
        <w:rPr>
          <w:rFonts w:ascii="微软雅黑" w:hAnsi="微软雅黑" w:eastAsia="微软雅黑"/>
          <w:b/>
          <w:color w:val="auto"/>
          <w:szCs w:val="21"/>
          <w:highlight w:val="none"/>
        </w:rPr>
        <w:br w:type="page"/>
      </w:r>
    </w:p>
    <w:p w14:paraId="4E3203DD">
      <w:pPr>
        <w:snapToGrid w:val="0"/>
        <w:spacing w:before="156" w:beforeLines="50" w:after="50"/>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rPr>
        <w:t>二、投标声明书格式</w:t>
      </w:r>
    </w:p>
    <w:p w14:paraId="6FCB0D06">
      <w:pPr>
        <w:snapToGrid w:val="0"/>
        <w:spacing w:line="360" w:lineRule="auto"/>
        <w:jc w:val="center"/>
        <w:rPr>
          <w:rFonts w:hint="eastAsia" w:ascii="微软雅黑" w:hAnsi="微软雅黑" w:eastAsia="微软雅黑"/>
          <w:b/>
          <w:color w:val="auto"/>
          <w:szCs w:val="21"/>
          <w:highlight w:val="none"/>
        </w:rPr>
      </w:pPr>
    </w:p>
    <w:p w14:paraId="5BBF93EB">
      <w:pPr>
        <w:snapToGrid w:val="0"/>
        <w:spacing w:line="360" w:lineRule="auto"/>
        <w:jc w:val="center"/>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rPr>
        <w:t>投标声明书</w:t>
      </w:r>
    </w:p>
    <w:p w14:paraId="5F9A7835">
      <w:pPr>
        <w:snapToGrid w:val="0"/>
        <w:spacing w:line="360" w:lineRule="auto"/>
        <w:jc w:val="center"/>
        <w:rPr>
          <w:rFonts w:hint="eastAsia" w:ascii="微软雅黑" w:hAnsi="微软雅黑" w:eastAsia="微软雅黑"/>
          <w:b/>
          <w:color w:val="auto"/>
          <w:szCs w:val="21"/>
          <w:highlight w:val="none"/>
        </w:rPr>
      </w:pPr>
    </w:p>
    <w:p w14:paraId="4402814A">
      <w:pPr>
        <w:snapToGrid w:val="0"/>
        <w:spacing w:line="50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致：</w:t>
      </w:r>
      <w:r>
        <w:rPr>
          <w:rFonts w:hint="eastAsia" w:ascii="微软雅黑" w:hAnsi="微软雅黑" w:eastAsia="微软雅黑"/>
          <w:color w:val="auto"/>
          <w:szCs w:val="21"/>
          <w:highlight w:val="none"/>
          <w:u w:val="single"/>
        </w:rPr>
        <w:t xml:space="preserve">             </w:t>
      </w:r>
    </w:p>
    <w:p w14:paraId="2F26CD46">
      <w:pPr>
        <w:snapToGrid w:val="0"/>
        <w:spacing w:line="500" w:lineRule="exact"/>
        <w:ind w:left="0" w:leftChars="0" w:firstLine="420" w:firstLineChars="200"/>
        <w:jc w:val="left"/>
        <w:rPr>
          <w:rFonts w:hint="eastAsia" w:ascii="微软雅黑" w:hAnsi="微软雅黑" w:eastAsia="微软雅黑"/>
          <w:color w:val="auto"/>
          <w:szCs w:val="21"/>
          <w:highlight w:val="none"/>
          <w:u w:val="single"/>
        </w:rPr>
      </w:pPr>
      <w:r>
        <w:rPr>
          <w:rFonts w:hint="eastAsia" w:ascii="微软雅黑" w:hAnsi="微软雅黑" w:eastAsia="微软雅黑"/>
          <w:color w:val="auto"/>
          <w:szCs w:val="21"/>
          <w:highlight w:val="none"/>
          <w:u w:val="single"/>
        </w:rPr>
        <w:t xml:space="preserve">             </w:t>
      </w:r>
      <w:r>
        <w:rPr>
          <w:rFonts w:hint="eastAsia" w:ascii="微软雅黑" w:hAnsi="微软雅黑" w:eastAsia="微软雅黑"/>
          <w:color w:val="auto"/>
          <w:szCs w:val="21"/>
          <w:highlight w:val="none"/>
        </w:rPr>
        <w:t>（投标人名称）系中华人民共和国合法企业，经营地址</w:t>
      </w:r>
      <w:r>
        <w:rPr>
          <w:rFonts w:hint="eastAsia" w:ascii="微软雅黑" w:hAnsi="微软雅黑" w:eastAsia="微软雅黑"/>
          <w:color w:val="auto"/>
          <w:szCs w:val="21"/>
          <w:highlight w:val="none"/>
          <w:u w:val="single"/>
        </w:rPr>
        <w:t xml:space="preserve">           。</w:t>
      </w:r>
    </w:p>
    <w:p w14:paraId="7E9DC4A7">
      <w:pPr>
        <w:snapToGrid w:val="0"/>
        <w:spacing w:line="500" w:lineRule="exact"/>
        <w:ind w:left="0" w:leftChars="0" w:firstLine="420" w:firstLineChars="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我</w:t>
      </w:r>
      <w:r>
        <w:rPr>
          <w:rFonts w:hint="eastAsia" w:ascii="微软雅黑" w:hAnsi="微软雅黑" w:eastAsia="微软雅黑"/>
          <w:color w:val="auto"/>
          <w:szCs w:val="21"/>
          <w:highlight w:val="none"/>
          <w:u w:val="single"/>
          <w:lang w:eastAsia="zh-CN"/>
        </w:rPr>
        <w:t>（</w:t>
      </w:r>
      <w:r>
        <w:rPr>
          <w:rFonts w:hint="eastAsia" w:ascii="微软雅黑" w:hAnsi="微软雅黑" w:eastAsia="微软雅黑"/>
          <w:color w:val="auto"/>
          <w:szCs w:val="21"/>
          <w:highlight w:val="none"/>
          <w:u w:val="single"/>
        </w:rPr>
        <w:t>姓名）</w:t>
      </w:r>
      <w:r>
        <w:rPr>
          <w:rFonts w:hint="eastAsia" w:ascii="微软雅黑" w:hAnsi="微软雅黑" w:eastAsia="微软雅黑"/>
          <w:color w:val="auto"/>
          <w:szCs w:val="21"/>
          <w:highlight w:val="none"/>
        </w:rPr>
        <w:t>系</w:t>
      </w:r>
      <w:r>
        <w:rPr>
          <w:rFonts w:hint="eastAsia" w:ascii="微软雅黑" w:hAnsi="微软雅黑" w:eastAsia="微软雅黑"/>
          <w:color w:val="auto"/>
          <w:szCs w:val="21"/>
          <w:highlight w:val="none"/>
          <w:u w:val="single"/>
        </w:rPr>
        <w:t>（投标人名称）</w:t>
      </w:r>
      <w:r>
        <w:rPr>
          <w:rFonts w:hint="eastAsia" w:ascii="微软雅黑" w:hAnsi="微软雅黑" w:eastAsia="微软雅黑"/>
          <w:color w:val="auto"/>
          <w:szCs w:val="21"/>
          <w:highlight w:val="none"/>
        </w:rPr>
        <w:t>的法定代表人（负责人），我方愿意参加贵方组织的</w:t>
      </w:r>
      <w:r>
        <w:rPr>
          <w:rFonts w:hint="eastAsia" w:ascii="微软雅黑" w:hAnsi="微软雅黑" w:eastAsia="微软雅黑" w:cs="Arial"/>
          <w:b/>
          <w:color w:val="auto"/>
          <w:szCs w:val="21"/>
          <w:highlight w:val="none"/>
          <w:u w:val="single"/>
          <w:lang w:eastAsia="zh-CN"/>
        </w:rPr>
        <w:t>秀洲区2025年度第一期财政资金竞争性存放项目</w:t>
      </w:r>
      <w:r>
        <w:rPr>
          <w:rFonts w:hint="eastAsia" w:ascii="微软雅黑" w:hAnsi="微软雅黑" w:eastAsia="微软雅黑"/>
          <w:color w:val="auto"/>
          <w:szCs w:val="21"/>
          <w:highlight w:val="none"/>
        </w:rPr>
        <w:t>的投标，为便于贵方公正、择优地确定中标人及其投标产品和服务，我方就本次投标有关事项郑重声明如下：</w:t>
      </w:r>
    </w:p>
    <w:p w14:paraId="058E2CCA">
      <w:pPr>
        <w:numPr>
          <w:ilvl w:val="0"/>
          <w:numId w:val="38"/>
        </w:numPr>
        <w:snapToGrid w:val="0"/>
        <w:spacing w:line="360" w:lineRule="auto"/>
        <w:ind w:left="0" w:firstLine="420" w:firstLineChars="20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我方向贵方提交的所有投标文件、资料都是准确的和真实的；</w:t>
      </w:r>
    </w:p>
    <w:p w14:paraId="3A58E713">
      <w:pPr>
        <w:numPr>
          <w:ilvl w:val="0"/>
          <w:numId w:val="38"/>
        </w:numPr>
        <w:snapToGrid w:val="0"/>
        <w:spacing w:line="360" w:lineRule="auto"/>
        <w:ind w:left="0" w:firstLine="420" w:firstLineChars="20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我方为银行嘉兴所在地区最高机构；</w:t>
      </w:r>
    </w:p>
    <w:p w14:paraId="7FA58563">
      <w:pPr>
        <w:numPr>
          <w:ilvl w:val="0"/>
          <w:numId w:val="38"/>
        </w:numPr>
        <w:snapToGrid w:val="0"/>
        <w:spacing w:line="360" w:lineRule="auto"/>
        <w:ind w:left="0" w:firstLine="420" w:firstLineChars="20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我方此次向贵方提供的产品为：</w:t>
      </w:r>
      <w:r>
        <w:rPr>
          <w:rFonts w:hint="eastAsia" w:ascii="微软雅黑" w:hAnsi="微软雅黑" w:eastAsia="微软雅黑" w:cs="Arial"/>
          <w:color w:val="auto"/>
          <w:szCs w:val="21"/>
          <w:highlight w:val="none"/>
          <w:u w:val="single"/>
        </w:rPr>
        <w:t>（</w:t>
      </w:r>
      <w:r>
        <w:rPr>
          <w:rFonts w:hint="eastAsia" w:ascii="微软雅黑" w:hAnsi="微软雅黑" w:eastAsia="微软雅黑"/>
          <w:color w:val="auto"/>
          <w:szCs w:val="21"/>
          <w:highlight w:val="none"/>
          <w:u w:val="single"/>
        </w:rPr>
        <w:t>一年期定期存款）</w:t>
      </w:r>
      <w:r>
        <w:rPr>
          <w:rFonts w:hint="eastAsia" w:ascii="微软雅黑" w:hAnsi="微软雅黑" w:eastAsia="微软雅黑"/>
          <w:color w:val="auto"/>
          <w:szCs w:val="21"/>
          <w:highlight w:val="none"/>
        </w:rPr>
        <w:t>；</w:t>
      </w:r>
    </w:p>
    <w:p w14:paraId="0BFB1DBB">
      <w:pPr>
        <w:numPr>
          <w:ilvl w:val="0"/>
          <w:numId w:val="38"/>
        </w:numPr>
        <w:snapToGrid w:val="0"/>
        <w:spacing w:line="360" w:lineRule="auto"/>
        <w:ind w:left="0" w:firstLine="420" w:firstLineChars="200"/>
        <w:rPr>
          <w:rFonts w:hint="eastAsia" w:ascii="微软雅黑" w:hAnsi="微软雅黑" w:eastAsia="微软雅黑"/>
          <w:color w:val="auto"/>
          <w:szCs w:val="21"/>
          <w:highlight w:val="none"/>
          <w:u w:val="single"/>
        </w:rPr>
      </w:pPr>
      <w:r>
        <w:rPr>
          <w:rFonts w:hint="eastAsia" w:ascii="微软雅黑" w:hAnsi="微软雅黑" w:eastAsia="微软雅黑"/>
          <w:color w:val="auto"/>
          <w:szCs w:val="21"/>
          <w:highlight w:val="none"/>
        </w:rPr>
        <w:t>采用条款费率为：</w:t>
      </w:r>
      <w:bookmarkStart w:id="116" w:name="_Hlk175751476"/>
      <w:r>
        <w:rPr>
          <w:rFonts w:hint="eastAsia" w:ascii="微软雅黑" w:hAnsi="微软雅黑" w:eastAsia="微软雅黑"/>
          <w:color w:val="auto"/>
          <w:szCs w:val="21"/>
          <w:highlight w:val="none"/>
          <w:u w:val="single"/>
        </w:rPr>
        <w:t>按中国人民银行公布的定期存款基准上浮基点（BP）进行报价</w:t>
      </w:r>
      <w:bookmarkEnd w:id="116"/>
      <w:r>
        <w:rPr>
          <w:rFonts w:hint="eastAsia" w:ascii="微软雅黑" w:hAnsi="微软雅黑" w:eastAsia="微软雅黑"/>
          <w:color w:val="auto"/>
          <w:szCs w:val="21"/>
          <w:highlight w:val="none"/>
          <w:u w:val="single"/>
        </w:rPr>
        <w:t>；</w:t>
      </w:r>
    </w:p>
    <w:p w14:paraId="3BB03EAA">
      <w:pPr>
        <w:pStyle w:val="18"/>
        <w:numPr>
          <w:ilvl w:val="0"/>
          <w:numId w:val="38"/>
        </w:numPr>
        <w:snapToGrid w:val="0"/>
        <w:spacing w:line="360" w:lineRule="auto"/>
        <w:ind w:left="0" w:firstLine="420" w:firstLineChars="200"/>
        <w:rPr>
          <w:rFonts w:hint="eastAsia" w:ascii="微软雅黑" w:hAnsi="微软雅黑" w:eastAsia="微软雅黑"/>
          <w:color w:val="auto"/>
          <w:spacing w:val="0"/>
          <w:sz w:val="21"/>
          <w:szCs w:val="21"/>
          <w:highlight w:val="none"/>
          <w:u w:val="single"/>
        </w:rPr>
      </w:pPr>
      <w:r>
        <w:rPr>
          <w:rFonts w:hint="eastAsia" w:ascii="微软雅黑" w:hAnsi="微软雅黑" w:eastAsia="微软雅黑"/>
          <w:color w:val="auto"/>
          <w:spacing w:val="0"/>
          <w:sz w:val="21"/>
          <w:szCs w:val="21"/>
          <w:highlight w:val="none"/>
        </w:rPr>
        <w:t>我方及由本人担任法定代表人（负责人）的其他机构最近三年内没有被通报或者被处罚的违规违法行为；</w:t>
      </w:r>
    </w:p>
    <w:p w14:paraId="7360CE48">
      <w:pPr>
        <w:numPr>
          <w:ilvl w:val="0"/>
          <w:numId w:val="38"/>
        </w:numPr>
        <w:snapToGrid w:val="0"/>
        <w:spacing w:line="360" w:lineRule="auto"/>
        <w:ind w:left="0" w:firstLine="420" w:firstLineChars="20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以上事项如有虚假或隐瞒，我方愿意承担一切后果，并不再寻求任何旨在减轻或免除法律责任的辩解。</w:t>
      </w:r>
    </w:p>
    <w:p w14:paraId="63D687C8">
      <w:pPr>
        <w:snapToGrid w:val="0"/>
        <w:spacing w:line="500" w:lineRule="exact"/>
        <w:ind w:firstLine="200"/>
        <w:rPr>
          <w:rFonts w:hint="eastAsia" w:ascii="微软雅黑" w:hAnsi="微软雅黑" w:eastAsia="微软雅黑"/>
          <w:color w:val="auto"/>
          <w:szCs w:val="21"/>
          <w:highlight w:val="none"/>
        </w:rPr>
      </w:pPr>
    </w:p>
    <w:p w14:paraId="3823E597">
      <w:pPr>
        <w:snapToGrid w:val="0"/>
        <w:spacing w:line="500" w:lineRule="exact"/>
        <w:ind w:firstLine="200"/>
        <w:rPr>
          <w:rFonts w:hint="eastAsia" w:ascii="微软雅黑" w:hAnsi="微软雅黑" w:eastAsia="微软雅黑"/>
          <w:color w:val="auto"/>
          <w:szCs w:val="21"/>
          <w:highlight w:val="none"/>
          <w:u w:val="single"/>
        </w:rPr>
      </w:pPr>
      <w:r>
        <w:rPr>
          <w:rFonts w:hint="eastAsia" w:ascii="微软雅黑" w:hAnsi="微软雅黑" w:eastAsia="微软雅黑"/>
          <w:color w:val="auto"/>
          <w:szCs w:val="21"/>
          <w:highlight w:val="none"/>
        </w:rPr>
        <w:t>法定代表人（负责人）签字或盖章：</w:t>
      </w:r>
    </w:p>
    <w:p w14:paraId="542B94D7">
      <w:pPr>
        <w:spacing w:line="50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  （公章）</w:t>
      </w:r>
    </w:p>
    <w:p w14:paraId="26F9E4C8">
      <w:pPr>
        <w:snapToGrid w:val="0"/>
        <w:spacing w:line="500" w:lineRule="exact"/>
        <w:ind w:firstLine="3675" w:firstLineChars="175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日期：    年  月  日</w:t>
      </w:r>
    </w:p>
    <w:p w14:paraId="5BCA9CFA">
      <w:pPr>
        <w:widowControl/>
        <w:jc w:val="left"/>
        <w:rPr>
          <w:rFonts w:hint="eastAsia" w:ascii="微软雅黑" w:hAnsi="微软雅黑" w:eastAsia="微软雅黑"/>
          <w:b/>
          <w:color w:val="auto"/>
          <w:szCs w:val="21"/>
          <w:highlight w:val="none"/>
        </w:rPr>
      </w:pPr>
      <w:r>
        <w:rPr>
          <w:rFonts w:ascii="微软雅黑" w:hAnsi="微软雅黑" w:eastAsia="微软雅黑"/>
          <w:b/>
          <w:color w:val="auto"/>
          <w:szCs w:val="21"/>
          <w:highlight w:val="none"/>
        </w:rPr>
        <w:br w:type="page"/>
      </w:r>
      <w:r>
        <w:rPr>
          <w:rFonts w:hint="eastAsia" w:ascii="微软雅黑" w:hAnsi="微软雅黑" w:eastAsia="微软雅黑"/>
          <w:b/>
          <w:color w:val="auto"/>
          <w:szCs w:val="21"/>
          <w:highlight w:val="none"/>
        </w:rPr>
        <w:t>三、法定代表人（负责人）授权委托书格式</w:t>
      </w:r>
    </w:p>
    <w:p w14:paraId="06F5183D">
      <w:pPr>
        <w:snapToGrid w:val="0"/>
        <w:spacing w:before="156" w:beforeLines="50" w:after="50"/>
        <w:jc w:val="center"/>
        <w:rPr>
          <w:rFonts w:hint="eastAsia" w:ascii="微软雅黑" w:hAnsi="微软雅黑" w:eastAsia="微软雅黑"/>
          <w:color w:val="auto"/>
          <w:szCs w:val="21"/>
          <w:highlight w:val="none"/>
        </w:rPr>
      </w:pPr>
    </w:p>
    <w:p w14:paraId="03AF817A">
      <w:pPr>
        <w:snapToGrid w:val="0"/>
        <w:spacing w:line="360" w:lineRule="auto"/>
        <w:jc w:val="center"/>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rPr>
        <w:t>法定代表人（负责人）授权委托书</w:t>
      </w:r>
    </w:p>
    <w:p w14:paraId="7F06EA53">
      <w:pPr>
        <w:snapToGrid w:val="0"/>
        <w:spacing w:line="360" w:lineRule="auto"/>
        <w:rPr>
          <w:rFonts w:hint="eastAsia" w:ascii="微软雅黑" w:hAnsi="微软雅黑" w:eastAsia="微软雅黑"/>
          <w:bCs/>
          <w:color w:val="auto"/>
          <w:szCs w:val="21"/>
          <w:highlight w:val="none"/>
        </w:rPr>
      </w:pPr>
    </w:p>
    <w:p w14:paraId="47587D85">
      <w:pPr>
        <w:snapToGrid w:val="0"/>
        <w:spacing w:line="360" w:lineRule="auto"/>
        <w:rPr>
          <w:rFonts w:hint="eastAsia" w:ascii="微软雅黑" w:hAnsi="微软雅黑" w:eastAsia="微软雅黑"/>
          <w:b/>
          <w:bCs/>
          <w:color w:val="auto"/>
          <w:szCs w:val="21"/>
          <w:highlight w:val="none"/>
        </w:rPr>
      </w:pPr>
      <w:r>
        <w:rPr>
          <w:rFonts w:hint="eastAsia" w:ascii="微软雅黑" w:hAnsi="微软雅黑" w:eastAsia="微软雅黑"/>
          <w:bCs/>
          <w:color w:val="auto"/>
          <w:szCs w:val="21"/>
          <w:highlight w:val="none"/>
        </w:rPr>
        <w:t>致：</w:t>
      </w:r>
      <w:r>
        <w:rPr>
          <w:rFonts w:hint="eastAsia" w:ascii="微软雅黑" w:hAnsi="微软雅黑" w:eastAsia="微软雅黑"/>
          <w:color w:val="auto"/>
          <w:szCs w:val="21"/>
          <w:highlight w:val="none"/>
          <w:u w:val="single"/>
        </w:rPr>
        <w:t xml:space="preserve">             </w:t>
      </w:r>
    </w:p>
    <w:p w14:paraId="28D42B76">
      <w:pPr>
        <w:snapToGrid w:val="0"/>
        <w:spacing w:line="360" w:lineRule="auto"/>
        <w:ind w:firstLine="424" w:firstLineChars="202"/>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我</w:t>
      </w:r>
      <w:r>
        <w:rPr>
          <w:rFonts w:hint="eastAsia" w:ascii="微软雅黑" w:hAnsi="微软雅黑" w:eastAsia="微软雅黑"/>
          <w:color w:val="auto"/>
          <w:szCs w:val="21"/>
          <w:highlight w:val="none"/>
          <w:u w:val="single"/>
        </w:rPr>
        <w:t xml:space="preserve">             </w:t>
      </w:r>
      <w:r>
        <w:rPr>
          <w:rFonts w:hint="eastAsia" w:ascii="微软雅黑" w:hAnsi="微软雅黑" w:eastAsia="微软雅黑"/>
          <w:color w:val="auto"/>
          <w:szCs w:val="21"/>
          <w:highlight w:val="none"/>
        </w:rPr>
        <w:t>（姓名）系</w:t>
      </w:r>
      <w:r>
        <w:rPr>
          <w:rFonts w:hint="eastAsia" w:ascii="微软雅黑" w:hAnsi="微软雅黑" w:eastAsia="微软雅黑"/>
          <w:color w:val="auto"/>
          <w:szCs w:val="21"/>
          <w:highlight w:val="none"/>
          <w:u w:val="single"/>
        </w:rPr>
        <w:t xml:space="preserve">             </w:t>
      </w:r>
      <w:r>
        <w:rPr>
          <w:rFonts w:hint="eastAsia" w:ascii="微软雅黑" w:hAnsi="微软雅黑" w:eastAsia="微软雅黑"/>
          <w:color w:val="auto"/>
          <w:szCs w:val="21"/>
          <w:highlight w:val="none"/>
        </w:rPr>
        <w:t xml:space="preserve">（投标人名称）的法定代表人（负责人），现授权委托本单位在职职工 </w:t>
      </w:r>
      <w:r>
        <w:rPr>
          <w:rFonts w:hint="eastAsia" w:ascii="微软雅黑" w:hAnsi="微软雅黑" w:eastAsia="微软雅黑"/>
          <w:color w:val="auto"/>
          <w:szCs w:val="21"/>
          <w:highlight w:val="none"/>
          <w:u w:val="single"/>
        </w:rPr>
        <w:t xml:space="preserve">             </w:t>
      </w:r>
      <w:r>
        <w:rPr>
          <w:rFonts w:hint="eastAsia" w:ascii="微软雅黑" w:hAnsi="微软雅黑" w:eastAsia="微软雅黑"/>
          <w:color w:val="auto"/>
          <w:szCs w:val="21"/>
          <w:highlight w:val="none"/>
        </w:rPr>
        <w:t>（姓名）以我方的名义参加</w:t>
      </w:r>
      <w:r>
        <w:rPr>
          <w:rFonts w:hint="eastAsia" w:ascii="微软雅黑" w:hAnsi="微软雅黑" w:eastAsia="微软雅黑"/>
          <w:b/>
          <w:bCs/>
          <w:color w:val="auto"/>
          <w:szCs w:val="21"/>
          <w:highlight w:val="none"/>
          <w:u w:val="single"/>
          <w:lang w:eastAsia="zh-CN"/>
        </w:rPr>
        <w:t>秀洲区2025年度第一期财政资金竞争性存放项目</w:t>
      </w:r>
      <w:r>
        <w:rPr>
          <w:rFonts w:hint="eastAsia" w:ascii="微软雅黑" w:hAnsi="微软雅黑" w:eastAsia="微软雅黑"/>
          <w:color w:val="auto"/>
          <w:szCs w:val="21"/>
          <w:highlight w:val="none"/>
        </w:rPr>
        <w:t>的投标活动，并代表我方全权办理针对上述项目的投标、开标、评标、签约等具体事务和签署相关文件。</w:t>
      </w:r>
    </w:p>
    <w:p w14:paraId="6E942708">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    我方对被授权人的签名事项负全部责任。</w:t>
      </w:r>
    </w:p>
    <w:p w14:paraId="44AA3D97">
      <w:pPr>
        <w:snapToGrid w:val="0"/>
        <w:spacing w:line="360" w:lineRule="auto"/>
        <w:ind w:firstLine="426"/>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在撤销授权的书面通知以前，本授权书一直有效。被授权人在授权书有效期内签署的所有文件不因授权的撤销而失效。</w:t>
      </w:r>
    </w:p>
    <w:p w14:paraId="5209A20C">
      <w:pPr>
        <w:snapToGrid w:val="0"/>
        <w:spacing w:line="360" w:lineRule="auto"/>
        <w:ind w:firstLine="426"/>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被授权人无转委托权，特此委托。</w:t>
      </w:r>
    </w:p>
    <w:p w14:paraId="569A782E">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法定代表人（负责人）签字或盖章：</w:t>
      </w:r>
    </w:p>
    <w:p w14:paraId="7F016409">
      <w:pPr>
        <w:snapToGrid w:val="0"/>
        <w:spacing w:line="360" w:lineRule="auto"/>
        <w:rPr>
          <w:rFonts w:hint="eastAsia" w:ascii="微软雅黑" w:hAnsi="微软雅黑" w:eastAsia="微软雅黑"/>
          <w:color w:val="auto"/>
          <w:szCs w:val="21"/>
          <w:highlight w:val="none"/>
          <w:u w:val="single"/>
        </w:rPr>
      </w:pPr>
      <w:r>
        <w:rPr>
          <w:rFonts w:hint="eastAsia" w:ascii="微软雅黑" w:hAnsi="微软雅黑" w:eastAsia="微软雅黑"/>
          <w:color w:val="auto"/>
          <w:szCs w:val="21"/>
          <w:highlight w:val="none"/>
        </w:rPr>
        <w:t>被授权人签名：</w:t>
      </w:r>
    </w:p>
    <w:p w14:paraId="7367999D">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被授权人身份证号码：</w:t>
      </w:r>
    </w:p>
    <w:p w14:paraId="687D0F0C">
      <w:pPr>
        <w:snapToGrid w:val="0"/>
        <w:spacing w:line="360" w:lineRule="auto"/>
        <w:rPr>
          <w:rFonts w:hint="eastAsia" w:ascii="微软雅黑" w:hAnsi="微软雅黑" w:eastAsia="微软雅黑"/>
          <w:color w:val="auto"/>
          <w:szCs w:val="21"/>
          <w:highlight w:val="none"/>
        </w:rPr>
      </w:pPr>
    </w:p>
    <w:p w14:paraId="20B738AC">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 （公章）</w:t>
      </w:r>
    </w:p>
    <w:p w14:paraId="3005D4E2">
      <w:pPr>
        <w:snapToGrid w:val="0"/>
        <w:spacing w:line="360" w:lineRule="auto"/>
        <w:jc w:val="center"/>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日期：   年   月   日</w:t>
      </w:r>
    </w:p>
    <w:p w14:paraId="6AC4B6FE">
      <w:pPr>
        <w:snapToGrid w:val="0"/>
        <w:spacing w:line="360" w:lineRule="auto"/>
        <w:rPr>
          <w:rFonts w:hint="eastAsia" w:ascii="微软雅黑" w:hAnsi="微软雅黑" w:eastAsia="微软雅黑"/>
          <w:color w:val="auto"/>
          <w:szCs w:val="21"/>
          <w:highlight w:val="none"/>
        </w:rPr>
      </w:pPr>
    </w:p>
    <w:p w14:paraId="17AD26C3">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法定代表人（负责人）身份证复印件（正反面）：</w:t>
      </w:r>
    </w:p>
    <w:p w14:paraId="68B4BD50">
      <w:pPr>
        <w:snapToGrid w:val="0"/>
        <w:spacing w:line="360" w:lineRule="auto"/>
        <w:rPr>
          <w:rFonts w:hint="eastAsia" w:ascii="微软雅黑" w:hAnsi="微软雅黑" w:eastAsia="微软雅黑"/>
          <w:color w:val="auto"/>
          <w:szCs w:val="21"/>
          <w:highlight w:val="none"/>
        </w:rPr>
      </w:pPr>
    </w:p>
    <w:p w14:paraId="78CF81EC">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被授权人身份证复印件（正反面）：</w:t>
      </w:r>
    </w:p>
    <w:p w14:paraId="4BB82F19">
      <w:pPr>
        <w:snapToGrid w:val="0"/>
        <w:spacing w:line="360" w:lineRule="auto"/>
        <w:rPr>
          <w:rFonts w:hint="eastAsia" w:ascii="微软雅黑" w:hAnsi="微软雅黑" w:eastAsia="微软雅黑"/>
          <w:color w:val="auto"/>
          <w:szCs w:val="21"/>
          <w:highlight w:val="none"/>
        </w:rPr>
      </w:pPr>
    </w:p>
    <w:p w14:paraId="73F3AF5D">
      <w:pPr>
        <w:widowControl/>
        <w:jc w:val="left"/>
        <w:rPr>
          <w:rFonts w:hint="eastAsia" w:ascii="微软雅黑" w:hAnsi="微软雅黑" w:eastAsia="微软雅黑"/>
          <w:b/>
          <w:color w:val="auto"/>
          <w:szCs w:val="21"/>
          <w:highlight w:val="none"/>
        </w:rPr>
      </w:pPr>
      <w:r>
        <w:rPr>
          <w:rFonts w:ascii="微软雅黑" w:hAnsi="微软雅黑" w:eastAsia="微软雅黑"/>
          <w:b/>
          <w:color w:val="auto"/>
          <w:szCs w:val="21"/>
          <w:highlight w:val="none"/>
        </w:rPr>
        <w:br w:type="page"/>
      </w:r>
      <w:r>
        <w:rPr>
          <w:rFonts w:hint="eastAsia" w:ascii="微软雅黑" w:hAnsi="微软雅黑" w:eastAsia="微软雅黑"/>
          <w:b/>
          <w:color w:val="auto"/>
          <w:szCs w:val="21"/>
          <w:highlight w:val="none"/>
        </w:rPr>
        <w:t>四、投标函格式</w:t>
      </w:r>
    </w:p>
    <w:p w14:paraId="669B8875">
      <w:pPr>
        <w:snapToGrid w:val="0"/>
        <w:spacing w:before="156" w:beforeLines="50" w:after="50"/>
        <w:rPr>
          <w:rFonts w:hint="eastAsia" w:ascii="微软雅黑" w:hAnsi="微软雅黑" w:eastAsia="微软雅黑"/>
          <w:b/>
          <w:color w:val="auto"/>
          <w:szCs w:val="21"/>
          <w:highlight w:val="none"/>
        </w:rPr>
      </w:pPr>
    </w:p>
    <w:p w14:paraId="77CECC23">
      <w:pPr>
        <w:snapToGrid w:val="0"/>
        <w:spacing w:before="156" w:beforeLines="50" w:after="50"/>
        <w:jc w:val="center"/>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rPr>
        <w:t>投 标 函</w:t>
      </w:r>
    </w:p>
    <w:p w14:paraId="537A6089">
      <w:pPr>
        <w:snapToGrid w:val="0"/>
        <w:spacing w:line="360" w:lineRule="auto"/>
        <w:rPr>
          <w:rFonts w:hint="eastAsia" w:ascii="微软雅黑" w:hAnsi="微软雅黑" w:eastAsia="微软雅黑"/>
          <w:color w:val="auto"/>
          <w:szCs w:val="21"/>
          <w:highlight w:val="none"/>
        </w:rPr>
      </w:pPr>
    </w:p>
    <w:p w14:paraId="18D6517F">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致：</w:t>
      </w:r>
      <w:r>
        <w:rPr>
          <w:rFonts w:hint="eastAsia" w:ascii="微软雅黑" w:hAnsi="微软雅黑" w:eastAsia="微软雅黑"/>
          <w:b/>
          <w:color w:val="auto"/>
          <w:szCs w:val="21"/>
          <w:highlight w:val="none"/>
          <w:lang w:eastAsia="zh-CN"/>
        </w:rPr>
        <w:t>嘉兴市秀洲区财政局</w:t>
      </w:r>
      <w:r>
        <w:rPr>
          <w:rFonts w:hint="eastAsia" w:ascii="微软雅黑" w:hAnsi="微软雅黑" w:eastAsia="微软雅黑"/>
          <w:color w:val="auto"/>
          <w:szCs w:val="21"/>
          <w:highlight w:val="none"/>
        </w:rPr>
        <w:t>：</w:t>
      </w:r>
    </w:p>
    <w:p w14:paraId="710133ED">
      <w:pPr>
        <w:snapToGrid w:val="0"/>
        <w:spacing w:line="360" w:lineRule="auto"/>
        <w:ind w:firstLine="480"/>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根据贵方</w:t>
      </w:r>
      <w:r>
        <w:rPr>
          <w:rFonts w:hint="eastAsia" w:ascii="微软雅黑" w:hAnsi="微软雅黑" w:eastAsia="微软雅黑"/>
          <w:b/>
          <w:color w:val="auto"/>
          <w:szCs w:val="21"/>
          <w:highlight w:val="none"/>
          <w:u w:val="single"/>
          <w:lang w:eastAsia="zh-CN"/>
        </w:rPr>
        <w:t>秀洲区2025年度第一期财政资金竞争性存放项目</w:t>
      </w:r>
      <w:r>
        <w:rPr>
          <w:rFonts w:hint="eastAsia" w:ascii="微软雅黑" w:hAnsi="微软雅黑" w:eastAsia="微软雅黑"/>
          <w:color w:val="auto"/>
          <w:szCs w:val="21"/>
          <w:highlight w:val="none"/>
        </w:rPr>
        <w:t>的招标公告〔项目编号：</w:t>
      </w:r>
      <w:r>
        <w:rPr>
          <w:rFonts w:hint="eastAsia" w:ascii="微软雅黑" w:hAnsi="微软雅黑" w:eastAsia="微软雅黑"/>
          <w:bCs/>
          <w:color w:val="auto"/>
          <w:szCs w:val="21"/>
          <w:highlight w:val="none"/>
          <w:u w:val="single"/>
          <w:lang w:eastAsia="zh-CN"/>
        </w:rPr>
        <w:t>千秋-XZCF（2025）第07号</w:t>
      </w:r>
      <w:r>
        <w:rPr>
          <w:rFonts w:hint="eastAsia" w:ascii="微软雅黑" w:hAnsi="微软雅黑" w:eastAsia="微软雅黑"/>
          <w:color w:val="auto"/>
          <w:szCs w:val="21"/>
          <w:highlight w:val="none"/>
        </w:rPr>
        <w:t>〕，被授权人</w:t>
      </w:r>
      <w:r>
        <w:rPr>
          <w:rFonts w:hint="eastAsia" w:ascii="微软雅黑" w:hAnsi="微软雅黑" w:eastAsia="微软雅黑"/>
          <w:color w:val="auto"/>
          <w:szCs w:val="21"/>
          <w:highlight w:val="none"/>
          <w:u w:val="single"/>
        </w:rPr>
        <w:t>（姓名）</w:t>
      </w:r>
      <w:r>
        <w:rPr>
          <w:rFonts w:hint="eastAsia" w:ascii="微软雅黑" w:hAnsi="微软雅黑" w:eastAsia="微软雅黑"/>
          <w:color w:val="auto"/>
          <w:szCs w:val="21"/>
          <w:highlight w:val="none"/>
        </w:rPr>
        <w:t>经正式授权并代表投标人</w:t>
      </w:r>
      <w:r>
        <w:rPr>
          <w:rFonts w:hint="eastAsia" w:ascii="微软雅黑" w:hAnsi="微软雅黑" w:eastAsia="微软雅黑"/>
          <w:color w:val="auto"/>
          <w:szCs w:val="21"/>
          <w:highlight w:val="none"/>
          <w:u w:val="single"/>
        </w:rPr>
        <w:t xml:space="preserve">_       </w:t>
      </w:r>
      <w:r>
        <w:rPr>
          <w:rFonts w:hint="eastAsia" w:ascii="微软雅黑" w:hAnsi="微软雅黑" w:eastAsia="微软雅黑"/>
          <w:color w:val="auto"/>
          <w:szCs w:val="21"/>
          <w:highlight w:val="none"/>
        </w:rPr>
        <w:t>（投标人名称）提交资信技术文件、报价文件</w:t>
      </w:r>
      <w:r>
        <w:rPr>
          <w:rFonts w:hint="eastAsia" w:ascii="微软雅黑" w:hAnsi="微软雅黑" w:eastAsia="微软雅黑"/>
          <w:color w:val="auto"/>
          <w:szCs w:val="21"/>
          <w:highlight w:val="none"/>
          <w:u w:val="single"/>
        </w:rPr>
        <w:t>正本一份、副本一份</w:t>
      </w:r>
      <w:r>
        <w:rPr>
          <w:rFonts w:hint="eastAsia" w:ascii="微软雅黑" w:hAnsi="微软雅黑" w:eastAsia="微软雅黑"/>
          <w:color w:val="auto"/>
          <w:szCs w:val="21"/>
          <w:highlight w:val="none"/>
        </w:rPr>
        <w:t>。</w:t>
      </w:r>
    </w:p>
    <w:p w14:paraId="5631ED2E">
      <w:pPr>
        <w:snapToGrid w:val="0"/>
        <w:spacing w:line="360" w:lineRule="auto"/>
        <w:ind w:firstLine="420" w:firstLineChars="20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据此函，签字代表宣布同意如下：</w:t>
      </w:r>
    </w:p>
    <w:p w14:paraId="5464CEB5">
      <w:pPr>
        <w:snapToGrid w:val="0"/>
        <w:spacing w:line="360" w:lineRule="auto"/>
        <w:ind w:firstLine="420" w:firstLineChars="20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1、投标人已详细审查全部“招标文件”，包括修改文件（如有的话）以及全部参考资料和有关附件，已经了解我方对于招标文件、招标过程、招标结果有依法进行询问、质疑、投诉的权利及相关渠道和要求。</w:t>
      </w:r>
    </w:p>
    <w:p w14:paraId="3A5ADD28">
      <w:pPr>
        <w:snapToGrid w:val="0"/>
        <w:spacing w:line="360" w:lineRule="auto"/>
        <w:ind w:firstLine="420" w:firstLineChars="20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2、投标人在投标之前已经与贵方进行了充分的沟通，完全理解并接受招标文件的各项规定和要求，对招标文件的合理性、合法性不再有异议。</w:t>
      </w:r>
    </w:p>
    <w:p w14:paraId="4AE3147B">
      <w:pPr>
        <w:snapToGrid w:val="0"/>
        <w:spacing w:line="360" w:lineRule="auto"/>
        <w:ind w:firstLine="420" w:firstLineChars="20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3、本投标有效期自开标日起60日。</w:t>
      </w:r>
    </w:p>
    <w:p w14:paraId="0495A16E">
      <w:pPr>
        <w:snapToGrid w:val="0"/>
        <w:spacing w:line="360" w:lineRule="auto"/>
        <w:ind w:firstLine="420" w:firstLineChars="20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4、如中标，本投标文件至本项目合同履行完毕止均保持有效，本投标人将按“招标文件”及招投标法律、法规的规定履行合同责任和义务。</w:t>
      </w:r>
    </w:p>
    <w:p w14:paraId="7B5EBE44">
      <w:pPr>
        <w:snapToGrid w:val="0"/>
        <w:spacing w:line="360" w:lineRule="auto"/>
        <w:ind w:firstLine="420" w:firstLineChars="20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5、投标人同意按照贵方要求提供与投标有关的一切数据或资料。</w:t>
      </w:r>
    </w:p>
    <w:p w14:paraId="7CB63794">
      <w:pPr>
        <w:snapToGrid w:val="0"/>
        <w:spacing w:line="360" w:lineRule="auto"/>
        <w:ind w:firstLine="420" w:firstLineChars="20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6、与本投标有关的一切正式往来信函请寄：</w:t>
      </w:r>
    </w:p>
    <w:p w14:paraId="757F12C9">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地址：___________________邮编：____</w:t>
      </w:r>
      <w:r>
        <w:rPr>
          <w:rFonts w:hint="eastAsia" w:ascii="微软雅黑" w:hAnsi="微软雅黑" w:eastAsia="微软雅黑"/>
          <w:color w:val="auto"/>
          <w:szCs w:val="21"/>
          <w:highlight w:val="none"/>
          <w:u w:val="single"/>
        </w:rPr>
        <w:t>_   _</w:t>
      </w:r>
      <w:r>
        <w:rPr>
          <w:rFonts w:hint="eastAsia" w:ascii="微软雅黑" w:hAnsi="微软雅黑" w:eastAsia="微软雅黑"/>
          <w:color w:val="auto"/>
          <w:szCs w:val="21"/>
          <w:highlight w:val="none"/>
        </w:rPr>
        <w:t>___传真：__</w:t>
      </w:r>
      <w:r>
        <w:rPr>
          <w:rFonts w:hint="eastAsia" w:ascii="微软雅黑" w:hAnsi="微软雅黑" w:eastAsia="微软雅黑"/>
          <w:color w:val="auto"/>
          <w:szCs w:val="21"/>
          <w:highlight w:val="none"/>
          <w:u w:val="single"/>
        </w:rPr>
        <w:t>__ _____</w:t>
      </w:r>
    </w:p>
    <w:p w14:paraId="2700AA1F">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被授权人姓名 _________________  电话：_________________</w:t>
      </w:r>
    </w:p>
    <w:p w14:paraId="5F8B3FE6">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被授权人签字:_________________   </w:t>
      </w:r>
    </w:p>
    <w:p w14:paraId="7C1F562F">
      <w:pPr>
        <w:snapToGrid w:val="0"/>
        <w:spacing w:line="360" w:lineRule="auto"/>
        <w:jc w:val="lef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(公章)</w:t>
      </w:r>
    </w:p>
    <w:p w14:paraId="593A3E09">
      <w:pPr>
        <w:snapToGrid w:val="0"/>
        <w:spacing w:line="360" w:lineRule="auto"/>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 xml:space="preserve">日期: </w:t>
      </w:r>
      <w:r>
        <w:rPr>
          <w:rFonts w:hint="eastAsia" w:ascii="微软雅黑" w:hAnsi="微软雅黑" w:eastAsia="微软雅黑"/>
          <w:color w:val="auto"/>
          <w:szCs w:val="21"/>
          <w:highlight w:val="none"/>
          <w:u w:val="single"/>
        </w:rPr>
        <w:t xml:space="preserve">    </w:t>
      </w:r>
      <w:r>
        <w:rPr>
          <w:rFonts w:hint="eastAsia" w:ascii="微软雅黑" w:hAnsi="微软雅黑" w:eastAsia="微软雅黑"/>
          <w:color w:val="auto"/>
          <w:szCs w:val="21"/>
          <w:highlight w:val="none"/>
        </w:rPr>
        <w:t>年___月___日</w:t>
      </w:r>
    </w:p>
    <w:p w14:paraId="2A6ACDF1">
      <w:pPr>
        <w:widowControl/>
        <w:jc w:val="left"/>
        <w:rPr>
          <w:rFonts w:hint="eastAsia" w:ascii="微软雅黑" w:hAnsi="微软雅黑" w:eastAsia="微软雅黑"/>
          <w:b/>
          <w:color w:val="auto"/>
          <w:szCs w:val="21"/>
          <w:highlight w:val="none"/>
        </w:rPr>
      </w:pPr>
      <w:r>
        <w:rPr>
          <w:rFonts w:ascii="微软雅黑" w:hAnsi="微软雅黑" w:eastAsia="微软雅黑"/>
          <w:b/>
          <w:color w:val="auto"/>
          <w:szCs w:val="21"/>
          <w:highlight w:val="none"/>
        </w:rPr>
        <w:br w:type="page"/>
      </w:r>
      <w:r>
        <w:rPr>
          <w:rFonts w:hint="eastAsia" w:ascii="微软雅黑" w:hAnsi="微软雅黑" w:eastAsia="微软雅黑"/>
          <w:b/>
          <w:color w:val="auto"/>
          <w:szCs w:val="21"/>
          <w:highlight w:val="none"/>
        </w:rPr>
        <w:t>五、投标报价表格式</w:t>
      </w:r>
    </w:p>
    <w:p w14:paraId="5E6B54E4">
      <w:pPr>
        <w:spacing w:line="500" w:lineRule="exact"/>
        <w:ind w:firstLine="420" w:firstLineChars="200"/>
        <w:jc w:val="center"/>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lang w:eastAsia="zh-CN"/>
        </w:rPr>
        <w:t>秀洲区2025年度第一期财政资金竞争性存放项目</w:t>
      </w:r>
    </w:p>
    <w:p w14:paraId="56A48D76">
      <w:pPr>
        <w:spacing w:line="500" w:lineRule="exact"/>
        <w:ind w:firstLine="420" w:firstLineChars="200"/>
        <w:jc w:val="center"/>
        <w:rPr>
          <w:rFonts w:hint="eastAsia" w:ascii="微软雅黑" w:hAnsi="微软雅黑" w:eastAsia="微软雅黑"/>
          <w:b/>
          <w:color w:val="auto"/>
          <w:szCs w:val="21"/>
          <w:highlight w:val="none"/>
        </w:rPr>
      </w:pPr>
      <w:r>
        <w:rPr>
          <w:rFonts w:hint="eastAsia" w:ascii="微软雅黑" w:hAnsi="微软雅黑" w:eastAsia="微软雅黑"/>
          <w:b/>
          <w:color w:val="auto"/>
          <w:szCs w:val="21"/>
          <w:highlight w:val="none"/>
        </w:rPr>
        <w:t>投标报价一览表</w:t>
      </w:r>
    </w:p>
    <w:p w14:paraId="01D3D185">
      <w:pPr>
        <w:spacing w:line="400" w:lineRule="exact"/>
        <w:jc w:val="center"/>
        <w:rPr>
          <w:rFonts w:hint="eastAsia" w:ascii="微软雅黑" w:hAnsi="微软雅黑" w:eastAsia="微软雅黑"/>
          <w:color w:val="auto"/>
          <w:szCs w:val="21"/>
          <w:highlight w:val="none"/>
          <w:u w:val="single"/>
        </w:rPr>
      </w:pPr>
    </w:p>
    <w:p w14:paraId="36199324">
      <w:pPr>
        <w:spacing w:line="400" w:lineRule="exact"/>
        <w:rPr>
          <w:rFonts w:hint="eastAsia" w:ascii="微软雅黑" w:hAnsi="微软雅黑" w:eastAsia="微软雅黑"/>
          <w:color w:val="auto"/>
          <w:szCs w:val="21"/>
          <w:highlight w:val="none"/>
          <w:lang w:eastAsia="zh-CN"/>
        </w:rPr>
      </w:pPr>
      <w:r>
        <w:rPr>
          <w:rFonts w:hint="eastAsia" w:ascii="微软雅黑" w:hAnsi="微软雅黑" w:eastAsia="微软雅黑"/>
          <w:color w:val="auto"/>
          <w:szCs w:val="21"/>
          <w:highlight w:val="none"/>
        </w:rPr>
        <w:t>致：</w:t>
      </w:r>
      <w:r>
        <w:rPr>
          <w:rFonts w:hint="eastAsia" w:ascii="微软雅黑" w:hAnsi="微软雅黑" w:eastAsia="微软雅黑"/>
          <w:color w:val="auto"/>
          <w:highlight w:val="none"/>
          <w:lang w:eastAsia="zh-CN"/>
        </w:rPr>
        <w:t>嘉兴市秀洲区财政局</w:t>
      </w:r>
    </w:p>
    <w:p w14:paraId="0E2E8BEC">
      <w:pPr>
        <w:spacing w:line="400" w:lineRule="exact"/>
        <w:ind w:firstLine="420" w:firstLineChars="200"/>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我单位承诺：本投标书由我单位授权人(被授权人)填写，内容真实、准确、完整。</w:t>
      </w:r>
    </w:p>
    <w:p w14:paraId="2ABA9DEC">
      <w:pPr>
        <w:spacing w:line="40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投标人名称：________________________________________________</w:t>
      </w:r>
    </w:p>
    <w:p w14:paraId="5449419F">
      <w:pPr>
        <w:spacing w:line="40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被授权人姓名：___________________ 联系电话：________________</w:t>
      </w:r>
    </w:p>
    <w:p w14:paraId="19675744">
      <w:pPr>
        <w:spacing w:line="400" w:lineRule="exact"/>
        <w:rPr>
          <w:rFonts w:hint="eastAsia" w:ascii="微软雅黑" w:hAnsi="微软雅黑" w:eastAsia="微软雅黑"/>
          <w:color w:val="auto"/>
          <w:szCs w:val="21"/>
          <w:highlight w:val="none"/>
        </w:rPr>
      </w:pPr>
    </w:p>
    <w:tbl>
      <w:tblPr>
        <w:tblStyle w:val="39"/>
        <w:tblW w:w="81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2216"/>
        <w:gridCol w:w="2835"/>
        <w:gridCol w:w="993"/>
      </w:tblGrid>
      <w:tr w14:paraId="56F35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3" w:type="dxa"/>
            <w:vAlign w:val="center"/>
          </w:tcPr>
          <w:p w14:paraId="2C8B91C3">
            <w:pPr>
              <w:spacing w:line="56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（存期）</w:t>
            </w:r>
          </w:p>
        </w:tc>
        <w:tc>
          <w:tcPr>
            <w:tcW w:w="2216" w:type="dxa"/>
            <w:vAlign w:val="center"/>
          </w:tcPr>
          <w:p w14:paraId="0163B950">
            <w:pPr>
              <w:spacing w:line="560" w:lineRule="exact"/>
              <w:ind w:right="84" w:rightChars="40"/>
              <w:jc w:val="center"/>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央行基准利率</w:t>
            </w:r>
          </w:p>
        </w:tc>
        <w:tc>
          <w:tcPr>
            <w:tcW w:w="2835" w:type="dxa"/>
            <w:vAlign w:val="center"/>
          </w:tcPr>
          <w:p w14:paraId="69C8F2E0">
            <w:pPr>
              <w:spacing w:line="560" w:lineRule="exact"/>
              <w:jc w:val="center"/>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上浮基点（BP）</w:t>
            </w:r>
          </w:p>
        </w:tc>
        <w:tc>
          <w:tcPr>
            <w:tcW w:w="993" w:type="dxa"/>
            <w:vAlign w:val="center"/>
          </w:tcPr>
          <w:p w14:paraId="5D1A59C9">
            <w:pPr>
              <w:spacing w:line="56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备注</w:t>
            </w:r>
          </w:p>
        </w:tc>
      </w:tr>
      <w:tr w14:paraId="5B44D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2093" w:type="dxa"/>
            <w:vAlign w:val="center"/>
          </w:tcPr>
          <w:p w14:paraId="4FF3179A">
            <w:pPr>
              <w:spacing w:line="56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一年期存款</w:t>
            </w:r>
          </w:p>
        </w:tc>
        <w:tc>
          <w:tcPr>
            <w:tcW w:w="2216" w:type="dxa"/>
          </w:tcPr>
          <w:p w14:paraId="3BDD4351">
            <w:pPr>
              <w:spacing w:line="560" w:lineRule="exact"/>
              <w:rPr>
                <w:rFonts w:hint="eastAsia" w:ascii="微软雅黑" w:hAnsi="微软雅黑" w:eastAsia="微软雅黑"/>
                <w:color w:val="auto"/>
                <w:szCs w:val="21"/>
                <w:highlight w:val="none"/>
              </w:rPr>
            </w:pPr>
          </w:p>
        </w:tc>
        <w:tc>
          <w:tcPr>
            <w:tcW w:w="2835" w:type="dxa"/>
            <w:vAlign w:val="center"/>
          </w:tcPr>
          <w:p w14:paraId="326C4222">
            <w:pPr>
              <w:spacing w:line="560" w:lineRule="exact"/>
              <w:rPr>
                <w:rFonts w:hint="eastAsia" w:ascii="微软雅黑" w:hAnsi="微软雅黑" w:eastAsia="微软雅黑"/>
                <w:color w:val="auto"/>
                <w:szCs w:val="21"/>
                <w:highlight w:val="none"/>
              </w:rPr>
            </w:pPr>
          </w:p>
        </w:tc>
        <w:tc>
          <w:tcPr>
            <w:tcW w:w="993" w:type="dxa"/>
          </w:tcPr>
          <w:p w14:paraId="7E31E5AB">
            <w:pPr>
              <w:spacing w:line="400" w:lineRule="exact"/>
              <w:rPr>
                <w:rFonts w:hint="eastAsia" w:ascii="微软雅黑" w:hAnsi="微软雅黑" w:eastAsia="微软雅黑"/>
                <w:color w:val="auto"/>
                <w:szCs w:val="21"/>
                <w:highlight w:val="none"/>
              </w:rPr>
            </w:pPr>
          </w:p>
        </w:tc>
      </w:tr>
    </w:tbl>
    <w:p w14:paraId="7A082FEE">
      <w:pPr>
        <w:spacing w:line="400" w:lineRule="exact"/>
        <w:rPr>
          <w:rFonts w:hint="eastAsia" w:ascii="微软雅黑" w:hAnsi="微软雅黑" w:eastAsia="微软雅黑"/>
          <w:color w:val="auto"/>
          <w:szCs w:val="21"/>
          <w:highlight w:val="none"/>
        </w:rPr>
      </w:pPr>
    </w:p>
    <w:p w14:paraId="2723BECA">
      <w:pPr>
        <w:spacing w:line="40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被授权人签字：</w:t>
      </w:r>
    </w:p>
    <w:p w14:paraId="215B12A4">
      <w:pPr>
        <w:spacing w:line="400" w:lineRule="exact"/>
        <w:rPr>
          <w:rFonts w:hint="eastAsia" w:ascii="微软雅黑" w:hAnsi="微软雅黑" w:eastAsia="微软雅黑"/>
          <w:color w:val="auto"/>
          <w:szCs w:val="21"/>
          <w:highlight w:val="none"/>
        </w:rPr>
      </w:pPr>
    </w:p>
    <w:p w14:paraId="3DE6ED74">
      <w:pPr>
        <w:spacing w:line="40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投标单位(公章）:</w:t>
      </w:r>
    </w:p>
    <w:p w14:paraId="5F3046BE">
      <w:pPr>
        <w:spacing w:line="400" w:lineRule="exact"/>
        <w:jc w:val="righ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日期：    年  月  日</w:t>
      </w:r>
    </w:p>
    <w:p w14:paraId="5A16CB6D">
      <w:pPr>
        <w:spacing w:line="400" w:lineRule="exact"/>
        <w:rPr>
          <w:rFonts w:hint="eastAsia" w:ascii="微软雅黑" w:hAnsi="微软雅黑" w:eastAsia="微软雅黑"/>
          <w:color w:val="auto"/>
          <w:szCs w:val="21"/>
          <w:highlight w:val="none"/>
        </w:rPr>
      </w:pPr>
    </w:p>
    <w:p w14:paraId="3786FDB9">
      <w:pPr>
        <w:spacing w:line="40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说明：</w:t>
      </w:r>
    </w:p>
    <w:p w14:paraId="7306CD9B">
      <w:pPr>
        <w:spacing w:line="40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w:t>
      </w:r>
      <w:r>
        <w:rPr>
          <w:rFonts w:hint="eastAsia" w:ascii="微软雅黑" w:hAnsi="微软雅黑" w:eastAsia="微软雅黑"/>
          <w:color w:val="auto"/>
          <w:szCs w:val="21"/>
          <w:highlight w:val="none"/>
          <w:lang w:val="en-US" w:eastAsia="zh-CN"/>
        </w:rPr>
        <w:t>投标人报价不得违反国家利率政策和浙江省市场利率定价自律机制规定。在有</w:t>
      </w:r>
      <w:r>
        <w:rPr>
          <w:rFonts w:hint="default" w:ascii="微软雅黑" w:hAnsi="微软雅黑" w:eastAsia="微软雅黑"/>
          <w:color w:val="auto"/>
          <w:szCs w:val="21"/>
          <w:highlight w:val="none"/>
          <w:lang w:val="en-US" w:eastAsia="zh-CN"/>
        </w:rPr>
        <w:t>效期内，若利率相关的法律法规、规章政策调整，或中国人民银行存款基准利率、存款自律约定、银行总行存款利率内部授权上限等发生调整，按市场利率定价自律机制相关规定操作。</w:t>
      </w:r>
    </w:p>
    <w:p w14:paraId="50C075FA">
      <w:pPr>
        <w:spacing w:line="40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lang w:val="en-US" w:eastAsia="zh-CN"/>
        </w:rPr>
        <w:t>2、</w:t>
      </w:r>
      <w:r>
        <w:rPr>
          <w:rFonts w:hint="eastAsia" w:ascii="微软雅黑" w:hAnsi="微软雅黑" w:eastAsia="微软雅黑"/>
          <w:color w:val="auto"/>
          <w:szCs w:val="21"/>
          <w:highlight w:val="none"/>
        </w:rPr>
        <w:t>存款年利率最多保留3位小数。</w:t>
      </w:r>
    </w:p>
    <w:p w14:paraId="027AD483">
      <w:pPr>
        <w:spacing w:line="40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lang w:val="en-US" w:eastAsia="zh-CN"/>
        </w:rPr>
        <w:t>3</w:t>
      </w:r>
      <w:r>
        <w:rPr>
          <w:rFonts w:hint="eastAsia" w:ascii="微软雅黑" w:hAnsi="微软雅黑" w:eastAsia="微软雅黑"/>
          <w:color w:val="auto"/>
          <w:szCs w:val="21"/>
          <w:highlight w:val="none"/>
        </w:rPr>
        <w:t>、本投标书填写须清晰，不得涂改。</w:t>
      </w:r>
    </w:p>
    <w:p w14:paraId="3D374D27">
      <w:pPr>
        <w:spacing w:line="400" w:lineRule="exact"/>
        <w:rPr>
          <w:rFonts w:hint="eastAsia" w:ascii="微软雅黑" w:hAnsi="微软雅黑" w:eastAsia="微软雅黑"/>
          <w:color w:val="auto"/>
          <w:szCs w:val="21"/>
          <w:highlight w:val="none"/>
        </w:rPr>
      </w:pPr>
    </w:p>
    <w:p w14:paraId="1E5BE27F">
      <w:pPr>
        <w:pStyle w:val="22"/>
        <w:snapToGrid w:val="0"/>
        <w:spacing w:beforeLines="0" w:afterLines="0" w:line="240" w:lineRule="auto"/>
        <w:rPr>
          <w:rFonts w:hint="eastAsia" w:ascii="微软雅黑" w:hAnsi="微软雅黑" w:eastAsia="微软雅黑"/>
          <w:b/>
          <w:color w:val="auto"/>
          <w:sz w:val="21"/>
          <w:szCs w:val="21"/>
          <w:highlight w:val="none"/>
        </w:rPr>
        <w:sectPr>
          <w:pgSz w:w="11907" w:h="16840"/>
          <w:pgMar w:top="1440" w:right="1797" w:bottom="1440" w:left="1797" w:header="851" w:footer="851" w:gutter="0"/>
          <w:cols w:space="425" w:num="1"/>
          <w:titlePg/>
          <w:docGrid w:type="lines" w:linePitch="312" w:charSpace="0"/>
        </w:sectPr>
      </w:pPr>
    </w:p>
    <w:p w14:paraId="0DFE5A9D">
      <w:pPr>
        <w:pStyle w:val="22"/>
        <w:snapToGrid w:val="0"/>
        <w:spacing w:beforeLines="0" w:afterLines="0" w:line="240" w:lineRule="auto"/>
        <w:rPr>
          <w:rFonts w:hint="eastAsia"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rPr>
        <w:t>六、数据提供</w:t>
      </w:r>
    </w:p>
    <w:tbl>
      <w:tblPr>
        <w:tblStyle w:val="39"/>
        <w:tblW w:w="83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9"/>
        <w:gridCol w:w="2144"/>
        <w:gridCol w:w="3402"/>
        <w:gridCol w:w="2017"/>
      </w:tblGrid>
      <w:tr w14:paraId="57A2F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99" w:type="dxa"/>
            <w:vAlign w:val="center"/>
          </w:tcPr>
          <w:p w14:paraId="71E6E8FD">
            <w:pPr>
              <w:spacing w:line="56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序号</w:t>
            </w:r>
          </w:p>
        </w:tc>
        <w:tc>
          <w:tcPr>
            <w:tcW w:w="2144" w:type="dxa"/>
            <w:vAlign w:val="center"/>
          </w:tcPr>
          <w:p w14:paraId="42851557">
            <w:pPr>
              <w:spacing w:line="56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指标</w:t>
            </w:r>
          </w:p>
        </w:tc>
        <w:tc>
          <w:tcPr>
            <w:tcW w:w="3402" w:type="dxa"/>
            <w:vAlign w:val="center"/>
          </w:tcPr>
          <w:p w14:paraId="069085F2">
            <w:pPr>
              <w:spacing w:line="56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内容</w:t>
            </w:r>
          </w:p>
        </w:tc>
        <w:tc>
          <w:tcPr>
            <w:tcW w:w="2017" w:type="dxa"/>
            <w:vAlign w:val="center"/>
          </w:tcPr>
          <w:p w14:paraId="716F587F">
            <w:pPr>
              <w:spacing w:line="56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数据%</w:t>
            </w:r>
          </w:p>
        </w:tc>
      </w:tr>
      <w:tr w14:paraId="5B84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9" w:type="dxa"/>
            <w:vAlign w:val="center"/>
          </w:tcPr>
          <w:p w14:paraId="226525F6">
            <w:pPr>
              <w:spacing w:line="56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1</w:t>
            </w:r>
          </w:p>
        </w:tc>
        <w:tc>
          <w:tcPr>
            <w:tcW w:w="2144" w:type="dxa"/>
            <w:vAlign w:val="center"/>
          </w:tcPr>
          <w:p w14:paraId="1D6E0105">
            <w:pPr>
              <w:spacing w:line="56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拨备覆盖率指标</w:t>
            </w:r>
          </w:p>
        </w:tc>
        <w:tc>
          <w:tcPr>
            <w:tcW w:w="3402" w:type="dxa"/>
            <w:vAlign w:val="center"/>
          </w:tcPr>
          <w:p w14:paraId="2029EE91">
            <w:pPr>
              <w:spacing w:line="56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投标银行</w:t>
            </w:r>
            <w:r>
              <w:rPr>
                <w:rFonts w:hint="eastAsia" w:ascii="微软雅黑" w:hAnsi="微软雅黑" w:eastAsia="微软雅黑"/>
                <w:color w:val="auto"/>
                <w:szCs w:val="21"/>
                <w:highlight w:val="none"/>
                <w:lang w:val="en-US" w:eastAsia="zh-CN"/>
              </w:rPr>
              <w:t>2023</w:t>
            </w:r>
            <w:r>
              <w:rPr>
                <w:rFonts w:hint="eastAsia" w:ascii="微软雅黑" w:hAnsi="微软雅黑" w:eastAsia="微软雅黑"/>
                <w:color w:val="auto"/>
                <w:szCs w:val="21"/>
                <w:highlight w:val="none"/>
              </w:rPr>
              <w:t>年末法人拨备覆盖率</w:t>
            </w:r>
          </w:p>
        </w:tc>
        <w:tc>
          <w:tcPr>
            <w:tcW w:w="2017" w:type="dxa"/>
            <w:vAlign w:val="center"/>
          </w:tcPr>
          <w:p w14:paraId="03B1EAAD">
            <w:pPr>
              <w:spacing w:line="560" w:lineRule="exact"/>
              <w:rPr>
                <w:rFonts w:hint="eastAsia" w:ascii="微软雅黑" w:hAnsi="微软雅黑" w:eastAsia="微软雅黑"/>
                <w:color w:val="auto"/>
                <w:szCs w:val="21"/>
                <w:highlight w:val="none"/>
              </w:rPr>
            </w:pPr>
          </w:p>
        </w:tc>
      </w:tr>
      <w:tr w14:paraId="01E24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799" w:type="dxa"/>
            <w:vAlign w:val="center"/>
          </w:tcPr>
          <w:p w14:paraId="07F876FD">
            <w:pPr>
              <w:spacing w:line="56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2</w:t>
            </w:r>
          </w:p>
        </w:tc>
        <w:tc>
          <w:tcPr>
            <w:tcW w:w="2144" w:type="dxa"/>
            <w:vAlign w:val="center"/>
          </w:tcPr>
          <w:p w14:paraId="61F96A00">
            <w:pPr>
              <w:spacing w:line="56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资本充足率</w:t>
            </w:r>
          </w:p>
        </w:tc>
        <w:tc>
          <w:tcPr>
            <w:tcW w:w="3402" w:type="dxa"/>
            <w:vAlign w:val="center"/>
          </w:tcPr>
          <w:p w14:paraId="386474A4">
            <w:pPr>
              <w:spacing w:line="560" w:lineRule="exact"/>
              <w:rPr>
                <w:rFonts w:hint="eastAsia" w:ascii="微软雅黑" w:hAnsi="微软雅黑" w:eastAsia="微软雅黑"/>
                <w:color w:val="auto"/>
                <w:szCs w:val="21"/>
                <w:highlight w:val="none"/>
              </w:rPr>
            </w:pPr>
            <w:r>
              <w:rPr>
                <w:rFonts w:hint="eastAsia" w:ascii="微软雅黑" w:hAnsi="微软雅黑" w:eastAsia="微软雅黑"/>
                <w:color w:val="auto"/>
                <w:szCs w:val="21"/>
                <w:highlight w:val="none"/>
              </w:rPr>
              <w:t>投投标银行</w:t>
            </w:r>
            <w:r>
              <w:rPr>
                <w:rFonts w:hint="eastAsia" w:ascii="微软雅黑" w:hAnsi="微软雅黑" w:eastAsia="微软雅黑"/>
                <w:color w:val="auto"/>
                <w:szCs w:val="21"/>
                <w:highlight w:val="none"/>
                <w:lang w:val="en-US" w:eastAsia="zh-CN"/>
              </w:rPr>
              <w:t>2023</w:t>
            </w:r>
            <w:r>
              <w:rPr>
                <w:rFonts w:hint="eastAsia" w:ascii="微软雅黑" w:hAnsi="微软雅黑" w:eastAsia="微软雅黑"/>
                <w:color w:val="auto"/>
                <w:szCs w:val="21"/>
                <w:highlight w:val="none"/>
              </w:rPr>
              <w:t>年末法人资本充足率</w:t>
            </w:r>
          </w:p>
        </w:tc>
        <w:tc>
          <w:tcPr>
            <w:tcW w:w="2017" w:type="dxa"/>
            <w:vAlign w:val="center"/>
          </w:tcPr>
          <w:p w14:paraId="00DB8DFA">
            <w:pPr>
              <w:spacing w:line="560" w:lineRule="exact"/>
              <w:rPr>
                <w:rFonts w:hint="eastAsia" w:ascii="微软雅黑" w:hAnsi="微软雅黑" w:eastAsia="微软雅黑"/>
                <w:color w:val="auto"/>
                <w:szCs w:val="21"/>
                <w:highlight w:val="none"/>
                <w:u w:val="single"/>
              </w:rPr>
            </w:pPr>
          </w:p>
        </w:tc>
      </w:tr>
    </w:tbl>
    <w:p w14:paraId="1BCDC9BD">
      <w:pPr>
        <w:pStyle w:val="22"/>
        <w:snapToGrid w:val="0"/>
        <w:spacing w:beforeLines="0" w:afterLines="0" w:line="240" w:lineRule="auto"/>
        <w:rPr>
          <w:rFonts w:hint="eastAsia" w:ascii="微软雅黑" w:hAnsi="微软雅黑" w:eastAsia="微软雅黑"/>
          <w:b/>
          <w:color w:val="auto"/>
          <w:sz w:val="21"/>
          <w:szCs w:val="21"/>
          <w:highlight w:val="none"/>
        </w:rPr>
        <w:sectPr>
          <w:pgSz w:w="11907" w:h="16840"/>
          <w:pgMar w:top="1440" w:right="1797" w:bottom="1440" w:left="1797" w:header="851" w:footer="851" w:gutter="0"/>
          <w:cols w:space="425" w:num="1"/>
          <w:titlePg/>
          <w:docGrid w:type="lines" w:linePitch="312" w:charSpace="0"/>
        </w:sectPr>
      </w:pPr>
    </w:p>
    <w:p w14:paraId="66CA8643">
      <w:pPr>
        <w:pStyle w:val="22"/>
        <w:snapToGrid w:val="0"/>
        <w:spacing w:beforeLines="0" w:afterLines="0" w:line="240" w:lineRule="auto"/>
        <w:rPr>
          <w:rFonts w:hint="eastAsia"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rPr>
        <w:t>七、投标银行报名表格式</w:t>
      </w:r>
    </w:p>
    <w:p w14:paraId="028D993A">
      <w:pPr>
        <w:pStyle w:val="35"/>
        <w:spacing w:before="0" w:beforeAutospacing="0" w:after="0" w:afterAutospacing="0" w:line="315" w:lineRule="atLeast"/>
        <w:jc w:val="center"/>
        <w:rPr>
          <w:rFonts w:hint="eastAsia" w:ascii="微软雅黑" w:hAnsi="微软雅黑" w:eastAsia="微软雅黑" w:cs="黑体"/>
          <w:color w:val="auto"/>
          <w:sz w:val="21"/>
          <w:szCs w:val="21"/>
          <w:highlight w:val="none"/>
        </w:rPr>
      </w:pPr>
      <w:r>
        <w:rPr>
          <w:rStyle w:val="41"/>
          <w:rFonts w:hint="eastAsia" w:ascii="微软雅黑" w:hAnsi="微软雅黑" w:eastAsia="微软雅黑" w:cs="黑体"/>
          <w:color w:val="auto"/>
          <w:spacing w:val="45"/>
          <w:sz w:val="21"/>
          <w:szCs w:val="21"/>
          <w:highlight w:val="none"/>
          <w:shd w:val="clear" w:color="auto" w:fill="FFFFFF"/>
        </w:rPr>
        <w:t>投标银行报名表</w:t>
      </w:r>
    </w:p>
    <w:tbl>
      <w:tblPr>
        <w:tblStyle w:val="39"/>
        <w:tblW w:w="0" w:type="auto"/>
        <w:tblInd w:w="0" w:type="dxa"/>
        <w:tblBorders>
          <w:top w:val="single" w:color="E4E6E7" w:sz="6" w:space="0"/>
          <w:left w:val="single" w:color="E4E6E7" w:sz="6" w:space="0"/>
          <w:bottom w:val="single" w:color="E4E6E7" w:sz="6" w:space="0"/>
          <w:right w:val="single" w:color="E4E6E7" w:sz="6" w:space="0"/>
          <w:insideH w:val="none" w:color="auto" w:sz="0" w:space="0"/>
          <w:insideV w:val="none" w:color="auto" w:sz="0" w:space="0"/>
        </w:tblBorders>
        <w:tblLayout w:type="fixed"/>
        <w:tblCellMar>
          <w:top w:w="0" w:type="dxa"/>
          <w:left w:w="0" w:type="dxa"/>
          <w:bottom w:w="0" w:type="dxa"/>
          <w:right w:w="0" w:type="dxa"/>
        </w:tblCellMar>
      </w:tblPr>
      <w:tblGrid>
        <w:gridCol w:w="1607"/>
        <w:gridCol w:w="1306"/>
        <w:gridCol w:w="1306"/>
        <w:gridCol w:w="1306"/>
        <w:gridCol w:w="1306"/>
        <w:gridCol w:w="1623"/>
      </w:tblGrid>
      <w:tr w14:paraId="5714908D">
        <w:tblPrEx>
          <w:tblBorders>
            <w:top w:val="single" w:color="E4E6E7" w:sz="6" w:space="0"/>
            <w:left w:val="single" w:color="E4E6E7" w:sz="6" w:space="0"/>
            <w:bottom w:val="single" w:color="E4E6E7" w:sz="6" w:space="0"/>
            <w:right w:val="single" w:color="E4E6E7" w:sz="6" w:space="0"/>
            <w:insideH w:val="none" w:color="auto" w:sz="0" w:space="0"/>
            <w:insideV w:val="none" w:color="auto" w:sz="0" w:space="0"/>
          </w:tblBorders>
          <w:tblCellMar>
            <w:top w:w="0" w:type="dxa"/>
            <w:left w:w="0" w:type="dxa"/>
            <w:bottom w:w="0" w:type="dxa"/>
            <w:right w:w="0" w:type="dxa"/>
          </w:tblCellMar>
        </w:tblPrEx>
        <w:trPr>
          <w:trHeight w:val="840" w:hRule="atLeast"/>
        </w:trPr>
        <w:tc>
          <w:tcPr>
            <w:tcW w:w="1607"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0D3BF43B">
            <w:pPr>
              <w:pStyle w:val="35"/>
              <w:spacing w:before="0" w:beforeAutospacing="0" w:after="0" w:afterAutospacing="0" w:line="315" w:lineRule="atLeast"/>
              <w:jc w:val="center"/>
              <w:rPr>
                <w:rFonts w:hint="eastAsia" w:ascii="微软雅黑" w:hAnsi="微软雅黑" w:eastAsia="微软雅黑"/>
                <w:color w:val="auto"/>
                <w:kern w:val="2"/>
                <w:sz w:val="21"/>
                <w:szCs w:val="21"/>
                <w:highlight w:val="none"/>
              </w:rPr>
            </w:pPr>
            <w:r>
              <w:rPr>
                <w:rFonts w:hint="eastAsia" w:ascii="微软雅黑" w:hAnsi="微软雅黑" w:eastAsia="微软雅黑" w:cs="仿宋_GB2312"/>
                <w:color w:val="auto"/>
                <w:kern w:val="2"/>
                <w:sz w:val="21"/>
                <w:szCs w:val="21"/>
                <w:highlight w:val="none"/>
              </w:rPr>
              <w:t>报名单位</w:t>
            </w:r>
          </w:p>
        </w:tc>
        <w:tc>
          <w:tcPr>
            <w:tcW w:w="6847" w:type="dxa"/>
            <w:gridSpan w:val="5"/>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50152AB7">
            <w:pPr>
              <w:jc w:val="left"/>
              <w:rPr>
                <w:rFonts w:hint="eastAsia" w:ascii="微软雅黑" w:hAnsi="微软雅黑" w:eastAsia="微软雅黑" w:cs="-apple-system"/>
                <w:color w:val="auto"/>
                <w:szCs w:val="21"/>
                <w:highlight w:val="none"/>
              </w:rPr>
            </w:pPr>
          </w:p>
        </w:tc>
      </w:tr>
      <w:tr w14:paraId="60F88345">
        <w:tblPrEx>
          <w:tblBorders>
            <w:top w:val="single" w:color="E4E6E7" w:sz="6" w:space="0"/>
            <w:left w:val="single" w:color="E4E6E7" w:sz="6" w:space="0"/>
            <w:bottom w:val="single" w:color="E4E6E7" w:sz="6" w:space="0"/>
            <w:right w:val="single" w:color="E4E6E7" w:sz="6" w:space="0"/>
            <w:insideH w:val="none" w:color="auto" w:sz="0" w:space="0"/>
            <w:insideV w:val="none" w:color="auto" w:sz="0" w:space="0"/>
          </w:tblBorders>
          <w:tblCellMar>
            <w:top w:w="0" w:type="dxa"/>
            <w:left w:w="0" w:type="dxa"/>
            <w:bottom w:w="0" w:type="dxa"/>
            <w:right w:w="0" w:type="dxa"/>
          </w:tblCellMar>
        </w:tblPrEx>
        <w:trPr>
          <w:trHeight w:val="840" w:hRule="atLeast"/>
        </w:trPr>
        <w:tc>
          <w:tcPr>
            <w:tcW w:w="1607"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4AFA5939">
            <w:pPr>
              <w:pStyle w:val="35"/>
              <w:spacing w:before="0" w:beforeAutospacing="0" w:after="0" w:afterAutospacing="0" w:line="315" w:lineRule="atLeast"/>
              <w:jc w:val="center"/>
              <w:rPr>
                <w:rFonts w:hint="eastAsia" w:ascii="微软雅黑" w:hAnsi="微软雅黑" w:eastAsia="微软雅黑"/>
                <w:color w:val="auto"/>
                <w:kern w:val="2"/>
                <w:sz w:val="21"/>
                <w:szCs w:val="21"/>
                <w:highlight w:val="none"/>
              </w:rPr>
            </w:pPr>
            <w:r>
              <w:rPr>
                <w:rFonts w:hint="eastAsia" w:ascii="微软雅黑" w:hAnsi="微软雅黑" w:eastAsia="微软雅黑" w:cs="仿宋_GB2312"/>
                <w:color w:val="auto"/>
                <w:kern w:val="2"/>
                <w:sz w:val="21"/>
                <w:szCs w:val="21"/>
                <w:highlight w:val="none"/>
              </w:rPr>
              <w:t>项目联系人</w:t>
            </w:r>
          </w:p>
        </w:tc>
        <w:tc>
          <w:tcPr>
            <w:tcW w:w="1306"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013DBE0C">
            <w:pPr>
              <w:jc w:val="left"/>
              <w:rPr>
                <w:rFonts w:hint="eastAsia" w:ascii="微软雅黑" w:hAnsi="微软雅黑" w:eastAsia="微软雅黑" w:cs="-apple-system"/>
                <w:color w:val="auto"/>
                <w:szCs w:val="21"/>
                <w:highlight w:val="none"/>
              </w:rPr>
            </w:pPr>
          </w:p>
        </w:tc>
        <w:tc>
          <w:tcPr>
            <w:tcW w:w="1306"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38B079C6">
            <w:pPr>
              <w:pStyle w:val="35"/>
              <w:spacing w:before="0" w:beforeAutospacing="0" w:after="0" w:afterAutospacing="0" w:line="315" w:lineRule="atLeast"/>
              <w:jc w:val="center"/>
              <w:rPr>
                <w:rFonts w:hint="eastAsia" w:ascii="微软雅黑" w:hAnsi="微软雅黑" w:eastAsia="微软雅黑"/>
                <w:color w:val="auto"/>
                <w:kern w:val="2"/>
                <w:sz w:val="21"/>
                <w:szCs w:val="21"/>
                <w:highlight w:val="none"/>
              </w:rPr>
            </w:pPr>
            <w:r>
              <w:rPr>
                <w:rFonts w:hint="eastAsia" w:ascii="微软雅黑" w:hAnsi="微软雅黑" w:eastAsia="微软雅黑" w:cs="仿宋_GB2312"/>
                <w:color w:val="auto"/>
                <w:kern w:val="2"/>
                <w:sz w:val="21"/>
                <w:szCs w:val="21"/>
                <w:highlight w:val="none"/>
              </w:rPr>
              <w:t>固定电话</w:t>
            </w:r>
          </w:p>
        </w:tc>
        <w:tc>
          <w:tcPr>
            <w:tcW w:w="1306"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653C693C">
            <w:pPr>
              <w:jc w:val="left"/>
              <w:rPr>
                <w:rFonts w:hint="eastAsia" w:ascii="微软雅黑" w:hAnsi="微软雅黑" w:eastAsia="微软雅黑" w:cs="-apple-system"/>
                <w:color w:val="auto"/>
                <w:szCs w:val="21"/>
                <w:highlight w:val="none"/>
              </w:rPr>
            </w:pPr>
          </w:p>
        </w:tc>
        <w:tc>
          <w:tcPr>
            <w:tcW w:w="1306"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599E12F7">
            <w:pPr>
              <w:pStyle w:val="35"/>
              <w:spacing w:before="0" w:beforeAutospacing="0" w:after="0" w:afterAutospacing="0" w:line="315" w:lineRule="atLeast"/>
              <w:jc w:val="center"/>
              <w:rPr>
                <w:rFonts w:hint="eastAsia" w:ascii="微软雅黑" w:hAnsi="微软雅黑" w:eastAsia="微软雅黑"/>
                <w:color w:val="auto"/>
                <w:kern w:val="2"/>
                <w:sz w:val="21"/>
                <w:szCs w:val="21"/>
                <w:highlight w:val="none"/>
              </w:rPr>
            </w:pPr>
            <w:r>
              <w:rPr>
                <w:rFonts w:hint="eastAsia" w:ascii="微软雅黑" w:hAnsi="微软雅黑" w:eastAsia="微软雅黑" w:cs="仿宋_GB2312"/>
                <w:color w:val="auto"/>
                <w:kern w:val="2"/>
                <w:sz w:val="21"/>
                <w:szCs w:val="21"/>
                <w:highlight w:val="none"/>
              </w:rPr>
              <w:t>手机号码</w:t>
            </w:r>
          </w:p>
        </w:tc>
        <w:tc>
          <w:tcPr>
            <w:tcW w:w="1623"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204A645A">
            <w:pPr>
              <w:jc w:val="left"/>
              <w:rPr>
                <w:rFonts w:hint="eastAsia" w:ascii="微软雅黑" w:hAnsi="微软雅黑" w:eastAsia="微软雅黑" w:cs="-apple-system"/>
                <w:color w:val="auto"/>
                <w:szCs w:val="21"/>
                <w:highlight w:val="none"/>
              </w:rPr>
            </w:pPr>
          </w:p>
        </w:tc>
      </w:tr>
      <w:tr w14:paraId="419B7EDD">
        <w:tblPrEx>
          <w:tblBorders>
            <w:top w:val="single" w:color="E4E6E7" w:sz="6" w:space="0"/>
            <w:left w:val="single" w:color="E4E6E7" w:sz="6" w:space="0"/>
            <w:bottom w:val="single" w:color="E4E6E7" w:sz="6" w:space="0"/>
            <w:right w:val="single" w:color="E4E6E7" w:sz="6" w:space="0"/>
            <w:insideH w:val="none" w:color="auto" w:sz="0" w:space="0"/>
            <w:insideV w:val="none" w:color="auto" w:sz="0" w:space="0"/>
          </w:tblBorders>
          <w:tblCellMar>
            <w:top w:w="0" w:type="dxa"/>
            <w:left w:w="0" w:type="dxa"/>
            <w:bottom w:w="0" w:type="dxa"/>
            <w:right w:w="0" w:type="dxa"/>
          </w:tblCellMar>
        </w:tblPrEx>
        <w:trPr>
          <w:trHeight w:val="690" w:hRule="atLeast"/>
        </w:trPr>
        <w:tc>
          <w:tcPr>
            <w:tcW w:w="1607" w:type="dxa"/>
            <w:tcBorders>
              <w:top w:val="single" w:color="auto" w:sz="4" w:space="0"/>
              <w:left w:val="single" w:color="auto" w:sz="4" w:space="0"/>
              <w:bottom w:val="single" w:color="auto" w:sz="4" w:space="0"/>
              <w:right w:val="single" w:color="auto" w:sz="4" w:space="0"/>
            </w:tcBorders>
            <w:vAlign w:val="center"/>
          </w:tcPr>
          <w:p w14:paraId="38D0DF35">
            <w:pPr>
              <w:pStyle w:val="35"/>
              <w:spacing w:before="0" w:beforeAutospacing="0" w:after="0" w:afterAutospacing="0" w:line="315" w:lineRule="atLeast"/>
              <w:jc w:val="center"/>
              <w:rPr>
                <w:rFonts w:hint="eastAsia" w:ascii="微软雅黑" w:hAnsi="微软雅黑" w:eastAsia="微软雅黑"/>
                <w:color w:val="auto"/>
                <w:kern w:val="2"/>
                <w:sz w:val="21"/>
                <w:szCs w:val="21"/>
                <w:highlight w:val="none"/>
              </w:rPr>
            </w:pPr>
            <w:r>
              <w:rPr>
                <w:rFonts w:hint="eastAsia" w:ascii="微软雅黑" w:hAnsi="微软雅黑" w:eastAsia="微软雅黑" w:cs="仿宋_GB2312"/>
                <w:color w:val="auto"/>
                <w:kern w:val="2"/>
                <w:sz w:val="21"/>
                <w:szCs w:val="21"/>
                <w:highlight w:val="none"/>
              </w:rPr>
              <w:t>详细地址</w:t>
            </w:r>
          </w:p>
        </w:tc>
        <w:tc>
          <w:tcPr>
            <w:tcW w:w="3918" w:type="dxa"/>
            <w:gridSpan w:val="3"/>
            <w:tcBorders>
              <w:top w:val="single" w:color="auto" w:sz="4" w:space="0"/>
              <w:left w:val="single" w:color="auto" w:sz="4" w:space="0"/>
              <w:bottom w:val="single" w:color="auto" w:sz="4" w:space="0"/>
              <w:right w:val="single" w:color="auto" w:sz="4" w:space="0"/>
            </w:tcBorders>
            <w:vAlign w:val="center"/>
          </w:tcPr>
          <w:p w14:paraId="400FD8BC">
            <w:pPr>
              <w:jc w:val="left"/>
              <w:rPr>
                <w:rFonts w:hint="eastAsia" w:ascii="微软雅黑" w:hAnsi="微软雅黑" w:eastAsia="微软雅黑" w:cs="-apple-system"/>
                <w:color w:val="auto"/>
                <w:szCs w:val="21"/>
                <w:highlight w:val="none"/>
              </w:rPr>
            </w:pPr>
          </w:p>
        </w:tc>
        <w:tc>
          <w:tcPr>
            <w:tcW w:w="1306"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3AFA6E07">
            <w:pPr>
              <w:pStyle w:val="35"/>
              <w:spacing w:before="0" w:beforeAutospacing="0" w:after="0" w:afterAutospacing="0" w:line="315" w:lineRule="atLeast"/>
              <w:jc w:val="center"/>
              <w:rPr>
                <w:rFonts w:hint="eastAsia" w:ascii="微软雅黑" w:hAnsi="微软雅黑" w:eastAsia="微软雅黑"/>
                <w:color w:val="auto"/>
                <w:kern w:val="2"/>
                <w:sz w:val="21"/>
                <w:szCs w:val="21"/>
                <w:highlight w:val="none"/>
              </w:rPr>
            </w:pPr>
            <w:r>
              <w:rPr>
                <w:rFonts w:hint="eastAsia" w:ascii="微软雅黑" w:hAnsi="微软雅黑" w:eastAsia="微软雅黑" w:cs="仿宋_GB2312"/>
                <w:color w:val="auto"/>
                <w:kern w:val="2"/>
                <w:sz w:val="21"/>
                <w:szCs w:val="21"/>
                <w:highlight w:val="none"/>
              </w:rPr>
              <w:t>邮 编</w:t>
            </w:r>
          </w:p>
        </w:tc>
        <w:tc>
          <w:tcPr>
            <w:tcW w:w="1623"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345BD231">
            <w:pPr>
              <w:jc w:val="left"/>
              <w:rPr>
                <w:rFonts w:hint="eastAsia" w:ascii="微软雅黑" w:hAnsi="微软雅黑" w:eastAsia="微软雅黑" w:cs="-apple-system"/>
                <w:color w:val="auto"/>
                <w:szCs w:val="21"/>
                <w:highlight w:val="none"/>
              </w:rPr>
            </w:pPr>
          </w:p>
        </w:tc>
      </w:tr>
      <w:tr w14:paraId="555C410F">
        <w:tblPrEx>
          <w:tblBorders>
            <w:top w:val="single" w:color="E4E6E7" w:sz="6" w:space="0"/>
            <w:left w:val="single" w:color="E4E6E7" w:sz="6" w:space="0"/>
            <w:bottom w:val="single" w:color="E4E6E7" w:sz="6" w:space="0"/>
            <w:right w:val="single" w:color="E4E6E7" w:sz="6" w:space="0"/>
            <w:insideH w:val="none" w:color="auto" w:sz="0" w:space="0"/>
            <w:insideV w:val="none" w:color="auto" w:sz="0" w:space="0"/>
          </w:tblBorders>
          <w:tblCellMar>
            <w:top w:w="0" w:type="dxa"/>
            <w:left w:w="0" w:type="dxa"/>
            <w:bottom w:w="0" w:type="dxa"/>
            <w:right w:w="0" w:type="dxa"/>
          </w:tblCellMar>
        </w:tblPrEx>
        <w:trPr>
          <w:trHeight w:val="8979" w:hRule="atLeast"/>
        </w:trPr>
        <w:tc>
          <w:tcPr>
            <w:tcW w:w="8454" w:type="dxa"/>
            <w:gridSpan w:val="6"/>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tcPr>
          <w:p w14:paraId="055EAEB1">
            <w:pPr>
              <w:pStyle w:val="35"/>
              <w:wordWrap w:val="0"/>
              <w:spacing w:before="120" w:beforeAutospacing="0" w:after="0" w:afterAutospacing="0" w:line="360" w:lineRule="atLeast"/>
              <w:rPr>
                <w:rFonts w:hint="eastAsia" w:ascii="微软雅黑" w:hAnsi="微软雅黑" w:eastAsia="微软雅黑"/>
                <w:color w:val="auto"/>
                <w:kern w:val="2"/>
                <w:sz w:val="21"/>
                <w:szCs w:val="21"/>
                <w:highlight w:val="none"/>
              </w:rPr>
            </w:pPr>
            <w:r>
              <w:rPr>
                <w:rFonts w:hint="eastAsia" w:ascii="微软雅黑" w:hAnsi="微软雅黑" w:eastAsia="微软雅黑" w:cs="仿宋_GB2312"/>
                <w:color w:val="auto"/>
                <w:kern w:val="2"/>
                <w:sz w:val="21"/>
                <w:szCs w:val="21"/>
                <w:highlight w:val="none"/>
              </w:rPr>
              <w:t>嘉兴市千秋工程咨询有限公司：</w:t>
            </w:r>
          </w:p>
          <w:p w14:paraId="1C607DF1">
            <w:pPr>
              <w:adjustRightInd w:val="0"/>
              <w:snapToGrid w:val="0"/>
              <w:spacing w:line="460" w:lineRule="exact"/>
              <w:ind w:firstLine="420" w:firstLineChars="200"/>
              <w:rPr>
                <w:rFonts w:hint="eastAsia" w:ascii="微软雅黑" w:hAnsi="微软雅黑" w:eastAsia="微软雅黑" w:cs="仿宋_GB2312"/>
                <w:color w:val="auto"/>
                <w:szCs w:val="21"/>
                <w:highlight w:val="none"/>
              </w:rPr>
            </w:pPr>
            <w:r>
              <w:rPr>
                <w:rFonts w:hint="eastAsia" w:ascii="微软雅黑" w:hAnsi="微软雅黑" w:eastAsia="微软雅黑" w:cs="仿宋_GB2312"/>
                <w:color w:val="auto"/>
                <w:szCs w:val="21"/>
                <w:highlight w:val="none"/>
              </w:rPr>
              <w:t>我公司报名参加贵公司组织的</w:t>
            </w:r>
            <w:r>
              <w:rPr>
                <w:rFonts w:hint="eastAsia" w:ascii="微软雅黑" w:hAnsi="微软雅黑" w:eastAsia="微软雅黑"/>
                <w:color w:val="auto"/>
                <w:highlight w:val="none"/>
                <w:u w:val="single"/>
                <w:lang w:eastAsia="zh-CN"/>
              </w:rPr>
              <w:t>秀洲区2025年度第一期财政资金竞争性存放项目</w:t>
            </w:r>
            <w:r>
              <w:rPr>
                <w:rFonts w:hint="eastAsia" w:ascii="微软雅黑" w:hAnsi="微软雅黑" w:eastAsia="微软雅黑" w:cs="仿宋_GB2312"/>
                <w:color w:val="auto"/>
                <w:szCs w:val="21"/>
                <w:highlight w:val="none"/>
              </w:rPr>
              <w:t>（项目编号为</w:t>
            </w:r>
            <w:r>
              <w:rPr>
                <w:rFonts w:hint="eastAsia" w:ascii="微软雅黑" w:hAnsi="微软雅黑" w:eastAsia="微软雅黑"/>
                <w:bCs/>
                <w:color w:val="auto"/>
                <w:szCs w:val="21"/>
                <w:highlight w:val="none"/>
                <w:u w:val="single"/>
                <w:lang w:eastAsia="zh-CN"/>
              </w:rPr>
              <w:t>千秋-XZCF（2025）第07号</w:t>
            </w:r>
            <w:r>
              <w:rPr>
                <w:rFonts w:hint="eastAsia" w:ascii="微软雅黑" w:hAnsi="微软雅黑" w:eastAsia="微软雅黑" w:cs="仿宋_GB2312"/>
                <w:color w:val="auto"/>
                <w:szCs w:val="21"/>
                <w:highlight w:val="none"/>
              </w:rPr>
              <w:t>）的招标活动。</w:t>
            </w:r>
          </w:p>
          <w:p w14:paraId="3CCC3E86">
            <w:pPr>
              <w:spacing w:line="460" w:lineRule="exact"/>
              <w:rPr>
                <w:rFonts w:hint="eastAsia" w:ascii="微软雅黑" w:hAnsi="微软雅黑" w:eastAsia="微软雅黑" w:cs="仿宋"/>
                <w:color w:val="auto"/>
                <w:szCs w:val="21"/>
                <w:highlight w:val="none"/>
              </w:rPr>
            </w:pPr>
            <w:r>
              <w:rPr>
                <w:rStyle w:val="41"/>
                <w:rFonts w:hint="eastAsia" w:ascii="微软雅黑" w:hAnsi="微软雅黑" w:eastAsia="微软雅黑" w:cs="宋体"/>
                <w:color w:val="auto"/>
                <w:szCs w:val="21"/>
                <w:highlight w:val="none"/>
              </w:rPr>
              <w:t xml:space="preserve">   </w:t>
            </w:r>
            <w:r>
              <w:rPr>
                <w:rFonts w:hint="eastAsia" w:ascii="微软雅黑" w:hAnsi="微软雅黑" w:eastAsia="微软雅黑" w:cs="仿宋"/>
                <w:color w:val="auto"/>
                <w:szCs w:val="21"/>
                <w:highlight w:val="none"/>
              </w:rPr>
              <w:t>附：1.有效的营业执照副本复印件（加盖单位公章）；</w:t>
            </w:r>
          </w:p>
          <w:p w14:paraId="02876876">
            <w:pPr>
              <w:spacing w:line="460" w:lineRule="exact"/>
              <w:rPr>
                <w:rFonts w:hint="eastAsia" w:ascii="微软雅黑" w:hAnsi="微软雅黑" w:eastAsia="微软雅黑" w:cs="仿宋"/>
                <w:color w:val="auto"/>
                <w:szCs w:val="21"/>
                <w:highlight w:val="none"/>
              </w:rPr>
            </w:pPr>
            <w:r>
              <w:rPr>
                <w:rFonts w:hint="eastAsia" w:ascii="微软雅黑" w:hAnsi="微软雅黑" w:eastAsia="微软雅黑" w:cs="仿宋"/>
                <w:color w:val="auto"/>
                <w:szCs w:val="21"/>
                <w:highlight w:val="none"/>
              </w:rPr>
              <w:t xml:space="preserve">       2.报名人有效身份证件复印件（加盖单位公章）。</w:t>
            </w:r>
          </w:p>
          <w:p w14:paraId="1FBF18D0">
            <w:pPr>
              <w:spacing w:line="460" w:lineRule="exact"/>
              <w:rPr>
                <w:rFonts w:hint="eastAsia" w:ascii="微软雅黑" w:hAnsi="微软雅黑" w:eastAsia="微软雅黑" w:cs="仿宋"/>
                <w:color w:val="auto"/>
                <w:szCs w:val="21"/>
                <w:highlight w:val="none"/>
              </w:rPr>
            </w:pPr>
          </w:p>
          <w:p w14:paraId="0127A1E9">
            <w:pPr>
              <w:spacing w:line="460" w:lineRule="exact"/>
              <w:rPr>
                <w:rFonts w:hint="eastAsia" w:ascii="微软雅黑" w:hAnsi="微软雅黑" w:eastAsia="微软雅黑" w:cs="仿宋"/>
                <w:color w:val="auto"/>
                <w:szCs w:val="21"/>
                <w:highlight w:val="none"/>
              </w:rPr>
            </w:pPr>
          </w:p>
          <w:p w14:paraId="687B108E">
            <w:pPr>
              <w:pStyle w:val="35"/>
              <w:wordWrap w:val="0"/>
              <w:spacing w:before="0" w:beforeAutospacing="0" w:after="0" w:afterAutospacing="0" w:line="460" w:lineRule="exact"/>
              <w:ind w:firstLine="555"/>
              <w:rPr>
                <w:rFonts w:hint="eastAsia" w:ascii="微软雅黑" w:hAnsi="微软雅黑" w:eastAsia="微软雅黑"/>
                <w:color w:val="auto"/>
                <w:kern w:val="2"/>
                <w:sz w:val="21"/>
                <w:szCs w:val="21"/>
                <w:highlight w:val="none"/>
              </w:rPr>
            </w:pPr>
          </w:p>
          <w:p w14:paraId="5436F82B">
            <w:pPr>
              <w:pStyle w:val="35"/>
              <w:wordWrap w:val="0"/>
              <w:spacing w:before="0" w:beforeAutospacing="0" w:after="0" w:afterAutospacing="0" w:line="315" w:lineRule="atLeast"/>
              <w:ind w:left="540" w:firstLine="30"/>
              <w:jc w:val="center"/>
              <w:rPr>
                <w:rFonts w:hint="eastAsia" w:ascii="微软雅黑" w:hAnsi="微软雅黑" w:eastAsia="微软雅黑"/>
                <w:color w:val="auto"/>
                <w:kern w:val="2"/>
                <w:sz w:val="21"/>
                <w:szCs w:val="21"/>
                <w:highlight w:val="none"/>
              </w:rPr>
            </w:pPr>
            <w:r>
              <w:rPr>
                <w:rFonts w:hint="eastAsia" w:ascii="微软雅黑" w:hAnsi="微软雅黑" w:eastAsia="微软雅黑"/>
                <w:color w:val="auto"/>
                <w:kern w:val="2"/>
                <w:sz w:val="21"/>
                <w:szCs w:val="21"/>
                <w:highlight w:val="none"/>
              </w:rPr>
              <w:t> </w:t>
            </w:r>
          </w:p>
          <w:p w14:paraId="5BDB7418">
            <w:pPr>
              <w:pStyle w:val="35"/>
              <w:wordWrap w:val="0"/>
              <w:spacing w:before="0" w:beforeAutospacing="0" w:after="0" w:afterAutospacing="0" w:line="315" w:lineRule="atLeast"/>
              <w:rPr>
                <w:rFonts w:hint="eastAsia" w:ascii="微软雅黑" w:hAnsi="微软雅黑" w:eastAsia="微软雅黑"/>
                <w:color w:val="auto"/>
                <w:kern w:val="2"/>
                <w:sz w:val="21"/>
                <w:szCs w:val="21"/>
                <w:highlight w:val="none"/>
              </w:rPr>
            </w:pPr>
            <w:r>
              <w:rPr>
                <w:rFonts w:hint="eastAsia" w:ascii="微软雅黑" w:hAnsi="微软雅黑" w:eastAsia="微软雅黑" w:cs="仿宋_GB2312"/>
                <w:color w:val="auto"/>
                <w:kern w:val="2"/>
                <w:sz w:val="21"/>
                <w:szCs w:val="21"/>
                <w:highlight w:val="none"/>
              </w:rPr>
              <w:t xml:space="preserve">    报名单位公章：</w:t>
            </w:r>
            <w:r>
              <w:rPr>
                <w:rFonts w:hint="eastAsia" w:ascii="微软雅黑" w:hAnsi="微软雅黑" w:eastAsia="微软雅黑"/>
                <w:color w:val="auto"/>
                <w:kern w:val="2"/>
                <w:sz w:val="21"/>
                <w:szCs w:val="21"/>
                <w:highlight w:val="none"/>
                <w:u w:val="single"/>
              </w:rPr>
              <w:t>       </w:t>
            </w:r>
            <w:r>
              <w:rPr>
                <w:rFonts w:ascii="微软雅黑" w:hAnsi="微软雅黑" w:eastAsia="微软雅黑"/>
                <w:color w:val="auto"/>
                <w:kern w:val="2"/>
                <w:sz w:val="21"/>
                <w:szCs w:val="21"/>
                <w:highlight w:val="none"/>
                <w:u w:val="single"/>
              </w:rPr>
              <w:t xml:space="preserve">    </w:t>
            </w:r>
            <w:r>
              <w:rPr>
                <w:rFonts w:hint="eastAsia" w:ascii="微软雅黑" w:hAnsi="微软雅黑" w:eastAsia="微软雅黑"/>
                <w:color w:val="auto"/>
                <w:kern w:val="2"/>
                <w:sz w:val="21"/>
                <w:szCs w:val="21"/>
                <w:highlight w:val="none"/>
                <w:u w:val="single"/>
              </w:rPr>
              <w:t>   </w:t>
            </w:r>
            <w:r>
              <w:rPr>
                <w:rFonts w:hint="eastAsia" w:ascii="微软雅黑" w:hAnsi="微软雅黑" w:eastAsia="微软雅黑"/>
                <w:color w:val="auto"/>
                <w:kern w:val="2"/>
                <w:sz w:val="21"/>
                <w:szCs w:val="21"/>
                <w:highlight w:val="none"/>
              </w:rPr>
              <w:t>        </w:t>
            </w:r>
          </w:p>
          <w:p w14:paraId="0D019AD5">
            <w:pPr>
              <w:pStyle w:val="35"/>
              <w:wordWrap w:val="0"/>
              <w:spacing w:before="0" w:beforeAutospacing="0" w:after="0" w:afterAutospacing="0" w:line="315" w:lineRule="atLeast"/>
              <w:ind w:left="540" w:firstLine="30"/>
              <w:jc w:val="both"/>
              <w:rPr>
                <w:rFonts w:hint="eastAsia" w:ascii="微软雅黑" w:hAnsi="微软雅黑" w:eastAsia="微软雅黑" w:cs="仿宋_GB2312"/>
                <w:color w:val="auto"/>
                <w:kern w:val="2"/>
                <w:sz w:val="21"/>
                <w:szCs w:val="21"/>
                <w:highlight w:val="none"/>
              </w:rPr>
            </w:pPr>
          </w:p>
          <w:p w14:paraId="119D9641">
            <w:pPr>
              <w:pStyle w:val="35"/>
              <w:wordWrap w:val="0"/>
              <w:spacing w:before="0" w:beforeAutospacing="0" w:after="0" w:afterAutospacing="0" w:line="315" w:lineRule="atLeast"/>
              <w:ind w:firstLine="420" w:firstLineChars="200"/>
              <w:jc w:val="both"/>
              <w:rPr>
                <w:rFonts w:hint="eastAsia" w:ascii="微软雅黑" w:hAnsi="微软雅黑" w:eastAsia="微软雅黑"/>
                <w:color w:val="auto"/>
                <w:kern w:val="2"/>
                <w:sz w:val="21"/>
                <w:szCs w:val="21"/>
                <w:highlight w:val="none"/>
              </w:rPr>
            </w:pPr>
            <w:r>
              <w:rPr>
                <w:rFonts w:hint="eastAsia" w:ascii="微软雅黑" w:hAnsi="微软雅黑" w:eastAsia="微软雅黑" w:cs="仿宋_GB2312"/>
                <w:color w:val="auto"/>
                <w:kern w:val="2"/>
                <w:sz w:val="21"/>
                <w:szCs w:val="21"/>
                <w:highlight w:val="none"/>
              </w:rPr>
              <w:t>法人代表或负责人签字或盖章：</w:t>
            </w:r>
            <w:r>
              <w:rPr>
                <w:rFonts w:hint="eastAsia" w:ascii="微软雅黑" w:hAnsi="微软雅黑" w:eastAsia="微软雅黑"/>
                <w:color w:val="auto"/>
                <w:kern w:val="2"/>
                <w:sz w:val="21"/>
                <w:szCs w:val="21"/>
                <w:highlight w:val="none"/>
                <w:u w:val="single"/>
              </w:rPr>
              <w:t>         </w:t>
            </w:r>
          </w:p>
          <w:p w14:paraId="6599E9EB">
            <w:pPr>
              <w:pStyle w:val="35"/>
              <w:wordWrap w:val="0"/>
              <w:spacing w:before="0" w:beforeAutospacing="0" w:after="0" w:afterAutospacing="0" w:line="315" w:lineRule="atLeast"/>
              <w:ind w:left="540" w:firstLine="30"/>
              <w:jc w:val="center"/>
              <w:rPr>
                <w:rFonts w:hint="eastAsia" w:ascii="微软雅黑" w:hAnsi="微软雅黑" w:eastAsia="微软雅黑"/>
                <w:color w:val="auto"/>
                <w:kern w:val="2"/>
                <w:sz w:val="21"/>
                <w:szCs w:val="21"/>
                <w:highlight w:val="none"/>
              </w:rPr>
            </w:pPr>
            <w:r>
              <w:rPr>
                <w:rFonts w:hint="eastAsia" w:ascii="微软雅黑" w:hAnsi="微软雅黑" w:eastAsia="微软雅黑"/>
                <w:color w:val="auto"/>
                <w:kern w:val="2"/>
                <w:sz w:val="21"/>
                <w:szCs w:val="21"/>
                <w:highlight w:val="none"/>
              </w:rPr>
              <w:t>                           </w:t>
            </w:r>
          </w:p>
          <w:p w14:paraId="5CAFBFF3">
            <w:pPr>
              <w:pStyle w:val="35"/>
              <w:wordWrap w:val="0"/>
              <w:spacing w:before="0" w:beforeAutospacing="0" w:after="0" w:afterAutospacing="0" w:line="315" w:lineRule="atLeast"/>
              <w:rPr>
                <w:rFonts w:hint="eastAsia" w:ascii="微软雅黑" w:hAnsi="微软雅黑" w:eastAsia="微软雅黑"/>
                <w:color w:val="auto"/>
                <w:kern w:val="2"/>
                <w:sz w:val="21"/>
                <w:szCs w:val="21"/>
                <w:highlight w:val="none"/>
              </w:rPr>
            </w:pPr>
            <w:r>
              <w:rPr>
                <w:rFonts w:hint="eastAsia" w:ascii="微软雅黑" w:hAnsi="微软雅黑" w:eastAsia="微软雅黑"/>
                <w:color w:val="auto"/>
                <w:kern w:val="2"/>
                <w:sz w:val="21"/>
                <w:szCs w:val="21"/>
                <w:highlight w:val="none"/>
              </w:rPr>
              <w:t> </w:t>
            </w:r>
          </w:p>
          <w:p w14:paraId="5D63B67A">
            <w:pPr>
              <w:pStyle w:val="35"/>
              <w:wordWrap w:val="0"/>
              <w:spacing w:before="0" w:beforeAutospacing="0" w:after="0" w:afterAutospacing="0" w:line="315" w:lineRule="atLeast"/>
              <w:rPr>
                <w:rFonts w:hint="eastAsia" w:ascii="微软雅黑" w:hAnsi="微软雅黑" w:eastAsia="微软雅黑"/>
                <w:color w:val="auto"/>
                <w:kern w:val="2"/>
                <w:sz w:val="21"/>
                <w:szCs w:val="21"/>
                <w:highlight w:val="none"/>
              </w:rPr>
            </w:pPr>
            <w:r>
              <w:rPr>
                <w:rFonts w:hint="eastAsia" w:ascii="微软雅黑" w:hAnsi="微软雅黑" w:eastAsia="微软雅黑"/>
                <w:color w:val="auto"/>
                <w:kern w:val="2"/>
                <w:sz w:val="21"/>
                <w:szCs w:val="21"/>
                <w:highlight w:val="none"/>
              </w:rPr>
              <w:t>                  </w:t>
            </w:r>
            <w:r>
              <w:rPr>
                <w:rFonts w:hint="eastAsia" w:ascii="微软雅黑" w:hAnsi="微软雅黑" w:eastAsia="微软雅黑" w:cs="仿宋_GB2312"/>
                <w:color w:val="auto"/>
                <w:kern w:val="2"/>
                <w:sz w:val="21"/>
                <w:szCs w:val="21"/>
                <w:highlight w:val="none"/>
              </w:rPr>
              <w:t>     年</w:t>
            </w:r>
            <w:r>
              <w:rPr>
                <w:rFonts w:hint="eastAsia" w:ascii="微软雅黑" w:hAnsi="微软雅黑" w:eastAsia="微软雅黑"/>
                <w:color w:val="auto"/>
                <w:kern w:val="2"/>
                <w:sz w:val="21"/>
                <w:szCs w:val="21"/>
                <w:highlight w:val="none"/>
              </w:rPr>
              <w:t>    </w:t>
            </w:r>
            <w:r>
              <w:rPr>
                <w:rFonts w:hint="eastAsia" w:ascii="微软雅黑" w:hAnsi="微软雅黑" w:eastAsia="微软雅黑" w:cs="仿宋_GB2312"/>
                <w:color w:val="auto"/>
                <w:kern w:val="2"/>
                <w:sz w:val="21"/>
                <w:szCs w:val="21"/>
                <w:highlight w:val="none"/>
              </w:rPr>
              <w:t>月</w:t>
            </w:r>
            <w:r>
              <w:rPr>
                <w:rFonts w:hint="eastAsia" w:ascii="微软雅黑" w:hAnsi="微软雅黑" w:eastAsia="微软雅黑"/>
                <w:color w:val="auto"/>
                <w:kern w:val="2"/>
                <w:sz w:val="21"/>
                <w:szCs w:val="21"/>
                <w:highlight w:val="none"/>
              </w:rPr>
              <w:t>    </w:t>
            </w:r>
            <w:r>
              <w:rPr>
                <w:rFonts w:hint="eastAsia" w:ascii="微软雅黑" w:hAnsi="微软雅黑" w:eastAsia="微软雅黑" w:cs="仿宋_GB2312"/>
                <w:color w:val="auto"/>
                <w:kern w:val="2"/>
                <w:sz w:val="21"/>
                <w:szCs w:val="21"/>
                <w:highlight w:val="none"/>
              </w:rPr>
              <w:t>日</w:t>
            </w:r>
          </w:p>
        </w:tc>
      </w:tr>
    </w:tbl>
    <w:p w14:paraId="4F38B504">
      <w:pPr>
        <w:rPr>
          <w:rFonts w:hint="eastAsia" w:ascii="微软雅黑" w:hAnsi="微软雅黑" w:eastAsia="微软雅黑"/>
          <w:color w:val="auto"/>
          <w:szCs w:val="21"/>
          <w:highlight w:val="none"/>
        </w:rPr>
      </w:pPr>
    </w:p>
    <w:sectPr>
      <w:pgSz w:w="11907" w:h="16840"/>
      <w:pgMar w:top="1440" w:right="1797" w:bottom="1440" w:left="1797" w:header="851" w:footer="851"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D33AE6AD-CA9C-4AB5-9F63-ED76D3DF06CF}"/>
  </w:font>
  <w:font w:name="黑体">
    <w:panose1 w:val="02010609060101010101"/>
    <w:charset w:val="86"/>
    <w:family w:val="auto"/>
    <w:pitch w:val="default"/>
    <w:sig w:usb0="800002BF" w:usb1="38CF7CFA" w:usb2="00000016" w:usb3="00000000" w:csb0="00040001" w:csb1="00000000"/>
    <w:embedRegular r:id="rId2" w:fontKey="{AE4199BA-10AB-4880-B616-942D0874F282}"/>
  </w:font>
  <w:font w:name="Courier New">
    <w:panose1 w:val="02070309020205020404"/>
    <w:charset w:val="01"/>
    <w:family w:val="modern"/>
    <w:pitch w:val="default"/>
    <w:sig w:usb0="E0002EFF" w:usb1="C0007843" w:usb2="00000009" w:usb3="00000000" w:csb0="400001FF" w:csb1="FFFF0000"/>
    <w:embedRegular r:id="rId3" w:fontKey="{F71AF084-1A2B-4945-BA44-A0F62B523D06}"/>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embedRegular r:id="rId4" w:fontKey="{E9BD1EC3-A5B4-464F-A0E1-9ADA3F34D02E}"/>
  </w:font>
  <w:font w:name="仿宋_GB2312">
    <w:altName w:val="仿宋"/>
    <w:panose1 w:val="02010609030101010101"/>
    <w:charset w:val="86"/>
    <w:family w:val="modern"/>
    <w:pitch w:val="default"/>
    <w:sig w:usb0="00000000" w:usb1="00000000" w:usb2="00000000" w:usb3="00000000" w:csb0="00040000" w:csb1="00000000"/>
    <w:embedRegular r:id="rId5" w:fontKey="{47AE260D-C927-4A15-A8E3-649E3DB579EC}"/>
  </w:font>
  <w:font w:name="仿宋">
    <w:panose1 w:val="02010609060101010101"/>
    <w:charset w:val="86"/>
    <w:family w:val="modern"/>
    <w:pitch w:val="default"/>
    <w:sig w:usb0="800002BF" w:usb1="38CF7CFA" w:usb2="00000016" w:usb3="00000000" w:csb0="00040001" w:csb1="00000000"/>
    <w:embedRegular r:id="rId6" w:fontKey="{31E504B4-A3A0-48DF-9381-C2D52753FA90}"/>
  </w:font>
  <w:font w:name="楷体_GB2312">
    <w:altName w:val="楷体"/>
    <w:panose1 w:val="00000000000000000000"/>
    <w:charset w:val="86"/>
    <w:family w:val="modern"/>
    <w:pitch w:val="default"/>
    <w:sig w:usb0="00000000" w:usb1="00000000" w:usb2="00000016" w:usb3="00000000" w:csb0="00040001" w:csb1="00000000"/>
    <w:embedRegular r:id="rId7" w:fontKey="{0E991B8F-82BD-4AEB-BFCA-DE16DBB44AB2}"/>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embedRegular r:id="rId8" w:fontKey="{29FF90B7-497D-4D62-BED4-307E3E4DAE40}"/>
  </w:font>
  <w:font w:name="Helvetica">
    <w:altName w:val="Arial"/>
    <w:panose1 w:val="020B0604020202020204"/>
    <w:charset w:val="00"/>
    <w:family w:val="swiss"/>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方正粗黑宋简体">
    <w:altName w:val="宋体"/>
    <w:panose1 w:val="02000000000000000000"/>
    <w:charset w:val="86"/>
    <w:family w:val="auto"/>
    <w:pitch w:val="default"/>
    <w:sig w:usb0="00000000" w:usb1="00000000" w:usb2="00000012" w:usb3="00000000" w:csb0="00040001" w:csb1="00000000"/>
    <w:embedRegular r:id="rId9" w:fontKey="{2E5231B1-FB6C-4B33-80AD-FD2E0B9CCC6A}"/>
  </w:font>
  <w:font w:name="方正小标宋简体">
    <w:panose1 w:val="02000000000000000000"/>
    <w:charset w:val="86"/>
    <w:family w:val="script"/>
    <w:pitch w:val="default"/>
    <w:sig w:usb0="00000001" w:usb1="08000000" w:usb2="00000000" w:usb3="00000000" w:csb0="00040000" w:csb1="00000000"/>
    <w:embedRegular r:id="rId10" w:fontKey="{52BC7AC3-89EC-47C0-9CE7-6D1000F07F3B}"/>
  </w:font>
  <w:font w:name="-apple-system">
    <w:altName w:val="标准粗黑"/>
    <w:panose1 w:val="00000000000000000000"/>
    <w:charset w:val="00"/>
    <w:family w:val="auto"/>
    <w:pitch w:val="default"/>
    <w:sig w:usb0="00000000" w:usb1="00000000" w:usb2="00000000" w:usb3="00000000" w:csb0="00040001" w:csb1="00000000"/>
    <w:embedRegular r:id="rId11" w:fontKey="{BC66FD90-ED42-4D8C-8E11-3ECAFB0FA1CC}"/>
  </w:font>
  <w:font w:name="标准粗黑">
    <w:panose1 w:val="02000503000000000000"/>
    <w:charset w:val="86"/>
    <w:family w:val="auto"/>
    <w:pitch w:val="default"/>
    <w:sig w:usb0="8000002F" w:usb1="084164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40140110"/>
    </w:sdtPr>
    <w:sdtContent>
      <w:p w14:paraId="6D279CE0">
        <w:pPr>
          <w:pStyle w:val="26"/>
          <w:jc w:val="center"/>
        </w:pPr>
        <w:r>
          <w:fldChar w:fldCharType="begin"/>
        </w:r>
        <w:r>
          <w:instrText xml:space="preserve">PAGE   \* MERGEFORMAT</w:instrText>
        </w:r>
        <w:r>
          <w:fldChar w:fldCharType="separate"/>
        </w:r>
        <w:r>
          <w:rPr>
            <w:lang w:val="zh-CN"/>
          </w:rPr>
          <w:t>2</w:t>
        </w:r>
        <w:r>
          <w:fldChar w:fldCharType="end"/>
        </w:r>
      </w:p>
    </w:sdtContent>
  </w:sdt>
  <w:p w14:paraId="23BA2E85">
    <w:pPr>
      <w:pStyle w:val="26"/>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8608E5">
    <w:pPr>
      <w:pStyle w:val="26"/>
      <w:framePr w:wrap="around" w:vAnchor="text" w:hAnchor="margin" w:xAlign="outside" w:y="1"/>
      <w:rPr>
        <w:rStyle w:val="42"/>
      </w:rPr>
    </w:pPr>
    <w:r>
      <w:rPr>
        <w:rStyle w:val="42"/>
      </w:rPr>
      <w:fldChar w:fldCharType="begin"/>
    </w:r>
    <w:r>
      <w:rPr>
        <w:rStyle w:val="42"/>
      </w:rPr>
      <w:instrText xml:space="preserve">PAGE  </w:instrText>
    </w:r>
    <w:r>
      <w:rPr>
        <w:rStyle w:val="42"/>
      </w:rPr>
      <w:fldChar w:fldCharType="end"/>
    </w:r>
  </w:p>
  <w:p w14:paraId="7B10204A">
    <w:pPr>
      <w:pStyle w:val="26"/>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DC5CC">
    <w:pPr>
      <w:pStyle w:val="26"/>
      <w:jc w:val="right"/>
    </w:pPr>
  </w:p>
  <w:p w14:paraId="7F89EA83">
    <w:pPr>
      <w:pStyle w:val="2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45063927"/>
    </w:sdtPr>
    <w:sdtContent>
      <w:p w14:paraId="4612A150">
        <w:pPr>
          <w:pStyle w:val="26"/>
          <w:jc w:val="center"/>
        </w:pPr>
        <w:r>
          <w:fldChar w:fldCharType="begin"/>
        </w:r>
        <w:r>
          <w:instrText xml:space="preserve">PAGE   \* MERGEFORMAT</w:instrText>
        </w:r>
        <w:r>
          <w:fldChar w:fldCharType="separate"/>
        </w:r>
        <w:r>
          <w:rPr>
            <w:lang w:val="zh-CN"/>
          </w:rPr>
          <w:t>2</w:t>
        </w:r>
        <w:r>
          <w:fldChar w:fldCharType="end"/>
        </w:r>
      </w:p>
    </w:sdtContent>
  </w:sdt>
  <w:p w14:paraId="53C34AFC">
    <w:pPr>
      <w:pStyle w:val="2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D5AFB4">
    <w:pPr>
      <w:pStyle w:val="27"/>
      <w:jc w:val="right"/>
      <w:rPr>
        <w:sz w:val="15"/>
        <w:szCs w:val="15"/>
      </w:rPr>
    </w:pPr>
    <w:r>
      <w:rPr>
        <w:rFonts w:ascii="微软雅黑" w:hAnsi="微软雅黑" w:eastAsia="微软雅黑"/>
        <w:sz w:val="18"/>
        <w:szCs w:val="18"/>
      </w:rPr>
      <w:drawing>
        <wp:anchor distT="0" distB="0" distL="114300" distR="114300" simplePos="0" relativeHeight="251660288" behindDoc="0" locked="0" layoutInCell="1" allowOverlap="1">
          <wp:simplePos x="0" y="0"/>
          <wp:positionH relativeFrom="column">
            <wp:posOffset>-255270</wp:posOffset>
          </wp:positionH>
          <wp:positionV relativeFrom="paragraph">
            <wp:posOffset>-235585</wp:posOffset>
          </wp:positionV>
          <wp:extent cx="447675" cy="390525"/>
          <wp:effectExtent l="19050" t="0" r="9525" b="0"/>
          <wp:wrapNone/>
          <wp:docPr id="8" name="图片 7" descr="102267327523836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102267327523836409"/>
                  <pic:cNvPicPr>
                    <a:picLocks noChangeAspect="1" noChangeArrowheads="1"/>
                  </pic:cNvPicPr>
                </pic:nvPicPr>
                <pic:blipFill>
                  <a:blip r:embed="rId1"/>
                  <a:srcRect/>
                  <a:stretch>
                    <a:fillRect/>
                  </a:stretch>
                </pic:blipFill>
                <pic:spPr>
                  <a:xfrm>
                    <a:off x="0" y="0"/>
                    <a:ext cx="447675" cy="390525"/>
                  </a:xfrm>
                  <a:prstGeom prst="rect">
                    <a:avLst/>
                  </a:prstGeom>
                  <a:noFill/>
                  <a:ln w="9525" cmpd="sng">
                    <a:noFill/>
                    <a:miter lim="800000"/>
                    <a:headEnd/>
                    <a:tailEnd/>
                  </a:ln>
                </pic:spPr>
              </pic:pic>
            </a:graphicData>
          </a:graphic>
        </wp:anchor>
      </w:drawing>
    </w:r>
    <w:r>
      <w:rPr>
        <w:rFonts w:hint="eastAsia" w:ascii="微软雅黑" w:hAnsi="微软雅黑" w:eastAsia="微软雅黑"/>
        <w:sz w:val="18"/>
        <w:szCs w:val="18"/>
        <w:lang w:eastAsia="zh-CN"/>
      </w:rPr>
      <w:t>秀洲区2025年度第一期财政资金竞争性存放项目</w:t>
    </w:r>
    <w:r>
      <w:rPr>
        <w:rFonts w:hint="eastAsia" w:ascii="微软雅黑" w:hAnsi="微软雅黑" w:eastAsia="微软雅黑"/>
        <w:sz w:val="18"/>
        <w:szCs w:val="18"/>
      </w:rPr>
      <w:t>.招标文件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8ECD90">
    <w:pPr>
      <w:pStyle w:val="27"/>
      <w:jc w:val="right"/>
      <w:rPr>
        <w:sz w:val="15"/>
        <w:szCs w:val="15"/>
      </w:rPr>
    </w:pPr>
    <w:r>
      <w:rPr>
        <w:rFonts w:ascii="微软雅黑" w:hAnsi="微软雅黑" w:eastAsia="微软雅黑"/>
        <w:sz w:val="15"/>
        <w:szCs w:val="15"/>
      </w:rPr>
      <w:drawing>
        <wp:anchor distT="0" distB="0" distL="114300" distR="114300" simplePos="0" relativeHeight="251659264" behindDoc="0" locked="0" layoutInCell="1" allowOverlap="1">
          <wp:simplePos x="0" y="0"/>
          <wp:positionH relativeFrom="column">
            <wp:posOffset>-274320</wp:posOffset>
          </wp:positionH>
          <wp:positionV relativeFrom="paragraph">
            <wp:posOffset>-197485</wp:posOffset>
          </wp:positionV>
          <wp:extent cx="447675" cy="390525"/>
          <wp:effectExtent l="19050" t="0" r="9525" b="0"/>
          <wp:wrapNone/>
          <wp:docPr id="7" name="图片 7" descr="102267327523836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102267327523836409"/>
                  <pic:cNvPicPr>
                    <a:picLocks noChangeAspect="1" noChangeArrowheads="1"/>
                  </pic:cNvPicPr>
                </pic:nvPicPr>
                <pic:blipFill>
                  <a:blip r:embed="rId1"/>
                  <a:srcRect/>
                  <a:stretch>
                    <a:fillRect/>
                  </a:stretch>
                </pic:blipFill>
                <pic:spPr>
                  <a:xfrm>
                    <a:off x="0" y="0"/>
                    <a:ext cx="447675" cy="390525"/>
                  </a:xfrm>
                  <a:prstGeom prst="rect">
                    <a:avLst/>
                  </a:prstGeom>
                  <a:noFill/>
                  <a:ln w="9525" cmpd="sng">
                    <a:noFill/>
                    <a:miter lim="800000"/>
                    <a:headEnd/>
                    <a:tailEnd/>
                  </a:ln>
                </pic:spPr>
              </pic:pic>
            </a:graphicData>
          </a:graphic>
        </wp:anchor>
      </w:drawing>
    </w:r>
    <w:r>
      <w:rPr>
        <w:rFonts w:hint="eastAsia" w:ascii="微软雅黑" w:hAnsi="微软雅黑" w:eastAsia="微软雅黑"/>
        <w:sz w:val="15"/>
        <w:szCs w:val="15"/>
        <w:lang w:eastAsia="zh-CN"/>
      </w:rPr>
      <w:t>秀洲区2025年度第一期财政资金竞争性存放项目</w:t>
    </w:r>
    <w:r>
      <w:rPr>
        <w:rFonts w:hint="eastAsia" w:ascii="微软雅黑" w:hAnsi="微软雅黑" w:eastAsia="微软雅黑"/>
        <w:sz w:val="15"/>
        <w:szCs w:val="15"/>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34BA0B"/>
    <w:multiLevelType w:val="singleLevel"/>
    <w:tmpl w:val="8234BA0B"/>
    <w:lvl w:ilvl="0" w:tentative="0">
      <w:start w:val="1"/>
      <w:numFmt w:val="decimal"/>
      <w:lvlText w:val="(%1)"/>
      <w:lvlJc w:val="left"/>
      <w:pPr>
        <w:ind w:left="425" w:hanging="425"/>
      </w:pPr>
      <w:rPr>
        <w:rFonts w:hint="default"/>
      </w:rPr>
    </w:lvl>
  </w:abstractNum>
  <w:abstractNum w:abstractNumId="1">
    <w:nsid w:val="88A52BDC"/>
    <w:multiLevelType w:val="singleLevel"/>
    <w:tmpl w:val="88A52BDC"/>
    <w:lvl w:ilvl="0" w:tentative="0">
      <w:start w:val="1"/>
      <w:numFmt w:val="decimal"/>
      <w:lvlText w:val="%1."/>
      <w:lvlJc w:val="left"/>
      <w:pPr>
        <w:ind w:left="425" w:hanging="425"/>
      </w:pPr>
      <w:rPr>
        <w:rFonts w:hint="default"/>
      </w:rPr>
    </w:lvl>
  </w:abstractNum>
  <w:abstractNum w:abstractNumId="2">
    <w:nsid w:val="8A826A00"/>
    <w:multiLevelType w:val="multilevel"/>
    <w:tmpl w:val="8A826A00"/>
    <w:lvl w:ilvl="0" w:tentative="0">
      <w:start w:val="1"/>
      <w:numFmt w:val="decimal"/>
      <w:lvlText w:val="%1."/>
      <w:lvlJc w:val="left"/>
      <w:pPr>
        <w:ind w:left="425" w:hanging="425"/>
      </w:pPr>
      <w:rPr>
        <w:rFonts w:hint="default"/>
      </w:rPr>
    </w:lvl>
    <w:lvl w:ilvl="1" w:tentative="0">
      <w:start w:val="1"/>
      <w:numFmt w:val="decimal"/>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Letter"/>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Roman"/>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abstractNum w:abstractNumId="3">
    <w:nsid w:val="90A31765"/>
    <w:multiLevelType w:val="singleLevel"/>
    <w:tmpl w:val="90A31765"/>
    <w:lvl w:ilvl="0" w:tentative="0">
      <w:start w:val="1"/>
      <w:numFmt w:val="decimal"/>
      <w:lvlText w:val="(%1)"/>
      <w:lvlJc w:val="left"/>
      <w:pPr>
        <w:ind w:left="425" w:hanging="425"/>
      </w:pPr>
      <w:rPr>
        <w:rFonts w:hint="default"/>
      </w:rPr>
    </w:lvl>
  </w:abstractNum>
  <w:abstractNum w:abstractNumId="4">
    <w:nsid w:val="913C3F71"/>
    <w:multiLevelType w:val="singleLevel"/>
    <w:tmpl w:val="913C3F71"/>
    <w:lvl w:ilvl="0" w:tentative="0">
      <w:start w:val="1"/>
      <w:numFmt w:val="decimal"/>
      <w:lvlText w:val="%1."/>
      <w:lvlJc w:val="left"/>
      <w:pPr>
        <w:ind w:left="425" w:hanging="425"/>
      </w:pPr>
      <w:rPr>
        <w:rFonts w:hint="default"/>
      </w:rPr>
    </w:lvl>
  </w:abstractNum>
  <w:abstractNum w:abstractNumId="5">
    <w:nsid w:val="95BCF98A"/>
    <w:multiLevelType w:val="singleLevel"/>
    <w:tmpl w:val="95BCF98A"/>
    <w:lvl w:ilvl="0" w:tentative="0">
      <w:start w:val="1"/>
      <w:numFmt w:val="decimal"/>
      <w:lvlText w:val="%1."/>
      <w:lvlJc w:val="left"/>
      <w:pPr>
        <w:ind w:left="425" w:hanging="425"/>
      </w:pPr>
      <w:rPr>
        <w:rFonts w:hint="default"/>
      </w:rPr>
    </w:lvl>
  </w:abstractNum>
  <w:abstractNum w:abstractNumId="6">
    <w:nsid w:val="A507EC89"/>
    <w:multiLevelType w:val="singleLevel"/>
    <w:tmpl w:val="A507EC89"/>
    <w:lvl w:ilvl="0" w:tentative="0">
      <w:start w:val="1"/>
      <w:numFmt w:val="chineseCounting"/>
      <w:suff w:val="nothing"/>
      <w:lvlText w:val="%1、"/>
      <w:lvlJc w:val="left"/>
      <w:pPr>
        <w:ind w:left="0" w:firstLine="420"/>
      </w:pPr>
      <w:rPr>
        <w:rFonts w:hint="eastAsia"/>
      </w:rPr>
    </w:lvl>
  </w:abstractNum>
  <w:abstractNum w:abstractNumId="7">
    <w:nsid w:val="B3C48481"/>
    <w:multiLevelType w:val="multilevel"/>
    <w:tmpl w:val="B3C48481"/>
    <w:lvl w:ilvl="0" w:tentative="0">
      <w:start w:val="1"/>
      <w:numFmt w:val="chineseCounting"/>
      <w:pStyle w:val="2"/>
      <w:suff w:val="nothing"/>
      <w:lvlText w:val="%1、"/>
      <w:lvlJc w:val="left"/>
      <w:pPr>
        <w:ind w:left="0" w:firstLine="0"/>
      </w:pPr>
      <w:rPr>
        <w:rFonts w:hint="eastAsia"/>
      </w:rPr>
    </w:lvl>
    <w:lvl w:ilvl="1" w:tentative="0">
      <w:start w:val="1"/>
      <w:numFmt w:val="chineseCounting"/>
      <w:pStyle w:val="3"/>
      <w:suff w:val="nothing"/>
      <w:lvlText w:val="（%2）"/>
      <w:lvlJc w:val="left"/>
      <w:pPr>
        <w:ind w:left="0" w:firstLine="0"/>
      </w:pPr>
      <w:rPr>
        <w:rFonts w:hint="eastAsia"/>
      </w:rPr>
    </w:lvl>
    <w:lvl w:ilvl="2" w:tentative="0">
      <w:start w:val="1"/>
      <w:numFmt w:val="decimal"/>
      <w:pStyle w:val="4"/>
      <w:suff w:val="nothing"/>
      <w:lvlText w:val="%3．"/>
      <w:lvlJc w:val="left"/>
      <w:pPr>
        <w:ind w:left="0" w:firstLine="400"/>
      </w:pPr>
      <w:rPr>
        <w:rFonts w:hint="eastAsia"/>
      </w:rPr>
    </w:lvl>
    <w:lvl w:ilvl="3" w:tentative="0">
      <w:start w:val="1"/>
      <w:numFmt w:val="decimal"/>
      <w:pStyle w:val="6"/>
      <w:suff w:val="nothing"/>
      <w:lvlText w:val="（%4）"/>
      <w:lvlJc w:val="left"/>
      <w:pPr>
        <w:ind w:left="0" w:firstLine="402"/>
      </w:pPr>
      <w:rPr>
        <w:rFonts w:hint="eastAsia"/>
      </w:rPr>
    </w:lvl>
    <w:lvl w:ilvl="4" w:tentative="0">
      <w:start w:val="1"/>
      <w:numFmt w:val="decimalEnclosedCircleChinese"/>
      <w:pStyle w:val="7"/>
      <w:suff w:val="nothing"/>
      <w:lvlText w:val="%5"/>
      <w:lvlJc w:val="left"/>
      <w:pPr>
        <w:ind w:left="0" w:firstLine="402"/>
      </w:pPr>
      <w:rPr>
        <w:rFonts w:hint="eastAsia"/>
      </w:rPr>
    </w:lvl>
    <w:lvl w:ilvl="5" w:tentative="0">
      <w:start w:val="1"/>
      <w:numFmt w:val="decimal"/>
      <w:pStyle w:val="8"/>
      <w:suff w:val="nothing"/>
      <w:lvlText w:val="%6）"/>
      <w:lvlJc w:val="left"/>
      <w:pPr>
        <w:ind w:left="0" w:firstLine="402"/>
      </w:pPr>
      <w:rPr>
        <w:rFonts w:hint="eastAsia"/>
      </w:rPr>
    </w:lvl>
    <w:lvl w:ilvl="6" w:tentative="0">
      <w:start w:val="1"/>
      <w:numFmt w:val="lowerLetter"/>
      <w:pStyle w:val="9"/>
      <w:suff w:val="nothing"/>
      <w:lvlText w:val="%7．"/>
      <w:lvlJc w:val="left"/>
      <w:pPr>
        <w:ind w:left="0" w:firstLine="402"/>
      </w:pPr>
      <w:rPr>
        <w:rFonts w:hint="eastAsia"/>
      </w:rPr>
    </w:lvl>
    <w:lvl w:ilvl="7" w:tentative="0">
      <w:start w:val="1"/>
      <w:numFmt w:val="lowerLetter"/>
      <w:pStyle w:val="10"/>
      <w:suff w:val="nothing"/>
      <w:lvlText w:val="%8）"/>
      <w:lvlJc w:val="left"/>
      <w:pPr>
        <w:ind w:left="0" w:firstLine="402"/>
      </w:pPr>
      <w:rPr>
        <w:rFonts w:hint="eastAsia"/>
      </w:rPr>
    </w:lvl>
    <w:lvl w:ilvl="8" w:tentative="0">
      <w:start w:val="1"/>
      <w:numFmt w:val="lowerRoman"/>
      <w:pStyle w:val="11"/>
      <w:suff w:val="nothing"/>
      <w:lvlText w:val="%9 "/>
      <w:lvlJc w:val="left"/>
      <w:pPr>
        <w:ind w:left="0" w:firstLine="402"/>
      </w:pPr>
      <w:rPr>
        <w:rFonts w:hint="eastAsia"/>
      </w:rPr>
    </w:lvl>
  </w:abstractNum>
  <w:abstractNum w:abstractNumId="8">
    <w:nsid w:val="C30591CF"/>
    <w:multiLevelType w:val="singleLevel"/>
    <w:tmpl w:val="C30591CF"/>
    <w:lvl w:ilvl="0" w:tentative="0">
      <w:start w:val="1"/>
      <w:numFmt w:val="decimal"/>
      <w:lvlText w:val="(%1)"/>
      <w:lvlJc w:val="left"/>
      <w:pPr>
        <w:ind w:left="425" w:hanging="425"/>
      </w:pPr>
      <w:rPr>
        <w:rFonts w:hint="default"/>
      </w:rPr>
    </w:lvl>
  </w:abstractNum>
  <w:abstractNum w:abstractNumId="9">
    <w:nsid w:val="C70EAB13"/>
    <w:multiLevelType w:val="singleLevel"/>
    <w:tmpl w:val="C70EAB13"/>
    <w:lvl w:ilvl="0" w:tentative="0">
      <w:start w:val="1"/>
      <w:numFmt w:val="decimal"/>
      <w:lvlText w:val="%1."/>
      <w:lvlJc w:val="left"/>
      <w:pPr>
        <w:ind w:left="425" w:hanging="425"/>
      </w:pPr>
      <w:rPr>
        <w:rFonts w:hint="default"/>
      </w:rPr>
    </w:lvl>
  </w:abstractNum>
  <w:abstractNum w:abstractNumId="10">
    <w:nsid w:val="CBE9ACB4"/>
    <w:multiLevelType w:val="singleLevel"/>
    <w:tmpl w:val="CBE9ACB4"/>
    <w:lvl w:ilvl="0" w:tentative="0">
      <w:start w:val="1"/>
      <w:numFmt w:val="decimal"/>
      <w:lvlText w:val="%1."/>
      <w:lvlJc w:val="left"/>
      <w:pPr>
        <w:ind w:left="425" w:hanging="425"/>
      </w:pPr>
      <w:rPr>
        <w:rFonts w:hint="default"/>
      </w:rPr>
    </w:lvl>
  </w:abstractNum>
  <w:abstractNum w:abstractNumId="11">
    <w:nsid w:val="D33917DA"/>
    <w:multiLevelType w:val="multilevel"/>
    <w:tmpl w:val="D33917DA"/>
    <w:lvl w:ilvl="0" w:tentative="0">
      <w:start w:val="1"/>
      <w:numFmt w:val="chineseCounting"/>
      <w:suff w:val="nothing"/>
      <w:lvlText w:val="第%1章 "/>
      <w:lvlJc w:val="left"/>
      <w:pPr>
        <w:ind w:left="0" w:firstLine="402"/>
      </w:pPr>
      <w:rPr>
        <w:rFonts w:hint="eastAsia"/>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2">
    <w:nsid w:val="D58D71E6"/>
    <w:multiLevelType w:val="singleLevel"/>
    <w:tmpl w:val="D58D71E6"/>
    <w:lvl w:ilvl="0" w:tentative="0">
      <w:start w:val="1"/>
      <w:numFmt w:val="decimal"/>
      <w:lvlText w:val="(%1)"/>
      <w:lvlJc w:val="left"/>
      <w:pPr>
        <w:ind w:left="425" w:hanging="425"/>
      </w:pPr>
      <w:rPr>
        <w:rFonts w:hint="default"/>
      </w:rPr>
    </w:lvl>
  </w:abstractNum>
  <w:abstractNum w:abstractNumId="13">
    <w:nsid w:val="D8B03D13"/>
    <w:multiLevelType w:val="singleLevel"/>
    <w:tmpl w:val="D8B03D13"/>
    <w:lvl w:ilvl="0" w:tentative="0">
      <w:start w:val="1"/>
      <w:numFmt w:val="decimal"/>
      <w:lvlText w:val="%1."/>
      <w:lvlJc w:val="left"/>
      <w:pPr>
        <w:ind w:left="425" w:hanging="425"/>
      </w:pPr>
      <w:rPr>
        <w:rFonts w:hint="default"/>
      </w:rPr>
    </w:lvl>
  </w:abstractNum>
  <w:abstractNum w:abstractNumId="14">
    <w:nsid w:val="DCEA3D65"/>
    <w:multiLevelType w:val="singleLevel"/>
    <w:tmpl w:val="DCEA3D65"/>
    <w:lvl w:ilvl="0" w:tentative="0">
      <w:start w:val="1"/>
      <w:numFmt w:val="decimal"/>
      <w:lvlText w:val="(%1)"/>
      <w:lvlJc w:val="left"/>
      <w:pPr>
        <w:ind w:left="425" w:hanging="425"/>
      </w:pPr>
      <w:rPr>
        <w:rFonts w:hint="default"/>
      </w:rPr>
    </w:lvl>
  </w:abstractNum>
  <w:abstractNum w:abstractNumId="15">
    <w:nsid w:val="E3E6BB85"/>
    <w:multiLevelType w:val="singleLevel"/>
    <w:tmpl w:val="E3E6BB85"/>
    <w:lvl w:ilvl="0" w:tentative="0">
      <w:start w:val="1"/>
      <w:numFmt w:val="decimal"/>
      <w:lvlText w:val="%1."/>
      <w:lvlJc w:val="left"/>
      <w:pPr>
        <w:ind w:left="425" w:hanging="425"/>
      </w:pPr>
      <w:rPr>
        <w:rFonts w:hint="default"/>
      </w:rPr>
    </w:lvl>
  </w:abstractNum>
  <w:abstractNum w:abstractNumId="16">
    <w:nsid w:val="E475F1C9"/>
    <w:multiLevelType w:val="singleLevel"/>
    <w:tmpl w:val="E475F1C9"/>
    <w:lvl w:ilvl="0" w:tentative="0">
      <w:start w:val="1"/>
      <w:numFmt w:val="decimal"/>
      <w:lvlText w:val="%1."/>
      <w:lvlJc w:val="left"/>
      <w:pPr>
        <w:ind w:left="425" w:hanging="425"/>
      </w:pPr>
      <w:rPr>
        <w:rFonts w:hint="default"/>
      </w:rPr>
    </w:lvl>
  </w:abstractNum>
  <w:abstractNum w:abstractNumId="17">
    <w:nsid w:val="F921381C"/>
    <w:multiLevelType w:val="singleLevel"/>
    <w:tmpl w:val="F921381C"/>
    <w:lvl w:ilvl="0" w:tentative="0">
      <w:start w:val="1"/>
      <w:numFmt w:val="decimal"/>
      <w:lvlText w:val="%1."/>
      <w:lvlJc w:val="left"/>
      <w:pPr>
        <w:ind w:left="425" w:hanging="425"/>
      </w:pPr>
      <w:rPr>
        <w:rFonts w:hint="default"/>
      </w:rPr>
    </w:lvl>
  </w:abstractNum>
  <w:abstractNum w:abstractNumId="18">
    <w:nsid w:val="FB09CE95"/>
    <w:multiLevelType w:val="singleLevel"/>
    <w:tmpl w:val="FB09CE95"/>
    <w:lvl w:ilvl="0" w:tentative="0">
      <w:start w:val="1"/>
      <w:numFmt w:val="chineseCounting"/>
      <w:suff w:val="nothing"/>
      <w:lvlText w:val="（%1）"/>
      <w:lvlJc w:val="left"/>
      <w:pPr>
        <w:ind w:left="0" w:firstLine="420"/>
      </w:pPr>
      <w:rPr>
        <w:rFonts w:hint="eastAsia"/>
      </w:rPr>
    </w:lvl>
  </w:abstractNum>
  <w:abstractNum w:abstractNumId="19">
    <w:nsid w:val="FFFFFF7E"/>
    <w:multiLevelType w:val="singleLevel"/>
    <w:tmpl w:val="FFFFFF7E"/>
    <w:lvl w:ilvl="0" w:tentative="0">
      <w:start w:val="1"/>
      <w:numFmt w:val="decimal"/>
      <w:pStyle w:val="19"/>
      <w:lvlText w:val="%1."/>
      <w:lvlJc w:val="left"/>
      <w:pPr>
        <w:tabs>
          <w:tab w:val="left" w:pos="1200"/>
        </w:tabs>
        <w:ind w:left="1200" w:leftChars="400" w:hanging="360" w:hangingChars="200"/>
      </w:pPr>
    </w:lvl>
  </w:abstractNum>
  <w:abstractNum w:abstractNumId="20">
    <w:nsid w:val="00D64AA4"/>
    <w:multiLevelType w:val="multilevel"/>
    <w:tmpl w:val="00D64AA4"/>
    <w:lvl w:ilvl="0" w:tentative="0">
      <w:start w:val="1"/>
      <w:numFmt w:val="decimal"/>
      <w:lvlText w:val="%1."/>
      <w:lvlJc w:val="left"/>
      <w:pPr>
        <w:ind w:left="1575" w:hanging="1035"/>
      </w:pPr>
      <w:rPr>
        <w:rFonts w:hint="default"/>
      </w:rPr>
    </w:lvl>
    <w:lvl w:ilvl="1" w:tentative="0">
      <w:start w:val="1"/>
      <w:numFmt w:val="lowerLetter"/>
      <w:lvlText w:val="%2)"/>
      <w:lvlJc w:val="left"/>
      <w:pPr>
        <w:ind w:left="1380" w:hanging="420"/>
      </w:pPr>
    </w:lvl>
    <w:lvl w:ilvl="2" w:tentative="0">
      <w:start w:val="1"/>
      <w:numFmt w:val="lowerRoman"/>
      <w:lvlText w:val="%3."/>
      <w:lvlJc w:val="right"/>
      <w:pPr>
        <w:ind w:left="1800" w:hanging="420"/>
      </w:pPr>
    </w:lvl>
    <w:lvl w:ilvl="3" w:tentative="0">
      <w:start w:val="1"/>
      <w:numFmt w:val="decimal"/>
      <w:lvlText w:val="%4."/>
      <w:lvlJc w:val="left"/>
      <w:pPr>
        <w:ind w:left="2220" w:hanging="420"/>
      </w:pPr>
    </w:lvl>
    <w:lvl w:ilvl="4" w:tentative="0">
      <w:start w:val="1"/>
      <w:numFmt w:val="lowerLetter"/>
      <w:lvlText w:val="%5)"/>
      <w:lvlJc w:val="left"/>
      <w:pPr>
        <w:ind w:left="2640" w:hanging="420"/>
      </w:pPr>
    </w:lvl>
    <w:lvl w:ilvl="5" w:tentative="0">
      <w:start w:val="1"/>
      <w:numFmt w:val="lowerRoman"/>
      <w:lvlText w:val="%6."/>
      <w:lvlJc w:val="right"/>
      <w:pPr>
        <w:ind w:left="3060" w:hanging="420"/>
      </w:pPr>
    </w:lvl>
    <w:lvl w:ilvl="6" w:tentative="0">
      <w:start w:val="1"/>
      <w:numFmt w:val="decimal"/>
      <w:lvlText w:val="%7."/>
      <w:lvlJc w:val="left"/>
      <w:pPr>
        <w:ind w:left="3480" w:hanging="420"/>
      </w:pPr>
    </w:lvl>
    <w:lvl w:ilvl="7" w:tentative="0">
      <w:start w:val="1"/>
      <w:numFmt w:val="lowerLetter"/>
      <w:lvlText w:val="%8)"/>
      <w:lvlJc w:val="left"/>
      <w:pPr>
        <w:ind w:left="3900" w:hanging="420"/>
      </w:pPr>
    </w:lvl>
    <w:lvl w:ilvl="8" w:tentative="0">
      <w:start w:val="1"/>
      <w:numFmt w:val="lowerRoman"/>
      <w:lvlText w:val="%9."/>
      <w:lvlJc w:val="right"/>
      <w:pPr>
        <w:ind w:left="4320" w:hanging="420"/>
      </w:pPr>
    </w:lvl>
  </w:abstractNum>
  <w:abstractNum w:abstractNumId="21">
    <w:nsid w:val="068E2580"/>
    <w:multiLevelType w:val="multilevel"/>
    <w:tmpl w:val="068E2580"/>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2">
    <w:nsid w:val="0AD82EDD"/>
    <w:multiLevelType w:val="multilevel"/>
    <w:tmpl w:val="0AD82EDD"/>
    <w:lvl w:ilvl="0" w:tentative="0">
      <w:start w:val="1"/>
      <w:numFmt w:val="decimal"/>
      <w:lvlText w:val="%1."/>
      <w:lvlJc w:val="left"/>
      <w:pPr>
        <w:ind w:left="1080" w:hanging="440"/>
      </w:pPr>
    </w:lvl>
    <w:lvl w:ilvl="1" w:tentative="0">
      <w:start w:val="1"/>
      <w:numFmt w:val="lowerLetter"/>
      <w:lvlText w:val="%2)"/>
      <w:lvlJc w:val="left"/>
      <w:pPr>
        <w:ind w:left="1520" w:hanging="440"/>
      </w:pPr>
    </w:lvl>
    <w:lvl w:ilvl="2" w:tentative="0">
      <w:start w:val="1"/>
      <w:numFmt w:val="lowerRoman"/>
      <w:lvlText w:val="%3."/>
      <w:lvlJc w:val="right"/>
      <w:pPr>
        <w:ind w:left="1960" w:hanging="440"/>
      </w:pPr>
    </w:lvl>
    <w:lvl w:ilvl="3" w:tentative="0">
      <w:start w:val="1"/>
      <w:numFmt w:val="decimal"/>
      <w:lvlText w:val="%4."/>
      <w:lvlJc w:val="left"/>
      <w:pPr>
        <w:ind w:left="2400" w:hanging="440"/>
      </w:pPr>
    </w:lvl>
    <w:lvl w:ilvl="4" w:tentative="0">
      <w:start w:val="1"/>
      <w:numFmt w:val="lowerLetter"/>
      <w:lvlText w:val="%5)"/>
      <w:lvlJc w:val="left"/>
      <w:pPr>
        <w:ind w:left="2840" w:hanging="440"/>
      </w:pPr>
    </w:lvl>
    <w:lvl w:ilvl="5" w:tentative="0">
      <w:start w:val="1"/>
      <w:numFmt w:val="lowerRoman"/>
      <w:lvlText w:val="%6."/>
      <w:lvlJc w:val="right"/>
      <w:pPr>
        <w:ind w:left="3280" w:hanging="440"/>
      </w:pPr>
    </w:lvl>
    <w:lvl w:ilvl="6" w:tentative="0">
      <w:start w:val="1"/>
      <w:numFmt w:val="decimal"/>
      <w:lvlText w:val="%7."/>
      <w:lvlJc w:val="left"/>
      <w:pPr>
        <w:ind w:left="3720" w:hanging="440"/>
      </w:pPr>
    </w:lvl>
    <w:lvl w:ilvl="7" w:tentative="0">
      <w:start w:val="1"/>
      <w:numFmt w:val="lowerLetter"/>
      <w:lvlText w:val="%8)"/>
      <w:lvlJc w:val="left"/>
      <w:pPr>
        <w:ind w:left="4160" w:hanging="440"/>
      </w:pPr>
    </w:lvl>
    <w:lvl w:ilvl="8" w:tentative="0">
      <w:start w:val="1"/>
      <w:numFmt w:val="lowerRoman"/>
      <w:lvlText w:val="%9."/>
      <w:lvlJc w:val="right"/>
      <w:pPr>
        <w:ind w:left="4600" w:hanging="440"/>
      </w:pPr>
    </w:lvl>
  </w:abstractNum>
  <w:abstractNum w:abstractNumId="23">
    <w:nsid w:val="1ED9D2B8"/>
    <w:multiLevelType w:val="singleLevel"/>
    <w:tmpl w:val="1ED9D2B8"/>
    <w:lvl w:ilvl="0" w:tentative="0">
      <w:start w:val="1"/>
      <w:numFmt w:val="decimal"/>
      <w:lvlText w:val="%1."/>
      <w:lvlJc w:val="left"/>
      <w:pPr>
        <w:ind w:left="425" w:hanging="425"/>
      </w:pPr>
      <w:rPr>
        <w:rFonts w:hint="default"/>
      </w:rPr>
    </w:lvl>
  </w:abstractNum>
  <w:abstractNum w:abstractNumId="24">
    <w:nsid w:val="20DFD5E0"/>
    <w:multiLevelType w:val="singleLevel"/>
    <w:tmpl w:val="20DFD5E0"/>
    <w:lvl w:ilvl="0" w:tentative="0">
      <w:start w:val="1"/>
      <w:numFmt w:val="decimal"/>
      <w:lvlText w:val="(%1)"/>
      <w:lvlJc w:val="left"/>
      <w:pPr>
        <w:ind w:left="425" w:hanging="425"/>
      </w:pPr>
      <w:rPr>
        <w:rFonts w:hint="default"/>
      </w:rPr>
    </w:lvl>
  </w:abstractNum>
  <w:abstractNum w:abstractNumId="25">
    <w:nsid w:val="20FC13BD"/>
    <w:multiLevelType w:val="singleLevel"/>
    <w:tmpl w:val="20FC13BD"/>
    <w:lvl w:ilvl="0" w:tentative="0">
      <w:start w:val="1"/>
      <w:numFmt w:val="decimal"/>
      <w:lvlText w:val="%1."/>
      <w:lvlJc w:val="left"/>
      <w:pPr>
        <w:ind w:left="425" w:hanging="425"/>
      </w:pPr>
      <w:rPr>
        <w:rFonts w:hint="default"/>
      </w:rPr>
    </w:lvl>
  </w:abstractNum>
  <w:abstractNum w:abstractNumId="26">
    <w:nsid w:val="28F7E069"/>
    <w:multiLevelType w:val="singleLevel"/>
    <w:tmpl w:val="28F7E069"/>
    <w:lvl w:ilvl="0" w:tentative="0">
      <w:start w:val="1"/>
      <w:numFmt w:val="decimal"/>
      <w:lvlText w:val="%1."/>
      <w:lvlJc w:val="left"/>
      <w:pPr>
        <w:ind w:left="425" w:hanging="425"/>
      </w:pPr>
      <w:rPr>
        <w:rFonts w:hint="default"/>
      </w:rPr>
    </w:lvl>
  </w:abstractNum>
  <w:abstractNum w:abstractNumId="27">
    <w:nsid w:val="3D7E0456"/>
    <w:multiLevelType w:val="singleLevel"/>
    <w:tmpl w:val="3D7E0456"/>
    <w:lvl w:ilvl="0" w:tentative="0">
      <w:start w:val="1"/>
      <w:numFmt w:val="decimal"/>
      <w:lvlText w:val="(%1)"/>
      <w:lvlJc w:val="left"/>
      <w:pPr>
        <w:ind w:left="425" w:hanging="425"/>
      </w:pPr>
      <w:rPr>
        <w:rFonts w:hint="default"/>
      </w:rPr>
    </w:lvl>
  </w:abstractNum>
  <w:abstractNum w:abstractNumId="28">
    <w:nsid w:val="4A9EB156"/>
    <w:multiLevelType w:val="singleLevel"/>
    <w:tmpl w:val="4A9EB156"/>
    <w:lvl w:ilvl="0" w:tentative="0">
      <w:start w:val="1"/>
      <w:numFmt w:val="chineseCounting"/>
      <w:suff w:val="nothing"/>
      <w:lvlText w:val="%1、"/>
      <w:lvlJc w:val="left"/>
      <w:pPr>
        <w:ind w:left="0" w:firstLine="420"/>
      </w:pPr>
      <w:rPr>
        <w:rFonts w:hint="eastAsia"/>
      </w:rPr>
    </w:lvl>
  </w:abstractNum>
  <w:abstractNum w:abstractNumId="29">
    <w:nsid w:val="4C714DD7"/>
    <w:multiLevelType w:val="multilevel"/>
    <w:tmpl w:val="4C714DD7"/>
    <w:lvl w:ilvl="0" w:tentative="0">
      <w:start w:val="1"/>
      <w:numFmt w:val="decimal"/>
      <w:lvlText w:val="%1."/>
      <w:lvlJc w:val="left"/>
      <w:pPr>
        <w:ind w:left="840" w:hanging="420"/>
      </w:pPr>
      <w:rPr>
        <w:rFonts w:hint="eastAsia"/>
      </w:rPr>
    </w:lvl>
    <w:lvl w:ilvl="1" w:tentative="0">
      <w:start w:val="1"/>
      <w:numFmt w:val="decimal"/>
      <w:lvlText w:val="%2."/>
      <w:lvlJc w:val="left"/>
      <w:pPr>
        <w:ind w:left="840" w:hanging="420"/>
      </w:pPr>
      <w:rPr>
        <w:rFonts w:hint="eastAsia"/>
      </w:rPr>
    </w:lvl>
    <w:lvl w:ilvl="2" w:tentative="0">
      <w:start w:val="1"/>
      <w:numFmt w:val="decimal"/>
      <w:lvlText w:val="%3、"/>
      <w:lvlJc w:val="left"/>
      <w:pPr>
        <w:ind w:left="1575" w:hanging="735"/>
      </w:pPr>
      <w:rPr>
        <w:rFonts w:hint="default"/>
      </w:r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0">
    <w:nsid w:val="625A00BB"/>
    <w:multiLevelType w:val="singleLevel"/>
    <w:tmpl w:val="625A00BB"/>
    <w:lvl w:ilvl="0" w:tentative="0">
      <w:start w:val="1"/>
      <w:numFmt w:val="decimal"/>
      <w:lvlText w:val="%1."/>
      <w:lvlJc w:val="left"/>
      <w:pPr>
        <w:ind w:left="425" w:hanging="425"/>
      </w:pPr>
      <w:rPr>
        <w:rFonts w:hint="default"/>
      </w:rPr>
    </w:lvl>
  </w:abstractNum>
  <w:abstractNum w:abstractNumId="31">
    <w:nsid w:val="63EEBE5E"/>
    <w:multiLevelType w:val="singleLevel"/>
    <w:tmpl w:val="63EEBE5E"/>
    <w:lvl w:ilvl="0" w:tentative="0">
      <w:start w:val="1"/>
      <w:numFmt w:val="decimal"/>
      <w:lvlText w:val="%1."/>
      <w:lvlJc w:val="left"/>
      <w:pPr>
        <w:ind w:left="425" w:hanging="425"/>
      </w:pPr>
      <w:rPr>
        <w:rFonts w:hint="default"/>
      </w:rPr>
    </w:lvl>
  </w:abstractNum>
  <w:abstractNum w:abstractNumId="32">
    <w:nsid w:val="64DC13A7"/>
    <w:multiLevelType w:val="multilevel"/>
    <w:tmpl w:val="64DC13A7"/>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33">
    <w:nsid w:val="676F5A34"/>
    <w:multiLevelType w:val="multilevel"/>
    <w:tmpl w:val="676F5A34"/>
    <w:lvl w:ilvl="0" w:tentative="0">
      <w:start w:val="1"/>
      <w:numFmt w:val="decimal"/>
      <w:lvlText w:val="5.%1、"/>
      <w:lvlJc w:val="left"/>
      <w:pPr>
        <w:ind w:left="420" w:hanging="420"/>
      </w:pPr>
      <w:rPr>
        <w:rFonts w:hint="eastAsia"/>
      </w:rPr>
    </w:lvl>
    <w:lvl w:ilvl="1" w:tentative="0">
      <w:start w:val="1"/>
      <w:numFmt w:val="lowerLetter"/>
      <w:lvlText w:val="%2)"/>
      <w:lvlJc w:val="left"/>
      <w:pPr>
        <w:ind w:left="840" w:hanging="420"/>
      </w:pPr>
    </w:lvl>
    <w:lvl w:ilvl="2" w:tentative="0">
      <w:start w:val="1"/>
      <w:numFmt w:val="decimal"/>
      <w:lvlText w:val="%3、"/>
      <w:lvlJc w:val="left"/>
      <w:pPr>
        <w:ind w:left="1260" w:hanging="420"/>
      </w:pPr>
      <w:rPr>
        <w:rFonts w:hint="eastAsia"/>
      </w:r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4">
    <w:nsid w:val="6D8C2D0B"/>
    <w:multiLevelType w:val="singleLevel"/>
    <w:tmpl w:val="6D8C2D0B"/>
    <w:lvl w:ilvl="0" w:tentative="0">
      <w:start w:val="1"/>
      <w:numFmt w:val="chineseCounting"/>
      <w:suff w:val="nothing"/>
      <w:lvlText w:val="%1、"/>
      <w:lvlJc w:val="left"/>
      <w:pPr>
        <w:ind w:left="6" w:firstLine="420"/>
      </w:pPr>
      <w:rPr>
        <w:rFonts w:hint="eastAsia"/>
      </w:rPr>
    </w:lvl>
  </w:abstractNum>
  <w:abstractNum w:abstractNumId="35">
    <w:nsid w:val="6F7B3681"/>
    <w:multiLevelType w:val="singleLevel"/>
    <w:tmpl w:val="6F7B3681"/>
    <w:lvl w:ilvl="0" w:tentative="0">
      <w:start w:val="1"/>
      <w:numFmt w:val="decimal"/>
      <w:lvlText w:val="%1."/>
      <w:lvlJc w:val="left"/>
      <w:pPr>
        <w:ind w:left="425" w:hanging="425"/>
      </w:pPr>
      <w:rPr>
        <w:rFonts w:hint="default"/>
      </w:rPr>
    </w:lvl>
  </w:abstractNum>
  <w:num w:numId="1">
    <w:abstractNumId w:val="7"/>
  </w:num>
  <w:num w:numId="2">
    <w:abstractNumId w:val="19"/>
  </w:num>
  <w:num w:numId="3">
    <w:abstractNumId w:val="11"/>
  </w:num>
  <w:num w:numId="4">
    <w:abstractNumId w:val="34"/>
    <w:lvlOverride w:ilvl="0">
      <w:startOverride w:val="1"/>
    </w:lvlOverride>
  </w:num>
  <w:num w:numId="5">
    <w:abstractNumId w:val="30"/>
    <w:lvlOverride w:ilvl="0">
      <w:startOverride w:val="1"/>
    </w:lvlOverride>
  </w:num>
  <w:num w:numId="6">
    <w:abstractNumId w:val="20"/>
  </w:num>
  <w:num w:numId="7">
    <w:abstractNumId w:val="6"/>
  </w:num>
  <w:num w:numId="8">
    <w:abstractNumId w:val="33"/>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1"/>
  </w:num>
  <w:num w:numId="12">
    <w:abstractNumId w:val="25"/>
  </w:num>
  <w:num w:numId="13">
    <w:abstractNumId w:val="13"/>
  </w:num>
  <w:num w:numId="14">
    <w:abstractNumId w:val="5"/>
  </w:num>
  <w:num w:numId="15">
    <w:abstractNumId w:val="1"/>
  </w:num>
  <w:num w:numId="16">
    <w:abstractNumId w:val="23"/>
  </w:num>
  <w:num w:numId="17">
    <w:abstractNumId w:val="16"/>
  </w:num>
  <w:num w:numId="18">
    <w:abstractNumId w:val="9"/>
  </w:num>
  <w:num w:numId="19">
    <w:abstractNumId w:val="17"/>
  </w:num>
  <w:num w:numId="20">
    <w:abstractNumId w:val="26"/>
  </w:num>
  <w:num w:numId="21">
    <w:abstractNumId w:val="10"/>
  </w:num>
  <w:num w:numId="22">
    <w:abstractNumId w:val="2"/>
  </w:num>
  <w:num w:numId="23">
    <w:abstractNumId w:val="29"/>
  </w:num>
  <w:num w:numId="24">
    <w:abstractNumId w:val="3"/>
  </w:num>
  <w:num w:numId="25">
    <w:abstractNumId w:val="8"/>
  </w:num>
  <w:num w:numId="26">
    <w:abstractNumId w:val="28"/>
  </w:num>
  <w:num w:numId="27">
    <w:abstractNumId w:val="18"/>
  </w:num>
  <w:num w:numId="28">
    <w:abstractNumId w:val="35"/>
  </w:num>
  <w:num w:numId="29">
    <w:abstractNumId w:val="24"/>
  </w:num>
  <w:num w:numId="30">
    <w:abstractNumId w:val="14"/>
  </w:num>
  <w:num w:numId="31">
    <w:abstractNumId w:val="0"/>
  </w:num>
  <w:num w:numId="32">
    <w:abstractNumId w:val="4"/>
  </w:num>
  <w:num w:numId="33">
    <w:abstractNumId w:val="27"/>
  </w:num>
  <w:num w:numId="34">
    <w:abstractNumId w:val="12"/>
  </w:num>
  <w:num w:numId="35">
    <w:abstractNumId w:val="32"/>
  </w:num>
  <w:num w:numId="36">
    <w:abstractNumId w:val="21"/>
  </w:num>
  <w:num w:numId="37">
    <w:abstractNumId w:val="22"/>
  </w:num>
  <w:num w:numId="3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TJlMTYyNTAxYWM3MWI0NzliODIyODNmMjdmN2NhNGEifQ=="/>
  </w:docVars>
  <w:rsids>
    <w:rsidRoot w:val="006D32D0"/>
    <w:rsid w:val="0000149B"/>
    <w:rsid w:val="00002187"/>
    <w:rsid w:val="00007C69"/>
    <w:rsid w:val="00010B5D"/>
    <w:rsid w:val="00017B42"/>
    <w:rsid w:val="0003290F"/>
    <w:rsid w:val="00033AF5"/>
    <w:rsid w:val="000340B0"/>
    <w:rsid w:val="00035DC4"/>
    <w:rsid w:val="0003635C"/>
    <w:rsid w:val="00040BF8"/>
    <w:rsid w:val="0004175F"/>
    <w:rsid w:val="00042F14"/>
    <w:rsid w:val="00044282"/>
    <w:rsid w:val="00045DDF"/>
    <w:rsid w:val="00050624"/>
    <w:rsid w:val="0005248B"/>
    <w:rsid w:val="00060249"/>
    <w:rsid w:val="0006419B"/>
    <w:rsid w:val="00064C8B"/>
    <w:rsid w:val="00066145"/>
    <w:rsid w:val="00066D2F"/>
    <w:rsid w:val="000700C8"/>
    <w:rsid w:val="000735A5"/>
    <w:rsid w:val="00073FFF"/>
    <w:rsid w:val="00074098"/>
    <w:rsid w:val="000836B9"/>
    <w:rsid w:val="0008614C"/>
    <w:rsid w:val="00087531"/>
    <w:rsid w:val="00090918"/>
    <w:rsid w:val="000921D0"/>
    <w:rsid w:val="0009344E"/>
    <w:rsid w:val="00094BA1"/>
    <w:rsid w:val="00094D78"/>
    <w:rsid w:val="000A3153"/>
    <w:rsid w:val="000A4E02"/>
    <w:rsid w:val="000A6662"/>
    <w:rsid w:val="000A6A55"/>
    <w:rsid w:val="000B1CD8"/>
    <w:rsid w:val="000B22BA"/>
    <w:rsid w:val="000B247C"/>
    <w:rsid w:val="000B2AAF"/>
    <w:rsid w:val="000B5037"/>
    <w:rsid w:val="000C2093"/>
    <w:rsid w:val="000C4023"/>
    <w:rsid w:val="000C55F1"/>
    <w:rsid w:val="000C58ED"/>
    <w:rsid w:val="000D1C0F"/>
    <w:rsid w:val="000D24D2"/>
    <w:rsid w:val="000D2952"/>
    <w:rsid w:val="000D65E1"/>
    <w:rsid w:val="000D7889"/>
    <w:rsid w:val="000E05F4"/>
    <w:rsid w:val="000E397D"/>
    <w:rsid w:val="000E5A3A"/>
    <w:rsid w:val="000E6F76"/>
    <w:rsid w:val="000F098A"/>
    <w:rsid w:val="000F0A09"/>
    <w:rsid w:val="000F0D6E"/>
    <w:rsid w:val="000F1452"/>
    <w:rsid w:val="000F2893"/>
    <w:rsid w:val="000F43EA"/>
    <w:rsid w:val="000F5654"/>
    <w:rsid w:val="000F6278"/>
    <w:rsid w:val="000F633D"/>
    <w:rsid w:val="000F6E21"/>
    <w:rsid w:val="000F7E65"/>
    <w:rsid w:val="00101C48"/>
    <w:rsid w:val="00105047"/>
    <w:rsid w:val="001056F1"/>
    <w:rsid w:val="001057E0"/>
    <w:rsid w:val="00105AC7"/>
    <w:rsid w:val="001060E9"/>
    <w:rsid w:val="00107173"/>
    <w:rsid w:val="001079C8"/>
    <w:rsid w:val="00107F10"/>
    <w:rsid w:val="00110D44"/>
    <w:rsid w:val="00114500"/>
    <w:rsid w:val="00114950"/>
    <w:rsid w:val="00117387"/>
    <w:rsid w:val="00117A31"/>
    <w:rsid w:val="001201EC"/>
    <w:rsid w:val="001227F5"/>
    <w:rsid w:val="00123B7A"/>
    <w:rsid w:val="001245B7"/>
    <w:rsid w:val="0012498A"/>
    <w:rsid w:val="00125657"/>
    <w:rsid w:val="00125918"/>
    <w:rsid w:val="00127FD6"/>
    <w:rsid w:val="00131C36"/>
    <w:rsid w:val="00131C61"/>
    <w:rsid w:val="00132299"/>
    <w:rsid w:val="00140425"/>
    <w:rsid w:val="00140AD3"/>
    <w:rsid w:val="00145218"/>
    <w:rsid w:val="001468EB"/>
    <w:rsid w:val="00147046"/>
    <w:rsid w:val="001505CF"/>
    <w:rsid w:val="00155FF0"/>
    <w:rsid w:val="0015763C"/>
    <w:rsid w:val="00157908"/>
    <w:rsid w:val="00165526"/>
    <w:rsid w:val="00170430"/>
    <w:rsid w:val="001720BE"/>
    <w:rsid w:val="001748E9"/>
    <w:rsid w:val="001751BB"/>
    <w:rsid w:val="001801CA"/>
    <w:rsid w:val="00181F89"/>
    <w:rsid w:val="001833E8"/>
    <w:rsid w:val="00183931"/>
    <w:rsid w:val="001847A4"/>
    <w:rsid w:val="00184C36"/>
    <w:rsid w:val="0018586C"/>
    <w:rsid w:val="00185D73"/>
    <w:rsid w:val="00186659"/>
    <w:rsid w:val="00190C9E"/>
    <w:rsid w:val="001918FE"/>
    <w:rsid w:val="00191A0F"/>
    <w:rsid w:val="0019322B"/>
    <w:rsid w:val="00194B51"/>
    <w:rsid w:val="001960DB"/>
    <w:rsid w:val="00196B62"/>
    <w:rsid w:val="001A0A22"/>
    <w:rsid w:val="001A2156"/>
    <w:rsid w:val="001A458C"/>
    <w:rsid w:val="001A6E75"/>
    <w:rsid w:val="001B2018"/>
    <w:rsid w:val="001B25E7"/>
    <w:rsid w:val="001B38FB"/>
    <w:rsid w:val="001C322D"/>
    <w:rsid w:val="001C3377"/>
    <w:rsid w:val="001C41AC"/>
    <w:rsid w:val="001C5570"/>
    <w:rsid w:val="001C5A61"/>
    <w:rsid w:val="001D61A6"/>
    <w:rsid w:val="001D70E3"/>
    <w:rsid w:val="001D7238"/>
    <w:rsid w:val="001E0945"/>
    <w:rsid w:val="001E267F"/>
    <w:rsid w:val="001E3319"/>
    <w:rsid w:val="001E43D3"/>
    <w:rsid w:val="001E442D"/>
    <w:rsid w:val="001E4FDD"/>
    <w:rsid w:val="001E501D"/>
    <w:rsid w:val="001E742D"/>
    <w:rsid w:val="001F5B88"/>
    <w:rsid w:val="002004F1"/>
    <w:rsid w:val="00202A3D"/>
    <w:rsid w:val="00203727"/>
    <w:rsid w:val="0020382C"/>
    <w:rsid w:val="00204D20"/>
    <w:rsid w:val="00210717"/>
    <w:rsid w:val="00210A53"/>
    <w:rsid w:val="00213211"/>
    <w:rsid w:val="00220968"/>
    <w:rsid w:val="0022105D"/>
    <w:rsid w:val="00222FA3"/>
    <w:rsid w:val="0023142B"/>
    <w:rsid w:val="00234CAB"/>
    <w:rsid w:val="00241039"/>
    <w:rsid w:val="00250FA4"/>
    <w:rsid w:val="00252A9E"/>
    <w:rsid w:val="0025375C"/>
    <w:rsid w:val="002540AA"/>
    <w:rsid w:val="00254BA3"/>
    <w:rsid w:val="00256B16"/>
    <w:rsid w:val="002662F5"/>
    <w:rsid w:val="002678A4"/>
    <w:rsid w:val="00270EA8"/>
    <w:rsid w:val="00274D05"/>
    <w:rsid w:val="00275554"/>
    <w:rsid w:val="0027666B"/>
    <w:rsid w:val="002769E4"/>
    <w:rsid w:val="00281BCE"/>
    <w:rsid w:val="00281C0F"/>
    <w:rsid w:val="0028537B"/>
    <w:rsid w:val="002906AC"/>
    <w:rsid w:val="002916F7"/>
    <w:rsid w:val="00292409"/>
    <w:rsid w:val="002946CB"/>
    <w:rsid w:val="00294CA1"/>
    <w:rsid w:val="00297560"/>
    <w:rsid w:val="0029773B"/>
    <w:rsid w:val="002A101B"/>
    <w:rsid w:val="002A140D"/>
    <w:rsid w:val="002A1B05"/>
    <w:rsid w:val="002A67E0"/>
    <w:rsid w:val="002A7611"/>
    <w:rsid w:val="002B1C4B"/>
    <w:rsid w:val="002B3865"/>
    <w:rsid w:val="002B3FBD"/>
    <w:rsid w:val="002B5D62"/>
    <w:rsid w:val="002C1ECB"/>
    <w:rsid w:val="002C2298"/>
    <w:rsid w:val="002C275B"/>
    <w:rsid w:val="002C4073"/>
    <w:rsid w:val="002C6D45"/>
    <w:rsid w:val="002C7710"/>
    <w:rsid w:val="002C787B"/>
    <w:rsid w:val="002D1F59"/>
    <w:rsid w:val="002D351B"/>
    <w:rsid w:val="002E1852"/>
    <w:rsid w:val="002E1DDD"/>
    <w:rsid w:val="002E3F9D"/>
    <w:rsid w:val="002E6B60"/>
    <w:rsid w:val="002E71C6"/>
    <w:rsid w:val="002E7730"/>
    <w:rsid w:val="002E7C55"/>
    <w:rsid w:val="002F5EE9"/>
    <w:rsid w:val="002F669F"/>
    <w:rsid w:val="00300B33"/>
    <w:rsid w:val="00303856"/>
    <w:rsid w:val="003047BC"/>
    <w:rsid w:val="003052E2"/>
    <w:rsid w:val="00307346"/>
    <w:rsid w:val="00310C3D"/>
    <w:rsid w:val="003129C0"/>
    <w:rsid w:val="003131B9"/>
    <w:rsid w:val="003134D8"/>
    <w:rsid w:val="00314CEC"/>
    <w:rsid w:val="003152F9"/>
    <w:rsid w:val="0031684D"/>
    <w:rsid w:val="0031764A"/>
    <w:rsid w:val="003220FE"/>
    <w:rsid w:val="003230DE"/>
    <w:rsid w:val="0032333C"/>
    <w:rsid w:val="00323723"/>
    <w:rsid w:val="003244E9"/>
    <w:rsid w:val="003249B2"/>
    <w:rsid w:val="00325EB4"/>
    <w:rsid w:val="003304DD"/>
    <w:rsid w:val="00335394"/>
    <w:rsid w:val="00335C29"/>
    <w:rsid w:val="003370F9"/>
    <w:rsid w:val="0033766F"/>
    <w:rsid w:val="003378A7"/>
    <w:rsid w:val="00341BA8"/>
    <w:rsid w:val="00342A08"/>
    <w:rsid w:val="00343867"/>
    <w:rsid w:val="00350ADB"/>
    <w:rsid w:val="00362814"/>
    <w:rsid w:val="003653CE"/>
    <w:rsid w:val="003656D3"/>
    <w:rsid w:val="003663D0"/>
    <w:rsid w:val="00366CB7"/>
    <w:rsid w:val="00367E9D"/>
    <w:rsid w:val="00370B95"/>
    <w:rsid w:val="0037695B"/>
    <w:rsid w:val="003778AE"/>
    <w:rsid w:val="003810F2"/>
    <w:rsid w:val="003817EE"/>
    <w:rsid w:val="003821B3"/>
    <w:rsid w:val="003837FB"/>
    <w:rsid w:val="003847A1"/>
    <w:rsid w:val="0038487E"/>
    <w:rsid w:val="003859E1"/>
    <w:rsid w:val="00387485"/>
    <w:rsid w:val="0038748B"/>
    <w:rsid w:val="00391A89"/>
    <w:rsid w:val="00391EC3"/>
    <w:rsid w:val="00393D13"/>
    <w:rsid w:val="003A055B"/>
    <w:rsid w:val="003A10C9"/>
    <w:rsid w:val="003A392B"/>
    <w:rsid w:val="003A3A91"/>
    <w:rsid w:val="003A431C"/>
    <w:rsid w:val="003A4598"/>
    <w:rsid w:val="003A5554"/>
    <w:rsid w:val="003A7015"/>
    <w:rsid w:val="003B1DAC"/>
    <w:rsid w:val="003B38AB"/>
    <w:rsid w:val="003B6C49"/>
    <w:rsid w:val="003B7C77"/>
    <w:rsid w:val="003C037D"/>
    <w:rsid w:val="003C44D2"/>
    <w:rsid w:val="003C4E1B"/>
    <w:rsid w:val="003C51C5"/>
    <w:rsid w:val="003D05F5"/>
    <w:rsid w:val="003D143A"/>
    <w:rsid w:val="003D4CFD"/>
    <w:rsid w:val="003D4FEE"/>
    <w:rsid w:val="003E1F90"/>
    <w:rsid w:val="003E2629"/>
    <w:rsid w:val="003E4629"/>
    <w:rsid w:val="003E4BB3"/>
    <w:rsid w:val="003E5BCD"/>
    <w:rsid w:val="003E697A"/>
    <w:rsid w:val="003F02D4"/>
    <w:rsid w:val="003F0AD2"/>
    <w:rsid w:val="003F0B62"/>
    <w:rsid w:val="003F1149"/>
    <w:rsid w:val="003F1A76"/>
    <w:rsid w:val="003F6F7E"/>
    <w:rsid w:val="0040111A"/>
    <w:rsid w:val="004014D9"/>
    <w:rsid w:val="00403072"/>
    <w:rsid w:val="00404D63"/>
    <w:rsid w:val="00404F87"/>
    <w:rsid w:val="0040785F"/>
    <w:rsid w:val="00411236"/>
    <w:rsid w:val="00414336"/>
    <w:rsid w:val="00420D76"/>
    <w:rsid w:val="00421C99"/>
    <w:rsid w:val="00427437"/>
    <w:rsid w:val="004328F5"/>
    <w:rsid w:val="004339AC"/>
    <w:rsid w:val="0043433D"/>
    <w:rsid w:val="00436AA2"/>
    <w:rsid w:val="004371BD"/>
    <w:rsid w:val="00437CFF"/>
    <w:rsid w:val="0044527E"/>
    <w:rsid w:val="004453EC"/>
    <w:rsid w:val="004459E5"/>
    <w:rsid w:val="00451D2D"/>
    <w:rsid w:val="0045599C"/>
    <w:rsid w:val="004563F6"/>
    <w:rsid w:val="00462AFB"/>
    <w:rsid w:val="00463712"/>
    <w:rsid w:val="00465C3A"/>
    <w:rsid w:val="004664B1"/>
    <w:rsid w:val="00471F75"/>
    <w:rsid w:val="0047268E"/>
    <w:rsid w:val="00480D38"/>
    <w:rsid w:val="00481C8D"/>
    <w:rsid w:val="00482292"/>
    <w:rsid w:val="00483204"/>
    <w:rsid w:val="00483404"/>
    <w:rsid w:val="004836B9"/>
    <w:rsid w:val="0048387D"/>
    <w:rsid w:val="0048754D"/>
    <w:rsid w:val="004875B1"/>
    <w:rsid w:val="0049417E"/>
    <w:rsid w:val="00495121"/>
    <w:rsid w:val="004A1C35"/>
    <w:rsid w:val="004A42F3"/>
    <w:rsid w:val="004A5F67"/>
    <w:rsid w:val="004B1955"/>
    <w:rsid w:val="004B25CE"/>
    <w:rsid w:val="004B34D0"/>
    <w:rsid w:val="004B36AB"/>
    <w:rsid w:val="004B507B"/>
    <w:rsid w:val="004B6921"/>
    <w:rsid w:val="004B69DF"/>
    <w:rsid w:val="004B6FE7"/>
    <w:rsid w:val="004B7197"/>
    <w:rsid w:val="004C3B84"/>
    <w:rsid w:val="004C61D2"/>
    <w:rsid w:val="004D0E4C"/>
    <w:rsid w:val="004D1FFA"/>
    <w:rsid w:val="004D26DF"/>
    <w:rsid w:val="004D7AFD"/>
    <w:rsid w:val="004E0814"/>
    <w:rsid w:val="004E1215"/>
    <w:rsid w:val="004E281A"/>
    <w:rsid w:val="004E6021"/>
    <w:rsid w:val="004E616C"/>
    <w:rsid w:val="004E6935"/>
    <w:rsid w:val="004E7C59"/>
    <w:rsid w:val="004F01B2"/>
    <w:rsid w:val="004F0CE1"/>
    <w:rsid w:val="004F1FAA"/>
    <w:rsid w:val="004F3816"/>
    <w:rsid w:val="004F49E5"/>
    <w:rsid w:val="005007A1"/>
    <w:rsid w:val="005032AF"/>
    <w:rsid w:val="0050517A"/>
    <w:rsid w:val="00505264"/>
    <w:rsid w:val="00506BC0"/>
    <w:rsid w:val="00507B2A"/>
    <w:rsid w:val="00512B3D"/>
    <w:rsid w:val="00512E6A"/>
    <w:rsid w:val="00513065"/>
    <w:rsid w:val="0051396A"/>
    <w:rsid w:val="00515E25"/>
    <w:rsid w:val="0051627E"/>
    <w:rsid w:val="0051785A"/>
    <w:rsid w:val="00517AEF"/>
    <w:rsid w:val="00524770"/>
    <w:rsid w:val="00526423"/>
    <w:rsid w:val="00527AC2"/>
    <w:rsid w:val="00527CD5"/>
    <w:rsid w:val="00530B52"/>
    <w:rsid w:val="0053389A"/>
    <w:rsid w:val="0053406F"/>
    <w:rsid w:val="00534533"/>
    <w:rsid w:val="00534E6C"/>
    <w:rsid w:val="005365AC"/>
    <w:rsid w:val="00536D24"/>
    <w:rsid w:val="00544442"/>
    <w:rsid w:val="00545380"/>
    <w:rsid w:val="00547833"/>
    <w:rsid w:val="00550AD4"/>
    <w:rsid w:val="00551CA0"/>
    <w:rsid w:val="00551FC0"/>
    <w:rsid w:val="00552157"/>
    <w:rsid w:val="00554760"/>
    <w:rsid w:val="0055494A"/>
    <w:rsid w:val="005618C4"/>
    <w:rsid w:val="005626ED"/>
    <w:rsid w:val="00563944"/>
    <w:rsid w:val="00564A80"/>
    <w:rsid w:val="00572F6F"/>
    <w:rsid w:val="005740FF"/>
    <w:rsid w:val="00574645"/>
    <w:rsid w:val="0057624F"/>
    <w:rsid w:val="00577856"/>
    <w:rsid w:val="0058012F"/>
    <w:rsid w:val="005801F1"/>
    <w:rsid w:val="005801FF"/>
    <w:rsid w:val="005809C4"/>
    <w:rsid w:val="00581156"/>
    <w:rsid w:val="005844B5"/>
    <w:rsid w:val="005900DF"/>
    <w:rsid w:val="00590118"/>
    <w:rsid w:val="00590363"/>
    <w:rsid w:val="00590425"/>
    <w:rsid w:val="005907AF"/>
    <w:rsid w:val="00591991"/>
    <w:rsid w:val="00593CA8"/>
    <w:rsid w:val="00593E1E"/>
    <w:rsid w:val="00594BAF"/>
    <w:rsid w:val="00595253"/>
    <w:rsid w:val="00596AB2"/>
    <w:rsid w:val="00596F4B"/>
    <w:rsid w:val="005A0C14"/>
    <w:rsid w:val="005A4CB9"/>
    <w:rsid w:val="005B1ACC"/>
    <w:rsid w:val="005B2D93"/>
    <w:rsid w:val="005B4A6A"/>
    <w:rsid w:val="005C05FC"/>
    <w:rsid w:val="005C1820"/>
    <w:rsid w:val="005C78B1"/>
    <w:rsid w:val="005D02E7"/>
    <w:rsid w:val="005D375C"/>
    <w:rsid w:val="005D4E08"/>
    <w:rsid w:val="005D644B"/>
    <w:rsid w:val="005D6AFC"/>
    <w:rsid w:val="005E178E"/>
    <w:rsid w:val="005E1BEB"/>
    <w:rsid w:val="005E24A0"/>
    <w:rsid w:val="005E3B07"/>
    <w:rsid w:val="005E60B6"/>
    <w:rsid w:val="005F1CA0"/>
    <w:rsid w:val="005F3A48"/>
    <w:rsid w:val="005F4885"/>
    <w:rsid w:val="005F4EAF"/>
    <w:rsid w:val="005F5691"/>
    <w:rsid w:val="005F6541"/>
    <w:rsid w:val="005F6D0A"/>
    <w:rsid w:val="00600194"/>
    <w:rsid w:val="00602167"/>
    <w:rsid w:val="00606D07"/>
    <w:rsid w:val="006117BF"/>
    <w:rsid w:val="0061323C"/>
    <w:rsid w:val="00614D5B"/>
    <w:rsid w:val="00614E6E"/>
    <w:rsid w:val="0061569F"/>
    <w:rsid w:val="00622644"/>
    <w:rsid w:val="00623932"/>
    <w:rsid w:val="0062397E"/>
    <w:rsid w:val="006309BB"/>
    <w:rsid w:val="0063364B"/>
    <w:rsid w:val="00634B7C"/>
    <w:rsid w:val="00634BB3"/>
    <w:rsid w:val="00634DFC"/>
    <w:rsid w:val="00634FA5"/>
    <w:rsid w:val="00635A80"/>
    <w:rsid w:val="006366F5"/>
    <w:rsid w:val="00636D13"/>
    <w:rsid w:val="00643307"/>
    <w:rsid w:val="00647315"/>
    <w:rsid w:val="00647C0A"/>
    <w:rsid w:val="00650E5D"/>
    <w:rsid w:val="006529AA"/>
    <w:rsid w:val="00652A8C"/>
    <w:rsid w:val="00656014"/>
    <w:rsid w:val="00661B6E"/>
    <w:rsid w:val="0066657B"/>
    <w:rsid w:val="00667A3C"/>
    <w:rsid w:val="006701E2"/>
    <w:rsid w:val="00670D47"/>
    <w:rsid w:val="00672199"/>
    <w:rsid w:val="00672370"/>
    <w:rsid w:val="00673348"/>
    <w:rsid w:val="006736B1"/>
    <w:rsid w:val="0067437C"/>
    <w:rsid w:val="0067722C"/>
    <w:rsid w:val="00682075"/>
    <w:rsid w:val="00683B40"/>
    <w:rsid w:val="006852E5"/>
    <w:rsid w:val="0068547D"/>
    <w:rsid w:val="00685FCE"/>
    <w:rsid w:val="0068603A"/>
    <w:rsid w:val="006866D2"/>
    <w:rsid w:val="006866FD"/>
    <w:rsid w:val="00686F15"/>
    <w:rsid w:val="00690C3C"/>
    <w:rsid w:val="006933F0"/>
    <w:rsid w:val="006A0905"/>
    <w:rsid w:val="006A0C98"/>
    <w:rsid w:val="006A11D1"/>
    <w:rsid w:val="006A140B"/>
    <w:rsid w:val="006A1645"/>
    <w:rsid w:val="006A3515"/>
    <w:rsid w:val="006A4105"/>
    <w:rsid w:val="006A5564"/>
    <w:rsid w:val="006B3AC0"/>
    <w:rsid w:val="006B3E12"/>
    <w:rsid w:val="006B677E"/>
    <w:rsid w:val="006B7861"/>
    <w:rsid w:val="006C2084"/>
    <w:rsid w:val="006C7C4D"/>
    <w:rsid w:val="006D0D3F"/>
    <w:rsid w:val="006D20E2"/>
    <w:rsid w:val="006D2281"/>
    <w:rsid w:val="006D303C"/>
    <w:rsid w:val="006D32D0"/>
    <w:rsid w:val="006D5C1B"/>
    <w:rsid w:val="006D7758"/>
    <w:rsid w:val="006D7B64"/>
    <w:rsid w:val="006E3D96"/>
    <w:rsid w:val="006E655C"/>
    <w:rsid w:val="006E6F42"/>
    <w:rsid w:val="006E7EFA"/>
    <w:rsid w:val="006F0DC0"/>
    <w:rsid w:val="006F0DDB"/>
    <w:rsid w:val="006F4128"/>
    <w:rsid w:val="006F61E5"/>
    <w:rsid w:val="006F6649"/>
    <w:rsid w:val="00700168"/>
    <w:rsid w:val="00700337"/>
    <w:rsid w:val="00701328"/>
    <w:rsid w:val="007023B0"/>
    <w:rsid w:val="00702A6C"/>
    <w:rsid w:val="00704782"/>
    <w:rsid w:val="00704A60"/>
    <w:rsid w:val="0071017C"/>
    <w:rsid w:val="007122FE"/>
    <w:rsid w:val="00712750"/>
    <w:rsid w:val="007164E1"/>
    <w:rsid w:val="00721009"/>
    <w:rsid w:val="007229CB"/>
    <w:rsid w:val="00723AE7"/>
    <w:rsid w:val="00724A67"/>
    <w:rsid w:val="0072571B"/>
    <w:rsid w:val="00725835"/>
    <w:rsid w:val="00732D70"/>
    <w:rsid w:val="00733CA5"/>
    <w:rsid w:val="007342A6"/>
    <w:rsid w:val="007354F1"/>
    <w:rsid w:val="00736B3E"/>
    <w:rsid w:val="00740696"/>
    <w:rsid w:val="007425D7"/>
    <w:rsid w:val="007449B4"/>
    <w:rsid w:val="007456AC"/>
    <w:rsid w:val="0075024C"/>
    <w:rsid w:val="007508A5"/>
    <w:rsid w:val="00753B19"/>
    <w:rsid w:val="00756AAF"/>
    <w:rsid w:val="007620AE"/>
    <w:rsid w:val="007676B8"/>
    <w:rsid w:val="00774EBF"/>
    <w:rsid w:val="00776351"/>
    <w:rsid w:val="00783106"/>
    <w:rsid w:val="00785F39"/>
    <w:rsid w:val="007867AF"/>
    <w:rsid w:val="00787327"/>
    <w:rsid w:val="00790CDC"/>
    <w:rsid w:val="00791C57"/>
    <w:rsid w:val="00791DDC"/>
    <w:rsid w:val="00792559"/>
    <w:rsid w:val="00793A99"/>
    <w:rsid w:val="00795A01"/>
    <w:rsid w:val="00795A6D"/>
    <w:rsid w:val="00795CB0"/>
    <w:rsid w:val="00797A2C"/>
    <w:rsid w:val="007A425A"/>
    <w:rsid w:val="007A6409"/>
    <w:rsid w:val="007A6AC2"/>
    <w:rsid w:val="007A7624"/>
    <w:rsid w:val="007B2875"/>
    <w:rsid w:val="007C0512"/>
    <w:rsid w:val="007C1E70"/>
    <w:rsid w:val="007C415F"/>
    <w:rsid w:val="007C7F85"/>
    <w:rsid w:val="007D0136"/>
    <w:rsid w:val="007D44FA"/>
    <w:rsid w:val="007D47B6"/>
    <w:rsid w:val="007D4DB5"/>
    <w:rsid w:val="007E4852"/>
    <w:rsid w:val="007E4CD0"/>
    <w:rsid w:val="007F0000"/>
    <w:rsid w:val="007F0D61"/>
    <w:rsid w:val="007F1B4F"/>
    <w:rsid w:val="007F3ECD"/>
    <w:rsid w:val="007F4F3D"/>
    <w:rsid w:val="007F67FB"/>
    <w:rsid w:val="00800E6D"/>
    <w:rsid w:val="00801244"/>
    <w:rsid w:val="00803C0D"/>
    <w:rsid w:val="00806ACF"/>
    <w:rsid w:val="00812C05"/>
    <w:rsid w:val="008207AC"/>
    <w:rsid w:val="0082343A"/>
    <w:rsid w:val="008327AC"/>
    <w:rsid w:val="00834F7F"/>
    <w:rsid w:val="008357E4"/>
    <w:rsid w:val="008366C3"/>
    <w:rsid w:val="00847816"/>
    <w:rsid w:val="00852EC8"/>
    <w:rsid w:val="00854D92"/>
    <w:rsid w:val="00854F3E"/>
    <w:rsid w:val="00856F02"/>
    <w:rsid w:val="00857DFC"/>
    <w:rsid w:val="00860663"/>
    <w:rsid w:val="0086550E"/>
    <w:rsid w:val="0086641A"/>
    <w:rsid w:val="00866EFC"/>
    <w:rsid w:val="00867D88"/>
    <w:rsid w:val="008716E7"/>
    <w:rsid w:val="0087346B"/>
    <w:rsid w:val="00874997"/>
    <w:rsid w:val="00874D24"/>
    <w:rsid w:val="00874F69"/>
    <w:rsid w:val="0088061A"/>
    <w:rsid w:val="00887FDA"/>
    <w:rsid w:val="008971B1"/>
    <w:rsid w:val="008A193A"/>
    <w:rsid w:val="008A55B9"/>
    <w:rsid w:val="008A6C1E"/>
    <w:rsid w:val="008B3B03"/>
    <w:rsid w:val="008B4934"/>
    <w:rsid w:val="008B4EFD"/>
    <w:rsid w:val="008B5467"/>
    <w:rsid w:val="008B6BFD"/>
    <w:rsid w:val="008C2388"/>
    <w:rsid w:val="008C2D0C"/>
    <w:rsid w:val="008C2E8E"/>
    <w:rsid w:val="008C65CB"/>
    <w:rsid w:val="008C7370"/>
    <w:rsid w:val="008D1281"/>
    <w:rsid w:val="008D2D34"/>
    <w:rsid w:val="008D35FA"/>
    <w:rsid w:val="008D39D2"/>
    <w:rsid w:val="008D3E3E"/>
    <w:rsid w:val="008D42F4"/>
    <w:rsid w:val="008D5663"/>
    <w:rsid w:val="008E0ED1"/>
    <w:rsid w:val="008E28CF"/>
    <w:rsid w:val="008E47DB"/>
    <w:rsid w:val="008F20F0"/>
    <w:rsid w:val="008F2B98"/>
    <w:rsid w:val="008F4087"/>
    <w:rsid w:val="008F46A3"/>
    <w:rsid w:val="008F49C2"/>
    <w:rsid w:val="008F4A57"/>
    <w:rsid w:val="008F4D0F"/>
    <w:rsid w:val="008F66D0"/>
    <w:rsid w:val="008F722C"/>
    <w:rsid w:val="00901304"/>
    <w:rsid w:val="00903844"/>
    <w:rsid w:val="00903F9C"/>
    <w:rsid w:val="00904D2E"/>
    <w:rsid w:val="009056D3"/>
    <w:rsid w:val="00905D11"/>
    <w:rsid w:val="0090603C"/>
    <w:rsid w:val="009060F7"/>
    <w:rsid w:val="00906C67"/>
    <w:rsid w:val="00911D79"/>
    <w:rsid w:val="0091281A"/>
    <w:rsid w:val="0091302E"/>
    <w:rsid w:val="00914CC3"/>
    <w:rsid w:val="00916043"/>
    <w:rsid w:val="009161FD"/>
    <w:rsid w:val="009165A5"/>
    <w:rsid w:val="009201F2"/>
    <w:rsid w:val="00921573"/>
    <w:rsid w:val="00922573"/>
    <w:rsid w:val="00922A22"/>
    <w:rsid w:val="00925E0F"/>
    <w:rsid w:val="00932620"/>
    <w:rsid w:val="00936C5F"/>
    <w:rsid w:val="00937C7A"/>
    <w:rsid w:val="00937D49"/>
    <w:rsid w:val="00937F8C"/>
    <w:rsid w:val="0094190A"/>
    <w:rsid w:val="00943D44"/>
    <w:rsid w:val="00951FC1"/>
    <w:rsid w:val="0095462B"/>
    <w:rsid w:val="00954C23"/>
    <w:rsid w:val="009550F9"/>
    <w:rsid w:val="00956736"/>
    <w:rsid w:val="009626B1"/>
    <w:rsid w:val="00962F88"/>
    <w:rsid w:val="00963E35"/>
    <w:rsid w:val="00965B4B"/>
    <w:rsid w:val="009660F2"/>
    <w:rsid w:val="00966EA4"/>
    <w:rsid w:val="00967BF9"/>
    <w:rsid w:val="00970015"/>
    <w:rsid w:val="00970AA6"/>
    <w:rsid w:val="00970DD6"/>
    <w:rsid w:val="00980F45"/>
    <w:rsid w:val="00981290"/>
    <w:rsid w:val="009815CD"/>
    <w:rsid w:val="00982145"/>
    <w:rsid w:val="0098294A"/>
    <w:rsid w:val="00983535"/>
    <w:rsid w:val="009869DC"/>
    <w:rsid w:val="00987268"/>
    <w:rsid w:val="00993B8E"/>
    <w:rsid w:val="00995505"/>
    <w:rsid w:val="009A0AC8"/>
    <w:rsid w:val="009A3C40"/>
    <w:rsid w:val="009A433E"/>
    <w:rsid w:val="009A5AC3"/>
    <w:rsid w:val="009A6073"/>
    <w:rsid w:val="009B078E"/>
    <w:rsid w:val="009B4E27"/>
    <w:rsid w:val="009C3192"/>
    <w:rsid w:val="009C6DD3"/>
    <w:rsid w:val="009C7B4A"/>
    <w:rsid w:val="009D1D00"/>
    <w:rsid w:val="009D44DD"/>
    <w:rsid w:val="009D4F41"/>
    <w:rsid w:val="009E3B5B"/>
    <w:rsid w:val="009E401C"/>
    <w:rsid w:val="009E7692"/>
    <w:rsid w:val="009F0C5A"/>
    <w:rsid w:val="009F3C9A"/>
    <w:rsid w:val="009F4E83"/>
    <w:rsid w:val="009F4EB4"/>
    <w:rsid w:val="009F5178"/>
    <w:rsid w:val="009F5949"/>
    <w:rsid w:val="00A0234E"/>
    <w:rsid w:val="00A02436"/>
    <w:rsid w:val="00A06B49"/>
    <w:rsid w:val="00A06EF0"/>
    <w:rsid w:val="00A10E2A"/>
    <w:rsid w:val="00A15178"/>
    <w:rsid w:val="00A15CBD"/>
    <w:rsid w:val="00A15D0F"/>
    <w:rsid w:val="00A2068C"/>
    <w:rsid w:val="00A24877"/>
    <w:rsid w:val="00A3041E"/>
    <w:rsid w:val="00A3068B"/>
    <w:rsid w:val="00A31018"/>
    <w:rsid w:val="00A35374"/>
    <w:rsid w:val="00A404C9"/>
    <w:rsid w:val="00A4571D"/>
    <w:rsid w:val="00A46AF6"/>
    <w:rsid w:val="00A5049F"/>
    <w:rsid w:val="00A529B3"/>
    <w:rsid w:val="00A54676"/>
    <w:rsid w:val="00A54EB7"/>
    <w:rsid w:val="00A56D27"/>
    <w:rsid w:val="00A578BB"/>
    <w:rsid w:val="00A57BFC"/>
    <w:rsid w:val="00A607B7"/>
    <w:rsid w:val="00A652AB"/>
    <w:rsid w:val="00A655FF"/>
    <w:rsid w:val="00A657F6"/>
    <w:rsid w:val="00A65B72"/>
    <w:rsid w:val="00A66691"/>
    <w:rsid w:val="00A71EC9"/>
    <w:rsid w:val="00A71F86"/>
    <w:rsid w:val="00A72211"/>
    <w:rsid w:val="00A741C2"/>
    <w:rsid w:val="00A751D5"/>
    <w:rsid w:val="00A82B9E"/>
    <w:rsid w:val="00A837C2"/>
    <w:rsid w:val="00A842D3"/>
    <w:rsid w:val="00A8472E"/>
    <w:rsid w:val="00A8513D"/>
    <w:rsid w:val="00A87282"/>
    <w:rsid w:val="00A921AC"/>
    <w:rsid w:val="00A942A0"/>
    <w:rsid w:val="00A94458"/>
    <w:rsid w:val="00A9521A"/>
    <w:rsid w:val="00A96C7F"/>
    <w:rsid w:val="00A978EC"/>
    <w:rsid w:val="00AA0194"/>
    <w:rsid w:val="00AA19CB"/>
    <w:rsid w:val="00AA208A"/>
    <w:rsid w:val="00AA2A03"/>
    <w:rsid w:val="00AA63E4"/>
    <w:rsid w:val="00AA6B7A"/>
    <w:rsid w:val="00AA6F7C"/>
    <w:rsid w:val="00AA719B"/>
    <w:rsid w:val="00AB1DAF"/>
    <w:rsid w:val="00AB215B"/>
    <w:rsid w:val="00AB3CDD"/>
    <w:rsid w:val="00AB48F0"/>
    <w:rsid w:val="00AB6318"/>
    <w:rsid w:val="00AB6429"/>
    <w:rsid w:val="00AB6B50"/>
    <w:rsid w:val="00AB6B79"/>
    <w:rsid w:val="00AC4CC0"/>
    <w:rsid w:val="00AC532B"/>
    <w:rsid w:val="00AC5A04"/>
    <w:rsid w:val="00AC6065"/>
    <w:rsid w:val="00AC687F"/>
    <w:rsid w:val="00AC6DDC"/>
    <w:rsid w:val="00AC7D45"/>
    <w:rsid w:val="00AD0848"/>
    <w:rsid w:val="00AD2586"/>
    <w:rsid w:val="00AD5271"/>
    <w:rsid w:val="00AE0192"/>
    <w:rsid w:val="00AE0309"/>
    <w:rsid w:val="00AE1605"/>
    <w:rsid w:val="00AE6673"/>
    <w:rsid w:val="00AE6A1C"/>
    <w:rsid w:val="00AF1398"/>
    <w:rsid w:val="00AF1B1E"/>
    <w:rsid w:val="00AF4873"/>
    <w:rsid w:val="00AF794B"/>
    <w:rsid w:val="00B016F1"/>
    <w:rsid w:val="00B03F72"/>
    <w:rsid w:val="00B05CD0"/>
    <w:rsid w:val="00B06D8B"/>
    <w:rsid w:val="00B10432"/>
    <w:rsid w:val="00B10B0E"/>
    <w:rsid w:val="00B11776"/>
    <w:rsid w:val="00B11ACD"/>
    <w:rsid w:val="00B17CAF"/>
    <w:rsid w:val="00B211F0"/>
    <w:rsid w:val="00B21890"/>
    <w:rsid w:val="00B21C0D"/>
    <w:rsid w:val="00B21D72"/>
    <w:rsid w:val="00B25864"/>
    <w:rsid w:val="00B25BDB"/>
    <w:rsid w:val="00B2766C"/>
    <w:rsid w:val="00B339CB"/>
    <w:rsid w:val="00B36DD6"/>
    <w:rsid w:val="00B44CAB"/>
    <w:rsid w:val="00B4692B"/>
    <w:rsid w:val="00B46E89"/>
    <w:rsid w:val="00B52DBD"/>
    <w:rsid w:val="00B52ECD"/>
    <w:rsid w:val="00B53D78"/>
    <w:rsid w:val="00B559A9"/>
    <w:rsid w:val="00B70354"/>
    <w:rsid w:val="00B757AD"/>
    <w:rsid w:val="00B75806"/>
    <w:rsid w:val="00B770DC"/>
    <w:rsid w:val="00B81E91"/>
    <w:rsid w:val="00B834C2"/>
    <w:rsid w:val="00B83694"/>
    <w:rsid w:val="00B83E2B"/>
    <w:rsid w:val="00B90F35"/>
    <w:rsid w:val="00B917BF"/>
    <w:rsid w:val="00B924F4"/>
    <w:rsid w:val="00B936DB"/>
    <w:rsid w:val="00B950AB"/>
    <w:rsid w:val="00B96203"/>
    <w:rsid w:val="00B97265"/>
    <w:rsid w:val="00BA2987"/>
    <w:rsid w:val="00BA2FB2"/>
    <w:rsid w:val="00BA7996"/>
    <w:rsid w:val="00BB0215"/>
    <w:rsid w:val="00BB0876"/>
    <w:rsid w:val="00BB316E"/>
    <w:rsid w:val="00BB638B"/>
    <w:rsid w:val="00BC044A"/>
    <w:rsid w:val="00BC0C15"/>
    <w:rsid w:val="00BC67D5"/>
    <w:rsid w:val="00BC6EA0"/>
    <w:rsid w:val="00BD3138"/>
    <w:rsid w:val="00BD506A"/>
    <w:rsid w:val="00BD5E0E"/>
    <w:rsid w:val="00BE28CC"/>
    <w:rsid w:val="00BE3541"/>
    <w:rsid w:val="00BE6716"/>
    <w:rsid w:val="00BE68CD"/>
    <w:rsid w:val="00BF01CB"/>
    <w:rsid w:val="00BF0C2F"/>
    <w:rsid w:val="00BF2835"/>
    <w:rsid w:val="00BF40A7"/>
    <w:rsid w:val="00BF5589"/>
    <w:rsid w:val="00BF6B29"/>
    <w:rsid w:val="00BF7523"/>
    <w:rsid w:val="00BF7711"/>
    <w:rsid w:val="00C02B55"/>
    <w:rsid w:val="00C037C0"/>
    <w:rsid w:val="00C04FF1"/>
    <w:rsid w:val="00C10A00"/>
    <w:rsid w:val="00C10B23"/>
    <w:rsid w:val="00C11B87"/>
    <w:rsid w:val="00C132A1"/>
    <w:rsid w:val="00C1440C"/>
    <w:rsid w:val="00C152BB"/>
    <w:rsid w:val="00C156DF"/>
    <w:rsid w:val="00C15871"/>
    <w:rsid w:val="00C1773C"/>
    <w:rsid w:val="00C17F2B"/>
    <w:rsid w:val="00C21A42"/>
    <w:rsid w:val="00C248A8"/>
    <w:rsid w:val="00C27E69"/>
    <w:rsid w:val="00C3165E"/>
    <w:rsid w:val="00C31A8F"/>
    <w:rsid w:val="00C33929"/>
    <w:rsid w:val="00C33D64"/>
    <w:rsid w:val="00C35A47"/>
    <w:rsid w:val="00C37439"/>
    <w:rsid w:val="00C4104B"/>
    <w:rsid w:val="00C438A3"/>
    <w:rsid w:val="00C50B2E"/>
    <w:rsid w:val="00C51DA5"/>
    <w:rsid w:val="00C5284B"/>
    <w:rsid w:val="00C53C2C"/>
    <w:rsid w:val="00C555B9"/>
    <w:rsid w:val="00C56297"/>
    <w:rsid w:val="00C566A7"/>
    <w:rsid w:val="00C60A3F"/>
    <w:rsid w:val="00C60BDC"/>
    <w:rsid w:val="00C60CF7"/>
    <w:rsid w:val="00C6498C"/>
    <w:rsid w:val="00C655A6"/>
    <w:rsid w:val="00C65853"/>
    <w:rsid w:val="00C675BF"/>
    <w:rsid w:val="00C67E41"/>
    <w:rsid w:val="00C73E10"/>
    <w:rsid w:val="00C8251E"/>
    <w:rsid w:val="00C84092"/>
    <w:rsid w:val="00C86192"/>
    <w:rsid w:val="00C86446"/>
    <w:rsid w:val="00C87FF6"/>
    <w:rsid w:val="00C905D2"/>
    <w:rsid w:val="00C91486"/>
    <w:rsid w:val="00C915CE"/>
    <w:rsid w:val="00C9467E"/>
    <w:rsid w:val="00CA025F"/>
    <w:rsid w:val="00CA031D"/>
    <w:rsid w:val="00CA0755"/>
    <w:rsid w:val="00CA3180"/>
    <w:rsid w:val="00CA3BB8"/>
    <w:rsid w:val="00CA4FF1"/>
    <w:rsid w:val="00CA587B"/>
    <w:rsid w:val="00CA686B"/>
    <w:rsid w:val="00CA6C98"/>
    <w:rsid w:val="00CB1DC9"/>
    <w:rsid w:val="00CB4334"/>
    <w:rsid w:val="00CB4894"/>
    <w:rsid w:val="00CB4E97"/>
    <w:rsid w:val="00CB593A"/>
    <w:rsid w:val="00CC09DD"/>
    <w:rsid w:val="00CC1A7D"/>
    <w:rsid w:val="00CC5778"/>
    <w:rsid w:val="00CC6DF9"/>
    <w:rsid w:val="00CC78FC"/>
    <w:rsid w:val="00CD43A3"/>
    <w:rsid w:val="00CD4A81"/>
    <w:rsid w:val="00CD616F"/>
    <w:rsid w:val="00CE4CC0"/>
    <w:rsid w:val="00CE7880"/>
    <w:rsid w:val="00CF0C2D"/>
    <w:rsid w:val="00CF13B3"/>
    <w:rsid w:val="00CF444F"/>
    <w:rsid w:val="00CF7883"/>
    <w:rsid w:val="00CF7A0E"/>
    <w:rsid w:val="00D00669"/>
    <w:rsid w:val="00D00F22"/>
    <w:rsid w:val="00D00F62"/>
    <w:rsid w:val="00D024B5"/>
    <w:rsid w:val="00D05FB7"/>
    <w:rsid w:val="00D062D6"/>
    <w:rsid w:val="00D0749B"/>
    <w:rsid w:val="00D13564"/>
    <w:rsid w:val="00D143FE"/>
    <w:rsid w:val="00D153D2"/>
    <w:rsid w:val="00D15D6E"/>
    <w:rsid w:val="00D16591"/>
    <w:rsid w:val="00D165A9"/>
    <w:rsid w:val="00D16B15"/>
    <w:rsid w:val="00D16B53"/>
    <w:rsid w:val="00D17447"/>
    <w:rsid w:val="00D21B89"/>
    <w:rsid w:val="00D22774"/>
    <w:rsid w:val="00D22898"/>
    <w:rsid w:val="00D22B2D"/>
    <w:rsid w:val="00D22C8C"/>
    <w:rsid w:val="00D239C8"/>
    <w:rsid w:val="00D2516F"/>
    <w:rsid w:val="00D30C33"/>
    <w:rsid w:val="00D311EC"/>
    <w:rsid w:val="00D31D19"/>
    <w:rsid w:val="00D3224E"/>
    <w:rsid w:val="00D364BE"/>
    <w:rsid w:val="00D4334C"/>
    <w:rsid w:val="00D43DA8"/>
    <w:rsid w:val="00D45D27"/>
    <w:rsid w:val="00D47283"/>
    <w:rsid w:val="00D47559"/>
    <w:rsid w:val="00D47664"/>
    <w:rsid w:val="00D51231"/>
    <w:rsid w:val="00D51C96"/>
    <w:rsid w:val="00D5228C"/>
    <w:rsid w:val="00D5343D"/>
    <w:rsid w:val="00D53FEE"/>
    <w:rsid w:val="00D56F05"/>
    <w:rsid w:val="00D61AC6"/>
    <w:rsid w:val="00D67287"/>
    <w:rsid w:val="00D673A2"/>
    <w:rsid w:val="00D70107"/>
    <w:rsid w:val="00D765E5"/>
    <w:rsid w:val="00D80423"/>
    <w:rsid w:val="00D8405A"/>
    <w:rsid w:val="00D8600D"/>
    <w:rsid w:val="00D90DE8"/>
    <w:rsid w:val="00D91800"/>
    <w:rsid w:val="00D91B4C"/>
    <w:rsid w:val="00D91B8C"/>
    <w:rsid w:val="00D92760"/>
    <w:rsid w:val="00D92C2A"/>
    <w:rsid w:val="00D93A2D"/>
    <w:rsid w:val="00D94F76"/>
    <w:rsid w:val="00D97A6D"/>
    <w:rsid w:val="00DA5716"/>
    <w:rsid w:val="00DA7633"/>
    <w:rsid w:val="00DA79C0"/>
    <w:rsid w:val="00DB12E4"/>
    <w:rsid w:val="00DB2C16"/>
    <w:rsid w:val="00DB4027"/>
    <w:rsid w:val="00DB42FC"/>
    <w:rsid w:val="00DB7D51"/>
    <w:rsid w:val="00DC3F5B"/>
    <w:rsid w:val="00DC4D8A"/>
    <w:rsid w:val="00DC7EBB"/>
    <w:rsid w:val="00DD0025"/>
    <w:rsid w:val="00DD1F4A"/>
    <w:rsid w:val="00DD2440"/>
    <w:rsid w:val="00DD2ADD"/>
    <w:rsid w:val="00DD2BA3"/>
    <w:rsid w:val="00DD375F"/>
    <w:rsid w:val="00DD4248"/>
    <w:rsid w:val="00DD5EA9"/>
    <w:rsid w:val="00DD77CF"/>
    <w:rsid w:val="00DE2B43"/>
    <w:rsid w:val="00DE32D7"/>
    <w:rsid w:val="00DE36AD"/>
    <w:rsid w:val="00DE3A07"/>
    <w:rsid w:val="00DE3AD6"/>
    <w:rsid w:val="00DE5559"/>
    <w:rsid w:val="00DE67F4"/>
    <w:rsid w:val="00DE689F"/>
    <w:rsid w:val="00DE68CB"/>
    <w:rsid w:val="00DF2093"/>
    <w:rsid w:val="00DF23F9"/>
    <w:rsid w:val="00DF2A69"/>
    <w:rsid w:val="00DF3FF1"/>
    <w:rsid w:val="00DF40A4"/>
    <w:rsid w:val="00DF5644"/>
    <w:rsid w:val="00E00906"/>
    <w:rsid w:val="00E010BF"/>
    <w:rsid w:val="00E0330C"/>
    <w:rsid w:val="00E03626"/>
    <w:rsid w:val="00E12274"/>
    <w:rsid w:val="00E14F8B"/>
    <w:rsid w:val="00E16E57"/>
    <w:rsid w:val="00E2026F"/>
    <w:rsid w:val="00E21A81"/>
    <w:rsid w:val="00E24A79"/>
    <w:rsid w:val="00E24CC8"/>
    <w:rsid w:val="00E26AD7"/>
    <w:rsid w:val="00E271D7"/>
    <w:rsid w:val="00E275B3"/>
    <w:rsid w:val="00E27F6E"/>
    <w:rsid w:val="00E314B5"/>
    <w:rsid w:val="00E3220C"/>
    <w:rsid w:val="00E33395"/>
    <w:rsid w:val="00E336C1"/>
    <w:rsid w:val="00E35167"/>
    <w:rsid w:val="00E35A53"/>
    <w:rsid w:val="00E363C4"/>
    <w:rsid w:val="00E37482"/>
    <w:rsid w:val="00E3756C"/>
    <w:rsid w:val="00E37C48"/>
    <w:rsid w:val="00E44571"/>
    <w:rsid w:val="00E45B63"/>
    <w:rsid w:val="00E46659"/>
    <w:rsid w:val="00E50BE0"/>
    <w:rsid w:val="00E5150B"/>
    <w:rsid w:val="00E535CE"/>
    <w:rsid w:val="00E57677"/>
    <w:rsid w:val="00E60D0B"/>
    <w:rsid w:val="00E627F8"/>
    <w:rsid w:val="00E70FB2"/>
    <w:rsid w:val="00E7328D"/>
    <w:rsid w:val="00E77963"/>
    <w:rsid w:val="00E84DAA"/>
    <w:rsid w:val="00E90A0C"/>
    <w:rsid w:val="00E91169"/>
    <w:rsid w:val="00E91851"/>
    <w:rsid w:val="00E91E95"/>
    <w:rsid w:val="00E95E5A"/>
    <w:rsid w:val="00E9758E"/>
    <w:rsid w:val="00EA2DA7"/>
    <w:rsid w:val="00EA4D07"/>
    <w:rsid w:val="00EA5177"/>
    <w:rsid w:val="00EA55E7"/>
    <w:rsid w:val="00EA7206"/>
    <w:rsid w:val="00EB012D"/>
    <w:rsid w:val="00EB03EB"/>
    <w:rsid w:val="00EB125E"/>
    <w:rsid w:val="00EB1B59"/>
    <w:rsid w:val="00EB5D1E"/>
    <w:rsid w:val="00EB62E3"/>
    <w:rsid w:val="00EB6F40"/>
    <w:rsid w:val="00EC1900"/>
    <w:rsid w:val="00EC2B5C"/>
    <w:rsid w:val="00EC4174"/>
    <w:rsid w:val="00ED339D"/>
    <w:rsid w:val="00ED3722"/>
    <w:rsid w:val="00ED49CD"/>
    <w:rsid w:val="00EE0773"/>
    <w:rsid w:val="00EE13A3"/>
    <w:rsid w:val="00EE352F"/>
    <w:rsid w:val="00EE394B"/>
    <w:rsid w:val="00EE3D56"/>
    <w:rsid w:val="00EE6EF3"/>
    <w:rsid w:val="00EF1135"/>
    <w:rsid w:val="00EF5796"/>
    <w:rsid w:val="00EF611E"/>
    <w:rsid w:val="00F00954"/>
    <w:rsid w:val="00F016D9"/>
    <w:rsid w:val="00F06A41"/>
    <w:rsid w:val="00F110FC"/>
    <w:rsid w:val="00F15ADC"/>
    <w:rsid w:val="00F17D46"/>
    <w:rsid w:val="00F20677"/>
    <w:rsid w:val="00F22F68"/>
    <w:rsid w:val="00F23AF0"/>
    <w:rsid w:val="00F264E4"/>
    <w:rsid w:val="00F27D75"/>
    <w:rsid w:val="00F300B1"/>
    <w:rsid w:val="00F3371D"/>
    <w:rsid w:val="00F33A1C"/>
    <w:rsid w:val="00F35D84"/>
    <w:rsid w:val="00F36398"/>
    <w:rsid w:val="00F41907"/>
    <w:rsid w:val="00F423D1"/>
    <w:rsid w:val="00F432DF"/>
    <w:rsid w:val="00F453E9"/>
    <w:rsid w:val="00F51787"/>
    <w:rsid w:val="00F5178C"/>
    <w:rsid w:val="00F5223A"/>
    <w:rsid w:val="00F53755"/>
    <w:rsid w:val="00F56DE4"/>
    <w:rsid w:val="00F5784A"/>
    <w:rsid w:val="00F601E0"/>
    <w:rsid w:val="00F616FB"/>
    <w:rsid w:val="00F64368"/>
    <w:rsid w:val="00F6446A"/>
    <w:rsid w:val="00F64E99"/>
    <w:rsid w:val="00F66134"/>
    <w:rsid w:val="00F66983"/>
    <w:rsid w:val="00F67FB7"/>
    <w:rsid w:val="00F7419D"/>
    <w:rsid w:val="00F744F8"/>
    <w:rsid w:val="00F813DE"/>
    <w:rsid w:val="00F84506"/>
    <w:rsid w:val="00F84C35"/>
    <w:rsid w:val="00F85003"/>
    <w:rsid w:val="00F85EA7"/>
    <w:rsid w:val="00F907ED"/>
    <w:rsid w:val="00F92222"/>
    <w:rsid w:val="00F93AA4"/>
    <w:rsid w:val="00F97856"/>
    <w:rsid w:val="00FA341B"/>
    <w:rsid w:val="00FA557D"/>
    <w:rsid w:val="00FA7392"/>
    <w:rsid w:val="00FA7C69"/>
    <w:rsid w:val="00FA7D1C"/>
    <w:rsid w:val="00FB6D67"/>
    <w:rsid w:val="00FC6255"/>
    <w:rsid w:val="00FC6310"/>
    <w:rsid w:val="00FC6A96"/>
    <w:rsid w:val="00FD0FCB"/>
    <w:rsid w:val="00FD31F8"/>
    <w:rsid w:val="00FD5BC6"/>
    <w:rsid w:val="00FD7AF4"/>
    <w:rsid w:val="00FE2095"/>
    <w:rsid w:val="00FE479D"/>
    <w:rsid w:val="00FE480C"/>
    <w:rsid w:val="00FE58EC"/>
    <w:rsid w:val="00FE7638"/>
    <w:rsid w:val="00FE7EBB"/>
    <w:rsid w:val="00FF3165"/>
    <w:rsid w:val="00FF3B42"/>
    <w:rsid w:val="013E1207"/>
    <w:rsid w:val="03D35847"/>
    <w:rsid w:val="04A71423"/>
    <w:rsid w:val="050D54CE"/>
    <w:rsid w:val="05F56F28"/>
    <w:rsid w:val="07A01DB0"/>
    <w:rsid w:val="08634C14"/>
    <w:rsid w:val="0ADD5B52"/>
    <w:rsid w:val="0ADE6E63"/>
    <w:rsid w:val="0B50226B"/>
    <w:rsid w:val="0B7246E8"/>
    <w:rsid w:val="0BD770AF"/>
    <w:rsid w:val="0F7C4C80"/>
    <w:rsid w:val="0F81180E"/>
    <w:rsid w:val="105E2E5C"/>
    <w:rsid w:val="111C4301"/>
    <w:rsid w:val="12A97CC8"/>
    <w:rsid w:val="13565858"/>
    <w:rsid w:val="179D1E56"/>
    <w:rsid w:val="1A74747D"/>
    <w:rsid w:val="1A8041DB"/>
    <w:rsid w:val="1BD641A0"/>
    <w:rsid w:val="1DEA3AA7"/>
    <w:rsid w:val="24000FEA"/>
    <w:rsid w:val="24057623"/>
    <w:rsid w:val="272066B2"/>
    <w:rsid w:val="2AB551B1"/>
    <w:rsid w:val="2C9D0974"/>
    <w:rsid w:val="2D652BC5"/>
    <w:rsid w:val="2F564B73"/>
    <w:rsid w:val="2FEB563A"/>
    <w:rsid w:val="30340008"/>
    <w:rsid w:val="33A06D9D"/>
    <w:rsid w:val="34404F71"/>
    <w:rsid w:val="352D33ED"/>
    <w:rsid w:val="3C1D3DDD"/>
    <w:rsid w:val="3D7B6B74"/>
    <w:rsid w:val="3DDAD2C4"/>
    <w:rsid w:val="41662610"/>
    <w:rsid w:val="431775F1"/>
    <w:rsid w:val="43192030"/>
    <w:rsid w:val="441D78FE"/>
    <w:rsid w:val="44B3734F"/>
    <w:rsid w:val="44DA134B"/>
    <w:rsid w:val="47F81BC3"/>
    <w:rsid w:val="49B503C3"/>
    <w:rsid w:val="4C2B529D"/>
    <w:rsid w:val="4D433828"/>
    <w:rsid w:val="502A762A"/>
    <w:rsid w:val="54962724"/>
    <w:rsid w:val="55703B13"/>
    <w:rsid w:val="57AF0677"/>
    <w:rsid w:val="5808183D"/>
    <w:rsid w:val="59552A64"/>
    <w:rsid w:val="59A35087"/>
    <w:rsid w:val="5B8161A6"/>
    <w:rsid w:val="5C441F53"/>
    <w:rsid w:val="5E591C11"/>
    <w:rsid w:val="5F1B6330"/>
    <w:rsid w:val="5FD34363"/>
    <w:rsid w:val="622E2AD8"/>
    <w:rsid w:val="62992698"/>
    <w:rsid w:val="651C5A73"/>
    <w:rsid w:val="65B37365"/>
    <w:rsid w:val="65FD3508"/>
    <w:rsid w:val="664A5D9B"/>
    <w:rsid w:val="67DA5704"/>
    <w:rsid w:val="69BB58A7"/>
    <w:rsid w:val="69BC2666"/>
    <w:rsid w:val="6A2A538C"/>
    <w:rsid w:val="6F726203"/>
    <w:rsid w:val="6FF8094C"/>
    <w:rsid w:val="70F5267F"/>
    <w:rsid w:val="728955C8"/>
    <w:rsid w:val="758D7B90"/>
    <w:rsid w:val="76587F18"/>
    <w:rsid w:val="7812004D"/>
    <w:rsid w:val="78DF4BA6"/>
    <w:rsid w:val="7FA00847"/>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qFormat="1" w:uiPriority="99"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8"/>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autoRedefine/>
    <w:qFormat/>
    <w:uiPriority w:val="0"/>
    <w:pPr>
      <w:keepNext/>
      <w:keepLines/>
      <w:numPr>
        <w:ilvl w:val="1"/>
        <w:numId w:val="1"/>
      </w:numPr>
      <w:spacing w:before="260" w:after="260" w:line="416" w:lineRule="auto"/>
      <w:jc w:val="left"/>
      <w:outlineLvl w:val="1"/>
    </w:pPr>
    <w:rPr>
      <w:rFonts w:ascii="Arial" w:hAnsi="Arial" w:eastAsia="微软雅黑"/>
      <w:b/>
      <w:bCs/>
      <w:szCs w:val="32"/>
    </w:rPr>
  </w:style>
  <w:style w:type="paragraph" w:styleId="4">
    <w:name w:val="heading 3"/>
    <w:basedOn w:val="1"/>
    <w:next w:val="5"/>
    <w:link w:val="50"/>
    <w:autoRedefine/>
    <w:qFormat/>
    <w:uiPriority w:val="0"/>
    <w:pPr>
      <w:keepNext/>
      <w:keepLines/>
      <w:numPr>
        <w:ilvl w:val="2"/>
        <w:numId w:val="1"/>
      </w:numPr>
      <w:spacing w:line="360" w:lineRule="auto"/>
      <w:ind w:firstLine="720" w:firstLineChars="200"/>
      <w:jc w:val="left"/>
      <w:outlineLvl w:val="2"/>
    </w:pPr>
    <w:rPr>
      <w:rFonts w:ascii="仿宋_GB2312" w:hAnsi="仿宋_GB2312" w:eastAsia="微软雅黑"/>
      <w:b/>
      <w:bCs/>
      <w:szCs w:val="20"/>
    </w:rPr>
  </w:style>
  <w:style w:type="paragraph" w:styleId="6">
    <w:name w:val="heading 4"/>
    <w:basedOn w:val="1"/>
    <w:next w:val="1"/>
    <w:autoRedefine/>
    <w:unhideWhenUsed/>
    <w:qFormat/>
    <w:uiPriority w:val="0"/>
    <w:pPr>
      <w:keepNext/>
      <w:keepLines/>
      <w:numPr>
        <w:ilvl w:val="3"/>
        <w:numId w:val="1"/>
      </w:numPr>
      <w:spacing w:line="372" w:lineRule="auto"/>
      <w:outlineLvl w:val="3"/>
    </w:pPr>
    <w:rPr>
      <w:rFonts w:ascii="Arial" w:hAnsi="Arial" w:eastAsia="黑体"/>
      <w:b/>
      <w:sz w:val="28"/>
    </w:rPr>
  </w:style>
  <w:style w:type="paragraph" w:styleId="7">
    <w:name w:val="heading 5"/>
    <w:basedOn w:val="1"/>
    <w:next w:val="1"/>
    <w:autoRedefine/>
    <w:unhideWhenUsed/>
    <w:qFormat/>
    <w:uiPriority w:val="0"/>
    <w:pPr>
      <w:keepNext/>
      <w:keepLines/>
      <w:numPr>
        <w:ilvl w:val="4"/>
        <w:numId w:val="1"/>
      </w:numPr>
      <w:spacing w:line="372" w:lineRule="auto"/>
      <w:outlineLvl w:val="4"/>
    </w:pPr>
    <w:rPr>
      <w:b/>
      <w:sz w:val="28"/>
    </w:rPr>
  </w:style>
  <w:style w:type="paragraph" w:styleId="8">
    <w:name w:val="heading 6"/>
    <w:basedOn w:val="1"/>
    <w:next w:val="1"/>
    <w:semiHidden/>
    <w:unhideWhenUsed/>
    <w:qFormat/>
    <w:uiPriority w:val="0"/>
    <w:pPr>
      <w:keepNext/>
      <w:keepLines/>
      <w:numPr>
        <w:ilvl w:val="5"/>
        <w:numId w:val="1"/>
      </w:numPr>
      <w:spacing w:line="317" w:lineRule="auto"/>
      <w:outlineLvl w:val="5"/>
    </w:pPr>
    <w:rPr>
      <w:rFonts w:ascii="Arial" w:hAnsi="Arial" w:eastAsia="黑体"/>
      <w:b/>
      <w:sz w:val="24"/>
    </w:rPr>
  </w:style>
  <w:style w:type="paragraph" w:styleId="9">
    <w:name w:val="heading 7"/>
    <w:basedOn w:val="1"/>
    <w:next w:val="1"/>
    <w:autoRedefine/>
    <w:semiHidden/>
    <w:unhideWhenUsed/>
    <w:qFormat/>
    <w:uiPriority w:val="0"/>
    <w:pPr>
      <w:keepNext/>
      <w:keepLines/>
      <w:numPr>
        <w:ilvl w:val="6"/>
        <w:numId w:val="1"/>
      </w:numPr>
      <w:spacing w:line="317" w:lineRule="auto"/>
      <w:outlineLvl w:val="6"/>
    </w:pPr>
    <w:rPr>
      <w:b/>
      <w:sz w:val="24"/>
    </w:rPr>
  </w:style>
  <w:style w:type="paragraph" w:styleId="10">
    <w:name w:val="heading 8"/>
    <w:basedOn w:val="1"/>
    <w:next w:val="1"/>
    <w:autoRedefine/>
    <w:semiHidden/>
    <w:unhideWhenUsed/>
    <w:qFormat/>
    <w:uiPriority w:val="0"/>
    <w:pPr>
      <w:keepNext/>
      <w:keepLines/>
      <w:numPr>
        <w:ilvl w:val="7"/>
        <w:numId w:val="1"/>
      </w:numPr>
      <w:spacing w:line="317" w:lineRule="auto"/>
      <w:outlineLvl w:val="7"/>
    </w:pPr>
    <w:rPr>
      <w:rFonts w:ascii="Arial" w:hAnsi="Arial" w:eastAsia="黑体"/>
      <w:sz w:val="24"/>
    </w:rPr>
  </w:style>
  <w:style w:type="paragraph" w:styleId="11">
    <w:name w:val="heading 9"/>
    <w:basedOn w:val="1"/>
    <w:next w:val="1"/>
    <w:autoRedefine/>
    <w:semiHidden/>
    <w:unhideWhenUsed/>
    <w:qFormat/>
    <w:uiPriority w:val="0"/>
    <w:pPr>
      <w:keepNext/>
      <w:keepLines/>
      <w:numPr>
        <w:ilvl w:val="8"/>
        <w:numId w:val="1"/>
      </w:numPr>
      <w:spacing w:line="317" w:lineRule="auto"/>
      <w:outlineLvl w:val="8"/>
    </w:pPr>
    <w:rPr>
      <w:rFonts w:ascii="Arial" w:hAnsi="Arial" w:eastAsia="黑体"/>
    </w:rPr>
  </w:style>
  <w:style w:type="character" w:default="1" w:styleId="40">
    <w:name w:val="Default Paragraph Font"/>
    <w:semiHidden/>
    <w:unhideWhenUsed/>
    <w:qFormat/>
    <w:uiPriority w:val="1"/>
  </w:style>
  <w:style w:type="table" w:default="1" w:styleId="39">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49"/>
    <w:autoRedefine/>
    <w:qFormat/>
    <w:uiPriority w:val="0"/>
    <w:pPr>
      <w:ind w:firstLine="420"/>
    </w:pPr>
    <w:rPr>
      <w:szCs w:val="20"/>
    </w:rPr>
  </w:style>
  <w:style w:type="paragraph" w:styleId="12">
    <w:name w:val="List Number"/>
    <w:basedOn w:val="1"/>
    <w:autoRedefine/>
    <w:qFormat/>
    <w:uiPriority w:val="0"/>
    <w:pPr>
      <w:widowControl/>
      <w:tabs>
        <w:tab w:val="left" w:pos="454"/>
        <w:tab w:val="left" w:pos="720"/>
      </w:tabs>
      <w:spacing w:afterLines="50"/>
      <w:ind w:left="454" w:hanging="284"/>
      <w:jc w:val="left"/>
    </w:pPr>
    <w:rPr>
      <w:kern w:val="0"/>
      <w:sz w:val="24"/>
      <w:szCs w:val="20"/>
    </w:rPr>
  </w:style>
  <w:style w:type="paragraph" w:styleId="13">
    <w:name w:val="caption"/>
    <w:basedOn w:val="1"/>
    <w:next w:val="1"/>
    <w:qFormat/>
    <w:uiPriority w:val="0"/>
    <w:pPr>
      <w:spacing w:before="152" w:after="160"/>
    </w:pPr>
    <w:rPr>
      <w:rFonts w:ascii="Arial" w:hAnsi="Arial" w:eastAsia="黑体" w:cs="Arial"/>
      <w:sz w:val="20"/>
      <w:szCs w:val="20"/>
    </w:rPr>
  </w:style>
  <w:style w:type="paragraph" w:styleId="14">
    <w:name w:val="Document Map"/>
    <w:basedOn w:val="1"/>
    <w:autoRedefine/>
    <w:semiHidden/>
    <w:qFormat/>
    <w:uiPriority w:val="0"/>
    <w:pPr>
      <w:shd w:val="clear" w:color="auto" w:fill="000080"/>
    </w:pPr>
  </w:style>
  <w:style w:type="paragraph" w:styleId="15">
    <w:name w:val="annotation text"/>
    <w:basedOn w:val="1"/>
    <w:link w:val="73"/>
    <w:autoRedefine/>
    <w:qFormat/>
    <w:uiPriority w:val="0"/>
    <w:pPr>
      <w:jc w:val="left"/>
    </w:pPr>
  </w:style>
  <w:style w:type="paragraph" w:styleId="16">
    <w:name w:val="Body Text 3"/>
    <w:basedOn w:val="1"/>
    <w:autoRedefine/>
    <w:qFormat/>
    <w:uiPriority w:val="0"/>
    <w:pPr>
      <w:snapToGrid w:val="0"/>
      <w:spacing w:before="50" w:after="50"/>
    </w:pPr>
    <w:rPr>
      <w:rFonts w:hAnsi="宋体" w:eastAsia="仿宋_GB2312"/>
      <w:b/>
      <w:bCs/>
      <w:sz w:val="24"/>
      <w:szCs w:val="20"/>
    </w:rPr>
  </w:style>
  <w:style w:type="paragraph" w:styleId="17">
    <w:name w:val="Body Text"/>
    <w:basedOn w:val="1"/>
    <w:link w:val="57"/>
    <w:autoRedefine/>
    <w:qFormat/>
    <w:uiPriority w:val="0"/>
    <w:pPr>
      <w:spacing w:after="120"/>
    </w:pPr>
    <w:rPr>
      <w:sz w:val="28"/>
    </w:rPr>
  </w:style>
  <w:style w:type="paragraph" w:styleId="18">
    <w:name w:val="Body Text Indent"/>
    <w:basedOn w:val="1"/>
    <w:link w:val="56"/>
    <w:autoRedefine/>
    <w:qFormat/>
    <w:uiPriority w:val="0"/>
    <w:pPr>
      <w:spacing w:line="200" w:lineRule="exact"/>
      <w:ind w:firstLine="301"/>
    </w:pPr>
    <w:rPr>
      <w:rFonts w:ascii="宋体" w:hAnsi="Courier New"/>
      <w:spacing w:val="-4"/>
      <w:sz w:val="18"/>
      <w:szCs w:val="20"/>
    </w:rPr>
  </w:style>
  <w:style w:type="paragraph" w:styleId="19">
    <w:name w:val="List Number 3"/>
    <w:basedOn w:val="1"/>
    <w:autoRedefine/>
    <w:qFormat/>
    <w:uiPriority w:val="0"/>
    <w:pPr>
      <w:numPr>
        <w:ilvl w:val="0"/>
        <w:numId w:val="2"/>
      </w:numPr>
    </w:pPr>
  </w:style>
  <w:style w:type="paragraph" w:styleId="20">
    <w:name w:val="List 2"/>
    <w:basedOn w:val="1"/>
    <w:qFormat/>
    <w:uiPriority w:val="0"/>
    <w:pPr>
      <w:ind w:left="100" w:leftChars="200" w:hanging="200" w:hangingChars="200"/>
    </w:pPr>
    <w:rPr>
      <w:sz w:val="28"/>
    </w:rPr>
  </w:style>
  <w:style w:type="paragraph" w:styleId="21">
    <w:name w:val="toc 3"/>
    <w:basedOn w:val="1"/>
    <w:next w:val="1"/>
    <w:autoRedefine/>
    <w:qFormat/>
    <w:uiPriority w:val="39"/>
    <w:pPr>
      <w:ind w:left="840" w:leftChars="400"/>
    </w:pPr>
  </w:style>
  <w:style w:type="paragraph" w:styleId="22">
    <w:name w:val="Plain Text"/>
    <w:basedOn w:val="1"/>
    <w:link w:val="53"/>
    <w:autoRedefine/>
    <w:qFormat/>
    <w:uiPriority w:val="0"/>
    <w:pPr>
      <w:spacing w:beforeLines="50" w:afterLines="50" w:line="400" w:lineRule="exact"/>
    </w:pPr>
    <w:rPr>
      <w:rFonts w:ascii="宋体" w:hAnsi="Courier New"/>
      <w:sz w:val="24"/>
    </w:rPr>
  </w:style>
  <w:style w:type="paragraph" w:styleId="23">
    <w:name w:val="Date"/>
    <w:basedOn w:val="1"/>
    <w:next w:val="1"/>
    <w:autoRedefine/>
    <w:qFormat/>
    <w:uiPriority w:val="0"/>
    <w:pPr>
      <w:ind w:left="2500" w:leftChars="2500"/>
    </w:pPr>
    <w:rPr>
      <w:rFonts w:eastAsia="楷体_GB2312"/>
      <w:sz w:val="32"/>
      <w:szCs w:val="20"/>
    </w:rPr>
  </w:style>
  <w:style w:type="paragraph" w:styleId="24">
    <w:name w:val="Body Text Indent 2"/>
    <w:basedOn w:val="1"/>
    <w:link w:val="89"/>
    <w:qFormat/>
    <w:uiPriority w:val="0"/>
    <w:pPr>
      <w:snapToGrid w:val="0"/>
      <w:ind w:firstLine="542" w:firstLineChars="225"/>
    </w:pPr>
    <w:rPr>
      <w:rFonts w:ascii="仿宋_GB2312" w:hAnsi="宋体" w:cs="Arial"/>
      <w:b/>
      <w:bCs/>
      <w:color w:val="000000"/>
      <w:sz w:val="24"/>
    </w:rPr>
  </w:style>
  <w:style w:type="paragraph" w:styleId="25">
    <w:name w:val="Balloon Text"/>
    <w:basedOn w:val="1"/>
    <w:link w:val="78"/>
    <w:autoRedefine/>
    <w:qFormat/>
    <w:uiPriority w:val="0"/>
    <w:rPr>
      <w:sz w:val="18"/>
      <w:szCs w:val="18"/>
    </w:rPr>
  </w:style>
  <w:style w:type="paragraph" w:styleId="26">
    <w:name w:val="footer"/>
    <w:basedOn w:val="1"/>
    <w:link w:val="51"/>
    <w:autoRedefine/>
    <w:qFormat/>
    <w:uiPriority w:val="99"/>
    <w:pPr>
      <w:tabs>
        <w:tab w:val="center" w:pos="4153"/>
        <w:tab w:val="right" w:pos="8306"/>
      </w:tabs>
      <w:snapToGrid w:val="0"/>
      <w:jc w:val="left"/>
    </w:pPr>
    <w:rPr>
      <w:rFonts w:eastAsia="黑体"/>
      <w:snapToGrid w:val="0"/>
      <w:kern w:val="0"/>
      <w:sz w:val="18"/>
      <w:szCs w:val="18"/>
    </w:rPr>
  </w:style>
  <w:style w:type="paragraph" w:styleId="27">
    <w:name w:val="header"/>
    <w:basedOn w:val="1"/>
    <w:link w:val="59"/>
    <w:autoRedefine/>
    <w:qFormat/>
    <w:uiPriority w:val="99"/>
    <w:pPr>
      <w:pBdr>
        <w:bottom w:val="single" w:color="auto" w:sz="6" w:space="1"/>
      </w:pBdr>
      <w:tabs>
        <w:tab w:val="center" w:pos="4153"/>
        <w:tab w:val="right" w:pos="8306"/>
      </w:tabs>
      <w:snapToGrid w:val="0"/>
      <w:jc w:val="center"/>
    </w:pPr>
    <w:rPr>
      <w:rFonts w:eastAsia="仿宋_GB2312"/>
      <w:sz w:val="18"/>
      <w:szCs w:val="20"/>
    </w:rPr>
  </w:style>
  <w:style w:type="paragraph" w:styleId="28">
    <w:name w:val="toc 1"/>
    <w:basedOn w:val="1"/>
    <w:next w:val="1"/>
    <w:qFormat/>
    <w:uiPriority w:val="39"/>
  </w:style>
  <w:style w:type="paragraph" w:styleId="29">
    <w:name w:val="Subtitle"/>
    <w:basedOn w:val="1"/>
    <w:next w:val="1"/>
    <w:link w:val="81"/>
    <w:qFormat/>
    <w:uiPriority w:val="0"/>
    <w:pPr>
      <w:spacing w:before="240" w:after="60" w:line="312" w:lineRule="auto"/>
      <w:jc w:val="center"/>
      <w:outlineLvl w:val="1"/>
    </w:pPr>
    <w:rPr>
      <w:rFonts w:asciiTheme="majorHAnsi" w:hAnsiTheme="majorHAnsi" w:cstheme="majorBidi"/>
      <w:b/>
      <w:bCs/>
      <w:kern w:val="28"/>
      <w:sz w:val="32"/>
      <w:szCs w:val="32"/>
    </w:rPr>
  </w:style>
  <w:style w:type="paragraph" w:styleId="30">
    <w:name w:val="List"/>
    <w:basedOn w:val="1"/>
    <w:qFormat/>
    <w:uiPriority w:val="0"/>
    <w:pPr>
      <w:ind w:left="200" w:hanging="200" w:hangingChars="200"/>
    </w:pPr>
    <w:rPr>
      <w:sz w:val="28"/>
    </w:rPr>
  </w:style>
  <w:style w:type="paragraph" w:styleId="31">
    <w:name w:val="footnote text"/>
    <w:basedOn w:val="1"/>
    <w:link w:val="79"/>
    <w:autoRedefine/>
    <w:unhideWhenUsed/>
    <w:qFormat/>
    <w:uiPriority w:val="99"/>
    <w:pPr>
      <w:snapToGrid w:val="0"/>
      <w:jc w:val="left"/>
    </w:pPr>
    <w:rPr>
      <w:sz w:val="18"/>
      <w:szCs w:val="18"/>
    </w:rPr>
  </w:style>
  <w:style w:type="paragraph" w:styleId="32">
    <w:name w:val="Body Text Indent 3"/>
    <w:basedOn w:val="1"/>
    <w:autoRedefine/>
    <w:qFormat/>
    <w:uiPriority w:val="0"/>
    <w:pPr>
      <w:snapToGrid w:val="0"/>
      <w:ind w:firstLine="480" w:firstLineChars="200"/>
      <w:jc w:val="left"/>
    </w:pPr>
    <w:rPr>
      <w:rFonts w:ascii="仿宋_GB2312" w:hAnsi="宋体" w:eastAsia="仿宋_GB2312"/>
      <w:color w:val="000000"/>
      <w:sz w:val="24"/>
    </w:rPr>
  </w:style>
  <w:style w:type="paragraph" w:styleId="33">
    <w:name w:val="toc 2"/>
    <w:basedOn w:val="1"/>
    <w:next w:val="1"/>
    <w:autoRedefine/>
    <w:qFormat/>
    <w:uiPriority w:val="39"/>
    <w:pPr>
      <w:ind w:left="420" w:leftChars="200"/>
    </w:pPr>
  </w:style>
  <w:style w:type="paragraph" w:styleId="34">
    <w:name w:val="Body Text 2"/>
    <w:basedOn w:val="1"/>
    <w:autoRedefine/>
    <w:qFormat/>
    <w:uiPriority w:val="0"/>
    <w:pPr>
      <w:widowControl/>
      <w:snapToGrid w:val="0"/>
      <w:spacing w:before="50" w:afterLines="50" w:line="400" w:lineRule="exact"/>
      <w:jc w:val="left"/>
    </w:pPr>
    <w:rPr>
      <w:rFonts w:ascii="宋体" w:hAnsi="宋体"/>
      <w:color w:val="000000"/>
      <w:sz w:val="24"/>
    </w:rPr>
  </w:style>
  <w:style w:type="paragraph" w:styleId="35">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36">
    <w:name w:val="Title"/>
    <w:basedOn w:val="1"/>
    <w:next w:val="1"/>
    <w:link w:val="68"/>
    <w:autoRedefine/>
    <w:qFormat/>
    <w:uiPriority w:val="0"/>
    <w:pPr>
      <w:spacing w:before="240" w:after="60"/>
      <w:jc w:val="center"/>
      <w:outlineLvl w:val="0"/>
    </w:pPr>
    <w:rPr>
      <w:rFonts w:ascii="Cambria" w:hAnsi="Cambria" w:eastAsia="微软雅黑"/>
      <w:b/>
      <w:bCs/>
      <w:sz w:val="32"/>
      <w:szCs w:val="32"/>
    </w:rPr>
  </w:style>
  <w:style w:type="paragraph" w:styleId="37">
    <w:name w:val="annotation subject"/>
    <w:basedOn w:val="15"/>
    <w:next w:val="15"/>
    <w:link w:val="74"/>
    <w:autoRedefine/>
    <w:qFormat/>
    <w:uiPriority w:val="0"/>
    <w:rPr>
      <w:b/>
      <w:bCs/>
    </w:rPr>
  </w:style>
  <w:style w:type="paragraph" w:styleId="38">
    <w:name w:val="Body Text First Indent"/>
    <w:basedOn w:val="17"/>
    <w:link w:val="70"/>
    <w:autoRedefine/>
    <w:qFormat/>
    <w:uiPriority w:val="0"/>
    <w:pPr>
      <w:ind w:firstLine="420" w:firstLineChars="100"/>
    </w:pPr>
    <w:rPr>
      <w:sz w:val="21"/>
    </w:rPr>
  </w:style>
  <w:style w:type="character" w:styleId="41">
    <w:name w:val="Strong"/>
    <w:basedOn w:val="40"/>
    <w:qFormat/>
    <w:uiPriority w:val="22"/>
    <w:rPr>
      <w:b/>
      <w:bCs/>
    </w:rPr>
  </w:style>
  <w:style w:type="character" w:styleId="42">
    <w:name w:val="page number"/>
    <w:basedOn w:val="40"/>
    <w:autoRedefine/>
    <w:qFormat/>
    <w:uiPriority w:val="0"/>
  </w:style>
  <w:style w:type="character" w:styleId="43">
    <w:name w:val="FollowedHyperlink"/>
    <w:autoRedefine/>
    <w:qFormat/>
    <w:uiPriority w:val="0"/>
    <w:rPr>
      <w:color w:val="800080"/>
      <w:u w:val="single"/>
    </w:rPr>
  </w:style>
  <w:style w:type="character" w:styleId="44">
    <w:name w:val="Emphasis"/>
    <w:autoRedefine/>
    <w:qFormat/>
    <w:uiPriority w:val="0"/>
    <w:rPr>
      <w:i/>
      <w:iCs/>
    </w:rPr>
  </w:style>
  <w:style w:type="character" w:styleId="45">
    <w:name w:val="Hyperlink"/>
    <w:qFormat/>
    <w:uiPriority w:val="99"/>
    <w:rPr>
      <w:color w:val="0000FF"/>
      <w:u w:val="single"/>
    </w:rPr>
  </w:style>
  <w:style w:type="character" w:styleId="46">
    <w:name w:val="annotation reference"/>
    <w:autoRedefine/>
    <w:qFormat/>
    <w:uiPriority w:val="0"/>
    <w:rPr>
      <w:sz w:val="21"/>
      <w:szCs w:val="21"/>
    </w:rPr>
  </w:style>
  <w:style w:type="character" w:styleId="47">
    <w:name w:val="footnote reference"/>
    <w:autoRedefine/>
    <w:unhideWhenUsed/>
    <w:qFormat/>
    <w:uiPriority w:val="99"/>
    <w:rPr>
      <w:vertAlign w:val="superscript"/>
    </w:rPr>
  </w:style>
  <w:style w:type="character" w:customStyle="1" w:styleId="48">
    <w:name w:val="标题 1 字符"/>
    <w:link w:val="2"/>
    <w:autoRedefine/>
    <w:qFormat/>
    <w:uiPriority w:val="0"/>
    <w:rPr>
      <w:b/>
      <w:bCs/>
      <w:kern w:val="44"/>
      <w:sz w:val="44"/>
      <w:szCs w:val="44"/>
    </w:rPr>
  </w:style>
  <w:style w:type="character" w:customStyle="1" w:styleId="49">
    <w:name w:val="正文缩进 字符"/>
    <w:link w:val="5"/>
    <w:autoRedefine/>
    <w:qFormat/>
    <w:uiPriority w:val="0"/>
    <w:rPr>
      <w:rFonts w:eastAsia="宋体"/>
      <w:kern w:val="2"/>
      <w:sz w:val="21"/>
      <w:lang w:bidi="ar-SA"/>
    </w:rPr>
  </w:style>
  <w:style w:type="character" w:customStyle="1" w:styleId="50">
    <w:name w:val="标题 3 字符"/>
    <w:link w:val="4"/>
    <w:autoRedefine/>
    <w:qFormat/>
    <w:uiPriority w:val="0"/>
    <w:rPr>
      <w:rFonts w:ascii="仿宋_GB2312" w:hAnsi="仿宋_GB2312" w:eastAsia="微软雅黑"/>
      <w:b/>
      <w:bCs/>
      <w:kern w:val="2"/>
      <w:sz w:val="21"/>
    </w:rPr>
  </w:style>
  <w:style w:type="character" w:customStyle="1" w:styleId="51">
    <w:name w:val="页脚 字符"/>
    <w:link w:val="26"/>
    <w:autoRedefine/>
    <w:qFormat/>
    <w:uiPriority w:val="99"/>
    <w:rPr>
      <w:rFonts w:eastAsia="黑体"/>
      <w:snapToGrid w:val="0"/>
      <w:sz w:val="18"/>
      <w:szCs w:val="18"/>
      <w:lang w:bidi="ar-SA"/>
    </w:rPr>
  </w:style>
  <w:style w:type="paragraph" w:customStyle="1" w:styleId="52">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character" w:customStyle="1" w:styleId="53">
    <w:name w:val="纯文本 字符"/>
    <w:link w:val="22"/>
    <w:qFormat/>
    <w:uiPriority w:val="0"/>
    <w:rPr>
      <w:rFonts w:ascii="宋体" w:hAnsi="Courier New" w:eastAsia="宋体"/>
      <w:kern w:val="2"/>
      <w:sz w:val="24"/>
      <w:szCs w:val="24"/>
      <w:lang w:val="en-US" w:eastAsia="zh-CN" w:bidi="ar-SA"/>
    </w:rPr>
  </w:style>
  <w:style w:type="paragraph" w:customStyle="1" w:styleId="54">
    <w:name w:val="正文段"/>
    <w:basedOn w:val="1"/>
    <w:autoRedefine/>
    <w:qFormat/>
    <w:uiPriority w:val="0"/>
    <w:pPr>
      <w:widowControl/>
      <w:snapToGrid w:val="0"/>
      <w:spacing w:afterLines="50"/>
      <w:ind w:firstLine="200" w:firstLineChars="200"/>
    </w:pPr>
    <w:rPr>
      <w:kern w:val="0"/>
      <w:sz w:val="24"/>
      <w:szCs w:val="20"/>
    </w:rPr>
  </w:style>
  <w:style w:type="paragraph" w:customStyle="1" w:styleId="55">
    <w:name w:val="默认段落字体 Para Char Char Char Char Char Char Char Char Char1 Char Char Char Char"/>
    <w:basedOn w:val="1"/>
    <w:qFormat/>
    <w:uiPriority w:val="0"/>
    <w:rPr>
      <w:rFonts w:ascii="Tahoma" w:hAnsi="Tahoma"/>
      <w:sz w:val="24"/>
      <w:szCs w:val="20"/>
    </w:rPr>
  </w:style>
  <w:style w:type="character" w:customStyle="1" w:styleId="56">
    <w:name w:val="正文文本缩进 字符"/>
    <w:link w:val="18"/>
    <w:qFormat/>
    <w:uiPriority w:val="0"/>
    <w:rPr>
      <w:rFonts w:ascii="宋体" w:hAnsi="Courier New" w:eastAsia="宋体"/>
      <w:spacing w:val="-4"/>
      <w:kern w:val="2"/>
      <w:sz w:val="18"/>
      <w:lang w:bidi="ar-SA"/>
    </w:rPr>
  </w:style>
  <w:style w:type="character" w:customStyle="1" w:styleId="57">
    <w:name w:val="正文文本 字符"/>
    <w:link w:val="17"/>
    <w:qFormat/>
    <w:uiPriority w:val="0"/>
    <w:rPr>
      <w:rFonts w:eastAsia="宋体"/>
      <w:kern w:val="2"/>
      <w:sz w:val="28"/>
      <w:szCs w:val="24"/>
      <w:lang w:bidi="ar-SA"/>
    </w:rPr>
  </w:style>
  <w:style w:type="paragraph" w:customStyle="1" w:styleId="58">
    <w:name w:val="表内文字"/>
    <w:basedOn w:val="1"/>
    <w:qFormat/>
    <w:uiPriority w:val="0"/>
    <w:pPr>
      <w:tabs>
        <w:tab w:val="left" w:pos="1418"/>
      </w:tabs>
      <w:spacing w:line="360" w:lineRule="auto"/>
      <w:jc w:val="center"/>
    </w:pPr>
    <w:rPr>
      <w:rFonts w:ascii="仿宋_GB2312" w:eastAsia="仿宋_GB2312"/>
      <w:spacing w:val="-20"/>
      <w:kern w:val="0"/>
      <w:sz w:val="24"/>
    </w:rPr>
  </w:style>
  <w:style w:type="character" w:customStyle="1" w:styleId="59">
    <w:name w:val="页眉 字符"/>
    <w:link w:val="27"/>
    <w:qFormat/>
    <w:uiPriority w:val="99"/>
    <w:rPr>
      <w:rFonts w:eastAsia="仿宋_GB2312"/>
      <w:kern w:val="2"/>
      <w:sz w:val="18"/>
      <w:lang w:bidi="ar-SA"/>
    </w:rPr>
  </w:style>
  <w:style w:type="paragraph" w:customStyle="1" w:styleId="60">
    <w:name w:val="默认段落字体 Para Char Char Char Char"/>
    <w:basedOn w:val="1"/>
    <w:qFormat/>
    <w:uiPriority w:val="0"/>
    <w:rPr>
      <w:rFonts w:ascii="Arial" w:hAnsi="Arial" w:cs="Arial"/>
      <w:szCs w:val="21"/>
    </w:rPr>
  </w:style>
  <w:style w:type="paragraph" w:customStyle="1" w:styleId="61">
    <w:name w:val="1 Char Char Char Char"/>
    <w:basedOn w:val="1"/>
    <w:autoRedefine/>
    <w:qFormat/>
    <w:uiPriority w:val="0"/>
    <w:rPr>
      <w:rFonts w:ascii="Tahoma" w:hAnsi="Tahoma"/>
      <w:sz w:val="24"/>
      <w:szCs w:val="20"/>
    </w:rPr>
  </w:style>
  <w:style w:type="paragraph" w:styleId="62">
    <w:name w:val="List Paragraph"/>
    <w:basedOn w:val="1"/>
    <w:qFormat/>
    <w:uiPriority w:val="0"/>
    <w:pPr>
      <w:ind w:firstLine="420" w:firstLineChars="200"/>
    </w:pPr>
    <w:rPr>
      <w:rFonts w:ascii="Calibri" w:hAnsi="Calibri"/>
      <w:szCs w:val="22"/>
    </w:rPr>
  </w:style>
  <w:style w:type="paragraph" w:customStyle="1" w:styleId="63">
    <w:name w:val="正文2"/>
    <w:basedOn w:val="1"/>
    <w:qFormat/>
    <w:uiPriority w:val="0"/>
    <w:pPr>
      <w:spacing w:before="156" w:line="360" w:lineRule="auto"/>
      <w:ind w:firstLine="510" w:firstLineChars="200"/>
    </w:pPr>
    <w:rPr>
      <w:sz w:val="24"/>
      <w:szCs w:val="20"/>
    </w:rPr>
  </w:style>
  <w:style w:type="paragraph" w:customStyle="1" w:styleId="64">
    <w:name w:val="默认段落字体 Para Char Char Char Char Char Char Char Char Char Char Char Char Char"/>
    <w:basedOn w:val="14"/>
    <w:qFormat/>
    <w:uiPriority w:val="0"/>
    <w:rPr>
      <w:rFonts w:ascii="Tahoma" w:hAnsi="Tahoma" w:cs="Tahoma"/>
      <w:sz w:val="24"/>
    </w:rPr>
  </w:style>
  <w:style w:type="paragraph" w:customStyle="1" w:styleId="65">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66">
    <w:name w:val="样式 表格正文 + 两端对齐"/>
    <w:basedOn w:val="1"/>
    <w:autoRedefine/>
    <w:qFormat/>
    <w:uiPriority w:val="0"/>
    <w:pPr>
      <w:spacing w:line="300" w:lineRule="auto"/>
    </w:pPr>
    <w:rPr>
      <w:sz w:val="24"/>
      <w:szCs w:val="20"/>
    </w:rPr>
  </w:style>
  <w:style w:type="paragraph" w:customStyle="1" w:styleId="67">
    <w:name w:val="此正文"/>
    <w:basedOn w:val="1"/>
    <w:autoRedefine/>
    <w:qFormat/>
    <w:uiPriority w:val="0"/>
    <w:pPr>
      <w:spacing w:line="360" w:lineRule="auto"/>
      <w:ind w:firstLine="200" w:firstLineChars="200"/>
    </w:pPr>
    <w:rPr>
      <w:sz w:val="24"/>
      <w:szCs w:val="20"/>
    </w:rPr>
  </w:style>
  <w:style w:type="character" w:customStyle="1" w:styleId="68">
    <w:name w:val="标题 字符"/>
    <w:link w:val="36"/>
    <w:autoRedefine/>
    <w:qFormat/>
    <w:uiPriority w:val="0"/>
    <w:rPr>
      <w:rFonts w:ascii="Cambria" w:hAnsi="Cambria" w:eastAsia="微软雅黑"/>
      <w:b/>
      <w:bCs/>
      <w:kern w:val="2"/>
      <w:sz w:val="32"/>
      <w:szCs w:val="32"/>
    </w:rPr>
  </w:style>
  <w:style w:type="paragraph" w:customStyle="1" w:styleId="69">
    <w:name w:val="tabletext"/>
    <w:basedOn w:val="1"/>
    <w:qFormat/>
    <w:uiPriority w:val="0"/>
    <w:pPr>
      <w:widowControl/>
      <w:spacing w:before="100" w:beforeAutospacing="1" w:after="100" w:afterAutospacing="1"/>
      <w:jc w:val="left"/>
    </w:pPr>
    <w:rPr>
      <w:rFonts w:ascii="宋体" w:hAnsi="宋体" w:cs="宋体"/>
      <w:kern w:val="0"/>
      <w:sz w:val="24"/>
      <w:lang w:eastAsia="en-US" w:bidi="en-US"/>
    </w:rPr>
  </w:style>
  <w:style w:type="character" w:customStyle="1" w:styleId="70">
    <w:name w:val="正文文本首行缩进 字符"/>
    <w:link w:val="38"/>
    <w:qFormat/>
    <w:uiPriority w:val="0"/>
    <w:rPr>
      <w:rFonts w:eastAsia="宋体"/>
      <w:kern w:val="2"/>
      <w:sz w:val="21"/>
      <w:szCs w:val="24"/>
      <w:lang w:bidi="ar-SA"/>
    </w:rPr>
  </w:style>
  <w:style w:type="paragraph" w:customStyle="1" w:styleId="71">
    <w:name w:val="Char Char Char Char"/>
    <w:basedOn w:val="1"/>
    <w:qFormat/>
    <w:uiPriority w:val="0"/>
    <w:pPr>
      <w:widowControl/>
      <w:spacing w:line="400" w:lineRule="exact"/>
      <w:outlineLvl w:val="1"/>
    </w:pPr>
    <w:rPr>
      <w:rFonts w:ascii="Verdana" w:hAnsi="Verdana"/>
      <w:b/>
      <w:kern w:val="0"/>
      <w:sz w:val="24"/>
      <w:lang w:eastAsia="en-US"/>
    </w:rPr>
  </w:style>
  <w:style w:type="character" w:customStyle="1" w:styleId="72">
    <w:name w:val="15"/>
    <w:qFormat/>
    <w:uiPriority w:val="0"/>
    <w:rPr>
      <w:rFonts w:ascii="Verdana" w:hAnsi="Verdana" w:cs="Times New Roman"/>
      <w:color w:val="C90000"/>
      <w:sz w:val="18"/>
    </w:rPr>
  </w:style>
  <w:style w:type="character" w:customStyle="1" w:styleId="73">
    <w:name w:val="批注文字 字符"/>
    <w:link w:val="15"/>
    <w:autoRedefine/>
    <w:qFormat/>
    <w:uiPriority w:val="0"/>
    <w:rPr>
      <w:rFonts w:eastAsia="宋体"/>
      <w:kern w:val="2"/>
      <w:sz w:val="21"/>
      <w:szCs w:val="24"/>
      <w:lang w:val="en-US" w:eastAsia="zh-CN" w:bidi="ar-SA"/>
    </w:rPr>
  </w:style>
  <w:style w:type="character" w:customStyle="1" w:styleId="74">
    <w:name w:val="批注主题 字符"/>
    <w:link w:val="37"/>
    <w:qFormat/>
    <w:uiPriority w:val="0"/>
    <w:rPr>
      <w:rFonts w:eastAsia="宋体"/>
      <w:b/>
      <w:bCs/>
      <w:kern w:val="2"/>
      <w:sz w:val="21"/>
      <w:szCs w:val="24"/>
      <w:lang w:val="en-US" w:eastAsia="zh-CN" w:bidi="ar-SA"/>
    </w:rPr>
  </w:style>
  <w:style w:type="paragraph" w:customStyle="1" w:styleId="75">
    <w:name w:val="正文－恩普"/>
    <w:basedOn w:val="5"/>
    <w:qFormat/>
    <w:uiPriority w:val="0"/>
    <w:pPr>
      <w:widowControl/>
      <w:spacing w:afterLines="50" w:line="360" w:lineRule="auto"/>
      <w:ind w:firstLine="480" w:firstLineChars="200"/>
      <w:jc w:val="left"/>
    </w:pPr>
    <w:rPr>
      <w:kern w:val="0"/>
      <w:sz w:val="24"/>
    </w:rPr>
  </w:style>
  <w:style w:type="paragraph" w:customStyle="1" w:styleId="76">
    <w:name w:val="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77">
    <w:name w:val="Char Char Char Char Char Char Char"/>
    <w:basedOn w:val="1"/>
    <w:qFormat/>
    <w:uiPriority w:val="0"/>
    <w:rPr>
      <w:szCs w:val="21"/>
    </w:rPr>
  </w:style>
  <w:style w:type="character" w:customStyle="1" w:styleId="78">
    <w:name w:val="批注框文本 字符"/>
    <w:link w:val="25"/>
    <w:qFormat/>
    <w:uiPriority w:val="0"/>
    <w:rPr>
      <w:kern w:val="2"/>
      <w:sz w:val="18"/>
      <w:szCs w:val="18"/>
    </w:rPr>
  </w:style>
  <w:style w:type="character" w:customStyle="1" w:styleId="79">
    <w:name w:val="脚注文本 字符"/>
    <w:basedOn w:val="40"/>
    <w:link w:val="31"/>
    <w:qFormat/>
    <w:uiPriority w:val="99"/>
    <w:rPr>
      <w:kern w:val="2"/>
      <w:sz w:val="18"/>
      <w:szCs w:val="18"/>
    </w:rPr>
  </w:style>
  <w:style w:type="paragraph" w:customStyle="1" w:styleId="80">
    <w:name w:val="TOC 标题1"/>
    <w:basedOn w:val="2"/>
    <w:next w:val="1"/>
    <w:autoRedefine/>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81">
    <w:name w:val="副标题 字符"/>
    <w:basedOn w:val="40"/>
    <w:link w:val="29"/>
    <w:qFormat/>
    <w:uiPriority w:val="0"/>
    <w:rPr>
      <w:rFonts w:asciiTheme="majorHAnsi" w:hAnsiTheme="majorHAnsi" w:cstheme="majorBidi"/>
      <w:b/>
      <w:bCs/>
      <w:kern w:val="28"/>
      <w:sz w:val="32"/>
      <w:szCs w:val="32"/>
    </w:rPr>
  </w:style>
  <w:style w:type="character" w:customStyle="1" w:styleId="82">
    <w:name w:val="页脚 Char"/>
    <w:qFormat/>
    <w:locked/>
    <w:uiPriority w:val="99"/>
    <w:rPr>
      <w:rFonts w:eastAsia="黑体"/>
      <w:snapToGrid w:val="0"/>
      <w:sz w:val="18"/>
      <w:szCs w:val="18"/>
    </w:rPr>
  </w:style>
  <w:style w:type="character" w:customStyle="1" w:styleId="83">
    <w:name w:val="页眉 Char"/>
    <w:autoRedefine/>
    <w:qFormat/>
    <w:uiPriority w:val="99"/>
    <w:rPr>
      <w:rFonts w:eastAsia="仿宋_GB2312"/>
      <w:kern w:val="2"/>
      <w:sz w:val="18"/>
    </w:rPr>
  </w:style>
  <w:style w:type="paragraph" w:customStyle="1" w:styleId="84">
    <w:name w:val="TOC 标题2"/>
    <w:basedOn w:val="2"/>
    <w:next w:val="1"/>
    <w:autoRedefine/>
    <w:semiHidden/>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paragraph" w:customStyle="1" w:styleId="85">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86">
    <w:name w:val="WPSOffice手动目录 1"/>
    <w:qFormat/>
    <w:uiPriority w:val="0"/>
    <w:rPr>
      <w:rFonts w:ascii="Times New Roman" w:hAnsi="Times New Roman" w:eastAsia="宋体" w:cs="Times New Roman"/>
      <w:lang w:val="en-US" w:eastAsia="zh-CN" w:bidi="ar-SA"/>
    </w:rPr>
  </w:style>
  <w:style w:type="paragraph" w:customStyle="1" w:styleId="87">
    <w:name w:val="TOC 标题3"/>
    <w:basedOn w:val="2"/>
    <w:next w:val="1"/>
    <w:semiHidden/>
    <w:unhideWhenUsed/>
    <w:qFormat/>
    <w:uiPriority w:val="39"/>
    <w:pPr>
      <w:widowControl/>
      <w:numPr>
        <w:numId w:val="0"/>
      </w:numPr>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88">
    <w:name w:val="纯文本 Char1"/>
    <w:qFormat/>
    <w:uiPriority w:val="0"/>
    <w:rPr>
      <w:rFonts w:ascii="宋体" w:hAnsi="Courier New" w:eastAsia="宋体" w:cs="Times New Roman"/>
      <w:sz w:val="24"/>
      <w:szCs w:val="24"/>
    </w:rPr>
  </w:style>
  <w:style w:type="character" w:customStyle="1" w:styleId="89">
    <w:name w:val="正文文本缩进 2 字符"/>
    <w:link w:val="24"/>
    <w:autoRedefine/>
    <w:qFormat/>
    <w:uiPriority w:val="0"/>
    <w:rPr>
      <w:rFonts w:ascii="仿宋_GB2312" w:hAnsi="宋体" w:cs="Arial"/>
      <w:b/>
      <w:bCs/>
      <w:color w:val="000000"/>
      <w:kern w:val="2"/>
      <w:sz w:val="24"/>
      <w:szCs w:val="24"/>
    </w:rPr>
  </w:style>
  <w:style w:type="paragraph" w:customStyle="1" w:styleId="90">
    <w:name w:val="列表段落1"/>
    <w:basedOn w:val="1"/>
    <w:qFormat/>
    <w:uiPriority w:val="0"/>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2.jpe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33</Pages>
  <Words>13702</Words>
  <Characters>14537</Characters>
  <Lines>111</Lines>
  <Paragraphs>31</Paragraphs>
  <TotalTime>49</TotalTime>
  <ScaleCrop>false</ScaleCrop>
  <LinksUpToDate>false</LinksUpToDate>
  <CharactersWithSpaces>15362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2019-10-11T06:43:00Z</dcterms:created>
  <dc:creator>WinXP</dc:creator>
  <cp:lastModifiedBy>章大莉</cp:lastModifiedBy>
  <cp:lastPrinted>2025-03-31T02:36:00Z</cp:lastPrinted>
  <dcterms:modified xsi:type="dcterms:W3CDTF">2025-03-31T04:51:01Z</dcterms:modified>
  <dc:title>2016年（第一期）嘉兴市本级公共资金</dc:title>
  <cp:revision>140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E182BDA9BD2B44BC876ED7D7B26C9B3C</vt:lpwstr>
  </property>
  <property fmtid="{D5CDD505-2E9C-101B-9397-08002B2CF9AE}" pid="4" name="KSOTemplateDocerSaveRecord">
    <vt:lpwstr>eyJoZGlkIjoiMTJlMTYyNTAxYWM3MWI0NzliODIyODNmMjdmN2NhNGEiLCJ1c2VySWQiOiIxMjkzODA4MDU5In0=</vt:lpwstr>
  </property>
</Properties>
</file>