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21D77">
      <w:pPr>
        <w:tabs>
          <w:tab w:val="left" w:pos="3449"/>
        </w:tabs>
        <w:spacing w:line="360" w:lineRule="auto"/>
        <w:rPr>
          <w:rFonts w:hint="eastAsia" w:ascii="微软雅黑" w:hAnsi="微软雅黑" w:eastAsia="微软雅黑" w:cs="微软雅黑"/>
          <w:b/>
          <w:color w:val="auto"/>
          <w:sz w:val="36"/>
          <w:szCs w:val="36"/>
          <w:highlight w:val="none"/>
        </w:rPr>
      </w:pPr>
    </w:p>
    <w:p w14:paraId="7F2BC10E">
      <w:pPr>
        <w:tabs>
          <w:tab w:val="left" w:pos="3449"/>
        </w:tabs>
        <w:spacing w:line="360" w:lineRule="auto"/>
        <w:rPr>
          <w:rFonts w:hint="eastAsia" w:ascii="微软雅黑" w:hAnsi="微软雅黑" w:eastAsia="微软雅黑" w:cs="微软雅黑"/>
          <w:b/>
          <w:color w:val="auto"/>
          <w:sz w:val="36"/>
          <w:szCs w:val="36"/>
          <w:highlight w:val="none"/>
        </w:rPr>
      </w:pPr>
    </w:p>
    <w:p w14:paraId="71517C4A">
      <w:pPr>
        <w:pStyle w:val="85"/>
        <w:jc w:val="center"/>
        <w:rPr>
          <w:rFonts w:hint="eastAsia" w:ascii="方正粗黑宋简体" w:hAnsi="方正粗黑宋简体" w:eastAsia="方正粗黑宋简体"/>
          <w:color w:val="auto"/>
          <w:sz w:val="72"/>
          <w:szCs w:val="72"/>
          <w:highlight w:val="none"/>
        </w:rPr>
      </w:pPr>
      <w:r>
        <w:rPr>
          <w:rFonts w:hint="eastAsia" w:ascii="方正粗黑宋简体" w:hAnsi="方正粗黑宋简体" w:eastAsia="方正粗黑宋简体"/>
          <w:color w:val="auto"/>
          <w:sz w:val="72"/>
          <w:szCs w:val="72"/>
          <w:highlight w:val="none"/>
        </w:rPr>
        <w:t>公 开 招 标 采 购 文 件</w:t>
      </w:r>
    </w:p>
    <w:p w14:paraId="58A80DC5">
      <w:pPr>
        <w:pStyle w:val="85"/>
        <w:jc w:val="center"/>
        <w:rPr>
          <w:rFonts w:hint="eastAsia" w:ascii="方正粗黑宋简体" w:hAnsi="方正粗黑宋简体" w:eastAsia="方正粗黑宋简体"/>
          <w:color w:val="auto"/>
          <w:sz w:val="52"/>
          <w:szCs w:val="52"/>
          <w:highlight w:val="none"/>
        </w:rPr>
      </w:pPr>
    </w:p>
    <w:p w14:paraId="7F05F42B">
      <w:pPr>
        <w:pStyle w:val="85"/>
        <w:rPr>
          <w:color w:val="auto"/>
          <w:highlight w:val="none"/>
        </w:rPr>
      </w:pPr>
    </w:p>
    <w:p w14:paraId="7D215DE7">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095500" cy="2000250"/>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1"/>
                    <a:srcRect/>
                    <a:stretch>
                      <a:fillRect/>
                    </a:stretch>
                  </pic:blipFill>
                  <pic:spPr>
                    <a:xfrm>
                      <a:off x="0" y="0"/>
                      <a:ext cx="2095500" cy="2000250"/>
                    </a:xfrm>
                    <a:prstGeom prst="rect">
                      <a:avLst/>
                    </a:prstGeom>
                    <a:noFill/>
                    <a:ln w="9525" cmpd="sng">
                      <a:noFill/>
                      <a:miter lim="800000"/>
                      <a:headEnd/>
                      <a:tailEnd/>
                    </a:ln>
                    <a:effectLst/>
                  </pic:spPr>
                </pic:pic>
              </a:graphicData>
            </a:graphic>
          </wp:inline>
        </w:drawing>
      </w:r>
    </w:p>
    <w:p w14:paraId="1B4A1A57">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42925850">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690FCA54">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0597DF13">
      <w:pPr>
        <w:pStyle w:val="22"/>
        <w:spacing w:before="156" w:after="156" w:line="360" w:lineRule="auto"/>
        <w:ind w:right="-191" w:rightChars="-91"/>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嘉兴市秀洲区人民检察院资金账户招标项目</w:t>
      </w:r>
    </w:p>
    <w:p w14:paraId="73F949FE">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千秋-XZCF（2025）第05号</w:t>
      </w:r>
    </w:p>
    <w:p w14:paraId="66A8AE99">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采购单位：</w:t>
      </w:r>
      <w:r>
        <w:rPr>
          <w:rFonts w:hint="eastAsia" w:ascii="微软雅黑" w:hAnsi="微软雅黑" w:eastAsia="微软雅黑"/>
          <w:bCs/>
          <w:color w:val="auto"/>
          <w:w w:val="95"/>
          <w:sz w:val="28"/>
          <w:szCs w:val="28"/>
          <w:highlight w:val="none"/>
          <w:lang w:eastAsia="zh-CN"/>
        </w:rPr>
        <w:t>嘉兴市秀洲区人民检察院</w:t>
      </w:r>
    </w:p>
    <w:p w14:paraId="16901DB9">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13A6F607">
      <w:pPr>
        <w:pStyle w:val="22"/>
        <w:spacing w:before="156" w:after="156" w:line="360" w:lineRule="auto"/>
        <w:jc w:val="left"/>
        <w:rPr>
          <w:rFonts w:cstheme="majorBidi"/>
          <w:color w:val="auto"/>
          <w:kern w:val="28"/>
          <w:sz w:val="32"/>
          <w:szCs w:val="32"/>
          <w:highlight w:val="none"/>
        </w:rPr>
      </w:pPr>
      <w:bookmarkStart w:id="0" w:name="_Toc493511539"/>
      <w:bookmarkStart w:id="1" w:name="_Toc50012812"/>
      <w:bookmarkStart w:id="2" w:name="_Toc427915753"/>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03</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11</w:t>
      </w:r>
      <w:r>
        <w:rPr>
          <w:rFonts w:hint="eastAsia" w:ascii="微软雅黑" w:hAnsi="微软雅黑" w:eastAsia="微软雅黑"/>
          <w:bCs/>
          <w:color w:val="auto"/>
          <w:w w:val="95"/>
          <w:sz w:val="28"/>
          <w:szCs w:val="28"/>
          <w:highlight w:val="none"/>
        </w:rPr>
        <w:t>日</w:t>
      </w:r>
      <w:bookmarkEnd w:id="0"/>
      <w:bookmarkEnd w:id="1"/>
      <w:bookmarkEnd w:id="2"/>
    </w:p>
    <w:p w14:paraId="087F7FA5">
      <w:pPr>
        <w:rPr>
          <w:rFonts w:cstheme="majorBidi"/>
          <w:color w:val="auto"/>
          <w:kern w:val="28"/>
          <w:sz w:val="32"/>
          <w:szCs w:val="32"/>
          <w:highlight w:val="none"/>
        </w:rPr>
        <w:sectPr>
          <w:headerReference r:id="rId4" w:type="first"/>
          <w:footerReference r:id="rId7" w:type="first"/>
          <w:headerReference r:id="rId3" w:type="default"/>
          <w:footerReference r:id="rId5" w:type="default"/>
          <w:footerReference r:id="rId6" w:type="even"/>
          <w:pgSz w:w="11907" w:h="16840"/>
          <w:pgMar w:top="1440" w:right="1797" w:bottom="1440" w:left="1797" w:header="851" w:footer="851" w:gutter="0"/>
          <w:pgNumType w:start="1"/>
          <w:cols w:space="425" w:num="1"/>
          <w:titlePg/>
          <w:docGrid w:type="lines" w:linePitch="312" w:charSpace="0"/>
        </w:sectPr>
      </w:pPr>
    </w:p>
    <w:p w14:paraId="3423277E">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13BA66A2">
          <w:pPr>
            <w:pStyle w:val="87"/>
            <w:jc w:val="center"/>
            <w:rPr>
              <w:color w:val="auto"/>
              <w:highlight w:val="none"/>
            </w:rPr>
          </w:pPr>
          <w:r>
            <w:rPr>
              <w:color w:val="auto"/>
              <w:highlight w:val="none"/>
              <w:lang w:val="zh-CN"/>
            </w:rPr>
            <w:t>目录</w:t>
          </w:r>
        </w:p>
        <w:p w14:paraId="09CB02B3">
          <w:pPr>
            <w:pStyle w:val="28"/>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0B929F8E">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1C8813A">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5</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6A13D41">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16</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CAAFAA6">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5"/>
              <w:rFonts w:hint="eastAsia" w:ascii="微软雅黑" w:hAnsi="微软雅黑" w:eastAsia="微软雅黑"/>
              <w:color w:val="auto"/>
              <w:highlight w:val="none"/>
            </w:rPr>
            <w:t>第五章协议主要条款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20</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DF0A6CD">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C757210">
          <w:pPr>
            <w:spacing w:line="480" w:lineRule="auto"/>
            <w:rPr>
              <w:color w:val="auto"/>
              <w:highlight w:val="none"/>
            </w:rPr>
          </w:pPr>
          <w:r>
            <w:rPr>
              <w:rFonts w:ascii="微软雅黑" w:hAnsi="微软雅黑" w:eastAsia="微软雅黑"/>
              <w:color w:val="auto"/>
              <w:highlight w:val="none"/>
            </w:rPr>
            <w:fldChar w:fldCharType="end"/>
          </w:r>
        </w:p>
      </w:sdtContent>
    </w:sdt>
    <w:p w14:paraId="25E07F60">
      <w:pPr>
        <w:tabs>
          <w:tab w:val="left" w:pos="5554"/>
        </w:tabs>
        <w:rPr>
          <w:rFonts w:cstheme="majorBidi"/>
          <w:color w:val="auto"/>
          <w:kern w:val="28"/>
          <w:sz w:val="32"/>
          <w:szCs w:val="32"/>
          <w:highlight w:val="none"/>
        </w:rPr>
      </w:pPr>
      <w:r>
        <w:rPr>
          <w:rFonts w:cstheme="majorBidi"/>
          <w:color w:val="auto"/>
          <w:kern w:val="28"/>
          <w:sz w:val="32"/>
          <w:szCs w:val="32"/>
          <w:highlight w:val="none"/>
        </w:rPr>
        <w:tab/>
      </w:r>
    </w:p>
    <w:p w14:paraId="3A482C70">
      <w:pPr>
        <w:rPr>
          <w:rFonts w:cstheme="majorBidi"/>
          <w:color w:val="auto"/>
          <w:kern w:val="28"/>
          <w:sz w:val="32"/>
          <w:szCs w:val="32"/>
          <w:highlight w:val="none"/>
        </w:rPr>
      </w:pPr>
    </w:p>
    <w:p w14:paraId="2734F67C">
      <w:pPr>
        <w:pStyle w:val="36"/>
        <w:outlineLvl w:val="9"/>
        <w:rPr>
          <w:color w:val="auto"/>
          <w:highlight w:val="none"/>
        </w:rPr>
      </w:pPr>
      <w:bookmarkStart w:id="3" w:name="_Toc11650166"/>
      <w:bookmarkStart w:id="4" w:name="_Toc9342476"/>
    </w:p>
    <w:p w14:paraId="15C7FF38">
      <w:pPr>
        <w:widowControl/>
        <w:jc w:val="left"/>
        <w:rPr>
          <w:rFonts w:ascii="Cambria" w:hAnsi="Cambria" w:eastAsia="微软雅黑"/>
          <w:b/>
          <w:bCs/>
          <w:color w:val="auto"/>
          <w:sz w:val="32"/>
          <w:szCs w:val="32"/>
          <w:highlight w:val="none"/>
        </w:rPr>
      </w:pPr>
      <w:r>
        <w:rPr>
          <w:color w:val="auto"/>
          <w:highlight w:val="none"/>
        </w:rPr>
        <w:br w:type="page"/>
      </w:r>
    </w:p>
    <w:p w14:paraId="4AB2D523">
      <w:pPr>
        <w:pStyle w:val="36"/>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2CCD9588">
      <w:pPr>
        <w:snapToGrid w:val="0"/>
        <w:spacing w:line="460" w:lineRule="exact"/>
        <w:ind w:firstLine="420" w:firstLineChars="200"/>
        <w:rPr>
          <w:rFonts w:hint="eastAsia" w:ascii="微软雅黑" w:hAnsi="微软雅黑" w:eastAsia="微软雅黑"/>
          <w:color w:val="auto"/>
          <w:szCs w:val="21"/>
          <w:highlight w:val="none"/>
        </w:rPr>
      </w:pPr>
      <w:bookmarkStart w:id="6" w:name="_Toc9342477"/>
      <w:bookmarkStart w:id="7" w:name="_Toc1165016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w:t>
      </w:r>
      <w:r>
        <w:rPr>
          <w:rFonts w:hint="eastAsia" w:ascii="微软雅黑" w:hAnsi="微软雅黑" w:eastAsia="微软雅黑"/>
          <w:color w:val="auto"/>
          <w:szCs w:val="21"/>
          <w:highlight w:val="none"/>
          <w:lang w:eastAsia="zh-CN"/>
        </w:rPr>
        <w:t>嘉兴市秀洲区人民检察院</w:t>
      </w:r>
      <w:r>
        <w:rPr>
          <w:rFonts w:hint="eastAsia" w:ascii="微软雅黑" w:hAnsi="微软雅黑" w:eastAsia="微软雅黑"/>
          <w:color w:val="auto"/>
          <w:szCs w:val="21"/>
          <w:highlight w:val="none"/>
        </w:rPr>
        <w:t>委托，就下列项目进行公开招标，特邀请国内合格的投标人前来投标，现将有关事项公告如下：</w:t>
      </w:r>
    </w:p>
    <w:p w14:paraId="1728F4B3">
      <w:pPr>
        <w:pStyle w:val="3"/>
        <w:numPr>
          <w:ilvl w:val="0"/>
          <w:numId w:val="4"/>
        </w:numPr>
        <w:spacing w:before="0" w:after="0" w:line="460" w:lineRule="exact"/>
        <w:ind w:firstLineChars="200"/>
        <w:rPr>
          <w:rFonts w:hint="eastAsia" w:ascii="微软雅黑" w:hAnsi="微软雅黑"/>
          <w:color w:val="auto"/>
          <w:szCs w:val="21"/>
          <w:highlight w:val="none"/>
        </w:rPr>
      </w:pPr>
      <w:bookmarkStart w:id="8" w:name="_Toc98019224"/>
      <w:r>
        <w:rPr>
          <w:rFonts w:hint="eastAsia" w:ascii="微软雅黑" w:hAnsi="微软雅黑"/>
          <w:color w:val="auto"/>
          <w:szCs w:val="21"/>
          <w:highlight w:val="none"/>
        </w:rPr>
        <w:t>项目编号：</w:t>
      </w:r>
      <w:bookmarkEnd w:id="8"/>
      <w:r>
        <w:rPr>
          <w:rFonts w:hint="eastAsia" w:ascii="微软雅黑" w:hAnsi="微软雅黑"/>
          <w:color w:val="auto"/>
          <w:szCs w:val="21"/>
          <w:highlight w:val="none"/>
          <w:lang w:eastAsia="zh-CN"/>
        </w:rPr>
        <w:t>千秋-XZCF（2025）第05号</w:t>
      </w:r>
    </w:p>
    <w:p w14:paraId="5CD64FE2">
      <w:pPr>
        <w:pStyle w:val="3"/>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21AFEE15">
      <w:pPr>
        <w:pStyle w:val="3"/>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bookmarkEnd w:id="10"/>
      <w:r>
        <w:rPr>
          <w:rFonts w:hint="eastAsia" w:ascii="微软雅黑" w:hAnsi="微软雅黑"/>
          <w:color w:val="auto"/>
          <w:szCs w:val="21"/>
          <w:highlight w:val="none"/>
          <w:lang w:eastAsia="zh-CN"/>
        </w:rPr>
        <w:t>嘉兴市秀洲区人民检察院资金账户招标项目</w:t>
      </w:r>
    </w:p>
    <w:p w14:paraId="783EAACC">
      <w:pPr>
        <w:pStyle w:val="3"/>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bookmarkStart w:id="12" w:name="_Toc98019228"/>
    </w:p>
    <w:p w14:paraId="19707F66">
      <w:pPr>
        <w:pStyle w:val="62"/>
        <w:spacing w:line="560" w:lineRule="exact"/>
        <w:ind w:firstLine="424" w:firstLineChars="202"/>
        <w:rPr>
          <w:rFonts w:hint="default" w:ascii="微软雅黑" w:hAnsi="微软雅黑" w:eastAsia="微软雅黑" w:cs="Tahoma"/>
          <w:color w:val="auto"/>
          <w:szCs w:val="21"/>
          <w:highlight w:val="none"/>
          <w:lang w:val="en-US" w:eastAsia="zh-CN"/>
        </w:rPr>
      </w:pPr>
      <w:r>
        <w:rPr>
          <w:rFonts w:hint="eastAsia" w:ascii="微软雅黑" w:hAnsi="微软雅黑" w:eastAsia="微软雅黑" w:cs="Tahoma"/>
          <w:color w:val="auto"/>
          <w:szCs w:val="21"/>
          <w:highlight w:val="none"/>
          <w:lang w:eastAsia="zh-CN"/>
        </w:rPr>
        <w:t>工会账户及实存资金帐户开户，中标银行：</w:t>
      </w:r>
      <w:r>
        <w:rPr>
          <w:rFonts w:hint="eastAsia" w:ascii="微软雅黑" w:hAnsi="微软雅黑" w:eastAsia="微软雅黑" w:cs="Tahoma"/>
          <w:color w:val="auto"/>
          <w:szCs w:val="21"/>
          <w:highlight w:val="none"/>
          <w:lang w:val="en-US" w:eastAsia="zh-CN"/>
        </w:rPr>
        <w:t>1家</w:t>
      </w:r>
    </w:p>
    <w:p w14:paraId="034A953E">
      <w:pPr>
        <w:pStyle w:val="3"/>
        <w:numPr>
          <w:ilvl w:val="0"/>
          <w:numId w:val="4"/>
        </w:numPr>
        <w:spacing w:before="0" w:after="0" w:line="460" w:lineRule="exact"/>
        <w:ind w:firstLineChars="200"/>
        <w:rPr>
          <w:rFonts w:hint="eastAsia" w:ascii="微软雅黑" w:hAnsi="微软雅黑"/>
          <w:color w:val="auto"/>
          <w:szCs w:val="21"/>
          <w:highlight w:val="none"/>
        </w:rPr>
      </w:pPr>
      <w:r>
        <w:rPr>
          <w:rFonts w:hint="eastAsia" w:ascii="微软雅黑" w:hAnsi="微软雅黑"/>
          <w:color w:val="auto"/>
          <w:szCs w:val="21"/>
          <w:highlight w:val="none"/>
        </w:rPr>
        <w:t>合格投标人的资格要求</w:t>
      </w:r>
      <w:bookmarkEnd w:id="12"/>
      <w:r>
        <w:rPr>
          <w:rFonts w:hint="eastAsia" w:ascii="微软雅黑" w:hAnsi="微软雅黑"/>
          <w:color w:val="auto"/>
          <w:szCs w:val="21"/>
          <w:highlight w:val="none"/>
          <w:lang w:eastAsia="zh-CN"/>
        </w:rPr>
        <w:t>：</w:t>
      </w:r>
    </w:p>
    <w:p w14:paraId="2D855D75">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467CC78C">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1DD7AF59">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r>
        <w:rPr>
          <w:rFonts w:hint="eastAsia" w:ascii="微软雅黑" w:hAnsi="微软雅黑" w:eastAsia="微软雅黑" w:cs="宋体"/>
          <w:color w:val="auto"/>
          <w:szCs w:val="21"/>
          <w:highlight w:val="none"/>
          <w:lang w:eastAsia="zh-CN"/>
        </w:rPr>
        <w:t>。</w:t>
      </w:r>
    </w:p>
    <w:p w14:paraId="56BF7C93">
      <w:pPr>
        <w:pStyle w:val="3"/>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5D2E80A3">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44731F04">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6AFD9CA2">
      <w:pPr>
        <w:pStyle w:val="3"/>
        <w:numPr>
          <w:ilvl w:val="0"/>
          <w:numId w:val="4"/>
        </w:numPr>
        <w:spacing w:before="0" w:after="0" w:line="460" w:lineRule="exact"/>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649071EC">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03</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11</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03</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18</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17：30</w:t>
      </w:r>
      <w:r>
        <w:rPr>
          <w:rFonts w:hint="eastAsia" w:ascii="微软雅黑" w:hAnsi="微软雅黑" w:eastAsia="微软雅黑" w:cs="Arial"/>
          <w:color w:val="auto"/>
          <w:szCs w:val="21"/>
          <w:highlight w:val="none"/>
        </w:rPr>
        <w:t>。</w:t>
      </w:r>
    </w:p>
    <w:p w14:paraId="650613EB">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网上</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5C11C441">
      <w:pPr>
        <w:snapToGrid w:val="0"/>
        <w:spacing w:line="36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6E7525C1">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66B558C6">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33879602">
      <w:pPr>
        <w:snapToGrid w:val="0"/>
        <w:spacing w:line="36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57F5535C">
      <w:pPr>
        <w:spacing w:before="156" w:beforeLines="50" w:after="156" w:afterLines="50"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1"/>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13316336">
      <w:pPr>
        <w:spacing w:line="360" w:lineRule="auto"/>
        <w:ind w:firstLine="411" w:firstLineChars="19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本项目实行线下纸质投标叠加网上电子投标。线下纸质投标文件接收截止时间：</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分，未按时寄达或送达指定地点的，均视为自动放弃。网上电子投标投标人应于：</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分前，登录政府采购云平台，进入招标系统，按规定进行投标。投标成功会接收短信通知，逾期投标视为未投标。</w:t>
      </w:r>
    </w:p>
    <w:p w14:paraId="3AEBBDFB">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56210436">
      <w:pPr>
        <w:snapToGrid w:val="0"/>
        <w:spacing w:line="36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本次招标将于</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s="Arial"/>
          <w:color w:val="auto"/>
          <w:szCs w:val="21"/>
          <w:highlight w:val="none"/>
        </w:rPr>
        <w:t>。</w:t>
      </w:r>
    </w:p>
    <w:p w14:paraId="119520BE">
      <w:pPr>
        <w:pStyle w:val="3"/>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6E760E4A">
      <w:pPr>
        <w:snapToGrid w:val="0"/>
        <w:spacing w:line="460" w:lineRule="exact"/>
        <w:ind w:firstLine="420"/>
        <w:rPr>
          <w:rFonts w:hint="eastAsia" w:ascii="微软雅黑" w:hAnsi="微软雅黑" w:eastAsia="微软雅黑" w:cs="Arial"/>
          <w:b/>
          <w:color w:val="auto"/>
          <w:szCs w:val="21"/>
          <w:highlight w:val="none"/>
          <w:lang w:eastAsia="zh-CN"/>
        </w:rPr>
      </w:pPr>
      <w:r>
        <w:rPr>
          <w:rFonts w:hint="eastAsia" w:ascii="微软雅黑" w:hAnsi="微软雅黑" w:eastAsia="微软雅黑"/>
          <w:color w:val="auto"/>
          <w:szCs w:val="21"/>
          <w:highlight w:val="none"/>
        </w:rPr>
        <w:t>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w:t>
      </w:r>
      <w:r>
        <w:rPr>
          <w:rFonts w:hint="eastAsia" w:ascii="微软雅黑" w:hAnsi="微软雅黑" w:eastAsia="微软雅黑"/>
          <w:color w:val="auto"/>
          <w:szCs w:val="21"/>
          <w:highlight w:val="none"/>
          <w:lang w:val="en-US" w:eastAsia="zh-CN"/>
        </w:rPr>
        <w:t>秀易招</w:t>
      </w:r>
      <w:r>
        <w:rPr>
          <w:rFonts w:hint="eastAsia" w:ascii="微软雅黑" w:hAnsi="微软雅黑" w:eastAsia="微软雅黑"/>
          <w:color w:val="auto"/>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p>
    <w:p w14:paraId="3B12F7A5">
      <w:pPr>
        <w:pStyle w:val="3"/>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47A45E30">
      <w:pPr>
        <w:snapToGrid w:val="0"/>
        <w:spacing w:line="460" w:lineRule="exact"/>
        <w:ind w:firstLine="420"/>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嘉兴市秀洲区人民检察院</w:t>
      </w:r>
    </w:p>
    <w:p w14:paraId="621DC4CC">
      <w:pPr>
        <w:spacing w:line="360" w:lineRule="auto"/>
        <w:ind w:firstLine="411" w:firstLineChars="196"/>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eastAsia="zh-CN"/>
        </w:rPr>
        <w:t>项目联系人：朱芳黎</w:t>
      </w:r>
      <w:r>
        <w:rPr>
          <w:rFonts w:hint="eastAsia" w:ascii="微软雅黑" w:hAnsi="微软雅黑" w:eastAsia="微软雅黑"/>
          <w:color w:val="auto"/>
          <w:szCs w:val="21"/>
          <w:highlight w:val="none"/>
          <w:lang w:val="en-US" w:eastAsia="zh-CN"/>
        </w:rPr>
        <w:t xml:space="preserve">   </w:t>
      </w:r>
      <w:r>
        <w:rPr>
          <w:rFonts w:hint="eastAsia"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lang w:val="en-US" w:eastAsia="zh-CN"/>
        </w:rPr>
        <w:t xml:space="preserve"> </w:t>
      </w:r>
      <w:r>
        <w:rPr>
          <w:rFonts w:hint="eastAsia" w:ascii="微软雅黑" w:hAnsi="微软雅黑" w:eastAsia="微软雅黑"/>
          <w:color w:val="auto"/>
          <w:szCs w:val="21"/>
          <w:highlight w:val="none"/>
        </w:rPr>
        <w:t>联系电话：0573-82718024</w:t>
      </w:r>
      <w:r>
        <w:rPr>
          <w:rFonts w:hint="eastAsia" w:ascii="微软雅黑" w:hAnsi="微软雅黑" w:eastAsia="微软雅黑"/>
          <w:color w:val="auto"/>
          <w:szCs w:val="21"/>
          <w:highlight w:val="none"/>
          <w:lang w:val="en-US" w:eastAsia="zh-CN"/>
        </w:rPr>
        <w:t xml:space="preserve">  </w:t>
      </w:r>
    </w:p>
    <w:p w14:paraId="7E34A7A4">
      <w:pPr>
        <w:snapToGrid w:val="0"/>
        <w:spacing w:line="460" w:lineRule="exact"/>
        <w:ind w:firstLine="420"/>
        <w:rPr>
          <w:rFonts w:hint="eastAsia" w:ascii="微软雅黑" w:hAnsi="微软雅黑" w:eastAsia="微软雅黑" w:cs="Arial"/>
          <w:bCs/>
          <w:color w:val="auto"/>
          <w:szCs w:val="21"/>
          <w:highlight w:val="none"/>
        </w:rPr>
      </w:pPr>
      <w:r>
        <w:rPr>
          <w:rFonts w:hint="eastAsia" w:ascii="微软雅黑" w:hAnsi="微软雅黑" w:eastAsia="微软雅黑" w:cs="Arial"/>
          <w:bCs/>
          <w:color w:val="auto"/>
          <w:szCs w:val="21"/>
          <w:highlight w:val="none"/>
        </w:rPr>
        <w:t xml:space="preserve">嘉兴市千秋工程咨询有限公司  </w:t>
      </w:r>
    </w:p>
    <w:p w14:paraId="1DDE4DED">
      <w:pPr>
        <w:snapToGrid w:val="0"/>
        <w:spacing w:line="460" w:lineRule="exact"/>
        <w:ind w:firstLine="420"/>
        <w:rPr>
          <w:rFonts w:hint="default"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rPr>
        <w:t xml:space="preserve">联系人：章莉莉  </w:t>
      </w:r>
      <w:r>
        <w:rPr>
          <w:rFonts w:hint="eastAsia" w:ascii="微软雅黑" w:hAnsi="微软雅黑" w:eastAsia="微软雅黑" w:cs="Arial"/>
          <w:color w:val="auto"/>
          <w:szCs w:val="21"/>
          <w:highlight w:val="none"/>
          <w:lang w:val="en-US" w:eastAsia="zh-CN"/>
        </w:rPr>
        <w:t xml:space="preserve"> 李建良</w:t>
      </w:r>
    </w:p>
    <w:p w14:paraId="71D57D78">
      <w:pPr>
        <w:snapToGrid w:val="0"/>
        <w:spacing w:line="460" w:lineRule="exact"/>
        <w:ind w:firstLine="42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联系电话：0573- 83705015   13605735186</w:t>
      </w:r>
    </w:p>
    <w:p w14:paraId="630FAF83">
      <w:pPr>
        <w:snapToGrid w:val="0"/>
        <w:spacing w:line="460" w:lineRule="exact"/>
        <w:ind w:left="238"/>
        <w:jc w:val="right"/>
        <w:rPr>
          <w:rFonts w:hint="eastAsia" w:ascii="微软雅黑" w:hAnsi="微软雅黑" w:eastAsia="微软雅黑" w:cs="Arial"/>
          <w:color w:val="auto"/>
          <w:szCs w:val="21"/>
          <w:highlight w:val="none"/>
        </w:rPr>
      </w:pPr>
    </w:p>
    <w:p w14:paraId="10544A1F">
      <w:pPr>
        <w:snapToGrid w:val="0"/>
        <w:spacing w:line="460" w:lineRule="exact"/>
        <w:ind w:left="238"/>
        <w:jc w:val="right"/>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嘉兴市秀洲区人民检察院</w:t>
      </w:r>
    </w:p>
    <w:p w14:paraId="5044B94F">
      <w:pPr>
        <w:snapToGrid w:val="0"/>
        <w:spacing w:line="460" w:lineRule="exact"/>
        <w:ind w:left="238"/>
        <w:jc w:val="right"/>
        <w:rPr>
          <w:rFonts w:hint="eastAsia" w:ascii="微软雅黑" w:hAnsi="微软雅黑" w:eastAsia="微软雅黑"/>
          <w:color w:val="auto"/>
          <w:szCs w:val="21"/>
          <w:highlight w:val="none"/>
        </w:rPr>
      </w:pPr>
      <w:r>
        <w:rPr>
          <w:rFonts w:hint="eastAsia" w:ascii="微软雅黑" w:hAnsi="微软雅黑" w:eastAsia="微软雅黑" w:cs="Arial"/>
          <w:bCs/>
          <w:color w:val="auto"/>
          <w:szCs w:val="21"/>
          <w:highlight w:val="none"/>
        </w:rPr>
        <w:t>嘉兴市千秋工程咨询有限公司</w:t>
      </w:r>
    </w:p>
    <w:p w14:paraId="2CA14009">
      <w:pPr>
        <w:wordWrap w:val="0"/>
        <w:spacing w:line="46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11</w:t>
      </w:r>
      <w:bookmarkStart w:id="130" w:name="_GoBack"/>
      <w:bookmarkEnd w:id="130"/>
      <w:r>
        <w:rPr>
          <w:rFonts w:hint="eastAsia" w:ascii="微软雅黑" w:hAnsi="微软雅黑" w:eastAsia="微软雅黑"/>
          <w:color w:val="auto"/>
          <w:szCs w:val="21"/>
          <w:highlight w:val="none"/>
        </w:rPr>
        <w:t>日</w:t>
      </w:r>
    </w:p>
    <w:p w14:paraId="0E8BC058">
      <w:pPr>
        <w:pStyle w:val="36"/>
        <w:numPr>
          <w:ilvl w:val="0"/>
          <w:numId w:val="3"/>
        </w:numPr>
        <w:rPr>
          <w:color w:val="auto"/>
          <w:highlight w:val="none"/>
        </w:rPr>
        <w:sectPr>
          <w:headerReference r:id="rId8" w:type="first"/>
          <w:footerReference r:id="rId9" w:type="first"/>
          <w:pgSz w:w="11907" w:h="16840"/>
          <w:pgMar w:top="1440" w:right="1797" w:bottom="1440" w:left="1797" w:header="851" w:footer="851" w:gutter="0"/>
          <w:pgNumType w:start="1"/>
          <w:cols w:space="425" w:num="1"/>
          <w:titlePg/>
          <w:docGrid w:type="lines" w:linePitch="312" w:charSpace="0"/>
        </w:sectPr>
      </w:pPr>
    </w:p>
    <w:p w14:paraId="289883D2">
      <w:pPr>
        <w:pStyle w:val="36"/>
        <w:numPr>
          <w:ilvl w:val="0"/>
          <w:numId w:val="3"/>
        </w:numPr>
        <w:rPr>
          <w:color w:val="auto"/>
          <w:highlight w:val="none"/>
        </w:rPr>
      </w:pPr>
      <w:bookmarkStart w:id="17" w:name="_Toc98019233"/>
      <w:r>
        <w:rPr>
          <w:rFonts w:hint="eastAsia"/>
          <w:color w:val="auto"/>
          <w:highlight w:val="none"/>
        </w:rPr>
        <w:t>招标需求</w:t>
      </w:r>
      <w:bookmarkEnd w:id="6"/>
      <w:bookmarkEnd w:id="7"/>
      <w:bookmarkEnd w:id="17"/>
    </w:p>
    <w:p w14:paraId="5283128A">
      <w:pPr>
        <w:spacing w:line="276" w:lineRule="auto"/>
        <w:ind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根据相关法律法规和为落实《嘉兴市秀洲区人民政府办公室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color w:val="auto"/>
          <w:szCs w:val="21"/>
          <w:highlight w:val="none"/>
        </w:rPr>
        <w:t>通过公开招标择优选择确定</w:t>
      </w:r>
      <w:r>
        <w:rPr>
          <w:rFonts w:hint="eastAsia" w:ascii="微软雅黑" w:hAnsi="微软雅黑" w:eastAsia="微软雅黑" w:cs="宋体"/>
          <w:color w:val="auto"/>
          <w:szCs w:val="21"/>
          <w:highlight w:val="none"/>
        </w:rPr>
        <w:t>本项目的开户银行及公款竞争性存放。</w:t>
      </w:r>
    </w:p>
    <w:p w14:paraId="0D49126B">
      <w:pPr>
        <w:pStyle w:val="62"/>
        <w:numPr>
          <w:ilvl w:val="0"/>
          <w:numId w:val="7"/>
        </w:numPr>
        <w:tabs>
          <w:tab w:val="left" w:pos="840"/>
        </w:tabs>
        <w:spacing w:line="276" w:lineRule="auto"/>
        <w:ind w:left="0" w:leftChars="0" w:firstLine="420"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招标内容：</w:t>
      </w:r>
    </w:p>
    <w:p w14:paraId="113B4FD0">
      <w:pPr>
        <w:pStyle w:val="62"/>
        <w:spacing w:line="560" w:lineRule="exact"/>
        <w:ind w:firstLine="424" w:firstLineChars="202"/>
        <w:rPr>
          <w:rFonts w:hint="eastAsia" w:ascii="微软雅黑" w:hAnsi="微软雅黑" w:eastAsia="微软雅黑" w:cs="Tahoma"/>
          <w:color w:val="auto"/>
          <w:szCs w:val="21"/>
          <w:highlight w:val="none"/>
          <w:lang w:eastAsia="zh-CN"/>
        </w:rPr>
      </w:pPr>
      <w:r>
        <w:rPr>
          <w:rFonts w:hint="eastAsia" w:ascii="微软雅黑" w:hAnsi="微软雅黑" w:eastAsia="微软雅黑" w:cs="Tahoma"/>
          <w:color w:val="auto"/>
          <w:szCs w:val="21"/>
          <w:highlight w:val="none"/>
          <w:lang w:eastAsia="zh-CN"/>
        </w:rPr>
        <w:t>工会账户及实存资金帐户开户，中标银行：</w:t>
      </w:r>
      <w:r>
        <w:rPr>
          <w:rFonts w:hint="eastAsia" w:ascii="微软雅黑" w:hAnsi="微软雅黑" w:eastAsia="微软雅黑" w:cs="Tahoma"/>
          <w:color w:val="auto"/>
          <w:szCs w:val="21"/>
          <w:highlight w:val="none"/>
          <w:lang w:val="en-US" w:eastAsia="zh-CN"/>
        </w:rPr>
        <w:t>1家</w:t>
      </w:r>
      <w:r>
        <w:rPr>
          <w:rFonts w:hint="eastAsia" w:ascii="微软雅黑" w:hAnsi="微软雅黑" w:eastAsia="微软雅黑" w:cs="Tahoma"/>
          <w:color w:val="auto"/>
          <w:szCs w:val="21"/>
          <w:highlight w:val="none"/>
          <w:lang w:eastAsia="zh-CN"/>
        </w:rPr>
        <w:t>。</w:t>
      </w:r>
    </w:p>
    <w:p w14:paraId="1B6EB57E">
      <w:pPr>
        <w:pStyle w:val="62"/>
        <w:numPr>
          <w:ilvl w:val="0"/>
          <w:numId w:val="7"/>
        </w:numPr>
        <w:tabs>
          <w:tab w:val="left" w:pos="840"/>
        </w:tabs>
        <w:spacing w:line="276" w:lineRule="auto"/>
        <w:ind w:left="0" w:leftChars="0" w:firstLine="420"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基本要求</w:t>
      </w:r>
    </w:p>
    <w:p w14:paraId="6EB8BF3A">
      <w:pPr>
        <w:spacing w:line="276"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自开户之日起一年内账户的闲置资金根据甲方要求按银行同期基准利率和本次中标BP点折算后实施。</w:t>
      </w:r>
    </w:p>
    <w:p w14:paraId="6D5FB3C3">
      <w:pPr>
        <w:pStyle w:val="62"/>
        <w:numPr>
          <w:ilvl w:val="0"/>
          <w:numId w:val="7"/>
        </w:numPr>
        <w:tabs>
          <w:tab w:val="left" w:pos="840"/>
        </w:tabs>
        <w:spacing w:line="276" w:lineRule="auto"/>
        <w:ind w:left="0" w:leftChars="0" w:firstLine="420"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特殊情况处理</w:t>
      </w:r>
    </w:p>
    <w:p w14:paraId="0C94A2AB">
      <w:pPr>
        <w:spacing w:line="276"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中标单位出现以下情形之一的，招标人有权提前收回存款，并取消该竞标银行的竞标资格二年：</w:t>
      </w:r>
    </w:p>
    <w:p w14:paraId="5B0042BF">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1、出现资金安全事故和重大违法违规情况或财务恶化情况；</w:t>
      </w:r>
    </w:p>
    <w:p w14:paraId="6BEC8CD8">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2、监管评级降低，监管部门认为存在较大运营风险的；</w:t>
      </w:r>
    </w:p>
    <w:p w14:paraId="6D9BC5B3">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3、存在严重不正当竞标的；</w:t>
      </w:r>
    </w:p>
    <w:p w14:paraId="39E17146">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4、没有按照中标协议承诺履行相应的责任和义务的；</w:t>
      </w:r>
    </w:p>
    <w:p w14:paraId="4437AF92">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5、不能按规定将到期存款本息足额缴入单位帐户的；</w:t>
      </w:r>
    </w:p>
    <w:p w14:paraId="471899EE">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6、其它妨碍资金安全的行为的。</w:t>
      </w:r>
    </w:p>
    <w:p w14:paraId="1A25E3D8">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8" w:name="_Toc11650168"/>
      <w:bookmarkStart w:id="19" w:name="_Toc98019234"/>
      <w:bookmarkStart w:id="20" w:name="_Toc9342478"/>
    </w:p>
    <w:p w14:paraId="080628FC">
      <w:pPr>
        <w:pStyle w:val="36"/>
        <w:numPr>
          <w:ilvl w:val="0"/>
          <w:numId w:val="3"/>
        </w:numPr>
        <w:rPr>
          <w:color w:val="auto"/>
          <w:highlight w:val="none"/>
        </w:rPr>
      </w:pPr>
      <w:r>
        <w:rPr>
          <w:rFonts w:hint="eastAsia"/>
          <w:color w:val="auto"/>
          <w:highlight w:val="none"/>
        </w:rPr>
        <w:t>投标人须知</w:t>
      </w:r>
      <w:bookmarkEnd w:id="18"/>
      <w:bookmarkEnd w:id="19"/>
      <w:bookmarkEnd w:id="20"/>
    </w:p>
    <w:tbl>
      <w:tblPr>
        <w:tblStyle w:val="39"/>
        <w:tblW w:w="8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282"/>
      </w:tblGrid>
      <w:tr w14:paraId="750D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CA1423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282" w:type="dxa"/>
            <w:tcBorders>
              <w:top w:val="single" w:color="auto" w:sz="4" w:space="0"/>
              <w:left w:val="single" w:color="auto" w:sz="4" w:space="0"/>
              <w:bottom w:val="single" w:color="auto" w:sz="4" w:space="0"/>
              <w:right w:val="single" w:color="auto" w:sz="4" w:space="0"/>
            </w:tcBorders>
            <w:vAlign w:val="center"/>
          </w:tcPr>
          <w:p w14:paraId="3C1BA21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4D400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7FA1B4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282" w:type="dxa"/>
            <w:tcBorders>
              <w:top w:val="single" w:color="auto" w:sz="4" w:space="0"/>
              <w:left w:val="single" w:color="auto" w:sz="4" w:space="0"/>
              <w:bottom w:val="single" w:color="auto" w:sz="4" w:space="0"/>
              <w:right w:val="single" w:color="auto" w:sz="4" w:space="0"/>
            </w:tcBorders>
            <w:vAlign w:val="center"/>
          </w:tcPr>
          <w:p w14:paraId="03E6F54F">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嘉兴市秀洲区人民检察院资金账户招标项目</w:t>
            </w:r>
          </w:p>
        </w:tc>
      </w:tr>
      <w:tr w14:paraId="1EFD4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8E035DC">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282" w:type="dxa"/>
            <w:tcBorders>
              <w:top w:val="single" w:color="auto" w:sz="4" w:space="0"/>
              <w:left w:val="single" w:color="auto" w:sz="4" w:space="0"/>
              <w:bottom w:val="single" w:color="auto" w:sz="4" w:space="0"/>
              <w:right w:val="single" w:color="auto" w:sz="4" w:space="0"/>
            </w:tcBorders>
            <w:vAlign w:val="center"/>
          </w:tcPr>
          <w:p w14:paraId="50CF3DA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lang w:eastAsia="zh-CN"/>
              </w:rPr>
              <w:t>账户</w:t>
            </w:r>
            <w:r>
              <w:rPr>
                <w:rFonts w:hint="eastAsia" w:ascii="微软雅黑" w:hAnsi="微软雅黑" w:eastAsia="微软雅黑"/>
                <w:color w:val="auto"/>
                <w:highlight w:val="none"/>
              </w:rPr>
              <w:t>招标</w:t>
            </w:r>
            <w:r>
              <w:rPr>
                <w:rFonts w:hint="eastAsia" w:ascii="微软雅黑" w:hAnsi="微软雅黑" w:eastAsia="微软雅黑" w:cs="Arial"/>
                <w:color w:val="auto"/>
                <w:szCs w:val="21"/>
                <w:highlight w:val="none"/>
              </w:rPr>
              <w:t>。</w:t>
            </w:r>
          </w:p>
        </w:tc>
      </w:tr>
      <w:tr w14:paraId="293A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A4F9739">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282" w:type="dxa"/>
            <w:tcBorders>
              <w:top w:val="single" w:color="auto" w:sz="4" w:space="0"/>
              <w:left w:val="single" w:color="auto" w:sz="4" w:space="0"/>
              <w:bottom w:val="single" w:color="auto" w:sz="4" w:space="0"/>
              <w:right w:val="single" w:color="auto" w:sz="4" w:space="0"/>
            </w:tcBorders>
            <w:vAlign w:val="center"/>
          </w:tcPr>
          <w:p w14:paraId="42718901">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3FF6A0F4">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3ACBF229">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1657A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13BEE5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282" w:type="dxa"/>
            <w:tcBorders>
              <w:top w:val="single" w:color="auto" w:sz="4" w:space="0"/>
              <w:left w:val="single" w:color="auto" w:sz="4" w:space="0"/>
              <w:bottom w:val="single" w:color="auto" w:sz="4" w:space="0"/>
              <w:right w:val="single" w:color="auto" w:sz="4" w:space="0"/>
            </w:tcBorders>
            <w:vAlign w:val="center"/>
          </w:tcPr>
          <w:p w14:paraId="0D06390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27D34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B40BF12">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282" w:type="dxa"/>
            <w:tcBorders>
              <w:top w:val="single" w:color="auto" w:sz="4" w:space="0"/>
              <w:left w:val="single" w:color="auto" w:sz="4" w:space="0"/>
              <w:bottom w:val="single" w:color="auto" w:sz="4" w:space="0"/>
              <w:right w:val="single" w:color="auto" w:sz="4" w:space="0"/>
            </w:tcBorders>
            <w:vAlign w:val="center"/>
          </w:tcPr>
          <w:p w14:paraId="46B7B563">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答疑与澄清：投标人应认真阅读本招标文件，发现其中有误或不理解的，投标人必须在投标截止日前3天以书面形式要求采购代理机构澄清，否则，由此产生的后果由投标人负责。</w:t>
            </w:r>
          </w:p>
        </w:tc>
      </w:tr>
      <w:tr w14:paraId="5A33E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8DDE735">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282" w:type="dxa"/>
            <w:tcBorders>
              <w:top w:val="single" w:color="auto" w:sz="4" w:space="0"/>
              <w:left w:val="single" w:color="auto" w:sz="4" w:space="0"/>
              <w:bottom w:val="single" w:color="auto" w:sz="4" w:space="0"/>
              <w:right w:val="single" w:color="auto" w:sz="4" w:space="0"/>
            </w:tcBorders>
            <w:vAlign w:val="center"/>
          </w:tcPr>
          <w:p w14:paraId="0400BF69">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5C74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32D7E8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282" w:type="dxa"/>
            <w:tcBorders>
              <w:top w:val="single" w:color="auto" w:sz="4" w:space="0"/>
              <w:left w:val="single" w:color="auto" w:sz="4" w:space="0"/>
              <w:bottom w:val="single" w:color="auto" w:sz="4" w:space="0"/>
              <w:right w:val="single" w:color="auto" w:sz="4" w:space="0"/>
            </w:tcBorders>
            <w:vAlign w:val="center"/>
          </w:tcPr>
          <w:p w14:paraId="0405CB95">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将纸质投标文件装袋密封后，通过邮寄快递（或直接送达）方式邮寄（或直接送达）至嘉兴市千秋工程咨询有限公司。密封袋上接缝处需加盖投标人单位公章和法定代表人印章。（注：①邮寄或直接送达地址：嘉兴市秀洲区新平路299号中禾广场</w:t>
            </w:r>
            <w:r>
              <w:rPr>
                <w:rFonts w:hint="eastAsia" w:ascii="微软雅黑" w:hAnsi="微软雅黑" w:eastAsia="微软雅黑"/>
                <w:color w:val="auto"/>
                <w:szCs w:val="21"/>
                <w:highlight w:val="none"/>
                <w:lang w:val="en-US" w:eastAsia="zh-CN"/>
              </w:rPr>
              <w:t>17A楼（政府采购办公室）</w:t>
            </w:r>
            <w:r>
              <w:rPr>
                <w:rFonts w:hint="eastAsia" w:ascii="微软雅黑" w:hAnsi="微软雅黑" w:eastAsia="微软雅黑"/>
                <w:color w:val="auto"/>
                <w:szCs w:val="21"/>
                <w:highlight w:val="none"/>
              </w:rPr>
              <w:t>，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3BD95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910DDA3">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282" w:type="dxa"/>
            <w:tcBorders>
              <w:top w:val="single" w:color="auto" w:sz="4" w:space="0"/>
              <w:left w:val="single" w:color="auto" w:sz="4" w:space="0"/>
              <w:bottom w:val="single" w:color="auto" w:sz="4" w:space="0"/>
              <w:right w:val="single" w:color="auto" w:sz="4" w:space="0"/>
            </w:tcBorders>
            <w:vAlign w:val="center"/>
          </w:tcPr>
          <w:p w14:paraId="0046144B">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03</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30D2F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1ACD14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282" w:type="dxa"/>
            <w:tcBorders>
              <w:top w:val="single" w:color="auto" w:sz="4" w:space="0"/>
              <w:left w:val="single" w:color="auto" w:sz="4" w:space="0"/>
              <w:bottom w:val="single" w:color="auto" w:sz="4" w:space="0"/>
              <w:right w:val="single" w:color="auto" w:sz="4" w:space="0"/>
            </w:tcBorders>
            <w:vAlign w:val="center"/>
          </w:tcPr>
          <w:p w14:paraId="49536EEE">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7B8B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7666DA2">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282" w:type="dxa"/>
            <w:tcBorders>
              <w:top w:val="single" w:color="auto" w:sz="4" w:space="0"/>
              <w:left w:val="single" w:color="auto" w:sz="4" w:space="0"/>
              <w:bottom w:val="single" w:color="auto" w:sz="4" w:space="0"/>
              <w:right w:val="single" w:color="auto" w:sz="4" w:space="0"/>
            </w:tcBorders>
            <w:vAlign w:val="center"/>
          </w:tcPr>
          <w:p w14:paraId="2EF4A4F2">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投标人只允许市级银行业金融机构由其管辖行做为唯一投标人，其分支机构不能做为投标人参加投标。</w:t>
            </w:r>
          </w:p>
        </w:tc>
      </w:tr>
      <w:tr w14:paraId="1E325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33FF0C2">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282" w:type="dxa"/>
            <w:tcBorders>
              <w:top w:val="single" w:color="auto" w:sz="4" w:space="0"/>
              <w:left w:val="single" w:color="auto" w:sz="4" w:space="0"/>
              <w:bottom w:val="single" w:color="auto" w:sz="4" w:space="0"/>
              <w:right w:val="single" w:color="auto" w:sz="4" w:space="0"/>
            </w:tcBorders>
            <w:vAlign w:val="center"/>
          </w:tcPr>
          <w:p w14:paraId="35C6E477">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评标结果公告：浙江政府采购网（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w:t>
            </w:r>
            <w:r>
              <w:rPr>
                <w:rFonts w:hint="eastAsia" w:ascii="微软雅黑" w:hAnsi="微软雅黑" w:eastAsia="微软雅黑"/>
                <w:color w:val="auto"/>
                <w:szCs w:val="21"/>
                <w:highlight w:val="none"/>
                <w:lang w:val="en-US" w:eastAsia="zh-CN"/>
              </w:rPr>
              <w:t>秀易招</w:t>
            </w:r>
            <w:r>
              <w:rPr>
                <w:rFonts w:hint="eastAsia" w:ascii="微软雅黑" w:hAnsi="微软雅黑" w:eastAsia="微软雅黑"/>
                <w:color w:val="auto"/>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p>
        </w:tc>
      </w:tr>
      <w:tr w14:paraId="4D872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EB0C7C1">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282" w:type="dxa"/>
            <w:tcBorders>
              <w:top w:val="single" w:color="auto" w:sz="4" w:space="0"/>
              <w:left w:val="single" w:color="auto" w:sz="4" w:space="0"/>
              <w:bottom w:val="single" w:color="auto" w:sz="4" w:space="0"/>
              <w:right w:val="single" w:color="auto" w:sz="4" w:space="0"/>
            </w:tcBorders>
            <w:vAlign w:val="center"/>
          </w:tcPr>
          <w:p w14:paraId="0ECC497C">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0F9F0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406F53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282" w:type="dxa"/>
            <w:tcBorders>
              <w:top w:val="single" w:color="auto" w:sz="4" w:space="0"/>
              <w:left w:val="single" w:color="auto" w:sz="4" w:space="0"/>
              <w:bottom w:val="single" w:color="auto" w:sz="4" w:space="0"/>
              <w:right w:val="single" w:color="auto" w:sz="4" w:space="0"/>
            </w:tcBorders>
            <w:vAlign w:val="center"/>
          </w:tcPr>
          <w:p w14:paraId="3421E046">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w:t>
            </w:r>
            <w:r>
              <w:rPr>
                <w:rFonts w:hint="eastAsia" w:ascii="微软雅黑" w:hAnsi="微软雅黑" w:eastAsia="微软雅黑"/>
                <w:b/>
                <w:color w:val="auto"/>
                <w:szCs w:val="21"/>
                <w:highlight w:val="none"/>
              </w:rPr>
              <w:t>中标银行</w:t>
            </w:r>
            <w:r>
              <w:rPr>
                <w:rFonts w:hint="eastAsia" w:ascii="微软雅黑" w:hAnsi="微软雅黑" w:eastAsia="微软雅黑"/>
                <w:b/>
                <w:bCs/>
                <w:color w:val="auto"/>
                <w:szCs w:val="21"/>
                <w:highlight w:val="none"/>
              </w:rPr>
              <w:t>在收到中标通知书后5个工作日内完成与招标单位的手续</w:t>
            </w:r>
            <w:r>
              <w:rPr>
                <w:rFonts w:hint="eastAsia" w:ascii="微软雅黑" w:hAnsi="微软雅黑" w:eastAsia="微软雅黑"/>
                <w:color w:val="auto"/>
                <w:szCs w:val="21"/>
                <w:highlight w:val="none"/>
              </w:rPr>
              <w:t>。</w:t>
            </w:r>
          </w:p>
        </w:tc>
      </w:tr>
      <w:tr w14:paraId="0C09A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73EE11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282" w:type="dxa"/>
            <w:tcBorders>
              <w:top w:val="single" w:color="auto" w:sz="4" w:space="0"/>
              <w:left w:val="single" w:color="auto" w:sz="4" w:space="0"/>
              <w:bottom w:val="single" w:color="auto" w:sz="4" w:space="0"/>
              <w:right w:val="single" w:color="auto" w:sz="4" w:space="0"/>
            </w:tcBorders>
            <w:vAlign w:val="center"/>
          </w:tcPr>
          <w:p w14:paraId="5216ECE4">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01FDC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CC9BD9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282" w:type="dxa"/>
            <w:tcBorders>
              <w:top w:val="single" w:color="auto" w:sz="4" w:space="0"/>
              <w:left w:val="single" w:color="auto" w:sz="4" w:space="0"/>
              <w:bottom w:val="single" w:color="auto" w:sz="4" w:space="0"/>
              <w:right w:val="single" w:color="auto" w:sz="4" w:space="0"/>
            </w:tcBorders>
            <w:vAlign w:val="center"/>
          </w:tcPr>
          <w:p w14:paraId="11ABBE14">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lang w:eastAsia="zh-CN"/>
              </w:rPr>
              <w:t>嘉兴市秀洲区人民检察院</w:t>
            </w:r>
            <w:r>
              <w:rPr>
                <w:rFonts w:hint="eastAsia" w:ascii="微软雅黑" w:hAnsi="微软雅黑" w:eastAsia="微软雅黑"/>
                <w:b/>
                <w:bCs/>
                <w:color w:val="auto"/>
                <w:szCs w:val="21"/>
                <w:highlight w:val="none"/>
              </w:rPr>
              <w:t>。</w:t>
            </w:r>
          </w:p>
        </w:tc>
      </w:tr>
    </w:tbl>
    <w:p w14:paraId="2264598C">
      <w:pPr>
        <w:widowControl/>
        <w:spacing w:line="480" w:lineRule="exact"/>
        <w:ind w:firstLine="420" w:firstLineChars="200"/>
        <w:jc w:val="left"/>
        <w:rPr>
          <w:rFonts w:hint="eastAsia" w:ascii="微软雅黑" w:hAnsi="微软雅黑" w:eastAsia="微软雅黑"/>
          <w:b/>
          <w:color w:val="auto"/>
          <w:szCs w:val="21"/>
          <w:highlight w:val="none"/>
        </w:rPr>
        <w:sectPr>
          <w:pgSz w:w="11907" w:h="16840"/>
          <w:pgMar w:top="1440" w:right="1797" w:bottom="1440" w:left="1797" w:header="851" w:footer="851" w:gutter="0"/>
          <w:cols w:space="425" w:num="1"/>
          <w:titlePg/>
          <w:docGrid w:type="lines" w:linePitch="312" w:charSpace="0"/>
        </w:sectPr>
      </w:pPr>
    </w:p>
    <w:p w14:paraId="0860A5D3">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1" w:name="_Toc98019235"/>
      <w:bookmarkStart w:id="22" w:name="_Toc16633"/>
      <w:r>
        <w:rPr>
          <w:rFonts w:hint="eastAsia" w:ascii="微软雅黑" w:hAnsi="微软雅黑" w:eastAsia="微软雅黑" w:cs="微软雅黑"/>
          <w:color w:val="auto"/>
          <w:sz w:val="21"/>
          <w:szCs w:val="21"/>
          <w:highlight w:val="none"/>
        </w:rPr>
        <w:t>总  则</w:t>
      </w:r>
      <w:bookmarkEnd w:id="21"/>
      <w:bookmarkEnd w:id="22"/>
    </w:p>
    <w:p w14:paraId="27161C7B">
      <w:pPr>
        <w:pStyle w:val="3"/>
        <w:numPr>
          <w:ilvl w:val="1"/>
          <w:numId w:val="9"/>
        </w:numPr>
        <w:spacing w:before="0" w:after="0" w:line="360" w:lineRule="auto"/>
        <w:ind w:firstLine="420" w:firstLineChars="200"/>
        <w:rPr>
          <w:color w:val="auto"/>
          <w:highlight w:val="none"/>
        </w:rPr>
      </w:pPr>
      <w:bookmarkStart w:id="23" w:name="_Toc98019236"/>
      <w:bookmarkStart w:id="24" w:name="_Toc11650169"/>
      <w:bookmarkStart w:id="25" w:name="_Toc9342479"/>
      <w:r>
        <w:rPr>
          <w:rFonts w:hint="eastAsia"/>
          <w:color w:val="auto"/>
          <w:highlight w:val="none"/>
        </w:rPr>
        <w:t>适用范围</w:t>
      </w:r>
      <w:bookmarkEnd w:id="23"/>
      <w:bookmarkEnd w:id="24"/>
      <w:bookmarkEnd w:id="25"/>
    </w:p>
    <w:p w14:paraId="76BCBAE9">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嘉兴市秀洲区人民检察院资金账户招标项目</w:t>
      </w:r>
      <w:r>
        <w:rPr>
          <w:rFonts w:hint="eastAsia" w:ascii="微软雅黑" w:hAnsi="微软雅黑" w:eastAsia="微软雅黑" w:cs="Arial"/>
          <w:color w:val="auto"/>
          <w:szCs w:val="21"/>
          <w:highlight w:val="none"/>
        </w:rPr>
        <w:t>的招标、投标、评标、定标、验收、合同履约、付款等行为（法律、法规另有规定的，从其规定）。</w:t>
      </w:r>
    </w:p>
    <w:p w14:paraId="4FAEA557">
      <w:pPr>
        <w:pStyle w:val="3"/>
        <w:numPr>
          <w:ilvl w:val="1"/>
          <w:numId w:val="9"/>
        </w:numPr>
        <w:spacing w:before="0" w:after="0" w:line="360" w:lineRule="auto"/>
        <w:ind w:firstLine="420" w:firstLineChars="200"/>
        <w:rPr>
          <w:color w:val="auto"/>
          <w:highlight w:val="none"/>
        </w:rPr>
      </w:pPr>
      <w:bookmarkStart w:id="26" w:name="_Toc11650170"/>
      <w:bookmarkStart w:id="27" w:name="_Toc98019237"/>
      <w:bookmarkStart w:id="28" w:name="_Toc9342480"/>
      <w:r>
        <w:rPr>
          <w:rFonts w:hint="eastAsia"/>
          <w:color w:val="auto"/>
          <w:highlight w:val="none"/>
        </w:rPr>
        <w:t>定义</w:t>
      </w:r>
      <w:bookmarkEnd w:id="26"/>
      <w:bookmarkEnd w:id="27"/>
      <w:bookmarkEnd w:id="28"/>
    </w:p>
    <w:p w14:paraId="7D59FA4B">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377006AB">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50A636AF">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3653EB49">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3D20A37C">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7B4B3F2B">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1159FFF3">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56A4025B">
      <w:pPr>
        <w:pStyle w:val="3"/>
        <w:numPr>
          <w:ilvl w:val="1"/>
          <w:numId w:val="9"/>
        </w:numPr>
        <w:spacing w:before="0" w:after="0" w:line="360" w:lineRule="auto"/>
        <w:ind w:firstLine="420" w:firstLineChars="200"/>
        <w:rPr>
          <w:color w:val="auto"/>
          <w:highlight w:val="none"/>
        </w:rPr>
      </w:pPr>
      <w:bookmarkStart w:id="29" w:name="_Toc98019238"/>
      <w:bookmarkStart w:id="30" w:name="_Toc11650171"/>
      <w:bookmarkStart w:id="31" w:name="_Toc9342481"/>
      <w:r>
        <w:rPr>
          <w:rFonts w:hint="eastAsia"/>
          <w:color w:val="auto"/>
          <w:highlight w:val="none"/>
        </w:rPr>
        <w:t>招标方式</w:t>
      </w:r>
      <w:bookmarkEnd w:id="29"/>
      <w:bookmarkEnd w:id="30"/>
      <w:bookmarkEnd w:id="31"/>
    </w:p>
    <w:p w14:paraId="67E7FDD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5B3FF1D9">
      <w:pPr>
        <w:pStyle w:val="3"/>
        <w:numPr>
          <w:ilvl w:val="1"/>
          <w:numId w:val="9"/>
        </w:numPr>
        <w:spacing w:before="0" w:after="0" w:line="360" w:lineRule="auto"/>
        <w:ind w:firstLine="420" w:firstLineChars="200"/>
        <w:rPr>
          <w:color w:val="auto"/>
          <w:highlight w:val="none"/>
        </w:rPr>
      </w:pPr>
      <w:bookmarkStart w:id="32" w:name="_Toc9342482"/>
      <w:bookmarkStart w:id="33" w:name="_Toc11650172"/>
      <w:bookmarkStart w:id="34" w:name="_Toc98019239"/>
      <w:r>
        <w:rPr>
          <w:rFonts w:hint="eastAsia"/>
          <w:color w:val="auto"/>
          <w:highlight w:val="none"/>
        </w:rPr>
        <w:t>投标委托</w:t>
      </w:r>
      <w:bookmarkEnd w:id="32"/>
      <w:bookmarkEnd w:id="33"/>
      <w:bookmarkEnd w:id="34"/>
    </w:p>
    <w:p w14:paraId="7992884E">
      <w:pPr>
        <w:pStyle w:val="18"/>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19AD9905">
      <w:pPr>
        <w:pStyle w:val="3"/>
        <w:numPr>
          <w:ilvl w:val="1"/>
          <w:numId w:val="9"/>
        </w:numPr>
        <w:spacing w:before="0" w:after="0" w:line="360" w:lineRule="auto"/>
        <w:ind w:firstLine="420" w:firstLineChars="200"/>
        <w:rPr>
          <w:color w:val="auto"/>
          <w:highlight w:val="none"/>
        </w:rPr>
      </w:pPr>
      <w:bookmarkStart w:id="35" w:name="_Toc11650173"/>
      <w:bookmarkStart w:id="36" w:name="_Toc9342483"/>
      <w:bookmarkStart w:id="37" w:name="_Toc98019240"/>
      <w:r>
        <w:rPr>
          <w:rFonts w:hint="eastAsia"/>
          <w:color w:val="auto"/>
          <w:highlight w:val="none"/>
        </w:rPr>
        <w:t>投标费用</w:t>
      </w:r>
      <w:bookmarkEnd w:id="35"/>
      <w:bookmarkEnd w:id="36"/>
      <w:bookmarkEnd w:id="37"/>
    </w:p>
    <w:p w14:paraId="65D5D74A">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21848A6D">
      <w:pPr>
        <w:pStyle w:val="3"/>
        <w:numPr>
          <w:ilvl w:val="1"/>
          <w:numId w:val="9"/>
        </w:numPr>
        <w:spacing w:before="0" w:after="0" w:line="360" w:lineRule="auto"/>
        <w:ind w:firstLine="420" w:firstLineChars="200"/>
        <w:rPr>
          <w:color w:val="auto"/>
          <w:highlight w:val="none"/>
        </w:rPr>
      </w:pPr>
      <w:bookmarkStart w:id="38" w:name="_Toc9342484"/>
      <w:bookmarkStart w:id="39" w:name="_Toc98019241"/>
      <w:bookmarkStart w:id="40" w:name="_Toc11650174"/>
      <w:r>
        <w:rPr>
          <w:rFonts w:hint="eastAsia"/>
          <w:color w:val="auto"/>
          <w:highlight w:val="none"/>
        </w:rPr>
        <w:t>特别说明：</w:t>
      </w:r>
      <w:bookmarkEnd w:id="38"/>
      <w:bookmarkEnd w:id="39"/>
      <w:bookmarkEnd w:id="40"/>
    </w:p>
    <w:p w14:paraId="4422DBAC">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270748E2">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3FAA6FEF">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其投标无效，并依照相关规定进行相应处罚。</w:t>
      </w:r>
    </w:p>
    <w:p w14:paraId="59C56121">
      <w:pPr>
        <w:pStyle w:val="3"/>
        <w:numPr>
          <w:ilvl w:val="1"/>
          <w:numId w:val="9"/>
        </w:numPr>
        <w:spacing w:before="0" w:after="0" w:line="360" w:lineRule="auto"/>
        <w:ind w:firstLine="420" w:firstLineChars="200"/>
        <w:rPr>
          <w:color w:val="auto"/>
          <w:highlight w:val="none"/>
        </w:rPr>
      </w:pPr>
      <w:bookmarkStart w:id="41" w:name="_Toc9342485"/>
      <w:bookmarkStart w:id="42" w:name="_Toc11650175"/>
      <w:bookmarkStart w:id="43" w:name="_Toc98019242"/>
      <w:r>
        <w:rPr>
          <w:rFonts w:hint="eastAsia"/>
          <w:color w:val="auto"/>
          <w:highlight w:val="none"/>
        </w:rPr>
        <w:t>质疑和投诉</w:t>
      </w:r>
      <w:bookmarkEnd w:id="41"/>
      <w:bookmarkEnd w:id="42"/>
      <w:bookmarkEnd w:id="43"/>
    </w:p>
    <w:p w14:paraId="7445659F">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181D1428">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3D6E1C3">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4" w:name="_Toc98019243"/>
      <w:bookmarkStart w:id="45" w:name="_Toc30613"/>
      <w:bookmarkStart w:id="46" w:name="_Toc9342486"/>
      <w:bookmarkStart w:id="47" w:name="_Toc11650176"/>
      <w:r>
        <w:rPr>
          <w:rFonts w:hint="eastAsia" w:ascii="微软雅黑" w:hAnsi="微软雅黑" w:eastAsia="微软雅黑" w:cs="微软雅黑"/>
          <w:color w:val="auto"/>
          <w:sz w:val="21"/>
          <w:szCs w:val="21"/>
          <w:highlight w:val="none"/>
        </w:rPr>
        <w:t>招标文件</w:t>
      </w:r>
      <w:bookmarkEnd w:id="44"/>
      <w:bookmarkEnd w:id="45"/>
      <w:bookmarkEnd w:id="46"/>
      <w:bookmarkEnd w:id="47"/>
    </w:p>
    <w:p w14:paraId="1519DC0A">
      <w:pPr>
        <w:pStyle w:val="3"/>
        <w:numPr>
          <w:ilvl w:val="1"/>
          <w:numId w:val="9"/>
        </w:numPr>
        <w:spacing w:before="0" w:after="0" w:line="360" w:lineRule="auto"/>
        <w:ind w:firstLine="420" w:firstLineChars="200"/>
        <w:rPr>
          <w:color w:val="auto"/>
          <w:highlight w:val="none"/>
        </w:rPr>
      </w:pPr>
      <w:bookmarkStart w:id="48" w:name="_Toc98019244"/>
      <w:r>
        <w:rPr>
          <w:rFonts w:hint="eastAsia"/>
          <w:color w:val="auto"/>
          <w:highlight w:val="none"/>
        </w:rPr>
        <w:t>招标文件的构成。本招标文件由以下部份组成：</w:t>
      </w:r>
      <w:bookmarkEnd w:id="48"/>
    </w:p>
    <w:p w14:paraId="2D0FB6E4">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23D01A2C">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722DD865">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070FB4AA">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2DB58B7A">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2E7A2722">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322D9E46">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7F7E1843">
      <w:pPr>
        <w:pStyle w:val="3"/>
        <w:numPr>
          <w:ilvl w:val="1"/>
          <w:numId w:val="9"/>
        </w:numPr>
        <w:spacing w:before="0" w:after="0" w:line="360" w:lineRule="auto"/>
        <w:ind w:firstLine="420" w:firstLineChars="200"/>
        <w:rPr>
          <w:color w:val="auto"/>
          <w:highlight w:val="none"/>
        </w:rPr>
      </w:pPr>
      <w:bookmarkStart w:id="49" w:name="_Toc98019245"/>
      <w:r>
        <w:rPr>
          <w:rFonts w:hint="eastAsia"/>
          <w:color w:val="auto"/>
          <w:highlight w:val="none"/>
        </w:rPr>
        <w:t>投标人的风险</w:t>
      </w:r>
      <w:bookmarkEnd w:id="49"/>
    </w:p>
    <w:p w14:paraId="122C8047">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6643F512">
      <w:pPr>
        <w:pStyle w:val="3"/>
        <w:numPr>
          <w:ilvl w:val="1"/>
          <w:numId w:val="9"/>
        </w:numPr>
        <w:spacing w:before="0" w:after="0" w:line="360" w:lineRule="auto"/>
        <w:ind w:firstLine="420" w:firstLineChars="200"/>
        <w:rPr>
          <w:color w:val="auto"/>
          <w:highlight w:val="none"/>
        </w:rPr>
      </w:pPr>
      <w:bookmarkStart w:id="50" w:name="_Toc98019246"/>
      <w:r>
        <w:rPr>
          <w:rFonts w:hint="eastAsia"/>
          <w:color w:val="auto"/>
          <w:highlight w:val="none"/>
        </w:rPr>
        <w:t>招标文件的澄清与修改</w:t>
      </w:r>
      <w:bookmarkEnd w:id="50"/>
    </w:p>
    <w:p w14:paraId="199C0271">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1" w:name="_Toc11650177"/>
      <w:bookmarkStart w:id="52" w:name="_Toc934248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510DE19A">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3" w:name="_Toc11650178"/>
      <w:bookmarkStart w:id="54" w:name="_Toc934248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38A55AA6">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5" w:name="_Toc9342489"/>
      <w:bookmarkStart w:id="56" w:name="_Toc11650179"/>
      <w:r>
        <w:rPr>
          <w:rFonts w:hint="eastAsia" w:ascii="微软雅黑" w:hAnsi="微软雅黑" w:eastAsia="微软雅黑"/>
          <w:color w:val="auto"/>
          <w:szCs w:val="21"/>
          <w:highlight w:val="none"/>
        </w:rPr>
        <w:t>招标文件的澄清、答复、修改或补充都应该通过招标人以法定形式发布，存款单位没有通过招标人，不得擅自澄清、答复、修改或补充招标文件。</w:t>
      </w:r>
      <w:bookmarkEnd w:id="55"/>
      <w:bookmarkEnd w:id="56"/>
    </w:p>
    <w:p w14:paraId="52CDD162">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7" w:name="_Toc98019247"/>
      <w:bookmarkStart w:id="58" w:name="_Toc11650180"/>
      <w:bookmarkStart w:id="59" w:name="_Toc9342490"/>
      <w:bookmarkStart w:id="60" w:name="_Toc24216"/>
      <w:r>
        <w:rPr>
          <w:rFonts w:hint="eastAsia" w:ascii="微软雅黑" w:hAnsi="微软雅黑" w:eastAsia="微软雅黑" w:cs="微软雅黑"/>
          <w:color w:val="auto"/>
          <w:sz w:val="21"/>
          <w:szCs w:val="21"/>
          <w:highlight w:val="none"/>
        </w:rPr>
        <w:t>投标文件的编制</w:t>
      </w:r>
      <w:bookmarkEnd w:id="57"/>
      <w:bookmarkEnd w:id="58"/>
      <w:bookmarkEnd w:id="59"/>
      <w:bookmarkEnd w:id="60"/>
    </w:p>
    <w:p w14:paraId="3CA2FB44">
      <w:pPr>
        <w:pStyle w:val="3"/>
        <w:numPr>
          <w:ilvl w:val="1"/>
          <w:numId w:val="9"/>
        </w:numPr>
        <w:spacing w:before="0" w:after="0" w:line="360" w:lineRule="auto"/>
        <w:ind w:firstLine="420" w:firstLineChars="200"/>
        <w:rPr>
          <w:color w:val="auto"/>
          <w:highlight w:val="none"/>
        </w:rPr>
      </w:pPr>
      <w:bookmarkStart w:id="61" w:name="_Toc98019248"/>
      <w:bookmarkStart w:id="62" w:name="_Toc11650181"/>
      <w:bookmarkStart w:id="63" w:name="_Toc9342491"/>
      <w:r>
        <w:rPr>
          <w:rFonts w:hint="eastAsia"/>
          <w:color w:val="auto"/>
          <w:highlight w:val="none"/>
        </w:rPr>
        <w:t>投标文件的组成</w:t>
      </w:r>
      <w:bookmarkEnd w:id="61"/>
      <w:bookmarkEnd w:id="62"/>
      <w:bookmarkEnd w:id="63"/>
    </w:p>
    <w:p w14:paraId="635DF9FB">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52A1DAAF">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0BC8DEB0">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5DEBFA80">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7F093827">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06599388">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6502C87D">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147C014B">
      <w:pPr>
        <w:numPr>
          <w:ilvl w:val="0"/>
          <w:numId w:val="15"/>
        </w:numPr>
        <w:tabs>
          <w:tab w:val="left" w:pos="709"/>
        </w:tabs>
        <w:snapToGrid w:val="0"/>
        <w:spacing w:line="360" w:lineRule="auto"/>
        <w:ind w:left="0" w:firstLine="420" w:firstLineChars="200"/>
        <w:jc w:val="left"/>
        <w:rPr>
          <w:rFonts w:hint="eastAsia" w:ascii="微软雅黑" w:hAnsi="微软雅黑" w:eastAsia="微软雅黑"/>
          <w:b/>
          <w:bCs w:val="0"/>
          <w:color w:val="auto"/>
          <w:szCs w:val="21"/>
          <w:highlight w:val="none"/>
        </w:rPr>
      </w:pPr>
      <w:r>
        <w:rPr>
          <w:rFonts w:hint="eastAsia" w:ascii="微软雅黑" w:hAnsi="微软雅黑" w:eastAsia="微软雅黑"/>
          <w:b/>
          <w:bCs w:val="0"/>
          <w:color w:val="auto"/>
          <w:sz w:val="21"/>
          <w:szCs w:val="21"/>
          <w:highlight w:val="none"/>
          <w:lang w:val="en-US" w:eastAsia="zh-CN"/>
        </w:rPr>
        <w:t>各投标银行按评分内容提供证明材料及承诺</w:t>
      </w:r>
      <w:r>
        <w:rPr>
          <w:rFonts w:hint="eastAsia" w:ascii="微软雅黑" w:hAnsi="微软雅黑" w:eastAsia="微软雅黑"/>
          <w:b/>
          <w:bCs w:val="0"/>
          <w:color w:val="auto"/>
          <w:szCs w:val="21"/>
          <w:highlight w:val="none"/>
        </w:rPr>
        <w:t>（格式自拟）。</w:t>
      </w:r>
    </w:p>
    <w:p w14:paraId="719D7430">
      <w:pPr>
        <w:pStyle w:val="3"/>
        <w:numPr>
          <w:ilvl w:val="1"/>
          <w:numId w:val="9"/>
        </w:numPr>
        <w:spacing w:before="0" w:after="0" w:line="360" w:lineRule="auto"/>
        <w:ind w:firstLine="420" w:firstLineChars="200"/>
        <w:rPr>
          <w:color w:val="auto"/>
          <w:highlight w:val="none"/>
        </w:rPr>
      </w:pPr>
      <w:bookmarkStart w:id="64" w:name="_Toc98019249"/>
      <w:bookmarkStart w:id="65" w:name="_Toc11650182"/>
      <w:bookmarkStart w:id="66" w:name="_Toc9342492"/>
      <w:r>
        <w:rPr>
          <w:rFonts w:hint="eastAsia"/>
          <w:color w:val="auto"/>
          <w:highlight w:val="none"/>
        </w:rPr>
        <w:t>投标文件的语言及计量</w:t>
      </w:r>
      <w:bookmarkEnd w:id="64"/>
      <w:bookmarkEnd w:id="65"/>
      <w:bookmarkEnd w:id="66"/>
    </w:p>
    <w:p w14:paraId="56A99442">
      <w:pPr>
        <w:numPr>
          <w:ilvl w:val="0"/>
          <w:numId w:val="16"/>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6C47C5F1">
      <w:pPr>
        <w:numPr>
          <w:ilvl w:val="0"/>
          <w:numId w:val="16"/>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304808B0">
      <w:pPr>
        <w:pStyle w:val="3"/>
        <w:numPr>
          <w:ilvl w:val="1"/>
          <w:numId w:val="9"/>
        </w:numPr>
        <w:spacing w:before="0" w:after="0" w:line="360" w:lineRule="auto"/>
        <w:ind w:firstLine="420" w:firstLineChars="200"/>
        <w:rPr>
          <w:color w:val="auto"/>
          <w:highlight w:val="none"/>
        </w:rPr>
      </w:pPr>
      <w:bookmarkStart w:id="67" w:name="_Toc98019250"/>
      <w:bookmarkStart w:id="68" w:name="_Toc11650183"/>
      <w:bookmarkStart w:id="69" w:name="_Toc9342493"/>
      <w:r>
        <w:rPr>
          <w:rFonts w:hint="eastAsia"/>
          <w:color w:val="auto"/>
          <w:highlight w:val="none"/>
        </w:rPr>
        <w:t>投标报价</w:t>
      </w:r>
      <w:bookmarkEnd w:id="67"/>
      <w:bookmarkEnd w:id="68"/>
      <w:bookmarkEnd w:id="69"/>
    </w:p>
    <w:p w14:paraId="31B39264">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16D099BF">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216CD362">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629F1CF4">
      <w:pPr>
        <w:numPr>
          <w:ilvl w:val="0"/>
          <w:numId w:val="17"/>
        </w:numPr>
        <w:snapToGrid w:val="0"/>
        <w:spacing w:line="360" w:lineRule="auto"/>
        <w:ind w:left="0" w:firstLine="420" w:firstLineChars="200"/>
        <w:jc w:val="left"/>
        <w:rPr>
          <w:rFonts w:hint="eastAsia" w:ascii="微软雅黑" w:hAnsi="微软雅黑" w:eastAsia="微软雅黑"/>
          <w:bCs/>
          <w:color w:val="auto"/>
          <w:szCs w:val="21"/>
          <w:highlight w:val="none"/>
          <w:shd w:val="pct10" w:color="auto" w:fill="FFFFFF"/>
        </w:rPr>
      </w:pP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Cs/>
          <w:color w:val="auto"/>
          <w:szCs w:val="21"/>
          <w:highlight w:val="none"/>
          <w:shd w:val="pct10" w:color="auto" w:fill="FFFFFF"/>
        </w:rPr>
        <w:t>。</w:t>
      </w:r>
    </w:p>
    <w:p w14:paraId="1ED2274A">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05E17148">
      <w:pPr>
        <w:pStyle w:val="3"/>
        <w:numPr>
          <w:ilvl w:val="1"/>
          <w:numId w:val="9"/>
        </w:numPr>
        <w:spacing w:before="0" w:after="0" w:line="360" w:lineRule="auto"/>
        <w:ind w:firstLine="420" w:firstLineChars="200"/>
        <w:rPr>
          <w:color w:val="auto"/>
          <w:highlight w:val="none"/>
        </w:rPr>
      </w:pPr>
      <w:bookmarkStart w:id="70" w:name="_Toc98019251"/>
      <w:r>
        <w:rPr>
          <w:rFonts w:hint="eastAsia"/>
          <w:color w:val="auto"/>
          <w:highlight w:val="none"/>
        </w:rPr>
        <w:t>投标文件的有效期</w:t>
      </w:r>
      <w:bookmarkEnd w:id="70"/>
    </w:p>
    <w:p w14:paraId="3D8FB1AF">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14442CC4">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1" w:name="_Toc11650184"/>
      <w:bookmarkStart w:id="72" w:name="_Toc9342494"/>
      <w:r>
        <w:rPr>
          <w:rFonts w:hint="eastAsia" w:ascii="微软雅黑" w:hAnsi="微软雅黑" w:eastAsia="微软雅黑"/>
          <w:color w:val="auto"/>
          <w:szCs w:val="21"/>
          <w:highlight w:val="none"/>
        </w:rPr>
        <w:t>中标人的投标文件自开标之日起至合同履行完毕止均应保持有效。</w:t>
      </w:r>
      <w:bookmarkEnd w:id="71"/>
      <w:bookmarkEnd w:id="72"/>
    </w:p>
    <w:p w14:paraId="252F6A80">
      <w:pPr>
        <w:pStyle w:val="3"/>
        <w:numPr>
          <w:ilvl w:val="1"/>
          <w:numId w:val="9"/>
        </w:numPr>
        <w:spacing w:before="0" w:after="0" w:line="360" w:lineRule="auto"/>
        <w:ind w:firstLine="420" w:firstLineChars="200"/>
        <w:rPr>
          <w:color w:val="auto"/>
          <w:highlight w:val="none"/>
        </w:rPr>
      </w:pPr>
      <w:bookmarkStart w:id="73" w:name="_Toc98019252"/>
      <w:r>
        <w:rPr>
          <w:rFonts w:hint="eastAsia"/>
          <w:color w:val="auto"/>
          <w:highlight w:val="none"/>
        </w:rPr>
        <w:t>投标文件的签署和份数</w:t>
      </w:r>
      <w:bookmarkEnd w:id="73"/>
    </w:p>
    <w:p w14:paraId="2387F764">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1F78228D">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728C30E1">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71BA2DD2">
      <w:pPr>
        <w:pStyle w:val="3"/>
        <w:numPr>
          <w:ilvl w:val="1"/>
          <w:numId w:val="9"/>
        </w:numPr>
        <w:spacing w:before="0" w:after="0" w:line="360" w:lineRule="auto"/>
        <w:ind w:firstLine="420" w:firstLineChars="200"/>
        <w:rPr>
          <w:color w:val="auto"/>
          <w:highlight w:val="none"/>
        </w:rPr>
      </w:pPr>
      <w:bookmarkStart w:id="74" w:name="_Toc98019253"/>
      <w:r>
        <w:rPr>
          <w:rFonts w:hint="eastAsia"/>
          <w:color w:val="auto"/>
          <w:highlight w:val="none"/>
        </w:rPr>
        <w:t>投标文件的包装、递交、修改和撤回</w:t>
      </w:r>
      <w:bookmarkEnd w:id="74"/>
    </w:p>
    <w:p w14:paraId="3FA4D286">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1B257EA9">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6DBC7D73">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3D9A80C2">
      <w:pPr>
        <w:pStyle w:val="3"/>
        <w:numPr>
          <w:ilvl w:val="1"/>
          <w:numId w:val="9"/>
        </w:numPr>
        <w:spacing w:before="0" w:after="0" w:line="360" w:lineRule="auto"/>
        <w:ind w:firstLine="420" w:firstLineChars="200"/>
        <w:rPr>
          <w:color w:val="auto"/>
          <w:highlight w:val="none"/>
        </w:rPr>
      </w:pPr>
      <w:bookmarkStart w:id="75" w:name="_Toc98019254"/>
      <w:r>
        <w:rPr>
          <w:rFonts w:hint="eastAsia"/>
          <w:color w:val="auto"/>
          <w:highlight w:val="none"/>
        </w:rPr>
        <w:t>投标无效的情形</w:t>
      </w:r>
      <w:bookmarkEnd w:id="75"/>
    </w:p>
    <w:p w14:paraId="10926492">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6360A103">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5B72674E">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58A97B6A">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30482920">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1BD8C565">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532B2DD3">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6A474065">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063D9283">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0C1F3668">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069684F0">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127C2845">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1FAB5192">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703BF5E9">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1DE386CA">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1F7A1637">
      <w:pPr>
        <w:pStyle w:val="62"/>
        <w:numPr>
          <w:ilvl w:val="0"/>
          <w:numId w:val="21"/>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5A9378C5">
      <w:pPr>
        <w:pStyle w:val="62"/>
        <w:numPr>
          <w:ilvl w:val="0"/>
          <w:numId w:val="21"/>
        </w:numPr>
        <w:snapToGrid w:val="0"/>
        <w:spacing w:line="480" w:lineRule="exact"/>
        <w:ind w:left="0" w:firstLine="426"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6AC5FF08">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6" w:name="_Toc23544"/>
      <w:bookmarkStart w:id="77" w:name="_Toc98019255"/>
      <w:r>
        <w:rPr>
          <w:rFonts w:hint="eastAsia" w:ascii="微软雅黑" w:hAnsi="微软雅黑" w:eastAsia="微软雅黑" w:cs="微软雅黑"/>
          <w:color w:val="auto"/>
          <w:sz w:val="21"/>
          <w:szCs w:val="21"/>
          <w:highlight w:val="none"/>
        </w:rPr>
        <w:t>开标</w:t>
      </w:r>
      <w:bookmarkEnd w:id="76"/>
      <w:bookmarkEnd w:id="77"/>
    </w:p>
    <w:p w14:paraId="7703F304">
      <w:pPr>
        <w:pStyle w:val="3"/>
        <w:numPr>
          <w:ilvl w:val="1"/>
          <w:numId w:val="9"/>
        </w:numPr>
        <w:spacing w:before="0" w:after="0" w:line="360" w:lineRule="auto"/>
        <w:ind w:firstLine="420" w:firstLineChars="200"/>
        <w:rPr>
          <w:color w:val="auto"/>
          <w:highlight w:val="none"/>
        </w:rPr>
      </w:pPr>
      <w:bookmarkStart w:id="78" w:name="_Toc98019256"/>
      <w:r>
        <w:rPr>
          <w:rFonts w:hint="eastAsia"/>
          <w:color w:val="auto"/>
          <w:highlight w:val="none"/>
        </w:rPr>
        <w:t>本项目不要求投标人至开标现场参加开标及开启投标文件活动。招标代理机构将在规定的时间和地点进行开标。</w:t>
      </w:r>
      <w:bookmarkEnd w:id="78"/>
    </w:p>
    <w:p w14:paraId="61F84A5A">
      <w:pPr>
        <w:pStyle w:val="3"/>
        <w:numPr>
          <w:ilvl w:val="1"/>
          <w:numId w:val="9"/>
        </w:numPr>
        <w:spacing w:before="0" w:after="0" w:line="360" w:lineRule="auto"/>
        <w:ind w:firstLine="420" w:firstLineChars="200"/>
        <w:rPr>
          <w:color w:val="auto"/>
          <w:highlight w:val="none"/>
        </w:rPr>
      </w:pPr>
      <w:bookmarkStart w:id="79" w:name="_Toc98019257"/>
      <w:r>
        <w:rPr>
          <w:rFonts w:hint="eastAsia"/>
          <w:color w:val="auto"/>
          <w:highlight w:val="none"/>
        </w:rPr>
        <w:t>开标程序：</w:t>
      </w:r>
      <w:bookmarkEnd w:id="79"/>
    </w:p>
    <w:p w14:paraId="75456B9A">
      <w:pPr>
        <w:pStyle w:val="4"/>
        <w:rPr>
          <w:rFonts w:hint="eastAsia"/>
          <w:b w:val="0"/>
          <w:bCs w:val="0"/>
          <w:color w:val="auto"/>
          <w:highlight w:val="none"/>
        </w:rPr>
      </w:pPr>
      <w:bookmarkStart w:id="80" w:name="_Toc98019258"/>
      <w:r>
        <w:rPr>
          <w:rFonts w:hint="eastAsia"/>
          <w:b w:val="0"/>
          <w:bCs w:val="0"/>
          <w:color w:val="auto"/>
          <w:highlight w:val="none"/>
        </w:rPr>
        <w:t>开标会由招标代理机构主持，主持人宣布开标会议开始；</w:t>
      </w:r>
      <w:bookmarkEnd w:id="80"/>
    </w:p>
    <w:p w14:paraId="4F30974F">
      <w:pPr>
        <w:pStyle w:val="4"/>
        <w:rPr>
          <w:rFonts w:hint="eastAsia" w:ascii="微软雅黑" w:hAnsi="微软雅黑"/>
          <w:b w:val="0"/>
          <w:bCs w:val="0"/>
          <w:color w:val="auto"/>
          <w:szCs w:val="21"/>
          <w:highlight w:val="none"/>
        </w:rPr>
      </w:pPr>
      <w:bookmarkStart w:id="81" w:name="_Toc98019259"/>
      <w:r>
        <w:rPr>
          <w:rFonts w:hint="eastAsia"/>
          <w:b w:val="0"/>
          <w:bCs w:val="0"/>
          <w:color w:val="auto"/>
          <w:highlight w:val="none"/>
        </w:rPr>
        <w:t>介绍参加开标会的人员名单；</w:t>
      </w:r>
      <w:bookmarkEnd w:id="81"/>
    </w:p>
    <w:p w14:paraId="48376B3C">
      <w:pPr>
        <w:pStyle w:val="4"/>
        <w:rPr>
          <w:rFonts w:hint="eastAsia" w:ascii="微软雅黑" w:hAnsi="微软雅黑"/>
          <w:b w:val="0"/>
          <w:bCs w:val="0"/>
          <w:color w:val="auto"/>
          <w:szCs w:val="21"/>
          <w:highlight w:val="none"/>
        </w:rPr>
      </w:pPr>
      <w:bookmarkStart w:id="82"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20CF2667">
      <w:pPr>
        <w:pStyle w:val="4"/>
        <w:rPr>
          <w:rFonts w:hint="eastAsia" w:ascii="微软雅黑" w:hAnsi="微软雅黑"/>
          <w:b w:val="0"/>
          <w:bCs w:val="0"/>
          <w:color w:val="auto"/>
          <w:szCs w:val="21"/>
          <w:highlight w:val="none"/>
        </w:rPr>
      </w:pPr>
      <w:bookmarkStart w:id="83" w:name="_Toc98019261"/>
      <w:r>
        <w:rPr>
          <w:rFonts w:hint="eastAsia" w:ascii="微软雅黑" w:hAnsi="微软雅黑"/>
          <w:b w:val="0"/>
          <w:bCs w:val="0"/>
          <w:color w:val="auto"/>
          <w:szCs w:val="21"/>
          <w:highlight w:val="none"/>
        </w:rPr>
        <w:t>宣布评标期间的有关事项；</w:t>
      </w:r>
      <w:bookmarkEnd w:id="83"/>
    </w:p>
    <w:p w14:paraId="260FE22C">
      <w:pPr>
        <w:pStyle w:val="3"/>
        <w:numPr>
          <w:ilvl w:val="1"/>
          <w:numId w:val="9"/>
        </w:numPr>
        <w:spacing w:before="0" w:after="0" w:line="360" w:lineRule="auto"/>
        <w:ind w:firstLine="420" w:firstLineChars="200"/>
        <w:rPr>
          <w:color w:val="auto"/>
          <w:highlight w:val="none"/>
        </w:rPr>
      </w:pPr>
      <w:bookmarkStart w:id="84" w:name="_Toc98019262"/>
      <w:r>
        <w:rPr>
          <w:rFonts w:hint="eastAsia"/>
          <w:color w:val="auto"/>
          <w:highlight w:val="none"/>
        </w:rPr>
        <w:t>开标会议结束。</w:t>
      </w:r>
      <w:bookmarkEnd w:id="84"/>
    </w:p>
    <w:p w14:paraId="32210706">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5" w:name="_Toc98019263"/>
      <w:bookmarkStart w:id="86" w:name="_Toc5071"/>
      <w:r>
        <w:rPr>
          <w:rFonts w:hint="eastAsia" w:ascii="微软雅黑" w:hAnsi="微软雅黑" w:eastAsia="微软雅黑" w:cs="微软雅黑"/>
          <w:color w:val="auto"/>
          <w:sz w:val="21"/>
          <w:szCs w:val="21"/>
          <w:highlight w:val="none"/>
        </w:rPr>
        <w:t>评标</w:t>
      </w:r>
      <w:bookmarkEnd w:id="85"/>
      <w:bookmarkEnd w:id="86"/>
    </w:p>
    <w:p w14:paraId="34B405F5">
      <w:pPr>
        <w:pStyle w:val="3"/>
        <w:numPr>
          <w:ilvl w:val="1"/>
          <w:numId w:val="9"/>
        </w:numPr>
        <w:spacing w:before="0" w:after="0" w:line="360" w:lineRule="auto"/>
        <w:ind w:firstLine="420" w:firstLineChars="200"/>
        <w:rPr>
          <w:color w:val="auto"/>
          <w:highlight w:val="none"/>
        </w:rPr>
      </w:pPr>
      <w:bookmarkStart w:id="87" w:name="_Toc98019264"/>
      <w:r>
        <w:rPr>
          <w:rFonts w:hint="eastAsia"/>
          <w:color w:val="auto"/>
          <w:highlight w:val="none"/>
        </w:rPr>
        <w:t>评标组织</w:t>
      </w:r>
      <w:bookmarkEnd w:id="87"/>
    </w:p>
    <w:p w14:paraId="560CD1FE">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w:t>
      </w:r>
      <w:r>
        <w:rPr>
          <w:rFonts w:hint="eastAsia" w:ascii="微软雅黑" w:hAnsi="微软雅黑" w:eastAsia="微软雅黑"/>
          <w:color w:val="auto"/>
          <w:szCs w:val="21"/>
          <w:highlight w:val="none"/>
          <w:lang w:val="en-US" w:eastAsia="zh-CN"/>
        </w:rPr>
        <w:t>委员会</w:t>
      </w:r>
      <w:r>
        <w:rPr>
          <w:rFonts w:hint="eastAsia" w:ascii="微软雅黑" w:hAnsi="微软雅黑" w:eastAsia="微软雅黑"/>
          <w:color w:val="auto"/>
          <w:szCs w:val="21"/>
          <w:highlight w:val="none"/>
        </w:rPr>
        <w:t>共5人</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lang w:val="en-US" w:eastAsia="zh-CN"/>
        </w:rPr>
        <w:t>按法定</w:t>
      </w:r>
      <w:r>
        <w:rPr>
          <w:rFonts w:hint="eastAsia" w:ascii="微软雅黑" w:hAnsi="微软雅黑" w:eastAsia="微软雅黑"/>
          <w:color w:val="auto"/>
          <w:szCs w:val="21"/>
          <w:highlight w:val="none"/>
        </w:rPr>
        <w:t>组成。</w:t>
      </w:r>
    </w:p>
    <w:p w14:paraId="7FB1F77B">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0759D9A8">
      <w:pPr>
        <w:pStyle w:val="3"/>
        <w:numPr>
          <w:ilvl w:val="1"/>
          <w:numId w:val="9"/>
        </w:numPr>
        <w:spacing w:before="0" w:after="0" w:line="360" w:lineRule="auto"/>
        <w:ind w:firstLine="420" w:firstLineChars="200"/>
        <w:rPr>
          <w:color w:val="auto"/>
          <w:highlight w:val="none"/>
        </w:rPr>
      </w:pPr>
      <w:bookmarkStart w:id="88" w:name="_Toc98019265"/>
      <w:r>
        <w:rPr>
          <w:rFonts w:hint="eastAsia"/>
          <w:color w:val="auto"/>
          <w:highlight w:val="none"/>
        </w:rPr>
        <w:t>评标的方式</w:t>
      </w:r>
      <w:bookmarkEnd w:id="88"/>
    </w:p>
    <w:p w14:paraId="5E2AFE88">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4D898DD5">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13CF3D68">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本项目实行线下纸质投标叠加网上电子投标，招标系统会使本次网上电子投标成功或失败，本项目最终都以线下纸质投标文件为准。</w:t>
      </w:r>
    </w:p>
    <w:p w14:paraId="252748D7">
      <w:pPr>
        <w:snapToGrid w:val="0"/>
        <w:spacing w:line="360" w:lineRule="auto"/>
        <w:ind w:firstLine="420" w:firstLineChars="200"/>
        <w:jc w:val="left"/>
        <w:rPr>
          <w:rFonts w:hint="eastAsia" w:ascii="微软雅黑" w:hAnsi="微软雅黑" w:eastAsia="微软雅黑"/>
          <w:color w:val="auto"/>
          <w:szCs w:val="21"/>
          <w:highlight w:val="none"/>
        </w:rPr>
      </w:pPr>
    </w:p>
    <w:p w14:paraId="6B308494">
      <w:pPr>
        <w:pStyle w:val="3"/>
        <w:numPr>
          <w:ilvl w:val="1"/>
          <w:numId w:val="9"/>
        </w:numPr>
        <w:spacing w:before="0" w:after="0" w:line="360" w:lineRule="auto"/>
        <w:ind w:firstLine="420" w:firstLineChars="200"/>
        <w:rPr>
          <w:color w:val="auto"/>
          <w:highlight w:val="none"/>
        </w:rPr>
      </w:pPr>
      <w:bookmarkStart w:id="89" w:name="_Toc98019266"/>
      <w:r>
        <w:rPr>
          <w:rFonts w:hint="eastAsia"/>
          <w:color w:val="auto"/>
          <w:highlight w:val="none"/>
        </w:rPr>
        <w:t>评标程序</w:t>
      </w:r>
      <w:bookmarkEnd w:id="89"/>
    </w:p>
    <w:p w14:paraId="28D3032D">
      <w:pPr>
        <w:pStyle w:val="4"/>
        <w:rPr>
          <w:rFonts w:hint="eastAsia"/>
          <w:color w:val="auto"/>
          <w:highlight w:val="none"/>
        </w:rPr>
      </w:pPr>
      <w:bookmarkStart w:id="90" w:name="_Toc98019267"/>
      <w:r>
        <w:rPr>
          <w:rFonts w:hint="eastAsia"/>
          <w:color w:val="auto"/>
          <w:highlight w:val="none"/>
        </w:rPr>
        <w:t>形式审查</w:t>
      </w:r>
      <w:bookmarkEnd w:id="90"/>
    </w:p>
    <w:p w14:paraId="5ABD4009">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160D976D">
      <w:pPr>
        <w:pStyle w:val="4"/>
        <w:rPr>
          <w:rFonts w:hint="eastAsia"/>
          <w:color w:val="auto"/>
          <w:highlight w:val="none"/>
        </w:rPr>
      </w:pPr>
      <w:bookmarkStart w:id="91" w:name="_Toc98019268"/>
      <w:r>
        <w:rPr>
          <w:rFonts w:hint="eastAsia"/>
          <w:color w:val="auto"/>
          <w:highlight w:val="none"/>
        </w:rPr>
        <w:t>实质审查与比较</w:t>
      </w:r>
      <w:bookmarkEnd w:id="91"/>
    </w:p>
    <w:p w14:paraId="1621E2B3">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3541C760">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6CAFC1CB">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1BFB01FF">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1362C13A">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03B83FE9">
      <w:pPr>
        <w:pStyle w:val="4"/>
        <w:rPr>
          <w:rFonts w:hint="eastAsia"/>
          <w:color w:val="auto"/>
          <w:highlight w:val="none"/>
        </w:rPr>
      </w:pPr>
      <w:bookmarkStart w:id="92" w:name="_Toc98019269"/>
      <w:r>
        <w:rPr>
          <w:rFonts w:hint="eastAsia"/>
          <w:color w:val="auto"/>
          <w:highlight w:val="none"/>
        </w:rPr>
        <w:t>澄清问题的形式</w:t>
      </w:r>
      <w:bookmarkEnd w:id="92"/>
    </w:p>
    <w:p w14:paraId="74CCA8DD">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59759C8C">
      <w:pPr>
        <w:pStyle w:val="4"/>
        <w:rPr>
          <w:rFonts w:hint="eastAsia"/>
          <w:color w:val="auto"/>
          <w:highlight w:val="none"/>
        </w:rPr>
      </w:pPr>
      <w:bookmarkStart w:id="93" w:name="_Toc98019270"/>
      <w:r>
        <w:rPr>
          <w:rFonts w:hint="eastAsia"/>
          <w:color w:val="auto"/>
          <w:highlight w:val="none"/>
        </w:rPr>
        <w:t>评标过程的保密性</w:t>
      </w:r>
      <w:bookmarkEnd w:id="93"/>
    </w:p>
    <w:p w14:paraId="1D7A8503">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378DA720">
      <w:pPr>
        <w:pStyle w:val="4"/>
        <w:rPr>
          <w:rFonts w:hint="eastAsia"/>
          <w:color w:val="auto"/>
          <w:highlight w:val="none"/>
        </w:rPr>
      </w:pPr>
      <w:bookmarkStart w:id="94" w:name="_Toc98019271"/>
      <w:r>
        <w:rPr>
          <w:rFonts w:hint="eastAsia"/>
          <w:color w:val="auto"/>
          <w:highlight w:val="none"/>
        </w:rPr>
        <w:t>评标原则和评标办法</w:t>
      </w:r>
      <w:bookmarkEnd w:id="94"/>
    </w:p>
    <w:p w14:paraId="3DB64330">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46972460">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496518BF">
      <w:pPr>
        <w:pStyle w:val="4"/>
        <w:spacing w:line="240" w:lineRule="auto"/>
        <w:ind w:firstLine="420"/>
        <w:rPr>
          <w:rFonts w:hint="eastAsia" w:ascii="微软雅黑" w:hAnsi="微软雅黑" w:eastAsia="微软雅黑" w:cs="微软雅黑"/>
          <w:color w:val="auto"/>
          <w:highlight w:val="none"/>
        </w:rPr>
      </w:pPr>
      <w:bookmarkStart w:id="95" w:name="_Toc98019272"/>
      <w:r>
        <w:rPr>
          <w:rFonts w:hint="eastAsia" w:ascii="微软雅黑" w:hAnsi="微软雅黑" w:eastAsia="微软雅黑" w:cs="微软雅黑"/>
          <w:color w:val="auto"/>
          <w:highlight w:val="none"/>
        </w:rPr>
        <w:t>评标过程的监控</w:t>
      </w:r>
      <w:bookmarkEnd w:id="95"/>
    </w:p>
    <w:p w14:paraId="68E4EA0E">
      <w:pPr>
        <w:snapToGrid w:val="0"/>
        <w:spacing w:line="24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本项目评标过程实行全程录音、录像监控，投标人在评标过程中所进行的试图影响评标结果的不公正活动，可能导致其投标被拒绝。</w:t>
      </w:r>
    </w:p>
    <w:p w14:paraId="384F503F">
      <w:pPr>
        <w:pStyle w:val="2"/>
        <w:numPr>
          <w:ilvl w:val="0"/>
          <w:numId w:val="8"/>
        </w:numPr>
        <w:spacing w:before="0" w:after="0" w:line="240" w:lineRule="auto"/>
        <w:ind w:firstLine="420" w:firstLineChars="200"/>
        <w:jc w:val="center"/>
        <w:rPr>
          <w:rFonts w:hint="eastAsia" w:ascii="微软雅黑" w:hAnsi="微软雅黑" w:eastAsia="微软雅黑" w:cs="微软雅黑"/>
          <w:color w:val="auto"/>
          <w:sz w:val="21"/>
          <w:szCs w:val="21"/>
          <w:highlight w:val="none"/>
        </w:rPr>
      </w:pPr>
      <w:bookmarkStart w:id="96" w:name="_Toc18132"/>
      <w:bookmarkStart w:id="97" w:name="_Toc98019273"/>
      <w:r>
        <w:rPr>
          <w:rFonts w:hint="eastAsia" w:ascii="微软雅黑" w:hAnsi="微软雅黑" w:eastAsia="微软雅黑" w:cs="微软雅黑"/>
          <w:color w:val="auto"/>
          <w:sz w:val="21"/>
          <w:szCs w:val="21"/>
          <w:highlight w:val="none"/>
        </w:rPr>
        <w:t>定标</w:t>
      </w:r>
      <w:bookmarkEnd w:id="96"/>
      <w:bookmarkEnd w:id="97"/>
    </w:p>
    <w:p w14:paraId="1A37267C">
      <w:pPr>
        <w:pStyle w:val="3"/>
        <w:numPr>
          <w:ilvl w:val="1"/>
          <w:numId w:val="9"/>
        </w:numPr>
        <w:spacing w:before="0" w:after="0" w:line="240" w:lineRule="auto"/>
        <w:ind w:firstLine="420" w:firstLineChars="200"/>
        <w:rPr>
          <w:rFonts w:hint="eastAsia" w:ascii="微软雅黑" w:hAnsi="微软雅黑" w:eastAsia="微软雅黑" w:cs="微软雅黑"/>
          <w:color w:val="auto"/>
          <w:highlight w:val="none"/>
        </w:rPr>
      </w:pPr>
      <w:bookmarkStart w:id="98" w:name="_Toc98019274"/>
      <w:r>
        <w:rPr>
          <w:rFonts w:hint="eastAsia" w:ascii="微软雅黑" w:hAnsi="微软雅黑" w:eastAsia="微软雅黑" w:cs="微软雅黑"/>
          <w:color w:val="auto"/>
          <w:highlight w:val="none"/>
        </w:rPr>
        <w:t>确定中标人。本项目由评标委员会确定中标人。</w:t>
      </w:r>
      <w:bookmarkEnd w:id="98"/>
    </w:p>
    <w:p w14:paraId="5B79C8DC">
      <w:pPr>
        <w:snapToGrid w:val="0"/>
        <w:spacing w:line="24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1、招标代理机构在评标结束后2个工作日内将评标结果告知存款单位，同时在发布招标公告的网站上对评标结果进行公告。</w:t>
      </w:r>
    </w:p>
    <w:p w14:paraId="60BEA57C">
      <w:pPr>
        <w:snapToGrid w:val="0"/>
        <w:spacing w:line="24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2、如有投标人对评标结果提出质疑的，招标人可在质疑处理完毕后确定中标人。</w:t>
      </w:r>
    </w:p>
    <w:p w14:paraId="2C302530">
      <w:pPr>
        <w:snapToGrid w:val="0"/>
        <w:spacing w:line="24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3、公示期3个工作日，公示期后2个工作日内招标代理机构以书面形式发出《中标通知书》。</w:t>
      </w:r>
    </w:p>
    <w:p w14:paraId="2F5011EB">
      <w:pPr>
        <w:pStyle w:val="2"/>
        <w:numPr>
          <w:ilvl w:val="0"/>
          <w:numId w:val="8"/>
        </w:numPr>
        <w:spacing w:before="0" w:after="0" w:line="240" w:lineRule="auto"/>
        <w:ind w:firstLine="420" w:firstLineChars="200"/>
        <w:jc w:val="center"/>
        <w:rPr>
          <w:rFonts w:hint="eastAsia" w:ascii="微软雅黑" w:hAnsi="微软雅黑" w:eastAsia="微软雅黑" w:cs="微软雅黑"/>
          <w:color w:val="auto"/>
          <w:sz w:val="21"/>
          <w:szCs w:val="21"/>
          <w:highlight w:val="none"/>
        </w:rPr>
      </w:pPr>
      <w:bookmarkStart w:id="99" w:name="_Toc98019275"/>
      <w:bookmarkStart w:id="100" w:name="_Toc7898"/>
      <w:r>
        <w:rPr>
          <w:rFonts w:hint="eastAsia" w:ascii="微软雅黑" w:hAnsi="微软雅黑" w:eastAsia="微软雅黑" w:cs="微软雅黑"/>
          <w:color w:val="auto"/>
          <w:sz w:val="21"/>
          <w:szCs w:val="21"/>
          <w:highlight w:val="none"/>
        </w:rPr>
        <w:t>合同授予</w:t>
      </w:r>
      <w:bookmarkEnd w:id="99"/>
      <w:bookmarkEnd w:id="100"/>
    </w:p>
    <w:p w14:paraId="7DD97FC5">
      <w:pPr>
        <w:pStyle w:val="3"/>
        <w:numPr>
          <w:ilvl w:val="1"/>
          <w:numId w:val="9"/>
        </w:numPr>
        <w:spacing w:before="0" w:after="0" w:line="240" w:lineRule="auto"/>
        <w:ind w:firstLine="420" w:firstLineChars="200"/>
        <w:rPr>
          <w:rFonts w:hint="eastAsia" w:ascii="微软雅黑" w:hAnsi="微软雅黑" w:eastAsia="微软雅黑" w:cs="微软雅黑"/>
          <w:b w:val="0"/>
          <w:bCs w:val="0"/>
          <w:color w:val="auto"/>
          <w:highlight w:val="none"/>
        </w:rPr>
      </w:pPr>
      <w:bookmarkStart w:id="101" w:name="_Toc98019277"/>
      <w:r>
        <w:rPr>
          <w:rFonts w:hint="eastAsia" w:ascii="微软雅黑" w:hAnsi="微软雅黑" w:eastAsia="微软雅黑" w:cs="微软雅黑"/>
          <w:b w:val="0"/>
          <w:bCs w:val="0"/>
          <w:color w:val="auto"/>
          <w:highlight w:val="none"/>
        </w:rPr>
        <w:t>中标人拖延、拒签合同的,将被取消中标资格。</w:t>
      </w:r>
      <w:bookmarkEnd w:id="101"/>
    </w:p>
    <w:p w14:paraId="07926DDC">
      <w:pPr>
        <w:pStyle w:val="2"/>
        <w:numPr>
          <w:ilvl w:val="0"/>
          <w:numId w:val="8"/>
        </w:numPr>
        <w:spacing w:before="0" w:after="0" w:line="240" w:lineRule="auto"/>
        <w:ind w:firstLine="420" w:firstLineChars="200"/>
        <w:jc w:val="center"/>
        <w:rPr>
          <w:rFonts w:hint="eastAsia" w:ascii="微软雅黑" w:hAnsi="微软雅黑" w:eastAsia="微软雅黑" w:cs="微软雅黑"/>
          <w:color w:val="auto"/>
          <w:sz w:val="21"/>
          <w:szCs w:val="21"/>
          <w:highlight w:val="none"/>
        </w:rPr>
      </w:pPr>
      <w:bookmarkStart w:id="102" w:name="_Toc371"/>
      <w:bookmarkStart w:id="103" w:name="_Toc98019278"/>
      <w:r>
        <w:rPr>
          <w:rFonts w:hint="eastAsia" w:ascii="微软雅黑" w:hAnsi="微软雅黑" w:eastAsia="微软雅黑" w:cs="微软雅黑"/>
          <w:color w:val="auto"/>
          <w:sz w:val="21"/>
          <w:szCs w:val="21"/>
          <w:highlight w:val="none"/>
        </w:rPr>
        <w:t>招标代理服务费</w:t>
      </w:r>
      <w:bookmarkEnd w:id="102"/>
      <w:bookmarkEnd w:id="103"/>
    </w:p>
    <w:p w14:paraId="52BEAE93">
      <w:pPr>
        <w:pStyle w:val="2"/>
        <w:numPr>
          <w:ilvl w:val="0"/>
          <w:numId w:val="25"/>
        </w:numPr>
        <w:spacing w:before="0" w:after="0" w:line="240" w:lineRule="auto"/>
        <w:ind w:left="0" w:firstLine="420" w:firstLineChars="200"/>
        <w:jc w:val="center"/>
        <w:rPr>
          <w:rFonts w:hint="eastAsia" w:ascii="微软雅黑" w:hAnsi="微软雅黑" w:eastAsia="微软雅黑" w:cs="微软雅黑"/>
          <w:b w:val="0"/>
          <w:bCs w:val="0"/>
          <w:color w:val="auto"/>
          <w:kern w:val="2"/>
          <w:sz w:val="21"/>
          <w:szCs w:val="32"/>
          <w:highlight w:val="none"/>
        </w:rPr>
      </w:pPr>
      <w:bookmarkStart w:id="104" w:name="_Toc98019279"/>
      <w:bookmarkStart w:id="105" w:name="_Toc8149"/>
      <w:r>
        <w:rPr>
          <w:rFonts w:hint="eastAsia" w:ascii="微软雅黑" w:hAnsi="微软雅黑" w:eastAsia="微软雅黑" w:cs="微软雅黑"/>
          <w:b w:val="0"/>
          <w:bCs w:val="0"/>
          <w:color w:val="auto"/>
          <w:kern w:val="2"/>
          <w:sz w:val="21"/>
          <w:szCs w:val="32"/>
          <w:highlight w:val="none"/>
        </w:rPr>
        <w:t>根据“国家发展和改革委员会办公厅《关于招标代理服务收费有关问题的通知》（发改办价格【2003】857号）”规定，招标代理机构向中标人收取招标代理服务费。</w:t>
      </w:r>
      <w:bookmarkEnd w:id="104"/>
      <w:bookmarkEnd w:id="105"/>
    </w:p>
    <w:p w14:paraId="264684B9">
      <w:pPr>
        <w:pStyle w:val="2"/>
        <w:numPr>
          <w:ilvl w:val="0"/>
          <w:numId w:val="25"/>
        </w:numPr>
        <w:spacing w:before="0" w:after="0" w:line="240" w:lineRule="auto"/>
        <w:ind w:left="0" w:firstLine="420" w:firstLineChars="200"/>
        <w:jc w:val="left"/>
        <w:rPr>
          <w:rFonts w:hint="eastAsia" w:ascii="微软雅黑" w:hAnsi="微软雅黑" w:eastAsia="微软雅黑" w:cs="微软雅黑"/>
          <w:b w:val="0"/>
          <w:bCs w:val="0"/>
          <w:color w:val="auto"/>
          <w:kern w:val="2"/>
          <w:sz w:val="21"/>
          <w:szCs w:val="32"/>
          <w:highlight w:val="none"/>
          <w:lang w:val="zh-CN"/>
        </w:rPr>
      </w:pPr>
      <w:bookmarkStart w:id="106" w:name="_Toc8091"/>
      <w:bookmarkStart w:id="107" w:name="_Toc98019280"/>
      <w:r>
        <w:rPr>
          <w:rFonts w:hint="eastAsia" w:ascii="微软雅黑" w:hAnsi="微软雅黑" w:eastAsia="微软雅黑" w:cs="微软雅黑"/>
          <w:b w:val="0"/>
          <w:bCs w:val="0"/>
          <w:color w:val="auto"/>
          <w:kern w:val="2"/>
          <w:sz w:val="21"/>
          <w:szCs w:val="32"/>
          <w:highlight w:val="none"/>
        </w:rPr>
        <w:t>中标人应在收取《中标通知书》时向采购代理机构交纳招标代理服务费，服务费的收费标准（按</w:t>
      </w:r>
      <w:r>
        <w:rPr>
          <w:rFonts w:hint="eastAsia" w:ascii="微软雅黑" w:hAnsi="微软雅黑" w:eastAsia="微软雅黑" w:cs="微软雅黑"/>
          <w:b w:val="0"/>
          <w:bCs w:val="0"/>
          <w:color w:val="auto"/>
          <w:kern w:val="2"/>
          <w:sz w:val="21"/>
          <w:szCs w:val="32"/>
          <w:highlight w:val="none"/>
          <w:lang w:val="en-US" w:eastAsia="zh-CN"/>
        </w:rPr>
        <w:t>5</w:t>
      </w:r>
      <w:r>
        <w:rPr>
          <w:rFonts w:hint="eastAsia" w:ascii="微软雅黑" w:hAnsi="微软雅黑" w:eastAsia="微软雅黑" w:cs="微软雅黑"/>
          <w:b w:val="0"/>
          <w:bCs w:val="0"/>
          <w:color w:val="auto"/>
          <w:kern w:val="2"/>
          <w:sz w:val="21"/>
          <w:szCs w:val="32"/>
          <w:highlight w:val="none"/>
        </w:rPr>
        <w:t>000元收取）。</w:t>
      </w:r>
      <w:bookmarkEnd w:id="106"/>
      <w:bookmarkEnd w:id="107"/>
    </w:p>
    <w:p w14:paraId="1E99B95C">
      <w:pPr>
        <w:pStyle w:val="2"/>
        <w:numPr>
          <w:ilvl w:val="0"/>
          <w:numId w:val="25"/>
        </w:numPr>
        <w:spacing w:before="0" w:after="0" w:line="240" w:lineRule="auto"/>
        <w:ind w:left="0" w:firstLine="420" w:firstLineChars="200"/>
        <w:jc w:val="left"/>
        <w:rPr>
          <w:rFonts w:hint="eastAsia" w:ascii="微软雅黑" w:hAnsi="微软雅黑" w:eastAsia="微软雅黑" w:cs="微软雅黑"/>
          <w:b w:val="0"/>
          <w:bCs w:val="0"/>
          <w:color w:val="auto"/>
          <w:kern w:val="2"/>
          <w:sz w:val="21"/>
          <w:szCs w:val="32"/>
          <w:highlight w:val="none"/>
        </w:rPr>
      </w:pPr>
      <w:bookmarkStart w:id="108" w:name="_Toc98019281"/>
      <w:bookmarkStart w:id="109" w:name="_Toc18235"/>
      <w:r>
        <w:rPr>
          <w:rFonts w:hint="eastAsia" w:ascii="微软雅黑" w:hAnsi="微软雅黑" w:eastAsia="微软雅黑" w:cs="微软雅黑"/>
          <w:b w:val="0"/>
          <w:bCs w:val="0"/>
          <w:color w:val="auto"/>
          <w:kern w:val="2"/>
          <w:sz w:val="21"/>
          <w:szCs w:val="32"/>
          <w:highlight w:val="none"/>
        </w:rPr>
        <w:t>服务费的货币为人民币。</w:t>
      </w:r>
      <w:bookmarkEnd w:id="108"/>
      <w:bookmarkEnd w:id="109"/>
    </w:p>
    <w:p w14:paraId="72CF56A3">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0" w:name="_Toc29813"/>
      <w:bookmarkStart w:id="111" w:name="_Toc98019282"/>
      <w:r>
        <w:rPr>
          <w:rFonts w:hint="eastAsia" w:ascii="Arial" w:hAnsi="Arial" w:eastAsia="微软雅黑"/>
          <w:b w:val="0"/>
          <w:bCs w:val="0"/>
          <w:color w:val="auto"/>
          <w:kern w:val="2"/>
          <w:sz w:val="21"/>
          <w:szCs w:val="32"/>
          <w:highlight w:val="none"/>
        </w:rPr>
        <w:t>服务费支付方式：一次性以银行划账、电汇、汇票或支票的形式支付。</w:t>
      </w:r>
      <w:bookmarkEnd w:id="110"/>
      <w:bookmarkEnd w:id="111"/>
    </w:p>
    <w:p w14:paraId="37360584">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2" w:name="_Toc98019283"/>
      <w:bookmarkStart w:id="113" w:name="_Toc30115"/>
      <w:r>
        <w:rPr>
          <w:rFonts w:hint="eastAsia" w:ascii="Arial" w:hAnsi="Arial" w:eastAsia="微软雅黑"/>
          <w:b w:val="0"/>
          <w:bCs w:val="0"/>
          <w:color w:val="auto"/>
          <w:kern w:val="2"/>
          <w:sz w:val="21"/>
          <w:szCs w:val="32"/>
          <w:highlight w:val="none"/>
        </w:rPr>
        <w:t>服务费以银行划账方式按下列要求提交：</w:t>
      </w:r>
      <w:bookmarkEnd w:id="112"/>
      <w:bookmarkEnd w:id="113"/>
    </w:p>
    <w:p w14:paraId="38A0595A">
      <w:pPr>
        <w:snapToGrid w:val="0"/>
        <w:spacing w:line="480" w:lineRule="exact"/>
        <w:ind w:left="420" w:leftChars="200"/>
        <w:rPr>
          <w:rFonts w:hint="eastAsia" w:ascii="微软雅黑" w:hAnsi="微软雅黑" w:eastAsia="微软雅黑"/>
          <w:b/>
          <w:color w:val="auto"/>
          <w:szCs w:val="21"/>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b/>
          <w:color w:val="auto"/>
          <w:szCs w:val="21"/>
          <w:highlight w:val="none"/>
        </w:rPr>
        <w:t>嘉兴市千秋工程咨询有限公司</w:t>
      </w:r>
    </w:p>
    <w:p w14:paraId="4C5CCD84">
      <w:pPr>
        <w:widowControl/>
        <w:tabs>
          <w:tab w:val="left" w:pos="848"/>
        </w:tabs>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户名：</w:t>
      </w:r>
      <w:r>
        <w:rPr>
          <w:rFonts w:hint="eastAsia" w:ascii="微软雅黑" w:hAnsi="微软雅黑" w:eastAsia="微软雅黑" w:cs="宋体"/>
          <w:bCs/>
          <w:color w:val="auto"/>
          <w:szCs w:val="21"/>
          <w:highlight w:val="none"/>
        </w:rPr>
        <w:t>嘉兴市千秋工程咨询有限公司</w:t>
      </w:r>
    </w:p>
    <w:p w14:paraId="0994F1B7">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r>
        <w:rPr>
          <w:rFonts w:hint="eastAsia" w:ascii="微软雅黑" w:hAnsi="微软雅黑" w:eastAsia="微软雅黑"/>
          <w:b/>
          <w:color w:val="auto"/>
          <w:szCs w:val="21"/>
          <w:highlight w:val="none"/>
        </w:rPr>
        <w:t>交通银行嘉兴分行</w:t>
      </w:r>
    </w:p>
    <w:p w14:paraId="427433B6">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r>
        <w:rPr>
          <w:rFonts w:hint="eastAsia" w:ascii="微软雅黑" w:hAnsi="微软雅黑" w:eastAsia="微软雅黑"/>
          <w:b/>
          <w:color w:val="auto"/>
          <w:szCs w:val="21"/>
          <w:highlight w:val="none"/>
        </w:rPr>
        <w:t>334601000018170160050</w:t>
      </w:r>
    </w:p>
    <w:p w14:paraId="2FF61AD9">
      <w:pPr>
        <w:pStyle w:val="2"/>
        <w:numPr>
          <w:ilvl w:val="0"/>
          <w:numId w:val="25"/>
        </w:numPr>
        <w:spacing w:before="0" w:after="0" w:line="360" w:lineRule="auto"/>
        <w:ind w:left="0" w:firstLine="420" w:firstLineChars="200"/>
        <w:jc w:val="left"/>
        <w:rPr>
          <w:rFonts w:hint="eastAsia" w:ascii="Arial" w:hAnsi="Arial" w:eastAsia="微软雅黑"/>
          <w:b w:val="0"/>
          <w:bCs w:val="0"/>
          <w:color w:val="auto"/>
          <w:kern w:val="2"/>
          <w:sz w:val="21"/>
          <w:szCs w:val="32"/>
          <w:highlight w:val="none"/>
        </w:rPr>
      </w:pPr>
      <w:bookmarkStart w:id="114" w:name="_Toc15919"/>
      <w:bookmarkStart w:id="115" w:name="_Toc98019285"/>
      <w:r>
        <w:rPr>
          <w:rFonts w:hint="eastAsia" w:ascii="Arial" w:hAnsi="Arial" w:eastAsia="微软雅黑"/>
          <w:b w:val="0"/>
          <w:bCs w:val="0"/>
          <w:color w:val="auto"/>
          <w:kern w:val="2"/>
          <w:sz w:val="21"/>
          <w:szCs w:val="32"/>
          <w:highlight w:val="none"/>
        </w:rPr>
        <w:t>服务费不在投标报价中单列。</w:t>
      </w:r>
      <w:bookmarkEnd w:id="114"/>
      <w:bookmarkEnd w:id="115"/>
    </w:p>
    <w:p w14:paraId="063B27AA">
      <w:pPr>
        <w:pStyle w:val="2"/>
        <w:numPr>
          <w:ilvl w:val="0"/>
          <w:numId w:val="25"/>
        </w:numPr>
        <w:spacing w:before="0" w:after="0" w:line="360" w:lineRule="auto"/>
        <w:ind w:left="0" w:firstLine="420" w:firstLineChars="200"/>
        <w:jc w:val="left"/>
        <w:rPr>
          <w:rFonts w:hint="eastAsia" w:ascii="Arial" w:hAnsi="Arial" w:eastAsia="微软雅黑"/>
          <w:b w:val="0"/>
          <w:bCs w:val="0"/>
          <w:color w:val="auto"/>
          <w:kern w:val="2"/>
          <w:sz w:val="21"/>
          <w:szCs w:val="32"/>
          <w:highlight w:val="none"/>
        </w:rPr>
        <w:sectPr>
          <w:pgSz w:w="11907" w:h="16840"/>
          <w:pgMar w:top="1440" w:right="1797" w:bottom="1440" w:left="1797" w:header="851" w:footer="851" w:gutter="0"/>
          <w:cols w:space="425" w:num="1"/>
          <w:titlePg/>
          <w:docGrid w:type="lines" w:linePitch="312" w:charSpace="0"/>
        </w:sectPr>
      </w:pPr>
      <w:bookmarkStart w:id="116" w:name="_Toc11650185"/>
      <w:bookmarkStart w:id="117" w:name="_Toc9342495"/>
    </w:p>
    <w:p w14:paraId="307918CE">
      <w:pPr>
        <w:pStyle w:val="36"/>
        <w:numPr>
          <w:ilvl w:val="0"/>
          <w:numId w:val="3"/>
        </w:numPr>
        <w:rPr>
          <w:color w:val="auto"/>
          <w:highlight w:val="none"/>
        </w:rPr>
      </w:pPr>
      <w:bookmarkStart w:id="118" w:name="_Toc98019286"/>
      <w:r>
        <w:rPr>
          <w:rFonts w:hint="eastAsia"/>
          <w:color w:val="auto"/>
          <w:highlight w:val="none"/>
        </w:rPr>
        <w:t>评标办法及评分标准</w:t>
      </w:r>
      <w:bookmarkEnd w:id="116"/>
      <w:bookmarkEnd w:id="117"/>
      <w:bookmarkEnd w:id="118"/>
    </w:p>
    <w:p w14:paraId="4E4DD1FD">
      <w:pPr>
        <w:pStyle w:val="4"/>
        <w:numPr>
          <w:ilvl w:val="0"/>
          <w:numId w:val="26"/>
        </w:numPr>
        <w:ind w:left="6"/>
        <w:rPr>
          <w:rFonts w:hint="eastAsia"/>
          <w:color w:val="auto"/>
          <w:highlight w:val="none"/>
        </w:rPr>
      </w:pPr>
      <w:bookmarkStart w:id="119" w:name="_Toc98019287"/>
      <w:bookmarkStart w:id="120" w:name="_Toc9342496"/>
      <w:bookmarkStart w:id="121" w:name="_Toc11650186"/>
      <w:r>
        <w:rPr>
          <w:rFonts w:hint="eastAsia"/>
          <w:color w:val="auto"/>
          <w:highlight w:val="none"/>
        </w:rPr>
        <w:t>总则</w:t>
      </w:r>
      <w:bookmarkEnd w:id="119"/>
    </w:p>
    <w:p w14:paraId="57D50EB6">
      <w:pPr>
        <w:pStyle w:val="62"/>
        <w:snapToGrid w:val="0"/>
        <w:spacing w:line="360" w:lineRule="auto"/>
        <w:ind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s="宋体"/>
          <w:color w:val="auto"/>
          <w:szCs w:val="21"/>
          <w:highlight w:val="none"/>
        </w:rPr>
        <w:t>根据相关法律法规和为落实《嘉兴市秀洲区人民政府办公室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color w:val="auto"/>
          <w:szCs w:val="21"/>
          <w:highlight w:val="none"/>
        </w:rPr>
        <w:t>制定本评分指标与评分规则。</w:t>
      </w:r>
    </w:p>
    <w:p w14:paraId="47B2B700">
      <w:pPr>
        <w:pStyle w:val="4"/>
        <w:numPr>
          <w:ilvl w:val="0"/>
          <w:numId w:val="26"/>
        </w:numPr>
        <w:ind w:left="425" w:hanging="425"/>
        <w:rPr>
          <w:rFonts w:hint="eastAsia"/>
          <w:color w:val="auto"/>
          <w:highlight w:val="none"/>
        </w:rPr>
      </w:pPr>
      <w:bookmarkStart w:id="122" w:name="_Toc98019288"/>
      <w:bookmarkStart w:id="123" w:name="_Toc170792813"/>
      <w:r>
        <w:rPr>
          <w:rFonts w:hint="eastAsia"/>
          <w:color w:val="auto"/>
          <w:highlight w:val="none"/>
        </w:rPr>
        <w:t>评分内容和标准</w:t>
      </w:r>
      <w:bookmarkEnd w:id="122"/>
    </w:p>
    <w:p w14:paraId="74FC9EC4">
      <w:pPr>
        <w:pStyle w:val="5"/>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w:t>
      </w:r>
      <w:r>
        <w:rPr>
          <w:rFonts w:hint="eastAsia" w:ascii="微软雅黑" w:hAnsi="微软雅黑" w:eastAsia="微软雅黑" w:cs="仿宋_GB2312"/>
          <w:color w:val="auto"/>
          <w:szCs w:val="21"/>
          <w:highlight w:val="none"/>
        </w:rPr>
        <w:t>评分指标由经营状况指标、服务水平组成。银行经营状况</w:t>
      </w:r>
      <w:r>
        <w:rPr>
          <w:rFonts w:hint="eastAsia" w:ascii="微软雅黑" w:hAnsi="微软雅黑" w:eastAsia="微软雅黑" w:cs="仿宋_GB2312"/>
          <w:color w:val="auto"/>
          <w:szCs w:val="21"/>
          <w:highlight w:val="none"/>
          <w:lang w:eastAsia="zh-CN"/>
        </w:rPr>
        <w:t>总</w:t>
      </w:r>
      <w:r>
        <w:rPr>
          <w:rFonts w:hint="eastAsia" w:ascii="微软雅黑" w:hAnsi="微软雅黑" w:eastAsia="微软雅黑" w:cs="仿宋_GB2312"/>
          <w:color w:val="auto"/>
          <w:szCs w:val="21"/>
          <w:highlight w:val="none"/>
        </w:rPr>
        <w:t>分</w:t>
      </w:r>
      <w:r>
        <w:rPr>
          <w:rFonts w:hint="eastAsia" w:ascii="微软雅黑" w:hAnsi="微软雅黑" w:eastAsia="微软雅黑" w:cs="仿宋_GB2312"/>
          <w:color w:val="auto"/>
          <w:szCs w:val="21"/>
          <w:highlight w:val="none"/>
          <w:lang w:val="en-US" w:eastAsia="zh-CN"/>
        </w:rPr>
        <w:t>4</w:t>
      </w:r>
      <w:r>
        <w:rPr>
          <w:rFonts w:hint="eastAsia" w:ascii="微软雅黑" w:hAnsi="微软雅黑" w:eastAsia="微软雅黑" w:cs="仿宋_GB2312"/>
          <w:color w:val="auto"/>
          <w:szCs w:val="21"/>
          <w:highlight w:val="none"/>
        </w:rPr>
        <w:t>0分、服务水平</w:t>
      </w:r>
      <w:r>
        <w:rPr>
          <w:rFonts w:hint="eastAsia" w:ascii="微软雅黑" w:hAnsi="微软雅黑" w:eastAsia="微软雅黑" w:cs="仿宋_GB2312"/>
          <w:color w:val="auto"/>
          <w:szCs w:val="21"/>
          <w:highlight w:val="none"/>
          <w:lang w:eastAsia="zh-CN"/>
        </w:rPr>
        <w:t>总分</w:t>
      </w:r>
      <w:r>
        <w:rPr>
          <w:rFonts w:hint="eastAsia" w:ascii="微软雅黑" w:hAnsi="微软雅黑" w:eastAsia="微软雅黑" w:cs="仿宋_GB2312"/>
          <w:color w:val="auto"/>
          <w:szCs w:val="21"/>
          <w:highlight w:val="none"/>
        </w:rPr>
        <w:t>1</w:t>
      </w:r>
      <w:r>
        <w:rPr>
          <w:rFonts w:ascii="微软雅黑" w:hAnsi="微软雅黑" w:eastAsia="微软雅黑" w:cs="仿宋_GB2312"/>
          <w:color w:val="auto"/>
          <w:szCs w:val="21"/>
          <w:highlight w:val="none"/>
        </w:rPr>
        <w:t>0</w:t>
      </w:r>
      <w:r>
        <w:rPr>
          <w:rFonts w:hint="eastAsia" w:ascii="微软雅黑" w:hAnsi="微软雅黑" w:eastAsia="微软雅黑" w:cs="仿宋_GB2312"/>
          <w:color w:val="auto"/>
          <w:szCs w:val="21"/>
          <w:highlight w:val="none"/>
        </w:rPr>
        <w:t>分，其他分</w:t>
      </w:r>
      <w:r>
        <w:rPr>
          <w:rFonts w:hint="eastAsia" w:ascii="微软雅黑" w:hAnsi="微软雅黑" w:eastAsia="微软雅黑" w:cs="仿宋_GB2312"/>
          <w:color w:val="auto"/>
          <w:szCs w:val="21"/>
          <w:highlight w:val="none"/>
          <w:lang w:eastAsia="zh-CN"/>
        </w:rPr>
        <w:t>总分</w:t>
      </w:r>
      <w:r>
        <w:rPr>
          <w:rFonts w:ascii="微软雅黑" w:hAnsi="微软雅黑" w:eastAsia="微软雅黑" w:cs="仿宋_GB2312"/>
          <w:color w:val="auto"/>
          <w:szCs w:val="21"/>
          <w:highlight w:val="none"/>
        </w:rPr>
        <w:t>50</w:t>
      </w:r>
      <w:r>
        <w:rPr>
          <w:rFonts w:hint="eastAsia" w:ascii="微软雅黑" w:hAnsi="微软雅黑" w:eastAsia="微软雅黑" w:cs="仿宋_GB2312"/>
          <w:color w:val="auto"/>
          <w:szCs w:val="21"/>
          <w:highlight w:val="none"/>
        </w:rPr>
        <w:t>分，合计满分100分</w:t>
      </w:r>
      <w:r>
        <w:rPr>
          <w:rFonts w:hint="eastAsia" w:ascii="微软雅黑" w:hAnsi="微软雅黑" w:eastAsia="微软雅黑" w:cs="微软雅黑"/>
          <w:color w:val="auto"/>
          <w:szCs w:val="21"/>
          <w:highlight w:val="none"/>
        </w:rPr>
        <w:t>。</w:t>
      </w:r>
    </w:p>
    <w:p w14:paraId="44575125">
      <w:pPr>
        <w:pStyle w:val="5"/>
        <w:rPr>
          <w:rFonts w:hint="eastAsia" w:eastAsia="微软雅黑"/>
          <w:highlight w:val="none"/>
          <w:lang w:eastAsia="zh-CN"/>
        </w:rPr>
      </w:pPr>
      <w:r>
        <w:rPr>
          <w:rFonts w:hint="eastAsia" w:ascii="微软雅黑" w:hAnsi="微软雅黑" w:eastAsia="微软雅黑" w:cs="微软雅黑"/>
          <w:color w:val="auto"/>
          <w:szCs w:val="21"/>
          <w:highlight w:val="none"/>
        </w:rPr>
        <w:t>合格投标人的评标得分为各项目汇总得分，中标候选资格按评标得分由高到低顺序排列，得分相同的，按</w:t>
      </w:r>
      <w:r>
        <w:rPr>
          <w:rFonts w:hint="eastAsia" w:ascii="微软雅黑" w:hAnsi="微软雅黑" w:eastAsia="微软雅黑" w:cs="微软雅黑"/>
          <w:color w:val="auto"/>
          <w:szCs w:val="21"/>
          <w:highlight w:val="none"/>
          <w:lang w:val="en-US" w:eastAsia="zh-CN"/>
        </w:rPr>
        <w:t>其他</w:t>
      </w:r>
      <w:r>
        <w:rPr>
          <w:rFonts w:hint="eastAsia" w:ascii="微软雅黑" w:hAnsi="微软雅黑" w:eastAsia="微软雅黑" w:cs="微软雅黑"/>
          <w:color w:val="auto"/>
          <w:szCs w:val="21"/>
          <w:highlight w:val="none"/>
        </w:rPr>
        <w:t>分由高到低顺序排列；得分且</w:t>
      </w:r>
      <w:r>
        <w:rPr>
          <w:rFonts w:hint="eastAsia" w:ascii="微软雅黑" w:hAnsi="微软雅黑" w:eastAsia="微软雅黑" w:cs="微软雅黑"/>
          <w:color w:val="auto"/>
          <w:szCs w:val="21"/>
          <w:highlight w:val="none"/>
          <w:lang w:val="en-US" w:eastAsia="zh-CN"/>
        </w:rPr>
        <w:t>其他</w:t>
      </w:r>
      <w:r>
        <w:rPr>
          <w:rFonts w:hint="eastAsia" w:ascii="微软雅黑" w:hAnsi="微软雅黑" w:eastAsia="微软雅黑" w:cs="微软雅黑"/>
          <w:color w:val="auto"/>
          <w:szCs w:val="21"/>
          <w:highlight w:val="none"/>
        </w:rPr>
        <w:t>分相同的，按</w:t>
      </w:r>
      <w:r>
        <w:rPr>
          <w:rFonts w:hint="eastAsia" w:ascii="微软雅黑" w:hAnsi="微软雅黑" w:eastAsia="微软雅黑" w:cs="仿宋_GB2312"/>
          <w:color w:val="auto"/>
          <w:szCs w:val="21"/>
          <w:highlight w:val="none"/>
        </w:rPr>
        <w:t>经营状况</w:t>
      </w:r>
      <w:r>
        <w:rPr>
          <w:rFonts w:hint="eastAsia" w:ascii="微软雅黑" w:hAnsi="微软雅黑" w:eastAsia="微软雅黑" w:cs="微软雅黑"/>
          <w:color w:val="auto"/>
          <w:szCs w:val="21"/>
          <w:highlight w:val="none"/>
        </w:rPr>
        <w:t>分由高到低顺序排列。均相同的则按政采云系统内投标时间先后顺序。</w:t>
      </w:r>
    </w:p>
    <w:p w14:paraId="21B9218A">
      <w:pPr>
        <w:numPr>
          <w:ilvl w:val="0"/>
          <w:numId w:val="27"/>
        </w:numPr>
        <w:spacing w:line="560" w:lineRule="exact"/>
        <w:ind w:firstLine="420" w:firstLineChars="200"/>
        <w:rPr>
          <w:rFonts w:hint="eastAsia" w:ascii="微软雅黑" w:hAnsi="微软雅黑" w:eastAsia="微软雅黑" w:cs="楷体_GB2312"/>
          <w:b/>
          <w:bCs/>
          <w:color w:val="auto"/>
          <w:szCs w:val="21"/>
          <w:highlight w:val="none"/>
        </w:rPr>
      </w:pPr>
      <w:r>
        <w:rPr>
          <w:rFonts w:hint="eastAsia" w:ascii="微软雅黑" w:hAnsi="微软雅黑" w:eastAsia="微软雅黑" w:cs="仿宋_GB2312"/>
          <w:b/>
          <w:bCs/>
          <w:color w:val="auto"/>
          <w:szCs w:val="21"/>
          <w:highlight w:val="none"/>
        </w:rPr>
        <w:t>银行经营状况</w:t>
      </w:r>
      <w:r>
        <w:rPr>
          <w:rFonts w:hint="eastAsia" w:ascii="微软雅黑" w:hAnsi="微软雅黑" w:eastAsia="微软雅黑" w:cs="楷体_GB2312"/>
          <w:b/>
          <w:bCs/>
          <w:color w:val="auto"/>
          <w:szCs w:val="21"/>
          <w:highlight w:val="none"/>
        </w:rPr>
        <w:t>（</w:t>
      </w:r>
      <w:r>
        <w:rPr>
          <w:rFonts w:hint="eastAsia" w:ascii="微软雅黑" w:hAnsi="微软雅黑" w:eastAsia="微软雅黑" w:cs="楷体_GB2312"/>
          <w:b/>
          <w:bCs/>
          <w:color w:val="auto"/>
          <w:szCs w:val="21"/>
          <w:highlight w:val="none"/>
          <w:lang w:val="en-US" w:eastAsia="zh-CN"/>
        </w:rPr>
        <w:t>40</w:t>
      </w:r>
      <w:r>
        <w:rPr>
          <w:rFonts w:hint="eastAsia" w:ascii="微软雅黑" w:hAnsi="微软雅黑" w:eastAsia="微软雅黑" w:cs="楷体_GB2312"/>
          <w:b/>
          <w:bCs/>
          <w:color w:val="auto"/>
          <w:szCs w:val="21"/>
          <w:highlight w:val="none"/>
        </w:rPr>
        <w:t>分）</w:t>
      </w:r>
    </w:p>
    <w:p w14:paraId="72072BBD">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活期利率报价（5分）</w:t>
      </w:r>
    </w:p>
    <w:p w14:paraId="6A9D0B15">
      <w:p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以投标银行利率报价最高的作为基准报价</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利率报价得分＝（投标银行利率报价÷基准报价）×5。</w:t>
      </w:r>
    </w:p>
    <w:p w14:paraId="24B76E54">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协定存款（50万以上）利率报价（5分）</w:t>
      </w:r>
    </w:p>
    <w:p w14:paraId="4EE5289C">
      <w:p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以投标银行利率报价最高的作为基准报价利率报价得分＝（投标银行利率报价÷基准报价）×5。</w:t>
      </w:r>
    </w:p>
    <w:p w14:paraId="3C870988">
      <w:pPr>
        <w:numPr>
          <w:ilvl w:val="0"/>
          <w:numId w:val="28"/>
        </w:num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b/>
          <w:bCs/>
          <w:color w:val="auto"/>
          <w:szCs w:val="21"/>
          <w:highlight w:val="none"/>
        </w:rPr>
        <w:t>内控水平（</w:t>
      </w:r>
      <w:r>
        <w:rPr>
          <w:rFonts w:hint="eastAsia" w:ascii="微软雅黑" w:hAnsi="微软雅黑" w:eastAsia="微软雅黑"/>
          <w:b/>
          <w:bCs/>
          <w:color w:val="auto"/>
          <w:szCs w:val="21"/>
          <w:highlight w:val="none"/>
          <w:lang w:val="en-US" w:eastAsia="zh-CN"/>
        </w:rPr>
        <w:t>10</w:t>
      </w:r>
      <w:r>
        <w:rPr>
          <w:rFonts w:hint="eastAsia" w:ascii="微软雅黑" w:hAnsi="微软雅黑" w:eastAsia="微软雅黑"/>
          <w:b/>
          <w:bCs/>
          <w:color w:val="auto"/>
          <w:szCs w:val="21"/>
          <w:highlight w:val="none"/>
        </w:rPr>
        <w:t>分）。</w:t>
      </w:r>
      <w:r>
        <w:rPr>
          <w:rFonts w:hint="eastAsia" w:ascii="微软雅黑" w:hAnsi="微软雅黑" w:eastAsia="微软雅黑"/>
          <w:color w:val="auto"/>
          <w:szCs w:val="21"/>
          <w:highlight w:val="none"/>
        </w:rPr>
        <w:t>根据人民银行嘉兴市分行上一年度对有效竞标银行综合评价结果进行评分，综合评价为A级的，得</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分；综合评价为B+、B、B-级的，分别得</w:t>
      </w:r>
      <w:r>
        <w:rPr>
          <w:rFonts w:hint="eastAsia" w:ascii="微软雅黑" w:hAnsi="微软雅黑" w:eastAsia="微软雅黑"/>
          <w:color w:val="auto"/>
          <w:szCs w:val="21"/>
          <w:highlight w:val="none"/>
          <w:lang w:val="en-US" w:eastAsia="zh-CN"/>
        </w:rPr>
        <w:t>8</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7</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分。</w:t>
      </w:r>
    </w:p>
    <w:p w14:paraId="1AF9743E">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（该指标数据由中国人民银行嘉兴市分行提供。）</w:t>
      </w:r>
    </w:p>
    <w:p w14:paraId="5FDC06F1">
      <w:pPr>
        <w:numPr>
          <w:ilvl w:val="0"/>
          <w:numId w:val="28"/>
        </w:num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b/>
          <w:bCs/>
          <w:color w:val="auto"/>
          <w:szCs w:val="21"/>
          <w:highlight w:val="none"/>
        </w:rPr>
        <w:t>资产质量（</w:t>
      </w:r>
      <w:r>
        <w:rPr>
          <w:rFonts w:hint="eastAsia" w:ascii="微软雅黑" w:hAnsi="微软雅黑" w:eastAsia="微软雅黑"/>
          <w:b/>
          <w:bCs/>
          <w:color w:val="auto"/>
          <w:szCs w:val="21"/>
          <w:highlight w:val="none"/>
          <w:lang w:val="en-US" w:eastAsia="zh-CN"/>
        </w:rPr>
        <w:t>10</w:t>
      </w:r>
      <w:r>
        <w:rPr>
          <w:rFonts w:hint="eastAsia" w:ascii="微软雅黑" w:hAnsi="微软雅黑" w:eastAsia="微软雅黑"/>
          <w:b/>
          <w:bCs/>
          <w:color w:val="auto"/>
          <w:szCs w:val="21"/>
          <w:highlight w:val="none"/>
        </w:rPr>
        <w:t>分）。</w:t>
      </w:r>
      <w:r>
        <w:rPr>
          <w:rFonts w:hint="eastAsia" w:ascii="微软雅黑" w:hAnsi="微软雅黑" w:eastAsia="微软雅黑"/>
          <w:color w:val="auto"/>
          <w:szCs w:val="21"/>
          <w:highlight w:val="none"/>
        </w:rPr>
        <w:t>根据有效竞标银行嘉兴市本外币不良贷款率及不良贷款处置率进行评分。</w:t>
      </w:r>
    </w:p>
    <w:p w14:paraId="7B06ECA2">
      <w:pPr>
        <w:pStyle w:val="62"/>
        <w:numPr>
          <w:ilvl w:val="0"/>
          <w:numId w:val="29"/>
        </w:numPr>
        <w:snapToGrid w:val="0"/>
        <w:spacing w:line="560" w:lineRule="exact"/>
        <w:ind w:left="0" w:firstLine="424" w:firstLineChars="202"/>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不良贷款率(4分)。</w:t>
      </w:r>
    </w:p>
    <w:p w14:paraId="6678DF6C">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不良贷款率按照有效竞标银行上年度不良贷款率赋分。得分标准为：1.0%及以下得4分；1%以上、1.5%及以下的，得3.5分；1.5%以上、2.0%及以下的，得3分；2.0%以上不得分。</w:t>
      </w:r>
    </w:p>
    <w:p w14:paraId="75143A70">
      <w:pPr>
        <w:pStyle w:val="62"/>
        <w:numPr>
          <w:ilvl w:val="0"/>
          <w:numId w:val="29"/>
        </w:numPr>
        <w:snapToGrid w:val="0"/>
        <w:spacing w:line="560" w:lineRule="exact"/>
        <w:ind w:left="0" w:firstLine="424" w:firstLineChars="202"/>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不良贷款处置率(</w:t>
      </w:r>
      <w:r>
        <w:rPr>
          <w:rFonts w:hint="eastAsia" w:ascii="微软雅黑" w:hAnsi="微软雅黑" w:eastAsia="微软雅黑" w:cs="仿宋_GB2312"/>
          <w:b/>
          <w:bCs/>
          <w:color w:val="auto"/>
          <w:szCs w:val="21"/>
          <w:highlight w:val="none"/>
          <w:lang w:val="en-US" w:eastAsia="zh-CN"/>
        </w:rPr>
        <w:t>6</w:t>
      </w:r>
      <w:r>
        <w:rPr>
          <w:rFonts w:hint="eastAsia" w:ascii="微软雅黑" w:hAnsi="微软雅黑" w:eastAsia="微软雅黑" w:cs="仿宋_GB2312"/>
          <w:b/>
          <w:bCs/>
          <w:color w:val="auto"/>
          <w:szCs w:val="21"/>
          <w:highlight w:val="none"/>
        </w:rPr>
        <w:t>分)。</w:t>
      </w:r>
    </w:p>
    <w:p w14:paraId="6EB16396">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不良贷款处置率按照有效竞标银行上年度不良贷款处置率赋分。得分标准为：70%以上得</w:t>
      </w:r>
      <w:r>
        <w:rPr>
          <w:rFonts w:hint="eastAsia" w:ascii="微软雅黑" w:hAnsi="微软雅黑" w:eastAsia="微软雅黑" w:cs="仿宋_GB2312"/>
          <w:color w:val="auto"/>
          <w:szCs w:val="21"/>
          <w:highlight w:val="none"/>
          <w:lang w:val="en-US" w:eastAsia="zh-CN"/>
        </w:rPr>
        <w:t>6</w:t>
      </w:r>
      <w:r>
        <w:rPr>
          <w:rFonts w:hint="eastAsia" w:ascii="微软雅黑" w:hAnsi="微软雅黑" w:eastAsia="微软雅黑" w:cs="仿宋_GB2312"/>
          <w:color w:val="auto"/>
          <w:szCs w:val="21"/>
          <w:highlight w:val="none"/>
        </w:rPr>
        <w:t>分；70%及以下、50%以上的，得</w:t>
      </w:r>
      <w:r>
        <w:rPr>
          <w:rFonts w:hint="eastAsia" w:ascii="微软雅黑" w:hAnsi="微软雅黑" w:eastAsia="微软雅黑" w:cs="仿宋_GB2312"/>
          <w:color w:val="auto"/>
          <w:szCs w:val="21"/>
          <w:highlight w:val="none"/>
          <w:lang w:val="en-US" w:eastAsia="zh-CN"/>
        </w:rPr>
        <w:t>5</w:t>
      </w:r>
      <w:r>
        <w:rPr>
          <w:rFonts w:hint="eastAsia" w:ascii="微软雅黑" w:hAnsi="微软雅黑" w:eastAsia="微软雅黑" w:cs="仿宋_GB2312"/>
          <w:color w:val="auto"/>
          <w:szCs w:val="21"/>
          <w:highlight w:val="none"/>
        </w:rPr>
        <w:t>分；50%及以下、40%以上的，得</w:t>
      </w:r>
      <w:r>
        <w:rPr>
          <w:rFonts w:hint="eastAsia" w:ascii="微软雅黑" w:hAnsi="微软雅黑" w:eastAsia="微软雅黑" w:cs="仿宋_GB2312"/>
          <w:color w:val="auto"/>
          <w:szCs w:val="21"/>
          <w:highlight w:val="none"/>
          <w:lang w:val="en-US" w:eastAsia="zh-CN"/>
        </w:rPr>
        <w:t>4</w:t>
      </w:r>
      <w:r>
        <w:rPr>
          <w:rFonts w:hint="eastAsia" w:ascii="微软雅黑" w:hAnsi="微软雅黑" w:eastAsia="微软雅黑" w:cs="仿宋_GB2312"/>
          <w:color w:val="auto"/>
          <w:szCs w:val="21"/>
          <w:highlight w:val="none"/>
        </w:rPr>
        <w:t>分；40%及以下、30%以上的，得</w:t>
      </w:r>
      <w:r>
        <w:rPr>
          <w:rFonts w:hint="eastAsia" w:ascii="微软雅黑" w:hAnsi="微软雅黑" w:eastAsia="微软雅黑" w:cs="仿宋_GB2312"/>
          <w:color w:val="auto"/>
          <w:szCs w:val="21"/>
          <w:highlight w:val="none"/>
          <w:lang w:val="en-US" w:eastAsia="zh-CN"/>
        </w:rPr>
        <w:t>3</w:t>
      </w:r>
      <w:r>
        <w:rPr>
          <w:rFonts w:hint="eastAsia" w:ascii="微软雅黑" w:hAnsi="微软雅黑" w:eastAsia="微软雅黑" w:cs="仿宋_GB2312"/>
          <w:color w:val="auto"/>
          <w:szCs w:val="21"/>
          <w:highlight w:val="none"/>
        </w:rPr>
        <w:t>分；30%及以下不得分。上年度未新发生不良贷款的，不良贷款处置率得8分。</w:t>
      </w:r>
    </w:p>
    <w:p w14:paraId="67428122">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（该指标数据由国家金融监督管理总局嘉兴监管分局提供。）</w:t>
      </w:r>
    </w:p>
    <w:p w14:paraId="10316637">
      <w:pPr>
        <w:adjustRightInd w:val="0"/>
        <w:snapToGrid w:val="0"/>
        <w:spacing w:line="540" w:lineRule="exact"/>
        <w:ind w:firstLine="426"/>
        <w:rPr>
          <w:rFonts w:hint="eastAsia" w:ascii="微软雅黑" w:hAnsi="微软雅黑" w:eastAsia="微软雅黑" w:cs="微软雅黑"/>
          <w:color w:val="auto"/>
          <w:szCs w:val="21"/>
          <w:highlight w:val="none"/>
          <w:shd w:val="clear" w:color="FFFFFF" w:fill="D9D9D9"/>
          <w:lang w:val="en-US" w:eastAsia="zh-CN"/>
        </w:rPr>
      </w:pPr>
      <w:r>
        <w:rPr>
          <w:rFonts w:hint="eastAsia" w:ascii="微软雅黑" w:hAnsi="微软雅黑" w:eastAsia="微软雅黑" w:cs="微软雅黑"/>
          <w:color w:val="auto"/>
          <w:szCs w:val="21"/>
          <w:highlight w:val="none"/>
          <w:shd w:val="clear" w:color="FFFFFF" w:fill="D9D9D9"/>
          <w:lang w:val="en-US" w:eastAsia="zh-CN"/>
        </w:rPr>
        <w:t>注：以上内控水平，不良贷款率、不贷款处置率指标上年度评分指标均指2023年度数据。</w:t>
      </w:r>
    </w:p>
    <w:p w14:paraId="0E4CBA9B">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rPr>
        <w:t>存款规模</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en-US" w:eastAsia="zh-CN"/>
        </w:rPr>
        <w:t>10分）</w:t>
      </w:r>
    </w:p>
    <w:p w14:paraId="2AE1A472">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竞标银行20</w:t>
      </w:r>
      <w:r>
        <w:rPr>
          <w:rFonts w:hint="eastAsia" w:ascii="微软雅黑" w:hAnsi="微软雅黑" w:eastAsia="微软雅黑" w:cs="仿宋_GB2312"/>
          <w:color w:val="auto"/>
          <w:szCs w:val="21"/>
          <w:highlight w:val="none"/>
          <w:lang w:val="en-US" w:eastAsia="zh-CN"/>
        </w:rPr>
        <w:t>24</w:t>
      </w:r>
      <w:r>
        <w:rPr>
          <w:rFonts w:hint="eastAsia" w:ascii="微软雅黑" w:hAnsi="微软雅黑" w:eastAsia="微软雅黑" w:cs="仿宋_GB2312"/>
          <w:color w:val="auto"/>
          <w:szCs w:val="21"/>
          <w:highlight w:val="none"/>
        </w:rPr>
        <w:t>年末市级分行存款规模。存款规模每满100亿元，得1分，最高得10分。</w:t>
      </w:r>
    </w:p>
    <w:p w14:paraId="0350257C">
      <w:pPr>
        <w:pStyle w:val="62"/>
        <w:spacing w:line="360" w:lineRule="auto"/>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证明材料</w:t>
      </w:r>
      <w:r>
        <w:rPr>
          <w:rFonts w:hint="eastAsia" w:ascii="微软雅黑" w:hAnsi="微软雅黑" w:eastAsia="微软雅黑" w:cs="微软雅黑"/>
          <w:color w:val="auto"/>
          <w:szCs w:val="21"/>
          <w:highlight w:val="none"/>
        </w:rPr>
        <w:t>由竞标银行提供资料计分，竞标银行应确保提供的资料真实有效，一经发现有弄虚作假行为，取消该行本期竞标资格。</w:t>
      </w:r>
    </w:p>
    <w:p w14:paraId="66928C05">
      <w:pPr>
        <w:numPr>
          <w:ilvl w:val="0"/>
          <w:numId w:val="27"/>
        </w:numPr>
        <w:spacing w:line="560" w:lineRule="exact"/>
        <w:ind w:firstLine="420" w:firstLineChars="200"/>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服务水平指标</w:t>
      </w:r>
      <w:r>
        <w:rPr>
          <w:rFonts w:hint="eastAsia" w:ascii="微软雅黑" w:hAnsi="微软雅黑" w:eastAsia="微软雅黑" w:cs="仿宋_GB2312"/>
          <w:b/>
          <w:bCs/>
          <w:color w:val="auto"/>
          <w:szCs w:val="21"/>
          <w:highlight w:val="none"/>
          <w:lang w:eastAsia="zh-CN"/>
        </w:rPr>
        <w:t>（</w:t>
      </w:r>
      <w:r>
        <w:rPr>
          <w:rFonts w:hint="eastAsia" w:ascii="微软雅黑" w:hAnsi="微软雅黑" w:eastAsia="微软雅黑" w:cs="仿宋_GB2312"/>
          <w:b/>
          <w:bCs/>
          <w:color w:val="auto"/>
          <w:szCs w:val="21"/>
          <w:highlight w:val="none"/>
          <w:lang w:val="en-US" w:eastAsia="zh-CN"/>
        </w:rPr>
        <w:t>10分）</w:t>
      </w:r>
    </w:p>
    <w:p w14:paraId="1883CF83">
      <w:pPr>
        <w:numPr>
          <w:ilvl w:val="0"/>
          <w:numId w:val="30"/>
        </w:numPr>
        <w:spacing w:line="560" w:lineRule="exact"/>
        <w:ind w:left="5" w:leftChars="0" w:firstLine="415" w:firstLineChars="0"/>
        <w:rPr>
          <w:rFonts w:hint="eastAsia" w:ascii="微软雅黑" w:hAnsi="微软雅黑" w:eastAsia="微软雅黑" w:cs="楷体_GB2312"/>
          <w:b/>
          <w:bCs/>
          <w:color w:val="auto"/>
          <w:szCs w:val="21"/>
          <w:highlight w:val="none"/>
        </w:rPr>
      </w:pPr>
      <w:r>
        <w:rPr>
          <w:rFonts w:hint="eastAsia" w:ascii="微软雅黑" w:hAnsi="微软雅黑" w:eastAsia="微软雅黑"/>
          <w:b/>
          <w:bCs/>
          <w:color w:val="auto"/>
          <w:szCs w:val="21"/>
          <w:highlight w:val="none"/>
        </w:rPr>
        <w:t>政府工作的支持（5分）</w:t>
      </w:r>
    </w:p>
    <w:p w14:paraId="5272C7CF">
      <w:pPr>
        <w:spacing w:line="240" w:lineRule="auto"/>
        <w:ind w:left="0" w:leftChars="0" w:firstLine="420" w:firstLineChars="200"/>
        <w:jc w:val="lef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竞标银行在202</w:t>
      </w: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年度代理区级国库集中支付、乡镇国库集中支付、非税收入执收、公务卡、政府性融资，每提供1项有效的业绩资料得1分，最高得5分</w:t>
      </w:r>
      <w:r>
        <w:rPr>
          <w:rFonts w:hint="eastAsia" w:ascii="微软雅黑" w:hAnsi="微软雅黑" w:eastAsia="微软雅黑"/>
          <w:color w:val="auto"/>
          <w:szCs w:val="21"/>
          <w:highlight w:val="none"/>
          <w:lang w:eastAsia="zh-CN"/>
        </w:rPr>
        <w:t>。</w:t>
      </w:r>
    </w:p>
    <w:p w14:paraId="5C2947E6">
      <w:pPr>
        <w:numPr>
          <w:ilvl w:val="0"/>
          <w:numId w:val="30"/>
        </w:numPr>
        <w:spacing w:line="560" w:lineRule="exact"/>
        <w:ind w:left="5" w:leftChars="0" w:firstLine="415" w:firstLineChars="0"/>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服务承诺（</w:t>
      </w:r>
      <w:r>
        <w:rPr>
          <w:rFonts w:hint="eastAsia" w:ascii="微软雅黑" w:hAnsi="微软雅黑" w:eastAsia="微软雅黑"/>
          <w:b/>
          <w:bCs/>
          <w:color w:val="auto"/>
          <w:szCs w:val="21"/>
          <w:highlight w:val="none"/>
          <w:lang w:val="en-US" w:eastAsia="zh-CN"/>
        </w:rPr>
        <w:t>5</w:t>
      </w:r>
      <w:r>
        <w:rPr>
          <w:rFonts w:hint="eastAsia" w:ascii="微软雅黑" w:hAnsi="微软雅黑" w:eastAsia="微软雅黑"/>
          <w:b/>
          <w:bCs/>
          <w:color w:val="auto"/>
          <w:szCs w:val="21"/>
          <w:highlight w:val="none"/>
        </w:rPr>
        <w:t>分）</w:t>
      </w:r>
    </w:p>
    <w:p w14:paraId="33A6AD44">
      <w:pPr>
        <w:pStyle w:val="62"/>
        <w:numPr>
          <w:ilvl w:val="0"/>
          <w:numId w:val="0"/>
        </w:numPr>
        <w:spacing w:line="360" w:lineRule="auto"/>
        <w:ind w:left="0" w:leftChars="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投标银行根据服务水平和能力对收费优惠、对账服务、专人负责等相关业务作出承诺。评标专家按照投标银行响应文件内容赋分。</w:t>
      </w:r>
    </w:p>
    <w:p w14:paraId="441BDE56">
      <w:pPr>
        <w:pStyle w:val="62"/>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注：以上2项证明材料</w:t>
      </w:r>
      <w:r>
        <w:rPr>
          <w:rFonts w:hint="eastAsia" w:ascii="微软雅黑" w:hAnsi="微软雅黑" w:eastAsia="微软雅黑"/>
          <w:color w:val="auto"/>
          <w:szCs w:val="21"/>
          <w:highlight w:val="none"/>
        </w:rPr>
        <w:t>由竞标银行提供资料计分，竞标银行应确保提供的资料真实有效，一经发现有弄虚作假行为，取消该行本期竞标资格。</w:t>
      </w:r>
    </w:p>
    <w:p w14:paraId="03E9EDAF">
      <w:pPr>
        <w:numPr>
          <w:ilvl w:val="0"/>
          <w:numId w:val="27"/>
        </w:numPr>
        <w:spacing w:line="560" w:lineRule="exact"/>
        <w:ind w:firstLine="420" w:firstLineChars="200"/>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对单位衍生服务承诺</w:t>
      </w:r>
      <w:r>
        <w:rPr>
          <w:rFonts w:hint="eastAsia" w:ascii="微软雅黑" w:hAnsi="微软雅黑" w:eastAsia="微软雅黑" w:cs="仿宋_GB2312"/>
          <w:b/>
          <w:bCs/>
          <w:color w:val="auto"/>
          <w:szCs w:val="21"/>
          <w:highlight w:val="none"/>
          <w:lang w:eastAsia="zh-CN"/>
        </w:rPr>
        <w:t>、</w:t>
      </w:r>
      <w:r>
        <w:rPr>
          <w:rFonts w:hint="eastAsia" w:ascii="微软雅黑" w:hAnsi="微软雅黑" w:eastAsia="微软雅黑" w:cs="仿宋_GB2312"/>
          <w:b/>
          <w:bCs/>
          <w:color w:val="auto"/>
          <w:szCs w:val="21"/>
          <w:highlight w:val="none"/>
        </w:rPr>
        <w:t>优惠条件</w:t>
      </w:r>
      <w:r>
        <w:rPr>
          <w:rFonts w:hint="eastAsia" w:ascii="微软雅黑" w:hAnsi="微软雅黑" w:eastAsia="微软雅黑" w:cs="仿宋_GB2312"/>
          <w:b/>
          <w:bCs/>
          <w:color w:val="auto"/>
          <w:szCs w:val="21"/>
          <w:highlight w:val="none"/>
          <w:lang w:val="en-US" w:eastAsia="zh-CN"/>
        </w:rPr>
        <w:t>等其他分（50分）</w:t>
      </w:r>
    </w:p>
    <w:bookmarkEnd w:id="123"/>
    <w:p w14:paraId="47E92353">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bCs/>
          <w:sz w:val="21"/>
          <w:szCs w:val="21"/>
          <w:highlight w:val="none"/>
          <w:lang w:eastAsia="zh-CN"/>
        </w:rPr>
        <w:t>对账及银行回单服务（</w:t>
      </w:r>
      <w:r>
        <w:rPr>
          <w:rFonts w:hint="eastAsia" w:ascii="微软雅黑" w:hAnsi="微软雅黑" w:eastAsia="微软雅黑" w:cs="微软雅黑"/>
          <w:b/>
          <w:bCs/>
          <w:sz w:val="21"/>
          <w:szCs w:val="21"/>
          <w:highlight w:val="none"/>
          <w:lang w:val="en-US" w:eastAsia="zh-CN"/>
        </w:rPr>
        <w:t>5分</w:t>
      </w:r>
      <w:r>
        <w:rPr>
          <w:rFonts w:hint="eastAsia" w:ascii="微软雅黑" w:hAnsi="微软雅黑" w:eastAsia="微软雅黑" w:cs="微软雅黑"/>
          <w:b/>
          <w:bCs/>
          <w:sz w:val="21"/>
          <w:szCs w:val="21"/>
          <w:highlight w:val="none"/>
          <w:lang w:eastAsia="zh-CN"/>
        </w:rPr>
        <w:t>）</w:t>
      </w:r>
    </w:p>
    <w:p w14:paraId="371B9B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1</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rPr>
        <w:t>按时送达银行明细交易流水</w:t>
      </w:r>
      <w:r>
        <w:rPr>
          <w:rFonts w:hint="eastAsia" w:ascii="微软雅黑" w:hAnsi="微软雅黑" w:eastAsia="微软雅黑" w:cs="微软雅黑"/>
          <w:b w:val="0"/>
          <w:bCs w:val="0"/>
          <w:sz w:val="21"/>
          <w:szCs w:val="21"/>
          <w:highlight w:val="none"/>
          <w:lang w:eastAsia="zh-CN"/>
        </w:rPr>
        <w:t>，提供纸质银行明细交易流水、纸质回单至嘉兴市秀洲区人民检察院。按送达周期计分（</w:t>
      </w:r>
      <w:r>
        <w:rPr>
          <w:rFonts w:hint="eastAsia" w:ascii="微软雅黑" w:hAnsi="微软雅黑" w:eastAsia="微软雅黑" w:cs="微软雅黑"/>
          <w:b w:val="0"/>
          <w:bCs w:val="0"/>
          <w:sz w:val="21"/>
          <w:szCs w:val="21"/>
          <w:highlight w:val="none"/>
          <w:lang w:val="en-US" w:eastAsia="zh-CN"/>
        </w:rPr>
        <w:t>T指工作日</w:t>
      </w:r>
      <w:r>
        <w:rPr>
          <w:rFonts w:hint="eastAsia" w:ascii="微软雅黑" w:hAnsi="微软雅黑" w:eastAsia="微软雅黑" w:cs="微软雅黑"/>
          <w:b w:val="0"/>
          <w:bCs w:val="0"/>
          <w:sz w:val="21"/>
          <w:szCs w:val="21"/>
          <w:highlight w:val="none"/>
          <w:lang w:eastAsia="zh-CN"/>
        </w:rPr>
        <w:t>）：T+1得</w:t>
      </w:r>
      <w:r>
        <w:rPr>
          <w:rFonts w:hint="eastAsia" w:ascii="微软雅黑" w:hAnsi="微软雅黑" w:eastAsia="微软雅黑" w:cs="微软雅黑"/>
          <w:b w:val="0"/>
          <w:bCs w:val="0"/>
          <w:sz w:val="21"/>
          <w:szCs w:val="21"/>
          <w:highlight w:val="none"/>
          <w:lang w:val="en-US" w:eastAsia="zh-CN"/>
        </w:rPr>
        <w:t>3</w:t>
      </w:r>
      <w:r>
        <w:rPr>
          <w:rFonts w:hint="eastAsia" w:ascii="微软雅黑" w:hAnsi="微软雅黑" w:eastAsia="微软雅黑" w:cs="微软雅黑"/>
          <w:b w:val="0"/>
          <w:bCs w:val="0"/>
          <w:sz w:val="21"/>
          <w:szCs w:val="21"/>
          <w:highlight w:val="none"/>
          <w:lang w:eastAsia="zh-CN"/>
        </w:rPr>
        <w:t>分，T+2得</w:t>
      </w:r>
      <w:r>
        <w:rPr>
          <w:rFonts w:hint="eastAsia" w:ascii="微软雅黑" w:hAnsi="微软雅黑" w:eastAsia="微软雅黑" w:cs="微软雅黑"/>
          <w:b w:val="0"/>
          <w:bCs w:val="0"/>
          <w:sz w:val="21"/>
          <w:szCs w:val="21"/>
          <w:highlight w:val="none"/>
          <w:lang w:val="en-US" w:eastAsia="zh-CN"/>
        </w:rPr>
        <w:t>1</w:t>
      </w:r>
      <w:r>
        <w:rPr>
          <w:rFonts w:hint="eastAsia" w:ascii="微软雅黑" w:hAnsi="微软雅黑" w:eastAsia="微软雅黑" w:cs="微软雅黑"/>
          <w:b w:val="0"/>
          <w:bCs w:val="0"/>
          <w:sz w:val="21"/>
          <w:szCs w:val="21"/>
          <w:highlight w:val="none"/>
          <w:lang w:eastAsia="zh-CN"/>
        </w:rPr>
        <w:t>分，T+3及以上得0分。（</w:t>
      </w:r>
      <w:r>
        <w:rPr>
          <w:rFonts w:hint="eastAsia" w:ascii="微软雅黑" w:hAnsi="微软雅黑" w:eastAsia="微软雅黑" w:cs="微软雅黑"/>
          <w:b w:val="0"/>
          <w:bCs w:val="0"/>
          <w:sz w:val="21"/>
          <w:szCs w:val="21"/>
          <w:highlight w:val="none"/>
          <w:lang w:val="en-US" w:eastAsia="zh-CN"/>
        </w:rPr>
        <w:t>3分</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投标单位承诺书做在投标文件中。（格式自拟）</w:t>
      </w:r>
    </w:p>
    <w:p w14:paraId="587FB4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2</w:t>
      </w:r>
      <w:r>
        <w:rPr>
          <w:rFonts w:hint="eastAsia" w:ascii="微软雅黑" w:hAnsi="微软雅黑" w:eastAsia="微软雅黑" w:cs="微软雅黑"/>
          <w:b w:val="0"/>
          <w:bCs w:val="0"/>
          <w:sz w:val="21"/>
          <w:szCs w:val="21"/>
          <w:highlight w:val="none"/>
          <w:lang w:eastAsia="zh-CN"/>
        </w:rPr>
        <w:t>）</w:t>
      </w:r>
      <w:r>
        <w:rPr>
          <w:rFonts w:hint="default" w:ascii="微软雅黑" w:hAnsi="微软雅黑" w:eastAsia="微软雅黑" w:cs="微软雅黑"/>
          <w:b w:val="0"/>
          <w:bCs w:val="0"/>
          <w:sz w:val="21"/>
          <w:szCs w:val="21"/>
          <w:highlight w:val="none"/>
          <w:lang w:eastAsia="zh-CN"/>
        </w:rPr>
        <w:t>竞标银行</w:t>
      </w:r>
      <w:r>
        <w:rPr>
          <w:rFonts w:hint="eastAsia" w:ascii="微软雅黑" w:hAnsi="微软雅黑" w:eastAsia="微软雅黑" w:cs="微软雅黑"/>
          <w:b w:val="0"/>
          <w:bCs w:val="0"/>
          <w:sz w:val="21"/>
          <w:szCs w:val="21"/>
          <w:highlight w:val="none"/>
          <w:lang w:eastAsia="zh-CN"/>
        </w:rPr>
        <w:t>是否能够</w:t>
      </w:r>
      <w:r>
        <w:rPr>
          <w:rFonts w:hint="default" w:ascii="微软雅黑" w:hAnsi="微软雅黑" w:eastAsia="微软雅黑" w:cs="微软雅黑"/>
          <w:b w:val="0"/>
          <w:bCs w:val="0"/>
          <w:sz w:val="21"/>
          <w:szCs w:val="21"/>
          <w:highlight w:val="none"/>
          <w:lang w:eastAsia="zh-CN"/>
        </w:rPr>
        <w:t>每月上门</w:t>
      </w:r>
      <w:r>
        <w:rPr>
          <w:rFonts w:hint="eastAsia" w:ascii="微软雅黑" w:hAnsi="微软雅黑" w:eastAsia="微软雅黑" w:cs="微软雅黑"/>
          <w:b w:val="0"/>
          <w:bCs w:val="0"/>
          <w:sz w:val="21"/>
          <w:szCs w:val="21"/>
          <w:highlight w:val="none"/>
          <w:lang w:eastAsia="zh-CN"/>
        </w:rPr>
        <w:t>提供</w:t>
      </w:r>
      <w:r>
        <w:rPr>
          <w:rFonts w:hint="default" w:ascii="微软雅黑" w:hAnsi="微软雅黑" w:eastAsia="微软雅黑" w:cs="微软雅黑"/>
          <w:b w:val="0"/>
          <w:bCs w:val="0"/>
          <w:sz w:val="21"/>
          <w:szCs w:val="21"/>
          <w:highlight w:val="none"/>
          <w:lang w:eastAsia="zh-CN"/>
        </w:rPr>
        <w:t>银行回单等凭证装订整理服务</w:t>
      </w:r>
      <w:r>
        <w:rPr>
          <w:rFonts w:hint="eastAsia" w:ascii="微软雅黑" w:hAnsi="微软雅黑" w:eastAsia="微软雅黑" w:cs="微软雅黑"/>
          <w:b w:val="0"/>
          <w:bCs w:val="0"/>
          <w:sz w:val="21"/>
          <w:szCs w:val="21"/>
          <w:highlight w:val="none"/>
          <w:lang w:eastAsia="zh-CN"/>
        </w:rPr>
        <w:t>：是得</w:t>
      </w:r>
      <w:r>
        <w:rPr>
          <w:rFonts w:hint="eastAsia" w:ascii="微软雅黑" w:hAnsi="微软雅黑" w:eastAsia="微软雅黑" w:cs="微软雅黑"/>
          <w:b w:val="0"/>
          <w:bCs w:val="0"/>
          <w:sz w:val="21"/>
          <w:szCs w:val="21"/>
          <w:highlight w:val="none"/>
          <w:lang w:val="en-US" w:eastAsia="zh-CN"/>
        </w:rPr>
        <w:t>2分，否不得分。（2分）投标单位承诺书做在投标文件中。（格式自拟）</w:t>
      </w:r>
    </w:p>
    <w:p w14:paraId="690D7D34">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bCs/>
          <w:sz w:val="21"/>
          <w:szCs w:val="21"/>
          <w:highlight w:val="none"/>
          <w:lang w:eastAsia="zh-CN"/>
        </w:rPr>
        <w:t>资金结算服务（</w:t>
      </w:r>
      <w:r>
        <w:rPr>
          <w:rFonts w:hint="eastAsia" w:ascii="微软雅黑" w:hAnsi="微软雅黑" w:eastAsia="微软雅黑" w:cs="微软雅黑"/>
          <w:b/>
          <w:bCs/>
          <w:sz w:val="21"/>
          <w:szCs w:val="21"/>
          <w:highlight w:val="none"/>
          <w:lang w:val="en-US" w:eastAsia="zh-CN"/>
        </w:rPr>
        <w:t>5分</w:t>
      </w:r>
      <w:r>
        <w:rPr>
          <w:rFonts w:hint="eastAsia" w:ascii="微软雅黑" w:hAnsi="微软雅黑" w:eastAsia="微软雅黑" w:cs="微软雅黑"/>
          <w:b/>
          <w:bCs/>
          <w:sz w:val="21"/>
          <w:szCs w:val="21"/>
          <w:highlight w:val="none"/>
          <w:lang w:eastAsia="zh-CN"/>
        </w:rPr>
        <w:t>）</w:t>
      </w:r>
    </w:p>
    <w:p w14:paraId="493510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1</w:t>
      </w:r>
      <w:r>
        <w:rPr>
          <w:rFonts w:hint="eastAsia" w:ascii="微软雅黑" w:hAnsi="微软雅黑" w:eastAsia="微软雅黑" w:cs="微软雅黑"/>
          <w:b w:val="0"/>
          <w:bCs w:val="0"/>
          <w:sz w:val="21"/>
          <w:szCs w:val="21"/>
          <w:highlight w:val="none"/>
          <w:lang w:eastAsia="zh-CN"/>
        </w:rPr>
        <w:t>）</w:t>
      </w:r>
      <w:r>
        <w:rPr>
          <w:rFonts w:hint="default" w:ascii="微软雅黑" w:hAnsi="微软雅黑" w:eastAsia="微软雅黑" w:cs="微软雅黑"/>
          <w:b w:val="0"/>
          <w:bCs w:val="0"/>
          <w:sz w:val="21"/>
          <w:szCs w:val="21"/>
          <w:highlight w:val="none"/>
          <w:lang w:eastAsia="zh-CN"/>
        </w:rPr>
        <w:t>竞标银行</w:t>
      </w:r>
      <w:r>
        <w:rPr>
          <w:rFonts w:hint="eastAsia" w:ascii="微软雅黑" w:hAnsi="微软雅黑" w:eastAsia="微软雅黑" w:cs="微软雅黑"/>
          <w:b w:val="0"/>
          <w:bCs w:val="0"/>
          <w:sz w:val="21"/>
          <w:szCs w:val="21"/>
          <w:highlight w:val="none"/>
        </w:rPr>
        <w:t>是否支持多种结算方式（</w:t>
      </w:r>
      <w:r>
        <w:rPr>
          <w:rFonts w:hint="eastAsia" w:ascii="微软雅黑" w:hAnsi="微软雅黑" w:eastAsia="微软雅黑" w:cs="微软雅黑"/>
          <w:b w:val="0"/>
          <w:bCs w:val="0"/>
          <w:sz w:val="21"/>
          <w:szCs w:val="21"/>
          <w:highlight w:val="none"/>
          <w:lang w:eastAsia="zh-CN"/>
        </w:rPr>
        <w:t>如</w:t>
      </w:r>
      <w:r>
        <w:rPr>
          <w:rFonts w:hint="default" w:ascii="微软雅黑" w:hAnsi="微软雅黑" w:eastAsia="微软雅黑" w:cs="微软雅黑"/>
          <w:b w:val="0"/>
          <w:bCs w:val="0"/>
          <w:sz w:val="21"/>
          <w:szCs w:val="21"/>
          <w:highlight w:val="none"/>
          <w:lang w:eastAsia="zh-CN"/>
        </w:rPr>
        <w:t>二维码、</w:t>
      </w:r>
      <w:r>
        <w:rPr>
          <w:rFonts w:hint="eastAsia" w:ascii="微软雅黑" w:hAnsi="微软雅黑" w:eastAsia="微软雅黑" w:cs="微软雅黑"/>
          <w:b w:val="0"/>
          <w:bCs w:val="0"/>
          <w:sz w:val="21"/>
          <w:szCs w:val="21"/>
          <w:highlight w:val="none"/>
          <w:lang w:eastAsia="zh-CN"/>
        </w:rPr>
        <w:t>企业</w:t>
      </w:r>
      <w:r>
        <w:rPr>
          <w:rFonts w:hint="eastAsia" w:ascii="微软雅黑" w:hAnsi="微软雅黑" w:eastAsia="微软雅黑" w:cs="微软雅黑"/>
          <w:b w:val="0"/>
          <w:bCs w:val="0"/>
          <w:sz w:val="21"/>
          <w:szCs w:val="21"/>
          <w:highlight w:val="none"/>
        </w:rPr>
        <w:t>网银、</w:t>
      </w:r>
      <w:r>
        <w:rPr>
          <w:rFonts w:hint="eastAsia" w:ascii="微软雅黑" w:hAnsi="微软雅黑" w:eastAsia="微软雅黑" w:cs="微软雅黑"/>
          <w:b w:val="0"/>
          <w:bCs w:val="0"/>
          <w:sz w:val="21"/>
          <w:szCs w:val="21"/>
          <w:highlight w:val="none"/>
          <w:lang w:eastAsia="zh-CN"/>
        </w:rPr>
        <w:t>电汇、</w:t>
      </w:r>
      <w:r>
        <w:rPr>
          <w:rFonts w:hint="eastAsia" w:ascii="微软雅黑" w:hAnsi="微软雅黑" w:eastAsia="微软雅黑" w:cs="微软雅黑"/>
          <w:b w:val="0"/>
          <w:bCs w:val="0"/>
          <w:sz w:val="21"/>
          <w:szCs w:val="21"/>
          <w:highlight w:val="none"/>
        </w:rPr>
        <w:t>柜台、POS</w:t>
      </w:r>
      <w:r>
        <w:rPr>
          <w:rFonts w:hint="eastAsia" w:ascii="微软雅黑" w:hAnsi="微软雅黑" w:eastAsia="微软雅黑" w:cs="微软雅黑"/>
          <w:b w:val="0"/>
          <w:bCs w:val="0"/>
          <w:sz w:val="21"/>
          <w:szCs w:val="21"/>
          <w:highlight w:val="none"/>
          <w:lang w:eastAsia="zh-CN"/>
        </w:rPr>
        <w:t>机</w:t>
      </w:r>
      <w:r>
        <w:rPr>
          <w:rFonts w:hint="eastAsia" w:ascii="微软雅黑" w:hAnsi="微软雅黑" w:eastAsia="微软雅黑" w:cs="微软雅黑"/>
          <w:b w:val="0"/>
          <w:bCs w:val="0"/>
          <w:sz w:val="21"/>
          <w:szCs w:val="21"/>
          <w:highlight w:val="none"/>
        </w:rPr>
        <w:t>等）</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rPr>
        <w:t>是得</w:t>
      </w:r>
      <w:r>
        <w:rPr>
          <w:rFonts w:hint="eastAsia" w:ascii="微软雅黑" w:hAnsi="微软雅黑" w:eastAsia="微软雅黑" w:cs="微软雅黑"/>
          <w:b w:val="0"/>
          <w:bCs w:val="0"/>
          <w:sz w:val="21"/>
          <w:szCs w:val="21"/>
          <w:highlight w:val="none"/>
          <w:lang w:val="en-US" w:eastAsia="zh-CN"/>
        </w:rPr>
        <w:t>2</w:t>
      </w:r>
      <w:r>
        <w:rPr>
          <w:rFonts w:hint="eastAsia" w:ascii="微软雅黑" w:hAnsi="微软雅黑" w:eastAsia="微软雅黑" w:cs="微软雅黑"/>
          <w:b w:val="0"/>
          <w:bCs w:val="0"/>
          <w:sz w:val="21"/>
          <w:szCs w:val="21"/>
          <w:highlight w:val="none"/>
        </w:rPr>
        <w:t>分，</w:t>
      </w:r>
      <w:r>
        <w:rPr>
          <w:rFonts w:hint="eastAsia" w:ascii="微软雅黑" w:hAnsi="微软雅黑" w:eastAsia="微软雅黑" w:cs="微软雅黑"/>
          <w:b w:val="0"/>
          <w:bCs w:val="0"/>
          <w:sz w:val="21"/>
          <w:szCs w:val="21"/>
          <w:highlight w:val="none"/>
          <w:lang w:eastAsia="zh-CN"/>
        </w:rPr>
        <w:t>否不得分</w:t>
      </w:r>
      <w:r>
        <w:rPr>
          <w:rFonts w:hint="eastAsia" w:ascii="微软雅黑" w:hAnsi="微软雅黑" w:eastAsia="微软雅黑" w:cs="微软雅黑"/>
          <w:b w:val="0"/>
          <w:bCs w:val="0"/>
          <w:sz w:val="21"/>
          <w:szCs w:val="21"/>
          <w:highlight w:val="none"/>
        </w:rPr>
        <w:t>。</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2分</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投标单位承诺书做在投标文件中。（格式自拟）</w:t>
      </w:r>
    </w:p>
    <w:p w14:paraId="765FA4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2</w:t>
      </w:r>
      <w:r>
        <w:rPr>
          <w:rFonts w:hint="eastAsia" w:ascii="微软雅黑" w:hAnsi="微软雅黑" w:eastAsia="微软雅黑" w:cs="微软雅黑"/>
          <w:b w:val="0"/>
          <w:bCs w:val="0"/>
          <w:sz w:val="21"/>
          <w:szCs w:val="21"/>
          <w:highlight w:val="none"/>
          <w:lang w:eastAsia="zh-CN"/>
        </w:rPr>
        <w:t>）</w:t>
      </w:r>
      <w:r>
        <w:rPr>
          <w:rFonts w:hint="default" w:ascii="微软雅黑" w:hAnsi="微软雅黑" w:eastAsia="微软雅黑" w:cs="微软雅黑"/>
          <w:b w:val="0"/>
          <w:bCs w:val="0"/>
          <w:sz w:val="21"/>
          <w:szCs w:val="21"/>
          <w:highlight w:val="none"/>
          <w:lang w:eastAsia="zh-CN"/>
        </w:rPr>
        <w:t>竞标银行</w:t>
      </w:r>
      <w:r>
        <w:rPr>
          <w:rFonts w:hint="eastAsia" w:ascii="微软雅黑" w:hAnsi="微软雅黑" w:eastAsia="微软雅黑" w:cs="微软雅黑"/>
          <w:b w:val="0"/>
          <w:bCs w:val="0"/>
          <w:sz w:val="21"/>
          <w:szCs w:val="21"/>
          <w:highlight w:val="none"/>
          <w:lang w:eastAsia="zh-CN"/>
        </w:rPr>
        <w:t>是否</w:t>
      </w:r>
      <w:r>
        <w:rPr>
          <w:rFonts w:hint="eastAsia" w:ascii="微软雅黑" w:hAnsi="微软雅黑" w:eastAsia="微软雅黑" w:cs="微软雅黑"/>
          <w:b w:val="0"/>
          <w:bCs w:val="0"/>
          <w:sz w:val="21"/>
          <w:szCs w:val="21"/>
          <w:highlight w:val="none"/>
        </w:rPr>
        <w:t>对</w:t>
      </w:r>
      <w:r>
        <w:rPr>
          <w:rFonts w:hint="eastAsia" w:ascii="微软雅黑" w:hAnsi="微软雅黑" w:eastAsia="微软雅黑" w:cs="微软雅黑"/>
          <w:b w:val="0"/>
          <w:bCs w:val="0"/>
          <w:sz w:val="21"/>
          <w:szCs w:val="21"/>
          <w:highlight w:val="none"/>
          <w:lang w:eastAsia="zh-CN"/>
        </w:rPr>
        <w:t>开户费、账户管理费、以上结算方式服务费及个性化系统</w:t>
      </w:r>
      <w:r>
        <w:rPr>
          <w:rFonts w:hint="eastAsia" w:ascii="微软雅黑" w:hAnsi="微软雅黑" w:eastAsia="微软雅黑" w:cs="微软雅黑"/>
          <w:b w:val="0"/>
          <w:bCs w:val="0"/>
          <w:sz w:val="21"/>
          <w:szCs w:val="21"/>
          <w:highlight w:val="none"/>
        </w:rPr>
        <w:t>等</w:t>
      </w:r>
      <w:r>
        <w:rPr>
          <w:rFonts w:hint="eastAsia" w:ascii="微软雅黑" w:hAnsi="微软雅黑" w:eastAsia="微软雅黑" w:cs="微软雅黑"/>
          <w:b w:val="0"/>
          <w:bCs w:val="0"/>
          <w:sz w:val="21"/>
          <w:szCs w:val="21"/>
          <w:highlight w:val="none"/>
          <w:lang w:eastAsia="zh-CN"/>
        </w:rPr>
        <w:t>的</w:t>
      </w:r>
      <w:r>
        <w:rPr>
          <w:rFonts w:hint="eastAsia" w:ascii="微软雅黑" w:hAnsi="微软雅黑" w:eastAsia="微软雅黑" w:cs="微软雅黑"/>
          <w:b w:val="0"/>
          <w:bCs w:val="0"/>
          <w:sz w:val="21"/>
          <w:szCs w:val="21"/>
          <w:highlight w:val="none"/>
        </w:rPr>
        <w:t>使用费用全部免费</w:t>
      </w:r>
      <w:r>
        <w:rPr>
          <w:rFonts w:hint="eastAsia" w:ascii="微软雅黑" w:hAnsi="微软雅黑" w:eastAsia="微软雅黑" w:cs="微软雅黑"/>
          <w:b w:val="0"/>
          <w:bCs w:val="0"/>
          <w:sz w:val="21"/>
          <w:szCs w:val="21"/>
          <w:highlight w:val="none"/>
          <w:lang w:eastAsia="zh-CN"/>
        </w:rPr>
        <w:t>：是得</w:t>
      </w:r>
      <w:r>
        <w:rPr>
          <w:rFonts w:hint="eastAsia" w:ascii="微软雅黑" w:hAnsi="微软雅黑" w:eastAsia="微软雅黑" w:cs="微软雅黑"/>
          <w:b w:val="0"/>
          <w:bCs w:val="0"/>
          <w:sz w:val="21"/>
          <w:szCs w:val="21"/>
          <w:highlight w:val="none"/>
          <w:lang w:val="en-US" w:eastAsia="zh-CN"/>
        </w:rPr>
        <w:t>3</w:t>
      </w:r>
      <w:r>
        <w:rPr>
          <w:rFonts w:hint="eastAsia" w:ascii="微软雅黑" w:hAnsi="微软雅黑" w:eastAsia="微软雅黑" w:cs="微软雅黑"/>
          <w:b w:val="0"/>
          <w:bCs w:val="0"/>
          <w:sz w:val="21"/>
          <w:szCs w:val="21"/>
          <w:highlight w:val="none"/>
          <w:lang w:eastAsia="zh-CN"/>
        </w:rPr>
        <w:t>分，否不得分。（</w:t>
      </w:r>
      <w:r>
        <w:rPr>
          <w:rFonts w:hint="eastAsia" w:ascii="微软雅黑" w:hAnsi="微软雅黑" w:eastAsia="微软雅黑" w:cs="微软雅黑"/>
          <w:b w:val="0"/>
          <w:bCs w:val="0"/>
          <w:sz w:val="21"/>
          <w:szCs w:val="21"/>
          <w:highlight w:val="none"/>
          <w:lang w:val="en-US" w:eastAsia="zh-CN"/>
        </w:rPr>
        <w:t>3分</w:t>
      </w:r>
      <w:r>
        <w:rPr>
          <w:rFonts w:hint="eastAsia" w:ascii="微软雅黑" w:hAnsi="微软雅黑" w:eastAsia="微软雅黑" w:cs="微软雅黑"/>
          <w:b w:val="0"/>
          <w:bCs w:val="0"/>
          <w:sz w:val="21"/>
          <w:szCs w:val="21"/>
          <w:highlight w:val="none"/>
          <w:lang w:eastAsia="zh-CN"/>
        </w:rPr>
        <w:t>）</w:t>
      </w:r>
      <w:r>
        <w:rPr>
          <w:rFonts w:hint="eastAsia" w:ascii="微软雅黑" w:hAnsi="微软雅黑" w:eastAsia="微软雅黑" w:cs="微软雅黑"/>
          <w:b w:val="0"/>
          <w:bCs w:val="0"/>
          <w:sz w:val="21"/>
          <w:szCs w:val="21"/>
          <w:highlight w:val="none"/>
          <w:lang w:val="en-US" w:eastAsia="zh-CN"/>
        </w:rPr>
        <w:t>投标单位承诺书做在投标文件中。（格式自拟）</w:t>
      </w:r>
    </w:p>
    <w:p w14:paraId="59E9DE63">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服务网点距离远近（5分）</w:t>
      </w:r>
    </w:p>
    <w:p w14:paraId="515894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竞标银行的服务网点与账户使用单位办公地点（嘉兴市秀洲区人民检察院）交通距离≤500m的得5分，≤1500m的得3分，≤2500m的得1分，其后不得分。（在投标文件中提供百度地图交通距离截图证明材料）</w:t>
      </w:r>
    </w:p>
    <w:p w14:paraId="1D5ED01C">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对招标单位投入支持（25分）</w:t>
      </w:r>
    </w:p>
    <w:p w14:paraId="071D26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竞标银行承诺对招标单位的软硬件提升</w:t>
      </w:r>
      <w:r>
        <w:rPr>
          <w:rFonts w:hint="default" w:ascii="微软雅黑" w:hAnsi="微软雅黑" w:eastAsia="微软雅黑" w:cs="微软雅黑"/>
          <w:b w:val="0"/>
          <w:bCs w:val="0"/>
          <w:sz w:val="21"/>
          <w:szCs w:val="21"/>
          <w:highlight w:val="none"/>
          <w:lang w:eastAsia="zh-CN"/>
        </w:rPr>
        <w:t>、展开</w:t>
      </w:r>
      <w:r>
        <w:rPr>
          <w:rFonts w:hint="eastAsia" w:ascii="微软雅黑" w:hAnsi="微软雅黑" w:eastAsia="微软雅黑" w:cs="微软雅黑"/>
          <w:b w:val="0"/>
          <w:bCs w:val="0"/>
          <w:sz w:val="21"/>
          <w:szCs w:val="21"/>
          <w:highlight w:val="none"/>
          <w:lang w:val="en-US" w:eastAsia="zh-CN"/>
        </w:rPr>
        <w:t>项目合作</w:t>
      </w:r>
      <w:r>
        <w:rPr>
          <w:rFonts w:hint="default" w:ascii="微软雅黑" w:hAnsi="微软雅黑" w:eastAsia="微软雅黑" w:cs="微软雅黑"/>
          <w:b w:val="0"/>
          <w:bCs w:val="0"/>
          <w:sz w:val="21"/>
          <w:szCs w:val="21"/>
          <w:highlight w:val="none"/>
          <w:lang w:eastAsia="zh-CN"/>
        </w:rPr>
        <w:t>及提供专业的财务咨询服务</w:t>
      </w:r>
      <w:r>
        <w:rPr>
          <w:rFonts w:hint="eastAsia" w:ascii="微软雅黑" w:hAnsi="微软雅黑" w:eastAsia="微软雅黑" w:cs="微软雅黑"/>
          <w:b w:val="0"/>
          <w:bCs w:val="0"/>
          <w:sz w:val="21"/>
          <w:szCs w:val="21"/>
          <w:highlight w:val="none"/>
          <w:lang w:val="en-US" w:eastAsia="zh-CN"/>
        </w:rPr>
        <w:t>，支持招标单位业务发展并予以持续投入，根据投入力度及其持续性评分。</w:t>
      </w:r>
    </w:p>
    <w:p w14:paraId="6ED89B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（1）投入力度第一名得20分，第二名得15分，第三名得10分，第四名及以后名次均不得分。（20分）投标单位承诺书做在投标文件中。（格式自拟）</w:t>
      </w:r>
    </w:p>
    <w:p w14:paraId="2BA658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（2）承诺持续投入≥10年得5分，每减少投入一年少得1分（如9年得4分），≤5年的不得分。（5分）投标单位承诺书做在投标文件中。（格式自拟）</w:t>
      </w:r>
    </w:p>
    <w:p w14:paraId="78E96582">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财政服务经验（5分）</w:t>
      </w:r>
    </w:p>
    <w:p w14:paraId="4701C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根据竞标银行在秀洲区本级（不含乡镇、街道）开设有效专用存款账户（实有资金账户）的服务经验进行评分，按照预算单位口径开设有效专用存款账户（实有资金账户）数量第一名得5分，第二名得3分，第三名得1分，其后不得分。（5分）竞标银行自行提供证明材料做在投标文件中。（格式自拟）</w:t>
      </w:r>
    </w:p>
    <w:p w14:paraId="2ACE2B89">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开设子账户能力（</w:t>
      </w:r>
      <w:r>
        <w:rPr>
          <w:rFonts w:hint="eastAsia" w:ascii="微软雅黑" w:hAnsi="微软雅黑" w:eastAsia="微软雅黑" w:cs="微软雅黑"/>
          <w:b/>
          <w:bCs/>
          <w:sz w:val="21"/>
          <w:szCs w:val="21"/>
          <w:highlight w:val="none"/>
          <w:lang w:val="en-US" w:eastAsia="zh-CN"/>
        </w:rPr>
        <w:t>2</w:t>
      </w:r>
      <w:r>
        <w:rPr>
          <w:rFonts w:hint="eastAsia" w:ascii="微软雅黑" w:hAnsi="微软雅黑" w:eastAsia="微软雅黑" w:cs="微软雅黑"/>
          <w:b/>
          <w:bCs/>
          <w:sz w:val="21"/>
          <w:szCs w:val="21"/>
          <w:highlight w:val="none"/>
        </w:rPr>
        <w:t>分）</w:t>
      </w:r>
    </w:p>
    <w:p w14:paraId="3FEF61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eastAsia="zh-CN"/>
        </w:rPr>
        <w:t>竞标银行是否具备开设子账户能力，是否能够分别开设涉案款、往来款</w:t>
      </w:r>
      <w:r>
        <w:rPr>
          <w:rFonts w:hint="default" w:ascii="微软雅黑" w:hAnsi="微软雅黑" w:eastAsia="微软雅黑" w:cs="微软雅黑"/>
          <w:b w:val="0"/>
          <w:bCs w:val="0"/>
          <w:sz w:val="21"/>
          <w:szCs w:val="21"/>
          <w:highlight w:val="none"/>
          <w:lang w:eastAsia="zh-CN"/>
        </w:rPr>
        <w:t>、保证金等</w:t>
      </w:r>
      <w:r>
        <w:rPr>
          <w:rFonts w:hint="eastAsia" w:ascii="微软雅黑" w:hAnsi="微软雅黑" w:eastAsia="微软雅黑" w:cs="微软雅黑"/>
          <w:b w:val="0"/>
          <w:bCs w:val="0"/>
          <w:sz w:val="21"/>
          <w:szCs w:val="21"/>
          <w:highlight w:val="none"/>
          <w:lang w:eastAsia="zh-CN"/>
        </w:rPr>
        <w:t>专用子账户，并进行个性化管理：</w:t>
      </w:r>
      <w:r>
        <w:rPr>
          <w:rFonts w:hint="default" w:ascii="微软雅黑" w:hAnsi="微软雅黑" w:eastAsia="微软雅黑" w:cs="微软雅黑"/>
          <w:b w:val="0"/>
          <w:bCs w:val="0"/>
          <w:sz w:val="21"/>
          <w:szCs w:val="21"/>
          <w:highlight w:val="none"/>
          <w:lang w:eastAsia="zh-CN"/>
        </w:rPr>
        <w:t>是</w:t>
      </w:r>
      <w:r>
        <w:rPr>
          <w:rFonts w:hint="eastAsia" w:ascii="微软雅黑" w:hAnsi="微软雅黑" w:eastAsia="微软雅黑" w:cs="微软雅黑"/>
          <w:b w:val="0"/>
          <w:bCs w:val="0"/>
          <w:sz w:val="21"/>
          <w:szCs w:val="21"/>
          <w:highlight w:val="none"/>
          <w:lang w:eastAsia="zh-CN"/>
        </w:rPr>
        <w:t>得</w:t>
      </w:r>
      <w:r>
        <w:rPr>
          <w:rFonts w:hint="eastAsia" w:ascii="微软雅黑" w:hAnsi="微软雅黑" w:eastAsia="微软雅黑" w:cs="微软雅黑"/>
          <w:b w:val="0"/>
          <w:bCs w:val="0"/>
          <w:sz w:val="21"/>
          <w:szCs w:val="21"/>
          <w:highlight w:val="none"/>
          <w:lang w:val="en-US" w:eastAsia="zh-CN"/>
        </w:rPr>
        <w:t>2分，否不得分。（2分）投标单位承诺书做在投标文件中。（格式自拟）</w:t>
      </w:r>
    </w:p>
    <w:p w14:paraId="27453ED1">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预算管理一体化系统支持（3分）</w:t>
      </w:r>
    </w:p>
    <w:p w14:paraId="6536B2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default"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竞标银行是否能够支持预算管理一体化系统，是得3分，否不得分。（3分）。竞标银行自行提供证明材料做在投标文件中。（格式自拟）</w:t>
      </w:r>
    </w:p>
    <w:p w14:paraId="0443E3BC">
      <w:pPr>
        <w:pStyle w:val="4"/>
        <w:numPr>
          <w:ilvl w:val="0"/>
          <w:numId w:val="26"/>
        </w:numPr>
        <w:ind w:left="0" w:leftChars="0" w:firstLine="420" w:firstLineChars="0"/>
        <w:rPr>
          <w:rFonts w:hint="eastAsia"/>
          <w:color w:val="auto"/>
          <w:highlight w:val="none"/>
        </w:rPr>
      </w:pPr>
      <w:r>
        <w:rPr>
          <w:rFonts w:hint="eastAsia"/>
          <w:color w:val="auto"/>
          <w:highlight w:val="none"/>
        </w:rPr>
        <w:t>中标办法</w:t>
      </w:r>
    </w:p>
    <w:p w14:paraId="0D78FFF4">
      <w:pPr>
        <w:spacing w:line="360" w:lineRule="auto"/>
        <w:ind w:firstLine="420" w:firstLineChars="200"/>
        <w:rPr>
          <w:rFonts w:hint="eastAsia" w:ascii="微软雅黑" w:hAnsi="微软雅黑" w:eastAsia="微软雅黑"/>
          <w:b w:val="0"/>
          <w:bCs/>
          <w:color w:val="auto"/>
          <w:szCs w:val="21"/>
          <w:highlight w:val="none"/>
        </w:rPr>
      </w:pPr>
      <w:r>
        <w:rPr>
          <w:rFonts w:hint="eastAsia" w:ascii="微软雅黑" w:hAnsi="微软雅黑" w:eastAsia="微软雅黑"/>
          <w:b w:val="0"/>
          <w:bCs/>
          <w:color w:val="auto"/>
          <w:szCs w:val="21"/>
          <w:highlight w:val="none"/>
        </w:rPr>
        <w:t>投标银行对数据的真实性负责，若投标银行提供虚假数据的，一经核实，取消本期投标资格。</w:t>
      </w:r>
      <w:r>
        <w:rPr>
          <w:rFonts w:hint="eastAsia" w:ascii="微软雅黑" w:hAnsi="微软雅黑" w:eastAsia="微软雅黑" w:cs="微软雅黑"/>
          <w:b w:val="0"/>
          <w:bCs/>
          <w:color w:val="auto"/>
          <w:szCs w:val="21"/>
          <w:highlight w:val="none"/>
        </w:rPr>
        <w:t>中标供应商拒绝与采购人签订合同的或取消中标资格的，确定下一候选供应商为中标供应商，也可以重新开展采购活动。</w:t>
      </w:r>
    </w:p>
    <w:p w14:paraId="5D386AFE">
      <w:pPr>
        <w:pStyle w:val="36"/>
        <w:outlineLvl w:val="9"/>
        <w:rPr>
          <w:rFonts w:hint="eastAsia" w:ascii="微软雅黑" w:hAnsi="微软雅黑" w:cs="黑体"/>
          <w:b w:val="0"/>
          <w:bCs/>
          <w:color w:val="auto"/>
          <w:sz w:val="21"/>
          <w:szCs w:val="21"/>
          <w:highlight w:val="none"/>
        </w:rPr>
        <w:sectPr>
          <w:pgSz w:w="11907" w:h="16840"/>
          <w:pgMar w:top="1440" w:right="1797" w:bottom="1440" w:left="1597" w:header="851" w:footer="851" w:gutter="0"/>
          <w:cols w:space="425" w:num="1"/>
          <w:titlePg/>
          <w:docGrid w:type="lines" w:linePitch="312" w:charSpace="0"/>
        </w:sectPr>
      </w:pPr>
    </w:p>
    <w:p w14:paraId="55CEA260">
      <w:pPr>
        <w:pStyle w:val="36"/>
        <w:rPr>
          <w:color w:val="auto"/>
          <w:highlight w:val="none"/>
        </w:rPr>
      </w:pPr>
      <w:bookmarkStart w:id="124" w:name="_Toc98019294"/>
      <w:r>
        <w:rPr>
          <w:rFonts w:hint="eastAsia"/>
          <w:color w:val="auto"/>
          <w:highlight w:val="none"/>
        </w:rPr>
        <w:t>第五章协议主要条款</w:t>
      </w:r>
      <w:bookmarkEnd w:id="120"/>
      <w:bookmarkEnd w:id="121"/>
      <w:bookmarkEnd w:id="124"/>
    </w:p>
    <w:p w14:paraId="6DE9A18E">
      <w:pPr>
        <w:spacing w:line="360" w:lineRule="auto"/>
        <w:jc w:val="center"/>
        <w:rPr>
          <w:rFonts w:hint="eastAsia" w:ascii="微软雅黑" w:hAnsi="微软雅黑" w:eastAsia="微软雅黑" w:cs="宋体"/>
          <w:b/>
          <w:color w:val="auto"/>
          <w:szCs w:val="21"/>
          <w:highlight w:val="none"/>
        </w:rPr>
      </w:pPr>
      <w:bookmarkStart w:id="125" w:name="_Toc11650188"/>
      <w:r>
        <w:rPr>
          <w:rFonts w:hint="eastAsia" w:ascii="微软雅黑" w:hAnsi="微软雅黑" w:eastAsia="微软雅黑" w:cs="宋体"/>
          <w:b/>
          <w:color w:val="auto"/>
          <w:szCs w:val="21"/>
          <w:highlight w:val="none"/>
        </w:rPr>
        <w:t>（本协议书为样稿，最终稿由双方协商后确定）</w:t>
      </w:r>
    </w:p>
    <w:p w14:paraId="50D4AF94">
      <w:pPr>
        <w:snapToGrid w:val="0"/>
        <w:spacing w:line="360" w:lineRule="auto"/>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w:t>
      </w:r>
    </w:p>
    <w:p w14:paraId="32E539FD">
      <w:pPr>
        <w:snapToGrid w:val="0"/>
        <w:spacing w:line="360" w:lineRule="auto"/>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乙方： </w:t>
      </w:r>
    </w:p>
    <w:p w14:paraId="44996C45">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u w:val="single"/>
        </w:rPr>
      </w:pPr>
      <w:r>
        <w:rPr>
          <w:rFonts w:hint="eastAsia" w:ascii="微软雅黑" w:hAnsi="微软雅黑" w:eastAsia="微软雅黑"/>
          <w:color w:val="auto"/>
          <w:szCs w:val="18"/>
          <w:highlight w:val="none"/>
          <w:lang w:eastAsia="zh-CN"/>
        </w:rPr>
        <w:t>嘉兴市秀洲区人民检察院资金账户招标项目</w:t>
      </w:r>
      <w:r>
        <w:rPr>
          <w:rFonts w:hint="eastAsia" w:ascii="微软雅黑" w:hAnsi="微软雅黑" w:eastAsia="微软雅黑" w:cs="宋体"/>
          <w:color w:val="auto"/>
          <w:kern w:val="0"/>
          <w:szCs w:val="21"/>
          <w:highlight w:val="none"/>
        </w:rPr>
        <w:t>（项目编号：＿＿＿＿＿）以＿＿＿＿＿招标方式实施了招标活动。根据相关法律法规的规定，甲、乙双方同意签署本合同，并共同遵守。该项目相应的招标文件、投标文件和成交通知书为本合同组成部分。</w:t>
      </w:r>
    </w:p>
    <w:p w14:paraId="25EF8DCF">
      <w:pPr>
        <w:snapToGrid w:val="0"/>
        <w:spacing w:line="360" w:lineRule="auto"/>
        <w:ind w:firstLine="411" w:firstLineChars="196"/>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一、总则</w:t>
      </w:r>
    </w:p>
    <w:p w14:paraId="3FE2698D">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第一条  根据《中华人民共和国</w:t>
      </w:r>
      <w:r>
        <w:rPr>
          <w:rFonts w:hint="eastAsia" w:ascii="微软雅黑" w:hAnsi="微软雅黑" w:eastAsia="微软雅黑" w:cs="宋体"/>
          <w:color w:val="auto"/>
          <w:szCs w:val="21"/>
          <w:highlight w:val="none"/>
          <w:lang w:eastAsia="zh-CN"/>
        </w:rPr>
        <w:t>民法典</w:t>
      </w:r>
      <w:r>
        <w:rPr>
          <w:rFonts w:hint="eastAsia" w:ascii="微软雅黑" w:hAnsi="微软雅黑" w:eastAsia="微软雅黑" w:cs="宋体"/>
          <w:color w:val="auto"/>
          <w:szCs w:val="21"/>
          <w:highlight w:val="none"/>
        </w:rPr>
        <w:t>》，经甲、乙双方平等协商，签订本协议。</w:t>
      </w:r>
    </w:p>
    <w:p w14:paraId="201BF81D">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第二条  </w:t>
      </w:r>
      <w:r>
        <w:rPr>
          <w:rFonts w:hint="eastAsia" w:ascii="微软雅黑" w:hAnsi="微软雅黑" w:eastAsia="微软雅黑"/>
          <w:color w:val="auto"/>
          <w:szCs w:val="18"/>
          <w:highlight w:val="none"/>
          <w:lang w:eastAsia="zh-CN"/>
        </w:rPr>
        <w:t>嘉兴市秀洲区人民检察院资金账户招标项目</w:t>
      </w:r>
      <w:r>
        <w:rPr>
          <w:rFonts w:hint="eastAsia" w:ascii="微软雅黑" w:hAnsi="微软雅黑" w:eastAsia="微软雅黑" w:cs="宋体"/>
          <w:color w:val="auto"/>
          <w:szCs w:val="21"/>
          <w:highlight w:val="none"/>
        </w:rPr>
        <w:t>通过公开招标方式择优确定开户银行。</w:t>
      </w:r>
    </w:p>
    <w:p w14:paraId="4803077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二、甲方权利与义务</w:t>
      </w:r>
    </w:p>
    <w:p w14:paraId="3B71C6E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（一）甲方权利主要包括：</w:t>
      </w:r>
    </w:p>
    <w:p w14:paraId="069BA55A">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1、在乙方处办理开户手续；</w:t>
      </w:r>
    </w:p>
    <w:p w14:paraId="4712DFA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2、要求乙方提供存款证明；</w:t>
      </w:r>
    </w:p>
    <w:p w14:paraId="61A56DDE">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3、对乙方资金存款业务实施监督管理。</w:t>
      </w:r>
    </w:p>
    <w:p w14:paraId="6066447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（二）甲方的义务主要包括：</w:t>
      </w:r>
    </w:p>
    <w:p w14:paraId="4D011B9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1、划拨存款资金；</w:t>
      </w:r>
    </w:p>
    <w:p w14:paraId="68D6CB29">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三、乙方权利与义务</w:t>
      </w:r>
    </w:p>
    <w:p w14:paraId="245E195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（一）乙方权利主要包括</w:t>
      </w:r>
    </w:p>
    <w:p w14:paraId="3EE0112A">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1、按规定办理甲方开户手续</w:t>
      </w:r>
    </w:p>
    <w:p w14:paraId="06FF203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（二）乙方义务主要包括</w:t>
      </w:r>
    </w:p>
    <w:p w14:paraId="3AC958AB">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1、按规定为甲方预留印鉴、办理帐户信息备案手续；</w:t>
      </w:r>
    </w:p>
    <w:p w14:paraId="2980E79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2、向甲方提供存款证明；</w:t>
      </w:r>
    </w:p>
    <w:p w14:paraId="68EE3E8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3、存款到期及时足额缴清甲方存款利息；</w:t>
      </w:r>
    </w:p>
    <w:p w14:paraId="5409592B">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4、确保甲方资金存款在乙方存续期间的资金安全；</w:t>
      </w:r>
    </w:p>
    <w:p w14:paraId="103A9804">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5、接受甲方及有关方对资金存款业务的监督管理。</w:t>
      </w:r>
    </w:p>
    <w:p w14:paraId="01B6723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四、乙方对本项目的服务承诺及优惠条件</w:t>
      </w:r>
    </w:p>
    <w:p w14:paraId="426394D8">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乙方必须严格按照以下承诺内容执行。</w:t>
      </w:r>
    </w:p>
    <w:p w14:paraId="35EB9492">
      <w:pPr>
        <w:spacing w:line="360" w:lineRule="auto"/>
        <w:ind w:firstLine="525" w:firstLineChars="250"/>
        <w:jc w:val="left"/>
        <w:rPr>
          <w:rFonts w:hint="eastAsia" w:ascii="微软雅黑" w:hAnsi="微软雅黑" w:eastAsia="微软雅黑" w:cs="宋体"/>
          <w:color w:val="auto"/>
          <w:szCs w:val="21"/>
          <w:highlight w:val="none"/>
          <w:u w:val="single"/>
        </w:rPr>
      </w:pPr>
      <w:r>
        <w:rPr>
          <w:rFonts w:hint="eastAsia" w:ascii="微软雅黑" w:hAnsi="微软雅黑" w:eastAsia="微软雅黑" w:cs="宋体"/>
          <w:color w:val="auto"/>
          <w:szCs w:val="21"/>
          <w:highlight w:val="none"/>
        </w:rPr>
        <w:t>服务承诺及优惠条件：</w:t>
      </w:r>
      <w:r>
        <w:rPr>
          <w:rFonts w:hint="eastAsia" w:ascii="微软雅黑" w:hAnsi="微软雅黑" w:eastAsia="微软雅黑" w:cs="宋体"/>
          <w:color w:val="auto"/>
          <w:szCs w:val="21"/>
          <w:highlight w:val="none"/>
          <w:u w:val="single"/>
        </w:rPr>
        <w:t xml:space="preserve">    （按投标是的服务承诺及优惠条件填写）  </w:t>
      </w:r>
    </w:p>
    <w:p w14:paraId="3F99959B">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五、违约责任</w:t>
      </w:r>
    </w:p>
    <w:p w14:paraId="1BEF979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除发生不可抗力外，违约责任按以下条款执行：</w:t>
      </w:r>
    </w:p>
    <w:p w14:paraId="3E078D1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1、乙方未及时向甲方缴清到期存款本息的，应以当期资金存款利率的两倍折成日利率，按日向甲方支付违约金；</w:t>
      </w:r>
    </w:p>
    <w:p w14:paraId="0AE0F6D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2、乙方有下列情形之一的，甲方有权提前收回存款，并取消乙方在以后各期的竞争性存放投标资格：</w:t>
      </w:r>
    </w:p>
    <w:p w14:paraId="1AF5C87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2.1、</w:t>
      </w:r>
      <w:r>
        <w:rPr>
          <w:rFonts w:hint="eastAsia" w:ascii="微软雅黑" w:hAnsi="微软雅黑" w:eastAsia="微软雅黑" w:cs="宋体"/>
          <w:snapToGrid w:val="0"/>
          <w:color w:val="auto"/>
          <w:spacing w:val="-8"/>
          <w:szCs w:val="21"/>
          <w:highlight w:val="none"/>
        </w:rPr>
        <w:t>出现资金安全事故和重大违法违规情况或财务恶化情况</w:t>
      </w:r>
      <w:r>
        <w:rPr>
          <w:rFonts w:hint="eastAsia" w:ascii="微软雅黑" w:hAnsi="微软雅黑" w:eastAsia="微软雅黑" w:cs="宋体"/>
          <w:color w:val="auto"/>
          <w:szCs w:val="21"/>
          <w:highlight w:val="none"/>
        </w:rPr>
        <w:t>；</w:t>
      </w:r>
    </w:p>
    <w:p w14:paraId="193AA5E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2.2、</w:t>
      </w:r>
      <w:r>
        <w:rPr>
          <w:rFonts w:hint="eastAsia" w:ascii="微软雅黑" w:hAnsi="微软雅黑" w:eastAsia="微软雅黑" w:cs="宋体"/>
          <w:snapToGrid w:val="0"/>
          <w:color w:val="auto"/>
          <w:szCs w:val="21"/>
          <w:highlight w:val="none"/>
        </w:rPr>
        <w:t>监管评级降低，监管部门认为存在较大运营风险的</w:t>
      </w:r>
      <w:r>
        <w:rPr>
          <w:rFonts w:hint="eastAsia" w:ascii="微软雅黑" w:hAnsi="微软雅黑" w:eastAsia="微软雅黑" w:cs="宋体"/>
          <w:color w:val="auto"/>
          <w:szCs w:val="21"/>
          <w:highlight w:val="none"/>
        </w:rPr>
        <w:t>；</w:t>
      </w:r>
    </w:p>
    <w:p w14:paraId="2ECCDE52">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2.3、</w:t>
      </w:r>
      <w:r>
        <w:rPr>
          <w:rFonts w:hint="eastAsia" w:ascii="微软雅黑" w:hAnsi="微软雅黑" w:eastAsia="微软雅黑" w:cs="宋体"/>
          <w:snapToGrid w:val="0"/>
          <w:color w:val="auto"/>
          <w:szCs w:val="21"/>
          <w:highlight w:val="none"/>
        </w:rPr>
        <w:t>存在严重不正当竞标的</w:t>
      </w:r>
      <w:r>
        <w:rPr>
          <w:rFonts w:hint="eastAsia" w:ascii="微软雅黑" w:hAnsi="微软雅黑" w:eastAsia="微软雅黑" w:cs="宋体"/>
          <w:color w:val="auto"/>
          <w:szCs w:val="21"/>
          <w:highlight w:val="none"/>
        </w:rPr>
        <w:t>；</w:t>
      </w:r>
    </w:p>
    <w:p w14:paraId="077D0D2D">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2.4、</w:t>
      </w:r>
      <w:r>
        <w:rPr>
          <w:rFonts w:hint="eastAsia" w:ascii="微软雅黑" w:hAnsi="微软雅黑" w:eastAsia="微软雅黑" w:cs="宋体"/>
          <w:snapToGrid w:val="0"/>
          <w:color w:val="auto"/>
          <w:szCs w:val="21"/>
          <w:highlight w:val="none"/>
        </w:rPr>
        <w:t>没有按照中标协议承诺履行相应的责任和义务的</w:t>
      </w:r>
      <w:r>
        <w:rPr>
          <w:rFonts w:hint="eastAsia" w:ascii="微软雅黑" w:hAnsi="微软雅黑" w:eastAsia="微软雅黑" w:cs="宋体"/>
          <w:color w:val="auto"/>
          <w:szCs w:val="21"/>
          <w:highlight w:val="none"/>
        </w:rPr>
        <w:t>；</w:t>
      </w:r>
    </w:p>
    <w:p w14:paraId="55A69E2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2.5、</w:t>
      </w:r>
      <w:r>
        <w:rPr>
          <w:rFonts w:hint="eastAsia" w:ascii="微软雅黑" w:hAnsi="微软雅黑" w:eastAsia="微软雅黑" w:cs="宋体"/>
          <w:snapToGrid w:val="0"/>
          <w:color w:val="auto"/>
          <w:szCs w:val="21"/>
          <w:highlight w:val="none"/>
        </w:rPr>
        <w:t>不能按规定将到期存款本息足额缴入单位账户的</w:t>
      </w:r>
      <w:r>
        <w:rPr>
          <w:rFonts w:hint="eastAsia" w:ascii="微软雅黑" w:hAnsi="微软雅黑" w:eastAsia="微软雅黑" w:cs="宋体"/>
          <w:color w:val="auto"/>
          <w:szCs w:val="21"/>
          <w:highlight w:val="none"/>
        </w:rPr>
        <w:t>；</w:t>
      </w:r>
    </w:p>
    <w:p w14:paraId="6881F67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2.6、</w:t>
      </w:r>
      <w:r>
        <w:rPr>
          <w:rFonts w:hint="eastAsia" w:ascii="微软雅黑" w:hAnsi="微软雅黑" w:eastAsia="微软雅黑" w:cs="宋体"/>
          <w:snapToGrid w:val="0"/>
          <w:color w:val="auto"/>
          <w:szCs w:val="21"/>
          <w:highlight w:val="none"/>
        </w:rPr>
        <w:t>其他妨碍资金安全行为的</w:t>
      </w:r>
      <w:r>
        <w:rPr>
          <w:rFonts w:hint="eastAsia" w:ascii="微软雅黑" w:hAnsi="微软雅黑" w:eastAsia="微软雅黑" w:cs="宋体"/>
          <w:color w:val="auto"/>
          <w:szCs w:val="21"/>
          <w:highlight w:val="none"/>
        </w:rPr>
        <w:t>。</w:t>
      </w:r>
    </w:p>
    <w:p w14:paraId="093E15C5">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六、提前支取：</w:t>
      </w:r>
    </w:p>
    <w:p w14:paraId="41B49A6E">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经与乙方协商，甲方有权在到期日前提前支取存款，甲方至少在工作日前通知乙方，提前支取金额按支取时国家有关利率政策规定计付利息，存续金额仍按原起息日、期限及存款利率计付利息。</w:t>
      </w:r>
    </w:p>
    <w:p w14:paraId="76FA2F0F">
      <w:pPr>
        <w:spacing w:line="360" w:lineRule="auto"/>
        <w:ind w:left="0" w:leftChars="0"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en-US" w:eastAsia="zh-CN"/>
        </w:rPr>
        <w:t>七、协议有效期内，若利率相关的法律法规、规章政策调整，或中国人民银</w:t>
      </w:r>
      <w:r>
        <w:rPr>
          <w:rFonts w:hint="default" w:ascii="微软雅黑" w:hAnsi="微软雅黑" w:eastAsia="微软雅黑" w:cs="宋体"/>
          <w:color w:val="auto"/>
          <w:szCs w:val="21"/>
          <w:highlight w:val="none"/>
          <w:lang w:val="en-US" w:eastAsia="zh-CN"/>
        </w:rPr>
        <w:t>行存款基准利率、存款自律约定、银行总行存款利率内部授权上限等发生调整（银行存款利率内部授权上限调整，是指银行为满足国家宏观调控目标要求或落实存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最新允许范围上限的利率执行。</w:t>
      </w:r>
    </w:p>
    <w:p w14:paraId="53DAA57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en-US" w:eastAsia="zh-CN"/>
        </w:rPr>
        <w:t>八</w:t>
      </w:r>
      <w:r>
        <w:rPr>
          <w:rFonts w:hint="eastAsia" w:ascii="微软雅黑" w:hAnsi="微软雅黑" w:eastAsia="微软雅黑" w:cs="宋体"/>
          <w:color w:val="auto"/>
          <w:szCs w:val="21"/>
          <w:highlight w:val="none"/>
        </w:rPr>
        <w:t>、 本合同未尽事宜，经甲、乙双方协商一致，订立补充协议。</w:t>
      </w:r>
    </w:p>
    <w:p w14:paraId="4520B56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补充协议为本合同不可分割的部分，具有同等法律效力。</w:t>
      </w:r>
    </w:p>
    <w:p w14:paraId="3224D272">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en-US" w:eastAsia="zh-CN"/>
        </w:rPr>
        <w:t>九</w:t>
      </w:r>
      <w:r>
        <w:rPr>
          <w:rFonts w:hint="eastAsia" w:ascii="微软雅黑" w:hAnsi="微软雅黑" w:eastAsia="微软雅黑" w:cs="宋体"/>
          <w:color w:val="auto"/>
          <w:szCs w:val="21"/>
          <w:highlight w:val="none"/>
        </w:rPr>
        <w:t>、 本合同一式四份，甲方执二份，乙方执二份，经双方代表签字、盖章后即生效。</w:t>
      </w:r>
    </w:p>
    <w:p w14:paraId="5C89F9FF">
      <w:pPr>
        <w:snapToGrid w:val="0"/>
        <w:spacing w:line="360" w:lineRule="auto"/>
        <w:jc w:val="left"/>
        <w:rPr>
          <w:rFonts w:hint="eastAsia" w:ascii="微软雅黑" w:hAnsi="微软雅黑" w:eastAsia="微软雅黑" w:cs="宋体"/>
          <w:color w:val="auto"/>
          <w:szCs w:val="21"/>
          <w:highlight w:val="none"/>
        </w:rPr>
      </w:pPr>
    </w:p>
    <w:p w14:paraId="57318A32">
      <w:pPr>
        <w:snapToGrid w:val="0"/>
        <w:spacing w:line="360" w:lineRule="auto"/>
        <w:jc w:val="left"/>
        <w:rPr>
          <w:rFonts w:hint="eastAsia" w:ascii="微软雅黑" w:hAnsi="微软雅黑" w:eastAsia="微软雅黑" w:cs="宋体"/>
          <w:color w:val="auto"/>
          <w:szCs w:val="21"/>
          <w:highlight w:val="none"/>
        </w:rPr>
      </w:pPr>
    </w:p>
    <w:p w14:paraId="0D39E13A">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乙方：      </w:t>
      </w:r>
    </w:p>
    <w:p w14:paraId="0C60C6E3">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代表：                                 代表：</w:t>
      </w:r>
    </w:p>
    <w:p w14:paraId="4232A88C">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邮编：                                 邮编：</w:t>
      </w:r>
    </w:p>
    <w:p w14:paraId="5D96CDB2">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电话                                   电话：</w:t>
      </w:r>
    </w:p>
    <w:p w14:paraId="5E9D38BB">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传真：                                 传真：</w:t>
      </w:r>
    </w:p>
    <w:p w14:paraId="57D339E0">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地址:                                   地址:</w:t>
      </w:r>
    </w:p>
    <w:p w14:paraId="0E744AC8">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帐号：                                 帐号：</w:t>
      </w:r>
    </w:p>
    <w:p w14:paraId="5D0006ED">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开户行：                               开户行：</w:t>
      </w:r>
    </w:p>
    <w:p w14:paraId="40CF3E39">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年  月  日                           年  月  日</w:t>
      </w:r>
    </w:p>
    <w:p w14:paraId="556B9D7E">
      <w:pPr>
        <w:snapToGrid w:val="0"/>
        <w:spacing w:line="360" w:lineRule="auto"/>
        <w:ind w:firstLine="420" w:firstLineChars="200"/>
        <w:jc w:val="left"/>
        <w:rPr>
          <w:rFonts w:hint="eastAsia" w:ascii="微软雅黑" w:hAnsi="微软雅黑" w:eastAsia="微软雅黑" w:cs="宋体"/>
          <w:color w:val="auto"/>
          <w:szCs w:val="21"/>
          <w:highlight w:val="none"/>
        </w:rPr>
      </w:pPr>
    </w:p>
    <w:p w14:paraId="7B08D418">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cols w:space="425" w:num="1"/>
          <w:titlePg/>
          <w:docGrid w:type="lines" w:linePitch="312" w:charSpace="0"/>
        </w:sectPr>
      </w:pPr>
    </w:p>
    <w:p w14:paraId="7EFF44AA">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08C99216">
      <w:pPr>
        <w:spacing w:line="540" w:lineRule="exact"/>
        <w:jc w:val="center"/>
        <w:rPr>
          <w:rFonts w:hint="eastAsia" w:ascii="微软雅黑" w:hAnsi="微软雅黑" w:eastAsia="微软雅黑" w:cs="仿宋_GB2312"/>
          <w:color w:val="auto"/>
          <w:szCs w:val="21"/>
          <w:highlight w:val="none"/>
        </w:rPr>
      </w:pPr>
    </w:p>
    <w:p w14:paraId="1D6D08AE">
      <w:pPr>
        <w:topLinePunct/>
        <w:spacing w:line="560" w:lineRule="exact"/>
        <w:rPr>
          <w:rFonts w:hint="eastAsia" w:ascii="微软雅黑" w:hAnsi="微软雅黑" w:eastAsia="微软雅黑"/>
          <w:color w:val="auto"/>
          <w:highlight w:val="none"/>
        </w:rPr>
      </w:pPr>
      <w:r>
        <w:rPr>
          <w:rFonts w:hint="eastAsia" w:ascii="微软雅黑" w:hAnsi="微软雅黑" w:eastAsia="微软雅黑"/>
          <w:color w:val="auto"/>
          <w:highlight w:val="none"/>
        </w:rPr>
        <w:t>部门（单位）：</w:t>
      </w:r>
    </w:p>
    <w:p w14:paraId="34017FA0">
      <w:pPr>
        <w:topLinePunct/>
        <w:spacing w:line="560" w:lineRule="exact"/>
        <w:ind w:firstLine="420" w:firstLineChars="200"/>
        <w:rPr>
          <w:rFonts w:hint="eastAsia" w:ascii="微软雅黑" w:hAnsi="微软雅黑" w:eastAsia="微软雅黑"/>
          <w:color w:val="auto"/>
          <w:highlight w:val="none"/>
        </w:rPr>
      </w:pPr>
      <w:r>
        <w:rPr>
          <w:rFonts w:hint="eastAsia" w:ascii="微软雅黑" w:hAnsi="微软雅黑" w:eastAsia="微软雅黑"/>
          <w:color w:val="auto"/>
          <w:highlight w:val="none"/>
        </w:rPr>
        <w:t>根据《秀洲区区级财政部门和行政事业单位资金竞争性存放管理办法》（秀洲财执库〔2018〕239号）相关规定，现就本行参加贵单位</w:t>
      </w:r>
      <w:r>
        <w:rPr>
          <w:rFonts w:hint="eastAsia" w:ascii="微软雅黑" w:hAnsi="微软雅黑" w:eastAsia="微软雅黑" w:cs="宋体"/>
          <w:b/>
          <w:color w:val="auto"/>
          <w:szCs w:val="21"/>
          <w:highlight w:val="none"/>
          <w:lang w:eastAsia="zh-CN"/>
        </w:rPr>
        <w:t>嘉兴市秀洲区人民检察院资金账户招标项目</w:t>
      </w:r>
      <w:r>
        <w:rPr>
          <w:rFonts w:hint="eastAsia" w:ascii="微软雅黑" w:hAnsi="微软雅黑" w:eastAsia="微软雅黑"/>
          <w:color w:val="auto"/>
          <w:highlight w:val="none"/>
        </w:rPr>
        <w:t>作出如下承诺：</w:t>
      </w:r>
    </w:p>
    <w:p w14:paraId="6C51088F">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1</w:t>
      </w:r>
      <w:r>
        <w:rPr>
          <w:rFonts w:hint="eastAsia" w:ascii="微软雅黑" w:hAnsi="微软雅黑" w:eastAsia="微软雅黑"/>
          <w:color w:val="auto"/>
          <w:highlight w:val="none"/>
        </w:rPr>
        <w:t>、不向贵部门（单位）负责资金存放管理的领导及相关人员进行利益输送；</w:t>
      </w:r>
    </w:p>
    <w:p w14:paraId="5734E20C">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2</w:t>
      </w:r>
      <w:r>
        <w:rPr>
          <w:rFonts w:hint="eastAsia" w:ascii="微软雅黑" w:hAnsi="微软雅黑" w:eastAsia="微软雅黑"/>
          <w:color w:val="auto"/>
          <w:highlight w:val="none"/>
        </w:rPr>
        <w:t>、不将资金存放与贵部门（单位）负责资金存放管理的领导及相关人员在本行的配偶、子女及其配偶和其他直接利益相关人员的业绩、收入、晋升等利益挂钩；</w:t>
      </w:r>
    </w:p>
    <w:p w14:paraId="4B11A71B">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3</w:t>
      </w:r>
      <w:r>
        <w:rPr>
          <w:rFonts w:hint="eastAsia" w:ascii="微软雅黑" w:hAnsi="微软雅黑" w:eastAsia="微软雅黑"/>
          <w:color w:val="auto"/>
          <w:highlight w:val="none"/>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34FBB785">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4</w:t>
      </w:r>
      <w:r>
        <w:rPr>
          <w:rFonts w:hint="eastAsia" w:ascii="微软雅黑" w:hAnsi="微软雅黑" w:eastAsia="微软雅黑"/>
          <w:color w:val="auto"/>
          <w:highlight w:val="none"/>
        </w:rPr>
        <w:t>、不发生除上述行为之外的其他任何利益输送行为。</w:t>
      </w:r>
    </w:p>
    <w:p w14:paraId="47E90601">
      <w:pPr>
        <w:topLinePunct/>
        <w:spacing w:line="560" w:lineRule="exact"/>
        <w:ind w:firstLine="630"/>
        <w:rPr>
          <w:rFonts w:hint="eastAsia" w:ascii="微软雅黑" w:hAnsi="微软雅黑" w:eastAsia="微软雅黑"/>
          <w:color w:val="auto"/>
          <w:highlight w:val="none"/>
        </w:rPr>
      </w:pPr>
      <w:r>
        <w:rPr>
          <w:rFonts w:hint="eastAsia" w:ascii="微软雅黑" w:hAnsi="微软雅黑" w:eastAsia="微软雅黑"/>
          <w:color w:val="auto"/>
          <w:highlight w:val="none"/>
        </w:rPr>
        <w:t>未遵守以上承诺的，本行自愿接受财政部门通报和处理，承担相应的一切后果。</w:t>
      </w:r>
    </w:p>
    <w:p w14:paraId="1A03F623">
      <w:pPr>
        <w:topLinePunct/>
        <w:spacing w:line="560" w:lineRule="exact"/>
        <w:ind w:firstLine="630"/>
        <w:rPr>
          <w:rFonts w:hint="eastAsia" w:ascii="微软雅黑" w:hAnsi="微软雅黑" w:eastAsia="微软雅黑"/>
          <w:color w:val="auto"/>
          <w:highlight w:val="none"/>
        </w:rPr>
      </w:pPr>
    </w:p>
    <w:p w14:paraId="54EEF285">
      <w:pPr>
        <w:topLinePunct/>
        <w:spacing w:line="560" w:lineRule="exact"/>
        <w:ind w:firstLine="630"/>
        <w:rPr>
          <w:rFonts w:hint="eastAsia" w:ascii="微软雅黑" w:hAnsi="微软雅黑" w:eastAsia="微软雅黑"/>
          <w:color w:val="auto"/>
          <w:highlight w:val="none"/>
        </w:rPr>
      </w:pPr>
    </w:p>
    <w:p w14:paraId="39291888">
      <w:pPr>
        <w:topLinePunct/>
        <w:spacing w:line="560" w:lineRule="exact"/>
        <w:jc w:val="right"/>
        <w:rPr>
          <w:rFonts w:hint="eastAsia" w:ascii="微软雅黑" w:hAnsi="微软雅黑" w:eastAsia="微软雅黑"/>
          <w:color w:val="auto"/>
          <w:highlight w:val="none"/>
        </w:rPr>
      </w:pPr>
      <w:r>
        <w:rPr>
          <w:rFonts w:hint="eastAsia" w:ascii="微软雅黑" w:hAnsi="微软雅黑" w:eastAsia="微软雅黑"/>
          <w:color w:val="auto"/>
          <w:highlight w:val="none"/>
        </w:rPr>
        <w:t>银行（公章）</w:t>
      </w:r>
    </w:p>
    <w:p w14:paraId="439343D3">
      <w:pPr>
        <w:pStyle w:val="36"/>
        <w:jc w:val="right"/>
        <w:outlineLvl w:val="9"/>
        <w:rPr>
          <w:b w:val="0"/>
          <w:color w:val="auto"/>
          <w:sz w:val="21"/>
          <w:szCs w:val="21"/>
          <w:highlight w:val="none"/>
        </w:rPr>
      </w:pPr>
      <w:r>
        <w:rPr>
          <w:rFonts w:hint="eastAsia" w:ascii="微软雅黑" w:hAnsi="微软雅黑"/>
          <w:b w:val="0"/>
          <w:color w:val="auto"/>
          <w:sz w:val="21"/>
          <w:szCs w:val="21"/>
          <w:highlight w:val="none"/>
        </w:rPr>
        <w:t xml:space="preserve">年 </w:t>
      </w:r>
      <w:r>
        <w:rPr>
          <w:rFonts w:ascii="微软雅黑" w:hAnsi="微软雅黑"/>
          <w:b w:val="0"/>
          <w:color w:val="auto"/>
          <w:sz w:val="21"/>
          <w:szCs w:val="21"/>
          <w:highlight w:val="none"/>
        </w:rPr>
        <w:t xml:space="preserve">  </w:t>
      </w:r>
      <w:r>
        <w:rPr>
          <w:rFonts w:hint="eastAsia" w:ascii="微软雅黑" w:hAnsi="微软雅黑"/>
          <w:b w:val="0"/>
          <w:color w:val="auto"/>
          <w:sz w:val="21"/>
          <w:szCs w:val="21"/>
          <w:highlight w:val="none"/>
        </w:rPr>
        <w:t xml:space="preserve">月 </w:t>
      </w:r>
      <w:r>
        <w:rPr>
          <w:rFonts w:ascii="微软雅黑" w:hAnsi="微软雅黑"/>
          <w:b w:val="0"/>
          <w:color w:val="auto"/>
          <w:sz w:val="21"/>
          <w:szCs w:val="21"/>
          <w:highlight w:val="none"/>
        </w:rPr>
        <w:t xml:space="preserve">  </w:t>
      </w:r>
      <w:r>
        <w:rPr>
          <w:rFonts w:hint="eastAsia" w:ascii="微软雅黑" w:hAnsi="微软雅黑"/>
          <w:b w:val="0"/>
          <w:color w:val="auto"/>
          <w:sz w:val="21"/>
          <w:szCs w:val="21"/>
          <w:highlight w:val="none"/>
        </w:rPr>
        <w:t>日</w:t>
      </w:r>
    </w:p>
    <w:p w14:paraId="032F3582">
      <w:pPr>
        <w:pStyle w:val="36"/>
        <w:outlineLvl w:val="9"/>
        <w:rPr>
          <w:color w:val="auto"/>
          <w:highlight w:val="none"/>
        </w:rPr>
      </w:pPr>
    </w:p>
    <w:p w14:paraId="51A66574">
      <w:pPr>
        <w:pStyle w:val="36"/>
        <w:outlineLvl w:val="9"/>
        <w:rPr>
          <w:color w:val="auto"/>
          <w:highlight w:val="none"/>
        </w:rPr>
      </w:pPr>
    </w:p>
    <w:p w14:paraId="6A95E4D5">
      <w:pPr>
        <w:pStyle w:val="36"/>
        <w:outlineLvl w:val="9"/>
        <w:rPr>
          <w:color w:val="auto"/>
          <w:highlight w:val="none"/>
        </w:rPr>
      </w:pPr>
    </w:p>
    <w:p w14:paraId="0D5097A3">
      <w:pPr>
        <w:pStyle w:val="36"/>
        <w:outlineLvl w:val="9"/>
        <w:rPr>
          <w:color w:val="auto"/>
          <w:highlight w:val="none"/>
        </w:rPr>
        <w:sectPr>
          <w:pgSz w:w="11907" w:h="16840"/>
          <w:pgMar w:top="1440" w:right="1797" w:bottom="1440" w:left="1797" w:header="851" w:footer="851" w:gutter="0"/>
          <w:cols w:space="425" w:num="1"/>
          <w:titlePg/>
          <w:docGrid w:type="lines" w:linePitch="312" w:charSpace="0"/>
        </w:sectPr>
      </w:pPr>
    </w:p>
    <w:p w14:paraId="62910D4C">
      <w:pPr>
        <w:pStyle w:val="36"/>
        <w:rPr>
          <w:color w:val="auto"/>
          <w:highlight w:val="none"/>
        </w:rPr>
      </w:pPr>
      <w:bookmarkStart w:id="126" w:name="_Toc98019297"/>
      <w:r>
        <w:rPr>
          <w:rFonts w:hint="eastAsia"/>
          <w:color w:val="auto"/>
          <w:highlight w:val="none"/>
        </w:rPr>
        <w:t>第六章　投标文件格式</w:t>
      </w:r>
      <w:bookmarkEnd w:id="125"/>
      <w:bookmarkEnd w:id="126"/>
    </w:p>
    <w:p w14:paraId="3CE8794B">
      <w:pPr>
        <w:snapToGrid w:val="0"/>
        <w:spacing w:before="50" w:after="50"/>
        <w:rPr>
          <w:rFonts w:hint="eastAsia" w:ascii="微软雅黑" w:hAnsi="微软雅黑" w:eastAsia="微软雅黑"/>
          <w:color w:val="auto"/>
          <w:szCs w:val="21"/>
          <w:highlight w:val="none"/>
        </w:rPr>
      </w:pPr>
    </w:p>
    <w:p w14:paraId="5074C298">
      <w:pPr>
        <w:snapToGrid w:val="0"/>
        <w:spacing w:before="156" w:beforeLines="50" w:after="50"/>
        <w:outlineLvl w:val="1"/>
        <w:rPr>
          <w:rFonts w:hint="eastAsia" w:ascii="微软雅黑" w:hAnsi="微软雅黑" w:eastAsia="微软雅黑"/>
          <w:b/>
          <w:bCs/>
          <w:color w:val="auto"/>
          <w:szCs w:val="21"/>
          <w:highlight w:val="none"/>
        </w:rPr>
      </w:pPr>
      <w:bookmarkStart w:id="127" w:name="_Toc9342498"/>
      <w:bookmarkStart w:id="128" w:name="_Toc98019298"/>
      <w:bookmarkStart w:id="129" w:name="_Toc11650189"/>
      <w:r>
        <w:rPr>
          <w:rFonts w:hint="eastAsia" w:ascii="微软雅黑" w:hAnsi="微软雅黑" w:eastAsia="微软雅黑"/>
          <w:b/>
          <w:bCs/>
          <w:color w:val="auto"/>
          <w:szCs w:val="21"/>
          <w:highlight w:val="none"/>
        </w:rPr>
        <w:t>一、投标文件外层包装封面格式</w:t>
      </w:r>
      <w:bookmarkEnd w:id="127"/>
      <w:bookmarkEnd w:id="128"/>
      <w:bookmarkEnd w:id="129"/>
    </w:p>
    <w:p w14:paraId="09BD7A51">
      <w:pPr>
        <w:snapToGrid w:val="0"/>
        <w:spacing w:before="156" w:beforeLines="50" w:after="50" w:line="360" w:lineRule="auto"/>
        <w:jc w:val="center"/>
        <w:rPr>
          <w:rFonts w:hint="eastAsia" w:ascii="微软雅黑" w:hAnsi="微软雅黑" w:eastAsia="微软雅黑"/>
          <w:b/>
          <w:bCs/>
          <w:color w:val="auto"/>
          <w:szCs w:val="21"/>
          <w:highlight w:val="none"/>
        </w:rPr>
      </w:pPr>
    </w:p>
    <w:p w14:paraId="1A079110">
      <w:pPr>
        <w:snapToGrid w:val="0"/>
        <w:spacing w:before="156" w:beforeLines="50" w:after="50" w:line="360" w:lineRule="auto"/>
        <w:rPr>
          <w:rFonts w:hint="eastAsia" w:ascii="微软雅黑" w:hAnsi="微软雅黑" w:eastAsia="微软雅黑"/>
          <w:bCs/>
          <w:color w:val="auto"/>
          <w:szCs w:val="21"/>
          <w:highlight w:val="none"/>
        </w:rPr>
      </w:pPr>
    </w:p>
    <w:p w14:paraId="01ACE2FC">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嘉兴市秀洲区人民检察院资金账户招标项目</w:t>
      </w:r>
    </w:p>
    <w:p w14:paraId="4DB09E4E">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lang w:val="en-US" w:eastAsia="zh-CN"/>
        </w:rPr>
        <w:t xml:space="preserve"> </w:t>
      </w:r>
    </w:p>
    <w:p w14:paraId="1385BF69">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436B925A">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005F3170">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在    年  月  日时分之前不得启封</w:t>
      </w:r>
    </w:p>
    <w:p w14:paraId="076B40F2">
      <w:pPr>
        <w:pStyle w:val="5"/>
        <w:snapToGrid w:val="0"/>
        <w:spacing w:before="50" w:after="50" w:line="360" w:lineRule="auto"/>
        <w:ind w:firstLine="0"/>
        <w:rPr>
          <w:rFonts w:hint="eastAsia" w:ascii="微软雅黑" w:hAnsi="微软雅黑" w:eastAsia="微软雅黑"/>
          <w:bCs/>
          <w:color w:val="auto"/>
          <w:szCs w:val="21"/>
          <w:highlight w:val="none"/>
        </w:rPr>
      </w:pPr>
    </w:p>
    <w:p w14:paraId="4BF25F60">
      <w:pPr>
        <w:pStyle w:val="5"/>
        <w:snapToGrid w:val="0"/>
        <w:spacing w:before="50" w:after="50" w:line="360" w:lineRule="auto"/>
        <w:ind w:firstLine="934" w:firstLineChars="445"/>
        <w:rPr>
          <w:rFonts w:hint="eastAsia" w:ascii="微软雅黑" w:hAnsi="微软雅黑" w:eastAsia="微软雅黑"/>
          <w:bCs/>
          <w:color w:val="auto"/>
          <w:szCs w:val="21"/>
          <w:highlight w:val="none"/>
        </w:rPr>
      </w:pPr>
    </w:p>
    <w:p w14:paraId="39A6CD57">
      <w:pPr>
        <w:pStyle w:val="5"/>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54AE7BD2">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3D14D411">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127A0C6C">
      <w:pPr>
        <w:snapToGrid w:val="0"/>
        <w:spacing w:before="156" w:beforeLines="50" w:after="50"/>
        <w:rPr>
          <w:rFonts w:hint="eastAsia" w:ascii="微软雅黑" w:hAnsi="微软雅黑" w:eastAsia="微软雅黑"/>
          <w:b/>
          <w:color w:val="auto"/>
          <w:szCs w:val="21"/>
          <w:highlight w:val="none"/>
        </w:rPr>
      </w:pPr>
    </w:p>
    <w:p w14:paraId="691A2AE4">
      <w:pPr>
        <w:snapToGrid w:val="0"/>
        <w:spacing w:before="156" w:beforeLines="50" w:after="50"/>
        <w:rPr>
          <w:rFonts w:hint="eastAsia" w:ascii="微软雅黑" w:hAnsi="微软雅黑" w:eastAsia="微软雅黑"/>
          <w:b/>
          <w:color w:val="auto"/>
          <w:szCs w:val="21"/>
          <w:highlight w:val="none"/>
        </w:rPr>
      </w:pPr>
    </w:p>
    <w:p w14:paraId="4DA9F29C">
      <w:pPr>
        <w:snapToGrid w:val="0"/>
        <w:spacing w:before="156" w:beforeLines="50" w:after="50"/>
        <w:rPr>
          <w:rFonts w:hint="eastAsia" w:ascii="微软雅黑" w:hAnsi="微软雅黑" w:eastAsia="微软雅黑"/>
          <w:b/>
          <w:color w:val="auto"/>
          <w:szCs w:val="21"/>
          <w:highlight w:val="none"/>
        </w:rPr>
      </w:pPr>
    </w:p>
    <w:p w14:paraId="32AC7722">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54B4196D">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0B5993CC">
      <w:pPr>
        <w:snapToGrid w:val="0"/>
        <w:spacing w:line="360" w:lineRule="auto"/>
        <w:jc w:val="center"/>
        <w:rPr>
          <w:rFonts w:hint="eastAsia" w:ascii="微软雅黑" w:hAnsi="微软雅黑" w:eastAsia="微软雅黑"/>
          <w:b/>
          <w:color w:val="auto"/>
          <w:szCs w:val="21"/>
          <w:highlight w:val="none"/>
        </w:rPr>
      </w:pPr>
    </w:p>
    <w:p w14:paraId="3567296B">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0DBC028A">
      <w:pPr>
        <w:snapToGrid w:val="0"/>
        <w:spacing w:line="360" w:lineRule="auto"/>
        <w:jc w:val="center"/>
        <w:rPr>
          <w:rFonts w:hint="eastAsia" w:ascii="微软雅黑" w:hAnsi="微软雅黑" w:eastAsia="微软雅黑"/>
          <w:b/>
          <w:color w:val="auto"/>
          <w:szCs w:val="21"/>
          <w:highlight w:val="none"/>
        </w:rPr>
      </w:pPr>
    </w:p>
    <w:p w14:paraId="71316B6E">
      <w:pPr>
        <w:snapToGrid w:val="0"/>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p>
    <w:p w14:paraId="466E5445">
      <w:pPr>
        <w:snapToGrid w:val="0"/>
        <w:spacing w:line="500" w:lineRule="exact"/>
        <w:ind w:firstLine="735" w:firstLineChars="35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4CAA2703">
      <w:pPr>
        <w:snapToGrid w:val="0"/>
        <w:spacing w:line="5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（投标人名称）的法定代表人（负责人），我方愿意参加贵方组织的</w:t>
      </w:r>
      <w:r>
        <w:rPr>
          <w:rFonts w:hint="eastAsia" w:ascii="微软雅黑" w:hAnsi="微软雅黑" w:eastAsia="微软雅黑" w:cs="Arial"/>
          <w:b/>
          <w:color w:val="auto"/>
          <w:szCs w:val="21"/>
          <w:highlight w:val="none"/>
          <w:u w:val="single"/>
          <w:lang w:eastAsia="zh-CN"/>
        </w:rPr>
        <w:t>嘉兴市秀洲区人民检察院资金账户招标项目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2904EB69">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4F94BBC0">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06D5B19F">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b/>
          <w:color w:val="auto"/>
          <w:szCs w:val="21"/>
          <w:highlight w:val="none"/>
          <w:u w:val="single"/>
          <w:lang w:val="en-US" w:eastAsia="zh-CN"/>
        </w:rPr>
        <w:t>账户</w:t>
      </w:r>
      <w:r>
        <w:rPr>
          <w:rFonts w:hint="eastAsia" w:ascii="微软雅黑" w:hAnsi="微软雅黑" w:eastAsia="微软雅黑"/>
          <w:b/>
          <w:color w:val="auto"/>
          <w:szCs w:val="21"/>
          <w:highlight w:val="none"/>
          <w:u w:val="single"/>
          <w:lang w:eastAsia="zh-CN"/>
        </w:rPr>
        <w:t>招标</w:t>
      </w:r>
      <w:r>
        <w:rPr>
          <w:rFonts w:hint="eastAsia" w:ascii="微软雅黑" w:hAnsi="微软雅黑" w:eastAsia="微软雅黑"/>
          <w:color w:val="auto"/>
          <w:szCs w:val="21"/>
          <w:highlight w:val="none"/>
        </w:rPr>
        <w:t>；</w:t>
      </w:r>
    </w:p>
    <w:p w14:paraId="1E3D4CC0">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采用条款费率为：</w:t>
      </w:r>
      <w:r>
        <w:rPr>
          <w:rFonts w:hint="eastAsia" w:ascii="微软雅黑" w:hAnsi="微软雅黑" w:eastAsia="微软雅黑"/>
          <w:color w:val="auto"/>
          <w:szCs w:val="21"/>
          <w:highlight w:val="none"/>
          <w:u w:val="single"/>
        </w:rPr>
        <w:t>按中国人民银行公布的存款基准</w:t>
      </w:r>
      <w:r>
        <w:rPr>
          <w:rFonts w:hint="eastAsia" w:ascii="微软雅黑" w:hAnsi="微软雅黑" w:eastAsia="微软雅黑"/>
          <w:color w:val="auto"/>
          <w:szCs w:val="21"/>
          <w:highlight w:val="none"/>
          <w:u w:val="single"/>
          <w:lang w:val="en-US" w:eastAsia="zh-CN"/>
        </w:rPr>
        <w:t>浮动</w:t>
      </w:r>
      <w:r>
        <w:rPr>
          <w:rFonts w:hint="eastAsia" w:ascii="微软雅黑" w:hAnsi="微软雅黑" w:eastAsia="微软雅黑"/>
          <w:color w:val="auto"/>
          <w:szCs w:val="21"/>
          <w:highlight w:val="none"/>
          <w:u w:val="single"/>
        </w:rPr>
        <w:t>后利率</w:t>
      </w:r>
      <w:r>
        <w:rPr>
          <w:rFonts w:hint="eastAsia" w:ascii="微软雅黑" w:hAnsi="微软雅黑" w:eastAsia="微软雅黑"/>
          <w:color w:val="auto"/>
          <w:szCs w:val="21"/>
          <w:highlight w:val="none"/>
        </w:rPr>
        <w:t>；</w:t>
      </w:r>
    </w:p>
    <w:p w14:paraId="5CEC53F7">
      <w:pPr>
        <w:pStyle w:val="18"/>
        <w:numPr>
          <w:ilvl w:val="0"/>
          <w:numId w:val="32"/>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10C46345">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07B4A456">
      <w:pPr>
        <w:snapToGrid w:val="0"/>
        <w:spacing w:line="500" w:lineRule="exact"/>
        <w:ind w:firstLine="200"/>
        <w:rPr>
          <w:rFonts w:hint="eastAsia" w:ascii="微软雅黑" w:hAnsi="微软雅黑" w:eastAsia="微软雅黑"/>
          <w:color w:val="auto"/>
          <w:szCs w:val="21"/>
          <w:highlight w:val="none"/>
        </w:rPr>
      </w:pPr>
    </w:p>
    <w:p w14:paraId="19AAD365">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6DCAAEEC">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3BAA7518">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4E455C39">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5C9C4167">
      <w:pPr>
        <w:snapToGrid w:val="0"/>
        <w:spacing w:before="156" w:beforeLines="50" w:after="50"/>
        <w:jc w:val="center"/>
        <w:rPr>
          <w:rFonts w:hint="eastAsia" w:ascii="微软雅黑" w:hAnsi="微软雅黑" w:eastAsia="微软雅黑"/>
          <w:color w:val="auto"/>
          <w:szCs w:val="21"/>
          <w:highlight w:val="none"/>
        </w:rPr>
      </w:pPr>
    </w:p>
    <w:p w14:paraId="1B3F9854">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137A2625">
      <w:pPr>
        <w:snapToGrid w:val="0"/>
        <w:spacing w:line="360" w:lineRule="auto"/>
        <w:rPr>
          <w:rFonts w:hint="eastAsia" w:ascii="微软雅黑" w:hAnsi="微软雅黑" w:eastAsia="微软雅黑"/>
          <w:bCs/>
          <w:color w:val="auto"/>
          <w:szCs w:val="21"/>
          <w:highlight w:val="none"/>
        </w:rPr>
      </w:pPr>
    </w:p>
    <w:p w14:paraId="78222D38">
      <w:pPr>
        <w:snapToGrid w:val="0"/>
        <w:spacing w:line="360" w:lineRule="auto"/>
        <w:rPr>
          <w:rFonts w:hint="eastAsia" w:ascii="微软雅黑" w:hAnsi="微软雅黑" w:eastAsia="微软雅黑"/>
          <w:b/>
          <w:bCs/>
          <w:color w:val="auto"/>
          <w:szCs w:val="21"/>
          <w:highlight w:val="none"/>
        </w:rPr>
      </w:pPr>
      <w:r>
        <w:rPr>
          <w:rFonts w:hint="eastAsia" w:ascii="微软雅黑" w:hAnsi="微软雅黑" w:eastAsia="微软雅黑"/>
          <w:bCs/>
          <w:color w:val="auto"/>
          <w:szCs w:val="21"/>
          <w:highlight w:val="none"/>
        </w:rPr>
        <w:t>致：</w:t>
      </w:r>
    </w:p>
    <w:p w14:paraId="326E4AF4">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（投标人名称）的法定代表人（负责人），现授权委托本单位在职职工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（姓名）以我方的名义参加</w:t>
      </w:r>
      <w:r>
        <w:rPr>
          <w:rFonts w:hint="eastAsia" w:ascii="微软雅黑" w:hAnsi="微软雅黑" w:eastAsia="微软雅黑"/>
          <w:b/>
          <w:bCs/>
          <w:color w:val="auto"/>
          <w:szCs w:val="21"/>
          <w:highlight w:val="none"/>
          <w:u w:val="single"/>
          <w:lang w:eastAsia="zh-CN"/>
        </w:rPr>
        <w:t>嘉兴市秀洲区人民检察院资金账户招标项目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4771461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15CCDC2C">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279BEBE7">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38D6D39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62260B69">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被授权人签名：</w:t>
      </w:r>
    </w:p>
    <w:p w14:paraId="246ADF5D">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被授权人手机：</w:t>
      </w:r>
    </w:p>
    <w:p w14:paraId="16EC5A61">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56045B99">
      <w:pPr>
        <w:snapToGrid w:val="0"/>
        <w:spacing w:line="360" w:lineRule="auto"/>
        <w:rPr>
          <w:rFonts w:hint="eastAsia" w:ascii="微软雅黑" w:hAnsi="微软雅黑" w:eastAsia="微软雅黑"/>
          <w:color w:val="auto"/>
          <w:szCs w:val="21"/>
          <w:highlight w:val="none"/>
        </w:rPr>
      </w:pPr>
    </w:p>
    <w:p w14:paraId="1B9D56D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4AFF13F2">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2A429441">
      <w:pPr>
        <w:snapToGrid w:val="0"/>
        <w:spacing w:line="360" w:lineRule="auto"/>
        <w:rPr>
          <w:rFonts w:hint="eastAsia" w:ascii="微软雅黑" w:hAnsi="微软雅黑" w:eastAsia="微软雅黑"/>
          <w:color w:val="auto"/>
          <w:szCs w:val="21"/>
          <w:highlight w:val="none"/>
        </w:rPr>
      </w:pPr>
    </w:p>
    <w:p w14:paraId="15541AE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17E914F1">
      <w:pPr>
        <w:snapToGrid w:val="0"/>
        <w:spacing w:line="360" w:lineRule="auto"/>
        <w:rPr>
          <w:rFonts w:hint="eastAsia" w:ascii="微软雅黑" w:hAnsi="微软雅黑" w:eastAsia="微软雅黑"/>
          <w:color w:val="auto"/>
          <w:szCs w:val="21"/>
          <w:highlight w:val="none"/>
        </w:rPr>
      </w:pPr>
    </w:p>
    <w:p w14:paraId="4563DCCC">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54DCD5A1">
      <w:pPr>
        <w:snapToGrid w:val="0"/>
        <w:spacing w:line="360" w:lineRule="auto"/>
        <w:rPr>
          <w:rFonts w:hint="eastAsia" w:ascii="微软雅黑" w:hAnsi="微软雅黑" w:eastAsia="微软雅黑"/>
          <w:color w:val="auto"/>
          <w:szCs w:val="21"/>
          <w:highlight w:val="none"/>
        </w:rPr>
      </w:pPr>
    </w:p>
    <w:p w14:paraId="2CF9F70A">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四、投标函格式</w:t>
      </w:r>
    </w:p>
    <w:p w14:paraId="1871738A">
      <w:pPr>
        <w:snapToGrid w:val="0"/>
        <w:spacing w:before="156" w:beforeLines="50" w:after="50"/>
        <w:rPr>
          <w:rFonts w:hint="eastAsia" w:ascii="微软雅黑" w:hAnsi="微软雅黑" w:eastAsia="微软雅黑"/>
          <w:b/>
          <w:color w:val="auto"/>
          <w:szCs w:val="21"/>
          <w:highlight w:val="none"/>
        </w:rPr>
      </w:pPr>
    </w:p>
    <w:p w14:paraId="496248BA">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058BFC21">
      <w:pPr>
        <w:snapToGrid w:val="0"/>
        <w:spacing w:line="360" w:lineRule="auto"/>
        <w:rPr>
          <w:rFonts w:hint="eastAsia" w:ascii="微软雅黑" w:hAnsi="微软雅黑" w:eastAsia="微软雅黑"/>
          <w:color w:val="auto"/>
          <w:szCs w:val="21"/>
          <w:highlight w:val="none"/>
        </w:rPr>
      </w:pPr>
    </w:p>
    <w:p w14:paraId="02784C17">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嘉兴市秀洲区人民检察院</w:t>
      </w:r>
      <w:r>
        <w:rPr>
          <w:rFonts w:hint="eastAsia" w:ascii="微软雅黑" w:hAnsi="微软雅黑" w:eastAsia="微软雅黑"/>
          <w:color w:val="auto"/>
          <w:szCs w:val="21"/>
          <w:highlight w:val="none"/>
        </w:rPr>
        <w:t>：</w:t>
      </w:r>
    </w:p>
    <w:p w14:paraId="0106F9DA">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嘉兴市秀洲区人民检察院资金账户招标项目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，被授权人（姓名）经正式授权并代表投标人</w:t>
      </w:r>
      <w:r>
        <w:rPr>
          <w:rFonts w:hint="eastAsia" w:ascii="微软雅黑" w:hAnsi="微软雅黑" w:eastAsia="微软雅黑"/>
          <w:color w:val="auto"/>
          <w:szCs w:val="21"/>
          <w:highlight w:val="none"/>
          <w:u w:val="single"/>
        </w:rPr>
        <w:t xml:space="preserve">_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49B1A3F0">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2EC480BB">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765EE322">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58AC33C6">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0AE3B763">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2EFA0362">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06A654B5">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2DC832C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地址：___________________邮编：_________传真：_________</w:t>
      </w:r>
    </w:p>
    <w:p w14:paraId="77C8293B">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0964EAF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3E017406">
      <w:pPr>
        <w:snapToGrid w:val="0"/>
        <w:spacing w:line="360" w:lineRule="auto"/>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7340DD64">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年___月___日</w:t>
      </w:r>
    </w:p>
    <w:p w14:paraId="71B5E8D0">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五、投标报价表格式</w:t>
      </w:r>
    </w:p>
    <w:p w14:paraId="71C7B05E">
      <w:pPr>
        <w:spacing w:line="500" w:lineRule="exact"/>
        <w:ind w:firstLine="420" w:firstLineChars="200"/>
        <w:jc w:val="center"/>
        <w:rPr>
          <w:rFonts w:hint="eastAsia" w:ascii="微软雅黑" w:hAnsi="微软雅黑" w:eastAsia="微软雅黑"/>
          <w:b/>
          <w:color w:val="auto"/>
          <w:szCs w:val="21"/>
          <w:highlight w:val="none"/>
          <w:lang w:eastAsia="zh-CN"/>
        </w:rPr>
      </w:pPr>
      <w:r>
        <w:rPr>
          <w:rFonts w:hint="eastAsia" w:ascii="微软雅黑" w:hAnsi="微软雅黑" w:eastAsia="微软雅黑"/>
          <w:b/>
          <w:color w:val="auto"/>
          <w:szCs w:val="21"/>
          <w:highlight w:val="none"/>
          <w:lang w:eastAsia="zh-CN"/>
        </w:rPr>
        <w:t>嘉兴市秀洲区人民检察院资金账户招标项目</w:t>
      </w:r>
    </w:p>
    <w:p w14:paraId="43E1CAD3">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32C18FD7">
      <w:pPr>
        <w:spacing w:line="400" w:lineRule="exact"/>
        <w:jc w:val="center"/>
        <w:rPr>
          <w:rFonts w:hint="eastAsia" w:ascii="微软雅黑" w:hAnsi="微软雅黑" w:eastAsia="微软雅黑"/>
          <w:color w:val="auto"/>
          <w:szCs w:val="21"/>
          <w:highlight w:val="none"/>
          <w:u w:val="single"/>
        </w:rPr>
      </w:pPr>
    </w:p>
    <w:p w14:paraId="375FE0C8">
      <w:pPr>
        <w:spacing w:line="4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lang w:eastAsia="zh-CN"/>
        </w:rPr>
        <w:t>嘉兴市秀洲区人民检察院</w:t>
      </w:r>
    </w:p>
    <w:p w14:paraId="29FC6556">
      <w:pPr>
        <w:spacing w:line="4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6070CBF9">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投标人名称：________________________________________________</w:t>
      </w:r>
    </w:p>
    <w:p w14:paraId="4E5C02CD">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72BCEB9B">
      <w:pPr>
        <w:spacing w:line="400" w:lineRule="exact"/>
        <w:rPr>
          <w:rFonts w:hint="eastAsia" w:ascii="微软雅黑" w:hAnsi="微软雅黑" w:eastAsia="微软雅黑"/>
          <w:color w:val="auto"/>
          <w:szCs w:val="21"/>
          <w:highlight w:val="none"/>
        </w:rPr>
      </w:pP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5BA5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7368270D">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（存期）</w:t>
            </w:r>
          </w:p>
        </w:tc>
        <w:tc>
          <w:tcPr>
            <w:tcW w:w="2216" w:type="dxa"/>
            <w:vAlign w:val="center"/>
          </w:tcPr>
          <w:p w14:paraId="63097C71">
            <w:pPr>
              <w:spacing w:line="560" w:lineRule="exact"/>
              <w:ind w:right="84" w:rightChars="4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央行基准利率</w:t>
            </w:r>
          </w:p>
        </w:tc>
        <w:tc>
          <w:tcPr>
            <w:tcW w:w="2835" w:type="dxa"/>
            <w:vAlign w:val="center"/>
          </w:tcPr>
          <w:p w14:paraId="3AD4D0F8">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基准</w:t>
            </w:r>
            <w:r>
              <w:rPr>
                <w:rFonts w:hint="eastAsia" w:ascii="微软雅黑" w:hAnsi="微软雅黑" w:eastAsia="微软雅黑"/>
                <w:color w:val="auto"/>
                <w:szCs w:val="21"/>
                <w:highlight w:val="none"/>
                <w:lang w:val="en-US" w:eastAsia="zh-CN"/>
              </w:rPr>
              <w:t>浮动</w:t>
            </w:r>
            <w:r>
              <w:rPr>
                <w:rFonts w:hint="eastAsia" w:ascii="微软雅黑" w:hAnsi="微软雅黑" w:eastAsia="微软雅黑"/>
                <w:color w:val="auto"/>
                <w:szCs w:val="21"/>
                <w:highlight w:val="none"/>
              </w:rPr>
              <w:t>后利率（%）</w:t>
            </w:r>
          </w:p>
        </w:tc>
        <w:tc>
          <w:tcPr>
            <w:tcW w:w="993" w:type="dxa"/>
            <w:vAlign w:val="center"/>
          </w:tcPr>
          <w:p w14:paraId="75C381C2">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w:t>
            </w:r>
          </w:p>
        </w:tc>
      </w:tr>
      <w:tr w14:paraId="793C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605CF82D">
            <w:pPr>
              <w:snapToGrid w:val="0"/>
              <w:spacing w:line="460" w:lineRule="exact"/>
              <w:jc w:val="center"/>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活期利率</w:t>
            </w:r>
          </w:p>
        </w:tc>
        <w:tc>
          <w:tcPr>
            <w:tcW w:w="2216" w:type="dxa"/>
          </w:tcPr>
          <w:p w14:paraId="2855502E">
            <w:pPr>
              <w:spacing w:line="560" w:lineRule="exact"/>
              <w:rPr>
                <w:rFonts w:hint="eastAsia" w:ascii="微软雅黑" w:hAnsi="微软雅黑" w:eastAsia="微软雅黑"/>
                <w:color w:val="auto"/>
                <w:szCs w:val="21"/>
                <w:highlight w:val="none"/>
              </w:rPr>
            </w:pPr>
          </w:p>
        </w:tc>
        <w:tc>
          <w:tcPr>
            <w:tcW w:w="2835" w:type="dxa"/>
            <w:vAlign w:val="center"/>
          </w:tcPr>
          <w:p w14:paraId="0A2659A1">
            <w:pPr>
              <w:spacing w:line="560" w:lineRule="exact"/>
              <w:rPr>
                <w:rFonts w:hint="eastAsia" w:ascii="微软雅黑" w:hAnsi="微软雅黑" w:eastAsia="微软雅黑"/>
                <w:color w:val="auto"/>
                <w:szCs w:val="21"/>
                <w:highlight w:val="none"/>
              </w:rPr>
            </w:pPr>
          </w:p>
        </w:tc>
        <w:tc>
          <w:tcPr>
            <w:tcW w:w="993" w:type="dxa"/>
          </w:tcPr>
          <w:p w14:paraId="64BAB206">
            <w:pPr>
              <w:spacing w:line="400" w:lineRule="exact"/>
              <w:rPr>
                <w:rFonts w:hint="eastAsia" w:ascii="微软雅黑" w:hAnsi="微软雅黑" w:eastAsia="微软雅黑"/>
                <w:color w:val="auto"/>
                <w:szCs w:val="21"/>
                <w:highlight w:val="none"/>
              </w:rPr>
            </w:pPr>
          </w:p>
        </w:tc>
      </w:tr>
      <w:tr w14:paraId="322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7118ED84">
            <w:pPr>
              <w:snapToGrid w:val="0"/>
              <w:spacing w:line="460" w:lineRule="exact"/>
              <w:jc w:val="center"/>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协定利率</w:t>
            </w:r>
          </w:p>
        </w:tc>
        <w:tc>
          <w:tcPr>
            <w:tcW w:w="2216" w:type="dxa"/>
          </w:tcPr>
          <w:p w14:paraId="11BCFE65">
            <w:pPr>
              <w:spacing w:line="560" w:lineRule="exact"/>
              <w:rPr>
                <w:rFonts w:hint="eastAsia" w:ascii="微软雅黑" w:hAnsi="微软雅黑" w:eastAsia="微软雅黑"/>
                <w:color w:val="auto"/>
                <w:szCs w:val="21"/>
                <w:highlight w:val="none"/>
              </w:rPr>
            </w:pPr>
          </w:p>
        </w:tc>
        <w:tc>
          <w:tcPr>
            <w:tcW w:w="2835" w:type="dxa"/>
            <w:vAlign w:val="center"/>
          </w:tcPr>
          <w:p w14:paraId="32A77002">
            <w:pPr>
              <w:spacing w:line="560" w:lineRule="exact"/>
              <w:rPr>
                <w:rFonts w:hint="eastAsia" w:ascii="微软雅黑" w:hAnsi="微软雅黑" w:eastAsia="微软雅黑"/>
                <w:color w:val="auto"/>
                <w:szCs w:val="21"/>
                <w:highlight w:val="none"/>
              </w:rPr>
            </w:pPr>
          </w:p>
        </w:tc>
        <w:tc>
          <w:tcPr>
            <w:tcW w:w="993" w:type="dxa"/>
          </w:tcPr>
          <w:p w14:paraId="2970D885">
            <w:pPr>
              <w:spacing w:line="400" w:lineRule="exact"/>
              <w:rPr>
                <w:rFonts w:hint="eastAsia" w:ascii="微软雅黑" w:hAnsi="微软雅黑" w:eastAsia="微软雅黑"/>
                <w:color w:val="auto"/>
                <w:szCs w:val="21"/>
                <w:highlight w:val="none"/>
              </w:rPr>
            </w:pPr>
          </w:p>
        </w:tc>
      </w:tr>
    </w:tbl>
    <w:p w14:paraId="2FDB6924">
      <w:pPr>
        <w:spacing w:line="400" w:lineRule="exact"/>
        <w:rPr>
          <w:rFonts w:hint="eastAsia" w:ascii="微软雅黑" w:hAnsi="微软雅黑" w:eastAsia="微软雅黑"/>
          <w:color w:val="auto"/>
          <w:szCs w:val="21"/>
          <w:highlight w:val="none"/>
        </w:rPr>
      </w:pPr>
    </w:p>
    <w:p w14:paraId="6472E03D">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6653185E">
      <w:pPr>
        <w:spacing w:line="400" w:lineRule="exact"/>
        <w:rPr>
          <w:rFonts w:hint="eastAsia" w:ascii="微软雅黑" w:hAnsi="微软雅黑" w:eastAsia="微软雅黑"/>
          <w:color w:val="auto"/>
          <w:szCs w:val="21"/>
          <w:highlight w:val="none"/>
        </w:rPr>
      </w:pPr>
    </w:p>
    <w:p w14:paraId="37A77BD0">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0FA604B9">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3B805026">
      <w:pPr>
        <w:spacing w:line="400" w:lineRule="exact"/>
        <w:rPr>
          <w:rFonts w:hint="eastAsia" w:ascii="微软雅黑" w:hAnsi="微软雅黑" w:eastAsia="微软雅黑"/>
          <w:color w:val="auto"/>
          <w:szCs w:val="21"/>
          <w:highlight w:val="none"/>
        </w:rPr>
      </w:pPr>
    </w:p>
    <w:p w14:paraId="49A82838">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4C3E554E">
      <w:pPr>
        <w:spacing w:line="4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1、</w:t>
      </w: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eastAsia="zh-CN"/>
        </w:rPr>
        <w:t>，</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
          <w:color w:val="auto"/>
          <w:szCs w:val="21"/>
          <w:highlight w:val="none"/>
          <w:shd w:val="pct10" w:color="auto" w:fill="FFFFFF"/>
          <w:lang w:eastAsia="zh-CN"/>
        </w:rPr>
        <w:t>。</w:t>
      </w:r>
    </w:p>
    <w:p w14:paraId="75630A74">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存款年利率最多保留3位小数。</w:t>
      </w:r>
    </w:p>
    <w:p w14:paraId="352B3C95">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、本投标书填写须清晰，不得涂改。</w:t>
      </w:r>
    </w:p>
    <w:p w14:paraId="47EC7526">
      <w:pPr>
        <w:spacing w:line="400" w:lineRule="exact"/>
        <w:rPr>
          <w:rFonts w:hint="eastAsia" w:ascii="微软雅黑" w:hAnsi="微软雅黑" w:eastAsia="微软雅黑"/>
          <w:color w:val="auto"/>
          <w:szCs w:val="21"/>
          <w:highlight w:val="none"/>
        </w:rPr>
      </w:pPr>
    </w:p>
    <w:p w14:paraId="1FDA94DA">
      <w:pPr>
        <w:pStyle w:val="22"/>
        <w:snapToGrid w:val="0"/>
        <w:spacing w:beforeLines="0" w:afterLines="0" w:line="24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cols w:space="425" w:num="1"/>
          <w:titlePg/>
          <w:docGrid w:type="lines" w:linePitch="312" w:charSpace="0"/>
        </w:sectPr>
      </w:pPr>
    </w:p>
    <w:p w14:paraId="4B87D829">
      <w:pPr>
        <w:pStyle w:val="22"/>
        <w:numPr>
          <w:ilvl w:val="0"/>
          <w:numId w:val="33"/>
        </w:numPr>
        <w:snapToGrid w:val="0"/>
        <w:spacing w:beforeLines="0" w:afterLines="0" w:line="240" w:lineRule="auto"/>
        <w:rPr>
          <w:rFonts w:hint="eastAsia" w:ascii="微软雅黑" w:hAnsi="微软雅黑" w:eastAsia="微软雅黑"/>
          <w:b/>
          <w:color w:val="auto"/>
          <w:sz w:val="21"/>
          <w:szCs w:val="21"/>
          <w:highlight w:val="none"/>
          <w:lang w:val="en-US" w:eastAsia="zh-CN"/>
        </w:rPr>
      </w:pPr>
      <w:r>
        <w:rPr>
          <w:rFonts w:hint="eastAsia" w:ascii="微软雅黑" w:hAnsi="微软雅黑" w:eastAsia="微软雅黑"/>
          <w:b/>
          <w:color w:val="auto"/>
          <w:sz w:val="21"/>
          <w:szCs w:val="21"/>
          <w:highlight w:val="none"/>
          <w:lang w:val="en-US" w:eastAsia="zh-CN"/>
        </w:rPr>
        <w:t>各投标银行按评分内容提供证明材料及承诺 。</w:t>
      </w:r>
    </w:p>
    <w:p w14:paraId="465AF200">
      <w:pPr>
        <w:pStyle w:val="22"/>
        <w:numPr>
          <w:ilvl w:val="0"/>
          <w:numId w:val="0"/>
        </w:numPr>
        <w:snapToGrid w:val="0"/>
        <w:spacing w:beforeLines="0" w:afterLines="0" w:line="240" w:lineRule="auto"/>
        <w:rPr>
          <w:rFonts w:hint="default" w:ascii="微软雅黑" w:hAnsi="微软雅黑" w:eastAsia="微软雅黑"/>
          <w:b/>
          <w:color w:val="auto"/>
          <w:sz w:val="21"/>
          <w:szCs w:val="21"/>
          <w:highlight w:val="none"/>
          <w:lang w:val="en-US" w:eastAsia="zh-CN"/>
        </w:rPr>
      </w:pPr>
    </w:p>
    <w:p w14:paraId="5634A19E">
      <w:pPr>
        <w:pStyle w:val="22"/>
        <w:numPr>
          <w:ilvl w:val="0"/>
          <w:numId w:val="0"/>
        </w:numPr>
        <w:snapToGrid w:val="0"/>
        <w:spacing w:beforeLines="0" w:afterLines="0" w:line="240" w:lineRule="auto"/>
        <w:rPr>
          <w:rFonts w:hint="default" w:ascii="微软雅黑" w:hAnsi="微软雅黑" w:eastAsia="微软雅黑"/>
          <w:b/>
          <w:color w:val="auto"/>
          <w:sz w:val="21"/>
          <w:szCs w:val="21"/>
          <w:highlight w:val="none"/>
          <w:lang w:val="en-US" w:eastAsia="zh-CN"/>
        </w:rPr>
      </w:pPr>
    </w:p>
    <w:p w14:paraId="5D295D42">
      <w:pPr>
        <w:pStyle w:val="22"/>
        <w:snapToGrid w:val="0"/>
        <w:spacing w:beforeLines="0" w:afterLines="0" w:line="240" w:lineRule="auto"/>
        <w:rPr>
          <w:rFonts w:hint="eastAsia" w:ascii="微软雅黑" w:hAnsi="微软雅黑" w:eastAsia="微软雅黑"/>
          <w:b/>
          <w:color w:val="auto"/>
          <w:sz w:val="21"/>
          <w:szCs w:val="21"/>
          <w:highlight w:val="none"/>
          <w:lang w:val="en-US" w:eastAsia="zh-CN"/>
        </w:rPr>
      </w:pPr>
    </w:p>
    <w:p w14:paraId="47D44DB4">
      <w:pPr>
        <w:pStyle w:val="22"/>
        <w:snapToGrid w:val="0"/>
        <w:spacing w:beforeLines="0" w:afterLines="0" w:line="240" w:lineRule="auto"/>
        <w:rPr>
          <w:rFonts w:hint="eastAsia" w:ascii="微软雅黑" w:hAnsi="微软雅黑" w:eastAsia="微软雅黑"/>
          <w:b/>
          <w:color w:val="auto"/>
          <w:sz w:val="21"/>
          <w:szCs w:val="21"/>
          <w:highlight w:val="none"/>
          <w:lang w:val="en-US" w:eastAsia="zh-CN"/>
        </w:rPr>
        <w:sectPr>
          <w:pgSz w:w="11907" w:h="16840"/>
          <w:pgMar w:top="1440" w:right="1797" w:bottom="1440" w:left="1797" w:header="851" w:footer="851" w:gutter="0"/>
          <w:cols w:space="425" w:num="1"/>
          <w:titlePg/>
          <w:docGrid w:type="lines" w:linePitch="312" w:charSpace="0"/>
        </w:sectPr>
      </w:pPr>
    </w:p>
    <w:p w14:paraId="7746CE9B">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lang w:val="en-US" w:eastAsia="zh-CN"/>
        </w:rPr>
        <w:t>七</w:t>
      </w:r>
      <w:r>
        <w:rPr>
          <w:rFonts w:hint="eastAsia" w:ascii="微软雅黑" w:hAnsi="微软雅黑" w:eastAsia="微软雅黑"/>
          <w:b/>
          <w:color w:val="auto"/>
          <w:sz w:val="21"/>
          <w:szCs w:val="21"/>
          <w:highlight w:val="none"/>
        </w:rPr>
        <w:t>、投标银行报名表格式</w:t>
      </w:r>
    </w:p>
    <w:p w14:paraId="68854F3B">
      <w:pPr>
        <w:pStyle w:val="35"/>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1"/>
          <w:rFonts w:hint="eastAsia" w:ascii="微软雅黑" w:hAnsi="微软雅黑" w:eastAsia="微软雅黑" w:cs="黑体"/>
          <w:color w:val="auto"/>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7D0A6ABA">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A599532">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C9C91D6">
            <w:pPr>
              <w:jc w:val="left"/>
              <w:rPr>
                <w:rFonts w:hint="eastAsia" w:ascii="微软雅黑" w:hAnsi="微软雅黑" w:eastAsia="微软雅黑" w:cs="-apple-system"/>
                <w:color w:val="auto"/>
                <w:szCs w:val="21"/>
                <w:highlight w:val="none"/>
              </w:rPr>
            </w:pPr>
          </w:p>
        </w:tc>
      </w:tr>
      <w:tr w14:paraId="1BF3B6CE">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E5023B5">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F9492A3">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A0686B4">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9F3B6DA">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D07D896">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0E7BC0C">
            <w:pPr>
              <w:jc w:val="left"/>
              <w:rPr>
                <w:rFonts w:hint="eastAsia" w:ascii="微软雅黑" w:hAnsi="微软雅黑" w:eastAsia="微软雅黑" w:cs="-apple-system"/>
                <w:color w:val="auto"/>
                <w:szCs w:val="21"/>
                <w:highlight w:val="none"/>
              </w:rPr>
            </w:pPr>
          </w:p>
        </w:tc>
      </w:tr>
      <w:tr w14:paraId="723B2FEB">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5792A9CD">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5F647ACA">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8668628">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5600ED8">
            <w:pPr>
              <w:jc w:val="left"/>
              <w:rPr>
                <w:rFonts w:hint="eastAsia" w:ascii="微软雅黑" w:hAnsi="微软雅黑" w:eastAsia="微软雅黑" w:cs="-apple-system"/>
                <w:color w:val="auto"/>
                <w:szCs w:val="21"/>
                <w:highlight w:val="none"/>
              </w:rPr>
            </w:pPr>
          </w:p>
        </w:tc>
      </w:tr>
      <w:tr w14:paraId="6805F087">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1B13EAEA">
            <w:pPr>
              <w:pStyle w:val="35"/>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71EA71E1">
            <w:pPr>
              <w:adjustRightInd w:val="0"/>
              <w:snapToGrid w:val="0"/>
              <w:spacing w:line="4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我公司报名参加贵公司的</w:t>
            </w:r>
            <w:r>
              <w:rPr>
                <w:rFonts w:hint="eastAsia" w:ascii="微软雅黑" w:hAnsi="微软雅黑" w:eastAsia="微软雅黑"/>
                <w:color w:val="auto"/>
                <w:highlight w:val="none"/>
                <w:u w:val="single"/>
                <w:lang w:eastAsia="zh-CN"/>
              </w:rPr>
              <w:t>嘉兴市秀洲区人民检察院资金账户招标项目</w:t>
            </w:r>
            <w:r>
              <w:rPr>
                <w:rFonts w:hint="eastAsia" w:ascii="微软雅黑" w:hAnsi="微软雅黑" w:eastAsia="微软雅黑" w:cs="仿宋_GB2312"/>
                <w:color w:val="auto"/>
                <w:szCs w:val="21"/>
                <w:highlight w:val="none"/>
              </w:rPr>
              <w:t>（项目编号为</w:t>
            </w:r>
            <w:r>
              <w:rPr>
                <w:rFonts w:hint="eastAsia" w:ascii="微软雅黑" w:hAnsi="微软雅黑" w:eastAsia="微软雅黑"/>
                <w:bCs/>
                <w:color w:val="auto"/>
                <w:szCs w:val="21"/>
                <w:highlight w:val="none"/>
                <w:u w:val="single"/>
                <w:lang w:eastAsia="zh-CN"/>
              </w:rPr>
              <w:t>千秋-XZCF（2025）第05号</w:t>
            </w:r>
            <w:r>
              <w:rPr>
                <w:rFonts w:hint="eastAsia" w:ascii="微软雅黑" w:hAnsi="微软雅黑" w:eastAsia="微软雅黑" w:cs="仿宋_GB2312"/>
                <w:color w:val="auto"/>
                <w:szCs w:val="21"/>
                <w:highlight w:val="none"/>
              </w:rPr>
              <w:t>）的招标活动。</w:t>
            </w:r>
          </w:p>
          <w:p w14:paraId="317F6257">
            <w:pPr>
              <w:spacing w:line="460" w:lineRule="exact"/>
              <w:rPr>
                <w:rFonts w:hint="eastAsia" w:ascii="微软雅黑" w:hAnsi="微软雅黑" w:eastAsia="微软雅黑" w:cs="仿宋"/>
                <w:color w:val="auto"/>
                <w:szCs w:val="21"/>
                <w:highlight w:val="none"/>
              </w:rPr>
            </w:pPr>
            <w:r>
              <w:rPr>
                <w:rStyle w:val="41"/>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6CCAE98A">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w:t>
            </w:r>
          </w:p>
          <w:p w14:paraId="5F110178">
            <w:pPr>
              <w:spacing w:line="460" w:lineRule="exact"/>
              <w:rPr>
                <w:rFonts w:hint="eastAsia" w:ascii="微软雅黑" w:hAnsi="微软雅黑" w:eastAsia="微软雅黑" w:cs="仿宋"/>
                <w:color w:val="auto"/>
                <w:szCs w:val="21"/>
                <w:highlight w:val="none"/>
              </w:rPr>
            </w:pPr>
          </w:p>
          <w:p w14:paraId="0F224206">
            <w:pPr>
              <w:spacing w:line="460" w:lineRule="exact"/>
              <w:rPr>
                <w:rFonts w:hint="eastAsia" w:ascii="微软雅黑" w:hAnsi="微软雅黑" w:eastAsia="微软雅黑" w:cs="仿宋"/>
                <w:color w:val="auto"/>
                <w:szCs w:val="21"/>
                <w:highlight w:val="none"/>
              </w:rPr>
            </w:pPr>
          </w:p>
          <w:p w14:paraId="55166615">
            <w:pPr>
              <w:pStyle w:val="35"/>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51A9C333">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50A6C8F3">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1CD15BEB">
            <w:pPr>
              <w:pStyle w:val="35"/>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76D2101C">
            <w:pPr>
              <w:pStyle w:val="35"/>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法人代表或负责人签字或盖章：</w:t>
            </w:r>
            <w:r>
              <w:rPr>
                <w:rFonts w:hint="eastAsia" w:ascii="微软雅黑" w:hAnsi="微软雅黑" w:eastAsia="微软雅黑"/>
                <w:color w:val="auto"/>
                <w:kern w:val="2"/>
                <w:sz w:val="21"/>
                <w:szCs w:val="21"/>
                <w:highlight w:val="none"/>
                <w:u w:val="single"/>
              </w:rPr>
              <w:t>         </w:t>
            </w:r>
          </w:p>
          <w:p w14:paraId="764F8679">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66F7102">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47505E6B">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 202</w:t>
            </w:r>
            <w:r>
              <w:rPr>
                <w:rFonts w:hint="eastAsia" w:ascii="微软雅黑" w:hAnsi="微软雅黑" w:eastAsia="微软雅黑" w:cs="仿宋_GB2312"/>
                <w:color w:val="auto"/>
                <w:kern w:val="2"/>
                <w:sz w:val="21"/>
                <w:szCs w:val="21"/>
                <w:highlight w:val="none"/>
                <w:lang w:val="en-US" w:eastAsia="zh-CN"/>
              </w:rPr>
              <w:t>5</w:t>
            </w:r>
            <w:r>
              <w:rPr>
                <w:rFonts w:hint="eastAsia" w:ascii="微软雅黑" w:hAnsi="微软雅黑" w:eastAsia="微软雅黑" w:cs="仿宋_GB2312"/>
                <w:color w:val="auto"/>
                <w:kern w:val="2"/>
                <w:sz w:val="21"/>
                <w:szCs w:val="21"/>
                <w:highlight w:val="none"/>
              </w:rPr>
              <w:t>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65A236E0">
      <w:pPr>
        <w:rPr>
          <w:rFonts w:hint="eastAsia" w:ascii="微软雅黑" w:hAnsi="微软雅黑" w:eastAsia="微软雅黑"/>
          <w:color w:val="auto"/>
          <w:szCs w:val="21"/>
          <w:highlight w:val="none"/>
        </w:rPr>
      </w:pPr>
    </w:p>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59E8F0-FA9F-425F-AA17-2A676078F9F6}"/>
  </w:font>
  <w:font w:name="黑体">
    <w:panose1 w:val="02010609060101010101"/>
    <w:charset w:val="86"/>
    <w:family w:val="auto"/>
    <w:pitch w:val="default"/>
    <w:sig w:usb0="800002BF" w:usb1="38CF7CFA" w:usb2="00000016" w:usb3="00000000" w:csb0="00040001" w:csb1="00000000"/>
    <w:embedRegular r:id="rId2" w:fontKey="{CC2D1A76-CD93-436B-86CD-E49D63A1D6FA}"/>
  </w:font>
  <w:font w:name="Courier New">
    <w:panose1 w:val="02070309020205020404"/>
    <w:charset w:val="01"/>
    <w:family w:val="modern"/>
    <w:pitch w:val="default"/>
    <w:sig w:usb0="E0002EFF" w:usb1="C0007843" w:usb2="00000009" w:usb3="00000000" w:csb0="400001FF" w:csb1="FFFF0000"/>
    <w:embedRegular r:id="rId3" w:fontKey="{93F51C08-6169-49E7-87C3-E034D85BEA5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ACDDEE54-347C-454D-8A1C-49F6B0F57C42}"/>
  </w:font>
  <w:font w:name="仿宋_GB2312">
    <w:panose1 w:val="02010609030101010101"/>
    <w:charset w:val="86"/>
    <w:family w:val="modern"/>
    <w:pitch w:val="default"/>
    <w:sig w:usb0="00000001" w:usb1="080E0000" w:usb2="00000000" w:usb3="00000000" w:csb0="00040000" w:csb1="00000000"/>
    <w:embedRegular r:id="rId5" w:fontKey="{3D499DB4-6954-46F6-BB40-C1F6FED9AAF9}"/>
  </w:font>
  <w:font w:name="楷体_GB2312">
    <w:altName w:val="楷体"/>
    <w:panose1 w:val="00000000000000000000"/>
    <w:charset w:val="86"/>
    <w:family w:val="modern"/>
    <w:pitch w:val="default"/>
    <w:sig w:usb0="00000000" w:usb1="00000000" w:usb2="00000010" w:usb3="00000000" w:csb0="00040000" w:csb1="00000000"/>
    <w:embedRegular r:id="rId6" w:fontKey="{F01D03B7-772C-4843-A8A6-2A5961EA553A}"/>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7" w:fontKey="{7EAFB7FE-4CEA-4997-82C4-D87AF7D7A0A7}"/>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embedRegular r:id="rId8" w:fontKey="{5CE489E6-B247-41A9-BD85-02EA78F3354B}"/>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embedRegular r:id="rId9" w:fontKey="{33B9E47F-E8E9-4AA1-9B08-AE513D8E0723}"/>
  </w:font>
  <w:font w:name="方正小标宋简体">
    <w:panose1 w:val="03000509000000000000"/>
    <w:charset w:val="86"/>
    <w:family w:val="auto"/>
    <w:pitch w:val="default"/>
    <w:sig w:usb0="00000001" w:usb1="080E0000" w:usb2="00000000" w:usb3="00000000" w:csb0="00040000" w:csb1="00000000"/>
    <w:embedRegular r:id="rId10" w:fontKey="{5848D374-B56E-4E83-AAFB-FDFAC2867CAE}"/>
  </w:font>
  <w:font w:name="-apple-system">
    <w:altName w:val="微软雅黑"/>
    <w:panose1 w:val="00000000000000000000"/>
    <w:charset w:val="00"/>
    <w:family w:val="auto"/>
    <w:pitch w:val="default"/>
    <w:sig w:usb0="00000000" w:usb1="00000000" w:usb2="00000000" w:usb3="00000000" w:csb0="00040001" w:csb1="00000000"/>
    <w:embedRegular r:id="rId11" w:fontKey="{C1CE9B6D-A4D8-4728-8AC1-11775445B905}"/>
  </w:font>
  <w:font w:name="仿宋">
    <w:panose1 w:val="02010609060101010101"/>
    <w:charset w:val="86"/>
    <w:family w:val="modern"/>
    <w:pitch w:val="default"/>
    <w:sig w:usb0="800002BF" w:usb1="38CF7CFA" w:usb2="00000016" w:usb3="00000000" w:csb0="00040001" w:csb1="00000000"/>
    <w:embedRegular r:id="rId12" w:fontKey="{4A6409F5-CBDE-49A8-AECF-E9DF58F5AA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9256"/>
    </w:sdtPr>
    <w:sdtContent>
      <w:p w14:paraId="43B69D85">
        <w:pPr>
          <w:pStyle w:val="26"/>
          <w:jc w:val="right"/>
        </w:pPr>
        <w:r>
          <w:rPr>
            <w:lang w:val="zh-CN"/>
          </w:rPr>
          <w:fldChar w:fldCharType="begin"/>
        </w:r>
        <w:r>
          <w:rPr>
            <w:lang w:val="zh-CN"/>
          </w:rPr>
          <w:instrText xml:space="preserve"> PAGE   \* MERGEFORMAT </w:instrText>
        </w:r>
        <w:r>
          <w:rPr>
            <w:lang w:val="zh-CN"/>
          </w:rPr>
          <w:fldChar w:fldCharType="separate"/>
        </w:r>
        <w:r>
          <w:rPr>
            <w:lang w:val="zh-CN"/>
          </w:rPr>
          <w:t>17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41C2">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36855D2B">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8573">
    <w:pPr>
      <w:pStyle w:val="26"/>
      <w:jc w:val="right"/>
    </w:pPr>
  </w:p>
  <w:p w14:paraId="4D58742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0740">
    <w:pPr>
      <w:pStyle w:val="26"/>
      <w:jc w:val="right"/>
    </w:pPr>
    <w:r>
      <w:rPr>
        <w:rFonts w:hint="eastAsia"/>
      </w:rPr>
      <w:t>32</w:t>
    </w:r>
  </w:p>
  <w:p w14:paraId="236C89A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C760">
    <w:pPr>
      <w:pStyle w:val="27"/>
      <w:jc w:val="right"/>
      <w:rPr>
        <w:rFonts w:hint="eastAsia" w:ascii="微软雅黑" w:hAnsi="微软雅黑" w:eastAsia="微软雅黑"/>
        <w:szCs w:val="18"/>
      </w:rPr>
    </w:pPr>
    <w:r>
      <w:rPr>
        <w:rFonts w:ascii="微软雅黑" w:hAnsi="微软雅黑" w:eastAsia="微软雅黑"/>
        <w:szCs w:val="18"/>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-235585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嘉兴市秀洲区人民检察院资金账户招标项目</w:t>
    </w:r>
    <w:r>
      <w:rPr>
        <w:rFonts w:hint="eastAsia" w:ascii="微软雅黑" w:hAnsi="微软雅黑" w:eastAsia="微软雅黑"/>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125E">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09E2">
    <w:pPr>
      <w:pStyle w:val="27"/>
      <w:jc w:val="right"/>
      <w:rPr>
        <w:szCs w:val="18"/>
      </w:rPr>
    </w:pPr>
    <w:r>
      <w:rPr>
        <w:rFonts w:ascii="微软雅黑" w:hAnsi="微软雅黑" w:eastAsia="微软雅黑"/>
        <w:szCs w:val="18"/>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-197485</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嘉兴市秀洲区人民检察院资金账户招标项目</w:t>
    </w:r>
    <w:r>
      <w:rPr>
        <w:rFonts w:hint="eastAsia" w:ascii="微软雅黑" w:hAnsi="微软雅黑" w:eastAsia="微软雅黑"/>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D0A639B"/>
    <w:multiLevelType w:val="singleLevel"/>
    <w:tmpl w:val="AD0A639B"/>
    <w:lvl w:ilvl="0" w:tentative="0">
      <w:start w:val="1"/>
      <w:numFmt w:val="decimal"/>
      <w:lvlText w:val="%1."/>
      <w:lvlJc w:val="left"/>
      <w:pPr>
        <w:ind w:left="425" w:hanging="425"/>
      </w:pPr>
      <w:rPr>
        <w:rFonts w:hint="default"/>
      </w:rPr>
    </w:lvl>
  </w:abstractNum>
  <w:abstractNum w:abstractNumId="5">
    <w:nsid w:val="B16DD3B8"/>
    <w:multiLevelType w:val="singleLevel"/>
    <w:tmpl w:val="B16DD3B8"/>
    <w:lvl w:ilvl="0" w:tentative="0">
      <w:start w:val="1"/>
      <w:numFmt w:val="decimal"/>
      <w:lvlText w:val="%1."/>
      <w:lvlJc w:val="left"/>
      <w:pPr>
        <w:ind w:left="425" w:hanging="425"/>
      </w:pPr>
      <w:rPr>
        <w:rFonts w:hint="default"/>
      </w:rPr>
    </w:lvl>
  </w:abstractNum>
  <w:abstractNum w:abstractNumId="6">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C30591CF"/>
    <w:multiLevelType w:val="singleLevel"/>
    <w:tmpl w:val="C30591CF"/>
    <w:lvl w:ilvl="0" w:tentative="0">
      <w:start w:val="1"/>
      <w:numFmt w:val="decimal"/>
      <w:lvlText w:val="(%1)"/>
      <w:lvlJc w:val="left"/>
      <w:pPr>
        <w:ind w:left="425" w:hanging="425"/>
      </w:pPr>
      <w:rPr>
        <w:rFonts w:hint="default"/>
      </w:rPr>
    </w:lvl>
  </w:abstractNum>
  <w:abstractNum w:abstractNumId="8">
    <w:nsid w:val="C70EAB13"/>
    <w:multiLevelType w:val="singleLevel"/>
    <w:tmpl w:val="C70EAB13"/>
    <w:lvl w:ilvl="0" w:tentative="0">
      <w:start w:val="1"/>
      <w:numFmt w:val="decimal"/>
      <w:lvlText w:val="%1."/>
      <w:lvlJc w:val="left"/>
      <w:pPr>
        <w:ind w:left="425" w:hanging="425"/>
      </w:pPr>
      <w:rPr>
        <w:rFonts w:hint="default"/>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8B03D13"/>
    <w:multiLevelType w:val="singleLevel"/>
    <w:tmpl w:val="D8B03D13"/>
    <w:lvl w:ilvl="0" w:tentative="0">
      <w:start w:val="1"/>
      <w:numFmt w:val="decimal"/>
      <w:lvlText w:val="%1."/>
      <w:lvlJc w:val="left"/>
      <w:pPr>
        <w:ind w:left="425" w:hanging="425"/>
      </w:pPr>
      <w:rPr>
        <w:rFonts w:hint="default"/>
      </w:rPr>
    </w:lvl>
  </w:abstractNum>
  <w:abstractNum w:abstractNumId="12">
    <w:nsid w:val="E3E6BB85"/>
    <w:multiLevelType w:val="singleLevel"/>
    <w:tmpl w:val="E3E6BB85"/>
    <w:lvl w:ilvl="0" w:tentative="0">
      <w:start w:val="1"/>
      <w:numFmt w:val="decimal"/>
      <w:lvlText w:val="%1."/>
      <w:lvlJc w:val="left"/>
      <w:pPr>
        <w:ind w:left="425" w:hanging="425"/>
      </w:pPr>
      <w:rPr>
        <w:rFonts w:hint="default"/>
      </w:rPr>
    </w:lvl>
  </w:abstractNum>
  <w:abstractNum w:abstractNumId="13">
    <w:nsid w:val="E475F1C9"/>
    <w:multiLevelType w:val="singleLevel"/>
    <w:tmpl w:val="E475F1C9"/>
    <w:lvl w:ilvl="0" w:tentative="0">
      <w:start w:val="1"/>
      <w:numFmt w:val="decimal"/>
      <w:lvlText w:val="%1."/>
      <w:lvlJc w:val="left"/>
      <w:pPr>
        <w:ind w:left="425" w:hanging="425"/>
      </w:pPr>
      <w:rPr>
        <w:rFonts w:hint="default"/>
      </w:rPr>
    </w:lvl>
  </w:abstractNum>
  <w:abstractNum w:abstractNumId="14">
    <w:nsid w:val="F921381C"/>
    <w:multiLevelType w:val="singleLevel"/>
    <w:tmpl w:val="F921381C"/>
    <w:lvl w:ilvl="0" w:tentative="0">
      <w:start w:val="1"/>
      <w:numFmt w:val="decimal"/>
      <w:lvlText w:val="%1."/>
      <w:lvlJc w:val="left"/>
      <w:pPr>
        <w:ind w:left="425" w:hanging="425"/>
      </w:pPr>
      <w:rPr>
        <w:rFonts w:hint="default"/>
      </w:rPr>
    </w:lvl>
  </w:abstractNum>
  <w:abstractNum w:abstractNumId="15">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6">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7">
    <w:nsid w:val="0156FA7D"/>
    <w:multiLevelType w:val="singleLevel"/>
    <w:tmpl w:val="0156FA7D"/>
    <w:lvl w:ilvl="0" w:tentative="0">
      <w:start w:val="6"/>
      <w:numFmt w:val="chineseCounting"/>
      <w:suff w:val="nothing"/>
      <w:lvlText w:val="%1、"/>
      <w:lvlJc w:val="left"/>
      <w:rPr>
        <w:rFonts w:hint="eastAsia"/>
      </w:rPr>
    </w:lvl>
  </w:abstractNum>
  <w:abstractNum w:abstractNumId="18">
    <w:nsid w:val="1ED9D2B8"/>
    <w:multiLevelType w:val="singleLevel"/>
    <w:tmpl w:val="1ED9D2B8"/>
    <w:lvl w:ilvl="0" w:tentative="0">
      <w:start w:val="1"/>
      <w:numFmt w:val="decimal"/>
      <w:lvlText w:val="%1."/>
      <w:lvlJc w:val="left"/>
      <w:pPr>
        <w:ind w:left="425" w:hanging="425"/>
      </w:pPr>
      <w:rPr>
        <w:rFonts w:hint="default"/>
      </w:rPr>
    </w:lvl>
  </w:abstractNum>
  <w:abstractNum w:abstractNumId="19">
    <w:nsid w:val="20FC13BD"/>
    <w:multiLevelType w:val="singleLevel"/>
    <w:tmpl w:val="20FC13BD"/>
    <w:lvl w:ilvl="0" w:tentative="0">
      <w:start w:val="1"/>
      <w:numFmt w:val="decimal"/>
      <w:lvlText w:val="%1."/>
      <w:lvlJc w:val="left"/>
      <w:pPr>
        <w:ind w:left="425" w:hanging="425"/>
      </w:pPr>
      <w:rPr>
        <w:rFonts w:hint="default"/>
      </w:rPr>
    </w:lvl>
  </w:abstractNum>
  <w:abstractNum w:abstractNumId="20">
    <w:nsid w:val="21DF733D"/>
    <w:multiLevelType w:val="singleLevel"/>
    <w:tmpl w:val="21DF733D"/>
    <w:lvl w:ilvl="0" w:tentative="0">
      <w:start w:val="1"/>
      <w:numFmt w:val="decimal"/>
      <w:lvlText w:val="%1."/>
      <w:lvlJc w:val="left"/>
      <w:pPr>
        <w:ind w:left="425" w:hanging="425"/>
      </w:pPr>
      <w:rPr>
        <w:rFonts w:hint="default"/>
      </w:rPr>
    </w:lvl>
  </w:abstractNum>
  <w:abstractNum w:abstractNumId="21">
    <w:nsid w:val="27F653EE"/>
    <w:multiLevelType w:val="multilevel"/>
    <w:tmpl w:val="27F653EE"/>
    <w:lvl w:ilvl="0" w:tentative="0">
      <w:start w:val="1"/>
      <w:numFmt w:val="chineseCount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8F7E069"/>
    <w:multiLevelType w:val="singleLevel"/>
    <w:tmpl w:val="28F7E069"/>
    <w:lvl w:ilvl="0" w:tentative="0">
      <w:start w:val="1"/>
      <w:numFmt w:val="decimal"/>
      <w:lvlText w:val="%1."/>
      <w:lvlJc w:val="left"/>
      <w:pPr>
        <w:ind w:left="425" w:hanging="425"/>
      </w:pPr>
      <w:rPr>
        <w:rFonts w:hint="default"/>
      </w:rPr>
    </w:lvl>
  </w:abstractNum>
  <w:abstractNum w:abstractNumId="23">
    <w:nsid w:val="329BCF6E"/>
    <w:multiLevelType w:val="singleLevel"/>
    <w:tmpl w:val="329BCF6E"/>
    <w:lvl w:ilvl="0" w:tentative="0">
      <w:start w:val="1"/>
      <w:numFmt w:val="chineseCounting"/>
      <w:suff w:val="nothing"/>
      <w:lvlText w:val="（%1）"/>
      <w:lvlJc w:val="left"/>
      <w:rPr>
        <w:rFonts w:hint="eastAsia"/>
      </w:rPr>
    </w:lvl>
  </w:abstractNum>
  <w:abstractNum w:abstractNumId="24">
    <w:nsid w:val="45982B15"/>
    <w:multiLevelType w:val="multilevel"/>
    <w:tmpl w:val="45982B1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71EFFFC"/>
    <w:multiLevelType w:val="singleLevel"/>
    <w:tmpl w:val="471EFFFC"/>
    <w:lvl w:ilvl="0" w:tentative="0">
      <w:start w:val="1"/>
      <w:numFmt w:val="decimal"/>
      <w:lvlText w:val="%1."/>
      <w:lvlJc w:val="left"/>
      <w:pPr>
        <w:ind w:left="425" w:hanging="425"/>
      </w:pPr>
      <w:rPr>
        <w:rFonts w:hint="default"/>
      </w:rPr>
    </w:lvl>
  </w:abstractNum>
  <w:abstractNum w:abstractNumId="26">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7">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75" w:hanging="7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25A00BB"/>
    <w:multiLevelType w:val="singleLevel"/>
    <w:tmpl w:val="625A00BB"/>
    <w:lvl w:ilvl="0" w:tentative="0">
      <w:start w:val="1"/>
      <w:numFmt w:val="decimal"/>
      <w:lvlText w:val="%1."/>
      <w:lvlJc w:val="left"/>
      <w:pPr>
        <w:ind w:left="425" w:hanging="425"/>
      </w:pPr>
      <w:rPr>
        <w:rFonts w:hint="default"/>
      </w:rPr>
    </w:lvl>
  </w:abstractNum>
  <w:abstractNum w:abstractNumId="29">
    <w:nsid w:val="63EEBE5E"/>
    <w:multiLevelType w:val="singleLevel"/>
    <w:tmpl w:val="63EEBE5E"/>
    <w:lvl w:ilvl="0" w:tentative="0">
      <w:start w:val="1"/>
      <w:numFmt w:val="decimal"/>
      <w:lvlText w:val="%1."/>
      <w:lvlJc w:val="left"/>
      <w:pPr>
        <w:ind w:left="425" w:hanging="425"/>
      </w:pPr>
      <w:rPr>
        <w:rFonts w:hint="default"/>
      </w:rPr>
    </w:lvl>
  </w:abstractNum>
  <w:abstractNum w:abstractNumId="30">
    <w:nsid w:val="6D8C2D0B"/>
    <w:multiLevelType w:val="singleLevel"/>
    <w:tmpl w:val="6D8C2D0B"/>
    <w:lvl w:ilvl="0" w:tentative="0">
      <w:start w:val="1"/>
      <w:numFmt w:val="chineseCounting"/>
      <w:suff w:val="nothing"/>
      <w:lvlText w:val="%1、"/>
      <w:lvlJc w:val="left"/>
      <w:pPr>
        <w:ind w:left="6" w:firstLine="420"/>
      </w:pPr>
      <w:rPr>
        <w:rFonts w:hint="eastAsia"/>
      </w:rPr>
    </w:lvl>
  </w:abstractNum>
  <w:num w:numId="1">
    <w:abstractNumId w:val="6"/>
  </w:num>
  <w:num w:numId="2">
    <w:abstractNumId w:val="15"/>
  </w:num>
  <w:num w:numId="3">
    <w:abstractNumId w:val="10"/>
  </w:num>
  <w:num w:numId="4">
    <w:abstractNumId w:val="30"/>
    <w:lvlOverride w:ilvl="0">
      <w:startOverride w:val="1"/>
    </w:lvlOverride>
  </w:num>
  <w:num w:numId="5">
    <w:abstractNumId w:val="28"/>
    <w:lvlOverride w:ilvl="0">
      <w:startOverride w:val="1"/>
    </w:lvlOverride>
  </w:num>
  <w:num w:numId="6">
    <w:abstractNumId w:val="16"/>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9"/>
  </w:num>
  <w:num w:numId="12">
    <w:abstractNumId w:val="11"/>
  </w:num>
  <w:num w:numId="13">
    <w:abstractNumId w:val="3"/>
  </w:num>
  <w:num w:numId="14">
    <w:abstractNumId w:val="0"/>
  </w:num>
  <w:num w:numId="15">
    <w:abstractNumId w:val="18"/>
  </w:num>
  <w:num w:numId="16">
    <w:abstractNumId w:val="13"/>
  </w:num>
  <w:num w:numId="17">
    <w:abstractNumId w:val="8"/>
  </w:num>
  <w:num w:numId="18">
    <w:abstractNumId w:val="14"/>
  </w:num>
  <w:num w:numId="19">
    <w:abstractNumId w:val="22"/>
  </w:num>
  <w:num w:numId="20">
    <w:abstractNumId w:val="9"/>
  </w:num>
  <w:num w:numId="21">
    <w:abstractNumId w:val="1"/>
  </w:num>
  <w:num w:numId="22">
    <w:abstractNumId w:val="27"/>
  </w:num>
  <w:num w:numId="23">
    <w:abstractNumId w:val="2"/>
  </w:num>
  <w:num w:numId="24">
    <w:abstractNumId w:val="7"/>
  </w:num>
  <w:num w:numId="25">
    <w:abstractNumId w:val="20"/>
  </w:num>
  <w:num w:numId="26">
    <w:abstractNumId w:val="26"/>
  </w:num>
  <w:num w:numId="27">
    <w:abstractNumId w:val="23"/>
  </w:num>
  <w:num w:numId="28">
    <w:abstractNumId w:val="5"/>
  </w:num>
  <w:num w:numId="29">
    <w:abstractNumId w:val="24"/>
  </w:num>
  <w:num w:numId="30">
    <w:abstractNumId w:val="4"/>
  </w:num>
  <w:num w:numId="31">
    <w:abstractNumId w:val="25"/>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OGJjYjA4NWM3ZTU1YjEyOGY1ZmQ1ZTU1YWFlODIifQ=="/>
  </w:docVars>
  <w:rsids>
    <w:rsidRoot w:val="006D32D0"/>
    <w:rsid w:val="000002BF"/>
    <w:rsid w:val="0000149B"/>
    <w:rsid w:val="00002187"/>
    <w:rsid w:val="00007C69"/>
    <w:rsid w:val="00010B5D"/>
    <w:rsid w:val="00017B42"/>
    <w:rsid w:val="00024AA7"/>
    <w:rsid w:val="0003290F"/>
    <w:rsid w:val="00033AF5"/>
    <w:rsid w:val="000340B0"/>
    <w:rsid w:val="00035DC4"/>
    <w:rsid w:val="0003635C"/>
    <w:rsid w:val="00040B75"/>
    <w:rsid w:val="00040BF8"/>
    <w:rsid w:val="0004175F"/>
    <w:rsid w:val="00042F14"/>
    <w:rsid w:val="00045DDF"/>
    <w:rsid w:val="00046C37"/>
    <w:rsid w:val="0005248B"/>
    <w:rsid w:val="00060249"/>
    <w:rsid w:val="0006419B"/>
    <w:rsid w:val="00064C8B"/>
    <w:rsid w:val="00065A60"/>
    <w:rsid w:val="00066145"/>
    <w:rsid w:val="00066D2F"/>
    <w:rsid w:val="000735A5"/>
    <w:rsid w:val="00073FFF"/>
    <w:rsid w:val="00074098"/>
    <w:rsid w:val="000836B9"/>
    <w:rsid w:val="0008614C"/>
    <w:rsid w:val="0008663B"/>
    <w:rsid w:val="00090918"/>
    <w:rsid w:val="000921D0"/>
    <w:rsid w:val="0009344E"/>
    <w:rsid w:val="00094BA1"/>
    <w:rsid w:val="00094BBE"/>
    <w:rsid w:val="00094D78"/>
    <w:rsid w:val="000A4E02"/>
    <w:rsid w:val="000A5F93"/>
    <w:rsid w:val="000A6662"/>
    <w:rsid w:val="000A6A55"/>
    <w:rsid w:val="000A6FC5"/>
    <w:rsid w:val="000B1CD8"/>
    <w:rsid w:val="000B22BA"/>
    <w:rsid w:val="000B247C"/>
    <w:rsid w:val="000B5037"/>
    <w:rsid w:val="000B533B"/>
    <w:rsid w:val="000C2093"/>
    <w:rsid w:val="000C4023"/>
    <w:rsid w:val="000C432B"/>
    <w:rsid w:val="000C55F1"/>
    <w:rsid w:val="000C58ED"/>
    <w:rsid w:val="000D1C0F"/>
    <w:rsid w:val="000D24D2"/>
    <w:rsid w:val="000D2952"/>
    <w:rsid w:val="000D3E8F"/>
    <w:rsid w:val="000D65E1"/>
    <w:rsid w:val="000D686A"/>
    <w:rsid w:val="000D7889"/>
    <w:rsid w:val="000E05F4"/>
    <w:rsid w:val="000E397D"/>
    <w:rsid w:val="000E4746"/>
    <w:rsid w:val="000E5A3A"/>
    <w:rsid w:val="000E6F76"/>
    <w:rsid w:val="000F098A"/>
    <w:rsid w:val="000F0A09"/>
    <w:rsid w:val="000F0D6E"/>
    <w:rsid w:val="000F1452"/>
    <w:rsid w:val="000F2893"/>
    <w:rsid w:val="000F43EA"/>
    <w:rsid w:val="000F5654"/>
    <w:rsid w:val="000F6278"/>
    <w:rsid w:val="000F6E21"/>
    <w:rsid w:val="000F7E65"/>
    <w:rsid w:val="00101C48"/>
    <w:rsid w:val="00105047"/>
    <w:rsid w:val="001056F1"/>
    <w:rsid w:val="001057E0"/>
    <w:rsid w:val="00105AC7"/>
    <w:rsid w:val="001060E9"/>
    <w:rsid w:val="00106307"/>
    <w:rsid w:val="001079C8"/>
    <w:rsid w:val="00107F10"/>
    <w:rsid w:val="00110D44"/>
    <w:rsid w:val="00114500"/>
    <w:rsid w:val="00114950"/>
    <w:rsid w:val="00117387"/>
    <w:rsid w:val="00117A31"/>
    <w:rsid w:val="001201EC"/>
    <w:rsid w:val="001227F5"/>
    <w:rsid w:val="00123B7A"/>
    <w:rsid w:val="001245B7"/>
    <w:rsid w:val="0012498A"/>
    <w:rsid w:val="00125657"/>
    <w:rsid w:val="00125918"/>
    <w:rsid w:val="00127FD6"/>
    <w:rsid w:val="00131C36"/>
    <w:rsid w:val="00131C61"/>
    <w:rsid w:val="00132299"/>
    <w:rsid w:val="00140425"/>
    <w:rsid w:val="00140AD3"/>
    <w:rsid w:val="00145218"/>
    <w:rsid w:val="001465A6"/>
    <w:rsid w:val="001468EB"/>
    <w:rsid w:val="00147046"/>
    <w:rsid w:val="001505CF"/>
    <w:rsid w:val="0015763C"/>
    <w:rsid w:val="00157908"/>
    <w:rsid w:val="0016069C"/>
    <w:rsid w:val="00165526"/>
    <w:rsid w:val="00170430"/>
    <w:rsid w:val="001748E9"/>
    <w:rsid w:val="001751BB"/>
    <w:rsid w:val="001801CA"/>
    <w:rsid w:val="00181F89"/>
    <w:rsid w:val="001833E8"/>
    <w:rsid w:val="00183931"/>
    <w:rsid w:val="001847A4"/>
    <w:rsid w:val="00184C36"/>
    <w:rsid w:val="0018586C"/>
    <w:rsid w:val="00185D73"/>
    <w:rsid w:val="0018643C"/>
    <w:rsid w:val="00186659"/>
    <w:rsid w:val="001918FE"/>
    <w:rsid w:val="00194B51"/>
    <w:rsid w:val="001960DB"/>
    <w:rsid w:val="00196B62"/>
    <w:rsid w:val="0019709E"/>
    <w:rsid w:val="001A0022"/>
    <w:rsid w:val="001A2156"/>
    <w:rsid w:val="001A458C"/>
    <w:rsid w:val="001A669D"/>
    <w:rsid w:val="001A6E75"/>
    <w:rsid w:val="001B2018"/>
    <w:rsid w:val="001B25E7"/>
    <w:rsid w:val="001B38FB"/>
    <w:rsid w:val="001C322D"/>
    <w:rsid w:val="001C3377"/>
    <w:rsid w:val="001C41AC"/>
    <w:rsid w:val="001C5A61"/>
    <w:rsid w:val="001D1D57"/>
    <w:rsid w:val="001D61A6"/>
    <w:rsid w:val="001D70E3"/>
    <w:rsid w:val="001D7238"/>
    <w:rsid w:val="001E267F"/>
    <w:rsid w:val="001E3319"/>
    <w:rsid w:val="001E43D3"/>
    <w:rsid w:val="001E4859"/>
    <w:rsid w:val="001E4FDD"/>
    <w:rsid w:val="001E501D"/>
    <w:rsid w:val="001E742D"/>
    <w:rsid w:val="001F0068"/>
    <w:rsid w:val="001F2FD5"/>
    <w:rsid w:val="001F5B88"/>
    <w:rsid w:val="002004F1"/>
    <w:rsid w:val="00202A3D"/>
    <w:rsid w:val="00203727"/>
    <w:rsid w:val="0020382C"/>
    <w:rsid w:val="00204D20"/>
    <w:rsid w:val="00210717"/>
    <w:rsid w:val="00213211"/>
    <w:rsid w:val="00220968"/>
    <w:rsid w:val="0022105D"/>
    <w:rsid w:val="00222FA3"/>
    <w:rsid w:val="002237CD"/>
    <w:rsid w:val="0023142B"/>
    <w:rsid w:val="00234CAB"/>
    <w:rsid w:val="00234E94"/>
    <w:rsid w:val="00241039"/>
    <w:rsid w:val="00250FA4"/>
    <w:rsid w:val="00252A9E"/>
    <w:rsid w:val="0025375C"/>
    <w:rsid w:val="002540AA"/>
    <w:rsid w:val="00254BA3"/>
    <w:rsid w:val="00256B16"/>
    <w:rsid w:val="002663F5"/>
    <w:rsid w:val="002678A4"/>
    <w:rsid w:val="00270EA8"/>
    <w:rsid w:val="00274D05"/>
    <w:rsid w:val="00275554"/>
    <w:rsid w:val="0027666B"/>
    <w:rsid w:val="002769E4"/>
    <w:rsid w:val="00281BCE"/>
    <w:rsid w:val="00281C0F"/>
    <w:rsid w:val="0028261F"/>
    <w:rsid w:val="0028537B"/>
    <w:rsid w:val="002916F7"/>
    <w:rsid w:val="00292409"/>
    <w:rsid w:val="002946CB"/>
    <w:rsid w:val="00294CA1"/>
    <w:rsid w:val="00296389"/>
    <w:rsid w:val="00297560"/>
    <w:rsid w:val="0029773B"/>
    <w:rsid w:val="002978CB"/>
    <w:rsid w:val="002A02EE"/>
    <w:rsid w:val="002A101B"/>
    <w:rsid w:val="002A140D"/>
    <w:rsid w:val="002A1B05"/>
    <w:rsid w:val="002A67E0"/>
    <w:rsid w:val="002A7611"/>
    <w:rsid w:val="002B1C4B"/>
    <w:rsid w:val="002B2621"/>
    <w:rsid w:val="002B3865"/>
    <w:rsid w:val="002B3FBD"/>
    <w:rsid w:val="002B5D62"/>
    <w:rsid w:val="002C1ECB"/>
    <w:rsid w:val="002C2298"/>
    <w:rsid w:val="002C275B"/>
    <w:rsid w:val="002C37EA"/>
    <w:rsid w:val="002C4073"/>
    <w:rsid w:val="002C6D45"/>
    <w:rsid w:val="002C7710"/>
    <w:rsid w:val="002C787B"/>
    <w:rsid w:val="002D1F59"/>
    <w:rsid w:val="002D351B"/>
    <w:rsid w:val="002E1852"/>
    <w:rsid w:val="002E1DDD"/>
    <w:rsid w:val="002E3F9D"/>
    <w:rsid w:val="002E6B60"/>
    <w:rsid w:val="002E71C6"/>
    <w:rsid w:val="002E7730"/>
    <w:rsid w:val="002E7C55"/>
    <w:rsid w:val="002F18D5"/>
    <w:rsid w:val="002F669F"/>
    <w:rsid w:val="002F6CC8"/>
    <w:rsid w:val="00300B33"/>
    <w:rsid w:val="00303856"/>
    <w:rsid w:val="003047BC"/>
    <w:rsid w:val="003052E2"/>
    <w:rsid w:val="00307346"/>
    <w:rsid w:val="00310C3D"/>
    <w:rsid w:val="003129C0"/>
    <w:rsid w:val="003131B9"/>
    <w:rsid w:val="003134D8"/>
    <w:rsid w:val="00314CEC"/>
    <w:rsid w:val="003152F9"/>
    <w:rsid w:val="0031684D"/>
    <w:rsid w:val="0031764A"/>
    <w:rsid w:val="003220FE"/>
    <w:rsid w:val="003230DE"/>
    <w:rsid w:val="0032333C"/>
    <w:rsid w:val="00323723"/>
    <w:rsid w:val="003244E9"/>
    <w:rsid w:val="003249B2"/>
    <w:rsid w:val="00325EB4"/>
    <w:rsid w:val="003304DD"/>
    <w:rsid w:val="00331B31"/>
    <w:rsid w:val="00333B46"/>
    <w:rsid w:val="00335394"/>
    <w:rsid w:val="00335C29"/>
    <w:rsid w:val="003370F9"/>
    <w:rsid w:val="0033766F"/>
    <w:rsid w:val="003378A7"/>
    <w:rsid w:val="00341BA8"/>
    <w:rsid w:val="00343366"/>
    <w:rsid w:val="00343867"/>
    <w:rsid w:val="00346E99"/>
    <w:rsid w:val="00350ADB"/>
    <w:rsid w:val="00355278"/>
    <w:rsid w:val="00362814"/>
    <w:rsid w:val="003653CE"/>
    <w:rsid w:val="003656D3"/>
    <w:rsid w:val="003663D0"/>
    <w:rsid w:val="00366CB7"/>
    <w:rsid w:val="00367E9D"/>
    <w:rsid w:val="00370B95"/>
    <w:rsid w:val="00374530"/>
    <w:rsid w:val="0037695B"/>
    <w:rsid w:val="003810F2"/>
    <w:rsid w:val="003817EE"/>
    <w:rsid w:val="003821B3"/>
    <w:rsid w:val="003837FB"/>
    <w:rsid w:val="0038487E"/>
    <w:rsid w:val="003859E1"/>
    <w:rsid w:val="00387485"/>
    <w:rsid w:val="00391A89"/>
    <w:rsid w:val="00391EC3"/>
    <w:rsid w:val="00393D13"/>
    <w:rsid w:val="003957C5"/>
    <w:rsid w:val="003A055B"/>
    <w:rsid w:val="003A10C9"/>
    <w:rsid w:val="003A392B"/>
    <w:rsid w:val="003A3A91"/>
    <w:rsid w:val="003A431C"/>
    <w:rsid w:val="003A4598"/>
    <w:rsid w:val="003A5554"/>
    <w:rsid w:val="003A7015"/>
    <w:rsid w:val="003B13E3"/>
    <w:rsid w:val="003B1DAC"/>
    <w:rsid w:val="003B38AB"/>
    <w:rsid w:val="003B6C49"/>
    <w:rsid w:val="003B7C77"/>
    <w:rsid w:val="003C037D"/>
    <w:rsid w:val="003C44D2"/>
    <w:rsid w:val="003C4E1B"/>
    <w:rsid w:val="003C51C5"/>
    <w:rsid w:val="003D2931"/>
    <w:rsid w:val="003D4CFD"/>
    <w:rsid w:val="003E4629"/>
    <w:rsid w:val="003E4BB3"/>
    <w:rsid w:val="003E5BCD"/>
    <w:rsid w:val="003F02D4"/>
    <w:rsid w:val="003F0AD2"/>
    <w:rsid w:val="003F0B62"/>
    <w:rsid w:val="003F1149"/>
    <w:rsid w:val="003F1A76"/>
    <w:rsid w:val="003F6F7E"/>
    <w:rsid w:val="0040111A"/>
    <w:rsid w:val="004014D9"/>
    <w:rsid w:val="00403072"/>
    <w:rsid w:val="00404D63"/>
    <w:rsid w:val="00404F87"/>
    <w:rsid w:val="0040785F"/>
    <w:rsid w:val="00411236"/>
    <w:rsid w:val="00414336"/>
    <w:rsid w:val="00420D76"/>
    <w:rsid w:val="00421C99"/>
    <w:rsid w:val="004250B3"/>
    <w:rsid w:val="00427437"/>
    <w:rsid w:val="004339AC"/>
    <w:rsid w:val="00436AA2"/>
    <w:rsid w:val="004371BD"/>
    <w:rsid w:val="00441415"/>
    <w:rsid w:val="0044527E"/>
    <w:rsid w:val="004453EC"/>
    <w:rsid w:val="004459E5"/>
    <w:rsid w:val="00451D2D"/>
    <w:rsid w:val="004532B1"/>
    <w:rsid w:val="0045599C"/>
    <w:rsid w:val="004563F6"/>
    <w:rsid w:val="00460361"/>
    <w:rsid w:val="00462AFB"/>
    <w:rsid w:val="00463712"/>
    <w:rsid w:val="00465C3A"/>
    <w:rsid w:val="004664B1"/>
    <w:rsid w:val="00467F80"/>
    <w:rsid w:val="00471F75"/>
    <w:rsid w:val="0047268E"/>
    <w:rsid w:val="00480D38"/>
    <w:rsid w:val="00481C8D"/>
    <w:rsid w:val="00482292"/>
    <w:rsid w:val="00483404"/>
    <w:rsid w:val="0048387D"/>
    <w:rsid w:val="0048754D"/>
    <w:rsid w:val="004875B1"/>
    <w:rsid w:val="00493F84"/>
    <w:rsid w:val="0049417E"/>
    <w:rsid w:val="00495121"/>
    <w:rsid w:val="0049714C"/>
    <w:rsid w:val="004A1C35"/>
    <w:rsid w:val="004A42F3"/>
    <w:rsid w:val="004A5F67"/>
    <w:rsid w:val="004B1955"/>
    <w:rsid w:val="004B25CE"/>
    <w:rsid w:val="004B3432"/>
    <w:rsid w:val="004B34D0"/>
    <w:rsid w:val="004B36AB"/>
    <w:rsid w:val="004B507B"/>
    <w:rsid w:val="004B6921"/>
    <w:rsid w:val="004B69DF"/>
    <w:rsid w:val="004B6FE7"/>
    <w:rsid w:val="004B7197"/>
    <w:rsid w:val="004C3B84"/>
    <w:rsid w:val="004C61D2"/>
    <w:rsid w:val="004D0B04"/>
    <w:rsid w:val="004D0E4C"/>
    <w:rsid w:val="004D1FFA"/>
    <w:rsid w:val="004D7AFD"/>
    <w:rsid w:val="004E0814"/>
    <w:rsid w:val="004E1215"/>
    <w:rsid w:val="004E281A"/>
    <w:rsid w:val="004E6021"/>
    <w:rsid w:val="004E616C"/>
    <w:rsid w:val="004E6935"/>
    <w:rsid w:val="004E6B4F"/>
    <w:rsid w:val="004E7202"/>
    <w:rsid w:val="004E7C59"/>
    <w:rsid w:val="004F01B2"/>
    <w:rsid w:val="004F0CE1"/>
    <w:rsid w:val="004F1FAA"/>
    <w:rsid w:val="004F3816"/>
    <w:rsid w:val="004F49E5"/>
    <w:rsid w:val="005007A1"/>
    <w:rsid w:val="005032AF"/>
    <w:rsid w:val="0050517A"/>
    <w:rsid w:val="00506BC0"/>
    <w:rsid w:val="00507B2A"/>
    <w:rsid w:val="00512B3D"/>
    <w:rsid w:val="00512E6A"/>
    <w:rsid w:val="00513065"/>
    <w:rsid w:val="0051396A"/>
    <w:rsid w:val="00515E25"/>
    <w:rsid w:val="0051627E"/>
    <w:rsid w:val="0051785A"/>
    <w:rsid w:val="00517AEF"/>
    <w:rsid w:val="00526423"/>
    <w:rsid w:val="0052682D"/>
    <w:rsid w:val="00527AC2"/>
    <w:rsid w:val="00531758"/>
    <w:rsid w:val="0053389A"/>
    <w:rsid w:val="0053406F"/>
    <w:rsid w:val="00534533"/>
    <w:rsid w:val="00534E6C"/>
    <w:rsid w:val="00536D24"/>
    <w:rsid w:val="00544442"/>
    <w:rsid w:val="00545380"/>
    <w:rsid w:val="00547833"/>
    <w:rsid w:val="00550AD4"/>
    <w:rsid w:val="00551CA0"/>
    <w:rsid w:val="00551FC0"/>
    <w:rsid w:val="00552157"/>
    <w:rsid w:val="005525D8"/>
    <w:rsid w:val="00554760"/>
    <w:rsid w:val="0055494A"/>
    <w:rsid w:val="005618C4"/>
    <w:rsid w:val="0056228C"/>
    <w:rsid w:val="005626ED"/>
    <w:rsid w:val="00563944"/>
    <w:rsid w:val="00564A80"/>
    <w:rsid w:val="005720E7"/>
    <w:rsid w:val="00572F6F"/>
    <w:rsid w:val="005740FF"/>
    <w:rsid w:val="00574634"/>
    <w:rsid w:val="00574645"/>
    <w:rsid w:val="0057624F"/>
    <w:rsid w:val="00577856"/>
    <w:rsid w:val="0058012F"/>
    <w:rsid w:val="005801F1"/>
    <w:rsid w:val="005801FF"/>
    <w:rsid w:val="005809C4"/>
    <w:rsid w:val="00581156"/>
    <w:rsid w:val="005844B5"/>
    <w:rsid w:val="005900DF"/>
    <w:rsid w:val="00590118"/>
    <w:rsid w:val="00590363"/>
    <w:rsid w:val="00590425"/>
    <w:rsid w:val="005907AF"/>
    <w:rsid w:val="00593CA8"/>
    <w:rsid w:val="00594772"/>
    <w:rsid w:val="00594BAF"/>
    <w:rsid w:val="00595253"/>
    <w:rsid w:val="00596F4B"/>
    <w:rsid w:val="005A0C14"/>
    <w:rsid w:val="005A316D"/>
    <w:rsid w:val="005A4CB9"/>
    <w:rsid w:val="005B1ACC"/>
    <w:rsid w:val="005B2D93"/>
    <w:rsid w:val="005B4A6A"/>
    <w:rsid w:val="005C05FC"/>
    <w:rsid w:val="005C1820"/>
    <w:rsid w:val="005C4646"/>
    <w:rsid w:val="005D02E7"/>
    <w:rsid w:val="005D375C"/>
    <w:rsid w:val="005D4E08"/>
    <w:rsid w:val="005D644B"/>
    <w:rsid w:val="005D6AFC"/>
    <w:rsid w:val="005E178E"/>
    <w:rsid w:val="005E1BEB"/>
    <w:rsid w:val="005E1CCE"/>
    <w:rsid w:val="005E24A0"/>
    <w:rsid w:val="005E3B07"/>
    <w:rsid w:val="005E4BF7"/>
    <w:rsid w:val="005E60B6"/>
    <w:rsid w:val="005F1CA0"/>
    <w:rsid w:val="005F3A48"/>
    <w:rsid w:val="005F4EAF"/>
    <w:rsid w:val="005F4FE3"/>
    <w:rsid w:val="005F5691"/>
    <w:rsid w:val="005F6541"/>
    <w:rsid w:val="005F6D0A"/>
    <w:rsid w:val="00600194"/>
    <w:rsid w:val="006006D7"/>
    <w:rsid w:val="00602167"/>
    <w:rsid w:val="00606D07"/>
    <w:rsid w:val="0061101F"/>
    <w:rsid w:val="006117BF"/>
    <w:rsid w:val="0061323C"/>
    <w:rsid w:val="00614D5B"/>
    <w:rsid w:val="0061569F"/>
    <w:rsid w:val="00622644"/>
    <w:rsid w:val="00622DA9"/>
    <w:rsid w:val="00623932"/>
    <w:rsid w:val="0062397E"/>
    <w:rsid w:val="006309BB"/>
    <w:rsid w:val="0063364B"/>
    <w:rsid w:val="00634B7C"/>
    <w:rsid w:val="00634BB3"/>
    <w:rsid w:val="00634DFC"/>
    <w:rsid w:val="00634FA5"/>
    <w:rsid w:val="006366F5"/>
    <w:rsid w:val="00636D13"/>
    <w:rsid w:val="00643307"/>
    <w:rsid w:val="00647C0A"/>
    <w:rsid w:val="00650E5D"/>
    <w:rsid w:val="006529AA"/>
    <w:rsid w:val="00652A8C"/>
    <w:rsid w:val="00656014"/>
    <w:rsid w:val="00661213"/>
    <w:rsid w:val="00661B6E"/>
    <w:rsid w:val="0066325E"/>
    <w:rsid w:val="00664031"/>
    <w:rsid w:val="0066657B"/>
    <w:rsid w:val="006672B7"/>
    <w:rsid w:val="00667A3C"/>
    <w:rsid w:val="006701E2"/>
    <w:rsid w:val="00670D47"/>
    <w:rsid w:val="00672199"/>
    <w:rsid w:val="00672370"/>
    <w:rsid w:val="00673348"/>
    <w:rsid w:val="006736B1"/>
    <w:rsid w:val="0067437C"/>
    <w:rsid w:val="006761AB"/>
    <w:rsid w:val="0067691C"/>
    <w:rsid w:val="0067722C"/>
    <w:rsid w:val="00677EA0"/>
    <w:rsid w:val="00682075"/>
    <w:rsid w:val="006852E5"/>
    <w:rsid w:val="0068547D"/>
    <w:rsid w:val="00685FCE"/>
    <w:rsid w:val="0068603A"/>
    <w:rsid w:val="006866D2"/>
    <w:rsid w:val="006866FD"/>
    <w:rsid w:val="00686F15"/>
    <w:rsid w:val="00690C3C"/>
    <w:rsid w:val="006933F0"/>
    <w:rsid w:val="006A0905"/>
    <w:rsid w:val="006A11D1"/>
    <w:rsid w:val="006A140B"/>
    <w:rsid w:val="006A1645"/>
    <w:rsid w:val="006A3515"/>
    <w:rsid w:val="006A4105"/>
    <w:rsid w:val="006A5564"/>
    <w:rsid w:val="006B3AC0"/>
    <w:rsid w:val="006B3E12"/>
    <w:rsid w:val="006B677E"/>
    <w:rsid w:val="006B7861"/>
    <w:rsid w:val="006C2084"/>
    <w:rsid w:val="006C7C4D"/>
    <w:rsid w:val="006D0D3F"/>
    <w:rsid w:val="006D20E2"/>
    <w:rsid w:val="006D219E"/>
    <w:rsid w:val="006D2281"/>
    <w:rsid w:val="006D303C"/>
    <w:rsid w:val="006D32D0"/>
    <w:rsid w:val="006D5C1B"/>
    <w:rsid w:val="006D7758"/>
    <w:rsid w:val="006D7B64"/>
    <w:rsid w:val="006E19A5"/>
    <w:rsid w:val="006E3D96"/>
    <w:rsid w:val="006E4463"/>
    <w:rsid w:val="006E655C"/>
    <w:rsid w:val="006E6F42"/>
    <w:rsid w:val="006E7EFA"/>
    <w:rsid w:val="006F0DC0"/>
    <w:rsid w:val="006F0DDB"/>
    <w:rsid w:val="006F4128"/>
    <w:rsid w:val="006F61E5"/>
    <w:rsid w:val="006F6649"/>
    <w:rsid w:val="00700168"/>
    <w:rsid w:val="00700337"/>
    <w:rsid w:val="00701328"/>
    <w:rsid w:val="007023B0"/>
    <w:rsid w:val="00702A6C"/>
    <w:rsid w:val="00704782"/>
    <w:rsid w:val="00704A60"/>
    <w:rsid w:val="0071017C"/>
    <w:rsid w:val="007122FE"/>
    <w:rsid w:val="00712750"/>
    <w:rsid w:val="007164E1"/>
    <w:rsid w:val="00721009"/>
    <w:rsid w:val="007229CB"/>
    <w:rsid w:val="00723AE7"/>
    <w:rsid w:val="00724A67"/>
    <w:rsid w:val="0072571B"/>
    <w:rsid w:val="00725835"/>
    <w:rsid w:val="00726FC2"/>
    <w:rsid w:val="00727CA7"/>
    <w:rsid w:val="00730DD0"/>
    <w:rsid w:val="00731EE0"/>
    <w:rsid w:val="0073232A"/>
    <w:rsid w:val="00732D70"/>
    <w:rsid w:val="00733CA5"/>
    <w:rsid w:val="007354F1"/>
    <w:rsid w:val="00735A11"/>
    <w:rsid w:val="00736B3E"/>
    <w:rsid w:val="00740696"/>
    <w:rsid w:val="007425D7"/>
    <w:rsid w:val="007449B4"/>
    <w:rsid w:val="007456AC"/>
    <w:rsid w:val="007508A5"/>
    <w:rsid w:val="00753B19"/>
    <w:rsid w:val="007555D3"/>
    <w:rsid w:val="00756AAF"/>
    <w:rsid w:val="007620AE"/>
    <w:rsid w:val="007676B8"/>
    <w:rsid w:val="00774EBF"/>
    <w:rsid w:val="00776351"/>
    <w:rsid w:val="00780226"/>
    <w:rsid w:val="007821ED"/>
    <w:rsid w:val="00783106"/>
    <w:rsid w:val="00785F39"/>
    <w:rsid w:val="007867AF"/>
    <w:rsid w:val="00790CDC"/>
    <w:rsid w:val="00791ADC"/>
    <w:rsid w:val="00791C57"/>
    <w:rsid w:val="00792559"/>
    <w:rsid w:val="00795A01"/>
    <w:rsid w:val="00795A6D"/>
    <w:rsid w:val="00795CB0"/>
    <w:rsid w:val="007961F6"/>
    <w:rsid w:val="00797A2C"/>
    <w:rsid w:val="007A350D"/>
    <w:rsid w:val="007A425A"/>
    <w:rsid w:val="007A49DE"/>
    <w:rsid w:val="007A6409"/>
    <w:rsid w:val="007A6AC2"/>
    <w:rsid w:val="007B2875"/>
    <w:rsid w:val="007B7F68"/>
    <w:rsid w:val="007C0512"/>
    <w:rsid w:val="007C415F"/>
    <w:rsid w:val="007C7F85"/>
    <w:rsid w:val="007D0136"/>
    <w:rsid w:val="007D2EA2"/>
    <w:rsid w:val="007D44FA"/>
    <w:rsid w:val="007D4DB5"/>
    <w:rsid w:val="007E4852"/>
    <w:rsid w:val="007E4CD0"/>
    <w:rsid w:val="007F0D61"/>
    <w:rsid w:val="007F0E53"/>
    <w:rsid w:val="007F3ECD"/>
    <w:rsid w:val="007F4F3D"/>
    <w:rsid w:val="007F67FB"/>
    <w:rsid w:val="00801244"/>
    <w:rsid w:val="00803C0D"/>
    <w:rsid w:val="00803E74"/>
    <w:rsid w:val="00806ACF"/>
    <w:rsid w:val="00812C05"/>
    <w:rsid w:val="00814B48"/>
    <w:rsid w:val="008207AC"/>
    <w:rsid w:val="0082343A"/>
    <w:rsid w:val="008322C1"/>
    <w:rsid w:val="008327AC"/>
    <w:rsid w:val="008357E4"/>
    <w:rsid w:val="00835E45"/>
    <w:rsid w:val="008366C3"/>
    <w:rsid w:val="00837C3C"/>
    <w:rsid w:val="00842A0D"/>
    <w:rsid w:val="00847816"/>
    <w:rsid w:val="00852EC8"/>
    <w:rsid w:val="00854D92"/>
    <w:rsid w:val="00854F3E"/>
    <w:rsid w:val="008560AC"/>
    <w:rsid w:val="00856F02"/>
    <w:rsid w:val="00857DFC"/>
    <w:rsid w:val="00860663"/>
    <w:rsid w:val="0086550E"/>
    <w:rsid w:val="0086641A"/>
    <w:rsid w:val="00866EFC"/>
    <w:rsid w:val="00867D88"/>
    <w:rsid w:val="008716E7"/>
    <w:rsid w:val="00874997"/>
    <w:rsid w:val="00874D24"/>
    <w:rsid w:val="00874F69"/>
    <w:rsid w:val="0088061A"/>
    <w:rsid w:val="00887FDA"/>
    <w:rsid w:val="008971B1"/>
    <w:rsid w:val="008A334C"/>
    <w:rsid w:val="008A55B9"/>
    <w:rsid w:val="008A6C1E"/>
    <w:rsid w:val="008B3B03"/>
    <w:rsid w:val="008B4EFD"/>
    <w:rsid w:val="008B5467"/>
    <w:rsid w:val="008B6BFD"/>
    <w:rsid w:val="008C2388"/>
    <w:rsid w:val="008C2D0C"/>
    <w:rsid w:val="008C2E8E"/>
    <w:rsid w:val="008C63B9"/>
    <w:rsid w:val="008C65CB"/>
    <w:rsid w:val="008C7370"/>
    <w:rsid w:val="008D1281"/>
    <w:rsid w:val="008D2D34"/>
    <w:rsid w:val="008D35FA"/>
    <w:rsid w:val="008D39D2"/>
    <w:rsid w:val="008D3C12"/>
    <w:rsid w:val="008D3E3E"/>
    <w:rsid w:val="008D4A0B"/>
    <w:rsid w:val="008D5663"/>
    <w:rsid w:val="008E0ED1"/>
    <w:rsid w:val="008E28CF"/>
    <w:rsid w:val="008E47DB"/>
    <w:rsid w:val="008F20F0"/>
    <w:rsid w:val="008F2B98"/>
    <w:rsid w:val="008F4087"/>
    <w:rsid w:val="008F46A3"/>
    <w:rsid w:val="008F49C2"/>
    <w:rsid w:val="008F4A57"/>
    <w:rsid w:val="008F4D0F"/>
    <w:rsid w:val="008F66D0"/>
    <w:rsid w:val="00901304"/>
    <w:rsid w:val="0090230A"/>
    <w:rsid w:val="00903844"/>
    <w:rsid w:val="00903F9C"/>
    <w:rsid w:val="00904D2E"/>
    <w:rsid w:val="009056D3"/>
    <w:rsid w:val="00905D11"/>
    <w:rsid w:val="0090603C"/>
    <w:rsid w:val="009060F7"/>
    <w:rsid w:val="00906C67"/>
    <w:rsid w:val="00914CC3"/>
    <w:rsid w:val="00916043"/>
    <w:rsid w:val="009161FD"/>
    <w:rsid w:val="009201F2"/>
    <w:rsid w:val="00921573"/>
    <w:rsid w:val="00922573"/>
    <w:rsid w:val="00922A22"/>
    <w:rsid w:val="00925E0F"/>
    <w:rsid w:val="00932620"/>
    <w:rsid w:val="0093468A"/>
    <w:rsid w:val="009356A4"/>
    <w:rsid w:val="00937C7A"/>
    <w:rsid w:val="00937F8C"/>
    <w:rsid w:val="0094190A"/>
    <w:rsid w:val="00943D44"/>
    <w:rsid w:val="00951FC1"/>
    <w:rsid w:val="00954C23"/>
    <w:rsid w:val="009550F9"/>
    <w:rsid w:val="00956736"/>
    <w:rsid w:val="009626B1"/>
    <w:rsid w:val="00962F88"/>
    <w:rsid w:val="00963E35"/>
    <w:rsid w:val="00965B4B"/>
    <w:rsid w:val="009660F2"/>
    <w:rsid w:val="00966EA4"/>
    <w:rsid w:val="00967BF9"/>
    <w:rsid w:val="00970AA6"/>
    <w:rsid w:val="0097720A"/>
    <w:rsid w:val="00980F45"/>
    <w:rsid w:val="00981290"/>
    <w:rsid w:val="009815CD"/>
    <w:rsid w:val="00982145"/>
    <w:rsid w:val="0098294A"/>
    <w:rsid w:val="0098397B"/>
    <w:rsid w:val="009869DC"/>
    <w:rsid w:val="00987268"/>
    <w:rsid w:val="0098761C"/>
    <w:rsid w:val="00993B8E"/>
    <w:rsid w:val="00995505"/>
    <w:rsid w:val="00996505"/>
    <w:rsid w:val="009A0AC8"/>
    <w:rsid w:val="009A3C40"/>
    <w:rsid w:val="009A433E"/>
    <w:rsid w:val="009A5AC3"/>
    <w:rsid w:val="009A6073"/>
    <w:rsid w:val="009B078E"/>
    <w:rsid w:val="009B4E27"/>
    <w:rsid w:val="009B5E31"/>
    <w:rsid w:val="009C0169"/>
    <w:rsid w:val="009C3192"/>
    <w:rsid w:val="009C64D8"/>
    <w:rsid w:val="009C6DD3"/>
    <w:rsid w:val="009C70F2"/>
    <w:rsid w:val="009C7B4A"/>
    <w:rsid w:val="009D1D00"/>
    <w:rsid w:val="009D44DD"/>
    <w:rsid w:val="009D4F41"/>
    <w:rsid w:val="009D5FAB"/>
    <w:rsid w:val="009D6506"/>
    <w:rsid w:val="009E3B5B"/>
    <w:rsid w:val="009E401C"/>
    <w:rsid w:val="009E4A62"/>
    <w:rsid w:val="009E7692"/>
    <w:rsid w:val="009E7992"/>
    <w:rsid w:val="009E7E5B"/>
    <w:rsid w:val="009F0417"/>
    <w:rsid w:val="009F0C5A"/>
    <w:rsid w:val="009F3C9A"/>
    <w:rsid w:val="009F4E83"/>
    <w:rsid w:val="009F4EB4"/>
    <w:rsid w:val="009F5178"/>
    <w:rsid w:val="009F5949"/>
    <w:rsid w:val="00A0234E"/>
    <w:rsid w:val="00A02436"/>
    <w:rsid w:val="00A06B49"/>
    <w:rsid w:val="00A06EF0"/>
    <w:rsid w:val="00A1053B"/>
    <w:rsid w:val="00A10E2A"/>
    <w:rsid w:val="00A13CCB"/>
    <w:rsid w:val="00A146D2"/>
    <w:rsid w:val="00A15178"/>
    <w:rsid w:val="00A15CBD"/>
    <w:rsid w:val="00A15D0F"/>
    <w:rsid w:val="00A2068C"/>
    <w:rsid w:val="00A24877"/>
    <w:rsid w:val="00A3041E"/>
    <w:rsid w:val="00A3068B"/>
    <w:rsid w:val="00A31018"/>
    <w:rsid w:val="00A35374"/>
    <w:rsid w:val="00A35763"/>
    <w:rsid w:val="00A404C9"/>
    <w:rsid w:val="00A4571D"/>
    <w:rsid w:val="00A46AF6"/>
    <w:rsid w:val="00A5049F"/>
    <w:rsid w:val="00A529B3"/>
    <w:rsid w:val="00A54EB7"/>
    <w:rsid w:val="00A56D27"/>
    <w:rsid w:val="00A578BB"/>
    <w:rsid w:val="00A607B7"/>
    <w:rsid w:val="00A652AB"/>
    <w:rsid w:val="00A655FF"/>
    <w:rsid w:val="00A657F6"/>
    <w:rsid w:val="00A65B72"/>
    <w:rsid w:val="00A66691"/>
    <w:rsid w:val="00A71EC9"/>
    <w:rsid w:val="00A71F86"/>
    <w:rsid w:val="00A741C2"/>
    <w:rsid w:val="00A751D5"/>
    <w:rsid w:val="00A82B9E"/>
    <w:rsid w:val="00A837C2"/>
    <w:rsid w:val="00A842D3"/>
    <w:rsid w:val="00A8472E"/>
    <w:rsid w:val="00A8513D"/>
    <w:rsid w:val="00A91402"/>
    <w:rsid w:val="00A9184F"/>
    <w:rsid w:val="00A921AC"/>
    <w:rsid w:val="00A942A0"/>
    <w:rsid w:val="00A94458"/>
    <w:rsid w:val="00A9521A"/>
    <w:rsid w:val="00A96C7F"/>
    <w:rsid w:val="00A978EC"/>
    <w:rsid w:val="00AA0194"/>
    <w:rsid w:val="00AA19CB"/>
    <w:rsid w:val="00AA208A"/>
    <w:rsid w:val="00AA2A03"/>
    <w:rsid w:val="00AA63E4"/>
    <w:rsid w:val="00AA6B7A"/>
    <w:rsid w:val="00AA6F7C"/>
    <w:rsid w:val="00AA719B"/>
    <w:rsid w:val="00AA7E09"/>
    <w:rsid w:val="00AB1DAF"/>
    <w:rsid w:val="00AB215B"/>
    <w:rsid w:val="00AB48F0"/>
    <w:rsid w:val="00AB6318"/>
    <w:rsid w:val="00AB6429"/>
    <w:rsid w:val="00AB6B50"/>
    <w:rsid w:val="00AB6B79"/>
    <w:rsid w:val="00AB723E"/>
    <w:rsid w:val="00AB7F81"/>
    <w:rsid w:val="00AC0558"/>
    <w:rsid w:val="00AC4CC0"/>
    <w:rsid w:val="00AC532B"/>
    <w:rsid w:val="00AC55D2"/>
    <w:rsid w:val="00AC5A04"/>
    <w:rsid w:val="00AC6065"/>
    <w:rsid w:val="00AC687F"/>
    <w:rsid w:val="00AC6DDC"/>
    <w:rsid w:val="00AC70F0"/>
    <w:rsid w:val="00AC7D45"/>
    <w:rsid w:val="00AD0848"/>
    <w:rsid w:val="00AD2586"/>
    <w:rsid w:val="00AD266C"/>
    <w:rsid w:val="00AD3850"/>
    <w:rsid w:val="00AD5271"/>
    <w:rsid w:val="00AE0192"/>
    <w:rsid w:val="00AE0309"/>
    <w:rsid w:val="00AE1605"/>
    <w:rsid w:val="00AE6673"/>
    <w:rsid w:val="00AE6A1C"/>
    <w:rsid w:val="00AF1398"/>
    <w:rsid w:val="00AF1B1E"/>
    <w:rsid w:val="00AF4873"/>
    <w:rsid w:val="00AF5044"/>
    <w:rsid w:val="00AF794B"/>
    <w:rsid w:val="00B016F1"/>
    <w:rsid w:val="00B05CD0"/>
    <w:rsid w:val="00B06D8B"/>
    <w:rsid w:val="00B10432"/>
    <w:rsid w:val="00B10B0E"/>
    <w:rsid w:val="00B11776"/>
    <w:rsid w:val="00B11ACD"/>
    <w:rsid w:val="00B17CAF"/>
    <w:rsid w:val="00B211F0"/>
    <w:rsid w:val="00B21890"/>
    <w:rsid w:val="00B21C0D"/>
    <w:rsid w:val="00B25864"/>
    <w:rsid w:val="00B25BDB"/>
    <w:rsid w:val="00B2766C"/>
    <w:rsid w:val="00B339CB"/>
    <w:rsid w:val="00B36DD6"/>
    <w:rsid w:val="00B37F2D"/>
    <w:rsid w:val="00B44CAB"/>
    <w:rsid w:val="00B4692B"/>
    <w:rsid w:val="00B46E89"/>
    <w:rsid w:val="00B4750C"/>
    <w:rsid w:val="00B52DBD"/>
    <w:rsid w:val="00B52ECD"/>
    <w:rsid w:val="00B53D78"/>
    <w:rsid w:val="00B559A9"/>
    <w:rsid w:val="00B70354"/>
    <w:rsid w:val="00B757AD"/>
    <w:rsid w:val="00B75806"/>
    <w:rsid w:val="00B770DC"/>
    <w:rsid w:val="00B8004A"/>
    <w:rsid w:val="00B81E91"/>
    <w:rsid w:val="00B834C2"/>
    <w:rsid w:val="00B83694"/>
    <w:rsid w:val="00B86C88"/>
    <w:rsid w:val="00B86E81"/>
    <w:rsid w:val="00B90F35"/>
    <w:rsid w:val="00B917BF"/>
    <w:rsid w:val="00B924F4"/>
    <w:rsid w:val="00B936DB"/>
    <w:rsid w:val="00B950AB"/>
    <w:rsid w:val="00B96203"/>
    <w:rsid w:val="00B97265"/>
    <w:rsid w:val="00BA2987"/>
    <w:rsid w:val="00BA2FB2"/>
    <w:rsid w:val="00BA643E"/>
    <w:rsid w:val="00BA7996"/>
    <w:rsid w:val="00BB0215"/>
    <w:rsid w:val="00BB0876"/>
    <w:rsid w:val="00BB316E"/>
    <w:rsid w:val="00BC044A"/>
    <w:rsid w:val="00BC0C15"/>
    <w:rsid w:val="00BC6EA0"/>
    <w:rsid w:val="00BD3138"/>
    <w:rsid w:val="00BE28CC"/>
    <w:rsid w:val="00BE3541"/>
    <w:rsid w:val="00BE68CD"/>
    <w:rsid w:val="00BF01CB"/>
    <w:rsid w:val="00BF0C2F"/>
    <w:rsid w:val="00BF2835"/>
    <w:rsid w:val="00BF6B29"/>
    <w:rsid w:val="00C02B55"/>
    <w:rsid w:val="00C037C0"/>
    <w:rsid w:val="00C04FF1"/>
    <w:rsid w:val="00C10B23"/>
    <w:rsid w:val="00C11B87"/>
    <w:rsid w:val="00C132A1"/>
    <w:rsid w:val="00C1440C"/>
    <w:rsid w:val="00C152BB"/>
    <w:rsid w:val="00C156DF"/>
    <w:rsid w:val="00C15871"/>
    <w:rsid w:val="00C1773C"/>
    <w:rsid w:val="00C17F2B"/>
    <w:rsid w:val="00C21A42"/>
    <w:rsid w:val="00C248A8"/>
    <w:rsid w:val="00C27E69"/>
    <w:rsid w:val="00C3165E"/>
    <w:rsid w:val="00C31A8F"/>
    <w:rsid w:val="00C33929"/>
    <w:rsid w:val="00C33D64"/>
    <w:rsid w:val="00C35A47"/>
    <w:rsid w:val="00C37439"/>
    <w:rsid w:val="00C4104B"/>
    <w:rsid w:val="00C438A3"/>
    <w:rsid w:val="00C43F60"/>
    <w:rsid w:val="00C50B2E"/>
    <w:rsid w:val="00C5284B"/>
    <w:rsid w:val="00C53C2C"/>
    <w:rsid w:val="00C555B9"/>
    <w:rsid w:val="00C56297"/>
    <w:rsid w:val="00C566A7"/>
    <w:rsid w:val="00C574EE"/>
    <w:rsid w:val="00C60A3F"/>
    <w:rsid w:val="00C60BDC"/>
    <w:rsid w:val="00C60CF7"/>
    <w:rsid w:val="00C6498C"/>
    <w:rsid w:val="00C655A6"/>
    <w:rsid w:val="00C65853"/>
    <w:rsid w:val="00C675BF"/>
    <w:rsid w:val="00C67E41"/>
    <w:rsid w:val="00C70305"/>
    <w:rsid w:val="00C70FED"/>
    <w:rsid w:val="00C73E10"/>
    <w:rsid w:val="00C8251E"/>
    <w:rsid w:val="00C84092"/>
    <w:rsid w:val="00C86192"/>
    <w:rsid w:val="00C87FF6"/>
    <w:rsid w:val="00C905D2"/>
    <w:rsid w:val="00C91486"/>
    <w:rsid w:val="00C915CE"/>
    <w:rsid w:val="00C9467E"/>
    <w:rsid w:val="00CA025F"/>
    <w:rsid w:val="00CA031D"/>
    <w:rsid w:val="00CA0755"/>
    <w:rsid w:val="00CA3180"/>
    <w:rsid w:val="00CA3BB8"/>
    <w:rsid w:val="00CA4FF1"/>
    <w:rsid w:val="00CA587B"/>
    <w:rsid w:val="00CA686B"/>
    <w:rsid w:val="00CB0B0F"/>
    <w:rsid w:val="00CB4334"/>
    <w:rsid w:val="00CB4894"/>
    <w:rsid w:val="00CB4BE7"/>
    <w:rsid w:val="00CB4E97"/>
    <w:rsid w:val="00CB593A"/>
    <w:rsid w:val="00CC09DD"/>
    <w:rsid w:val="00CC1A7D"/>
    <w:rsid w:val="00CC1FCA"/>
    <w:rsid w:val="00CC5778"/>
    <w:rsid w:val="00CC6DF9"/>
    <w:rsid w:val="00CC78FC"/>
    <w:rsid w:val="00CD0298"/>
    <w:rsid w:val="00CD43A3"/>
    <w:rsid w:val="00CD4A81"/>
    <w:rsid w:val="00CD616F"/>
    <w:rsid w:val="00CE4CC0"/>
    <w:rsid w:val="00CE7880"/>
    <w:rsid w:val="00CF0C2D"/>
    <w:rsid w:val="00CF13B3"/>
    <w:rsid w:val="00CF444F"/>
    <w:rsid w:val="00CF7883"/>
    <w:rsid w:val="00CF7A0E"/>
    <w:rsid w:val="00D00669"/>
    <w:rsid w:val="00D00F62"/>
    <w:rsid w:val="00D0165B"/>
    <w:rsid w:val="00D024B5"/>
    <w:rsid w:val="00D04A59"/>
    <w:rsid w:val="00D05FB7"/>
    <w:rsid w:val="00D062D6"/>
    <w:rsid w:val="00D0749B"/>
    <w:rsid w:val="00D1148E"/>
    <w:rsid w:val="00D13564"/>
    <w:rsid w:val="00D143FE"/>
    <w:rsid w:val="00D153D2"/>
    <w:rsid w:val="00D15D6E"/>
    <w:rsid w:val="00D16591"/>
    <w:rsid w:val="00D165A9"/>
    <w:rsid w:val="00D16B15"/>
    <w:rsid w:val="00D16B53"/>
    <w:rsid w:val="00D17447"/>
    <w:rsid w:val="00D21B89"/>
    <w:rsid w:val="00D22774"/>
    <w:rsid w:val="00D22898"/>
    <w:rsid w:val="00D22B2D"/>
    <w:rsid w:val="00D22C8C"/>
    <w:rsid w:val="00D239C8"/>
    <w:rsid w:val="00D2516F"/>
    <w:rsid w:val="00D30C33"/>
    <w:rsid w:val="00D311EC"/>
    <w:rsid w:val="00D31D19"/>
    <w:rsid w:val="00D3224E"/>
    <w:rsid w:val="00D364BE"/>
    <w:rsid w:val="00D4334C"/>
    <w:rsid w:val="00D43DA8"/>
    <w:rsid w:val="00D45D27"/>
    <w:rsid w:val="00D47283"/>
    <w:rsid w:val="00D47559"/>
    <w:rsid w:val="00D47664"/>
    <w:rsid w:val="00D51231"/>
    <w:rsid w:val="00D51C96"/>
    <w:rsid w:val="00D5228C"/>
    <w:rsid w:val="00D5343D"/>
    <w:rsid w:val="00D53FEE"/>
    <w:rsid w:val="00D555DB"/>
    <w:rsid w:val="00D56F05"/>
    <w:rsid w:val="00D61AC6"/>
    <w:rsid w:val="00D64B4B"/>
    <w:rsid w:val="00D67287"/>
    <w:rsid w:val="00D673A2"/>
    <w:rsid w:val="00D70107"/>
    <w:rsid w:val="00D72A10"/>
    <w:rsid w:val="00D765E5"/>
    <w:rsid w:val="00D80423"/>
    <w:rsid w:val="00D8405A"/>
    <w:rsid w:val="00D90DE8"/>
    <w:rsid w:val="00D91800"/>
    <w:rsid w:val="00D91B4C"/>
    <w:rsid w:val="00D91B8C"/>
    <w:rsid w:val="00D92760"/>
    <w:rsid w:val="00D92C2A"/>
    <w:rsid w:val="00D93A2D"/>
    <w:rsid w:val="00D94F76"/>
    <w:rsid w:val="00D97A6D"/>
    <w:rsid w:val="00DA5716"/>
    <w:rsid w:val="00DA7633"/>
    <w:rsid w:val="00DA79C0"/>
    <w:rsid w:val="00DB12E4"/>
    <w:rsid w:val="00DB2C16"/>
    <w:rsid w:val="00DB4027"/>
    <w:rsid w:val="00DB42FC"/>
    <w:rsid w:val="00DB5371"/>
    <w:rsid w:val="00DC4D8A"/>
    <w:rsid w:val="00DC7EBB"/>
    <w:rsid w:val="00DD0025"/>
    <w:rsid w:val="00DD1F4A"/>
    <w:rsid w:val="00DD2440"/>
    <w:rsid w:val="00DD2ADD"/>
    <w:rsid w:val="00DD2BA3"/>
    <w:rsid w:val="00DD375F"/>
    <w:rsid w:val="00DD4248"/>
    <w:rsid w:val="00DD5EA9"/>
    <w:rsid w:val="00DD77CF"/>
    <w:rsid w:val="00DE2913"/>
    <w:rsid w:val="00DE2B43"/>
    <w:rsid w:val="00DE36AD"/>
    <w:rsid w:val="00DE3A07"/>
    <w:rsid w:val="00DE3AD6"/>
    <w:rsid w:val="00DE5559"/>
    <w:rsid w:val="00DE67F4"/>
    <w:rsid w:val="00DE689F"/>
    <w:rsid w:val="00DE68CB"/>
    <w:rsid w:val="00DF2093"/>
    <w:rsid w:val="00DF23F9"/>
    <w:rsid w:val="00DF2A69"/>
    <w:rsid w:val="00DF3FF1"/>
    <w:rsid w:val="00DF40A4"/>
    <w:rsid w:val="00DF5644"/>
    <w:rsid w:val="00DF7F07"/>
    <w:rsid w:val="00E0330C"/>
    <w:rsid w:val="00E03626"/>
    <w:rsid w:val="00E14F8B"/>
    <w:rsid w:val="00E16E57"/>
    <w:rsid w:val="00E2026F"/>
    <w:rsid w:val="00E21A81"/>
    <w:rsid w:val="00E22724"/>
    <w:rsid w:val="00E24A79"/>
    <w:rsid w:val="00E24CC8"/>
    <w:rsid w:val="00E26AD7"/>
    <w:rsid w:val="00E271D7"/>
    <w:rsid w:val="00E27F6E"/>
    <w:rsid w:val="00E314B5"/>
    <w:rsid w:val="00E3220C"/>
    <w:rsid w:val="00E33395"/>
    <w:rsid w:val="00E35167"/>
    <w:rsid w:val="00E35A53"/>
    <w:rsid w:val="00E363C4"/>
    <w:rsid w:val="00E37482"/>
    <w:rsid w:val="00E3756C"/>
    <w:rsid w:val="00E44571"/>
    <w:rsid w:val="00E4496D"/>
    <w:rsid w:val="00E45B63"/>
    <w:rsid w:val="00E46496"/>
    <w:rsid w:val="00E46659"/>
    <w:rsid w:val="00E50BE0"/>
    <w:rsid w:val="00E5150B"/>
    <w:rsid w:val="00E535CE"/>
    <w:rsid w:val="00E57448"/>
    <w:rsid w:val="00E57677"/>
    <w:rsid w:val="00E60222"/>
    <w:rsid w:val="00E60D0B"/>
    <w:rsid w:val="00E613A2"/>
    <w:rsid w:val="00E6256B"/>
    <w:rsid w:val="00E627F8"/>
    <w:rsid w:val="00E70FB2"/>
    <w:rsid w:val="00E7328D"/>
    <w:rsid w:val="00E77963"/>
    <w:rsid w:val="00E82517"/>
    <w:rsid w:val="00E84DAA"/>
    <w:rsid w:val="00E90A0C"/>
    <w:rsid w:val="00E91169"/>
    <w:rsid w:val="00E91851"/>
    <w:rsid w:val="00E91E95"/>
    <w:rsid w:val="00E94A74"/>
    <w:rsid w:val="00E95E5A"/>
    <w:rsid w:val="00E9758E"/>
    <w:rsid w:val="00EA2DA7"/>
    <w:rsid w:val="00EA4D07"/>
    <w:rsid w:val="00EA5177"/>
    <w:rsid w:val="00EA55E7"/>
    <w:rsid w:val="00EA7206"/>
    <w:rsid w:val="00EB03EB"/>
    <w:rsid w:val="00EB125E"/>
    <w:rsid w:val="00EB1B59"/>
    <w:rsid w:val="00EB2FAE"/>
    <w:rsid w:val="00EB5F2B"/>
    <w:rsid w:val="00EB62E3"/>
    <w:rsid w:val="00EC1900"/>
    <w:rsid w:val="00EC2B5C"/>
    <w:rsid w:val="00EC4174"/>
    <w:rsid w:val="00EC6FCF"/>
    <w:rsid w:val="00ED339D"/>
    <w:rsid w:val="00ED3722"/>
    <w:rsid w:val="00ED49CD"/>
    <w:rsid w:val="00ED4D5F"/>
    <w:rsid w:val="00ED6195"/>
    <w:rsid w:val="00EE0773"/>
    <w:rsid w:val="00EE13A3"/>
    <w:rsid w:val="00EE352F"/>
    <w:rsid w:val="00EE394B"/>
    <w:rsid w:val="00EE3D56"/>
    <w:rsid w:val="00EE6EF3"/>
    <w:rsid w:val="00EF0CD3"/>
    <w:rsid w:val="00EF1135"/>
    <w:rsid w:val="00EF5796"/>
    <w:rsid w:val="00F00954"/>
    <w:rsid w:val="00F06A41"/>
    <w:rsid w:val="00F106A8"/>
    <w:rsid w:val="00F110FC"/>
    <w:rsid w:val="00F15ADC"/>
    <w:rsid w:val="00F17D46"/>
    <w:rsid w:val="00F20677"/>
    <w:rsid w:val="00F22F68"/>
    <w:rsid w:val="00F23AF0"/>
    <w:rsid w:val="00F27D75"/>
    <w:rsid w:val="00F300B1"/>
    <w:rsid w:val="00F3371D"/>
    <w:rsid w:val="00F33A1C"/>
    <w:rsid w:val="00F35D84"/>
    <w:rsid w:val="00F36398"/>
    <w:rsid w:val="00F406C0"/>
    <w:rsid w:val="00F41907"/>
    <w:rsid w:val="00F423D1"/>
    <w:rsid w:val="00F453E9"/>
    <w:rsid w:val="00F51497"/>
    <w:rsid w:val="00F51787"/>
    <w:rsid w:val="00F5178C"/>
    <w:rsid w:val="00F51BBA"/>
    <w:rsid w:val="00F5223A"/>
    <w:rsid w:val="00F53755"/>
    <w:rsid w:val="00F5784A"/>
    <w:rsid w:val="00F601E0"/>
    <w:rsid w:val="00F64368"/>
    <w:rsid w:val="00F6446A"/>
    <w:rsid w:val="00F64E99"/>
    <w:rsid w:val="00F66134"/>
    <w:rsid w:val="00F66983"/>
    <w:rsid w:val="00F67FB7"/>
    <w:rsid w:val="00F7419D"/>
    <w:rsid w:val="00F744F8"/>
    <w:rsid w:val="00F813DE"/>
    <w:rsid w:val="00F83B9D"/>
    <w:rsid w:val="00F84506"/>
    <w:rsid w:val="00F85003"/>
    <w:rsid w:val="00F85EA7"/>
    <w:rsid w:val="00F907ED"/>
    <w:rsid w:val="00F92222"/>
    <w:rsid w:val="00F93AA4"/>
    <w:rsid w:val="00F97856"/>
    <w:rsid w:val="00FA341B"/>
    <w:rsid w:val="00FA557D"/>
    <w:rsid w:val="00FA7392"/>
    <w:rsid w:val="00FA7C69"/>
    <w:rsid w:val="00FA7D1C"/>
    <w:rsid w:val="00FB6D67"/>
    <w:rsid w:val="00FC6255"/>
    <w:rsid w:val="00FC6310"/>
    <w:rsid w:val="00FC6A96"/>
    <w:rsid w:val="00FD0FCB"/>
    <w:rsid w:val="00FD31F8"/>
    <w:rsid w:val="00FD5BC6"/>
    <w:rsid w:val="00FD7405"/>
    <w:rsid w:val="00FD7AF4"/>
    <w:rsid w:val="00FE2095"/>
    <w:rsid w:val="00FE479D"/>
    <w:rsid w:val="00FE480C"/>
    <w:rsid w:val="00FE58EC"/>
    <w:rsid w:val="00FE7638"/>
    <w:rsid w:val="00FE7EBB"/>
    <w:rsid w:val="00FF3165"/>
    <w:rsid w:val="00FF56C4"/>
    <w:rsid w:val="026B7377"/>
    <w:rsid w:val="03301D1A"/>
    <w:rsid w:val="03975215"/>
    <w:rsid w:val="050D54CE"/>
    <w:rsid w:val="05F56F28"/>
    <w:rsid w:val="077F6B07"/>
    <w:rsid w:val="08634C14"/>
    <w:rsid w:val="09525C13"/>
    <w:rsid w:val="097E66E8"/>
    <w:rsid w:val="09823544"/>
    <w:rsid w:val="09EA41A2"/>
    <w:rsid w:val="0AEE5679"/>
    <w:rsid w:val="0B070A5E"/>
    <w:rsid w:val="0B4B60CB"/>
    <w:rsid w:val="0B50226B"/>
    <w:rsid w:val="0BDE7959"/>
    <w:rsid w:val="101E28B8"/>
    <w:rsid w:val="105E2E5C"/>
    <w:rsid w:val="179D1E56"/>
    <w:rsid w:val="1BD641A0"/>
    <w:rsid w:val="1D8732CF"/>
    <w:rsid w:val="1DEA3AA7"/>
    <w:rsid w:val="200C3C23"/>
    <w:rsid w:val="20875058"/>
    <w:rsid w:val="210B5C89"/>
    <w:rsid w:val="23253D32"/>
    <w:rsid w:val="238605C6"/>
    <w:rsid w:val="24000FEA"/>
    <w:rsid w:val="2A9A0FFE"/>
    <w:rsid w:val="2AB551B1"/>
    <w:rsid w:val="2ABC5B51"/>
    <w:rsid w:val="2B88437A"/>
    <w:rsid w:val="2C9D0974"/>
    <w:rsid w:val="2D8A3E75"/>
    <w:rsid w:val="2DEE0AA9"/>
    <w:rsid w:val="30340008"/>
    <w:rsid w:val="352D33ED"/>
    <w:rsid w:val="362C5B33"/>
    <w:rsid w:val="3A257A49"/>
    <w:rsid w:val="3C0C5582"/>
    <w:rsid w:val="3C1D3DDD"/>
    <w:rsid w:val="3CD92B2B"/>
    <w:rsid w:val="3DDAD2C4"/>
    <w:rsid w:val="3EC60FE9"/>
    <w:rsid w:val="3F052CF0"/>
    <w:rsid w:val="4024421A"/>
    <w:rsid w:val="427729B7"/>
    <w:rsid w:val="431775F1"/>
    <w:rsid w:val="43FF3156"/>
    <w:rsid w:val="44B3734F"/>
    <w:rsid w:val="44BA6822"/>
    <w:rsid w:val="44DA134B"/>
    <w:rsid w:val="457572C5"/>
    <w:rsid w:val="46C042E5"/>
    <w:rsid w:val="47E04ECA"/>
    <w:rsid w:val="4A344BCC"/>
    <w:rsid w:val="4A7F6B6B"/>
    <w:rsid w:val="4AEA00C3"/>
    <w:rsid w:val="4B682099"/>
    <w:rsid w:val="4EEE170E"/>
    <w:rsid w:val="4F177EA8"/>
    <w:rsid w:val="4F983684"/>
    <w:rsid w:val="4FE66877"/>
    <w:rsid w:val="54962724"/>
    <w:rsid w:val="55021786"/>
    <w:rsid w:val="55703B13"/>
    <w:rsid w:val="563936E0"/>
    <w:rsid w:val="56420695"/>
    <w:rsid w:val="5713005A"/>
    <w:rsid w:val="57175D5E"/>
    <w:rsid w:val="57AF0677"/>
    <w:rsid w:val="57D55E13"/>
    <w:rsid w:val="59552A64"/>
    <w:rsid w:val="5B6D4529"/>
    <w:rsid w:val="5B8161A6"/>
    <w:rsid w:val="5E591C11"/>
    <w:rsid w:val="5FD34363"/>
    <w:rsid w:val="651008D1"/>
    <w:rsid w:val="656A4E0A"/>
    <w:rsid w:val="65B37365"/>
    <w:rsid w:val="65FD3508"/>
    <w:rsid w:val="664A5D9B"/>
    <w:rsid w:val="67FC76A6"/>
    <w:rsid w:val="69BB58A7"/>
    <w:rsid w:val="6B4F21E3"/>
    <w:rsid w:val="6E7220B1"/>
    <w:rsid w:val="6E9E169B"/>
    <w:rsid w:val="70F5267F"/>
    <w:rsid w:val="725D02DB"/>
    <w:rsid w:val="728955C8"/>
    <w:rsid w:val="73636F97"/>
    <w:rsid w:val="76DF5D07"/>
    <w:rsid w:val="77F93F25"/>
    <w:rsid w:val="78DF4BA6"/>
    <w:rsid w:val="7B001259"/>
    <w:rsid w:val="7B437D57"/>
    <w:rsid w:val="7D0E1BC0"/>
    <w:rsid w:val="7DC0213A"/>
    <w:rsid w:val="7FA00847"/>
    <w:rsid w:val="7FA0750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qFormat/>
    <w:uiPriority w:val="0"/>
    <w:pPr>
      <w:keepNext/>
      <w:keepLines/>
      <w:numPr>
        <w:ilvl w:val="2"/>
        <w:numId w:val="1"/>
      </w:numPr>
      <w:spacing w:line="360" w:lineRule="auto"/>
      <w:jc w:val="left"/>
      <w:outlineLvl w:val="2"/>
    </w:pPr>
    <w:rPr>
      <w:rFonts w:ascii="仿宋_GB2312" w:hAnsi="仿宋_GB2312" w:eastAsia="微软雅黑"/>
      <w:b/>
      <w:bCs/>
      <w:szCs w:val="20"/>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link w:val="57"/>
    <w:qFormat/>
    <w:uiPriority w:val="0"/>
    <w:pPr>
      <w:spacing w:after="120"/>
    </w:pPr>
    <w:rPr>
      <w:sz w:val="28"/>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link w:val="89"/>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qFormat/>
    <w:uiPriority w:val="0"/>
    <w:rPr>
      <w:b/>
      <w:bCs/>
    </w:rPr>
  </w:style>
  <w:style w:type="paragraph" w:styleId="38">
    <w:name w:val="Body Text First Indent"/>
    <w:basedOn w:val="17"/>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2"/>
    <w:qFormat/>
    <w:uiPriority w:val="0"/>
    <w:rPr>
      <w:b/>
      <w:bCs/>
      <w:kern w:val="44"/>
      <w:sz w:val="44"/>
      <w:szCs w:val="44"/>
    </w:rPr>
  </w:style>
  <w:style w:type="character" w:customStyle="1" w:styleId="49">
    <w:name w:val="正文缩进 字符"/>
    <w:link w:val="5"/>
    <w:qFormat/>
    <w:uiPriority w:val="0"/>
    <w:rPr>
      <w:rFonts w:eastAsia="宋体"/>
      <w:kern w:val="2"/>
      <w:sz w:val="21"/>
      <w:lang w:bidi="ar-SA"/>
    </w:rPr>
  </w:style>
  <w:style w:type="character" w:customStyle="1" w:styleId="50">
    <w:name w:val="标题 3 字符"/>
    <w:link w:val="4"/>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纯文本 Char1"/>
    <w:qFormat/>
    <w:uiPriority w:val="0"/>
    <w:rPr>
      <w:rFonts w:ascii="宋体" w:hAnsi="Courier New" w:eastAsia="宋体" w:cs="Times New Roman"/>
      <w:sz w:val="24"/>
      <w:szCs w:val="24"/>
    </w:rPr>
  </w:style>
  <w:style w:type="character" w:customStyle="1" w:styleId="89">
    <w:name w:val="正文文本缩进 2 字符"/>
    <w:link w:val="24"/>
    <w:qFormat/>
    <w:uiPriority w:val="0"/>
    <w:rPr>
      <w:rFonts w:ascii="仿宋_GB2312" w:hAnsi="宋体" w:cs="Arial"/>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12296</Words>
  <Characters>12962</Characters>
  <Lines>104</Lines>
  <Paragraphs>29</Paragraphs>
  <TotalTime>0</TotalTime>
  <ScaleCrop>false</ScaleCrop>
  <LinksUpToDate>false</LinksUpToDate>
  <CharactersWithSpaces>13586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2024-09-03T03:37:00Z</dcterms:created>
  <dc:creator>WinXP</dc:creator>
  <cp:lastModifiedBy>章大莉</cp:lastModifiedBy>
  <cp:lastPrinted>2024-09-03T04:14:00Z</cp:lastPrinted>
  <dcterms:modified xsi:type="dcterms:W3CDTF">2025-03-11T08:19:27Z</dcterms:modified>
  <dc:title>2016年（第一期）嘉兴市本级公共资金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901348CBC4F546738BA9BEF9167D5DE9_13</vt:lpwstr>
  </property>
  <property fmtid="{D5CDD505-2E9C-101B-9397-08002B2CF9AE}" pid="4" name="KSOTemplateDocerSaveRecord">
    <vt:lpwstr>eyJoZGlkIjoiMTJlMTYyNTAxYWM3MWI0NzliODIyODNmMjdmN2NhNGEiLCJ1c2VySWQiOiIxMjkzODA4MDU5In0=</vt:lpwstr>
  </property>
</Properties>
</file>