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BC050">
      <w:pPr>
        <w:tabs>
          <w:tab w:val="left" w:pos="3449"/>
        </w:tabs>
        <w:spacing w:line="360" w:lineRule="auto"/>
        <w:rPr>
          <w:rFonts w:hint="eastAsia" w:ascii="微软雅黑" w:hAnsi="微软雅黑" w:eastAsia="微软雅黑" w:cs="微软雅黑"/>
          <w:b/>
          <w:color w:val="auto"/>
          <w:sz w:val="36"/>
          <w:szCs w:val="36"/>
          <w:highlight w:val="none"/>
        </w:rPr>
      </w:pPr>
      <w:bookmarkStart w:id="133" w:name="_GoBack"/>
    </w:p>
    <w:p w14:paraId="1BA47C6B">
      <w:pPr>
        <w:tabs>
          <w:tab w:val="left" w:pos="3449"/>
        </w:tabs>
        <w:spacing w:line="360" w:lineRule="auto"/>
        <w:rPr>
          <w:rFonts w:hint="eastAsia" w:ascii="微软雅黑" w:hAnsi="微软雅黑" w:eastAsia="微软雅黑" w:cs="微软雅黑"/>
          <w:b/>
          <w:color w:val="auto"/>
          <w:sz w:val="36"/>
          <w:szCs w:val="36"/>
          <w:highlight w:val="none"/>
        </w:rPr>
      </w:pPr>
    </w:p>
    <w:p w14:paraId="2D4D9182">
      <w:pPr>
        <w:pStyle w:val="85"/>
        <w:jc w:val="center"/>
        <w:rPr>
          <w:rFonts w:hint="eastAsia" w:ascii="方正粗黑宋简体" w:hAnsi="方正粗黑宋简体" w:eastAsia="方正粗黑宋简体"/>
          <w:color w:val="auto"/>
          <w:sz w:val="72"/>
          <w:szCs w:val="72"/>
          <w:highlight w:val="none"/>
        </w:rPr>
      </w:pPr>
      <w:r>
        <w:rPr>
          <w:rFonts w:hint="eastAsia" w:ascii="方正粗黑宋简体" w:hAnsi="方正粗黑宋简体" w:eastAsia="方正粗黑宋简体"/>
          <w:color w:val="auto"/>
          <w:sz w:val="72"/>
          <w:szCs w:val="72"/>
          <w:highlight w:val="none"/>
        </w:rPr>
        <w:t>公 开 招 标 采 购 文 件</w:t>
      </w:r>
    </w:p>
    <w:p w14:paraId="13D3F6E7">
      <w:pPr>
        <w:pStyle w:val="85"/>
        <w:jc w:val="center"/>
        <w:rPr>
          <w:rFonts w:hint="eastAsia" w:ascii="方正粗黑宋简体" w:hAnsi="方正粗黑宋简体" w:eastAsia="方正粗黑宋简体"/>
          <w:color w:val="auto"/>
          <w:sz w:val="52"/>
          <w:szCs w:val="52"/>
          <w:highlight w:val="none"/>
        </w:rPr>
      </w:pPr>
    </w:p>
    <w:p w14:paraId="45B3CB1E">
      <w:pPr>
        <w:pStyle w:val="85"/>
        <w:rPr>
          <w:color w:val="auto"/>
          <w:highlight w:val="none"/>
        </w:rPr>
      </w:pPr>
    </w:p>
    <w:p w14:paraId="1D841784">
      <w:pPr>
        <w:spacing w:line="360" w:lineRule="auto"/>
        <w:ind w:left="120" w:leftChars="-337" w:right="-804" w:rightChars="-383" w:hanging="828" w:hangingChars="230"/>
        <w:jc w:val="center"/>
        <w:rPr>
          <w:rFonts w:hint="eastAsia" w:ascii="微软雅黑" w:hAnsi="微软雅黑" w:eastAsia="微软雅黑"/>
          <w:b/>
          <w:bCs/>
          <w:color w:val="auto"/>
          <w:sz w:val="36"/>
          <w:szCs w:val="36"/>
          <w:highlight w:val="none"/>
        </w:rPr>
      </w:pPr>
      <w:r>
        <w:rPr>
          <w:rFonts w:ascii="微软雅黑" w:hAnsi="微软雅黑" w:eastAsia="微软雅黑"/>
          <w:b/>
          <w:color w:val="auto"/>
          <w:sz w:val="36"/>
          <w:szCs w:val="36"/>
          <w:highlight w:val="none"/>
        </w:rPr>
        <w:drawing>
          <wp:inline distT="0" distB="0" distL="0" distR="0">
            <wp:extent cx="2095500" cy="2000250"/>
            <wp:effectExtent l="0" t="0" r="0" b="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10"/>
                    <a:srcRect/>
                    <a:stretch>
                      <a:fillRect/>
                    </a:stretch>
                  </pic:blipFill>
                  <pic:spPr>
                    <a:xfrm>
                      <a:off x="0" y="0"/>
                      <a:ext cx="2095500" cy="2000250"/>
                    </a:xfrm>
                    <a:prstGeom prst="rect">
                      <a:avLst/>
                    </a:prstGeom>
                    <a:noFill/>
                    <a:ln w="9525" cmpd="sng">
                      <a:noFill/>
                      <a:miter lim="800000"/>
                      <a:headEnd/>
                      <a:tailEnd/>
                    </a:ln>
                    <a:effectLst/>
                  </pic:spPr>
                </pic:pic>
              </a:graphicData>
            </a:graphic>
          </wp:inline>
        </w:drawing>
      </w:r>
    </w:p>
    <w:p w14:paraId="6F86DFB8">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p>
    <w:p w14:paraId="24417B99">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嘉兴市千秋工程咨询有限公司</w:t>
      </w:r>
    </w:p>
    <w:p w14:paraId="7F2F69D4">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Jiaxing Qianqiu Engineering Consulting Co., Ltd</w:t>
      </w:r>
    </w:p>
    <w:p w14:paraId="54E4C630">
      <w:pPr>
        <w:pStyle w:val="22"/>
        <w:spacing w:before="156" w:after="156" w:line="360" w:lineRule="auto"/>
        <w:ind w:right="-191" w:rightChars="-91"/>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项目名称：</w:t>
      </w:r>
      <w:r>
        <w:rPr>
          <w:rFonts w:hint="eastAsia" w:ascii="微软雅黑" w:hAnsi="微软雅黑" w:eastAsia="微软雅黑"/>
          <w:bCs/>
          <w:color w:val="auto"/>
          <w:w w:val="95"/>
          <w:sz w:val="28"/>
          <w:szCs w:val="28"/>
          <w:highlight w:val="none"/>
          <w:lang w:eastAsia="zh-CN"/>
        </w:rPr>
        <w:t>嘉兴市秀洲区人民法院资金帐户招标项目</w:t>
      </w:r>
    </w:p>
    <w:p w14:paraId="67940962">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招标编号：</w:t>
      </w:r>
      <w:r>
        <w:rPr>
          <w:rFonts w:hint="eastAsia" w:ascii="微软雅黑" w:hAnsi="微软雅黑" w:eastAsia="微软雅黑"/>
          <w:bCs/>
          <w:color w:val="auto"/>
          <w:w w:val="95"/>
          <w:sz w:val="28"/>
          <w:szCs w:val="28"/>
          <w:highlight w:val="none"/>
          <w:lang w:eastAsia="zh-CN"/>
        </w:rPr>
        <w:t>千秋-XZCF（2025）第02号</w:t>
      </w:r>
    </w:p>
    <w:p w14:paraId="3538EEA9">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采购单位：</w:t>
      </w:r>
      <w:r>
        <w:rPr>
          <w:rFonts w:hint="eastAsia" w:ascii="微软雅黑" w:hAnsi="微软雅黑" w:eastAsia="微软雅黑"/>
          <w:bCs/>
          <w:color w:val="auto"/>
          <w:w w:val="95"/>
          <w:sz w:val="28"/>
          <w:szCs w:val="28"/>
          <w:highlight w:val="none"/>
          <w:lang w:eastAsia="zh-CN"/>
        </w:rPr>
        <w:t>嘉兴市秀洲区人民法院</w:t>
      </w:r>
    </w:p>
    <w:p w14:paraId="64289F1C">
      <w:pPr>
        <w:pStyle w:val="22"/>
        <w:spacing w:before="156" w:after="156" w:line="360" w:lineRule="auto"/>
        <w:jc w:val="left"/>
        <w:rPr>
          <w:rFonts w:hint="eastAsia" w:ascii="微软雅黑" w:hAnsi="微软雅黑" w:eastAsia="微软雅黑"/>
          <w:bCs/>
          <w:color w:val="auto"/>
          <w:w w:val="95"/>
          <w:sz w:val="28"/>
          <w:szCs w:val="28"/>
          <w:highlight w:val="none"/>
        </w:rPr>
      </w:pPr>
      <w:r>
        <w:rPr>
          <w:rFonts w:hint="eastAsia" w:ascii="微软雅黑" w:hAnsi="微软雅黑" w:eastAsia="微软雅黑"/>
          <w:bCs/>
          <w:color w:val="auto"/>
          <w:w w:val="95"/>
          <w:sz w:val="28"/>
          <w:szCs w:val="28"/>
          <w:highlight w:val="none"/>
        </w:rPr>
        <w:t>代理机构：嘉兴市千秋工程咨询有限公司</w:t>
      </w:r>
    </w:p>
    <w:p w14:paraId="056CED96">
      <w:pPr>
        <w:pStyle w:val="22"/>
        <w:spacing w:before="156" w:after="156" w:line="360" w:lineRule="auto"/>
        <w:jc w:val="left"/>
        <w:rPr>
          <w:rFonts w:cstheme="majorBidi"/>
          <w:color w:val="auto"/>
          <w:kern w:val="28"/>
          <w:sz w:val="32"/>
          <w:szCs w:val="32"/>
          <w:highlight w:val="none"/>
        </w:rPr>
      </w:pPr>
      <w:bookmarkStart w:id="0" w:name="_Toc493511539"/>
      <w:bookmarkStart w:id="1" w:name="_Toc50012812"/>
      <w:bookmarkStart w:id="2" w:name="_Toc427915753"/>
      <w:r>
        <w:rPr>
          <w:rFonts w:hint="eastAsia" w:ascii="微软雅黑" w:hAnsi="微软雅黑" w:eastAsia="微软雅黑"/>
          <w:bCs/>
          <w:color w:val="auto"/>
          <w:w w:val="95"/>
          <w:sz w:val="28"/>
          <w:szCs w:val="28"/>
          <w:highlight w:val="none"/>
        </w:rPr>
        <w:t>日    期：202</w:t>
      </w:r>
      <w:r>
        <w:rPr>
          <w:rFonts w:hint="eastAsia" w:ascii="微软雅黑" w:hAnsi="微软雅黑" w:eastAsia="微软雅黑"/>
          <w:bCs/>
          <w:color w:val="auto"/>
          <w:w w:val="95"/>
          <w:sz w:val="28"/>
          <w:szCs w:val="28"/>
          <w:highlight w:val="none"/>
          <w:lang w:val="en-US" w:eastAsia="zh-CN"/>
        </w:rPr>
        <w:t>5</w:t>
      </w:r>
      <w:r>
        <w:rPr>
          <w:rFonts w:hint="eastAsia" w:ascii="微软雅黑" w:hAnsi="微软雅黑" w:eastAsia="微软雅黑"/>
          <w:bCs/>
          <w:color w:val="auto"/>
          <w:w w:val="95"/>
          <w:sz w:val="28"/>
          <w:szCs w:val="28"/>
          <w:highlight w:val="none"/>
        </w:rPr>
        <w:t>年</w:t>
      </w:r>
      <w:r>
        <w:rPr>
          <w:rFonts w:hint="eastAsia" w:ascii="微软雅黑" w:hAnsi="微软雅黑" w:eastAsia="微软雅黑"/>
          <w:bCs/>
          <w:color w:val="auto"/>
          <w:w w:val="95"/>
          <w:sz w:val="28"/>
          <w:szCs w:val="28"/>
          <w:highlight w:val="none"/>
          <w:lang w:val="en-US" w:eastAsia="zh-CN"/>
        </w:rPr>
        <w:t>02</w:t>
      </w:r>
      <w:r>
        <w:rPr>
          <w:rFonts w:hint="eastAsia" w:ascii="微软雅黑" w:hAnsi="微软雅黑" w:eastAsia="微软雅黑"/>
          <w:bCs/>
          <w:color w:val="auto"/>
          <w:w w:val="95"/>
          <w:sz w:val="28"/>
          <w:szCs w:val="28"/>
          <w:highlight w:val="none"/>
        </w:rPr>
        <w:t>月</w:t>
      </w:r>
      <w:r>
        <w:rPr>
          <w:rFonts w:hint="eastAsia" w:ascii="微软雅黑" w:hAnsi="微软雅黑" w:eastAsia="微软雅黑"/>
          <w:bCs/>
          <w:color w:val="auto"/>
          <w:w w:val="95"/>
          <w:sz w:val="28"/>
          <w:szCs w:val="28"/>
          <w:highlight w:val="none"/>
          <w:lang w:val="en-US" w:eastAsia="zh-CN"/>
        </w:rPr>
        <w:t>19</w:t>
      </w:r>
      <w:r>
        <w:rPr>
          <w:rFonts w:hint="eastAsia" w:ascii="微软雅黑" w:hAnsi="微软雅黑" w:eastAsia="微软雅黑"/>
          <w:bCs/>
          <w:color w:val="auto"/>
          <w:w w:val="95"/>
          <w:sz w:val="28"/>
          <w:szCs w:val="28"/>
          <w:highlight w:val="none"/>
        </w:rPr>
        <w:t>日</w:t>
      </w:r>
      <w:bookmarkEnd w:id="0"/>
      <w:bookmarkEnd w:id="1"/>
      <w:bookmarkEnd w:id="2"/>
    </w:p>
    <w:p w14:paraId="48D94108">
      <w:pPr>
        <w:rPr>
          <w:rFonts w:cstheme="majorBidi"/>
          <w:color w:val="auto"/>
          <w:kern w:val="28"/>
          <w:sz w:val="32"/>
          <w:szCs w:val="32"/>
          <w:highlight w:val="none"/>
        </w:rPr>
        <w:sectPr>
          <w:footerReference r:id="rId6" w:type="first"/>
          <w:headerReference r:id="rId3" w:type="default"/>
          <w:footerReference r:id="rId4" w:type="default"/>
          <w:footerReference r:id="rId5" w:type="even"/>
          <w:pgSz w:w="11907" w:h="16840"/>
          <w:pgMar w:top="1440" w:right="1797" w:bottom="1440" w:left="1797" w:header="851" w:footer="851" w:gutter="0"/>
          <w:pgNumType w:start="1"/>
          <w:cols w:space="425" w:num="1"/>
          <w:titlePg/>
          <w:docGrid w:type="lines" w:linePitch="312" w:charSpace="0"/>
        </w:sectPr>
      </w:pPr>
    </w:p>
    <w:p w14:paraId="2F8E109F">
      <w:pPr>
        <w:rPr>
          <w:rFonts w:cstheme="majorBidi"/>
          <w:color w:val="auto"/>
          <w:kern w:val="28"/>
          <w:sz w:val="28"/>
          <w:szCs w:val="28"/>
          <w:highlight w:val="none"/>
        </w:rPr>
      </w:pPr>
    </w:p>
    <w:sdt>
      <w:sdtPr>
        <w:rPr>
          <w:rFonts w:ascii="Times New Roman" w:hAnsi="Times New Roman" w:eastAsia="宋体" w:cs="Times New Roman"/>
          <w:b w:val="0"/>
          <w:bCs w:val="0"/>
          <w:color w:val="auto"/>
          <w:kern w:val="2"/>
          <w:sz w:val="21"/>
          <w:szCs w:val="24"/>
          <w:highlight w:val="none"/>
          <w:lang w:val="zh-CN"/>
        </w:rPr>
        <w:id w:val="95592265"/>
        <w:docPartObj>
          <w:docPartGallery w:val="Table of Contents"/>
          <w:docPartUnique/>
        </w:docPartObj>
      </w:sdtPr>
      <w:sdtEndPr>
        <w:rPr>
          <w:rFonts w:ascii="Times New Roman" w:hAnsi="Times New Roman" w:eastAsia="宋体" w:cs="Times New Roman"/>
          <w:b w:val="0"/>
          <w:bCs w:val="0"/>
          <w:color w:val="auto"/>
          <w:kern w:val="2"/>
          <w:sz w:val="21"/>
          <w:szCs w:val="24"/>
          <w:highlight w:val="none"/>
          <w:lang w:val="en-US"/>
        </w:rPr>
      </w:sdtEndPr>
      <w:sdtContent>
        <w:p w14:paraId="78207162">
          <w:pPr>
            <w:pStyle w:val="87"/>
            <w:jc w:val="center"/>
            <w:rPr>
              <w:color w:val="auto"/>
              <w:highlight w:val="none"/>
            </w:rPr>
          </w:pPr>
          <w:r>
            <w:rPr>
              <w:color w:val="auto"/>
              <w:highlight w:val="none"/>
              <w:lang w:val="zh-CN"/>
            </w:rPr>
            <w:t>目录</w:t>
          </w:r>
        </w:p>
        <w:p w14:paraId="0FAAC3B3">
          <w:pPr>
            <w:pStyle w:val="28"/>
            <w:tabs>
              <w:tab w:val="right" w:leader="dot" w:pos="8303"/>
            </w:tabs>
            <w:spacing w:line="480" w:lineRule="auto"/>
            <w:rPr>
              <w:rFonts w:hint="eastAsia" w:ascii="微软雅黑" w:hAnsi="微软雅黑" w:eastAsia="微软雅黑" w:cstheme="minorBidi"/>
              <w:color w:val="auto"/>
              <w:szCs w:val="22"/>
              <w:highlight w:val="none"/>
            </w:rPr>
          </w:pP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TOC \o "1-3" \h \z \u </w:instrText>
          </w:r>
          <w:r>
            <w:rPr>
              <w:rFonts w:ascii="微软雅黑" w:hAnsi="微软雅黑" w:eastAsia="微软雅黑"/>
              <w:color w:val="auto"/>
              <w:highlight w:val="none"/>
            </w:rPr>
            <w:fldChar w:fldCharType="separate"/>
          </w:r>
          <w:r>
            <w:rPr>
              <w:color w:val="auto"/>
              <w:highlight w:val="none"/>
            </w:rPr>
            <w:fldChar w:fldCharType="begin"/>
          </w:r>
          <w:r>
            <w:rPr>
              <w:color w:val="auto"/>
              <w:highlight w:val="none"/>
            </w:rPr>
            <w:instrText xml:space="preserve"> HYPERLINK \l "_Toc98019223" </w:instrText>
          </w:r>
          <w:r>
            <w:rPr>
              <w:color w:val="auto"/>
              <w:highlight w:val="none"/>
            </w:rPr>
            <w:fldChar w:fldCharType="separate"/>
          </w:r>
          <w:r>
            <w:rPr>
              <w:rStyle w:val="45"/>
              <w:rFonts w:hint="eastAsia" w:ascii="微软雅黑" w:hAnsi="微软雅黑" w:eastAsia="微软雅黑"/>
              <w:color w:val="auto"/>
              <w:highlight w:val="none"/>
            </w:rPr>
            <w:t>第一章 公开招标公告</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_Toc98019223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252270B0">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"_Toc98019233" </w:instrText>
          </w:r>
          <w:r>
            <w:rPr>
              <w:color w:val="auto"/>
              <w:highlight w:val="none"/>
            </w:rPr>
            <w:fldChar w:fldCharType="separate"/>
          </w:r>
          <w:r>
            <w:rPr>
              <w:rStyle w:val="45"/>
              <w:rFonts w:hint="eastAsia" w:ascii="微软雅黑" w:hAnsi="微软雅黑" w:eastAsia="微软雅黑"/>
              <w:color w:val="auto"/>
              <w:highlight w:val="none"/>
            </w:rPr>
            <w:t>第二章 招标需求</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3549CE6E">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"_Toc98019234" </w:instrText>
          </w:r>
          <w:r>
            <w:rPr>
              <w:color w:val="auto"/>
              <w:highlight w:val="none"/>
            </w:rPr>
            <w:fldChar w:fldCharType="separate"/>
          </w:r>
          <w:r>
            <w:rPr>
              <w:rStyle w:val="45"/>
              <w:rFonts w:hint="eastAsia" w:ascii="微软雅黑" w:hAnsi="微软雅黑" w:eastAsia="微软雅黑"/>
              <w:color w:val="auto"/>
              <w:highlight w:val="none"/>
            </w:rPr>
            <w:t>第三章 投标人须知</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5</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6B81182B">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"_Toc98019286" </w:instrText>
          </w:r>
          <w:r>
            <w:rPr>
              <w:color w:val="auto"/>
              <w:highlight w:val="none"/>
            </w:rPr>
            <w:fldChar w:fldCharType="separate"/>
          </w:r>
          <w:r>
            <w:rPr>
              <w:rStyle w:val="45"/>
              <w:rFonts w:hint="eastAsia" w:ascii="微软雅黑" w:hAnsi="微软雅黑" w:eastAsia="微软雅黑"/>
              <w:color w:val="auto"/>
              <w:highlight w:val="none"/>
            </w:rPr>
            <w:t>第四章 评标办法及评分标准</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_Toc98019286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16</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52890B07">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"_Toc98019294" </w:instrText>
          </w:r>
          <w:r>
            <w:rPr>
              <w:color w:val="auto"/>
              <w:highlight w:val="none"/>
            </w:rPr>
            <w:fldChar w:fldCharType="separate"/>
          </w:r>
          <w:r>
            <w:rPr>
              <w:rStyle w:val="45"/>
              <w:rFonts w:hint="eastAsia" w:ascii="微软雅黑" w:hAnsi="微软雅黑" w:eastAsia="微软雅黑"/>
              <w:color w:val="auto"/>
              <w:highlight w:val="none"/>
            </w:rPr>
            <w:t>第五章协议主要条款</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20</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6E78EA79">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"_Toc98019297" </w:instrText>
          </w:r>
          <w:r>
            <w:rPr>
              <w:color w:val="auto"/>
              <w:highlight w:val="none"/>
            </w:rPr>
            <w:fldChar w:fldCharType="separate"/>
          </w:r>
          <w:r>
            <w:rPr>
              <w:rStyle w:val="45"/>
              <w:rFonts w:hint="eastAsia" w:ascii="微软雅黑" w:hAnsi="微软雅黑" w:eastAsia="微软雅黑"/>
              <w:color w:val="auto"/>
              <w:highlight w:val="none"/>
            </w:rPr>
            <w:t>第六章 投标文件格式</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_Toc98019297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2FC8297B">
          <w:pPr>
            <w:spacing w:line="480" w:lineRule="auto"/>
            <w:rPr>
              <w:color w:val="auto"/>
              <w:highlight w:val="none"/>
            </w:rPr>
          </w:pPr>
          <w:r>
            <w:rPr>
              <w:rFonts w:ascii="微软雅黑" w:hAnsi="微软雅黑" w:eastAsia="微软雅黑"/>
              <w:color w:val="auto"/>
              <w:highlight w:val="none"/>
            </w:rPr>
            <w:fldChar w:fldCharType="end"/>
          </w:r>
        </w:p>
      </w:sdtContent>
    </w:sdt>
    <w:p w14:paraId="2CEC2189">
      <w:pPr>
        <w:tabs>
          <w:tab w:val="left" w:pos="5554"/>
        </w:tabs>
        <w:rPr>
          <w:rFonts w:cstheme="majorBidi"/>
          <w:color w:val="auto"/>
          <w:kern w:val="28"/>
          <w:sz w:val="32"/>
          <w:szCs w:val="32"/>
          <w:highlight w:val="none"/>
        </w:rPr>
      </w:pPr>
      <w:r>
        <w:rPr>
          <w:rFonts w:cstheme="majorBidi"/>
          <w:color w:val="auto"/>
          <w:kern w:val="28"/>
          <w:sz w:val="32"/>
          <w:szCs w:val="32"/>
          <w:highlight w:val="none"/>
        </w:rPr>
        <w:tab/>
      </w:r>
    </w:p>
    <w:p w14:paraId="79CF540A">
      <w:pPr>
        <w:rPr>
          <w:rFonts w:cstheme="majorBidi"/>
          <w:color w:val="auto"/>
          <w:kern w:val="28"/>
          <w:sz w:val="32"/>
          <w:szCs w:val="32"/>
          <w:highlight w:val="none"/>
        </w:rPr>
      </w:pPr>
    </w:p>
    <w:p w14:paraId="21D80A95">
      <w:pPr>
        <w:pStyle w:val="36"/>
        <w:outlineLvl w:val="9"/>
        <w:rPr>
          <w:color w:val="auto"/>
          <w:highlight w:val="none"/>
        </w:rPr>
      </w:pPr>
      <w:bookmarkStart w:id="3" w:name="_Toc9342476"/>
      <w:bookmarkStart w:id="4" w:name="_Toc11650166"/>
    </w:p>
    <w:p w14:paraId="781AAED9">
      <w:pPr>
        <w:widowControl/>
        <w:jc w:val="left"/>
        <w:rPr>
          <w:rFonts w:ascii="Cambria" w:hAnsi="Cambria" w:eastAsia="微软雅黑"/>
          <w:b/>
          <w:bCs/>
          <w:color w:val="auto"/>
          <w:sz w:val="32"/>
          <w:szCs w:val="32"/>
          <w:highlight w:val="none"/>
        </w:rPr>
      </w:pPr>
      <w:r>
        <w:rPr>
          <w:color w:val="auto"/>
          <w:highlight w:val="none"/>
        </w:rPr>
        <w:br w:type="page"/>
      </w:r>
    </w:p>
    <w:p w14:paraId="32B2A7EE">
      <w:pPr>
        <w:pStyle w:val="36"/>
        <w:numPr>
          <w:ilvl w:val="0"/>
          <w:numId w:val="3"/>
        </w:numPr>
        <w:rPr>
          <w:color w:val="auto"/>
          <w:highlight w:val="none"/>
        </w:rPr>
      </w:pPr>
      <w:bookmarkStart w:id="5" w:name="_Toc98019223"/>
      <w:r>
        <w:rPr>
          <w:rFonts w:hint="eastAsia"/>
          <w:color w:val="auto"/>
          <w:highlight w:val="none"/>
        </w:rPr>
        <w:t>公开招标公告</w:t>
      </w:r>
      <w:bookmarkEnd w:id="3"/>
      <w:bookmarkEnd w:id="4"/>
      <w:bookmarkEnd w:id="5"/>
    </w:p>
    <w:p w14:paraId="0AE11AEC">
      <w:pPr>
        <w:snapToGrid w:val="0"/>
        <w:spacing w:line="460" w:lineRule="exact"/>
        <w:ind w:firstLine="420" w:firstLineChars="200"/>
        <w:rPr>
          <w:rFonts w:hint="eastAsia" w:ascii="微软雅黑" w:hAnsi="微软雅黑" w:eastAsia="微软雅黑"/>
          <w:color w:val="auto"/>
          <w:szCs w:val="21"/>
          <w:highlight w:val="none"/>
        </w:rPr>
      </w:pPr>
      <w:bookmarkStart w:id="6" w:name="_Toc11650167"/>
      <w:bookmarkStart w:id="7" w:name="_Toc9342477"/>
      <w:r>
        <w:rPr>
          <w:rFonts w:hint="eastAsia" w:ascii="微软雅黑" w:hAnsi="微软雅黑" w:eastAsia="微软雅黑"/>
          <w:color w:val="auto"/>
          <w:szCs w:val="21"/>
          <w:highlight w:val="none"/>
        </w:rPr>
        <w:t>根据相关法律规定，</w:t>
      </w:r>
      <w:r>
        <w:rPr>
          <w:rFonts w:hint="eastAsia" w:ascii="微软雅黑" w:hAnsi="微软雅黑" w:eastAsia="微软雅黑" w:cs="宋体"/>
          <w:color w:val="auto"/>
          <w:szCs w:val="21"/>
          <w:highlight w:val="none"/>
        </w:rPr>
        <w:t>嘉兴市千秋工程咨询有限公司</w:t>
      </w:r>
      <w:r>
        <w:rPr>
          <w:rFonts w:hint="eastAsia" w:ascii="微软雅黑" w:hAnsi="微软雅黑" w:eastAsia="微软雅黑"/>
          <w:color w:val="auto"/>
          <w:szCs w:val="21"/>
          <w:highlight w:val="none"/>
        </w:rPr>
        <w:t>受</w:t>
      </w:r>
      <w:r>
        <w:rPr>
          <w:rFonts w:hint="eastAsia" w:ascii="微软雅黑" w:hAnsi="微软雅黑" w:eastAsia="微软雅黑"/>
          <w:color w:val="auto"/>
          <w:szCs w:val="21"/>
          <w:highlight w:val="none"/>
          <w:lang w:eastAsia="zh-CN"/>
        </w:rPr>
        <w:t>嘉兴市秀洲区人民法院</w:t>
      </w:r>
      <w:r>
        <w:rPr>
          <w:rFonts w:hint="eastAsia" w:ascii="微软雅黑" w:hAnsi="微软雅黑" w:eastAsia="微软雅黑"/>
          <w:color w:val="auto"/>
          <w:szCs w:val="21"/>
          <w:highlight w:val="none"/>
        </w:rPr>
        <w:t>委托，就下列项目进行公开招标，特邀请国内合格的投标人前来投标，现将有关事项公告如下：</w:t>
      </w:r>
    </w:p>
    <w:p w14:paraId="78D291D1">
      <w:pPr>
        <w:pStyle w:val="3"/>
        <w:numPr>
          <w:ilvl w:val="0"/>
          <w:numId w:val="4"/>
        </w:numPr>
        <w:spacing w:before="0" w:after="0" w:line="460" w:lineRule="exact"/>
        <w:ind w:firstLineChars="200"/>
        <w:rPr>
          <w:rFonts w:hint="eastAsia" w:ascii="微软雅黑" w:hAnsi="微软雅黑"/>
          <w:color w:val="auto"/>
          <w:szCs w:val="21"/>
          <w:highlight w:val="none"/>
        </w:rPr>
      </w:pPr>
      <w:bookmarkStart w:id="8" w:name="_Toc98019224"/>
      <w:r>
        <w:rPr>
          <w:rFonts w:hint="eastAsia" w:ascii="微软雅黑" w:hAnsi="微软雅黑"/>
          <w:color w:val="auto"/>
          <w:szCs w:val="21"/>
          <w:highlight w:val="none"/>
        </w:rPr>
        <w:t>项目编号：</w:t>
      </w:r>
      <w:bookmarkEnd w:id="8"/>
      <w:r>
        <w:rPr>
          <w:rFonts w:hint="eastAsia" w:ascii="微软雅黑" w:hAnsi="微软雅黑"/>
          <w:color w:val="auto"/>
          <w:szCs w:val="21"/>
          <w:highlight w:val="none"/>
          <w:lang w:eastAsia="zh-CN"/>
        </w:rPr>
        <w:t>千秋-XZCF（2025）第02号</w:t>
      </w:r>
    </w:p>
    <w:p w14:paraId="41310712">
      <w:pPr>
        <w:pStyle w:val="3"/>
        <w:numPr>
          <w:ilvl w:val="0"/>
          <w:numId w:val="4"/>
        </w:numPr>
        <w:spacing w:before="0" w:after="0" w:line="460" w:lineRule="exact"/>
        <w:ind w:firstLineChars="200"/>
        <w:rPr>
          <w:rFonts w:hint="eastAsia" w:ascii="微软雅黑" w:hAnsi="微软雅黑"/>
          <w:color w:val="auto"/>
          <w:szCs w:val="21"/>
          <w:highlight w:val="none"/>
        </w:rPr>
      </w:pPr>
      <w:bookmarkStart w:id="9" w:name="_Toc98019225"/>
      <w:r>
        <w:rPr>
          <w:rFonts w:hint="eastAsia" w:ascii="微软雅黑" w:hAnsi="微软雅黑"/>
          <w:color w:val="auto"/>
          <w:szCs w:val="21"/>
          <w:highlight w:val="none"/>
        </w:rPr>
        <w:t>招标方式：公开招标</w:t>
      </w:r>
      <w:bookmarkEnd w:id="9"/>
    </w:p>
    <w:p w14:paraId="10E91908">
      <w:pPr>
        <w:pStyle w:val="3"/>
        <w:numPr>
          <w:ilvl w:val="0"/>
          <w:numId w:val="4"/>
        </w:numPr>
        <w:spacing w:before="0" w:after="0" w:line="460" w:lineRule="exact"/>
        <w:ind w:firstLineChars="200"/>
        <w:rPr>
          <w:rFonts w:hint="eastAsia" w:ascii="微软雅黑" w:hAnsi="微软雅黑"/>
          <w:color w:val="auto"/>
          <w:szCs w:val="21"/>
          <w:highlight w:val="none"/>
        </w:rPr>
      </w:pPr>
      <w:bookmarkStart w:id="10" w:name="_Toc98019226"/>
      <w:r>
        <w:rPr>
          <w:rFonts w:hint="eastAsia" w:ascii="微软雅黑" w:hAnsi="微软雅黑"/>
          <w:color w:val="auto"/>
          <w:szCs w:val="21"/>
          <w:highlight w:val="none"/>
        </w:rPr>
        <w:t>招标项目：</w:t>
      </w:r>
      <w:bookmarkEnd w:id="10"/>
      <w:r>
        <w:rPr>
          <w:rFonts w:hint="eastAsia" w:ascii="微软雅黑" w:hAnsi="微软雅黑"/>
          <w:color w:val="auto"/>
          <w:szCs w:val="21"/>
          <w:highlight w:val="none"/>
          <w:lang w:eastAsia="zh-CN"/>
        </w:rPr>
        <w:t>嘉兴市秀洲区人民法院资金帐户招标项目</w:t>
      </w:r>
    </w:p>
    <w:p w14:paraId="5971F310">
      <w:pPr>
        <w:pStyle w:val="3"/>
        <w:numPr>
          <w:ilvl w:val="0"/>
          <w:numId w:val="4"/>
        </w:numPr>
        <w:spacing w:before="0" w:after="0" w:line="460" w:lineRule="exact"/>
        <w:ind w:firstLineChars="200"/>
        <w:rPr>
          <w:rFonts w:hint="eastAsia" w:ascii="微软雅黑" w:hAnsi="微软雅黑"/>
          <w:color w:val="auto"/>
          <w:szCs w:val="21"/>
          <w:highlight w:val="none"/>
        </w:rPr>
      </w:pPr>
      <w:bookmarkStart w:id="11" w:name="_Toc98019227"/>
      <w:r>
        <w:rPr>
          <w:rFonts w:hint="eastAsia" w:ascii="微软雅黑" w:hAnsi="微软雅黑"/>
          <w:color w:val="auto"/>
          <w:szCs w:val="21"/>
          <w:highlight w:val="none"/>
        </w:rPr>
        <w:t>招标内容：</w:t>
      </w:r>
      <w:bookmarkEnd w:id="11"/>
      <w:r>
        <w:rPr>
          <w:rFonts w:hint="eastAsia" w:ascii="微软雅黑" w:hAnsi="微软雅黑"/>
          <w:color w:val="auto"/>
          <w:szCs w:val="21"/>
          <w:highlight w:val="none"/>
        </w:rPr>
        <w:tab/>
      </w:r>
      <w:bookmarkStart w:id="12" w:name="_Toc98019228"/>
    </w:p>
    <w:p w14:paraId="711A03FF">
      <w:pPr>
        <w:pStyle w:val="62"/>
        <w:spacing w:line="560" w:lineRule="exact"/>
        <w:ind w:firstLine="424" w:firstLineChars="202"/>
        <w:rPr>
          <w:rFonts w:hint="default" w:ascii="微软雅黑" w:hAnsi="微软雅黑" w:eastAsia="微软雅黑" w:cs="Tahoma"/>
          <w:color w:val="auto"/>
          <w:szCs w:val="21"/>
          <w:highlight w:val="none"/>
          <w:lang w:val="en-US" w:eastAsia="zh-CN"/>
        </w:rPr>
      </w:pPr>
      <w:r>
        <w:rPr>
          <w:rFonts w:hint="eastAsia" w:ascii="微软雅黑" w:hAnsi="微软雅黑" w:eastAsia="微软雅黑" w:cs="Tahoma"/>
          <w:color w:val="auto"/>
          <w:szCs w:val="21"/>
          <w:highlight w:val="none"/>
          <w:lang w:eastAsia="zh-CN"/>
        </w:rPr>
        <w:t>工会账户及实存资金帐户开户，中标银行：</w:t>
      </w:r>
      <w:r>
        <w:rPr>
          <w:rFonts w:hint="eastAsia" w:ascii="微软雅黑" w:hAnsi="微软雅黑" w:eastAsia="微软雅黑" w:cs="Tahoma"/>
          <w:color w:val="auto"/>
          <w:szCs w:val="21"/>
          <w:highlight w:val="none"/>
          <w:lang w:val="en-US" w:eastAsia="zh-CN"/>
        </w:rPr>
        <w:t>1家</w:t>
      </w:r>
    </w:p>
    <w:p w14:paraId="5E805CF4">
      <w:pPr>
        <w:pStyle w:val="3"/>
        <w:numPr>
          <w:ilvl w:val="0"/>
          <w:numId w:val="4"/>
        </w:numPr>
        <w:spacing w:before="0" w:after="0" w:line="460" w:lineRule="exact"/>
        <w:ind w:firstLineChars="200"/>
        <w:rPr>
          <w:rFonts w:hint="eastAsia" w:ascii="微软雅黑" w:hAnsi="微软雅黑"/>
          <w:color w:val="auto"/>
          <w:szCs w:val="21"/>
          <w:highlight w:val="none"/>
        </w:rPr>
      </w:pPr>
      <w:r>
        <w:rPr>
          <w:rFonts w:hint="eastAsia" w:ascii="微软雅黑" w:hAnsi="微软雅黑"/>
          <w:color w:val="auto"/>
          <w:szCs w:val="21"/>
          <w:highlight w:val="none"/>
        </w:rPr>
        <w:t>合格投标人的资格要求</w:t>
      </w:r>
      <w:bookmarkEnd w:id="12"/>
      <w:r>
        <w:rPr>
          <w:rFonts w:hint="eastAsia" w:ascii="微软雅黑" w:hAnsi="微软雅黑"/>
          <w:color w:val="auto"/>
          <w:szCs w:val="21"/>
          <w:highlight w:val="none"/>
          <w:lang w:eastAsia="zh-CN"/>
        </w:rPr>
        <w:t>：</w:t>
      </w:r>
    </w:p>
    <w:p w14:paraId="7D7AEE01">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在嘉兴市本级设有经办机构；</w:t>
      </w:r>
    </w:p>
    <w:p w14:paraId="700995BF">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依法开展经营活动，内部管理机制健全，具有较强的风险控制能力，近3年内在经营活动中无重大违法违规记录、未发生金融风险及重大违约事件；</w:t>
      </w:r>
    </w:p>
    <w:p w14:paraId="3AC2A41E">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纳入监管评级的银行，人行嘉兴市中心支行上年度综合评价达到Ｂ级及以上。不纳入人民银行评级范围的银行不受此条款限制</w:t>
      </w:r>
      <w:r>
        <w:rPr>
          <w:rFonts w:hint="eastAsia" w:ascii="微软雅黑" w:hAnsi="微软雅黑" w:eastAsia="微软雅黑" w:cs="宋体"/>
          <w:color w:val="auto"/>
          <w:szCs w:val="21"/>
          <w:highlight w:val="none"/>
          <w:lang w:eastAsia="zh-CN"/>
        </w:rPr>
        <w:t>。</w:t>
      </w:r>
    </w:p>
    <w:p w14:paraId="581EE3BF">
      <w:pPr>
        <w:pStyle w:val="3"/>
        <w:numPr>
          <w:ilvl w:val="0"/>
          <w:numId w:val="4"/>
        </w:numPr>
        <w:spacing w:before="0" w:after="0" w:line="460" w:lineRule="exact"/>
        <w:ind w:firstLineChars="200"/>
        <w:rPr>
          <w:rFonts w:hint="eastAsia" w:ascii="微软雅黑" w:hAnsi="微软雅黑"/>
          <w:color w:val="auto"/>
          <w:szCs w:val="21"/>
          <w:highlight w:val="none"/>
        </w:rPr>
      </w:pPr>
      <w:bookmarkStart w:id="13" w:name="_Toc98019229"/>
      <w:r>
        <w:rPr>
          <w:rFonts w:hint="eastAsia" w:ascii="微软雅黑" w:hAnsi="微软雅黑"/>
          <w:color w:val="auto"/>
          <w:szCs w:val="21"/>
          <w:highlight w:val="none"/>
        </w:rPr>
        <w:t>招标文件的获取：</w:t>
      </w:r>
      <w:bookmarkEnd w:id="13"/>
    </w:p>
    <w:p w14:paraId="3413EFDA">
      <w:pPr>
        <w:pStyle w:val="62"/>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bCs/>
          <w:color w:val="auto"/>
          <w:szCs w:val="21"/>
          <w:highlight w:val="none"/>
        </w:rPr>
        <w:t>获取</w:t>
      </w:r>
      <w:r>
        <w:rPr>
          <w:rFonts w:hint="eastAsia" w:ascii="微软雅黑" w:hAnsi="微软雅黑" w:eastAsia="微软雅黑" w:cs="Arial"/>
          <w:color w:val="auto"/>
          <w:szCs w:val="21"/>
          <w:highlight w:val="none"/>
        </w:rPr>
        <w:t>方式（网站下载）</w:t>
      </w:r>
      <w:r>
        <w:rPr>
          <w:rFonts w:ascii="微软雅黑" w:hAnsi="微软雅黑" w:eastAsia="微软雅黑" w:cs="Arial"/>
          <w:color w:val="auto"/>
          <w:szCs w:val="21"/>
          <w:highlight w:val="none"/>
        </w:rPr>
        <w:t>：</w:t>
      </w:r>
      <w:r>
        <w:rPr>
          <w:rFonts w:hint="eastAsia" w:ascii="微软雅黑" w:hAnsi="微软雅黑" w:eastAsia="微软雅黑" w:cs="Arial"/>
          <w:color w:val="auto"/>
          <w:szCs w:val="21"/>
          <w:highlight w:val="none"/>
        </w:rPr>
        <w:t>浙江政府采购网网址（</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ascii="微软雅黑" w:hAnsi="微软雅黑" w:eastAsia="微软雅黑" w:cs="Arial"/>
          <w:color w:val="auto"/>
          <w:szCs w:val="21"/>
          <w:highlight w:val="none"/>
        </w:rPr>
        <w:t>https://zfcg.czt.zj.gov.cn/</w:t>
      </w:r>
      <w:r>
        <w:rPr>
          <w:rStyle w:val="45"/>
          <w:rFonts w:ascii="微软雅黑" w:hAnsi="微软雅黑" w:eastAsia="微软雅黑" w:cs="Arial"/>
          <w:color w:val="auto"/>
          <w:szCs w:val="21"/>
          <w:highlight w:val="none"/>
        </w:rPr>
        <w:fldChar w:fldCharType="end"/>
      </w:r>
      <w:r>
        <w:rPr>
          <w:rFonts w:hint="eastAsia" w:ascii="微软雅黑" w:hAnsi="微软雅黑" w:eastAsia="微软雅黑" w:cs="Arial"/>
          <w:color w:val="auto"/>
          <w:szCs w:val="21"/>
          <w:highlight w:val="none"/>
        </w:rPr>
        <w:t>）。</w:t>
      </w:r>
    </w:p>
    <w:p w14:paraId="7BE55363">
      <w:pPr>
        <w:pStyle w:val="62"/>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招标文件</w:t>
      </w:r>
      <w:r>
        <w:rPr>
          <w:rFonts w:hint="eastAsia" w:ascii="微软雅黑" w:hAnsi="微软雅黑" w:eastAsia="微软雅黑" w:cs="Arial"/>
          <w:color w:val="auto"/>
          <w:szCs w:val="21"/>
          <w:highlight w:val="none"/>
        </w:rPr>
        <w:t>免费下载</w:t>
      </w:r>
      <w:r>
        <w:rPr>
          <w:rFonts w:ascii="微软雅黑" w:hAnsi="微软雅黑" w:eastAsia="微软雅黑" w:cs="Arial"/>
          <w:color w:val="auto"/>
          <w:szCs w:val="21"/>
          <w:highlight w:val="none"/>
        </w:rPr>
        <w:t>。</w:t>
      </w:r>
    </w:p>
    <w:p w14:paraId="27BCEAF6">
      <w:pPr>
        <w:pStyle w:val="3"/>
        <w:numPr>
          <w:ilvl w:val="0"/>
          <w:numId w:val="4"/>
        </w:numPr>
        <w:spacing w:before="0" w:after="0" w:line="460" w:lineRule="exact"/>
        <w:ind w:firstLineChars="200"/>
        <w:rPr>
          <w:color w:val="auto"/>
          <w:highlight w:val="none"/>
        </w:rPr>
      </w:pPr>
      <w:bookmarkStart w:id="14" w:name="_Toc98019230"/>
      <w:r>
        <w:rPr>
          <w:rFonts w:hint="eastAsia" w:ascii="微软雅黑" w:hAnsi="微软雅黑"/>
          <w:color w:val="auto"/>
          <w:szCs w:val="21"/>
          <w:highlight w:val="none"/>
        </w:rPr>
        <w:t>报名：</w:t>
      </w:r>
      <w:bookmarkEnd w:id="14"/>
    </w:p>
    <w:p w14:paraId="158EABB9">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报名时间：</w:t>
      </w:r>
      <w:r>
        <w:rPr>
          <w:rFonts w:hint="eastAsia" w:ascii="微软雅黑" w:hAnsi="微软雅黑" w:eastAsia="微软雅黑" w:cs="Arial"/>
          <w:bCs/>
          <w:color w:val="auto"/>
          <w:szCs w:val="21"/>
          <w:highlight w:val="none"/>
          <w:u w:val="single"/>
        </w:rPr>
        <w:t>202</w:t>
      </w:r>
      <w:r>
        <w:rPr>
          <w:rFonts w:hint="eastAsia" w:ascii="微软雅黑" w:hAnsi="微软雅黑" w:eastAsia="微软雅黑" w:cs="Arial"/>
          <w:bCs/>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02</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19</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rPr>
        <w:t>至</w:t>
      </w:r>
      <w:r>
        <w:rPr>
          <w:rFonts w:hint="eastAsia" w:ascii="微软雅黑" w:hAnsi="微软雅黑" w:eastAsia="微软雅黑" w:cs="Arial"/>
          <w:color w:val="auto"/>
          <w:szCs w:val="21"/>
          <w:highlight w:val="none"/>
          <w:u w:val="single"/>
        </w:rPr>
        <w:t>202</w:t>
      </w:r>
      <w:r>
        <w:rPr>
          <w:rFonts w:hint="eastAsia" w:ascii="微软雅黑" w:hAnsi="微软雅黑" w:eastAsia="微软雅黑" w:cs="Arial"/>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02</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26</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u w:val="single"/>
          <w:lang w:val="en-US" w:eastAsia="zh-CN"/>
        </w:rPr>
        <w:t>17：30</w:t>
      </w:r>
      <w:r>
        <w:rPr>
          <w:rFonts w:hint="eastAsia" w:ascii="微软雅黑" w:hAnsi="微软雅黑" w:eastAsia="微软雅黑" w:cs="Arial"/>
          <w:color w:val="auto"/>
          <w:szCs w:val="21"/>
          <w:highlight w:val="none"/>
        </w:rPr>
        <w:t>。</w:t>
      </w:r>
    </w:p>
    <w:p w14:paraId="1D5E8F35">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b/>
          <w:color w:val="auto"/>
          <w:szCs w:val="21"/>
          <w:highlight w:val="none"/>
        </w:rPr>
        <w:t>报名方式：</w:t>
      </w:r>
      <w:r>
        <w:rPr>
          <w:rFonts w:hint="eastAsia" w:ascii="微软雅黑" w:hAnsi="微软雅黑" w:eastAsia="微软雅黑"/>
          <w:color w:val="auto"/>
          <w:szCs w:val="21"/>
          <w:highlight w:val="none"/>
        </w:rPr>
        <w:t>本项目实行</w:t>
      </w:r>
      <w:r>
        <w:rPr>
          <w:rFonts w:hint="eastAsia" w:ascii="微软雅黑" w:hAnsi="微软雅黑" w:eastAsia="微软雅黑"/>
          <w:color w:val="auto"/>
          <w:szCs w:val="21"/>
          <w:highlight w:val="none"/>
          <w:u w:val="single"/>
        </w:rPr>
        <w:t>网上</w:t>
      </w:r>
      <w:r>
        <w:rPr>
          <w:rFonts w:hint="eastAsia" w:ascii="微软雅黑" w:hAnsi="微软雅黑" w:eastAsia="微软雅黑"/>
          <w:color w:val="auto"/>
          <w:szCs w:val="21"/>
          <w:highlight w:val="none"/>
        </w:rPr>
        <w:t>报名。报名银行登录政府采购云平台（</w:t>
      </w:r>
      <w:r>
        <w:rPr>
          <w:color w:val="auto"/>
          <w:highlight w:val="none"/>
        </w:rPr>
        <w:fldChar w:fldCharType="begin"/>
      </w:r>
      <w:r>
        <w:rPr>
          <w:color w:val="auto"/>
          <w:highlight w:val="none"/>
        </w:rPr>
        <w:instrText xml:space="preserve"> HYPERLINK "https://login.zcygov.cn/user-login/" \l "/login" </w:instrText>
      </w:r>
      <w:r>
        <w:rPr>
          <w:color w:val="auto"/>
          <w:highlight w:val="none"/>
        </w:rPr>
        <w:fldChar w:fldCharType="separate"/>
      </w:r>
      <w:r>
        <w:rPr>
          <w:rStyle w:val="45"/>
          <w:rFonts w:ascii="微软雅黑" w:hAnsi="微软雅黑" w:eastAsia="微软雅黑"/>
          <w:color w:val="auto"/>
          <w:szCs w:val="21"/>
          <w:highlight w:val="none"/>
        </w:rPr>
        <w:t>https://login.zcygov.cn/user-login/#/login</w:t>
      </w:r>
      <w:r>
        <w:rPr>
          <w:rStyle w:val="45"/>
          <w:rFonts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进入公款竞争性存放招标系统（以下简称“招标系统”），在财政资金竞争性存放-竞标项目内按规定进行报名。第一步：选择本期招标项目，第二步：填写报名信息。报名成功后联系人会收到短信通知，逾期报名视为未报名。</w:t>
      </w:r>
    </w:p>
    <w:p w14:paraId="4FA8A42B">
      <w:pPr>
        <w:snapToGrid w:val="0"/>
        <w:spacing w:line="360" w:lineRule="auto"/>
        <w:ind w:firstLine="420" w:firstLineChars="200"/>
        <w:rPr>
          <w:rFonts w:hint="eastAsia" w:ascii="微软雅黑" w:hAnsi="微软雅黑" w:eastAsia="微软雅黑" w:cs="Arial"/>
          <w:b/>
          <w:bCs/>
          <w:color w:val="auto"/>
          <w:szCs w:val="21"/>
          <w:highlight w:val="none"/>
        </w:rPr>
      </w:pPr>
      <w:r>
        <w:rPr>
          <w:rFonts w:hint="eastAsia" w:ascii="微软雅黑" w:hAnsi="微软雅黑" w:eastAsia="微软雅黑" w:cs="Arial"/>
          <w:b/>
          <w:bCs/>
          <w:color w:val="auto"/>
          <w:szCs w:val="21"/>
          <w:highlight w:val="none"/>
        </w:rPr>
        <w:t>报名应提供以下资料：</w:t>
      </w:r>
    </w:p>
    <w:p w14:paraId="13AEDD24">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1</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经有关部门年检通过的企业法人营业执照</w:t>
      </w:r>
      <w:r>
        <w:rPr>
          <w:rFonts w:hint="eastAsia" w:ascii="微软雅黑" w:hAnsi="微软雅黑" w:eastAsia="微软雅黑" w:cs="Arial"/>
          <w:color w:val="auto"/>
          <w:szCs w:val="21"/>
          <w:highlight w:val="none"/>
        </w:rPr>
        <w:t>副本</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r>
        <w:rPr>
          <w:rFonts w:ascii="微软雅黑" w:hAnsi="微软雅黑" w:eastAsia="微软雅黑" w:cs="Arial"/>
          <w:color w:val="auto"/>
          <w:szCs w:val="21"/>
          <w:highlight w:val="none"/>
        </w:rPr>
        <w:t>；</w:t>
      </w:r>
    </w:p>
    <w:p w14:paraId="3666678D">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2</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报名人</w:t>
      </w:r>
      <w:r>
        <w:rPr>
          <w:rFonts w:hint="eastAsia" w:ascii="微软雅黑" w:hAnsi="微软雅黑" w:eastAsia="微软雅黑" w:cs="Arial"/>
          <w:color w:val="auto"/>
          <w:szCs w:val="21"/>
          <w:highlight w:val="none"/>
        </w:rPr>
        <w:t>有效</w:t>
      </w:r>
      <w:r>
        <w:rPr>
          <w:rFonts w:ascii="微软雅黑" w:hAnsi="微软雅黑" w:eastAsia="微软雅黑" w:cs="Arial"/>
          <w:color w:val="auto"/>
          <w:szCs w:val="21"/>
          <w:highlight w:val="none"/>
        </w:rPr>
        <w:t>身份证</w:t>
      </w:r>
      <w:r>
        <w:rPr>
          <w:rFonts w:hint="eastAsia" w:ascii="微软雅黑" w:hAnsi="微软雅黑" w:eastAsia="微软雅黑" w:cs="Arial"/>
          <w:color w:val="auto"/>
          <w:szCs w:val="21"/>
          <w:highlight w:val="none"/>
        </w:rPr>
        <w:t>件</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p>
    <w:p w14:paraId="119F4BEA">
      <w:pPr>
        <w:snapToGrid w:val="0"/>
        <w:spacing w:line="360" w:lineRule="auto"/>
        <w:ind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3.投标银行报名表（加盖单位公章）。</w:t>
      </w:r>
    </w:p>
    <w:p w14:paraId="2730129F">
      <w:pPr>
        <w:spacing w:before="156" w:beforeLines="50" w:after="156" w:afterLines="50"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color w:val="auto"/>
          <w:szCs w:val="21"/>
          <w:highlight w:val="none"/>
        </w:rPr>
        <w:t>八</w:t>
      </w:r>
      <w:r>
        <w:rPr>
          <w:rFonts w:hint="eastAsia" w:ascii="微软雅黑" w:hAnsi="微软雅黑" w:eastAsia="微软雅黑" w:cs="Arial"/>
          <w:b/>
          <w:bCs/>
          <w:color w:val="auto"/>
          <w:szCs w:val="21"/>
          <w:highlight w:val="none"/>
        </w:rPr>
        <w:t>、投标方式、线下投标截止时间和网上投标</w:t>
      </w:r>
      <w:r>
        <w:rPr>
          <w:rStyle w:val="41"/>
          <w:rFonts w:hint="eastAsia" w:ascii="微软雅黑" w:hAnsi="微软雅黑" w:eastAsia="微软雅黑" w:cs="Courier New"/>
          <w:color w:val="auto"/>
          <w:szCs w:val="21"/>
          <w:highlight w:val="none"/>
        </w:rPr>
        <w:t>起止时间</w:t>
      </w:r>
      <w:r>
        <w:rPr>
          <w:rFonts w:hint="eastAsia" w:ascii="微软雅黑" w:hAnsi="微软雅黑" w:eastAsia="微软雅黑" w:cs="Arial"/>
          <w:color w:val="auto"/>
          <w:szCs w:val="21"/>
          <w:highlight w:val="none"/>
        </w:rPr>
        <w:t>：</w:t>
      </w:r>
    </w:p>
    <w:p w14:paraId="7A472397">
      <w:pPr>
        <w:spacing w:line="360" w:lineRule="auto"/>
        <w:ind w:firstLine="411" w:firstLineChars="19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本项目实行线下纸质投标叠加网上电子投标。线下纸质投标文件接收截止时间：</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27</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 xml:space="preserve">14 </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分，未按时寄达或送达指定地点的，均视为自动放弃。网上电子投标投标人应于：</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27</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 xml:space="preserve">14 </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分前，登录政府采购云平台，进入招标系统，按规定进行投标。投标成功会接收短信通知，逾期投标视为未投标。</w:t>
      </w:r>
    </w:p>
    <w:p w14:paraId="162D6326">
      <w:pPr>
        <w:snapToGrid w:val="0"/>
        <w:spacing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九、开标时间及地点</w:t>
      </w:r>
      <w:r>
        <w:rPr>
          <w:rFonts w:hint="eastAsia" w:ascii="微软雅黑" w:hAnsi="微软雅黑" w:eastAsia="微软雅黑" w:cs="Arial"/>
          <w:color w:val="auto"/>
          <w:szCs w:val="21"/>
          <w:highlight w:val="none"/>
        </w:rPr>
        <w:t>：</w:t>
      </w:r>
    </w:p>
    <w:p w14:paraId="6641760E">
      <w:pPr>
        <w:snapToGrid w:val="0"/>
        <w:spacing w:line="360" w:lineRule="auto"/>
        <w:ind w:firstLine="308" w:firstLineChars="147"/>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本次招标将于</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27</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 xml:space="preserve">14 </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w:t>
      </w:r>
      <w:r>
        <w:rPr>
          <w:rFonts w:hint="eastAsia" w:ascii="微软雅黑" w:hAnsi="微软雅黑" w:eastAsia="微软雅黑" w:cs="Arial"/>
          <w:color w:val="auto"/>
          <w:szCs w:val="21"/>
          <w:highlight w:val="none"/>
        </w:rPr>
        <w:t>在</w:t>
      </w:r>
      <w:r>
        <w:rPr>
          <w:rFonts w:hint="eastAsia" w:ascii="微软雅黑" w:hAnsi="微软雅黑" w:eastAsia="微软雅黑"/>
          <w:color w:val="auto"/>
          <w:highlight w:val="none"/>
        </w:rPr>
        <w:t>嘉兴市秀洲区公共资源交易中心五楼开标室(嘉兴市秀洲区成秀路328号)</w:t>
      </w:r>
      <w:r>
        <w:rPr>
          <w:rFonts w:hint="eastAsia" w:ascii="微软雅黑" w:hAnsi="微软雅黑" w:eastAsia="微软雅黑" w:cs="Arial"/>
          <w:color w:val="auto"/>
          <w:szCs w:val="21"/>
          <w:highlight w:val="none"/>
        </w:rPr>
        <w:t>。</w:t>
      </w:r>
    </w:p>
    <w:p w14:paraId="785ADB56">
      <w:pPr>
        <w:pStyle w:val="3"/>
        <w:numPr>
          <w:ilvl w:val="0"/>
          <w:numId w:val="4"/>
        </w:numPr>
        <w:spacing w:before="0" w:after="0" w:line="460" w:lineRule="exact"/>
        <w:ind w:firstLineChars="200"/>
        <w:rPr>
          <w:rFonts w:hint="eastAsia" w:ascii="微软雅黑" w:hAnsi="微软雅黑"/>
          <w:color w:val="auto"/>
          <w:szCs w:val="21"/>
          <w:highlight w:val="none"/>
        </w:rPr>
      </w:pPr>
      <w:bookmarkStart w:id="15" w:name="_Toc98019231"/>
      <w:r>
        <w:rPr>
          <w:rFonts w:hint="eastAsia" w:ascii="微软雅黑" w:hAnsi="微软雅黑"/>
          <w:color w:val="auto"/>
          <w:szCs w:val="21"/>
          <w:highlight w:val="none"/>
        </w:rPr>
        <w:t>招标公告发布于：</w:t>
      </w:r>
      <w:bookmarkEnd w:id="15"/>
    </w:p>
    <w:p w14:paraId="509D73CB">
      <w:pPr>
        <w:snapToGrid w:val="0"/>
        <w:spacing w:line="460" w:lineRule="exact"/>
        <w:ind w:firstLine="420"/>
        <w:rPr>
          <w:rFonts w:hint="eastAsia" w:ascii="微软雅黑" w:hAnsi="微软雅黑" w:eastAsia="微软雅黑" w:cs="Arial"/>
          <w:b/>
          <w:color w:val="auto"/>
          <w:szCs w:val="21"/>
          <w:highlight w:val="none"/>
          <w:lang w:eastAsia="zh-CN"/>
        </w:rPr>
      </w:pPr>
      <w:r>
        <w:rPr>
          <w:rFonts w:hint="eastAsia" w:ascii="微软雅黑" w:hAnsi="微软雅黑" w:eastAsia="微软雅黑"/>
          <w:color w:val="auto"/>
          <w:szCs w:val="21"/>
          <w:highlight w:val="none"/>
        </w:rPr>
        <w:t>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w:t>
      </w:r>
      <w:r>
        <w:rPr>
          <w:rFonts w:hint="eastAsia" w:ascii="微软雅黑" w:hAnsi="微软雅黑" w:eastAsia="微软雅黑"/>
          <w:color w:val="auto"/>
          <w:szCs w:val="21"/>
          <w:highlight w:val="none"/>
          <w:lang w:val="en-US" w:eastAsia="zh-CN"/>
        </w:rPr>
        <w:t>秀易招</w:t>
      </w:r>
      <w:r>
        <w:rPr>
          <w:rFonts w:hint="eastAsia" w:ascii="微软雅黑" w:hAnsi="微软雅黑" w:eastAsia="微软雅黑"/>
          <w:color w:val="auto"/>
          <w:szCs w:val="21"/>
          <w:highlight w:val="none"/>
        </w:rPr>
        <w:t>（</w:t>
      </w:r>
      <w:r>
        <w:rPr>
          <w:rStyle w:val="45"/>
          <w:rFonts w:hint="eastAsia" w:ascii="微软雅黑" w:hAnsi="微软雅黑" w:eastAsia="微软雅黑"/>
          <w:color w:val="auto"/>
          <w:szCs w:val="21"/>
          <w:highlight w:val="none"/>
        </w:rPr>
        <w:t>cgzx.jxnhu.edu.cn</w:t>
      </w:r>
      <w:r>
        <w:rPr>
          <w:rStyle w:val="45"/>
          <w:rFonts w:ascii="微软雅黑" w:hAnsi="微软雅黑" w:eastAsia="微软雅黑"/>
          <w:color w:val="auto"/>
          <w:szCs w:val="21"/>
          <w:highlight w:val="none"/>
        </w:rPr>
        <w:t>/</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eastAsia="zh-CN"/>
        </w:rPr>
        <w:t>。</w:t>
      </w:r>
    </w:p>
    <w:p w14:paraId="43700ED5">
      <w:pPr>
        <w:pStyle w:val="3"/>
        <w:numPr>
          <w:ilvl w:val="0"/>
          <w:numId w:val="4"/>
        </w:numPr>
        <w:spacing w:before="0" w:after="0" w:line="460" w:lineRule="exact"/>
        <w:ind w:firstLineChars="200"/>
        <w:rPr>
          <w:rFonts w:hint="eastAsia" w:ascii="微软雅黑" w:hAnsi="微软雅黑"/>
          <w:color w:val="auto"/>
          <w:szCs w:val="21"/>
          <w:highlight w:val="none"/>
        </w:rPr>
      </w:pPr>
      <w:bookmarkStart w:id="16" w:name="_Toc98019232"/>
      <w:r>
        <w:rPr>
          <w:rFonts w:hint="eastAsia" w:ascii="微软雅黑" w:hAnsi="微软雅黑"/>
          <w:color w:val="auto"/>
          <w:szCs w:val="21"/>
          <w:highlight w:val="none"/>
        </w:rPr>
        <w:t>业务咨询：</w:t>
      </w:r>
      <w:bookmarkEnd w:id="16"/>
    </w:p>
    <w:p w14:paraId="3CF5E449">
      <w:pPr>
        <w:snapToGrid w:val="0"/>
        <w:spacing w:line="460" w:lineRule="exact"/>
        <w:ind w:firstLine="420"/>
        <w:rPr>
          <w:rFonts w:hint="eastAsia" w:ascii="微软雅黑" w:hAnsi="微软雅黑" w:eastAsia="微软雅黑" w:cs="Arial"/>
          <w:color w:val="auto"/>
          <w:szCs w:val="21"/>
          <w:highlight w:val="none"/>
          <w:lang w:eastAsia="zh-CN"/>
        </w:rPr>
      </w:pPr>
      <w:r>
        <w:rPr>
          <w:rFonts w:hint="eastAsia" w:ascii="微软雅黑" w:hAnsi="微软雅黑" w:eastAsia="微软雅黑" w:cs="Arial"/>
          <w:color w:val="auto"/>
          <w:szCs w:val="21"/>
          <w:highlight w:val="none"/>
          <w:lang w:eastAsia="zh-CN"/>
        </w:rPr>
        <w:t>嘉兴市秀洲区人民法院</w:t>
      </w:r>
    </w:p>
    <w:p w14:paraId="08AA8CE1">
      <w:pPr>
        <w:snapToGrid w:val="0"/>
        <w:spacing w:line="460" w:lineRule="exact"/>
        <w:ind w:firstLine="420"/>
        <w:rPr>
          <w:rFonts w:hint="eastAsia" w:ascii="微软雅黑" w:hAnsi="微软雅黑" w:eastAsia="微软雅黑" w:cs="Arial"/>
          <w:color w:val="auto"/>
          <w:szCs w:val="21"/>
          <w:highlight w:val="none"/>
          <w:lang w:eastAsia="zh-CN"/>
        </w:rPr>
      </w:pPr>
      <w:r>
        <w:rPr>
          <w:rFonts w:hint="eastAsia" w:ascii="微软雅黑" w:hAnsi="微软雅黑" w:eastAsia="微软雅黑" w:cs="Arial"/>
          <w:color w:val="auto"/>
          <w:szCs w:val="21"/>
          <w:highlight w:val="none"/>
          <w:lang w:eastAsia="zh-CN"/>
        </w:rPr>
        <w:t>项目联系人：</w:t>
      </w:r>
      <w:r>
        <w:rPr>
          <w:rFonts w:hint="eastAsia" w:ascii="微软雅黑" w:hAnsi="微软雅黑" w:eastAsia="微软雅黑"/>
          <w:color w:val="auto"/>
          <w:szCs w:val="21"/>
          <w:highlight w:val="none"/>
          <w:shd w:val="clear" w:color="auto" w:fill="FFFFFF"/>
        </w:rPr>
        <w:t xml:space="preserve">陆颖佳   </w:t>
      </w:r>
      <w:r>
        <w:rPr>
          <w:rFonts w:hint="eastAsia" w:ascii="微软雅黑" w:hAnsi="微软雅黑" w:eastAsia="微软雅黑"/>
          <w:color w:val="auto"/>
          <w:szCs w:val="21"/>
          <w:highlight w:val="none"/>
          <w:shd w:val="clear" w:color="auto" w:fill="FFFFFF"/>
          <w:lang w:val="en-US" w:eastAsia="zh-CN"/>
        </w:rPr>
        <w:t xml:space="preserve"> </w:t>
      </w:r>
      <w:r>
        <w:rPr>
          <w:rFonts w:hint="eastAsia" w:ascii="微软雅黑" w:hAnsi="微软雅黑" w:eastAsia="微软雅黑" w:cs="Arial"/>
          <w:color w:val="auto"/>
          <w:szCs w:val="21"/>
          <w:highlight w:val="none"/>
        </w:rPr>
        <w:t>联系电话：</w:t>
      </w:r>
      <w:bookmarkStart w:id="17" w:name="OLE_LINK1"/>
      <w:r>
        <w:rPr>
          <w:rFonts w:hint="eastAsia" w:ascii="微软雅黑" w:hAnsi="微软雅黑" w:eastAsia="微软雅黑" w:cs="Arial"/>
          <w:color w:val="auto"/>
          <w:szCs w:val="21"/>
          <w:highlight w:val="none"/>
        </w:rPr>
        <w:t>0</w:t>
      </w:r>
      <w:r>
        <w:rPr>
          <w:rFonts w:ascii="微软雅黑" w:hAnsi="微软雅黑" w:eastAsia="微软雅黑" w:cs="Arial"/>
          <w:color w:val="auto"/>
          <w:szCs w:val="21"/>
          <w:highlight w:val="none"/>
        </w:rPr>
        <w:t>573-</w:t>
      </w:r>
      <w:r>
        <w:rPr>
          <w:rFonts w:hint="eastAsia" w:ascii="微软雅黑" w:hAnsi="微软雅黑" w:eastAsia="微软雅黑"/>
          <w:color w:val="auto"/>
          <w:szCs w:val="21"/>
          <w:highlight w:val="none"/>
          <w:shd w:val="clear" w:color="auto" w:fill="FFFFFF"/>
        </w:rPr>
        <w:t>82721148</w:t>
      </w:r>
      <w:bookmarkEnd w:id="17"/>
      <w:r>
        <w:rPr>
          <w:rFonts w:hint="eastAsia" w:ascii="微软雅黑" w:hAnsi="微软雅黑" w:eastAsia="微软雅黑" w:cs="Arial"/>
          <w:color w:val="auto"/>
          <w:szCs w:val="21"/>
          <w:highlight w:val="none"/>
          <w:lang w:val="en-US" w:eastAsia="zh-CN"/>
        </w:rPr>
        <w:t xml:space="preserve"> </w:t>
      </w:r>
    </w:p>
    <w:p w14:paraId="7BC6109C">
      <w:pPr>
        <w:snapToGrid w:val="0"/>
        <w:spacing w:line="460" w:lineRule="exact"/>
        <w:ind w:firstLine="420"/>
        <w:rPr>
          <w:rFonts w:hint="eastAsia" w:ascii="微软雅黑" w:hAnsi="微软雅黑" w:eastAsia="微软雅黑" w:cs="Arial"/>
          <w:bCs/>
          <w:color w:val="auto"/>
          <w:szCs w:val="21"/>
          <w:highlight w:val="none"/>
        </w:rPr>
      </w:pPr>
      <w:r>
        <w:rPr>
          <w:rFonts w:hint="eastAsia" w:ascii="微软雅黑" w:hAnsi="微软雅黑" w:eastAsia="微软雅黑" w:cs="Arial"/>
          <w:bCs/>
          <w:color w:val="auto"/>
          <w:szCs w:val="21"/>
          <w:highlight w:val="none"/>
        </w:rPr>
        <w:t xml:space="preserve">嘉兴市千秋工程咨询有限公司  </w:t>
      </w:r>
    </w:p>
    <w:p w14:paraId="07B4107E">
      <w:pPr>
        <w:snapToGrid w:val="0"/>
        <w:spacing w:line="460" w:lineRule="exact"/>
        <w:ind w:firstLine="420"/>
        <w:rPr>
          <w:rFonts w:hint="default"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rPr>
        <w:t xml:space="preserve">联系人：章莉莉  </w:t>
      </w:r>
      <w:r>
        <w:rPr>
          <w:rFonts w:hint="eastAsia" w:ascii="微软雅黑" w:hAnsi="微软雅黑" w:eastAsia="微软雅黑" w:cs="Arial"/>
          <w:color w:val="auto"/>
          <w:szCs w:val="21"/>
          <w:highlight w:val="none"/>
          <w:lang w:val="en-US" w:eastAsia="zh-CN"/>
        </w:rPr>
        <w:t xml:space="preserve"> 李建良</w:t>
      </w:r>
    </w:p>
    <w:p w14:paraId="5A2D92AF">
      <w:pPr>
        <w:snapToGrid w:val="0"/>
        <w:spacing w:line="460" w:lineRule="exact"/>
        <w:ind w:firstLine="420"/>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联系电话：0573- 83705015   13605735186</w:t>
      </w:r>
    </w:p>
    <w:p w14:paraId="53728D23">
      <w:pPr>
        <w:snapToGrid w:val="0"/>
        <w:spacing w:line="460" w:lineRule="exact"/>
        <w:ind w:left="238"/>
        <w:jc w:val="right"/>
        <w:rPr>
          <w:rFonts w:hint="eastAsia" w:ascii="微软雅黑" w:hAnsi="微软雅黑" w:eastAsia="微软雅黑" w:cs="Arial"/>
          <w:color w:val="auto"/>
          <w:szCs w:val="21"/>
          <w:highlight w:val="none"/>
        </w:rPr>
      </w:pPr>
    </w:p>
    <w:p w14:paraId="01230D2B">
      <w:pPr>
        <w:snapToGrid w:val="0"/>
        <w:spacing w:line="460" w:lineRule="exact"/>
        <w:ind w:left="238"/>
        <w:jc w:val="right"/>
        <w:rPr>
          <w:rFonts w:hint="eastAsia" w:ascii="微软雅黑" w:hAnsi="微软雅黑" w:eastAsia="微软雅黑" w:cs="Arial"/>
          <w:color w:val="auto"/>
          <w:szCs w:val="21"/>
          <w:highlight w:val="none"/>
          <w:lang w:eastAsia="zh-CN"/>
        </w:rPr>
      </w:pPr>
      <w:r>
        <w:rPr>
          <w:rFonts w:hint="eastAsia" w:ascii="微软雅黑" w:hAnsi="微软雅黑" w:eastAsia="微软雅黑" w:cs="Arial"/>
          <w:color w:val="auto"/>
          <w:szCs w:val="21"/>
          <w:highlight w:val="none"/>
          <w:lang w:eastAsia="zh-CN"/>
        </w:rPr>
        <w:t>嘉兴市秀洲区人民法院</w:t>
      </w:r>
    </w:p>
    <w:p w14:paraId="38BCE6CA">
      <w:pPr>
        <w:snapToGrid w:val="0"/>
        <w:spacing w:line="460" w:lineRule="exact"/>
        <w:ind w:left="238"/>
        <w:jc w:val="right"/>
        <w:rPr>
          <w:rFonts w:hint="eastAsia" w:ascii="微软雅黑" w:hAnsi="微软雅黑" w:eastAsia="微软雅黑"/>
          <w:color w:val="auto"/>
          <w:szCs w:val="21"/>
          <w:highlight w:val="none"/>
        </w:rPr>
      </w:pPr>
      <w:r>
        <w:rPr>
          <w:rFonts w:hint="eastAsia" w:ascii="微软雅黑" w:hAnsi="微软雅黑" w:eastAsia="微软雅黑" w:cs="Arial"/>
          <w:bCs/>
          <w:color w:val="auto"/>
          <w:szCs w:val="21"/>
          <w:highlight w:val="none"/>
        </w:rPr>
        <w:t>嘉兴市千秋工程咨询有限公司</w:t>
      </w:r>
    </w:p>
    <w:p w14:paraId="41EEA7C1">
      <w:pPr>
        <w:wordWrap w:val="0"/>
        <w:spacing w:line="46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19</w:t>
      </w:r>
      <w:r>
        <w:rPr>
          <w:rFonts w:hint="eastAsia" w:ascii="微软雅黑" w:hAnsi="微软雅黑" w:eastAsia="微软雅黑"/>
          <w:color w:val="auto"/>
          <w:szCs w:val="21"/>
          <w:highlight w:val="none"/>
        </w:rPr>
        <w:t>日</w:t>
      </w:r>
    </w:p>
    <w:p w14:paraId="34225733">
      <w:pPr>
        <w:pStyle w:val="36"/>
        <w:numPr>
          <w:ilvl w:val="0"/>
          <w:numId w:val="3"/>
        </w:numPr>
        <w:rPr>
          <w:color w:val="auto"/>
          <w:highlight w:val="none"/>
        </w:rPr>
        <w:sectPr>
          <w:headerReference r:id="rId7" w:type="first"/>
          <w:footerReference r:id="rId8" w:type="first"/>
          <w:pgSz w:w="11907" w:h="16840"/>
          <w:pgMar w:top="1440" w:right="1797" w:bottom="1440" w:left="1797" w:header="851" w:footer="851" w:gutter="0"/>
          <w:pgNumType w:start="1"/>
          <w:cols w:space="425" w:num="1"/>
          <w:titlePg/>
          <w:docGrid w:type="lines" w:linePitch="312" w:charSpace="0"/>
        </w:sectPr>
      </w:pPr>
    </w:p>
    <w:p w14:paraId="3A483DD3">
      <w:pPr>
        <w:pStyle w:val="36"/>
        <w:numPr>
          <w:ilvl w:val="0"/>
          <w:numId w:val="3"/>
        </w:numPr>
        <w:rPr>
          <w:color w:val="auto"/>
          <w:highlight w:val="none"/>
        </w:rPr>
      </w:pPr>
      <w:bookmarkStart w:id="18" w:name="_Toc98019233"/>
      <w:r>
        <w:rPr>
          <w:rFonts w:hint="eastAsia"/>
          <w:color w:val="auto"/>
          <w:highlight w:val="none"/>
        </w:rPr>
        <w:t>招标需求</w:t>
      </w:r>
      <w:bookmarkEnd w:id="6"/>
      <w:bookmarkEnd w:id="7"/>
      <w:bookmarkEnd w:id="18"/>
    </w:p>
    <w:p w14:paraId="00789043">
      <w:pPr>
        <w:spacing w:line="276" w:lineRule="auto"/>
        <w:ind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根据相关法律法规和为落实《</w:t>
      </w:r>
      <w:r>
        <w:rPr>
          <w:rFonts w:hint="eastAsia" w:ascii="微软雅黑" w:hAnsi="微软雅黑" w:eastAsia="微软雅黑" w:cs="宋体"/>
          <w:color w:val="auto"/>
          <w:szCs w:val="21"/>
          <w:highlight w:val="none"/>
        </w:rPr>
        <w:t>嘉兴市秀洲区人民政府办公室</w:t>
      </w:r>
      <w:r>
        <w:rPr>
          <w:rFonts w:hint="eastAsia" w:ascii="微软雅黑" w:hAnsi="微软雅黑" w:eastAsia="微软雅黑" w:cs="宋体"/>
          <w:color w:val="auto"/>
          <w:szCs w:val="21"/>
          <w:highlight w:val="none"/>
        </w:rPr>
        <w:t>印发关于恢复区级预算单位财务管理主体地位和会计自主核算实施方案的通知》（秀洲政办发[2017]44号）文件精神、《嘉兴市秀洲区财政局关于印发第一批恢复财务管理主体地位和自主核算单位有关工作的细化及补充意见》（秀洲财办〔2017〕161号）等有关规定，</w:t>
      </w:r>
      <w:r>
        <w:rPr>
          <w:rFonts w:hint="eastAsia" w:ascii="微软雅黑" w:hAnsi="微软雅黑" w:eastAsia="微软雅黑"/>
          <w:color w:val="auto"/>
          <w:szCs w:val="21"/>
          <w:highlight w:val="none"/>
        </w:rPr>
        <w:t>通过公开招标择优选择确定</w:t>
      </w:r>
      <w:r>
        <w:rPr>
          <w:rFonts w:hint="eastAsia" w:ascii="微软雅黑" w:hAnsi="微软雅黑" w:eastAsia="微软雅黑" w:cs="宋体"/>
          <w:color w:val="auto"/>
          <w:szCs w:val="21"/>
          <w:highlight w:val="none"/>
        </w:rPr>
        <w:t>本项目的开户银行及公款竞争性存放。</w:t>
      </w:r>
    </w:p>
    <w:p w14:paraId="2C430E31">
      <w:pPr>
        <w:pStyle w:val="62"/>
        <w:numPr>
          <w:ilvl w:val="0"/>
          <w:numId w:val="7"/>
        </w:numPr>
        <w:spacing w:line="276" w:lineRule="auto"/>
        <w:ind w:firstLineChars="0"/>
        <w:rPr>
          <w:rFonts w:hint="eastAsia" w:ascii="微软雅黑" w:hAnsi="微软雅黑" w:eastAsia="微软雅黑" w:cs="宋体"/>
          <w:b/>
          <w:color w:val="auto"/>
          <w:szCs w:val="21"/>
          <w:highlight w:val="none"/>
        </w:rPr>
      </w:pPr>
      <w:r>
        <w:rPr>
          <w:rFonts w:hint="eastAsia" w:ascii="微软雅黑" w:hAnsi="微软雅黑" w:eastAsia="微软雅黑" w:cs="宋体"/>
          <w:b/>
          <w:color w:val="auto"/>
          <w:szCs w:val="21"/>
          <w:highlight w:val="none"/>
        </w:rPr>
        <w:t>招标内容：</w:t>
      </w:r>
    </w:p>
    <w:p w14:paraId="3C98A5A4">
      <w:pPr>
        <w:pStyle w:val="62"/>
        <w:spacing w:line="560" w:lineRule="exact"/>
        <w:ind w:firstLine="424" w:firstLineChars="202"/>
        <w:rPr>
          <w:rFonts w:hint="eastAsia" w:ascii="微软雅黑" w:hAnsi="微软雅黑" w:eastAsia="微软雅黑" w:cs="Tahoma"/>
          <w:color w:val="auto"/>
          <w:szCs w:val="21"/>
          <w:highlight w:val="none"/>
          <w:lang w:eastAsia="zh-CN"/>
        </w:rPr>
      </w:pPr>
      <w:r>
        <w:rPr>
          <w:rFonts w:hint="eastAsia" w:ascii="微软雅黑" w:hAnsi="微软雅黑" w:eastAsia="微软雅黑" w:cs="Tahoma"/>
          <w:color w:val="auto"/>
          <w:szCs w:val="21"/>
          <w:highlight w:val="none"/>
          <w:lang w:eastAsia="zh-CN"/>
        </w:rPr>
        <w:t>工会账户及实存资金帐户开户，中标银行：</w:t>
      </w:r>
      <w:r>
        <w:rPr>
          <w:rFonts w:hint="eastAsia" w:ascii="微软雅黑" w:hAnsi="微软雅黑" w:eastAsia="微软雅黑" w:cs="Tahoma"/>
          <w:color w:val="auto"/>
          <w:szCs w:val="21"/>
          <w:highlight w:val="none"/>
          <w:lang w:val="en-US" w:eastAsia="zh-CN"/>
        </w:rPr>
        <w:t>1家</w:t>
      </w:r>
      <w:r>
        <w:rPr>
          <w:rFonts w:hint="eastAsia" w:ascii="微软雅黑" w:hAnsi="微软雅黑" w:eastAsia="微软雅黑" w:cs="Tahoma"/>
          <w:color w:val="auto"/>
          <w:szCs w:val="21"/>
          <w:highlight w:val="none"/>
          <w:lang w:eastAsia="zh-CN"/>
        </w:rPr>
        <w:t>。</w:t>
      </w:r>
    </w:p>
    <w:p w14:paraId="22FCCFEE">
      <w:pPr>
        <w:pStyle w:val="62"/>
        <w:numPr>
          <w:ilvl w:val="0"/>
          <w:numId w:val="7"/>
        </w:numPr>
        <w:spacing w:line="276" w:lineRule="auto"/>
        <w:ind w:firstLineChars="0"/>
        <w:rPr>
          <w:rFonts w:hint="eastAsia" w:ascii="微软雅黑" w:hAnsi="微软雅黑" w:eastAsia="微软雅黑" w:cs="宋体"/>
          <w:b/>
          <w:color w:val="auto"/>
          <w:szCs w:val="21"/>
          <w:highlight w:val="none"/>
        </w:rPr>
      </w:pPr>
      <w:r>
        <w:rPr>
          <w:rFonts w:hint="eastAsia" w:ascii="微软雅黑" w:hAnsi="微软雅黑" w:eastAsia="微软雅黑" w:cs="宋体"/>
          <w:b/>
          <w:color w:val="auto"/>
          <w:szCs w:val="21"/>
          <w:highlight w:val="none"/>
        </w:rPr>
        <w:t>基本要求</w:t>
      </w:r>
    </w:p>
    <w:p w14:paraId="57C195D8">
      <w:pPr>
        <w:spacing w:line="276"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自开户之日起一年内账户的闲置资金根据甲方要求按银行同期基准利率和本次中标BP点折算后实施。</w:t>
      </w:r>
    </w:p>
    <w:p w14:paraId="389E6064">
      <w:pPr>
        <w:pStyle w:val="62"/>
        <w:numPr>
          <w:ilvl w:val="0"/>
          <w:numId w:val="7"/>
        </w:numPr>
        <w:spacing w:line="276" w:lineRule="auto"/>
        <w:ind w:firstLineChars="0"/>
        <w:rPr>
          <w:rFonts w:hint="eastAsia" w:ascii="微软雅黑" w:hAnsi="微软雅黑" w:eastAsia="微软雅黑" w:cs="宋体"/>
          <w:b/>
          <w:color w:val="auto"/>
          <w:szCs w:val="21"/>
          <w:highlight w:val="none"/>
        </w:rPr>
      </w:pPr>
      <w:r>
        <w:rPr>
          <w:rFonts w:hint="eastAsia" w:ascii="微软雅黑" w:hAnsi="微软雅黑" w:eastAsia="微软雅黑" w:cs="宋体"/>
          <w:b/>
          <w:color w:val="auto"/>
          <w:szCs w:val="21"/>
          <w:highlight w:val="none"/>
        </w:rPr>
        <w:t>特殊情况处理</w:t>
      </w:r>
    </w:p>
    <w:p w14:paraId="2EE4A11D">
      <w:pPr>
        <w:spacing w:line="276"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中标单位出现以下情形之一的，招标人有权提前收回存款，并取消该竞标银行的竞标资格二年：</w:t>
      </w:r>
    </w:p>
    <w:p w14:paraId="1405A5A3">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1、出现资金安全事故和重大违法违规情况或财务恶化情况；</w:t>
      </w:r>
    </w:p>
    <w:p w14:paraId="37B0185C">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2、监管评级降低，监管部门认为存在较大运营风险的；</w:t>
      </w:r>
    </w:p>
    <w:p w14:paraId="79A35976">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3、存在严重不正当竞标的；</w:t>
      </w:r>
    </w:p>
    <w:p w14:paraId="0AABEE1E">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4、没有按照中标协议承诺履行相应的责任和义务的；</w:t>
      </w:r>
    </w:p>
    <w:p w14:paraId="00DABE42">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5、不能按规定将到期存款本息足额缴入单位帐户的；</w:t>
      </w:r>
    </w:p>
    <w:p w14:paraId="62C196C8">
      <w:pPr>
        <w:spacing w:line="276" w:lineRule="auto"/>
        <w:ind w:firstLine="315" w:firstLineChars="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6、其它妨碍资金安全的行为的。</w:t>
      </w:r>
    </w:p>
    <w:p w14:paraId="68A709C4">
      <w:pPr>
        <w:pStyle w:val="36"/>
        <w:numPr>
          <w:ilvl w:val="0"/>
          <w:numId w:val="3"/>
        </w:numPr>
        <w:rPr>
          <w:color w:val="auto"/>
          <w:highlight w:val="none"/>
        </w:rPr>
        <w:sectPr>
          <w:pgSz w:w="11907" w:h="16840"/>
          <w:pgMar w:top="1440" w:right="1797" w:bottom="1440" w:left="1797" w:header="851" w:footer="851" w:gutter="0"/>
          <w:cols w:space="425" w:num="1"/>
          <w:titlePg/>
          <w:docGrid w:type="lines" w:linePitch="312" w:charSpace="0"/>
        </w:sectPr>
      </w:pPr>
      <w:bookmarkStart w:id="19" w:name="_Toc98019234"/>
      <w:bookmarkStart w:id="20" w:name="_Toc11650168"/>
      <w:bookmarkStart w:id="21" w:name="_Toc9342478"/>
    </w:p>
    <w:p w14:paraId="38290C26">
      <w:pPr>
        <w:pStyle w:val="36"/>
        <w:numPr>
          <w:ilvl w:val="0"/>
          <w:numId w:val="3"/>
        </w:numPr>
        <w:rPr>
          <w:color w:val="auto"/>
          <w:highlight w:val="none"/>
        </w:rPr>
      </w:pPr>
      <w:r>
        <w:rPr>
          <w:rFonts w:hint="eastAsia"/>
          <w:color w:val="auto"/>
          <w:highlight w:val="none"/>
        </w:rPr>
        <w:t>投标人须知</w:t>
      </w:r>
      <w:bookmarkEnd w:id="19"/>
      <w:bookmarkEnd w:id="20"/>
      <w:bookmarkEnd w:id="21"/>
    </w:p>
    <w:tbl>
      <w:tblPr>
        <w:tblStyle w:val="3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80"/>
      </w:tblGrid>
      <w:tr w14:paraId="40229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9C3D909">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8480" w:type="dxa"/>
            <w:tcBorders>
              <w:top w:val="single" w:color="auto" w:sz="4" w:space="0"/>
              <w:left w:val="single" w:color="auto" w:sz="4" w:space="0"/>
              <w:bottom w:val="single" w:color="auto" w:sz="4" w:space="0"/>
              <w:right w:val="single" w:color="auto" w:sz="4" w:space="0"/>
            </w:tcBorders>
            <w:vAlign w:val="center"/>
          </w:tcPr>
          <w:p w14:paraId="0969EFD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内容、要求</w:t>
            </w:r>
          </w:p>
        </w:tc>
      </w:tr>
      <w:tr w14:paraId="47179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9D79249">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8480" w:type="dxa"/>
            <w:tcBorders>
              <w:top w:val="single" w:color="auto" w:sz="4" w:space="0"/>
              <w:left w:val="single" w:color="auto" w:sz="4" w:space="0"/>
              <w:bottom w:val="single" w:color="auto" w:sz="4" w:space="0"/>
              <w:right w:val="single" w:color="auto" w:sz="4" w:space="0"/>
            </w:tcBorders>
            <w:vAlign w:val="center"/>
          </w:tcPr>
          <w:p w14:paraId="2E13C274">
            <w:pPr>
              <w:snapToGrid w:val="0"/>
              <w:spacing w:line="54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项目名称：</w:t>
            </w:r>
            <w:r>
              <w:rPr>
                <w:rFonts w:hint="eastAsia" w:ascii="微软雅黑" w:hAnsi="微软雅黑" w:eastAsia="微软雅黑"/>
                <w:color w:val="auto"/>
                <w:highlight w:val="none"/>
                <w:lang w:eastAsia="zh-CN"/>
              </w:rPr>
              <w:t>嘉兴市秀洲区人民法院资金帐户招标项目</w:t>
            </w:r>
          </w:p>
        </w:tc>
      </w:tr>
      <w:tr w14:paraId="624CA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015593D">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8480" w:type="dxa"/>
            <w:tcBorders>
              <w:top w:val="single" w:color="auto" w:sz="4" w:space="0"/>
              <w:left w:val="single" w:color="auto" w:sz="4" w:space="0"/>
              <w:bottom w:val="single" w:color="auto" w:sz="4" w:space="0"/>
              <w:right w:val="single" w:color="auto" w:sz="4" w:space="0"/>
            </w:tcBorders>
            <w:vAlign w:val="center"/>
          </w:tcPr>
          <w:p w14:paraId="7E0D60E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招标内容：</w:t>
            </w:r>
            <w:r>
              <w:rPr>
                <w:rFonts w:hint="eastAsia" w:ascii="微软雅黑" w:hAnsi="微软雅黑" w:eastAsia="微软雅黑"/>
                <w:color w:val="auto"/>
                <w:highlight w:val="none"/>
              </w:rPr>
              <w:t>帐户招标</w:t>
            </w:r>
            <w:r>
              <w:rPr>
                <w:rFonts w:hint="eastAsia" w:ascii="微软雅黑" w:hAnsi="微软雅黑" w:eastAsia="微软雅黑" w:cs="Arial"/>
                <w:color w:val="auto"/>
                <w:szCs w:val="21"/>
                <w:highlight w:val="none"/>
              </w:rPr>
              <w:t>。</w:t>
            </w:r>
          </w:p>
        </w:tc>
      </w:tr>
      <w:tr w14:paraId="29ADB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0BD877C">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8480" w:type="dxa"/>
            <w:tcBorders>
              <w:top w:val="single" w:color="auto" w:sz="4" w:space="0"/>
              <w:left w:val="single" w:color="auto" w:sz="4" w:space="0"/>
              <w:bottom w:val="single" w:color="auto" w:sz="4" w:space="0"/>
              <w:right w:val="single" w:color="auto" w:sz="4" w:space="0"/>
            </w:tcBorders>
            <w:vAlign w:val="center"/>
          </w:tcPr>
          <w:p w14:paraId="72036A13">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投标报价及费用：</w:t>
            </w:r>
          </w:p>
          <w:p w14:paraId="0809466E">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1、本项目投标应以人民币报价；</w:t>
            </w:r>
          </w:p>
          <w:p w14:paraId="66DF903F">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2、不论投标结果如何，投标人均应自行承担所有与投标有关的全部费用。</w:t>
            </w:r>
          </w:p>
        </w:tc>
      </w:tr>
      <w:tr w14:paraId="6CA7D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8CA0D0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c>
          <w:tcPr>
            <w:tcW w:w="8480" w:type="dxa"/>
            <w:tcBorders>
              <w:top w:val="single" w:color="auto" w:sz="4" w:space="0"/>
              <w:left w:val="single" w:color="auto" w:sz="4" w:space="0"/>
              <w:bottom w:val="single" w:color="auto" w:sz="4" w:space="0"/>
              <w:right w:val="single" w:color="auto" w:sz="4" w:space="0"/>
            </w:tcBorders>
            <w:vAlign w:val="center"/>
          </w:tcPr>
          <w:p w14:paraId="4A63AB1A">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投标人获取招标文件后，可与招标单位联系。</w:t>
            </w:r>
          </w:p>
        </w:tc>
      </w:tr>
      <w:tr w14:paraId="591C8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DD0F628">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c>
          <w:tcPr>
            <w:tcW w:w="8480" w:type="dxa"/>
            <w:tcBorders>
              <w:top w:val="single" w:color="auto" w:sz="4" w:space="0"/>
              <w:left w:val="single" w:color="auto" w:sz="4" w:space="0"/>
              <w:bottom w:val="single" w:color="auto" w:sz="4" w:space="0"/>
              <w:right w:val="single" w:color="auto" w:sz="4" w:space="0"/>
            </w:tcBorders>
            <w:vAlign w:val="center"/>
          </w:tcPr>
          <w:p w14:paraId="54804D26">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答疑与澄清：投标人应认真阅读本招标文件，发现其中有误或不理解的，投标人必须在投标截止日前3天以书面形式要求采购代理机构澄清，否则，由此产生的后果由投标人负责。</w:t>
            </w:r>
          </w:p>
        </w:tc>
      </w:tr>
      <w:tr w14:paraId="788CF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624FF19">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w:t>
            </w:r>
          </w:p>
        </w:tc>
        <w:tc>
          <w:tcPr>
            <w:tcW w:w="8480" w:type="dxa"/>
            <w:tcBorders>
              <w:top w:val="single" w:color="auto" w:sz="4" w:space="0"/>
              <w:left w:val="single" w:color="auto" w:sz="4" w:space="0"/>
              <w:bottom w:val="single" w:color="auto" w:sz="4" w:space="0"/>
              <w:right w:val="single" w:color="auto" w:sz="4" w:space="0"/>
            </w:tcBorders>
            <w:vAlign w:val="center"/>
          </w:tcPr>
          <w:p w14:paraId="445B2AFD">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线下投标文件组成：投标文件的资信技术文件和投标报价文件装订成一本，正本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份副本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w:t>
            </w:r>
          </w:p>
        </w:tc>
      </w:tr>
      <w:tr w14:paraId="5D70E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39E59E1">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7</w:t>
            </w:r>
          </w:p>
        </w:tc>
        <w:tc>
          <w:tcPr>
            <w:tcW w:w="8480" w:type="dxa"/>
            <w:tcBorders>
              <w:top w:val="single" w:color="auto" w:sz="4" w:space="0"/>
              <w:left w:val="single" w:color="auto" w:sz="4" w:space="0"/>
              <w:bottom w:val="single" w:color="auto" w:sz="4" w:space="0"/>
              <w:right w:val="single" w:color="auto" w:sz="4" w:space="0"/>
            </w:tcBorders>
            <w:vAlign w:val="center"/>
          </w:tcPr>
          <w:p w14:paraId="7CEAF975">
            <w:pPr>
              <w:snapToGrid w:val="0"/>
              <w:spacing w:line="276" w:lineRule="auto"/>
              <w:rPr>
                <w:rFonts w:hint="eastAsia" w:ascii="微软雅黑" w:hAnsi="微软雅黑" w:eastAsia="微软雅黑" w:cs="Arial"/>
                <w:color w:val="auto"/>
                <w:szCs w:val="21"/>
                <w:highlight w:val="none"/>
              </w:rPr>
            </w:pPr>
            <w:r>
              <w:rPr>
                <w:rFonts w:hint="eastAsia" w:ascii="微软雅黑" w:hAnsi="微软雅黑" w:eastAsia="微软雅黑"/>
                <w:color w:val="auto"/>
                <w:szCs w:val="21"/>
                <w:highlight w:val="none"/>
              </w:rPr>
              <w:t>线下投标截止时间及地点：投标人应于：</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27</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 xml:space="preserve">14 </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前将纸质投标文件装袋密封后，通过邮寄快递（或直接送达）方式邮寄（或直接送达）至嘉兴市千秋工程咨询有限公司。密封袋上接缝处需加盖投标人单位公章和法定代表人印章。（注：①邮寄或直接送达地址：嘉兴市秀洲区新平路299号中禾广场</w:t>
            </w:r>
            <w:r>
              <w:rPr>
                <w:rFonts w:hint="eastAsia" w:ascii="微软雅黑" w:hAnsi="微软雅黑" w:eastAsia="微软雅黑"/>
                <w:color w:val="auto"/>
                <w:szCs w:val="21"/>
                <w:highlight w:val="none"/>
                <w:lang w:val="en-US" w:eastAsia="zh-CN"/>
              </w:rPr>
              <w:t>17A楼（政府采购办公室）</w:t>
            </w:r>
            <w:r>
              <w:rPr>
                <w:rFonts w:hint="eastAsia" w:ascii="微软雅黑" w:hAnsi="微软雅黑" w:eastAsia="微软雅黑"/>
                <w:color w:val="auto"/>
                <w:szCs w:val="21"/>
                <w:highlight w:val="none"/>
              </w:rPr>
              <w:t>，收件人：章莉莉，联系电话：13605735186；②若投标人采用寄件方式递交投标文件的，请务必在密封袋上注明联系人姓名及联系电话，以便于代理公司工作人员及时通知投标人确认投标文件的接收情况；③由代理公司工作人员做好投标文件交接签收记录，鉴于快递送达时间存在一定的不确定因素，投标人应充分考虑投标文件制作及投标文件邮寄所需的时间，由于快递邮寄原因不能按时寄达的，后果由投标人自负。）</w:t>
            </w:r>
          </w:p>
        </w:tc>
      </w:tr>
      <w:tr w14:paraId="7E40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03B17AC">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c>
          <w:tcPr>
            <w:tcW w:w="8480" w:type="dxa"/>
            <w:tcBorders>
              <w:top w:val="single" w:color="auto" w:sz="4" w:space="0"/>
              <w:left w:val="single" w:color="auto" w:sz="4" w:space="0"/>
              <w:bottom w:val="single" w:color="auto" w:sz="4" w:space="0"/>
              <w:right w:val="single" w:color="auto" w:sz="4" w:space="0"/>
            </w:tcBorders>
            <w:vAlign w:val="center"/>
          </w:tcPr>
          <w:p w14:paraId="06080F55">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开标时间及地点：</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27</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 xml:space="preserve">14 </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w:t>
            </w:r>
            <w:r>
              <w:rPr>
                <w:rFonts w:hint="eastAsia" w:ascii="微软雅黑" w:hAnsi="微软雅黑" w:eastAsia="微软雅黑" w:cs="Arial"/>
                <w:color w:val="auto"/>
                <w:szCs w:val="21"/>
                <w:highlight w:val="none"/>
              </w:rPr>
              <w:t>在</w:t>
            </w:r>
            <w:r>
              <w:rPr>
                <w:rFonts w:hint="eastAsia" w:ascii="微软雅黑" w:hAnsi="微软雅黑" w:eastAsia="微软雅黑"/>
                <w:color w:val="auto"/>
                <w:highlight w:val="none"/>
              </w:rPr>
              <w:t>嘉兴市秀洲区公共资源交易中心五楼开标室(嘉兴市秀洲区成秀路328号)</w:t>
            </w:r>
            <w:r>
              <w:rPr>
                <w:rFonts w:hint="eastAsia" w:ascii="微软雅黑" w:hAnsi="微软雅黑" w:eastAsia="微软雅黑"/>
                <w:color w:val="auto"/>
                <w:szCs w:val="21"/>
                <w:highlight w:val="none"/>
              </w:rPr>
              <w:t>开</w:t>
            </w:r>
            <w:r>
              <w:rPr>
                <w:rFonts w:hint="eastAsia" w:ascii="微软雅黑" w:hAnsi="微软雅黑" w:eastAsia="微软雅黑" w:cs="Arial"/>
                <w:color w:val="auto"/>
                <w:szCs w:val="21"/>
                <w:highlight w:val="none"/>
              </w:rPr>
              <w:t>标。</w:t>
            </w:r>
            <w:r>
              <w:rPr>
                <w:rFonts w:hint="eastAsia" w:ascii="微软雅黑" w:hAnsi="微软雅黑" w:eastAsia="微软雅黑"/>
                <w:color w:val="auto"/>
                <w:kern w:val="0"/>
                <w:szCs w:val="21"/>
                <w:highlight w:val="none"/>
              </w:rPr>
              <w:t>本项目不要求投标人至开标现场参加开标及开启投标文件活动。</w:t>
            </w:r>
          </w:p>
        </w:tc>
      </w:tr>
      <w:tr w14:paraId="08978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C0298DA">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9</w:t>
            </w:r>
          </w:p>
        </w:tc>
        <w:tc>
          <w:tcPr>
            <w:tcW w:w="8480" w:type="dxa"/>
            <w:tcBorders>
              <w:top w:val="single" w:color="auto" w:sz="4" w:space="0"/>
              <w:left w:val="single" w:color="auto" w:sz="4" w:space="0"/>
              <w:bottom w:val="single" w:color="auto" w:sz="4" w:space="0"/>
              <w:right w:val="single" w:color="auto" w:sz="4" w:space="0"/>
            </w:tcBorders>
            <w:vAlign w:val="center"/>
          </w:tcPr>
          <w:p w14:paraId="2AAEA25D">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评标办法及评分标准：详见第四章。</w:t>
            </w:r>
          </w:p>
        </w:tc>
      </w:tr>
      <w:tr w14:paraId="0CFFC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7625CDD">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c>
          <w:tcPr>
            <w:tcW w:w="8480" w:type="dxa"/>
            <w:tcBorders>
              <w:top w:val="single" w:color="auto" w:sz="4" w:space="0"/>
              <w:left w:val="single" w:color="auto" w:sz="4" w:space="0"/>
              <w:bottom w:val="single" w:color="auto" w:sz="4" w:space="0"/>
              <w:right w:val="single" w:color="auto" w:sz="4" w:space="0"/>
            </w:tcBorders>
            <w:vAlign w:val="center"/>
          </w:tcPr>
          <w:p w14:paraId="53916C97">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投标人只允许市级银行业金融机构由其管辖行做为唯一投标人，其分支机构不能做为投标人参加投标。</w:t>
            </w:r>
          </w:p>
        </w:tc>
      </w:tr>
      <w:tr w14:paraId="5A4EF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ADC87A5">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8480" w:type="dxa"/>
            <w:tcBorders>
              <w:top w:val="single" w:color="auto" w:sz="4" w:space="0"/>
              <w:left w:val="single" w:color="auto" w:sz="4" w:space="0"/>
              <w:bottom w:val="single" w:color="auto" w:sz="4" w:space="0"/>
              <w:right w:val="single" w:color="auto" w:sz="4" w:space="0"/>
            </w:tcBorders>
            <w:vAlign w:val="center"/>
          </w:tcPr>
          <w:p w14:paraId="094C9724">
            <w:pPr>
              <w:snapToGrid w:val="0"/>
              <w:spacing w:line="54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评标结果公告：浙江政府采购网（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w:t>
            </w:r>
            <w:r>
              <w:rPr>
                <w:rFonts w:hint="eastAsia" w:ascii="微软雅黑" w:hAnsi="微软雅黑" w:eastAsia="微软雅黑"/>
                <w:color w:val="auto"/>
                <w:szCs w:val="21"/>
                <w:highlight w:val="none"/>
                <w:lang w:val="en-US" w:eastAsia="zh-CN"/>
              </w:rPr>
              <w:t>秀易招</w:t>
            </w:r>
            <w:r>
              <w:rPr>
                <w:rFonts w:hint="eastAsia" w:ascii="微软雅黑" w:hAnsi="微软雅黑" w:eastAsia="微软雅黑"/>
                <w:color w:val="auto"/>
                <w:szCs w:val="21"/>
                <w:highlight w:val="none"/>
              </w:rPr>
              <w:t>（</w:t>
            </w:r>
            <w:r>
              <w:rPr>
                <w:rStyle w:val="45"/>
                <w:rFonts w:hint="eastAsia" w:ascii="微软雅黑" w:hAnsi="微软雅黑" w:eastAsia="微软雅黑"/>
                <w:color w:val="auto"/>
                <w:szCs w:val="21"/>
                <w:highlight w:val="none"/>
              </w:rPr>
              <w:t>cgzx.jxnhu.edu.cn</w:t>
            </w:r>
            <w:r>
              <w:rPr>
                <w:rStyle w:val="45"/>
                <w:rFonts w:ascii="微软雅黑" w:hAnsi="微软雅黑" w:eastAsia="微软雅黑"/>
                <w:color w:val="auto"/>
                <w:szCs w:val="21"/>
                <w:highlight w:val="none"/>
              </w:rPr>
              <w:t>/</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eastAsia="zh-CN"/>
              </w:rPr>
              <w:t>。</w:t>
            </w:r>
          </w:p>
        </w:tc>
      </w:tr>
      <w:tr w14:paraId="64AE9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360AF0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c>
          <w:tcPr>
            <w:tcW w:w="8480" w:type="dxa"/>
            <w:tcBorders>
              <w:top w:val="single" w:color="auto" w:sz="4" w:space="0"/>
              <w:left w:val="single" w:color="auto" w:sz="4" w:space="0"/>
              <w:bottom w:val="single" w:color="auto" w:sz="4" w:space="0"/>
              <w:right w:val="single" w:color="auto" w:sz="4" w:space="0"/>
            </w:tcBorders>
            <w:vAlign w:val="center"/>
          </w:tcPr>
          <w:p w14:paraId="4F28A0D3">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中标公告及中标通知书：评标结束后2个工作日内，中标公告发布于上述媒体。</w:t>
            </w:r>
          </w:p>
        </w:tc>
      </w:tr>
      <w:tr w14:paraId="45FA0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9172BB5">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13</w:t>
            </w:r>
          </w:p>
        </w:tc>
        <w:tc>
          <w:tcPr>
            <w:tcW w:w="8480" w:type="dxa"/>
            <w:tcBorders>
              <w:top w:val="single" w:color="auto" w:sz="4" w:space="0"/>
              <w:left w:val="single" w:color="auto" w:sz="4" w:space="0"/>
              <w:bottom w:val="single" w:color="auto" w:sz="4" w:space="0"/>
              <w:right w:val="single" w:color="auto" w:sz="4" w:space="0"/>
            </w:tcBorders>
            <w:vAlign w:val="center"/>
          </w:tcPr>
          <w:p w14:paraId="28F47A06">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签订合同时间：</w:t>
            </w:r>
            <w:r>
              <w:rPr>
                <w:rFonts w:hint="eastAsia" w:ascii="微软雅黑" w:hAnsi="微软雅黑" w:eastAsia="微软雅黑"/>
                <w:b/>
                <w:color w:val="auto"/>
                <w:szCs w:val="21"/>
                <w:highlight w:val="none"/>
              </w:rPr>
              <w:t>中标银行</w:t>
            </w:r>
            <w:r>
              <w:rPr>
                <w:rFonts w:hint="eastAsia" w:ascii="微软雅黑" w:hAnsi="微软雅黑" w:eastAsia="微软雅黑"/>
                <w:b/>
                <w:bCs/>
                <w:color w:val="auto"/>
                <w:szCs w:val="21"/>
                <w:highlight w:val="none"/>
              </w:rPr>
              <w:t>在收到中标通知书后5个工作日内完成与招标单位的手续</w:t>
            </w:r>
            <w:r>
              <w:rPr>
                <w:rFonts w:hint="eastAsia" w:ascii="微软雅黑" w:hAnsi="微软雅黑" w:eastAsia="微软雅黑"/>
                <w:color w:val="auto"/>
                <w:szCs w:val="21"/>
                <w:highlight w:val="none"/>
              </w:rPr>
              <w:t>。</w:t>
            </w:r>
          </w:p>
        </w:tc>
      </w:tr>
      <w:tr w14:paraId="0812C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3B7D0D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14</w:t>
            </w:r>
          </w:p>
        </w:tc>
        <w:tc>
          <w:tcPr>
            <w:tcW w:w="8480" w:type="dxa"/>
            <w:tcBorders>
              <w:top w:val="single" w:color="auto" w:sz="4" w:space="0"/>
              <w:left w:val="single" w:color="auto" w:sz="4" w:space="0"/>
              <w:bottom w:val="single" w:color="auto" w:sz="4" w:space="0"/>
              <w:right w:val="single" w:color="auto" w:sz="4" w:space="0"/>
            </w:tcBorders>
            <w:vAlign w:val="center"/>
          </w:tcPr>
          <w:p w14:paraId="5DD323D7">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投标文件有效期：</w:t>
            </w:r>
            <w:r>
              <w:rPr>
                <w:rFonts w:hint="eastAsia" w:ascii="微软雅黑" w:hAnsi="微软雅黑" w:eastAsia="微软雅黑"/>
                <w:color w:val="auto"/>
                <w:szCs w:val="21"/>
                <w:highlight w:val="none"/>
                <w:u w:val="single"/>
              </w:rPr>
              <w:t xml:space="preserve"> 60 </w:t>
            </w:r>
            <w:r>
              <w:rPr>
                <w:rFonts w:hint="eastAsia" w:ascii="微软雅黑" w:hAnsi="微软雅黑" w:eastAsia="微软雅黑" w:cs="Arial"/>
                <w:color w:val="auto"/>
                <w:szCs w:val="21"/>
                <w:highlight w:val="none"/>
              </w:rPr>
              <w:t>天。</w:t>
            </w:r>
          </w:p>
        </w:tc>
      </w:tr>
      <w:tr w14:paraId="341C0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43237E5">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8480" w:type="dxa"/>
            <w:tcBorders>
              <w:top w:val="single" w:color="auto" w:sz="4" w:space="0"/>
              <w:left w:val="single" w:color="auto" w:sz="4" w:space="0"/>
              <w:bottom w:val="single" w:color="auto" w:sz="4" w:space="0"/>
              <w:right w:val="single" w:color="auto" w:sz="4" w:space="0"/>
            </w:tcBorders>
            <w:vAlign w:val="center"/>
          </w:tcPr>
          <w:p w14:paraId="25973013">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解释：本招标文件的解释权属于</w:t>
            </w:r>
            <w:r>
              <w:rPr>
                <w:rFonts w:hint="eastAsia" w:ascii="微软雅黑" w:hAnsi="微软雅黑" w:eastAsia="微软雅黑"/>
                <w:b/>
                <w:bCs/>
                <w:color w:val="auto"/>
                <w:szCs w:val="21"/>
                <w:highlight w:val="none"/>
                <w:lang w:eastAsia="zh-CN"/>
              </w:rPr>
              <w:t>嘉兴市秀洲区人民法院</w:t>
            </w:r>
            <w:r>
              <w:rPr>
                <w:rFonts w:hint="eastAsia" w:ascii="微软雅黑" w:hAnsi="微软雅黑" w:eastAsia="微软雅黑"/>
                <w:b/>
                <w:bCs/>
                <w:color w:val="auto"/>
                <w:szCs w:val="21"/>
                <w:highlight w:val="none"/>
              </w:rPr>
              <w:t>。</w:t>
            </w:r>
          </w:p>
        </w:tc>
      </w:tr>
    </w:tbl>
    <w:p w14:paraId="063F76C9">
      <w:pPr>
        <w:widowControl/>
        <w:spacing w:line="480" w:lineRule="exact"/>
        <w:ind w:firstLine="420" w:firstLineChars="200"/>
        <w:jc w:val="left"/>
        <w:rPr>
          <w:rFonts w:hint="eastAsia" w:ascii="微软雅黑" w:hAnsi="微软雅黑" w:eastAsia="微软雅黑"/>
          <w:b/>
          <w:color w:val="auto"/>
          <w:szCs w:val="21"/>
          <w:highlight w:val="none"/>
        </w:rPr>
        <w:sectPr>
          <w:pgSz w:w="11907" w:h="16840"/>
          <w:pgMar w:top="1440" w:right="1797" w:bottom="1440" w:left="1797" w:header="851" w:footer="851" w:gutter="0"/>
          <w:cols w:space="425" w:num="1"/>
          <w:titlePg/>
          <w:docGrid w:type="lines" w:linePitch="312" w:charSpace="0"/>
        </w:sectPr>
      </w:pPr>
    </w:p>
    <w:p w14:paraId="1A6134EE">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22" w:name="_Toc16633"/>
      <w:bookmarkStart w:id="23" w:name="_Toc98019235"/>
      <w:r>
        <w:rPr>
          <w:rFonts w:hint="eastAsia" w:ascii="微软雅黑" w:hAnsi="微软雅黑" w:eastAsia="微软雅黑" w:cs="微软雅黑"/>
          <w:color w:val="auto"/>
          <w:sz w:val="21"/>
          <w:szCs w:val="21"/>
          <w:highlight w:val="none"/>
        </w:rPr>
        <w:t>总  则</w:t>
      </w:r>
      <w:bookmarkEnd w:id="22"/>
      <w:bookmarkEnd w:id="23"/>
    </w:p>
    <w:p w14:paraId="1E384EAD">
      <w:pPr>
        <w:pStyle w:val="3"/>
        <w:numPr>
          <w:ilvl w:val="1"/>
          <w:numId w:val="9"/>
        </w:numPr>
        <w:spacing w:before="0" w:after="0" w:line="360" w:lineRule="auto"/>
        <w:ind w:firstLine="420" w:firstLineChars="200"/>
        <w:rPr>
          <w:color w:val="auto"/>
          <w:highlight w:val="none"/>
        </w:rPr>
      </w:pPr>
      <w:bookmarkStart w:id="24" w:name="_Toc98019236"/>
      <w:bookmarkStart w:id="25" w:name="_Toc11650169"/>
      <w:bookmarkStart w:id="26" w:name="_Toc9342479"/>
      <w:r>
        <w:rPr>
          <w:rFonts w:hint="eastAsia"/>
          <w:color w:val="auto"/>
          <w:highlight w:val="none"/>
        </w:rPr>
        <w:t>适用范围</w:t>
      </w:r>
      <w:bookmarkEnd w:id="24"/>
      <w:bookmarkEnd w:id="25"/>
      <w:bookmarkEnd w:id="26"/>
    </w:p>
    <w:p w14:paraId="712F0FDF">
      <w:pPr>
        <w:snapToGrid w:val="0"/>
        <w:spacing w:line="360" w:lineRule="auto"/>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本招标文件适用于</w:t>
      </w:r>
      <w:r>
        <w:rPr>
          <w:rFonts w:hint="eastAsia" w:ascii="微软雅黑" w:hAnsi="微软雅黑" w:eastAsia="微软雅黑" w:cs="Arial"/>
          <w:color w:val="auto"/>
          <w:szCs w:val="21"/>
          <w:highlight w:val="none"/>
          <w:lang w:eastAsia="zh-CN"/>
        </w:rPr>
        <w:t>嘉兴市秀洲区人民法院资金帐户招标项目</w:t>
      </w:r>
      <w:r>
        <w:rPr>
          <w:rFonts w:hint="eastAsia" w:ascii="微软雅黑" w:hAnsi="微软雅黑" w:eastAsia="微软雅黑" w:cs="Arial"/>
          <w:color w:val="auto"/>
          <w:szCs w:val="21"/>
          <w:highlight w:val="none"/>
        </w:rPr>
        <w:t>的招标、投标、评标、定标、验收、合同履约、付款等行为（法律、法规另有规定的，从其规定）。</w:t>
      </w:r>
    </w:p>
    <w:p w14:paraId="3580D3BA">
      <w:pPr>
        <w:pStyle w:val="3"/>
        <w:numPr>
          <w:ilvl w:val="1"/>
          <w:numId w:val="9"/>
        </w:numPr>
        <w:spacing w:before="0" w:after="0" w:line="360" w:lineRule="auto"/>
        <w:ind w:firstLine="420" w:firstLineChars="200"/>
        <w:rPr>
          <w:color w:val="auto"/>
          <w:highlight w:val="none"/>
        </w:rPr>
      </w:pPr>
      <w:bookmarkStart w:id="27" w:name="_Toc11650170"/>
      <w:bookmarkStart w:id="28" w:name="_Toc9342480"/>
      <w:bookmarkStart w:id="29" w:name="_Toc98019237"/>
      <w:r>
        <w:rPr>
          <w:rFonts w:hint="eastAsia"/>
          <w:color w:val="auto"/>
          <w:highlight w:val="none"/>
        </w:rPr>
        <w:t>定义</w:t>
      </w:r>
      <w:bookmarkEnd w:id="27"/>
      <w:bookmarkEnd w:id="28"/>
      <w:bookmarkEnd w:id="29"/>
    </w:p>
    <w:p w14:paraId="2A4747D6">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“招标人”系指组织本次招标的代理机构和存款单位。</w:t>
      </w:r>
    </w:p>
    <w:p w14:paraId="0B9B983D">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“投标人”系指向招标方提交投标文件的银行业金融机构。</w:t>
      </w:r>
    </w:p>
    <w:p w14:paraId="6B2C182D">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“产品”系指供方按招标文件规定，须向招标人提供的有关技术资料和材料。</w:t>
      </w:r>
    </w:p>
    <w:p w14:paraId="15A86325">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“服务”系指招标文件规定投标人须承担的其他类似的义务。</w:t>
      </w:r>
    </w:p>
    <w:p w14:paraId="77F05263">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“项目”系指投标人按招标文件规定向招标人提供的产品和服务。</w:t>
      </w:r>
    </w:p>
    <w:p w14:paraId="599598E6">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“书面形式”包括信函、传真、电报等。</w:t>
      </w:r>
    </w:p>
    <w:p w14:paraId="5B178FFC">
      <w:pPr>
        <w:numPr>
          <w:ilvl w:val="0"/>
          <w:numId w:val="10"/>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“▲”系指实质性要求条款。</w:t>
      </w:r>
    </w:p>
    <w:p w14:paraId="31FBADFC">
      <w:pPr>
        <w:pStyle w:val="3"/>
        <w:numPr>
          <w:ilvl w:val="1"/>
          <w:numId w:val="9"/>
        </w:numPr>
        <w:spacing w:before="0" w:after="0" w:line="360" w:lineRule="auto"/>
        <w:ind w:firstLine="420" w:firstLineChars="200"/>
        <w:rPr>
          <w:color w:val="auto"/>
          <w:highlight w:val="none"/>
        </w:rPr>
      </w:pPr>
      <w:bookmarkStart w:id="30" w:name="_Toc98019238"/>
      <w:bookmarkStart w:id="31" w:name="_Toc9342481"/>
      <w:bookmarkStart w:id="32" w:name="_Toc11650171"/>
      <w:r>
        <w:rPr>
          <w:rFonts w:hint="eastAsia"/>
          <w:color w:val="auto"/>
          <w:highlight w:val="none"/>
        </w:rPr>
        <w:t>招标方式</w:t>
      </w:r>
      <w:bookmarkEnd w:id="30"/>
      <w:bookmarkEnd w:id="31"/>
      <w:bookmarkEnd w:id="32"/>
    </w:p>
    <w:p w14:paraId="1F4E648E">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本次招标采用公开招标方式进行。</w:t>
      </w:r>
    </w:p>
    <w:p w14:paraId="1D74646B">
      <w:pPr>
        <w:pStyle w:val="3"/>
        <w:numPr>
          <w:ilvl w:val="1"/>
          <w:numId w:val="9"/>
        </w:numPr>
        <w:spacing w:before="0" w:after="0" w:line="360" w:lineRule="auto"/>
        <w:ind w:firstLine="420" w:firstLineChars="200"/>
        <w:rPr>
          <w:color w:val="auto"/>
          <w:highlight w:val="none"/>
        </w:rPr>
      </w:pPr>
      <w:bookmarkStart w:id="33" w:name="_Toc98019239"/>
      <w:bookmarkStart w:id="34" w:name="_Toc9342482"/>
      <w:bookmarkStart w:id="35" w:name="_Toc11650172"/>
      <w:r>
        <w:rPr>
          <w:rFonts w:hint="eastAsia"/>
          <w:color w:val="auto"/>
          <w:highlight w:val="none"/>
        </w:rPr>
        <w:t>投标委托</w:t>
      </w:r>
      <w:bookmarkEnd w:id="33"/>
      <w:bookmarkEnd w:id="34"/>
      <w:bookmarkEnd w:id="35"/>
    </w:p>
    <w:p w14:paraId="153D25A1">
      <w:pPr>
        <w:pStyle w:val="18"/>
        <w:snapToGrid w:val="0"/>
        <w:spacing w:line="480" w:lineRule="exact"/>
        <w:ind w:firstLine="404"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如投标人代表不是法定代表人（负责人），须有法定代表人（负责人）出具的授权委托书（正本用原件，副本用复印件，格式见第四部分）。如果投标单位无法定代表人，则由单位负责人代替。</w:t>
      </w:r>
    </w:p>
    <w:p w14:paraId="65D95346">
      <w:pPr>
        <w:pStyle w:val="3"/>
        <w:numPr>
          <w:ilvl w:val="1"/>
          <w:numId w:val="9"/>
        </w:numPr>
        <w:spacing w:before="0" w:after="0" w:line="360" w:lineRule="auto"/>
        <w:ind w:firstLine="420" w:firstLineChars="200"/>
        <w:rPr>
          <w:color w:val="auto"/>
          <w:highlight w:val="none"/>
        </w:rPr>
      </w:pPr>
      <w:bookmarkStart w:id="36" w:name="_Toc98019240"/>
      <w:bookmarkStart w:id="37" w:name="_Toc11650173"/>
      <w:bookmarkStart w:id="38" w:name="_Toc9342483"/>
      <w:r>
        <w:rPr>
          <w:rFonts w:hint="eastAsia"/>
          <w:color w:val="auto"/>
          <w:highlight w:val="none"/>
        </w:rPr>
        <w:t>投标费用</w:t>
      </w:r>
      <w:bookmarkEnd w:id="36"/>
      <w:bookmarkEnd w:id="37"/>
      <w:bookmarkEnd w:id="38"/>
    </w:p>
    <w:p w14:paraId="5D5C90B3">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不论投标结果如何，投标人均应自行承担所有与投标有关的全部费用。</w:t>
      </w:r>
    </w:p>
    <w:p w14:paraId="43280EED">
      <w:pPr>
        <w:pStyle w:val="3"/>
        <w:numPr>
          <w:ilvl w:val="1"/>
          <w:numId w:val="9"/>
        </w:numPr>
        <w:spacing w:before="0" w:after="0" w:line="360" w:lineRule="auto"/>
        <w:ind w:firstLine="420" w:firstLineChars="200"/>
        <w:rPr>
          <w:color w:val="auto"/>
          <w:highlight w:val="none"/>
        </w:rPr>
      </w:pPr>
      <w:bookmarkStart w:id="39" w:name="_Toc11650174"/>
      <w:bookmarkStart w:id="40" w:name="_Toc9342484"/>
      <w:bookmarkStart w:id="41" w:name="_Toc98019241"/>
      <w:r>
        <w:rPr>
          <w:rFonts w:hint="eastAsia"/>
          <w:color w:val="auto"/>
          <w:highlight w:val="none"/>
        </w:rPr>
        <w:t>特别说明：</w:t>
      </w:r>
      <w:bookmarkEnd w:id="39"/>
      <w:bookmarkEnd w:id="40"/>
      <w:bookmarkEnd w:id="41"/>
    </w:p>
    <w:p w14:paraId="72D16326">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▲投标人投标所使用的资格、信誉、荣誉、业绩与企业认证必须为投标单位所拥有。</w:t>
      </w:r>
    </w:p>
    <w:p w14:paraId="65D5ACD4">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▲投标人应仔细阅读招标文件的所有内容，按照招标文件的要求提交投标文件，并对所提供的全部资料的真实性承担法律责任。</w:t>
      </w:r>
    </w:p>
    <w:p w14:paraId="51541CF4">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投标人在投标活动中提供任何虚假材料,</w:t>
      </w:r>
      <w:r>
        <w:rPr>
          <w:rFonts w:hint="eastAsia" w:ascii="微软雅黑" w:hAnsi="微软雅黑" w:eastAsia="微软雅黑"/>
          <w:color w:val="auto"/>
          <w:szCs w:val="21"/>
          <w:highlight w:val="none"/>
        </w:rPr>
        <w:t>其投标无效，并依照相关规定进行相应处罚。</w:t>
      </w:r>
    </w:p>
    <w:p w14:paraId="22E7919D">
      <w:pPr>
        <w:pStyle w:val="3"/>
        <w:numPr>
          <w:ilvl w:val="1"/>
          <w:numId w:val="9"/>
        </w:numPr>
        <w:spacing w:before="0" w:after="0" w:line="360" w:lineRule="auto"/>
        <w:ind w:firstLine="420" w:firstLineChars="200"/>
        <w:rPr>
          <w:color w:val="auto"/>
          <w:highlight w:val="none"/>
        </w:rPr>
      </w:pPr>
      <w:bookmarkStart w:id="42" w:name="_Toc11650175"/>
      <w:bookmarkStart w:id="43" w:name="_Toc98019242"/>
      <w:bookmarkStart w:id="44" w:name="_Toc9342485"/>
      <w:r>
        <w:rPr>
          <w:rFonts w:hint="eastAsia"/>
          <w:color w:val="auto"/>
          <w:highlight w:val="none"/>
        </w:rPr>
        <w:t>质疑和投诉</w:t>
      </w:r>
      <w:bookmarkEnd w:id="42"/>
      <w:bookmarkEnd w:id="43"/>
      <w:bookmarkEnd w:id="44"/>
    </w:p>
    <w:p w14:paraId="28C9E6C3">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认为招标文件、招标过程或中标结果使自己的合法权益受到损害的，应当在知道或者应知其权益受到损害之日起七个工作日内，以书面形式向招标人提出质疑。投标人对招标人的质疑答复不满意或者招标人未在规定时间内作出答复的，可以在答复期满后十五个工作日内向监管部门投诉。</w:t>
      </w:r>
    </w:p>
    <w:p w14:paraId="64A69F8E">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743E6D2">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45" w:name="_Toc11650176"/>
      <w:bookmarkStart w:id="46" w:name="_Toc9342486"/>
      <w:bookmarkStart w:id="47" w:name="_Toc30613"/>
      <w:bookmarkStart w:id="48" w:name="_Toc98019243"/>
      <w:r>
        <w:rPr>
          <w:rFonts w:hint="eastAsia" w:ascii="微软雅黑" w:hAnsi="微软雅黑" w:eastAsia="微软雅黑" w:cs="微软雅黑"/>
          <w:color w:val="auto"/>
          <w:sz w:val="21"/>
          <w:szCs w:val="21"/>
          <w:highlight w:val="none"/>
        </w:rPr>
        <w:t>招标文件</w:t>
      </w:r>
      <w:bookmarkEnd w:id="45"/>
      <w:bookmarkEnd w:id="46"/>
      <w:bookmarkEnd w:id="47"/>
      <w:bookmarkEnd w:id="48"/>
    </w:p>
    <w:p w14:paraId="32FAF722">
      <w:pPr>
        <w:pStyle w:val="3"/>
        <w:numPr>
          <w:ilvl w:val="1"/>
          <w:numId w:val="9"/>
        </w:numPr>
        <w:spacing w:before="0" w:after="0" w:line="360" w:lineRule="auto"/>
        <w:ind w:firstLine="420" w:firstLineChars="200"/>
        <w:rPr>
          <w:color w:val="auto"/>
          <w:highlight w:val="none"/>
        </w:rPr>
      </w:pPr>
      <w:bookmarkStart w:id="49" w:name="_Toc98019244"/>
      <w:r>
        <w:rPr>
          <w:rFonts w:hint="eastAsia"/>
          <w:color w:val="auto"/>
          <w:highlight w:val="none"/>
        </w:rPr>
        <w:t>招标文件的构成。本招标文件由以下部份组成：</w:t>
      </w:r>
      <w:bookmarkEnd w:id="49"/>
    </w:p>
    <w:p w14:paraId="60E79BF5">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招标公告</w:t>
      </w:r>
    </w:p>
    <w:p w14:paraId="3056E038">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招标需求</w:t>
      </w:r>
    </w:p>
    <w:p w14:paraId="0FE4927F">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投标人须知</w:t>
      </w:r>
    </w:p>
    <w:p w14:paraId="4ED4D6EC">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评标办法及标准</w:t>
      </w:r>
    </w:p>
    <w:p w14:paraId="5645EBD5">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合同主要条款</w:t>
      </w:r>
    </w:p>
    <w:p w14:paraId="53752AE3">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投标文件格式</w:t>
      </w:r>
    </w:p>
    <w:p w14:paraId="50FB1E81">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本项目招标文件的澄清、答复、修改、补充的内容（如有）</w:t>
      </w:r>
    </w:p>
    <w:p w14:paraId="4CCE251C">
      <w:pPr>
        <w:pStyle w:val="3"/>
        <w:numPr>
          <w:ilvl w:val="1"/>
          <w:numId w:val="9"/>
        </w:numPr>
        <w:spacing w:before="0" w:after="0" w:line="360" w:lineRule="auto"/>
        <w:ind w:firstLine="420" w:firstLineChars="200"/>
        <w:rPr>
          <w:color w:val="auto"/>
          <w:highlight w:val="none"/>
        </w:rPr>
      </w:pPr>
      <w:bookmarkStart w:id="50" w:name="_Toc98019245"/>
      <w:r>
        <w:rPr>
          <w:rFonts w:hint="eastAsia"/>
          <w:color w:val="auto"/>
          <w:highlight w:val="none"/>
        </w:rPr>
        <w:t>投标人的风险</w:t>
      </w:r>
      <w:bookmarkEnd w:id="50"/>
    </w:p>
    <w:p w14:paraId="1B7292BE">
      <w:pPr>
        <w:pStyle w:val="32"/>
        <w:spacing w:line="480" w:lineRule="exact"/>
        <w:ind w:firstLine="42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投标人没有按照招标文件要求提供全部资料，或者投标人没有对招标文件在各方面作出实质性响应是投标人的风险，并可能导致其投标被拒绝。</w:t>
      </w:r>
    </w:p>
    <w:p w14:paraId="15744843">
      <w:pPr>
        <w:pStyle w:val="3"/>
        <w:numPr>
          <w:ilvl w:val="1"/>
          <w:numId w:val="9"/>
        </w:numPr>
        <w:spacing w:before="0" w:after="0" w:line="360" w:lineRule="auto"/>
        <w:ind w:firstLine="420" w:firstLineChars="200"/>
        <w:rPr>
          <w:color w:val="auto"/>
          <w:highlight w:val="none"/>
        </w:rPr>
      </w:pPr>
      <w:bookmarkStart w:id="51" w:name="_Toc98019246"/>
      <w:r>
        <w:rPr>
          <w:rFonts w:hint="eastAsia"/>
          <w:color w:val="auto"/>
          <w:highlight w:val="none"/>
        </w:rPr>
        <w:t>招标文件的澄清与修改</w:t>
      </w:r>
      <w:bookmarkEnd w:id="51"/>
    </w:p>
    <w:p w14:paraId="2904DF86">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2" w:name="_Toc11650177"/>
      <w:bookmarkStart w:id="53" w:name="_Toc9342487"/>
      <w:r>
        <w:rPr>
          <w:rFonts w:hint="eastAsia" w:ascii="微软雅黑" w:hAnsi="微软雅黑" w:eastAsia="微软雅黑"/>
          <w:color w:val="auto"/>
          <w:szCs w:val="21"/>
          <w:highlight w:val="none"/>
        </w:rPr>
        <w:t>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书面形式通知投标人。</w:t>
      </w:r>
      <w:bookmarkEnd w:id="52"/>
      <w:bookmarkEnd w:id="53"/>
    </w:p>
    <w:p w14:paraId="3AFFDF76">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4" w:name="_Toc9342488"/>
      <w:bookmarkStart w:id="55" w:name="_Toc11650178"/>
      <w:r>
        <w:rPr>
          <w:rFonts w:hint="eastAsia" w:ascii="微软雅黑" w:hAnsi="微软雅黑" w:eastAsia="微软雅黑"/>
          <w:color w:val="auto"/>
          <w:szCs w:val="21"/>
          <w:highlight w:val="none"/>
        </w:rPr>
        <w:t>招标文件澄清、答复、修改、补充的内容为招标文件的组成部分。当招标文件与招标文件的答复、澄清、修改、补充通知就同一内容的表述不一致时，以最后发出的为准。</w:t>
      </w:r>
      <w:bookmarkEnd w:id="54"/>
      <w:bookmarkEnd w:id="55"/>
    </w:p>
    <w:p w14:paraId="052C8C29">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6" w:name="_Toc11650179"/>
      <w:bookmarkStart w:id="57" w:name="_Toc9342489"/>
      <w:r>
        <w:rPr>
          <w:rFonts w:hint="eastAsia" w:ascii="微软雅黑" w:hAnsi="微软雅黑" w:eastAsia="微软雅黑"/>
          <w:color w:val="auto"/>
          <w:szCs w:val="21"/>
          <w:highlight w:val="none"/>
        </w:rPr>
        <w:t>招标文件的澄清、答复、修改或补充都应该通过招标人以法定形式发布，存款单位没有通过招标人，不得擅自澄清、答复、修改或补充招标文件。</w:t>
      </w:r>
      <w:bookmarkEnd w:id="56"/>
      <w:bookmarkEnd w:id="57"/>
    </w:p>
    <w:p w14:paraId="1909AFA7">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58" w:name="_Toc11650180"/>
      <w:bookmarkStart w:id="59" w:name="_Toc9342490"/>
      <w:bookmarkStart w:id="60" w:name="_Toc98019247"/>
      <w:bookmarkStart w:id="61" w:name="_Toc24216"/>
      <w:r>
        <w:rPr>
          <w:rFonts w:hint="eastAsia" w:ascii="微软雅黑" w:hAnsi="微软雅黑" w:eastAsia="微软雅黑" w:cs="微软雅黑"/>
          <w:color w:val="auto"/>
          <w:sz w:val="21"/>
          <w:szCs w:val="21"/>
          <w:highlight w:val="none"/>
        </w:rPr>
        <w:t>投标文件的编制</w:t>
      </w:r>
      <w:bookmarkEnd w:id="58"/>
      <w:bookmarkEnd w:id="59"/>
      <w:bookmarkEnd w:id="60"/>
      <w:bookmarkEnd w:id="61"/>
    </w:p>
    <w:p w14:paraId="23A45A55">
      <w:pPr>
        <w:pStyle w:val="3"/>
        <w:numPr>
          <w:ilvl w:val="1"/>
          <w:numId w:val="9"/>
        </w:numPr>
        <w:spacing w:before="0" w:after="0" w:line="360" w:lineRule="auto"/>
        <w:ind w:firstLine="420" w:firstLineChars="200"/>
        <w:rPr>
          <w:color w:val="auto"/>
          <w:highlight w:val="none"/>
        </w:rPr>
      </w:pPr>
      <w:bookmarkStart w:id="62" w:name="_Toc98019248"/>
      <w:bookmarkStart w:id="63" w:name="_Toc11650181"/>
      <w:bookmarkStart w:id="64" w:name="_Toc9342491"/>
      <w:r>
        <w:rPr>
          <w:rFonts w:hint="eastAsia"/>
          <w:color w:val="auto"/>
          <w:highlight w:val="none"/>
        </w:rPr>
        <w:t>投标文件的组成</w:t>
      </w:r>
      <w:bookmarkEnd w:id="62"/>
      <w:bookmarkEnd w:id="63"/>
      <w:bookmarkEnd w:id="64"/>
    </w:p>
    <w:p w14:paraId="732A3F59">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投标文件的资信技术文件和投标报价文件装订成一本。</w:t>
      </w:r>
    </w:p>
    <w:p w14:paraId="36CD3CAF">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▲投标声明书（格式见附件）；</w:t>
      </w:r>
    </w:p>
    <w:p w14:paraId="7A9DC915">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▲法定代表人（负责人）授权书(格式见附件)；</w:t>
      </w:r>
    </w:p>
    <w:p w14:paraId="12381DB9">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▲投标函（格式见附件）；</w:t>
      </w:r>
    </w:p>
    <w:p w14:paraId="0DD8F5B0">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▲投标报价一览表（格式见附件）</w:t>
      </w:r>
    </w:p>
    <w:p w14:paraId="57560C3F">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▲营业执照副本(复印件)；</w:t>
      </w:r>
    </w:p>
    <w:p w14:paraId="1B20A647">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▲《中华人民共和国金融许可证》（复印件）；</w:t>
      </w:r>
    </w:p>
    <w:p w14:paraId="2EAE4B92">
      <w:pPr>
        <w:numPr>
          <w:ilvl w:val="0"/>
          <w:numId w:val="15"/>
        </w:numPr>
        <w:tabs>
          <w:tab w:val="left" w:pos="709"/>
        </w:tabs>
        <w:snapToGrid w:val="0"/>
        <w:spacing w:line="360" w:lineRule="auto"/>
        <w:ind w:left="0" w:firstLine="420" w:firstLineChars="200"/>
        <w:jc w:val="left"/>
        <w:rPr>
          <w:rFonts w:hint="eastAsia" w:ascii="微软雅黑" w:hAnsi="微软雅黑" w:eastAsia="微软雅黑"/>
          <w:b/>
          <w:bCs w:val="0"/>
          <w:color w:val="auto"/>
          <w:szCs w:val="21"/>
          <w:highlight w:val="none"/>
        </w:rPr>
      </w:pPr>
      <w:r>
        <w:rPr>
          <w:rFonts w:hint="eastAsia" w:ascii="微软雅黑" w:hAnsi="微软雅黑" w:eastAsia="微软雅黑"/>
          <w:b/>
          <w:bCs w:val="0"/>
          <w:color w:val="auto"/>
          <w:sz w:val="21"/>
          <w:szCs w:val="21"/>
          <w:highlight w:val="none"/>
          <w:lang w:val="en-US" w:eastAsia="zh-CN"/>
        </w:rPr>
        <w:t>各投标银行按评分内容提供证明材料及承诺</w:t>
      </w:r>
      <w:r>
        <w:rPr>
          <w:rFonts w:hint="eastAsia" w:ascii="微软雅黑" w:hAnsi="微软雅黑" w:eastAsia="微软雅黑"/>
          <w:b/>
          <w:bCs w:val="0"/>
          <w:color w:val="auto"/>
          <w:szCs w:val="21"/>
          <w:highlight w:val="none"/>
        </w:rPr>
        <w:t>（格式自拟）。</w:t>
      </w:r>
    </w:p>
    <w:p w14:paraId="6F95EC04">
      <w:pPr>
        <w:pStyle w:val="3"/>
        <w:numPr>
          <w:ilvl w:val="1"/>
          <w:numId w:val="9"/>
        </w:numPr>
        <w:spacing w:before="0" w:after="0" w:line="360" w:lineRule="auto"/>
        <w:ind w:firstLine="420" w:firstLineChars="200"/>
        <w:rPr>
          <w:color w:val="auto"/>
          <w:highlight w:val="none"/>
        </w:rPr>
      </w:pPr>
      <w:bookmarkStart w:id="65" w:name="_Toc9342492"/>
      <w:bookmarkStart w:id="66" w:name="_Toc98019249"/>
      <w:bookmarkStart w:id="67" w:name="_Toc11650182"/>
      <w:r>
        <w:rPr>
          <w:rFonts w:hint="eastAsia"/>
          <w:color w:val="auto"/>
          <w:highlight w:val="none"/>
        </w:rPr>
        <w:t>投标文件的语言及计量</w:t>
      </w:r>
      <w:bookmarkEnd w:id="65"/>
      <w:bookmarkEnd w:id="66"/>
      <w:bookmarkEnd w:id="67"/>
    </w:p>
    <w:p w14:paraId="658C3655">
      <w:pPr>
        <w:numPr>
          <w:ilvl w:val="0"/>
          <w:numId w:val="16"/>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4F0D55D6">
      <w:pPr>
        <w:numPr>
          <w:ilvl w:val="0"/>
          <w:numId w:val="16"/>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4DA2CF5A">
      <w:pPr>
        <w:pStyle w:val="3"/>
        <w:numPr>
          <w:ilvl w:val="1"/>
          <w:numId w:val="9"/>
        </w:numPr>
        <w:spacing w:before="0" w:after="0" w:line="360" w:lineRule="auto"/>
        <w:ind w:firstLine="420" w:firstLineChars="200"/>
        <w:rPr>
          <w:color w:val="auto"/>
          <w:highlight w:val="none"/>
        </w:rPr>
      </w:pPr>
      <w:bookmarkStart w:id="68" w:name="_Toc98019250"/>
      <w:bookmarkStart w:id="69" w:name="_Toc11650183"/>
      <w:bookmarkStart w:id="70" w:name="_Toc9342493"/>
      <w:r>
        <w:rPr>
          <w:rFonts w:hint="eastAsia"/>
          <w:color w:val="auto"/>
          <w:highlight w:val="none"/>
        </w:rPr>
        <w:t>投标报价</w:t>
      </w:r>
      <w:bookmarkEnd w:id="68"/>
      <w:bookmarkEnd w:id="69"/>
      <w:bookmarkEnd w:id="70"/>
    </w:p>
    <w:p w14:paraId="79F99D03">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投标报价应按招标文件中相关附表格式填写。</w:t>
      </w:r>
    </w:p>
    <w:p w14:paraId="78097CD0">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▲投标报价只允许有一个报价，有选择的报价将不予接受。</w:t>
      </w:r>
    </w:p>
    <w:p w14:paraId="1F063A2A">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投标人须充分了解项目全部风险，综合考虑投标报价。</w:t>
      </w:r>
    </w:p>
    <w:p w14:paraId="4CF227D0">
      <w:pPr>
        <w:numPr>
          <w:ilvl w:val="0"/>
          <w:numId w:val="17"/>
        </w:numPr>
        <w:snapToGrid w:val="0"/>
        <w:spacing w:line="360" w:lineRule="auto"/>
        <w:ind w:left="0" w:firstLine="420" w:firstLineChars="200"/>
        <w:jc w:val="left"/>
        <w:rPr>
          <w:rFonts w:hint="eastAsia" w:ascii="微软雅黑" w:hAnsi="微软雅黑" w:eastAsia="微软雅黑"/>
          <w:bCs/>
          <w:color w:val="auto"/>
          <w:szCs w:val="21"/>
          <w:highlight w:val="none"/>
          <w:shd w:val="pct15" w:color="auto" w:fill="FFFFFF"/>
        </w:rPr>
      </w:pPr>
      <w:r>
        <w:rPr>
          <w:rFonts w:hint="eastAsia" w:ascii="微软雅黑" w:hAnsi="微软雅黑" w:eastAsia="微软雅黑"/>
          <w:b/>
          <w:color w:val="auto"/>
          <w:szCs w:val="21"/>
          <w:highlight w:val="none"/>
          <w:shd w:val="pct10" w:color="auto" w:fill="FFFFFF"/>
        </w:rPr>
        <w:t>投标人报价不得违反国家利率政策</w:t>
      </w:r>
      <w:r>
        <w:rPr>
          <w:rFonts w:hint="eastAsia" w:ascii="微软雅黑" w:hAnsi="微软雅黑" w:eastAsia="微软雅黑"/>
          <w:b/>
          <w:color w:val="auto"/>
          <w:szCs w:val="21"/>
          <w:highlight w:val="none"/>
          <w:shd w:val="pct10" w:color="auto" w:fill="FFFFFF"/>
          <w:lang w:val="en-US" w:eastAsia="zh-CN"/>
        </w:rPr>
        <w:t>，并遵守</w:t>
      </w:r>
      <w:r>
        <w:rPr>
          <w:rFonts w:hint="eastAsia" w:ascii="微软雅黑" w:hAnsi="微软雅黑" w:eastAsia="微软雅黑"/>
          <w:b/>
          <w:color w:val="auto"/>
          <w:szCs w:val="21"/>
          <w:highlight w:val="none"/>
          <w:shd w:val="pct10" w:color="auto" w:fill="FFFFFF"/>
        </w:rPr>
        <w:t>市场利率定价自律机制规定</w:t>
      </w:r>
      <w:r>
        <w:rPr>
          <w:rFonts w:hint="eastAsia" w:ascii="微软雅黑" w:hAnsi="微软雅黑" w:eastAsia="微软雅黑"/>
          <w:bCs/>
          <w:color w:val="auto"/>
          <w:szCs w:val="21"/>
          <w:highlight w:val="none"/>
          <w:shd w:val="pct15" w:color="auto" w:fill="FFFFFF"/>
        </w:rPr>
        <w:t>。</w:t>
      </w:r>
    </w:p>
    <w:p w14:paraId="00EE2624">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投标人提交可选择报价视为非实质性响应招标文件的要求，按无效标处理。</w:t>
      </w:r>
    </w:p>
    <w:p w14:paraId="4B39E2CF">
      <w:pPr>
        <w:pStyle w:val="3"/>
        <w:numPr>
          <w:ilvl w:val="1"/>
          <w:numId w:val="9"/>
        </w:numPr>
        <w:spacing w:before="0" w:after="0" w:line="360" w:lineRule="auto"/>
        <w:ind w:firstLine="420" w:firstLineChars="200"/>
        <w:rPr>
          <w:color w:val="auto"/>
          <w:highlight w:val="none"/>
        </w:rPr>
      </w:pPr>
      <w:bookmarkStart w:id="71" w:name="_Toc98019251"/>
      <w:r>
        <w:rPr>
          <w:rFonts w:hint="eastAsia"/>
          <w:color w:val="auto"/>
          <w:highlight w:val="none"/>
        </w:rPr>
        <w:t>投标文件的有效期</w:t>
      </w:r>
      <w:bookmarkEnd w:id="71"/>
    </w:p>
    <w:p w14:paraId="06BEEDBB">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▲自投标截止日起60天投标文件应保持有效。有效期不足的投标文件将被拒绝。</w:t>
      </w:r>
    </w:p>
    <w:p w14:paraId="65B2C54B">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72" w:name="_Toc11650184"/>
      <w:bookmarkStart w:id="73" w:name="_Toc9342494"/>
      <w:r>
        <w:rPr>
          <w:rFonts w:hint="eastAsia" w:ascii="微软雅黑" w:hAnsi="微软雅黑" w:eastAsia="微软雅黑"/>
          <w:color w:val="auto"/>
          <w:szCs w:val="21"/>
          <w:highlight w:val="none"/>
        </w:rPr>
        <w:t>中标人的投标文件自开标之日起至合同履行完毕止均应保持有效。</w:t>
      </w:r>
      <w:bookmarkEnd w:id="72"/>
      <w:bookmarkEnd w:id="73"/>
    </w:p>
    <w:p w14:paraId="1647CE74">
      <w:pPr>
        <w:pStyle w:val="3"/>
        <w:numPr>
          <w:ilvl w:val="1"/>
          <w:numId w:val="9"/>
        </w:numPr>
        <w:spacing w:before="0" w:after="0" w:line="360" w:lineRule="auto"/>
        <w:ind w:firstLine="420" w:firstLineChars="200"/>
        <w:rPr>
          <w:color w:val="auto"/>
          <w:highlight w:val="none"/>
        </w:rPr>
      </w:pPr>
      <w:bookmarkStart w:id="74" w:name="_Toc98019252"/>
      <w:r>
        <w:rPr>
          <w:rFonts w:hint="eastAsia"/>
          <w:color w:val="auto"/>
          <w:highlight w:val="none"/>
        </w:rPr>
        <w:t>投标文件的签署和份数</w:t>
      </w:r>
      <w:bookmarkEnd w:id="74"/>
    </w:p>
    <w:p w14:paraId="5BC7E373">
      <w:pPr>
        <w:numPr>
          <w:ilvl w:val="0"/>
          <w:numId w:val="19"/>
        </w:numPr>
        <w:tabs>
          <w:tab w:val="left" w:pos="709"/>
        </w:tabs>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u w:val="single"/>
        </w:rPr>
        <w:t>线下纸质投标文件</w:t>
      </w:r>
      <w:r>
        <w:rPr>
          <w:rFonts w:ascii="微软雅黑" w:hAnsi="微软雅黑" w:eastAsia="微软雅黑"/>
          <w:color w:val="auto"/>
          <w:szCs w:val="21"/>
          <w:highlight w:val="none"/>
          <w:u w:val="single"/>
        </w:rPr>
        <w:t>正本一份和副本</w:t>
      </w:r>
      <w:r>
        <w:rPr>
          <w:rFonts w:hint="eastAsia" w:ascii="微软雅黑" w:hAnsi="微软雅黑" w:eastAsia="微软雅黑"/>
          <w:color w:val="auto"/>
          <w:szCs w:val="21"/>
          <w:highlight w:val="none"/>
          <w:u w:val="single"/>
        </w:rPr>
        <w:t>一份</w:t>
      </w:r>
      <w:r>
        <w:rPr>
          <w:rFonts w:hint="eastAsia" w:ascii="微软雅黑" w:hAnsi="微软雅黑" w:eastAsia="微软雅黑"/>
          <w:color w:val="auto"/>
          <w:szCs w:val="21"/>
          <w:highlight w:val="none"/>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14:paraId="1E6D8C2B">
      <w:pPr>
        <w:numPr>
          <w:ilvl w:val="0"/>
          <w:numId w:val="19"/>
        </w:numPr>
        <w:tabs>
          <w:tab w:val="left" w:pos="709"/>
        </w:tabs>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须由投标人在规定位置盖章并由法定代表人/负责人或法定代表授权人签署，投标人应写全称。投标文件不得涂改，若有修改错漏处，须加盖单位公章或者法定代表人/负责人或授权委托人签字或盖章。投标文件因字迹潦草或表达不清所引起的后果由投标人负责。</w:t>
      </w:r>
    </w:p>
    <w:p w14:paraId="6BA71BD8">
      <w:pPr>
        <w:numPr>
          <w:ilvl w:val="0"/>
          <w:numId w:val="19"/>
        </w:numPr>
        <w:tabs>
          <w:tab w:val="left" w:pos="709"/>
        </w:tabs>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▲网上电子投标文件按招标文件要求及招标系统流程、时间、格式上传。</w:t>
      </w:r>
    </w:p>
    <w:p w14:paraId="04E41F97">
      <w:pPr>
        <w:pStyle w:val="3"/>
        <w:numPr>
          <w:ilvl w:val="1"/>
          <w:numId w:val="9"/>
        </w:numPr>
        <w:spacing w:before="0" w:after="0" w:line="360" w:lineRule="auto"/>
        <w:ind w:firstLine="420" w:firstLineChars="200"/>
        <w:rPr>
          <w:color w:val="auto"/>
          <w:highlight w:val="none"/>
        </w:rPr>
      </w:pPr>
      <w:bookmarkStart w:id="75" w:name="_Toc98019253"/>
      <w:r>
        <w:rPr>
          <w:rFonts w:hint="eastAsia"/>
          <w:color w:val="auto"/>
          <w:highlight w:val="none"/>
        </w:rPr>
        <w:t>投标文件的包装、递交、修改和撤回</w:t>
      </w:r>
      <w:bookmarkEnd w:id="75"/>
    </w:p>
    <w:p w14:paraId="3E9C898B">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投标人的投标文件应密封封装。投标文件的包装封面上应注明投标人名称、投标人地址、投标文件名称、投标项目名称、项目编号，并加盖投标人公章。</w:t>
      </w:r>
    </w:p>
    <w:p w14:paraId="16558159">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未按规定密封或标记的投标文件将被拒绝，由此造成投标文件被误投或提前拆封的风险由投标人承担。</w:t>
      </w:r>
    </w:p>
    <w:p w14:paraId="695003BA">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14:paraId="3DABF2F4">
      <w:pPr>
        <w:pStyle w:val="3"/>
        <w:numPr>
          <w:ilvl w:val="1"/>
          <w:numId w:val="9"/>
        </w:numPr>
        <w:spacing w:before="0" w:after="0" w:line="360" w:lineRule="auto"/>
        <w:ind w:firstLine="420" w:firstLineChars="200"/>
        <w:rPr>
          <w:color w:val="auto"/>
          <w:highlight w:val="none"/>
        </w:rPr>
      </w:pPr>
      <w:bookmarkStart w:id="76" w:name="_Toc98019254"/>
      <w:r>
        <w:rPr>
          <w:rFonts w:hint="eastAsia"/>
          <w:color w:val="auto"/>
          <w:highlight w:val="none"/>
        </w:rPr>
        <w:t>投标无效的情形</w:t>
      </w:r>
      <w:bookmarkEnd w:id="76"/>
    </w:p>
    <w:p w14:paraId="08944233">
      <w:pPr>
        <w:snapToGrid w:val="0"/>
        <w:spacing w:line="480" w:lineRule="exact"/>
        <w:ind w:firstLine="420" w:firstLineChars="200"/>
        <w:rPr>
          <w:rFonts w:hint="eastAsia" w:ascii="微软雅黑" w:hAnsi="微软雅黑" w:eastAsia="微软雅黑"/>
          <w:bCs/>
          <w:color w:val="auto"/>
          <w:szCs w:val="21"/>
          <w:highlight w:val="none"/>
        </w:rPr>
      </w:pPr>
      <w:r>
        <w:rPr>
          <w:rFonts w:hint="eastAsia" w:ascii="微软雅黑" w:hAnsi="微软雅黑" w:eastAsia="微软雅黑"/>
          <w:b/>
          <w:bCs/>
          <w:color w:val="auto"/>
          <w:szCs w:val="21"/>
          <w:highlight w:val="none"/>
        </w:rPr>
        <w:t>实质上没有响应招标文件要求的投标将被视为无效投标。</w:t>
      </w:r>
    </w:p>
    <w:p w14:paraId="3ABC63E9">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在符合性审查和商务评审时，如发现下列情形之一的，投标文件将被视为无效：</w:t>
      </w:r>
    </w:p>
    <w:p w14:paraId="6851C320">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资格证明文件不全的，或者不符合招标文件标明的资格要求的；</w:t>
      </w:r>
    </w:p>
    <w:p w14:paraId="23B78888">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投标文件无法定代表人（负责人）签字,或未提供法定代表人（负责人）授权委托书、投标声明书或者填写项目不齐全的；</w:t>
      </w:r>
    </w:p>
    <w:p w14:paraId="52FD7E14">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投标代表人未能出具身份证明或与法定代表人（负责人）授权委托人身份不符的； </w:t>
      </w:r>
    </w:p>
    <w:p w14:paraId="61DAB9B4">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投标文件未按要求装订、格式不规范、项目不齐全或者内容虚假的；</w:t>
      </w:r>
    </w:p>
    <w:p w14:paraId="1F131292">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投标文件的实质性内容意思表述不明确、前后矛盾或者使用计量单位不符合招标文件要求的（经评标委员会认定并允许其当场更正的笔误除外）；</w:t>
      </w:r>
    </w:p>
    <w:p w14:paraId="39BC3F42">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未实质性响应招标文件要求的；</w:t>
      </w:r>
    </w:p>
    <w:p w14:paraId="05D3A71D">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在技术评审时，如发现下列情形之一的，投标文件将被视为无效：</w:t>
      </w:r>
    </w:p>
    <w:p w14:paraId="23BEB8BC">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投标文件标明的响应或偏离与事实不符或虚假投标的；</w:t>
      </w:r>
    </w:p>
    <w:p w14:paraId="66C1DCC9">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与招标文件中标“▲”的技术指标、主要功能项目发生实质性偏离的；</w:t>
      </w:r>
    </w:p>
    <w:p w14:paraId="363FF8B7">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投标技术方案不明确，存在一个或一个以上备选（替代）投标方案的；</w:t>
      </w:r>
    </w:p>
    <w:p w14:paraId="4F355B52">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在报价评审时，如发现下列情形之一的，投标文件将被视为无效：</w:t>
      </w:r>
    </w:p>
    <w:p w14:paraId="4CFD46A2">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未提供投标报价表的；</w:t>
      </w:r>
    </w:p>
    <w:p w14:paraId="2B8B99A2">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投标报价方案不明确，存在一个或一个以上备选（替代）投标方案的；</w:t>
      </w:r>
    </w:p>
    <w:p w14:paraId="25919B18">
      <w:pPr>
        <w:pStyle w:val="62"/>
        <w:numPr>
          <w:ilvl w:val="0"/>
          <w:numId w:val="21"/>
        </w:numPr>
        <w:snapToGrid w:val="0"/>
        <w:spacing w:line="480" w:lineRule="exact"/>
        <w:ind w:firstLine="1"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被拒绝的投标文件为无效。</w:t>
      </w:r>
    </w:p>
    <w:p w14:paraId="5DF7A6E2">
      <w:pPr>
        <w:pStyle w:val="62"/>
        <w:numPr>
          <w:ilvl w:val="0"/>
          <w:numId w:val="21"/>
        </w:numPr>
        <w:snapToGrid w:val="0"/>
        <w:spacing w:line="480" w:lineRule="exact"/>
        <w:ind w:left="0" w:firstLine="426"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如网上投标文件与纸质投标文件不一致的，做无效标处理（因系统原因显示表述不一致的除外）。</w:t>
      </w:r>
    </w:p>
    <w:p w14:paraId="00CA0AAA">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77" w:name="_Toc98019255"/>
      <w:bookmarkStart w:id="78" w:name="_Toc23544"/>
      <w:r>
        <w:rPr>
          <w:rFonts w:hint="eastAsia" w:ascii="微软雅黑" w:hAnsi="微软雅黑" w:eastAsia="微软雅黑" w:cs="微软雅黑"/>
          <w:color w:val="auto"/>
          <w:sz w:val="21"/>
          <w:szCs w:val="21"/>
          <w:highlight w:val="none"/>
        </w:rPr>
        <w:t>开标</w:t>
      </w:r>
      <w:bookmarkEnd w:id="77"/>
      <w:bookmarkEnd w:id="78"/>
    </w:p>
    <w:p w14:paraId="6207D813">
      <w:pPr>
        <w:pStyle w:val="3"/>
        <w:numPr>
          <w:ilvl w:val="1"/>
          <w:numId w:val="9"/>
        </w:numPr>
        <w:spacing w:before="0" w:after="0" w:line="360" w:lineRule="auto"/>
        <w:ind w:firstLine="420" w:firstLineChars="200"/>
        <w:rPr>
          <w:color w:val="auto"/>
          <w:highlight w:val="none"/>
        </w:rPr>
      </w:pPr>
      <w:bookmarkStart w:id="79" w:name="_Toc98019256"/>
      <w:r>
        <w:rPr>
          <w:rFonts w:hint="eastAsia"/>
          <w:color w:val="auto"/>
          <w:highlight w:val="none"/>
        </w:rPr>
        <w:t>本项目不要求投标人至开标现场参加开标及开启投标文件活动。招标代理机构将在规定的时间和地点进行开标。</w:t>
      </w:r>
      <w:bookmarkEnd w:id="79"/>
    </w:p>
    <w:p w14:paraId="61F93335">
      <w:pPr>
        <w:pStyle w:val="3"/>
        <w:numPr>
          <w:ilvl w:val="1"/>
          <w:numId w:val="9"/>
        </w:numPr>
        <w:spacing w:before="0" w:after="0" w:line="360" w:lineRule="auto"/>
        <w:ind w:firstLine="420" w:firstLineChars="200"/>
        <w:rPr>
          <w:color w:val="auto"/>
          <w:highlight w:val="none"/>
        </w:rPr>
      </w:pPr>
      <w:bookmarkStart w:id="80" w:name="_Toc98019257"/>
      <w:r>
        <w:rPr>
          <w:rFonts w:hint="eastAsia"/>
          <w:color w:val="auto"/>
          <w:highlight w:val="none"/>
        </w:rPr>
        <w:t>开标程序：</w:t>
      </w:r>
      <w:bookmarkEnd w:id="80"/>
    </w:p>
    <w:p w14:paraId="302E698C">
      <w:pPr>
        <w:pStyle w:val="4"/>
        <w:rPr>
          <w:rFonts w:hint="eastAsia"/>
          <w:b w:val="0"/>
          <w:bCs w:val="0"/>
          <w:color w:val="auto"/>
          <w:highlight w:val="none"/>
        </w:rPr>
      </w:pPr>
      <w:bookmarkStart w:id="81" w:name="_Toc98019258"/>
      <w:r>
        <w:rPr>
          <w:rFonts w:hint="eastAsia"/>
          <w:b w:val="0"/>
          <w:bCs w:val="0"/>
          <w:color w:val="auto"/>
          <w:highlight w:val="none"/>
        </w:rPr>
        <w:t>开标会由招标代理机构主持，主持人宣布开标会议开始；</w:t>
      </w:r>
      <w:bookmarkEnd w:id="81"/>
    </w:p>
    <w:p w14:paraId="7F93EBE8">
      <w:pPr>
        <w:pStyle w:val="4"/>
        <w:rPr>
          <w:rFonts w:hint="eastAsia" w:ascii="微软雅黑" w:hAnsi="微软雅黑"/>
          <w:b w:val="0"/>
          <w:bCs w:val="0"/>
          <w:color w:val="auto"/>
          <w:szCs w:val="21"/>
          <w:highlight w:val="none"/>
        </w:rPr>
      </w:pPr>
      <w:bookmarkStart w:id="82" w:name="_Toc98019259"/>
      <w:r>
        <w:rPr>
          <w:rFonts w:hint="eastAsia"/>
          <w:b w:val="0"/>
          <w:bCs w:val="0"/>
          <w:color w:val="auto"/>
          <w:highlight w:val="none"/>
        </w:rPr>
        <w:t>介绍参加开标会的人员名单；</w:t>
      </w:r>
      <w:bookmarkEnd w:id="82"/>
    </w:p>
    <w:p w14:paraId="68CE317E">
      <w:pPr>
        <w:pStyle w:val="4"/>
        <w:rPr>
          <w:rFonts w:hint="eastAsia" w:ascii="微软雅黑" w:hAnsi="微软雅黑"/>
          <w:b w:val="0"/>
          <w:bCs w:val="0"/>
          <w:color w:val="auto"/>
          <w:szCs w:val="21"/>
          <w:highlight w:val="none"/>
        </w:rPr>
      </w:pPr>
      <w:bookmarkStart w:id="83" w:name="_Toc98019260"/>
      <w:r>
        <w:rPr>
          <w:rFonts w:hint="eastAsia"/>
          <w:b w:val="0"/>
          <w:bCs w:val="0"/>
          <w:color w:val="auto"/>
          <w:highlight w:val="none"/>
        </w:rPr>
        <w:t>开标时，由相关监督人员检查其投标文件的密封情况，经确认无误后，由采购代理</w:t>
      </w:r>
      <w:r>
        <w:rPr>
          <w:rFonts w:hint="eastAsia" w:ascii="微软雅黑" w:hAnsi="微软雅黑"/>
          <w:b w:val="0"/>
          <w:bCs w:val="0"/>
          <w:color w:val="auto"/>
          <w:szCs w:val="21"/>
          <w:highlight w:val="none"/>
        </w:rPr>
        <w:t>机构工作人员当众拆封，由唱标人宣读投标人在其投标文件中承诺的投标报价以及招标代理机构认为有必要宣读的其他内容。唱标顺序按各投标人提交投标文件时间的先后顺序进行；</w:t>
      </w:r>
      <w:bookmarkEnd w:id="83"/>
    </w:p>
    <w:p w14:paraId="494DA5AF">
      <w:pPr>
        <w:pStyle w:val="4"/>
        <w:rPr>
          <w:rFonts w:hint="eastAsia" w:ascii="微软雅黑" w:hAnsi="微软雅黑"/>
          <w:b w:val="0"/>
          <w:bCs w:val="0"/>
          <w:color w:val="auto"/>
          <w:szCs w:val="21"/>
          <w:highlight w:val="none"/>
        </w:rPr>
      </w:pPr>
      <w:bookmarkStart w:id="84" w:name="_Toc98019261"/>
      <w:r>
        <w:rPr>
          <w:rFonts w:hint="eastAsia" w:ascii="微软雅黑" w:hAnsi="微软雅黑"/>
          <w:b w:val="0"/>
          <w:bCs w:val="0"/>
          <w:color w:val="auto"/>
          <w:szCs w:val="21"/>
          <w:highlight w:val="none"/>
        </w:rPr>
        <w:t>宣布评标期间的有关事项；</w:t>
      </w:r>
      <w:bookmarkEnd w:id="84"/>
    </w:p>
    <w:p w14:paraId="42DA0E87">
      <w:pPr>
        <w:pStyle w:val="3"/>
        <w:numPr>
          <w:ilvl w:val="1"/>
          <w:numId w:val="9"/>
        </w:numPr>
        <w:spacing w:before="0" w:after="0" w:line="360" w:lineRule="auto"/>
        <w:ind w:firstLine="420" w:firstLineChars="200"/>
        <w:rPr>
          <w:color w:val="auto"/>
          <w:highlight w:val="none"/>
        </w:rPr>
      </w:pPr>
      <w:bookmarkStart w:id="85" w:name="_Toc98019262"/>
      <w:r>
        <w:rPr>
          <w:rFonts w:hint="eastAsia"/>
          <w:color w:val="auto"/>
          <w:highlight w:val="none"/>
        </w:rPr>
        <w:t>开标会议结束。</w:t>
      </w:r>
      <w:bookmarkEnd w:id="85"/>
    </w:p>
    <w:p w14:paraId="426C36B9">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86" w:name="_Toc5071"/>
      <w:bookmarkStart w:id="87" w:name="_Toc98019263"/>
      <w:r>
        <w:rPr>
          <w:rFonts w:hint="eastAsia" w:ascii="微软雅黑" w:hAnsi="微软雅黑" w:eastAsia="微软雅黑" w:cs="微软雅黑"/>
          <w:color w:val="auto"/>
          <w:sz w:val="21"/>
          <w:szCs w:val="21"/>
          <w:highlight w:val="none"/>
        </w:rPr>
        <w:t>评标</w:t>
      </w:r>
      <w:bookmarkEnd w:id="86"/>
      <w:bookmarkEnd w:id="87"/>
    </w:p>
    <w:p w14:paraId="4C7C1D57">
      <w:pPr>
        <w:pStyle w:val="3"/>
        <w:numPr>
          <w:ilvl w:val="1"/>
          <w:numId w:val="9"/>
        </w:numPr>
        <w:spacing w:before="0" w:after="0" w:line="360" w:lineRule="auto"/>
        <w:ind w:firstLine="420" w:firstLineChars="200"/>
        <w:rPr>
          <w:color w:val="auto"/>
          <w:highlight w:val="none"/>
        </w:rPr>
      </w:pPr>
      <w:bookmarkStart w:id="88" w:name="_Toc98019264"/>
      <w:r>
        <w:rPr>
          <w:rFonts w:hint="eastAsia"/>
          <w:color w:val="auto"/>
          <w:highlight w:val="none"/>
        </w:rPr>
        <w:t>评标组织</w:t>
      </w:r>
      <w:bookmarkEnd w:id="88"/>
    </w:p>
    <w:p w14:paraId="507E6D0B">
      <w:pPr>
        <w:snapToGrid w:val="0"/>
        <w:spacing w:line="360" w:lineRule="auto"/>
        <w:ind w:firstLine="420" w:firstLineChars="200"/>
        <w:jc w:val="left"/>
        <w:rPr>
          <w:rFonts w:hint="eastAsia" w:ascii="微软雅黑" w:hAnsi="微软雅黑" w:eastAsia="微软雅黑"/>
          <w:color w:val="auto"/>
          <w:szCs w:val="21"/>
          <w:highlight w:val="none"/>
        </w:rPr>
      </w:pPr>
      <w:r>
        <w:rPr>
          <w:rFonts w:ascii="微软雅黑" w:hAnsi="微软雅黑" w:eastAsia="微软雅黑"/>
          <w:color w:val="auto"/>
          <w:szCs w:val="21"/>
          <w:highlight w:val="none"/>
        </w:rPr>
        <w:t>本项目</w:t>
      </w:r>
      <w:r>
        <w:rPr>
          <w:rFonts w:hint="eastAsia" w:ascii="微软雅黑" w:hAnsi="微软雅黑" w:eastAsia="微软雅黑"/>
          <w:color w:val="auto"/>
          <w:szCs w:val="21"/>
          <w:highlight w:val="none"/>
        </w:rPr>
        <w:t>评审小组</w:t>
      </w:r>
      <w:r>
        <w:rPr>
          <w:rFonts w:ascii="微软雅黑" w:hAnsi="微软雅黑" w:eastAsia="微软雅黑"/>
          <w:color w:val="auto"/>
          <w:szCs w:val="21"/>
          <w:highlight w:val="none"/>
        </w:rPr>
        <w:t>评审</w:t>
      </w:r>
      <w:r>
        <w:rPr>
          <w:rFonts w:hint="eastAsia" w:ascii="微软雅黑" w:hAnsi="微软雅黑" w:eastAsia="微软雅黑"/>
          <w:color w:val="auto"/>
          <w:szCs w:val="21"/>
          <w:highlight w:val="none"/>
        </w:rPr>
        <w:t>专家4人，业主专家1人，共5人组成。</w:t>
      </w:r>
    </w:p>
    <w:p w14:paraId="1D2A220E">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评标、决标全过程由有关部门监督。</w:t>
      </w:r>
    </w:p>
    <w:p w14:paraId="74692B81">
      <w:pPr>
        <w:pStyle w:val="3"/>
        <w:numPr>
          <w:ilvl w:val="1"/>
          <w:numId w:val="9"/>
        </w:numPr>
        <w:spacing w:before="0" w:after="0" w:line="360" w:lineRule="auto"/>
        <w:ind w:firstLine="420" w:firstLineChars="200"/>
        <w:rPr>
          <w:color w:val="auto"/>
          <w:highlight w:val="none"/>
        </w:rPr>
      </w:pPr>
      <w:bookmarkStart w:id="89" w:name="_Toc98019265"/>
      <w:r>
        <w:rPr>
          <w:rFonts w:hint="eastAsia"/>
          <w:color w:val="auto"/>
          <w:highlight w:val="none"/>
        </w:rPr>
        <w:t>评标的方式</w:t>
      </w:r>
      <w:bookmarkEnd w:id="89"/>
    </w:p>
    <w:p w14:paraId="01B6EB74">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617370B8">
      <w:pPr>
        <w:pStyle w:val="62"/>
        <w:numPr>
          <w:ilvl w:val="1"/>
          <w:numId w:val="22"/>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24B829CD">
      <w:pPr>
        <w:pStyle w:val="62"/>
        <w:numPr>
          <w:ilvl w:val="1"/>
          <w:numId w:val="22"/>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本项目实行线下纸质投标叠加网上电子投标，招标系统会使本次网上电子投标成功或失败，本项目最终都以线下纸质投标文件为准。</w:t>
      </w:r>
    </w:p>
    <w:p w14:paraId="4828579E">
      <w:pPr>
        <w:snapToGrid w:val="0"/>
        <w:spacing w:line="360" w:lineRule="auto"/>
        <w:ind w:firstLine="420" w:firstLineChars="200"/>
        <w:jc w:val="left"/>
        <w:rPr>
          <w:rFonts w:hint="eastAsia" w:ascii="微软雅黑" w:hAnsi="微软雅黑" w:eastAsia="微软雅黑"/>
          <w:color w:val="auto"/>
          <w:szCs w:val="21"/>
          <w:highlight w:val="none"/>
        </w:rPr>
      </w:pPr>
    </w:p>
    <w:p w14:paraId="4EB62070">
      <w:pPr>
        <w:pStyle w:val="3"/>
        <w:numPr>
          <w:ilvl w:val="1"/>
          <w:numId w:val="9"/>
        </w:numPr>
        <w:spacing w:before="0" w:after="0" w:line="360" w:lineRule="auto"/>
        <w:ind w:firstLine="420" w:firstLineChars="200"/>
        <w:rPr>
          <w:color w:val="auto"/>
          <w:highlight w:val="none"/>
        </w:rPr>
      </w:pPr>
      <w:bookmarkStart w:id="90" w:name="_Toc98019266"/>
      <w:r>
        <w:rPr>
          <w:rFonts w:hint="eastAsia"/>
          <w:color w:val="auto"/>
          <w:highlight w:val="none"/>
        </w:rPr>
        <w:t>评标程序</w:t>
      </w:r>
      <w:bookmarkEnd w:id="90"/>
    </w:p>
    <w:p w14:paraId="3C0752F0">
      <w:pPr>
        <w:pStyle w:val="4"/>
        <w:rPr>
          <w:rFonts w:hint="eastAsia"/>
          <w:color w:val="auto"/>
          <w:highlight w:val="none"/>
        </w:rPr>
      </w:pPr>
      <w:bookmarkStart w:id="91" w:name="_Toc98019267"/>
      <w:r>
        <w:rPr>
          <w:rFonts w:hint="eastAsia"/>
          <w:color w:val="auto"/>
          <w:highlight w:val="none"/>
        </w:rPr>
        <w:t>形式审查</w:t>
      </w:r>
      <w:bookmarkEnd w:id="91"/>
    </w:p>
    <w:p w14:paraId="00058A66">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评标委员会将审查投标文件是否真实、完整,总体编排是否有序,文件签署是否正确等。</w:t>
      </w:r>
    </w:p>
    <w:p w14:paraId="6F9B09EC">
      <w:pPr>
        <w:pStyle w:val="4"/>
        <w:rPr>
          <w:rFonts w:hint="eastAsia"/>
          <w:color w:val="auto"/>
          <w:highlight w:val="none"/>
        </w:rPr>
      </w:pPr>
      <w:bookmarkStart w:id="92" w:name="_Toc98019268"/>
      <w:r>
        <w:rPr>
          <w:rFonts w:hint="eastAsia"/>
          <w:color w:val="auto"/>
          <w:highlight w:val="none"/>
        </w:rPr>
        <w:t>实质审查与比较</w:t>
      </w:r>
      <w:bookmarkEnd w:id="92"/>
    </w:p>
    <w:p w14:paraId="29D89CA5">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评标委员会审查投标文件的实质性内容是否符合招标文件的实质性要求。</w:t>
      </w:r>
    </w:p>
    <w:p w14:paraId="75FE3B95">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评标委员会将根据投标人的投标文件的资信进行审查、核对,如有疑问,将对投标人进行询标,投标人要向评标委员会澄清有关问题,并最终以书面形式进行答复。 </w:t>
      </w:r>
    </w:p>
    <w:p w14:paraId="3540B492">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评标委员会将根据投标人的投标文件进行详细审查、核对,如有疑问,将对投标人进行询标,投标人要向评标委员会澄清有关问题,并最终以书面形式进行答复。</w:t>
      </w:r>
    </w:p>
    <w:p w14:paraId="0E5C1F2E">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评标委员会将根据投标人的报价,计算各投标人的报价最终得分。</w:t>
      </w:r>
    </w:p>
    <w:p w14:paraId="7F24EEE4">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评标委员会完成评标后,评委对各部分得分汇总,得出本项目最终得分,评标委员会按评标原则确定中标人同时起草评标报告。</w:t>
      </w:r>
    </w:p>
    <w:p w14:paraId="46ED9019">
      <w:pPr>
        <w:pStyle w:val="4"/>
        <w:rPr>
          <w:rFonts w:hint="eastAsia"/>
          <w:color w:val="auto"/>
          <w:highlight w:val="none"/>
        </w:rPr>
      </w:pPr>
      <w:bookmarkStart w:id="93" w:name="_Toc98019269"/>
      <w:r>
        <w:rPr>
          <w:rFonts w:hint="eastAsia"/>
          <w:color w:val="auto"/>
          <w:highlight w:val="none"/>
        </w:rPr>
        <w:t>澄清问题的形式</w:t>
      </w:r>
      <w:bookmarkEnd w:id="93"/>
    </w:p>
    <w:p w14:paraId="22BDDEE2">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14:paraId="691C48BC">
      <w:pPr>
        <w:pStyle w:val="4"/>
        <w:rPr>
          <w:rFonts w:hint="eastAsia"/>
          <w:color w:val="auto"/>
          <w:highlight w:val="none"/>
        </w:rPr>
      </w:pPr>
      <w:bookmarkStart w:id="94" w:name="_Toc98019270"/>
      <w:r>
        <w:rPr>
          <w:rFonts w:hint="eastAsia"/>
          <w:color w:val="auto"/>
          <w:highlight w:val="none"/>
        </w:rPr>
        <w:t>评标过程的保密性</w:t>
      </w:r>
      <w:bookmarkEnd w:id="94"/>
    </w:p>
    <w:p w14:paraId="7D1F3CD2">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326D2D0A">
      <w:pPr>
        <w:pStyle w:val="4"/>
        <w:rPr>
          <w:rFonts w:hint="eastAsia"/>
          <w:color w:val="auto"/>
          <w:highlight w:val="none"/>
        </w:rPr>
      </w:pPr>
      <w:bookmarkStart w:id="95" w:name="_Toc98019271"/>
      <w:r>
        <w:rPr>
          <w:rFonts w:hint="eastAsia"/>
          <w:color w:val="auto"/>
          <w:highlight w:val="none"/>
        </w:rPr>
        <w:t>评标原则和评标办法</w:t>
      </w:r>
      <w:bookmarkEnd w:id="95"/>
    </w:p>
    <w:p w14:paraId="2165B014">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14:paraId="5520A1C4">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评标办法：本项目的具体评标办法详见第四章的《评标办法》。</w:t>
      </w:r>
    </w:p>
    <w:p w14:paraId="5FEAC660">
      <w:pPr>
        <w:pStyle w:val="4"/>
        <w:ind w:firstLine="420"/>
        <w:rPr>
          <w:rFonts w:hint="eastAsia"/>
          <w:color w:val="auto"/>
          <w:highlight w:val="none"/>
        </w:rPr>
      </w:pPr>
      <w:bookmarkStart w:id="96" w:name="_Toc98019272"/>
      <w:r>
        <w:rPr>
          <w:rFonts w:hint="eastAsia"/>
          <w:color w:val="auto"/>
          <w:highlight w:val="none"/>
        </w:rPr>
        <w:t>评标过程的监控</w:t>
      </w:r>
      <w:bookmarkEnd w:id="96"/>
    </w:p>
    <w:p w14:paraId="4CC93979">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本项目评标过程实行全程录音、录像监控，投标人在评标过程中所进行的试图影响评标结果的不公正活动，可能导致其投标被拒绝。</w:t>
      </w:r>
    </w:p>
    <w:p w14:paraId="5EAEC6AC">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97" w:name="_Toc18132"/>
      <w:bookmarkStart w:id="98" w:name="_Toc98019273"/>
      <w:r>
        <w:rPr>
          <w:rFonts w:hint="eastAsia" w:ascii="微软雅黑" w:hAnsi="微软雅黑" w:eastAsia="微软雅黑" w:cs="微软雅黑"/>
          <w:color w:val="auto"/>
          <w:sz w:val="21"/>
          <w:szCs w:val="21"/>
          <w:highlight w:val="none"/>
        </w:rPr>
        <w:t>定标</w:t>
      </w:r>
      <w:bookmarkEnd w:id="97"/>
      <w:bookmarkEnd w:id="98"/>
    </w:p>
    <w:p w14:paraId="7208AE04">
      <w:pPr>
        <w:pStyle w:val="3"/>
        <w:numPr>
          <w:ilvl w:val="1"/>
          <w:numId w:val="9"/>
        </w:numPr>
        <w:spacing w:before="0" w:after="0" w:line="360" w:lineRule="auto"/>
        <w:ind w:firstLine="420" w:firstLineChars="200"/>
        <w:rPr>
          <w:color w:val="auto"/>
          <w:highlight w:val="none"/>
        </w:rPr>
      </w:pPr>
      <w:bookmarkStart w:id="99" w:name="_Toc98019274"/>
      <w:r>
        <w:rPr>
          <w:rFonts w:hint="eastAsia"/>
          <w:color w:val="auto"/>
          <w:highlight w:val="none"/>
        </w:rPr>
        <w:t>确定中标人。本项目由评标委员会确定中标人。</w:t>
      </w:r>
      <w:bookmarkEnd w:id="99"/>
    </w:p>
    <w:p w14:paraId="5208C11E">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1、招标代理机构在评标结束后2个工作日内将评标结果告知存款单位，同时在发布招标公告的网站上对评标结果进行公告。</w:t>
      </w:r>
    </w:p>
    <w:p w14:paraId="34E58ADE">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2、如有投标人对评标结果提出质疑的，招标人可在质疑处理完毕后确定中标人。</w:t>
      </w:r>
    </w:p>
    <w:p w14:paraId="650D40DC">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公示期3个工作日，公示期后2个工作日内招标代理机构以书面形式发出《中标通知书》</w:t>
      </w:r>
      <w:r>
        <w:rPr>
          <w:rFonts w:hint="eastAsia" w:ascii="微软雅黑" w:hAnsi="微软雅黑" w:eastAsia="微软雅黑"/>
          <w:color w:val="auto"/>
          <w:szCs w:val="21"/>
          <w:highlight w:val="none"/>
        </w:rPr>
        <w:t>。</w:t>
      </w:r>
    </w:p>
    <w:p w14:paraId="487E2C6F">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100" w:name="_Toc7898"/>
      <w:bookmarkStart w:id="101" w:name="_Toc98019275"/>
      <w:r>
        <w:rPr>
          <w:rFonts w:hint="eastAsia" w:ascii="微软雅黑" w:hAnsi="微软雅黑" w:eastAsia="微软雅黑" w:cs="微软雅黑"/>
          <w:color w:val="auto"/>
          <w:sz w:val="21"/>
          <w:szCs w:val="21"/>
          <w:highlight w:val="none"/>
        </w:rPr>
        <w:t>合同授予</w:t>
      </w:r>
      <w:bookmarkEnd w:id="100"/>
      <w:bookmarkEnd w:id="101"/>
    </w:p>
    <w:p w14:paraId="3D55B70E">
      <w:pPr>
        <w:pStyle w:val="3"/>
        <w:numPr>
          <w:ilvl w:val="1"/>
          <w:numId w:val="9"/>
        </w:numPr>
        <w:spacing w:before="0" w:after="0" w:line="360" w:lineRule="auto"/>
        <w:ind w:firstLine="420" w:firstLineChars="200"/>
        <w:rPr>
          <w:b w:val="0"/>
          <w:bCs w:val="0"/>
          <w:color w:val="auto"/>
          <w:highlight w:val="none"/>
        </w:rPr>
      </w:pPr>
      <w:bookmarkStart w:id="102" w:name="_Toc98019277"/>
      <w:r>
        <w:rPr>
          <w:rFonts w:hint="eastAsia"/>
          <w:b w:val="0"/>
          <w:bCs w:val="0"/>
          <w:color w:val="auto"/>
          <w:highlight w:val="none"/>
        </w:rPr>
        <w:t>中标人拖延、拒签合同的,将被取消中标资格。</w:t>
      </w:r>
      <w:bookmarkEnd w:id="102"/>
    </w:p>
    <w:p w14:paraId="1C5C7499">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103" w:name="_Toc371"/>
      <w:bookmarkStart w:id="104" w:name="_Toc98019278"/>
      <w:r>
        <w:rPr>
          <w:rFonts w:hint="eastAsia" w:ascii="微软雅黑" w:hAnsi="微软雅黑" w:eastAsia="微软雅黑" w:cs="微软雅黑"/>
          <w:color w:val="auto"/>
          <w:sz w:val="21"/>
          <w:szCs w:val="21"/>
          <w:highlight w:val="none"/>
        </w:rPr>
        <w:t>招标代理服务费</w:t>
      </w:r>
      <w:bookmarkEnd w:id="103"/>
      <w:bookmarkEnd w:id="104"/>
    </w:p>
    <w:p w14:paraId="21F1C343">
      <w:pPr>
        <w:pStyle w:val="2"/>
        <w:numPr>
          <w:ilvl w:val="0"/>
          <w:numId w:val="25"/>
        </w:numPr>
        <w:spacing w:before="0" w:after="0" w:line="360" w:lineRule="auto"/>
        <w:ind w:left="0" w:firstLine="420" w:firstLineChars="200"/>
        <w:jc w:val="center"/>
        <w:rPr>
          <w:rFonts w:ascii="Arial" w:hAnsi="Arial" w:eastAsia="微软雅黑"/>
          <w:b w:val="0"/>
          <w:bCs w:val="0"/>
          <w:color w:val="auto"/>
          <w:kern w:val="2"/>
          <w:sz w:val="21"/>
          <w:szCs w:val="32"/>
          <w:highlight w:val="none"/>
        </w:rPr>
      </w:pPr>
      <w:bookmarkStart w:id="105" w:name="_Toc8149"/>
      <w:bookmarkStart w:id="106" w:name="_Toc98019279"/>
      <w:r>
        <w:rPr>
          <w:rFonts w:hint="eastAsia" w:ascii="Arial" w:hAnsi="Arial" w:eastAsia="微软雅黑"/>
          <w:b w:val="0"/>
          <w:bCs w:val="0"/>
          <w:color w:val="auto"/>
          <w:kern w:val="2"/>
          <w:sz w:val="21"/>
          <w:szCs w:val="32"/>
          <w:highlight w:val="none"/>
        </w:rPr>
        <w:t>根据“国家发展和改革委员会办公厅《关于招标代理服务收费有关问题的通知》（发改办价格【2003】857号）”规定，招标代理机构向中标人收取招标代理服务费。</w:t>
      </w:r>
      <w:bookmarkEnd w:id="105"/>
      <w:bookmarkEnd w:id="106"/>
    </w:p>
    <w:p w14:paraId="52DCA539">
      <w:pPr>
        <w:pStyle w:val="2"/>
        <w:numPr>
          <w:ilvl w:val="0"/>
          <w:numId w:val="25"/>
        </w:numPr>
        <w:spacing w:before="0" w:after="0" w:line="360" w:lineRule="auto"/>
        <w:ind w:left="0" w:firstLine="420" w:firstLineChars="200"/>
        <w:jc w:val="left"/>
        <w:rPr>
          <w:rFonts w:ascii="Arial" w:hAnsi="Arial" w:eastAsia="微软雅黑"/>
          <w:b w:val="0"/>
          <w:bCs w:val="0"/>
          <w:color w:val="auto"/>
          <w:kern w:val="2"/>
          <w:sz w:val="21"/>
          <w:szCs w:val="32"/>
          <w:highlight w:val="none"/>
          <w:lang w:val="zh-CN"/>
        </w:rPr>
      </w:pPr>
      <w:bookmarkStart w:id="107" w:name="_Toc98019280"/>
      <w:bookmarkStart w:id="108" w:name="_Toc8091"/>
      <w:r>
        <w:rPr>
          <w:rFonts w:hint="eastAsia" w:ascii="Arial" w:hAnsi="Arial" w:eastAsia="微软雅黑"/>
          <w:b w:val="0"/>
          <w:bCs w:val="0"/>
          <w:color w:val="auto"/>
          <w:kern w:val="2"/>
          <w:sz w:val="21"/>
          <w:szCs w:val="32"/>
          <w:highlight w:val="none"/>
        </w:rPr>
        <w:t>中标人应在收取《中标通知书》时向采购代理机构交纳招标代理服务费，服务费的收费标准（按</w:t>
      </w:r>
      <w:r>
        <w:rPr>
          <w:rFonts w:hint="eastAsia" w:ascii="Arial" w:hAnsi="Arial" w:eastAsia="微软雅黑"/>
          <w:b w:val="0"/>
          <w:bCs w:val="0"/>
          <w:color w:val="auto"/>
          <w:kern w:val="2"/>
          <w:sz w:val="21"/>
          <w:szCs w:val="32"/>
          <w:highlight w:val="none"/>
          <w:lang w:val="en-US" w:eastAsia="zh-CN"/>
        </w:rPr>
        <w:t>5</w:t>
      </w:r>
      <w:r>
        <w:rPr>
          <w:rFonts w:hint="eastAsia" w:ascii="Arial" w:hAnsi="Arial" w:eastAsia="微软雅黑"/>
          <w:b w:val="0"/>
          <w:bCs w:val="0"/>
          <w:color w:val="auto"/>
          <w:kern w:val="2"/>
          <w:sz w:val="21"/>
          <w:szCs w:val="32"/>
          <w:highlight w:val="none"/>
        </w:rPr>
        <w:t>000元收取）。</w:t>
      </w:r>
      <w:bookmarkEnd w:id="107"/>
      <w:bookmarkEnd w:id="108"/>
    </w:p>
    <w:p w14:paraId="75BB6B46">
      <w:pPr>
        <w:pStyle w:val="2"/>
        <w:numPr>
          <w:ilvl w:val="0"/>
          <w:numId w:val="25"/>
        </w:numPr>
        <w:spacing w:before="0" w:after="0" w:line="360" w:lineRule="auto"/>
        <w:ind w:left="0" w:firstLine="420" w:firstLineChars="200"/>
        <w:jc w:val="left"/>
        <w:rPr>
          <w:rFonts w:ascii="Arial" w:hAnsi="Arial" w:eastAsia="微软雅黑"/>
          <w:b w:val="0"/>
          <w:bCs w:val="0"/>
          <w:color w:val="auto"/>
          <w:kern w:val="2"/>
          <w:sz w:val="21"/>
          <w:szCs w:val="32"/>
          <w:highlight w:val="none"/>
        </w:rPr>
      </w:pPr>
      <w:bookmarkStart w:id="109" w:name="_Toc18235"/>
      <w:bookmarkStart w:id="110" w:name="_Toc98019281"/>
      <w:r>
        <w:rPr>
          <w:rFonts w:hint="eastAsia" w:ascii="Arial" w:hAnsi="Arial" w:eastAsia="微软雅黑"/>
          <w:b w:val="0"/>
          <w:bCs w:val="0"/>
          <w:color w:val="auto"/>
          <w:kern w:val="2"/>
          <w:sz w:val="21"/>
          <w:szCs w:val="32"/>
          <w:highlight w:val="none"/>
        </w:rPr>
        <w:t>服务费的货币为人民币。</w:t>
      </w:r>
      <w:bookmarkEnd w:id="109"/>
      <w:bookmarkEnd w:id="110"/>
    </w:p>
    <w:p w14:paraId="320F4807">
      <w:pPr>
        <w:pStyle w:val="2"/>
        <w:numPr>
          <w:ilvl w:val="0"/>
          <w:numId w:val="0"/>
        </w:numPr>
        <w:spacing w:before="0" w:after="0" w:line="360" w:lineRule="auto"/>
        <w:ind w:left="420" w:leftChars="200"/>
        <w:jc w:val="left"/>
        <w:rPr>
          <w:rFonts w:ascii="Arial" w:hAnsi="Arial" w:eastAsia="微软雅黑"/>
          <w:b w:val="0"/>
          <w:bCs w:val="0"/>
          <w:color w:val="auto"/>
          <w:kern w:val="2"/>
          <w:sz w:val="21"/>
          <w:szCs w:val="32"/>
          <w:highlight w:val="none"/>
        </w:rPr>
      </w:pPr>
      <w:bookmarkStart w:id="111" w:name="_Toc98019282"/>
      <w:bookmarkStart w:id="112" w:name="_Toc29813"/>
      <w:r>
        <w:rPr>
          <w:rFonts w:hint="eastAsia" w:ascii="Arial" w:hAnsi="Arial" w:eastAsia="微软雅黑"/>
          <w:b w:val="0"/>
          <w:bCs w:val="0"/>
          <w:color w:val="auto"/>
          <w:kern w:val="2"/>
          <w:sz w:val="21"/>
          <w:szCs w:val="32"/>
          <w:highlight w:val="none"/>
        </w:rPr>
        <w:t>服务费支付方式：一次性以银行划账、电汇、汇票或支票的形式支付。</w:t>
      </w:r>
      <w:bookmarkEnd w:id="111"/>
      <w:bookmarkEnd w:id="112"/>
    </w:p>
    <w:p w14:paraId="0F4B0817">
      <w:pPr>
        <w:pStyle w:val="2"/>
        <w:numPr>
          <w:ilvl w:val="0"/>
          <w:numId w:val="0"/>
        </w:numPr>
        <w:spacing w:before="0" w:after="0" w:line="360" w:lineRule="auto"/>
        <w:ind w:left="420" w:leftChars="200"/>
        <w:jc w:val="left"/>
        <w:rPr>
          <w:rFonts w:ascii="Arial" w:hAnsi="Arial" w:eastAsia="微软雅黑"/>
          <w:b w:val="0"/>
          <w:bCs w:val="0"/>
          <w:color w:val="auto"/>
          <w:kern w:val="2"/>
          <w:sz w:val="21"/>
          <w:szCs w:val="32"/>
          <w:highlight w:val="none"/>
        </w:rPr>
      </w:pPr>
      <w:bookmarkStart w:id="113" w:name="_Toc30115"/>
      <w:bookmarkStart w:id="114" w:name="_Toc98019283"/>
      <w:r>
        <w:rPr>
          <w:rFonts w:hint="eastAsia" w:ascii="Arial" w:hAnsi="Arial" w:eastAsia="微软雅黑"/>
          <w:b w:val="0"/>
          <w:bCs w:val="0"/>
          <w:color w:val="auto"/>
          <w:kern w:val="2"/>
          <w:sz w:val="21"/>
          <w:szCs w:val="32"/>
          <w:highlight w:val="none"/>
        </w:rPr>
        <w:t>服务费以银行划账方式按下列要求提交：</w:t>
      </w:r>
      <w:bookmarkEnd w:id="113"/>
      <w:bookmarkEnd w:id="114"/>
    </w:p>
    <w:p w14:paraId="4C822223">
      <w:pPr>
        <w:snapToGrid w:val="0"/>
        <w:spacing w:line="480" w:lineRule="exact"/>
        <w:ind w:left="420" w:leftChars="200"/>
        <w:rPr>
          <w:rFonts w:hint="eastAsia" w:ascii="微软雅黑" w:hAnsi="微软雅黑" w:eastAsia="微软雅黑"/>
          <w:b/>
          <w:color w:val="auto"/>
          <w:szCs w:val="21"/>
          <w:highlight w:val="none"/>
        </w:rPr>
      </w:pPr>
      <w:r>
        <w:rPr>
          <w:rFonts w:hint="eastAsia" w:ascii="微软雅黑" w:hAnsi="微软雅黑" w:eastAsia="微软雅黑"/>
          <w:color w:val="auto"/>
          <w:szCs w:val="21"/>
          <w:highlight w:val="none"/>
        </w:rPr>
        <w:t>收款人：</w:t>
      </w:r>
      <w:r>
        <w:rPr>
          <w:rFonts w:hint="eastAsia" w:ascii="微软雅黑" w:hAnsi="微软雅黑" w:eastAsia="微软雅黑"/>
          <w:b/>
          <w:color w:val="auto"/>
          <w:szCs w:val="21"/>
          <w:highlight w:val="none"/>
        </w:rPr>
        <w:t>嘉兴市千秋工程咨询有限公司</w:t>
      </w:r>
    </w:p>
    <w:p w14:paraId="37647301">
      <w:pPr>
        <w:widowControl/>
        <w:tabs>
          <w:tab w:val="left" w:pos="848"/>
        </w:tabs>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户名：</w:t>
      </w:r>
      <w:r>
        <w:rPr>
          <w:rFonts w:hint="eastAsia" w:ascii="微软雅黑" w:hAnsi="微软雅黑" w:eastAsia="微软雅黑" w:cs="宋体"/>
          <w:bCs/>
          <w:color w:val="auto"/>
          <w:szCs w:val="21"/>
          <w:highlight w:val="none"/>
        </w:rPr>
        <w:t>嘉兴市千秋工程咨询有限公司</w:t>
      </w:r>
    </w:p>
    <w:p w14:paraId="239CC27C">
      <w:pPr>
        <w:widowControl/>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开户银行：</w:t>
      </w:r>
      <w:r>
        <w:rPr>
          <w:rFonts w:hint="eastAsia" w:ascii="微软雅黑" w:hAnsi="微软雅黑" w:eastAsia="微软雅黑"/>
          <w:b/>
          <w:color w:val="auto"/>
          <w:szCs w:val="21"/>
          <w:highlight w:val="none"/>
        </w:rPr>
        <w:t>交通银行嘉兴分行</w:t>
      </w:r>
    </w:p>
    <w:p w14:paraId="4FDDCFB6">
      <w:pPr>
        <w:widowControl/>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账号：</w:t>
      </w:r>
      <w:r>
        <w:rPr>
          <w:rFonts w:hint="eastAsia" w:ascii="微软雅黑" w:hAnsi="微软雅黑" w:eastAsia="微软雅黑"/>
          <w:b/>
          <w:color w:val="auto"/>
          <w:szCs w:val="21"/>
          <w:highlight w:val="none"/>
        </w:rPr>
        <w:t>334601000018170160050</w:t>
      </w:r>
    </w:p>
    <w:p w14:paraId="0B764998">
      <w:pPr>
        <w:pStyle w:val="2"/>
        <w:numPr>
          <w:ilvl w:val="0"/>
          <w:numId w:val="25"/>
        </w:numPr>
        <w:spacing w:before="0" w:after="0" w:line="360" w:lineRule="auto"/>
        <w:ind w:left="0" w:firstLine="420" w:firstLineChars="200"/>
        <w:jc w:val="left"/>
        <w:rPr>
          <w:rFonts w:hint="eastAsia" w:ascii="微软雅黑" w:hAnsi="微软雅黑" w:eastAsia="微软雅黑"/>
          <w:b w:val="0"/>
          <w:color w:val="auto"/>
          <w:sz w:val="21"/>
          <w:szCs w:val="21"/>
          <w:highlight w:val="none"/>
        </w:rPr>
      </w:pPr>
      <w:bookmarkStart w:id="115" w:name="_Toc14322"/>
      <w:bookmarkStart w:id="116" w:name="_Toc98019284"/>
      <w:r>
        <w:rPr>
          <w:rFonts w:hint="eastAsia" w:ascii="微软雅黑" w:hAnsi="微软雅黑" w:eastAsia="微软雅黑"/>
          <w:b w:val="0"/>
          <w:bCs w:val="0"/>
          <w:color w:val="auto"/>
          <w:kern w:val="2"/>
          <w:sz w:val="21"/>
          <w:szCs w:val="21"/>
          <w:highlight w:val="none"/>
        </w:rPr>
        <w:t>服务费支付时间：服务费必须在中标人领取《中标通知书》时一次性付清，如果中标人未能按时交纳服务费，采购代理机构/采购人保留取消其中标资格并追究其法律责任的权利。</w:t>
      </w:r>
      <w:bookmarkEnd w:id="115"/>
      <w:bookmarkEnd w:id="116"/>
      <w:bookmarkStart w:id="117" w:name="_Toc15919"/>
      <w:bookmarkStart w:id="118" w:name="_Toc98019285"/>
    </w:p>
    <w:p w14:paraId="53F202D7">
      <w:pPr>
        <w:pStyle w:val="2"/>
        <w:numPr>
          <w:ilvl w:val="0"/>
          <w:numId w:val="0"/>
        </w:numPr>
        <w:spacing w:before="0" w:after="0" w:line="360" w:lineRule="auto"/>
        <w:ind w:left="420"/>
        <w:jc w:val="left"/>
        <w:rPr>
          <w:rFonts w:hint="eastAsia" w:ascii="微软雅黑" w:hAnsi="微软雅黑" w:eastAsia="微软雅黑"/>
          <w:b w:val="0"/>
          <w:color w:val="auto"/>
          <w:sz w:val="21"/>
          <w:szCs w:val="21"/>
          <w:highlight w:val="none"/>
        </w:rPr>
      </w:pPr>
      <w:r>
        <w:rPr>
          <w:rFonts w:hint="eastAsia" w:ascii="微软雅黑" w:hAnsi="微软雅黑" w:eastAsia="微软雅黑"/>
          <w:b w:val="0"/>
          <w:bCs w:val="0"/>
          <w:color w:val="auto"/>
          <w:kern w:val="2"/>
          <w:sz w:val="21"/>
          <w:szCs w:val="21"/>
          <w:highlight w:val="none"/>
        </w:rPr>
        <w:t>服务费不在投标报价中单列。</w:t>
      </w:r>
      <w:bookmarkEnd w:id="117"/>
      <w:bookmarkEnd w:id="118"/>
    </w:p>
    <w:p w14:paraId="29F28CEF">
      <w:pPr>
        <w:pStyle w:val="36"/>
        <w:numPr>
          <w:ilvl w:val="0"/>
          <w:numId w:val="3"/>
        </w:numPr>
        <w:rPr>
          <w:color w:val="auto"/>
          <w:highlight w:val="none"/>
        </w:rPr>
        <w:sectPr>
          <w:pgSz w:w="11907" w:h="16840"/>
          <w:pgMar w:top="1440" w:right="1797" w:bottom="1440" w:left="1797" w:header="851" w:footer="851" w:gutter="0"/>
          <w:cols w:space="425" w:num="1"/>
          <w:titlePg/>
          <w:docGrid w:type="lines" w:linePitch="312" w:charSpace="0"/>
        </w:sectPr>
      </w:pPr>
      <w:bookmarkStart w:id="119" w:name="_Toc11650185"/>
      <w:bookmarkStart w:id="120" w:name="_Toc9342495"/>
    </w:p>
    <w:p w14:paraId="3FF8190A">
      <w:pPr>
        <w:pStyle w:val="36"/>
        <w:numPr>
          <w:ilvl w:val="0"/>
          <w:numId w:val="3"/>
        </w:numPr>
        <w:rPr>
          <w:color w:val="auto"/>
          <w:highlight w:val="none"/>
        </w:rPr>
      </w:pPr>
      <w:bookmarkStart w:id="121" w:name="_Toc98019286"/>
      <w:r>
        <w:rPr>
          <w:rFonts w:hint="eastAsia"/>
          <w:color w:val="auto"/>
          <w:highlight w:val="none"/>
        </w:rPr>
        <w:t>评标办法及评分标准</w:t>
      </w:r>
      <w:bookmarkEnd w:id="119"/>
      <w:bookmarkEnd w:id="120"/>
      <w:bookmarkEnd w:id="121"/>
    </w:p>
    <w:p w14:paraId="4E64C325">
      <w:pPr>
        <w:pStyle w:val="4"/>
        <w:numPr>
          <w:ilvl w:val="0"/>
          <w:numId w:val="26"/>
        </w:numPr>
        <w:ind w:left="6"/>
        <w:rPr>
          <w:rFonts w:hint="eastAsia"/>
          <w:color w:val="auto"/>
          <w:highlight w:val="none"/>
        </w:rPr>
      </w:pPr>
      <w:bookmarkStart w:id="122" w:name="_Toc98019287"/>
      <w:bookmarkStart w:id="123" w:name="_Toc11650186"/>
      <w:bookmarkStart w:id="124" w:name="_Toc9342496"/>
      <w:r>
        <w:rPr>
          <w:rFonts w:hint="eastAsia"/>
          <w:color w:val="auto"/>
          <w:highlight w:val="none"/>
        </w:rPr>
        <w:t>总则</w:t>
      </w:r>
      <w:bookmarkEnd w:id="122"/>
    </w:p>
    <w:p w14:paraId="0A9F38B0">
      <w:pPr>
        <w:pStyle w:val="62"/>
        <w:snapToGrid w:val="0"/>
        <w:spacing w:line="360" w:lineRule="auto"/>
        <w:ind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s="宋体"/>
          <w:color w:val="auto"/>
          <w:szCs w:val="21"/>
          <w:highlight w:val="none"/>
        </w:rPr>
        <w:t>根据相关法律法规和为落实《</w:t>
      </w:r>
      <w:r>
        <w:rPr>
          <w:rFonts w:hint="eastAsia" w:ascii="微软雅黑" w:hAnsi="微软雅黑" w:eastAsia="微软雅黑" w:cs="宋体"/>
          <w:color w:val="auto"/>
          <w:szCs w:val="21"/>
          <w:highlight w:val="none"/>
        </w:rPr>
        <w:t>嘉兴市秀洲区人民政府办公室</w:t>
      </w:r>
      <w:r>
        <w:rPr>
          <w:rFonts w:hint="eastAsia" w:ascii="微软雅黑" w:hAnsi="微软雅黑" w:eastAsia="微软雅黑" w:cs="宋体"/>
          <w:color w:val="auto"/>
          <w:szCs w:val="21"/>
          <w:highlight w:val="none"/>
        </w:rPr>
        <w:t>印发关于恢复区级预算单位财务管理主体地位和会计自主核算实施方案的通知》（秀洲政办发[2017]44号）文件精神、《嘉兴市秀洲区财政局关于印发第一批恢复财务管理主体地位和自主核算单位有关工作的细化及补充意见》（秀洲财办〔2017〕161号）等有关规定，</w:t>
      </w:r>
      <w:r>
        <w:rPr>
          <w:rFonts w:hint="eastAsia" w:ascii="微软雅黑" w:hAnsi="微软雅黑" w:eastAsia="微软雅黑"/>
          <w:color w:val="auto"/>
          <w:szCs w:val="21"/>
          <w:highlight w:val="none"/>
        </w:rPr>
        <w:t>制定本评分指标与评分规则。</w:t>
      </w:r>
    </w:p>
    <w:p w14:paraId="194E6E0A">
      <w:pPr>
        <w:pStyle w:val="4"/>
        <w:numPr>
          <w:ilvl w:val="0"/>
          <w:numId w:val="26"/>
        </w:numPr>
        <w:ind w:left="425" w:hanging="425"/>
        <w:rPr>
          <w:rFonts w:hint="eastAsia"/>
          <w:color w:val="auto"/>
          <w:highlight w:val="none"/>
        </w:rPr>
      </w:pPr>
      <w:bookmarkStart w:id="125" w:name="_Toc98019288"/>
      <w:bookmarkStart w:id="126" w:name="_Toc170792813"/>
      <w:r>
        <w:rPr>
          <w:rFonts w:hint="eastAsia"/>
          <w:color w:val="auto"/>
          <w:highlight w:val="none"/>
        </w:rPr>
        <w:t>评分内容和标准</w:t>
      </w:r>
      <w:bookmarkEnd w:id="125"/>
    </w:p>
    <w:p w14:paraId="70E02EA7">
      <w:pPr>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评分指标由经营状况指标、服务水平组成。银行经营状况满分</w:t>
      </w:r>
      <w:r>
        <w:rPr>
          <w:rFonts w:hint="eastAsia" w:ascii="微软雅黑" w:hAnsi="微软雅黑" w:eastAsia="微软雅黑" w:cs="仿宋_GB2312"/>
          <w:color w:val="auto"/>
          <w:szCs w:val="21"/>
          <w:highlight w:val="none"/>
          <w:lang w:val="en-US" w:eastAsia="zh-CN"/>
        </w:rPr>
        <w:t>4</w:t>
      </w:r>
      <w:r>
        <w:rPr>
          <w:rFonts w:hint="eastAsia" w:ascii="微软雅黑" w:hAnsi="微软雅黑" w:eastAsia="微软雅黑" w:cs="仿宋_GB2312"/>
          <w:color w:val="auto"/>
          <w:szCs w:val="21"/>
          <w:highlight w:val="none"/>
        </w:rPr>
        <w:t>0分、服务水平1</w:t>
      </w:r>
      <w:r>
        <w:rPr>
          <w:rFonts w:ascii="微软雅黑" w:hAnsi="微软雅黑" w:eastAsia="微软雅黑" w:cs="仿宋_GB2312"/>
          <w:color w:val="auto"/>
          <w:szCs w:val="21"/>
          <w:highlight w:val="none"/>
        </w:rPr>
        <w:t>0</w:t>
      </w:r>
      <w:r>
        <w:rPr>
          <w:rFonts w:hint="eastAsia" w:ascii="微软雅黑" w:hAnsi="微软雅黑" w:eastAsia="微软雅黑" w:cs="仿宋_GB2312"/>
          <w:color w:val="auto"/>
          <w:szCs w:val="21"/>
          <w:highlight w:val="none"/>
        </w:rPr>
        <w:t>分，其他分</w:t>
      </w:r>
      <w:r>
        <w:rPr>
          <w:rFonts w:ascii="微软雅黑" w:hAnsi="微软雅黑" w:eastAsia="微软雅黑" w:cs="仿宋_GB2312"/>
          <w:color w:val="auto"/>
          <w:szCs w:val="21"/>
          <w:highlight w:val="none"/>
        </w:rPr>
        <w:t>50</w:t>
      </w:r>
      <w:r>
        <w:rPr>
          <w:rFonts w:hint="eastAsia" w:ascii="微软雅黑" w:hAnsi="微软雅黑" w:eastAsia="微软雅黑" w:cs="仿宋_GB2312"/>
          <w:color w:val="auto"/>
          <w:szCs w:val="21"/>
          <w:highlight w:val="none"/>
        </w:rPr>
        <w:t>分，合计满分100分。</w:t>
      </w:r>
    </w:p>
    <w:p w14:paraId="49ABDAD1">
      <w:pPr>
        <w:numPr>
          <w:ilvl w:val="0"/>
          <w:numId w:val="27"/>
        </w:numPr>
        <w:spacing w:line="560" w:lineRule="exact"/>
        <w:ind w:firstLine="420" w:firstLineChars="200"/>
        <w:rPr>
          <w:rFonts w:hint="eastAsia" w:ascii="微软雅黑" w:hAnsi="微软雅黑" w:eastAsia="微软雅黑" w:cs="楷体_GB2312"/>
          <w:b/>
          <w:bCs/>
          <w:color w:val="auto"/>
          <w:szCs w:val="21"/>
          <w:highlight w:val="none"/>
        </w:rPr>
      </w:pPr>
      <w:r>
        <w:rPr>
          <w:rFonts w:hint="eastAsia" w:ascii="微软雅黑" w:hAnsi="微软雅黑" w:eastAsia="微软雅黑" w:cs="仿宋_GB2312"/>
          <w:b/>
          <w:bCs/>
          <w:color w:val="auto"/>
          <w:szCs w:val="21"/>
          <w:highlight w:val="none"/>
        </w:rPr>
        <w:t>银行经营状况</w:t>
      </w:r>
      <w:r>
        <w:rPr>
          <w:rFonts w:hint="eastAsia" w:ascii="微软雅黑" w:hAnsi="微软雅黑" w:eastAsia="微软雅黑" w:cs="楷体_GB2312"/>
          <w:b/>
          <w:bCs/>
          <w:color w:val="auto"/>
          <w:szCs w:val="21"/>
          <w:highlight w:val="none"/>
        </w:rPr>
        <w:t>（</w:t>
      </w:r>
      <w:r>
        <w:rPr>
          <w:rFonts w:hint="eastAsia" w:ascii="微软雅黑" w:hAnsi="微软雅黑" w:eastAsia="微软雅黑" w:cs="楷体_GB2312"/>
          <w:b/>
          <w:bCs/>
          <w:color w:val="auto"/>
          <w:szCs w:val="21"/>
          <w:highlight w:val="none"/>
          <w:lang w:val="en-US" w:eastAsia="zh-CN"/>
        </w:rPr>
        <w:t>40</w:t>
      </w:r>
      <w:r>
        <w:rPr>
          <w:rFonts w:hint="eastAsia" w:ascii="微软雅黑" w:hAnsi="微软雅黑" w:eastAsia="微软雅黑" w:cs="楷体_GB2312"/>
          <w:b/>
          <w:bCs/>
          <w:color w:val="auto"/>
          <w:szCs w:val="21"/>
          <w:highlight w:val="none"/>
        </w:rPr>
        <w:t>分）</w:t>
      </w:r>
    </w:p>
    <w:p w14:paraId="3EEDF43C">
      <w:pPr>
        <w:numPr>
          <w:ilvl w:val="0"/>
          <w:numId w:val="28"/>
        </w:numPr>
        <w:spacing w:line="240" w:lineRule="auto"/>
        <w:ind w:left="0" w:leftChars="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活期利率报价（5分）</w:t>
      </w:r>
    </w:p>
    <w:p w14:paraId="53F81527">
      <w:pPr>
        <w:spacing w:line="240" w:lineRule="auto"/>
        <w:ind w:left="0" w:leftChars="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以投标银行利率报价最高的作为基准报价</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rPr>
        <w:t>利率报价得分＝（投标银行利率报价÷基准报价）×5。</w:t>
      </w:r>
    </w:p>
    <w:p w14:paraId="2B068B72">
      <w:pPr>
        <w:numPr>
          <w:ilvl w:val="0"/>
          <w:numId w:val="28"/>
        </w:numPr>
        <w:spacing w:line="240" w:lineRule="auto"/>
        <w:ind w:left="0" w:leftChars="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协定存款（50万以上）利率报价（5分）</w:t>
      </w:r>
    </w:p>
    <w:p w14:paraId="1AD47228">
      <w:pPr>
        <w:spacing w:line="240" w:lineRule="auto"/>
        <w:ind w:left="0" w:leftChars="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以投标银行利率报价最高的作为基准报价利率报价得分＝（投标银行利率报价÷基准报价）×5。</w:t>
      </w:r>
    </w:p>
    <w:p w14:paraId="2AC29DE9">
      <w:pPr>
        <w:numPr>
          <w:ilvl w:val="0"/>
          <w:numId w:val="28"/>
        </w:numPr>
        <w:spacing w:line="240" w:lineRule="auto"/>
        <w:ind w:left="0" w:leftChars="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b/>
          <w:bCs/>
          <w:color w:val="auto"/>
          <w:szCs w:val="21"/>
          <w:highlight w:val="none"/>
        </w:rPr>
        <w:t>内控水平（</w:t>
      </w:r>
      <w:r>
        <w:rPr>
          <w:rFonts w:hint="eastAsia" w:ascii="微软雅黑" w:hAnsi="微软雅黑" w:eastAsia="微软雅黑"/>
          <w:b/>
          <w:bCs/>
          <w:color w:val="auto"/>
          <w:szCs w:val="21"/>
          <w:highlight w:val="none"/>
          <w:lang w:val="en-US" w:eastAsia="zh-CN"/>
        </w:rPr>
        <w:t>10</w:t>
      </w:r>
      <w:r>
        <w:rPr>
          <w:rFonts w:hint="eastAsia" w:ascii="微软雅黑" w:hAnsi="微软雅黑" w:eastAsia="微软雅黑"/>
          <w:b/>
          <w:bCs/>
          <w:color w:val="auto"/>
          <w:szCs w:val="21"/>
          <w:highlight w:val="none"/>
        </w:rPr>
        <w:t>分）。</w:t>
      </w:r>
      <w:r>
        <w:rPr>
          <w:rFonts w:hint="eastAsia" w:ascii="微软雅黑" w:hAnsi="微软雅黑" w:eastAsia="微软雅黑"/>
          <w:color w:val="auto"/>
          <w:szCs w:val="21"/>
          <w:highlight w:val="none"/>
        </w:rPr>
        <w:t>根据人民银行嘉兴市分行上一年度对有效竞标银行综合评价结果进行评分，综合评价为A级的，得</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分；综合评价为B+、B、B-级的，分别得</w:t>
      </w:r>
      <w:r>
        <w:rPr>
          <w:rFonts w:hint="eastAsia" w:ascii="微软雅黑" w:hAnsi="微软雅黑" w:eastAsia="微软雅黑"/>
          <w:color w:val="auto"/>
          <w:szCs w:val="21"/>
          <w:highlight w:val="none"/>
          <w:lang w:val="en-US" w:eastAsia="zh-CN"/>
        </w:rPr>
        <w:t>8</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7</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6</w:t>
      </w:r>
      <w:r>
        <w:rPr>
          <w:rFonts w:hint="eastAsia" w:ascii="微软雅黑" w:hAnsi="微软雅黑" w:eastAsia="微软雅黑"/>
          <w:color w:val="auto"/>
          <w:szCs w:val="21"/>
          <w:highlight w:val="none"/>
        </w:rPr>
        <w:t>分。</w:t>
      </w:r>
    </w:p>
    <w:p w14:paraId="3D63B5F0">
      <w:pPr>
        <w:snapToGrid w:val="0"/>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（该指标数据由中国人民银行嘉兴市分行提供。）</w:t>
      </w:r>
    </w:p>
    <w:p w14:paraId="18475E3E">
      <w:pPr>
        <w:numPr>
          <w:ilvl w:val="0"/>
          <w:numId w:val="28"/>
        </w:numPr>
        <w:spacing w:line="240" w:lineRule="auto"/>
        <w:ind w:left="0" w:leftChars="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b/>
          <w:bCs/>
          <w:color w:val="auto"/>
          <w:szCs w:val="21"/>
          <w:highlight w:val="none"/>
        </w:rPr>
        <w:t>资产质量（</w:t>
      </w:r>
      <w:r>
        <w:rPr>
          <w:rFonts w:hint="eastAsia" w:ascii="微软雅黑" w:hAnsi="微软雅黑" w:eastAsia="微软雅黑"/>
          <w:b/>
          <w:bCs/>
          <w:color w:val="auto"/>
          <w:szCs w:val="21"/>
          <w:highlight w:val="none"/>
          <w:lang w:val="en-US" w:eastAsia="zh-CN"/>
        </w:rPr>
        <w:t>10</w:t>
      </w:r>
      <w:r>
        <w:rPr>
          <w:rFonts w:hint="eastAsia" w:ascii="微软雅黑" w:hAnsi="微软雅黑" w:eastAsia="微软雅黑"/>
          <w:b/>
          <w:bCs/>
          <w:color w:val="auto"/>
          <w:szCs w:val="21"/>
          <w:highlight w:val="none"/>
        </w:rPr>
        <w:t>分）。</w:t>
      </w:r>
      <w:r>
        <w:rPr>
          <w:rFonts w:hint="eastAsia" w:ascii="微软雅黑" w:hAnsi="微软雅黑" w:eastAsia="微软雅黑"/>
          <w:color w:val="auto"/>
          <w:szCs w:val="21"/>
          <w:highlight w:val="none"/>
        </w:rPr>
        <w:t>根据有效竞标银行嘉兴市本外币不良贷款率及不良贷款处置率进行评分。</w:t>
      </w:r>
    </w:p>
    <w:p w14:paraId="1806A697">
      <w:pPr>
        <w:pStyle w:val="62"/>
        <w:numPr>
          <w:ilvl w:val="0"/>
          <w:numId w:val="29"/>
        </w:numPr>
        <w:snapToGrid w:val="0"/>
        <w:spacing w:line="560" w:lineRule="exact"/>
        <w:ind w:left="0" w:firstLine="424" w:firstLineChars="202"/>
        <w:rPr>
          <w:rFonts w:hint="eastAsia" w:ascii="微软雅黑" w:hAnsi="微软雅黑" w:eastAsia="微软雅黑" w:cs="仿宋_GB2312"/>
          <w:b/>
          <w:bCs/>
          <w:color w:val="auto"/>
          <w:szCs w:val="21"/>
          <w:highlight w:val="none"/>
        </w:rPr>
      </w:pPr>
      <w:r>
        <w:rPr>
          <w:rFonts w:hint="eastAsia" w:ascii="微软雅黑" w:hAnsi="微软雅黑" w:eastAsia="微软雅黑" w:cs="仿宋_GB2312"/>
          <w:b/>
          <w:bCs/>
          <w:color w:val="auto"/>
          <w:szCs w:val="21"/>
          <w:highlight w:val="none"/>
        </w:rPr>
        <w:t>不良贷款率(4分)。</w:t>
      </w:r>
    </w:p>
    <w:p w14:paraId="52319C56">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不良贷款率按照有效竞标银行上年度不良贷款率赋分。得分标准为：1.0%及以下得4分；1%以上、1.5%及以下的，得3.5分；1.5%以上、2.0%及以下的，得3分；2.0%以上不得分。</w:t>
      </w:r>
    </w:p>
    <w:p w14:paraId="544772E5">
      <w:pPr>
        <w:pStyle w:val="62"/>
        <w:numPr>
          <w:ilvl w:val="0"/>
          <w:numId w:val="29"/>
        </w:numPr>
        <w:snapToGrid w:val="0"/>
        <w:spacing w:line="560" w:lineRule="exact"/>
        <w:ind w:left="0" w:firstLine="424" w:firstLineChars="202"/>
        <w:rPr>
          <w:rFonts w:hint="eastAsia" w:ascii="微软雅黑" w:hAnsi="微软雅黑" w:eastAsia="微软雅黑" w:cs="仿宋_GB2312"/>
          <w:b/>
          <w:bCs/>
          <w:color w:val="auto"/>
          <w:szCs w:val="21"/>
          <w:highlight w:val="none"/>
        </w:rPr>
      </w:pPr>
      <w:r>
        <w:rPr>
          <w:rFonts w:hint="eastAsia" w:ascii="微软雅黑" w:hAnsi="微软雅黑" w:eastAsia="微软雅黑" w:cs="仿宋_GB2312"/>
          <w:b/>
          <w:bCs/>
          <w:color w:val="auto"/>
          <w:szCs w:val="21"/>
          <w:highlight w:val="none"/>
        </w:rPr>
        <w:t>不良贷款处置率(</w:t>
      </w:r>
      <w:r>
        <w:rPr>
          <w:rFonts w:hint="eastAsia" w:ascii="微软雅黑" w:hAnsi="微软雅黑" w:eastAsia="微软雅黑" w:cs="仿宋_GB2312"/>
          <w:b/>
          <w:bCs/>
          <w:color w:val="auto"/>
          <w:szCs w:val="21"/>
          <w:highlight w:val="none"/>
          <w:lang w:val="en-US" w:eastAsia="zh-CN"/>
        </w:rPr>
        <w:t>6</w:t>
      </w:r>
      <w:r>
        <w:rPr>
          <w:rFonts w:hint="eastAsia" w:ascii="微软雅黑" w:hAnsi="微软雅黑" w:eastAsia="微软雅黑" w:cs="仿宋_GB2312"/>
          <w:b/>
          <w:bCs/>
          <w:color w:val="auto"/>
          <w:szCs w:val="21"/>
          <w:highlight w:val="none"/>
        </w:rPr>
        <w:t>分)。</w:t>
      </w:r>
    </w:p>
    <w:p w14:paraId="540FAB5C">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不良贷款处置率按照有效竞标银行上年度不良贷款处置率赋分。得分标准为：70%以上得</w:t>
      </w:r>
      <w:r>
        <w:rPr>
          <w:rFonts w:hint="eastAsia" w:ascii="微软雅黑" w:hAnsi="微软雅黑" w:eastAsia="微软雅黑" w:cs="仿宋_GB2312"/>
          <w:color w:val="auto"/>
          <w:szCs w:val="21"/>
          <w:highlight w:val="none"/>
          <w:lang w:val="en-US" w:eastAsia="zh-CN"/>
        </w:rPr>
        <w:t>6</w:t>
      </w:r>
      <w:r>
        <w:rPr>
          <w:rFonts w:hint="eastAsia" w:ascii="微软雅黑" w:hAnsi="微软雅黑" w:eastAsia="微软雅黑" w:cs="仿宋_GB2312"/>
          <w:color w:val="auto"/>
          <w:szCs w:val="21"/>
          <w:highlight w:val="none"/>
        </w:rPr>
        <w:t>分；70%及以下、50%以上的，得</w:t>
      </w:r>
      <w:r>
        <w:rPr>
          <w:rFonts w:hint="eastAsia" w:ascii="微软雅黑" w:hAnsi="微软雅黑" w:eastAsia="微软雅黑" w:cs="仿宋_GB2312"/>
          <w:color w:val="auto"/>
          <w:szCs w:val="21"/>
          <w:highlight w:val="none"/>
          <w:lang w:val="en-US" w:eastAsia="zh-CN"/>
        </w:rPr>
        <w:t>5</w:t>
      </w:r>
      <w:r>
        <w:rPr>
          <w:rFonts w:hint="eastAsia" w:ascii="微软雅黑" w:hAnsi="微软雅黑" w:eastAsia="微软雅黑" w:cs="仿宋_GB2312"/>
          <w:color w:val="auto"/>
          <w:szCs w:val="21"/>
          <w:highlight w:val="none"/>
        </w:rPr>
        <w:t>分；50%及以下、40%以上的，得</w:t>
      </w:r>
      <w:r>
        <w:rPr>
          <w:rFonts w:hint="eastAsia" w:ascii="微软雅黑" w:hAnsi="微软雅黑" w:eastAsia="微软雅黑" w:cs="仿宋_GB2312"/>
          <w:color w:val="auto"/>
          <w:szCs w:val="21"/>
          <w:highlight w:val="none"/>
          <w:lang w:val="en-US" w:eastAsia="zh-CN"/>
        </w:rPr>
        <w:t>4</w:t>
      </w:r>
      <w:r>
        <w:rPr>
          <w:rFonts w:hint="eastAsia" w:ascii="微软雅黑" w:hAnsi="微软雅黑" w:eastAsia="微软雅黑" w:cs="仿宋_GB2312"/>
          <w:color w:val="auto"/>
          <w:szCs w:val="21"/>
          <w:highlight w:val="none"/>
        </w:rPr>
        <w:t>分；40%及以下、30%以上的，得</w:t>
      </w:r>
      <w:r>
        <w:rPr>
          <w:rFonts w:hint="eastAsia" w:ascii="微软雅黑" w:hAnsi="微软雅黑" w:eastAsia="微软雅黑" w:cs="仿宋_GB2312"/>
          <w:color w:val="auto"/>
          <w:szCs w:val="21"/>
          <w:highlight w:val="none"/>
          <w:lang w:val="en-US" w:eastAsia="zh-CN"/>
        </w:rPr>
        <w:t>3</w:t>
      </w:r>
      <w:r>
        <w:rPr>
          <w:rFonts w:hint="eastAsia" w:ascii="微软雅黑" w:hAnsi="微软雅黑" w:eastAsia="微软雅黑" w:cs="仿宋_GB2312"/>
          <w:color w:val="auto"/>
          <w:szCs w:val="21"/>
          <w:highlight w:val="none"/>
        </w:rPr>
        <w:t>分；30%及以下不得分。上年度未新发生不良贷款的，不良贷款处置率得8分。</w:t>
      </w:r>
    </w:p>
    <w:p w14:paraId="782DBF09">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（该指标数据由国家金融监督管理总局嘉兴监管分局提供。）</w:t>
      </w:r>
    </w:p>
    <w:p w14:paraId="4A34BE5C">
      <w:pPr>
        <w:adjustRightInd w:val="0"/>
        <w:snapToGrid w:val="0"/>
        <w:spacing w:line="540" w:lineRule="exact"/>
        <w:ind w:firstLine="426"/>
        <w:rPr>
          <w:rFonts w:hint="eastAsia" w:ascii="微软雅黑" w:hAnsi="微软雅黑" w:eastAsia="微软雅黑" w:cs="微软雅黑"/>
          <w:color w:val="auto"/>
          <w:szCs w:val="21"/>
          <w:highlight w:val="none"/>
          <w:shd w:val="clear" w:color="FFFFFF" w:fill="D9D9D9"/>
          <w:lang w:val="en-US" w:eastAsia="zh-CN"/>
        </w:rPr>
      </w:pPr>
      <w:r>
        <w:rPr>
          <w:rFonts w:hint="eastAsia" w:ascii="微软雅黑" w:hAnsi="微软雅黑" w:eastAsia="微软雅黑" w:cs="微软雅黑"/>
          <w:color w:val="auto"/>
          <w:szCs w:val="21"/>
          <w:highlight w:val="none"/>
          <w:shd w:val="clear" w:color="FFFFFF" w:fill="D9D9D9"/>
          <w:lang w:val="en-US" w:eastAsia="zh-CN"/>
        </w:rPr>
        <w:t>注：以上内控水平，不良贷款率、不贷款处置率指标上年度评分指标均指2023年度数据。</w:t>
      </w:r>
    </w:p>
    <w:p w14:paraId="17DFACBA">
      <w:pPr>
        <w:numPr>
          <w:ilvl w:val="0"/>
          <w:numId w:val="28"/>
        </w:numPr>
        <w:spacing w:line="240" w:lineRule="auto"/>
        <w:ind w:left="0" w:leftChars="0" w:firstLine="420" w:firstLineChars="200"/>
        <w:jc w:val="left"/>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rPr>
        <w:t>存款规模</w:t>
      </w:r>
      <w:r>
        <w:rPr>
          <w:rFonts w:hint="eastAsia" w:ascii="微软雅黑" w:hAnsi="微软雅黑" w:eastAsia="微软雅黑"/>
          <w:b/>
          <w:bCs/>
          <w:color w:val="auto"/>
          <w:szCs w:val="21"/>
          <w:highlight w:val="none"/>
          <w:lang w:eastAsia="zh-CN"/>
        </w:rPr>
        <w:t>（</w:t>
      </w:r>
      <w:r>
        <w:rPr>
          <w:rFonts w:hint="eastAsia" w:ascii="微软雅黑" w:hAnsi="微软雅黑" w:eastAsia="微软雅黑"/>
          <w:b/>
          <w:bCs/>
          <w:color w:val="auto"/>
          <w:szCs w:val="21"/>
          <w:highlight w:val="none"/>
          <w:lang w:val="en-US" w:eastAsia="zh-CN"/>
        </w:rPr>
        <w:t>10分）</w:t>
      </w:r>
    </w:p>
    <w:p w14:paraId="575FE717">
      <w:pPr>
        <w:snapToGrid w:val="0"/>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竞标银行</w:t>
      </w:r>
      <w:r>
        <w:rPr>
          <w:rFonts w:hint="eastAsia" w:ascii="微软雅黑" w:hAnsi="微软雅黑" w:eastAsia="微软雅黑" w:cs="仿宋_GB2312"/>
          <w:color w:val="auto"/>
          <w:szCs w:val="21"/>
          <w:highlight w:val="none"/>
        </w:rPr>
        <w:t>20</w:t>
      </w:r>
      <w:r>
        <w:rPr>
          <w:rFonts w:hint="eastAsia" w:ascii="微软雅黑" w:hAnsi="微软雅黑" w:eastAsia="微软雅黑" w:cs="仿宋_GB2312"/>
          <w:color w:val="auto"/>
          <w:szCs w:val="21"/>
          <w:highlight w:val="none"/>
          <w:lang w:val="en-US" w:eastAsia="zh-CN"/>
        </w:rPr>
        <w:t>24</w:t>
      </w:r>
      <w:r>
        <w:rPr>
          <w:rFonts w:hint="eastAsia" w:ascii="微软雅黑" w:hAnsi="微软雅黑" w:eastAsia="微软雅黑" w:cs="仿宋_GB2312"/>
          <w:color w:val="auto"/>
          <w:szCs w:val="21"/>
          <w:highlight w:val="none"/>
        </w:rPr>
        <w:t>年</w:t>
      </w:r>
      <w:r>
        <w:rPr>
          <w:rFonts w:hint="eastAsia" w:ascii="微软雅黑" w:hAnsi="微软雅黑" w:eastAsia="微软雅黑" w:cs="仿宋_GB2312"/>
          <w:color w:val="auto"/>
          <w:szCs w:val="21"/>
          <w:highlight w:val="none"/>
        </w:rPr>
        <w:t>末市级分行存款规模。存款规模每满100亿元，得1分，最高得10分。</w:t>
      </w:r>
    </w:p>
    <w:p w14:paraId="42153197">
      <w:pPr>
        <w:pStyle w:val="62"/>
        <w:spacing w:line="360" w:lineRule="auto"/>
        <w:ind w:firstLine="424" w:firstLineChars="20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证明材料</w:t>
      </w:r>
      <w:r>
        <w:rPr>
          <w:rFonts w:hint="eastAsia" w:ascii="微软雅黑" w:hAnsi="微软雅黑" w:eastAsia="微软雅黑" w:cs="微软雅黑"/>
          <w:color w:val="auto"/>
          <w:szCs w:val="21"/>
          <w:highlight w:val="none"/>
        </w:rPr>
        <w:t>由竞标银行提供资料计分，竞标银行应确保提供的资料真实有效，一经发现有弄虚作假行为，取消该行本期竞标资格。</w:t>
      </w:r>
    </w:p>
    <w:p w14:paraId="4DE5790E">
      <w:pPr>
        <w:numPr>
          <w:ilvl w:val="0"/>
          <w:numId w:val="27"/>
        </w:numPr>
        <w:spacing w:line="560" w:lineRule="exact"/>
        <w:ind w:firstLine="420" w:firstLineChars="200"/>
        <w:rPr>
          <w:rFonts w:hint="eastAsia" w:ascii="微软雅黑" w:hAnsi="微软雅黑" w:eastAsia="微软雅黑" w:cs="仿宋_GB2312"/>
          <w:b/>
          <w:bCs/>
          <w:color w:val="auto"/>
          <w:szCs w:val="21"/>
          <w:highlight w:val="none"/>
        </w:rPr>
      </w:pPr>
      <w:r>
        <w:rPr>
          <w:rFonts w:hint="eastAsia" w:ascii="微软雅黑" w:hAnsi="微软雅黑" w:eastAsia="微软雅黑" w:cs="仿宋_GB2312"/>
          <w:b/>
          <w:bCs/>
          <w:color w:val="auto"/>
          <w:szCs w:val="21"/>
          <w:highlight w:val="none"/>
        </w:rPr>
        <w:t>服务水平指标</w:t>
      </w:r>
      <w:r>
        <w:rPr>
          <w:rFonts w:hint="eastAsia" w:ascii="微软雅黑" w:hAnsi="微软雅黑" w:eastAsia="微软雅黑" w:cs="仿宋_GB2312"/>
          <w:b/>
          <w:bCs/>
          <w:color w:val="auto"/>
          <w:szCs w:val="21"/>
          <w:highlight w:val="none"/>
          <w:lang w:eastAsia="zh-CN"/>
        </w:rPr>
        <w:t>（</w:t>
      </w:r>
      <w:r>
        <w:rPr>
          <w:rFonts w:hint="eastAsia" w:ascii="微软雅黑" w:hAnsi="微软雅黑" w:eastAsia="微软雅黑" w:cs="仿宋_GB2312"/>
          <w:b/>
          <w:bCs/>
          <w:color w:val="auto"/>
          <w:szCs w:val="21"/>
          <w:highlight w:val="none"/>
          <w:lang w:val="en-US" w:eastAsia="zh-CN"/>
        </w:rPr>
        <w:t>10分）</w:t>
      </w:r>
    </w:p>
    <w:p w14:paraId="0561177F">
      <w:pPr>
        <w:numPr>
          <w:ilvl w:val="0"/>
          <w:numId w:val="30"/>
        </w:numPr>
        <w:spacing w:line="560" w:lineRule="exact"/>
        <w:ind w:left="5" w:leftChars="0" w:firstLine="415" w:firstLineChars="0"/>
        <w:rPr>
          <w:rFonts w:hint="eastAsia" w:ascii="微软雅黑" w:hAnsi="微软雅黑" w:eastAsia="微软雅黑" w:cs="楷体_GB2312"/>
          <w:b/>
          <w:bCs/>
          <w:color w:val="auto"/>
          <w:szCs w:val="21"/>
          <w:highlight w:val="none"/>
        </w:rPr>
      </w:pPr>
      <w:r>
        <w:rPr>
          <w:rFonts w:hint="eastAsia" w:ascii="微软雅黑" w:hAnsi="微软雅黑" w:eastAsia="微软雅黑"/>
          <w:b/>
          <w:bCs/>
          <w:color w:val="auto"/>
          <w:szCs w:val="21"/>
          <w:highlight w:val="none"/>
        </w:rPr>
        <w:t>政府工作的支持（5分）</w:t>
      </w:r>
    </w:p>
    <w:p w14:paraId="510CDD0A">
      <w:pPr>
        <w:spacing w:line="240" w:lineRule="auto"/>
        <w:ind w:left="0" w:leftChars="0" w:firstLine="420" w:firstLineChars="200"/>
        <w:jc w:val="lef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竞标银行在</w:t>
      </w:r>
      <w:r>
        <w:rPr>
          <w:rFonts w:hint="eastAsia" w:ascii="微软雅黑" w:hAnsi="微软雅黑" w:eastAsia="微软雅黑"/>
          <w:color w:val="auto"/>
          <w:szCs w:val="21"/>
          <w:highlight w:val="none"/>
        </w:rPr>
        <w:t>202</w:t>
      </w:r>
      <w:r>
        <w:rPr>
          <w:rFonts w:hint="eastAsia" w:ascii="微软雅黑" w:hAnsi="微软雅黑" w:eastAsia="微软雅黑"/>
          <w:color w:val="auto"/>
          <w:szCs w:val="21"/>
          <w:highlight w:val="none"/>
          <w:lang w:val="en-US" w:eastAsia="zh-CN"/>
        </w:rPr>
        <w:t>4</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rPr>
        <w:t>度代理区级国库集中支付、乡镇国库集中支付、非税收入执收、公务卡、政府性融资，每提供1项有效的业绩资料得1分，最高得5分</w:t>
      </w:r>
      <w:r>
        <w:rPr>
          <w:rFonts w:hint="eastAsia" w:ascii="微软雅黑" w:hAnsi="微软雅黑" w:eastAsia="微软雅黑"/>
          <w:color w:val="auto"/>
          <w:szCs w:val="21"/>
          <w:highlight w:val="none"/>
          <w:lang w:eastAsia="zh-CN"/>
        </w:rPr>
        <w:t>。</w:t>
      </w:r>
    </w:p>
    <w:p w14:paraId="385EDA1E">
      <w:pPr>
        <w:numPr>
          <w:ilvl w:val="0"/>
          <w:numId w:val="30"/>
        </w:numPr>
        <w:spacing w:line="560" w:lineRule="exact"/>
        <w:ind w:left="5" w:leftChars="0" w:firstLine="415" w:firstLineChars="0"/>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服务承诺（</w:t>
      </w:r>
      <w:r>
        <w:rPr>
          <w:rFonts w:hint="eastAsia" w:ascii="微软雅黑" w:hAnsi="微软雅黑" w:eastAsia="微软雅黑"/>
          <w:b/>
          <w:bCs/>
          <w:color w:val="auto"/>
          <w:szCs w:val="21"/>
          <w:highlight w:val="none"/>
          <w:lang w:val="en-US" w:eastAsia="zh-CN"/>
        </w:rPr>
        <w:t>5</w:t>
      </w:r>
      <w:r>
        <w:rPr>
          <w:rFonts w:hint="eastAsia" w:ascii="微软雅黑" w:hAnsi="微软雅黑" w:eastAsia="微软雅黑"/>
          <w:b/>
          <w:bCs/>
          <w:color w:val="auto"/>
          <w:szCs w:val="21"/>
          <w:highlight w:val="none"/>
        </w:rPr>
        <w:t>分）</w:t>
      </w:r>
    </w:p>
    <w:p w14:paraId="5AAEDCCC">
      <w:pPr>
        <w:pStyle w:val="62"/>
        <w:numPr>
          <w:ilvl w:val="0"/>
          <w:numId w:val="0"/>
        </w:numPr>
        <w:spacing w:line="360" w:lineRule="auto"/>
        <w:ind w:left="0" w:leftChars="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投标银行根据服务水平和能力对收费优惠、对账服务、专人负责等相关业务作出承诺。评标专家按照投标银行响应文件内容赋分。</w:t>
      </w:r>
    </w:p>
    <w:p w14:paraId="6D3F9158">
      <w:pPr>
        <w:pStyle w:val="62"/>
        <w:spacing w:line="360" w:lineRule="auto"/>
        <w:ind w:firstLine="424" w:firstLineChars="20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注：以上2项证明材料</w:t>
      </w:r>
      <w:r>
        <w:rPr>
          <w:rFonts w:hint="eastAsia" w:ascii="微软雅黑" w:hAnsi="微软雅黑" w:eastAsia="微软雅黑"/>
          <w:color w:val="auto"/>
          <w:szCs w:val="21"/>
          <w:highlight w:val="none"/>
        </w:rPr>
        <w:t>由竞标银行提供资料计分，竞标银行应确保提供的资料真实有效，一经发现有弄虚作假行为，取消该行本期竞标资格。</w:t>
      </w:r>
    </w:p>
    <w:p w14:paraId="19059F64">
      <w:pPr>
        <w:numPr>
          <w:ilvl w:val="0"/>
          <w:numId w:val="27"/>
        </w:numPr>
        <w:spacing w:line="560" w:lineRule="exact"/>
        <w:ind w:firstLine="420" w:firstLineChars="200"/>
        <w:rPr>
          <w:rFonts w:hint="eastAsia" w:ascii="微软雅黑" w:hAnsi="微软雅黑" w:eastAsia="微软雅黑" w:cs="仿宋_GB2312"/>
          <w:b/>
          <w:bCs/>
          <w:color w:val="auto"/>
          <w:szCs w:val="21"/>
          <w:highlight w:val="none"/>
        </w:rPr>
      </w:pPr>
      <w:r>
        <w:rPr>
          <w:rFonts w:hint="eastAsia" w:ascii="微软雅黑" w:hAnsi="微软雅黑" w:eastAsia="微软雅黑" w:cs="仿宋_GB2312"/>
          <w:b/>
          <w:bCs/>
          <w:color w:val="auto"/>
          <w:szCs w:val="21"/>
          <w:highlight w:val="none"/>
        </w:rPr>
        <w:t>对单位衍生服务承诺</w:t>
      </w:r>
      <w:r>
        <w:rPr>
          <w:rFonts w:hint="eastAsia" w:ascii="微软雅黑" w:hAnsi="微软雅黑" w:eastAsia="微软雅黑" w:cs="仿宋_GB2312"/>
          <w:b/>
          <w:bCs/>
          <w:color w:val="auto"/>
          <w:szCs w:val="21"/>
          <w:highlight w:val="none"/>
          <w:lang w:eastAsia="zh-CN"/>
        </w:rPr>
        <w:t>、</w:t>
      </w:r>
      <w:r>
        <w:rPr>
          <w:rFonts w:hint="eastAsia" w:ascii="微软雅黑" w:hAnsi="微软雅黑" w:eastAsia="微软雅黑" w:cs="仿宋_GB2312"/>
          <w:b/>
          <w:bCs/>
          <w:color w:val="auto"/>
          <w:szCs w:val="21"/>
          <w:highlight w:val="none"/>
        </w:rPr>
        <w:t>优惠条件</w:t>
      </w:r>
      <w:r>
        <w:rPr>
          <w:rFonts w:hint="eastAsia" w:ascii="微软雅黑" w:hAnsi="微软雅黑" w:eastAsia="微软雅黑" w:cs="仿宋_GB2312"/>
          <w:b/>
          <w:bCs/>
          <w:color w:val="auto"/>
          <w:szCs w:val="21"/>
          <w:highlight w:val="none"/>
          <w:lang w:val="en-US" w:eastAsia="zh-CN"/>
        </w:rPr>
        <w:t>等其他分（50分）</w:t>
      </w:r>
    </w:p>
    <w:bookmarkEnd w:id="126"/>
    <w:p w14:paraId="44A9BB2B">
      <w:pPr>
        <w:numPr>
          <w:ilvl w:val="0"/>
          <w:numId w:val="31"/>
        </w:numPr>
        <w:spacing w:line="360" w:lineRule="auto"/>
        <w:ind w:left="5" w:leftChars="0" w:firstLine="415" w:firstLineChars="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当事人通过浙江省高级人民法院案款管理系统下的虚拟账号缴纳的</w:t>
      </w:r>
      <w:r>
        <w:rPr>
          <w:rFonts w:hint="eastAsia" w:ascii="微软雅黑" w:hAnsi="微软雅黑" w:eastAsia="微软雅黑" w:cs="微软雅黑"/>
          <w:b/>
          <w:bCs/>
          <w:color w:val="auto"/>
          <w:sz w:val="21"/>
          <w:szCs w:val="21"/>
          <w:highlight w:val="none"/>
          <w:lang w:eastAsia="zh-CN"/>
        </w:rPr>
        <w:t>诉讼费</w:t>
      </w:r>
      <w:r>
        <w:rPr>
          <w:rFonts w:hint="eastAsia" w:ascii="微软雅黑" w:hAnsi="微软雅黑" w:eastAsia="微软雅黑" w:cs="微软雅黑"/>
          <w:b/>
          <w:bCs/>
          <w:color w:val="auto"/>
          <w:sz w:val="21"/>
          <w:szCs w:val="21"/>
          <w:highlight w:val="none"/>
        </w:rPr>
        <w:t>能在银行回单、银行明细交易流水上显示实际缴款人、对应案件的虚拟账号或案号</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当事人在</w:t>
      </w:r>
      <w:r>
        <w:rPr>
          <w:rFonts w:hint="eastAsia" w:ascii="微软雅黑" w:hAnsi="微软雅黑" w:eastAsia="微软雅黑" w:cs="微软雅黑"/>
          <w:b/>
          <w:bCs/>
          <w:color w:val="auto"/>
          <w:sz w:val="21"/>
          <w:szCs w:val="21"/>
          <w:highlight w:val="none"/>
          <w:lang w:eastAsia="zh-CN"/>
        </w:rPr>
        <w:t>中标</w:t>
      </w:r>
      <w:r>
        <w:rPr>
          <w:rFonts w:hint="eastAsia" w:ascii="微软雅黑" w:hAnsi="微软雅黑" w:eastAsia="微软雅黑" w:cs="微软雅黑"/>
          <w:b/>
          <w:bCs/>
          <w:color w:val="auto"/>
          <w:sz w:val="21"/>
          <w:szCs w:val="21"/>
          <w:highlight w:val="none"/>
        </w:rPr>
        <w:t>银行全国</w:t>
      </w:r>
      <w:r>
        <w:rPr>
          <w:rFonts w:hint="eastAsia" w:ascii="微软雅黑" w:hAnsi="微软雅黑" w:eastAsia="微软雅黑" w:cs="微软雅黑"/>
          <w:b/>
          <w:bCs/>
          <w:color w:val="auto"/>
          <w:sz w:val="21"/>
          <w:szCs w:val="21"/>
          <w:highlight w:val="none"/>
          <w:lang w:eastAsia="zh-CN"/>
        </w:rPr>
        <w:t>各个</w:t>
      </w:r>
      <w:r>
        <w:rPr>
          <w:rFonts w:hint="eastAsia" w:ascii="微软雅黑" w:hAnsi="微软雅黑" w:eastAsia="微软雅黑" w:cs="微软雅黑"/>
          <w:b/>
          <w:bCs/>
          <w:color w:val="auto"/>
          <w:sz w:val="21"/>
          <w:szCs w:val="21"/>
          <w:highlight w:val="none"/>
        </w:rPr>
        <w:t>网点以现金形式交纳</w:t>
      </w:r>
      <w:r>
        <w:rPr>
          <w:rFonts w:hint="eastAsia" w:ascii="微软雅黑" w:hAnsi="微软雅黑" w:eastAsia="微软雅黑" w:cs="微软雅黑"/>
          <w:b/>
          <w:bCs/>
          <w:color w:val="auto"/>
          <w:sz w:val="21"/>
          <w:szCs w:val="21"/>
          <w:highlight w:val="none"/>
          <w:lang w:eastAsia="zh-CN"/>
        </w:rPr>
        <w:t>诉讼费</w:t>
      </w:r>
      <w:r>
        <w:rPr>
          <w:rFonts w:hint="eastAsia" w:ascii="微软雅黑" w:hAnsi="微软雅黑" w:eastAsia="微软雅黑" w:cs="微软雅黑"/>
          <w:b/>
          <w:bCs/>
          <w:color w:val="auto"/>
          <w:sz w:val="21"/>
          <w:szCs w:val="21"/>
          <w:highlight w:val="none"/>
        </w:rPr>
        <w:t>款时</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只允许通过虚拟账号交纳，</w:t>
      </w:r>
      <w:r>
        <w:rPr>
          <w:rFonts w:hint="eastAsia" w:ascii="微软雅黑" w:hAnsi="微软雅黑" w:eastAsia="微软雅黑" w:cs="微软雅黑"/>
          <w:b/>
          <w:bCs/>
          <w:color w:val="auto"/>
          <w:sz w:val="21"/>
          <w:szCs w:val="21"/>
          <w:highlight w:val="none"/>
          <w:lang w:eastAsia="zh-CN"/>
        </w:rPr>
        <w:t>杜绝通过</w:t>
      </w:r>
      <w:r>
        <w:rPr>
          <w:rFonts w:hint="eastAsia" w:ascii="微软雅黑" w:hAnsi="微软雅黑" w:eastAsia="微软雅黑" w:cs="微软雅黑"/>
          <w:b/>
          <w:bCs/>
          <w:color w:val="auto"/>
          <w:sz w:val="21"/>
          <w:szCs w:val="21"/>
          <w:highlight w:val="none"/>
        </w:rPr>
        <w:t>主账号交纳</w:t>
      </w:r>
      <w:r>
        <w:rPr>
          <w:rFonts w:hint="eastAsia" w:ascii="微软雅黑" w:hAnsi="微软雅黑" w:eastAsia="微软雅黑" w:cs="微软雅黑"/>
          <w:b/>
          <w:bCs/>
          <w:color w:val="auto"/>
          <w:sz w:val="21"/>
          <w:szCs w:val="21"/>
          <w:highlight w:val="none"/>
          <w:lang w:eastAsia="zh-CN"/>
        </w:rPr>
        <w:t>诉讼费</w:t>
      </w:r>
      <w:r>
        <w:rPr>
          <w:rFonts w:hint="eastAsia" w:ascii="微软雅黑" w:hAnsi="微软雅黑" w:eastAsia="微软雅黑" w:cs="微软雅黑"/>
          <w:b/>
          <w:bCs/>
          <w:color w:val="auto"/>
          <w:sz w:val="21"/>
          <w:szCs w:val="21"/>
          <w:highlight w:val="none"/>
        </w:rPr>
        <w:t>现金，</w:t>
      </w:r>
      <w:r>
        <w:rPr>
          <w:rFonts w:hint="eastAsia" w:ascii="微软雅黑" w:hAnsi="微软雅黑" w:eastAsia="微软雅黑" w:cs="微软雅黑"/>
          <w:b/>
          <w:bCs/>
          <w:color w:val="auto"/>
          <w:sz w:val="21"/>
          <w:szCs w:val="21"/>
          <w:highlight w:val="none"/>
        </w:rPr>
        <w:t>杜绝无缴款人、无案号的不明款项</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4分</w:t>
      </w:r>
      <w:r>
        <w:rPr>
          <w:rFonts w:hint="eastAsia" w:ascii="微软雅黑" w:hAnsi="微软雅黑" w:eastAsia="微软雅黑" w:cs="微软雅黑"/>
          <w:b/>
          <w:bCs/>
          <w:color w:val="auto"/>
          <w:sz w:val="21"/>
          <w:szCs w:val="21"/>
          <w:highlight w:val="none"/>
          <w:lang w:eastAsia="zh-CN"/>
        </w:rPr>
        <w:t>）</w:t>
      </w:r>
    </w:p>
    <w:p w14:paraId="774035CB">
      <w:pPr>
        <w:numPr>
          <w:ilvl w:val="0"/>
          <w:numId w:val="0"/>
        </w:numPr>
        <w:tabs>
          <w:tab w:val="left" w:pos="0"/>
        </w:tabs>
        <w:spacing w:line="360" w:lineRule="auto"/>
        <w:ind w:left="19" w:leftChars="9" w:firstLine="399" w:firstLineChars="19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能在银行回单、银行明细交易流水上显示实际缴款人，得1分；</w:t>
      </w:r>
    </w:p>
    <w:p w14:paraId="4B1F7229">
      <w:pPr>
        <w:numPr>
          <w:ilvl w:val="0"/>
          <w:numId w:val="0"/>
        </w:numPr>
        <w:tabs>
          <w:tab w:val="left" w:pos="0"/>
        </w:tabs>
        <w:spacing w:line="360" w:lineRule="auto"/>
        <w:ind w:left="19" w:leftChars="9" w:firstLine="399" w:firstLineChars="19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能在银行回单上显示对应案件的虚拟账号或案号的，得1分；</w:t>
      </w:r>
    </w:p>
    <w:p w14:paraId="2944D0E9">
      <w:pPr>
        <w:numPr>
          <w:ilvl w:val="0"/>
          <w:numId w:val="0"/>
        </w:numPr>
        <w:tabs>
          <w:tab w:val="left" w:pos="0"/>
        </w:tabs>
        <w:spacing w:line="360" w:lineRule="auto"/>
        <w:ind w:left="19" w:leftChars="9" w:firstLine="399" w:firstLineChars="19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能在银行明细交易流水上显示对应案件的虚拟账号或案号的，再得1分；</w:t>
      </w:r>
    </w:p>
    <w:p w14:paraId="7606EEDF">
      <w:pPr>
        <w:numPr>
          <w:ilvl w:val="0"/>
          <w:numId w:val="0"/>
        </w:numPr>
        <w:tabs>
          <w:tab w:val="left" w:pos="0"/>
        </w:tabs>
        <w:spacing w:line="360" w:lineRule="auto"/>
        <w:ind w:left="19" w:leftChars="9" w:firstLine="399" w:firstLineChars="19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根据银行提供的控制方案优劣程度，能否在开户行以外的全国其他网点有效实现以上功能，得1分。</w:t>
      </w:r>
    </w:p>
    <w:p w14:paraId="18D7FEFD">
      <w:pPr>
        <w:numPr>
          <w:ilvl w:val="0"/>
          <w:numId w:val="0"/>
        </w:numPr>
        <w:spacing w:line="360" w:lineRule="auto"/>
        <w:ind w:firstLine="420" w:firstLineChars="20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证明材料：包括省高院案款系统对应收款（缴费）模块下收费明细截图，须包含案号、缴款人、金额、虚拟账号，若截图过大，允许盖骑缝章的情况下使用多张截图；与省高院案款系统收费明细对应的银行回单、银行明细交易流水等证明材料须是2025年1月1日至本次招标公告发布之日间已发生的银行交易实例，同时盖投标银行公章与提供证明材料法院财务章。</w:t>
      </w:r>
    </w:p>
    <w:p w14:paraId="68A8BE91">
      <w:pPr>
        <w:numPr>
          <w:ilvl w:val="0"/>
          <w:numId w:val="31"/>
        </w:numPr>
        <w:spacing w:line="360" w:lineRule="auto"/>
        <w:ind w:left="5" w:leftChars="0" w:firstLine="415" w:firstLineChars="0"/>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color w:val="auto"/>
          <w:sz w:val="21"/>
          <w:szCs w:val="21"/>
          <w:highlight w:val="none"/>
        </w:rPr>
        <w:t>能使用浙江省高级人民法院法银直联支付系统给当事人退</w:t>
      </w:r>
      <w:r>
        <w:rPr>
          <w:rFonts w:hint="eastAsia" w:ascii="微软雅黑" w:hAnsi="微软雅黑" w:eastAsia="微软雅黑" w:cs="微软雅黑"/>
          <w:b/>
          <w:bCs/>
          <w:color w:val="auto"/>
          <w:sz w:val="21"/>
          <w:szCs w:val="21"/>
          <w:highlight w:val="none"/>
          <w:lang w:eastAsia="zh-CN"/>
        </w:rPr>
        <w:t>费</w:t>
      </w:r>
      <w:r>
        <w:rPr>
          <w:rFonts w:hint="eastAsia" w:ascii="微软雅黑" w:hAnsi="微软雅黑" w:eastAsia="微软雅黑" w:cs="微软雅黑"/>
          <w:b/>
          <w:bCs/>
          <w:color w:val="auto"/>
          <w:sz w:val="21"/>
          <w:szCs w:val="21"/>
          <w:highlight w:val="none"/>
        </w:rPr>
        <w:t>，能在银行回单、银行明细交易流水中显示退</w:t>
      </w:r>
      <w:r>
        <w:rPr>
          <w:rFonts w:hint="eastAsia" w:ascii="微软雅黑" w:hAnsi="微软雅黑" w:eastAsia="微软雅黑" w:cs="微软雅黑"/>
          <w:b/>
          <w:bCs/>
          <w:color w:val="auto"/>
          <w:sz w:val="21"/>
          <w:szCs w:val="21"/>
          <w:highlight w:val="none"/>
          <w:lang w:eastAsia="zh-CN"/>
        </w:rPr>
        <w:t>费</w:t>
      </w:r>
      <w:r>
        <w:rPr>
          <w:rFonts w:hint="eastAsia" w:ascii="微软雅黑" w:hAnsi="微软雅黑" w:eastAsia="微软雅黑" w:cs="微软雅黑"/>
          <w:b/>
          <w:bCs/>
          <w:color w:val="auto"/>
          <w:sz w:val="21"/>
          <w:szCs w:val="21"/>
          <w:highlight w:val="none"/>
        </w:rPr>
        <w:t>案号，方便法院财务对账，方便当事人收款</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4分</w:t>
      </w:r>
      <w:r>
        <w:rPr>
          <w:rFonts w:hint="eastAsia" w:ascii="微软雅黑" w:hAnsi="微软雅黑" w:eastAsia="微软雅黑" w:cs="微软雅黑"/>
          <w:b/>
          <w:bCs/>
          <w:color w:val="auto"/>
          <w:sz w:val="21"/>
          <w:szCs w:val="21"/>
          <w:highlight w:val="none"/>
          <w:lang w:eastAsia="zh-CN"/>
        </w:rPr>
        <w:t>）</w:t>
      </w:r>
    </w:p>
    <w:p w14:paraId="49881299">
      <w:pPr>
        <w:numPr>
          <w:ilvl w:val="0"/>
          <w:numId w:val="0"/>
        </w:numPr>
        <w:spacing w:line="360" w:lineRule="auto"/>
        <w:ind w:firstLine="420" w:firstLineChars="20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能用法银直联支付系统退款，得2分；</w:t>
      </w:r>
    </w:p>
    <w:p w14:paraId="3F53A07D">
      <w:pPr>
        <w:numPr>
          <w:ilvl w:val="0"/>
          <w:numId w:val="0"/>
        </w:numPr>
        <w:spacing w:line="360" w:lineRule="auto"/>
        <w:ind w:firstLine="420" w:firstLineChars="20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能在银行回单中显示退款案号，得1分；</w:t>
      </w:r>
    </w:p>
    <w:p w14:paraId="72D98169">
      <w:pPr>
        <w:numPr>
          <w:ilvl w:val="0"/>
          <w:numId w:val="0"/>
        </w:numPr>
        <w:spacing w:line="360" w:lineRule="auto"/>
        <w:ind w:firstLine="420" w:firstLineChars="20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能在银行明细交易流水中显示退款案号，得1分</w:t>
      </w:r>
    </w:p>
    <w:p w14:paraId="5BC962DC">
      <w:pPr>
        <w:numPr>
          <w:ilvl w:val="0"/>
          <w:numId w:val="0"/>
        </w:numPr>
        <w:spacing w:line="360" w:lineRule="auto"/>
        <w:ind w:firstLine="420" w:firstLineChars="200"/>
        <w:rPr>
          <w:rFonts w:hint="eastAsia" w:ascii="微软雅黑" w:hAnsi="微软雅黑" w:eastAsia="微软雅黑" w:cs="微软雅黑"/>
          <w:color w:val="auto"/>
          <w:sz w:val="21"/>
          <w:szCs w:val="21"/>
          <w:highlight w:val="none"/>
          <w:lang w:val="en-US" w:eastAsia="zh-CN" w:bidi="ar"/>
        </w:rPr>
      </w:pPr>
      <w:r>
        <w:rPr>
          <w:rFonts w:hint="eastAsia" w:ascii="微软雅黑" w:hAnsi="微软雅黑" w:eastAsia="微软雅黑" w:cs="微软雅黑"/>
          <w:b w:val="0"/>
          <w:bCs w:val="0"/>
          <w:color w:val="auto"/>
          <w:sz w:val="21"/>
          <w:szCs w:val="21"/>
          <w:highlight w:val="none"/>
          <w:lang w:val="en-US" w:eastAsia="zh-CN"/>
        </w:rPr>
        <w:t xml:space="preserve">证明材料：包括省高院案款系统对应付款（出账）模块下出账明细截图，须包含案号、金额、领款人账户信息、支付方式，若截图过大，允许盖骑缝章的情况下使用多张截图；与高院案款系统支付明细对应的银行回单、银行明细交易流水等证明材料须是2025年1月1日至本次招标公告发布之日间已发生的银行交易实例，同时盖投标银行公章与提供证明材料法院财务章。  </w:t>
      </w:r>
    </w:p>
    <w:p w14:paraId="41FFAEDF">
      <w:pPr>
        <w:numPr>
          <w:ilvl w:val="0"/>
          <w:numId w:val="31"/>
        </w:numPr>
        <w:spacing w:line="360" w:lineRule="auto"/>
        <w:ind w:left="5" w:leftChars="0" w:firstLine="415" w:firstLineChars="0"/>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color w:val="auto"/>
          <w:sz w:val="21"/>
          <w:szCs w:val="21"/>
          <w:highlight w:val="none"/>
        </w:rPr>
        <w:t>按时送达银行明细交易流水</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承诺每个工作日将前一工作日</w:t>
      </w:r>
      <w:r>
        <w:rPr>
          <w:rFonts w:hint="eastAsia" w:ascii="微软雅黑" w:hAnsi="微软雅黑" w:eastAsia="微软雅黑" w:cs="微软雅黑"/>
          <w:b/>
          <w:bCs/>
          <w:color w:val="auto"/>
          <w:sz w:val="21"/>
          <w:szCs w:val="21"/>
          <w:highlight w:val="none"/>
          <w:lang w:eastAsia="zh-CN"/>
        </w:rPr>
        <w:t>的</w:t>
      </w:r>
      <w:r>
        <w:rPr>
          <w:rFonts w:hint="eastAsia" w:ascii="微软雅黑" w:hAnsi="微软雅黑" w:eastAsia="微软雅黑" w:cs="微软雅黑"/>
          <w:b/>
          <w:bCs/>
          <w:color w:val="auto"/>
          <w:sz w:val="21"/>
          <w:szCs w:val="21"/>
          <w:highlight w:val="none"/>
        </w:rPr>
        <w:t>纸质银行明细交易流水、纸质回单送至嘉兴市秀洲区人民法院</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投标单位承诺书做在投标文件中。（格式自拟）</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4分</w:t>
      </w:r>
      <w:r>
        <w:rPr>
          <w:rFonts w:hint="eastAsia" w:ascii="微软雅黑" w:hAnsi="微软雅黑" w:eastAsia="微软雅黑" w:cs="微软雅黑"/>
          <w:b/>
          <w:bCs/>
          <w:color w:val="auto"/>
          <w:sz w:val="21"/>
          <w:szCs w:val="21"/>
          <w:highlight w:val="none"/>
          <w:lang w:eastAsia="zh-CN"/>
        </w:rPr>
        <w:t>）</w:t>
      </w:r>
    </w:p>
    <w:p w14:paraId="2B9FF859">
      <w:pPr>
        <w:numPr>
          <w:ilvl w:val="0"/>
          <w:numId w:val="31"/>
        </w:numPr>
        <w:spacing w:line="360" w:lineRule="auto"/>
        <w:ind w:left="5" w:leftChars="0" w:firstLine="415" w:firstLineChars="0"/>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color w:val="auto"/>
          <w:sz w:val="21"/>
          <w:szCs w:val="21"/>
          <w:highlight w:val="none"/>
        </w:rPr>
        <w:t>对电汇、账户、POS机、企业网银、个性化信息系统等使用费用能全部免费的</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投标单位承诺书做在投标文件中。（格式自拟）</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1分</w:t>
      </w:r>
      <w:r>
        <w:rPr>
          <w:rFonts w:hint="eastAsia" w:ascii="微软雅黑" w:hAnsi="微软雅黑" w:eastAsia="微软雅黑" w:cs="微软雅黑"/>
          <w:b/>
          <w:bCs/>
          <w:color w:val="auto"/>
          <w:sz w:val="21"/>
          <w:szCs w:val="21"/>
          <w:highlight w:val="none"/>
          <w:lang w:eastAsia="zh-CN"/>
        </w:rPr>
        <w:t>）</w:t>
      </w:r>
    </w:p>
    <w:p w14:paraId="38DF7A38">
      <w:pPr>
        <w:numPr>
          <w:ilvl w:val="0"/>
          <w:numId w:val="31"/>
        </w:numPr>
        <w:spacing w:line="360" w:lineRule="auto"/>
        <w:ind w:left="5" w:leftChars="0" w:firstLine="415" w:firstLineChars="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投标人的服务网点距账户使用单位办公地点（嘉兴市秀洲区人民法院）交通距离最近的得5分，第二名得3分，第三名得1分；（提供导航地图距离截图复印件做在投标文件中）</w:t>
      </w:r>
    </w:p>
    <w:p w14:paraId="6475D8E7">
      <w:pPr>
        <w:numPr>
          <w:ilvl w:val="0"/>
          <w:numId w:val="31"/>
        </w:numPr>
        <w:spacing w:line="360" w:lineRule="auto"/>
        <w:ind w:left="5" w:leftChars="0" w:firstLine="415" w:firstLineChars="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rPr>
        <w:t>承诺派驻</w:t>
      </w:r>
      <w:r>
        <w:rPr>
          <w:rFonts w:hint="eastAsia" w:ascii="微软雅黑" w:hAnsi="微软雅黑" w:eastAsia="微软雅黑" w:cs="微软雅黑"/>
          <w:b/>
          <w:bCs/>
          <w:color w:val="auto"/>
          <w:sz w:val="21"/>
          <w:szCs w:val="21"/>
          <w:highlight w:val="none"/>
          <w:lang w:val="en-US" w:eastAsia="zh-CN"/>
        </w:rPr>
        <w:t>三</w:t>
      </w:r>
      <w:r>
        <w:rPr>
          <w:rFonts w:hint="eastAsia" w:ascii="微软雅黑" w:hAnsi="微软雅黑" w:eastAsia="微软雅黑" w:cs="微软雅黑"/>
          <w:b/>
          <w:bCs/>
          <w:color w:val="auto"/>
          <w:sz w:val="21"/>
          <w:szCs w:val="21"/>
          <w:highlight w:val="none"/>
        </w:rPr>
        <w:t>名银行工作人员</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原派驻人员除外）</w:t>
      </w:r>
      <w:r>
        <w:rPr>
          <w:rFonts w:hint="eastAsia" w:ascii="微软雅黑" w:hAnsi="微软雅黑" w:eastAsia="微软雅黑" w:cs="微软雅黑"/>
          <w:b/>
          <w:bCs/>
          <w:color w:val="auto"/>
          <w:sz w:val="21"/>
          <w:szCs w:val="21"/>
          <w:highlight w:val="none"/>
        </w:rPr>
        <w:t>进行</w:t>
      </w:r>
      <w:r>
        <w:rPr>
          <w:rFonts w:hint="eastAsia" w:ascii="微软雅黑" w:hAnsi="微软雅黑" w:eastAsia="微软雅黑" w:cs="微软雅黑"/>
          <w:b/>
          <w:bCs/>
          <w:color w:val="auto"/>
          <w:sz w:val="21"/>
          <w:szCs w:val="21"/>
          <w:highlight w:val="none"/>
          <w:lang w:eastAsia="zh-CN"/>
        </w:rPr>
        <w:t>诉讼费</w:t>
      </w:r>
      <w:r>
        <w:rPr>
          <w:rFonts w:hint="eastAsia" w:ascii="微软雅黑" w:hAnsi="微软雅黑" w:eastAsia="微软雅黑" w:cs="微软雅黑"/>
          <w:b/>
          <w:bCs/>
          <w:color w:val="auto"/>
          <w:sz w:val="21"/>
          <w:szCs w:val="21"/>
          <w:highlight w:val="none"/>
        </w:rPr>
        <w:t>收款及相关财务工作</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投标单位承诺书做在投标文件中。（格式自拟）</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8分）</w:t>
      </w:r>
    </w:p>
    <w:p w14:paraId="5356967F">
      <w:pPr>
        <w:numPr>
          <w:ilvl w:val="0"/>
          <w:numId w:val="31"/>
        </w:numPr>
        <w:spacing w:line="360" w:lineRule="auto"/>
        <w:ind w:left="5" w:leftChars="0" w:firstLine="415" w:firstLineChars="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对招标单位投入支持（20分）</w:t>
      </w:r>
    </w:p>
    <w:p w14:paraId="51662885">
      <w:pPr>
        <w:numPr>
          <w:ilvl w:val="0"/>
          <w:numId w:val="0"/>
        </w:numPr>
        <w:spacing w:line="360" w:lineRule="auto"/>
        <w:ind w:firstLine="420" w:firstLineChars="20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承诺对招标单位的软、硬件提升及项目合作，支持招标单位业务发展并予以投入，根据投入力度，第一名得20分，第二名得15分，第三名得10分，第四名及以后名次均不得分；投标单位承诺书做在投标文件中。（格式自拟）</w:t>
      </w:r>
    </w:p>
    <w:p w14:paraId="6BD73EA6">
      <w:pPr>
        <w:numPr>
          <w:ilvl w:val="0"/>
          <w:numId w:val="31"/>
        </w:numPr>
        <w:spacing w:line="360" w:lineRule="auto"/>
        <w:ind w:left="5" w:leftChars="0" w:firstLine="415" w:firstLineChars="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开设子账户能力（</w:t>
      </w:r>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color w:val="auto"/>
          <w:sz w:val="21"/>
          <w:szCs w:val="21"/>
          <w:highlight w:val="none"/>
        </w:rPr>
        <w:t>分）</w:t>
      </w:r>
    </w:p>
    <w:p w14:paraId="64BBE4D9">
      <w:pPr>
        <w:numPr>
          <w:ilvl w:val="0"/>
          <w:numId w:val="0"/>
        </w:numPr>
        <w:spacing w:line="360" w:lineRule="auto"/>
        <w:ind w:firstLine="420" w:firstLineChars="200"/>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rPr>
        <w:t>竞标银行有开设子账户能力得</w:t>
      </w:r>
      <w:r>
        <w:rPr>
          <w:rFonts w:hint="eastAsia" w:ascii="微软雅黑" w:hAnsi="微软雅黑" w:eastAsia="微软雅黑" w:cs="微软雅黑"/>
          <w:b w:val="0"/>
          <w:bCs w:val="0"/>
          <w:color w:val="auto"/>
          <w:sz w:val="21"/>
          <w:szCs w:val="21"/>
          <w:highlight w:val="none"/>
          <w:lang w:val="en-US" w:eastAsia="zh-CN"/>
        </w:rPr>
        <w:t>2</w:t>
      </w:r>
      <w:r>
        <w:rPr>
          <w:rFonts w:hint="eastAsia" w:ascii="微软雅黑" w:hAnsi="微软雅黑" w:eastAsia="微软雅黑" w:cs="微软雅黑"/>
          <w:b w:val="0"/>
          <w:bCs w:val="0"/>
          <w:color w:val="auto"/>
          <w:sz w:val="21"/>
          <w:szCs w:val="21"/>
          <w:highlight w:val="none"/>
        </w:rPr>
        <w:t>分</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lang w:val="en-US" w:eastAsia="zh-CN"/>
        </w:rPr>
        <w:t>投标单位承诺书做在投标文件中。（格式自拟）</w:t>
      </w:r>
    </w:p>
    <w:p w14:paraId="69F626F6">
      <w:pPr>
        <w:numPr>
          <w:ilvl w:val="0"/>
          <w:numId w:val="31"/>
        </w:numPr>
        <w:spacing w:line="360" w:lineRule="auto"/>
        <w:ind w:left="5" w:leftChars="0" w:firstLine="415" w:firstLineChars="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预算管理一体化系统支持（2分）</w:t>
      </w:r>
    </w:p>
    <w:p w14:paraId="744304BB">
      <w:pPr>
        <w:numPr>
          <w:ilvl w:val="0"/>
          <w:numId w:val="0"/>
        </w:numPr>
        <w:spacing w:line="360" w:lineRule="auto"/>
        <w:ind w:firstLine="420" w:firstLineChars="200"/>
        <w:rPr>
          <w:rFonts w:hint="eastAsia" w:ascii="微软雅黑" w:hAnsi="微软雅黑" w:eastAsia="微软雅黑" w:cs="微软雅黑"/>
          <w:b w:val="0"/>
          <w:bCs w:val="0"/>
          <w:color w:val="auto"/>
          <w:sz w:val="21"/>
          <w:szCs w:val="21"/>
          <w:highlight w:val="none"/>
          <w:lang w:val="en-US" w:eastAsia="zh-CN" w:bidi="ar"/>
        </w:rPr>
      </w:pPr>
      <w:r>
        <w:rPr>
          <w:rFonts w:hint="eastAsia" w:ascii="微软雅黑" w:hAnsi="微软雅黑" w:eastAsia="微软雅黑" w:cs="微软雅黑"/>
          <w:b w:val="0"/>
          <w:bCs w:val="0"/>
          <w:color w:val="auto"/>
          <w:sz w:val="21"/>
          <w:szCs w:val="21"/>
          <w:highlight w:val="none"/>
          <w:lang w:val="en-US" w:eastAsia="zh-CN"/>
        </w:rPr>
        <w:t xml:space="preserve">竞标银行支持预算管理一体化系统的，得2分。竞标银行自行提供证明材料，做在投标文件中。  </w:t>
      </w:r>
    </w:p>
    <w:p w14:paraId="6A6558FF">
      <w:pPr>
        <w:pStyle w:val="4"/>
        <w:numPr>
          <w:ilvl w:val="0"/>
          <w:numId w:val="26"/>
        </w:numPr>
        <w:ind w:left="425" w:hanging="425"/>
        <w:rPr>
          <w:rFonts w:hint="eastAsia"/>
          <w:color w:val="auto"/>
          <w:highlight w:val="none"/>
        </w:rPr>
      </w:pPr>
      <w:r>
        <w:rPr>
          <w:rFonts w:hint="eastAsia"/>
          <w:color w:val="auto"/>
          <w:highlight w:val="none"/>
        </w:rPr>
        <w:t>中标办法</w:t>
      </w:r>
    </w:p>
    <w:p w14:paraId="4D142A91">
      <w:pPr>
        <w:spacing w:line="360" w:lineRule="auto"/>
        <w:ind w:firstLine="420" w:firstLineChars="200"/>
        <w:rPr>
          <w:rFonts w:hint="eastAsia" w:ascii="微软雅黑" w:hAnsi="微软雅黑" w:eastAsia="微软雅黑"/>
          <w:b w:val="0"/>
          <w:bCs/>
          <w:color w:val="auto"/>
          <w:szCs w:val="21"/>
          <w:highlight w:val="none"/>
        </w:rPr>
      </w:pPr>
      <w:r>
        <w:rPr>
          <w:rFonts w:hint="eastAsia" w:ascii="微软雅黑" w:hAnsi="微软雅黑" w:eastAsia="微软雅黑"/>
          <w:b w:val="0"/>
          <w:bCs/>
          <w:color w:val="auto"/>
          <w:szCs w:val="21"/>
          <w:highlight w:val="none"/>
        </w:rPr>
        <w:t>投标银行对数据的真实性负责，若投标银行提供虚假数据的，一经核实，取消本期投标资格。</w:t>
      </w:r>
      <w:r>
        <w:rPr>
          <w:rFonts w:hint="eastAsia" w:ascii="微软雅黑" w:hAnsi="微软雅黑" w:eastAsia="微软雅黑" w:cs="微软雅黑"/>
          <w:b w:val="0"/>
          <w:bCs/>
          <w:color w:val="auto"/>
          <w:szCs w:val="21"/>
          <w:highlight w:val="none"/>
        </w:rPr>
        <w:t>中标供应商拒绝与采购人签订合同的或取消中标资格的，确定下一候选供应商为中标供应商，也可以重新开展采购活动。</w:t>
      </w:r>
    </w:p>
    <w:p w14:paraId="4B2DCC25">
      <w:pPr>
        <w:pStyle w:val="36"/>
        <w:outlineLvl w:val="9"/>
        <w:rPr>
          <w:rFonts w:hint="eastAsia" w:ascii="微软雅黑" w:hAnsi="微软雅黑" w:cs="黑体"/>
          <w:b w:val="0"/>
          <w:bCs/>
          <w:color w:val="auto"/>
          <w:sz w:val="21"/>
          <w:szCs w:val="21"/>
          <w:highlight w:val="none"/>
        </w:rPr>
        <w:sectPr>
          <w:pgSz w:w="11907" w:h="16840"/>
          <w:pgMar w:top="1440" w:right="1797" w:bottom="1440" w:left="1597" w:header="851" w:footer="851" w:gutter="0"/>
          <w:cols w:space="425" w:num="1"/>
          <w:titlePg/>
          <w:docGrid w:type="lines" w:linePitch="312" w:charSpace="0"/>
        </w:sectPr>
      </w:pPr>
    </w:p>
    <w:p w14:paraId="58FD7AEA">
      <w:pPr>
        <w:pStyle w:val="36"/>
        <w:rPr>
          <w:color w:val="auto"/>
          <w:highlight w:val="none"/>
        </w:rPr>
      </w:pPr>
      <w:bookmarkStart w:id="127" w:name="_Toc98019294"/>
      <w:r>
        <w:rPr>
          <w:rFonts w:hint="eastAsia"/>
          <w:color w:val="auto"/>
          <w:highlight w:val="none"/>
        </w:rPr>
        <w:t>第五章协议主要条款</w:t>
      </w:r>
      <w:bookmarkEnd w:id="123"/>
      <w:bookmarkEnd w:id="124"/>
      <w:bookmarkEnd w:id="127"/>
    </w:p>
    <w:p w14:paraId="79296186">
      <w:pPr>
        <w:spacing w:line="360" w:lineRule="auto"/>
        <w:jc w:val="center"/>
        <w:rPr>
          <w:rFonts w:hint="eastAsia" w:ascii="微软雅黑" w:hAnsi="微软雅黑" w:eastAsia="微软雅黑" w:cs="宋体"/>
          <w:b/>
          <w:color w:val="auto"/>
          <w:szCs w:val="21"/>
          <w:highlight w:val="none"/>
        </w:rPr>
      </w:pPr>
      <w:bookmarkStart w:id="128" w:name="_Toc11650188"/>
      <w:r>
        <w:rPr>
          <w:rFonts w:hint="eastAsia" w:ascii="微软雅黑" w:hAnsi="微软雅黑" w:eastAsia="微软雅黑" w:cs="宋体"/>
          <w:b/>
          <w:color w:val="auto"/>
          <w:szCs w:val="21"/>
          <w:highlight w:val="none"/>
        </w:rPr>
        <w:t>（本协议书为样稿，最终稿由双方协商后确定）</w:t>
      </w:r>
    </w:p>
    <w:p w14:paraId="438F4824">
      <w:pPr>
        <w:snapToGrid w:val="0"/>
        <w:spacing w:line="360" w:lineRule="auto"/>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甲方： </w:t>
      </w:r>
    </w:p>
    <w:p w14:paraId="6ACF6DA9">
      <w:pPr>
        <w:snapToGrid w:val="0"/>
        <w:spacing w:line="360" w:lineRule="auto"/>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乙方： </w:t>
      </w:r>
    </w:p>
    <w:p w14:paraId="32AECB68">
      <w:pPr>
        <w:autoSpaceDE w:val="0"/>
        <w:autoSpaceDN w:val="0"/>
        <w:adjustRightInd w:val="0"/>
        <w:spacing w:line="360" w:lineRule="auto"/>
        <w:ind w:firstLine="420" w:firstLineChars="200"/>
        <w:jc w:val="left"/>
        <w:rPr>
          <w:rFonts w:hint="eastAsia" w:ascii="微软雅黑" w:hAnsi="微软雅黑" w:eastAsia="微软雅黑" w:cs="宋体"/>
          <w:color w:val="auto"/>
          <w:szCs w:val="21"/>
          <w:highlight w:val="none"/>
          <w:u w:val="single"/>
        </w:rPr>
      </w:pPr>
      <w:r>
        <w:rPr>
          <w:rFonts w:hint="eastAsia" w:ascii="微软雅黑" w:hAnsi="微软雅黑" w:eastAsia="微软雅黑"/>
          <w:color w:val="auto"/>
          <w:szCs w:val="18"/>
          <w:highlight w:val="none"/>
          <w:lang w:eastAsia="zh-CN"/>
        </w:rPr>
        <w:t>嘉兴市秀洲区人民法院资金帐户招标项目</w:t>
      </w:r>
      <w:r>
        <w:rPr>
          <w:rFonts w:hint="eastAsia" w:ascii="微软雅黑" w:hAnsi="微软雅黑" w:eastAsia="微软雅黑" w:cs="宋体"/>
          <w:color w:val="auto"/>
          <w:kern w:val="0"/>
          <w:szCs w:val="21"/>
          <w:highlight w:val="none"/>
        </w:rPr>
        <w:t>（项目编号：＿＿＿＿＿）以＿＿＿＿＿招标方式实施了招标活动。根据相关法律法规的规定，甲、乙双方同意签署本合同，并共同遵守。该项目相应的招标文件、投标文件和成交通知书为本合同组成部分。</w:t>
      </w:r>
    </w:p>
    <w:p w14:paraId="76BE148B">
      <w:pPr>
        <w:snapToGrid w:val="0"/>
        <w:spacing w:line="360" w:lineRule="auto"/>
        <w:ind w:firstLine="411" w:firstLineChars="196"/>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一、总则</w:t>
      </w:r>
    </w:p>
    <w:p w14:paraId="75270870">
      <w:pPr>
        <w:autoSpaceDE w:val="0"/>
        <w:autoSpaceDN w:val="0"/>
        <w:adjustRightIn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第一条  根据《中华人民共和国</w:t>
      </w:r>
      <w:r>
        <w:rPr>
          <w:rFonts w:hint="eastAsia" w:ascii="微软雅黑" w:hAnsi="微软雅黑" w:eastAsia="微软雅黑" w:cs="宋体"/>
          <w:color w:val="auto"/>
          <w:szCs w:val="21"/>
          <w:highlight w:val="none"/>
          <w:lang w:eastAsia="zh-CN"/>
        </w:rPr>
        <w:t>民法典</w:t>
      </w:r>
      <w:r>
        <w:rPr>
          <w:rFonts w:hint="eastAsia" w:ascii="微软雅黑" w:hAnsi="微软雅黑" w:eastAsia="微软雅黑" w:cs="宋体"/>
          <w:color w:val="auto"/>
          <w:szCs w:val="21"/>
          <w:highlight w:val="none"/>
        </w:rPr>
        <w:t>》，经甲、乙双方平等协商，签订本协议。</w:t>
      </w:r>
    </w:p>
    <w:p w14:paraId="757B98E9">
      <w:pPr>
        <w:autoSpaceDE w:val="0"/>
        <w:autoSpaceDN w:val="0"/>
        <w:adjustRightIn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第二条  </w:t>
      </w:r>
      <w:r>
        <w:rPr>
          <w:rFonts w:hint="eastAsia" w:ascii="微软雅黑" w:hAnsi="微软雅黑" w:eastAsia="微软雅黑"/>
          <w:color w:val="auto"/>
          <w:szCs w:val="18"/>
          <w:highlight w:val="none"/>
          <w:lang w:eastAsia="zh-CN"/>
        </w:rPr>
        <w:t>嘉兴市秀洲区人民法院资金帐户招标项目</w:t>
      </w:r>
      <w:r>
        <w:rPr>
          <w:rFonts w:hint="eastAsia" w:ascii="微软雅黑" w:hAnsi="微软雅黑" w:eastAsia="微软雅黑" w:cs="宋体"/>
          <w:color w:val="auto"/>
          <w:szCs w:val="21"/>
          <w:highlight w:val="none"/>
        </w:rPr>
        <w:t>通过公开招标方式择优确定开户银行。</w:t>
      </w:r>
    </w:p>
    <w:p w14:paraId="21A615F6">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二、甲方权利与义务</w:t>
      </w:r>
    </w:p>
    <w:p w14:paraId="7BA546D2">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（一）甲方权利主要包括：</w:t>
      </w:r>
    </w:p>
    <w:p w14:paraId="0E9AD8EF">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1、在乙方处办理开户手续；</w:t>
      </w:r>
    </w:p>
    <w:p w14:paraId="6580F900">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2、要求乙方提供存款证明；</w:t>
      </w:r>
    </w:p>
    <w:p w14:paraId="1FDD6D56">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3、对乙方资金存款业务实施监督管理。</w:t>
      </w:r>
    </w:p>
    <w:p w14:paraId="0CB84B25">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（二）甲方的义务主要包括：</w:t>
      </w:r>
    </w:p>
    <w:p w14:paraId="1527882F">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1、划拨存款资金；</w:t>
      </w:r>
    </w:p>
    <w:p w14:paraId="28A04054">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三、乙方权利与义务</w:t>
      </w:r>
    </w:p>
    <w:p w14:paraId="26D09469">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（一）乙方权利主要包括</w:t>
      </w:r>
    </w:p>
    <w:p w14:paraId="2ADA34F8">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1、按规定办理甲方开户手续</w:t>
      </w:r>
    </w:p>
    <w:p w14:paraId="102EEA1C">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（二）乙方义务主要包括</w:t>
      </w:r>
    </w:p>
    <w:p w14:paraId="72D7E9BE">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1、按规定为甲方预留印鉴、办理帐户信息备案手续；</w:t>
      </w:r>
    </w:p>
    <w:p w14:paraId="602F195B">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2、向甲方提供存款证明；</w:t>
      </w:r>
    </w:p>
    <w:p w14:paraId="09EC914D">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3、存款到期及时足额缴清甲方存款利息；</w:t>
      </w:r>
    </w:p>
    <w:p w14:paraId="538EF743">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4、确保甲方资金存款在乙方存续期间的资金安全；</w:t>
      </w:r>
    </w:p>
    <w:p w14:paraId="2EB09956">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5、接受甲方及有关方对资金存款业务的监督管理。</w:t>
      </w:r>
    </w:p>
    <w:p w14:paraId="47F74378">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四、乙方对本项目的服务承诺及优惠条件</w:t>
      </w:r>
    </w:p>
    <w:p w14:paraId="73E43A84">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乙方必须严格按照以下承诺内容执行。</w:t>
      </w:r>
    </w:p>
    <w:p w14:paraId="15A5D7B0">
      <w:pPr>
        <w:spacing w:line="360" w:lineRule="auto"/>
        <w:ind w:firstLine="525" w:firstLineChars="250"/>
        <w:jc w:val="left"/>
        <w:rPr>
          <w:rFonts w:hint="eastAsia" w:ascii="微软雅黑" w:hAnsi="微软雅黑" w:eastAsia="微软雅黑" w:cs="宋体"/>
          <w:color w:val="auto"/>
          <w:szCs w:val="21"/>
          <w:highlight w:val="none"/>
          <w:u w:val="single"/>
        </w:rPr>
      </w:pPr>
      <w:r>
        <w:rPr>
          <w:rFonts w:hint="eastAsia" w:ascii="微软雅黑" w:hAnsi="微软雅黑" w:eastAsia="微软雅黑" w:cs="宋体"/>
          <w:color w:val="auto"/>
          <w:szCs w:val="21"/>
          <w:highlight w:val="none"/>
        </w:rPr>
        <w:t>服务承诺及优惠条件：</w:t>
      </w:r>
      <w:r>
        <w:rPr>
          <w:rFonts w:hint="eastAsia" w:ascii="微软雅黑" w:hAnsi="微软雅黑" w:eastAsia="微软雅黑" w:cs="宋体"/>
          <w:color w:val="auto"/>
          <w:szCs w:val="21"/>
          <w:highlight w:val="none"/>
          <w:u w:val="single"/>
        </w:rPr>
        <w:t xml:space="preserve">    （按投标是的服务承诺及优惠条件填写）  </w:t>
      </w:r>
    </w:p>
    <w:p w14:paraId="165026A0">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五、违约责任</w:t>
      </w:r>
    </w:p>
    <w:p w14:paraId="1BE677A2">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除发生不可抗力外，违约责任按以下条款执行：</w:t>
      </w:r>
    </w:p>
    <w:p w14:paraId="73883B78">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1、乙方未及时向甲方缴清到期存款本息的，应以当期资金存款利率的两倍折成日利率，按日向甲方支付违约金；</w:t>
      </w:r>
    </w:p>
    <w:p w14:paraId="4C5E5E95">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2、乙方有下列情形之一的，甲方有权提前收回存款，并取消乙方在以后各期的竞争性存放投标资格：</w:t>
      </w:r>
    </w:p>
    <w:p w14:paraId="5B5F5ADC">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2.1、</w:t>
      </w:r>
      <w:r>
        <w:rPr>
          <w:rFonts w:hint="eastAsia" w:ascii="微软雅黑" w:hAnsi="微软雅黑" w:eastAsia="微软雅黑" w:cs="宋体"/>
          <w:snapToGrid w:val="0"/>
          <w:color w:val="auto"/>
          <w:spacing w:val="-8"/>
          <w:szCs w:val="21"/>
          <w:highlight w:val="none"/>
        </w:rPr>
        <w:t>出现资金安全事故和重大违法违规情况或财务恶化情况</w:t>
      </w:r>
      <w:r>
        <w:rPr>
          <w:rFonts w:hint="eastAsia" w:ascii="微软雅黑" w:hAnsi="微软雅黑" w:eastAsia="微软雅黑" w:cs="宋体"/>
          <w:color w:val="auto"/>
          <w:szCs w:val="21"/>
          <w:highlight w:val="none"/>
        </w:rPr>
        <w:t>；</w:t>
      </w:r>
    </w:p>
    <w:p w14:paraId="742D96DD">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2.2、</w:t>
      </w:r>
      <w:r>
        <w:rPr>
          <w:rFonts w:hint="eastAsia" w:ascii="微软雅黑" w:hAnsi="微软雅黑" w:eastAsia="微软雅黑" w:cs="宋体"/>
          <w:snapToGrid w:val="0"/>
          <w:color w:val="auto"/>
          <w:szCs w:val="21"/>
          <w:highlight w:val="none"/>
        </w:rPr>
        <w:t>监管评级降低，监管部门认为存在较大运营风险的</w:t>
      </w:r>
      <w:r>
        <w:rPr>
          <w:rFonts w:hint="eastAsia" w:ascii="微软雅黑" w:hAnsi="微软雅黑" w:eastAsia="微软雅黑" w:cs="宋体"/>
          <w:color w:val="auto"/>
          <w:szCs w:val="21"/>
          <w:highlight w:val="none"/>
        </w:rPr>
        <w:t>；</w:t>
      </w:r>
    </w:p>
    <w:p w14:paraId="1401A089">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2.3、</w:t>
      </w:r>
      <w:r>
        <w:rPr>
          <w:rFonts w:hint="eastAsia" w:ascii="微软雅黑" w:hAnsi="微软雅黑" w:eastAsia="微软雅黑" w:cs="宋体"/>
          <w:snapToGrid w:val="0"/>
          <w:color w:val="auto"/>
          <w:szCs w:val="21"/>
          <w:highlight w:val="none"/>
        </w:rPr>
        <w:t>存在严重不正当竞标的</w:t>
      </w:r>
      <w:r>
        <w:rPr>
          <w:rFonts w:hint="eastAsia" w:ascii="微软雅黑" w:hAnsi="微软雅黑" w:eastAsia="微软雅黑" w:cs="宋体"/>
          <w:color w:val="auto"/>
          <w:szCs w:val="21"/>
          <w:highlight w:val="none"/>
        </w:rPr>
        <w:t>；</w:t>
      </w:r>
    </w:p>
    <w:p w14:paraId="1D78722D">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2.4、</w:t>
      </w:r>
      <w:r>
        <w:rPr>
          <w:rFonts w:hint="eastAsia" w:ascii="微软雅黑" w:hAnsi="微软雅黑" w:eastAsia="微软雅黑" w:cs="宋体"/>
          <w:snapToGrid w:val="0"/>
          <w:color w:val="auto"/>
          <w:szCs w:val="21"/>
          <w:highlight w:val="none"/>
        </w:rPr>
        <w:t>没有按照中标协议承诺履行相应的责任和义务的</w:t>
      </w:r>
      <w:r>
        <w:rPr>
          <w:rFonts w:hint="eastAsia" w:ascii="微软雅黑" w:hAnsi="微软雅黑" w:eastAsia="微软雅黑" w:cs="宋体"/>
          <w:color w:val="auto"/>
          <w:szCs w:val="21"/>
          <w:highlight w:val="none"/>
        </w:rPr>
        <w:t>；</w:t>
      </w:r>
    </w:p>
    <w:p w14:paraId="30C0E9FC">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2.5、</w:t>
      </w:r>
      <w:r>
        <w:rPr>
          <w:rFonts w:hint="eastAsia" w:ascii="微软雅黑" w:hAnsi="微软雅黑" w:eastAsia="微软雅黑" w:cs="宋体"/>
          <w:snapToGrid w:val="0"/>
          <w:color w:val="auto"/>
          <w:szCs w:val="21"/>
          <w:highlight w:val="none"/>
        </w:rPr>
        <w:t>不能按规定将到期存款本息足额缴入单位账户的</w:t>
      </w:r>
      <w:r>
        <w:rPr>
          <w:rFonts w:hint="eastAsia" w:ascii="微软雅黑" w:hAnsi="微软雅黑" w:eastAsia="微软雅黑" w:cs="宋体"/>
          <w:color w:val="auto"/>
          <w:szCs w:val="21"/>
          <w:highlight w:val="none"/>
        </w:rPr>
        <w:t>；</w:t>
      </w:r>
    </w:p>
    <w:p w14:paraId="73DD46E1">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2.6、</w:t>
      </w:r>
      <w:r>
        <w:rPr>
          <w:rFonts w:hint="eastAsia" w:ascii="微软雅黑" w:hAnsi="微软雅黑" w:eastAsia="微软雅黑" w:cs="宋体"/>
          <w:snapToGrid w:val="0"/>
          <w:color w:val="auto"/>
          <w:szCs w:val="21"/>
          <w:highlight w:val="none"/>
        </w:rPr>
        <w:t>其他妨碍资金安全行为的</w:t>
      </w:r>
      <w:r>
        <w:rPr>
          <w:rFonts w:hint="eastAsia" w:ascii="微软雅黑" w:hAnsi="微软雅黑" w:eastAsia="微软雅黑" w:cs="宋体"/>
          <w:color w:val="auto"/>
          <w:szCs w:val="21"/>
          <w:highlight w:val="none"/>
        </w:rPr>
        <w:t>。</w:t>
      </w:r>
    </w:p>
    <w:p w14:paraId="0AF519E1">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六、提前支取：</w:t>
      </w:r>
    </w:p>
    <w:p w14:paraId="77EE9531">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经与乙方协商，甲方有权在到期日前提前支取存款，甲方至少在工作日前通知乙方，提前支取金额按支取时国家有关利率政策规定计付利息，存续金额仍按原起息日、期限及存款利率计付利息。</w:t>
      </w:r>
    </w:p>
    <w:p w14:paraId="16DE6B72">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七、 本合同未尽事宜，经甲、乙双方协商一致，订立补充协议。</w:t>
      </w:r>
    </w:p>
    <w:p w14:paraId="6DCCA497">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补充协议为本合同不可分割的部分，具有同等法律效力。</w:t>
      </w:r>
    </w:p>
    <w:p w14:paraId="5ED32D30">
      <w:pPr>
        <w:spacing w:line="360" w:lineRule="auto"/>
        <w:ind w:firstLine="525" w:firstLineChars="25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八、 本合同一式四份，甲方执二份，乙方执二份，经双方代表签字、盖章后即生效。</w:t>
      </w:r>
    </w:p>
    <w:p w14:paraId="66797FD9">
      <w:pPr>
        <w:snapToGrid w:val="0"/>
        <w:spacing w:line="360" w:lineRule="auto"/>
        <w:jc w:val="left"/>
        <w:rPr>
          <w:rFonts w:hint="eastAsia" w:ascii="微软雅黑" w:hAnsi="微软雅黑" w:eastAsia="微软雅黑" w:cs="宋体"/>
          <w:color w:val="auto"/>
          <w:szCs w:val="21"/>
          <w:highlight w:val="none"/>
        </w:rPr>
      </w:pPr>
    </w:p>
    <w:p w14:paraId="5E2A99DF">
      <w:pPr>
        <w:snapToGrid w:val="0"/>
        <w:spacing w:line="360" w:lineRule="auto"/>
        <w:jc w:val="left"/>
        <w:rPr>
          <w:rFonts w:hint="eastAsia" w:ascii="微软雅黑" w:hAnsi="微软雅黑" w:eastAsia="微软雅黑" w:cs="宋体"/>
          <w:color w:val="auto"/>
          <w:szCs w:val="21"/>
          <w:highlight w:val="none"/>
        </w:rPr>
      </w:pPr>
    </w:p>
    <w:p w14:paraId="235DEB63">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 xml:space="preserve">甲方：                                 乙方：      </w:t>
      </w:r>
    </w:p>
    <w:p w14:paraId="651BF39A">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代表：                                 代表：</w:t>
      </w:r>
    </w:p>
    <w:p w14:paraId="7C5D5573">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邮编：                                 邮编：</w:t>
      </w:r>
    </w:p>
    <w:p w14:paraId="23A41C4F">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电话                                   电话：</w:t>
      </w:r>
    </w:p>
    <w:p w14:paraId="69DEBC2B">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传真：                                 传真：</w:t>
      </w:r>
    </w:p>
    <w:p w14:paraId="20E5A3AD">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地址:                                   地址:</w:t>
      </w:r>
    </w:p>
    <w:p w14:paraId="24C4E676">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帐号：                                 帐号：</w:t>
      </w:r>
    </w:p>
    <w:p w14:paraId="30CA02B4">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开户行：                               开户行：</w:t>
      </w:r>
    </w:p>
    <w:p w14:paraId="50D671F4">
      <w:pPr>
        <w:snapToGrid w:val="0"/>
        <w:spacing w:line="360" w:lineRule="auto"/>
        <w:ind w:firstLine="420" w:firstLineChars="200"/>
        <w:jc w:val="left"/>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年  月  日                           年  月  日</w:t>
      </w:r>
    </w:p>
    <w:p w14:paraId="279E6CFA">
      <w:pPr>
        <w:snapToGrid w:val="0"/>
        <w:spacing w:line="360" w:lineRule="auto"/>
        <w:ind w:firstLine="420" w:firstLineChars="200"/>
        <w:jc w:val="left"/>
        <w:rPr>
          <w:rFonts w:hint="eastAsia" w:ascii="微软雅黑" w:hAnsi="微软雅黑" w:eastAsia="微软雅黑" w:cs="宋体"/>
          <w:color w:val="auto"/>
          <w:szCs w:val="21"/>
          <w:highlight w:val="none"/>
        </w:rPr>
      </w:pPr>
    </w:p>
    <w:p w14:paraId="4E426BC8">
      <w:pPr>
        <w:spacing w:line="540" w:lineRule="exact"/>
        <w:jc w:val="center"/>
        <w:rPr>
          <w:rFonts w:hint="eastAsia" w:ascii="微软雅黑" w:hAnsi="微软雅黑" w:eastAsia="微软雅黑" w:cs="方正小标宋简体"/>
          <w:b/>
          <w:bCs/>
          <w:color w:val="auto"/>
          <w:szCs w:val="21"/>
          <w:highlight w:val="none"/>
        </w:rPr>
        <w:sectPr>
          <w:pgSz w:w="11907" w:h="16840"/>
          <w:pgMar w:top="1440" w:right="1797" w:bottom="1440" w:left="1797" w:header="851" w:footer="851" w:gutter="0"/>
          <w:cols w:space="425" w:num="1"/>
          <w:titlePg/>
          <w:docGrid w:type="lines" w:linePitch="312" w:charSpace="0"/>
        </w:sectPr>
      </w:pPr>
    </w:p>
    <w:p w14:paraId="1613679C">
      <w:pPr>
        <w:spacing w:line="540" w:lineRule="exact"/>
        <w:jc w:val="center"/>
        <w:rPr>
          <w:rFonts w:hint="eastAsia" w:ascii="微软雅黑" w:hAnsi="微软雅黑" w:eastAsia="微软雅黑" w:cs="方正小标宋简体"/>
          <w:b/>
          <w:bCs/>
          <w:color w:val="auto"/>
          <w:szCs w:val="21"/>
          <w:highlight w:val="none"/>
        </w:rPr>
      </w:pPr>
      <w:r>
        <w:rPr>
          <w:rFonts w:hint="eastAsia" w:ascii="微软雅黑" w:hAnsi="微软雅黑" w:eastAsia="微软雅黑" w:cs="方正小标宋简体"/>
          <w:b/>
          <w:bCs/>
          <w:color w:val="auto"/>
          <w:szCs w:val="21"/>
          <w:highlight w:val="none"/>
        </w:rPr>
        <w:t>廉政承诺书</w:t>
      </w:r>
    </w:p>
    <w:p w14:paraId="017A7F27">
      <w:pPr>
        <w:spacing w:line="540" w:lineRule="exact"/>
        <w:jc w:val="center"/>
        <w:rPr>
          <w:rFonts w:hint="eastAsia" w:ascii="微软雅黑" w:hAnsi="微软雅黑" w:eastAsia="微软雅黑" w:cs="仿宋_GB2312"/>
          <w:color w:val="auto"/>
          <w:szCs w:val="21"/>
          <w:highlight w:val="none"/>
        </w:rPr>
      </w:pPr>
    </w:p>
    <w:p w14:paraId="536CA67A">
      <w:pPr>
        <w:topLinePunct/>
        <w:spacing w:line="560" w:lineRule="exact"/>
        <w:rPr>
          <w:rFonts w:hint="eastAsia" w:ascii="微软雅黑" w:hAnsi="微软雅黑" w:eastAsia="微软雅黑"/>
          <w:color w:val="auto"/>
          <w:highlight w:val="none"/>
        </w:rPr>
      </w:pPr>
      <w:r>
        <w:rPr>
          <w:rFonts w:hint="eastAsia" w:ascii="微软雅黑" w:hAnsi="微软雅黑" w:eastAsia="微软雅黑"/>
          <w:color w:val="auto"/>
          <w:highlight w:val="none"/>
        </w:rPr>
        <w:t>部门（单位）：</w:t>
      </w:r>
    </w:p>
    <w:p w14:paraId="0A3B6FB7">
      <w:pPr>
        <w:topLinePunct/>
        <w:spacing w:line="560" w:lineRule="exact"/>
        <w:ind w:firstLine="420" w:firstLineChars="200"/>
        <w:rPr>
          <w:rFonts w:hint="eastAsia" w:ascii="微软雅黑" w:hAnsi="微软雅黑" w:eastAsia="微软雅黑"/>
          <w:color w:val="auto"/>
          <w:highlight w:val="none"/>
        </w:rPr>
      </w:pPr>
      <w:r>
        <w:rPr>
          <w:rFonts w:hint="eastAsia" w:ascii="微软雅黑" w:hAnsi="微软雅黑" w:eastAsia="微软雅黑"/>
          <w:color w:val="auto"/>
          <w:highlight w:val="none"/>
        </w:rPr>
        <w:t>根据《秀洲区区级财政部门和行政事业单位资金竞争性存放管理办法》（秀洲财执库〔2018〕239号）相关规定，现就本行参加贵单位</w:t>
      </w:r>
      <w:r>
        <w:rPr>
          <w:rFonts w:hint="eastAsia" w:ascii="微软雅黑" w:hAnsi="微软雅黑" w:eastAsia="微软雅黑" w:cs="宋体"/>
          <w:b/>
          <w:color w:val="auto"/>
          <w:szCs w:val="21"/>
          <w:highlight w:val="none"/>
          <w:lang w:eastAsia="zh-CN"/>
        </w:rPr>
        <w:t>嘉兴市秀洲区人民法院资金帐户招标项目</w:t>
      </w:r>
      <w:r>
        <w:rPr>
          <w:rFonts w:hint="eastAsia" w:ascii="微软雅黑" w:hAnsi="微软雅黑" w:eastAsia="微软雅黑"/>
          <w:color w:val="auto"/>
          <w:highlight w:val="none"/>
        </w:rPr>
        <w:t>作出如下承诺：</w:t>
      </w:r>
    </w:p>
    <w:p w14:paraId="253972CF">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1</w:t>
      </w:r>
      <w:r>
        <w:rPr>
          <w:rFonts w:hint="eastAsia" w:ascii="微软雅黑" w:hAnsi="微软雅黑" w:eastAsia="微软雅黑"/>
          <w:color w:val="auto"/>
          <w:highlight w:val="none"/>
        </w:rPr>
        <w:t>、不向贵部门（单位）负责资金存放管理的领导及相关人员进行利益输送；</w:t>
      </w:r>
    </w:p>
    <w:p w14:paraId="27F632F0">
      <w:pPr>
        <w:topLinePunct/>
        <w:spacing w:line="560" w:lineRule="exact"/>
        <w:ind w:firstLine="420" w:firstLineChars="200"/>
        <w:rPr>
          <w:rFonts w:hint="eastAsia" w:ascii="微软雅黑" w:hAnsi="微软雅黑" w:eastAsia="微软雅黑"/>
          <w:color w:val="auto"/>
          <w:highlight w:val="none"/>
        </w:rPr>
      </w:pPr>
      <w:r>
        <w:rPr>
          <w:rFonts w:ascii="微软雅黑" w:hAnsi="微软雅黑" w:eastAsia="微软雅黑"/>
          <w:color w:val="auto"/>
          <w:highlight w:val="none"/>
        </w:rPr>
        <w:t>2</w:t>
      </w:r>
      <w:r>
        <w:rPr>
          <w:rFonts w:hint="eastAsia" w:ascii="微软雅黑" w:hAnsi="微软雅黑" w:eastAsia="微软雅黑"/>
          <w:color w:val="auto"/>
          <w:highlight w:val="none"/>
        </w:rPr>
        <w:t>、不将资金存放与贵部门（单位）负责资金存放管理的领导及相关人员在本行的配偶、子女及其配偶和其他直接利益相关人员的业绩、收入、晋升等利益挂钩；</w:t>
      </w:r>
    </w:p>
    <w:p w14:paraId="2B0CDC75">
      <w:pPr>
        <w:topLinePunct/>
        <w:spacing w:line="560" w:lineRule="exact"/>
        <w:ind w:firstLine="420" w:firstLineChars="200"/>
        <w:rPr>
          <w:rFonts w:hint="eastAsia" w:ascii="微软雅黑" w:hAnsi="微软雅黑" w:eastAsia="微软雅黑"/>
          <w:color w:val="auto"/>
          <w:highlight w:val="none"/>
        </w:rPr>
      </w:pPr>
      <w:r>
        <w:rPr>
          <w:rFonts w:ascii="微软雅黑" w:hAnsi="微软雅黑" w:eastAsia="微软雅黑"/>
          <w:color w:val="auto"/>
          <w:highlight w:val="none"/>
        </w:rPr>
        <w:t>3</w:t>
      </w:r>
      <w:r>
        <w:rPr>
          <w:rFonts w:hint="eastAsia" w:ascii="微软雅黑" w:hAnsi="微软雅黑" w:eastAsia="微软雅黑"/>
          <w:color w:val="auto"/>
          <w:highlight w:val="none"/>
        </w:rPr>
        <w:t>、各主管部门自行组织或委托招标代理机构组织实施资金竞争性存放的，严格执行利益回避制度，贵部门（单位）负责资金竞争性存放相关人员的配偶、子女及其配偶和其他直接利益相关人员为本行工作人员的，不参与资金竞争性存放工作；</w:t>
      </w:r>
    </w:p>
    <w:p w14:paraId="277241FB">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4</w:t>
      </w:r>
      <w:r>
        <w:rPr>
          <w:rFonts w:hint="eastAsia" w:ascii="微软雅黑" w:hAnsi="微软雅黑" w:eastAsia="微软雅黑"/>
          <w:color w:val="auto"/>
          <w:highlight w:val="none"/>
        </w:rPr>
        <w:t>、不发生除上述行为之外的其他任何利益输送行为。</w:t>
      </w:r>
    </w:p>
    <w:p w14:paraId="655A0CFA">
      <w:pPr>
        <w:topLinePunct/>
        <w:spacing w:line="560" w:lineRule="exact"/>
        <w:ind w:firstLine="630"/>
        <w:rPr>
          <w:rFonts w:hint="eastAsia" w:ascii="微软雅黑" w:hAnsi="微软雅黑" w:eastAsia="微软雅黑"/>
          <w:color w:val="auto"/>
          <w:highlight w:val="none"/>
        </w:rPr>
      </w:pPr>
      <w:r>
        <w:rPr>
          <w:rFonts w:hint="eastAsia" w:ascii="微软雅黑" w:hAnsi="微软雅黑" w:eastAsia="微软雅黑"/>
          <w:color w:val="auto"/>
          <w:highlight w:val="none"/>
        </w:rPr>
        <w:t>未遵守以上承诺的，本行自愿接受财政部门通报和处理，承担相应的一切后果。</w:t>
      </w:r>
    </w:p>
    <w:p w14:paraId="4AB0C802">
      <w:pPr>
        <w:topLinePunct/>
        <w:spacing w:line="560" w:lineRule="exact"/>
        <w:ind w:firstLine="630"/>
        <w:rPr>
          <w:rFonts w:hint="eastAsia" w:ascii="微软雅黑" w:hAnsi="微软雅黑" w:eastAsia="微软雅黑"/>
          <w:color w:val="auto"/>
          <w:highlight w:val="none"/>
        </w:rPr>
      </w:pPr>
    </w:p>
    <w:p w14:paraId="7AF5D1DC">
      <w:pPr>
        <w:topLinePunct/>
        <w:spacing w:line="560" w:lineRule="exact"/>
        <w:ind w:firstLine="630"/>
        <w:rPr>
          <w:rFonts w:hint="eastAsia" w:ascii="微软雅黑" w:hAnsi="微软雅黑" w:eastAsia="微软雅黑"/>
          <w:color w:val="auto"/>
          <w:highlight w:val="none"/>
        </w:rPr>
      </w:pPr>
    </w:p>
    <w:p w14:paraId="4380DCA8">
      <w:pPr>
        <w:topLinePunct/>
        <w:spacing w:line="560" w:lineRule="exact"/>
        <w:jc w:val="right"/>
        <w:rPr>
          <w:rFonts w:hint="eastAsia" w:ascii="微软雅黑" w:hAnsi="微软雅黑" w:eastAsia="微软雅黑"/>
          <w:color w:val="auto"/>
          <w:highlight w:val="none"/>
        </w:rPr>
      </w:pPr>
      <w:r>
        <w:rPr>
          <w:rFonts w:hint="eastAsia" w:ascii="微软雅黑" w:hAnsi="微软雅黑" w:eastAsia="微软雅黑"/>
          <w:color w:val="auto"/>
          <w:highlight w:val="none"/>
        </w:rPr>
        <w:t>银行（公章）</w:t>
      </w:r>
    </w:p>
    <w:p w14:paraId="419DFD10">
      <w:pPr>
        <w:pStyle w:val="36"/>
        <w:jc w:val="right"/>
        <w:outlineLvl w:val="9"/>
        <w:rPr>
          <w:b w:val="0"/>
          <w:color w:val="auto"/>
          <w:sz w:val="21"/>
          <w:szCs w:val="21"/>
          <w:highlight w:val="none"/>
        </w:rPr>
      </w:pPr>
      <w:r>
        <w:rPr>
          <w:rFonts w:hint="eastAsia" w:ascii="微软雅黑" w:hAnsi="微软雅黑"/>
          <w:b w:val="0"/>
          <w:color w:val="auto"/>
          <w:sz w:val="21"/>
          <w:szCs w:val="21"/>
          <w:highlight w:val="none"/>
        </w:rPr>
        <w:t xml:space="preserve">年 </w:t>
      </w:r>
      <w:r>
        <w:rPr>
          <w:rFonts w:ascii="微软雅黑" w:hAnsi="微软雅黑"/>
          <w:b w:val="0"/>
          <w:color w:val="auto"/>
          <w:sz w:val="21"/>
          <w:szCs w:val="21"/>
          <w:highlight w:val="none"/>
        </w:rPr>
        <w:t xml:space="preserve">  </w:t>
      </w:r>
      <w:r>
        <w:rPr>
          <w:rFonts w:hint="eastAsia" w:ascii="微软雅黑" w:hAnsi="微软雅黑"/>
          <w:b w:val="0"/>
          <w:color w:val="auto"/>
          <w:sz w:val="21"/>
          <w:szCs w:val="21"/>
          <w:highlight w:val="none"/>
        </w:rPr>
        <w:t xml:space="preserve">月 </w:t>
      </w:r>
      <w:r>
        <w:rPr>
          <w:rFonts w:ascii="微软雅黑" w:hAnsi="微软雅黑"/>
          <w:b w:val="0"/>
          <w:color w:val="auto"/>
          <w:sz w:val="21"/>
          <w:szCs w:val="21"/>
          <w:highlight w:val="none"/>
        </w:rPr>
        <w:t xml:space="preserve">  </w:t>
      </w:r>
      <w:r>
        <w:rPr>
          <w:rFonts w:hint="eastAsia" w:ascii="微软雅黑" w:hAnsi="微软雅黑"/>
          <w:b w:val="0"/>
          <w:color w:val="auto"/>
          <w:sz w:val="21"/>
          <w:szCs w:val="21"/>
          <w:highlight w:val="none"/>
        </w:rPr>
        <w:t>日</w:t>
      </w:r>
    </w:p>
    <w:p w14:paraId="65021518">
      <w:pPr>
        <w:pStyle w:val="36"/>
        <w:outlineLvl w:val="9"/>
        <w:rPr>
          <w:color w:val="auto"/>
          <w:highlight w:val="none"/>
        </w:rPr>
      </w:pPr>
    </w:p>
    <w:p w14:paraId="1BF02219">
      <w:pPr>
        <w:pStyle w:val="36"/>
        <w:outlineLvl w:val="9"/>
        <w:rPr>
          <w:color w:val="auto"/>
          <w:highlight w:val="none"/>
        </w:rPr>
      </w:pPr>
    </w:p>
    <w:p w14:paraId="6658CD88">
      <w:pPr>
        <w:pStyle w:val="36"/>
        <w:outlineLvl w:val="9"/>
        <w:rPr>
          <w:color w:val="auto"/>
          <w:highlight w:val="none"/>
        </w:rPr>
      </w:pPr>
    </w:p>
    <w:p w14:paraId="633ADA70">
      <w:pPr>
        <w:pStyle w:val="36"/>
        <w:outlineLvl w:val="9"/>
        <w:rPr>
          <w:color w:val="auto"/>
          <w:highlight w:val="none"/>
        </w:rPr>
        <w:sectPr>
          <w:pgSz w:w="11907" w:h="16840"/>
          <w:pgMar w:top="1440" w:right="1797" w:bottom="1440" w:left="1797" w:header="851" w:footer="851" w:gutter="0"/>
          <w:cols w:space="425" w:num="1"/>
          <w:titlePg/>
          <w:docGrid w:type="lines" w:linePitch="312" w:charSpace="0"/>
        </w:sectPr>
      </w:pPr>
    </w:p>
    <w:p w14:paraId="43D71CBB">
      <w:pPr>
        <w:pStyle w:val="36"/>
        <w:rPr>
          <w:color w:val="auto"/>
          <w:highlight w:val="none"/>
        </w:rPr>
      </w:pPr>
      <w:bookmarkStart w:id="129" w:name="_Toc98019297"/>
      <w:r>
        <w:rPr>
          <w:rFonts w:hint="eastAsia"/>
          <w:color w:val="auto"/>
          <w:highlight w:val="none"/>
        </w:rPr>
        <w:t>第六章　投标文件格式</w:t>
      </w:r>
      <w:bookmarkEnd w:id="128"/>
      <w:bookmarkEnd w:id="129"/>
    </w:p>
    <w:p w14:paraId="2E76052E">
      <w:pPr>
        <w:snapToGrid w:val="0"/>
        <w:spacing w:before="50" w:after="50"/>
        <w:rPr>
          <w:rFonts w:hint="eastAsia" w:ascii="微软雅黑" w:hAnsi="微软雅黑" w:eastAsia="微软雅黑"/>
          <w:color w:val="auto"/>
          <w:szCs w:val="21"/>
          <w:highlight w:val="none"/>
        </w:rPr>
      </w:pPr>
    </w:p>
    <w:p w14:paraId="00B187FD">
      <w:pPr>
        <w:snapToGrid w:val="0"/>
        <w:spacing w:before="156" w:beforeLines="50" w:after="50"/>
        <w:outlineLvl w:val="1"/>
        <w:rPr>
          <w:rFonts w:hint="eastAsia" w:ascii="微软雅黑" w:hAnsi="微软雅黑" w:eastAsia="微软雅黑"/>
          <w:b/>
          <w:bCs/>
          <w:color w:val="auto"/>
          <w:szCs w:val="21"/>
          <w:highlight w:val="none"/>
        </w:rPr>
      </w:pPr>
      <w:bookmarkStart w:id="130" w:name="_Toc98019298"/>
      <w:bookmarkStart w:id="131" w:name="_Toc9342498"/>
      <w:bookmarkStart w:id="132" w:name="_Toc11650189"/>
      <w:r>
        <w:rPr>
          <w:rFonts w:hint="eastAsia" w:ascii="微软雅黑" w:hAnsi="微软雅黑" w:eastAsia="微软雅黑"/>
          <w:b/>
          <w:bCs/>
          <w:color w:val="auto"/>
          <w:szCs w:val="21"/>
          <w:highlight w:val="none"/>
        </w:rPr>
        <w:t>一、投标文件外层包装封面格式</w:t>
      </w:r>
      <w:bookmarkEnd w:id="130"/>
      <w:bookmarkEnd w:id="131"/>
      <w:bookmarkEnd w:id="132"/>
    </w:p>
    <w:p w14:paraId="35BA92F5">
      <w:pPr>
        <w:snapToGrid w:val="0"/>
        <w:spacing w:before="156" w:beforeLines="50" w:after="50" w:line="360" w:lineRule="auto"/>
        <w:jc w:val="center"/>
        <w:rPr>
          <w:rFonts w:hint="eastAsia" w:ascii="微软雅黑" w:hAnsi="微软雅黑" w:eastAsia="微软雅黑"/>
          <w:b/>
          <w:bCs/>
          <w:color w:val="auto"/>
          <w:szCs w:val="21"/>
          <w:highlight w:val="none"/>
        </w:rPr>
      </w:pPr>
    </w:p>
    <w:p w14:paraId="51A494A0">
      <w:pPr>
        <w:snapToGrid w:val="0"/>
        <w:spacing w:before="156" w:beforeLines="50" w:after="50" w:line="360" w:lineRule="auto"/>
        <w:rPr>
          <w:rFonts w:hint="eastAsia" w:ascii="微软雅黑" w:hAnsi="微软雅黑" w:eastAsia="微软雅黑"/>
          <w:bCs/>
          <w:color w:val="auto"/>
          <w:szCs w:val="21"/>
          <w:highlight w:val="none"/>
        </w:rPr>
      </w:pPr>
    </w:p>
    <w:p w14:paraId="31E69857">
      <w:pPr>
        <w:snapToGrid w:val="0"/>
        <w:spacing w:before="156" w:beforeLines="50" w:after="50" w:line="360" w:lineRule="auto"/>
        <w:rPr>
          <w:rFonts w:hint="eastAsia" w:ascii="微软雅黑" w:hAnsi="微软雅黑" w:eastAsia="微软雅黑"/>
          <w:bCs/>
          <w:color w:val="auto"/>
          <w:szCs w:val="21"/>
          <w:highlight w:val="none"/>
          <w:lang w:eastAsia="zh-CN"/>
        </w:rPr>
      </w:pPr>
      <w:r>
        <w:rPr>
          <w:rFonts w:hint="eastAsia" w:ascii="微软雅黑" w:hAnsi="微软雅黑" w:eastAsia="微软雅黑"/>
          <w:bCs/>
          <w:color w:val="auto"/>
          <w:szCs w:val="21"/>
          <w:highlight w:val="none"/>
        </w:rPr>
        <w:t>项目名称：</w:t>
      </w:r>
      <w:r>
        <w:rPr>
          <w:rFonts w:hint="eastAsia" w:ascii="微软雅黑" w:hAnsi="微软雅黑" w:eastAsia="微软雅黑"/>
          <w:bCs/>
          <w:color w:val="auto"/>
          <w:szCs w:val="21"/>
          <w:highlight w:val="none"/>
          <w:lang w:eastAsia="zh-CN"/>
        </w:rPr>
        <w:t>嘉兴市秀洲区人民法院资金帐户招标项目</w:t>
      </w:r>
    </w:p>
    <w:p w14:paraId="766F0FC1">
      <w:pPr>
        <w:snapToGrid w:val="0"/>
        <w:spacing w:before="156" w:beforeLines="50" w:after="50" w:line="360" w:lineRule="auto"/>
        <w:rPr>
          <w:rFonts w:hint="eastAsia" w:ascii="微软雅黑" w:hAnsi="微软雅黑" w:eastAsia="微软雅黑"/>
          <w:bCs/>
          <w:color w:val="auto"/>
          <w:szCs w:val="21"/>
          <w:highlight w:val="none"/>
          <w:lang w:eastAsia="zh-CN"/>
        </w:rPr>
      </w:pPr>
      <w:r>
        <w:rPr>
          <w:rFonts w:hint="eastAsia" w:ascii="微软雅黑" w:hAnsi="微软雅黑" w:eastAsia="微软雅黑"/>
          <w:bCs/>
          <w:color w:val="auto"/>
          <w:szCs w:val="21"/>
          <w:highlight w:val="none"/>
        </w:rPr>
        <w:t>项目编号：</w:t>
      </w:r>
      <w:r>
        <w:rPr>
          <w:rFonts w:hint="eastAsia" w:ascii="微软雅黑" w:hAnsi="微软雅黑" w:eastAsia="微软雅黑"/>
          <w:bCs/>
          <w:color w:val="auto"/>
          <w:szCs w:val="21"/>
          <w:highlight w:val="none"/>
          <w:lang w:val="en-US" w:eastAsia="zh-CN"/>
        </w:rPr>
        <w:t xml:space="preserve"> </w:t>
      </w:r>
    </w:p>
    <w:p w14:paraId="1DBC4A43">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投标人名称：</w:t>
      </w:r>
    </w:p>
    <w:p w14:paraId="5B79BC96">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投标人地址：</w:t>
      </w:r>
    </w:p>
    <w:p w14:paraId="6844B4EF">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在    年  月  日时分之前不得启封</w:t>
      </w:r>
    </w:p>
    <w:p w14:paraId="2EDE2AFD">
      <w:pPr>
        <w:pStyle w:val="5"/>
        <w:snapToGrid w:val="0"/>
        <w:spacing w:before="50" w:after="50" w:line="360" w:lineRule="auto"/>
        <w:ind w:firstLine="0"/>
        <w:rPr>
          <w:rFonts w:hint="eastAsia" w:ascii="微软雅黑" w:hAnsi="微软雅黑" w:eastAsia="微软雅黑"/>
          <w:bCs/>
          <w:color w:val="auto"/>
          <w:szCs w:val="21"/>
          <w:highlight w:val="none"/>
        </w:rPr>
      </w:pPr>
    </w:p>
    <w:p w14:paraId="1C23F08C">
      <w:pPr>
        <w:pStyle w:val="5"/>
        <w:snapToGrid w:val="0"/>
        <w:spacing w:before="50" w:after="50" w:line="360" w:lineRule="auto"/>
        <w:ind w:firstLine="934" w:firstLineChars="445"/>
        <w:rPr>
          <w:rFonts w:hint="eastAsia" w:ascii="微软雅黑" w:hAnsi="微软雅黑" w:eastAsia="微软雅黑"/>
          <w:bCs/>
          <w:color w:val="auto"/>
          <w:szCs w:val="21"/>
          <w:highlight w:val="none"/>
        </w:rPr>
      </w:pPr>
    </w:p>
    <w:p w14:paraId="29CFED06">
      <w:pPr>
        <w:pStyle w:val="5"/>
        <w:snapToGrid w:val="0"/>
        <w:spacing w:before="50" w:after="50" w:line="360" w:lineRule="auto"/>
        <w:ind w:firstLine="4714" w:firstLineChars="2245"/>
        <w:rPr>
          <w:rFonts w:hint="eastAsia" w:ascii="微软雅黑" w:hAnsi="微软雅黑" w:eastAsia="微软雅黑"/>
          <w:bCs/>
          <w:color w:val="auto"/>
          <w:szCs w:val="21"/>
          <w:highlight w:val="none"/>
        </w:rPr>
      </w:pPr>
      <w:r>
        <w:rPr>
          <w:rFonts w:hint="eastAsia" w:ascii="微软雅黑" w:hAnsi="微软雅黑" w:eastAsia="微软雅黑"/>
          <w:color w:val="auto"/>
          <w:szCs w:val="21"/>
          <w:highlight w:val="none"/>
        </w:rPr>
        <w:t>（公章）</w:t>
      </w:r>
    </w:p>
    <w:p w14:paraId="28C4C191">
      <w:pPr>
        <w:snapToGrid w:val="0"/>
        <w:spacing w:before="156" w:beforeLines="50" w:after="50" w:line="360" w:lineRule="auto"/>
        <w:ind w:firstLine="645"/>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1F42AEF8">
      <w:pPr>
        <w:snapToGrid w:val="0"/>
        <w:spacing w:before="156" w:beforeLines="50" w:after="50" w:line="360" w:lineRule="auto"/>
        <w:ind w:firstLine="645"/>
        <w:jc w:val="center"/>
        <w:rPr>
          <w:rFonts w:hint="eastAsia" w:ascii="微软雅黑" w:hAnsi="微软雅黑" w:eastAsia="微软雅黑"/>
          <w:color w:val="auto"/>
          <w:szCs w:val="21"/>
          <w:highlight w:val="none"/>
        </w:rPr>
      </w:pPr>
    </w:p>
    <w:p w14:paraId="5C3F2B05">
      <w:pPr>
        <w:snapToGrid w:val="0"/>
        <w:spacing w:before="156" w:beforeLines="50" w:after="50"/>
        <w:rPr>
          <w:rFonts w:hint="eastAsia" w:ascii="微软雅黑" w:hAnsi="微软雅黑" w:eastAsia="微软雅黑"/>
          <w:b/>
          <w:color w:val="auto"/>
          <w:szCs w:val="21"/>
          <w:highlight w:val="none"/>
        </w:rPr>
      </w:pPr>
    </w:p>
    <w:p w14:paraId="7E62513A">
      <w:pPr>
        <w:snapToGrid w:val="0"/>
        <w:spacing w:before="156" w:beforeLines="50" w:after="50"/>
        <w:rPr>
          <w:rFonts w:hint="eastAsia" w:ascii="微软雅黑" w:hAnsi="微软雅黑" w:eastAsia="微软雅黑"/>
          <w:b/>
          <w:color w:val="auto"/>
          <w:szCs w:val="21"/>
          <w:highlight w:val="none"/>
        </w:rPr>
      </w:pPr>
    </w:p>
    <w:p w14:paraId="1CD32C49">
      <w:pPr>
        <w:snapToGrid w:val="0"/>
        <w:spacing w:before="156" w:beforeLines="50" w:after="50"/>
        <w:rPr>
          <w:rFonts w:hint="eastAsia" w:ascii="微软雅黑" w:hAnsi="微软雅黑" w:eastAsia="微软雅黑"/>
          <w:b/>
          <w:color w:val="auto"/>
          <w:szCs w:val="21"/>
          <w:highlight w:val="none"/>
        </w:rPr>
      </w:pPr>
    </w:p>
    <w:p w14:paraId="6C56BD11">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56A01921">
      <w:pPr>
        <w:snapToGrid w:val="0"/>
        <w:spacing w:before="156" w:beforeLines="50" w:after="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二、投标声明书格式</w:t>
      </w:r>
    </w:p>
    <w:p w14:paraId="56F0ECD1">
      <w:pPr>
        <w:snapToGrid w:val="0"/>
        <w:spacing w:line="360" w:lineRule="auto"/>
        <w:jc w:val="center"/>
        <w:rPr>
          <w:rFonts w:hint="eastAsia" w:ascii="微软雅黑" w:hAnsi="微软雅黑" w:eastAsia="微软雅黑"/>
          <w:b/>
          <w:color w:val="auto"/>
          <w:szCs w:val="21"/>
          <w:highlight w:val="none"/>
        </w:rPr>
      </w:pPr>
    </w:p>
    <w:p w14:paraId="73B9E1FE">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投标声明书</w:t>
      </w:r>
    </w:p>
    <w:p w14:paraId="3D1FC5D5">
      <w:pPr>
        <w:snapToGrid w:val="0"/>
        <w:spacing w:line="360" w:lineRule="auto"/>
        <w:jc w:val="center"/>
        <w:rPr>
          <w:rFonts w:hint="eastAsia" w:ascii="微软雅黑" w:hAnsi="微软雅黑" w:eastAsia="微软雅黑"/>
          <w:b/>
          <w:color w:val="auto"/>
          <w:szCs w:val="21"/>
          <w:highlight w:val="none"/>
        </w:rPr>
      </w:pPr>
    </w:p>
    <w:p w14:paraId="06F56043">
      <w:pPr>
        <w:snapToGrid w:val="0"/>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p>
    <w:p w14:paraId="0E7AA2B0">
      <w:pPr>
        <w:snapToGrid w:val="0"/>
        <w:spacing w:line="500" w:lineRule="exact"/>
        <w:ind w:firstLine="735" w:firstLineChars="350"/>
        <w:jc w:val="left"/>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（投标人名称）系中华人民共和国合法企业，经营地址</w:t>
      </w:r>
      <w:r>
        <w:rPr>
          <w:rFonts w:hint="eastAsia" w:ascii="微软雅黑" w:hAnsi="微软雅黑" w:eastAsia="微软雅黑"/>
          <w:color w:val="auto"/>
          <w:szCs w:val="21"/>
          <w:highlight w:val="none"/>
          <w:u w:val="single"/>
        </w:rPr>
        <w:t xml:space="preserve">           。</w:t>
      </w:r>
    </w:p>
    <w:p w14:paraId="11C00432">
      <w:pPr>
        <w:snapToGrid w:val="0"/>
        <w:spacing w:line="50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（投标人名称）的法定代表人（负责人），我方愿意参加贵方组织的</w:t>
      </w:r>
      <w:r>
        <w:rPr>
          <w:rFonts w:hint="eastAsia" w:ascii="微软雅黑" w:hAnsi="微软雅黑" w:eastAsia="微软雅黑" w:cs="Arial"/>
          <w:b/>
          <w:color w:val="auto"/>
          <w:szCs w:val="21"/>
          <w:highlight w:val="none"/>
          <w:u w:val="single"/>
          <w:lang w:eastAsia="zh-CN"/>
        </w:rPr>
        <w:t>嘉兴市秀洲区人民法院资金帐户招标项目</w:t>
      </w:r>
      <w:r>
        <w:rPr>
          <w:rFonts w:hint="eastAsia" w:ascii="微软雅黑" w:hAnsi="微软雅黑" w:eastAsia="微软雅黑"/>
          <w:color w:val="auto"/>
          <w:szCs w:val="21"/>
          <w:highlight w:val="none"/>
        </w:rPr>
        <w:t>的投标，为便于贵方公正、择优地确定中标人及其投标产品和服务，我方就本次投标有关事项郑重声明如下：</w:t>
      </w:r>
    </w:p>
    <w:p w14:paraId="0E6DA5DE">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我方向贵方提交的所有投标文件、资料都是准确的和真实的；</w:t>
      </w:r>
    </w:p>
    <w:p w14:paraId="1F80F5DD">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我方为银行嘉兴所在地区最高机构；</w:t>
      </w:r>
    </w:p>
    <w:p w14:paraId="3164EC50">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我方此次向贵方提供的产品为：</w:t>
      </w:r>
      <w:r>
        <w:rPr>
          <w:rFonts w:hint="eastAsia" w:ascii="微软雅黑" w:hAnsi="微软雅黑" w:eastAsia="微软雅黑"/>
          <w:b/>
          <w:color w:val="auto"/>
          <w:szCs w:val="21"/>
          <w:highlight w:val="none"/>
          <w:u w:val="single"/>
          <w:lang w:eastAsia="zh-CN"/>
        </w:rPr>
        <w:t>开户招标</w:t>
      </w:r>
      <w:r>
        <w:rPr>
          <w:rFonts w:hint="eastAsia" w:ascii="微软雅黑" w:hAnsi="微软雅黑" w:eastAsia="微软雅黑"/>
          <w:color w:val="auto"/>
          <w:szCs w:val="21"/>
          <w:highlight w:val="none"/>
        </w:rPr>
        <w:t>；</w:t>
      </w:r>
    </w:p>
    <w:p w14:paraId="07CA886A">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采用条款费率为：</w:t>
      </w:r>
      <w:r>
        <w:rPr>
          <w:rFonts w:hint="eastAsia" w:ascii="微软雅黑" w:hAnsi="微软雅黑" w:eastAsia="微软雅黑"/>
          <w:color w:val="auto"/>
          <w:szCs w:val="21"/>
          <w:highlight w:val="none"/>
          <w:u w:val="single"/>
        </w:rPr>
        <w:t>按中国人民银行公布的存款基准</w:t>
      </w:r>
      <w:r>
        <w:rPr>
          <w:rFonts w:hint="eastAsia" w:ascii="微软雅黑" w:hAnsi="微软雅黑" w:eastAsia="微软雅黑"/>
          <w:color w:val="auto"/>
          <w:szCs w:val="21"/>
          <w:highlight w:val="none"/>
          <w:u w:val="single"/>
          <w:lang w:val="en-US" w:eastAsia="zh-CN"/>
        </w:rPr>
        <w:t>浮动</w:t>
      </w:r>
      <w:r>
        <w:rPr>
          <w:rFonts w:hint="eastAsia" w:ascii="微软雅黑" w:hAnsi="微软雅黑" w:eastAsia="微软雅黑"/>
          <w:color w:val="auto"/>
          <w:szCs w:val="21"/>
          <w:highlight w:val="none"/>
          <w:u w:val="single"/>
        </w:rPr>
        <w:t>后利率</w:t>
      </w:r>
      <w:r>
        <w:rPr>
          <w:rFonts w:hint="eastAsia" w:ascii="微软雅黑" w:hAnsi="微软雅黑" w:eastAsia="微软雅黑"/>
          <w:color w:val="auto"/>
          <w:szCs w:val="21"/>
          <w:highlight w:val="none"/>
        </w:rPr>
        <w:t>；</w:t>
      </w:r>
    </w:p>
    <w:p w14:paraId="7FE00BB1">
      <w:pPr>
        <w:pStyle w:val="18"/>
        <w:numPr>
          <w:ilvl w:val="0"/>
          <w:numId w:val="32"/>
        </w:numPr>
        <w:snapToGrid w:val="0"/>
        <w:spacing w:line="360" w:lineRule="auto"/>
        <w:ind w:left="0" w:firstLine="420" w:firstLineChars="200"/>
        <w:rPr>
          <w:rFonts w:hint="eastAsia" w:ascii="微软雅黑" w:hAnsi="微软雅黑" w:eastAsia="微软雅黑"/>
          <w:color w:val="auto"/>
          <w:spacing w:val="0"/>
          <w:sz w:val="21"/>
          <w:szCs w:val="21"/>
          <w:highlight w:val="none"/>
          <w:u w:val="single"/>
        </w:rPr>
      </w:pPr>
      <w:r>
        <w:rPr>
          <w:rFonts w:hint="eastAsia" w:ascii="微软雅黑" w:hAnsi="微软雅黑" w:eastAsia="微软雅黑"/>
          <w:color w:val="auto"/>
          <w:spacing w:val="0"/>
          <w:sz w:val="21"/>
          <w:szCs w:val="21"/>
          <w:highlight w:val="none"/>
        </w:rPr>
        <w:t>我方及由本人担任法定代表人（负责人）的其他机构最近三年内没有被通报或者被处罚的违规违法行为；</w:t>
      </w:r>
    </w:p>
    <w:p w14:paraId="512D868D">
      <w:pPr>
        <w:numPr>
          <w:ilvl w:val="0"/>
          <w:numId w:val="32"/>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以上事项如有虚假或隐瞒，我方愿意承担一切后果，并不再寻求任何旨在减轻或免除法律责任的辩解。</w:t>
      </w:r>
    </w:p>
    <w:p w14:paraId="5A8FB5CC">
      <w:pPr>
        <w:snapToGrid w:val="0"/>
        <w:spacing w:line="500" w:lineRule="exact"/>
        <w:ind w:firstLine="200"/>
        <w:rPr>
          <w:rFonts w:hint="eastAsia" w:ascii="微软雅黑" w:hAnsi="微软雅黑" w:eastAsia="微软雅黑"/>
          <w:color w:val="auto"/>
          <w:szCs w:val="21"/>
          <w:highlight w:val="none"/>
        </w:rPr>
      </w:pPr>
    </w:p>
    <w:p w14:paraId="563E467F">
      <w:pPr>
        <w:snapToGrid w:val="0"/>
        <w:spacing w:line="500" w:lineRule="exact"/>
        <w:ind w:firstLine="200"/>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法定代表人（负责人）签字或盖章：</w:t>
      </w:r>
    </w:p>
    <w:p w14:paraId="2E236BDA">
      <w:pPr>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1FED4B63">
      <w:pPr>
        <w:snapToGrid w:val="0"/>
        <w:spacing w:line="500" w:lineRule="exact"/>
        <w:ind w:firstLine="3675" w:firstLineChars="17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6D71C97D">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三、法定代表人（负责人）授权委托书格式</w:t>
      </w:r>
    </w:p>
    <w:p w14:paraId="414BA6EA">
      <w:pPr>
        <w:snapToGrid w:val="0"/>
        <w:spacing w:before="156" w:beforeLines="50" w:after="50"/>
        <w:jc w:val="center"/>
        <w:rPr>
          <w:rFonts w:hint="eastAsia" w:ascii="微软雅黑" w:hAnsi="微软雅黑" w:eastAsia="微软雅黑"/>
          <w:color w:val="auto"/>
          <w:szCs w:val="21"/>
          <w:highlight w:val="none"/>
        </w:rPr>
      </w:pPr>
    </w:p>
    <w:p w14:paraId="0E4F2512">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法定代表人（负责人）授权委托书</w:t>
      </w:r>
    </w:p>
    <w:p w14:paraId="0D4DD0A6">
      <w:pPr>
        <w:snapToGrid w:val="0"/>
        <w:spacing w:line="360" w:lineRule="auto"/>
        <w:rPr>
          <w:rFonts w:hint="eastAsia" w:ascii="微软雅黑" w:hAnsi="微软雅黑" w:eastAsia="微软雅黑"/>
          <w:bCs/>
          <w:color w:val="auto"/>
          <w:szCs w:val="21"/>
          <w:highlight w:val="none"/>
        </w:rPr>
      </w:pPr>
    </w:p>
    <w:p w14:paraId="7D4A311D">
      <w:pPr>
        <w:snapToGrid w:val="0"/>
        <w:spacing w:line="360" w:lineRule="auto"/>
        <w:rPr>
          <w:rFonts w:hint="eastAsia" w:ascii="微软雅黑" w:hAnsi="微软雅黑" w:eastAsia="微软雅黑"/>
          <w:b/>
          <w:bCs/>
          <w:color w:val="auto"/>
          <w:szCs w:val="21"/>
          <w:highlight w:val="none"/>
        </w:rPr>
      </w:pPr>
      <w:r>
        <w:rPr>
          <w:rFonts w:hint="eastAsia" w:ascii="微软雅黑" w:hAnsi="微软雅黑" w:eastAsia="微软雅黑"/>
          <w:bCs/>
          <w:color w:val="auto"/>
          <w:szCs w:val="21"/>
          <w:highlight w:val="none"/>
        </w:rPr>
        <w:t>致：</w:t>
      </w:r>
    </w:p>
    <w:p w14:paraId="224B2A4F">
      <w:pPr>
        <w:snapToGrid w:val="0"/>
        <w:spacing w:line="360" w:lineRule="auto"/>
        <w:ind w:firstLine="424" w:firstLineChars="20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 xml:space="preserve">（投标人名称）的法定代表人（负责人），现授权委托本单位在职职工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（姓名）以我方的名义参加</w:t>
      </w:r>
      <w:r>
        <w:rPr>
          <w:rFonts w:hint="eastAsia" w:ascii="微软雅黑" w:hAnsi="微软雅黑" w:eastAsia="微软雅黑"/>
          <w:b/>
          <w:bCs/>
          <w:color w:val="auto"/>
          <w:szCs w:val="21"/>
          <w:highlight w:val="none"/>
          <w:u w:val="single"/>
          <w:lang w:eastAsia="zh-CN"/>
        </w:rPr>
        <w:t>嘉兴市秀洲区人民法院资金帐户招标项目</w:t>
      </w:r>
      <w:r>
        <w:rPr>
          <w:rFonts w:hint="eastAsia" w:ascii="微软雅黑" w:hAnsi="微软雅黑" w:eastAsia="微软雅黑"/>
          <w:color w:val="auto"/>
          <w:szCs w:val="21"/>
          <w:highlight w:val="none"/>
        </w:rPr>
        <w:t>的投标活动，并代表我方全权办理针对上述项目的投标、开标、评标、签约等具体事务和签署相关文件。</w:t>
      </w:r>
    </w:p>
    <w:p w14:paraId="38A2ED72">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我方对被授权人的签名事项负全部责任。</w:t>
      </w:r>
    </w:p>
    <w:p w14:paraId="5D7BF299">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在撤销授权的书面通知以前，本授权书一直有效。被授权人在授权书有效期内签署的所有文件不因授权的撤销而失效。</w:t>
      </w:r>
    </w:p>
    <w:p w14:paraId="7716BCA8">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被授权人无转委托权，特此委托。</w:t>
      </w:r>
    </w:p>
    <w:p w14:paraId="3E507A82">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法定代表人（负责人）签字或盖章：</w:t>
      </w:r>
    </w:p>
    <w:p w14:paraId="3078A245">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被授权人签名：</w:t>
      </w:r>
    </w:p>
    <w:p w14:paraId="1EF61120">
      <w:pPr>
        <w:snapToGrid w:val="0"/>
        <w:spacing w:line="360" w:lineRule="auto"/>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被授权人手机：</w:t>
      </w:r>
    </w:p>
    <w:p w14:paraId="60FBCD38">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被授权人身份证号码：</w:t>
      </w:r>
    </w:p>
    <w:p w14:paraId="36FCB9F5">
      <w:pPr>
        <w:snapToGrid w:val="0"/>
        <w:spacing w:line="360" w:lineRule="auto"/>
        <w:rPr>
          <w:rFonts w:hint="eastAsia" w:ascii="微软雅黑" w:hAnsi="微软雅黑" w:eastAsia="微软雅黑"/>
          <w:color w:val="auto"/>
          <w:szCs w:val="21"/>
          <w:highlight w:val="none"/>
        </w:rPr>
      </w:pPr>
    </w:p>
    <w:p w14:paraId="1876B2F7">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1CBC61BC">
      <w:pPr>
        <w:snapToGrid w:val="0"/>
        <w:spacing w:line="360" w:lineRule="auto"/>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01FE1F06">
      <w:pPr>
        <w:snapToGrid w:val="0"/>
        <w:spacing w:line="360" w:lineRule="auto"/>
        <w:rPr>
          <w:rFonts w:hint="eastAsia" w:ascii="微软雅黑" w:hAnsi="微软雅黑" w:eastAsia="微软雅黑"/>
          <w:color w:val="auto"/>
          <w:szCs w:val="21"/>
          <w:highlight w:val="none"/>
        </w:rPr>
      </w:pPr>
    </w:p>
    <w:p w14:paraId="0CF8E5BA">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法定代表人（负责人）身份证复印件（正反面）：</w:t>
      </w:r>
    </w:p>
    <w:p w14:paraId="4391BB0F">
      <w:pPr>
        <w:snapToGrid w:val="0"/>
        <w:spacing w:line="360" w:lineRule="auto"/>
        <w:rPr>
          <w:rFonts w:hint="eastAsia" w:ascii="微软雅黑" w:hAnsi="微软雅黑" w:eastAsia="微软雅黑"/>
          <w:color w:val="auto"/>
          <w:szCs w:val="21"/>
          <w:highlight w:val="none"/>
        </w:rPr>
      </w:pPr>
    </w:p>
    <w:p w14:paraId="48C1F88B">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被授权人身份证复印件（正反面）：</w:t>
      </w:r>
    </w:p>
    <w:p w14:paraId="5468CFB3">
      <w:pPr>
        <w:snapToGrid w:val="0"/>
        <w:spacing w:line="360" w:lineRule="auto"/>
        <w:rPr>
          <w:rFonts w:hint="eastAsia" w:ascii="微软雅黑" w:hAnsi="微软雅黑" w:eastAsia="微软雅黑"/>
          <w:color w:val="auto"/>
          <w:szCs w:val="21"/>
          <w:highlight w:val="none"/>
        </w:rPr>
      </w:pPr>
    </w:p>
    <w:p w14:paraId="53F4F2BF">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四、投标函格式</w:t>
      </w:r>
    </w:p>
    <w:p w14:paraId="771178BA">
      <w:pPr>
        <w:snapToGrid w:val="0"/>
        <w:spacing w:before="156" w:beforeLines="50" w:after="50"/>
        <w:rPr>
          <w:rFonts w:hint="eastAsia" w:ascii="微软雅黑" w:hAnsi="微软雅黑" w:eastAsia="微软雅黑"/>
          <w:b/>
          <w:color w:val="auto"/>
          <w:szCs w:val="21"/>
          <w:highlight w:val="none"/>
        </w:rPr>
      </w:pPr>
    </w:p>
    <w:p w14:paraId="7451749F">
      <w:pPr>
        <w:snapToGrid w:val="0"/>
        <w:spacing w:before="156" w:beforeLines="50" w:after="5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 标 函</w:t>
      </w:r>
    </w:p>
    <w:p w14:paraId="73F3FE1B">
      <w:pPr>
        <w:snapToGrid w:val="0"/>
        <w:spacing w:line="360" w:lineRule="auto"/>
        <w:rPr>
          <w:rFonts w:hint="eastAsia" w:ascii="微软雅黑" w:hAnsi="微软雅黑" w:eastAsia="微软雅黑"/>
          <w:color w:val="auto"/>
          <w:szCs w:val="21"/>
          <w:highlight w:val="none"/>
        </w:rPr>
      </w:pPr>
    </w:p>
    <w:p w14:paraId="726845DF">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b/>
          <w:color w:val="auto"/>
          <w:szCs w:val="21"/>
          <w:highlight w:val="none"/>
          <w:lang w:eastAsia="zh-CN"/>
        </w:rPr>
        <w:t>嘉兴市秀洲区人民法院</w:t>
      </w:r>
      <w:r>
        <w:rPr>
          <w:rFonts w:hint="eastAsia" w:ascii="微软雅黑" w:hAnsi="微软雅黑" w:eastAsia="微软雅黑"/>
          <w:color w:val="auto"/>
          <w:szCs w:val="21"/>
          <w:highlight w:val="none"/>
        </w:rPr>
        <w:t>：</w:t>
      </w:r>
    </w:p>
    <w:p w14:paraId="254D63CA">
      <w:pPr>
        <w:snapToGrid w:val="0"/>
        <w:spacing w:line="360" w:lineRule="auto"/>
        <w:ind w:firstLine="48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根据贵方</w:t>
      </w:r>
      <w:r>
        <w:rPr>
          <w:rFonts w:hint="eastAsia" w:ascii="微软雅黑" w:hAnsi="微软雅黑" w:eastAsia="微软雅黑"/>
          <w:b/>
          <w:color w:val="auto"/>
          <w:szCs w:val="21"/>
          <w:highlight w:val="none"/>
          <w:u w:val="single"/>
          <w:lang w:eastAsia="zh-CN"/>
        </w:rPr>
        <w:t>嘉兴市秀洲区人民法院资金帐户招标项目</w:t>
      </w:r>
      <w:r>
        <w:rPr>
          <w:rFonts w:hint="eastAsia" w:ascii="微软雅黑" w:hAnsi="微软雅黑" w:eastAsia="微软雅黑"/>
          <w:color w:val="auto"/>
          <w:szCs w:val="21"/>
          <w:highlight w:val="none"/>
        </w:rPr>
        <w:t>的招标公告〔项目编号：</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，被授权人（姓名）经正式授权并代表投标人</w:t>
      </w:r>
      <w:r>
        <w:rPr>
          <w:rFonts w:hint="eastAsia" w:ascii="微软雅黑" w:hAnsi="微软雅黑" w:eastAsia="微软雅黑"/>
          <w:color w:val="auto"/>
          <w:szCs w:val="21"/>
          <w:highlight w:val="none"/>
          <w:u w:val="single"/>
        </w:rPr>
        <w:t xml:space="preserve">_     </w:t>
      </w:r>
      <w:r>
        <w:rPr>
          <w:rFonts w:hint="eastAsia" w:ascii="微软雅黑" w:hAnsi="微软雅黑" w:eastAsia="微软雅黑"/>
          <w:color w:val="auto"/>
          <w:szCs w:val="21"/>
          <w:highlight w:val="none"/>
        </w:rPr>
        <w:t>（投标人名称）提交资信技术文件、报价文件</w:t>
      </w:r>
      <w:r>
        <w:rPr>
          <w:rFonts w:hint="eastAsia" w:ascii="微软雅黑" w:hAnsi="微软雅黑" w:eastAsia="微软雅黑"/>
          <w:color w:val="auto"/>
          <w:szCs w:val="21"/>
          <w:highlight w:val="none"/>
          <w:u w:val="single"/>
        </w:rPr>
        <w:t>正本一份、副本一份</w:t>
      </w:r>
      <w:r>
        <w:rPr>
          <w:rFonts w:hint="eastAsia" w:ascii="微软雅黑" w:hAnsi="微软雅黑" w:eastAsia="微软雅黑"/>
          <w:color w:val="auto"/>
          <w:szCs w:val="21"/>
          <w:highlight w:val="none"/>
        </w:rPr>
        <w:t>。</w:t>
      </w:r>
    </w:p>
    <w:p w14:paraId="24FA05E4">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据此函，签字代表宣布同意如下：</w:t>
      </w:r>
    </w:p>
    <w:p w14:paraId="26C0B693">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1、投标人已详细审查全部“招标文件”，包括修改文件（如有的话）以及全部参考资料和有关附件，已经了解我方对于招标文件、招标过程、招标结果有依法进行询问、质疑、投诉的权利及相关渠道和要求。</w:t>
      </w:r>
    </w:p>
    <w:p w14:paraId="4A28E876">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2、投标人在投标之前已经与贵方进行了充分的沟通，完全理解并接受招标文件的各项规定和要求，对招标文件的合理性、合法性不再有异议。</w:t>
      </w:r>
    </w:p>
    <w:p w14:paraId="1E6AE683">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3、本投标有效期自开标日起60日。</w:t>
      </w:r>
    </w:p>
    <w:p w14:paraId="0619FBCC">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4、如中标，本投标文件至本项目合同履行完毕止均保持有效，本投标人将按“招标文件”及招投标法律、法规的规定履行合同责任和义务。</w:t>
      </w:r>
    </w:p>
    <w:p w14:paraId="2DDD6A2C">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5、投标人同意按照贵方要求提供与投标有关的一切数据或资料。</w:t>
      </w:r>
    </w:p>
    <w:p w14:paraId="223EE224">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6、与本投标有关的一切正式往来信函请寄：</w:t>
      </w:r>
    </w:p>
    <w:p w14:paraId="617655D8">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地址：___________________邮编：_________传真：_________</w:t>
      </w:r>
    </w:p>
    <w:p w14:paraId="13C82659">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 _________________  电话：_________________</w:t>
      </w:r>
    </w:p>
    <w:p w14:paraId="0073E6DF">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被授权人签字:_________________   </w:t>
      </w:r>
    </w:p>
    <w:p w14:paraId="796CB7E0">
      <w:pPr>
        <w:snapToGrid w:val="0"/>
        <w:spacing w:line="360" w:lineRule="auto"/>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(公章)</w:t>
      </w:r>
    </w:p>
    <w:p w14:paraId="5AD6F56D">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年___月___日</w:t>
      </w:r>
    </w:p>
    <w:p w14:paraId="03922EF1">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五、投标报价表格式</w:t>
      </w:r>
    </w:p>
    <w:p w14:paraId="1A1F8CF3">
      <w:pPr>
        <w:spacing w:line="500" w:lineRule="exact"/>
        <w:ind w:firstLine="420" w:firstLineChars="200"/>
        <w:jc w:val="center"/>
        <w:rPr>
          <w:rFonts w:hint="eastAsia" w:ascii="微软雅黑" w:hAnsi="微软雅黑" w:eastAsia="微软雅黑"/>
          <w:b/>
          <w:color w:val="auto"/>
          <w:szCs w:val="21"/>
          <w:highlight w:val="none"/>
          <w:lang w:eastAsia="zh-CN"/>
        </w:rPr>
      </w:pPr>
      <w:r>
        <w:rPr>
          <w:rFonts w:hint="eastAsia" w:ascii="微软雅黑" w:hAnsi="微软雅黑" w:eastAsia="微软雅黑"/>
          <w:b/>
          <w:color w:val="auto"/>
          <w:szCs w:val="21"/>
          <w:highlight w:val="none"/>
          <w:lang w:eastAsia="zh-CN"/>
        </w:rPr>
        <w:t>嘉兴市秀洲区人民法院资金帐户招标项目</w:t>
      </w:r>
    </w:p>
    <w:p w14:paraId="476EFEFF">
      <w:pPr>
        <w:spacing w:line="500" w:lineRule="exact"/>
        <w:ind w:firstLine="420" w:firstLineChars="20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投标报价一览表</w:t>
      </w:r>
    </w:p>
    <w:p w14:paraId="083969BC">
      <w:pPr>
        <w:spacing w:line="400" w:lineRule="exact"/>
        <w:jc w:val="center"/>
        <w:rPr>
          <w:rFonts w:hint="eastAsia" w:ascii="微软雅黑" w:hAnsi="微软雅黑" w:eastAsia="微软雅黑"/>
          <w:color w:val="auto"/>
          <w:szCs w:val="21"/>
          <w:highlight w:val="none"/>
          <w:u w:val="single"/>
        </w:rPr>
      </w:pPr>
    </w:p>
    <w:p w14:paraId="1D9A16C2">
      <w:pPr>
        <w:spacing w:line="40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致：</w:t>
      </w:r>
      <w:r>
        <w:rPr>
          <w:rFonts w:hint="eastAsia" w:ascii="微软雅黑" w:hAnsi="微软雅黑" w:eastAsia="微软雅黑"/>
          <w:color w:val="auto"/>
          <w:highlight w:val="none"/>
          <w:lang w:eastAsia="zh-CN"/>
        </w:rPr>
        <w:t>嘉兴市秀洲区人民法院</w:t>
      </w:r>
    </w:p>
    <w:p w14:paraId="3B67D290">
      <w:pPr>
        <w:spacing w:line="40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我单位承诺：本投标书由我单位授权人(被授权人)填写，内容真实、准确、完整。</w:t>
      </w:r>
    </w:p>
    <w:p w14:paraId="1905C019">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投标人名称：________________________________________________</w:t>
      </w:r>
    </w:p>
    <w:p w14:paraId="0CA73422">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被授权人姓名：___________________ 联系电话：________________</w:t>
      </w:r>
    </w:p>
    <w:p w14:paraId="0587C6E9">
      <w:pPr>
        <w:spacing w:line="400" w:lineRule="exact"/>
        <w:rPr>
          <w:rFonts w:hint="eastAsia" w:ascii="微软雅黑" w:hAnsi="微软雅黑" w:eastAsia="微软雅黑"/>
          <w:color w:val="auto"/>
          <w:szCs w:val="21"/>
          <w:highlight w:val="none"/>
        </w:rPr>
      </w:pPr>
    </w:p>
    <w:tbl>
      <w:tblPr>
        <w:tblStyle w:val="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216"/>
        <w:gridCol w:w="2835"/>
        <w:gridCol w:w="993"/>
      </w:tblGrid>
      <w:tr w14:paraId="1239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14:paraId="44E681DB">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（存期）</w:t>
            </w:r>
          </w:p>
        </w:tc>
        <w:tc>
          <w:tcPr>
            <w:tcW w:w="2216" w:type="dxa"/>
            <w:vAlign w:val="center"/>
          </w:tcPr>
          <w:p w14:paraId="5A1084A6">
            <w:pPr>
              <w:spacing w:line="560" w:lineRule="exact"/>
              <w:ind w:right="84" w:rightChars="4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央行基准利率</w:t>
            </w:r>
          </w:p>
        </w:tc>
        <w:tc>
          <w:tcPr>
            <w:tcW w:w="2835" w:type="dxa"/>
            <w:vAlign w:val="center"/>
          </w:tcPr>
          <w:p w14:paraId="46BDC931">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基准</w:t>
            </w:r>
            <w:r>
              <w:rPr>
                <w:rFonts w:hint="eastAsia" w:ascii="微软雅黑" w:hAnsi="微软雅黑" w:eastAsia="微软雅黑"/>
                <w:color w:val="auto"/>
                <w:szCs w:val="21"/>
                <w:highlight w:val="none"/>
                <w:lang w:val="en-US" w:eastAsia="zh-CN"/>
              </w:rPr>
              <w:t>浮动</w:t>
            </w:r>
            <w:r>
              <w:rPr>
                <w:rFonts w:hint="eastAsia" w:ascii="微软雅黑" w:hAnsi="微软雅黑" w:eastAsia="微软雅黑"/>
                <w:color w:val="auto"/>
                <w:szCs w:val="21"/>
                <w:highlight w:val="none"/>
              </w:rPr>
              <w:t>后利率（%）</w:t>
            </w:r>
          </w:p>
        </w:tc>
        <w:tc>
          <w:tcPr>
            <w:tcW w:w="993" w:type="dxa"/>
            <w:vAlign w:val="center"/>
          </w:tcPr>
          <w:p w14:paraId="79DC446C">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备注</w:t>
            </w:r>
          </w:p>
        </w:tc>
      </w:tr>
      <w:tr w14:paraId="1619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28" w:type="dxa"/>
            <w:vAlign w:val="center"/>
          </w:tcPr>
          <w:p w14:paraId="530AA3AC">
            <w:pPr>
              <w:snapToGrid w:val="0"/>
              <w:spacing w:line="460" w:lineRule="exact"/>
              <w:jc w:val="center"/>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活期利率</w:t>
            </w:r>
          </w:p>
        </w:tc>
        <w:tc>
          <w:tcPr>
            <w:tcW w:w="2216" w:type="dxa"/>
          </w:tcPr>
          <w:p w14:paraId="5A35D1DA">
            <w:pPr>
              <w:spacing w:line="560" w:lineRule="exact"/>
              <w:rPr>
                <w:rFonts w:hint="eastAsia" w:ascii="微软雅黑" w:hAnsi="微软雅黑" w:eastAsia="微软雅黑"/>
                <w:color w:val="auto"/>
                <w:szCs w:val="21"/>
                <w:highlight w:val="none"/>
              </w:rPr>
            </w:pPr>
          </w:p>
        </w:tc>
        <w:tc>
          <w:tcPr>
            <w:tcW w:w="2835" w:type="dxa"/>
            <w:vAlign w:val="center"/>
          </w:tcPr>
          <w:p w14:paraId="5DC08643">
            <w:pPr>
              <w:spacing w:line="560" w:lineRule="exact"/>
              <w:rPr>
                <w:rFonts w:hint="eastAsia" w:ascii="微软雅黑" w:hAnsi="微软雅黑" w:eastAsia="微软雅黑"/>
                <w:color w:val="auto"/>
                <w:szCs w:val="21"/>
                <w:highlight w:val="none"/>
              </w:rPr>
            </w:pPr>
          </w:p>
        </w:tc>
        <w:tc>
          <w:tcPr>
            <w:tcW w:w="993" w:type="dxa"/>
          </w:tcPr>
          <w:p w14:paraId="3DEBB206">
            <w:pPr>
              <w:spacing w:line="400" w:lineRule="exact"/>
              <w:rPr>
                <w:rFonts w:hint="eastAsia" w:ascii="微软雅黑" w:hAnsi="微软雅黑" w:eastAsia="微软雅黑"/>
                <w:color w:val="auto"/>
                <w:szCs w:val="21"/>
                <w:highlight w:val="none"/>
              </w:rPr>
            </w:pPr>
          </w:p>
        </w:tc>
      </w:tr>
      <w:tr w14:paraId="0DF2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28" w:type="dxa"/>
            <w:vAlign w:val="center"/>
          </w:tcPr>
          <w:p w14:paraId="67EE1485">
            <w:pPr>
              <w:snapToGrid w:val="0"/>
              <w:spacing w:line="460" w:lineRule="exact"/>
              <w:jc w:val="center"/>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协定利率</w:t>
            </w:r>
          </w:p>
        </w:tc>
        <w:tc>
          <w:tcPr>
            <w:tcW w:w="2216" w:type="dxa"/>
          </w:tcPr>
          <w:p w14:paraId="33962CAD">
            <w:pPr>
              <w:spacing w:line="560" w:lineRule="exact"/>
              <w:rPr>
                <w:rFonts w:hint="eastAsia" w:ascii="微软雅黑" w:hAnsi="微软雅黑" w:eastAsia="微软雅黑"/>
                <w:color w:val="auto"/>
                <w:szCs w:val="21"/>
                <w:highlight w:val="none"/>
              </w:rPr>
            </w:pPr>
          </w:p>
        </w:tc>
        <w:tc>
          <w:tcPr>
            <w:tcW w:w="2835" w:type="dxa"/>
            <w:vAlign w:val="center"/>
          </w:tcPr>
          <w:p w14:paraId="233CB414">
            <w:pPr>
              <w:spacing w:line="560" w:lineRule="exact"/>
              <w:rPr>
                <w:rFonts w:hint="eastAsia" w:ascii="微软雅黑" w:hAnsi="微软雅黑" w:eastAsia="微软雅黑"/>
                <w:color w:val="auto"/>
                <w:szCs w:val="21"/>
                <w:highlight w:val="none"/>
              </w:rPr>
            </w:pPr>
          </w:p>
        </w:tc>
        <w:tc>
          <w:tcPr>
            <w:tcW w:w="993" w:type="dxa"/>
          </w:tcPr>
          <w:p w14:paraId="6AD524D3">
            <w:pPr>
              <w:spacing w:line="400" w:lineRule="exact"/>
              <w:rPr>
                <w:rFonts w:hint="eastAsia" w:ascii="微软雅黑" w:hAnsi="微软雅黑" w:eastAsia="微软雅黑"/>
                <w:color w:val="auto"/>
                <w:szCs w:val="21"/>
                <w:highlight w:val="none"/>
              </w:rPr>
            </w:pPr>
          </w:p>
        </w:tc>
      </w:tr>
    </w:tbl>
    <w:p w14:paraId="45EC44AE">
      <w:pPr>
        <w:spacing w:line="400" w:lineRule="exact"/>
        <w:rPr>
          <w:rFonts w:hint="eastAsia" w:ascii="微软雅黑" w:hAnsi="微软雅黑" w:eastAsia="微软雅黑"/>
          <w:color w:val="auto"/>
          <w:szCs w:val="21"/>
          <w:highlight w:val="none"/>
        </w:rPr>
      </w:pPr>
    </w:p>
    <w:p w14:paraId="78C5C32B">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被授权人签字：</w:t>
      </w:r>
    </w:p>
    <w:p w14:paraId="55DD4EF7">
      <w:pPr>
        <w:spacing w:line="400" w:lineRule="exact"/>
        <w:rPr>
          <w:rFonts w:hint="eastAsia" w:ascii="微软雅黑" w:hAnsi="微软雅黑" w:eastAsia="微软雅黑"/>
          <w:color w:val="auto"/>
          <w:szCs w:val="21"/>
          <w:highlight w:val="none"/>
        </w:rPr>
      </w:pPr>
    </w:p>
    <w:p w14:paraId="262B4DCC">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投标单位(公章）:</w:t>
      </w:r>
    </w:p>
    <w:p w14:paraId="66544C72">
      <w:pPr>
        <w:spacing w:line="40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4B059A3D">
      <w:pPr>
        <w:spacing w:line="400" w:lineRule="exact"/>
        <w:rPr>
          <w:rFonts w:hint="eastAsia" w:ascii="微软雅黑" w:hAnsi="微软雅黑" w:eastAsia="微软雅黑"/>
          <w:color w:val="auto"/>
          <w:szCs w:val="21"/>
          <w:highlight w:val="none"/>
        </w:rPr>
      </w:pPr>
    </w:p>
    <w:p w14:paraId="30FAF46C">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说明：</w:t>
      </w:r>
    </w:p>
    <w:p w14:paraId="4E7D7765">
      <w:pPr>
        <w:spacing w:line="40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1、</w:t>
      </w:r>
      <w:r>
        <w:rPr>
          <w:rFonts w:hint="eastAsia" w:ascii="微软雅黑" w:hAnsi="微软雅黑" w:eastAsia="微软雅黑"/>
          <w:b/>
          <w:color w:val="auto"/>
          <w:szCs w:val="21"/>
          <w:highlight w:val="none"/>
          <w:shd w:val="pct10" w:color="auto" w:fill="FFFFFF"/>
        </w:rPr>
        <w:t>投标人报价不得违反国家利率政策</w:t>
      </w:r>
      <w:r>
        <w:rPr>
          <w:rFonts w:hint="eastAsia" w:ascii="微软雅黑" w:hAnsi="微软雅黑" w:eastAsia="微软雅黑"/>
          <w:b/>
          <w:color w:val="auto"/>
          <w:szCs w:val="21"/>
          <w:highlight w:val="none"/>
          <w:shd w:val="pct10" w:color="auto" w:fill="FFFFFF"/>
          <w:lang w:eastAsia="zh-CN"/>
        </w:rPr>
        <w:t>，</w:t>
      </w:r>
      <w:r>
        <w:rPr>
          <w:rFonts w:hint="eastAsia" w:ascii="微软雅黑" w:hAnsi="微软雅黑" w:eastAsia="微软雅黑"/>
          <w:b/>
          <w:color w:val="auto"/>
          <w:szCs w:val="21"/>
          <w:highlight w:val="none"/>
          <w:shd w:val="pct10" w:color="auto" w:fill="FFFFFF"/>
          <w:lang w:val="en-US" w:eastAsia="zh-CN"/>
        </w:rPr>
        <w:t>并遵守</w:t>
      </w:r>
      <w:r>
        <w:rPr>
          <w:rFonts w:hint="eastAsia" w:ascii="微软雅黑" w:hAnsi="微软雅黑" w:eastAsia="微软雅黑"/>
          <w:b/>
          <w:color w:val="auto"/>
          <w:szCs w:val="21"/>
          <w:highlight w:val="none"/>
          <w:shd w:val="pct10" w:color="auto" w:fill="FFFFFF"/>
        </w:rPr>
        <w:t>市场利率定价自律机制规定</w:t>
      </w:r>
      <w:r>
        <w:rPr>
          <w:rFonts w:hint="eastAsia" w:ascii="微软雅黑" w:hAnsi="微软雅黑" w:eastAsia="微软雅黑"/>
          <w:b/>
          <w:color w:val="auto"/>
          <w:szCs w:val="21"/>
          <w:highlight w:val="none"/>
          <w:shd w:val="pct10" w:color="auto" w:fill="FFFFFF"/>
          <w:lang w:eastAsia="zh-CN"/>
        </w:rPr>
        <w:t>。</w:t>
      </w:r>
    </w:p>
    <w:p w14:paraId="267F9A0B">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存款年利率最多保留3位小数。</w:t>
      </w:r>
    </w:p>
    <w:p w14:paraId="0845646D">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3</w:t>
      </w:r>
      <w:r>
        <w:rPr>
          <w:rFonts w:hint="eastAsia" w:ascii="微软雅黑" w:hAnsi="微软雅黑" w:eastAsia="微软雅黑"/>
          <w:color w:val="auto"/>
          <w:szCs w:val="21"/>
          <w:highlight w:val="none"/>
        </w:rPr>
        <w:t>、本投标书填写须清晰，不得涂改。</w:t>
      </w:r>
    </w:p>
    <w:p w14:paraId="692A6790">
      <w:pPr>
        <w:spacing w:line="400" w:lineRule="exact"/>
        <w:rPr>
          <w:rFonts w:hint="eastAsia" w:ascii="微软雅黑" w:hAnsi="微软雅黑" w:eastAsia="微软雅黑"/>
          <w:color w:val="auto"/>
          <w:szCs w:val="21"/>
          <w:highlight w:val="none"/>
        </w:rPr>
      </w:pPr>
    </w:p>
    <w:p w14:paraId="409FEB77">
      <w:pPr>
        <w:pStyle w:val="22"/>
        <w:snapToGrid w:val="0"/>
        <w:spacing w:beforeLines="0" w:afterLines="0" w:line="240" w:lineRule="auto"/>
        <w:rPr>
          <w:rFonts w:hint="eastAsia" w:ascii="微软雅黑" w:hAnsi="微软雅黑" w:eastAsia="微软雅黑"/>
          <w:b/>
          <w:color w:val="auto"/>
          <w:sz w:val="21"/>
          <w:szCs w:val="21"/>
          <w:highlight w:val="none"/>
        </w:rPr>
        <w:sectPr>
          <w:pgSz w:w="11907" w:h="16840"/>
          <w:pgMar w:top="1440" w:right="1797" w:bottom="1440" w:left="1797" w:header="851" w:footer="851" w:gutter="0"/>
          <w:cols w:space="425" w:num="1"/>
          <w:titlePg/>
          <w:docGrid w:type="lines" w:linePitch="312" w:charSpace="0"/>
        </w:sectPr>
      </w:pPr>
    </w:p>
    <w:p w14:paraId="4D7D907C">
      <w:pPr>
        <w:pStyle w:val="22"/>
        <w:numPr>
          <w:ilvl w:val="0"/>
          <w:numId w:val="33"/>
        </w:numPr>
        <w:snapToGrid w:val="0"/>
        <w:spacing w:beforeLines="0" w:afterLines="0" w:line="240" w:lineRule="auto"/>
        <w:rPr>
          <w:rFonts w:hint="eastAsia" w:ascii="微软雅黑" w:hAnsi="微软雅黑" w:eastAsia="微软雅黑"/>
          <w:b/>
          <w:color w:val="auto"/>
          <w:sz w:val="21"/>
          <w:szCs w:val="21"/>
          <w:highlight w:val="none"/>
          <w:lang w:val="en-US" w:eastAsia="zh-CN"/>
        </w:rPr>
      </w:pPr>
      <w:r>
        <w:rPr>
          <w:rFonts w:hint="eastAsia" w:ascii="微软雅黑" w:hAnsi="微软雅黑" w:eastAsia="微软雅黑"/>
          <w:b/>
          <w:color w:val="auto"/>
          <w:sz w:val="21"/>
          <w:szCs w:val="21"/>
          <w:highlight w:val="none"/>
          <w:lang w:val="en-US" w:eastAsia="zh-CN"/>
        </w:rPr>
        <w:t>各投标银行按评分内容提供证明材料及承诺 。</w:t>
      </w:r>
    </w:p>
    <w:p w14:paraId="5F4B1B84">
      <w:pPr>
        <w:pStyle w:val="22"/>
        <w:numPr>
          <w:ilvl w:val="0"/>
          <w:numId w:val="0"/>
        </w:numPr>
        <w:snapToGrid w:val="0"/>
        <w:spacing w:beforeLines="0" w:afterLines="0" w:line="240" w:lineRule="auto"/>
        <w:rPr>
          <w:rFonts w:hint="default" w:ascii="微软雅黑" w:hAnsi="微软雅黑" w:eastAsia="微软雅黑"/>
          <w:b/>
          <w:color w:val="auto"/>
          <w:sz w:val="21"/>
          <w:szCs w:val="21"/>
          <w:highlight w:val="none"/>
          <w:lang w:val="en-US" w:eastAsia="zh-CN"/>
        </w:rPr>
      </w:pPr>
    </w:p>
    <w:p w14:paraId="1BD95AC7">
      <w:pPr>
        <w:pStyle w:val="22"/>
        <w:numPr>
          <w:ilvl w:val="0"/>
          <w:numId w:val="0"/>
        </w:numPr>
        <w:snapToGrid w:val="0"/>
        <w:spacing w:beforeLines="0" w:afterLines="0" w:line="240" w:lineRule="auto"/>
        <w:rPr>
          <w:rFonts w:hint="default" w:ascii="微软雅黑" w:hAnsi="微软雅黑" w:eastAsia="微软雅黑"/>
          <w:b/>
          <w:color w:val="auto"/>
          <w:sz w:val="21"/>
          <w:szCs w:val="21"/>
          <w:highlight w:val="none"/>
          <w:lang w:val="en-US" w:eastAsia="zh-CN"/>
        </w:rPr>
      </w:pPr>
    </w:p>
    <w:p w14:paraId="5998A36D">
      <w:pPr>
        <w:pStyle w:val="22"/>
        <w:snapToGrid w:val="0"/>
        <w:spacing w:beforeLines="0" w:afterLines="0" w:line="240" w:lineRule="auto"/>
        <w:rPr>
          <w:rFonts w:hint="eastAsia" w:ascii="微软雅黑" w:hAnsi="微软雅黑" w:eastAsia="微软雅黑"/>
          <w:b/>
          <w:color w:val="auto"/>
          <w:sz w:val="21"/>
          <w:szCs w:val="21"/>
          <w:highlight w:val="none"/>
          <w:lang w:val="en-US" w:eastAsia="zh-CN"/>
        </w:rPr>
      </w:pPr>
    </w:p>
    <w:p w14:paraId="5C988FFF">
      <w:pPr>
        <w:pStyle w:val="22"/>
        <w:snapToGrid w:val="0"/>
        <w:spacing w:beforeLines="0" w:afterLines="0" w:line="240" w:lineRule="auto"/>
        <w:rPr>
          <w:rFonts w:hint="eastAsia" w:ascii="微软雅黑" w:hAnsi="微软雅黑" w:eastAsia="微软雅黑"/>
          <w:b/>
          <w:color w:val="auto"/>
          <w:sz w:val="21"/>
          <w:szCs w:val="21"/>
          <w:highlight w:val="none"/>
          <w:lang w:val="en-US" w:eastAsia="zh-CN"/>
        </w:rPr>
        <w:sectPr>
          <w:pgSz w:w="11907" w:h="16840"/>
          <w:pgMar w:top="1440" w:right="1797" w:bottom="1440" w:left="1797" w:header="851" w:footer="851" w:gutter="0"/>
          <w:cols w:space="425" w:num="1"/>
          <w:titlePg/>
          <w:docGrid w:type="lines" w:linePitch="312" w:charSpace="0"/>
        </w:sectPr>
      </w:pPr>
    </w:p>
    <w:p w14:paraId="63845B78">
      <w:pPr>
        <w:pStyle w:val="22"/>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lang w:val="en-US" w:eastAsia="zh-CN"/>
        </w:rPr>
        <w:t>七</w:t>
      </w:r>
      <w:r>
        <w:rPr>
          <w:rFonts w:hint="eastAsia" w:ascii="微软雅黑" w:hAnsi="微软雅黑" w:eastAsia="微软雅黑"/>
          <w:b/>
          <w:color w:val="auto"/>
          <w:sz w:val="21"/>
          <w:szCs w:val="21"/>
          <w:highlight w:val="none"/>
        </w:rPr>
        <w:t>、投标银行报名表格式</w:t>
      </w:r>
    </w:p>
    <w:p w14:paraId="67B5F105">
      <w:pPr>
        <w:pStyle w:val="35"/>
        <w:spacing w:before="0" w:beforeAutospacing="0" w:after="0" w:afterAutospacing="0" w:line="315" w:lineRule="atLeast"/>
        <w:jc w:val="center"/>
        <w:rPr>
          <w:rFonts w:hint="eastAsia" w:ascii="微软雅黑" w:hAnsi="微软雅黑" w:eastAsia="微软雅黑" w:cs="黑体"/>
          <w:color w:val="auto"/>
          <w:sz w:val="21"/>
          <w:szCs w:val="21"/>
          <w:highlight w:val="none"/>
        </w:rPr>
      </w:pPr>
      <w:r>
        <w:rPr>
          <w:rStyle w:val="41"/>
          <w:rFonts w:hint="eastAsia" w:ascii="微软雅黑" w:hAnsi="微软雅黑" w:eastAsia="微软雅黑" w:cs="黑体"/>
          <w:color w:val="auto"/>
          <w:spacing w:val="45"/>
          <w:sz w:val="21"/>
          <w:szCs w:val="21"/>
          <w:highlight w:val="none"/>
          <w:shd w:val="clear" w:color="auto" w:fill="FFFFFF"/>
        </w:rPr>
        <w:t>投标银行报名表</w:t>
      </w:r>
    </w:p>
    <w:tbl>
      <w:tblPr>
        <w:tblStyle w:val="39"/>
        <w:tblW w:w="0" w:type="auto"/>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607"/>
        <w:gridCol w:w="1306"/>
        <w:gridCol w:w="1306"/>
        <w:gridCol w:w="1306"/>
        <w:gridCol w:w="1306"/>
        <w:gridCol w:w="1623"/>
      </w:tblGrid>
      <w:tr w14:paraId="1CC30BD6">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9EC3245">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报名单位</w:t>
            </w:r>
          </w:p>
        </w:tc>
        <w:tc>
          <w:tcPr>
            <w:tcW w:w="6847" w:type="dxa"/>
            <w:gridSpan w:val="5"/>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55158A9">
            <w:pPr>
              <w:jc w:val="left"/>
              <w:rPr>
                <w:rFonts w:hint="eastAsia" w:ascii="微软雅黑" w:hAnsi="微软雅黑" w:eastAsia="微软雅黑" w:cs="-apple-system"/>
                <w:color w:val="auto"/>
                <w:szCs w:val="21"/>
                <w:highlight w:val="none"/>
              </w:rPr>
            </w:pPr>
          </w:p>
        </w:tc>
      </w:tr>
      <w:tr w14:paraId="29901B50">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1A9CC50">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项目联系人</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A0FDC0C">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D79A108">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固定电话</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E23B20F">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A72B08E">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手机号码</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CEC1FE3">
            <w:pPr>
              <w:jc w:val="left"/>
              <w:rPr>
                <w:rFonts w:hint="eastAsia" w:ascii="微软雅黑" w:hAnsi="微软雅黑" w:eastAsia="微软雅黑" w:cs="-apple-system"/>
                <w:color w:val="auto"/>
                <w:szCs w:val="21"/>
                <w:highlight w:val="none"/>
              </w:rPr>
            </w:pPr>
          </w:p>
        </w:tc>
      </w:tr>
      <w:tr w14:paraId="014F29B4">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607" w:type="dxa"/>
            <w:tcBorders>
              <w:top w:val="single" w:color="auto" w:sz="4" w:space="0"/>
              <w:left w:val="single" w:color="auto" w:sz="4" w:space="0"/>
              <w:bottom w:val="single" w:color="auto" w:sz="4" w:space="0"/>
              <w:right w:val="single" w:color="auto" w:sz="4" w:space="0"/>
            </w:tcBorders>
            <w:vAlign w:val="center"/>
          </w:tcPr>
          <w:p w14:paraId="1874895B">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详细地址</w:t>
            </w:r>
          </w:p>
        </w:tc>
        <w:tc>
          <w:tcPr>
            <w:tcW w:w="3918" w:type="dxa"/>
            <w:gridSpan w:val="3"/>
            <w:tcBorders>
              <w:top w:val="single" w:color="auto" w:sz="4" w:space="0"/>
              <w:left w:val="single" w:color="auto" w:sz="4" w:space="0"/>
              <w:bottom w:val="single" w:color="auto" w:sz="4" w:space="0"/>
              <w:right w:val="single" w:color="auto" w:sz="4" w:space="0"/>
            </w:tcBorders>
            <w:vAlign w:val="center"/>
          </w:tcPr>
          <w:p w14:paraId="49C631DD">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5373C1E7">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邮 编</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AE293DC">
            <w:pPr>
              <w:jc w:val="left"/>
              <w:rPr>
                <w:rFonts w:hint="eastAsia" w:ascii="微软雅黑" w:hAnsi="微软雅黑" w:eastAsia="微软雅黑" w:cs="-apple-system"/>
                <w:color w:val="auto"/>
                <w:szCs w:val="21"/>
                <w:highlight w:val="none"/>
              </w:rPr>
            </w:pPr>
          </w:p>
        </w:tc>
      </w:tr>
      <w:tr w14:paraId="4ADB9541">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979" w:hRule="atLeast"/>
        </w:trPr>
        <w:tc>
          <w:tcPr>
            <w:tcW w:w="8454" w:type="dxa"/>
            <w:gridSpan w:val="6"/>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tcPr>
          <w:p w14:paraId="54FF9C81">
            <w:pPr>
              <w:pStyle w:val="35"/>
              <w:wordWrap w:val="0"/>
              <w:spacing w:before="120" w:beforeAutospacing="0" w:after="0" w:afterAutospacing="0" w:line="360"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嘉兴市千秋工程咨询有限公司：</w:t>
            </w:r>
          </w:p>
          <w:p w14:paraId="6D23F0F4">
            <w:pPr>
              <w:adjustRightInd w:val="0"/>
              <w:snapToGrid w:val="0"/>
              <w:spacing w:line="4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我公司报名参加贵公司的</w:t>
            </w:r>
            <w:r>
              <w:rPr>
                <w:rFonts w:hint="eastAsia" w:ascii="微软雅黑" w:hAnsi="微软雅黑" w:eastAsia="微软雅黑"/>
                <w:color w:val="auto"/>
                <w:highlight w:val="none"/>
                <w:u w:val="single"/>
                <w:lang w:eastAsia="zh-CN"/>
              </w:rPr>
              <w:t>嘉兴市秀洲区人民法院资金帐户招标项目</w:t>
            </w:r>
            <w:r>
              <w:rPr>
                <w:rFonts w:hint="eastAsia" w:ascii="微软雅黑" w:hAnsi="微软雅黑" w:eastAsia="微软雅黑" w:cs="仿宋_GB2312"/>
                <w:color w:val="auto"/>
                <w:szCs w:val="21"/>
                <w:highlight w:val="none"/>
              </w:rPr>
              <w:t>（项目编号为</w:t>
            </w:r>
            <w:r>
              <w:rPr>
                <w:rFonts w:hint="eastAsia" w:ascii="微软雅黑" w:hAnsi="微软雅黑" w:eastAsia="微软雅黑"/>
                <w:bCs/>
                <w:color w:val="auto"/>
                <w:szCs w:val="21"/>
                <w:highlight w:val="none"/>
                <w:u w:val="single"/>
                <w:lang w:eastAsia="zh-CN"/>
              </w:rPr>
              <w:t>千秋-XZCF（2025）第02号</w:t>
            </w:r>
            <w:r>
              <w:rPr>
                <w:rFonts w:hint="eastAsia" w:ascii="微软雅黑" w:hAnsi="微软雅黑" w:eastAsia="微软雅黑" w:cs="仿宋_GB2312"/>
                <w:color w:val="auto"/>
                <w:szCs w:val="21"/>
                <w:highlight w:val="none"/>
              </w:rPr>
              <w:t>）的招标活动。</w:t>
            </w:r>
          </w:p>
          <w:p w14:paraId="16DFC21F">
            <w:pPr>
              <w:spacing w:line="460" w:lineRule="exact"/>
              <w:rPr>
                <w:rFonts w:hint="eastAsia" w:ascii="微软雅黑" w:hAnsi="微软雅黑" w:eastAsia="微软雅黑" w:cs="仿宋"/>
                <w:color w:val="auto"/>
                <w:szCs w:val="21"/>
                <w:highlight w:val="none"/>
              </w:rPr>
            </w:pPr>
            <w:r>
              <w:rPr>
                <w:rStyle w:val="41"/>
                <w:rFonts w:hint="eastAsia" w:ascii="微软雅黑" w:hAnsi="微软雅黑" w:eastAsia="微软雅黑" w:cs="宋体"/>
                <w:color w:val="auto"/>
                <w:szCs w:val="21"/>
                <w:highlight w:val="none"/>
              </w:rPr>
              <w:t xml:space="preserve">   </w:t>
            </w:r>
            <w:r>
              <w:rPr>
                <w:rFonts w:hint="eastAsia" w:ascii="微软雅黑" w:hAnsi="微软雅黑" w:eastAsia="微软雅黑" w:cs="仿宋"/>
                <w:color w:val="auto"/>
                <w:szCs w:val="21"/>
                <w:highlight w:val="none"/>
              </w:rPr>
              <w:t>附：1.有效的营业执照副本复印件（加盖单位公章）；</w:t>
            </w:r>
          </w:p>
          <w:p w14:paraId="2126CDF2">
            <w:pPr>
              <w:spacing w:line="460" w:lineRule="exact"/>
              <w:rPr>
                <w:rFonts w:hint="eastAsia"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 xml:space="preserve">       2.报名人有效身份证件复印件</w:t>
            </w:r>
          </w:p>
          <w:p w14:paraId="68B7769B">
            <w:pPr>
              <w:spacing w:line="460" w:lineRule="exact"/>
              <w:rPr>
                <w:rFonts w:hint="eastAsia" w:ascii="微软雅黑" w:hAnsi="微软雅黑" w:eastAsia="微软雅黑" w:cs="仿宋"/>
                <w:color w:val="auto"/>
                <w:szCs w:val="21"/>
                <w:highlight w:val="none"/>
              </w:rPr>
            </w:pPr>
          </w:p>
          <w:p w14:paraId="614E1344">
            <w:pPr>
              <w:spacing w:line="460" w:lineRule="exact"/>
              <w:rPr>
                <w:rFonts w:hint="eastAsia" w:ascii="微软雅黑" w:hAnsi="微软雅黑" w:eastAsia="微软雅黑" w:cs="仿宋"/>
                <w:color w:val="auto"/>
                <w:szCs w:val="21"/>
                <w:highlight w:val="none"/>
              </w:rPr>
            </w:pPr>
          </w:p>
          <w:p w14:paraId="0B45F451">
            <w:pPr>
              <w:pStyle w:val="35"/>
              <w:wordWrap w:val="0"/>
              <w:spacing w:before="0" w:beforeAutospacing="0" w:after="0" w:afterAutospacing="0" w:line="460" w:lineRule="exact"/>
              <w:ind w:firstLine="555"/>
              <w:rPr>
                <w:rFonts w:hint="eastAsia" w:ascii="微软雅黑" w:hAnsi="微软雅黑" w:eastAsia="微软雅黑"/>
                <w:color w:val="auto"/>
                <w:kern w:val="2"/>
                <w:sz w:val="21"/>
                <w:szCs w:val="21"/>
                <w:highlight w:val="none"/>
              </w:rPr>
            </w:pPr>
          </w:p>
          <w:p w14:paraId="15BA8E63">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30F51FF7">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 xml:space="preserve">    报名单位公章：</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kern w:val="2"/>
                <w:sz w:val="21"/>
                <w:szCs w:val="21"/>
                <w:highlight w:val="none"/>
              </w:rPr>
              <w:t>        </w:t>
            </w:r>
          </w:p>
          <w:p w14:paraId="46D822D1">
            <w:pPr>
              <w:pStyle w:val="35"/>
              <w:wordWrap w:val="0"/>
              <w:spacing w:before="0" w:beforeAutospacing="0" w:after="0" w:afterAutospacing="0" w:line="315" w:lineRule="atLeast"/>
              <w:ind w:left="540" w:firstLine="30"/>
              <w:jc w:val="both"/>
              <w:rPr>
                <w:rFonts w:hint="eastAsia" w:ascii="微软雅黑" w:hAnsi="微软雅黑" w:eastAsia="微软雅黑" w:cs="仿宋_GB2312"/>
                <w:color w:val="auto"/>
                <w:kern w:val="2"/>
                <w:sz w:val="21"/>
                <w:szCs w:val="21"/>
                <w:highlight w:val="none"/>
              </w:rPr>
            </w:pPr>
          </w:p>
          <w:p w14:paraId="6CBC8ED4">
            <w:pPr>
              <w:pStyle w:val="35"/>
              <w:wordWrap w:val="0"/>
              <w:spacing w:before="0" w:beforeAutospacing="0" w:after="0" w:afterAutospacing="0" w:line="315" w:lineRule="atLeast"/>
              <w:ind w:firstLine="420" w:firstLineChars="200"/>
              <w:jc w:val="both"/>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法人代表或负责人签字或盖章：</w:t>
            </w:r>
            <w:r>
              <w:rPr>
                <w:rFonts w:hint="eastAsia" w:ascii="微软雅黑" w:hAnsi="微软雅黑" w:eastAsia="微软雅黑"/>
                <w:color w:val="auto"/>
                <w:kern w:val="2"/>
                <w:sz w:val="21"/>
                <w:szCs w:val="21"/>
                <w:highlight w:val="none"/>
                <w:u w:val="single"/>
              </w:rPr>
              <w:t>         </w:t>
            </w:r>
          </w:p>
          <w:p w14:paraId="18C0523B">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251F549D">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3DFDC0D6">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 2024年</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月</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日</w:t>
            </w:r>
          </w:p>
        </w:tc>
      </w:tr>
    </w:tbl>
    <w:p w14:paraId="64F9AB57">
      <w:pPr>
        <w:rPr>
          <w:rFonts w:hint="eastAsia" w:ascii="微软雅黑" w:hAnsi="微软雅黑" w:eastAsia="微软雅黑"/>
          <w:color w:val="auto"/>
          <w:szCs w:val="21"/>
          <w:highlight w:val="none"/>
        </w:rPr>
      </w:pPr>
    </w:p>
    <w:bookmarkEnd w:id="133"/>
    <w:sectPr>
      <w:pgSz w:w="11907"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6C720B-26B1-4AB4-8785-45CFC6F490CB}"/>
  </w:font>
  <w:font w:name="黑体">
    <w:panose1 w:val="02010609060101010101"/>
    <w:charset w:val="86"/>
    <w:family w:val="auto"/>
    <w:pitch w:val="default"/>
    <w:sig w:usb0="800002BF" w:usb1="38CF7CFA" w:usb2="00000016" w:usb3="00000000" w:csb0="00040001" w:csb1="00000000"/>
    <w:embedRegular r:id="rId2" w:fontKey="{6A6E103C-D823-4C56-81C9-D6A1DE32CA7B}"/>
  </w:font>
  <w:font w:name="Courier New">
    <w:panose1 w:val="02070309020205020404"/>
    <w:charset w:val="01"/>
    <w:family w:val="modern"/>
    <w:pitch w:val="default"/>
    <w:sig w:usb0="E0002EFF" w:usb1="C0007843" w:usb2="00000009" w:usb3="00000000" w:csb0="400001FF" w:csb1="FFFF0000"/>
    <w:embedRegular r:id="rId3" w:fontKey="{5762CAFE-11D6-4C0D-93A6-941FD6BED84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4" w:fontKey="{30FFE201-D218-49FC-B1CF-B8AA299633CD}"/>
  </w:font>
  <w:font w:name="仿宋_GB2312">
    <w:panose1 w:val="02010609030101010101"/>
    <w:charset w:val="86"/>
    <w:family w:val="modern"/>
    <w:pitch w:val="default"/>
    <w:sig w:usb0="00000001" w:usb1="080E0000" w:usb2="00000000" w:usb3="00000000" w:csb0="00040000" w:csb1="00000000"/>
    <w:embedRegular r:id="rId5" w:fontKey="{AA7A587F-A72F-4BCA-AA1B-FA3F54BB86C5}"/>
  </w:font>
  <w:font w:name="楷体_GB2312">
    <w:altName w:val="楷体"/>
    <w:panose1 w:val="00000000000000000000"/>
    <w:charset w:val="86"/>
    <w:family w:val="modern"/>
    <w:pitch w:val="default"/>
    <w:sig w:usb0="00000000" w:usb1="00000000" w:usb2="00000010" w:usb3="00000000" w:csb0="00040000" w:csb1="00000000"/>
    <w:embedRegular r:id="rId6" w:fontKey="{48CFC2CE-2F26-424A-8C64-153C404E142D}"/>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7" w:fontKey="{6CAEDFD0-2AD4-4EAD-81FB-BBDA35884986}"/>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embedRegular r:id="rId8" w:fontKey="{6AE5DDA6-4113-4E66-9B62-FF9F3F613362}"/>
  </w:font>
  <w:font w:name="Verdana">
    <w:panose1 w:val="020B0604030504040204"/>
    <w:charset w:val="00"/>
    <w:family w:val="swiss"/>
    <w:pitch w:val="default"/>
    <w:sig w:usb0="A00006FF" w:usb1="4000205B" w:usb2="00000010" w:usb3="00000000" w:csb0="2000019F" w:csb1="00000000"/>
  </w:font>
  <w:font w:name="方正粗黑宋简体">
    <w:panose1 w:val="02000000000000000000"/>
    <w:charset w:val="86"/>
    <w:family w:val="auto"/>
    <w:pitch w:val="default"/>
    <w:sig w:usb0="A00002BF" w:usb1="184F6CFA" w:usb2="00000012" w:usb3="00000000" w:csb0="00040001" w:csb1="00000000"/>
    <w:embedRegular r:id="rId9" w:fontKey="{9B6B37EB-D0A9-4C16-AB94-E22B57F90BA3}"/>
  </w:font>
  <w:font w:name="方正小标宋简体">
    <w:panose1 w:val="02000000000000000000"/>
    <w:charset w:val="86"/>
    <w:family w:val="auto"/>
    <w:pitch w:val="default"/>
    <w:sig w:usb0="00000001" w:usb1="08000000" w:usb2="00000000" w:usb3="00000000" w:csb0="00040000" w:csb1="00000000"/>
    <w:embedRegular r:id="rId10" w:fontKey="{4664F31D-83F3-4B6D-8877-B6690FD4377D}"/>
  </w:font>
  <w:font w:name="-apple-system">
    <w:altName w:val="微软雅黑"/>
    <w:panose1 w:val="00000000000000000000"/>
    <w:charset w:val="00"/>
    <w:family w:val="auto"/>
    <w:pitch w:val="default"/>
    <w:sig w:usb0="00000000" w:usb1="00000000" w:usb2="00000000" w:usb3="00000000" w:csb0="00040001" w:csb1="00000000"/>
    <w:embedRegular r:id="rId11" w:fontKey="{3B876373-20A7-41D0-9517-F793964795CC}"/>
  </w:font>
  <w:font w:name="仿宋">
    <w:panose1 w:val="02010609060101010101"/>
    <w:charset w:val="86"/>
    <w:family w:val="modern"/>
    <w:pitch w:val="default"/>
    <w:sig w:usb0="800002BF" w:usb1="38CF7CFA" w:usb2="00000016" w:usb3="00000000" w:csb0="00040001" w:csb1="00000000"/>
    <w:embedRegular r:id="rId12" w:fontKey="{696EBBE9-118A-4540-A00E-953DE2D9A6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89256"/>
    </w:sdtPr>
    <w:sdtContent>
      <w:p w14:paraId="605EADD8">
        <w:pPr>
          <w:pStyle w:val="26"/>
          <w:jc w:val="right"/>
        </w:pPr>
        <w:r>
          <w:rPr>
            <w:lang w:val="zh-CN"/>
          </w:rPr>
          <w:fldChar w:fldCharType="begin"/>
        </w:r>
        <w:r>
          <w:rPr>
            <w:lang w:val="zh-CN"/>
          </w:rPr>
          <w:instrText xml:space="preserve"> PAGE   \* MERGEFORMAT </w:instrText>
        </w:r>
        <w:r>
          <w:rPr>
            <w:lang w:val="zh-CN"/>
          </w:rPr>
          <w:fldChar w:fldCharType="separate"/>
        </w:r>
        <w:r>
          <w:rPr>
            <w:lang w:val="zh-CN"/>
          </w:rPr>
          <w:t>17</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7F74">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14:paraId="19DD4C8D">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E1D8">
    <w:pPr>
      <w:pStyle w:val="26"/>
      <w:jc w:val="right"/>
    </w:pPr>
  </w:p>
  <w:p w14:paraId="1862EC6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D4048">
    <w:pPr>
      <w:pStyle w:val="26"/>
      <w:jc w:val="right"/>
    </w:pPr>
    <w:r>
      <w:rPr>
        <w:rFonts w:hint="eastAsia"/>
      </w:rPr>
      <w:t>32</w:t>
    </w:r>
  </w:p>
  <w:p w14:paraId="4047F94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CEEC">
    <w:pPr>
      <w:pStyle w:val="27"/>
      <w:jc w:val="right"/>
      <w:rPr>
        <w:rFonts w:hint="eastAsia" w:ascii="微软雅黑" w:hAnsi="微软雅黑" w:eastAsia="微软雅黑"/>
        <w:szCs w:val="18"/>
      </w:rPr>
    </w:pPr>
    <w:r>
      <w:rPr>
        <w:rFonts w:ascii="微软雅黑" w:hAnsi="微软雅黑" w:eastAsia="微软雅黑"/>
        <w:szCs w:val="18"/>
      </w:rPr>
      <w:drawing>
        <wp:anchor distT="0" distB="0" distL="114300" distR="114300" simplePos="0" relativeHeight="251660288" behindDoc="0" locked="0" layoutInCell="1" allowOverlap="1">
          <wp:simplePos x="0" y="0"/>
          <wp:positionH relativeFrom="column">
            <wp:posOffset>-255270</wp:posOffset>
          </wp:positionH>
          <wp:positionV relativeFrom="paragraph">
            <wp:posOffset>-235585</wp:posOffset>
          </wp:positionV>
          <wp:extent cx="447675" cy="390525"/>
          <wp:effectExtent l="19050" t="0" r="9525" b="0"/>
          <wp:wrapNone/>
          <wp:docPr id="8"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Cs w:val="18"/>
        <w:lang w:eastAsia="zh-CN"/>
      </w:rPr>
      <w:t>嘉兴市秀洲区人民法院资金帐户招标项目</w:t>
    </w:r>
    <w:r>
      <w:rPr>
        <w:rFonts w:hint="eastAsia" w:ascii="微软雅黑" w:hAnsi="微软雅黑" w:eastAsia="微软雅黑"/>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41E9">
    <w:pPr>
      <w:pStyle w:val="27"/>
      <w:jc w:val="right"/>
      <w:rPr>
        <w:szCs w:val="18"/>
      </w:rPr>
    </w:pPr>
    <w:r>
      <w:rPr>
        <w:rFonts w:ascii="微软雅黑" w:hAnsi="微软雅黑" w:eastAsia="微软雅黑"/>
        <w:szCs w:val="18"/>
      </w:rPr>
      <w:drawing>
        <wp:anchor distT="0" distB="0" distL="114300" distR="114300" simplePos="0" relativeHeight="251659264" behindDoc="0" locked="0" layoutInCell="1" allowOverlap="1">
          <wp:simplePos x="0" y="0"/>
          <wp:positionH relativeFrom="column">
            <wp:posOffset>-274320</wp:posOffset>
          </wp:positionH>
          <wp:positionV relativeFrom="paragraph">
            <wp:posOffset>-197485</wp:posOffset>
          </wp:positionV>
          <wp:extent cx="447675" cy="390525"/>
          <wp:effectExtent l="19050" t="0" r="9525" b="0"/>
          <wp:wrapNone/>
          <wp:docPr id="7"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Cs w:val="18"/>
        <w:lang w:eastAsia="zh-CN"/>
      </w:rPr>
      <w:t>嘉兴市秀洲区人民法院资金帐户招标项目</w:t>
    </w:r>
    <w:r>
      <w:rPr>
        <w:rFonts w:hint="eastAsia" w:ascii="微软雅黑" w:hAnsi="微软雅黑" w:eastAsia="微软雅黑"/>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2BDC"/>
    <w:multiLevelType w:val="singleLevel"/>
    <w:tmpl w:val="88A52BDC"/>
    <w:lvl w:ilvl="0" w:tentative="0">
      <w:start w:val="1"/>
      <w:numFmt w:val="decimal"/>
      <w:lvlText w:val="%1."/>
      <w:lvlJc w:val="left"/>
      <w:pPr>
        <w:ind w:left="425" w:hanging="425"/>
      </w:pPr>
      <w:rPr>
        <w:rFonts w:hint="default"/>
      </w:rPr>
    </w:lvl>
  </w:abstractNum>
  <w:abstractNum w:abstractNumId="1">
    <w:nsid w:val="8A826A00"/>
    <w:multiLevelType w:val="multilevel"/>
    <w:tmpl w:val="8A826A0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90A31765"/>
    <w:multiLevelType w:val="singleLevel"/>
    <w:tmpl w:val="90A31765"/>
    <w:lvl w:ilvl="0" w:tentative="0">
      <w:start w:val="1"/>
      <w:numFmt w:val="decimal"/>
      <w:lvlText w:val="(%1)"/>
      <w:lvlJc w:val="left"/>
      <w:pPr>
        <w:ind w:left="425" w:hanging="425"/>
      </w:pPr>
      <w:rPr>
        <w:rFonts w:hint="default"/>
      </w:rPr>
    </w:lvl>
  </w:abstractNum>
  <w:abstractNum w:abstractNumId="3">
    <w:nsid w:val="95BCF98A"/>
    <w:multiLevelType w:val="singleLevel"/>
    <w:tmpl w:val="95BCF98A"/>
    <w:lvl w:ilvl="0" w:tentative="0">
      <w:start w:val="1"/>
      <w:numFmt w:val="decimal"/>
      <w:lvlText w:val="%1."/>
      <w:lvlJc w:val="left"/>
      <w:pPr>
        <w:ind w:left="425" w:hanging="425"/>
      </w:pPr>
      <w:rPr>
        <w:rFonts w:hint="default"/>
      </w:rPr>
    </w:lvl>
  </w:abstractNum>
  <w:abstractNum w:abstractNumId="4">
    <w:nsid w:val="AD0A639B"/>
    <w:multiLevelType w:val="singleLevel"/>
    <w:tmpl w:val="AD0A639B"/>
    <w:lvl w:ilvl="0" w:tentative="0">
      <w:start w:val="1"/>
      <w:numFmt w:val="decimal"/>
      <w:lvlText w:val="%1."/>
      <w:lvlJc w:val="left"/>
      <w:pPr>
        <w:ind w:left="425" w:hanging="425"/>
      </w:pPr>
      <w:rPr>
        <w:rFonts w:hint="default"/>
      </w:rPr>
    </w:lvl>
  </w:abstractNum>
  <w:abstractNum w:abstractNumId="5">
    <w:nsid w:val="B16DD3B8"/>
    <w:multiLevelType w:val="singleLevel"/>
    <w:tmpl w:val="B16DD3B8"/>
    <w:lvl w:ilvl="0" w:tentative="0">
      <w:start w:val="1"/>
      <w:numFmt w:val="decimal"/>
      <w:lvlText w:val="%1."/>
      <w:lvlJc w:val="left"/>
      <w:pPr>
        <w:ind w:left="425" w:hanging="425"/>
      </w:pPr>
      <w:rPr>
        <w:rFonts w:hint="default"/>
      </w:rPr>
    </w:lvl>
  </w:abstractNum>
  <w:abstractNum w:abstractNumId="6">
    <w:nsid w:val="B3C48481"/>
    <w:multiLevelType w:val="multilevel"/>
    <w:tmpl w:val="B3C4848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7">
    <w:nsid w:val="C30591CF"/>
    <w:multiLevelType w:val="singleLevel"/>
    <w:tmpl w:val="C30591CF"/>
    <w:lvl w:ilvl="0" w:tentative="0">
      <w:start w:val="1"/>
      <w:numFmt w:val="decimal"/>
      <w:lvlText w:val="(%1)"/>
      <w:lvlJc w:val="left"/>
      <w:pPr>
        <w:ind w:left="425" w:hanging="425"/>
      </w:pPr>
      <w:rPr>
        <w:rFonts w:hint="default"/>
      </w:rPr>
    </w:lvl>
  </w:abstractNum>
  <w:abstractNum w:abstractNumId="8">
    <w:nsid w:val="C70EAB13"/>
    <w:multiLevelType w:val="singleLevel"/>
    <w:tmpl w:val="C70EAB13"/>
    <w:lvl w:ilvl="0" w:tentative="0">
      <w:start w:val="1"/>
      <w:numFmt w:val="decimal"/>
      <w:lvlText w:val="%1."/>
      <w:lvlJc w:val="left"/>
      <w:pPr>
        <w:ind w:left="425" w:hanging="425"/>
      </w:pPr>
      <w:rPr>
        <w:rFonts w:hint="default"/>
      </w:rPr>
    </w:lvl>
  </w:abstractNum>
  <w:abstractNum w:abstractNumId="9">
    <w:nsid w:val="CBE9ACB4"/>
    <w:multiLevelType w:val="singleLevel"/>
    <w:tmpl w:val="CBE9ACB4"/>
    <w:lvl w:ilvl="0" w:tentative="0">
      <w:start w:val="1"/>
      <w:numFmt w:val="decimal"/>
      <w:lvlText w:val="%1."/>
      <w:lvlJc w:val="left"/>
      <w:pPr>
        <w:ind w:left="425" w:hanging="425"/>
      </w:pPr>
      <w:rPr>
        <w:rFonts w:hint="default"/>
      </w:rPr>
    </w:lvl>
  </w:abstractNum>
  <w:abstractNum w:abstractNumId="10">
    <w:nsid w:val="D33917DA"/>
    <w:multiLevelType w:val="multilevel"/>
    <w:tmpl w:val="D33917D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D8B03D13"/>
    <w:multiLevelType w:val="singleLevel"/>
    <w:tmpl w:val="D8B03D13"/>
    <w:lvl w:ilvl="0" w:tentative="0">
      <w:start w:val="1"/>
      <w:numFmt w:val="decimal"/>
      <w:lvlText w:val="%1."/>
      <w:lvlJc w:val="left"/>
      <w:pPr>
        <w:ind w:left="425" w:hanging="425"/>
      </w:pPr>
      <w:rPr>
        <w:rFonts w:hint="default"/>
      </w:rPr>
    </w:lvl>
  </w:abstractNum>
  <w:abstractNum w:abstractNumId="12">
    <w:nsid w:val="E3E6BB85"/>
    <w:multiLevelType w:val="singleLevel"/>
    <w:tmpl w:val="E3E6BB85"/>
    <w:lvl w:ilvl="0" w:tentative="0">
      <w:start w:val="1"/>
      <w:numFmt w:val="decimal"/>
      <w:lvlText w:val="%1."/>
      <w:lvlJc w:val="left"/>
      <w:pPr>
        <w:ind w:left="425" w:hanging="425"/>
      </w:pPr>
      <w:rPr>
        <w:rFonts w:hint="default"/>
      </w:rPr>
    </w:lvl>
  </w:abstractNum>
  <w:abstractNum w:abstractNumId="13">
    <w:nsid w:val="E475F1C9"/>
    <w:multiLevelType w:val="singleLevel"/>
    <w:tmpl w:val="E475F1C9"/>
    <w:lvl w:ilvl="0" w:tentative="0">
      <w:start w:val="1"/>
      <w:numFmt w:val="decimal"/>
      <w:lvlText w:val="%1."/>
      <w:lvlJc w:val="left"/>
      <w:pPr>
        <w:ind w:left="425" w:hanging="425"/>
      </w:pPr>
      <w:rPr>
        <w:rFonts w:hint="default"/>
      </w:rPr>
    </w:lvl>
  </w:abstractNum>
  <w:abstractNum w:abstractNumId="14">
    <w:nsid w:val="F921381C"/>
    <w:multiLevelType w:val="singleLevel"/>
    <w:tmpl w:val="F921381C"/>
    <w:lvl w:ilvl="0" w:tentative="0">
      <w:start w:val="1"/>
      <w:numFmt w:val="decimal"/>
      <w:lvlText w:val="%1."/>
      <w:lvlJc w:val="left"/>
      <w:pPr>
        <w:ind w:left="425" w:hanging="425"/>
      </w:pPr>
      <w:rPr>
        <w:rFonts w:hint="default"/>
      </w:rPr>
    </w:lvl>
  </w:abstractNum>
  <w:abstractNum w:abstractNumId="15">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16">
    <w:nsid w:val="00D64AA4"/>
    <w:multiLevelType w:val="multilevel"/>
    <w:tmpl w:val="00D64AA4"/>
    <w:lvl w:ilvl="0" w:tentative="0">
      <w:start w:val="1"/>
      <w:numFmt w:val="decimal"/>
      <w:lvlText w:val="%1."/>
      <w:lvlJc w:val="left"/>
      <w:pPr>
        <w:ind w:left="1575" w:hanging="103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7">
    <w:nsid w:val="0156FA7D"/>
    <w:multiLevelType w:val="singleLevel"/>
    <w:tmpl w:val="0156FA7D"/>
    <w:lvl w:ilvl="0" w:tentative="0">
      <w:start w:val="6"/>
      <w:numFmt w:val="chineseCounting"/>
      <w:suff w:val="nothing"/>
      <w:lvlText w:val="%1、"/>
      <w:lvlJc w:val="left"/>
      <w:rPr>
        <w:rFonts w:hint="eastAsia"/>
      </w:rPr>
    </w:lvl>
  </w:abstractNum>
  <w:abstractNum w:abstractNumId="18">
    <w:nsid w:val="1ED9D2B8"/>
    <w:multiLevelType w:val="singleLevel"/>
    <w:tmpl w:val="1ED9D2B8"/>
    <w:lvl w:ilvl="0" w:tentative="0">
      <w:start w:val="1"/>
      <w:numFmt w:val="decimal"/>
      <w:lvlText w:val="%1."/>
      <w:lvlJc w:val="left"/>
      <w:pPr>
        <w:ind w:left="425" w:hanging="425"/>
      </w:pPr>
      <w:rPr>
        <w:rFonts w:hint="default"/>
      </w:rPr>
    </w:lvl>
  </w:abstractNum>
  <w:abstractNum w:abstractNumId="19">
    <w:nsid w:val="20FC13BD"/>
    <w:multiLevelType w:val="singleLevel"/>
    <w:tmpl w:val="20FC13BD"/>
    <w:lvl w:ilvl="0" w:tentative="0">
      <w:start w:val="1"/>
      <w:numFmt w:val="decimal"/>
      <w:lvlText w:val="%1."/>
      <w:lvlJc w:val="left"/>
      <w:pPr>
        <w:ind w:left="425" w:hanging="425"/>
      </w:pPr>
      <w:rPr>
        <w:rFonts w:hint="default"/>
      </w:rPr>
    </w:lvl>
  </w:abstractNum>
  <w:abstractNum w:abstractNumId="20">
    <w:nsid w:val="21DF733D"/>
    <w:multiLevelType w:val="singleLevel"/>
    <w:tmpl w:val="21DF733D"/>
    <w:lvl w:ilvl="0" w:tentative="0">
      <w:start w:val="1"/>
      <w:numFmt w:val="decimal"/>
      <w:lvlText w:val="%1."/>
      <w:lvlJc w:val="left"/>
      <w:pPr>
        <w:ind w:left="425" w:hanging="425"/>
      </w:pPr>
      <w:rPr>
        <w:rFonts w:hint="default"/>
      </w:rPr>
    </w:lvl>
  </w:abstractNum>
  <w:abstractNum w:abstractNumId="21">
    <w:nsid w:val="27F653EE"/>
    <w:multiLevelType w:val="multilevel"/>
    <w:tmpl w:val="27F653EE"/>
    <w:lvl w:ilvl="0" w:tentative="0">
      <w:start w:val="1"/>
      <w:numFmt w:val="chineseCount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8F7E069"/>
    <w:multiLevelType w:val="singleLevel"/>
    <w:tmpl w:val="28F7E069"/>
    <w:lvl w:ilvl="0" w:tentative="0">
      <w:start w:val="1"/>
      <w:numFmt w:val="decimal"/>
      <w:lvlText w:val="%1."/>
      <w:lvlJc w:val="left"/>
      <w:pPr>
        <w:ind w:left="425" w:hanging="425"/>
      </w:pPr>
      <w:rPr>
        <w:rFonts w:hint="default"/>
      </w:rPr>
    </w:lvl>
  </w:abstractNum>
  <w:abstractNum w:abstractNumId="23">
    <w:nsid w:val="329BCF6E"/>
    <w:multiLevelType w:val="singleLevel"/>
    <w:tmpl w:val="329BCF6E"/>
    <w:lvl w:ilvl="0" w:tentative="0">
      <w:start w:val="1"/>
      <w:numFmt w:val="chineseCounting"/>
      <w:suff w:val="nothing"/>
      <w:lvlText w:val="（%1）"/>
      <w:lvlJc w:val="left"/>
      <w:rPr>
        <w:rFonts w:hint="eastAsia"/>
      </w:rPr>
    </w:lvl>
  </w:abstractNum>
  <w:abstractNum w:abstractNumId="24">
    <w:nsid w:val="45982B15"/>
    <w:multiLevelType w:val="multilevel"/>
    <w:tmpl w:val="45982B15"/>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4A9EB156"/>
    <w:multiLevelType w:val="singleLevel"/>
    <w:tmpl w:val="4A9EB156"/>
    <w:lvl w:ilvl="0" w:tentative="0">
      <w:start w:val="1"/>
      <w:numFmt w:val="chineseCounting"/>
      <w:suff w:val="nothing"/>
      <w:lvlText w:val="%1、"/>
      <w:lvlJc w:val="left"/>
      <w:pPr>
        <w:ind w:left="0" w:firstLine="420"/>
      </w:pPr>
      <w:rPr>
        <w:rFonts w:hint="eastAsia"/>
      </w:rPr>
    </w:lvl>
  </w:abstractNum>
  <w:abstractNum w:abstractNumId="26">
    <w:nsid w:val="4BE88B9E"/>
    <w:multiLevelType w:val="singleLevel"/>
    <w:tmpl w:val="4BE88B9E"/>
    <w:lvl w:ilvl="0" w:tentative="0">
      <w:start w:val="1"/>
      <w:numFmt w:val="decimal"/>
      <w:lvlText w:val="%1."/>
      <w:lvlJc w:val="left"/>
      <w:pPr>
        <w:ind w:left="425" w:hanging="425"/>
      </w:pPr>
      <w:rPr>
        <w:rFonts w:hint="default"/>
      </w:rPr>
    </w:lvl>
  </w:abstractNum>
  <w:abstractNum w:abstractNumId="27">
    <w:nsid w:val="4C714DD7"/>
    <w:multiLevelType w:val="multilevel"/>
    <w:tmpl w:val="4C714DD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decimal"/>
      <w:lvlText w:val="%3、"/>
      <w:lvlJc w:val="left"/>
      <w:pPr>
        <w:ind w:left="1575" w:hanging="735"/>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25A00BB"/>
    <w:multiLevelType w:val="singleLevel"/>
    <w:tmpl w:val="625A00BB"/>
    <w:lvl w:ilvl="0" w:tentative="0">
      <w:start w:val="1"/>
      <w:numFmt w:val="decimal"/>
      <w:lvlText w:val="%1."/>
      <w:lvlJc w:val="left"/>
      <w:pPr>
        <w:ind w:left="425" w:hanging="425"/>
      </w:pPr>
      <w:rPr>
        <w:rFonts w:hint="default"/>
      </w:rPr>
    </w:lvl>
  </w:abstractNum>
  <w:abstractNum w:abstractNumId="29">
    <w:nsid w:val="63EEBE5E"/>
    <w:multiLevelType w:val="singleLevel"/>
    <w:tmpl w:val="63EEBE5E"/>
    <w:lvl w:ilvl="0" w:tentative="0">
      <w:start w:val="1"/>
      <w:numFmt w:val="decimal"/>
      <w:lvlText w:val="%1."/>
      <w:lvlJc w:val="left"/>
      <w:pPr>
        <w:ind w:left="425" w:hanging="425"/>
      </w:pPr>
      <w:rPr>
        <w:rFonts w:hint="default"/>
      </w:rPr>
    </w:lvl>
  </w:abstractNum>
  <w:abstractNum w:abstractNumId="30">
    <w:nsid w:val="6D8C2D0B"/>
    <w:multiLevelType w:val="singleLevel"/>
    <w:tmpl w:val="6D8C2D0B"/>
    <w:lvl w:ilvl="0" w:tentative="0">
      <w:start w:val="1"/>
      <w:numFmt w:val="chineseCounting"/>
      <w:suff w:val="nothing"/>
      <w:lvlText w:val="%1、"/>
      <w:lvlJc w:val="left"/>
      <w:pPr>
        <w:ind w:left="6" w:firstLine="420"/>
      </w:pPr>
      <w:rPr>
        <w:rFonts w:hint="eastAsia"/>
      </w:rPr>
    </w:lvl>
  </w:abstractNum>
  <w:num w:numId="1">
    <w:abstractNumId w:val="6"/>
  </w:num>
  <w:num w:numId="2">
    <w:abstractNumId w:val="15"/>
  </w:num>
  <w:num w:numId="3">
    <w:abstractNumId w:val="10"/>
  </w:num>
  <w:num w:numId="4">
    <w:abstractNumId w:val="30"/>
    <w:lvlOverride w:ilvl="0">
      <w:startOverride w:val="1"/>
    </w:lvlOverride>
  </w:num>
  <w:num w:numId="5">
    <w:abstractNumId w:val="28"/>
    <w:lvlOverride w:ilvl="0">
      <w:startOverride w:val="1"/>
    </w:lvlOverride>
  </w:num>
  <w:num w:numId="6">
    <w:abstractNumId w:val="16"/>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9"/>
  </w:num>
  <w:num w:numId="12">
    <w:abstractNumId w:val="11"/>
  </w:num>
  <w:num w:numId="13">
    <w:abstractNumId w:val="3"/>
  </w:num>
  <w:num w:numId="14">
    <w:abstractNumId w:val="0"/>
  </w:num>
  <w:num w:numId="15">
    <w:abstractNumId w:val="18"/>
  </w:num>
  <w:num w:numId="16">
    <w:abstractNumId w:val="13"/>
  </w:num>
  <w:num w:numId="17">
    <w:abstractNumId w:val="8"/>
  </w:num>
  <w:num w:numId="18">
    <w:abstractNumId w:val="14"/>
  </w:num>
  <w:num w:numId="19">
    <w:abstractNumId w:val="22"/>
  </w:num>
  <w:num w:numId="20">
    <w:abstractNumId w:val="9"/>
  </w:num>
  <w:num w:numId="21">
    <w:abstractNumId w:val="1"/>
  </w:num>
  <w:num w:numId="22">
    <w:abstractNumId w:val="27"/>
  </w:num>
  <w:num w:numId="23">
    <w:abstractNumId w:val="2"/>
  </w:num>
  <w:num w:numId="24">
    <w:abstractNumId w:val="7"/>
  </w:num>
  <w:num w:numId="25">
    <w:abstractNumId w:val="20"/>
  </w:num>
  <w:num w:numId="26">
    <w:abstractNumId w:val="25"/>
  </w:num>
  <w:num w:numId="27">
    <w:abstractNumId w:val="23"/>
  </w:num>
  <w:num w:numId="28">
    <w:abstractNumId w:val="5"/>
  </w:num>
  <w:num w:numId="29">
    <w:abstractNumId w:val="24"/>
  </w:num>
  <w:num w:numId="30">
    <w:abstractNumId w:val="4"/>
  </w:num>
  <w:num w:numId="31">
    <w:abstractNumId w:val="26"/>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OGJjYjA4NWM3ZTU1YjEyOGY1ZmQ1ZTU1YWFlODIifQ=="/>
  </w:docVars>
  <w:rsids>
    <w:rsidRoot w:val="006D32D0"/>
    <w:rsid w:val="000002BF"/>
    <w:rsid w:val="0000149B"/>
    <w:rsid w:val="00002187"/>
    <w:rsid w:val="00007C69"/>
    <w:rsid w:val="00010B5D"/>
    <w:rsid w:val="00017B42"/>
    <w:rsid w:val="00024AA7"/>
    <w:rsid w:val="0003290F"/>
    <w:rsid w:val="00033AF5"/>
    <w:rsid w:val="000340B0"/>
    <w:rsid w:val="00035DC4"/>
    <w:rsid w:val="0003635C"/>
    <w:rsid w:val="00040B75"/>
    <w:rsid w:val="00040BF8"/>
    <w:rsid w:val="0004175F"/>
    <w:rsid w:val="00042F14"/>
    <w:rsid w:val="00045DDF"/>
    <w:rsid w:val="00046C37"/>
    <w:rsid w:val="0005248B"/>
    <w:rsid w:val="00060249"/>
    <w:rsid w:val="0006419B"/>
    <w:rsid w:val="00064C8B"/>
    <w:rsid w:val="00065A60"/>
    <w:rsid w:val="00066145"/>
    <w:rsid w:val="00066D2F"/>
    <w:rsid w:val="000735A5"/>
    <w:rsid w:val="00073FFF"/>
    <w:rsid w:val="00074098"/>
    <w:rsid w:val="000836B9"/>
    <w:rsid w:val="0008614C"/>
    <w:rsid w:val="0008663B"/>
    <w:rsid w:val="00090918"/>
    <w:rsid w:val="000921D0"/>
    <w:rsid w:val="0009344E"/>
    <w:rsid w:val="00094BA1"/>
    <w:rsid w:val="00094BBE"/>
    <w:rsid w:val="00094D78"/>
    <w:rsid w:val="000A4E02"/>
    <w:rsid w:val="000A5F93"/>
    <w:rsid w:val="000A6662"/>
    <w:rsid w:val="000A6A55"/>
    <w:rsid w:val="000A6FC5"/>
    <w:rsid w:val="000B1CD8"/>
    <w:rsid w:val="000B22BA"/>
    <w:rsid w:val="000B247C"/>
    <w:rsid w:val="000B5037"/>
    <w:rsid w:val="000B533B"/>
    <w:rsid w:val="000C2093"/>
    <w:rsid w:val="000C4023"/>
    <w:rsid w:val="000C55F1"/>
    <w:rsid w:val="000C58ED"/>
    <w:rsid w:val="000D1C0F"/>
    <w:rsid w:val="000D24D2"/>
    <w:rsid w:val="000D2952"/>
    <w:rsid w:val="000D3E8F"/>
    <w:rsid w:val="000D65E1"/>
    <w:rsid w:val="000D686A"/>
    <w:rsid w:val="000D7889"/>
    <w:rsid w:val="000E05F4"/>
    <w:rsid w:val="000E397D"/>
    <w:rsid w:val="000E4746"/>
    <w:rsid w:val="000E5A3A"/>
    <w:rsid w:val="000E6F76"/>
    <w:rsid w:val="000F098A"/>
    <w:rsid w:val="000F0A09"/>
    <w:rsid w:val="000F0D6E"/>
    <w:rsid w:val="000F1452"/>
    <w:rsid w:val="000F2893"/>
    <w:rsid w:val="000F43EA"/>
    <w:rsid w:val="000F5654"/>
    <w:rsid w:val="000F6278"/>
    <w:rsid w:val="000F6E21"/>
    <w:rsid w:val="000F7E65"/>
    <w:rsid w:val="00101C48"/>
    <w:rsid w:val="00105047"/>
    <w:rsid w:val="001056F1"/>
    <w:rsid w:val="001057E0"/>
    <w:rsid w:val="00105AC7"/>
    <w:rsid w:val="001060E9"/>
    <w:rsid w:val="00106307"/>
    <w:rsid w:val="001079C8"/>
    <w:rsid w:val="00107F10"/>
    <w:rsid w:val="00110D44"/>
    <w:rsid w:val="00114500"/>
    <w:rsid w:val="00114950"/>
    <w:rsid w:val="00117387"/>
    <w:rsid w:val="00117A31"/>
    <w:rsid w:val="001201EC"/>
    <w:rsid w:val="001227F5"/>
    <w:rsid w:val="00123B7A"/>
    <w:rsid w:val="001245B7"/>
    <w:rsid w:val="0012498A"/>
    <w:rsid w:val="00125657"/>
    <w:rsid w:val="00125918"/>
    <w:rsid w:val="00127FD6"/>
    <w:rsid w:val="00131C36"/>
    <w:rsid w:val="00131C61"/>
    <w:rsid w:val="00132299"/>
    <w:rsid w:val="00140425"/>
    <w:rsid w:val="00140AD3"/>
    <w:rsid w:val="00145218"/>
    <w:rsid w:val="001465A6"/>
    <w:rsid w:val="001468EB"/>
    <w:rsid w:val="00147046"/>
    <w:rsid w:val="001505CF"/>
    <w:rsid w:val="0015763C"/>
    <w:rsid w:val="00157908"/>
    <w:rsid w:val="0016069C"/>
    <w:rsid w:val="00165526"/>
    <w:rsid w:val="00170430"/>
    <w:rsid w:val="001748E9"/>
    <w:rsid w:val="001751BB"/>
    <w:rsid w:val="001801CA"/>
    <w:rsid w:val="00181F89"/>
    <w:rsid w:val="001833E8"/>
    <w:rsid w:val="00183931"/>
    <w:rsid w:val="001847A4"/>
    <w:rsid w:val="00184C36"/>
    <w:rsid w:val="0018586C"/>
    <w:rsid w:val="00185D73"/>
    <w:rsid w:val="0018643C"/>
    <w:rsid w:val="00186659"/>
    <w:rsid w:val="001918FE"/>
    <w:rsid w:val="00194B51"/>
    <w:rsid w:val="001960DB"/>
    <w:rsid w:val="00196B62"/>
    <w:rsid w:val="0019709E"/>
    <w:rsid w:val="001A0022"/>
    <w:rsid w:val="001A2156"/>
    <w:rsid w:val="001A458C"/>
    <w:rsid w:val="001A669D"/>
    <w:rsid w:val="001A6E75"/>
    <w:rsid w:val="001B2018"/>
    <w:rsid w:val="001B25E7"/>
    <w:rsid w:val="001B38FB"/>
    <w:rsid w:val="001C322D"/>
    <w:rsid w:val="001C3377"/>
    <w:rsid w:val="001C41AC"/>
    <w:rsid w:val="001C5A61"/>
    <w:rsid w:val="001D1D57"/>
    <w:rsid w:val="001D61A6"/>
    <w:rsid w:val="001D70E3"/>
    <w:rsid w:val="001D7238"/>
    <w:rsid w:val="001E267F"/>
    <w:rsid w:val="001E3319"/>
    <w:rsid w:val="001E43D3"/>
    <w:rsid w:val="001E4859"/>
    <w:rsid w:val="001E4FDD"/>
    <w:rsid w:val="001E501D"/>
    <w:rsid w:val="001E742D"/>
    <w:rsid w:val="001F0068"/>
    <w:rsid w:val="001F2FD5"/>
    <w:rsid w:val="001F5B88"/>
    <w:rsid w:val="002004F1"/>
    <w:rsid w:val="00202A3D"/>
    <w:rsid w:val="00203727"/>
    <w:rsid w:val="0020382C"/>
    <w:rsid w:val="00204D20"/>
    <w:rsid w:val="00210717"/>
    <w:rsid w:val="00213211"/>
    <w:rsid w:val="00220968"/>
    <w:rsid w:val="0022105D"/>
    <w:rsid w:val="00222FA3"/>
    <w:rsid w:val="002237CD"/>
    <w:rsid w:val="0023142B"/>
    <w:rsid w:val="00234CAB"/>
    <w:rsid w:val="00234E94"/>
    <w:rsid w:val="00241039"/>
    <w:rsid w:val="00250FA4"/>
    <w:rsid w:val="00252A9E"/>
    <w:rsid w:val="0025375C"/>
    <w:rsid w:val="002540AA"/>
    <w:rsid w:val="00254BA3"/>
    <w:rsid w:val="00256B16"/>
    <w:rsid w:val="002663F5"/>
    <w:rsid w:val="002678A4"/>
    <w:rsid w:val="00270EA8"/>
    <w:rsid w:val="00274D05"/>
    <w:rsid w:val="00275554"/>
    <w:rsid w:val="0027666B"/>
    <w:rsid w:val="002769E4"/>
    <w:rsid w:val="00281BCE"/>
    <w:rsid w:val="00281C0F"/>
    <w:rsid w:val="0028261F"/>
    <w:rsid w:val="0028537B"/>
    <w:rsid w:val="002916F7"/>
    <w:rsid w:val="00292409"/>
    <w:rsid w:val="002946CB"/>
    <w:rsid w:val="00294CA1"/>
    <w:rsid w:val="00296389"/>
    <w:rsid w:val="00297560"/>
    <w:rsid w:val="0029773B"/>
    <w:rsid w:val="002978CB"/>
    <w:rsid w:val="002A02EE"/>
    <w:rsid w:val="002A101B"/>
    <w:rsid w:val="002A140D"/>
    <w:rsid w:val="002A1B05"/>
    <w:rsid w:val="002A67E0"/>
    <w:rsid w:val="002A7611"/>
    <w:rsid w:val="002B1C4B"/>
    <w:rsid w:val="002B2621"/>
    <w:rsid w:val="002B3865"/>
    <w:rsid w:val="002B3FBD"/>
    <w:rsid w:val="002B5D62"/>
    <w:rsid w:val="002C1ECB"/>
    <w:rsid w:val="002C2298"/>
    <w:rsid w:val="002C275B"/>
    <w:rsid w:val="002C37EA"/>
    <w:rsid w:val="002C4073"/>
    <w:rsid w:val="002C6D45"/>
    <w:rsid w:val="002C7710"/>
    <w:rsid w:val="002C787B"/>
    <w:rsid w:val="002D1F59"/>
    <w:rsid w:val="002D351B"/>
    <w:rsid w:val="002E1852"/>
    <w:rsid w:val="002E1DDD"/>
    <w:rsid w:val="002E3F9D"/>
    <w:rsid w:val="002E6B60"/>
    <w:rsid w:val="002E71C6"/>
    <w:rsid w:val="002E7730"/>
    <w:rsid w:val="002E7C55"/>
    <w:rsid w:val="002F18D5"/>
    <w:rsid w:val="002F669F"/>
    <w:rsid w:val="002F6CC8"/>
    <w:rsid w:val="00300B33"/>
    <w:rsid w:val="00303856"/>
    <w:rsid w:val="003047BC"/>
    <w:rsid w:val="003052E2"/>
    <w:rsid w:val="00307346"/>
    <w:rsid w:val="00310C3D"/>
    <w:rsid w:val="003129C0"/>
    <w:rsid w:val="003131B9"/>
    <w:rsid w:val="003134D8"/>
    <w:rsid w:val="00314CEC"/>
    <w:rsid w:val="003152F9"/>
    <w:rsid w:val="0031684D"/>
    <w:rsid w:val="0031764A"/>
    <w:rsid w:val="003220FE"/>
    <w:rsid w:val="003230DE"/>
    <w:rsid w:val="0032333C"/>
    <w:rsid w:val="00323723"/>
    <w:rsid w:val="003244E9"/>
    <w:rsid w:val="003249B2"/>
    <w:rsid w:val="00325EB4"/>
    <w:rsid w:val="003304DD"/>
    <w:rsid w:val="00331B31"/>
    <w:rsid w:val="00333B46"/>
    <w:rsid w:val="00335394"/>
    <w:rsid w:val="00335C29"/>
    <w:rsid w:val="003370F9"/>
    <w:rsid w:val="0033766F"/>
    <w:rsid w:val="003378A7"/>
    <w:rsid w:val="00341BA8"/>
    <w:rsid w:val="00343366"/>
    <w:rsid w:val="00343867"/>
    <w:rsid w:val="00346E99"/>
    <w:rsid w:val="00350ADB"/>
    <w:rsid w:val="00355278"/>
    <w:rsid w:val="00362814"/>
    <w:rsid w:val="003653CE"/>
    <w:rsid w:val="003656D3"/>
    <w:rsid w:val="003663D0"/>
    <w:rsid w:val="00366CB7"/>
    <w:rsid w:val="00367E9D"/>
    <w:rsid w:val="00370B95"/>
    <w:rsid w:val="00374530"/>
    <w:rsid w:val="0037695B"/>
    <w:rsid w:val="003810F2"/>
    <w:rsid w:val="003817EE"/>
    <w:rsid w:val="003821B3"/>
    <w:rsid w:val="003837FB"/>
    <w:rsid w:val="0038487E"/>
    <w:rsid w:val="003859E1"/>
    <w:rsid w:val="00387485"/>
    <w:rsid w:val="00391A89"/>
    <w:rsid w:val="00391EC3"/>
    <w:rsid w:val="00393D13"/>
    <w:rsid w:val="003957C5"/>
    <w:rsid w:val="003A055B"/>
    <w:rsid w:val="003A10C9"/>
    <w:rsid w:val="003A392B"/>
    <w:rsid w:val="003A3A91"/>
    <w:rsid w:val="003A431C"/>
    <w:rsid w:val="003A4598"/>
    <w:rsid w:val="003A5554"/>
    <w:rsid w:val="003A7015"/>
    <w:rsid w:val="003B13E3"/>
    <w:rsid w:val="003B1DAC"/>
    <w:rsid w:val="003B38AB"/>
    <w:rsid w:val="003B6C49"/>
    <w:rsid w:val="003B7C77"/>
    <w:rsid w:val="003C037D"/>
    <w:rsid w:val="003C44D2"/>
    <w:rsid w:val="003C4E1B"/>
    <w:rsid w:val="003C51C5"/>
    <w:rsid w:val="003D2931"/>
    <w:rsid w:val="003D4CFD"/>
    <w:rsid w:val="003E4629"/>
    <w:rsid w:val="003E4BB3"/>
    <w:rsid w:val="003E5BCD"/>
    <w:rsid w:val="003F02D4"/>
    <w:rsid w:val="003F0AD2"/>
    <w:rsid w:val="003F0B62"/>
    <w:rsid w:val="003F1149"/>
    <w:rsid w:val="003F1A76"/>
    <w:rsid w:val="003F6F7E"/>
    <w:rsid w:val="0040111A"/>
    <w:rsid w:val="004014D9"/>
    <w:rsid w:val="00403072"/>
    <w:rsid w:val="00404D63"/>
    <w:rsid w:val="00404F87"/>
    <w:rsid w:val="0040785F"/>
    <w:rsid w:val="00411236"/>
    <w:rsid w:val="00414336"/>
    <w:rsid w:val="00420D76"/>
    <w:rsid w:val="00421C99"/>
    <w:rsid w:val="004250B3"/>
    <w:rsid w:val="00427437"/>
    <w:rsid w:val="004339AC"/>
    <w:rsid w:val="00436AA2"/>
    <w:rsid w:val="004371BD"/>
    <w:rsid w:val="00441415"/>
    <w:rsid w:val="0044527E"/>
    <w:rsid w:val="004453EC"/>
    <w:rsid w:val="004459E5"/>
    <w:rsid w:val="00451D2D"/>
    <w:rsid w:val="004532B1"/>
    <w:rsid w:val="0045599C"/>
    <w:rsid w:val="004563F6"/>
    <w:rsid w:val="00460361"/>
    <w:rsid w:val="00462AFB"/>
    <w:rsid w:val="00463712"/>
    <w:rsid w:val="00465C3A"/>
    <w:rsid w:val="004664B1"/>
    <w:rsid w:val="00467F80"/>
    <w:rsid w:val="00471F75"/>
    <w:rsid w:val="0047268E"/>
    <w:rsid w:val="00480D38"/>
    <w:rsid w:val="00481C8D"/>
    <w:rsid w:val="00482292"/>
    <w:rsid w:val="00483404"/>
    <w:rsid w:val="0048387D"/>
    <w:rsid w:val="0048754D"/>
    <w:rsid w:val="004875B1"/>
    <w:rsid w:val="00493F84"/>
    <w:rsid w:val="0049417E"/>
    <w:rsid w:val="00495121"/>
    <w:rsid w:val="0049714C"/>
    <w:rsid w:val="004A1C35"/>
    <w:rsid w:val="004A42F3"/>
    <w:rsid w:val="004A5F67"/>
    <w:rsid w:val="004B1955"/>
    <w:rsid w:val="004B25CE"/>
    <w:rsid w:val="004B3432"/>
    <w:rsid w:val="004B34D0"/>
    <w:rsid w:val="004B36AB"/>
    <w:rsid w:val="004B507B"/>
    <w:rsid w:val="004B6921"/>
    <w:rsid w:val="004B69DF"/>
    <w:rsid w:val="004B6FE7"/>
    <w:rsid w:val="004B7197"/>
    <w:rsid w:val="004C3B84"/>
    <w:rsid w:val="004C61D2"/>
    <w:rsid w:val="004D0B04"/>
    <w:rsid w:val="004D0E4C"/>
    <w:rsid w:val="004D1FFA"/>
    <w:rsid w:val="004D7AFD"/>
    <w:rsid w:val="004E0814"/>
    <w:rsid w:val="004E1215"/>
    <w:rsid w:val="004E281A"/>
    <w:rsid w:val="004E6021"/>
    <w:rsid w:val="004E616C"/>
    <w:rsid w:val="004E6935"/>
    <w:rsid w:val="004E6B4F"/>
    <w:rsid w:val="004E7202"/>
    <w:rsid w:val="004E7C59"/>
    <w:rsid w:val="004F01B2"/>
    <w:rsid w:val="004F0CE1"/>
    <w:rsid w:val="004F1FAA"/>
    <w:rsid w:val="004F3816"/>
    <w:rsid w:val="004F49E5"/>
    <w:rsid w:val="005007A1"/>
    <w:rsid w:val="005032AF"/>
    <w:rsid w:val="0050517A"/>
    <w:rsid w:val="00506BC0"/>
    <w:rsid w:val="00507B2A"/>
    <w:rsid w:val="00512B3D"/>
    <w:rsid w:val="00512E6A"/>
    <w:rsid w:val="00513065"/>
    <w:rsid w:val="0051396A"/>
    <w:rsid w:val="00515E25"/>
    <w:rsid w:val="0051627E"/>
    <w:rsid w:val="0051785A"/>
    <w:rsid w:val="00517AEF"/>
    <w:rsid w:val="00526423"/>
    <w:rsid w:val="0052682D"/>
    <w:rsid w:val="00527AC2"/>
    <w:rsid w:val="00531758"/>
    <w:rsid w:val="0053389A"/>
    <w:rsid w:val="0053406F"/>
    <w:rsid w:val="00534533"/>
    <w:rsid w:val="00534E6C"/>
    <w:rsid w:val="00536D24"/>
    <w:rsid w:val="00544442"/>
    <w:rsid w:val="00545380"/>
    <w:rsid w:val="00547833"/>
    <w:rsid w:val="00550AD4"/>
    <w:rsid w:val="00551CA0"/>
    <w:rsid w:val="00551FC0"/>
    <w:rsid w:val="00552157"/>
    <w:rsid w:val="005525D8"/>
    <w:rsid w:val="00554760"/>
    <w:rsid w:val="0055494A"/>
    <w:rsid w:val="005618C4"/>
    <w:rsid w:val="0056228C"/>
    <w:rsid w:val="005626ED"/>
    <w:rsid w:val="00563944"/>
    <w:rsid w:val="00564A80"/>
    <w:rsid w:val="005720E7"/>
    <w:rsid w:val="00572F6F"/>
    <w:rsid w:val="005740FF"/>
    <w:rsid w:val="00574634"/>
    <w:rsid w:val="00574645"/>
    <w:rsid w:val="0057624F"/>
    <w:rsid w:val="00577856"/>
    <w:rsid w:val="0058012F"/>
    <w:rsid w:val="005801F1"/>
    <w:rsid w:val="005801FF"/>
    <w:rsid w:val="005809C4"/>
    <w:rsid w:val="00581156"/>
    <w:rsid w:val="005844B5"/>
    <w:rsid w:val="005900DF"/>
    <w:rsid w:val="00590118"/>
    <w:rsid w:val="00590363"/>
    <w:rsid w:val="00590425"/>
    <w:rsid w:val="005907AF"/>
    <w:rsid w:val="00593CA8"/>
    <w:rsid w:val="00594772"/>
    <w:rsid w:val="00594BAF"/>
    <w:rsid w:val="00595253"/>
    <w:rsid w:val="00596F4B"/>
    <w:rsid w:val="005A0C14"/>
    <w:rsid w:val="005A316D"/>
    <w:rsid w:val="005A4CB9"/>
    <w:rsid w:val="005B1ACC"/>
    <w:rsid w:val="005B2D93"/>
    <w:rsid w:val="005B4A6A"/>
    <w:rsid w:val="005C05FC"/>
    <w:rsid w:val="005C1820"/>
    <w:rsid w:val="005C4646"/>
    <w:rsid w:val="005D02E7"/>
    <w:rsid w:val="005D375C"/>
    <w:rsid w:val="005D4E08"/>
    <w:rsid w:val="005D644B"/>
    <w:rsid w:val="005D6AFC"/>
    <w:rsid w:val="005E178E"/>
    <w:rsid w:val="005E1BEB"/>
    <w:rsid w:val="005E1CCE"/>
    <w:rsid w:val="005E24A0"/>
    <w:rsid w:val="005E3B07"/>
    <w:rsid w:val="005E4BF7"/>
    <w:rsid w:val="005E60B6"/>
    <w:rsid w:val="005F1CA0"/>
    <w:rsid w:val="005F3A48"/>
    <w:rsid w:val="005F4EAF"/>
    <w:rsid w:val="005F4FE3"/>
    <w:rsid w:val="005F5691"/>
    <w:rsid w:val="005F6541"/>
    <w:rsid w:val="005F6D0A"/>
    <w:rsid w:val="00600194"/>
    <w:rsid w:val="006006D7"/>
    <w:rsid w:val="00602167"/>
    <w:rsid w:val="00606D07"/>
    <w:rsid w:val="0061101F"/>
    <w:rsid w:val="006117BF"/>
    <w:rsid w:val="0061323C"/>
    <w:rsid w:val="00614D5B"/>
    <w:rsid w:val="0061569F"/>
    <w:rsid w:val="00622644"/>
    <w:rsid w:val="00622DA9"/>
    <w:rsid w:val="00623932"/>
    <w:rsid w:val="0062397E"/>
    <w:rsid w:val="006309BB"/>
    <w:rsid w:val="0063364B"/>
    <w:rsid w:val="00634B7C"/>
    <w:rsid w:val="00634BB3"/>
    <w:rsid w:val="00634DFC"/>
    <w:rsid w:val="00634FA5"/>
    <w:rsid w:val="006366F5"/>
    <w:rsid w:val="00636D13"/>
    <w:rsid w:val="00643307"/>
    <w:rsid w:val="00647C0A"/>
    <w:rsid w:val="00650E5D"/>
    <w:rsid w:val="006529AA"/>
    <w:rsid w:val="00652A8C"/>
    <w:rsid w:val="00656014"/>
    <w:rsid w:val="00661213"/>
    <w:rsid w:val="00661B6E"/>
    <w:rsid w:val="0066325E"/>
    <w:rsid w:val="00664031"/>
    <w:rsid w:val="0066657B"/>
    <w:rsid w:val="006672B7"/>
    <w:rsid w:val="00667A3C"/>
    <w:rsid w:val="006701E2"/>
    <w:rsid w:val="00670D47"/>
    <w:rsid w:val="00672199"/>
    <w:rsid w:val="00672370"/>
    <w:rsid w:val="00673348"/>
    <w:rsid w:val="006736B1"/>
    <w:rsid w:val="0067437C"/>
    <w:rsid w:val="006761AB"/>
    <w:rsid w:val="0067691C"/>
    <w:rsid w:val="0067722C"/>
    <w:rsid w:val="00677EA0"/>
    <w:rsid w:val="00682075"/>
    <w:rsid w:val="006852E5"/>
    <w:rsid w:val="0068547D"/>
    <w:rsid w:val="00685FCE"/>
    <w:rsid w:val="0068603A"/>
    <w:rsid w:val="006866D2"/>
    <w:rsid w:val="006866FD"/>
    <w:rsid w:val="00686F15"/>
    <w:rsid w:val="00690C3C"/>
    <w:rsid w:val="006933F0"/>
    <w:rsid w:val="006A0905"/>
    <w:rsid w:val="006A11D1"/>
    <w:rsid w:val="006A140B"/>
    <w:rsid w:val="006A1645"/>
    <w:rsid w:val="006A3515"/>
    <w:rsid w:val="006A4105"/>
    <w:rsid w:val="006A5564"/>
    <w:rsid w:val="006B3AC0"/>
    <w:rsid w:val="006B3E12"/>
    <w:rsid w:val="006B677E"/>
    <w:rsid w:val="006B7861"/>
    <w:rsid w:val="006C2084"/>
    <w:rsid w:val="006C7C4D"/>
    <w:rsid w:val="006D0D3F"/>
    <w:rsid w:val="006D20E2"/>
    <w:rsid w:val="006D219E"/>
    <w:rsid w:val="006D2281"/>
    <w:rsid w:val="006D303C"/>
    <w:rsid w:val="006D32D0"/>
    <w:rsid w:val="006D5C1B"/>
    <w:rsid w:val="006D7758"/>
    <w:rsid w:val="006D7B64"/>
    <w:rsid w:val="006E19A5"/>
    <w:rsid w:val="006E3D96"/>
    <w:rsid w:val="006E4463"/>
    <w:rsid w:val="006E655C"/>
    <w:rsid w:val="006E6F42"/>
    <w:rsid w:val="006E7EFA"/>
    <w:rsid w:val="006F0DC0"/>
    <w:rsid w:val="006F0DDB"/>
    <w:rsid w:val="006F4128"/>
    <w:rsid w:val="006F61E5"/>
    <w:rsid w:val="006F6649"/>
    <w:rsid w:val="00700168"/>
    <w:rsid w:val="00700337"/>
    <w:rsid w:val="00701328"/>
    <w:rsid w:val="007023B0"/>
    <w:rsid w:val="00702A6C"/>
    <w:rsid w:val="00704782"/>
    <w:rsid w:val="00704A60"/>
    <w:rsid w:val="0071017C"/>
    <w:rsid w:val="007122FE"/>
    <w:rsid w:val="00712750"/>
    <w:rsid w:val="007164E1"/>
    <w:rsid w:val="00721009"/>
    <w:rsid w:val="007229CB"/>
    <w:rsid w:val="00723AE7"/>
    <w:rsid w:val="00724A67"/>
    <w:rsid w:val="0072571B"/>
    <w:rsid w:val="00725835"/>
    <w:rsid w:val="00726FC2"/>
    <w:rsid w:val="00727CA7"/>
    <w:rsid w:val="00730DD0"/>
    <w:rsid w:val="00731EE0"/>
    <w:rsid w:val="0073232A"/>
    <w:rsid w:val="00732D70"/>
    <w:rsid w:val="00733CA5"/>
    <w:rsid w:val="007354F1"/>
    <w:rsid w:val="00735A11"/>
    <w:rsid w:val="00736B3E"/>
    <w:rsid w:val="00740696"/>
    <w:rsid w:val="007425D7"/>
    <w:rsid w:val="007449B4"/>
    <w:rsid w:val="007456AC"/>
    <w:rsid w:val="007508A5"/>
    <w:rsid w:val="00753B19"/>
    <w:rsid w:val="007555D3"/>
    <w:rsid w:val="00756AAF"/>
    <w:rsid w:val="007620AE"/>
    <w:rsid w:val="007676B8"/>
    <w:rsid w:val="00774EBF"/>
    <w:rsid w:val="00776351"/>
    <w:rsid w:val="00780226"/>
    <w:rsid w:val="007821ED"/>
    <w:rsid w:val="00783106"/>
    <w:rsid w:val="00785F39"/>
    <w:rsid w:val="007867AF"/>
    <w:rsid w:val="00790CDC"/>
    <w:rsid w:val="00791ADC"/>
    <w:rsid w:val="00791C57"/>
    <w:rsid w:val="00792559"/>
    <w:rsid w:val="00795A01"/>
    <w:rsid w:val="00795A6D"/>
    <w:rsid w:val="00795CB0"/>
    <w:rsid w:val="007961F6"/>
    <w:rsid w:val="00797A2C"/>
    <w:rsid w:val="007A350D"/>
    <w:rsid w:val="007A425A"/>
    <w:rsid w:val="007A49DE"/>
    <w:rsid w:val="007A6409"/>
    <w:rsid w:val="007A6AC2"/>
    <w:rsid w:val="007B2875"/>
    <w:rsid w:val="007B7F68"/>
    <w:rsid w:val="007C0512"/>
    <w:rsid w:val="007C415F"/>
    <w:rsid w:val="007C7F85"/>
    <w:rsid w:val="007D0136"/>
    <w:rsid w:val="007D2EA2"/>
    <w:rsid w:val="007D44FA"/>
    <w:rsid w:val="007D4DB5"/>
    <w:rsid w:val="007E4852"/>
    <w:rsid w:val="007E4CD0"/>
    <w:rsid w:val="007F0D61"/>
    <w:rsid w:val="007F0E53"/>
    <w:rsid w:val="007F3ECD"/>
    <w:rsid w:val="007F4F3D"/>
    <w:rsid w:val="007F67FB"/>
    <w:rsid w:val="00801244"/>
    <w:rsid w:val="00803C0D"/>
    <w:rsid w:val="00803E74"/>
    <w:rsid w:val="00806ACF"/>
    <w:rsid w:val="00812C05"/>
    <w:rsid w:val="00814B48"/>
    <w:rsid w:val="008207AC"/>
    <w:rsid w:val="0082343A"/>
    <w:rsid w:val="008322C1"/>
    <w:rsid w:val="008327AC"/>
    <w:rsid w:val="008357E4"/>
    <w:rsid w:val="00835E45"/>
    <w:rsid w:val="008366C3"/>
    <w:rsid w:val="00837C3C"/>
    <w:rsid w:val="00842A0D"/>
    <w:rsid w:val="00847816"/>
    <w:rsid w:val="00852EC8"/>
    <w:rsid w:val="00854D92"/>
    <w:rsid w:val="00854F3E"/>
    <w:rsid w:val="008560AC"/>
    <w:rsid w:val="00856F02"/>
    <w:rsid w:val="00857DFC"/>
    <w:rsid w:val="00860663"/>
    <w:rsid w:val="0086550E"/>
    <w:rsid w:val="0086641A"/>
    <w:rsid w:val="00866EFC"/>
    <w:rsid w:val="00867D88"/>
    <w:rsid w:val="008716E7"/>
    <w:rsid w:val="00874997"/>
    <w:rsid w:val="00874D24"/>
    <w:rsid w:val="00874F69"/>
    <w:rsid w:val="0088061A"/>
    <w:rsid w:val="00887FDA"/>
    <w:rsid w:val="008971B1"/>
    <w:rsid w:val="008A334C"/>
    <w:rsid w:val="008A55B9"/>
    <w:rsid w:val="008A6C1E"/>
    <w:rsid w:val="008B3B03"/>
    <w:rsid w:val="008B4EFD"/>
    <w:rsid w:val="008B5467"/>
    <w:rsid w:val="008B6BFD"/>
    <w:rsid w:val="008C2388"/>
    <w:rsid w:val="008C2D0C"/>
    <w:rsid w:val="008C2E8E"/>
    <w:rsid w:val="008C63B9"/>
    <w:rsid w:val="008C65CB"/>
    <w:rsid w:val="008C7370"/>
    <w:rsid w:val="008D1281"/>
    <w:rsid w:val="008D2D34"/>
    <w:rsid w:val="008D35FA"/>
    <w:rsid w:val="008D39D2"/>
    <w:rsid w:val="008D3C12"/>
    <w:rsid w:val="008D3E3E"/>
    <w:rsid w:val="008D4A0B"/>
    <w:rsid w:val="008D5663"/>
    <w:rsid w:val="008E0ED1"/>
    <w:rsid w:val="008E28CF"/>
    <w:rsid w:val="008E47DB"/>
    <w:rsid w:val="008F20F0"/>
    <w:rsid w:val="008F2B98"/>
    <w:rsid w:val="008F4087"/>
    <w:rsid w:val="008F46A3"/>
    <w:rsid w:val="008F49C2"/>
    <w:rsid w:val="008F4A57"/>
    <w:rsid w:val="008F4D0F"/>
    <w:rsid w:val="008F66D0"/>
    <w:rsid w:val="00901304"/>
    <w:rsid w:val="0090230A"/>
    <w:rsid w:val="00903844"/>
    <w:rsid w:val="00903F9C"/>
    <w:rsid w:val="00904D2E"/>
    <w:rsid w:val="009056D3"/>
    <w:rsid w:val="00905D11"/>
    <w:rsid w:val="0090603C"/>
    <w:rsid w:val="009060F7"/>
    <w:rsid w:val="00906C67"/>
    <w:rsid w:val="00914CC3"/>
    <w:rsid w:val="00916043"/>
    <w:rsid w:val="009161FD"/>
    <w:rsid w:val="009201F2"/>
    <w:rsid w:val="00921573"/>
    <w:rsid w:val="00922573"/>
    <w:rsid w:val="00922A22"/>
    <w:rsid w:val="00925E0F"/>
    <w:rsid w:val="00932620"/>
    <w:rsid w:val="0093468A"/>
    <w:rsid w:val="009356A4"/>
    <w:rsid w:val="00937C7A"/>
    <w:rsid w:val="00937F8C"/>
    <w:rsid w:val="0094190A"/>
    <w:rsid w:val="00943D44"/>
    <w:rsid w:val="00951FC1"/>
    <w:rsid w:val="00954C23"/>
    <w:rsid w:val="009550F9"/>
    <w:rsid w:val="00956736"/>
    <w:rsid w:val="009626B1"/>
    <w:rsid w:val="00962F88"/>
    <w:rsid w:val="00963E35"/>
    <w:rsid w:val="00965B4B"/>
    <w:rsid w:val="009660F2"/>
    <w:rsid w:val="00966EA4"/>
    <w:rsid w:val="00967BF9"/>
    <w:rsid w:val="00970AA6"/>
    <w:rsid w:val="0097720A"/>
    <w:rsid w:val="00980F45"/>
    <w:rsid w:val="00981290"/>
    <w:rsid w:val="009815CD"/>
    <w:rsid w:val="00982145"/>
    <w:rsid w:val="0098294A"/>
    <w:rsid w:val="0098397B"/>
    <w:rsid w:val="009869DC"/>
    <w:rsid w:val="00987268"/>
    <w:rsid w:val="0098761C"/>
    <w:rsid w:val="00993B8E"/>
    <w:rsid w:val="00995505"/>
    <w:rsid w:val="00996505"/>
    <w:rsid w:val="009A0AC8"/>
    <w:rsid w:val="009A3C40"/>
    <w:rsid w:val="009A433E"/>
    <w:rsid w:val="009A5AC3"/>
    <w:rsid w:val="009A6073"/>
    <w:rsid w:val="009B078E"/>
    <w:rsid w:val="009B4E27"/>
    <w:rsid w:val="009B5E31"/>
    <w:rsid w:val="009C0169"/>
    <w:rsid w:val="009C3192"/>
    <w:rsid w:val="009C64D8"/>
    <w:rsid w:val="009C6DD3"/>
    <w:rsid w:val="009C70F2"/>
    <w:rsid w:val="009C7B4A"/>
    <w:rsid w:val="009D1D00"/>
    <w:rsid w:val="009D44DD"/>
    <w:rsid w:val="009D4F41"/>
    <w:rsid w:val="009D5FAB"/>
    <w:rsid w:val="009D6506"/>
    <w:rsid w:val="009E3B5B"/>
    <w:rsid w:val="009E401C"/>
    <w:rsid w:val="009E4A62"/>
    <w:rsid w:val="009E7692"/>
    <w:rsid w:val="009E7992"/>
    <w:rsid w:val="009E7E5B"/>
    <w:rsid w:val="009F0417"/>
    <w:rsid w:val="009F0C5A"/>
    <w:rsid w:val="009F3C9A"/>
    <w:rsid w:val="009F4E83"/>
    <w:rsid w:val="009F4EB4"/>
    <w:rsid w:val="009F5178"/>
    <w:rsid w:val="009F5949"/>
    <w:rsid w:val="00A0234E"/>
    <w:rsid w:val="00A02436"/>
    <w:rsid w:val="00A06B49"/>
    <w:rsid w:val="00A06EF0"/>
    <w:rsid w:val="00A1053B"/>
    <w:rsid w:val="00A10E2A"/>
    <w:rsid w:val="00A13CCB"/>
    <w:rsid w:val="00A146D2"/>
    <w:rsid w:val="00A15178"/>
    <w:rsid w:val="00A15CBD"/>
    <w:rsid w:val="00A15D0F"/>
    <w:rsid w:val="00A2068C"/>
    <w:rsid w:val="00A24877"/>
    <w:rsid w:val="00A3041E"/>
    <w:rsid w:val="00A3068B"/>
    <w:rsid w:val="00A31018"/>
    <w:rsid w:val="00A35374"/>
    <w:rsid w:val="00A35763"/>
    <w:rsid w:val="00A404C9"/>
    <w:rsid w:val="00A4571D"/>
    <w:rsid w:val="00A46AF6"/>
    <w:rsid w:val="00A5049F"/>
    <w:rsid w:val="00A529B3"/>
    <w:rsid w:val="00A54EB7"/>
    <w:rsid w:val="00A56D27"/>
    <w:rsid w:val="00A578BB"/>
    <w:rsid w:val="00A607B7"/>
    <w:rsid w:val="00A652AB"/>
    <w:rsid w:val="00A655FF"/>
    <w:rsid w:val="00A657F6"/>
    <w:rsid w:val="00A65B72"/>
    <w:rsid w:val="00A66691"/>
    <w:rsid w:val="00A71EC9"/>
    <w:rsid w:val="00A71F86"/>
    <w:rsid w:val="00A741C2"/>
    <w:rsid w:val="00A751D5"/>
    <w:rsid w:val="00A82B9E"/>
    <w:rsid w:val="00A837C2"/>
    <w:rsid w:val="00A842D3"/>
    <w:rsid w:val="00A8472E"/>
    <w:rsid w:val="00A8513D"/>
    <w:rsid w:val="00A91402"/>
    <w:rsid w:val="00A9184F"/>
    <w:rsid w:val="00A921AC"/>
    <w:rsid w:val="00A942A0"/>
    <w:rsid w:val="00A94458"/>
    <w:rsid w:val="00A9521A"/>
    <w:rsid w:val="00A96C7F"/>
    <w:rsid w:val="00A978EC"/>
    <w:rsid w:val="00AA0194"/>
    <w:rsid w:val="00AA19CB"/>
    <w:rsid w:val="00AA208A"/>
    <w:rsid w:val="00AA2A03"/>
    <w:rsid w:val="00AA63E4"/>
    <w:rsid w:val="00AA6B7A"/>
    <w:rsid w:val="00AA6F7C"/>
    <w:rsid w:val="00AA719B"/>
    <w:rsid w:val="00AA7E09"/>
    <w:rsid w:val="00AB1DAF"/>
    <w:rsid w:val="00AB215B"/>
    <w:rsid w:val="00AB48F0"/>
    <w:rsid w:val="00AB6318"/>
    <w:rsid w:val="00AB6429"/>
    <w:rsid w:val="00AB6B50"/>
    <w:rsid w:val="00AB6B79"/>
    <w:rsid w:val="00AB723E"/>
    <w:rsid w:val="00AB7F81"/>
    <w:rsid w:val="00AC0558"/>
    <w:rsid w:val="00AC4CC0"/>
    <w:rsid w:val="00AC532B"/>
    <w:rsid w:val="00AC55D2"/>
    <w:rsid w:val="00AC5A04"/>
    <w:rsid w:val="00AC6065"/>
    <w:rsid w:val="00AC687F"/>
    <w:rsid w:val="00AC6DDC"/>
    <w:rsid w:val="00AC70F0"/>
    <w:rsid w:val="00AC7D45"/>
    <w:rsid w:val="00AD0848"/>
    <w:rsid w:val="00AD2586"/>
    <w:rsid w:val="00AD266C"/>
    <w:rsid w:val="00AD3850"/>
    <w:rsid w:val="00AD5271"/>
    <w:rsid w:val="00AE0192"/>
    <w:rsid w:val="00AE0309"/>
    <w:rsid w:val="00AE1605"/>
    <w:rsid w:val="00AE6673"/>
    <w:rsid w:val="00AE6A1C"/>
    <w:rsid w:val="00AF1398"/>
    <w:rsid w:val="00AF1B1E"/>
    <w:rsid w:val="00AF4873"/>
    <w:rsid w:val="00AF5044"/>
    <w:rsid w:val="00AF794B"/>
    <w:rsid w:val="00B016F1"/>
    <w:rsid w:val="00B05CD0"/>
    <w:rsid w:val="00B06D8B"/>
    <w:rsid w:val="00B10432"/>
    <w:rsid w:val="00B10B0E"/>
    <w:rsid w:val="00B11776"/>
    <w:rsid w:val="00B11ACD"/>
    <w:rsid w:val="00B17CAF"/>
    <w:rsid w:val="00B211F0"/>
    <w:rsid w:val="00B21890"/>
    <w:rsid w:val="00B21C0D"/>
    <w:rsid w:val="00B25864"/>
    <w:rsid w:val="00B25BDB"/>
    <w:rsid w:val="00B2766C"/>
    <w:rsid w:val="00B339CB"/>
    <w:rsid w:val="00B36DD6"/>
    <w:rsid w:val="00B37F2D"/>
    <w:rsid w:val="00B44CAB"/>
    <w:rsid w:val="00B4692B"/>
    <w:rsid w:val="00B46E89"/>
    <w:rsid w:val="00B4750C"/>
    <w:rsid w:val="00B52DBD"/>
    <w:rsid w:val="00B52ECD"/>
    <w:rsid w:val="00B53D78"/>
    <w:rsid w:val="00B559A9"/>
    <w:rsid w:val="00B70354"/>
    <w:rsid w:val="00B757AD"/>
    <w:rsid w:val="00B75806"/>
    <w:rsid w:val="00B770DC"/>
    <w:rsid w:val="00B8004A"/>
    <w:rsid w:val="00B81E91"/>
    <w:rsid w:val="00B834C2"/>
    <w:rsid w:val="00B83694"/>
    <w:rsid w:val="00B86C88"/>
    <w:rsid w:val="00B86E81"/>
    <w:rsid w:val="00B90F35"/>
    <w:rsid w:val="00B917BF"/>
    <w:rsid w:val="00B924F4"/>
    <w:rsid w:val="00B936DB"/>
    <w:rsid w:val="00B950AB"/>
    <w:rsid w:val="00B96203"/>
    <w:rsid w:val="00B97265"/>
    <w:rsid w:val="00BA2987"/>
    <w:rsid w:val="00BA2FB2"/>
    <w:rsid w:val="00BA643E"/>
    <w:rsid w:val="00BA7996"/>
    <w:rsid w:val="00BB0215"/>
    <w:rsid w:val="00BB0876"/>
    <w:rsid w:val="00BB316E"/>
    <w:rsid w:val="00BC044A"/>
    <w:rsid w:val="00BC0C15"/>
    <w:rsid w:val="00BC6EA0"/>
    <w:rsid w:val="00BD3138"/>
    <w:rsid w:val="00BE28CC"/>
    <w:rsid w:val="00BE3541"/>
    <w:rsid w:val="00BE68CD"/>
    <w:rsid w:val="00BF01CB"/>
    <w:rsid w:val="00BF0C2F"/>
    <w:rsid w:val="00BF2835"/>
    <w:rsid w:val="00BF6B29"/>
    <w:rsid w:val="00C02B55"/>
    <w:rsid w:val="00C037C0"/>
    <w:rsid w:val="00C04FF1"/>
    <w:rsid w:val="00C10B23"/>
    <w:rsid w:val="00C11B87"/>
    <w:rsid w:val="00C132A1"/>
    <w:rsid w:val="00C1440C"/>
    <w:rsid w:val="00C152BB"/>
    <w:rsid w:val="00C156DF"/>
    <w:rsid w:val="00C15871"/>
    <w:rsid w:val="00C1773C"/>
    <w:rsid w:val="00C17F2B"/>
    <w:rsid w:val="00C21A42"/>
    <w:rsid w:val="00C248A8"/>
    <w:rsid w:val="00C27E69"/>
    <w:rsid w:val="00C3165E"/>
    <w:rsid w:val="00C31A8F"/>
    <w:rsid w:val="00C33929"/>
    <w:rsid w:val="00C33D64"/>
    <w:rsid w:val="00C35A47"/>
    <w:rsid w:val="00C37439"/>
    <w:rsid w:val="00C4104B"/>
    <w:rsid w:val="00C438A3"/>
    <w:rsid w:val="00C43F60"/>
    <w:rsid w:val="00C50B2E"/>
    <w:rsid w:val="00C5284B"/>
    <w:rsid w:val="00C53C2C"/>
    <w:rsid w:val="00C555B9"/>
    <w:rsid w:val="00C56297"/>
    <w:rsid w:val="00C566A7"/>
    <w:rsid w:val="00C574EE"/>
    <w:rsid w:val="00C60A3F"/>
    <w:rsid w:val="00C60BDC"/>
    <w:rsid w:val="00C60CF7"/>
    <w:rsid w:val="00C6498C"/>
    <w:rsid w:val="00C655A6"/>
    <w:rsid w:val="00C65853"/>
    <w:rsid w:val="00C675BF"/>
    <w:rsid w:val="00C67E41"/>
    <w:rsid w:val="00C70305"/>
    <w:rsid w:val="00C70FED"/>
    <w:rsid w:val="00C73E10"/>
    <w:rsid w:val="00C8251E"/>
    <w:rsid w:val="00C84092"/>
    <w:rsid w:val="00C86192"/>
    <w:rsid w:val="00C87FF6"/>
    <w:rsid w:val="00C905D2"/>
    <w:rsid w:val="00C91486"/>
    <w:rsid w:val="00C915CE"/>
    <w:rsid w:val="00C9467E"/>
    <w:rsid w:val="00CA025F"/>
    <w:rsid w:val="00CA031D"/>
    <w:rsid w:val="00CA0755"/>
    <w:rsid w:val="00CA3180"/>
    <w:rsid w:val="00CA3BB8"/>
    <w:rsid w:val="00CA4FF1"/>
    <w:rsid w:val="00CA587B"/>
    <w:rsid w:val="00CA686B"/>
    <w:rsid w:val="00CB0B0F"/>
    <w:rsid w:val="00CB4334"/>
    <w:rsid w:val="00CB4894"/>
    <w:rsid w:val="00CB4BE7"/>
    <w:rsid w:val="00CB4E97"/>
    <w:rsid w:val="00CB593A"/>
    <w:rsid w:val="00CC09DD"/>
    <w:rsid w:val="00CC1A7D"/>
    <w:rsid w:val="00CC1FCA"/>
    <w:rsid w:val="00CC5778"/>
    <w:rsid w:val="00CC6DF9"/>
    <w:rsid w:val="00CC78FC"/>
    <w:rsid w:val="00CD0298"/>
    <w:rsid w:val="00CD43A3"/>
    <w:rsid w:val="00CD4A81"/>
    <w:rsid w:val="00CD616F"/>
    <w:rsid w:val="00CE4CC0"/>
    <w:rsid w:val="00CE7880"/>
    <w:rsid w:val="00CF0C2D"/>
    <w:rsid w:val="00CF13B3"/>
    <w:rsid w:val="00CF444F"/>
    <w:rsid w:val="00CF7883"/>
    <w:rsid w:val="00CF7A0E"/>
    <w:rsid w:val="00D00669"/>
    <w:rsid w:val="00D00F62"/>
    <w:rsid w:val="00D0165B"/>
    <w:rsid w:val="00D024B5"/>
    <w:rsid w:val="00D04A59"/>
    <w:rsid w:val="00D05FB7"/>
    <w:rsid w:val="00D062D6"/>
    <w:rsid w:val="00D0749B"/>
    <w:rsid w:val="00D1148E"/>
    <w:rsid w:val="00D13564"/>
    <w:rsid w:val="00D143FE"/>
    <w:rsid w:val="00D153D2"/>
    <w:rsid w:val="00D15D6E"/>
    <w:rsid w:val="00D16591"/>
    <w:rsid w:val="00D165A9"/>
    <w:rsid w:val="00D16B15"/>
    <w:rsid w:val="00D16B53"/>
    <w:rsid w:val="00D17447"/>
    <w:rsid w:val="00D21B89"/>
    <w:rsid w:val="00D22774"/>
    <w:rsid w:val="00D22898"/>
    <w:rsid w:val="00D22B2D"/>
    <w:rsid w:val="00D22C8C"/>
    <w:rsid w:val="00D239C8"/>
    <w:rsid w:val="00D2516F"/>
    <w:rsid w:val="00D30C33"/>
    <w:rsid w:val="00D311EC"/>
    <w:rsid w:val="00D31D19"/>
    <w:rsid w:val="00D3224E"/>
    <w:rsid w:val="00D364BE"/>
    <w:rsid w:val="00D4334C"/>
    <w:rsid w:val="00D43DA8"/>
    <w:rsid w:val="00D45D27"/>
    <w:rsid w:val="00D47283"/>
    <w:rsid w:val="00D47559"/>
    <w:rsid w:val="00D47664"/>
    <w:rsid w:val="00D51231"/>
    <w:rsid w:val="00D51C96"/>
    <w:rsid w:val="00D5228C"/>
    <w:rsid w:val="00D5343D"/>
    <w:rsid w:val="00D53FEE"/>
    <w:rsid w:val="00D555DB"/>
    <w:rsid w:val="00D56F05"/>
    <w:rsid w:val="00D61AC6"/>
    <w:rsid w:val="00D64B4B"/>
    <w:rsid w:val="00D67287"/>
    <w:rsid w:val="00D673A2"/>
    <w:rsid w:val="00D70107"/>
    <w:rsid w:val="00D72A10"/>
    <w:rsid w:val="00D765E5"/>
    <w:rsid w:val="00D80423"/>
    <w:rsid w:val="00D8405A"/>
    <w:rsid w:val="00D90DE8"/>
    <w:rsid w:val="00D91800"/>
    <w:rsid w:val="00D91B4C"/>
    <w:rsid w:val="00D91B8C"/>
    <w:rsid w:val="00D92760"/>
    <w:rsid w:val="00D92C2A"/>
    <w:rsid w:val="00D93A2D"/>
    <w:rsid w:val="00D94F76"/>
    <w:rsid w:val="00D97A6D"/>
    <w:rsid w:val="00DA5716"/>
    <w:rsid w:val="00DA7633"/>
    <w:rsid w:val="00DA79C0"/>
    <w:rsid w:val="00DB12E4"/>
    <w:rsid w:val="00DB2C16"/>
    <w:rsid w:val="00DB4027"/>
    <w:rsid w:val="00DB42FC"/>
    <w:rsid w:val="00DB5371"/>
    <w:rsid w:val="00DC4D8A"/>
    <w:rsid w:val="00DC7EBB"/>
    <w:rsid w:val="00DD0025"/>
    <w:rsid w:val="00DD1F4A"/>
    <w:rsid w:val="00DD2440"/>
    <w:rsid w:val="00DD2ADD"/>
    <w:rsid w:val="00DD2BA3"/>
    <w:rsid w:val="00DD375F"/>
    <w:rsid w:val="00DD4248"/>
    <w:rsid w:val="00DD5EA9"/>
    <w:rsid w:val="00DD77CF"/>
    <w:rsid w:val="00DE2913"/>
    <w:rsid w:val="00DE2B43"/>
    <w:rsid w:val="00DE36AD"/>
    <w:rsid w:val="00DE3A07"/>
    <w:rsid w:val="00DE3AD6"/>
    <w:rsid w:val="00DE5559"/>
    <w:rsid w:val="00DE67F4"/>
    <w:rsid w:val="00DE689F"/>
    <w:rsid w:val="00DE68CB"/>
    <w:rsid w:val="00DF2093"/>
    <w:rsid w:val="00DF23F9"/>
    <w:rsid w:val="00DF2A69"/>
    <w:rsid w:val="00DF3FF1"/>
    <w:rsid w:val="00DF40A4"/>
    <w:rsid w:val="00DF5644"/>
    <w:rsid w:val="00DF7F07"/>
    <w:rsid w:val="00E0330C"/>
    <w:rsid w:val="00E03626"/>
    <w:rsid w:val="00E14F8B"/>
    <w:rsid w:val="00E16E57"/>
    <w:rsid w:val="00E2026F"/>
    <w:rsid w:val="00E21A81"/>
    <w:rsid w:val="00E22724"/>
    <w:rsid w:val="00E24A79"/>
    <w:rsid w:val="00E24CC8"/>
    <w:rsid w:val="00E26AD7"/>
    <w:rsid w:val="00E271D7"/>
    <w:rsid w:val="00E27F6E"/>
    <w:rsid w:val="00E314B5"/>
    <w:rsid w:val="00E3220C"/>
    <w:rsid w:val="00E33395"/>
    <w:rsid w:val="00E35167"/>
    <w:rsid w:val="00E35A53"/>
    <w:rsid w:val="00E363C4"/>
    <w:rsid w:val="00E37482"/>
    <w:rsid w:val="00E3756C"/>
    <w:rsid w:val="00E44571"/>
    <w:rsid w:val="00E4496D"/>
    <w:rsid w:val="00E45B63"/>
    <w:rsid w:val="00E46496"/>
    <w:rsid w:val="00E46659"/>
    <w:rsid w:val="00E50BE0"/>
    <w:rsid w:val="00E5150B"/>
    <w:rsid w:val="00E535CE"/>
    <w:rsid w:val="00E57448"/>
    <w:rsid w:val="00E57677"/>
    <w:rsid w:val="00E60222"/>
    <w:rsid w:val="00E60D0B"/>
    <w:rsid w:val="00E613A2"/>
    <w:rsid w:val="00E6256B"/>
    <w:rsid w:val="00E627F8"/>
    <w:rsid w:val="00E70FB2"/>
    <w:rsid w:val="00E7328D"/>
    <w:rsid w:val="00E77963"/>
    <w:rsid w:val="00E82517"/>
    <w:rsid w:val="00E84DAA"/>
    <w:rsid w:val="00E90A0C"/>
    <w:rsid w:val="00E91169"/>
    <w:rsid w:val="00E91851"/>
    <w:rsid w:val="00E91E95"/>
    <w:rsid w:val="00E94A74"/>
    <w:rsid w:val="00E95E5A"/>
    <w:rsid w:val="00E9758E"/>
    <w:rsid w:val="00EA2DA7"/>
    <w:rsid w:val="00EA4D07"/>
    <w:rsid w:val="00EA5177"/>
    <w:rsid w:val="00EA55E7"/>
    <w:rsid w:val="00EA7206"/>
    <w:rsid w:val="00EB03EB"/>
    <w:rsid w:val="00EB125E"/>
    <w:rsid w:val="00EB1B59"/>
    <w:rsid w:val="00EB2FAE"/>
    <w:rsid w:val="00EB5F2B"/>
    <w:rsid w:val="00EB62E3"/>
    <w:rsid w:val="00EC1900"/>
    <w:rsid w:val="00EC2B5C"/>
    <w:rsid w:val="00EC4174"/>
    <w:rsid w:val="00EC6FCF"/>
    <w:rsid w:val="00ED339D"/>
    <w:rsid w:val="00ED3722"/>
    <w:rsid w:val="00ED49CD"/>
    <w:rsid w:val="00ED4D5F"/>
    <w:rsid w:val="00ED6195"/>
    <w:rsid w:val="00EE0773"/>
    <w:rsid w:val="00EE13A3"/>
    <w:rsid w:val="00EE352F"/>
    <w:rsid w:val="00EE394B"/>
    <w:rsid w:val="00EE3D56"/>
    <w:rsid w:val="00EE6EF3"/>
    <w:rsid w:val="00EF0CD3"/>
    <w:rsid w:val="00EF1135"/>
    <w:rsid w:val="00EF5796"/>
    <w:rsid w:val="00F00954"/>
    <w:rsid w:val="00F06A41"/>
    <w:rsid w:val="00F106A8"/>
    <w:rsid w:val="00F110FC"/>
    <w:rsid w:val="00F15ADC"/>
    <w:rsid w:val="00F17D46"/>
    <w:rsid w:val="00F20677"/>
    <w:rsid w:val="00F22F68"/>
    <w:rsid w:val="00F23AF0"/>
    <w:rsid w:val="00F27D75"/>
    <w:rsid w:val="00F300B1"/>
    <w:rsid w:val="00F3371D"/>
    <w:rsid w:val="00F33A1C"/>
    <w:rsid w:val="00F35D84"/>
    <w:rsid w:val="00F36398"/>
    <w:rsid w:val="00F406C0"/>
    <w:rsid w:val="00F41907"/>
    <w:rsid w:val="00F423D1"/>
    <w:rsid w:val="00F453E9"/>
    <w:rsid w:val="00F51497"/>
    <w:rsid w:val="00F51787"/>
    <w:rsid w:val="00F5178C"/>
    <w:rsid w:val="00F51BBA"/>
    <w:rsid w:val="00F5223A"/>
    <w:rsid w:val="00F53755"/>
    <w:rsid w:val="00F5784A"/>
    <w:rsid w:val="00F601E0"/>
    <w:rsid w:val="00F64368"/>
    <w:rsid w:val="00F6446A"/>
    <w:rsid w:val="00F64E99"/>
    <w:rsid w:val="00F66134"/>
    <w:rsid w:val="00F66983"/>
    <w:rsid w:val="00F67FB7"/>
    <w:rsid w:val="00F7419D"/>
    <w:rsid w:val="00F744F8"/>
    <w:rsid w:val="00F813DE"/>
    <w:rsid w:val="00F83B9D"/>
    <w:rsid w:val="00F84506"/>
    <w:rsid w:val="00F85003"/>
    <w:rsid w:val="00F85EA7"/>
    <w:rsid w:val="00F907ED"/>
    <w:rsid w:val="00F92222"/>
    <w:rsid w:val="00F93AA4"/>
    <w:rsid w:val="00F97856"/>
    <w:rsid w:val="00FA341B"/>
    <w:rsid w:val="00FA557D"/>
    <w:rsid w:val="00FA7392"/>
    <w:rsid w:val="00FA7C69"/>
    <w:rsid w:val="00FA7D1C"/>
    <w:rsid w:val="00FB6D67"/>
    <w:rsid w:val="00FC6255"/>
    <w:rsid w:val="00FC6310"/>
    <w:rsid w:val="00FC6A96"/>
    <w:rsid w:val="00FD0FCB"/>
    <w:rsid w:val="00FD31F8"/>
    <w:rsid w:val="00FD5BC6"/>
    <w:rsid w:val="00FD7405"/>
    <w:rsid w:val="00FD7AF4"/>
    <w:rsid w:val="00FE2095"/>
    <w:rsid w:val="00FE479D"/>
    <w:rsid w:val="00FE480C"/>
    <w:rsid w:val="00FE58EC"/>
    <w:rsid w:val="00FE7638"/>
    <w:rsid w:val="00FE7EBB"/>
    <w:rsid w:val="00FF3165"/>
    <w:rsid w:val="00FF56C4"/>
    <w:rsid w:val="03975215"/>
    <w:rsid w:val="050D54CE"/>
    <w:rsid w:val="05F56F28"/>
    <w:rsid w:val="077F6B07"/>
    <w:rsid w:val="08634C14"/>
    <w:rsid w:val="09525C13"/>
    <w:rsid w:val="09823544"/>
    <w:rsid w:val="09EA41A2"/>
    <w:rsid w:val="0AEE5679"/>
    <w:rsid w:val="0B4B60CB"/>
    <w:rsid w:val="0B50226B"/>
    <w:rsid w:val="0BDE7959"/>
    <w:rsid w:val="105E2E5C"/>
    <w:rsid w:val="179D1E56"/>
    <w:rsid w:val="1BD641A0"/>
    <w:rsid w:val="1D8732CF"/>
    <w:rsid w:val="1DEA3AA7"/>
    <w:rsid w:val="200C3C23"/>
    <w:rsid w:val="20875058"/>
    <w:rsid w:val="210B5C89"/>
    <w:rsid w:val="238605C6"/>
    <w:rsid w:val="24000FEA"/>
    <w:rsid w:val="2A9A0FFE"/>
    <w:rsid w:val="2AB551B1"/>
    <w:rsid w:val="2ABC5B51"/>
    <w:rsid w:val="2B88437A"/>
    <w:rsid w:val="2C9D0974"/>
    <w:rsid w:val="2D8A3E75"/>
    <w:rsid w:val="30340008"/>
    <w:rsid w:val="352D33ED"/>
    <w:rsid w:val="3A257A49"/>
    <w:rsid w:val="3C1D3DDD"/>
    <w:rsid w:val="3CD92B2B"/>
    <w:rsid w:val="3DDAD2C4"/>
    <w:rsid w:val="3F052CF0"/>
    <w:rsid w:val="4024421A"/>
    <w:rsid w:val="427729B7"/>
    <w:rsid w:val="431775F1"/>
    <w:rsid w:val="44B3734F"/>
    <w:rsid w:val="44DA134B"/>
    <w:rsid w:val="457572C5"/>
    <w:rsid w:val="46C042E5"/>
    <w:rsid w:val="47E04ECA"/>
    <w:rsid w:val="4A344BCC"/>
    <w:rsid w:val="4A7F6B6B"/>
    <w:rsid w:val="4AEA00C3"/>
    <w:rsid w:val="4F177EA8"/>
    <w:rsid w:val="4FE66877"/>
    <w:rsid w:val="54962724"/>
    <w:rsid w:val="55021786"/>
    <w:rsid w:val="55703B13"/>
    <w:rsid w:val="563936E0"/>
    <w:rsid w:val="56420695"/>
    <w:rsid w:val="57AF0677"/>
    <w:rsid w:val="59552A64"/>
    <w:rsid w:val="5B8161A6"/>
    <w:rsid w:val="5E591C11"/>
    <w:rsid w:val="5FD34363"/>
    <w:rsid w:val="656A4E0A"/>
    <w:rsid w:val="65B37365"/>
    <w:rsid w:val="65FD3508"/>
    <w:rsid w:val="664A5D9B"/>
    <w:rsid w:val="67FC76A6"/>
    <w:rsid w:val="69BB58A7"/>
    <w:rsid w:val="6E7220B1"/>
    <w:rsid w:val="70F5267F"/>
    <w:rsid w:val="725D02DB"/>
    <w:rsid w:val="728955C8"/>
    <w:rsid w:val="73636F97"/>
    <w:rsid w:val="76DF5D07"/>
    <w:rsid w:val="77F93F25"/>
    <w:rsid w:val="78DF4BA6"/>
    <w:rsid w:val="7B001259"/>
    <w:rsid w:val="7B437D57"/>
    <w:rsid w:val="7D0E1BC0"/>
    <w:rsid w:val="7DC0213A"/>
    <w:rsid w:val="7FA008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jc w:val="left"/>
      <w:outlineLvl w:val="1"/>
    </w:pPr>
    <w:rPr>
      <w:rFonts w:ascii="Arial" w:hAnsi="Arial" w:eastAsia="微软雅黑"/>
      <w:b/>
      <w:bCs/>
      <w:szCs w:val="32"/>
    </w:rPr>
  </w:style>
  <w:style w:type="paragraph" w:styleId="4">
    <w:name w:val="heading 3"/>
    <w:basedOn w:val="1"/>
    <w:next w:val="5"/>
    <w:link w:val="50"/>
    <w:qFormat/>
    <w:uiPriority w:val="0"/>
    <w:pPr>
      <w:keepNext/>
      <w:keepLines/>
      <w:numPr>
        <w:ilvl w:val="2"/>
        <w:numId w:val="1"/>
      </w:numPr>
      <w:spacing w:line="360" w:lineRule="auto"/>
      <w:jc w:val="left"/>
      <w:outlineLvl w:val="2"/>
    </w:pPr>
    <w:rPr>
      <w:rFonts w:ascii="仿宋_GB2312" w:hAnsi="仿宋_GB2312" w:eastAsia="微软雅黑"/>
      <w:b/>
      <w:bCs/>
      <w:szCs w:val="20"/>
    </w:rPr>
  </w:style>
  <w:style w:type="paragraph" w:styleId="6">
    <w:name w:val="heading 4"/>
    <w:basedOn w:val="1"/>
    <w:next w:val="1"/>
    <w:unhideWhenUsed/>
    <w:qFormat/>
    <w:uiPriority w:val="0"/>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73"/>
    <w:qFormat/>
    <w:uiPriority w:val="0"/>
    <w:pPr>
      <w:jc w:val="left"/>
    </w:pPr>
  </w:style>
  <w:style w:type="paragraph" w:styleId="16">
    <w:name w:val="Body Text 3"/>
    <w:basedOn w:val="1"/>
    <w:qFormat/>
    <w:uiPriority w:val="0"/>
    <w:pPr>
      <w:snapToGrid w:val="0"/>
      <w:spacing w:before="50" w:after="50"/>
    </w:pPr>
    <w:rPr>
      <w:rFonts w:hAnsi="宋体" w:eastAsia="仿宋_GB2312"/>
      <w:b/>
      <w:bCs/>
      <w:sz w:val="24"/>
      <w:szCs w:val="20"/>
    </w:rPr>
  </w:style>
  <w:style w:type="paragraph" w:styleId="17">
    <w:name w:val="Body Text"/>
    <w:basedOn w:val="1"/>
    <w:link w:val="57"/>
    <w:qFormat/>
    <w:uiPriority w:val="0"/>
    <w:pPr>
      <w:spacing w:after="120"/>
    </w:pPr>
    <w:rPr>
      <w:sz w:val="28"/>
    </w:rPr>
  </w:style>
  <w:style w:type="paragraph" w:styleId="18">
    <w:name w:val="Body Text Indent"/>
    <w:basedOn w:val="1"/>
    <w:link w:val="56"/>
    <w:qFormat/>
    <w:uiPriority w:val="0"/>
    <w:pPr>
      <w:spacing w:line="200" w:lineRule="exact"/>
      <w:ind w:firstLine="301"/>
    </w:pPr>
    <w:rPr>
      <w:rFonts w:ascii="宋体" w:hAnsi="Courier New"/>
      <w:spacing w:val="-4"/>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53"/>
    <w:qFormat/>
    <w:uiPriority w:val="0"/>
    <w:pPr>
      <w:spacing w:beforeLines="50" w:afterLines="50" w:line="400" w:lineRule="exact"/>
    </w:pPr>
    <w:rPr>
      <w:rFonts w:ascii="宋体" w:hAnsi="Courier New"/>
      <w:sz w:val="24"/>
    </w:rPr>
  </w:style>
  <w:style w:type="paragraph" w:styleId="23">
    <w:name w:val="Date"/>
    <w:basedOn w:val="1"/>
    <w:next w:val="1"/>
    <w:qFormat/>
    <w:uiPriority w:val="0"/>
    <w:pPr>
      <w:ind w:left="2500" w:leftChars="2500"/>
    </w:pPr>
    <w:rPr>
      <w:rFonts w:eastAsia="楷体_GB2312"/>
      <w:sz w:val="32"/>
      <w:szCs w:val="20"/>
    </w:rPr>
  </w:style>
  <w:style w:type="paragraph" w:styleId="24">
    <w:name w:val="Body Text Indent 2"/>
    <w:basedOn w:val="1"/>
    <w:link w:val="89"/>
    <w:qFormat/>
    <w:uiPriority w:val="0"/>
    <w:pPr>
      <w:snapToGrid w:val="0"/>
      <w:ind w:firstLine="542" w:firstLineChars="225"/>
    </w:pPr>
    <w:rPr>
      <w:rFonts w:ascii="仿宋_GB2312" w:hAnsi="宋体" w:cs="Arial"/>
      <w:b/>
      <w:bCs/>
      <w:color w:val="000000"/>
      <w:sz w:val="24"/>
    </w:rPr>
  </w:style>
  <w:style w:type="paragraph" w:styleId="25">
    <w:name w:val="Balloon Text"/>
    <w:basedOn w:val="1"/>
    <w:link w:val="78"/>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rFonts w:eastAsia="黑体"/>
      <w:snapToGrid w:val="0"/>
      <w:kern w:val="0"/>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0">
    <w:name w:val="List"/>
    <w:basedOn w:val="1"/>
    <w:qFormat/>
    <w:uiPriority w:val="0"/>
    <w:pPr>
      <w:ind w:left="200" w:hanging="200" w:hangingChars="200"/>
    </w:pPr>
    <w:rPr>
      <w:sz w:val="28"/>
    </w:rPr>
  </w:style>
  <w:style w:type="paragraph" w:styleId="31">
    <w:name w:val="footnote text"/>
    <w:basedOn w:val="1"/>
    <w:link w:val="79"/>
    <w:unhideWhenUsed/>
    <w:qFormat/>
    <w:uiPriority w:val="99"/>
    <w:pPr>
      <w:snapToGrid w:val="0"/>
      <w:jc w:val="left"/>
    </w:pPr>
    <w:rPr>
      <w:sz w:val="18"/>
      <w:szCs w:val="18"/>
    </w:rPr>
  </w:style>
  <w:style w:type="paragraph" w:styleId="3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39"/>
    <w:pPr>
      <w:ind w:left="420" w:leftChars="200"/>
    </w:pPr>
  </w:style>
  <w:style w:type="paragraph" w:styleId="34">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qFormat/>
    <w:uiPriority w:val="0"/>
    <w:pPr>
      <w:spacing w:before="240" w:after="60"/>
      <w:jc w:val="center"/>
      <w:outlineLvl w:val="0"/>
    </w:pPr>
    <w:rPr>
      <w:rFonts w:ascii="Cambria" w:hAnsi="Cambria" w:eastAsia="微软雅黑"/>
      <w:b/>
      <w:bCs/>
      <w:sz w:val="32"/>
      <w:szCs w:val="32"/>
    </w:rPr>
  </w:style>
  <w:style w:type="paragraph" w:styleId="37">
    <w:name w:val="annotation subject"/>
    <w:basedOn w:val="15"/>
    <w:next w:val="15"/>
    <w:link w:val="74"/>
    <w:qFormat/>
    <w:uiPriority w:val="0"/>
    <w:rPr>
      <w:b/>
      <w:bCs/>
    </w:rPr>
  </w:style>
  <w:style w:type="paragraph" w:styleId="38">
    <w:name w:val="Body Text First Indent"/>
    <w:basedOn w:val="17"/>
    <w:link w:val="70"/>
    <w:qFormat/>
    <w:uiPriority w:val="0"/>
    <w:pPr>
      <w:ind w:firstLine="420" w:firstLineChars="100"/>
    </w:pPr>
    <w:rPr>
      <w:sz w:val="21"/>
    </w:r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footnote reference"/>
    <w:unhideWhenUsed/>
    <w:qFormat/>
    <w:uiPriority w:val="99"/>
    <w:rPr>
      <w:vertAlign w:val="superscript"/>
    </w:rPr>
  </w:style>
  <w:style w:type="character" w:customStyle="1" w:styleId="48">
    <w:name w:val="标题 1 字符"/>
    <w:link w:val="2"/>
    <w:qFormat/>
    <w:uiPriority w:val="0"/>
    <w:rPr>
      <w:b/>
      <w:bCs/>
      <w:kern w:val="44"/>
      <w:sz w:val="44"/>
      <w:szCs w:val="44"/>
    </w:rPr>
  </w:style>
  <w:style w:type="character" w:customStyle="1" w:styleId="49">
    <w:name w:val="正文缩进 字符"/>
    <w:link w:val="5"/>
    <w:qFormat/>
    <w:uiPriority w:val="0"/>
    <w:rPr>
      <w:rFonts w:eastAsia="宋体"/>
      <w:kern w:val="2"/>
      <w:sz w:val="21"/>
      <w:lang w:bidi="ar-SA"/>
    </w:rPr>
  </w:style>
  <w:style w:type="character" w:customStyle="1" w:styleId="50">
    <w:name w:val="标题 3 字符"/>
    <w:link w:val="4"/>
    <w:qFormat/>
    <w:uiPriority w:val="0"/>
    <w:rPr>
      <w:rFonts w:ascii="仿宋_GB2312" w:hAnsi="仿宋_GB2312" w:eastAsia="微软雅黑"/>
      <w:b/>
      <w:bCs/>
      <w:kern w:val="2"/>
      <w:sz w:val="21"/>
    </w:rPr>
  </w:style>
  <w:style w:type="character" w:customStyle="1" w:styleId="51">
    <w:name w:val="页脚 字符"/>
    <w:link w:val="26"/>
    <w:qFormat/>
    <w:uiPriority w:val="99"/>
    <w:rPr>
      <w:rFonts w:eastAsia="黑体"/>
      <w:snapToGrid w:val="0"/>
      <w:sz w:val="18"/>
      <w:szCs w:val="18"/>
      <w:lang w:bidi="ar-SA"/>
    </w:rPr>
  </w:style>
  <w:style w:type="paragraph" w:customStyle="1" w:styleId="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53">
    <w:name w:val="纯文本 字符"/>
    <w:link w:val="22"/>
    <w:qFormat/>
    <w:uiPriority w:val="0"/>
    <w:rPr>
      <w:rFonts w:ascii="宋体" w:hAnsi="Courier New" w:eastAsia="宋体"/>
      <w:kern w:val="2"/>
      <w:sz w:val="24"/>
      <w:szCs w:val="24"/>
      <w:lang w:val="en-US" w:eastAsia="zh-CN" w:bidi="ar-SA"/>
    </w:rPr>
  </w:style>
  <w:style w:type="paragraph" w:customStyle="1" w:styleId="54">
    <w:name w:val="正文段"/>
    <w:basedOn w:val="1"/>
    <w:qFormat/>
    <w:uiPriority w:val="0"/>
    <w:pPr>
      <w:widowControl/>
      <w:snapToGrid w:val="0"/>
      <w:spacing w:afterLines="50"/>
      <w:ind w:firstLine="200" w:firstLineChars="200"/>
    </w:pPr>
    <w:rPr>
      <w:kern w:val="0"/>
      <w:sz w:val="24"/>
      <w:szCs w:val="20"/>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正文文本缩进 字符"/>
    <w:link w:val="18"/>
    <w:qFormat/>
    <w:uiPriority w:val="0"/>
    <w:rPr>
      <w:rFonts w:ascii="宋体" w:hAnsi="Courier New" w:eastAsia="宋体"/>
      <w:spacing w:val="-4"/>
      <w:kern w:val="2"/>
      <w:sz w:val="18"/>
      <w:lang w:bidi="ar-SA"/>
    </w:rPr>
  </w:style>
  <w:style w:type="character" w:customStyle="1" w:styleId="57">
    <w:name w:val="正文文本 字符"/>
    <w:link w:val="17"/>
    <w:qFormat/>
    <w:uiPriority w:val="0"/>
    <w:rPr>
      <w:rFonts w:eastAsia="宋体"/>
      <w:kern w:val="2"/>
      <w:sz w:val="28"/>
      <w:szCs w:val="24"/>
      <w:lang w:bidi="ar-SA"/>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59">
    <w:name w:val="页眉 字符"/>
    <w:link w:val="27"/>
    <w:qFormat/>
    <w:uiPriority w:val="99"/>
    <w:rPr>
      <w:rFonts w:eastAsia="仿宋_GB2312"/>
      <w:kern w:val="2"/>
      <w:sz w:val="18"/>
      <w:lang w:bidi="ar-SA"/>
    </w:rPr>
  </w:style>
  <w:style w:type="paragraph" w:customStyle="1" w:styleId="60">
    <w:name w:val="默认段落字体 Para Char Char Char Char"/>
    <w:basedOn w:val="1"/>
    <w:qFormat/>
    <w:uiPriority w:val="0"/>
    <w:rPr>
      <w:rFonts w:ascii="Arial" w:hAnsi="Arial" w:cs="Arial"/>
      <w:szCs w:val="21"/>
    </w:rPr>
  </w:style>
  <w:style w:type="paragraph" w:customStyle="1" w:styleId="61">
    <w:name w:val="1 Char Char Char Char"/>
    <w:basedOn w:val="1"/>
    <w:qFormat/>
    <w:uiPriority w:val="0"/>
    <w:rPr>
      <w:rFonts w:ascii="Tahoma" w:hAnsi="Tahoma"/>
      <w:sz w:val="24"/>
      <w:szCs w:val="20"/>
    </w:rPr>
  </w:style>
  <w:style w:type="paragraph" w:styleId="62">
    <w:name w:val="List Paragraph"/>
    <w:basedOn w:val="1"/>
    <w:qFormat/>
    <w:uiPriority w:val="0"/>
    <w:pPr>
      <w:ind w:firstLine="420" w:firstLineChars="200"/>
    </w:pPr>
    <w:rPr>
      <w:rFonts w:ascii="Calibri" w:hAnsi="Calibri"/>
      <w:szCs w:val="22"/>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默认段落字体 Para Char Char Char Char Char Char Char Char Char Char Char Char Char"/>
    <w:basedOn w:val="14"/>
    <w:qFormat/>
    <w:uiPriority w:val="0"/>
    <w:rPr>
      <w:rFonts w:ascii="Tahoma" w:hAnsi="Tahoma" w:cs="Tahoma"/>
      <w:sz w:val="24"/>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样式 表格正文 + 两端对齐"/>
    <w:basedOn w:val="1"/>
    <w:qFormat/>
    <w:uiPriority w:val="0"/>
    <w:pPr>
      <w:spacing w:line="300" w:lineRule="auto"/>
    </w:pPr>
    <w:rPr>
      <w:sz w:val="24"/>
      <w:szCs w:val="20"/>
    </w:rPr>
  </w:style>
  <w:style w:type="paragraph" w:customStyle="1" w:styleId="67">
    <w:name w:val="此正文"/>
    <w:basedOn w:val="1"/>
    <w:qFormat/>
    <w:uiPriority w:val="0"/>
    <w:pPr>
      <w:spacing w:line="360" w:lineRule="auto"/>
      <w:ind w:firstLine="200" w:firstLineChars="200"/>
    </w:pPr>
    <w:rPr>
      <w:sz w:val="24"/>
      <w:szCs w:val="20"/>
    </w:rPr>
  </w:style>
  <w:style w:type="character" w:customStyle="1" w:styleId="68">
    <w:name w:val="标题 字符"/>
    <w:link w:val="36"/>
    <w:qFormat/>
    <w:uiPriority w:val="0"/>
    <w:rPr>
      <w:rFonts w:ascii="Cambria" w:hAnsi="Cambria" w:eastAsia="微软雅黑"/>
      <w:b/>
      <w:bCs/>
      <w:kern w:val="2"/>
      <w:sz w:val="32"/>
      <w:szCs w:val="32"/>
    </w:rPr>
  </w:style>
  <w:style w:type="paragraph" w:customStyle="1" w:styleId="69">
    <w:name w:val="tabletext"/>
    <w:basedOn w:val="1"/>
    <w:qFormat/>
    <w:uiPriority w:val="0"/>
    <w:pPr>
      <w:widowControl/>
      <w:spacing w:before="100" w:beforeAutospacing="1" w:after="100" w:afterAutospacing="1"/>
      <w:jc w:val="left"/>
    </w:pPr>
    <w:rPr>
      <w:rFonts w:ascii="宋体" w:hAnsi="宋体" w:cs="宋体"/>
      <w:kern w:val="0"/>
      <w:sz w:val="24"/>
      <w:lang w:eastAsia="en-US" w:bidi="en-US"/>
    </w:rPr>
  </w:style>
  <w:style w:type="character" w:customStyle="1" w:styleId="70">
    <w:name w:val="正文文本首行缩进 字符"/>
    <w:link w:val="38"/>
    <w:qFormat/>
    <w:uiPriority w:val="0"/>
    <w:rPr>
      <w:rFonts w:eastAsia="宋体"/>
      <w:kern w:val="2"/>
      <w:sz w:val="21"/>
      <w:szCs w:val="24"/>
      <w:lang w:bidi="ar-SA"/>
    </w:rPr>
  </w:style>
  <w:style w:type="paragraph" w:customStyle="1" w:styleId="71">
    <w:name w:val="Char Char Char Char"/>
    <w:basedOn w:val="1"/>
    <w:qFormat/>
    <w:uiPriority w:val="0"/>
    <w:pPr>
      <w:widowControl/>
      <w:spacing w:line="400" w:lineRule="exact"/>
      <w:outlineLvl w:val="1"/>
    </w:pPr>
    <w:rPr>
      <w:rFonts w:ascii="Verdana" w:hAnsi="Verdana"/>
      <w:b/>
      <w:kern w:val="0"/>
      <w:sz w:val="24"/>
      <w:lang w:eastAsia="en-US"/>
    </w:rPr>
  </w:style>
  <w:style w:type="character" w:customStyle="1" w:styleId="72">
    <w:name w:val="15"/>
    <w:qFormat/>
    <w:uiPriority w:val="0"/>
    <w:rPr>
      <w:rFonts w:ascii="Verdana" w:hAnsi="Verdana" w:cs="Times New Roman"/>
      <w:color w:val="C90000"/>
      <w:sz w:val="18"/>
    </w:rPr>
  </w:style>
  <w:style w:type="character" w:customStyle="1" w:styleId="73">
    <w:name w:val="批注文字 字符"/>
    <w:link w:val="15"/>
    <w:qFormat/>
    <w:uiPriority w:val="0"/>
    <w:rPr>
      <w:rFonts w:eastAsia="宋体"/>
      <w:kern w:val="2"/>
      <w:sz w:val="21"/>
      <w:szCs w:val="24"/>
      <w:lang w:val="en-US" w:eastAsia="zh-CN" w:bidi="ar-SA"/>
    </w:rPr>
  </w:style>
  <w:style w:type="character" w:customStyle="1" w:styleId="74">
    <w:name w:val="批注主题 字符"/>
    <w:link w:val="37"/>
    <w:qFormat/>
    <w:uiPriority w:val="0"/>
    <w:rPr>
      <w:rFonts w:eastAsia="宋体"/>
      <w:b/>
      <w:bCs/>
      <w:kern w:val="2"/>
      <w:sz w:val="21"/>
      <w:szCs w:val="24"/>
      <w:lang w:val="en-US" w:eastAsia="zh-CN" w:bidi="ar-SA"/>
    </w:rPr>
  </w:style>
  <w:style w:type="paragraph" w:customStyle="1" w:styleId="75">
    <w:name w:val="正文－恩普"/>
    <w:basedOn w:val="5"/>
    <w:qFormat/>
    <w:uiPriority w:val="0"/>
    <w:pPr>
      <w:widowControl/>
      <w:spacing w:afterLines="50" w:line="360" w:lineRule="auto"/>
      <w:ind w:firstLine="480" w:firstLineChars="200"/>
      <w:jc w:val="left"/>
    </w:pPr>
    <w:rPr>
      <w:kern w:val="0"/>
      <w:sz w:val="24"/>
    </w:rPr>
  </w:style>
  <w:style w:type="paragraph" w:customStyle="1" w:styleId="7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 Char"/>
    <w:basedOn w:val="1"/>
    <w:qFormat/>
    <w:uiPriority w:val="0"/>
    <w:rPr>
      <w:szCs w:val="21"/>
    </w:rPr>
  </w:style>
  <w:style w:type="character" w:customStyle="1" w:styleId="78">
    <w:name w:val="批注框文本 字符"/>
    <w:link w:val="25"/>
    <w:qFormat/>
    <w:uiPriority w:val="0"/>
    <w:rPr>
      <w:kern w:val="2"/>
      <w:sz w:val="18"/>
      <w:szCs w:val="18"/>
    </w:rPr>
  </w:style>
  <w:style w:type="character" w:customStyle="1" w:styleId="79">
    <w:name w:val="脚注文本 字符"/>
    <w:basedOn w:val="40"/>
    <w:link w:val="31"/>
    <w:qFormat/>
    <w:uiPriority w:val="99"/>
    <w:rPr>
      <w:kern w:val="2"/>
      <w:sz w:val="18"/>
      <w:szCs w:val="18"/>
    </w:rPr>
  </w:style>
  <w:style w:type="paragraph" w:customStyle="1" w:styleId="8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1">
    <w:name w:val="副标题 字符"/>
    <w:basedOn w:val="40"/>
    <w:link w:val="29"/>
    <w:qFormat/>
    <w:uiPriority w:val="0"/>
    <w:rPr>
      <w:rFonts w:asciiTheme="majorHAnsi" w:hAnsiTheme="majorHAnsi" w:cstheme="majorBidi"/>
      <w:b/>
      <w:bCs/>
      <w:kern w:val="28"/>
      <w:sz w:val="32"/>
      <w:szCs w:val="32"/>
    </w:rPr>
  </w:style>
  <w:style w:type="character" w:customStyle="1" w:styleId="82">
    <w:name w:val="页脚 Char"/>
    <w:qFormat/>
    <w:locked/>
    <w:uiPriority w:val="99"/>
    <w:rPr>
      <w:rFonts w:eastAsia="黑体"/>
      <w:snapToGrid w:val="0"/>
      <w:sz w:val="18"/>
      <w:szCs w:val="18"/>
    </w:rPr>
  </w:style>
  <w:style w:type="character" w:customStyle="1" w:styleId="83">
    <w:name w:val="页眉 Char"/>
    <w:qFormat/>
    <w:uiPriority w:val="99"/>
    <w:rPr>
      <w:rFonts w:eastAsia="仿宋_GB2312"/>
      <w:kern w:val="2"/>
      <w:sz w:val="18"/>
    </w:rPr>
  </w:style>
  <w:style w:type="paragraph" w:customStyle="1" w:styleId="84">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TOC Heading"/>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纯文本 Char1"/>
    <w:qFormat/>
    <w:uiPriority w:val="0"/>
    <w:rPr>
      <w:rFonts w:ascii="宋体" w:hAnsi="Courier New" w:eastAsia="宋体" w:cs="Times New Roman"/>
      <w:sz w:val="24"/>
      <w:szCs w:val="24"/>
    </w:rPr>
  </w:style>
  <w:style w:type="character" w:customStyle="1" w:styleId="89">
    <w:name w:val="正文文本缩进 2 字符"/>
    <w:link w:val="24"/>
    <w:qFormat/>
    <w:uiPriority w:val="0"/>
    <w:rPr>
      <w:rFonts w:ascii="仿宋_GB2312" w:hAnsi="宋体" w:cs="Arial"/>
      <w:b/>
      <w:bCs/>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12177</Words>
  <Characters>12800</Characters>
  <Lines>104</Lines>
  <Paragraphs>29</Paragraphs>
  <TotalTime>3</TotalTime>
  <ScaleCrop>false</ScaleCrop>
  <LinksUpToDate>false</LinksUpToDate>
  <CharactersWithSpaces>13529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2024-09-03T03:37:00Z</dcterms:created>
  <dc:creator>WinXP</dc:creator>
  <cp:lastModifiedBy>章大莉</cp:lastModifiedBy>
  <cp:lastPrinted>2024-09-03T04:14:00Z</cp:lastPrinted>
  <dcterms:modified xsi:type="dcterms:W3CDTF">2025-02-19T06:34:28Z</dcterms:modified>
  <dc:title>2016年（第一期）嘉兴市本级公共资金</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901348CBC4F546738BA9BEF9167D5DE9_13</vt:lpwstr>
  </property>
  <property fmtid="{D5CDD505-2E9C-101B-9397-08002B2CF9AE}" pid="4" name="KSOTemplateDocerSaveRecord">
    <vt:lpwstr>eyJoZGlkIjoiMTJlMTYyNTAxYWM3MWI0NzliODIyODNmMjdmN2NhNGEiLCJ1c2VySWQiOiIxMjkzODA4MDU5In0=</vt:lpwstr>
  </property>
</Properties>
</file>